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DD92" w14:textId="116FC98F" w:rsidR="001B4458" w:rsidRDefault="00B8724D" w:rsidP="001B4458">
      <w:pPr>
        <w:jc w:val="center"/>
        <w:rPr>
          <w:rFonts w:ascii="Arial" w:hAnsi="Arial" w:cs="Arial"/>
          <w:b/>
          <w:bCs/>
          <w:sz w:val="22"/>
          <w:szCs w:val="22"/>
        </w:rPr>
      </w:pPr>
      <w:r>
        <w:rPr>
          <w:rFonts w:ascii="Arial" w:hAnsi="Arial" w:cs="Arial"/>
          <w:b/>
          <w:bCs/>
          <w:sz w:val="22"/>
          <w:szCs w:val="22"/>
        </w:rPr>
        <w:t>T</w:t>
      </w:r>
      <w:r w:rsidR="001B4458" w:rsidRPr="001B4458">
        <w:rPr>
          <w:rFonts w:ascii="Arial" w:hAnsi="Arial" w:cs="Arial"/>
          <w:b/>
          <w:bCs/>
          <w:sz w:val="22"/>
          <w:szCs w:val="22"/>
        </w:rPr>
        <w:t xml:space="preserve">he </w:t>
      </w:r>
      <w:r w:rsidR="00B92B2F">
        <w:rPr>
          <w:rFonts w:ascii="Arial" w:hAnsi="Arial" w:cs="Arial"/>
          <w:b/>
          <w:bCs/>
          <w:sz w:val="22"/>
          <w:szCs w:val="22"/>
        </w:rPr>
        <w:t>effect</w:t>
      </w:r>
      <w:r w:rsidR="00B92B2F" w:rsidRPr="001B4458">
        <w:rPr>
          <w:rFonts w:ascii="Arial" w:hAnsi="Arial" w:cs="Arial"/>
          <w:b/>
          <w:bCs/>
          <w:sz w:val="22"/>
          <w:szCs w:val="22"/>
        </w:rPr>
        <w:t xml:space="preserve"> </w:t>
      </w:r>
      <w:r w:rsidR="001B4458" w:rsidRPr="001B4458">
        <w:rPr>
          <w:rFonts w:ascii="Arial" w:hAnsi="Arial" w:cs="Arial"/>
          <w:b/>
          <w:bCs/>
          <w:sz w:val="22"/>
          <w:szCs w:val="22"/>
        </w:rPr>
        <w:t xml:space="preserve">of smoke-free policies in </w:t>
      </w:r>
      <w:r w:rsidR="00866AF9" w:rsidRPr="008B08D9">
        <w:rPr>
          <w:rFonts w:ascii="Arial" w:hAnsi="Arial" w:cs="Arial"/>
          <w:b/>
          <w:bCs/>
          <w:sz w:val="22"/>
          <w:szCs w:val="22"/>
        </w:rPr>
        <w:t>military</w:t>
      </w:r>
      <w:r w:rsidR="001B4458" w:rsidRPr="008B08D9">
        <w:rPr>
          <w:rFonts w:ascii="Arial" w:hAnsi="Arial" w:cs="Arial"/>
          <w:b/>
          <w:bCs/>
          <w:sz w:val="22"/>
          <w:szCs w:val="22"/>
        </w:rPr>
        <w:t xml:space="preserve"> s</w:t>
      </w:r>
      <w:r w:rsidR="001B4458" w:rsidRPr="001B4458">
        <w:rPr>
          <w:rFonts w:ascii="Arial" w:hAnsi="Arial" w:cs="Arial"/>
          <w:b/>
          <w:bCs/>
          <w:sz w:val="22"/>
          <w:szCs w:val="22"/>
        </w:rPr>
        <w:t xml:space="preserve">ettings on </w:t>
      </w:r>
      <w:r w:rsidR="00B92B2F">
        <w:rPr>
          <w:rFonts w:ascii="Arial" w:hAnsi="Arial" w:cs="Arial"/>
          <w:b/>
          <w:bCs/>
          <w:sz w:val="22"/>
          <w:szCs w:val="22"/>
        </w:rPr>
        <w:t>tobacco smoke exposure and smoking behaviour</w:t>
      </w:r>
      <w:r w:rsidR="001B4458" w:rsidRPr="001B4458">
        <w:rPr>
          <w:rFonts w:ascii="Arial" w:hAnsi="Arial" w:cs="Arial"/>
          <w:b/>
          <w:bCs/>
          <w:sz w:val="22"/>
          <w:szCs w:val="22"/>
        </w:rPr>
        <w:t>: a systematic review</w:t>
      </w:r>
    </w:p>
    <w:p w14:paraId="7AB8C572" w14:textId="1D7B8DF8" w:rsidR="00756D54" w:rsidRPr="001A3763" w:rsidRDefault="00756D54" w:rsidP="001A3763">
      <w:pPr>
        <w:rPr>
          <w:rFonts w:ascii="Arial" w:hAnsi="Arial" w:cs="Arial"/>
          <w:b/>
          <w:bCs/>
          <w:sz w:val="22"/>
          <w:szCs w:val="22"/>
        </w:rPr>
      </w:pPr>
    </w:p>
    <w:p w14:paraId="280217C5" w14:textId="1D2AB7B5" w:rsidR="00756D54" w:rsidRPr="001A3763" w:rsidRDefault="00756D54" w:rsidP="00756D54">
      <w:pPr>
        <w:rPr>
          <w:rFonts w:ascii="Arial" w:hAnsi="Arial" w:cs="Arial"/>
          <w:b/>
          <w:bCs/>
          <w:sz w:val="22"/>
          <w:szCs w:val="22"/>
        </w:rPr>
      </w:pPr>
      <w:r w:rsidRPr="001A3763">
        <w:rPr>
          <w:rFonts w:ascii="Arial" w:hAnsi="Arial" w:cs="Arial"/>
          <w:b/>
          <w:bCs/>
          <w:sz w:val="22"/>
          <w:szCs w:val="22"/>
        </w:rPr>
        <w:t>ABSTRACT</w:t>
      </w:r>
      <w:r w:rsidR="00917F53">
        <w:rPr>
          <w:rFonts w:ascii="Arial" w:hAnsi="Arial" w:cs="Arial"/>
          <w:b/>
          <w:bCs/>
          <w:sz w:val="22"/>
          <w:szCs w:val="22"/>
        </w:rPr>
        <w:t xml:space="preserve"> </w:t>
      </w:r>
    </w:p>
    <w:p w14:paraId="43E05FBE" w14:textId="11C5C754" w:rsidR="00756D54" w:rsidRPr="001A3763" w:rsidRDefault="00756D54" w:rsidP="00756D54">
      <w:pPr>
        <w:rPr>
          <w:rFonts w:ascii="Arial" w:hAnsi="Arial" w:cs="Arial"/>
          <w:b/>
          <w:bCs/>
          <w:sz w:val="22"/>
          <w:szCs w:val="22"/>
        </w:rPr>
      </w:pPr>
    </w:p>
    <w:p w14:paraId="24BC126B" w14:textId="60028EC6" w:rsidR="001A3763" w:rsidRPr="001A3763" w:rsidRDefault="001A3763" w:rsidP="001A3763">
      <w:pPr>
        <w:rPr>
          <w:rFonts w:ascii="Arial" w:hAnsi="Arial" w:cs="Arial"/>
          <w:sz w:val="22"/>
          <w:szCs w:val="22"/>
        </w:rPr>
      </w:pPr>
      <w:r w:rsidRPr="001A3763">
        <w:rPr>
          <w:rFonts w:ascii="Arial" w:hAnsi="Arial" w:cs="Arial"/>
          <w:b/>
          <w:bCs/>
          <w:sz w:val="22"/>
          <w:szCs w:val="22"/>
        </w:rPr>
        <w:t xml:space="preserve">Background: </w:t>
      </w:r>
      <w:r w:rsidR="00261012">
        <w:rPr>
          <w:rFonts w:ascii="Arial" w:hAnsi="Arial" w:cs="Arial"/>
          <w:sz w:val="22"/>
          <w:szCs w:val="22"/>
        </w:rPr>
        <w:t>S</w:t>
      </w:r>
      <w:r w:rsidRPr="001A3763">
        <w:rPr>
          <w:rFonts w:ascii="Arial" w:hAnsi="Arial" w:cs="Arial"/>
          <w:sz w:val="22"/>
          <w:szCs w:val="22"/>
        </w:rPr>
        <w:t>moke-free legislation</w:t>
      </w:r>
      <w:r w:rsidR="00261012">
        <w:rPr>
          <w:rFonts w:ascii="Arial" w:hAnsi="Arial" w:cs="Arial"/>
          <w:sz w:val="22"/>
          <w:szCs w:val="22"/>
        </w:rPr>
        <w:t xml:space="preserve"> has been instrumental</w:t>
      </w:r>
      <w:r w:rsidRPr="001A3763">
        <w:rPr>
          <w:rFonts w:ascii="Arial" w:hAnsi="Arial" w:cs="Arial"/>
          <w:sz w:val="22"/>
          <w:szCs w:val="22"/>
        </w:rPr>
        <w:t xml:space="preserve"> in reducing second-hand smoke (SHS) exposure</w:t>
      </w:r>
      <w:r w:rsidR="00261012">
        <w:rPr>
          <w:rFonts w:ascii="Arial" w:hAnsi="Arial" w:cs="Arial"/>
          <w:sz w:val="22"/>
          <w:szCs w:val="22"/>
        </w:rPr>
        <w:t xml:space="preserve"> in public places</w:t>
      </w:r>
      <w:r w:rsidRPr="001A3763">
        <w:rPr>
          <w:rFonts w:ascii="Arial" w:hAnsi="Arial" w:cs="Arial"/>
          <w:sz w:val="22"/>
          <w:szCs w:val="22"/>
        </w:rPr>
        <w:t>. However, the evidence of</w:t>
      </w:r>
      <w:r w:rsidR="00261012">
        <w:rPr>
          <w:rFonts w:ascii="Arial" w:hAnsi="Arial" w:cs="Arial"/>
          <w:sz w:val="22"/>
          <w:szCs w:val="22"/>
        </w:rPr>
        <w:t xml:space="preserve"> the impact of</w:t>
      </w:r>
      <w:r w:rsidRPr="001A3763">
        <w:rPr>
          <w:rFonts w:ascii="Arial" w:hAnsi="Arial" w:cs="Arial"/>
          <w:sz w:val="22"/>
          <w:szCs w:val="22"/>
        </w:rPr>
        <w:t xml:space="preserve"> </w:t>
      </w:r>
      <w:r w:rsidR="00261012">
        <w:rPr>
          <w:rFonts w:ascii="Arial" w:hAnsi="Arial" w:cs="Arial"/>
          <w:sz w:val="22"/>
          <w:szCs w:val="22"/>
        </w:rPr>
        <w:t>institutional</w:t>
      </w:r>
      <w:r w:rsidR="00261012" w:rsidRPr="001A3763">
        <w:rPr>
          <w:rFonts w:ascii="Arial" w:hAnsi="Arial" w:cs="Arial"/>
          <w:sz w:val="22"/>
          <w:szCs w:val="22"/>
        </w:rPr>
        <w:t xml:space="preserve"> </w:t>
      </w:r>
      <w:r w:rsidRPr="001A3763">
        <w:rPr>
          <w:rFonts w:ascii="Arial" w:hAnsi="Arial" w:cs="Arial"/>
          <w:sz w:val="22"/>
          <w:szCs w:val="22"/>
        </w:rPr>
        <w:t xml:space="preserve">smoke-free policies in settings such as healthcare and defence is weaker. Specifically, the literature on the effect of smoke-free policies </w:t>
      </w:r>
      <w:r w:rsidRPr="008B08D9">
        <w:rPr>
          <w:rFonts w:ascii="Arial" w:hAnsi="Arial" w:cs="Arial"/>
          <w:sz w:val="22"/>
          <w:szCs w:val="22"/>
        </w:rPr>
        <w:t xml:space="preserve">in </w:t>
      </w:r>
      <w:r w:rsidR="00866AF9" w:rsidRPr="008B08D9">
        <w:rPr>
          <w:rFonts w:ascii="Arial" w:hAnsi="Arial" w:cs="Arial"/>
          <w:sz w:val="22"/>
          <w:szCs w:val="22"/>
        </w:rPr>
        <w:t>military</w:t>
      </w:r>
      <w:r w:rsidR="00866AF9" w:rsidRPr="008B08D9">
        <w:rPr>
          <w:rFonts w:ascii="Arial" w:hAnsi="Arial" w:cs="Arial"/>
          <w:b/>
          <w:bCs/>
          <w:sz w:val="22"/>
          <w:szCs w:val="22"/>
        </w:rPr>
        <w:t xml:space="preserve"> </w:t>
      </w:r>
      <w:r w:rsidRPr="001A3763">
        <w:rPr>
          <w:rFonts w:ascii="Arial" w:hAnsi="Arial" w:cs="Arial"/>
          <w:sz w:val="22"/>
          <w:szCs w:val="22"/>
        </w:rPr>
        <w:t xml:space="preserve">settings has not yet been synthesised. </w:t>
      </w:r>
    </w:p>
    <w:p w14:paraId="5E1B5FD2" w14:textId="77777777" w:rsidR="001A3763" w:rsidRPr="001A3763" w:rsidRDefault="001A3763" w:rsidP="001A3763">
      <w:pPr>
        <w:rPr>
          <w:rFonts w:ascii="Arial" w:hAnsi="Arial" w:cs="Arial"/>
          <w:sz w:val="22"/>
          <w:szCs w:val="22"/>
        </w:rPr>
      </w:pPr>
    </w:p>
    <w:p w14:paraId="5B37EA08" w14:textId="6B445EEC" w:rsidR="001A3763" w:rsidRPr="001A3763" w:rsidRDefault="001A3763" w:rsidP="001A3763">
      <w:pPr>
        <w:rPr>
          <w:rFonts w:ascii="Arial" w:hAnsi="Arial" w:cs="Arial"/>
          <w:sz w:val="22"/>
          <w:szCs w:val="22"/>
        </w:rPr>
      </w:pPr>
      <w:r w:rsidRPr="001A3763">
        <w:rPr>
          <w:rFonts w:ascii="Arial" w:hAnsi="Arial" w:cs="Arial"/>
          <w:b/>
          <w:bCs/>
          <w:sz w:val="22"/>
          <w:szCs w:val="22"/>
        </w:rPr>
        <w:t xml:space="preserve">Methods: </w:t>
      </w:r>
      <w:r w:rsidRPr="001A3763">
        <w:rPr>
          <w:rFonts w:ascii="Arial" w:hAnsi="Arial" w:cs="Arial"/>
          <w:sz w:val="22"/>
          <w:szCs w:val="22"/>
        </w:rPr>
        <w:t xml:space="preserve">This review aimed to identify, critically appraise and synthesise the available evidence to evaluate the </w:t>
      </w:r>
      <w:r w:rsidR="00601DC7">
        <w:rPr>
          <w:rFonts w:ascii="Arial" w:hAnsi="Arial" w:cs="Arial"/>
          <w:sz w:val="22"/>
          <w:szCs w:val="22"/>
        </w:rPr>
        <w:t xml:space="preserve">effect </w:t>
      </w:r>
      <w:r w:rsidRPr="001A3763">
        <w:rPr>
          <w:rFonts w:ascii="Arial" w:hAnsi="Arial" w:cs="Arial"/>
          <w:sz w:val="22"/>
          <w:szCs w:val="22"/>
        </w:rPr>
        <w:t xml:space="preserve">of defence smoke-free policies </w:t>
      </w:r>
      <w:r w:rsidR="00601DC7">
        <w:rPr>
          <w:rFonts w:ascii="Arial" w:hAnsi="Arial" w:cs="Arial"/>
          <w:sz w:val="22"/>
          <w:szCs w:val="22"/>
        </w:rPr>
        <w:t>on SHS exposure</w:t>
      </w:r>
      <w:r w:rsidRPr="001A3763">
        <w:rPr>
          <w:rFonts w:ascii="Arial" w:hAnsi="Arial" w:cs="Arial"/>
          <w:sz w:val="22"/>
          <w:szCs w:val="22"/>
        </w:rPr>
        <w:t>. Eight electronic-databases</w:t>
      </w:r>
      <w:r w:rsidR="00261012">
        <w:rPr>
          <w:rFonts w:ascii="Arial" w:hAnsi="Arial" w:cs="Arial"/>
          <w:sz w:val="22"/>
          <w:szCs w:val="22"/>
        </w:rPr>
        <w:t xml:space="preserve"> (</w:t>
      </w:r>
      <w:proofErr w:type="gramStart"/>
      <w:r w:rsidR="00261012">
        <w:rPr>
          <w:rFonts w:ascii="Arial" w:hAnsi="Arial" w:cs="Arial"/>
          <w:sz w:val="22"/>
          <w:szCs w:val="22"/>
        </w:rPr>
        <w:t>e.g</w:t>
      </w:r>
      <w:r w:rsidR="00C80047">
        <w:rPr>
          <w:rFonts w:ascii="Arial" w:hAnsi="Arial" w:cs="Arial"/>
          <w:sz w:val="22"/>
          <w:szCs w:val="22"/>
        </w:rPr>
        <w:t>.</w:t>
      </w:r>
      <w:proofErr w:type="gramEnd"/>
      <w:r w:rsidR="00C80047">
        <w:rPr>
          <w:rFonts w:ascii="Arial" w:hAnsi="Arial" w:cs="Arial"/>
          <w:sz w:val="22"/>
          <w:szCs w:val="22"/>
        </w:rPr>
        <w:t xml:space="preserve"> EMBASE, MEDLINE</w:t>
      </w:r>
      <w:r w:rsidR="00261012">
        <w:rPr>
          <w:rFonts w:ascii="Arial" w:hAnsi="Arial" w:cs="Arial"/>
          <w:sz w:val="22"/>
          <w:szCs w:val="22"/>
        </w:rPr>
        <w:t>)</w:t>
      </w:r>
      <w:r w:rsidRPr="001A3763">
        <w:rPr>
          <w:rFonts w:ascii="Arial" w:hAnsi="Arial" w:cs="Arial"/>
          <w:sz w:val="22"/>
          <w:szCs w:val="22"/>
        </w:rPr>
        <w:t xml:space="preserve"> were searched from inception to June 2020. </w:t>
      </w:r>
      <w:r w:rsidR="00261012">
        <w:rPr>
          <w:rFonts w:ascii="Arial" w:hAnsi="Arial" w:cs="Arial"/>
          <w:sz w:val="22"/>
          <w:szCs w:val="22"/>
        </w:rPr>
        <w:t>We included</w:t>
      </w:r>
      <w:r w:rsidRPr="001A3763">
        <w:rPr>
          <w:rFonts w:ascii="Arial" w:hAnsi="Arial" w:cs="Arial"/>
          <w:sz w:val="22"/>
          <w:szCs w:val="22"/>
        </w:rPr>
        <w:t xml:space="preserve"> English-language studies </w:t>
      </w:r>
      <w:r w:rsidR="00261012">
        <w:rPr>
          <w:rFonts w:ascii="Arial" w:hAnsi="Arial" w:cs="Arial"/>
          <w:sz w:val="22"/>
          <w:szCs w:val="22"/>
        </w:rPr>
        <w:t>on</w:t>
      </w:r>
      <w:r w:rsidRPr="001A3763">
        <w:rPr>
          <w:rFonts w:ascii="Arial" w:hAnsi="Arial" w:cs="Arial"/>
          <w:sz w:val="22"/>
          <w:szCs w:val="22"/>
        </w:rPr>
        <w:t xml:space="preserve"> smoke-free polic</w:t>
      </w:r>
      <w:r w:rsidR="00261012">
        <w:rPr>
          <w:rFonts w:ascii="Arial" w:hAnsi="Arial" w:cs="Arial"/>
          <w:sz w:val="22"/>
          <w:szCs w:val="22"/>
        </w:rPr>
        <w:t>ies</w:t>
      </w:r>
      <w:r w:rsidRPr="001A3763">
        <w:rPr>
          <w:rFonts w:ascii="Arial" w:hAnsi="Arial" w:cs="Arial"/>
          <w:sz w:val="22"/>
          <w:szCs w:val="22"/>
        </w:rPr>
        <w:t xml:space="preserve"> </w:t>
      </w:r>
      <w:r w:rsidR="00261012" w:rsidRPr="001A3763">
        <w:rPr>
          <w:rFonts w:ascii="Arial" w:hAnsi="Arial" w:cs="Arial"/>
          <w:sz w:val="22"/>
          <w:szCs w:val="22"/>
        </w:rPr>
        <w:t xml:space="preserve">introduced </w:t>
      </w:r>
      <w:r w:rsidRPr="001A3763">
        <w:rPr>
          <w:rFonts w:ascii="Arial" w:hAnsi="Arial" w:cs="Arial"/>
          <w:sz w:val="22"/>
          <w:szCs w:val="22"/>
        </w:rPr>
        <w:t xml:space="preserve">in a defence setting, </w:t>
      </w:r>
      <w:r w:rsidR="000D1085">
        <w:rPr>
          <w:rFonts w:ascii="Arial" w:hAnsi="Arial" w:cs="Arial"/>
          <w:sz w:val="22"/>
          <w:szCs w:val="22"/>
        </w:rPr>
        <w:t>assessing</w:t>
      </w:r>
      <w:r w:rsidRPr="001A3763">
        <w:rPr>
          <w:rFonts w:ascii="Arial" w:hAnsi="Arial" w:cs="Arial"/>
          <w:sz w:val="22"/>
          <w:szCs w:val="22"/>
        </w:rPr>
        <w:t xml:space="preserve"> the</w:t>
      </w:r>
      <w:r w:rsidR="000D1085">
        <w:rPr>
          <w:rFonts w:ascii="Arial" w:hAnsi="Arial" w:cs="Arial"/>
          <w:sz w:val="22"/>
          <w:szCs w:val="22"/>
        </w:rPr>
        <w:t>ir</w:t>
      </w:r>
      <w:r w:rsidRPr="001A3763">
        <w:rPr>
          <w:rFonts w:ascii="Arial" w:hAnsi="Arial" w:cs="Arial"/>
          <w:sz w:val="22"/>
          <w:szCs w:val="22"/>
        </w:rPr>
        <w:t xml:space="preserve"> impact on </w:t>
      </w:r>
      <w:r w:rsidR="000D1085" w:rsidRPr="001A3763">
        <w:rPr>
          <w:rFonts w:ascii="Arial" w:hAnsi="Arial" w:cs="Arial"/>
          <w:sz w:val="22"/>
          <w:szCs w:val="22"/>
        </w:rPr>
        <w:t xml:space="preserve">SHS </w:t>
      </w:r>
      <w:r w:rsidRPr="001A3763">
        <w:rPr>
          <w:rFonts w:ascii="Arial" w:hAnsi="Arial" w:cs="Arial"/>
          <w:sz w:val="22"/>
          <w:szCs w:val="22"/>
        </w:rPr>
        <w:t xml:space="preserve">exposure (primary outcome) </w:t>
      </w:r>
      <w:r w:rsidR="000D1085">
        <w:rPr>
          <w:rFonts w:ascii="Arial" w:hAnsi="Arial" w:cs="Arial"/>
          <w:sz w:val="22"/>
          <w:szCs w:val="22"/>
        </w:rPr>
        <w:t>and</w:t>
      </w:r>
      <w:r w:rsidRPr="001A3763">
        <w:rPr>
          <w:rFonts w:ascii="Arial" w:hAnsi="Arial" w:cs="Arial"/>
          <w:sz w:val="22"/>
          <w:szCs w:val="22"/>
        </w:rPr>
        <w:t xml:space="preserve"> healthcare utilisation, smoking behaviours and defence efficiency (secondary outcomes). </w:t>
      </w:r>
      <w:r w:rsidR="00601DC7">
        <w:rPr>
          <w:rFonts w:ascii="Arial" w:hAnsi="Arial" w:cs="Arial"/>
          <w:sz w:val="22"/>
          <w:szCs w:val="22"/>
        </w:rPr>
        <w:t>Risk of bias was assessed using ROBINS-I. S</w:t>
      </w:r>
      <w:r w:rsidRPr="001A3763">
        <w:rPr>
          <w:rFonts w:ascii="Arial" w:hAnsi="Arial" w:cs="Arial"/>
          <w:sz w:val="22"/>
          <w:szCs w:val="22"/>
        </w:rPr>
        <w:t>ynthesis without meta-analysis was conducted using vote counting of direction of effect.</w:t>
      </w:r>
    </w:p>
    <w:p w14:paraId="0B1A2095" w14:textId="77777777" w:rsidR="001A3763" w:rsidRPr="001A3763" w:rsidRDefault="001A3763" w:rsidP="001A3763">
      <w:pPr>
        <w:rPr>
          <w:rFonts w:ascii="Arial" w:hAnsi="Arial" w:cs="Arial"/>
          <w:sz w:val="22"/>
          <w:szCs w:val="22"/>
        </w:rPr>
      </w:pPr>
    </w:p>
    <w:p w14:paraId="0460A848" w14:textId="3870BB4C" w:rsidR="001A3763" w:rsidRPr="001A3763" w:rsidRDefault="001A3763" w:rsidP="001A3763">
      <w:pPr>
        <w:rPr>
          <w:rFonts w:ascii="Arial" w:hAnsi="Arial" w:cs="Arial"/>
          <w:sz w:val="22"/>
          <w:szCs w:val="22"/>
        </w:rPr>
      </w:pPr>
      <w:r w:rsidRPr="001A3763">
        <w:rPr>
          <w:rFonts w:ascii="Arial" w:hAnsi="Arial" w:cs="Arial"/>
          <w:b/>
          <w:bCs/>
          <w:sz w:val="22"/>
          <w:szCs w:val="22"/>
        </w:rPr>
        <w:t xml:space="preserve">Results: </w:t>
      </w:r>
      <w:r w:rsidRPr="001A3763">
        <w:rPr>
          <w:rFonts w:ascii="Arial" w:hAnsi="Arial" w:cs="Arial"/>
          <w:sz w:val="22"/>
          <w:szCs w:val="22"/>
        </w:rPr>
        <w:t>The search retrieved 4</w:t>
      </w:r>
      <w:r w:rsidR="000D1085">
        <w:rPr>
          <w:rFonts w:ascii="Arial" w:hAnsi="Arial" w:cs="Arial"/>
          <w:sz w:val="22"/>
          <w:szCs w:val="22"/>
        </w:rPr>
        <w:t>,</w:t>
      </w:r>
      <w:r w:rsidRPr="001A3763">
        <w:rPr>
          <w:rFonts w:ascii="Arial" w:hAnsi="Arial" w:cs="Arial"/>
          <w:sz w:val="22"/>
          <w:szCs w:val="22"/>
        </w:rPr>
        <w:t xml:space="preserve">503 </w:t>
      </w:r>
      <w:r w:rsidR="000D1085">
        <w:rPr>
          <w:rFonts w:ascii="Arial" w:hAnsi="Arial" w:cs="Arial"/>
          <w:sz w:val="22"/>
          <w:szCs w:val="22"/>
        </w:rPr>
        <w:t>citations</w:t>
      </w:r>
      <w:r w:rsidR="000D1085" w:rsidRPr="001A3763">
        <w:rPr>
          <w:rFonts w:ascii="Arial" w:hAnsi="Arial" w:cs="Arial"/>
          <w:sz w:val="22"/>
          <w:szCs w:val="22"/>
        </w:rPr>
        <w:t xml:space="preserve"> </w:t>
      </w:r>
      <w:r w:rsidRPr="001A3763">
        <w:rPr>
          <w:rFonts w:ascii="Arial" w:hAnsi="Arial" w:cs="Arial"/>
          <w:sz w:val="22"/>
          <w:szCs w:val="22"/>
        </w:rPr>
        <w:t>of which eight met inclusion criteria; two controlled and six uncontrolled before-and-after studies. The</w:t>
      </w:r>
      <w:r w:rsidR="000D1085">
        <w:rPr>
          <w:rFonts w:ascii="Arial" w:hAnsi="Arial" w:cs="Arial"/>
          <w:sz w:val="22"/>
          <w:szCs w:val="22"/>
        </w:rPr>
        <w:t xml:space="preserve"> evidence, albeit </w:t>
      </w:r>
      <w:r w:rsidRPr="001A3763">
        <w:rPr>
          <w:rFonts w:ascii="Arial" w:hAnsi="Arial" w:cs="Arial"/>
          <w:sz w:val="22"/>
          <w:szCs w:val="22"/>
        </w:rPr>
        <w:t>low-quality</w:t>
      </w:r>
      <w:r w:rsidR="000D1085">
        <w:rPr>
          <w:rFonts w:ascii="Arial" w:hAnsi="Arial" w:cs="Arial"/>
          <w:sz w:val="22"/>
          <w:szCs w:val="22"/>
        </w:rPr>
        <w:t xml:space="preserve">, </w:t>
      </w:r>
      <w:r w:rsidRPr="001A3763">
        <w:rPr>
          <w:rFonts w:ascii="Arial" w:hAnsi="Arial" w:cs="Arial"/>
          <w:sz w:val="22"/>
          <w:szCs w:val="22"/>
        </w:rPr>
        <w:t>from one study indicate</w:t>
      </w:r>
      <w:r w:rsidR="000D1085">
        <w:rPr>
          <w:rFonts w:ascii="Arial" w:hAnsi="Arial" w:cs="Arial"/>
          <w:sz w:val="22"/>
          <w:szCs w:val="22"/>
        </w:rPr>
        <w:t>d</w:t>
      </w:r>
      <w:r w:rsidRPr="001A3763">
        <w:rPr>
          <w:rFonts w:ascii="Arial" w:hAnsi="Arial" w:cs="Arial"/>
          <w:sz w:val="22"/>
          <w:szCs w:val="22"/>
        </w:rPr>
        <w:t xml:space="preserve"> reduced SHS exposure following the introduction of a defence smoke-free policy</w:t>
      </w:r>
      <w:r w:rsidR="00C80047">
        <w:rPr>
          <w:rFonts w:ascii="Arial" w:hAnsi="Arial" w:cs="Arial"/>
          <w:sz w:val="22"/>
          <w:szCs w:val="22"/>
        </w:rPr>
        <w:t xml:space="preserve">. For secondary outcomes the review found mixed results, with the quit rate being the one outcome favouring smoke-free policies. </w:t>
      </w:r>
      <w:r w:rsidRPr="001A3763">
        <w:rPr>
          <w:rFonts w:ascii="Arial" w:hAnsi="Arial" w:cs="Arial"/>
          <w:sz w:val="22"/>
          <w:szCs w:val="22"/>
        </w:rPr>
        <w:t>The cumulative confidence of evidence is uncertain and therefore reliable conclusions cannot be drawn from these studies.</w:t>
      </w:r>
    </w:p>
    <w:p w14:paraId="0B2495D2" w14:textId="77777777" w:rsidR="001A3763" w:rsidRPr="001A3763" w:rsidRDefault="001A3763" w:rsidP="001A3763">
      <w:pPr>
        <w:rPr>
          <w:rFonts w:ascii="Arial" w:hAnsi="Arial" w:cs="Arial"/>
          <w:b/>
          <w:bCs/>
          <w:sz w:val="22"/>
          <w:szCs w:val="22"/>
        </w:rPr>
      </w:pPr>
    </w:p>
    <w:p w14:paraId="300753E4" w14:textId="44A7808E" w:rsidR="00C80047" w:rsidRDefault="001A3763" w:rsidP="00756D54">
      <w:pPr>
        <w:rPr>
          <w:rFonts w:ascii="Arial" w:hAnsi="Arial" w:cs="Arial"/>
          <w:sz w:val="22"/>
          <w:szCs w:val="22"/>
        </w:rPr>
      </w:pPr>
      <w:r w:rsidRPr="001A3763">
        <w:rPr>
          <w:rFonts w:ascii="Arial" w:hAnsi="Arial" w:cs="Arial"/>
          <w:b/>
          <w:bCs/>
          <w:sz w:val="22"/>
          <w:szCs w:val="22"/>
        </w:rPr>
        <w:t xml:space="preserve">Conclusions: </w:t>
      </w:r>
      <w:r w:rsidRPr="001A3763">
        <w:rPr>
          <w:rFonts w:ascii="Arial" w:hAnsi="Arial" w:cs="Arial"/>
          <w:sz w:val="22"/>
          <w:szCs w:val="22"/>
        </w:rPr>
        <w:t xml:space="preserve">A research gap exists for high-quality studies </w:t>
      </w:r>
      <w:r w:rsidR="000D1085">
        <w:rPr>
          <w:rFonts w:ascii="Arial" w:hAnsi="Arial" w:cs="Arial"/>
          <w:sz w:val="22"/>
          <w:szCs w:val="22"/>
        </w:rPr>
        <w:t>on</w:t>
      </w:r>
      <w:r w:rsidRPr="001A3763">
        <w:rPr>
          <w:rFonts w:ascii="Arial" w:hAnsi="Arial" w:cs="Arial"/>
          <w:sz w:val="22"/>
          <w:szCs w:val="22"/>
        </w:rPr>
        <w:t xml:space="preserve"> the impact of defence smoke-free policies which should use comparators and, if possible, randomisation. Policymakers </w:t>
      </w:r>
      <w:r w:rsidR="000D1085">
        <w:rPr>
          <w:rFonts w:ascii="Arial" w:hAnsi="Arial" w:cs="Arial"/>
          <w:sz w:val="22"/>
          <w:szCs w:val="22"/>
        </w:rPr>
        <w:t>should</w:t>
      </w:r>
      <w:r w:rsidRPr="001A3763">
        <w:rPr>
          <w:rFonts w:ascii="Arial" w:hAnsi="Arial" w:cs="Arial"/>
          <w:sz w:val="22"/>
          <w:szCs w:val="22"/>
        </w:rPr>
        <w:t xml:space="preserve"> introduce </w:t>
      </w:r>
      <w:r w:rsidR="000D1085">
        <w:rPr>
          <w:rFonts w:ascii="Arial" w:hAnsi="Arial" w:cs="Arial"/>
          <w:sz w:val="22"/>
          <w:szCs w:val="22"/>
        </w:rPr>
        <w:t>institutional</w:t>
      </w:r>
      <w:r w:rsidR="000D1085" w:rsidRPr="001A3763">
        <w:rPr>
          <w:rFonts w:ascii="Arial" w:hAnsi="Arial" w:cs="Arial"/>
          <w:sz w:val="22"/>
          <w:szCs w:val="22"/>
        </w:rPr>
        <w:t xml:space="preserve"> </w:t>
      </w:r>
      <w:r w:rsidRPr="001A3763">
        <w:rPr>
          <w:rFonts w:ascii="Arial" w:hAnsi="Arial" w:cs="Arial"/>
          <w:sz w:val="22"/>
          <w:szCs w:val="22"/>
        </w:rPr>
        <w:t>smoke-free policies</w:t>
      </w:r>
      <w:r w:rsidR="000D1085">
        <w:rPr>
          <w:rFonts w:ascii="Arial" w:hAnsi="Arial" w:cs="Arial"/>
          <w:sz w:val="22"/>
          <w:szCs w:val="22"/>
        </w:rPr>
        <w:t xml:space="preserve"> in</w:t>
      </w:r>
      <w:r w:rsidRPr="001A3763">
        <w:rPr>
          <w:rFonts w:ascii="Arial" w:hAnsi="Arial" w:cs="Arial"/>
          <w:sz w:val="22"/>
          <w:szCs w:val="22"/>
        </w:rPr>
        <w:t xml:space="preserve"> </w:t>
      </w:r>
      <w:r w:rsidR="000D1085" w:rsidRPr="001A3763">
        <w:rPr>
          <w:rFonts w:ascii="Arial" w:hAnsi="Arial" w:cs="Arial"/>
          <w:sz w:val="22"/>
          <w:szCs w:val="22"/>
        </w:rPr>
        <w:t xml:space="preserve">defence </w:t>
      </w:r>
      <w:r w:rsidR="000D1085">
        <w:rPr>
          <w:rFonts w:ascii="Arial" w:hAnsi="Arial" w:cs="Arial"/>
          <w:sz w:val="22"/>
          <w:szCs w:val="22"/>
        </w:rPr>
        <w:t>settings within an evaluat</w:t>
      </w:r>
      <w:r w:rsidR="00265E82">
        <w:rPr>
          <w:rFonts w:ascii="Arial" w:hAnsi="Arial" w:cs="Arial"/>
          <w:sz w:val="22"/>
          <w:szCs w:val="22"/>
        </w:rPr>
        <w:t>i</w:t>
      </w:r>
      <w:r w:rsidR="0049087F">
        <w:rPr>
          <w:rFonts w:ascii="Arial" w:hAnsi="Arial" w:cs="Arial"/>
          <w:sz w:val="22"/>
          <w:szCs w:val="22"/>
        </w:rPr>
        <w:t>ve</w:t>
      </w:r>
      <w:r w:rsidR="000D1085">
        <w:rPr>
          <w:rFonts w:ascii="Arial" w:hAnsi="Arial" w:cs="Arial"/>
          <w:sz w:val="22"/>
          <w:szCs w:val="22"/>
        </w:rPr>
        <w:t xml:space="preserve"> framework to generate such evidence</w:t>
      </w:r>
      <w:r w:rsidRPr="001A3763">
        <w:rPr>
          <w:rFonts w:ascii="Arial" w:hAnsi="Arial" w:cs="Arial"/>
          <w:sz w:val="22"/>
          <w:szCs w:val="22"/>
        </w:rPr>
        <w:t>.</w:t>
      </w:r>
    </w:p>
    <w:p w14:paraId="4DA3D66E" w14:textId="21660916" w:rsidR="001A3763" w:rsidRDefault="001A3763" w:rsidP="00756D54">
      <w:pPr>
        <w:rPr>
          <w:rFonts w:ascii="Arial" w:hAnsi="Arial" w:cs="Arial"/>
          <w:sz w:val="22"/>
          <w:szCs w:val="22"/>
        </w:rPr>
      </w:pPr>
    </w:p>
    <w:p w14:paraId="627763A3" w14:textId="7D31DCE2" w:rsidR="001A3763" w:rsidRDefault="001A3763" w:rsidP="00756D54">
      <w:pPr>
        <w:rPr>
          <w:rFonts w:ascii="Arial" w:hAnsi="Arial" w:cs="Arial"/>
          <w:b/>
          <w:bCs/>
          <w:sz w:val="22"/>
          <w:szCs w:val="22"/>
        </w:rPr>
      </w:pPr>
      <w:r>
        <w:rPr>
          <w:rFonts w:ascii="Arial" w:hAnsi="Arial" w:cs="Arial"/>
          <w:b/>
          <w:bCs/>
          <w:sz w:val="22"/>
          <w:szCs w:val="22"/>
        </w:rPr>
        <w:t>KEY MESSAGES</w:t>
      </w:r>
    </w:p>
    <w:p w14:paraId="7CF3C834" w14:textId="2F5467B5" w:rsidR="001A3763" w:rsidRDefault="001A3763" w:rsidP="00756D54">
      <w:pPr>
        <w:rPr>
          <w:rFonts w:ascii="Arial" w:hAnsi="Arial" w:cs="Arial"/>
          <w:b/>
          <w:bCs/>
          <w:sz w:val="22"/>
          <w:szCs w:val="22"/>
        </w:rPr>
      </w:pPr>
    </w:p>
    <w:p w14:paraId="24C5B893" w14:textId="242A1F88" w:rsidR="006877EB" w:rsidRDefault="006877EB" w:rsidP="006877EB">
      <w:pPr>
        <w:pStyle w:val="ListParagraph"/>
        <w:numPr>
          <w:ilvl w:val="0"/>
          <w:numId w:val="9"/>
        </w:numPr>
        <w:rPr>
          <w:rFonts w:ascii="Arial" w:hAnsi="Arial" w:cs="Arial"/>
          <w:sz w:val="22"/>
          <w:szCs w:val="22"/>
        </w:rPr>
      </w:pPr>
      <w:r>
        <w:rPr>
          <w:rFonts w:ascii="Arial" w:hAnsi="Arial" w:cs="Arial"/>
          <w:sz w:val="22"/>
          <w:szCs w:val="22"/>
        </w:rPr>
        <w:t>There is good evidence that smoke-free legislation reduces second-hand smoke exposure and improves health outcomes.</w:t>
      </w:r>
    </w:p>
    <w:p w14:paraId="6A309326" w14:textId="07D2543E" w:rsidR="006877EB" w:rsidRPr="005C35BA" w:rsidRDefault="006877EB" w:rsidP="006877EB">
      <w:pPr>
        <w:pStyle w:val="ListParagraph"/>
        <w:numPr>
          <w:ilvl w:val="0"/>
          <w:numId w:val="9"/>
        </w:numPr>
        <w:rPr>
          <w:rFonts w:ascii="Arial" w:hAnsi="Arial" w:cs="Arial"/>
          <w:sz w:val="22"/>
          <w:szCs w:val="22"/>
        </w:rPr>
      </w:pPr>
      <w:r w:rsidRPr="005C35BA">
        <w:rPr>
          <w:rFonts w:ascii="Arial" w:hAnsi="Arial" w:cs="Arial"/>
          <w:sz w:val="22"/>
          <w:szCs w:val="22"/>
        </w:rPr>
        <w:t xml:space="preserve">There is </w:t>
      </w:r>
      <w:r w:rsidR="000D1085" w:rsidRPr="005C35BA">
        <w:rPr>
          <w:rFonts w:ascii="Arial" w:hAnsi="Arial" w:cs="Arial"/>
          <w:sz w:val="22"/>
          <w:szCs w:val="22"/>
        </w:rPr>
        <w:t>little</w:t>
      </w:r>
      <w:r w:rsidR="009D6084">
        <w:rPr>
          <w:rFonts w:ascii="Arial" w:hAnsi="Arial" w:cs="Arial"/>
          <w:sz w:val="22"/>
          <w:szCs w:val="22"/>
        </w:rPr>
        <w:t xml:space="preserve"> </w:t>
      </w:r>
      <w:r w:rsidR="009D6084" w:rsidRPr="008B08D9">
        <w:rPr>
          <w:rFonts w:ascii="Arial" w:hAnsi="Arial" w:cs="Arial"/>
          <w:sz w:val="22"/>
          <w:szCs w:val="22"/>
        </w:rPr>
        <w:t>context</w:t>
      </w:r>
      <w:r w:rsidR="00214B10" w:rsidRPr="008B08D9">
        <w:rPr>
          <w:rFonts w:ascii="Arial" w:hAnsi="Arial" w:cs="Arial"/>
          <w:sz w:val="22"/>
          <w:szCs w:val="22"/>
        </w:rPr>
        <w:t>-</w:t>
      </w:r>
      <w:r w:rsidR="009D6084" w:rsidRPr="008B08D9">
        <w:rPr>
          <w:rFonts w:ascii="Arial" w:hAnsi="Arial" w:cs="Arial"/>
          <w:sz w:val="22"/>
          <w:szCs w:val="22"/>
        </w:rPr>
        <w:t>specific</w:t>
      </w:r>
      <w:r w:rsidR="000D1085" w:rsidRPr="005C35BA">
        <w:rPr>
          <w:rFonts w:ascii="Arial" w:hAnsi="Arial" w:cs="Arial"/>
          <w:sz w:val="22"/>
          <w:szCs w:val="22"/>
        </w:rPr>
        <w:t xml:space="preserve"> </w:t>
      </w:r>
      <w:r w:rsidRPr="005C35BA">
        <w:rPr>
          <w:rFonts w:ascii="Arial" w:hAnsi="Arial" w:cs="Arial"/>
          <w:sz w:val="22"/>
          <w:szCs w:val="22"/>
        </w:rPr>
        <w:t>evidence of the impact of smoke-free policies in institutional settings</w:t>
      </w:r>
      <w:r w:rsidR="000E0422" w:rsidRPr="005C35BA">
        <w:rPr>
          <w:rFonts w:ascii="Arial" w:hAnsi="Arial" w:cs="Arial"/>
          <w:sz w:val="22"/>
          <w:szCs w:val="22"/>
        </w:rPr>
        <w:t>, including the military.</w:t>
      </w:r>
      <w:r w:rsidR="00396238" w:rsidRPr="005C35BA">
        <w:rPr>
          <w:rFonts w:ascii="Arial" w:hAnsi="Arial" w:cs="Arial"/>
          <w:sz w:val="22"/>
          <w:szCs w:val="22"/>
        </w:rPr>
        <w:t xml:space="preserve"> </w:t>
      </w:r>
    </w:p>
    <w:p w14:paraId="0E7916A4" w14:textId="214E992F" w:rsidR="006877EB" w:rsidRDefault="006877EB" w:rsidP="006877EB">
      <w:pPr>
        <w:pStyle w:val="ListParagraph"/>
        <w:numPr>
          <w:ilvl w:val="0"/>
          <w:numId w:val="9"/>
        </w:numPr>
        <w:rPr>
          <w:rFonts w:ascii="Arial" w:hAnsi="Arial" w:cs="Arial"/>
          <w:sz w:val="22"/>
          <w:szCs w:val="22"/>
        </w:rPr>
      </w:pPr>
      <w:r>
        <w:rPr>
          <w:rFonts w:ascii="Arial" w:hAnsi="Arial" w:cs="Arial"/>
          <w:sz w:val="22"/>
          <w:szCs w:val="22"/>
        </w:rPr>
        <w:t xml:space="preserve">This review found </w:t>
      </w:r>
      <w:r w:rsidRPr="006877EB">
        <w:rPr>
          <w:rFonts w:ascii="Arial" w:hAnsi="Arial" w:cs="Arial"/>
          <w:sz w:val="22"/>
          <w:szCs w:val="22"/>
        </w:rPr>
        <w:t xml:space="preserve">very </w:t>
      </w:r>
      <w:proofErr w:type="gramStart"/>
      <w:r w:rsidRPr="006877EB">
        <w:rPr>
          <w:rFonts w:ascii="Arial" w:hAnsi="Arial" w:cs="Arial"/>
          <w:sz w:val="22"/>
          <w:szCs w:val="22"/>
        </w:rPr>
        <w:t>low</w:t>
      </w:r>
      <w:r w:rsidR="00D92113">
        <w:rPr>
          <w:rFonts w:ascii="Arial" w:hAnsi="Arial" w:cs="Arial"/>
          <w:sz w:val="22"/>
          <w:szCs w:val="22"/>
        </w:rPr>
        <w:t xml:space="preserve"> </w:t>
      </w:r>
      <w:r w:rsidRPr="006877EB">
        <w:rPr>
          <w:rFonts w:ascii="Arial" w:hAnsi="Arial" w:cs="Arial"/>
          <w:sz w:val="22"/>
          <w:szCs w:val="22"/>
        </w:rPr>
        <w:t>quality</w:t>
      </w:r>
      <w:proofErr w:type="gramEnd"/>
      <w:r w:rsidRPr="006877EB">
        <w:rPr>
          <w:rFonts w:ascii="Arial" w:hAnsi="Arial" w:cs="Arial"/>
          <w:sz w:val="22"/>
          <w:szCs w:val="22"/>
        </w:rPr>
        <w:t xml:space="preserve"> evidence, from eight before-and-after </w:t>
      </w:r>
      <w:r w:rsidR="00D92113" w:rsidRPr="006877EB">
        <w:rPr>
          <w:rFonts w:ascii="Arial" w:hAnsi="Arial" w:cs="Arial"/>
          <w:sz w:val="22"/>
          <w:szCs w:val="22"/>
        </w:rPr>
        <w:t>studies</w:t>
      </w:r>
      <w:r w:rsidR="00D92113">
        <w:rPr>
          <w:rFonts w:ascii="Arial" w:hAnsi="Arial" w:cs="Arial"/>
          <w:sz w:val="22"/>
          <w:szCs w:val="22"/>
        </w:rPr>
        <w:t>, which</w:t>
      </w:r>
      <w:r w:rsidRPr="006877EB">
        <w:rPr>
          <w:rFonts w:ascii="Arial" w:hAnsi="Arial" w:cs="Arial"/>
          <w:sz w:val="22"/>
          <w:szCs w:val="22"/>
        </w:rPr>
        <w:t xml:space="preserve"> cannot determine the </w:t>
      </w:r>
      <w:r>
        <w:rPr>
          <w:rFonts w:ascii="Arial" w:hAnsi="Arial" w:cs="Arial"/>
          <w:sz w:val="22"/>
          <w:szCs w:val="22"/>
        </w:rPr>
        <w:t xml:space="preserve">impact of defence smoke-free policies </w:t>
      </w:r>
      <w:r w:rsidRPr="006877EB">
        <w:rPr>
          <w:rFonts w:ascii="Arial" w:hAnsi="Arial" w:cs="Arial"/>
          <w:sz w:val="22"/>
          <w:szCs w:val="22"/>
        </w:rPr>
        <w:t>with any degree of certainty</w:t>
      </w:r>
      <w:r>
        <w:rPr>
          <w:rFonts w:ascii="Arial" w:hAnsi="Arial" w:cs="Arial"/>
          <w:sz w:val="22"/>
          <w:szCs w:val="22"/>
        </w:rPr>
        <w:t>.</w:t>
      </w:r>
    </w:p>
    <w:p w14:paraId="6099752F" w14:textId="352FA359" w:rsidR="006877EB" w:rsidRDefault="006877EB" w:rsidP="006877EB">
      <w:pPr>
        <w:pStyle w:val="ListParagraph"/>
        <w:numPr>
          <w:ilvl w:val="0"/>
          <w:numId w:val="9"/>
        </w:numPr>
        <w:rPr>
          <w:rFonts w:ascii="Arial" w:hAnsi="Arial" w:cs="Arial"/>
          <w:sz w:val="22"/>
          <w:szCs w:val="22"/>
        </w:rPr>
      </w:pPr>
      <w:r w:rsidRPr="00170665">
        <w:rPr>
          <w:rFonts w:ascii="Arial" w:hAnsi="Arial" w:cs="Arial"/>
          <w:sz w:val="22"/>
          <w:szCs w:val="22"/>
        </w:rPr>
        <w:t>A research ga</w:t>
      </w:r>
      <w:r>
        <w:rPr>
          <w:rFonts w:ascii="Arial" w:hAnsi="Arial" w:cs="Arial"/>
          <w:sz w:val="22"/>
          <w:szCs w:val="22"/>
        </w:rPr>
        <w:t>p</w:t>
      </w:r>
      <w:r w:rsidRPr="00170665">
        <w:rPr>
          <w:rFonts w:ascii="Arial" w:hAnsi="Arial" w:cs="Arial"/>
          <w:sz w:val="22"/>
          <w:szCs w:val="22"/>
        </w:rPr>
        <w:t xml:space="preserve"> exists for high-quality studies to investigate the impact of</w:t>
      </w:r>
      <w:r>
        <w:rPr>
          <w:rFonts w:ascii="Arial" w:hAnsi="Arial" w:cs="Arial"/>
          <w:sz w:val="22"/>
          <w:szCs w:val="22"/>
        </w:rPr>
        <w:t xml:space="preserve"> defence smoke-free policies which should use comparator groups and, if possible, randomisation.</w:t>
      </w:r>
    </w:p>
    <w:p w14:paraId="572A90A2" w14:textId="57078B99" w:rsidR="006877EB" w:rsidRDefault="006877EB" w:rsidP="006877EB">
      <w:pPr>
        <w:pStyle w:val="ListParagraph"/>
        <w:numPr>
          <w:ilvl w:val="0"/>
          <w:numId w:val="9"/>
        </w:numPr>
        <w:rPr>
          <w:rFonts w:ascii="Arial" w:hAnsi="Arial" w:cs="Arial"/>
          <w:sz w:val="22"/>
          <w:szCs w:val="22"/>
        </w:rPr>
      </w:pPr>
      <w:r>
        <w:rPr>
          <w:rFonts w:ascii="Arial" w:hAnsi="Arial" w:cs="Arial"/>
          <w:sz w:val="22"/>
          <w:szCs w:val="22"/>
        </w:rPr>
        <w:t xml:space="preserve">The evidence </w:t>
      </w:r>
      <w:r w:rsidR="00D92113">
        <w:rPr>
          <w:rFonts w:ascii="Arial" w:hAnsi="Arial" w:cs="Arial"/>
          <w:sz w:val="22"/>
          <w:szCs w:val="22"/>
        </w:rPr>
        <w:t xml:space="preserve">based on </w:t>
      </w:r>
      <w:r>
        <w:rPr>
          <w:rFonts w:ascii="Arial" w:hAnsi="Arial" w:cs="Arial"/>
          <w:sz w:val="22"/>
          <w:szCs w:val="22"/>
        </w:rPr>
        <w:t xml:space="preserve">wider societal smoke-free measures </w:t>
      </w:r>
      <w:r w:rsidR="00D92113">
        <w:rPr>
          <w:rFonts w:ascii="Arial" w:hAnsi="Arial" w:cs="Arial"/>
          <w:sz w:val="22"/>
          <w:szCs w:val="22"/>
        </w:rPr>
        <w:t xml:space="preserve">offers a sound rationale to </w:t>
      </w:r>
      <w:r>
        <w:rPr>
          <w:rFonts w:ascii="Arial" w:hAnsi="Arial" w:cs="Arial"/>
          <w:sz w:val="22"/>
          <w:szCs w:val="22"/>
        </w:rPr>
        <w:t>introduc</w:t>
      </w:r>
      <w:r w:rsidR="00D92113">
        <w:rPr>
          <w:rFonts w:ascii="Arial" w:hAnsi="Arial" w:cs="Arial"/>
          <w:sz w:val="22"/>
          <w:szCs w:val="22"/>
        </w:rPr>
        <w:t>e</w:t>
      </w:r>
      <w:r>
        <w:rPr>
          <w:rFonts w:ascii="Arial" w:hAnsi="Arial" w:cs="Arial"/>
          <w:sz w:val="22"/>
          <w:szCs w:val="22"/>
        </w:rPr>
        <w:t xml:space="preserve"> smoke-free policies in defence.</w:t>
      </w:r>
    </w:p>
    <w:p w14:paraId="5CB8B771" w14:textId="3F0C10A8" w:rsidR="006877EB" w:rsidRPr="006877EB" w:rsidRDefault="006877EB" w:rsidP="006877EB">
      <w:pPr>
        <w:pStyle w:val="ListParagraph"/>
        <w:numPr>
          <w:ilvl w:val="0"/>
          <w:numId w:val="9"/>
        </w:numPr>
        <w:rPr>
          <w:rFonts w:ascii="Arial" w:hAnsi="Arial" w:cs="Arial"/>
          <w:sz w:val="22"/>
          <w:szCs w:val="22"/>
        </w:rPr>
      </w:pPr>
      <w:r>
        <w:rPr>
          <w:rFonts w:ascii="Arial" w:hAnsi="Arial" w:cs="Arial"/>
          <w:sz w:val="22"/>
          <w:szCs w:val="22"/>
        </w:rPr>
        <w:t xml:space="preserve">Any future defence smoke-free policies </w:t>
      </w:r>
      <w:r w:rsidRPr="006877EB">
        <w:rPr>
          <w:rFonts w:ascii="Arial" w:hAnsi="Arial" w:cs="Arial"/>
          <w:sz w:val="22"/>
          <w:szCs w:val="22"/>
        </w:rPr>
        <w:t xml:space="preserve">should be introduced within </w:t>
      </w:r>
      <w:r w:rsidR="00D92113">
        <w:rPr>
          <w:rFonts w:ascii="Arial" w:hAnsi="Arial" w:cs="Arial"/>
          <w:sz w:val="22"/>
          <w:szCs w:val="22"/>
        </w:rPr>
        <w:t>an</w:t>
      </w:r>
      <w:r w:rsidRPr="006877EB">
        <w:rPr>
          <w:rFonts w:ascii="Arial" w:hAnsi="Arial" w:cs="Arial"/>
          <w:sz w:val="22"/>
          <w:szCs w:val="22"/>
        </w:rPr>
        <w:t xml:space="preserve"> evaluati</w:t>
      </w:r>
      <w:r w:rsidR="00D92113">
        <w:rPr>
          <w:rFonts w:ascii="Arial" w:hAnsi="Arial" w:cs="Arial"/>
          <w:sz w:val="22"/>
          <w:szCs w:val="22"/>
        </w:rPr>
        <w:t>ve</w:t>
      </w:r>
      <w:r w:rsidRPr="006877EB">
        <w:rPr>
          <w:rFonts w:ascii="Arial" w:hAnsi="Arial" w:cs="Arial"/>
          <w:sz w:val="22"/>
          <w:szCs w:val="22"/>
        </w:rPr>
        <w:t xml:space="preserve"> framework so that </w:t>
      </w:r>
      <w:r w:rsidR="00D92113">
        <w:rPr>
          <w:rFonts w:ascii="Arial" w:hAnsi="Arial" w:cs="Arial"/>
          <w:sz w:val="22"/>
          <w:szCs w:val="22"/>
        </w:rPr>
        <w:t xml:space="preserve">the </w:t>
      </w:r>
      <w:r w:rsidRPr="006877EB">
        <w:rPr>
          <w:rFonts w:ascii="Arial" w:hAnsi="Arial" w:cs="Arial"/>
          <w:sz w:val="22"/>
          <w:szCs w:val="22"/>
        </w:rPr>
        <w:t xml:space="preserve">relevant evidence of </w:t>
      </w:r>
      <w:r w:rsidR="00D92113">
        <w:rPr>
          <w:rFonts w:ascii="Arial" w:hAnsi="Arial" w:cs="Arial"/>
          <w:sz w:val="22"/>
          <w:szCs w:val="22"/>
        </w:rPr>
        <w:t xml:space="preserve">their </w:t>
      </w:r>
      <w:r w:rsidRPr="006877EB">
        <w:rPr>
          <w:rFonts w:ascii="Arial" w:hAnsi="Arial" w:cs="Arial"/>
          <w:sz w:val="22"/>
          <w:szCs w:val="22"/>
        </w:rPr>
        <w:t xml:space="preserve">effect can be generated. </w:t>
      </w:r>
    </w:p>
    <w:p w14:paraId="49E0B72C" w14:textId="7869D3A3" w:rsidR="001B4458" w:rsidRDefault="001B4458" w:rsidP="006877EB">
      <w:pPr>
        <w:rPr>
          <w:rFonts w:ascii="Arial" w:hAnsi="Arial" w:cs="Arial"/>
          <w:sz w:val="22"/>
          <w:szCs w:val="22"/>
        </w:rPr>
      </w:pPr>
    </w:p>
    <w:p w14:paraId="0EE90822" w14:textId="77777777" w:rsidR="006877EB" w:rsidRPr="001B4458" w:rsidRDefault="006877EB" w:rsidP="006877EB">
      <w:pPr>
        <w:rPr>
          <w:rFonts w:ascii="Arial" w:hAnsi="Arial" w:cs="Arial"/>
          <w:b/>
          <w:bCs/>
          <w:sz w:val="22"/>
          <w:szCs w:val="22"/>
        </w:rPr>
      </w:pPr>
    </w:p>
    <w:p w14:paraId="3DECB78F" w14:textId="77777777" w:rsidR="00201F51" w:rsidRDefault="00201F51" w:rsidP="00E67AD6">
      <w:pPr>
        <w:rPr>
          <w:rFonts w:ascii="Arial" w:hAnsi="Arial" w:cs="Arial"/>
          <w:b/>
          <w:bCs/>
          <w:sz w:val="22"/>
          <w:szCs w:val="22"/>
        </w:rPr>
      </w:pPr>
    </w:p>
    <w:p w14:paraId="1CED165A" w14:textId="77777777" w:rsidR="00C80047" w:rsidRDefault="00C80047" w:rsidP="00E67AD6">
      <w:pPr>
        <w:rPr>
          <w:rFonts w:ascii="Arial" w:hAnsi="Arial" w:cs="Arial"/>
          <w:b/>
          <w:bCs/>
          <w:sz w:val="22"/>
          <w:szCs w:val="22"/>
        </w:rPr>
      </w:pPr>
    </w:p>
    <w:p w14:paraId="70E172BE" w14:textId="77777777" w:rsidR="00C80047" w:rsidRDefault="00C80047" w:rsidP="00E67AD6">
      <w:pPr>
        <w:rPr>
          <w:rFonts w:ascii="Arial" w:hAnsi="Arial" w:cs="Arial"/>
          <w:b/>
          <w:bCs/>
          <w:sz w:val="22"/>
          <w:szCs w:val="22"/>
        </w:rPr>
      </w:pPr>
    </w:p>
    <w:p w14:paraId="062F0A00" w14:textId="77777777" w:rsidR="00C80047" w:rsidRDefault="00C80047" w:rsidP="00E67AD6">
      <w:pPr>
        <w:rPr>
          <w:rFonts w:ascii="Arial" w:hAnsi="Arial" w:cs="Arial"/>
          <w:b/>
          <w:bCs/>
          <w:sz w:val="22"/>
          <w:szCs w:val="22"/>
        </w:rPr>
      </w:pPr>
    </w:p>
    <w:p w14:paraId="6AC83141" w14:textId="0D22AC0C" w:rsidR="00457E91" w:rsidRPr="008C38BB" w:rsidRDefault="004722E3" w:rsidP="00E67AD6">
      <w:pPr>
        <w:rPr>
          <w:rFonts w:ascii="Arial" w:hAnsi="Arial" w:cs="Arial"/>
          <w:b/>
          <w:bCs/>
          <w:sz w:val="22"/>
          <w:szCs w:val="22"/>
        </w:rPr>
      </w:pPr>
      <w:r>
        <w:rPr>
          <w:rFonts w:ascii="Arial" w:hAnsi="Arial" w:cs="Arial"/>
          <w:b/>
          <w:bCs/>
          <w:sz w:val="22"/>
          <w:szCs w:val="22"/>
        </w:rPr>
        <w:lastRenderedPageBreak/>
        <w:t>INTRODUCTION</w:t>
      </w:r>
    </w:p>
    <w:p w14:paraId="04CFA5FD" w14:textId="77777777" w:rsidR="00457E91" w:rsidRPr="008C38BB" w:rsidRDefault="00457E91" w:rsidP="00E67AD6">
      <w:pPr>
        <w:rPr>
          <w:rFonts w:ascii="Arial" w:hAnsi="Arial" w:cs="Arial"/>
          <w:sz w:val="22"/>
          <w:szCs w:val="22"/>
        </w:rPr>
      </w:pPr>
    </w:p>
    <w:p w14:paraId="6B7FE87C" w14:textId="422047EA" w:rsidR="001C2021" w:rsidRPr="008C38BB" w:rsidRDefault="0039136A" w:rsidP="00E67AD6">
      <w:pPr>
        <w:rPr>
          <w:rFonts w:ascii="Arial" w:hAnsi="Arial" w:cs="Arial"/>
          <w:sz w:val="22"/>
          <w:szCs w:val="22"/>
        </w:rPr>
      </w:pPr>
      <w:r w:rsidRPr="008C38BB">
        <w:rPr>
          <w:rFonts w:ascii="Arial" w:hAnsi="Arial" w:cs="Arial"/>
          <w:sz w:val="22"/>
          <w:szCs w:val="22"/>
        </w:rPr>
        <w:t>Tobacco</w:t>
      </w:r>
      <w:r w:rsidR="00B8724D">
        <w:rPr>
          <w:rFonts w:ascii="Arial" w:hAnsi="Arial" w:cs="Arial"/>
          <w:sz w:val="22"/>
          <w:szCs w:val="22"/>
        </w:rPr>
        <w:t xml:space="preserve"> use is</w:t>
      </w:r>
      <w:r w:rsidRPr="008C38BB">
        <w:rPr>
          <w:rFonts w:ascii="Arial" w:hAnsi="Arial" w:cs="Arial"/>
          <w:sz w:val="22"/>
          <w:szCs w:val="22"/>
        </w:rPr>
        <w:t xml:space="preserve"> </w:t>
      </w:r>
      <w:r w:rsidR="00E135A7">
        <w:rPr>
          <w:rFonts w:ascii="Arial" w:hAnsi="Arial" w:cs="Arial"/>
          <w:sz w:val="22"/>
          <w:szCs w:val="22"/>
        </w:rPr>
        <w:t>the</w:t>
      </w:r>
      <w:r w:rsidRPr="008C38BB">
        <w:rPr>
          <w:rFonts w:ascii="Arial" w:hAnsi="Arial" w:cs="Arial"/>
          <w:sz w:val="22"/>
          <w:szCs w:val="22"/>
        </w:rPr>
        <w:t xml:space="preserve"> leading cause of preventable premature mortality, responsible for approximately</w:t>
      </w:r>
      <w:r w:rsidR="00A0639D">
        <w:rPr>
          <w:rFonts w:ascii="Arial" w:hAnsi="Arial" w:cs="Arial"/>
          <w:sz w:val="22"/>
          <w:szCs w:val="22"/>
        </w:rPr>
        <w:t xml:space="preserve"> </w:t>
      </w:r>
      <w:r w:rsidR="00DB0C55" w:rsidRPr="00756A3E">
        <w:rPr>
          <w:rFonts w:ascii="Arial" w:hAnsi="Arial" w:cs="Arial"/>
          <w:sz w:val="22"/>
          <w:szCs w:val="22"/>
        </w:rPr>
        <w:t xml:space="preserve">eight </w:t>
      </w:r>
      <w:r w:rsidR="00E135A7" w:rsidRPr="00756A3E">
        <w:rPr>
          <w:rFonts w:ascii="Arial" w:hAnsi="Arial" w:cs="Arial"/>
          <w:sz w:val="22"/>
          <w:szCs w:val="22"/>
        </w:rPr>
        <w:t>million deaths worldwide</w:t>
      </w:r>
      <w:r w:rsidR="00DB0C55">
        <w:rPr>
          <w:rFonts w:ascii="Arial" w:hAnsi="Arial" w:cs="Arial"/>
          <w:b/>
          <w:bCs/>
          <w:sz w:val="22"/>
          <w:szCs w:val="22"/>
        </w:rPr>
        <w:fldChar w:fldCharType="begin" w:fldLock="1"/>
      </w:r>
      <w:r w:rsidR="00DB0C55">
        <w:rPr>
          <w:rFonts w:ascii="Arial" w:hAnsi="Arial" w:cs="Arial"/>
          <w:b/>
          <w:bCs/>
          <w:sz w:val="22"/>
          <w:szCs w:val="22"/>
        </w:rPr>
        <w:instrText>ADDIN CSL_CITATION {"citationItems":[{"id":"ITEM-1","itemData":{"DOI":"10.1016/S0140-6736(18)32225-6","ISSN":"1474-547X","abstract":"BACKGROUND: The Global Burden of Diseases, Injuries, and Risk Factors Study (GBD) 2017 comparative risk assessment (CRA) is a comprehensive approach to risk factor quantification that offers a useful tool for synthesising evidence on risks and risk-outcome associations. With each annual GBD study, we update the GBD CRA to incorporate improved methods, new risks and risk-outcome pairs, and new data on risk exposure levels and risk-outcome associations. METHODS: We used the CRA framework developed for previous iterations of GBD to estimate levels and trends in exposure, attributable deaths, and attributable disability-adjusted life-years (DALYs), by age group, sex, year, and location for 84 behavioural, environmental and occupational, and metabolic risks or groups of risks from 1990 to 2017. This study included 476 risk-outcome pairs that met the GBD study criteria for convincing or probable evidence of causation. We extracted relative risk and exposure estimates from 46 749 randomised controlled trials, cohort studies, household surveys, census data, satellite data, and other sources. We used statistical models to pool data, adjust for bias, and incorporate covariates. Using the counterfactual scenario of theoretical minimum risk exposure level (TMREL), we estimated the portion of deaths and DALYs that could be attributed to a given risk. We explored the relationship between development and risk exposure by modelling the relationship between the Socio-demographic Index (SDI) and risk-weighted exposure prevalence and estimated expected levels of exposure and risk-attributable burden by SDI. Finally, we explored temporal changes in risk-attributable DALYs by decomposing those changes into six main component drivers of change as follows: (1) population growth; (2) changes in population age structures; (3) changes in exposure to environmental and occupational risks; (4) changes in exposure to behavioural risks; (5) changes in exposure to metabolic risks; and (6) changes due to all other factors, approximated as the risk-deleted death and DALY rates, where the risk-deleted rate is the rate that would be observed had we reduced the exposure levels to the TMREL for all risk factors included in GBD 2017. FINDINGS: In 2017, 34·1 million (95% uncertainty interval [UI] 33·3-35·0) deaths and 1·21 billion (1·14-1·28) DALYs were attributable to GBD risk factors. Globally, 61·0% (59·6-62·4) of deaths and 48·3% (46·3-50·2) of DALYs were attributed to the GBD 2017 risk f…","author":[{"dropping-particle":"","family":"Collaborators","given":"G B D 2017 Risk Factor","non-dropping-particle":"","parse-names":false,"suffix":""}],"container-title":"Lancet (London, England)","edition":"2018/11/08","id":"ITEM-1","issue":"10159","issued":{"date-parts":[["2018","11","10"]]},"language":"eng","page":"1923-1994","publisher":"Elsevier","title":"Global, regional, and national comparative risk assessment of 84 behavioural, environmental and occupational, and metabolic risks or clusters of risks for 195 countries and territories, 1990-2017: a systematic analysis for the Global Burden of Disease Stu","type":"article-journal","volume":"392"},"uris":["http://www.mendeley.com/documents/?uuid=395e9428-5315-4c4a-a3a9-07f236c15a7b"]}],"mendeley":{"formattedCitation":"(1)","plainTextFormattedCitation":"(1)","previouslyFormattedCitation":"(1)"},"properties":{"noteIndex":0},"schema":"https://github.com/citation-style-language/schema/raw/master/csl-citation.json"}</w:instrText>
      </w:r>
      <w:r w:rsidR="00DB0C55">
        <w:rPr>
          <w:rFonts w:ascii="Arial" w:hAnsi="Arial" w:cs="Arial"/>
          <w:b/>
          <w:bCs/>
          <w:sz w:val="22"/>
          <w:szCs w:val="22"/>
        </w:rPr>
        <w:fldChar w:fldCharType="separate"/>
      </w:r>
      <w:r w:rsidR="00DB0C55" w:rsidRPr="00DB0C55">
        <w:rPr>
          <w:rFonts w:ascii="Arial" w:hAnsi="Arial" w:cs="Arial"/>
          <w:bCs/>
          <w:noProof/>
          <w:sz w:val="22"/>
          <w:szCs w:val="22"/>
        </w:rPr>
        <w:t>(1)</w:t>
      </w:r>
      <w:r w:rsidR="00DB0C55">
        <w:rPr>
          <w:rFonts w:ascii="Arial" w:hAnsi="Arial" w:cs="Arial"/>
          <w:b/>
          <w:bCs/>
          <w:sz w:val="22"/>
          <w:szCs w:val="22"/>
        </w:rPr>
        <w:fldChar w:fldCharType="end"/>
      </w:r>
      <w:r w:rsidR="00E135A7">
        <w:rPr>
          <w:rFonts w:ascii="Arial" w:hAnsi="Arial" w:cs="Arial"/>
          <w:sz w:val="22"/>
          <w:szCs w:val="22"/>
        </w:rPr>
        <w:t xml:space="preserve">, and </w:t>
      </w:r>
      <w:r w:rsidRPr="008C38BB">
        <w:rPr>
          <w:rFonts w:ascii="Arial" w:hAnsi="Arial" w:cs="Arial"/>
          <w:sz w:val="22"/>
          <w:szCs w:val="22"/>
        </w:rPr>
        <w:t xml:space="preserve">16% of </w:t>
      </w:r>
      <w:r w:rsidR="00B8724D">
        <w:rPr>
          <w:rFonts w:ascii="Arial" w:hAnsi="Arial" w:cs="Arial"/>
          <w:sz w:val="22"/>
          <w:szCs w:val="22"/>
        </w:rPr>
        <w:t xml:space="preserve">all </w:t>
      </w:r>
      <w:r w:rsidRPr="008C38BB">
        <w:rPr>
          <w:rFonts w:ascii="Arial" w:hAnsi="Arial" w:cs="Arial"/>
          <w:sz w:val="22"/>
          <w:szCs w:val="22"/>
        </w:rPr>
        <w:t>deaths</w:t>
      </w:r>
      <w:r w:rsidR="00A0639D">
        <w:rPr>
          <w:rFonts w:ascii="Arial" w:hAnsi="Arial" w:cs="Arial"/>
          <w:sz w:val="22"/>
          <w:szCs w:val="22"/>
        </w:rPr>
        <w:t xml:space="preserve"> </w:t>
      </w:r>
      <w:r w:rsidR="00E135A7">
        <w:rPr>
          <w:rFonts w:ascii="Arial" w:hAnsi="Arial" w:cs="Arial"/>
          <w:sz w:val="22"/>
          <w:szCs w:val="22"/>
        </w:rPr>
        <w:t>in England</w:t>
      </w:r>
      <w:r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{"citationItems":[{"id":"ITEM-1","itemData":{"URL":"https://files.digital.nhs.uk/D9/5AACD3/smok-eng-2019-rep.pdf","author":[{"dropping-particle":"","family":"NHS Digital","given":"","non-dropping-particle":"","parse-names":false,"suffix":""}],"id":"ITEM-1","issued":{"date-parts":[["2019"]]},"title":"Statistics on Smoking, England - 2019","type":"webpage"},"uris":["http://www.mendeley.com/documents/?uuid=0752a05b-925f-49cd-9f35-1e6366974b38"]}],"mendeley":{"formattedCitation":"(2)","plainTextFormattedCitation":"(2)","previouslyFormattedCitation":"(2)"},"properties":{"noteIndex":0},"schema":"https://github.com/citation-style-language/schema/raw/master/csl-citation.json"}</w:instrText>
      </w:r>
      <w:r w:rsidRPr="008C38BB">
        <w:rPr>
          <w:rFonts w:ascii="Arial" w:hAnsi="Arial" w:cs="Arial"/>
          <w:sz w:val="22"/>
          <w:szCs w:val="22"/>
        </w:rPr>
        <w:fldChar w:fldCharType="separate"/>
      </w:r>
      <w:r w:rsidR="00DB0C55" w:rsidRPr="00DB0C55">
        <w:rPr>
          <w:rFonts w:ascii="Arial" w:hAnsi="Arial" w:cs="Arial"/>
          <w:noProof/>
          <w:sz w:val="22"/>
          <w:szCs w:val="22"/>
        </w:rPr>
        <w:t>(2)</w:t>
      </w:r>
      <w:r w:rsidRPr="008C38BB">
        <w:rPr>
          <w:rFonts w:ascii="Arial" w:hAnsi="Arial" w:cs="Arial"/>
          <w:sz w:val="22"/>
          <w:szCs w:val="22"/>
        </w:rPr>
        <w:fldChar w:fldCharType="end"/>
      </w:r>
      <w:r w:rsidRPr="008C38BB">
        <w:rPr>
          <w:rFonts w:ascii="Arial" w:hAnsi="Arial" w:cs="Arial"/>
          <w:sz w:val="22"/>
          <w:szCs w:val="22"/>
        </w:rPr>
        <w:t xml:space="preserve">. Annually </w:t>
      </w:r>
      <w:r w:rsidR="001A798A">
        <w:rPr>
          <w:rFonts w:ascii="Arial" w:hAnsi="Arial" w:cs="Arial"/>
          <w:sz w:val="22"/>
          <w:szCs w:val="22"/>
        </w:rPr>
        <w:t>1.2m</w:t>
      </w:r>
      <w:r w:rsidRPr="008C38BB">
        <w:rPr>
          <w:rFonts w:ascii="Arial" w:hAnsi="Arial" w:cs="Arial"/>
          <w:sz w:val="22"/>
          <w:szCs w:val="22"/>
        </w:rPr>
        <w:t xml:space="preserve"> deaths worldwide can be attributed to exposure to second-hand smoke</w:t>
      </w:r>
      <w:r w:rsidR="00921F7F" w:rsidRPr="008C38BB">
        <w:rPr>
          <w:rFonts w:ascii="Arial" w:hAnsi="Arial" w:cs="Arial"/>
          <w:sz w:val="22"/>
          <w:szCs w:val="22"/>
        </w:rPr>
        <w:t xml:space="preserve"> (SHS)</w:t>
      </w:r>
      <w:r w:rsidR="00C5725E">
        <w:rPr>
          <w:rFonts w:ascii="Arial" w:hAnsi="Arial" w:cs="Arial"/>
          <w:sz w:val="22"/>
          <w:szCs w:val="22"/>
        </w:rPr>
        <w:fldChar w:fldCharType="begin" w:fldLock="1"/>
      </w:r>
      <w:r w:rsidR="00DB0C55">
        <w:rPr>
          <w:rFonts w:ascii="Arial" w:hAnsi="Arial" w:cs="Arial"/>
          <w:sz w:val="22"/>
          <w:szCs w:val="22"/>
        </w:rPr>
        <w:instrText>ADDIN CSL_CITATION {"citationItems":[{"id":"ITEM-1","itemData":{"DOI":"10.1016/S0140-6736(18)32225-6","ISSN":"1474-547X","abstract":"BACKGROUND: The Global Burden of Diseases, Injuries, and Risk Factors Study (GBD) 2017 comparative risk assessment (CRA) is a comprehensive approach to risk factor quantification that offers a useful tool for synthesising evidence on risks and risk-outcome associations. With each annual GBD study, we update the GBD CRA to incorporate improved methods, new risks and risk-outcome pairs, and new data on risk exposure levels and risk-outcome associations. METHODS: We used the CRA framework developed for previous iterations of GBD to estimate levels and trends in exposure, attributable deaths, and attributable disability-adjusted life-years (DALYs), by age group, sex, year, and location for 84 behavioural, environmental and occupational, and metabolic risks or groups of risks from 1990 to 2017. This study included 476 risk-outcome pairs that met the GBD study criteria for convincing or probable evidence of causation. We extracted relative risk and exposure estimates from 46 749 randomised controlled trials, cohort studies, household surveys, census data, satellite data, and other sources. We used statistical models to pool data, adjust for bias, and incorporate covariates. Using the counterfactual scenario of theoretical minimum risk exposure level (TMREL), we estimated the portion of deaths and DALYs that could be attributed to a given risk. We explored the relationship between development and risk exposure by modelling the relationship between the Socio-demographic Index (SDI) and risk-weighted exposure prevalence and estimated expected levels of exposure and risk-attributable burden by SDI. Finally, we explored temporal changes in risk-attributable DALYs by decomposing those changes into six main component drivers of change as follows: (1) population growth; (2) changes in population age structures; (3) changes in exposure to environmental and occupational risks; (4) changes in exposure to behavioural risks; (5) changes in exposure to metabolic risks; and (6) changes due to all other factors, approximated as the risk-deleted death and DALY rates, where the risk-deleted rate is the rate that would be observed had we reduced the exposure levels to the TMREL for all risk factors included in GBD 2017. FINDINGS: In 2017, 34·1 million (95% uncertainty interval [UI] 33·3-35·0) deaths and 1·21 billion (1·14-1·28) DALYs were attributable to GBD risk factors. Globally, 61·0% (59·6-62·4) of deaths and 48·3% (46·3-50·2) of DALYs were attributed to the GBD 2017 risk f…","author":[{"dropping-particle":"","family":"Collaborators","given":"G B D 2017 Risk Factor","non-dropping-particle":"","parse-names":false,"suffix":""}],"container-title":"Lancet (London, England)","edition":"2018/11/08","id":"ITEM-1","issue":"10159","issued":{"date-parts":[["2018","11","10"]]},"language":"eng","page":"1923-1994","publisher":"Elsevier","title":"Global, regional, and national comparative risk assessment of 84 behavioural, environmental and occupational, and metabolic risks or clusters of risks for 195 countries and territories, 1990-2017: a systematic analysis for the Global Burden of Disease Stu","type":"article-journal","volume":"392"},"uris":["http://www.mendeley.com/documents/?uuid=395e9428-5315-4c4a-a3a9-07f236c15a7b"]}],"mendeley":{"formattedCitation":"(1)","plainTextFormattedCitation":"(1)","previouslyFormattedCitation":"(1)"},"properties":{"noteIndex":0},"schema":"https://github.com/citation-style-language/schema/raw/master/csl-citation.json"}</w:instrText>
      </w:r>
      <w:r w:rsidR="00C5725E">
        <w:rPr>
          <w:rFonts w:ascii="Arial" w:hAnsi="Arial" w:cs="Arial"/>
          <w:sz w:val="22"/>
          <w:szCs w:val="22"/>
        </w:rPr>
        <w:fldChar w:fldCharType="separate"/>
      </w:r>
      <w:r w:rsidR="00DB0C55" w:rsidRPr="00DB0C55">
        <w:rPr>
          <w:rFonts w:ascii="Arial" w:hAnsi="Arial" w:cs="Arial"/>
          <w:noProof/>
          <w:sz w:val="22"/>
          <w:szCs w:val="22"/>
        </w:rPr>
        <w:t>(1)</w:t>
      </w:r>
      <w:r w:rsidR="00C5725E">
        <w:rPr>
          <w:rFonts w:ascii="Arial" w:hAnsi="Arial" w:cs="Arial"/>
          <w:sz w:val="22"/>
          <w:szCs w:val="22"/>
        </w:rPr>
        <w:fldChar w:fldCharType="end"/>
      </w:r>
      <w:r w:rsidRPr="008C38BB">
        <w:rPr>
          <w:rFonts w:ascii="Arial" w:hAnsi="Arial" w:cs="Arial"/>
          <w:sz w:val="22"/>
          <w:szCs w:val="22"/>
        </w:rPr>
        <w:t xml:space="preserve">, whilst in England, </w:t>
      </w:r>
      <w:r w:rsidR="00FC6EAB" w:rsidRPr="008C38BB">
        <w:rPr>
          <w:rFonts w:ascii="Arial" w:hAnsi="Arial" w:cs="Arial"/>
          <w:sz w:val="22"/>
          <w:szCs w:val="22"/>
        </w:rPr>
        <w:t>10</w:t>
      </w:r>
      <w:r w:rsidRPr="008C38BB">
        <w:rPr>
          <w:rFonts w:ascii="Arial" w:hAnsi="Arial" w:cs="Arial"/>
          <w:sz w:val="22"/>
          <w:szCs w:val="22"/>
        </w:rPr>
        <w:t xml:space="preserve">,700 </w:t>
      </w:r>
      <w:r w:rsidR="00FC6EAB" w:rsidRPr="008C38BB">
        <w:rPr>
          <w:rFonts w:ascii="Arial" w:hAnsi="Arial" w:cs="Arial"/>
          <w:sz w:val="22"/>
          <w:szCs w:val="22"/>
        </w:rPr>
        <w:t xml:space="preserve">adult </w:t>
      </w:r>
      <w:r w:rsidRPr="008C38BB">
        <w:rPr>
          <w:rFonts w:ascii="Arial" w:hAnsi="Arial" w:cs="Arial"/>
          <w:sz w:val="22"/>
          <w:szCs w:val="22"/>
        </w:rPr>
        <w:t>deaths were</w:t>
      </w:r>
      <w:r w:rsidR="00FC6EAB" w:rsidRPr="008C38BB">
        <w:rPr>
          <w:rFonts w:ascii="Arial" w:hAnsi="Arial" w:cs="Arial"/>
          <w:sz w:val="22"/>
          <w:szCs w:val="22"/>
        </w:rPr>
        <w:t xml:space="preserve"> </w:t>
      </w:r>
      <w:r w:rsidRPr="008C38BB">
        <w:rPr>
          <w:rFonts w:ascii="Arial" w:hAnsi="Arial" w:cs="Arial"/>
          <w:sz w:val="22"/>
          <w:szCs w:val="22"/>
        </w:rPr>
        <w:t xml:space="preserve">attributable to </w:t>
      </w:r>
      <w:r w:rsidR="00921F7F" w:rsidRPr="008C38BB">
        <w:rPr>
          <w:rFonts w:ascii="Arial" w:hAnsi="Arial" w:cs="Arial"/>
          <w:sz w:val="22"/>
          <w:szCs w:val="22"/>
        </w:rPr>
        <w:t xml:space="preserve">SHS </w:t>
      </w:r>
      <w:r w:rsidRPr="008C38BB">
        <w:rPr>
          <w:rFonts w:ascii="Arial" w:hAnsi="Arial" w:cs="Arial"/>
          <w:sz w:val="22"/>
          <w:szCs w:val="22"/>
        </w:rPr>
        <w:t>in 2005</w:t>
      </w:r>
      <w:r w:rsidRPr="008C38BB">
        <w:rPr>
          <w:rFonts w:ascii="Arial" w:hAnsi="Arial" w:cs="Arial"/>
          <w:sz w:val="22"/>
          <w:szCs w:val="22"/>
        </w:rPr>
        <w:fldChar w:fldCharType="begin" w:fldLock="1"/>
      </w:r>
      <w:r w:rsidR="00841AFF">
        <w:rPr>
          <w:rFonts w:ascii="Arial" w:hAnsi="Arial" w:cs="Arial"/>
          <w:sz w:val="22"/>
          <w:szCs w:val="22"/>
        </w:rPr>
        <w:instrText>ADDIN CSL_CITATION {"citationItems":[{"id":"ITEM-1","itemData":{"DOI":"10.1136/bmj.38370.496632.8F","abstract":"Objective To estimate deaths from passive smoking in employees of the hospitality industry as well as in the general workforce and general population of the United Kingdom. Design Calculation, using the formula for population attributable proportion, of deaths likely to have been caused by passive smoking at home and at work in the UK according to occupation. Sensitivity analyses to examine impact of varying assumptions regarding prevalence and risks of exposure. Setting National UK databases of causes of death, employment, structure of households, and prevalences of active and passive smoking. Main outcome measures Estimates of deaths due to passive smoking according to age group (&amp;amp;lt; 65 or ≥ 65) and site of exposure (domestic or workplace). Results Across the United Kingdom as a whole, passive smoking at work is likely to be responsible for the deaths of more than two employed people per working day (617 deaths per year), including 54 deaths in the hospitality industry each year. Each year passive smoking at home might account for another 2700 deaths in persons aged 20-64 years and 8000 deaths among people aged ≥ 65. Conclusion Exposure at work might contribute up to one fifth of all deaths from passive smoking in the general population aged 20-64 years, and up to half of such deaths among employees of the hospitality industry. Adoption of smoke free policies in all workplaces and reductions in the general prevalence of active smoking would lead to substantial reductions in these avoidable deaths.","author":[{"dropping-particle":"","family":"Jamrozik","given":"Konrad","non-dropping-particle":"","parse-names":false,"suffix":""}],"container-title":"BMJ","id":"ITEM-1","issue":"7495","issued":{"date-parts":[["2005","4","7"]]},"page":"812","title":"Estimate of deaths attributable to passive smoking among UK adults: database analysis","type":"article-journal","volume":"330"},"uris":["http://www.mendeley.com/documents/?uuid=4f6acd40-ada3-451e-a29d-952a04b41539"]}],"mendeley":{"formattedCitation":"(3)","plainTextFormattedCitation":"(3)","previouslyFormattedCitation":"(3)"},"properties":{"noteIndex":0},"schema":"https://github.com/citation-style-language/schema/raw/master/csl-citation.json"}</w:instrText>
      </w:r>
      <w:r w:rsidRPr="008C38BB">
        <w:rPr>
          <w:rFonts w:ascii="Arial" w:hAnsi="Arial" w:cs="Arial"/>
          <w:sz w:val="22"/>
          <w:szCs w:val="22"/>
        </w:rPr>
        <w:fldChar w:fldCharType="separate"/>
      </w:r>
      <w:r w:rsidR="00411CFC" w:rsidRPr="00411CFC">
        <w:rPr>
          <w:rFonts w:ascii="Arial" w:hAnsi="Arial" w:cs="Arial"/>
          <w:noProof/>
          <w:sz w:val="22"/>
          <w:szCs w:val="22"/>
        </w:rPr>
        <w:t>(3)</w:t>
      </w:r>
      <w:r w:rsidRPr="008C38BB">
        <w:rPr>
          <w:rFonts w:ascii="Arial" w:hAnsi="Arial" w:cs="Arial"/>
          <w:sz w:val="22"/>
          <w:szCs w:val="22"/>
        </w:rPr>
        <w:fldChar w:fldCharType="end"/>
      </w:r>
      <w:r w:rsidRPr="008C38BB">
        <w:rPr>
          <w:rFonts w:ascii="Arial" w:hAnsi="Arial" w:cs="Arial"/>
          <w:sz w:val="22"/>
          <w:szCs w:val="22"/>
        </w:rPr>
        <w:t>. The World Health Organization</w:t>
      </w:r>
      <w:r w:rsidR="001C2021" w:rsidRPr="008C38BB">
        <w:rPr>
          <w:rFonts w:ascii="Arial" w:hAnsi="Arial" w:cs="Arial"/>
          <w:sz w:val="22"/>
          <w:szCs w:val="22"/>
        </w:rPr>
        <w:t xml:space="preserve"> (WHO)</w:t>
      </w:r>
      <w:r w:rsidRPr="008C38BB">
        <w:rPr>
          <w:rFonts w:ascii="Arial" w:hAnsi="Arial" w:cs="Arial"/>
          <w:sz w:val="22"/>
          <w:szCs w:val="22"/>
        </w:rPr>
        <w:t xml:space="preserve"> has stated that “</w:t>
      </w:r>
      <w:r w:rsidRPr="008C38BB">
        <w:rPr>
          <w:rFonts w:ascii="Arial" w:hAnsi="Arial" w:cs="Arial"/>
          <w:i/>
          <w:iCs/>
          <w:sz w:val="22"/>
          <w:szCs w:val="22"/>
        </w:rPr>
        <w:t>there is no safe level of exposure to second-hand tobacco smoke</w:t>
      </w:r>
      <w:r w:rsidRPr="008C38BB">
        <w:rPr>
          <w:rFonts w:ascii="Arial" w:hAnsi="Arial" w:cs="Arial"/>
          <w:sz w:val="22"/>
          <w:szCs w:val="22"/>
        </w:rPr>
        <w:t>”</w:t>
      </w:r>
      <w:r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{"citationItems":[{"id":"ITEM-1","itemData":{"author":[{"dropping-particle":"","family":"World Health Organization","given":"","non-dropping-particle":"","parse-names":false,"suffix":""}],"id":"ITEM-1","issued":{"date-parts":[["2009"]]},"title":"WHO Report on the Global Tobacco Epidemic","type":"report"},"uris":["http://www.mendeley.com/documents/?uuid=07545242-a985-4775-8a57-3e0fb486af5f"]}],"mendeley":{"formattedCitation":"(4)","plainTextFormattedCitation":"(4)","previouslyFormattedCitation":"(4)"},"properties":{"noteIndex":0},"schema":"https://github.com/citation-style-language/schema/raw/master/csl-citation.json"}</w:instrText>
      </w:r>
      <w:r w:rsidRPr="008C38BB">
        <w:rPr>
          <w:rFonts w:ascii="Arial" w:hAnsi="Arial" w:cs="Arial"/>
          <w:sz w:val="22"/>
          <w:szCs w:val="22"/>
        </w:rPr>
        <w:fldChar w:fldCharType="separate"/>
      </w:r>
      <w:r w:rsidR="00C5725E" w:rsidRPr="00C5725E">
        <w:rPr>
          <w:rFonts w:ascii="Arial" w:hAnsi="Arial" w:cs="Arial"/>
          <w:noProof/>
          <w:sz w:val="22"/>
          <w:szCs w:val="22"/>
        </w:rPr>
        <w:t>(4)</w:t>
      </w:r>
      <w:r w:rsidRPr="008C38BB">
        <w:rPr>
          <w:rFonts w:ascii="Arial" w:hAnsi="Arial" w:cs="Arial"/>
          <w:sz w:val="22"/>
          <w:szCs w:val="22"/>
        </w:rPr>
        <w:fldChar w:fldCharType="end"/>
      </w:r>
      <w:r w:rsidRPr="008C38BB">
        <w:rPr>
          <w:rFonts w:ascii="Arial" w:hAnsi="Arial" w:cs="Arial"/>
          <w:sz w:val="22"/>
          <w:szCs w:val="22"/>
        </w:rPr>
        <w:t>.</w:t>
      </w:r>
      <w:r w:rsidR="004149AB" w:rsidRPr="008C38BB">
        <w:rPr>
          <w:rFonts w:ascii="Arial" w:hAnsi="Arial" w:cs="Arial"/>
          <w:sz w:val="22"/>
          <w:szCs w:val="22"/>
        </w:rPr>
        <w:t xml:space="preserve"> </w:t>
      </w:r>
      <w:r w:rsidR="001C2021" w:rsidRPr="008C38BB">
        <w:rPr>
          <w:rFonts w:ascii="Arial" w:hAnsi="Arial" w:cs="Arial"/>
          <w:sz w:val="22"/>
          <w:szCs w:val="22"/>
        </w:rPr>
        <w:t xml:space="preserve">Governments worldwide have responded to </w:t>
      </w:r>
      <w:r w:rsidR="00CD6A54" w:rsidRPr="008C38BB">
        <w:rPr>
          <w:rFonts w:ascii="Arial" w:hAnsi="Arial" w:cs="Arial"/>
          <w:sz w:val="22"/>
          <w:szCs w:val="22"/>
        </w:rPr>
        <w:t xml:space="preserve">the </w:t>
      </w:r>
      <w:r w:rsidR="001C2021" w:rsidRPr="008C38BB">
        <w:rPr>
          <w:rFonts w:ascii="Arial" w:hAnsi="Arial" w:cs="Arial"/>
          <w:sz w:val="22"/>
          <w:szCs w:val="22"/>
        </w:rPr>
        <w:t>health threat</w:t>
      </w:r>
      <w:r w:rsidR="00CD6A54" w:rsidRPr="008C38BB">
        <w:rPr>
          <w:rFonts w:ascii="Arial" w:hAnsi="Arial" w:cs="Arial"/>
          <w:sz w:val="22"/>
          <w:szCs w:val="22"/>
        </w:rPr>
        <w:t>s</w:t>
      </w:r>
      <w:r w:rsidR="001C2021" w:rsidRPr="008C38BB">
        <w:rPr>
          <w:rFonts w:ascii="Arial" w:hAnsi="Arial" w:cs="Arial"/>
          <w:sz w:val="22"/>
          <w:szCs w:val="22"/>
        </w:rPr>
        <w:t xml:space="preserve"> </w:t>
      </w:r>
      <w:r w:rsidR="00CD6A54" w:rsidRPr="008C38BB">
        <w:rPr>
          <w:rFonts w:ascii="Arial" w:hAnsi="Arial" w:cs="Arial"/>
          <w:sz w:val="22"/>
          <w:szCs w:val="22"/>
        </w:rPr>
        <w:t>presented by</w:t>
      </w:r>
      <w:r w:rsidR="001C2021" w:rsidRPr="008C38BB">
        <w:rPr>
          <w:rFonts w:ascii="Arial" w:hAnsi="Arial" w:cs="Arial"/>
          <w:sz w:val="22"/>
          <w:szCs w:val="22"/>
        </w:rPr>
        <w:t xml:space="preserve"> tobacco with the introduction of a variety of tobacco control measures, including s</w:t>
      </w:r>
      <w:r w:rsidR="004149AB" w:rsidRPr="008C38BB">
        <w:rPr>
          <w:rFonts w:ascii="Arial" w:hAnsi="Arial" w:cs="Arial"/>
          <w:sz w:val="22"/>
          <w:szCs w:val="22"/>
        </w:rPr>
        <w:t>m</w:t>
      </w:r>
      <w:r w:rsidR="001C2021" w:rsidRPr="008C38BB">
        <w:rPr>
          <w:rFonts w:ascii="Arial" w:hAnsi="Arial" w:cs="Arial"/>
          <w:sz w:val="22"/>
          <w:szCs w:val="22"/>
        </w:rPr>
        <w:t xml:space="preserve">oke-free legislation, with </w:t>
      </w:r>
      <w:r w:rsidR="00456BC4">
        <w:rPr>
          <w:rFonts w:ascii="Arial" w:hAnsi="Arial" w:cs="Arial"/>
          <w:sz w:val="22"/>
          <w:szCs w:val="22"/>
        </w:rPr>
        <w:t xml:space="preserve">an </w:t>
      </w:r>
      <w:r w:rsidR="001C2021" w:rsidRPr="008C38BB">
        <w:rPr>
          <w:rFonts w:ascii="Arial" w:hAnsi="Arial" w:cs="Arial"/>
          <w:sz w:val="22"/>
          <w:szCs w:val="22"/>
        </w:rPr>
        <w:t xml:space="preserve">international </w:t>
      </w:r>
      <w:r w:rsidR="00456BC4">
        <w:rPr>
          <w:rFonts w:ascii="Arial" w:hAnsi="Arial" w:cs="Arial"/>
          <w:sz w:val="22"/>
          <w:szCs w:val="22"/>
        </w:rPr>
        <w:t>treaty</w:t>
      </w:r>
      <w:r w:rsidR="00456BC4" w:rsidRPr="008C38BB">
        <w:rPr>
          <w:rFonts w:ascii="Arial" w:hAnsi="Arial" w:cs="Arial"/>
          <w:sz w:val="22"/>
          <w:szCs w:val="22"/>
        </w:rPr>
        <w:t xml:space="preserve"> </w:t>
      </w:r>
      <w:r w:rsidR="001C2021" w:rsidRPr="008C38BB">
        <w:rPr>
          <w:rFonts w:ascii="Arial" w:hAnsi="Arial" w:cs="Arial"/>
          <w:sz w:val="22"/>
          <w:szCs w:val="22"/>
        </w:rPr>
        <w:t>laid down in the WHO Framework Convention for Tobacco Control</w:t>
      </w:r>
      <w:r w:rsidR="00044737">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{"citationItems":[{"id":"ITEM-1","itemData":{"author":[{"dropping-particle":"","family":"World Health Organization","given":"","non-dropping-particle":"","parse-names":false,"suffix":""}],"id":"ITEM-1","issued":{"date-parts":[["2020"]]},"title":"WHO FRAMEWORK CONVENTION ON TOBACCO CONTROL","type":"report"},"uris":["http://www.mendeley.com/documents/?uuid=99c9f6cc-90e5-4073-8348-f0f308c320d4"]}],"mendeley":{"formattedCitation":"(5)","plainTextFormattedCitation":"(5)","previouslyFormattedCitation":"(5)"},"properties":{"noteIndex":0},"schema":"https://github.com/citation-style-language/schema/raw/master/csl-citation.json"}</w:instrText>
      </w:r>
      <w:r w:rsidR="00044737">
        <w:rPr>
          <w:rFonts w:ascii="Arial" w:hAnsi="Arial" w:cs="Arial"/>
          <w:sz w:val="22"/>
          <w:szCs w:val="22"/>
        </w:rPr>
        <w:fldChar w:fldCharType="separate"/>
      </w:r>
      <w:r w:rsidR="00C5725E" w:rsidRPr="00C5725E">
        <w:rPr>
          <w:rFonts w:ascii="Arial" w:hAnsi="Arial" w:cs="Arial"/>
          <w:noProof/>
          <w:sz w:val="22"/>
          <w:szCs w:val="22"/>
        </w:rPr>
        <w:t>(5)</w:t>
      </w:r>
      <w:r w:rsidR="00044737">
        <w:rPr>
          <w:rFonts w:ascii="Arial" w:hAnsi="Arial" w:cs="Arial"/>
          <w:sz w:val="22"/>
          <w:szCs w:val="22"/>
        </w:rPr>
        <w:fldChar w:fldCharType="end"/>
      </w:r>
      <w:r w:rsidR="001C2021" w:rsidRPr="008C38BB">
        <w:rPr>
          <w:rFonts w:ascii="Arial" w:hAnsi="Arial" w:cs="Arial"/>
          <w:sz w:val="22"/>
          <w:szCs w:val="22"/>
        </w:rPr>
        <w:t>. Good evidence now exists on the impact of smoke-free legislation in reducing SHS exposure</w:t>
      </w:r>
      <w:r w:rsidR="00B8724D">
        <w:rPr>
          <w:rFonts w:ascii="Arial" w:hAnsi="Arial" w:cs="Arial"/>
          <w:sz w:val="22"/>
          <w:szCs w:val="22"/>
        </w:rPr>
        <w:t xml:space="preserve"> and improving health outcomes</w:t>
      </w:r>
      <w:r w:rsidR="001C2021"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{"citationItems":[{"id":"ITEM-1","itemData":{"DOI":"10.1289/ehp.1103680","ISSN":"1552-9924","abstract":"BACKGROUND: On 1 July 2007, smokefree legislation was implemented in England, which made virtually all enclosed public places and workplaces smokefree. OBJECTIVES: We examined trends in and predictors of secondhand smoke exposure among nonsmoking adults to determine whether exposure changed after the introduction of smokefree legislation and whether these changes varied by socioeconomic status (SES) and by household smoking status. METHODS: We analyzed salivary cotinine data from the Health Survey for England that were collected in 7 of 11 annual surveys undertaken between 1998 and 2008. We conducted multivariate regression analyses to examine secondhand smoke exposure as measured by the proportion of nonsmokers with undetectable levels of cotinine and by geometric mean cotinine. RESULTS: Secondhand smoke exposure was higher among those exposed at home and among lower-SES groups. Exposure declined markedly from 1998 to 2008 (the proportion of participants with undetectable cotinine was 2.9 times higher in the last 6 months of 2008 compared with the first 6 months of 1998 and geometric mean cotinine declined by 80%). We observed a significant fall in exposure after legislation was introduced--the odds of having undetectable cotinine were 1.5 times higher [95% confidence interval (CI): 1.3, 1.8] and geometric mean cotinine fell by 27% (95% CI: 17%, 36%) after adjusting for the prelegislative trend and potential confounders. Significant reductions were not, however, seen in those living in lower-social class households or homes where smoking occurs inside on most days. CONCLUSIONS: We found that the impact of England's smokefree legislation on secondhand smoke exposure was above and beyond the underlying long-term decline in secondhand smoke exposure and demonstrates the positive effect of the legislation. Nevertheless, some population subgroups appear not to have benefitted significantly from the legislation. This finding suggests that these groups should receive more support to reduce their exposure.","author":[{"dropping-particle":"","family":"Sims","given":"Michelle","non-dropping-particle":"","parse-names":false,"suffix":""},{"dropping-particle":"","family":"Mindell","given":"Jennifer S","non-dropping-particle":"","parse-names":false,"suffix":""},{"dropping-particle":"","family":"Jarvis","given":"Martin J","non-dropping-particle":"","parse-names":false,"suffix":""},{"dropping-particle":"","family":"Feyerabend","given":"Colin","non-dropping-particle":"","parse-names":false,"suffix":""},{"dropping-particle":"","family":"Wardle","given":"Heather","non-dropping-particle":"","parse-names":false,"suffix":""},{"dropping-particle":"","family":"Gilmore","given":"Anna","non-dropping-particle":"","parse-names":false,"suffix":""}],"container-title":"Environmental health perspectives","edition":"2011/12/12","id":"ITEM-1","issue":"3","issued":{"date-parts":[["2012","3"]]},"language":"eng","page":"425-430","publisher":"National Institute of Environmental Health Sciences","title":"Did smokefree legislation in England reduce exposure to secondhand smoke among nonsmoking adults? Cotinine analysis from the Health Survey for England","type":"article-journal","volume":"120"},"uris":["http://www.mendeley.com/documents/?uuid=afb0fcdf-3acd-4680-b73f-cfa68e91a09a"]},{"id":"ITEM-2","itemData":{"DOI":"10.1002/14651858.CD005992.pub3","ISSN":"1469493X","PMID":"26842828","abstract":"Background: Smoking bans have been implemented in a variety of settings, as well as being part of policy in many jurisdictions to protect the public and employees from the harmful effects of secondhand smoke (SHS). They also offer the potential to influence social norms and the smoking behaviour of those populations they affect. Since the first version of this review in 2010, more countries have introduced national smoking legislation banning indoor smoking. Objectives: To assess the effects of legislative smoking bans on (1) morbidity and mortality from exposure to secondhand smoke, and (2) smoking prevalence and tobacco consumption. Search methods: We searched the Cochrane Tobacco Addiction Group Specialised Register, MEDLINE, EMBASE, PsycINFO, CINAHL and reference lists of included studies. We also checked websites of various organisations. Date of most recent search; February 2015. Selection criteria: We considered studies that reported legislative smoking bans affecting populations. The minimum standard was having an indoor smoking ban explicitly in the study and a minimum of six months follow-up for measures of smoking behaviour. Our search included a broad range of research designs including: randomized controlled trials, quasi-experimental studies (i.e. non-randomized controlled studies), controlled before-and-after studies, interrupted time series as defined by the Cochrane Effective Practice and Organisation of Care Group, and uncontrolled pre- and post-ban data. Data collection and analysis: One author extracted characteristics and content of the interventions, participants, outcomes and methods of the included studies and a second author checked the details. We extracted health and smoking behaviour outcomes. We did not attempt a meta-analysis due to the heterogeneity in design and content of the studies included. We evaluated the studies using qualitative narrative synthesis. Main results: There are 77 studies included in this updated review. We retained 12 studies from the original review and identified 65 new studies. Evidence from 21 countries is provided in this update, an increase of eight countries from the original review. The nature of the intervention precludes randomized controlled trials. Thirty-six studies used an interrupted time series study design, 23 studies use a controlled before-and-after design and 18 studies are before-and-after studies with no control group; six of these studies use a cohort design. Seventy-two studies…","author":[{"dropping-particle":"","family":"Frazer","given":"Kate","non-dropping-particle":"","parse-names":false,"suffix":""},{"dropping-particle":"","family":"Callinan","given":"Joanne E.","non-dropping-particle":"","parse-names":false,"suffix":""},{"dropping-particle":"","family":"Mchugh","given":"Jack","non-dropping-particle":"","parse-names":false,"suffix":""},{"dropping-particle":"","family":"Baarsel","given":"Susan","non-dropping-particle":"van","parse-names":false,"suffix":""},{"dropping-particle":"","family":"Clarke","given":"Anna","non-dropping-particle":"","parse-names":false,"suffix":""},{"dropping-particle":"","family":"Doherty","given":"Kirsten","non-dropping-particle":"","parse-names":false,"suffix":""},{"dropping-particle":"","family":"Kelleher","given":"Cecily","non-dropping-particle":"","parse-names":false,"suffix":""}],"container-title":"Cochrane Database of Systematic Reviews","id":"ITEM-2","issue":"2","issued":{"date-parts":[["2016","2","4"]]},"language":"eng","page":"CD005992-CD005992","publisher":"John Wiley &amp; Sons, Ltd","title":"Legislative smoking bans for reducing harms from secondhand smoke exposure, smoking prevalence and tobacco consumption","type":"article-journal","volume":"2016"},"uris":["http://www.mendeley.com/documents/?uuid=de38bc83-da3e-4e7e-8798-857368b9983d"]},{"id":"ITEM-3","itemData":{"DOI":"10.1016/s2468-2667(17)30144-5","ISSN":"2468-2667","abstract":"Tobacco smoking and smoke exposure during pregnancy and childhood cause considerable childhood morbidity and mortality. We did a systematic review and meta-analysis to investigate whether implementation of WHO's recommended tobacco control policies (MPOWER) was of benefit to perinatal and child health.\nWe searched 19 electronic databases, hand-searched references and citations, and consulted experts to identify studies assessing the association between implementation of MPOWER policies and child health. We did not apply any language restrictions, and searched the full time period available for each database, up to June 22, 2017. Our primary outcomes of interest were perinatal mortality, preterm birth, hospital attendance for asthma exacerbations, and hospital attendance for respiratory tract infections. Where possible and appropriate, we combined data from different studies in random-effects meta-analyses. This study is registered with PROSPERO, number CRD42015023448.\nWe identified 41 eligible studies (24 from North America, 16 from Europe, and one from China) that assessed combinations of the following MPOWER policies: smoke-free legislation (n=35), tobacco taxation (n=11), and smoking cessation services (n=3). Risk of bias was low in 23 studies, moderate in 16, and high in two. Implementation of smoke-free legislation was associated with reductions in rates of preterm birth (–3·77% [95% CI −6·37 to −1·16]","author":[{"dropping-particle":"","family":"Faber","given":"Timor","non-dropping-particle":"","parse-names":false,"suffix":""},{"dropping-particle":"","family":"Kumar","given":"Arun","non-dropping-particle":"","parse-names":false,"suffix":""},{"dropping-particle":"","family":"Mackenbach","given":"Johan P","non-dropping-particle":"","parse-names":false,"suffix":""},{"dropping-particle":"","family":"Millett","given":"Christopher","non-dropping-particle":"","parse-names":false,"suffix":""},{"dropping-particle":"","family":"Basu","given":"Sanjay","non-dropping-particle":"","parse-names":false,"suffix":""},{"dropping-particle":"","family":"Sheikh","given":"Aziz","non-dropping-particle":"","parse-names":false,"suffix":""},{"dropping-particle":"V","family":"Been","given":"Jasper","non-dropping-particle":"","parse-names":false,"suffix":""}],"container-title":"The Lancet. Public health","id":"ITEM-3","issue":"9","issued":{"date-parts":[["2017"]]},"note":"2468-2667","page":"e420-e437","publisher-place":"OXFORD","title":"Effect of tobacco control policies on perinatal and child health: a systematic review and meta-analysis","type":"article-journal","volume":"2"},"uris":["http://www.mendeley.com/documents/?uuid=cf72153a-3d71-4c09-b10c-60cf24211527"]}],"mendeley":{"formattedCitation":"(6–8)","plainTextFormattedCitation":"(6–8)","previouslyFormattedCitation":"(6–8)"},"properties":{"noteIndex":0},"schema":"https://github.com/citation-style-language/schema/raw/master/csl-citation.json"}</w:instrText>
      </w:r>
      <w:r w:rsidR="001C2021" w:rsidRPr="008C38BB">
        <w:rPr>
          <w:rFonts w:ascii="Arial" w:hAnsi="Arial" w:cs="Arial"/>
          <w:sz w:val="22"/>
          <w:szCs w:val="22"/>
        </w:rPr>
        <w:fldChar w:fldCharType="separate"/>
      </w:r>
      <w:r w:rsidR="00C5725E" w:rsidRPr="00C5725E">
        <w:rPr>
          <w:rFonts w:ascii="Arial" w:hAnsi="Arial" w:cs="Arial"/>
          <w:noProof/>
          <w:sz w:val="22"/>
          <w:szCs w:val="22"/>
        </w:rPr>
        <w:t>(6–8)</w:t>
      </w:r>
      <w:r w:rsidR="001C2021" w:rsidRPr="008C38BB">
        <w:rPr>
          <w:rFonts w:ascii="Arial" w:hAnsi="Arial" w:cs="Arial"/>
          <w:sz w:val="22"/>
          <w:szCs w:val="22"/>
        </w:rPr>
        <w:fldChar w:fldCharType="end"/>
      </w:r>
      <w:r w:rsidR="001C2021" w:rsidRPr="008C38BB">
        <w:rPr>
          <w:rFonts w:ascii="Arial" w:hAnsi="Arial" w:cs="Arial"/>
          <w:sz w:val="22"/>
          <w:szCs w:val="22"/>
        </w:rPr>
        <w:t>.</w:t>
      </w:r>
    </w:p>
    <w:p w14:paraId="1EA3F34B" w14:textId="77777777" w:rsidR="001C2021" w:rsidRPr="008C38BB" w:rsidRDefault="001C2021" w:rsidP="00E67AD6">
      <w:pPr>
        <w:rPr>
          <w:rFonts w:ascii="Arial" w:hAnsi="Arial" w:cs="Arial"/>
          <w:b/>
          <w:bCs/>
          <w:sz w:val="22"/>
          <w:szCs w:val="22"/>
        </w:rPr>
      </w:pPr>
    </w:p>
    <w:p w14:paraId="4307532C" w14:textId="70E79C87" w:rsidR="001C2021" w:rsidRPr="009F1C8E" w:rsidRDefault="0039136A" w:rsidP="00E67AD6">
      <w:pPr>
        <w:rPr>
          <w:rFonts w:ascii="Arial" w:hAnsi="Arial" w:cs="Arial"/>
          <w:i/>
          <w:iCs/>
          <w:sz w:val="22"/>
          <w:szCs w:val="22"/>
        </w:rPr>
      </w:pPr>
      <w:r w:rsidRPr="008C38BB">
        <w:rPr>
          <w:rFonts w:ascii="Arial" w:hAnsi="Arial" w:cs="Arial"/>
          <w:sz w:val="22"/>
          <w:szCs w:val="22"/>
        </w:rPr>
        <w:t xml:space="preserve">The Department </w:t>
      </w:r>
      <w:r w:rsidR="00456BC4">
        <w:rPr>
          <w:rFonts w:ascii="Arial" w:hAnsi="Arial" w:cs="Arial"/>
          <w:sz w:val="22"/>
          <w:szCs w:val="22"/>
        </w:rPr>
        <w:t xml:space="preserve">of </w:t>
      </w:r>
      <w:r w:rsidRPr="008C38BB">
        <w:rPr>
          <w:rFonts w:ascii="Arial" w:hAnsi="Arial" w:cs="Arial"/>
          <w:sz w:val="22"/>
          <w:szCs w:val="22"/>
        </w:rPr>
        <w:t>Health published its Tobacco Control Plan for England 2017-22 with the aim of reducing the prevalence of smoking in adults from 15.5% (in 2017) to 12% by 2022</w:t>
      </w:r>
      <w:r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{"citationItems":[{"id":"ITEM-1","itemData":{"author":[{"dropping-particle":"","family":"Department of Health","given":"","non-dropping-particle":"","parse-names":false,"suffix":""}],"id":"ITEM-1","issued":{"date-parts":[["2017"]]},"title":"Towards a Smokefree Generation: A Tobacco Control Plan for England","type":"report"},"uris":["http://www.mendeley.com/documents/?uuid=d8220e88-601a-446d-83c9-08601230e791"]}],"mendeley":{"formattedCitation":"(9)","plainTextFormattedCitation":"(9)","previouslyFormattedCitation":"(9)"},"properties":{"noteIndex":0},"schema":"https://github.com/citation-style-language/schema/raw/master/csl-citation.json"}</w:instrText>
      </w:r>
      <w:r w:rsidRPr="008C38BB">
        <w:rPr>
          <w:rFonts w:ascii="Arial" w:hAnsi="Arial" w:cs="Arial"/>
          <w:sz w:val="22"/>
          <w:szCs w:val="22"/>
        </w:rPr>
        <w:fldChar w:fldCharType="separate"/>
      </w:r>
      <w:r w:rsidR="00C5725E" w:rsidRPr="00C5725E">
        <w:rPr>
          <w:rFonts w:ascii="Arial" w:hAnsi="Arial" w:cs="Arial"/>
          <w:noProof/>
          <w:sz w:val="22"/>
          <w:szCs w:val="22"/>
        </w:rPr>
        <w:t>(9)</w:t>
      </w:r>
      <w:r w:rsidRPr="008C38BB">
        <w:rPr>
          <w:rFonts w:ascii="Arial" w:hAnsi="Arial" w:cs="Arial"/>
          <w:sz w:val="22"/>
          <w:szCs w:val="22"/>
        </w:rPr>
        <w:fldChar w:fldCharType="end"/>
      </w:r>
      <w:r w:rsidRPr="008C38BB">
        <w:rPr>
          <w:rFonts w:ascii="Arial" w:hAnsi="Arial" w:cs="Arial"/>
          <w:sz w:val="22"/>
          <w:szCs w:val="22"/>
        </w:rPr>
        <w:t>. A key pillar of the plan is complementing the smoke-free legislation introduced in the Health Act 2006 with additional smoke-free policies</w:t>
      </w:r>
      <w:r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{"citationItems":[{"id":"ITEM-1","itemData":{"author":[{"dropping-particle":"","family":"Department of Health","given":"","non-dropping-particle":"","parse-names":false,"suffix":""}],"id":"ITEM-1","issued":{"date-parts":[["2017"]]},"title":"Towards a Smokefree Generation: A Tobacco Control Plan for England","type":"report"},"uris":["http://www.mendeley.com/documents/?uuid=d8220e88-601a-446d-83c9-08601230e791"]}],"mendeley":{"formattedCitation":"(9)","plainTextFormattedCitation":"(9)","previouslyFormattedCitation":"(9)"},"properties":{"noteIndex":0},"schema":"https://github.com/citation-style-language/schema/raw/master/csl-citation.json"}</w:instrText>
      </w:r>
      <w:r w:rsidRPr="008C38BB">
        <w:rPr>
          <w:rFonts w:ascii="Arial" w:hAnsi="Arial" w:cs="Arial"/>
          <w:sz w:val="22"/>
          <w:szCs w:val="22"/>
        </w:rPr>
        <w:fldChar w:fldCharType="separate"/>
      </w:r>
      <w:r w:rsidR="00C5725E" w:rsidRPr="00C5725E">
        <w:rPr>
          <w:rFonts w:ascii="Arial" w:hAnsi="Arial" w:cs="Arial"/>
          <w:noProof/>
          <w:sz w:val="22"/>
          <w:szCs w:val="22"/>
        </w:rPr>
        <w:t>(9)</w:t>
      </w:r>
      <w:r w:rsidRPr="008C38BB">
        <w:rPr>
          <w:rFonts w:ascii="Arial" w:hAnsi="Arial" w:cs="Arial"/>
          <w:sz w:val="22"/>
          <w:szCs w:val="22"/>
        </w:rPr>
        <w:fldChar w:fldCharType="end"/>
      </w:r>
      <w:r w:rsidRPr="008C38BB">
        <w:rPr>
          <w:rFonts w:ascii="Arial" w:hAnsi="Arial" w:cs="Arial"/>
          <w:sz w:val="22"/>
          <w:szCs w:val="22"/>
        </w:rPr>
        <w:t xml:space="preserve">. </w:t>
      </w:r>
      <w:r w:rsidR="009F1C8E" w:rsidRPr="008B08D9">
        <w:rPr>
          <w:rFonts w:ascii="Arial" w:hAnsi="Arial" w:cs="Arial"/>
          <w:sz w:val="22"/>
          <w:szCs w:val="22"/>
        </w:rPr>
        <w:t xml:space="preserve">Public Health England defines </w:t>
      </w:r>
      <w:r w:rsidR="00C671B2" w:rsidRPr="008B08D9">
        <w:rPr>
          <w:rFonts w:ascii="Arial" w:hAnsi="Arial" w:cs="Arial"/>
          <w:sz w:val="22"/>
          <w:szCs w:val="22"/>
        </w:rPr>
        <w:t xml:space="preserve">smoke-free as </w:t>
      </w:r>
      <w:r w:rsidR="009F1C8E" w:rsidRPr="008B08D9">
        <w:rPr>
          <w:rFonts w:ascii="Arial" w:hAnsi="Arial" w:cs="Arial"/>
          <w:sz w:val="22"/>
          <w:szCs w:val="22"/>
        </w:rPr>
        <w:t>“</w:t>
      </w:r>
      <w:r w:rsidR="009F1C8E" w:rsidRPr="008B08D9">
        <w:rPr>
          <w:rFonts w:ascii="Arial" w:hAnsi="Arial" w:cs="Arial"/>
          <w:i/>
          <w:iCs/>
          <w:sz w:val="22"/>
          <w:szCs w:val="22"/>
        </w:rPr>
        <w:t>the absence of smoking</w:t>
      </w:r>
      <w:r w:rsidR="009F1C8E" w:rsidRPr="008B08D9">
        <w:rPr>
          <w:rFonts w:ascii="Arial" w:hAnsi="Arial" w:cs="Arial"/>
          <w:sz w:val="22"/>
          <w:szCs w:val="22"/>
        </w:rPr>
        <w:t>”. Smoking is defined as</w:t>
      </w:r>
      <w:r w:rsidR="009F1C8E" w:rsidRPr="008B08D9">
        <w:rPr>
          <w:rFonts w:ascii="Arial" w:hAnsi="Arial" w:cs="Arial"/>
          <w:i/>
          <w:iCs/>
          <w:sz w:val="22"/>
          <w:szCs w:val="22"/>
        </w:rPr>
        <w:t xml:space="preserve"> “smoking tobacco or anything which contains tobacco, or smoking any other substance, and includes being in possession of lit tobacco or of anything lit which contains </w:t>
      </w:r>
      <w:proofErr w:type="gramStart"/>
      <w:r w:rsidR="009F1C8E" w:rsidRPr="008B08D9">
        <w:rPr>
          <w:rFonts w:ascii="Arial" w:hAnsi="Arial" w:cs="Arial"/>
          <w:i/>
          <w:iCs/>
          <w:sz w:val="22"/>
          <w:szCs w:val="22"/>
        </w:rPr>
        <w:t>tobacco, or</w:t>
      </w:r>
      <w:proofErr w:type="gramEnd"/>
      <w:r w:rsidR="009F1C8E" w:rsidRPr="008B08D9">
        <w:rPr>
          <w:rFonts w:ascii="Arial" w:hAnsi="Arial" w:cs="Arial"/>
          <w:i/>
          <w:iCs/>
          <w:sz w:val="22"/>
          <w:szCs w:val="22"/>
        </w:rPr>
        <w:t xml:space="preserve"> being in possession of any other lit substance in a form in which it could be smoked</w:t>
      </w:r>
      <w:r w:rsidR="009F1C8E" w:rsidRPr="008B08D9">
        <w:rPr>
          <w:rFonts w:ascii="Arial" w:hAnsi="Arial" w:cs="Arial"/>
          <w:sz w:val="22"/>
          <w:szCs w:val="22"/>
        </w:rPr>
        <w:t>”(10).</w:t>
      </w:r>
      <w:r w:rsidR="009F1C8E" w:rsidRPr="008B08D9">
        <w:rPr>
          <w:rFonts w:ascii="Arial" w:hAnsi="Arial" w:cs="Arial"/>
          <w:i/>
          <w:iCs/>
          <w:sz w:val="22"/>
          <w:szCs w:val="22"/>
        </w:rPr>
        <w:t xml:space="preserve"> </w:t>
      </w:r>
      <w:r w:rsidRPr="008C38BB">
        <w:rPr>
          <w:rFonts w:ascii="Arial" w:hAnsi="Arial" w:cs="Arial"/>
          <w:sz w:val="22"/>
          <w:szCs w:val="22"/>
        </w:rPr>
        <w:t>The NHS aims to take the lead by introducing a completely smoke-free estate</w:t>
      </w:r>
      <w:r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{"citationItems":[{"id":"ITEM-1","itemData":{"author":[{"dropping-particle":"","family":"Department of Health","given":"","non-dropping-particle":"","parse-names":false,"suffix":""}],"id":"ITEM-1","issued":{"date-parts":[["2017"]]},"title":"Towards a Smokefree Generation: A Tobacco Control Plan for England","type":"report"},"uris":["http://www.mendeley.com/documents/?uuid=d8220e88-601a-446d-83c9-08601230e791"]}],"mendeley":{"formattedCitation":"(9)","plainTextFormattedCitation":"(9)","previouslyFormattedCitation":"(9)"},"properties":{"noteIndex":0},"schema":"https://github.com/citation-style-language/schema/raw/master/csl-citation.json"}</w:instrText>
      </w:r>
      <w:r w:rsidRPr="008C38BB">
        <w:rPr>
          <w:rFonts w:ascii="Arial" w:hAnsi="Arial" w:cs="Arial"/>
          <w:sz w:val="22"/>
          <w:szCs w:val="22"/>
        </w:rPr>
        <w:fldChar w:fldCharType="separate"/>
      </w:r>
      <w:r w:rsidR="00C5725E" w:rsidRPr="00C5725E">
        <w:rPr>
          <w:rFonts w:ascii="Arial" w:hAnsi="Arial" w:cs="Arial"/>
          <w:noProof/>
          <w:sz w:val="22"/>
          <w:szCs w:val="22"/>
        </w:rPr>
        <w:t>(9)</w:t>
      </w:r>
      <w:r w:rsidRPr="008C38BB">
        <w:rPr>
          <w:rFonts w:ascii="Arial" w:hAnsi="Arial" w:cs="Arial"/>
          <w:sz w:val="22"/>
          <w:szCs w:val="22"/>
        </w:rPr>
        <w:fldChar w:fldCharType="end"/>
      </w:r>
      <w:r w:rsidRPr="008C38BB">
        <w:rPr>
          <w:rFonts w:ascii="Arial" w:hAnsi="Arial" w:cs="Arial"/>
          <w:sz w:val="22"/>
          <w:szCs w:val="22"/>
        </w:rPr>
        <w:t>.</w:t>
      </w:r>
      <w:r w:rsidR="001C2021" w:rsidRPr="008C38BB">
        <w:rPr>
          <w:rFonts w:ascii="Arial" w:hAnsi="Arial" w:cs="Arial"/>
          <w:sz w:val="22"/>
          <w:szCs w:val="22"/>
        </w:rPr>
        <w:t xml:space="preserve"> </w:t>
      </w:r>
    </w:p>
    <w:p w14:paraId="492C5248" w14:textId="77777777" w:rsidR="001C2021" w:rsidRPr="008C38BB" w:rsidRDefault="001C2021" w:rsidP="00E67AD6">
      <w:pPr>
        <w:rPr>
          <w:rFonts w:ascii="Arial" w:hAnsi="Arial" w:cs="Arial"/>
          <w:sz w:val="22"/>
          <w:szCs w:val="22"/>
        </w:rPr>
      </w:pPr>
    </w:p>
    <w:p w14:paraId="3A1824D4" w14:textId="7C773DEC" w:rsidR="009F1C8E" w:rsidRPr="000A606B" w:rsidRDefault="0039136A" w:rsidP="00E67AD6">
      <w:pPr>
        <w:rPr>
          <w:rFonts w:ascii="Arial" w:hAnsi="Arial" w:cs="Arial"/>
          <w:sz w:val="22"/>
          <w:szCs w:val="22"/>
        </w:rPr>
      </w:pPr>
      <w:r w:rsidRPr="008C38BB">
        <w:rPr>
          <w:rFonts w:ascii="Arial" w:hAnsi="Arial" w:cs="Arial"/>
          <w:sz w:val="22"/>
          <w:szCs w:val="22"/>
        </w:rPr>
        <w:t xml:space="preserve">The Ministry of Defence </w:t>
      </w:r>
      <w:r w:rsidR="00B8724D">
        <w:rPr>
          <w:rFonts w:ascii="Arial" w:hAnsi="Arial" w:cs="Arial"/>
          <w:sz w:val="22"/>
          <w:szCs w:val="22"/>
        </w:rPr>
        <w:t>has contributed</w:t>
      </w:r>
      <w:r w:rsidRPr="008C38BB">
        <w:rPr>
          <w:rFonts w:ascii="Arial" w:hAnsi="Arial" w:cs="Arial"/>
          <w:sz w:val="22"/>
          <w:szCs w:val="22"/>
        </w:rPr>
        <w:t xml:space="preserve"> to the UK government’s approach with the publication of the Smoking and Tobacco Control Strategy for Defence in 2017</w:t>
      </w:r>
      <w:r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{"citationItems":[{"id":"ITEM-1","itemData":{"author":[{"dropping-particle":"","family":"Ministry of Defence","given":"","non-dropping-particle":"","parse-names":false,"suffix":""}],"id":"ITEM-1","issued":{"date-parts":[["2018"]]},"title":"Smoking and Tobacco Control Strategy for Defence 2017-22","type":"report"},"uris":["http://www.mendeley.com/documents/?uuid=22995b7a-a49c-4ebc-b1e3-59c12bc31972"]}],"mendeley":{"formattedCitation":"(10)","plainTextFormattedCitation":"(10)","previouslyFormattedCitation":"(10)"},"properties":{"noteIndex":0},"schema":"https://github.com/citation-style-language/schema/raw/master/csl-citation.json"}</w:instrText>
      </w:r>
      <w:r w:rsidRPr="008C38BB">
        <w:rPr>
          <w:rFonts w:ascii="Arial" w:hAnsi="Arial" w:cs="Arial"/>
          <w:sz w:val="22"/>
          <w:szCs w:val="22"/>
        </w:rPr>
        <w:fldChar w:fldCharType="separate"/>
      </w:r>
      <w:r w:rsidR="00C5725E" w:rsidRPr="00C5725E">
        <w:rPr>
          <w:rFonts w:ascii="Arial" w:hAnsi="Arial" w:cs="Arial"/>
          <w:noProof/>
          <w:sz w:val="22"/>
          <w:szCs w:val="22"/>
        </w:rPr>
        <w:t>(</w:t>
      </w:r>
      <w:r w:rsidR="00C671B2">
        <w:rPr>
          <w:rFonts w:ascii="Arial" w:hAnsi="Arial" w:cs="Arial"/>
          <w:noProof/>
          <w:sz w:val="22"/>
          <w:szCs w:val="22"/>
        </w:rPr>
        <w:t>11</w:t>
      </w:r>
      <w:r w:rsidR="00C5725E" w:rsidRPr="00C5725E">
        <w:rPr>
          <w:rFonts w:ascii="Arial" w:hAnsi="Arial" w:cs="Arial"/>
          <w:noProof/>
          <w:sz w:val="22"/>
          <w:szCs w:val="22"/>
        </w:rPr>
        <w:t>)</w:t>
      </w:r>
      <w:r w:rsidRPr="008C38BB">
        <w:rPr>
          <w:rFonts w:ascii="Arial" w:hAnsi="Arial" w:cs="Arial"/>
          <w:sz w:val="22"/>
          <w:szCs w:val="22"/>
        </w:rPr>
        <w:fldChar w:fldCharType="end"/>
      </w:r>
      <w:r w:rsidRPr="008C38BB">
        <w:rPr>
          <w:rFonts w:ascii="Arial" w:hAnsi="Arial" w:cs="Arial"/>
          <w:sz w:val="22"/>
          <w:szCs w:val="22"/>
        </w:rPr>
        <w:t xml:space="preserve">. Its aim is </w:t>
      </w:r>
      <w:r w:rsidRPr="008C38BB">
        <w:rPr>
          <w:rFonts w:ascii="Arial" w:hAnsi="Arial" w:cs="Arial"/>
          <w:i/>
          <w:sz w:val="22"/>
          <w:szCs w:val="22"/>
        </w:rPr>
        <w:t>“to reduce smoking prevalence across the Whole Force to national prevalence levels by 2022 alongside a phased introduction of smoke-free working environments</w:t>
      </w:r>
      <w:r w:rsidR="00456BC4">
        <w:rPr>
          <w:rFonts w:ascii="Arial" w:hAnsi="Arial" w:cs="Arial"/>
          <w:i/>
          <w:sz w:val="22"/>
          <w:szCs w:val="22"/>
        </w:rPr>
        <w:t>”</w:t>
      </w:r>
      <w:r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{"citationItems":[{"id":"ITEM-1","itemData":{"author":[{"dropping-particle":"","family":"Ministry of Defence","given":"","non-dropping-particle":"","parse-names":false,"suffix":""}],"id":"ITEM-1","issued":{"date-parts":[["2018"]]},"title":"Smoking and Tobacco Control Strategy for Defence 2017-22","type":"report"},"uris":["http://www.mendeley.com/documents/?uuid=22995b7a-a49c-4ebc-b1e3-59c12bc31972"]}],"mendeley":{"formattedCitation":"(10)","plainTextFormattedCitation":"(10)","previouslyFormattedCitation":"(10)"},"properties":{"noteIndex":0},"schema":"https://github.com/citation-style-language/schema/raw/master/csl-citation.json"}</w:instrText>
      </w:r>
      <w:r w:rsidRPr="008C38BB">
        <w:rPr>
          <w:rFonts w:ascii="Arial" w:hAnsi="Arial" w:cs="Arial"/>
          <w:sz w:val="22"/>
          <w:szCs w:val="22"/>
        </w:rPr>
        <w:fldChar w:fldCharType="separate"/>
      </w:r>
      <w:r w:rsidR="00C5725E" w:rsidRPr="00C5725E">
        <w:rPr>
          <w:rFonts w:ascii="Arial" w:hAnsi="Arial" w:cs="Arial"/>
          <w:noProof/>
          <w:sz w:val="22"/>
          <w:szCs w:val="22"/>
        </w:rPr>
        <w:t>(</w:t>
      </w:r>
      <w:r w:rsidR="00C671B2">
        <w:rPr>
          <w:rFonts w:ascii="Arial" w:hAnsi="Arial" w:cs="Arial"/>
          <w:noProof/>
          <w:sz w:val="22"/>
          <w:szCs w:val="22"/>
        </w:rPr>
        <w:t>11</w:t>
      </w:r>
      <w:r w:rsidR="00C5725E" w:rsidRPr="00C5725E">
        <w:rPr>
          <w:rFonts w:ascii="Arial" w:hAnsi="Arial" w:cs="Arial"/>
          <w:noProof/>
          <w:sz w:val="22"/>
          <w:szCs w:val="22"/>
        </w:rPr>
        <w:t>)</w:t>
      </w:r>
      <w:r w:rsidRPr="008C38BB">
        <w:rPr>
          <w:rFonts w:ascii="Arial" w:hAnsi="Arial" w:cs="Arial"/>
          <w:sz w:val="22"/>
          <w:szCs w:val="22"/>
        </w:rPr>
        <w:fldChar w:fldCharType="end"/>
      </w:r>
      <w:r w:rsidRPr="008C38BB">
        <w:rPr>
          <w:rFonts w:ascii="Arial" w:hAnsi="Arial" w:cs="Arial"/>
          <w:sz w:val="22"/>
          <w:szCs w:val="22"/>
        </w:rPr>
        <w:t xml:space="preserve">. </w:t>
      </w:r>
      <w:r w:rsidR="00101D7B" w:rsidRPr="008C38BB">
        <w:rPr>
          <w:rFonts w:ascii="Arial" w:hAnsi="Arial" w:cs="Arial"/>
          <w:sz w:val="22"/>
          <w:szCs w:val="22"/>
        </w:rPr>
        <w:t>The strategy has four broad policy objectives: preventing non-smokers from initiating smoking, promoting a coherent message around the benefits of not smoking, protecting defence personnel from</w:t>
      </w:r>
      <w:r w:rsidR="00921F7F" w:rsidRPr="008C38BB">
        <w:rPr>
          <w:rFonts w:ascii="Arial" w:hAnsi="Arial" w:cs="Arial"/>
          <w:sz w:val="22"/>
          <w:szCs w:val="22"/>
        </w:rPr>
        <w:t xml:space="preserve"> SHS</w:t>
      </w:r>
      <w:r w:rsidR="00101D7B" w:rsidRPr="008C38BB">
        <w:rPr>
          <w:rFonts w:ascii="Arial" w:hAnsi="Arial" w:cs="Arial"/>
          <w:sz w:val="22"/>
          <w:szCs w:val="22"/>
        </w:rPr>
        <w:t>, and supporting existing smokers in quitting</w:t>
      </w:r>
      <w:r w:rsidR="00101D7B"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{"citationItems":[{"id":"ITEM-1","itemData":{"author":[{"dropping-particle":"","family":"Ministry of Defence","given":"","non-dropping-particle":"","parse-names":false,"suffix":""}],"id":"ITEM-1","issued":{"date-parts":[["2018"]]},"title":"Smoking and Tobacco Control Strategy for Defence 2017-22","type":"report"},"uris":["http://www.mendeley.com/documents/?uuid=22995b7a-a49c-4ebc-b1e3-59c12bc31972"]}],"mendeley":{"formattedCitation":"(10)","plainTextFormattedCitation":"(10)","previouslyFormattedCitation":"(10)"},"properties":{"noteIndex":0},"schema":"https://github.com/citation-style-language/schema/raw/master/csl-citation.json"}</w:instrText>
      </w:r>
      <w:r w:rsidR="00101D7B" w:rsidRPr="008C38BB">
        <w:rPr>
          <w:rFonts w:ascii="Arial" w:hAnsi="Arial" w:cs="Arial"/>
          <w:sz w:val="22"/>
          <w:szCs w:val="22"/>
        </w:rPr>
        <w:fldChar w:fldCharType="separate"/>
      </w:r>
      <w:r w:rsidR="00C5725E" w:rsidRPr="00C5725E">
        <w:rPr>
          <w:rFonts w:ascii="Arial" w:hAnsi="Arial" w:cs="Arial"/>
          <w:noProof/>
          <w:sz w:val="22"/>
          <w:szCs w:val="22"/>
        </w:rPr>
        <w:t>(</w:t>
      </w:r>
      <w:r w:rsidR="00C671B2">
        <w:rPr>
          <w:rFonts w:ascii="Arial" w:hAnsi="Arial" w:cs="Arial"/>
          <w:noProof/>
          <w:sz w:val="22"/>
          <w:szCs w:val="22"/>
        </w:rPr>
        <w:t>11</w:t>
      </w:r>
      <w:r w:rsidR="00C5725E" w:rsidRPr="00C5725E">
        <w:rPr>
          <w:rFonts w:ascii="Arial" w:hAnsi="Arial" w:cs="Arial"/>
          <w:noProof/>
          <w:sz w:val="22"/>
          <w:szCs w:val="22"/>
        </w:rPr>
        <w:t>)</w:t>
      </w:r>
      <w:r w:rsidR="00101D7B" w:rsidRPr="008C38BB">
        <w:rPr>
          <w:rFonts w:ascii="Arial" w:hAnsi="Arial" w:cs="Arial"/>
          <w:sz w:val="22"/>
          <w:szCs w:val="22"/>
        </w:rPr>
        <w:fldChar w:fldCharType="end"/>
      </w:r>
      <w:r w:rsidR="00101D7B" w:rsidRPr="008C38BB">
        <w:rPr>
          <w:rFonts w:ascii="Arial" w:hAnsi="Arial" w:cs="Arial"/>
          <w:sz w:val="22"/>
          <w:szCs w:val="22"/>
        </w:rPr>
        <w:t xml:space="preserve">. </w:t>
      </w:r>
      <w:r w:rsidR="009F1C8E">
        <w:rPr>
          <w:rFonts w:ascii="Arial" w:hAnsi="Arial" w:cs="Arial"/>
          <w:sz w:val="22"/>
          <w:szCs w:val="22"/>
        </w:rPr>
        <w:t xml:space="preserve"> </w:t>
      </w:r>
    </w:p>
    <w:p w14:paraId="64D4B9AD" w14:textId="77777777" w:rsidR="00921F7F" w:rsidRPr="008C38BB" w:rsidRDefault="00921F7F" w:rsidP="00E67AD6">
      <w:pPr>
        <w:rPr>
          <w:rFonts w:ascii="Arial" w:hAnsi="Arial" w:cs="Arial"/>
          <w:sz w:val="22"/>
          <w:szCs w:val="22"/>
        </w:rPr>
      </w:pPr>
    </w:p>
    <w:p w14:paraId="24DFA8A3" w14:textId="06B45EF2" w:rsidR="000D6B56" w:rsidRPr="00594BDC" w:rsidRDefault="0039136A" w:rsidP="00E67AD6">
      <w:pPr>
        <w:rPr>
          <w:rFonts w:ascii="Arial" w:hAnsi="Arial" w:cs="Arial"/>
          <w:b/>
          <w:bCs/>
          <w:sz w:val="22"/>
          <w:szCs w:val="22"/>
        </w:rPr>
      </w:pPr>
      <w:r w:rsidRPr="008C38BB">
        <w:rPr>
          <w:rFonts w:ascii="Arial" w:hAnsi="Arial" w:cs="Arial"/>
          <w:sz w:val="22"/>
          <w:szCs w:val="22"/>
        </w:rPr>
        <w:t xml:space="preserve">In </w:t>
      </w:r>
      <w:r w:rsidR="00101D7B" w:rsidRPr="008C38BB">
        <w:rPr>
          <w:rFonts w:ascii="Arial" w:hAnsi="Arial" w:cs="Arial"/>
          <w:sz w:val="22"/>
          <w:szCs w:val="22"/>
        </w:rPr>
        <w:t>202</w:t>
      </w:r>
      <w:r w:rsidR="00B53720" w:rsidRPr="008C38BB">
        <w:rPr>
          <w:rFonts w:ascii="Arial" w:hAnsi="Arial" w:cs="Arial"/>
          <w:sz w:val="22"/>
          <w:szCs w:val="22"/>
        </w:rPr>
        <w:t>0</w:t>
      </w:r>
      <w:r w:rsidR="00456BC4">
        <w:rPr>
          <w:rFonts w:ascii="Arial" w:hAnsi="Arial" w:cs="Arial"/>
          <w:sz w:val="22"/>
          <w:szCs w:val="22"/>
        </w:rPr>
        <w:t xml:space="preserve">, </w:t>
      </w:r>
      <w:r w:rsidR="00101D7B" w:rsidRPr="008C38BB">
        <w:rPr>
          <w:rFonts w:ascii="Arial" w:hAnsi="Arial" w:cs="Arial"/>
          <w:sz w:val="22"/>
          <w:szCs w:val="22"/>
        </w:rPr>
        <w:t>18% of regular service personnel smoked, with smoking prevalence particularly high in the British Army (23%), compared with Royal Navy (15%) and RAF (10%)</w:t>
      </w:r>
      <w:r w:rsidR="00101D7B"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{"citationItems":[{"id":"ITEM-1","itemData":{"author":[{"dropping-particle":"","family":"Ministry of Defence","given":"","non-dropping-particle":"","parse-names":false,"suffix":""}],"id":"ITEM-1","issued":{"date-parts":[["2020"]]},"title":"Freedom of Information Request Information","type":"report"},"uris":["http://www.mendeley.com/documents/?uuid=49087054-f356-4cdf-9ff6-8485c980645c"]}],"mendeley":{"formattedCitation":"(11)","plainTextFormattedCitation":"(11)","previouslyFormattedCitation":"(11)"},"properties":{"noteIndex":0},"schema":"https://github.com/citation-style-language/schema/raw/master/csl-citation.json"}</w:instrText>
      </w:r>
      <w:r w:rsidR="00101D7B" w:rsidRPr="008C38BB">
        <w:rPr>
          <w:rFonts w:ascii="Arial" w:hAnsi="Arial" w:cs="Arial"/>
          <w:sz w:val="22"/>
          <w:szCs w:val="22"/>
        </w:rPr>
        <w:fldChar w:fldCharType="separate"/>
      </w:r>
      <w:r w:rsidR="00C5725E" w:rsidRPr="00C5725E">
        <w:rPr>
          <w:rFonts w:ascii="Arial" w:hAnsi="Arial" w:cs="Arial"/>
          <w:noProof/>
          <w:sz w:val="22"/>
          <w:szCs w:val="22"/>
        </w:rPr>
        <w:t>(1</w:t>
      </w:r>
      <w:r w:rsidR="00C671B2">
        <w:rPr>
          <w:rFonts w:ascii="Arial" w:hAnsi="Arial" w:cs="Arial"/>
          <w:noProof/>
          <w:sz w:val="22"/>
          <w:szCs w:val="22"/>
        </w:rPr>
        <w:t>2</w:t>
      </w:r>
      <w:r w:rsidR="00C5725E" w:rsidRPr="00C5725E">
        <w:rPr>
          <w:rFonts w:ascii="Arial" w:hAnsi="Arial" w:cs="Arial"/>
          <w:noProof/>
          <w:sz w:val="22"/>
          <w:szCs w:val="22"/>
        </w:rPr>
        <w:t>)</w:t>
      </w:r>
      <w:r w:rsidR="00101D7B" w:rsidRPr="008C38BB">
        <w:rPr>
          <w:rFonts w:ascii="Arial" w:hAnsi="Arial" w:cs="Arial"/>
          <w:sz w:val="22"/>
          <w:szCs w:val="22"/>
        </w:rPr>
        <w:fldChar w:fldCharType="end"/>
      </w:r>
      <w:r w:rsidR="00101D7B" w:rsidRPr="008C38BB">
        <w:rPr>
          <w:rFonts w:ascii="Arial" w:hAnsi="Arial" w:cs="Arial"/>
          <w:sz w:val="22"/>
          <w:szCs w:val="22"/>
        </w:rPr>
        <w:t>.</w:t>
      </w:r>
      <w:r w:rsidR="00921F7F" w:rsidRPr="008C38BB">
        <w:rPr>
          <w:rFonts w:ascii="Arial" w:hAnsi="Arial" w:cs="Arial"/>
          <w:sz w:val="22"/>
          <w:szCs w:val="22"/>
        </w:rPr>
        <w:t xml:space="preserve"> </w:t>
      </w:r>
      <w:r w:rsidRPr="008C38BB">
        <w:rPr>
          <w:rFonts w:ascii="Arial" w:hAnsi="Arial" w:cs="Arial"/>
          <w:sz w:val="22"/>
          <w:szCs w:val="22"/>
        </w:rPr>
        <w:t>A particular</w:t>
      </w:r>
      <w:r w:rsidR="00881A4E">
        <w:rPr>
          <w:rFonts w:ascii="Arial" w:hAnsi="Arial" w:cs="Arial"/>
          <w:sz w:val="22"/>
          <w:szCs w:val="22"/>
        </w:rPr>
        <w:t xml:space="preserve"> </w:t>
      </w:r>
      <w:r w:rsidR="009F1C8E" w:rsidRPr="008B08D9">
        <w:rPr>
          <w:rFonts w:ascii="Arial" w:hAnsi="Arial" w:cs="Arial"/>
          <w:sz w:val="22"/>
          <w:szCs w:val="22"/>
        </w:rPr>
        <w:t>organisational</w:t>
      </w:r>
      <w:r w:rsidRPr="008C38BB">
        <w:rPr>
          <w:rFonts w:ascii="Arial" w:hAnsi="Arial" w:cs="Arial"/>
          <w:sz w:val="22"/>
          <w:szCs w:val="22"/>
        </w:rPr>
        <w:t xml:space="preserve"> concern is that personnel who join the military as non-smokers start smoking whilst undertaking military training, and continue to smoke whilst in-service and upon leaving</w:t>
      </w:r>
      <w:r w:rsidR="000D6B56"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{"citationItems":[{"id":"ITEM-1","itemData":{"DOI":"10.1136/bmjmilitary-2020-001599","abstract":"In September 2019, Harrogate Army Foundation College (AFC) introduced what is believed to be the British Army’s first smoking ban. AFC, the British Army’s only training college for junior soldiers (JS) aged 16–18 years, had identified the possibility of JS adopting a smoking habit during training and introduced positive steps to mitigate this risk. The smoking ban for JS was part of a phased approach, with a complete ban being implemented in January 2020, which extended to all personnel on camp. A historically strong smoking culture in the military meant introducing a ban had inherent challenges, but the potential benefits from doing so made it worth considering. The introduction of the ban coincided with an intake of around 1070 new JS. Intakes are a busy period for the medical centre, with each JS requiring an Initial Medical Assessment. The added requirement to provide smoking cessation therapy at this time resulted in an increased workload. Medical challenges during this period included staffing numbers, dispensary stock levels for nicotine replacement therapy and disruption to routine clinics. However, experience gained from the September 2019 intake resulted in modifications that allowed the next intake in March 2020 to be optimised. Success when introducing a smoking ban in a military establishment is dependent on early planning and clear communication between the chain of command and the medical centre. As the military moves towards a larger scale smoking ban, lessons from AFC’s experience may help guide other military establishments with the implementation process.","author":[{"dropping-particle":"","family":"Johnstone","given":"Amy","non-dropping-particle":"","parse-names":false,"suffix":""},{"dropping-particle":"","family":"Martin-Bates","given":"A J","non-dropping-particle":"","parse-names":false,"suffix":""}],"container-title":"BMJ Military Health","id":"ITEM-1","issued":{"date-parts":[["2020","9","16"]]},"page":"bmjmilitary-2020-001599","title":"Banning smoking at Army Foundation College, Harrogate: a military phase I training establishment’s experience of introducing a smoking ban","type":"article-journal"},"uris":["http://www.mendeley.com/documents/?uuid=dc407345-d647-4577-a185-693d5ab6ed88"]},{"id":"ITEM-2","itemData":{"URL":"https://www.bbc.co.uk/news/uk-england-york-north-yorkshire-49646705","author":[{"dropping-particle":"","family":"BBC","given":"","non-dropping-particle":"","parse-names":false,"suffix":""}],"id":"ITEM-2","issued":{"date-parts":[["2019"]]},"title":"Army bans smoking at Harrogate training college","type":"webpage"},"uris":["http://www.mendeley.com/documents/?uuid=182a98a0-0125-425d-9bfd-99adaa73425a"]},{"id":"ITEM-3","itemData":{"author":[{"dropping-particle":"","family":"Carter","given":"A","non-dropping-particle":"","parse-names":false,"suffix":""}],"id":"ITEM-3","issued":{"date-parts":[["2016"]]},"title":"Policy Memorandum 16-001, Department of Defense Tobacco Policy. Department of Defense.","type":"article-journal"},"uris":["http://www.mendeley.com/documents/?uuid=b08b86de-27cb-4db8-ba65-0a7a6f429af1"]}],"mendeley":{"formattedCitation":"(12–14)","plainTextFormattedCitation":"(12–14)","previouslyFormattedCitation":"(12–14)"},"properties":{"noteIndex":0},"schema":"https://github.com/citation-style-language/schema/raw/master/csl-citation.json"}</w:instrText>
      </w:r>
      <w:r w:rsidR="000D6B56" w:rsidRPr="008C38BB">
        <w:rPr>
          <w:rFonts w:ascii="Arial" w:hAnsi="Arial" w:cs="Arial"/>
          <w:sz w:val="22"/>
          <w:szCs w:val="22"/>
        </w:rPr>
        <w:fldChar w:fldCharType="separate"/>
      </w:r>
      <w:r w:rsidR="00C5725E" w:rsidRPr="00C5725E">
        <w:rPr>
          <w:rFonts w:ascii="Arial" w:hAnsi="Arial" w:cs="Arial"/>
          <w:noProof/>
          <w:sz w:val="22"/>
          <w:szCs w:val="22"/>
        </w:rPr>
        <w:t>(</w:t>
      </w:r>
      <w:r w:rsidR="00C671B2">
        <w:rPr>
          <w:rFonts w:ascii="Arial" w:hAnsi="Arial" w:cs="Arial"/>
          <w:noProof/>
          <w:sz w:val="22"/>
          <w:szCs w:val="22"/>
        </w:rPr>
        <w:t>13-15</w:t>
      </w:r>
      <w:r w:rsidR="00C5725E" w:rsidRPr="00C5725E">
        <w:rPr>
          <w:rFonts w:ascii="Arial" w:hAnsi="Arial" w:cs="Arial"/>
          <w:noProof/>
          <w:sz w:val="22"/>
          <w:szCs w:val="22"/>
        </w:rPr>
        <w:t>)</w:t>
      </w:r>
      <w:r w:rsidR="000D6B56" w:rsidRPr="008C38BB">
        <w:rPr>
          <w:rFonts w:ascii="Arial" w:hAnsi="Arial" w:cs="Arial"/>
          <w:sz w:val="22"/>
          <w:szCs w:val="22"/>
        </w:rPr>
        <w:fldChar w:fldCharType="end"/>
      </w:r>
      <w:r w:rsidRPr="008C38BB">
        <w:rPr>
          <w:rFonts w:ascii="Arial" w:hAnsi="Arial" w:cs="Arial"/>
          <w:sz w:val="22"/>
          <w:szCs w:val="22"/>
        </w:rPr>
        <w:t xml:space="preserve">. This represents a significant disease burden both to </w:t>
      </w:r>
      <w:r w:rsidRPr="009A3E17">
        <w:rPr>
          <w:rFonts w:ascii="Arial" w:hAnsi="Arial" w:cs="Arial"/>
          <w:sz w:val="22"/>
          <w:szCs w:val="22"/>
        </w:rPr>
        <w:t>the individual and the service</w:t>
      </w:r>
      <w:r w:rsidR="00E603E2">
        <w:rPr>
          <w:rFonts w:ascii="Arial" w:hAnsi="Arial" w:cs="Arial"/>
          <w:sz w:val="22"/>
          <w:szCs w:val="22"/>
        </w:rPr>
        <w:t>,</w:t>
      </w:r>
      <w:r w:rsidR="00DB0C55" w:rsidRPr="009A3E17">
        <w:rPr>
          <w:rFonts w:ascii="Arial" w:hAnsi="Arial" w:cs="Arial"/>
          <w:sz w:val="22"/>
          <w:szCs w:val="22"/>
        </w:rPr>
        <w:t xml:space="preserve"> impairing </w:t>
      </w:r>
      <w:r w:rsidR="00B8724D" w:rsidRPr="009A3E17">
        <w:rPr>
          <w:rFonts w:ascii="Arial" w:hAnsi="Arial" w:cs="Arial"/>
          <w:sz w:val="22"/>
          <w:szCs w:val="22"/>
        </w:rPr>
        <w:t>cardiovascular</w:t>
      </w:r>
      <w:r w:rsidR="00DB0C55" w:rsidRPr="009A3E17">
        <w:rPr>
          <w:rFonts w:ascii="Arial" w:hAnsi="Arial" w:cs="Arial"/>
          <w:sz w:val="22"/>
          <w:szCs w:val="22"/>
        </w:rPr>
        <w:t xml:space="preserve"> and respiratory</w:t>
      </w:r>
      <w:r w:rsidR="00B8724D" w:rsidRPr="009A3E17">
        <w:rPr>
          <w:rFonts w:ascii="Arial" w:hAnsi="Arial" w:cs="Arial"/>
          <w:sz w:val="22"/>
          <w:szCs w:val="22"/>
        </w:rPr>
        <w:t xml:space="preserve"> </w:t>
      </w:r>
      <w:r w:rsidR="00DB0C55" w:rsidRPr="009A3E17">
        <w:rPr>
          <w:rFonts w:ascii="Arial" w:hAnsi="Arial" w:cs="Arial"/>
          <w:sz w:val="22"/>
          <w:szCs w:val="22"/>
        </w:rPr>
        <w:t xml:space="preserve">health and physical fitness </w:t>
      </w:r>
      <w:r w:rsidR="00DB0C55" w:rsidRPr="009A3E17">
        <w:rPr>
          <w:rFonts w:ascii="Arial" w:hAnsi="Arial" w:cs="Arial"/>
          <w:sz w:val="22"/>
          <w:szCs w:val="22"/>
        </w:rPr>
        <w:fldChar w:fldCharType="begin" w:fldLock="1"/>
      </w:r>
      <w:r w:rsidR="00DB0C55" w:rsidRPr="009A3E17">
        <w:rPr>
          <w:rFonts w:ascii="Arial" w:hAnsi="Arial" w:cs="Arial"/>
          <w:sz w:val="22"/>
          <w:szCs w:val="22"/>
        </w:rPr>
        <w:instrText>ADDIN CSL_CITATION {"citationItems":[{"id":"ITEM-1","itemData":{"DOI":"https://doi.org/10.1016/0091-7435(92)90079-W","ISSN":"0091-7435","abstract":"Background. Research on smoking and physical activity provides strong evidence of smoking's negative impact and physical activity's positive impact on long-term health. However, evidence regarding the association between smoking and exercise activity and the independent effects of these factors on fitness is lacking. Methods. The associations among exercise activity, smoking behavior, and physical fitness were examined in 3,045 Navy personnel. Exercise and smoking behaviors were measured using a lifestyle survey. Physical fitness was assessed using scores on the Navy's Physical Readiness Test. Analyses of variance were conducted to examine the relationships among smoking status, exercise activity, and PRT performance. Multiple regression procedures were used to examine the relationship between smoking and physical fitness after statistically controlling for the effects of exercise. Results. Smoking was associated with lower exercise levels and lower physical endurance—both cardiorespiratory (1.5-mile run) and muscular (sit-ups). After controlling for exercise activity, smoking remained significantly associated with lower physical endurance but was not related to overall body strength (lean body mass) or percentage body fat. Conclusion. Smoking is a detriment to physical fitness even among relatively young, fit individuals. Study findings suggest that smokers will have lower physical endurance than nonsmokers, even after differences in the average exercise levels of smokers and nonsmokers are taken into account. Cigarette smokers should be given strong encouragement to stop smoking as part of any effort to improve physical fitness.","author":[{"dropping-particle":"","family":"Conway","given":"Terry L","non-dropping-particle":"","parse-names":false,"suffix":""},{"dropping-particle":"","family":"Cronan","given":"Terry A","non-dropping-particle":"","parse-names":false,"suffix":""}],"container-title":"Preventive Medicine","id":"ITEM-1","issue":"6","issued":{"date-parts":[["1992"]]},"page":"723-734","title":"Smoking, exercise, and physical fitness","type":"article-journal","volume":"21"},"uris":["http://www.mendeley.com/documents/?uuid=f813cb89-559b-4a7f-9db0-453f047435c8"]},{"id":"ITEM-2","itemData":{"DOI":"10.1093/occmed/kqx006","ISSN":"0962-7480","abstract":"Habitual smoking is prevalent in military populations, but whether smoking status influences physical fitness development during training is not clear.To investigate the effect of smoking status on physical fitness parameters during initial British Army infantry training.Routine measures of physical fitness (2.4-km run time and maximum number of press ups and sit ups in 2 min) were obtained in male recruits at weeks 1, 14 and 24 of initial military training. A linear mixed model was used to identify differences in performance between smokers and non-smokers over time.Among 1182 study subjects (mean ± SD: age 20 ± 3, body mass 70.6 ± 9.8 kg, height 1.77 ± 0.07 m; 58% smokers), non-smokers performed significantly better than smokers in all performance tests (P &amp;lt; 0.01), but rates of improvement during training were similar (P &amp;gt; 0.05). Run performance improved by 7% in non-smokers (estimated marginal means 612–567 s) and 8% in smokers (622–571 s). Press up performance improved by 18% in non-smokers (48.3–57.0) and 23% in smokers (44.1–54.5) and sit up performance by 15% in non-smokers (57.3–66.0) and 18% in smokers (53.8–63.3).Smokers exhibited lower muscular and cardiorespiratory endurance performance than non-smokers. Unexpectedly, however, no significant differences in improvement in performance indices were demonstrated between smokers and non-smokers during military training.","author":[{"dropping-particle":"","family":"Siddall","given":"A G","non-dropping-particle":"","parse-names":false,"suffix":""},{"dropping-particle":"","family":"Bilzon","given":"J L J","non-dropping-particle":"","parse-names":false,"suffix":""},{"dropping-particle":"","family":"Thompson","given":"D","non-dropping-particle":"","parse-names":false,"suffix":""},{"dropping-particle":"","family":"Greeves","given":"J","non-dropping-particle":"","parse-names":false,"suffix":""},{"dropping-particle":"","family":"Izard","given":"R","non-dropping-particle":"","parse-names":false,"suffix":""},{"dropping-particle":"","family":"Stokes","given":"K A","non-dropping-particle":"","parse-names":false,"suffix":""}],"container-title":"Occupational Medicine","id":"ITEM-2","issue":"3","issued":{"date-parts":[["2017","2","15"]]},"page":"205-210","title":"Smoking status and physical fitness during initial military training","type":"article-journal","volume":"67"},"uris":["http://www.mendeley.com/documents/?uuid=a7e6ee83-bf6a-43aa-a8cb-2103796fa4bf"]},{"id":"ITEM-3","itemData":{"DOI":"10.1136/jramc-131-01-09","abstract":"300 Multiple ChoicesThis is a pdf-only article and there is no markup to show you.full-text.pdf","author":[{"dropping-particle":"","family":"Lynch","given":"P","non-dropping-particle":"","parse-names":false,"suffix":""}],"container-title":"Journal of the Royal Army Medical Corps","id":"ITEM-3","issue":"1","issued":{"date-parts":[["1985","1","1"]]},"page":"38 LP  - 41","title":"Coronary Risk Profile of Young Soldiers with Coronary Heart Disease","type":"article-journal","volume":"131"},"uris":["http://www.mendeley.com/documents/?uuid=e93568cd-ec6b-469f-b22d-24c67869ad7a"]},{"id":"ITEM-4","itemData":{"DOI":"10.1136/jramc-138-03-02","abstract":"300 Multiple ChoicesThis is a pdf-only article and there is no markup to show you.full-text.pdf","author":[{"dropping-particle":"","family":"Hoad","given":"N A","non-dropping-particle":"","parse-names":false,"suffix":""},{"dropping-particle":"","family":"Clay","given":"D N","non-dropping-particle":"","parse-names":false,"suffix":""}],"container-title":"Journal of the Royal Army Medical Corps","id":"ITEM-4","issue":"3","issued":{"date-parts":[["1992","10","1"]]},"page":"115 LP  - 117","title":"Smoking Impairs the Response to a Physical Training Regime: A Study of Officer Cadets","type":"article-journal","volume":"138"},"uris":["http://www.mendeley.com/documents/?uuid=d6da84da-d998-4f73-ad03-d6a0e3b66497"]}],"mendeley":{"formattedCitation":"(15–18)","plainTextFormattedCitation":"(15–18)","previouslyFormattedCitation":"(15–18)"},"properties":{"noteIndex":0},"schema":"https://github.com/citation-style-language/schema/raw/master/csl-citation.json"}</w:instrText>
      </w:r>
      <w:r w:rsidR="00DB0C55" w:rsidRPr="009A3E17">
        <w:rPr>
          <w:rFonts w:ascii="Arial" w:hAnsi="Arial" w:cs="Arial"/>
          <w:sz w:val="22"/>
          <w:szCs w:val="22"/>
        </w:rPr>
        <w:fldChar w:fldCharType="separate"/>
      </w:r>
      <w:r w:rsidR="00DB0C55" w:rsidRPr="009A3E17">
        <w:rPr>
          <w:rFonts w:ascii="Arial" w:hAnsi="Arial" w:cs="Arial"/>
          <w:noProof/>
          <w:sz w:val="22"/>
          <w:szCs w:val="22"/>
        </w:rPr>
        <w:t>(</w:t>
      </w:r>
      <w:r w:rsidR="00C671B2">
        <w:rPr>
          <w:rFonts w:ascii="Arial" w:hAnsi="Arial" w:cs="Arial"/>
          <w:noProof/>
          <w:sz w:val="22"/>
          <w:szCs w:val="22"/>
        </w:rPr>
        <w:t>16-19</w:t>
      </w:r>
      <w:r w:rsidR="00DB0C55" w:rsidRPr="009A3E17">
        <w:rPr>
          <w:rFonts w:ascii="Arial" w:hAnsi="Arial" w:cs="Arial"/>
          <w:noProof/>
          <w:sz w:val="22"/>
          <w:szCs w:val="22"/>
        </w:rPr>
        <w:t>)</w:t>
      </w:r>
      <w:r w:rsidR="00DB0C55" w:rsidRPr="009A3E17">
        <w:rPr>
          <w:rFonts w:ascii="Arial" w:hAnsi="Arial" w:cs="Arial"/>
          <w:sz w:val="22"/>
          <w:szCs w:val="22"/>
        </w:rPr>
        <w:fldChar w:fldCharType="end"/>
      </w:r>
      <w:r w:rsidR="00B8724D" w:rsidRPr="009A3E17">
        <w:rPr>
          <w:rFonts w:ascii="Arial" w:hAnsi="Arial" w:cs="Arial"/>
          <w:sz w:val="22"/>
          <w:szCs w:val="22"/>
        </w:rPr>
        <w:t>,</w:t>
      </w:r>
      <w:r w:rsidR="00594BDC">
        <w:rPr>
          <w:rFonts w:ascii="Arial" w:hAnsi="Arial" w:cs="Arial"/>
          <w:sz w:val="22"/>
          <w:szCs w:val="22"/>
        </w:rPr>
        <w:t xml:space="preserve"> </w:t>
      </w:r>
      <w:r w:rsidR="00594BDC" w:rsidRPr="008B08D9">
        <w:rPr>
          <w:rFonts w:ascii="Arial" w:hAnsi="Arial" w:cs="Arial"/>
          <w:color w:val="000000" w:themeColor="text1"/>
          <w:sz w:val="22"/>
          <w:szCs w:val="22"/>
        </w:rPr>
        <w:t>whilst recent studies have suggested a</w:t>
      </w:r>
      <w:r w:rsidR="00200908" w:rsidRPr="008B08D9">
        <w:rPr>
          <w:rFonts w:ascii="Arial" w:hAnsi="Arial" w:cs="Arial"/>
          <w:color w:val="000000" w:themeColor="text1"/>
          <w:sz w:val="22"/>
          <w:szCs w:val="22"/>
        </w:rPr>
        <w:t>n association</w:t>
      </w:r>
      <w:r w:rsidR="00594BDC" w:rsidRPr="008B08D9">
        <w:rPr>
          <w:rFonts w:ascii="Arial" w:hAnsi="Arial" w:cs="Arial"/>
          <w:color w:val="000000" w:themeColor="text1"/>
          <w:sz w:val="22"/>
          <w:szCs w:val="22"/>
        </w:rPr>
        <w:t xml:space="preserve"> between smoking and risk of musculoskeletal injuries (MSKI)</w:t>
      </w:r>
      <w:r w:rsidR="000B421E" w:rsidRPr="008B08D9">
        <w:rPr>
          <w:rFonts w:ascii="Arial" w:hAnsi="Arial" w:cs="Arial"/>
          <w:sz w:val="22"/>
          <w:szCs w:val="22"/>
        </w:rPr>
        <w:fldChar w:fldCharType="begin" w:fldLock="1"/>
      </w:r>
      <w:r w:rsidR="00442127" w:rsidRPr="008B08D9">
        <w:rPr>
          <w:rFonts w:ascii="Arial" w:hAnsi="Arial" w:cs="Arial"/>
          <w:sz w:val="22"/>
          <w:szCs w:val="22"/>
        </w:rPr>
        <w:instrText>ADDIN CSL_CITATION {"citationItems":[{"id":"ITEM-1","itemData":{"ISSN":"0195-9131","abstract":"Purpose \nTobacco use is common among military personnel, as is musculoskeletal injury during training. In a review of the literature on musculoskeletal injuries, there was mixed evidence on the role of smoking as a risk factor. The purpose of this study is to review and analyze the literature on the impact of cigarette smoking on lower-extremity overuse injuries in military training.\nMethods\nWe performed a literature search on articles published through October 2016. Search terms focused on lower-extremity overuse musculoskeletal injuries and cigarette smoking in military populations. We conducted a meta-analysis overall and by sex, including smoking intensity.\nResults\nWe identified 129 potential studies and selected 18 based on quality. The overall rate ratio for smoking was 1.31, 1.31 for men, and 1.23 for women. Overall and for each sex, rate ratios were significantly greater than 1.0 for each intensity level of smoking.\nConclusions\nSmoking is a moderate risk factor for musculoskeletal injury and may account for a meaningful proportion of injuries among men and women due to the high prevalence of smoking and injury in this population. Although enlistees are not allowed to smoke during basic training, their risk of injury remains high, indicating that smokers may remain at increased risk for medium- to long-term duration.","author":[{"dropping-particle":"","family":"BEDNO","given":"SHERYL A","non-dropping-particle":"","parse-names":false,"suffix":""},{"dropping-particle":"","family":"JACKSON","given":"RHONDA","non-dropping-particle":"","parse-names":false,"suffix":""},{"dropping-particle":"","family":"FENG","given":"XIAOSHU","non-dropping-particle":"","parse-names":false,"suffix":""},{"dropping-particle":"","family":"WALTON","given":"IMANI L","non-dropping-particle":"","parse-names":false,"suffix":""},{"dropping-particle":"","family":"BOIVIN","given":"MICHAEL R","non-dropping-particle":"","parse-names":false,"suffix":""},{"dropping-particle":"","family":"COWAN","given":"DAVID N","non-dropping-particle":"","parse-names":false,"suffix":""}],"container-title":"Medicine &amp; Science in Sports &amp; Exercise","id":"ITEM-1","issue":"11","issued":{"date-parts":[["2017"]]},"title":"Meta-analysis of Cigarette Smoking and Musculoskeletal Injuries in Military Training","type":"article-journal","volume":"49"},"uris":["http://www.mendeley.com/documents/?uuid=f8b8787f-dc30-48e8-a98a-b6e63093fc00"]},{"id":"ITEM-2","itemData":{"DOI":"10.1093/occmed/kql170","ISSN":"0962-7480","abstract":"Background Training for the Royal Marines (RMs) is considered to be one of the most arduous military training regimes in the world. Approximately 16% of the annual intake of recruits suffer an injury. Smoking has been found to be a predisposition to injury.Objective To examine the relationship between recruits' smoking status on entry to training and subsequent incidence of injury.Method Retrospective, longitudinal analysis of 1 year's intake of RM recruits at Commando Training Centre Royal Marines.Results A significantly greater proportion of RM recruits who were smokers on entry to training experienced a physical injury during the course than their non-smoking counterparts (chi-square = 8.15, P &amp;lt; 0.01). A recruit who smoked on entry to training was almost twice as likely to acquire an injury during training [relative risk = 1.7 (95% CI = 1.2–2.8)].Conclusion Smoking status of RM recruits in training was significantly associated with injury.","author":[{"dropping-particle":"","family":"Munnoch","given":"Kathy","non-dropping-particle":"","parse-names":false,"suffix":""},{"dropping-particle":"","family":"Bridger","given":"Robert S","non-dropping-particle":"","parse-names":false,"suffix":""}],"container-title":"Occupational Medicine","id":"ITEM-2","issue":"3","issued":{"date-parts":[["2007","1","11"]]},"page":"214-216","title":"Smoking and injury in Royal Marines' training","type":"article-journal","volume":"57"},"uris":["http://www.mendeley.com/documents/?uuid=2d066f7c-8c2d-47ba-a3c6-28402f2ec6cc"]}],"mendeley":{"formattedCitation":"(19,20)","plainTextFormattedCitation":"(19,20)","previouslyFormattedCitation":"(19,20)"},"properties":{"noteIndex":0},"schema":"https://github.com/citation-style-language/schema/raw/master/csl-citation.json"}</w:instrText>
      </w:r>
      <w:r w:rsidR="000B421E" w:rsidRPr="008B08D9">
        <w:rPr>
          <w:rFonts w:ascii="Arial" w:hAnsi="Arial" w:cs="Arial"/>
          <w:sz w:val="22"/>
          <w:szCs w:val="22"/>
        </w:rPr>
        <w:fldChar w:fldCharType="separate"/>
      </w:r>
      <w:r w:rsidR="00DB0C55" w:rsidRPr="008B08D9">
        <w:rPr>
          <w:rFonts w:ascii="Arial" w:hAnsi="Arial" w:cs="Arial"/>
          <w:noProof/>
          <w:sz w:val="22"/>
          <w:szCs w:val="22"/>
        </w:rPr>
        <w:t>(</w:t>
      </w:r>
      <w:r w:rsidR="00A712B8" w:rsidRPr="008B08D9">
        <w:rPr>
          <w:rFonts w:ascii="Arial" w:hAnsi="Arial" w:cs="Arial"/>
          <w:noProof/>
          <w:sz w:val="22"/>
          <w:szCs w:val="22"/>
        </w:rPr>
        <w:t>20,21</w:t>
      </w:r>
      <w:r w:rsidR="00DB0C55" w:rsidRPr="008B08D9">
        <w:rPr>
          <w:rFonts w:ascii="Arial" w:hAnsi="Arial" w:cs="Arial"/>
          <w:noProof/>
          <w:sz w:val="22"/>
          <w:szCs w:val="22"/>
        </w:rPr>
        <w:t>)</w:t>
      </w:r>
      <w:r w:rsidR="000B421E" w:rsidRPr="008B08D9">
        <w:rPr>
          <w:rFonts w:ascii="Arial" w:hAnsi="Arial" w:cs="Arial"/>
          <w:sz w:val="22"/>
          <w:szCs w:val="22"/>
        </w:rPr>
        <w:fldChar w:fldCharType="end"/>
      </w:r>
      <w:r w:rsidRPr="008C38BB">
        <w:rPr>
          <w:rFonts w:ascii="Arial" w:hAnsi="Arial" w:cs="Arial"/>
          <w:sz w:val="22"/>
          <w:szCs w:val="22"/>
        </w:rPr>
        <w:t xml:space="preserve">. This </w:t>
      </w:r>
      <w:r w:rsidR="000D6B56" w:rsidRPr="008C38BB">
        <w:rPr>
          <w:rFonts w:ascii="Arial" w:hAnsi="Arial" w:cs="Arial"/>
          <w:sz w:val="22"/>
          <w:szCs w:val="22"/>
        </w:rPr>
        <w:t xml:space="preserve">impacts both deployability and employability, with MSKI being </w:t>
      </w:r>
      <w:r w:rsidR="000B421E" w:rsidRPr="008C38BB">
        <w:rPr>
          <w:rFonts w:ascii="Arial" w:hAnsi="Arial" w:cs="Arial"/>
          <w:sz w:val="22"/>
          <w:szCs w:val="22"/>
        </w:rPr>
        <w:t>the leading reason for medical</w:t>
      </w:r>
      <w:r w:rsidR="00456BC4">
        <w:rPr>
          <w:rFonts w:ascii="Arial" w:hAnsi="Arial" w:cs="Arial"/>
          <w:sz w:val="22"/>
          <w:szCs w:val="22"/>
        </w:rPr>
        <w:t xml:space="preserve"> </w:t>
      </w:r>
      <w:r w:rsidR="000B421E" w:rsidRPr="008C38BB">
        <w:rPr>
          <w:rFonts w:ascii="Arial" w:hAnsi="Arial" w:cs="Arial"/>
          <w:sz w:val="22"/>
          <w:szCs w:val="22"/>
        </w:rPr>
        <w:t>discharge</w:t>
      </w:r>
      <w:r w:rsidR="000B421E"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{"citationItems":[{"id":"ITEM-1","itemData":{"author":[{"dropping-particle":"","family":"Ministry of Defence","given":"","non-dropping-particle":"","parse-names":false,"suffix":""}],"id":"ITEM-1","issued":{"date-parts":[["2019"]]},"title":"Annual Medical Discharges in the UK Regular Armed Forces: 1 April 2014 to 31 March 2019","type":"report"},"uris":["http://www.mendeley.com/documents/?uuid=7106f4a4-25e6-4b0a-a77e-ae89aa1933f1"]}],"mendeley":{"formattedCitation":"(21)","plainTextFormattedCitation":"(21)","previouslyFormattedCitation":"(21)"},"properties":{"noteIndex":0},"schema":"https://github.com/citation-style-language/schema/raw/master/csl-citation.json"}</w:instrText>
      </w:r>
      <w:r w:rsidR="000B421E" w:rsidRPr="008C38BB">
        <w:rPr>
          <w:rFonts w:ascii="Arial" w:hAnsi="Arial" w:cs="Arial"/>
          <w:sz w:val="22"/>
          <w:szCs w:val="22"/>
        </w:rPr>
        <w:fldChar w:fldCharType="separate"/>
      </w:r>
      <w:r w:rsidR="00DB0C55" w:rsidRPr="00DB0C55">
        <w:rPr>
          <w:rFonts w:ascii="Arial" w:hAnsi="Arial" w:cs="Arial"/>
          <w:noProof/>
          <w:sz w:val="22"/>
          <w:szCs w:val="22"/>
        </w:rPr>
        <w:t>(</w:t>
      </w:r>
      <w:r w:rsidR="00C671B2">
        <w:rPr>
          <w:rFonts w:ascii="Arial" w:hAnsi="Arial" w:cs="Arial"/>
          <w:noProof/>
          <w:sz w:val="22"/>
          <w:szCs w:val="22"/>
        </w:rPr>
        <w:t>22</w:t>
      </w:r>
      <w:r w:rsidR="00DB0C55" w:rsidRPr="00DB0C55">
        <w:rPr>
          <w:rFonts w:ascii="Arial" w:hAnsi="Arial" w:cs="Arial"/>
          <w:noProof/>
          <w:sz w:val="22"/>
          <w:szCs w:val="22"/>
        </w:rPr>
        <w:t>)</w:t>
      </w:r>
      <w:r w:rsidR="000B421E" w:rsidRPr="008C38BB">
        <w:rPr>
          <w:rFonts w:ascii="Arial" w:hAnsi="Arial" w:cs="Arial"/>
          <w:sz w:val="22"/>
          <w:szCs w:val="22"/>
        </w:rPr>
        <w:fldChar w:fldCharType="end"/>
      </w:r>
      <w:r w:rsidR="000B421E" w:rsidRPr="008C38BB">
        <w:rPr>
          <w:rFonts w:ascii="Arial" w:hAnsi="Arial" w:cs="Arial"/>
          <w:sz w:val="22"/>
          <w:szCs w:val="22"/>
        </w:rPr>
        <w:t>.</w:t>
      </w:r>
    </w:p>
    <w:p w14:paraId="3A8F92E9" w14:textId="77777777" w:rsidR="000B421E" w:rsidRPr="008C38BB" w:rsidRDefault="000B421E" w:rsidP="00E67AD6">
      <w:pPr>
        <w:rPr>
          <w:rFonts w:ascii="Arial" w:hAnsi="Arial" w:cs="Arial"/>
          <w:sz w:val="22"/>
          <w:szCs w:val="22"/>
        </w:rPr>
      </w:pPr>
    </w:p>
    <w:p w14:paraId="1045081E" w14:textId="0946F2BB" w:rsidR="00921F7F" w:rsidRPr="008C38BB" w:rsidRDefault="0039136A" w:rsidP="00E67AD6">
      <w:pPr>
        <w:rPr>
          <w:rFonts w:ascii="Arial" w:hAnsi="Arial" w:cs="Arial"/>
          <w:sz w:val="22"/>
          <w:szCs w:val="22"/>
        </w:rPr>
      </w:pPr>
      <w:r w:rsidRPr="008C38BB">
        <w:rPr>
          <w:rFonts w:ascii="Arial" w:hAnsi="Arial" w:cs="Arial"/>
          <w:sz w:val="22"/>
          <w:szCs w:val="22"/>
        </w:rPr>
        <w:t xml:space="preserve">The introduction of smoke-free environments across defence, above and beyond legislative measures is, therefore, an attractive policy option to contribute to reducing </w:t>
      </w:r>
      <w:r w:rsidR="00590AC7">
        <w:rPr>
          <w:rFonts w:ascii="Arial" w:hAnsi="Arial" w:cs="Arial"/>
          <w:sz w:val="22"/>
          <w:szCs w:val="22"/>
        </w:rPr>
        <w:t xml:space="preserve">SHS exposure and </w:t>
      </w:r>
      <w:r w:rsidRPr="008C38BB">
        <w:rPr>
          <w:rFonts w:ascii="Arial" w:hAnsi="Arial" w:cs="Arial"/>
          <w:sz w:val="22"/>
          <w:szCs w:val="22"/>
        </w:rPr>
        <w:t>smoking prevalence</w:t>
      </w:r>
      <w:r w:rsidR="00590AC7">
        <w:rPr>
          <w:rFonts w:ascii="Arial" w:hAnsi="Arial" w:cs="Arial"/>
          <w:sz w:val="22"/>
          <w:szCs w:val="22"/>
        </w:rPr>
        <w:t xml:space="preserve"> in the military</w:t>
      </w:r>
      <w:r w:rsidRPr="008C38BB">
        <w:rPr>
          <w:rFonts w:ascii="Arial" w:hAnsi="Arial" w:cs="Arial"/>
          <w:sz w:val="22"/>
          <w:szCs w:val="22"/>
        </w:rPr>
        <w:t>. Other nations’ defence forces have adopted a similar strategy; in 2017 the New Zealand Defence Force (NZDF) announced that NZDF estate would be smoke-free by 2020</w:t>
      </w:r>
      <w:r w:rsidR="000B421E"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{"citationItems":[{"id":"ITEM-1","itemData":{"author":[{"dropping-particle":"","family":"Hefler","given":"Marita","non-dropping-particle":"","parse-names":false,"suffix":""}],"container-title":"Tobacco Control Blog","id":"ITEM-1","issued":{"date-parts":[["2017"]]},"title":"New Zealand to have world’s first smoke-free military by 2020","type":"article-journal"},"uris":["http://www.mendeley.com/documents/?uuid=a0e7e019-a69b-4643-aea1-c1639e7b613b"]}],"mendeley":{"formattedCitation":"(22)","plainTextFormattedCitation":"(22)","previouslyFormattedCitation":"(22)"},"properties":{"noteIndex":0},"schema":"https://github.com/citation-style-language/schema/raw/master/csl-citation.json"}</w:instrText>
      </w:r>
      <w:r w:rsidR="000B421E" w:rsidRPr="008C38BB">
        <w:rPr>
          <w:rFonts w:ascii="Arial" w:hAnsi="Arial" w:cs="Arial"/>
          <w:sz w:val="22"/>
          <w:szCs w:val="22"/>
        </w:rPr>
        <w:fldChar w:fldCharType="separate"/>
      </w:r>
      <w:r w:rsidR="00DB0C55" w:rsidRPr="00DB0C55">
        <w:rPr>
          <w:rFonts w:ascii="Arial" w:hAnsi="Arial" w:cs="Arial"/>
          <w:noProof/>
          <w:sz w:val="22"/>
          <w:szCs w:val="22"/>
        </w:rPr>
        <w:t>(</w:t>
      </w:r>
      <w:r w:rsidR="00C671B2">
        <w:rPr>
          <w:rFonts w:ascii="Arial" w:hAnsi="Arial" w:cs="Arial"/>
          <w:noProof/>
          <w:sz w:val="22"/>
          <w:szCs w:val="22"/>
        </w:rPr>
        <w:t>23</w:t>
      </w:r>
      <w:r w:rsidR="00DB0C55" w:rsidRPr="00DB0C55">
        <w:rPr>
          <w:rFonts w:ascii="Arial" w:hAnsi="Arial" w:cs="Arial"/>
          <w:noProof/>
          <w:sz w:val="22"/>
          <w:szCs w:val="22"/>
        </w:rPr>
        <w:t>)</w:t>
      </w:r>
      <w:r w:rsidR="000B421E" w:rsidRPr="008C38BB">
        <w:rPr>
          <w:rFonts w:ascii="Arial" w:hAnsi="Arial" w:cs="Arial"/>
          <w:sz w:val="22"/>
          <w:szCs w:val="22"/>
        </w:rPr>
        <w:fldChar w:fldCharType="end"/>
      </w:r>
      <w:r w:rsidR="00921F7F" w:rsidRPr="008C38BB">
        <w:rPr>
          <w:rFonts w:ascii="Arial" w:hAnsi="Arial" w:cs="Arial"/>
          <w:sz w:val="22"/>
          <w:szCs w:val="22"/>
        </w:rPr>
        <w:t xml:space="preserve">, whilst the US Department of </w:t>
      </w:r>
      <w:proofErr w:type="spellStart"/>
      <w:r w:rsidR="00921F7F" w:rsidRPr="008C38BB">
        <w:rPr>
          <w:rFonts w:ascii="Arial" w:hAnsi="Arial" w:cs="Arial"/>
          <w:sz w:val="22"/>
          <w:szCs w:val="22"/>
        </w:rPr>
        <w:t>Defense</w:t>
      </w:r>
      <w:proofErr w:type="spellEnd"/>
      <w:r w:rsidR="00921F7F" w:rsidRPr="008C38BB">
        <w:rPr>
          <w:rFonts w:ascii="Arial" w:hAnsi="Arial" w:cs="Arial"/>
          <w:sz w:val="22"/>
          <w:szCs w:val="22"/>
        </w:rPr>
        <w:t xml:space="preserve"> banned smoking in recruit training in 1987</w:t>
      </w:r>
      <w:r w:rsidR="00921F7F"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{"citationItems":[{"id":"ITEM-1","itemData":{"ISSN":"0964-4563","author":[{"dropping-particle":"","family":"Conway","given":"T L","non-dropping-particle":"","parse-names":false,"suffix":""}],"collection-title":"[Comment on: Tob Control. 1998 Autumn;7(3):232-5; PMID: 9825416 [https://www.ncbi.nlm.nih.gov/pubmed/9825416]][Comment on: Tob Control. 1998 Autumn;7(3):236-40; PMID: 9825417 [https://www.ncbi.nlm.nih.gov/pubmed/9825417]]","container-title":"Tobacco control","id":"ITEM-1","issue":"3","issued":{"date-parts":[["1998"]]},"note":"Comment on (CON), Comment on (CON)","page":"219-221","publisher-place":"England","title":"Tobacco use and the United States military: a longstanding problem.","type":"article-journal","volume":"7"},"uris":["http://www.mendeley.com/documents/?uuid=7833cb43-781d-4709-b20a-5da3250eaefa"]}],"mendeley":{"formattedCitation":"(23)","plainTextFormattedCitation":"(23)","previouslyFormattedCitation":"(23)"},"properties":{"noteIndex":0},"schema":"https://github.com/citation-style-language/schema/raw/master/csl-citation.json"}</w:instrText>
      </w:r>
      <w:r w:rsidR="00921F7F" w:rsidRPr="008C38BB">
        <w:rPr>
          <w:rFonts w:ascii="Arial" w:hAnsi="Arial" w:cs="Arial"/>
          <w:sz w:val="22"/>
          <w:szCs w:val="22"/>
        </w:rPr>
        <w:fldChar w:fldCharType="separate"/>
      </w:r>
      <w:r w:rsidR="00DB0C55" w:rsidRPr="00DB0C55">
        <w:rPr>
          <w:rFonts w:ascii="Arial" w:hAnsi="Arial" w:cs="Arial"/>
          <w:noProof/>
          <w:sz w:val="22"/>
          <w:szCs w:val="22"/>
        </w:rPr>
        <w:t>(</w:t>
      </w:r>
      <w:r w:rsidR="00C671B2">
        <w:rPr>
          <w:rFonts w:ascii="Arial" w:hAnsi="Arial" w:cs="Arial"/>
          <w:noProof/>
          <w:sz w:val="22"/>
          <w:szCs w:val="22"/>
        </w:rPr>
        <w:t>24</w:t>
      </w:r>
      <w:r w:rsidR="00DB0C55" w:rsidRPr="00DB0C55">
        <w:rPr>
          <w:rFonts w:ascii="Arial" w:hAnsi="Arial" w:cs="Arial"/>
          <w:noProof/>
          <w:sz w:val="22"/>
          <w:szCs w:val="22"/>
        </w:rPr>
        <w:t>)</w:t>
      </w:r>
      <w:r w:rsidR="00921F7F" w:rsidRPr="008C38BB">
        <w:rPr>
          <w:rFonts w:ascii="Arial" w:hAnsi="Arial" w:cs="Arial"/>
          <w:sz w:val="22"/>
          <w:szCs w:val="22"/>
        </w:rPr>
        <w:fldChar w:fldCharType="end"/>
      </w:r>
      <w:r w:rsidR="00921F7F" w:rsidRPr="008C38BB">
        <w:rPr>
          <w:rFonts w:ascii="Arial" w:hAnsi="Arial" w:cs="Arial"/>
          <w:sz w:val="22"/>
          <w:szCs w:val="22"/>
        </w:rPr>
        <w:t>.</w:t>
      </w:r>
    </w:p>
    <w:p w14:paraId="3E9D943C" w14:textId="77777777" w:rsidR="0039136A" w:rsidRPr="008C38BB" w:rsidRDefault="0039136A" w:rsidP="00E67AD6">
      <w:pPr>
        <w:rPr>
          <w:rFonts w:ascii="Arial" w:hAnsi="Arial" w:cs="Arial"/>
          <w:sz w:val="22"/>
          <w:szCs w:val="22"/>
        </w:rPr>
      </w:pPr>
    </w:p>
    <w:p w14:paraId="2A8D50A4" w14:textId="6C2995F6" w:rsidR="00EF2F3C" w:rsidRDefault="0039136A" w:rsidP="00E67AD6">
      <w:pPr>
        <w:rPr>
          <w:rFonts w:ascii="Arial" w:hAnsi="Arial" w:cs="Arial"/>
          <w:sz w:val="22"/>
          <w:szCs w:val="22"/>
        </w:rPr>
      </w:pPr>
      <w:r w:rsidRPr="00590AC7">
        <w:rPr>
          <w:rFonts w:ascii="Arial" w:hAnsi="Arial" w:cs="Arial"/>
          <w:sz w:val="22"/>
          <w:szCs w:val="22"/>
        </w:rPr>
        <w:t xml:space="preserve">In theory, the introduction of smoke-free policies for defence settings could lead to reduced SHS, reduced uptake of smoking, reduced consumption of smoke-tobacco products, increased rate of quitting and decreased prevalence of smoking. This would lead to </w:t>
      </w:r>
      <w:r w:rsidR="00590AC7" w:rsidRPr="00590AC7">
        <w:rPr>
          <w:rFonts w:ascii="Arial" w:hAnsi="Arial" w:cs="Arial"/>
          <w:sz w:val="22"/>
          <w:szCs w:val="22"/>
        </w:rPr>
        <w:t xml:space="preserve">a fall in tobacco-related disease burden and </w:t>
      </w:r>
      <w:r w:rsidRPr="00590AC7">
        <w:rPr>
          <w:rFonts w:ascii="Arial" w:hAnsi="Arial" w:cs="Arial"/>
          <w:sz w:val="22"/>
          <w:szCs w:val="22"/>
        </w:rPr>
        <w:t>increased deployability of military personnel. This process is explained in the logic model in figure 1</w:t>
      </w:r>
      <w:r w:rsidR="00810B37" w:rsidRPr="00590AC7">
        <w:rPr>
          <w:rFonts w:ascii="Arial" w:hAnsi="Arial" w:cs="Arial"/>
          <w:sz w:val="22"/>
          <w:szCs w:val="22"/>
        </w:rPr>
        <w:t>,</w:t>
      </w:r>
      <w:r w:rsidR="000B421E" w:rsidRPr="00590AC7">
        <w:rPr>
          <w:rFonts w:ascii="Arial" w:hAnsi="Arial" w:cs="Arial"/>
          <w:sz w:val="22"/>
          <w:szCs w:val="22"/>
        </w:rPr>
        <w:t xml:space="preserve"> adapted from the California Tobacco Control Program’s logic model</w:t>
      </w:r>
      <w:r w:rsidR="00921F7F" w:rsidRPr="00590AC7">
        <w:rPr>
          <w:rFonts w:ascii="Arial" w:hAnsi="Arial" w:cs="Arial"/>
          <w:sz w:val="22"/>
          <w:szCs w:val="22"/>
        </w:rPr>
        <w:fldChar w:fldCharType="begin" w:fldLock="1"/>
      </w:r>
      <w:r w:rsidR="00DB0C55">
        <w:rPr>
          <w:rFonts w:ascii="Arial" w:hAnsi="Arial" w:cs="Arial"/>
          <w:sz w:val="22"/>
          <w:szCs w:val="22"/>
        </w:rPr>
        <w:instrText>ADDIN CSL_CITATION {"citationItems":[{"id":"ITEM-1","itemData":{"DOI":"10.1136/tc.2009.030809","abstract":"Background The California Department of Public Health (CDPH), California Tobacco Control Program (CTCP) is one of the longest-running comprehensive tobacco control programmes in the USA, resulting from a 1988 ballot initiative that added a 25-cent tax on each pack of cigarettes and a proportional tax increase on other tobacco products. This programme used a social norm change approach to reduce tobacco use.Methods The operation, structure, evolution, programme dissemination and results are reviewed.Results The sustained programme implementation has reduced adult per capita cigarette consumption by over 60% and adult smoking prevalence by 35%, from 22.7% in 1988 to 13.8% in 2007. From 1988 to 2004, lung and bronchus cancer rates in California declined at nearly four times the rate of decline seen in the rest of the USA and the programme is associated with an $86 billion savings in healthcare costs. Youth smoking rates among 12–17 years olds are the second lowest in the nation.Conclusions The social norm change approach is effective at reducing tobacco consumption, adult smoking and youth uptake. This approach resulted in declines in tobacco-related diseases and is associated with savings in healthcare expenditures. In considering CTCP&amp;#039;s effectiveness, the takeaway message is that it should be viewed as a unified programme rather than a collection of independent interventions. The programme was designed and implemented as one where the parts complement and reinforce each other. Its effectiveness is dependent on its comprehensive strategy rather than any one part of the intervention.","author":[{"dropping-particle":"","family":"Roeseler","given":"April","non-dropping-particle":"","parse-names":false,"suffix":""},{"dropping-particle":"","family":"Burns","given":"David","non-dropping-particle":"","parse-names":false,"suffix":""}],"container-title":"Tobacco Control","id":"ITEM-1","issue":"Suppl 1","issued":{"date-parts":[["2010","4","1"]]},"page":"i3 LP  - i15","title":"The quarter that changed the world","type":"article-journal","volume":"19"},"uris":["http://www.mendeley.com/documents/?uuid=a67a0de2-1417-40ac-9ff4-e160e17d3098"]}],"mendeley":{"formattedCitation":"(24)","plainTextFormattedCitation":"(24)","previouslyFormattedCitation":"(24)"},"properties":{"noteIndex":0},"schema":"https://github.com/citation-style-language/schema/raw/master/csl-citation.json"}</w:instrText>
      </w:r>
      <w:r w:rsidR="00921F7F" w:rsidRPr="00590AC7">
        <w:rPr>
          <w:rFonts w:ascii="Arial" w:hAnsi="Arial" w:cs="Arial"/>
          <w:sz w:val="22"/>
          <w:szCs w:val="22"/>
        </w:rPr>
        <w:fldChar w:fldCharType="separate"/>
      </w:r>
      <w:r w:rsidR="00DB0C55" w:rsidRPr="00DB0C55">
        <w:rPr>
          <w:rFonts w:ascii="Arial" w:hAnsi="Arial" w:cs="Arial"/>
          <w:noProof/>
          <w:sz w:val="22"/>
          <w:szCs w:val="22"/>
        </w:rPr>
        <w:t>(</w:t>
      </w:r>
      <w:r w:rsidR="00C671B2">
        <w:rPr>
          <w:rFonts w:ascii="Arial" w:hAnsi="Arial" w:cs="Arial"/>
          <w:noProof/>
          <w:sz w:val="22"/>
          <w:szCs w:val="22"/>
        </w:rPr>
        <w:t>25</w:t>
      </w:r>
      <w:r w:rsidR="00DB0C55" w:rsidRPr="00DB0C55">
        <w:rPr>
          <w:rFonts w:ascii="Arial" w:hAnsi="Arial" w:cs="Arial"/>
          <w:noProof/>
          <w:sz w:val="22"/>
          <w:szCs w:val="22"/>
        </w:rPr>
        <w:t>)</w:t>
      </w:r>
      <w:r w:rsidR="00921F7F" w:rsidRPr="00590AC7">
        <w:rPr>
          <w:rFonts w:ascii="Arial" w:hAnsi="Arial" w:cs="Arial"/>
          <w:sz w:val="22"/>
          <w:szCs w:val="22"/>
        </w:rPr>
        <w:fldChar w:fldCharType="end"/>
      </w:r>
      <w:r w:rsidRPr="00590AC7">
        <w:rPr>
          <w:rFonts w:ascii="Arial" w:hAnsi="Arial" w:cs="Arial"/>
          <w:sz w:val="22"/>
          <w:szCs w:val="22"/>
        </w:rPr>
        <w:t>.</w:t>
      </w:r>
    </w:p>
    <w:p w14:paraId="78BF68EF" w14:textId="77777777" w:rsidR="00001D61" w:rsidRDefault="00001D61" w:rsidP="00E67AD6">
      <w:pPr>
        <w:rPr>
          <w:rFonts w:ascii="Arial" w:hAnsi="Arial" w:cs="Arial"/>
          <w:sz w:val="22"/>
          <w:szCs w:val="22"/>
        </w:rPr>
      </w:pPr>
    </w:p>
    <w:p w14:paraId="244A0821" w14:textId="00025FFE" w:rsidR="00E43CD3" w:rsidRDefault="00E43CD3" w:rsidP="00E43CD3">
      <w:pPr>
        <w:jc w:val="center"/>
        <w:rPr>
          <w:rFonts w:ascii="Arial" w:hAnsi="Arial" w:cs="Arial"/>
          <w:b/>
          <w:bCs/>
          <w:sz w:val="22"/>
          <w:szCs w:val="22"/>
        </w:rPr>
      </w:pPr>
      <w:r w:rsidRPr="00FD6272">
        <w:rPr>
          <w:noProof/>
          <w:lang w:val="en-US"/>
        </w:rPr>
        <w:lastRenderedPageBreak/>
        <w:drawing>
          <wp:inline distT="0" distB="0" distL="0" distR="0" wp14:anchorId="329F9FC2" wp14:editId="4EA08B07">
            <wp:extent cx="5727700" cy="28778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678"/>
                    <a:stretch/>
                  </pic:blipFill>
                  <pic:spPr bwMode="auto">
                    <a:xfrm>
                      <a:off x="0" y="0"/>
                      <a:ext cx="5727700" cy="28778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62D518E" w14:textId="1BC9B5A4" w:rsidR="007A072B" w:rsidRPr="007A072B" w:rsidRDefault="007A072B" w:rsidP="007A072B">
      <w:pPr>
        <w:jc w:val="center"/>
        <w:rPr>
          <w:rFonts w:ascii="Arial" w:hAnsi="Arial" w:cs="Arial"/>
          <w:b/>
          <w:bCs/>
          <w:sz w:val="22"/>
          <w:szCs w:val="22"/>
        </w:rPr>
      </w:pPr>
      <w:r w:rsidRPr="007A072B">
        <w:rPr>
          <w:rFonts w:ascii="Arial" w:hAnsi="Arial" w:cs="Arial"/>
          <w:b/>
          <w:bCs/>
          <w:sz w:val="22"/>
          <w:szCs w:val="22"/>
        </w:rPr>
        <w:t>Figure 1: Logic model for smoke-free policies in defence settings</w:t>
      </w:r>
    </w:p>
    <w:p w14:paraId="27B504A0" w14:textId="144F22D5" w:rsidR="007A072B" w:rsidRPr="007A072B" w:rsidRDefault="007A072B" w:rsidP="007A072B">
      <w:pPr>
        <w:jc w:val="center"/>
        <w:rPr>
          <w:rFonts w:ascii="Arial" w:hAnsi="Arial" w:cs="Arial"/>
          <w:b/>
          <w:bCs/>
          <w:sz w:val="22"/>
          <w:szCs w:val="22"/>
        </w:rPr>
      </w:pPr>
      <w:r w:rsidRPr="007A072B">
        <w:rPr>
          <w:rFonts w:ascii="Arial" w:hAnsi="Arial" w:cs="Arial"/>
          <w:b/>
          <w:bCs/>
          <w:sz w:val="22"/>
          <w:szCs w:val="22"/>
        </w:rPr>
        <w:t>(adapted from California Tobacco Control Program’s logic model)</w:t>
      </w:r>
    </w:p>
    <w:p w14:paraId="3B12AAC0" w14:textId="77777777" w:rsidR="007A072B" w:rsidRDefault="007A072B" w:rsidP="00E67AD6">
      <w:pPr>
        <w:rPr>
          <w:rFonts w:ascii="Arial" w:hAnsi="Arial" w:cs="Arial"/>
          <w:sz w:val="22"/>
          <w:szCs w:val="22"/>
        </w:rPr>
      </w:pPr>
    </w:p>
    <w:p w14:paraId="011A71BB" w14:textId="667F41F8" w:rsidR="00FF7400" w:rsidRDefault="0039136A" w:rsidP="00E67AD6">
      <w:pPr>
        <w:rPr>
          <w:rFonts w:ascii="Arial" w:hAnsi="Arial" w:cs="Arial"/>
          <w:sz w:val="22"/>
          <w:szCs w:val="22"/>
        </w:rPr>
      </w:pPr>
      <w:r w:rsidRPr="008C38BB">
        <w:rPr>
          <w:rFonts w:ascii="Arial" w:hAnsi="Arial" w:cs="Arial"/>
          <w:sz w:val="22"/>
          <w:szCs w:val="22"/>
        </w:rPr>
        <w:t xml:space="preserve">However, previous attempts to introduce smoke-free </w:t>
      </w:r>
      <w:r w:rsidR="00590AC7">
        <w:rPr>
          <w:rFonts w:ascii="Arial" w:hAnsi="Arial" w:cs="Arial"/>
          <w:sz w:val="22"/>
          <w:szCs w:val="22"/>
        </w:rPr>
        <w:t>policies</w:t>
      </w:r>
      <w:r w:rsidRPr="008C38BB">
        <w:rPr>
          <w:rFonts w:ascii="Arial" w:hAnsi="Arial" w:cs="Arial"/>
          <w:sz w:val="22"/>
          <w:szCs w:val="22"/>
        </w:rPr>
        <w:t xml:space="preserve"> have been unsuccessful</w:t>
      </w:r>
      <w:r w:rsidR="000B421E"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{"citationItems":[{"id":"ITEM-1","itemData":{"author":[{"dropping-particle":"","family":"Nicol","given":"M","non-dropping-particle":"","parse-names":false,"suffix":""}],"container-title":"Daily Mail","id":"ITEM-1","issued":{"date-parts":[["2017"]]},"title":"Top Armed Forces medical officer faces 'Nazi' jibes after trying to stop his soldiers smoking in uniform","type":"article-newspaper"},"uris":["http://www.mendeley.com/documents/?uuid=988fbe8c-f589-4a7c-a76a-4a464f8fbd25"]}],"mendeley":{"formattedCitation":"(25)","plainTextFormattedCitation":"(25)","previouslyFormattedCitation":"(25)"},"properties":{"noteIndex":0},"schema":"https://github.com/citation-style-language/schema/raw/master/csl-citation.json"}</w:instrText>
      </w:r>
      <w:r w:rsidR="000B421E" w:rsidRPr="008C38BB">
        <w:rPr>
          <w:rFonts w:ascii="Arial" w:hAnsi="Arial" w:cs="Arial"/>
          <w:sz w:val="22"/>
          <w:szCs w:val="22"/>
        </w:rPr>
        <w:fldChar w:fldCharType="separate"/>
      </w:r>
      <w:r w:rsidR="00DB0C55" w:rsidRPr="00DB0C55">
        <w:rPr>
          <w:rFonts w:ascii="Arial" w:hAnsi="Arial" w:cs="Arial"/>
          <w:noProof/>
          <w:sz w:val="22"/>
          <w:szCs w:val="22"/>
        </w:rPr>
        <w:t>(</w:t>
      </w:r>
      <w:r w:rsidR="00C671B2">
        <w:rPr>
          <w:rFonts w:ascii="Arial" w:hAnsi="Arial" w:cs="Arial"/>
          <w:noProof/>
          <w:sz w:val="22"/>
          <w:szCs w:val="22"/>
        </w:rPr>
        <w:t>26</w:t>
      </w:r>
      <w:r w:rsidR="00DB0C55" w:rsidRPr="00DB0C55">
        <w:rPr>
          <w:rFonts w:ascii="Arial" w:hAnsi="Arial" w:cs="Arial"/>
          <w:noProof/>
          <w:sz w:val="22"/>
          <w:szCs w:val="22"/>
        </w:rPr>
        <w:t>)</w:t>
      </w:r>
      <w:r w:rsidR="000B421E" w:rsidRPr="008C38BB">
        <w:rPr>
          <w:rFonts w:ascii="Arial" w:hAnsi="Arial" w:cs="Arial"/>
          <w:sz w:val="22"/>
          <w:szCs w:val="22"/>
        </w:rPr>
        <w:fldChar w:fldCharType="end"/>
      </w:r>
      <w:r w:rsidRPr="008C38BB">
        <w:rPr>
          <w:rFonts w:ascii="Arial" w:hAnsi="Arial" w:cs="Arial"/>
          <w:sz w:val="22"/>
          <w:szCs w:val="22"/>
        </w:rPr>
        <w:t xml:space="preserve"> and at present </w:t>
      </w:r>
      <w:r w:rsidR="000B421E" w:rsidRPr="008C38BB">
        <w:rPr>
          <w:rFonts w:ascii="Arial" w:hAnsi="Arial" w:cs="Arial"/>
          <w:sz w:val="22"/>
          <w:szCs w:val="22"/>
        </w:rPr>
        <w:t>only a few pilot sites</w:t>
      </w:r>
      <w:r w:rsidR="001C2021" w:rsidRPr="008C38BB">
        <w:rPr>
          <w:rFonts w:ascii="Arial" w:hAnsi="Arial" w:cs="Arial"/>
          <w:sz w:val="22"/>
          <w:szCs w:val="22"/>
        </w:rPr>
        <w:t>,</w:t>
      </w:r>
      <w:r w:rsidR="000B421E" w:rsidRPr="008C38BB">
        <w:rPr>
          <w:rFonts w:ascii="Arial" w:hAnsi="Arial" w:cs="Arial"/>
          <w:sz w:val="22"/>
          <w:szCs w:val="22"/>
        </w:rPr>
        <w:t xml:space="preserve"> including the Army Foundation College, have introduced smoke-free policies</w:t>
      </w:r>
      <w:r w:rsidR="000B421E"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{"citationItems":[{"id":"ITEM-1","itemData":{"DOI":"10.1136/bmjmilitary-2020-001599","abstract":"In September 2019, Harrogate Army Foundation College (AFC) introduced what is believed to be the British Army’s first smoking ban. AFC, the British Army’s only training college for junior soldiers (JS) aged 16–18 years, had identified the possibility of JS adopting a smoking habit during training and introduced positive steps to mitigate this risk. The smoking ban for JS was part of a phased approach, with a complete ban being implemented in January 2020, which extended to all personnel on camp. A historically strong smoking culture in the military meant introducing a ban had inherent challenges, but the potential benefits from doing so made it worth considering. The introduction of the ban coincided with an intake of around 1070 new JS. Intakes are a busy period for the medical centre, with each JS requiring an Initial Medical Assessment. The added requirement to provide smoking cessation therapy at this time resulted in an increased workload. Medical challenges during this period included staffing numbers, dispensary stock levels for nicotine replacement therapy and disruption to routine clinics. However, experience gained from the September 2019 intake resulted in modifications that allowed the next intake in March 2020 to be optimised. Success when introducing a smoking ban in a military establishment is dependent on early planning and clear communication between the chain of command and the medical centre. As the military moves towards a larger scale smoking ban, lessons from AFC’s experience may help guide other military establishments with the implementation process.","author":[{"dropping-particle":"","family":"Johnstone","given":"Amy","non-dropping-particle":"","parse-names":false,"suffix":""},{"dropping-particle":"","family":"Martin-Bates","given":"A J","non-dropping-particle":"","parse-names":false,"suffix":""}],"container-title":"BMJ Military Health","id":"ITEM-1","issued":{"date-parts":[["2020","9","16"]]},"page":"bmjmilitary-2020-001599","title":"Banning smoking at Army Foundation College, Harrogate: a military phase I training establishment’s experience of introducing a smoking ban","type":"article-journal"},"uris":["http://www.mendeley.com/documents/?uuid=dc407345-d647-4577-a185-693d5ab6ed88"]}],"mendeley":{"formattedCitation":"(12)","plainTextFormattedCitation":"(12)","previouslyFormattedCitation":"(12)"},"properties":{"noteIndex":0},"schema":"https://github.com/citation-style-language/schema/raw/master/csl-citation.json"}</w:instrText>
      </w:r>
      <w:r w:rsidR="000B421E" w:rsidRPr="008C38BB">
        <w:rPr>
          <w:rFonts w:ascii="Arial" w:hAnsi="Arial" w:cs="Arial"/>
          <w:sz w:val="22"/>
          <w:szCs w:val="22"/>
        </w:rPr>
        <w:fldChar w:fldCharType="separate"/>
      </w:r>
      <w:r w:rsidR="00C5725E" w:rsidRPr="00C5725E">
        <w:rPr>
          <w:rFonts w:ascii="Arial" w:hAnsi="Arial" w:cs="Arial"/>
          <w:noProof/>
          <w:sz w:val="22"/>
          <w:szCs w:val="22"/>
        </w:rPr>
        <w:t>(</w:t>
      </w:r>
      <w:r w:rsidR="00C671B2">
        <w:rPr>
          <w:rFonts w:ascii="Arial" w:hAnsi="Arial" w:cs="Arial"/>
          <w:noProof/>
          <w:sz w:val="22"/>
          <w:szCs w:val="22"/>
        </w:rPr>
        <w:t>13</w:t>
      </w:r>
      <w:r w:rsidR="00C5725E" w:rsidRPr="00C5725E">
        <w:rPr>
          <w:rFonts w:ascii="Arial" w:hAnsi="Arial" w:cs="Arial"/>
          <w:noProof/>
          <w:sz w:val="22"/>
          <w:szCs w:val="22"/>
        </w:rPr>
        <w:t>)</w:t>
      </w:r>
      <w:r w:rsidR="000B421E" w:rsidRPr="008C38BB">
        <w:rPr>
          <w:rFonts w:ascii="Arial" w:hAnsi="Arial" w:cs="Arial"/>
          <w:sz w:val="22"/>
          <w:szCs w:val="22"/>
        </w:rPr>
        <w:fldChar w:fldCharType="end"/>
      </w:r>
      <w:r w:rsidRPr="008C38BB">
        <w:rPr>
          <w:rFonts w:ascii="Arial" w:hAnsi="Arial" w:cs="Arial"/>
          <w:sz w:val="22"/>
          <w:szCs w:val="22"/>
        </w:rPr>
        <w:t>. It is also unclear whether these policies will have a</w:t>
      </w:r>
      <w:r w:rsidR="007F6BF0">
        <w:rPr>
          <w:rFonts w:ascii="Arial" w:hAnsi="Arial" w:cs="Arial"/>
          <w:sz w:val="22"/>
          <w:szCs w:val="22"/>
        </w:rPr>
        <w:t xml:space="preserve"> real </w:t>
      </w:r>
      <w:r w:rsidRPr="008C38BB">
        <w:rPr>
          <w:rFonts w:ascii="Arial" w:hAnsi="Arial" w:cs="Arial"/>
          <w:sz w:val="22"/>
          <w:szCs w:val="22"/>
        </w:rPr>
        <w:t xml:space="preserve">impact </w:t>
      </w:r>
      <w:r w:rsidR="001C2021" w:rsidRPr="008C38BB">
        <w:rPr>
          <w:rFonts w:ascii="Arial" w:hAnsi="Arial" w:cs="Arial"/>
          <w:sz w:val="22"/>
          <w:szCs w:val="22"/>
        </w:rPr>
        <w:t xml:space="preserve">on protecting non-smokers from the harmful effects of tobacco smoke by </w:t>
      </w:r>
      <w:r w:rsidR="00B53720" w:rsidRPr="008C38BB">
        <w:rPr>
          <w:rFonts w:ascii="Arial" w:hAnsi="Arial" w:cs="Arial"/>
          <w:sz w:val="22"/>
          <w:szCs w:val="22"/>
        </w:rPr>
        <w:t>decreasing</w:t>
      </w:r>
      <w:r w:rsidR="001C2021" w:rsidRPr="008C38BB">
        <w:rPr>
          <w:rFonts w:ascii="Arial" w:hAnsi="Arial" w:cs="Arial"/>
          <w:sz w:val="22"/>
          <w:szCs w:val="22"/>
        </w:rPr>
        <w:t xml:space="preserve"> SHS </w:t>
      </w:r>
      <w:r w:rsidRPr="008C38BB">
        <w:rPr>
          <w:rFonts w:ascii="Arial" w:hAnsi="Arial" w:cs="Arial"/>
          <w:sz w:val="22"/>
          <w:szCs w:val="22"/>
        </w:rPr>
        <w:t>o</w:t>
      </w:r>
      <w:r w:rsidR="001C2021" w:rsidRPr="008C38BB">
        <w:rPr>
          <w:rFonts w:ascii="Arial" w:hAnsi="Arial" w:cs="Arial"/>
          <w:sz w:val="22"/>
          <w:szCs w:val="22"/>
        </w:rPr>
        <w:t>r</w:t>
      </w:r>
      <w:r w:rsidRPr="008C38BB">
        <w:rPr>
          <w:rFonts w:ascii="Arial" w:hAnsi="Arial" w:cs="Arial"/>
          <w:sz w:val="22"/>
          <w:szCs w:val="22"/>
        </w:rPr>
        <w:t xml:space="preserve"> reducing the prevalence of smoking. </w:t>
      </w:r>
    </w:p>
    <w:p w14:paraId="38D221B2" w14:textId="77777777" w:rsidR="00FF7400" w:rsidRPr="008B08D9" w:rsidRDefault="00FF7400" w:rsidP="00E67AD6">
      <w:pPr>
        <w:rPr>
          <w:rFonts w:ascii="Arial" w:hAnsi="Arial" w:cs="Arial"/>
          <w:sz w:val="22"/>
          <w:szCs w:val="22"/>
        </w:rPr>
      </w:pPr>
    </w:p>
    <w:p w14:paraId="311C7FAD" w14:textId="3537133F" w:rsidR="00FF7400" w:rsidRPr="005C35BA" w:rsidRDefault="00FF7400" w:rsidP="00F15EA5">
      <w:pPr>
        <w:rPr>
          <w:rFonts w:ascii="Arial" w:hAnsi="Arial" w:cs="Arial"/>
          <w:b/>
          <w:bCs/>
          <w:i/>
          <w:iCs/>
          <w:sz w:val="22"/>
          <w:szCs w:val="22"/>
        </w:rPr>
      </w:pPr>
      <w:r w:rsidRPr="008B08D9">
        <w:rPr>
          <w:rFonts w:ascii="Arial" w:hAnsi="Arial" w:cs="Arial"/>
          <w:sz w:val="22"/>
          <w:szCs w:val="22"/>
        </w:rPr>
        <w:t>The evi</w:t>
      </w:r>
      <w:r w:rsidR="00F15EA5" w:rsidRPr="008B08D9">
        <w:rPr>
          <w:rFonts w:ascii="Arial" w:hAnsi="Arial" w:cs="Arial"/>
          <w:sz w:val="22"/>
          <w:szCs w:val="22"/>
        </w:rPr>
        <w:t>dence base for wider institutional smoke-free policies is limited.</w:t>
      </w:r>
      <w:r w:rsidR="005C35BA" w:rsidRPr="008B08D9">
        <w:rPr>
          <w:rFonts w:ascii="Arial" w:hAnsi="Arial" w:cs="Arial"/>
          <w:sz w:val="22"/>
          <w:szCs w:val="22"/>
        </w:rPr>
        <w:t xml:space="preserve"> </w:t>
      </w:r>
      <w:r w:rsidR="0039136A" w:rsidRPr="008B08D9">
        <w:rPr>
          <w:rFonts w:ascii="Arial" w:hAnsi="Arial" w:cs="Arial"/>
          <w:sz w:val="22"/>
          <w:szCs w:val="22"/>
        </w:rPr>
        <w:t>A 2016</w:t>
      </w:r>
      <w:r w:rsidR="0039136A" w:rsidRPr="008C38BB">
        <w:rPr>
          <w:rFonts w:ascii="Arial" w:hAnsi="Arial" w:cs="Arial"/>
          <w:sz w:val="22"/>
          <w:szCs w:val="22"/>
        </w:rPr>
        <w:t xml:space="preserve"> Cochrane </w:t>
      </w:r>
      <w:r w:rsidR="0039136A" w:rsidRPr="00973F43">
        <w:rPr>
          <w:rFonts w:ascii="Arial" w:hAnsi="Arial" w:cs="Arial"/>
          <w:sz w:val="22"/>
          <w:szCs w:val="22"/>
        </w:rPr>
        <w:t xml:space="preserve">review </w:t>
      </w:r>
      <w:r w:rsidR="00723BCB" w:rsidRPr="00973F43">
        <w:rPr>
          <w:rFonts w:ascii="Arial" w:hAnsi="Arial" w:cs="Arial"/>
          <w:sz w:val="22"/>
          <w:szCs w:val="22"/>
        </w:rPr>
        <w:t>(that did not include defence settings)</w:t>
      </w:r>
      <w:r w:rsidR="00723BCB">
        <w:rPr>
          <w:rFonts w:ascii="Arial" w:hAnsi="Arial" w:cs="Arial"/>
          <w:sz w:val="22"/>
          <w:szCs w:val="22"/>
        </w:rPr>
        <w:t xml:space="preserve"> </w:t>
      </w:r>
      <w:r w:rsidR="0039136A" w:rsidRPr="008C38BB">
        <w:rPr>
          <w:rFonts w:ascii="Arial" w:hAnsi="Arial" w:cs="Arial"/>
          <w:sz w:val="22"/>
          <w:szCs w:val="22"/>
        </w:rPr>
        <w:t xml:space="preserve">found that institutional smoking bans did reduce the harm from </w:t>
      </w:r>
      <w:r w:rsidR="00921F7F" w:rsidRPr="008C38BB">
        <w:rPr>
          <w:rFonts w:ascii="Arial" w:hAnsi="Arial" w:cs="Arial"/>
          <w:sz w:val="22"/>
          <w:szCs w:val="22"/>
        </w:rPr>
        <w:t xml:space="preserve">SHS </w:t>
      </w:r>
      <w:r w:rsidR="0039136A" w:rsidRPr="008C38BB">
        <w:rPr>
          <w:rFonts w:ascii="Arial" w:hAnsi="Arial" w:cs="Arial"/>
          <w:sz w:val="22"/>
          <w:szCs w:val="22"/>
        </w:rPr>
        <w:t xml:space="preserve">in hospital and prison </w:t>
      </w:r>
      <w:r w:rsidR="0039136A" w:rsidRPr="00973F43">
        <w:rPr>
          <w:rFonts w:ascii="Arial" w:hAnsi="Arial" w:cs="Arial"/>
          <w:sz w:val="22"/>
          <w:szCs w:val="22"/>
        </w:rPr>
        <w:t>settings but reduced active smoking only in hospital and university settings</w:t>
      </w:r>
      <w:r w:rsidR="000B421E" w:rsidRPr="00973F43">
        <w:rPr>
          <w:rFonts w:ascii="Arial" w:hAnsi="Arial" w:cs="Arial"/>
          <w:sz w:val="22"/>
          <w:szCs w:val="22"/>
        </w:rPr>
        <w:fldChar w:fldCharType="begin" w:fldLock="1"/>
      </w:r>
      <w:r w:rsidR="00DB0C55" w:rsidRPr="00973F43">
        <w:rPr>
          <w:rFonts w:ascii="Arial" w:hAnsi="Arial" w:cs="Arial"/>
          <w:sz w:val="22"/>
          <w:szCs w:val="22"/>
        </w:rPr>
        <w:instrText>ADDIN CSL_CITATION {"citationItems":[{"id":"ITEM-1","itemData":{"DOI":"10.1002/14651858.CD011856.pub2","ISSN":"1465-1858","author":[{"dropping-particle":"","family":"Frazer","given":"K","non-dropping-particle":"","parse-names":false,"suffix":""},{"dropping-particle":"","family":"McHugh","given":"J","non-dropping-particle":"","parse-names":false,"suffix":""},{"dropping-particle":"","family":"Callinan","given":"J E","non-dropping-particle":"","parse-names":false,"suffix":""},{"dropping-particle":"","family":"Kelleher","given":"C","non-dropping-particle":"","parse-names":false,"suffix":""}],"container-title":"Cochrane Database of Systematic Reviews","id":"ITEM-1","issue":"5","issued":{"date-parts":[["2016"]]},"note":"[Tobacco Addiction]","publisher":"John Wiley &amp; Sons, Ltd","title":"Impact of institutional smoking bans on reducing harms and secondhand smoke exposure","type":"article-journal"},"uris":["http://www.mendeley.com/documents/?uuid=a2e9fec3-8137-33da-9e07-ef09632bb803"]}],"mendeley":{"formattedCitation":"(26)","plainTextFormattedCitation":"(26)","previouslyFormattedCitation":"(26)"},"properties":{"noteIndex":0},"schema":"https://github.com/citation-style-language/schema/raw/master/csl-citation.json"}</w:instrText>
      </w:r>
      <w:r w:rsidR="000B421E" w:rsidRPr="00973F43">
        <w:rPr>
          <w:rFonts w:ascii="Arial" w:hAnsi="Arial" w:cs="Arial"/>
          <w:sz w:val="22"/>
          <w:szCs w:val="22"/>
        </w:rPr>
        <w:fldChar w:fldCharType="separate"/>
      </w:r>
      <w:r w:rsidR="00DB0C55" w:rsidRPr="00973F43">
        <w:rPr>
          <w:rFonts w:ascii="Arial" w:hAnsi="Arial" w:cs="Arial"/>
          <w:noProof/>
          <w:sz w:val="22"/>
          <w:szCs w:val="22"/>
        </w:rPr>
        <w:t>(</w:t>
      </w:r>
      <w:r w:rsidR="00C671B2">
        <w:rPr>
          <w:rFonts w:ascii="Arial" w:hAnsi="Arial" w:cs="Arial"/>
          <w:noProof/>
          <w:sz w:val="22"/>
          <w:szCs w:val="22"/>
        </w:rPr>
        <w:t>27</w:t>
      </w:r>
      <w:r w:rsidR="00DB0C55" w:rsidRPr="00973F43">
        <w:rPr>
          <w:rFonts w:ascii="Arial" w:hAnsi="Arial" w:cs="Arial"/>
          <w:noProof/>
          <w:sz w:val="22"/>
          <w:szCs w:val="22"/>
        </w:rPr>
        <w:t>)</w:t>
      </w:r>
      <w:r w:rsidR="000B421E" w:rsidRPr="00973F43">
        <w:rPr>
          <w:rFonts w:ascii="Arial" w:hAnsi="Arial" w:cs="Arial"/>
          <w:sz w:val="22"/>
          <w:szCs w:val="22"/>
        </w:rPr>
        <w:fldChar w:fldCharType="end"/>
      </w:r>
      <w:r w:rsidR="0039136A" w:rsidRPr="008C38BB">
        <w:rPr>
          <w:rFonts w:ascii="Arial" w:hAnsi="Arial" w:cs="Arial"/>
          <w:sz w:val="22"/>
          <w:szCs w:val="22"/>
        </w:rPr>
        <w:t xml:space="preserve">. </w:t>
      </w:r>
      <w:r w:rsidR="005741D6" w:rsidRPr="008C38BB">
        <w:rPr>
          <w:rFonts w:ascii="Arial" w:hAnsi="Arial" w:cs="Arial"/>
          <w:sz w:val="22"/>
          <w:szCs w:val="22"/>
        </w:rPr>
        <w:t>However, the studies that contributed to this review were “</w:t>
      </w:r>
      <w:r w:rsidR="005741D6" w:rsidRPr="008C38BB">
        <w:rPr>
          <w:rFonts w:ascii="Arial" w:hAnsi="Arial" w:cs="Arial"/>
          <w:i/>
          <w:iCs/>
          <w:sz w:val="22"/>
          <w:szCs w:val="22"/>
        </w:rPr>
        <w:t xml:space="preserve">methodologically weak” </w:t>
      </w:r>
      <w:r w:rsidR="005741D6" w:rsidRPr="008C38BB">
        <w:rPr>
          <w:rFonts w:ascii="Arial" w:hAnsi="Arial" w:cs="Arial"/>
          <w:sz w:val="22"/>
          <w:szCs w:val="22"/>
        </w:rPr>
        <w:t xml:space="preserve">with the cumulative quality of evidence judged as low by the authors using the </w:t>
      </w:r>
      <w:r w:rsidR="00ED7705" w:rsidRPr="00F945E3">
        <w:rPr>
          <w:rFonts w:ascii="Arial" w:hAnsi="Arial" w:cs="Arial"/>
          <w:sz w:val="22"/>
          <w:szCs w:val="22"/>
        </w:rPr>
        <w:t xml:space="preserve">Grading of Recommendations Assessment </w:t>
      </w:r>
      <w:r w:rsidR="00ED7705">
        <w:rPr>
          <w:rFonts w:ascii="Arial" w:hAnsi="Arial" w:cs="Arial"/>
          <w:sz w:val="22"/>
          <w:szCs w:val="22"/>
        </w:rPr>
        <w:t>(</w:t>
      </w:r>
      <w:r w:rsidR="005741D6" w:rsidRPr="008C38BB">
        <w:rPr>
          <w:rFonts w:ascii="Arial" w:hAnsi="Arial" w:cs="Arial"/>
          <w:sz w:val="22"/>
          <w:szCs w:val="22"/>
        </w:rPr>
        <w:t>GRADE</w:t>
      </w:r>
      <w:r w:rsidR="00ED7705">
        <w:rPr>
          <w:rFonts w:ascii="Arial" w:hAnsi="Arial" w:cs="Arial"/>
          <w:sz w:val="22"/>
          <w:szCs w:val="22"/>
        </w:rPr>
        <w:t>)</w:t>
      </w:r>
      <w:r w:rsidR="005741D6" w:rsidRPr="008C38BB">
        <w:rPr>
          <w:rFonts w:ascii="Arial" w:hAnsi="Arial" w:cs="Arial"/>
          <w:sz w:val="22"/>
          <w:szCs w:val="22"/>
        </w:rPr>
        <w:t xml:space="preserve"> </w:t>
      </w:r>
      <w:r w:rsidR="00121C5D">
        <w:rPr>
          <w:rFonts w:ascii="Arial" w:hAnsi="Arial" w:cs="Arial"/>
          <w:sz w:val="22"/>
          <w:szCs w:val="22"/>
        </w:rPr>
        <w:t>approach</w:t>
      </w:r>
      <w:r w:rsidR="0039136A" w:rsidRPr="008C38BB">
        <w:rPr>
          <w:rFonts w:ascii="Arial" w:hAnsi="Arial" w:cs="Arial"/>
          <w:sz w:val="22"/>
          <w:szCs w:val="22"/>
        </w:rPr>
        <w:t>, and emphasised the need for more robust studies to assess the impact of smoking bans in institutional settings</w:t>
      </w:r>
      <w:r w:rsidR="000B421E" w:rsidRPr="008C38BB">
        <w:rPr>
          <w:rFonts w:ascii="Arial" w:hAnsi="Arial" w:cs="Arial"/>
          <w:sz w:val="22"/>
          <w:szCs w:val="22"/>
        </w:rPr>
        <w:fldChar w:fldCharType="begin" w:fldLock="1"/>
      </w:r>
      <w:r w:rsidR="00DB0C55">
        <w:rPr>
          <w:rFonts w:ascii="Arial" w:hAnsi="Arial" w:cs="Arial"/>
          <w:sz w:val="22"/>
          <w:szCs w:val="22"/>
        </w:rPr>
        <w:instrText>ADDIN CSL_CITATION {"citationItems":[{"id":"ITEM-1","itemData":{"DOI":"10.1002/14651858.CD011856.pub2","ISSN":"1465-1858","author":[{"dropping-particle":"","family":"Frazer","given":"K","non-dropping-particle":"","parse-names":false,"suffix":""},{"dropping-particle":"","family":"McHugh","given":"J","non-dropping-particle":"","parse-names":false,"suffix":""},{"dropping-particle":"","family":"Callinan","given":"J E","non-dropping-particle":"","parse-names":false,"suffix":""},{"dropping-particle":"","family":"Kelleher","given":"C","non-dropping-particle":"","parse-names":false,"suffix":""}],"container-title":"Cochrane Database of Systematic Reviews","id":"ITEM-1","issue":"5","issued":{"date-parts":[["2016"]]},"note":"[Tobacco Addiction]","publisher":"John Wiley &amp; Sons, Ltd","title":"Impact of institutional smoking bans on reducing harms and secondhand smoke exposure","type":"article-journal"},"uris":["http://www.mendeley.com/documents/?uuid=a2e9fec3-8137-33da-9e07-ef09632bb803"]}],"mendeley":{"formattedCitation":"(26)","plainTextFormattedCitation":"(26)","previouslyFormattedCitation":"(26)"},"properties":{"noteIndex":0},"schema":"https://github.com/citation-style-language/schema/raw/master/csl-citation.json"}</w:instrText>
      </w:r>
      <w:r w:rsidR="000B421E" w:rsidRPr="008C38BB">
        <w:rPr>
          <w:rFonts w:ascii="Arial" w:hAnsi="Arial" w:cs="Arial"/>
          <w:sz w:val="22"/>
          <w:szCs w:val="22"/>
        </w:rPr>
        <w:fldChar w:fldCharType="separate"/>
      </w:r>
      <w:r w:rsidR="00DB0C55" w:rsidRPr="00DB0C55">
        <w:rPr>
          <w:rFonts w:ascii="Arial" w:hAnsi="Arial" w:cs="Arial"/>
          <w:noProof/>
          <w:sz w:val="22"/>
          <w:szCs w:val="22"/>
        </w:rPr>
        <w:t>(</w:t>
      </w:r>
      <w:r w:rsidR="00C671B2">
        <w:rPr>
          <w:rFonts w:ascii="Arial" w:hAnsi="Arial" w:cs="Arial"/>
          <w:noProof/>
          <w:sz w:val="22"/>
          <w:szCs w:val="22"/>
        </w:rPr>
        <w:t>27</w:t>
      </w:r>
      <w:r w:rsidR="00DB0C55" w:rsidRPr="00DB0C55">
        <w:rPr>
          <w:rFonts w:ascii="Arial" w:hAnsi="Arial" w:cs="Arial"/>
          <w:noProof/>
          <w:sz w:val="22"/>
          <w:szCs w:val="22"/>
        </w:rPr>
        <w:t>)</w:t>
      </w:r>
      <w:r w:rsidR="000B421E" w:rsidRPr="008C38BB">
        <w:rPr>
          <w:rFonts w:ascii="Arial" w:hAnsi="Arial" w:cs="Arial"/>
          <w:sz w:val="22"/>
          <w:szCs w:val="22"/>
        </w:rPr>
        <w:fldChar w:fldCharType="end"/>
      </w:r>
      <w:r w:rsidR="0039136A" w:rsidRPr="008C38BB">
        <w:rPr>
          <w:rFonts w:ascii="Arial" w:hAnsi="Arial" w:cs="Arial"/>
          <w:sz w:val="22"/>
          <w:szCs w:val="22"/>
        </w:rPr>
        <w:t xml:space="preserve">. </w:t>
      </w:r>
      <w:r w:rsidR="00F15EA5" w:rsidRPr="008B08D9">
        <w:rPr>
          <w:rFonts w:ascii="Arial" w:hAnsi="Arial" w:cs="Arial"/>
          <w:sz w:val="22"/>
          <w:szCs w:val="22"/>
        </w:rPr>
        <w:t xml:space="preserve">The National Institute for Health and Care Excellence (NICE) has also identified an evidence gap for smoke-free policies in UK healthcare settings, </w:t>
      </w:r>
      <w:r w:rsidR="00200908" w:rsidRPr="008B08D9">
        <w:rPr>
          <w:rFonts w:ascii="Arial" w:hAnsi="Arial" w:cs="Arial"/>
          <w:sz w:val="22"/>
          <w:szCs w:val="22"/>
        </w:rPr>
        <w:t xml:space="preserve">stating </w:t>
      </w:r>
      <w:r w:rsidRPr="008B08D9">
        <w:rPr>
          <w:rFonts w:ascii="Arial" w:hAnsi="Arial" w:cs="Arial"/>
          <w:sz w:val="22"/>
          <w:szCs w:val="22"/>
        </w:rPr>
        <w:t>“</w:t>
      </w:r>
      <w:r w:rsidRPr="008B08D9">
        <w:rPr>
          <w:rFonts w:ascii="Arial" w:hAnsi="Arial" w:cs="Arial"/>
          <w:i/>
          <w:iCs/>
          <w:sz w:val="22"/>
          <w:szCs w:val="22"/>
        </w:rPr>
        <w:t>there was little evidence about the effect of policies on smoking cessation or staff absenteeism”</w:t>
      </w:r>
      <w:r w:rsidR="00163500" w:rsidRPr="008B08D9">
        <w:rPr>
          <w:rFonts w:ascii="Arial" w:hAnsi="Arial" w:cs="Arial"/>
          <w:sz w:val="22"/>
          <w:szCs w:val="22"/>
        </w:rPr>
        <w:t>(</w:t>
      </w:r>
      <w:r w:rsidR="00C671B2" w:rsidRPr="008B08D9">
        <w:rPr>
          <w:rFonts w:ascii="Arial" w:hAnsi="Arial" w:cs="Arial"/>
          <w:sz w:val="22"/>
          <w:szCs w:val="22"/>
        </w:rPr>
        <w:t>28</w:t>
      </w:r>
      <w:r w:rsidR="00163500" w:rsidRPr="008B08D9">
        <w:rPr>
          <w:rFonts w:ascii="Arial" w:hAnsi="Arial" w:cs="Arial"/>
          <w:sz w:val="22"/>
          <w:szCs w:val="22"/>
        </w:rPr>
        <w:t>)</w:t>
      </w:r>
      <w:r w:rsidR="00F15EA5" w:rsidRPr="008B08D9">
        <w:rPr>
          <w:rFonts w:ascii="Arial" w:hAnsi="Arial" w:cs="Arial"/>
          <w:i/>
          <w:iCs/>
          <w:sz w:val="22"/>
          <w:szCs w:val="22"/>
        </w:rPr>
        <w:t>.</w:t>
      </w:r>
    </w:p>
    <w:p w14:paraId="33DA1BB3" w14:textId="77777777" w:rsidR="0039136A" w:rsidRPr="008C38BB" w:rsidRDefault="0039136A" w:rsidP="00E67AD6">
      <w:pPr>
        <w:rPr>
          <w:rFonts w:ascii="Arial" w:hAnsi="Arial" w:cs="Arial"/>
          <w:sz w:val="22"/>
          <w:szCs w:val="22"/>
        </w:rPr>
      </w:pPr>
    </w:p>
    <w:p w14:paraId="785D13B6" w14:textId="4DAAD3EF" w:rsidR="00AD4A22" w:rsidRDefault="0039136A" w:rsidP="00E67AD6">
      <w:pPr>
        <w:rPr>
          <w:rFonts w:ascii="Arial" w:hAnsi="Arial" w:cs="Arial"/>
          <w:sz w:val="22"/>
          <w:szCs w:val="22"/>
        </w:rPr>
      </w:pPr>
      <w:r w:rsidRPr="008C38BB">
        <w:rPr>
          <w:rFonts w:ascii="Arial" w:hAnsi="Arial" w:cs="Arial"/>
          <w:sz w:val="22"/>
          <w:szCs w:val="22"/>
        </w:rPr>
        <w:t>Policymakers would, therefore, benefit from a systematic review of the current evidence on the</w:t>
      </w:r>
      <w:r w:rsidR="00FF0138">
        <w:rPr>
          <w:rFonts w:ascii="Arial" w:hAnsi="Arial" w:cs="Arial"/>
          <w:sz w:val="22"/>
          <w:szCs w:val="22"/>
        </w:rPr>
        <w:t xml:space="preserve"> likely</w:t>
      </w:r>
      <w:r w:rsidRPr="008C38BB">
        <w:rPr>
          <w:rFonts w:ascii="Arial" w:hAnsi="Arial" w:cs="Arial"/>
          <w:sz w:val="22"/>
          <w:szCs w:val="22"/>
        </w:rPr>
        <w:t xml:space="preserve"> impact of the introduction of smoke-free policies in defence settings. This review aims to locate, quality appraise and synthesise this evidence which could be used to direct new research and assist policy decisions</w:t>
      </w:r>
      <w:r w:rsidR="00454930">
        <w:rPr>
          <w:rFonts w:ascii="Arial" w:hAnsi="Arial" w:cs="Arial"/>
          <w:sz w:val="22"/>
          <w:szCs w:val="22"/>
        </w:rPr>
        <w:t xml:space="preserve"> with the following research questions:</w:t>
      </w:r>
    </w:p>
    <w:p w14:paraId="212E9645" w14:textId="13479CA0" w:rsidR="00454930" w:rsidRDefault="00454930" w:rsidP="00E67AD6">
      <w:pPr>
        <w:rPr>
          <w:rFonts w:ascii="Arial" w:hAnsi="Arial" w:cs="Arial"/>
          <w:sz w:val="22"/>
          <w:szCs w:val="22"/>
        </w:rPr>
      </w:pPr>
    </w:p>
    <w:p w14:paraId="39443EE6" w14:textId="71D28004" w:rsidR="00A87429" w:rsidRDefault="00454930" w:rsidP="00A87429">
      <w:pPr>
        <w:rPr>
          <w:rFonts w:ascii="Arial" w:hAnsi="Arial" w:cs="Arial"/>
          <w:sz w:val="22"/>
          <w:szCs w:val="22"/>
        </w:rPr>
      </w:pPr>
      <w:r w:rsidRPr="00A87429">
        <w:rPr>
          <w:rFonts w:ascii="Arial" w:hAnsi="Arial" w:cs="Arial"/>
          <w:sz w:val="22"/>
          <w:szCs w:val="22"/>
        </w:rPr>
        <w:t xml:space="preserve">What is the effect of smoke-free policies in defence institutions, above and beyond </w:t>
      </w:r>
      <w:r w:rsidR="00B13DEB">
        <w:rPr>
          <w:rFonts w:ascii="Arial" w:hAnsi="Arial" w:cs="Arial"/>
          <w:sz w:val="22"/>
          <w:szCs w:val="22"/>
        </w:rPr>
        <w:t xml:space="preserve">national </w:t>
      </w:r>
      <w:r w:rsidRPr="00A87429">
        <w:rPr>
          <w:rFonts w:ascii="Arial" w:hAnsi="Arial" w:cs="Arial"/>
          <w:sz w:val="22"/>
          <w:szCs w:val="22"/>
        </w:rPr>
        <w:t xml:space="preserve">smoke-free laws, </w:t>
      </w:r>
      <w:proofErr w:type="gramStart"/>
      <w:r w:rsidRPr="00A87429">
        <w:rPr>
          <w:rFonts w:ascii="Arial" w:hAnsi="Arial" w:cs="Arial"/>
          <w:sz w:val="22"/>
          <w:szCs w:val="22"/>
        </w:rPr>
        <w:t>on</w:t>
      </w:r>
      <w:r w:rsidR="00A87429">
        <w:rPr>
          <w:rFonts w:ascii="Arial" w:hAnsi="Arial" w:cs="Arial"/>
          <w:sz w:val="22"/>
          <w:szCs w:val="22"/>
        </w:rPr>
        <w:t>:</w:t>
      </w:r>
      <w:proofErr w:type="gramEnd"/>
    </w:p>
    <w:p w14:paraId="687674FF" w14:textId="7564BAAC" w:rsidR="00454930" w:rsidRDefault="00454930" w:rsidP="00A87429">
      <w:pPr>
        <w:pStyle w:val="ListParagraph"/>
        <w:numPr>
          <w:ilvl w:val="0"/>
          <w:numId w:val="8"/>
        </w:numPr>
        <w:rPr>
          <w:rFonts w:ascii="Arial" w:hAnsi="Arial" w:cs="Arial"/>
          <w:sz w:val="22"/>
          <w:szCs w:val="22"/>
        </w:rPr>
      </w:pPr>
      <w:r w:rsidRPr="00A87429">
        <w:rPr>
          <w:rFonts w:ascii="Arial" w:hAnsi="Arial" w:cs="Arial"/>
          <w:sz w:val="22"/>
          <w:szCs w:val="22"/>
        </w:rPr>
        <w:t xml:space="preserve">the exposure of non-smokers to </w:t>
      </w:r>
      <w:r w:rsidR="00051C00">
        <w:rPr>
          <w:rFonts w:ascii="Arial" w:hAnsi="Arial" w:cs="Arial"/>
          <w:sz w:val="22"/>
          <w:szCs w:val="22"/>
        </w:rPr>
        <w:t>SHS</w:t>
      </w:r>
      <w:r w:rsidRPr="00A87429">
        <w:rPr>
          <w:rFonts w:ascii="Arial" w:hAnsi="Arial" w:cs="Arial"/>
          <w:sz w:val="22"/>
          <w:szCs w:val="22"/>
        </w:rPr>
        <w:t xml:space="preserve">? </w:t>
      </w:r>
    </w:p>
    <w:p w14:paraId="45B631FF" w14:textId="32A2993B" w:rsidR="00A87429" w:rsidRPr="00A87429" w:rsidRDefault="00A87429" w:rsidP="00A87429">
      <w:pPr>
        <w:pStyle w:val="ListParagraph"/>
        <w:numPr>
          <w:ilvl w:val="0"/>
          <w:numId w:val="8"/>
        </w:numPr>
        <w:rPr>
          <w:rFonts w:ascii="Arial" w:hAnsi="Arial" w:cs="Arial"/>
          <w:sz w:val="22"/>
          <w:szCs w:val="22"/>
        </w:rPr>
      </w:pPr>
      <w:r w:rsidRPr="00454930">
        <w:rPr>
          <w:rFonts w:ascii="Arial" w:hAnsi="Arial" w:cs="Arial"/>
          <w:sz w:val="22"/>
          <w:szCs w:val="22"/>
        </w:rPr>
        <w:t>non-smokers’ utilisation of healthcare?</w:t>
      </w:r>
    </w:p>
    <w:p w14:paraId="3D7B5C63" w14:textId="77777777" w:rsidR="00A87429" w:rsidRPr="00454930" w:rsidRDefault="00A87429" w:rsidP="00A87429">
      <w:pPr>
        <w:pStyle w:val="ListParagraph"/>
        <w:numPr>
          <w:ilvl w:val="0"/>
          <w:numId w:val="8"/>
        </w:numPr>
        <w:rPr>
          <w:rFonts w:ascii="Arial" w:hAnsi="Arial" w:cs="Arial"/>
          <w:sz w:val="22"/>
          <w:szCs w:val="22"/>
        </w:rPr>
      </w:pPr>
      <w:r w:rsidRPr="00454930">
        <w:rPr>
          <w:rFonts w:ascii="Arial" w:hAnsi="Arial" w:cs="Arial"/>
          <w:sz w:val="22"/>
          <w:szCs w:val="22"/>
        </w:rPr>
        <w:t>non-smokers’ uptake of smoking?</w:t>
      </w:r>
    </w:p>
    <w:p w14:paraId="288ED71F" w14:textId="1ABEA10F" w:rsidR="00A87429" w:rsidRDefault="00A87429" w:rsidP="00A87429">
      <w:pPr>
        <w:pStyle w:val="ListParagraph"/>
        <w:numPr>
          <w:ilvl w:val="0"/>
          <w:numId w:val="8"/>
        </w:numPr>
        <w:rPr>
          <w:rFonts w:ascii="Arial" w:hAnsi="Arial" w:cs="Arial"/>
          <w:sz w:val="22"/>
          <w:szCs w:val="22"/>
        </w:rPr>
      </w:pPr>
      <w:r w:rsidRPr="00454930">
        <w:rPr>
          <w:rFonts w:ascii="Arial" w:hAnsi="Arial" w:cs="Arial"/>
          <w:sz w:val="22"/>
          <w:szCs w:val="22"/>
        </w:rPr>
        <w:t>the smoking behaviours of smokers?</w:t>
      </w:r>
    </w:p>
    <w:p w14:paraId="1E356A3C" w14:textId="7E5D3124" w:rsidR="00A87429" w:rsidRDefault="00A87429" w:rsidP="00A87429">
      <w:pPr>
        <w:pStyle w:val="ListParagraph"/>
        <w:numPr>
          <w:ilvl w:val="0"/>
          <w:numId w:val="8"/>
        </w:numPr>
        <w:rPr>
          <w:rFonts w:ascii="Arial" w:hAnsi="Arial" w:cs="Arial"/>
          <w:sz w:val="22"/>
          <w:szCs w:val="22"/>
        </w:rPr>
      </w:pPr>
      <w:r w:rsidRPr="00454930">
        <w:rPr>
          <w:rFonts w:ascii="Arial" w:hAnsi="Arial" w:cs="Arial"/>
          <w:sz w:val="22"/>
          <w:szCs w:val="22"/>
        </w:rPr>
        <w:t>smokers’ utilisation of healthcare?</w:t>
      </w:r>
    </w:p>
    <w:p w14:paraId="40647729" w14:textId="167FA841" w:rsidR="00A87429" w:rsidRPr="00454930" w:rsidRDefault="00A87429" w:rsidP="00A87429">
      <w:pPr>
        <w:pStyle w:val="ListParagraph"/>
        <w:numPr>
          <w:ilvl w:val="0"/>
          <w:numId w:val="8"/>
        </w:numPr>
        <w:rPr>
          <w:rFonts w:ascii="Arial" w:hAnsi="Arial" w:cs="Arial"/>
          <w:sz w:val="22"/>
          <w:szCs w:val="22"/>
        </w:rPr>
      </w:pPr>
      <w:r w:rsidRPr="00454930">
        <w:rPr>
          <w:rFonts w:ascii="Arial" w:hAnsi="Arial" w:cs="Arial"/>
          <w:sz w:val="22"/>
          <w:szCs w:val="22"/>
        </w:rPr>
        <w:t xml:space="preserve">the </w:t>
      </w:r>
      <w:r>
        <w:rPr>
          <w:rFonts w:ascii="Arial" w:hAnsi="Arial" w:cs="Arial"/>
          <w:sz w:val="22"/>
          <w:szCs w:val="22"/>
        </w:rPr>
        <w:t>efficiency of defence</w:t>
      </w:r>
      <w:r w:rsidRPr="00454930">
        <w:rPr>
          <w:rFonts w:ascii="Arial" w:hAnsi="Arial" w:cs="Arial"/>
          <w:sz w:val="22"/>
          <w:szCs w:val="22"/>
        </w:rPr>
        <w:t>?</w:t>
      </w:r>
    </w:p>
    <w:p w14:paraId="7743E10A" w14:textId="77777777" w:rsidR="002B78B2" w:rsidRDefault="002B78B2" w:rsidP="00E67AD6">
      <w:pPr>
        <w:rPr>
          <w:rFonts w:ascii="Arial" w:hAnsi="Arial" w:cs="Arial"/>
          <w:b/>
          <w:bCs/>
          <w:sz w:val="22"/>
          <w:szCs w:val="22"/>
        </w:rPr>
      </w:pPr>
    </w:p>
    <w:p w14:paraId="77EE88C9" w14:textId="3EB31546" w:rsidR="00C270DB" w:rsidRPr="008C38BB" w:rsidRDefault="004722E3" w:rsidP="00E67AD6">
      <w:pPr>
        <w:rPr>
          <w:rFonts w:ascii="Arial" w:hAnsi="Arial" w:cs="Arial"/>
          <w:b/>
          <w:bCs/>
          <w:sz w:val="22"/>
          <w:szCs w:val="22"/>
        </w:rPr>
      </w:pPr>
      <w:r>
        <w:rPr>
          <w:rFonts w:ascii="Arial" w:hAnsi="Arial" w:cs="Arial"/>
          <w:b/>
          <w:bCs/>
          <w:sz w:val="22"/>
          <w:szCs w:val="22"/>
        </w:rPr>
        <w:t>METHODS</w:t>
      </w:r>
    </w:p>
    <w:p w14:paraId="63454041" w14:textId="661DCB72" w:rsidR="00D50D6D" w:rsidRDefault="00D50D6D" w:rsidP="00E67AD6">
      <w:pPr>
        <w:rPr>
          <w:rFonts w:ascii="Arial" w:hAnsi="Arial" w:cs="Arial"/>
          <w:b/>
          <w:bCs/>
          <w:sz w:val="22"/>
          <w:szCs w:val="22"/>
        </w:rPr>
      </w:pPr>
    </w:p>
    <w:p w14:paraId="22FC9988" w14:textId="1C9256B4" w:rsidR="00D50D6D" w:rsidRPr="008C38BB" w:rsidRDefault="0078173A" w:rsidP="00E67AD6">
      <w:pPr>
        <w:rPr>
          <w:rFonts w:ascii="Arial" w:hAnsi="Arial" w:cs="Arial"/>
          <w:sz w:val="22"/>
          <w:szCs w:val="22"/>
        </w:rPr>
      </w:pPr>
      <w:r w:rsidRPr="00131F90">
        <w:rPr>
          <w:rFonts w:ascii="Arial" w:hAnsi="Arial" w:cs="Arial"/>
          <w:sz w:val="22"/>
          <w:szCs w:val="22"/>
        </w:rPr>
        <w:t>We conducted a systematic review</w:t>
      </w:r>
      <w:r w:rsidR="00131F90">
        <w:rPr>
          <w:rFonts w:ascii="Arial" w:hAnsi="Arial" w:cs="Arial"/>
          <w:sz w:val="22"/>
          <w:szCs w:val="22"/>
        </w:rPr>
        <w:t xml:space="preserve"> in line with the </w:t>
      </w:r>
      <w:r w:rsidR="00131F90" w:rsidRPr="008C38BB">
        <w:rPr>
          <w:rFonts w:ascii="Arial" w:hAnsi="Arial" w:cs="Arial"/>
          <w:sz w:val="22"/>
          <w:szCs w:val="22"/>
        </w:rPr>
        <w:t>Preferred Reporting Items for Systematic Reviews and Meta-Analysis (PRISMA) Statement</w:t>
      </w:r>
      <w:r w:rsidR="00131F90" w:rsidRPr="008C38BB">
        <w:rPr>
          <w:rFonts w:ascii="Arial" w:hAnsi="Arial" w:cs="Arial"/>
          <w:sz w:val="22"/>
          <w:szCs w:val="22"/>
        </w:rPr>
        <w:fldChar w:fldCharType="begin" w:fldLock="1"/>
      </w:r>
      <w:r w:rsidR="00EA696F">
        <w:rPr>
          <w:rFonts w:ascii="Arial" w:hAnsi="Arial" w:cs="Arial"/>
          <w:sz w:val="22"/>
          <w:szCs w:val="22"/>
        </w:rPr>
        <w:instrText>ADDIN CSL_CITATION {"citationItems":[{"id":"ITEM-1","itemData":{"DOI":"10.1136/bmj.b2700","abstract":"Systematic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id":"ITEM-1","issued":{"date-parts":[["2009","7","21"]]},"page":"b2700","title":"The PRISMA statement for reporting systematic reviews and meta-analyses of studies that evaluate healthcare interventions: explanation and elaboration","type":"article-journal","volume":"339"},"uris":["http://www.mendeley.com/documents/?uuid=08cc3ab2-eebb-4ddb-ac07-4cc71c4b085f"]}],"mendeley":{"formattedCitation":"(28)","plainTextFormattedCitation":"(28)","previouslyFormattedCitation":"(28)"},"properties":{"noteIndex":0},"schema":"https://github.com/citation-style-language/schema/raw/master/csl-citation.json"}</w:instrText>
      </w:r>
      <w:r w:rsidR="00131F90" w:rsidRPr="008C38BB">
        <w:rPr>
          <w:rFonts w:ascii="Arial" w:hAnsi="Arial" w:cs="Arial"/>
          <w:sz w:val="22"/>
          <w:szCs w:val="22"/>
        </w:rPr>
        <w:fldChar w:fldCharType="separate"/>
      </w:r>
      <w:r w:rsidR="00131F90" w:rsidRPr="00131F90">
        <w:rPr>
          <w:rFonts w:ascii="Arial" w:hAnsi="Arial" w:cs="Arial"/>
          <w:noProof/>
          <w:sz w:val="22"/>
          <w:szCs w:val="22"/>
        </w:rPr>
        <w:t>(</w:t>
      </w:r>
      <w:r w:rsidR="00C671B2">
        <w:rPr>
          <w:rFonts w:ascii="Arial" w:hAnsi="Arial" w:cs="Arial"/>
          <w:noProof/>
          <w:sz w:val="22"/>
          <w:szCs w:val="22"/>
        </w:rPr>
        <w:t>29</w:t>
      </w:r>
      <w:r w:rsidR="00131F90" w:rsidRPr="00131F90">
        <w:rPr>
          <w:rFonts w:ascii="Arial" w:hAnsi="Arial" w:cs="Arial"/>
          <w:noProof/>
          <w:sz w:val="22"/>
          <w:szCs w:val="22"/>
        </w:rPr>
        <w:t>)</w:t>
      </w:r>
      <w:r w:rsidR="00131F90" w:rsidRPr="008C38BB">
        <w:rPr>
          <w:rFonts w:ascii="Arial" w:hAnsi="Arial" w:cs="Arial"/>
          <w:sz w:val="22"/>
          <w:szCs w:val="22"/>
        </w:rPr>
        <w:fldChar w:fldCharType="end"/>
      </w:r>
      <w:r w:rsidR="00131F90">
        <w:rPr>
          <w:rFonts w:ascii="Arial" w:hAnsi="Arial" w:cs="Arial"/>
          <w:sz w:val="22"/>
          <w:szCs w:val="22"/>
        </w:rPr>
        <w:t xml:space="preserve">. The review’s primary </w:t>
      </w:r>
      <w:r w:rsidR="00BC2D94">
        <w:rPr>
          <w:rFonts w:ascii="Arial" w:hAnsi="Arial" w:cs="Arial"/>
          <w:sz w:val="22"/>
          <w:szCs w:val="22"/>
        </w:rPr>
        <w:t xml:space="preserve">outcome </w:t>
      </w:r>
      <w:r w:rsidR="00131F90">
        <w:rPr>
          <w:rFonts w:ascii="Arial" w:hAnsi="Arial" w:cs="Arial"/>
          <w:sz w:val="22"/>
          <w:szCs w:val="22"/>
        </w:rPr>
        <w:t xml:space="preserve">was non-smoker exposure to SHS, whilst the review’s secondary outcomes are contained in table 1. </w:t>
      </w:r>
      <w:r w:rsidR="00D50D6D" w:rsidRPr="008C38BB">
        <w:rPr>
          <w:rFonts w:ascii="Arial" w:hAnsi="Arial" w:cs="Arial"/>
          <w:sz w:val="22"/>
          <w:szCs w:val="22"/>
        </w:rPr>
        <w:t xml:space="preserve">An </w:t>
      </w:r>
      <w:r w:rsidR="00D50D6D" w:rsidRPr="0078173A">
        <w:rPr>
          <w:rFonts w:ascii="Arial" w:hAnsi="Arial" w:cs="Arial"/>
          <w:i/>
          <w:iCs/>
          <w:sz w:val="22"/>
          <w:szCs w:val="22"/>
        </w:rPr>
        <w:t>a priori</w:t>
      </w:r>
      <w:r w:rsidR="00D50D6D" w:rsidRPr="008C38BB">
        <w:rPr>
          <w:rFonts w:ascii="Arial" w:hAnsi="Arial" w:cs="Arial"/>
          <w:sz w:val="22"/>
          <w:szCs w:val="22"/>
        </w:rPr>
        <w:t xml:space="preserve"> study protocol is available from PROSPERO</w:t>
      </w:r>
      <w:r w:rsidR="00D50D6D" w:rsidRPr="008C38BB">
        <w:rPr>
          <w:rFonts w:ascii="Arial" w:hAnsi="Arial" w:cs="Arial"/>
          <w:sz w:val="22"/>
          <w:szCs w:val="22"/>
        </w:rPr>
        <w:fldChar w:fldCharType="begin" w:fldLock="1"/>
      </w:r>
      <w:r w:rsidR="00EA696F">
        <w:rPr>
          <w:rFonts w:ascii="Arial" w:hAnsi="Arial" w:cs="Arial"/>
          <w:sz w:val="22"/>
          <w:szCs w:val="22"/>
        </w:rPr>
        <w:instrText>ADDIN CSL_CITATION {"citationItems":[{"id":"ITEM-1","itemData":{"author":[{"dropping-particle":"","family":"Falconer Hall","given":"Thomas","non-dropping-particle":"","parse-names":false,"suffix":""},{"dropping-particle":"","family":"Siddiqi","given":"Kamran","non-dropping-particle":"","parse-names":false,"suffix":""}],"id":"ITEM-1","issued":{"date-parts":[["0"]]},"title":"Evaluation of the impact of smoke-free policies in defence settings on exposure of military personnel to second-hand smoke: a systematic review.","type":"report"},"uris":["http://www.mendeley.com/documents/?uuid=fe930095-8189-4590-932c-652fe32a5545"]}],"mendeley":{"formattedCitation":"(29)","plainTextFormattedCitation":"(29)","previouslyFormattedCitation":"(29)"},"properties":{"noteIndex":0},"schema":"https://github.com/citation-style-language/schema/raw/master/csl-citation.json"}</w:instrText>
      </w:r>
      <w:r w:rsidR="00D50D6D" w:rsidRPr="008C38BB">
        <w:rPr>
          <w:rFonts w:ascii="Arial" w:hAnsi="Arial" w:cs="Arial"/>
          <w:sz w:val="22"/>
          <w:szCs w:val="22"/>
        </w:rPr>
        <w:fldChar w:fldCharType="separate"/>
      </w:r>
      <w:r w:rsidR="00131F90" w:rsidRPr="00131F90">
        <w:rPr>
          <w:rFonts w:ascii="Arial" w:hAnsi="Arial" w:cs="Arial"/>
          <w:noProof/>
          <w:sz w:val="22"/>
          <w:szCs w:val="22"/>
        </w:rPr>
        <w:t>(</w:t>
      </w:r>
      <w:r w:rsidR="00C671B2">
        <w:rPr>
          <w:rFonts w:ascii="Arial" w:hAnsi="Arial" w:cs="Arial"/>
          <w:noProof/>
          <w:sz w:val="22"/>
          <w:szCs w:val="22"/>
        </w:rPr>
        <w:t>30</w:t>
      </w:r>
      <w:r w:rsidR="00131F90" w:rsidRPr="00131F90">
        <w:rPr>
          <w:rFonts w:ascii="Arial" w:hAnsi="Arial" w:cs="Arial"/>
          <w:noProof/>
          <w:sz w:val="22"/>
          <w:szCs w:val="22"/>
        </w:rPr>
        <w:t>)</w:t>
      </w:r>
      <w:r w:rsidR="00D50D6D" w:rsidRPr="008C38BB">
        <w:rPr>
          <w:rFonts w:ascii="Arial" w:hAnsi="Arial" w:cs="Arial"/>
          <w:sz w:val="22"/>
          <w:szCs w:val="22"/>
        </w:rPr>
        <w:fldChar w:fldCharType="end"/>
      </w:r>
      <w:r w:rsidR="00D50D6D" w:rsidRPr="008C38BB">
        <w:rPr>
          <w:rFonts w:ascii="Arial" w:hAnsi="Arial" w:cs="Arial"/>
          <w:sz w:val="22"/>
          <w:szCs w:val="22"/>
        </w:rPr>
        <w:t xml:space="preserve">. </w:t>
      </w:r>
    </w:p>
    <w:p w14:paraId="57C67190" w14:textId="72FF7947" w:rsidR="00D50D6D" w:rsidRPr="008C38BB" w:rsidRDefault="00D50D6D" w:rsidP="00E67AD6">
      <w:pPr>
        <w:rPr>
          <w:rFonts w:ascii="Arial" w:hAnsi="Arial" w:cs="Arial"/>
          <w:sz w:val="22"/>
          <w:szCs w:val="22"/>
        </w:rPr>
      </w:pPr>
    </w:p>
    <w:p w14:paraId="70927DE5" w14:textId="77777777" w:rsidR="008556C2" w:rsidRDefault="009E635B" w:rsidP="00E67AD6">
      <w:pPr>
        <w:rPr>
          <w:rFonts w:ascii="Arial" w:hAnsi="Arial" w:cs="Arial"/>
          <w:b/>
          <w:bCs/>
          <w:sz w:val="22"/>
          <w:szCs w:val="22"/>
        </w:rPr>
      </w:pPr>
      <w:r w:rsidRPr="008C38BB">
        <w:rPr>
          <w:rFonts w:ascii="Arial" w:hAnsi="Arial" w:cs="Arial"/>
          <w:b/>
          <w:bCs/>
          <w:sz w:val="22"/>
          <w:szCs w:val="22"/>
        </w:rPr>
        <w:t>Eligibility Criteria</w:t>
      </w:r>
    </w:p>
    <w:p w14:paraId="15C6A5AA" w14:textId="05B6E5B4" w:rsidR="00D50D6D" w:rsidRDefault="00136659" w:rsidP="00E67AD6">
      <w:pPr>
        <w:rPr>
          <w:rFonts w:ascii="Arial" w:hAnsi="Arial" w:cs="Arial"/>
          <w:sz w:val="22"/>
          <w:szCs w:val="22"/>
        </w:rPr>
      </w:pPr>
      <w:r>
        <w:rPr>
          <w:rFonts w:ascii="Arial" w:hAnsi="Arial" w:cs="Arial"/>
          <w:sz w:val="22"/>
          <w:szCs w:val="22"/>
        </w:rPr>
        <w:t xml:space="preserve">The review’s eligibility criteria </w:t>
      </w:r>
      <w:r w:rsidR="00477D01">
        <w:rPr>
          <w:rFonts w:ascii="Arial" w:hAnsi="Arial" w:cs="Arial"/>
          <w:sz w:val="22"/>
          <w:szCs w:val="22"/>
        </w:rPr>
        <w:t xml:space="preserve">were developed using the </w:t>
      </w:r>
      <w:r>
        <w:rPr>
          <w:rFonts w:ascii="Arial" w:hAnsi="Arial" w:cs="Arial"/>
          <w:sz w:val="22"/>
          <w:szCs w:val="22"/>
        </w:rPr>
        <w:t xml:space="preserve">PICOCSS (population, intervention, comparator, outcomes, study design, setting) </w:t>
      </w:r>
      <w:r w:rsidR="00477D01">
        <w:rPr>
          <w:rFonts w:ascii="Arial" w:hAnsi="Arial" w:cs="Arial"/>
          <w:sz w:val="22"/>
          <w:szCs w:val="22"/>
        </w:rPr>
        <w:t>framework</w:t>
      </w:r>
      <w:r w:rsidR="00FD2EDD">
        <w:rPr>
          <w:rFonts w:ascii="Arial" w:hAnsi="Arial" w:cs="Arial"/>
          <w:sz w:val="22"/>
          <w:szCs w:val="22"/>
        </w:rPr>
        <w:fldChar w:fldCharType="begin" w:fldLock="1"/>
      </w:r>
      <w:r w:rsidR="00DB0C55">
        <w:rPr>
          <w:rFonts w:ascii="Arial" w:hAnsi="Arial" w:cs="Arial"/>
          <w:sz w:val="22"/>
          <w:szCs w:val="22"/>
        </w:rPr>
        <w:instrText>ADDIN CSL_CITATION {"citationItems":[{"id":"ITEM-1","itemData":{"author":[{"dropping-particle":"","family":"Centre for Reviews and Dissemination","given":"","non-dropping-particle":"","parse-names":false,"suffix":""}],"id":"ITEM-1","issued":{"date-parts":[["2009"]]},"publisher-place":"York","title":"Systematic Reviews: CRD’s guidance for undertaking reviews in health care.","type":"report"},"uris":["http://www.mendeley.com/documents/?uuid=adf3876f-1fa5-30e6-967a-cdfed986f182"]}],"mendeley":{"formattedCitation":"(30)","plainTextFormattedCitation":"(30)","previouslyFormattedCitation":"(30)"},"properties":{"noteIndex":0},"schema":"https://github.com/citation-style-language/schema/raw/master/csl-citation.json"}</w:instrText>
      </w:r>
      <w:r w:rsidR="00FD2EDD">
        <w:rPr>
          <w:rFonts w:ascii="Arial" w:hAnsi="Arial" w:cs="Arial"/>
          <w:sz w:val="22"/>
          <w:szCs w:val="22"/>
        </w:rPr>
        <w:fldChar w:fldCharType="separate"/>
      </w:r>
      <w:r w:rsidR="00DB0C55" w:rsidRPr="00DB0C55">
        <w:rPr>
          <w:rFonts w:ascii="Arial" w:hAnsi="Arial" w:cs="Arial"/>
          <w:noProof/>
          <w:sz w:val="22"/>
          <w:szCs w:val="22"/>
        </w:rPr>
        <w:t>(</w:t>
      </w:r>
      <w:r w:rsidR="00C671B2">
        <w:rPr>
          <w:rFonts w:ascii="Arial" w:hAnsi="Arial" w:cs="Arial"/>
          <w:noProof/>
          <w:sz w:val="22"/>
          <w:szCs w:val="22"/>
        </w:rPr>
        <w:t>31</w:t>
      </w:r>
      <w:r w:rsidR="00DB0C55" w:rsidRPr="00DB0C55">
        <w:rPr>
          <w:rFonts w:ascii="Arial" w:hAnsi="Arial" w:cs="Arial"/>
          <w:noProof/>
          <w:sz w:val="22"/>
          <w:szCs w:val="22"/>
        </w:rPr>
        <w:t>)</w:t>
      </w:r>
      <w:r w:rsidR="00FD2EDD">
        <w:rPr>
          <w:rFonts w:ascii="Arial" w:hAnsi="Arial" w:cs="Arial"/>
          <w:sz w:val="22"/>
          <w:szCs w:val="22"/>
        </w:rPr>
        <w:fldChar w:fldCharType="end"/>
      </w:r>
      <w:r w:rsidR="00477D01">
        <w:rPr>
          <w:rFonts w:ascii="Arial" w:hAnsi="Arial" w:cs="Arial"/>
          <w:sz w:val="22"/>
          <w:szCs w:val="22"/>
        </w:rPr>
        <w:t xml:space="preserve"> set out in table 1. Non-English language studies were excluded</w:t>
      </w:r>
      <w:r w:rsidR="00DC52A0">
        <w:rPr>
          <w:rFonts w:ascii="Arial" w:hAnsi="Arial" w:cs="Arial"/>
          <w:sz w:val="22"/>
          <w:szCs w:val="22"/>
        </w:rPr>
        <w:t>,</w:t>
      </w:r>
      <w:r w:rsidR="00477D01">
        <w:rPr>
          <w:rFonts w:ascii="Arial" w:hAnsi="Arial" w:cs="Arial"/>
          <w:sz w:val="22"/>
          <w:szCs w:val="22"/>
        </w:rPr>
        <w:t xml:space="preserve"> and no restriction was placed on publication status and date.</w:t>
      </w:r>
    </w:p>
    <w:p w14:paraId="499F55FC" w14:textId="77777777" w:rsidR="004722E3" w:rsidRPr="008C38BB" w:rsidRDefault="004722E3" w:rsidP="00E67AD6">
      <w:pPr>
        <w:rPr>
          <w:rFonts w:ascii="Arial" w:hAnsi="Arial" w:cs="Arial"/>
          <w:b/>
          <w:bCs/>
          <w:sz w:val="22"/>
          <w:szCs w:val="22"/>
        </w:rPr>
      </w:pPr>
    </w:p>
    <w:tbl>
      <w:tblPr>
        <w:tblStyle w:val="TableGrid"/>
        <w:tblW w:w="0" w:type="auto"/>
        <w:tblLook w:val="04A0" w:firstRow="1" w:lastRow="0" w:firstColumn="1" w:lastColumn="0" w:noHBand="0" w:noVBand="1"/>
      </w:tblPr>
      <w:tblGrid>
        <w:gridCol w:w="1439"/>
        <w:gridCol w:w="7571"/>
      </w:tblGrid>
      <w:tr w:rsidR="00477D01" w:rsidRPr="00136659" w14:paraId="33FC655D" w14:textId="77777777" w:rsidTr="00841AFF">
        <w:tc>
          <w:tcPr>
            <w:tcW w:w="9010" w:type="dxa"/>
            <w:gridSpan w:val="2"/>
          </w:tcPr>
          <w:p w14:paraId="38F1EC20" w14:textId="33A48B32" w:rsidR="00477D01" w:rsidRPr="00C337BA" w:rsidRDefault="00477D01" w:rsidP="00E67AD6">
            <w:pPr>
              <w:rPr>
                <w:rFonts w:ascii="Arial" w:hAnsi="Arial" w:cs="Arial"/>
                <w:b/>
                <w:bCs/>
                <w:color w:val="000000" w:themeColor="text1"/>
                <w:sz w:val="22"/>
                <w:szCs w:val="22"/>
              </w:rPr>
            </w:pPr>
            <w:r w:rsidRPr="00C337BA">
              <w:rPr>
                <w:rFonts w:ascii="Arial" w:hAnsi="Arial" w:cs="Arial"/>
                <w:b/>
                <w:bCs/>
                <w:color w:val="000000" w:themeColor="text1"/>
                <w:sz w:val="22"/>
                <w:szCs w:val="22"/>
              </w:rPr>
              <w:t>Table 1: PICOCSS Framework</w:t>
            </w:r>
          </w:p>
        </w:tc>
      </w:tr>
      <w:tr w:rsidR="00136659" w:rsidRPr="00136659" w14:paraId="5C5D607F" w14:textId="77777777" w:rsidTr="00477D01">
        <w:tc>
          <w:tcPr>
            <w:tcW w:w="1105" w:type="dxa"/>
          </w:tcPr>
          <w:p w14:paraId="3C03BD5F" w14:textId="36A19DAD" w:rsidR="00136659" w:rsidRPr="00C337BA" w:rsidRDefault="00136659" w:rsidP="00E67AD6">
            <w:pPr>
              <w:rPr>
                <w:rFonts w:ascii="Arial" w:hAnsi="Arial" w:cs="Arial"/>
                <w:b/>
                <w:bCs/>
                <w:color w:val="000000" w:themeColor="text1"/>
                <w:sz w:val="22"/>
                <w:szCs w:val="22"/>
              </w:rPr>
            </w:pPr>
            <w:r w:rsidRPr="00C337BA">
              <w:rPr>
                <w:rFonts w:ascii="Arial" w:hAnsi="Arial" w:cs="Arial"/>
                <w:b/>
                <w:bCs/>
                <w:color w:val="000000" w:themeColor="text1"/>
                <w:sz w:val="22"/>
                <w:szCs w:val="22"/>
              </w:rPr>
              <w:t>PICOCSS Component</w:t>
            </w:r>
          </w:p>
        </w:tc>
        <w:tc>
          <w:tcPr>
            <w:tcW w:w="7905" w:type="dxa"/>
          </w:tcPr>
          <w:p w14:paraId="7684B695" w14:textId="5736AB6F" w:rsidR="00136659" w:rsidRPr="00C337BA" w:rsidRDefault="00136659" w:rsidP="00E67AD6">
            <w:pPr>
              <w:rPr>
                <w:rFonts w:ascii="Arial" w:hAnsi="Arial" w:cs="Arial"/>
                <w:b/>
                <w:bCs/>
                <w:color w:val="000000" w:themeColor="text1"/>
                <w:sz w:val="22"/>
                <w:szCs w:val="22"/>
              </w:rPr>
            </w:pPr>
            <w:r w:rsidRPr="00C337BA">
              <w:rPr>
                <w:rFonts w:ascii="Arial" w:hAnsi="Arial" w:cs="Arial"/>
                <w:b/>
                <w:bCs/>
                <w:color w:val="000000" w:themeColor="text1"/>
                <w:sz w:val="22"/>
                <w:szCs w:val="22"/>
              </w:rPr>
              <w:t>Inclusion/Exclusion Criteria</w:t>
            </w:r>
          </w:p>
        </w:tc>
      </w:tr>
      <w:tr w:rsidR="00136659" w:rsidRPr="00136659" w14:paraId="3AB5B8E5" w14:textId="77777777" w:rsidTr="00477D01">
        <w:tc>
          <w:tcPr>
            <w:tcW w:w="1105" w:type="dxa"/>
          </w:tcPr>
          <w:p w14:paraId="054BD769" w14:textId="53695B0E" w:rsidR="00136659" w:rsidRPr="00C337BA" w:rsidRDefault="00136659" w:rsidP="00E67AD6">
            <w:pPr>
              <w:rPr>
                <w:rFonts w:ascii="Arial" w:hAnsi="Arial" w:cs="Arial"/>
                <w:color w:val="000000" w:themeColor="text1"/>
                <w:sz w:val="22"/>
                <w:szCs w:val="22"/>
              </w:rPr>
            </w:pPr>
            <w:r w:rsidRPr="00C337BA">
              <w:rPr>
                <w:rFonts w:ascii="Arial" w:hAnsi="Arial" w:cs="Arial"/>
                <w:color w:val="000000" w:themeColor="text1"/>
                <w:sz w:val="22"/>
                <w:szCs w:val="22"/>
              </w:rPr>
              <w:t>Population</w:t>
            </w:r>
          </w:p>
        </w:tc>
        <w:tc>
          <w:tcPr>
            <w:tcW w:w="7905" w:type="dxa"/>
          </w:tcPr>
          <w:p w14:paraId="49938081" w14:textId="0D076125" w:rsidR="00136659" w:rsidRPr="00C337BA" w:rsidRDefault="00136659" w:rsidP="00E67AD6">
            <w:pPr>
              <w:rPr>
                <w:rFonts w:ascii="Arial" w:hAnsi="Arial" w:cs="Arial"/>
                <w:sz w:val="22"/>
                <w:szCs w:val="22"/>
              </w:rPr>
            </w:pPr>
            <w:r w:rsidRPr="00C337BA">
              <w:rPr>
                <w:rFonts w:ascii="Arial" w:hAnsi="Arial" w:cs="Arial"/>
                <w:sz w:val="22"/>
                <w:szCs w:val="22"/>
              </w:rPr>
              <w:t xml:space="preserve">Adult male and female serving military personnel and civilians working in defence settings, both smokers and non-smokers, aged </w:t>
            </w:r>
            <w:r w:rsidR="0077540D" w:rsidRPr="008B08D9">
              <w:rPr>
                <w:rFonts w:ascii="Arial" w:hAnsi="Arial" w:cs="Arial"/>
                <w:sz w:val="22"/>
                <w:szCs w:val="22"/>
              </w:rPr>
              <w:t>≥</w:t>
            </w:r>
            <w:r w:rsidRPr="00C337BA">
              <w:rPr>
                <w:rFonts w:ascii="Arial" w:hAnsi="Arial" w:cs="Arial"/>
                <w:sz w:val="22"/>
                <w:szCs w:val="22"/>
              </w:rPr>
              <w:t>16.</w:t>
            </w:r>
          </w:p>
        </w:tc>
      </w:tr>
      <w:tr w:rsidR="00136659" w:rsidRPr="00136659" w14:paraId="1B1CE0B2" w14:textId="77777777" w:rsidTr="00477D01">
        <w:tc>
          <w:tcPr>
            <w:tcW w:w="1105" w:type="dxa"/>
          </w:tcPr>
          <w:p w14:paraId="6882EF79" w14:textId="0658D101" w:rsidR="00136659" w:rsidRPr="00C337BA" w:rsidRDefault="00136659" w:rsidP="00E67AD6">
            <w:pPr>
              <w:rPr>
                <w:rFonts w:ascii="Arial" w:hAnsi="Arial" w:cs="Arial"/>
                <w:color w:val="000000" w:themeColor="text1"/>
                <w:sz w:val="22"/>
                <w:szCs w:val="22"/>
              </w:rPr>
            </w:pPr>
            <w:r w:rsidRPr="00C337BA">
              <w:rPr>
                <w:rFonts w:ascii="Arial" w:hAnsi="Arial" w:cs="Arial"/>
                <w:color w:val="000000" w:themeColor="text1"/>
                <w:sz w:val="22"/>
                <w:szCs w:val="22"/>
              </w:rPr>
              <w:t>Intervention</w:t>
            </w:r>
          </w:p>
        </w:tc>
        <w:tc>
          <w:tcPr>
            <w:tcW w:w="7905" w:type="dxa"/>
          </w:tcPr>
          <w:p w14:paraId="0229DD56" w14:textId="1CEA3660" w:rsidR="00136659" w:rsidRPr="00410D2C" w:rsidRDefault="00136659" w:rsidP="001C5140">
            <w:pPr>
              <w:rPr>
                <w:rFonts w:ascii="Arial" w:hAnsi="Arial" w:cs="Arial"/>
                <w:sz w:val="22"/>
                <w:szCs w:val="22"/>
              </w:rPr>
            </w:pPr>
            <w:r w:rsidRPr="00410D2C">
              <w:rPr>
                <w:rFonts w:ascii="Arial" w:hAnsi="Arial" w:cs="Arial"/>
                <w:sz w:val="22"/>
                <w:szCs w:val="22"/>
              </w:rPr>
              <w:t xml:space="preserve">Introduction of </w:t>
            </w:r>
            <w:r w:rsidR="00DC52A0" w:rsidRPr="00410D2C">
              <w:rPr>
                <w:rFonts w:ascii="Arial" w:hAnsi="Arial" w:cs="Arial"/>
                <w:sz w:val="22"/>
                <w:szCs w:val="22"/>
              </w:rPr>
              <w:t xml:space="preserve">a </w:t>
            </w:r>
            <w:r w:rsidRPr="00410D2C">
              <w:rPr>
                <w:rFonts w:ascii="Arial" w:hAnsi="Arial" w:cs="Arial"/>
                <w:sz w:val="22"/>
                <w:szCs w:val="22"/>
              </w:rPr>
              <w:t>smoke-free policy in defence setting above and beyond smoke-free legislation</w:t>
            </w:r>
            <w:r w:rsidR="00D66D76" w:rsidRPr="00410D2C">
              <w:rPr>
                <w:rFonts w:ascii="Arial" w:hAnsi="Arial" w:cs="Arial"/>
                <w:sz w:val="22"/>
                <w:szCs w:val="22"/>
              </w:rPr>
              <w:t>, from partial site smoking bans, extending to whole site smoking bans, or even a complete smoking ban</w:t>
            </w:r>
            <w:r w:rsidR="00773EA2">
              <w:rPr>
                <w:rFonts w:ascii="Arial" w:hAnsi="Arial" w:cs="Arial"/>
                <w:sz w:val="22"/>
                <w:szCs w:val="22"/>
              </w:rPr>
              <w:t xml:space="preserve"> in a military cohort </w:t>
            </w:r>
            <w:proofErr w:type="gramStart"/>
            <w:r w:rsidR="00773EA2">
              <w:rPr>
                <w:rFonts w:ascii="Arial" w:hAnsi="Arial" w:cs="Arial"/>
                <w:sz w:val="22"/>
                <w:szCs w:val="22"/>
              </w:rPr>
              <w:t>e.g.</w:t>
            </w:r>
            <w:proofErr w:type="gramEnd"/>
            <w:r w:rsidR="00773EA2">
              <w:rPr>
                <w:rFonts w:ascii="Arial" w:hAnsi="Arial" w:cs="Arial"/>
                <w:sz w:val="22"/>
                <w:szCs w:val="22"/>
              </w:rPr>
              <w:t xml:space="preserve"> recruits</w:t>
            </w:r>
            <w:r w:rsidR="00D66D76" w:rsidRPr="00410D2C">
              <w:rPr>
                <w:rFonts w:ascii="Arial" w:hAnsi="Arial" w:cs="Arial"/>
                <w:sz w:val="22"/>
                <w:szCs w:val="22"/>
              </w:rPr>
              <w:t xml:space="preserve">. </w:t>
            </w:r>
            <w:r w:rsidRPr="00410D2C">
              <w:rPr>
                <w:rFonts w:ascii="Arial" w:hAnsi="Arial" w:cs="Arial"/>
                <w:sz w:val="22"/>
                <w:szCs w:val="22"/>
              </w:rPr>
              <w:t>Studies that used smoke-free policies as a comparator against smoke-free policies plus smoking cessation measures were excluded</w:t>
            </w:r>
            <w:r w:rsidR="0077540D" w:rsidRPr="008B08D9">
              <w:rPr>
                <w:rFonts w:ascii="Arial" w:hAnsi="Arial" w:cs="Arial"/>
                <w:sz w:val="22"/>
                <w:szCs w:val="22"/>
              </w:rPr>
              <w:t>, as this review is focused specifically on the effect of a population health policy and not individual</w:t>
            </w:r>
            <w:r w:rsidR="00200908" w:rsidRPr="008B08D9">
              <w:rPr>
                <w:rFonts w:ascii="Arial" w:hAnsi="Arial" w:cs="Arial"/>
                <w:sz w:val="22"/>
                <w:szCs w:val="22"/>
              </w:rPr>
              <w:t xml:space="preserve">-level </w:t>
            </w:r>
            <w:r w:rsidR="0077540D" w:rsidRPr="008B08D9">
              <w:rPr>
                <w:rFonts w:ascii="Arial" w:hAnsi="Arial" w:cs="Arial"/>
                <w:sz w:val="22"/>
                <w:szCs w:val="22"/>
              </w:rPr>
              <w:t>interventions</w:t>
            </w:r>
            <w:r w:rsidRPr="008B08D9">
              <w:rPr>
                <w:rFonts w:ascii="Arial" w:hAnsi="Arial" w:cs="Arial"/>
                <w:sz w:val="22"/>
                <w:szCs w:val="22"/>
              </w:rPr>
              <w:t>.</w:t>
            </w:r>
          </w:p>
        </w:tc>
      </w:tr>
      <w:tr w:rsidR="00136659" w:rsidRPr="00136659" w14:paraId="1F7FE521" w14:textId="77777777" w:rsidTr="00477D01">
        <w:tc>
          <w:tcPr>
            <w:tcW w:w="1105" w:type="dxa"/>
          </w:tcPr>
          <w:p w14:paraId="3DE4C5D6" w14:textId="5E952DE5" w:rsidR="00136659" w:rsidRPr="00C337BA" w:rsidRDefault="00136659" w:rsidP="00E67AD6">
            <w:pPr>
              <w:rPr>
                <w:rFonts w:ascii="Arial" w:hAnsi="Arial" w:cs="Arial"/>
                <w:color w:val="000000" w:themeColor="text1"/>
                <w:sz w:val="22"/>
                <w:szCs w:val="22"/>
              </w:rPr>
            </w:pPr>
            <w:r w:rsidRPr="00C337BA">
              <w:rPr>
                <w:rFonts w:ascii="Arial" w:hAnsi="Arial" w:cs="Arial"/>
                <w:color w:val="000000" w:themeColor="text1"/>
                <w:sz w:val="22"/>
                <w:szCs w:val="22"/>
              </w:rPr>
              <w:t>Comparator</w:t>
            </w:r>
          </w:p>
        </w:tc>
        <w:tc>
          <w:tcPr>
            <w:tcW w:w="7905" w:type="dxa"/>
          </w:tcPr>
          <w:p w14:paraId="0C8683ED" w14:textId="322AC0D0" w:rsidR="00136659" w:rsidRPr="00C337BA" w:rsidRDefault="00136659" w:rsidP="00136659">
            <w:pPr>
              <w:rPr>
                <w:rFonts w:ascii="Arial" w:hAnsi="Arial" w:cs="Arial"/>
                <w:color w:val="000000" w:themeColor="text1"/>
                <w:sz w:val="22"/>
                <w:szCs w:val="22"/>
              </w:rPr>
            </w:pPr>
            <w:r w:rsidRPr="00C337BA">
              <w:rPr>
                <w:rFonts w:ascii="Arial" w:hAnsi="Arial" w:cs="Arial"/>
                <w:sz w:val="22"/>
                <w:szCs w:val="22"/>
              </w:rPr>
              <w:t>No additional smoke-free policies above national legislation.</w:t>
            </w:r>
          </w:p>
        </w:tc>
      </w:tr>
      <w:tr w:rsidR="00136659" w:rsidRPr="00136659" w14:paraId="54F26981" w14:textId="77777777" w:rsidTr="00477D01">
        <w:tc>
          <w:tcPr>
            <w:tcW w:w="1105" w:type="dxa"/>
          </w:tcPr>
          <w:p w14:paraId="0885E827" w14:textId="1FECC852" w:rsidR="00136659" w:rsidRPr="00C337BA" w:rsidRDefault="00136659" w:rsidP="00E67AD6">
            <w:pPr>
              <w:rPr>
                <w:rFonts w:ascii="Arial" w:hAnsi="Arial" w:cs="Arial"/>
                <w:sz w:val="22"/>
                <w:szCs w:val="22"/>
              </w:rPr>
            </w:pPr>
            <w:r w:rsidRPr="00C337BA">
              <w:rPr>
                <w:rFonts w:ascii="Arial" w:hAnsi="Arial" w:cs="Arial"/>
                <w:sz w:val="22"/>
                <w:szCs w:val="22"/>
              </w:rPr>
              <w:t>Outcomes</w:t>
            </w:r>
          </w:p>
        </w:tc>
        <w:tc>
          <w:tcPr>
            <w:tcW w:w="7905" w:type="dxa"/>
          </w:tcPr>
          <w:p w14:paraId="1427C662" w14:textId="6034B639" w:rsidR="00136659" w:rsidRPr="00C337BA" w:rsidRDefault="001C5140" w:rsidP="001C5140">
            <w:pPr>
              <w:rPr>
                <w:rFonts w:ascii="Arial" w:hAnsi="Arial" w:cs="Arial"/>
                <w:sz w:val="22"/>
                <w:szCs w:val="22"/>
              </w:rPr>
            </w:pPr>
            <w:r w:rsidRPr="00C337BA">
              <w:rPr>
                <w:rFonts w:ascii="Arial" w:hAnsi="Arial" w:cs="Arial"/>
                <w:sz w:val="22"/>
                <w:szCs w:val="22"/>
              </w:rPr>
              <w:t>Primary outcome</w:t>
            </w:r>
            <w:r>
              <w:rPr>
                <w:rFonts w:ascii="Arial" w:hAnsi="Arial" w:cs="Arial"/>
                <w:sz w:val="22"/>
                <w:szCs w:val="22"/>
              </w:rPr>
              <w:t>:</w:t>
            </w:r>
            <w:r w:rsidRPr="00C337BA">
              <w:rPr>
                <w:rFonts w:ascii="Arial" w:hAnsi="Arial" w:cs="Arial"/>
                <w:sz w:val="22"/>
                <w:szCs w:val="22"/>
              </w:rPr>
              <w:t xml:space="preserve"> </w:t>
            </w:r>
            <w:r w:rsidR="00136659" w:rsidRPr="00C337BA">
              <w:rPr>
                <w:rFonts w:ascii="Arial" w:hAnsi="Arial" w:cs="Arial"/>
                <w:sz w:val="22"/>
                <w:szCs w:val="22"/>
              </w:rPr>
              <w:t>Non-smoker exposure to SHS</w:t>
            </w:r>
            <w:r w:rsidR="00C337BA" w:rsidRPr="00C337BA">
              <w:rPr>
                <w:rFonts w:ascii="Arial" w:hAnsi="Arial" w:cs="Arial"/>
                <w:sz w:val="22"/>
                <w:szCs w:val="22"/>
              </w:rPr>
              <w:t>.</w:t>
            </w:r>
            <w:r w:rsidR="009F1C8E">
              <w:rPr>
                <w:rFonts w:ascii="Arial" w:hAnsi="Arial" w:cs="Arial"/>
                <w:sz w:val="22"/>
                <w:szCs w:val="22"/>
              </w:rPr>
              <w:t xml:space="preserve"> </w:t>
            </w:r>
            <w:r w:rsidR="009F1C8E" w:rsidRPr="008B08D9">
              <w:rPr>
                <w:rFonts w:ascii="Arial" w:hAnsi="Arial" w:cs="Arial"/>
                <w:sz w:val="22"/>
                <w:szCs w:val="22"/>
              </w:rPr>
              <w:t>This was chosen as the primary outcome as it covers the widest population in defence, not just smokers.</w:t>
            </w:r>
            <w:r w:rsidR="00136659" w:rsidRPr="008B08D9">
              <w:rPr>
                <w:rFonts w:ascii="Arial" w:hAnsi="Arial" w:cs="Arial"/>
                <w:sz w:val="22"/>
                <w:szCs w:val="22"/>
              </w:rPr>
              <w:t xml:space="preserve"> </w:t>
            </w:r>
            <w:r>
              <w:rPr>
                <w:rFonts w:ascii="Arial" w:hAnsi="Arial" w:cs="Arial"/>
                <w:sz w:val="22"/>
                <w:szCs w:val="22"/>
              </w:rPr>
              <w:t>S</w:t>
            </w:r>
            <w:r w:rsidRPr="00C337BA">
              <w:rPr>
                <w:rFonts w:ascii="Arial" w:hAnsi="Arial" w:cs="Arial"/>
                <w:sz w:val="22"/>
                <w:szCs w:val="22"/>
              </w:rPr>
              <w:t>econdary outcomes</w:t>
            </w:r>
            <w:r>
              <w:rPr>
                <w:rFonts w:ascii="Arial" w:hAnsi="Arial" w:cs="Arial"/>
                <w:sz w:val="22"/>
                <w:szCs w:val="22"/>
              </w:rPr>
              <w:t>:</w:t>
            </w:r>
            <w:r w:rsidRPr="00C337BA">
              <w:rPr>
                <w:rFonts w:ascii="Arial" w:hAnsi="Arial" w:cs="Arial"/>
                <w:sz w:val="22"/>
                <w:szCs w:val="22"/>
              </w:rPr>
              <w:t xml:space="preserve"> </w:t>
            </w:r>
            <w:r w:rsidR="00C337BA" w:rsidRPr="00C337BA">
              <w:rPr>
                <w:rFonts w:ascii="Arial" w:hAnsi="Arial" w:cs="Arial"/>
                <w:sz w:val="22"/>
                <w:szCs w:val="22"/>
              </w:rPr>
              <w:t>N</w:t>
            </w:r>
            <w:r w:rsidR="00136659" w:rsidRPr="00C337BA">
              <w:rPr>
                <w:rFonts w:ascii="Arial" w:hAnsi="Arial" w:cs="Arial"/>
                <w:sz w:val="22"/>
                <w:szCs w:val="22"/>
              </w:rPr>
              <w:t>on-smoker GP visits/hospitalisation for tobacco-related illnesses/injuries, smoker GP visits/hospitalisation for tobacco-related illnesses/injuries, uptake of smoking in non-smokers, total tobacco product consumption, prevalence of tobacco smoking</w:t>
            </w:r>
            <w:r w:rsidR="00773EA2">
              <w:rPr>
                <w:rFonts w:ascii="Arial" w:hAnsi="Arial" w:cs="Arial"/>
                <w:sz w:val="22"/>
                <w:szCs w:val="22"/>
              </w:rPr>
              <w:t xml:space="preserve"> and quit rate (</w:t>
            </w:r>
            <w:r w:rsidR="00136659" w:rsidRPr="00C337BA">
              <w:rPr>
                <w:rFonts w:ascii="Arial" w:hAnsi="Arial" w:cs="Arial"/>
                <w:sz w:val="22"/>
                <w:szCs w:val="22"/>
              </w:rPr>
              <w:t>measured either biochemically or self-reported</w:t>
            </w:r>
            <w:r w:rsidR="00773EA2">
              <w:rPr>
                <w:rFonts w:ascii="Arial" w:hAnsi="Arial" w:cs="Arial"/>
                <w:sz w:val="22"/>
                <w:szCs w:val="22"/>
              </w:rPr>
              <w:t>)</w:t>
            </w:r>
            <w:r w:rsidR="00136659" w:rsidRPr="00C337BA">
              <w:rPr>
                <w:rFonts w:ascii="Arial" w:hAnsi="Arial" w:cs="Arial"/>
                <w:sz w:val="22"/>
                <w:szCs w:val="22"/>
              </w:rPr>
              <w:t>, days of work lost to smoking, medical</w:t>
            </w:r>
            <w:r w:rsidR="00131F90">
              <w:rPr>
                <w:rFonts w:ascii="Arial" w:hAnsi="Arial" w:cs="Arial"/>
                <w:sz w:val="22"/>
                <w:szCs w:val="22"/>
              </w:rPr>
              <w:t xml:space="preserve"> deployability</w:t>
            </w:r>
            <w:r w:rsidR="00136659" w:rsidRPr="00C337BA">
              <w:rPr>
                <w:rFonts w:ascii="Arial" w:hAnsi="Arial" w:cs="Arial"/>
                <w:sz w:val="22"/>
                <w:szCs w:val="22"/>
              </w:rPr>
              <w:t>, acceptability of smoke-free policies</w:t>
            </w:r>
            <w:r w:rsidR="00C337BA" w:rsidRPr="00C337BA">
              <w:rPr>
                <w:rFonts w:ascii="Arial" w:hAnsi="Arial" w:cs="Arial"/>
                <w:sz w:val="22"/>
                <w:szCs w:val="22"/>
              </w:rPr>
              <w:t xml:space="preserve"> </w:t>
            </w:r>
            <w:r w:rsidR="00131F90">
              <w:rPr>
                <w:rFonts w:ascii="Arial" w:hAnsi="Arial" w:cs="Arial"/>
                <w:sz w:val="22"/>
                <w:szCs w:val="22"/>
              </w:rPr>
              <w:t>(for wider context)</w:t>
            </w:r>
          </w:p>
        </w:tc>
      </w:tr>
      <w:tr w:rsidR="00136659" w:rsidRPr="00136659" w14:paraId="44EA932B" w14:textId="77777777" w:rsidTr="00477D01">
        <w:tc>
          <w:tcPr>
            <w:tcW w:w="1105" w:type="dxa"/>
          </w:tcPr>
          <w:p w14:paraId="72C653C6" w14:textId="1E9673CB" w:rsidR="00136659" w:rsidRPr="00C337BA" w:rsidRDefault="00136659" w:rsidP="00E67AD6">
            <w:pPr>
              <w:rPr>
                <w:rFonts w:ascii="Arial" w:hAnsi="Arial" w:cs="Arial"/>
                <w:color w:val="000000" w:themeColor="text1"/>
                <w:sz w:val="22"/>
                <w:szCs w:val="22"/>
              </w:rPr>
            </w:pPr>
            <w:r w:rsidRPr="00C337BA">
              <w:rPr>
                <w:rFonts w:ascii="Arial" w:hAnsi="Arial" w:cs="Arial"/>
                <w:color w:val="000000" w:themeColor="text1"/>
                <w:sz w:val="22"/>
                <w:szCs w:val="22"/>
              </w:rPr>
              <w:t>Context</w:t>
            </w:r>
          </w:p>
        </w:tc>
        <w:tc>
          <w:tcPr>
            <w:tcW w:w="7905" w:type="dxa"/>
          </w:tcPr>
          <w:p w14:paraId="3D88D1EF" w14:textId="45F91804" w:rsidR="00136659" w:rsidRPr="00C337BA" w:rsidRDefault="00136659" w:rsidP="00E67AD6">
            <w:pPr>
              <w:rPr>
                <w:rFonts w:ascii="Arial" w:hAnsi="Arial" w:cs="Arial"/>
                <w:color w:val="000000" w:themeColor="text1"/>
                <w:sz w:val="22"/>
                <w:szCs w:val="22"/>
              </w:rPr>
            </w:pPr>
            <w:r w:rsidRPr="00C337BA">
              <w:rPr>
                <w:rFonts w:ascii="Arial" w:hAnsi="Arial" w:cs="Arial"/>
                <w:sz w:val="22"/>
                <w:szCs w:val="22"/>
              </w:rPr>
              <w:t>Presence of smoke-free legislation.</w:t>
            </w:r>
          </w:p>
        </w:tc>
      </w:tr>
      <w:tr w:rsidR="00136659" w:rsidRPr="00136659" w14:paraId="287A35D5" w14:textId="77777777" w:rsidTr="00477D01">
        <w:tc>
          <w:tcPr>
            <w:tcW w:w="1105" w:type="dxa"/>
          </w:tcPr>
          <w:p w14:paraId="761CAE30" w14:textId="28ACA8A2" w:rsidR="00136659" w:rsidRPr="00C337BA" w:rsidRDefault="00136659" w:rsidP="00E67AD6">
            <w:pPr>
              <w:rPr>
                <w:rFonts w:ascii="Arial" w:hAnsi="Arial" w:cs="Arial"/>
                <w:color w:val="000000" w:themeColor="text1"/>
                <w:sz w:val="22"/>
                <w:szCs w:val="22"/>
              </w:rPr>
            </w:pPr>
            <w:r w:rsidRPr="00C337BA">
              <w:rPr>
                <w:rFonts w:ascii="Arial" w:hAnsi="Arial" w:cs="Arial"/>
                <w:sz w:val="22"/>
                <w:szCs w:val="22"/>
              </w:rPr>
              <w:t>Study Design</w:t>
            </w:r>
          </w:p>
        </w:tc>
        <w:tc>
          <w:tcPr>
            <w:tcW w:w="7905" w:type="dxa"/>
          </w:tcPr>
          <w:p w14:paraId="455351E9" w14:textId="449B2420" w:rsidR="00136659" w:rsidRPr="00C337BA" w:rsidRDefault="00136659" w:rsidP="00E67AD6">
            <w:pPr>
              <w:rPr>
                <w:rFonts w:ascii="Arial" w:hAnsi="Arial" w:cs="Arial"/>
                <w:sz w:val="22"/>
                <w:szCs w:val="22"/>
              </w:rPr>
            </w:pPr>
            <w:r w:rsidRPr="00C337BA">
              <w:rPr>
                <w:rFonts w:ascii="Arial" w:hAnsi="Arial" w:cs="Arial"/>
                <w:sz w:val="22"/>
                <w:szCs w:val="22"/>
              </w:rPr>
              <w:t>Randomised control trials (RCTs), non-randomised trials, controlled before-and-after studies and interrupted time-series studies.</w:t>
            </w:r>
          </w:p>
        </w:tc>
      </w:tr>
      <w:tr w:rsidR="00136659" w:rsidRPr="00136659" w14:paraId="6FB73EDB" w14:textId="77777777" w:rsidTr="00477D01">
        <w:tc>
          <w:tcPr>
            <w:tcW w:w="1105" w:type="dxa"/>
          </w:tcPr>
          <w:p w14:paraId="736FEC37" w14:textId="02C7012A" w:rsidR="00136659" w:rsidRPr="00C337BA" w:rsidRDefault="00136659" w:rsidP="00E67AD6">
            <w:pPr>
              <w:rPr>
                <w:rFonts w:ascii="Arial" w:hAnsi="Arial" w:cs="Arial"/>
                <w:color w:val="000000" w:themeColor="text1"/>
                <w:sz w:val="22"/>
                <w:szCs w:val="22"/>
              </w:rPr>
            </w:pPr>
            <w:r w:rsidRPr="00C337BA">
              <w:rPr>
                <w:rFonts w:ascii="Arial" w:hAnsi="Arial" w:cs="Arial"/>
                <w:sz w:val="22"/>
                <w:szCs w:val="22"/>
              </w:rPr>
              <w:t>Setting</w:t>
            </w:r>
          </w:p>
        </w:tc>
        <w:tc>
          <w:tcPr>
            <w:tcW w:w="7905" w:type="dxa"/>
          </w:tcPr>
          <w:p w14:paraId="27C5F0E5" w14:textId="2F1BA015" w:rsidR="00136659" w:rsidRPr="00C337BA" w:rsidRDefault="00136659" w:rsidP="00E67AD6">
            <w:pPr>
              <w:rPr>
                <w:rFonts w:ascii="Arial" w:hAnsi="Arial" w:cs="Arial"/>
                <w:sz w:val="22"/>
                <w:szCs w:val="22"/>
              </w:rPr>
            </w:pPr>
            <w:r w:rsidRPr="00C337BA">
              <w:rPr>
                <w:rFonts w:ascii="Arial" w:hAnsi="Arial" w:cs="Arial"/>
                <w:sz w:val="22"/>
                <w:szCs w:val="22"/>
              </w:rPr>
              <w:t>Any defence setting.</w:t>
            </w:r>
          </w:p>
        </w:tc>
      </w:tr>
    </w:tbl>
    <w:p w14:paraId="11270F7B" w14:textId="77777777" w:rsidR="00A74661" w:rsidRPr="008C38BB" w:rsidRDefault="00A74661" w:rsidP="00E67AD6">
      <w:pPr>
        <w:rPr>
          <w:rFonts w:ascii="Arial" w:hAnsi="Arial" w:cs="Arial"/>
          <w:sz w:val="22"/>
          <w:szCs w:val="22"/>
        </w:rPr>
      </w:pPr>
    </w:p>
    <w:p w14:paraId="74F3E33B" w14:textId="69EEB638" w:rsidR="008556C2" w:rsidRDefault="008556C2" w:rsidP="00E67AD6">
      <w:pPr>
        <w:rPr>
          <w:rFonts w:ascii="Arial" w:hAnsi="Arial" w:cs="Arial"/>
          <w:b/>
          <w:bCs/>
          <w:sz w:val="22"/>
          <w:szCs w:val="22"/>
        </w:rPr>
      </w:pPr>
      <w:r>
        <w:rPr>
          <w:rFonts w:ascii="Arial" w:hAnsi="Arial" w:cs="Arial"/>
          <w:b/>
          <w:bCs/>
          <w:sz w:val="22"/>
          <w:szCs w:val="22"/>
        </w:rPr>
        <w:t>Search</w:t>
      </w:r>
    </w:p>
    <w:p w14:paraId="53E93F2D" w14:textId="1219956E" w:rsidR="008C38BB" w:rsidRPr="008556C2" w:rsidRDefault="00A74661" w:rsidP="00E67AD6">
      <w:pPr>
        <w:rPr>
          <w:rFonts w:ascii="Arial" w:hAnsi="Arial" w:cs="Arial"/>
          <w:b/>
          <w:bCs/>
          <w:sz w:val="22"/>
          <w:szCs w:val="22"/>
        </w:rPr>
      </w:pPr>
      <w:r w:rsidRPr="008C38BB">
        <w:rPr>
          <w:rFonts w:ascii="Arial" w:hAnsi="Arial" w:cs="Arial"/>
          <w:sz w:val="22"/>
          <w:szCs w:val="22"/>
        </w:rPr>
        <w:t xml:space="preserve">ASSIA, CINAHL, CENTRAL, </w:t>
      </w:r>
      <w:proofErr w:type="spellStart"/>
      <w:r w:rsidRPr="008C38BB">
        <w:rPr>
          <w:rFonts w:ascii="Arial" w:hAnsi="Arial" w:cs="Arial"/>
          <w:sz w:val="22"/>
          <w:szCs w:val="22"/>
        </w:rPr>
        <w:t>DoPHER</w:t>
      </w:r>
      <w:proofErr w:type="spellEnd"/>
      <w:r w:rsidRPr="008C38BB">
        <w:rPr>
          <w:rFonts w:ascii="Arial" w:hAnsi="Arial" w:cs="Arial"/>
          <w:sz w:val="22"/>
          <w:szCs w:val="22"/>
        </w:rPr>
        <w:t xml:space="preserve">, EMBASE, MEDLINE, Open Grey and </w:t>
      </w:r>
      <w:proofErr w:type="spellStart"/>
      <w:r w:rsidRPr="008C38BB">
        <w:rPr>
          <w:rFonts w:ascii="Arial" w:hAnsi="Arial" w:cs="Arial"/>
          <w:sz w:val="22"/>
          <w:szCs w:val="22"/>
        </w:rPr>
        <w:t>PsychINFO</w:t>
      </w:r>
      <w:proofErr w:type="spellEnd"/>
      <w:r w:rsidRPr="008C38BB">
        <w:rPr>
          <w:rFonts w:ascii="Arial" w:hAnsi="Arial" w:cs="Arial"/>
          <w:sz w:val="22"/>
          <w:szCs w:val="22"/>
        </w:rPr>
        <w:t xml:space="preserve"> databases were searched from inception to June 2020. The search strategy was broadened through citation chaining, searching of authors’ files and hand searching of the key journals Tobacco Control, Nicotine and Tobacco Research, BMJ Military Health, Military Medicine and Military Medical Research. The Defence Public Health Unit and Public Health England were approached for </w:t>
      </w:r>
      <w:r w:rsidR="008C38BB" w:rsidRPr="008C38BB">
        <w:rPr>
          <w:rFonts w:ascii="Arial" w:hAnsi="Arial" w:cs="Arial"/>
          <w:sz w:val="22"/>
          <w:szCs w:val="22"/>
        </w:rPr>
        <w:t xml:space="preserve">further </w:t>
      </w:r>
      <w:r w:rsidRPr="008C38BB">
        <w:rPr>
          <w:rFonts w:ascii="Arial" w:hAnsi="Arial" w:cs="Arial"/>
          <w:sz w:val="22"/>
          <w:szCs w:val="22"/>
        </w:rPr>
        <w:t xml:space="preserve">unpublished </w:t>
      </w:r>
      <w:r w:rsidR="004F78FD">
        <w:rPr>
          <w:rFonts w:ascii="Arial" w:hAnsi="Arial" w:cs="Arial"/>
          <w:sz w:val="22"/>
          <w:szCs w:val="22"/>
        </w:rPr>
        <w:t xml:space="preserve">and grey </w:t>
      </w:r>
      <w:r w:rsidR="008C38BB" w:rsidRPr="008C38BB">
        <w:rPr>
          <w:rFonts w:ascii="Arial" w:hAnsi="Arial" w:cs="Arial"/>
          <w:sz w:val="22"/>
          <w:szCs w:val="22"/>
        </w:rPr>
        <w:t>literature.</w:t>
      </w:r>
      <w:r w:rsidR="008556C2">
        <w:rPr>
          <w:rFonts w:ascii="Arial" w:hAnsi="Arial" w:cs="Arial"/>
          <w:b/>
          <w:bCs/>
          <w:sz w:val="22"/>
          <w:szCs w:val="22"/>
        </w:rPr>
        <w:t xml:space="preserve"> </w:t>
      </w:r>
      <w:r w:rsidR="008C38BB">
        <w:rPr>
          <w:rFonts w:ascii="Arial" w:hAnsi="Arial" w:cs="Arial"/>
          <w:sz w:val="22"/>
          <w:szCs w:val="22"/>
        </w:rPr>
        <w:t>Synonyms for smoke-free</w:t>
      </w:r>
      <w:r w:rsidR="008F3BD2">
        <w:rPr>
          <w:rFonts w:ascii="Arial" w:hAnsi="Arial" w:cs="Arial"/>
          <w:sz w:val="22"/>
          <w:szCs w:val="22"/>
        </w:rPr>
        <w:t xml:space="preserve"> (</w:t>
      </w:r>
      <w:proofErr w:type="gramStart"/>
      <w:r w:rsidR="008F3BD2">
        <w:rPr>
          <w:rFonts w:ascii="Arial" w:hAnsi="Arial" w:cs="Arial"/>
          <w:sz w:val="22"/>
          <w:szCs w:val="22"/>
        </w:rPr>
        <w:t>e.g.</w:t>
      </w:r>
      <w:proofErr w:type="gramEnd"/>
      <w:r w:rsidR="008F3BD2">
        <w:rPr>
          <w:rFonts w:ascii="Arial" w:hAnsi="Arial" w:cs="Arial"/>
          <w:sz w:val="22"/>
          <w:szCs w:val="22"/>
        </w:rPr>
        <w:t xml:space="preserve"> </w:t>
      </w:r>
      <w:proofErr w:type="spellStart"/>
      <w:r w:rsidR="008F3BD2" w:rsidRPr="008F3BD2">
        <w:rPr>
          <w:rFonts w:ascii="Arial" w:hAnsi="Arial" w:cs="Arial"/>
          <w:i/>
          <w:iCs/>
          <w:sz w:val="22"/>
          <w:szCs w:val="22"/>
        </w:rPr>
        <w:t>smokefree</w:t>
      </w:r>
      <w:proofErr w:type="spellEnd"/>
      <w:r w:rsidR="008F3BD2" w:rsidRPr="008F3BD2">
        <w:rPr>
          <w:rFonts w:ascii="Arial" w:hAnsi="Arial" w:cs="Arial"/>
          <w:i/>
          <w:iCs/>
          <w:sz w:val="22"/>
          <w:szCs w:val="22"/>
        </w:rPr>
        <w:t>, tobacco free, smoking ban</w:t>
      </w:r>
      <w:r w:rsidR="008F3BD2">
        <w:rPr>
          <w:rFonts w:ascii="Arial" w:hAnsi="Arial" w:cs="Arial"/>
          <w:sz w:val="22"/>
          <w:szCs w:val="22"/>
        </w:rPr>
        <w:t>)</w:t>
      </w:r>
      <w:r w:rsidR="008C38BB">
        <w:rPr>
          <w:rFonts w:ascii="Arial" w:hAnsi="Arial" w:cs="Arial"/>
          <w:sz w:val="22"/>
          <w:szCs w:val="22"/>
        </w:rPr>
        <w:t xml:space="preserve"> and terms relating to defence</w:t>
      </w:r>
      <w:r w:rsidR="008F3BD2">
        <w:rPr>
          <w:rFonts w:ascii="Arial" w:hAnsi="Arial" w:cs="Arial"/>
          <w:sz w:val="22"/>
          <w:szCs w:val="22"/>
        </w:rPr>
        <w:t xml:space="preserve"> (e.g. </w:t>
      </w:r>
      <w:r w:rsidR="008F3BD2">
        <w:rPr>
          <w:rFonts w:ascii="Arial" w:hAnsi="Arial" w:cs="Arial"/>
          <w:i/>
          <w:iCs/>
          <w:sz w:val="22"/>
          <w:szCs w:val="22"/>
        </w:rPr>
        <w:t>military, army, navy</w:t>
      </w:r>
      <w:r w:rsidR="008F3BD2">
        <w:rPr>
          <w:rFonts w:ascii="Arial" w:hAnsi="Arial" w:cs="Arial"/>
          <w:sz w:val="22"/>
          <w:szCs w:val="22"/>
        </w:rPr>
        <w:t>)</w:t>
      </w:r>
      <w:r w:rsidR="008C38BB">
        <w:rPr>
          <w:rFonts w:ascii="Arial" w:hAnsi="Arial" w:cs="Arial"/>
          <w:sz w:val="22"/>
          <w:szCs w:val="22"/>
        </w:rPr>
        <w:t xml:space="preserve"> were combined using the Boolean operator AND. The full search strategy is included in the online supplementary appendix. </w:t>
      </w:r>
    </w:p>
    <w:p w14:paraId="735C85DC" w14:textId="3F885124" w:rsidR="008C38BB" w:rsidRDefault="008C38BB" w:rsidP="00E67AD6">
      <w:pPr>
        <w:rPr>
          <w:rFonts w:ascii="Arial" w:hAnsi="Arial" w:cs="Arial"/>
          <w:sz w:val="22"/>
          <w:szCs w:val="22"/>
        </w:rPr>
      </w:pPr>
    </w:p>
    <w:p w14:paraId="0434556A" w14:textId="77777777" w:rsidR="008556C2" w:rsidRDefault="008C38BB" w:rsidP="00E67AD6">
      <w:pPr>
        <w:rPr>
          <w:rFonts w:ascii="Arial" w:hAnsi="Arial" w:cs="Arial"/>
          <w:b/>
          <w:bCs/>
          <w:sz w:val="22"/>
          <w:szCs w:val="22"/>
        </w:rPr>
      </w:pPr>
      <w:r w:rsidRPr="008C38BB">
        <w:rPr>
          <w:rFonts w:ascii="Arial" w:hAnsi="Arial" w:cs="Arial"/>
          <w:b/>
          <w:bCs/>
          <w:sz w:val="22"/>
          <w:szCs w:val="22"/>
        </w:rPr>
        <w:t>Study Selection</w:t>
      </w:r>
    </w:p>
    <w:p w14:paraId="68845A9B" w14:textId="4C05A810" w:rsidR="008C38BB" w:rsidRPr="008C38BB" w:rsidRDefault="008C38BB" w:rsidP="00E67AD6">
      <w:pPr>
        <w:rPr>
          <w:rFonts w:ascii="Arial" w:hAnsi="Arial" w:cs="Arial"/>
          <w:sz w:val="22"/>
          <w:szCs w:val="22"/>
        </w:rPr>
      </w:pPr>
      <w:r>
        <w:rPr>
          <w:rFonts w:ascii="Arial" w:hAnsi="Arial" w:cs="Arial"/>
          <w:sz w:val="22"/>
          <w:szCs w:val="22"/>
        </w:rPr>
        <w:t xml:space="preserve">A screening and selection tool was developed and piloted by two reviewers </w:t>
      </w:r>
      <w:r w:rsidR="009B050B">
        <w:rPr>
          <w:rFonts w:ascii="Arial" w:hAnsi="Arial" w:cs="Arial"/>
          <w:sz w:val="22"/>
          <w:szCs w:val="22"/>
        </w:rPr>
        <w:t xml:space="preserve">(TFH, AM) </w:t>
      </w:r>
      <w:r>
        <w:rPr>
          <w:rFonts w:ascii="Arial" w:hAnsi="Arial" w:cs="Arial"/>
          <w:sz w:val="22"/>
          <w:szCs w:val="22"/>
        </w:rPr>
        <w:t xml:space="preserve">on the first thirty studies. Following this, </w:t>
      </w:r>
      <w:r w:rsidR="00E4181C">
        <w:rPr>
          <w:rFonts w:ascii="Arial" w:hAnsi="Arial" w:cs="Arial"/>
          <w:sz w:val="22"/>
          <w:szCs w:val="22"/>
        </w:rPr>
        <w:t>single screening by one reviewer (TFH) was</w:t>
      </w:r>
      <w:r>
        <w:rPr>
          <w:rFonts w:ascii="Arial" w:hAnsi="Arial" w:cs="Arial"/>
          <w:sz w:val="22"/>
          <w:szCs w:val="22"/>
        </w:rPr>
        <w:t xml:space="preserve"> carried out </w:t>
      </w:r>
      <w:r w:rsidR="00E4181C">
        <w:rPr>
          <w:rFonts w:ascii="Arial" w:hAnsi="Arial" w:cs="Arial"/>
          <w:sz w:val="22"/>
          <w:szCs w:val="22"/>
        </w:rPr>
        <w:t xml:space="preserve">for </w:t>
      </w:r>
      <w:r>
        <w:rPr>
          <w:rFonts w:ascii="Arial" w:hAnsi="Arial" w:cs="Arial"/>
          <w:sz w:val="22"/>
          <w:szCs w:val="22"/>
        </w:rPr>
        <w:t xml:space="preserve">title and abstract screening. Two reviewers </w:t>
      </w:r>
      <w:r w:rsidR="00E4181C">
        <w:rPr>
          <w:rFonts w:ascii="Arial" w:hAnsi="Arial" w:cs="Arial"/>
          <w:sz w:val="22"/>
          <w:szCs w:val="22"/>
        </w:rPr>
        <w:t xml:space="preserve">(TFH, AM) </w:t>
      </w:r>
      <w:r>
        <w:rPr>
          <w:rFonts w:ascii="Arial" w:hAnsi="Arial" w:cs="Arial"/>
          <w:sz w:val="22"/>
          <w:szCs w:val="22"/>
        </w:rPr>
        <w:t>independently conducted full text-</w:t>
      </w:r>
      <w:r>
        <w:rPr>
          <w:rFonts w:ascii="Arial" w:hAnsi="Arial" w:cs="Arial"/>
          <w:sz w:val="22"/>
          <w:szCs w:val="22"/>
        </w:rPr>
        <w:lastRenderedPageBreak/>
        <w:t>assessment with minor disagreements resolved by discussion</w:t>
      </w:r>
      <w:r w:rsidR="00B3588C">
        <w:rPr>
          <w:rFonts w:ascii="Arial" w:hAnsi="Arial" w:cs="Arial"/>
          <w:sz w:val="22"/>
          <w:szCs w:val="22"/>
        </w:rPr>
        <w:t>, not by an independent asses</w:t>
      </w:r>
      <w:r w:rsidR="001963D6">
        <w:rPr>
          <w:rFonts w:ascii="Arial" w:hAnsi="Arial" w:cs="Arial"/>
          <w:sz w:val="22"/>
          <w:szCs w:val="22"/>
        </w:rPr>
        <w:t>s</w:t>
      </w:r>
      <w:r w:rsidR="00B3588C">
        <w:rPr>
          <w:rFonts w:ascii="Arial" w:hAnsi="Arial" w:cs="Arial"/>
          <w:sz w:val="22"/>
          <w:szCs w:val="22"/>
        </w:rPr>
        <w:t>or</w:t>
      </w:r>
      <w:r>
        <w:rPr>
          <w:rFonts w:ascii="Arial" w:hAnsi="Arial" w:cs="Arial"/>
          <w:sz w:val="22"/>
          <w:szCs w:val="22"/>
        </w:rPr>
        <w:t>.</w:t>
      </w:r>
    </w:p>
    <w:p w14:paraId="427F5243" w14:textId="023BEDBF" w:rsidR="008C38BB" w:rsidRDefault="008C38BB" w:rsidP="00E67AD6">
      <w:pPr>
        <w:rPr>
          <w:rFonts w:ascii="Arial" w:hAnsi="Arial" w:cs="Arial"/>
          <w:b/>
          <w:bCs/>
          <w:sz w:val="22"/>
          <w:szCs w:val="22"/>
        </w:rPr>
      </w:pPr>
    </w:p>
    <w:p w14:paraId="7B582E7F" w14:textId="77777777" w:rsidR="008556C2" w:rsidRDefault="008556C2" w:rsidP="00E67AD6">
      <w:pPr>
        <w:rPr>
          <w:rFonts w:ascii="Arial" w:hAnsi="Arial" w:cs="Arial"/>
          <w:b/>
          <w:bCs/>
          <w:sz w:val="22"/>
          <w:szCs w:val="22"/>
        </w:rPr>
      </w:pPr>
      <w:r>
        <w:rPr>
          <w:rFonts w:ascii="Arial" w:hAnsi="Arial" w:cs="Arial"/>
          <w:b/>
          <w:bCs/>
          <w:sz w:val="22"/>
          <w:szCs w:val="22"/>
        </w:rPr>
        <w:t>Data Extraction</w:t>
      </w:r>
    </w:p>
    <w:p w14:paraId="7BB2F4DB" w14:textId="5F487FB5" w:rsidR="008C38BB" w:rsidRPr="008556C2" w:rsidRDefault="004A1ED7" w:rsidP="00E67AD6">
      <w:pPr>
        <w:rPr>
          <w:rFonts w:ascii="Arial" w:hAnsi="Arial" w:cs="Arial"/>
          <w:b/>
          <w:bCs/>
          <w:sz w:val="22"/>
          <w:szCs w:val="22"/>
        </w:rPr>
      </w:pPr>
      <w:r>
        <w:rPr>
          <w:rFonts w:ascii="Arial" w:hAnsi="Arial" w:cs="Arial"/>
          <w:sz w:val="22"/>
          <w:szCs w:val="22"/>
        </w:rPr>
        <w:t xml:space="preserve">The data collection tool was piloted on the first five studies with the tool being iteratively updated. </w:t>
      </w:r>
      <w:r w:rsidR="00DC52A0" w:rsidRPr="00DC52A0">
        <w:rPr>
          <w:rFonts w:ascii="Arial" w:hAnsi="Arial" w:cs="Arial"/>
          <w:sz w:val="22"/>
          <w:szCs w:val="22"/>
        </w:rPr>
        <w:t>One reviewer</w:t>
      </w:r>
      <w:r w:rsidR="001023D5">
        <w:rPr>
          <w:rFonts w:ascii="Arial" w:hAnsi="Arial" w:cs="Arial"/>
          <w:sz w:val="22"/>
          <w:szCs w:val="22"/>
        </w:rPr>
        <w:t xml:space="preserve"> (TFH)</w:t>
      </w:r>
      <w:r w:rsidR="00DC52A0" w:rsidRPr="00DC52A0">
        <w:rPr>
          <w:rFonts w:ascii="Arial" w:hAnsi="Arial" w:cs="Arial"/>
          <w:sz w:val="22"/>
          <w:szCs w:val="22"/>
        </w:rPr>
        <w:t xml:space="preserve"> then carried out data </w:t>
      </w:r>
      <w:r w:rsidR="001023D5">
        <w:rPr>
          <w:rFonts w:ascii="Arial" w:hAnsi="Arial" w:cs="Arial"/>
          <w:sz w:val="22"/>
          <w:szCs w:val="22"/>
        </w:rPr>
        <w:t>extraction</w:t>
      </w:r>
      <w:r w:rsidR="00DC52A0" w:rsidRPr="00DC52A0">
        <w:rPr>
          <w:rFonts w:ascii="Arial" w:hAnsi="Arial" w:cs="Arial"/>
          <w:sz w:val="22"/>
          <w:szCs w:val="22"/>
        </w:rPr>
        <w:t xml:space="preserve"> with a second reviewer</w:t>
      </w:r>
      <w:r w:rsidR="001023D5">
        <w:rPr>
          <w:rFonts w:ascii="Arial" w:hAnsi="Arial" w:cs="Arial"/>
          <w:sz w:val="22"/>
          <w:szCs w:val="22"/>
        </w:rPr>
        <w:t xml:space="preserve"> (AM)</w:t>
      </w:r>
      <w:r w:rsidR="00DC52A0" w:rsidRPr="00DC52A0">
        <w:rPr>
          <w:rFonts w:ascii="Arial" w:hAnsi="Arial" w:cs="Arial"/>
          <w:sz w:val="22"/>
          <w:szCs w:val="22"/>
        </w:rPr>
        <w:t xml:space="preserve"> checking the </w:t>
      </w:r>
      <w:r w:rsidR="00FE23D5">
        <w:rPr>
          <w:rFonts w:ascii="Arial" w:hAnsi="Arial" w:cs="Arial"/>
          <w:sz w:val="22"/>
          <w:szCs w:val="22"/>
        </w:rPr>
        <w:t>compliance with the data extraction tool</w:t>
      </w:r>
      <w:r w:rsidR="00DC52A0" w:rsidRPr="00DC52A0">
        <w:rPr>
          <w:rFonts w:ascii="Arial" w:hAnsi="Arial" w:cs="Arial"/>
          <w:sz w:val="22"/>
          <w:szCs w:val="22"/>
        </w:rPr>
        <w:t>.</w:t>
      </w:r>
      <w:r w:rsidR="008556C2">
        <w:rPr>
          <w:rFonts w:ascii="Arial" w:hAnsi="Arial" w:cs="Arial"/>
          <w:b/>
          <w:bCs/>
          <w:sz w:val="22"/>
          <w:szCs w:val="22"/>
        </w:rPr>
        <w:t xml:space="preserve"> </w:t>
      </w:r>
      <w:r>
        <w:rPr>
          <w:rFonts w:ascii="Arial" w:hAnsi="Arial" w:cs="Arial"/>
          <w:sz w:val="22"/>
          <w:szCs w:val="22"/>
        </w:rPr>
        <w:t xml:space="preserve">Data items included year, author, journal, country, study design, study objectives, population (including key demographics, numbers, inclusion/exclusion criteria), setting, context, definitions of SHS exposure and smoking status, intervention, comparator, outcomes, analyses, adverse effects, length of and numbers lost to follow up, funding and conflict of interest. Following the pilot, result per outcome and participant flow through </w:t>
      </w:r>
      <w:r w:rsidR="00903458">
        <w:rPr>
          <w:rFonts w:ascii="Arial" w:hAnsi="Arial" w:cs="Arial"/>
          <w:sz w:val="22"/>
          <w:szCs w:val="22"/>
        </w:rPr>
        <w:t xml:space="preserve">the </w:t>
      </w:r>
      <w:r>
        <w:rPr>
          <w:rFonts w:ascii="Arial" w:hAnsi="Arial" w:cs="Arial"/>
          <w:sz w:val="22"/>
          <w:szCs w:val="22"/>
        </w:rPr>
        <w:t>study were added.</w:t>
      </w:r>
    </w:p>
    <w:p w14:paraId="06635216" w14:textId="77777777" w:rsidR="004A1ED7" w:rsidRPr="008C38BB" w:rsidRDefault="004A1ED7" w:rsidP="00E67AD6">
      <w:pPr>
        <w:rPr>
          <w:rFonts w:ascii="Arial" w:hAnsi="Arial" w:cs="Arial"/>
          <w:b/>
          <w:bCs/>
          <w:sz w:val="22"/>
          <w:szCs w:val="22"/>
        </w:rPr>
      </w:pPr>
    </w:p>
    <w:p w14:paraId="2183DAA6" w14:textId="3DC8F5F5" w:rsidR="008556C2" w:rsidRDefault="008C38BB" w:rsidP="00E67AD6">
      <w:pPr>
        <w:rPr>
          <w:rFonts w:ascii="Arial" w:hAnsi="Arial" w:cs="Arial"/>
          <w:b/>
          <w:bCs/>
          <w:sz w:val="22"/>
          <w:szCs w:val="22"/>
        </w:rPr>
      </w:pPr>
      <w:r w:rsidRPr="008C38BB">
        <w:rPr>
          <w:rFonts w:ascii="Arial" w:hAnsi="Arial" w:cs="Arial"/>
          <w:b/>
          <w:bCs/>
          <w:sz w:val="22"/>
          <w:szCs w:val="22"/>
        </w:rPr>
        <w:t xml:space="preserve">Risk of Bias </w:t>
      </w:r>
      <w:r w:rsidR="007E4FDD">
        <w:rPr>
          <w:rFonts w:ascii="Arial" w:hAnsi="Arial" w:cs="Arial"/>
          <w:b/>
          <w:bCs/>
          <w:sz w:val="22"/>
          <w:szCs w:val="22"/>
        </w:rPr>
        <w:t>Assessment</w:t>
      </w:r>
    </w:p>
    <w:p w14:paraId="0862078D" w14:textId="0D676B01" w:rsidR="004A1ED7" w:rsidRDefault="004A1ED7" w:rsidP="00E67AD6">
      <w:pPr>
        <w:rPr>
          <w:rFonts w:ascii="Arial" w:hAnsi="Arial" w:cs="Arial"/>
          <w:sz w:val="22"/>
          <w:szCs w:val="22"/>
        </w:rPr>
      </w:pPr>
      <w:r>
        <w:rPr>
          <w:rFonts w:ascii="Arial" w:hAnsi="Arial" w:cs="Arial"/>
          <w:sz w:val="22"/>
          <w:szCs w:val="22"/>
        </w:rPr>
        <w:t xml:space="preserve">Risk of bias assessment was conducted by one reviewer </w:t>
      </w:r>
      <w:r w:rsidR="00FE23D5">
        <w:rPr>
          <w:rFonts w:ascii="Arial" w:hAnsi="Arial" w:cs="Arial"/>
          <w:sz w:val="22"/>
          <w:szCs w:val="22"/>
        </w:rPr>
        <w:t xml:space="preserve">(TFH) </w:t>
      </w:r>
      <w:r w:rsidR="001C5140">
        <w:rPr>
          <w:rFonts w:ascii="Arial" w:hAnsi="Arial" w:cs="Arial"/>
          <w:sz w:val="22"/>
          <w:szCs w:val="22"/>
        </w:rPr>
        <w:t xml:space="preserve">with </w:t>
      </w:r>
      <w:r>
        <w:rPr>
          <w:rFonts w:ascii="Arial" w:hAnsi="Arial" w:cs="Arial"/>
          <w:sz w:val="22"/>
          <w:szCs w:val="22"/>
        </w:rPr>
        <w:t>the ROBINS-I tool using an intention-to-treat effect, with the second reviewer</w:t>
      </w:r>
      <w:r w:rsidR="00E603E2">
        <w:rPr>
          <w:rFonts w:ascii="Arial" w:hAnsi="Arial" w:cs="Arial"/>
          <w:sz w:val="22"/>
          <w:szCs w:val="22"/>
        </w:rPr>
        <w:t xml:space="preserve"> (AM)</w:t>
      </w:r>
      <w:r>
        <w:rPr>
          <w:rFonts w:ascii="Arial" w:hAnsi="Arial" w:cs="Arial"/>
          <w:sz w:val="22"/>
          <w:szCs w:val="22"/>
        </w:rPr>
        <w:t xml:space="preserve"> checking </w:t>
      </w:r>
      <w:r w:rsidR="00FE23D5">
        <w:rPr>
          <w:rFonts w:ascii="Arial" w:hAnsi="Arial" w:cs="Arial"/>
          <w:sz w:val="22"/>
          <w:szCs w:val="22"/>
        </w:rPr>
        <w:t xml:space="preserve">compliance with ROBINS-I </w:t>
      </w:r>
      <w:r w:rsidR="00026378">
        <w:rPr>
          <w:rFonts w:ascii="Arial" w:hAnsi="Arial" w:cs="Arial"/>
          <w:sz w:val="22"/>
          <w:szCs w:val="22"/>
        </w:rPr>
        <w:fldChar w:fldCharType="begin" w:fldLock="1"/>
      </w:r>
      <w:r w:rsidR="00026378">
        <w:rPr>
          <w:rFonts w:ascii="Arial" w:hAnsi="Arial" w:cs="Arial"/>
          <w:sz w:val="22"/>
          <w:szCs w:val="22"/>
        </w:rPr>
        <w:instrText>ADDIN CSL_CITATION {"citationItems":[{"id":"ITEM-1","itemData":{"DOI":"10.1136/bmj.i4919","abstract":"Non-randomised studies of the effects of interventions are critical to many areas of healthcare evaluation, but their results may be biased. It is therefore important to understand and appraise their strengths and weaknesses. We developed ROBINS-I (“Risk Of Bias In Non-randomised Studies - of Interventions”), a new tool for evaluating risk of bias in estimates of the comparative effectiveness (harm or benefit) of interventions from studies that did not use randomisation to allocate units (individuals or clusters of individuals) to comparison groups. The tool will be particularly useful to those undertaking systematic reviews that include non-randomised studies.Summary pointsNon-randomised studies of the effects of interventions are critical to many areas of healthcare evaluation but are subject to confounding and a range of other potential biasesWe developed, piloted, and refined a new tool, ROBINS-I, to assess “Risk Of Bias In Non-randomised Studies - of Interventions”The tool views each study as an attempt to emulate (mimic) a hypothetical pragmatic randomised trial, and covers seven distinct domains through which bias might be introducedWe use “signalling questions” to help users of ROBINS-I to judge risk of bias within each domainThe judgements within each domain carry forward to an overall risk of bias judgement across bias domains for the outcome being assessedNon-randomised studies of the effects of interventions (NRSI) are critical to many areas of healthcare evaluation. Designs of NRSI that can be used to evaluate the effects of interventions include observational studies such as cohort studies and case-control studies in which intervention groups are allocated during the course of usual treatment decisions, and quasi-randomised studies in which the method of allocation falls short of full randomisation. Non-randomised studies can provide evidence additional to that available from randomised trials about long term outcomes, rare events, adverse effects and populations that are …","author":[{"dropping-particle":"","family":"Sterne","given":"Jonathan A 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 T","non-dropping-particle":"","parse-names":false,"suffix":""}],"container-title":"BMJ","id":"ITEM-1","issued":{"date-parts":[["2016","10","12"]]},"page":"i4919","title":"ROBINS-I: a tool for assessing risk of bias in non-randomised studies of interventions","type":"article-journal","volume":"355"},"uris":["http://www.mendeley.com/documents/?uuid=ea642613-3652-40e4-9d84-ff2f65434e00"]}],"mendeley":{"formattedCitation":"(31)","plainTextFormattedCitation":"(31)","previouslyFormattedCitation":"(31)"},"properties":{"noteIndex":0},"schema":"https://github.com/citation-style-language/schema/raw/master/csl-citation.json"}</w:instrText>
      </w:r>
      <w:r w:rsidR="00026378">
        <w:rPr>
          <w:rFonts w:ascii="Arial" w:hAnsi="Arial" w:cs="Arial"/>
          <w:sz w:val="22"/>
          <w:szCs w:val="22"/>
        </w:rPr>
        <w:fldChar w:fldCharType="separate"/>
      </w:r>
      <w:r w:rsidR="00026378" w:rsidRPr="00026378">
        <w:rPr>
          <w:rFonts w:ascii="Arial" w:hAnsi="Arial" w:cs="Arial"/>
          <w:noProof/>
          <w:sz w:val="22"/>
          <w:szCs w:val="22"/>
        </w:rPr>
        <w:t>(</w:t>
      </w:r>
      <w:r w:rsidR="00C671B2">
        <w:rPr>
          <w:rFonts w:ascii="Arial" w:hAnsi="Arial" w:cs="Arial"/>
          <w:noProof/>
          <w:sz w:val="22"/>
          <w:szCs w:val="22"/>
        </w:rPr>
        <w:t>32</w:t>
      </w:r>
      <w:r w:rsidR="00026378" w:rsidRPr="00026378">
        <w:rPr>
          <w:rFonts w:ascii="Arial" w:hAnsi="Arial" w:cs="Arial"/>
          <w:noProof/>
          <w:sz w:val="22"/>
          <w:szCs w:val="22"/>
        </w:rPr>
        <w:t>)</w:t>
      </w:r>
      <w:r w:rsidR="00026378">
        <w:rPr>
          <w:rFonts w:ascii="Arial" w:hAnsi="Arial" w:cs="Arial"/>
          <w:sz w:val="22"/>
          <w:szCs w:val="22"/>
        </w:rPr>
        <w:fldChar w:fldCharType="end"/>
      </w:r>
      <w:r>
        <w:rPr>
          <w:rFonts w:ascii="Arial" w:hAnsi="Arial" w:cs="Arial"/>
          <w:sz w:val="22"/>
          <w:szCs w:val="22"/>
        </w:rPr>
        <w:t>. The full risk of bias assessment, including relevant confounders</w:t>
      </w:r>
      <w:r w:rsidR="00F945E3">
        <w:rPr>
          <w:rFonts w:ascii="Arial" w:hAnsi="Arial" w:cs="Arial"/>
          <w:sz w:val="22"/>
          <w:szCs w:val="22"/>
        </w:rPr>
        <w:t>,</w:t>
      </w:r>
      <w:r>
        <w:rPr>
          <w:rFonts w:ascii="Arial" w:hAnsi="Arial" w:cs="Arial"/>
          <w:sz w:val="22"/>
          <w:szCs w:val="22"/>
        </w:rPr>
        <w:t xml:space="preserve"> is included in the online supplementary appendix. </w:t>
      </w:r>
    </w:p>
    <w:p w14:paraId="6723214E" w14:textId="33C86F49" w:rsidR="008C38BB" w:rsidRPr="008C38BB" w:rsidRDefault="008C38BB" w:rsidP="00E67AD6">
      <w:pPr>
        <w:rPr>
          <w:rFonts w:ascii="Arial" w:hAnsi="Arial" w:cs="Arial"/>
          <w:b/>
          <w:bCs/>
          <w:sz w:val="22"/>
          <w:szCs w:val="22"/>
        </w:rPr>
      </w:pPr>
    </w:p>
    <w:p w14:paraId="306A5282" w14:textId="77777777" w:rsidR="0035416B" w:rsidRDefault="008C38BB" w:rsidP="00E67AD6">
      <w:pPr>
        <w:rPr>
          <w:rFonts w:ascii="Arial" w:hAnsi="Arial" w:cs="Arial"/>
          <w:b/>
          <w:bCs/>
          <w:sz w:val="22"/>
          <w:szCs w:val="22"/>
        </w:rPr>
      </w:pPr>
      <w:r w:rsidRPr="008C38BB">
        <w:rPr>
          <w:rFonts w:ascii="Arial" w:hAnsi="Arial" w:cs="Arial"/>
          <w:b/>
          <w:bCs/>
          <w:sz w:val="22"/>
          <w:szCs w:val="22"/>
        </w:rPr>
        <w:t>Synthesis</w:t>
      </w:r>
    </w:p>
    <w:p w14:paraId="12AC7ED5" w14:textId="14BCE66E" w:rsidR="008C38BB" w:rsidRPr="00E63E57" w:rsidRDefault="00F945E3" w:rsidP="00E67AD6">
      <w:pPr>
        <w:rPr>
          <w:rFonts w:ascii="Arial" w:hAnsi="Arial" w:cs="Arial"/>
          <w:b/>
          <w:bCs/>
          <w:sz w:val="22"/>
          <w:szCs w:val="22"/>
        </w:rPr>
      </w:pPr>
      <w:r>
        <w:rPr>
          <w:rFonts w:ascii="Arial" w:hAnsi="Arial" w:cs="Arial"/>
          <w:sz w:val="22"/>
          <w:szCs w:val="22"/>
        </w:rPr>
        <w:t>Synthesis without meta-analysis (</w:t>
      </w:r>
      <w:proofErr w:type="spellStart"/>
      <w:r>
        <w:rPr>
          <w:rFonts w:ascii="Arial" w:hAnsi="Arial" w:cs="Arial"/>
          <w:sz w:val="22"/>
          <w:szCs w:val="22"/>
        </w:rPr>
        <w:t>SWiM</w:t>
      </w:r>
      <w:proofErr w:type="spellEnd"/>
      <w:r>
        <w:rPr>
          <w:rFonts w:ascii="Arial" w:hAnsi="Arial" w:cs="Arial"/>
          <w:sz w:val="22"/>
          <w:szCs w:val="22"/>
        </w:rPr>
        <w:t>) was conducted due to the anticipation of considerable clinical, methodological and statistical heterogeneity using the SWIM guideline’s nine reporting items</w:t>
      </w:r>
      <w:r w:rsidR="00026378">
        <w:rPr>
          <w:rFonts w:ascii="Arial" w:hAnsi="Arial" w:cs="Arial"/>
          <w:sz w:val="22"/>
          <w:szCs w:val="22"/>
        </w:rPr>
        <w:fldChar w:fldCharType="begin" w:fldLock="1"/>
      </w:r>
      <w:r w:rsidR="00026378">
        <w:rPr>
          <w:rFonts w:ascii="Arial" w:hAnsi="Arial" w:cs="Arial"/>
          <w:sz w:val="22"/>
          <w:szCs w:val="22"/>
        </w:rPr>
        <w:instrText>ADDIN CSL_CITATION {"citationItems":[{"id":"ITEM-1","itemData":{"DOI":"10.1136/bmj.l6890","abstract":"In systematic reviews that lack data amenable to meta-analysis, alternative synthesis methods are commonly used, but these methods are rarely reported. This lack of transparency in the methods can cast doubt on the validity of the review findings. The Synthesis Without Meta-analysis (SWiM) guideline has been developed to guide clear reporting in reviews of interventions in which alternative synthesis methods to meta-analysis of effect estimates are used. This article describes the development of the SWiM guideline for the synthesis of quantitative data of intervention effects and presents the nine SWiM reporting items with accompanying explanations and examples.Summary pointsSystematic reviews of health related interventions often use alternative methods of synthesis to meta-analysis of effect estimates, methods often described as “narrative synthesis”Serious shortcomings in reviews that use “narrative synthesis” have been identified, including a lack of description of the methods used; unclear links between the included data, the synthesis, and the conclusions; and inadequate reporting of the limitations of the synthesisThe Synthesis Without Meta-analysis (SWiM) guideline is a nine item checklist to promote transparent reporting for reviews of interventions that use alternative synthesis methodsThe SWiM items prompt users to report how studies are grouped, the standardised metric used for the synthesis, the synthesis method, how data are presented, a summary of the synthesis findings, and limitations of the synthesisThe SWiM guideline has been developed using a best practice approach, involving extensive consultation and formal consensusDecision makers consider systematic reviews to be an essential source of evidence.1 Complete and transparent reporting of the methods and results of reviews allows users to assess the validity of review findings. The Preferred Reporting Items for Systematic Reviews and Meta-Analyses (PRISMA; http://www.prisma-statement.org/) statement, consisting of a 27 item checklist, was developed to facilitate improved reporting of systematic reviews.2 Extensions are …","author":[{"dropping-particle":"","family":"Campbell","given":"Mhairi","non-dropping-particle":"","parse-names":false,"suffix":""},{"dropping-particle":"","family":"McKenzie","given":"Joanne E","non-dropping-particle":"","parse-names":false,"suffix":""},{"dropping-particle":"","family":"Sowden","given":"Amanda","non-dropping-particle":"","parse-names":false,"suffix":""},{"dropping-particle":"","family":"Katikireddi","given":"Srinivasa Vittal","non-dropping-particle":"","parse-names":false,"suffix":""},{"dropping-particle":"","family":"Brennan","given":"Sue E","non-dropping-particle":"","parse-names":false,"suffix":""},{"dropping-particle":"","family":"Ellis","given":"Simon","non-dropping-particle":"","parse-names":false,"suffix":""},{"dropping-particle":"","family":"Hartmann-Boyce","given":"Jamie","non-dropping-particle":"","parse-names":false,"suffix":""},{"dropping-particle":"","family":"Ryan","given":"Rebecca","non-dropping-particle":"","parse-names":false,"suffix":""},{"dropping-particle":"","family":"Shepperd","given":"Sasha","non-dropping-particle":"","parse-names":false,"suffix":""},{"dropping-particle":"","family":"Thomas","given":"James","non-dropping-particle":"","parse-names":false,"suffix":""},{"dropping-particle":"","family":"Welch","given":"Vivian","non-dropping-particle":"","parse-names":false,"suffix":""},{"dropping-particle":"","family":"Thomson","given":"Hilary","non-dropping-particle":"","parse-names":false,"suffix":""}],"container-title":"BMJ","id":"ITEM-1","issued":{"date-parts":[["2020","1","16"]]},"page":"l6890","title":"Synthesis without meta-analysis (SWiM) in systematic reviews: reporting guideline","type":"article-journal","volume":"368"},"uris":["http://www.mendeley.com/documents/?uuid=a2ad9a36-1d31-42db-ba78-fce708b7d1ae"]}],"mendeley":{"formattedCitation":"(32)","plainTextFormattedCitation":"(32)","previouslyFormattedCitation":"(32)"},"properties":{"noteIndex":0},"schema":"https://github.com/citation-style-language/schema/raw/master/csl-citation.json"}</w:instrText>
      </w:r>
      <w:r w:rsidR="00026378">
        <w:rPr>
          <w:rFonts w:ascii="Arial" w:hAnsi="Arial" w:cs="Arial"/>
          <w:sz w:val="22"/>
          <w:szCs w:val="22"/>
        </w:rPr>
        <w:fldChar w:fldCharType="separate"/>
      </w:r>
      <w:r w:rsidR="00026378" w:rsidRPr="00026378">
        <w:rPr>
          <w:rFonts w:ascii="Arial" w:hAnsi="Arial" w:cs="Arial"/>
          <w:noProof/>
          <w:sz w:val="22"/>
          <w:szCs w:val="22"/>
        </w:rPr>
        <w:t>(</w:t>
      </w:r>
      <w:r w:rsidR="00C671B2">
        <w:rPr>
          <w:rFonts w:ascii="Arial" w:hAnsi="Arial" w:cs="Arial"/>
          <w:noProof/>
          <w:sz w:val="22"/>
          <w:szCs w:val="22"/>
        </w:rPr>
        <w:t>33</w:t>
      </w:r>
      <w:r w:rsidR="00026378" w:rsidRPr="00026378">
        <w:rPr>
          <w:rFonts w:ascii="Arial" w:hAnsi="Arial" w:cs="Arial"/>
          <w:noProof/>
          <w:sz w:val="22"/>
          <w:szCs w:val="22"/>
        </w:rPr>
        <w:t>)</w:t>
      </w:r>
      <w:r w:rsidR="00026378">
        <w:rPr>
          <w:rFonts w:ascii="Arial" w:hAnsi="Arial" w:cs="Arial"/>
          <w:sz w:val="22"/>
          <w:szCs w:val="22"/>
        </w:rPr>
        <w:fldChar w:fldCharType="end"/>
      </w:r>
      <w:r>
        <w:rPr>
          <w:rFonts w:ascii="Arial" w:hAnsi="Arial" w:cs="Arial"/>
          <w:sz w:val="22"/>
          <w:szCs w:val="22"/>
        </w:rPr>
        <w:t xml:space="preserve">. The synthesis grouping was the </w:t>
      </w:r>
      <w:r w:rsidR="009A6744">
        <w:rPr>
          <w:rFonts w:ascii="Arial" w:hAnsi="Arial" w:cs="Arial"/>
          <w:sz w:val="22"/>
          <w:szCs w:val="22"/>
        </w:rPr>
        <w:t xml:space="preserve">broad </w:t>
      </w:r>
      <w:r>
        <w:rPr>
          <w:rFonts w:ascii="Arial" w:hAnsi="Arial" w:cs="Arial"/>
          <w:sz w:val="22"/>
          <w:szCs w:val="22"/>
        </w:rPr>
        <w:t>intervention type</w:t>
      </w:r>
      <w:r w:rsidR="009A6744">
        <w:rPr>
          <w:rFonts w:ascii="Arial" w:hAnsi="Arial" w:cs="Arial"/>
          <w:sz w:val="22"/>
          <w:szCs w:val="22"/>
        </w:rPr>
        <w:t xml:space="preserve">: </w:t>
      </w:r>
      <w:r w:rsidR="009A6744" w:rsidRPr="00A23888">
        <w:rPr>
          <w:rFonts w:ascii="Arial" w:hAnsi="Arial" w:cs="Arial"/>
          <w:color w:val="000000" w:themeColor="text1"/>
          <w:sz w:val="22"/>
          <w:szCs w:val="22"/>
        </w:rPr>
        <w:t>24/7 prohibition of all tobacco products, whole</w:t>
      </w:r>
      <w:r w:rsidR="009A6744">
        <w:rPr>
          <w:rFonts w:ascii="Arial" w:hAnsi="Arial" w:cs="Arial"/>
          <w:color w:val="000000" w:themeColor="text1"/>
          <w:sz w:val="22"/>
          <w:szCs w:val="22"/>
        </w:rPr>
        <w:t>-</w:t>
      </w:r>
      <w:r w:rsidR="009A6744" w:rsidRPr="00A23888">
        <w:rPr>
          <w:rFonts w:ascii="Arial" w:hAnsi="Arial" w:cs="Arial"/>
          <w:color w:val="000000" w:themeColor="text1"/>
          <w:sz w:val="22"/>
          <w:szCs w:val="22"/>
        </w:rPr>
        <w:t>site smoking ban</w:t>
      </w:r>
      <w:r w:rsidR="009A6744">
        <w:rPr>
          <w:rFonts w:ascii="Arial" w:hAnsi="Arial" w:cs="Arial"/>
          <w:color w:val="000000" w:themeColor="text1"/>
          <w:sz w:val="22"/>
          <w:szCs w:val="22"/>
        </w:rPr>
        <w:t>s</w:t>
      </w:r>
      <w:r w:rsidR="009A6744" w:rsidRPr="00A23888">
        <w:rPr>
          <w:rFonts w:ascii="Arial" w:hAnsi="Arial" w:cs="Arial"/>
          <w:color w:val="000000" w:themeColor="text1"/>
          <w:sz w:val="22"/>
          <w:szCs w:val="22"/>
        </w:rPr>
        <w:t xml:space="preserve"> and partial site smoking bans</w:t>
      </w:r>
      <w:r w:rsidR="009A6744">
        <w:rPr>
          <w:rFonts w:ascii="Arial" w:hAnsi="Arial" w:cs="Arial"/>
          <w:sz w:val="22"/>
          <w:szCs w:val="22"/>
        </w:rPr>
        <w:t>. T</w:t>
      </w:r>
      <w:r>
        <w:rPr>
          <w:rFonts w:ascii="Arial" w:hAnsi="Arial" w:cs="Arial"/>
          <w:sz w:val="22"/>
          <w:szCs w:val="22"/>
        </w:rPr>
        <w:t xml:space="preserve">he </w:t>
      </w:r>
      <w:r w:rsidRPr="00F945E3">
        <w:rPr>
          <w:rFonts w:ascii="Arial" w:hAnsi="Arial" w:cs="Arial"/>
          <w:sz w:val="22"/>
          <w:szCs w:val="22"/>
        </w:rPr>
        <w:t xml:space="preserve">summary measure was </w:t>
      </w:r>
      <w:r w:rsidR="009C6749">
        <w:rPr>
          <w:rFonts w:ascii="Arial" w:hAnsi="Arial" w:cs="Arial"/>
          <w:sz w:val="22"/>
          <w:szCs w:val="22"/>
        </w:rPr>
        <w:t xml:space="preserve">the </w:t>
      </w:r>
      <w:r w:rsidRPr="00F945E3">
        <w:rPr>
          <w:rFonts w:ascii="Arial" w:hAnsi="Arial" w:cs="Arial"/>
          <w:sz w:val="22"/>
          <w:szCs w:val="22"/>
        </w:rPr>
        <w:t>direction of effect, which was synthesised using vote counting</w:t>
      </w:r>
      <w:r w:rsidR="00E63E57">
        <w:rPr>
          <w:rFonts w:ascii="Arial" w:hAnsi="Arial" w:cs="Arial"/>
          <w:sz w:val="22"/>
          <w:szCs w:val="22"/>
        </w:rPr>
        <w:t>;</w:t>
      </w:r>
      <w:r w:rsidR="00E63E57">
        <w:rPr>
          <w:rFonts w:ascii="Arial" w:hAnsi="Arial" w:cs="Arial"/>
          <w:bCs/>
          <w:sz w:val="22"/>
          <w:szCs w:val="22"/>
        </w:rPr>
        <w:t xml:space="preserve"> </w:t>
      </w:r>
      <w:r w:rsidR="00E63E57" w:rsidRPr="008B08D9">
        <w:rPr>
          <w:rFonts w:ascii="Arial" w:hAnsi="Arial" w:cs="Arial"/>
          <w:bCs/>
          <w:sz w:val="22"/>
          <w:szCs w:val="22"/>
        </w:rPr>
        <w:t>for each outcome, the number of studies favouring the intervention was compared with the number not favouring the intervention</w:t>
      </w:r>
      <w:r w:rsidRPr="008B08D9">
        <w:rPr>
          <w:rFonts w:ascii="Arial" w:hAnsi="Arial" w:cs="Arial"/>
          <w:bCs/>
          <w:sz w:val="22"/>
          <w:szCs w:val="22"/>
        </w:rPr>
        <w:t>.</w:t>
      </w:r>
      <w:r w:rsidRPr="00F945E3">
        <w:rPr>
          <w:rFonts w:ascii="Arial" w:hAnsi="Arial" w:cs="Arial"/>
          <w:sz w:val="22"/>
          <w:szCs w:val="22"/>
        </w:rPr>
        <w:t xml:space="preserve"> Certainty of evidence was assessed using the GRADE approach</w:t>
      </w:r>
      <w:r w:rsidR="00026378">
        <w:rPr>
          <w:rFonts w:ascii="Arial" w:hAnsi="Arial" w:cs="Arial"/>
          <w:sz w:val="22"/>
          <w:szCs w:val="22"/>
        </w:rPr>
        <w:fldChar w:fldCharType="begin" w:fldLock="1"/>
      </w:r>
      <w:r w:rsidR="00147646">
        <w:rPr>
          <w:rFonts w:ascii="Arial" w:hAnsi="Arial" w:cs="Arial"/>
          <w:sz w:val="22"/>
          <w:szCs w:val="22"/>
        </w:rPr>
        <w:instrText>ADDIN CSL_CITATION {"citationItems":[{"id":"ITEM-1","itemData":{"author":[{"dropping-particle":"","family":"Schünemann HJ","given":"","non-dropping-particle":"","parse-names":false,"suffix":""},{"dropping-particle":"","family":"JPT","given":"Higgins","non-dropping-particle":"","parse-names":false,"suffix":""},{"dropping-particle":"","family":"GE","given":"Vist","non-dropping-particle":"","parse-names":false,"suffix":""},{"dropping-particle":"","family":"P","given":"Glasziou","non-dropping-particle":"","parse-names":false,"suffix":""},{"dropping-particle":"","family":"EA","given":"Akl","non-dropping-particle":"","parse-names":false,"suffix":""},{"dropping-particle":"","family":"N","given":"Skoetz","non-dropping-particle":"","parse-names":false,"suffix":""},{"dropping-particle":"","family":"GH","given":"Guyatt","non-dropping-particle":"","parse-names":false,"suffix":""}],"chapter-number":"14","container-title":"Cochrane Handbook for Systematic Reviews of Interventions","edition":"6.0","editor":[{"dropping-particle":"","family":"Higgins JPT","given":"","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2019"]]},"title":"Completing ‘Summary of findings’ tables and grading the certainty of the evidence.","type":"chapter"},"uris":["http://www.mendeley.com/documents/?uuid=b3457653-fd50-49fb-bf3b-dcdd104f8ec3"]}],"mendeley":{"formattedCitation":"(33)","plainTextFormattedCitation":"(33)","previouslyFormattedCitation":"(33)"},"properties":{"noteIndex":0},"schema":"https://github.com/citation-style-language/schema/raw/master/csl-citation.json"}</w:instrText>
      </w:r>
      <w:r w:rsidR="00026378">
        <w:rPr>
          <w:rFonts w:ascii="Arial" w:hAnsi="Arial" w:cs="Arial"/>
          <w:sz w:val="22"/>
          <w:szCs w:val="22"/>
        </w:rPr>
        <w:fldChar w:fldCharType="separate"/>
      </w:r>
      <w:r w:rsidR="00026378" w:rsidRPr="00026378">
        <w:rPr>
          <w:rFonts w:ascii="Arial" w:hAnsi="Arial" w:cs="Arial"/>
          <w:noProof/>
          <w:sz w:val="22"/>
          <w:szCs w:val="22"/>
        </w:rPr>
        <w:t>(</w:t>
      </w:r>
      <w:r w:rsidR="00C671B2">
        <w:rPr>
          <w:rFonts w:ascii="Arial" w:hAnsi="Arial" w:cs="Arial"/>
          <w:noProof/>
          <w:sz w:val="22"/>
          <w:szCs w:val="22"/>
        </w:rPr>
        <w:t>34</w:t>
      </w:r>
      <w:r w:rsidR="00026378" w:rsidRPr="00026378">
        <w:rPr>
          <w:rFonts w:ascii="Arial" w:hAnsi="Arial" w:cs="Arial"/>
          <w:noProof/>
          <w:sz w:val="22"/>
          <w:szCs w:val="22"/>
        </w:rPr>
        <w:t>)</w:t>
      </w:r>
      <w:r w:rsidR="00026378">
        <w:rPr>
          <w:rFonts w:ascii="Arial" w:hAnsi="Arial" w:cs="Arial"/>
          <w:sz w:val="22"/>
          <w:szCs w:val="22"/>
        </w:rPr>
        <w:fldChar w:fldCharType="end"/>
      </w:r>
      <w:r w:rsidRPr="00F945E3">
        <w:rPr>
          <w:rFonts w:ascii="Arial" w:hAnsi="Arial" w:cs="Arial"/>
          <w:sz w:val="22"/>
          <w:szCs w:val="22"/>
        </w:rPr>
        <w:t>. The full synthesis method</w:t>
      </w:r>
      <w:r w:rsidR="00576DDB">
        <w:rPr>
          <w:rFonts w:ascii="Arial" w:hAnsi="Arial" w:cs="Arial"/>
          <w:sz w:val="22"/>
          <w:szCs w:val="22"/>
        </w:rPr>
        <w:t>ology</w:t>
      </w:r>
      <w:r w:rsidRPr="00F945E3">
        <w:rPr>
          <w:rFonts w:ascii="Arial" w:hAnsi="Arial" w:cs="Arial"/>
          <w:sz w:val="22"/>
          <w:szCs w:val="22"/>
        </w:rPr>
        <w:t xml:space="preserve"> is included in the online supplementary appendix.</w:t>
      </w:r>
    </w:p>
    <w:p w14:paraId="43E825EF" w14:textId="77777777" w:rsidR="00F945E3" w:rsidRPr="00F945E3" w:rsidRDefault="00F945E3" w:rsidP="00E67AD6">
      <w:pPr>
        <w:rPr>
          <w:rFonts w:ascii="Arial" w:hAnsi="Arial" w:cs="Arial"/>
          <w:b/>
          <w:bCs/>
          <w:sz w:val="22"/>
          <w:szCs w:val="22"/>
        </w:rPr>
      </w:pPr>
    </w:p>
    <w:p w14:paraId="4E00BE4E" w14:textId="77777777" w:rsidR="0035416B" w:rsidRDefault="008C38BB" w:rsidP="00E67AD6">
      <w:pPr>
        <w:rPr>
          <w:rFonts w:ascii="Arial" w:hAnsi="Arial" w:cs="Arial"/>
          <w:b/>
          <w:bCs/>
          <w:sz w:val="22"/>
          <w:szCs w:val="22"/>
        </w:rPr>
      </w:pPr>
      <w:r w:rsidRPr="00F945E3">
        <w:rPr>
          <w:rFonts w:ascii="Arial" w:hAnsi="Arial" w:cs="Arial"/>
          <w:b/>
          <w:bCs/>
          <w:sz w:val="22"/>
          <w:szCs w:val="22"/>
        </w:rPr>
        <w:t>Meta-Biases</w:t>
      </w:r>
    </w:p>
    <w:p w14:paraId="60F2387F" w14:textId="58479A8B" w:rsidR="00F945E3" w:rsidRPr="00F945E3" w:rsidRDefault="00F945E3" w:rsidP="00E67AD6">
      <w:pPr>
        <w:rPr>
          <w:rFonts w:ascii="Arial" w:hAnsi="Arial" w:cs="Arial"/>
          <w:sz w:val="22"/>
          <w:szCs w:val="22"/>
        </w:rPr>
      </w:pPr>
      <w:r w:rsidRPr="00F945E3">
        <w:rPr>
          <w:rFonts w:ascii="Arial" w:hAnsi="Arial" w:cs="Arial"/>
          <w:sz w:val="22"/>
          <w:szCs w:val="22"/>
        </w:rPr>
        <w:t>Publication bias was explored narratively. Outcome reporting bias was assessed by comparing studies’ reported outcomes with protocol outcomes (where available). If unavailable</w:t>
      </w:r>
      <w:r w:rsidR="008102A5">
        <w:rPr>
          <w:rFonts w:ascii="Arial" w:hAnsi="Arial" w:cs="Arial"/>
          <w:sz w:val="22"/>
          <w:szCs w:val="22"/>
        </w:rPr>
        <w:t>,</w:t>
      </w:r>
      <w:r w:rsidRPr="00F945E3">
        <w:rPr>
          <w:rFonts w:ascii="Arial" w:hAnsi="Arial" w:cs="Arial"/>
          <w:sz w:val="22"/>
          <w:szCs w:val="22"/>
        </w:rPr>
        <w:t xml:space="preserve"> </w:t>
      </w:r>
      <w:r w:rsidR="008102A5">
        <w:rPr>
          <w:rFonts w:ascii="Arial" w:hAnsi="Arial" w:cs="Arial"/>
          <w:sz w:val="22"/>
          <w:szCs w:val="22"/>
        </w:rPr>
        <w:t>t</w:t>
      </w:r>
      <w:r w:rsidRPr="00F945E3">
        <w:rPr>
          <w:rFonts w:ascii="Arial" w:hAnsi="Arial" w:cs="Arial"/>
          <w:sz w:val="22"/>
          <w:szCs w:val="22"/>
        </w:rPr>
        <w:t xml:space="preserve">he outcomes detailed in the </w:t>
      </w:r>
      <w:r w:rsidR="008102A5">
        <w:rPr>
          <w:rFonts w:ascii="Arial" w:hAnsi="Arial" w:cs="Arial"/>
          <w:sz w:val="22"/>
          <w:szCs w:val="22"/>
        </w:rPr>
        <w:t xml:space="preserve">studies’ </w:t>
      </w:r>
      <w:r w:rsidRPr="00F945E3">
        <w:rPr>
          <w:rFonts w:ascii="Arial" w:hAnsi="Arial" w:cs="Arial"/>
          <w:sz w:val="22"/>
          <w:szCs w:val="22"/>
        </w:rPr>
        <w:t xml:space="preserve">methods section </w:t>
      </w:r>
      <w:r w:rsidR="009D6EF2">
        <w:rPr>
          <w:rFonts w:ascii="Arial" w:hAnsi="Arial" w:cs="Arial"/>
          <w:sz w:val="22"/>
          <w:szCs w:val="22"/>
        </w:rPr>
        <w:t>were</w:t>
      </w:r>
      <w:r w:rsidRPr="00F945E3">
        <w:rPr>
          <w:rFonts w:ascii="Arial" w:hAnsi="Arial" w:cs="Arial"/>
          <w:sz w:val="22"/>
          <w:szCs w:val="22"/>
        </w:rPr>
        <w:t xml:space="preserve"> compared with reported outcomes. </w:t>
      </w:r>
    </w:p>
    <w:p w14:paraId="3F4E2E30" w14:textId="77777777" w:rsidR="004722E3" w:rsidRDefault="004722E3" w:rsidP="00E67AD6">
      <w:pPr>
        <w:rPr>
          <w:rFonts w:ascii="Arial" w:hAnsi="Arial" w:cs="Arial"/>
          <w:sz w:val="22"/>
          <w:szCs w:val="22"/>
        </w:rPr>
      </w:pPr>
    </w:p>
    <w:p w14:paraId="55F31300" w14:textId="77777777" w:rsidR="0035416B" w:rsidRDefault="00F945E3" w:rsidP="00E67AD6">
      <w:pPr>
        <w:rPr>
          <w:rFonts w:ascii="Arial" w:hAnsi="Arial" w:cs="Arial"/>
          <w:b/>
          <w:bCs/>
          <w:sz w:val="22"/>
          <w:szCs w:val="22"/>
        </w:rPr>
      </w:pPr>
      <w:r>
        <w:rPr>
          <w:rFonts w:ascii="Arial" w:hAnsi="Arial" w:cs="Arial"/>
          <w:b/>
          <w:bCs/>
          <w:sz w:val="22"/>
          <w:szCs w:val="22"/>
        </w:rPr>
        <w:t>Amendments to the Protocol</w:t>
      </w:r>
    </w:p>
    <w:p w14:paraId="6B865397" w14:textId="65ED509F" w:rsidR="00F945E3" w:rsidRPr="004722E3" w:rsidRDefault="004722E3" w:rsidP="00E67AD6">
      <w:pPr>
        <w:rPr>
          <w:rFonts w:ascii="Arial" w:hAnsi="Arial" w:cs="Arial"/>
          <w:sz w:val="22"/>
          <w:szCs w:val="22"/>
        </w:rPr>
      </w:pPr>
      <w:r>
        <w:rPr>
          <w:rFonts w:ascii="Arial" w:hAnsi="Arial" w:cs="Arial"/>
          <w:sz w:val="22"/>
          <w:szCs w:val="22"/>
        </w:rPr>
        <w:t>There were five amendments</w:t>
      </w:r>
      <w:r w:rsidR="001C5140">
        <w:rPr>
          <w:rFonts w:ascii="Arial" w:hAnsi="Arial" w:cs="Arial"/>
          <w:sz w:val="22"/>
          <w:szCs w:val="22"/>
        </w:rPr>
        <w:t xml:space="preserve"> made</w:t>
      </w:r>
      <w:r>
        <w:rPr>
          <w:rFonts w:ascii="Arial" w:hAnsi="Arial" w:cs="Arial"/>
          <w:sz w:val="22"/>
          <w:szCs w:val="22"/>
        </w:rPr>
        <w:t xml:space="preserve"> to the protocol whilst the review was carried out. These are: simplifying to the primary outcome to non-smoker exposure to SHS, inclusion of defence civilians, the identification of relevant confounders and co-interventions, grouping of studies for synthesis and investigation of meta-biases. Details and rationale for these change</w:t>
      </w:r>
      <w:r w:rsidR="007F3462">
        <w:rPr>
          <w:rFonts w:ascii="Arial" w:hAnsi="Arial" w:cs="Arial"/>
          <w:sz w:val="22"/>
          <w:szCs w:val="22"/>
        </w:rPr>
        <w:t>s</w:t>
      </w:r>
      <w:r>
        <w:rPr>
          <w:rFonts w:ascii="Arial" w:hAnsi="Arial" w:cs="Arial"/>
          <w:sz w:val="22"/>
          <w:szCs w:val="22"/>
        </w:rPr>
        <w:t xml:space="preserve"> are contained in the online supplementary appendix.</w:t>
      </w:r>
    </w:p>
    <w:p w14:paraId="26B8F0BB" w14:textId="1FF7EE35" w:rsidR="004722E3" w:rsidRDefault="004722E3" w:rsidP="00E67AD6">
      <w:pPr>
        <w:rPr>
          <w:rFonts w:ascii="Arial" w:hAnsi="Arial" w:cs="Arial"/>
          <w:b/>
          <w:bCs/>
          <w:sz w:val="22"/>
          <w:szCs w:val="22"/>
        </w:rPr>
      </w:pPr>
    </w:p>
    <w:p w14:paraId="057A2A8B" w14:textId="2771AC79" w:rsidR="004722E3" w:rsidRDefault="00044737" w:rsidP="00E67AD6">
      <w:pPr>
        <w:rPr>
          <w:rFonts w:ascii="Arial" w:hAnsi="Arial" w:cs="Arial"/>
          <w:b/>
          <w:bCs/>
          <w:sz w:val="22"/>
          <w:szCs w:val="22"/>
        </w:rPr>
      </w:pPr>
      <w:r>
        <w:rPr>
          <w:rFonts w:ascii="Arial" w:hAnsi="Arial" w:cs="Arial"/>
          <w:b/>
          <w:bCs/>
          <w:sz w:val="22"/>
          <w:szCs w:val="22"/>
        </w:rPr>
        <w:t>RESULTS</w:t>
      </w:r>
    </w:p>
    <w:p w14:paraId="4EF2686F" w14:textId="56B566FC" w:rsidR="00044737" w:rsidRDefault="00044737" w:rsidP="00E67AD6">
      <w:pPr>
        <w:rPr>
          <w:rFonts w:ascii="Arial" w:hAnsi="Arial" w:cs="Arial"/>
          <w:b/>
          <w:bCs/>
          <w:sz w:val="22"/>
          <w:szCs w:val="22"/>
        </w:rPr>
      </w:pPr>
    </w:p>
    <w:p w14:paraId="23065C70" w14:textId="6AD2E9BE" w:rsidR="00E360E6" w:rsidRDefault="003A79CA" w:rsidP="00E67AD6">
      <w:pPr>
        <w:rPr>
          <w:rFonts w:ascii="Arial" w:hAnsi="Arial" w:cs="Arial"/>
          <w:b/>
          <w:bCs/>
          <w:sz w:val="22"/>
          <w:szCs w:val="22"/>
        </w:rPr>
      </w:pPr>
      <w:r>
        <w:rPr>
          <w:rFonts w:ascii="Arial" w:hAnsi="Arial" w:cs="Arial"/>
          <w:b/>
          <w:bCs/>
          <w:sz w:val="22"/>
          <w:szCs w:val="22"/>
        </w:rPr>
        <w:t>Study selection</w:t>
      </w:r>
    </w:p>
    <w:p w14:paraId="54023F39" w14:textId="5990B302" w:rsidR="003A79CA" w:rsidRDefault="003A79CA" w:rsidP="00E67AD6">
      <w:pPr>
        <w:rPr>
          <w:rFonts w:ascii="Arial" w:hAnsi="Arial" w:cs="Arial"/>
          <w:sz w:val="22"/>
          <w:szCs w:val="22"/>
        </w:rPr>
      </w:pPr>
      <w:r w:rsidRPr="003A79CA">
        <w:rPr>
          <w:rFonts w:ascii="Arial" w:hAnsi="Arial" w:cs="Arial"/>
          <w:sz w:val="22"/>
          <w:szCs w:val="22"/>
        </w:rPr>
        <w:t xml:space="preserve">The electronic database search produced 4490 records. Thirteen </w:t>
      </w:r>
      <w:r w:rsidR="001C5140">
        <w:rPr>
          <w:rFonts w:ascii="Arial" w:hAnsi="Arial" w:cs="Arial"/>
          <w:sz w:val="22"/>
          <w:szCs w:val="22"/>
        </w:rPr>
        <w:t xml:space="preserve">additional </w:t>
      </w:r>
      <w:r w:rsidRPr="003A79CA">
        <w:rPr>
          <w:rFonts w:ascii="Arial" w:hAnsi="Arial" w:cs="Arial"/>
          <w:sz w:val="22"/>
          <w:szCs w:val="22"/>
        </w:rPr>
        <w:t>records were found through hand searching the authors’ files, key journals and citation chaining.</w:t>
      </w:r>
      <w:r>
        <w:rPr>
          <w:rFonts w:ascii="Arial" w:hAnsi="Arial" w:cs="Arial"/>
          <w:sz w:val="22"/>
          <w:szCs w:val="22"/>
        </w:rPr>
        <w:t xml:space="preserve"> Individual database results are included in the online supplementary appendix. After de-duplication 2787 titles and abstracts were screened. Twenty full-text articles were assessed, and eight studies were included. A PRISMA diagram of the study selection process is shown in figure 2.</w:t>
      </w:r>
    </w:p>
    <w:p w14:paraId="1F3043D2" w14:textId="19A69EF1" w:rsidR="007A072B" w:rsidRDefault="007A072B" w:rsidP="00E67AD6">
      <w:pPr>
        <w:rPr>
          <w:rFonts w:ascii="Arial" w:hAnsi="Arial" w:cs="Arial"/>
          <w:sz w:val="22"/>
          <w:szCs w:val="22"/>
        </w:rPr>
      </w:pPr>
    </w:p>
    <w:p w14:paraId="26DFB8B2" w14:textId="77777777" w:rsidR="00E43CD3" w:rsidRDefault="00E43CD3" w:rsidP="007A072B">
      <w:pPr>
        <w:jc w:val="center"/>
        <w:rPr>
          <w:rFonts w:ascii="Arial" w:hAnsi="Arial" w:cs="Arial"/>
          <w:b/>
          <w:bCs/>
          <w:sz w:val="22"/>
          <w:szCs w:val="22"/>
        </w:rPr>
      </w:pPr>
    </w:p>
    <w:p w14:paraId="4B2AB736" w14:textId="3B308249" w:rsidR="00E43CD3" w:rsidRDefault="00E43CD3" w:rsidP="007A072B">
      <w:pPr>
        <w:jc w:val="center"/>
        <w:rPr>
          <w:rFonts w:ascii="Arial" w:hAnsi="Arial" w:cs="Arial"/>
          <w:b/>
          <w:bCs/>
          <w:sz w:val="22"/>
          <w:szCs w:val="22"/>
        </w:rPr>
      </w:pPr>
    </w:p>
    <w:p w14:paraId="26A87935" w14:textId="494DD0FC" w:rsidR="00E43CD3" w:rsidRDefault="00E43CD3" w:rsidP="007A072B">
      <w:pPr>
        <w:jc w:val="center"/>
        <w:rPr>
          <w:rFonts w:ascii="Arial" w:hAnsi="Arial" w:cs="Arial"/>
          <w:b/>
          <w:bCs/>
          <w:sz w:val="22"/>
          <w:szCs w:val="22"/>
        </w:rPr>
      </w:pPr>
      <w:r>
        <w:rPr>
          <w:rFonts w:ascii="Arial" w:hAnsi="Arial" w:cs="Arial"/>
          <w:b/>
          <w:bCs/>
          <w:noProof/>
          <w:sz w:val="22"/>
          <w:szCs w:val="22"/>
        </w:rPr>
        <w:lastRenderedPageBreak/>
        <w:drawing>
          <wp:inline distT="0" distB="0" distL="0" distR="0" wp14:anchorId="49572837" wp14:editId="760E1C54">
            <wp:extent cx="5727700" cy="4998720"/>
            <wp:effectExtent l="0" t="0" r="0" b="508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9"/>
                    <a:stretch>
                      <a:fillRect/>
                    </a:stretch>
                  </pic:blipFill>
                  <pic:spPr>
                    <a:xfrm>
                      <a:off x="0" y="0"/>
                      <a:ext cx="5727700" cy="4998720"/>
                    </a:xfrm>
                    <a:prstGeom prst="rect">
                      <a:avLst/>
                    </a:prstGeom>
                  </pic:spPr>
                </pic:pic>
              </a:graphicData>
            </a:graphic>
          </wp:inline>
        </w:drawing>
      </w:r>
    </w:p>
    <w:p w14:paraId="43C373A7" w14:textId="3FF5AA27" w:rsidR="007A072B" w:rsidRPr="007A072B" w:rsidRDefault="007A072B" w:rsidP="00E43CD3">
      <w:pPr>
        <w:jc w:val="center"/>
        <w:rPr>
          <w:rFonts w:ascii="Arial" w:hAnsi="Arial" w:cs="Arial"/>
          <w:b/>
          <w:bCs/>
          <w:sz w:val="22"/>
          <w:szCs w:val="22"/>
        </w:rPr>
      </w:pPr>
      <w:r w:rsidRPr="007A072B">
        <w:rPr>
          <w:rFonts w:ascii="Arial" w:hAnsi="Arial" w:cs="Arial"/>
          <w:b/>
          <w:bCs/>
          <w:sz w:val="22"/>
          <w:szCs w:val="22"/>
        </w:rPr>
        <w:t>Figure 2: PRISMA flow diagram detailing study selection</w:t>
      </w:r>
    </w:p>
    <w:p w14:paraId="11DCA420" w14:textId="77777777" w:rsidR="00D65157" w:rsidRDefault="00D65157" w:rsidP="00E67AD6">
      <w:pPr>
        <w:rPr>
          <w:rFonts w:ascii="Arial" w:hAnsi="Arial" w:cs="Arial"/>
          <w:sz w:val="22"/>
          <w:szCs w:val="22"/>
        </w:rPr>
      </w:pPr>
    </w:p>
    <w:p w14:paraId="6C848D26" w14:textId="4E46EC1B" w:rsidR="00E360E6" w:rsidRDefault="003A79CA" w:rsidP="00E67AD6">
      <w:pPr>
        <w:rPr>
          <w:rFonts w:ascii="Arial" w:hAnsi="Arial" w:cs="Arial"/>
          <w:b/>
          <w:bCs/>
          <w:sz w:val="22"/>
          <w:szCs w:val="22"/>
        </w:rPr>
      </w:pPr>
      <w:r>
        <w:rPr>
          <w:rFonts w:ascii="Arial" w:hAnsi="Arial" w:cs="Arial"/>
          <w:b/>
          <w:bCs/>
          <w:sz w:val="22"/>
          <w:szCs w:val="22"/>
        </w:rPr>
        <w:t>Study characteristics</w:t>
      </w:r>
    </w:p>
    <w:p w14:paraId="0362F4DB" w14:textId="284B518E" w:rsidR="00BC1E3A" w:rsidRPr="00801DFF" w:rsidRDefault="00FD34DB" w:rsidP="00E67AD6">
      <w:pPr>
        <w:rPr>
          <w:rFonts w:ascii="Arial" w:hAnsi="Arial" w:cs="Arial"/>
          <w:b/>
          <w:bCs/>
          <w:sz w:val="22"/>
          <w:szCs w:val="22"/>
        </w:rPr>
      </w:pPr>
      <w:r>
        <w:rPr>
          <w:rFonts w:ascii="Arial" w:hAnsi="Arial" w:cs="Arial"/>
          <w:sz w:val="22"/>
          <w:szCs w:val="22"/>
        </w:rPr>
        <w:t xml:space="preserve">The characteristics of the included studies </w:t>
      </w:r>
      <w:r w:rsidR="00445A05">
        <w:rPr>
          <w:rFonts w:ascii="Arial" w:hAnsi="Arial" w:cs="Arial"/>
          <w:sz w:val="22"/>
          <w:szCs w:val="22"/>
        </w:rPr>
        <w:t xml:space="preserve">have been simplified and </w:t>
      </w:r>
      <w:r>
        <w:rPr>
          <w:rFonts w:ascii="Arial" w:hAnsi="Arial" w:cs="Arial"/>
          <w:sz w:val="22"/>
          <w:szCs w:val="22"/>
        </w:rPr>
        <w:t xml:space="preserve">summarised in table </w:t>
      </w:r>
      <w:r w:rsidR="009D4923">
        <w:rPr>
          <w:rFonts w:ascii="Arial" w:hAnsi="Arial" w:cs="Arial"/>
          <w:sz w:val="22"/>
          <w:szCs w:val="22"/>
        </w:rPr>
        <w:t>2</w:t>
      </w:r>
      <w:r>
        <w:rPr>
          <w:rFonts w:ascii="Arial" w:hAnsi="Arial" w:cs="Arial"/>
          <w:sz w:val="22"/>
          <w:szCs w:val="22"/>
        </w:rPr>
        <w:t>.</w:t>
      </w:r>
    </w:p>
    <w:p w14:paraId="14DC789C" w14:textId="77777777" w:rsidR="00BC1E3A" w:rsidRDefault="00BC1E3A" w:rsidP="00E67AD6">
      <w:pPr>
        <w:rPr>
          <w:rFonts w:ascii="Arial" w:hAnsi="Arial" w:cs="Arial"/>
          <w:sz w:val="22"/>
          <w:szCs w:val="22"/>
        </w:rPr>
        <w:sectPr w:rsidR="00BC1E3A" w:rsidSect="000A3714">
          <w:pgSz w:w="11900" w:h="16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271"/>
        <w:gridCol w:w="2552"/>
        <w:gridCol w:w="2126"/>
        <w:gridCol w:w="1417"/>
        <w:gridCol w:w="1418"/>
        <w:gridCol w:w="2214"/>
        <w:gridCol w:w="1471"/>
        <w:gridCol w:w="1481"/>
      </w:tblGrid>
      <w:tr w:rsidR="00BC1E3A" w14:paraId="41CB1CC5" w14:textId="77777777" w:rsidTr="0038169D">
        <w:tc>
          <w:tcPr>
            <w:tcW w:w="13950" w:type="dxa"/>
            <w:gridSpan w:val="8"/>
          </w:tcPr>
          <w:p w14:paraId="581892F8" w14:textId="3335B31B" w:rsidR="00BC1E3A" w:rsidRPr="00DA515C" w:rsidRDefault="00BC1E3A" w:rsidP="00E67AD6">
            <w:pPr>
              <w:rPr>
                <w:rFonts w:ascii="Arial" w:hAnsi="Arial" w:cs="Arial"/>
                <w:b/>
                <w:sz w:val="16"/>
                <w:szCs w:val="16"/>
              </w:rPr>
            </w:pPr>
            <w:r w:rsidRPr="00DA515C">
              <w:rPr>
                <w:rFonts w:ascii="Arial" w:hAnsi="Arial" w:cs="Arial"/>
                <w:b/>
                <w:sz w:val="16"/>
                <w:szCs w:val="16"/>
              </w:rPr>
              <w:lastRenderedPageBreak/>
              <w:t xml:space="preserve">Table </w:t>
            </w:r>
            <w:r w:rsidR="009D4923">
              <w:rPr>
                <w:rFonts w:ascii="Arial" w:hAnsi="Arial" w:cs="Arial"/>
                <w:b/>
                <w:sz w:val="16"/>
                <w:szCs w:val="16"/>
              </w:rPr>
              <w:t>2</w:t>
            </w:r>
            <w:r w:rsidRPr="00DA515C">
              <w:rPr>
                <w:rFonts w:ascii="Arial" w:hAnsi="Arial" w:cs="Arial"/>
                <w:b/>
                <w:sz w:val="16"/>
                <w:szCs w:val="16"/>
              </w:rPr>
              <w:t>: Study Characteristics</w:t>
            </w:r>
          </w:p>
        </w:tc>
      </w:tr>
      <w:tr w:rsidR="0076327E" w14:paraId="64B2E7BE" w14:textId="77777777" w:rsidTr="00445A05">
        <w:tc>
          <w:tcPr>
            <w:tcW w:w="1271" w:type="dxa"/>
          </w:tcPr>
          <w:p w14:paraId="5D0A486A" w14:textId="77777777" w:rsidR="00DA515C" w:rsidRDefault="00BC1E3A" w:rsidP="00E67AD6">
            <w:pPr>
              <w:rPr>
                <w:rFonts w:ascii="Arial" w:hAnsi="Arial" w:cs="Arial"/>
                <w:b/>
                <w:bCs/>
                <w:sz w:val="16"/>
                <w:szCs w:val="16"/>
              </w:rPr>
            </w:pPr>
            <w:r w:rsidRPr="00DA515C">
              <w:rPr>
                <w:rFonts w:ascii="Arial" w:hAnsi="Arial" w:cs="Arial"/>
                <w:b/>
                <w:bCs/>
                <w:sz w:val="16"/>
                <w:szCs w:val="16"/>
              </w:rPr>
              <w:t xml:space="preserve">Study and </w:t>
            </w:r>
          </w:p>
          <w:p w14:paraId="281B81E4" w14:textId="1F56B92A" w:rsidR="00BC1E3A" w:rsidRPr="00DA515C" w:rsidRDefault="00BC1E3A" w:rsidP="00E67AD6">
            <w:pPr>
              <w:rPr>
                <w:rFonts w:ascii="Arial" w:hAnsi="Arial" w:cs="Arial"/>
                <w:b/>
                <w:bCs/>
                <w:sz w:val="16"/>
                <w:szCs w:val="16"/>
              </w:rPr>
            </w:pPr>
            <w:r w:rsidRPr="00DA515C">
              <w:rPr>
                <w:rFonts w:ascii="Arial" w:hAnsi="Arial" w:cs="Arial"/>
                <w:b/>
                <w:bCs/>
                <w:sz w:val="16"/>
                <w:szCs w:val="16"/>
              </w:rPr>
              <w:t>Study Desig</w:t>
            </w:r>
            <w:r w:rsidR="00DA515C" w:rsidRPr="00DA515C">
              <w:rPr>
                <w:rFonts w:ascii="Arial" w:hAnsi="Arial" w:cs="Arial"/>
                <w:b/>
                <w:bCs/>
                <w:sz w:val="16"/>
                <w:szCs w:val="16"/>
              </w:rPr>
              <w:t>n</w:t>
            </w:r>
          </w:p>
        </w:tc>
        <w:tc>
          <w:tcPr>
            <w:tcW w:w="2552" w:type="dxa"/>
          </w:tcPr>
          <w:p w14:paraId="4252D6E1" w14:textId="32070234" w:rsidR="00BC1E3A" w:rsidRPr="00DA515C" w:rsidRDefault="00BC1E3A" w:rsidP="00E67AD6">
            <w:pPr>
              <w:rPr>
                <w:rFonts w:ascii="Arial" w:hAnsi="Arial" w:cs="Arial"/>
                <w:b/>
                <w:bCs/>
                <w:sz w:val="16"/>
                <w:szCs w:val="16"/>
              </w:rPr>
            </w:pPr>
            <w:r w:rsidRPr="00DA515C">
              <w:rPr>
                <w:rFonts w:ascii="Arial" w:hAnsi="Arial" w:cs="Arial"/>
                <w:b/>
                <w:bCs/>
                <w:sz w:val="16"/>
                <w:szCs w:val="16"/>
              </w:rPr>
              <w:t>Study Objective</w:t>
            </w:r>
          </w:p>
        </w:tc>
        <w:tc>
          <w:tcPr>
            <w:tcW w:w="2126" w:type="dxa"/>
          </w:tcPr>
          <w:p w14:paraId="725D103A" w14:textId="77777777" w:rsidR="00BC1E3A" w:rsidRPr="00DA515C" w:rsidRDefault="00BC1E3A" w:rsidP="00E67AD6">
            <w:pPr>
              <w:rPr>
                <w:rFonts w:ascii="Arial" w:hAnsi="Arial" w:cs="Arial"/>
                <w:b/>
                <w:bCs/>
                <w:sz w:val="16"/>
                <w:szCs w:val="16"/>
              </w:rPr>
            </w:pPr>
            <w:r w:rsidRPr="00DA515C">
              <w:rPr>
                <w:rFonts w:ascii="Arial" w:hAnsi="Arial" w:cs="Arial"/>
                <w:b/>
                <w:bCs/>
                <w:sz w:val="16"/>
                <w:szCs w:val="16"/>
              </w:rPr>
              <w:t>Population</w:t>
            </w:r>
          </w:p>
          <w:p w14:paraId="7F0A416A" w14:textId="31F6C460" w:rsidR="00BC1E3A" w:rsidRPr="00DA515C" w:rsidRDefault="00BC1E3A" w:rsidP="00E67AD6">
            <w:pPr>
              <w:rPr>
                <w:rFonts w:ascii="Arial" w:hAnsi="Arial" w:cs="Arial"/>
                <w:sz w:val="16"/>
                <w:szCs w:val="16"/>
              </w:rPr>
            </w:pPr>
            <w:r w:rsidRPr="00DA515C">
              <w:rPr>
                <w:rFonts w:ascii="Arial" w:hAnsi="Arial" w:cs="Arial"/>
                <w:sz w:val="16"/>
                <w:szCs w:val="16"/>
              </w:rPr>
              <w:t>(Size, service, demographics)</w:t>
            </w:r>
          </w:p>
        </w:tc>
        <w:tc>
          <w:tcPr>
            <w:tcW w:w="1417" w:type="dxa"/>
          </w:tcPr>
          <w:p w14:paraId="477C6AE1" w14:textId="5E4B43AD" w:rsidR="00BC1E3A" w:rsidRPr="00DA515C" w:rsidRDefault="00BC1E3A" w:rsidP="00E67AD6">
            <w:pPr>
              <w:rPr>
                <w:rFonts w:ascii="Arial" w:hAnsi="Arial" w:cs="Arial"/>
                <w:b/>
                <w:bCs/>
                <w:sz w:val="16"/>
                <w:szCs w:val="16"/>
              </w:rPr>
            </w:pPr>
            <w:r w:rsidRPr="00DA515C">
              <w:rPr>
                <w:rFonts w:ascii="Arial" w:hAnsi="Arial" w:cs="Arial"/>
                <w:b/>
                <w:bCs/>
                <w:sz w:val="16"/>
                <w:szCs w:val="16"/>
              </w:rPr>
              <w:t>Intervention</w:t>
            </w:r>
          </w:p>
        </w:tc>
        <w:tc>
          <w:tcPr>
            <w:tcW w:w="1418" w:type="dxa"/>
          </w:tcPr>
          <w:p w14:paraId="0B1D1ED2" w14:textId="5B909D35" w:rsidR="00BC1E3A" w:rsidRPr="00DA515C" w:rsidRDefault="00BC1E3A" w:rsidP="00E67AD6">
            <w:pPr>
              <w:rPr>
                <w:rFonts w:ascii="Arial" w:hAnsi="Arial" w:cs="Arial"/>
                <w:b/>
                <w:bCs/>
                <w:sz w:val="16"/>
                <w:szCs w:val="16"/>
              </w:rPr>
            </w:pPr>
            <w:r w:rsidRPr="00DA515C">
              <w:rPr>
                <w:rFonts w:ascii="Arial" w:hAnsi="Arial" w:cs="Arial"/>
                <w:b/>
                <w:bCs/>
                <w:sz w:val="16"/>
                <w:szCs w:val="16"/>
              </w:rPr>
              <w:t>Comparator</w:t>
            </w:r>
          </w:p>
        </w:tc>
        <w:tc>
          <w:tcPr>
            <w:tcW w:w="2214" w:type="dxa"/>
          </w:tcPr>
          <w:p w14:paraId="77341309" w14:textId="658DD8E9" w:rsidR="00BC1E3A" w:rsidRPr="00DA515C" w:rsidRDefault="00BC1E3A" w:rsidP="00E67AD6">
            <w:pPr>
              <w:rPr>
                <w:rFonts w:ascii="Arial" w:hAnsi="Arial" w:cs="Arial"/>
                <w:b/>
                <w:bCs/>
                <w:sz w:val="16"/>
                <w:szCs w:val="16"/>
              </w:rPr>
            </w:pPr>
            <w:r w:rsidRPr="00DA515C">
              <w:rPr>
                <w:rFonts w:ascii="Arial" w:hAnsi="Arial" w:cs="Arial"/>
                <w:b/>
                <w:bCs/>
                <w:sz w:val="16"/>
                <w:szCs w:val="16"/>
              </w:rPr>
              <w:t>Outcomes</w:t>
            </w:r>
          </w:p>
        </w:tc>
        <w:tc>
          <w:tcPr>
            <w:tcW w:w="1471" w:type="dxa"/>
          </w:tcPr>
          <w:p w14:paraId="1A1039EA" w14:textId="77777777" w:rsidR="00BC1E3A" w:rsidRPr="00DA515C" w:rsidRDefault="00BC1E3A" w:rsidP="00E67AD6">
            <w:pPr>
              <w:rPr>
                <w:rFonts w:ascii="Arial" w:hAnsi="Arial" w:cs="Arial"/>
                <w:b/>
                <w:bCs/>
                <w:sz w:val="16"/>
                <w:szCs w:val="16"/>
              </w:rPr>
            </w:pPr>
            <w:r w:rsidRPr="00DA515C">
              <w:rPr>
                <w:rFonts w:ascii="Arial" w:hAnsi="Arial" w:cs="Arial"/>
                <w:b/>
                <w:bCs/>
                <w:sz w:val="16"/>
                <w:szCs w:val="16"/>
              </w:rPr>
              <w:t>Context</w:t>
            </w:r>
          </w:p>
          <w:p w14:paraId="23CB3BAE" w14:textId="2F57EE7D" w:rsidR="0038169D" w:rsidRPr="00DA515C" w:rsidRDefault="0038169D" w:rsidP="00E67AD6">
            <w:pPr>
              <w:rPr>
                <w:rFonts w:ascii="Arial" w:hAnsi="Arial" w:cs="Arial"/>
                <w:sz w:val="16"/>
                <w:szCs w:val="16"/>
              </w:rPr>
            </w:pPr>
            <w:r w:rsidRPr="00DA515C">
              <w:rPr>
                <w:rFonts w:ascii="Arial" w:hAnsi="Arial" w:cs="Arial"/>
                <w:sz w:val="16"/>
                <w:szCs w:val="16"/>
              </w:rPr>
              <w:t>Wider smoke-free legislation?</w:t>
            </w:r>
          </w:p>
        </w:tc>
        <w:tc>
          <w:tcPr>
            <w:tcW w:w="1481" w:type="dxa"/>
          </w:tcPr>
          <w:p w14:paraId="46BD3BFB" w14:textId="5DAE6E82" w:rsidR="00BC1E3A" w:rsidRPr="00DA515C" w:rsidRDefault="00BC1E3A" w:rsidP="00E67AD6">
            <w:pPr>
              <w:rPr>
                <w:rFonts w:ascii="Arial" w:hAnsi="Arial" w:cs="Arial"/>
                <w:b/>
                <w:bCs/>
                <w:sz w:val="16"/>
                <w:szCs w:val="16"/>
              </w:rPr>
            </w:pPr>
            <w:r w:rsidRPr="00DA515C">
              <w:rPr>
                <w:rFonts w:ascii="Arial" w:hAnsi="Arial" w:cs="Arial"/>
                <w:b/>
                <w:bCs/>
                <w:sz w:val="16"/>
                <w:szCs w:val="16"/>
              </w:rPr>
              <w:t>Setting</w:t>
            </w:r>
          </w:p>
        </w:tc>
      </w:tr>
      <w:tr w:rsidR="0076327E" w14:paraId="078D948B" w14:textId="77777777" w:rsidTr="00445A05">
        <w:tc>
          <w:tcPr>
            <w:tcW w:w="1271" w:type="dxa"/>
          </w:tcPr>
          <w:p w14:paraId="4853AEBF" w14:textId="244EB604" w:rsidR="00DA515C" w:rsidRPr="00445A05" w:rsidRDefault="00BC1E3A" w:rsidP="00BC1E3A">
            <w:pPr>
              <w:rPr>
                <w:rFonts w:ascii="Arial" w:hAnsi="Arial" w:cs="Arial"/>
                <w:b/>
                <w:sz w:val="16"/>
                <w:szCs w:val="16"/>
              </w:rPr>
            </w:pPr>
            <w:r w:rsidRPr="00445A05">
              <w:rPr>
                <w:rFonts w:ascii="Arial" w:hAnsi="Arial" w:cs="Arial"/>
                <w:b/>
                <w:sz w:val="16"/>
                <w:szCs w:val="16"/>
              </w:rPr>
              <w:t>Chiu et al. (2017)</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DOI":"http://dx.doi.org/10.1016/j.addbeh.2016.12.006","ISSN":"0306-4603","author":[{"dropping-particle":"","family":"Chiu","given":"YL","non-dropping-particle":"","parse-names":false,"suffix":""},{"dropping-particle":"","family":"H.-C.","given":"Lo","non-dropping-particle":"","parse-names":false,"suffix":""},{"dropping-particle":"","family":"C.-H.","given":"Lai","non-dropping-particle":"","parse-names":false,"suffix":""},{"dropping-particle":"","family":"S.-L.","given":"Hwang","non-dropping-particle":"","parse-names":false,"suffix":""},{"dropping-particle":"","family":"F.-G.","given":"Lin","non-dropping-particle":"","parse-names":false,"suffix":""},{"dropping-particle":"","family":"S.-J.","given":"Huang","non-dropping-particle":"","parse-names":false,"suffix":""},{"dropping-particle":"","family":"S.-H.","given":"Jiang","non-dropping-particle":"","parse-names":false,"suffix":""},{"dropping-particle":"","family":"S.-R.","given":"Li","non-dropping-particle":"","parse-names":false,"suffix":""},{"dropping-particle":"","family":"Y.-M.","given":"Tzeng","non-dropping-particle":"","parse-names":false,"suffix":""},{"dropping-particle":"","family":"W.-H.","given":"Fang","non-dropping-particle":"","parse-names":false,"suffix":""}],"container-title":"Addictive Behaviors","id":"ITEM-1","issued":{"date-parts":[["2017"]]},"language":"English","page":"53-57","publisher":"Elsevier Ltd","publisher-place":"S. Kao, School of Public Health, National Defense Medical Center, Taipei, Taiwan (Republic of China). E-mail: kao@mail.ndmctsgh.edu.tw","title":"Effectiveness of a smoking restriction policy on smoking behaviour in the military","type":"article-journal","volume":"67"},"uris":["http://www.mendeley.com/documents/?uuid=7296af38-f0e0-4ca5-a2f5-e5a2c0e0870c"]}],"mendeley":{"formattedCitation":"(34)","plainTextFormattedCitation":"(34)","previouslyFormattedCitation":"(34)"},"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35</w:t>
            </w:r>
            <w:r w:rsidR="00026378" w:rsidRPr="00026378">
              <w:rPr>
                <w:rFonts w:ascii="Arial" w:hAnsi="Arial" w:cs="Arial"/>
                <w:noProof/>
                <w:sz w:val="16"/>
                <w:szCs w:val="16"/>
              </w:rPr>
              <w:t>)</w:t>
            </w:r>
            <w:r w:rsidR="0076327E">
              <w:rPr>
                <w:rFonts w:ascii="Arial" w:hAnsi="Arial" w:cs="Arial"/>
                <w:b/>
                <w:sz w:val="16"/>
                <w:szCs w:val="16"/>
              </w:rPr>
              <w:fldChar w:fldCharType="end"/>
            </w:r>
          </w:p>
          <w:p w14:paraId="3E7162E1" w14:textId="52209DD4" w:rsidR="00BC1E3A" w:rsidRPr="00DA515C" w:rsidRDefault="00BC1E3A" w:rsidP="00BC1E3A">
            <w:pPr>
              <w:rPr>
                <w:rFonts w:ascii="Arial" w:hAnsi="Arial" w:cs="Arial"/>
                <w:sz w:val="16"/>
                <w:szCs w:val="16"/>
              </w:rPr>
            </w:pPr>
            <w:r w:rsidRPr="00DA515C">
              <w:rPr>
                <w:rFonts w:ascii="Arial" w:hAnsi="Arial" w:cs="Arial"/>
                <w:sz w:val="16"/>
                <w:szCs w:val="16"/>
              </w:rPr>
              <w:t>CBA</w:t>
            </w:r>
          </w:p>
        </w:tc>
        <w:tc>
          <w:tcPr>
            <w:tcW w:w="2552" w:type="dxa"/>
          </w:tcPr>
          <w:p w14:paraId="1EEB1913" w14:textId="4B6440E5" w:rsidR="00BC1E3A" w:rsidRPr="00DA515C" w:rsidRDefault="00DA515C" w:rsidP="00BC1E3A">
            <w:pPr>
              <w:rPr>
                <w:rFonts w:ascii="Arial" w:hAnsi="Arial" w:cs="Arial"/>
                <w:sz w:val="16"/>
                <w:szCs w:val="16"/>
              </w:rPr>
            </w:pPr>
            <w:r w:rsidRPr="00DA515C">
              <w:rPr>
                <w:rFonts w:ascii="Arial" w:hAnsi="Arial" w:cs="Arial"/>
                <w:sz w:val="16"/>
                <w:szCs w:val="16"/>
              </w:rPr>
              <w:t>Evaluate the effectiveness of a smoking restriction policy on Taiwanese military conscripts who smoked</w:t>
            </w:r>
          </w:p>
        </w:tc>
        <w:tc>
          <w:tcPr>
            <w:tcW w:w="2126" w:type="dxa"/>
          </w:tcPr>
          <w:p w14:paraId="60F0B289" w14:textId="0A0C83B1" w:rsidR="0038169D" w:rsidRPr="00DA515C" w:rsidRDefault="0038169D" w:rsidP="0038169D">
            <w:pPr>
              <w:rPr>
                <w:rFonts w:ascii="Arial" w:hAnsi="Arial" w:cs="Arial"/>
                <w:bCs/>
                <w:sz w:val="16"/>
                <w:szCs w:val="16"/>
              </w:rPr>
            </w:pPr>
            <w:r w:rsidRPr="00DA515C">
              <w:rPr>
                <w:rFonts w:ascii="Arial" w:hAnsi="Arial" w:cs="Arial"/>
                <w:bCs/>
                <w:sz w:val="16"/>
                <w:szCs w:val="16"/>
              </w:rPr>
              <w:t>n=1707</w:t>
            </w:r>
          </w:p>
          <w:p w14:paraId="45861180" w14:textId="30EBCBA8" w:rsidR="0038169D" w:rsidRPr="00DA515C" w:rsidRDefault="0038169D" w:rsidP="0038169D">
            <w:pPr>
              <w:rPr>
                <w:rFonts w:ascii="Arial" w:hAnsi="Arial" w:cs="Arial"/>
                <w:bCs/>
                <w:sz w:val="16"/>
                <w:szCs w:val="16"/>
              </w:rPr>
            </w:pPr>
            <w:r w:rsidRPr="00DA515C">
              <w:rPr>
                <w:rFonts w:ascii="Arial" w:hAnsi="Arial" w:cs="Arial"/>
                <w:bCs/>
                <w:sz w:val="16"/>
                <w:szCs w:val="16"/>
              </w:rPr>
              <w:t>Taiwan Army Conscript Recruits</w:t>
            </w:r>
          </w:p>
          <w:p w14:paraId="435A3C02" w14:textId="77777777" w:rsidR="0038169D" w:rsidRPr="00DA515C" w:rsidRDefault="0038169D" w:rsidP="0038169D">
            <w:pPr>
              <w:rPr>
                <w:rFonts w:ascii="Arial" w:hAnsi="Arial" w:cs="Arial"/>
                <w:bCs/>
                <w:sz w:val="16"/>
                <w:szCs w:val="16"/>
              </w:rPr>
            </w:pPr>
            <w:r w:rsidRPr="00DA515C">
              <w:rPr>
                <w:rFonts w:ascii="Arial" w:hAnsi="Arial" w:cs="Arial"/>
                <w:bCs/>
                <w:sz w:val="16"/>
                <w:szCs w:val="16"/>
              </w:rPr>
              <w:t>(smokers only)</w:t>
            </w:r>
          </w:p>
          <w:p w14:paraId="3C2D9E62" w14:textId="39669EED" w:rsidR="00BC1E3A" w:rsidRPr="00DA515C" w:rsidRDefault="0038169D" w:rsidP="0038169D">
            <w:pPr>
              <w:rPr>
                <w:rFonts w:ascii="Arial" w:hAnsi="Arial" w:cs="Arial"/>
                <w:bCs/>
                <w:sz w:val="16"/>
                <w:szCs w:val="16"/>
              </w:rPr>
            </w:pPr>
            <w:r w:rsidRPr="00DA515C">
              <w:rPr>
                <w:rFonts w:ascii="Arial" w:hAnsi="Arial" w:cs="Arial"/>
                <w:bCs/>
                <w:sz w:val="16"/>
                <w:szCs w:val="16"/>
              </w:rPr>
              <w:t>100% male</w:t>
            </w:r>
          </w:p>
        </w:tc>
        <w:tc>
          <w:tcPr>
            <w:tcW w:w="1417" w:type="dxa"/>
          </w:tcPr>
          <w:p w14:paraId="3D21DD15" w14:textId="2DC25E0A" w:rsidR="00BC1E3A" w:rsidRPr="00DA515C" w:rsidRDefault="00BC1E3A" w:rsidP="00BC1E3A">
            <w:pPr>
              <w:rPr>
                <w:rFonts w:ascii="Arial" w:hAnsi="Arial" w:cs="Arial"/>
                <w:bCs/>
                <w:sz w:val="16"/>
                <w:szCs w:val="16"/>
              </w:rPr>
            </w:pPr>
            <w:r w:rsidRPr="00DA515C">
              <w:rPr>
                <w:rFonts w:ascii="Arial" w:hAnsi="Arial" w:cs="Arial"/>
                <w:bCs/>
                <w:sz w:val="16"/>
                <w:szCs w:val="16"/>
              </w:rPr>
              <w:t>Partial site smoking ban</w:t>
            </w:r>
            <w:r w:rsidR="0038169D" w:rsidRPr="00DA515C">
              <w:rPr>
                <w:rFonts w:ascii="Arial" w:hAnsi="Arial" w:cs="Arial"/>
                <w:bCs/>
                <w:sz w:val="16"/>
                <w:szCs w:val="16"/>
              </w:rPr>
              <w:t xml:space="preserve"> “</w:t>
            </w:r>
            <w:r w:rsidR="0038169D" w:rsidRPr="00DA515C">
              <w:rPr>
                <w:rFonts w:ascii="Arial" w:hAnsi="Arial" w:cs="Arial"/>
                <w:bCs/>
                <w:i/>
                <w:iCs/>
                <w:sz w:val="16"/>
                <w:szCs w:val="16"/>
              </w:rPr>
              <w:t>active smoking restrictions</w:t>
            </w:r>
            <w:r w:rsidR="0038169D" w:rsidRPr="00DA515C">
              <w:rPr>
                <w:rFonts w:ascii="Arial" w:hAnsi="Arial" w:cs="Arial"/>
                <w:bCs/>
                <w:sz w:val="16"/>
                <w:szCs w:val="16"/>
              </w:rPr>
              <w:t>”</w:t>
            </w:r>
          </w:p>
        </w:tc>
        <w:tc>
          <w:tcPr>
            <w:tcW w:w="1418" w:type="dxa"/>
          </w:tcPr>
          <w:p w14:paraId="572B5368" w14:textId="2032A354" w:rsidR="00BC1E3A" w:rsidRPr="00DA515C" w:rsidRDefault="0038169D" w:rsidP="00BC1E3A">
            <w:pPr>
              <w:rPr>
                <w:rFonts w:ascii="Arial" w:hAnsi="Arial" w:cs="Arial"/>
                <w:sz w:val="16"/>
                <w:szCs w:val="16"/>
              </w:rPr>
            </w:pPr>
            <w:r w:rsidRPr="00DA515C">
              <w:rPr>
                <w:rFonts w:ascii="Arial" w:hAnsi="Arial" w:cs="Arial"/>
                <w:sz w:val="16"/>
                <w:szCs w:val="16"/>
              </w:rPr>
              <w:t>Regular smoking restrictions</w:t>
            </w:r>
          </w:p>
        </w:tc>
        <w:tc>
          <w:tcPr>
            <w:tcW w:w="2214" w:type="dxa"/>
          </w:tcPr>
          <w:p w14:paraId="0F9284BD" w14:textId="04969D4C" w:rsidR="00584A2F" w:rsidRPr="00DA515C" w:rsidRDefault="00584A2F" w:rsidP="00584A2F">
            <w:pPr>
              <w:rPr>
                <w:rFonts w:ascii="Arial" w:hAnsi="Arial" w:cs="Arial"/>
                <w:sz w:val="16"/>
                <w:szCs w:val="16"/>
              </w:rPr>
            </w:pPr>
            <w:r w:rsidRPr="00DA515C">
              <w:rPr>
                <w:rFonts w:ascii="Arial" w:hAnsi="Arial" w:cs="Arial"/>
                <w:sz w:val="16"/>
                <w:szCs w:val="16"/>
              </w:rPr>
              <w:t xml:space="preserve">-Quit rate </w:t>
            </w:r>
          </w:p>
          <w:p w14:paraId="342BA263" w14:textId="211D233C" w:rsidR="00BC1E3A" w:rsidRPr="00DA515C" w:rsidRDefault="00584A2F" w:rsidP="00584A2F">
            <w:pPr>
              <w:rPr>
                <w:rFonts w:ascii="Arial" w:hAnsi="Arial" w:cs="Arial"/>
                <w:sz w:val="16"/>
                <w:szCs w:val="16"/>
              </w:rPr>
            </w:pPr>
            <w:r w:rsidRPr="00DA515C">
              <w:rPr>
                <w:rFonts w:ascii="Arial" w:hAnsi="Arial" w:cs="Arial"/>
                <w:sz w:val="16"/>
                <w:szCs w:val="16"/>
              </w:rPr>
              <w:t>-Daily cigarette consumption</w:t>
            </w:r>
          </w:p>
        </w:tc>
        <w:tc>
          <w:tcPr>
            <w:tcW w:w="1471" w:type="dxa"/>
          </w:tcPr>
          <w:p w14:paraId="09016F22" w14:textId="386BD987" w:rsidR="00BC1E3A" w:rsidRPr="00DA515C" w:rsidRDefault="0038169D" w:rsidP="00BC1E3A">
            <w:pPr>
              <w:rPr>
                <w:rFonts w:ascii="Arial" w:hAnsi="Arial" w:cs="Arial"/>
                <w:sz w:val="16"/>
                <w:szCs w:val="16"/>
              </w:rPr>
            </w:pPr>
            <w:r w:rsidRPr="00DA515C">
              <w:rPr>
                <w:rFonts w:ascii="Arial" w:hAnsi="Arial" w:cs="Arial"/>
                <w:sz w:val="16"/>
                <w:szCs w:val="16"/>
              </w:rPr>
              <w:t>Yes</w:t>
            </w:r>
          </w:p>
        </w:tc>
        <w:tc>
          <w:tcPr>
            <w:tcW w:w="1481" w:type="dxa"/>
          </w:tcPr>
          <w:p w14:paraId="1711238D" w14:textId="7D51F0BD" w:rsidR="00BC1E3A" w:rsidRPr="00DA515C" w:rsidRDefault="0038169D" w:rsidP="00BC1E3A">
            <w:pPr>
              <w:rPr>
                <w:rFonts w:ascii="Arial" w:hAnsi="Arial" w:cs="Arial"/>
                <w:sz w:val="16"/>
                <w:szCs w:val="16"/>
              </w:rPr>
            </w:pPr>
            <w:r w:rsidRPr="00DA515C">
              <w:rPr>
                <w:rFonts w:ascii="Arial" w:hAnsi="Arial" w:cs="Arial"/>
                <w:bCs/>
                <w:sz w:val="16"/>
                <w:szCs w:val="16"/>
              </w:rPr>
              <w:t xml:space="preserve">Taiwan Army Training Regiment, Taiwan </w:t>
            </w:r>
          </w:p>
        </w:tc>
      </w:tr>
      <w:tr w:rsidR="0076327E" w14:paraId="126F132E" w14:textId="77777777" w:rsidTr="00445A05">
        <w:tc>
          <w:tcPr>
            <w:tcW w:w="1271" w:type="dxa"/>
          </w:tcPr>
          <w:p w14:paraId="78AD3A24" w14:textId="60A314B9" w:rsidR="00DA515C" w:rsidRPr="00445A05" w:rsidRDefault="00BC1E3A" w:rsidP="00BC1E3A">
            <w:pPr>
              <w:rPr>
                <w:rFonts w:ascii="Arial" w:hAnsi="Arial" w:cs="Arial"/>
                <w:b/>
                <w:sz w:val="16"/>
                <w:szCs w:val="16"/>
              </w:rPr>
            </w:pPr>
            <w:proofErr w:type="spellStart"/>
            <w:r w:rsidRPr="00445A05">
              <w:rPr>
                <w:rFonts w:ascii="Arial" w:hAnsi="Arial" w:cs="Arial"/>
                <w:b/>
                <w:sz w:val="16"/>
                <w:szCs w:val="16"/>
              </w:rPr>
              <w:t>Cronan</w:t>
            </w:r>
            <w:proofErr w:type="spellEnd"/>
            <w:r w:rsidR="0076327E">
              <w:rPr>
                <w:rFonts w:ascii="Arial" w:hAnsi="Arial" w:cs="Arial"/>
                <w:b/>
                <w:sz w:val="16"/>
                <w:szCs w:val="16"/>
              </w:rPr>
              <w:t xml:space="preserve"> et al. </w:t>
            </w:r>
            <w:r w:rsidRPr="00445A05">
              <w:rPr>
                <w:rFonts w:ascii="Arial" w:hAnsi="Arial" w:cs="Arial"/>
                <w:b/>
                <w:sz w:val="16"/>
                <w:szCs w:val="16"/>
              </w:rPr>
              <w:t>(1989)</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{"citationItems":[{"id":"ITEM-1","itemData":{"author":[{"dropping-particle":"","family":"Cronan","given":"TL","non-dropping-particle":"","parse-names":false,"suffix":""},{"dropping-particle":"","family":"Hervig","given":"Linda K","non-dropping-particle":"","parse-names":false,"suffix":""},{"dropping-particle":"","family":"Conway","given":"Terry L","non-dropping-particle":"","parse-names":false,"suffix":""}],"id":"ITEM-1","issued":{"date-parts":[["1989"]]},"title":"Evaluation of smoking interventions in recruit training","type":"report"},"uris":["http://www.mendeley.com/documents/?uuid=277533ef-ab2f-45d4-a48c-f53697447ccd"]}],"mendeley":{"formattedCitation":"(35)","plainTextFormattedCitation":"(35)","previouslyFormattedCitation":"(35)"},"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36</w:t>
            </w:r>
            <w:r w:rsidR="00026378" w:rsidRPr="00026378">
              <w:rPr>
                <w:rFonts w:ascii="Arial" w:hAnsi="Arial" w:cs="Arial"/>
                <w:noProof/>
                <w:sz w:val="16"/>
                <w:szCs w:val="16"/>
              </w:rPr>
              <w:t>)</w:t>
            </w:r>
            <w:r w:rsidR="0076327E">
              <w:rPr>
                <w:rFonts w:ascii="Arial" w:hAnsi="Arial" w:cs="Arial"/>
                <w:b/>
                <w:sz w:val="16"/>
                <w:szCs w:val="16"/>
              </w:rPr>
              <w:fldChar w:fldCharType="end"/>
            </w:r>
          </w:p>
          <w:p w14:paraId="5D885470" w14:textId="27D6DB71" w:rsidR="00BC1E3A" w:rsidRPr="00DA515C" w:rsidRDefault="00BC1E3A" w:rsidP="00BC1E3A">
            <w:pPr>
              <w:rPr>
                <w:rFonts w:ascii="Arial" w:hAnsi="Arial" w:cs="Arial"/>
                <w:bCs/>
                <w:sz w:val="16"/>
                <w:szCs w:val="16"/>
              </w:rPr>
            </w:pPr>
            <w:r w:rsidRPr="00DA515C">
              <w:rPr>
                <w:rFonts w:ascii="Arial" w:hAnsi="Arial" w:cs="Arial"/>
                <w:sz w:val="16"/>
                <w:szCs w:val="16"/>
              </w:rPr>
              <w:t>UBA</w:t>
            </w:r>
          </w:p>
        </w:tc>
        <w:tc>
          <w:tcPr>
            <w:tcW w:w="2552" w:type="dxa"/>
          </w:tcPr>
          <w:p w14:paraId="521C3284" w14:textId="1490EAF4" w:rsidR="00BC1E3A" w:rsidRPr="00445A05" w:rsidRDefault="00445A05" w:rsidP="00445A05">
            <w:pPr>
              <w:rPr>
                <w:rFonts w:ascii="Arial" w:hAnsi="Arial" w:cs="Arial"/>
                <w:sz w:val="16"/>
                <w:szCs w:val="16"/>
              </w:rPr>
            </w:pPr>
            <w:r w:rsidRPr="00445A05">
              <w:rPr>
                <w:rFonts w:ascii="Arial" w:hAnsi="Arial" w:cs="Arial"/>
                <w:sz w:val="16"/>
                <w:szCs w:val="16"/>
              </w:rPr>
              <w:t>Determine the effects of three programs on smoking prevention and cessation during recruit training</w:t>
            </w:r>
          </w:p>
        </w:tc>
        <w:tc>
          <w:tcPr>
            <w:tcW w:w="2126" w:type="dxa"/>
          </w:tcPr>
          <w:p w14:paraId="54AAAB3E" w14:textId="5CB0A240" w:rsidR="0038169D" w:rsidRPr="00DA515C" w:rsidRDefault="00DA515C" w:rsidP="0038169D">
            <w:pPr>
              <w:rPr>
                <w:rFonts w:ascii="Arial" w:hAnsi="Arial" w:cs="Arial"/>
                <w:bCs/>
                <w:sz w:val="16"/>
                <w:szCs w:val="16"/>
              </w:rPr>
            </w:pPr>
            <w:r w:rsidRPr="00DA515C">
              <w:rPr>
                <w:rFonts w:ascii="Arial" w:hAnsi="Arial" w:cs="Arial"/>
                <w:bCs/>
                <w:sz w:val="16"/>
                <w:szCs w:val="16"/>
              </w:rPr>
              <w:t>n</w:t>
            </w:r>
            <w:r w:rsidR="0038169D" w:rsidRPr="00DA515C">
              <w:rPr>
                <w:rFonts w:ascii="Arial" w:hAnsi="Arial" w:cs="Arial"/>
                <w:bCs/>
                <w:sz w:val="16"/>
                <w:szCs w:val="16"/>
              </w:rPr>
              <w:t>=238</w:t>
            </w:r>
          </w:p>
          <w:p w14:paraId="188AC434" w14:textId="0F84CF5C" w:rsidR="0038169D" w:rsidRPr="00DA515C" w:rsidRDefault="0038169D" w:rsidP="0038169D">
            <w:pPr>
              <w:rPr>
                <w:rFonts w:ascii="Arial" w:hAnsi="Arial" w:cs="Arial"/>
                <w:bCs/>
                <w:sz w:val="16"/>
                <w:szCs w:val="16"/>
              </w:rPr>
            </w:pPr>
            <w:r w:rsidRPr="00DA515C">
              <w:rPr>
                <w:rFonts w:ascii="Arial" w:hAnsi="Arial" w:cs="Arial"/>
                <w:bCs/>
                <w:sz w:val="16"/>
                <w:szCs w:val="16"/>
              </w:rPr>
              <w:t>US Navy Recruits</w:t>
            </w:r>
          </w:p>
          <w:p w14:paraId="1ECAC606" w14:textId="09793CBF" w:rsidR="00BC1E3A" w:rsidRPr="00DA515C" w:rsidRDefault="0038169D" w:rsidP="00BC1E3A">
            <w:pPr>
              <w:rPr>
                <w:rFonts w:ascii="Arial" w:hAnsi="Arial" w:cs="Arial"/>
                <w:bCs/>
                <w:sz w:val="16"/>
                <w:szCs w:val="16"/>
              </w:rPr>
            </w:pPr>
            <w:r w:rsidRPr="00DA515C">
              <w:rPr>
                <w:rFonts w:ascii="Arial" w:hAnsi="Arial" w:cs="Arial"/>
                <w:bCs/>
                <w:sz w:val="16"/>
                <w:szCs w:val="16"/>
              </w:rPr>
              <w:t>100% male</w:t>
            </w:r>
          </w:p>
        </w:tc>
        <w:tc>
          <w:tcPr>
            <w:tcW w:w="1417" w:type="dxa"/>
          </w:tcPr>
          <w:p w14:paraId="7E110715" w14:textId="232F3808" w:rsidR="00BC1E3A" w:rsidRDefault="00BC1E3A" w:rsidP="00BC1E3A">
            <w:pPr>
              <w:rPr>
                <w:rFonts w:ascii="Arial" w:hAnsi="Arial" w:cs="Arial"/>
                <w:bCs/>
                <w:sz w:val="16"/>
                <w:szCs w:val="16"/>
              </w:rPr>
            </w:pPr>
            <w:r w:rsidRPr="00DA515C">
              <w:rPr>
                <w:rFonts w:ascii="Arial" w:hAnsi="Arial" w:cs="Arial"/>
                <w:bCs/>
                <w:sz w:val="16"/>
                <w:szCs w:val="16"/>
              </w:rPr>
              <w:t>24/7 prohibition of all tobacco products</w:t>
            </w:r>
            <w:r w:rsidR="00445A05">
              <w:rPr>
                <w:rFonts w:ascii="Arial" w:hAnsi="Arial" w:cs="Arial"/>
                <w:bCs/>
                <w:sz w:val="16"/>
                <w:szCs w:val="16"/>
              </w:rPr>
              <w:t>*</w:t>
            </w:r>
          </w:p>
          <w:p w14:paraId="058473F8" w14:textId="4561AB76" w:rsidR="00445A05" w:rsidRDefault="00445A05" w:rsidP="00BC1E3A">
            <w:pPr>
              <w:rPr>
                <w:rFonts w:ascii="Arial" w:hAnsi="Arial" w:cs="Arial"/>
                <w:bCs/>
                <w:sz w:val="16"/>
                <w:szCs w:val="16"/>
              </w:rPr>
            </w:pPr>
          </w:p>
          <w:p w14:paraId="641BA660" w14:textId="3428FAED" w:rsidR="00BC1E3A" w:rsidRPr="00445A05" w:rsidRDefault="00BC1E3A" w:rsidP="00BC1E3A">
            <w:pPr>
              <w:rPr>
                <w:rFonts w:ascii="Arial" w:hAnsi="Arial" w:cs="Arial"/>
                <w:bCs/>
                <w:sz w:val="16"/>
                <w:szCs w:val="16"/>
              </w:rPr>
            </w:pPr>
          </w:p>
        </w:tc>
        <w:tc>
          <w:tcPr>
            <w:tcW w:w="1418" w:type="dxa"/>
          </w:tcPr>
          <w:p w14:paraId="13CA94AF" w14:textId="2075145C" w:rsidR="00BC1E3A" w:rsidRPr="00DA515C" w:rsidRDefault="0038169D" w:rsidP="00BC1E3A">
            <w:pPr>
              <w:rPr>
                <w:rFonts w:ascii="Arial" w:hAnsi="Arial" w:cs="Arial"/>
                <w:sz w:val="16"/>
                <w:szCs w:val="16"/>
              </w:rPr>
            </w:pPr>
            <w:r w:rsidRPr="00DA515C">
              <w:rPr>
                <w:rFonts w:ascii="Arial" w:hAnsi="Arial" w:cs="Arial"/>
                <w:sz w:val="16"/>
                <w:szCs w:val="16"/>
              </w:rPr>
              <w:t>No prohibition of tobacco products</w:t>
            </w:r>
          </w:p>
        </w:tc>
        <w:tc>
          <w:tcPr>
            <w:tcW w:w="2214" w:type="dxa"/>
          </w:tcPr>
          <w:p w14:paraId="05DFE6E2" w14:textId="77777777" w:rsidR="00584A2F" w:rsidRPr="00DA515C" w:rsidRDefault="00584A2F" w:rsidP="00584A2F">
            <w:pPr>
              <w:rPr>
                <w:rFonts w:ascii="Arial" w:hAnsi="Arial" w:cs="Arial"/>
                <w:bCs/>
                <w:sz w:val="16"/>
                <w:szCs w:val="16"/>
              </w:rPr>
            </w:pPr>
            <w:r w:rsidRPr="00DA515C">
              <w:rPr>
                <w:rFonts w:ascii="Arial" w:hAnsi="Arial" w:cs="Arial"/>
                <w:bCs/>
                <w:sz w:val="16"/>
                <w:szCs w:val="16"/>
              </w:rPr>
              <w:t>-Smoking</w:t>
            </w:r>
          </w:p>
          <w:p w14:paraId="1F553CC9" w14:textId="060EDAD3" w:rsidR="00584A2F" w:rsidRPr="00DA515C" w:rsidRDefault="00584A2F" w:rsidP="00584A2F">
            <w:pPr>
              <w:rPr>
                <w:rFonts w:ascii="Arial" w:hAnsi="Arial" w:cs="Arial"/>
                <w:bCs/>
                <w:sz w:val="16"/>
                <w:szCs w:val="16"/>
              </w:rPr>
            </w:pPr>
            <w:r w:rsidRPr="00DA515C">
              <w:rPr>
                <w:rFonts w:ascii="Arial" w:hAnsi="Arial" w:cs="Arial"/>
                <w:bCs/>
                <w:sz w:val="16"/>
                <w:szCs w:val="16"/>
              </w:rPr>
              <w:t>-Prevalence</w:t>
            </w:r>
          </w:p>
          <w:p w14:paraId="234E1A91" w14:textId="6AC48170" w:rsidR="00584A2F" w:rsidRPr="00DA515C" w:rsidRDefault="00584A2F" w:rsidP="00584A2F">
            <w:pPr>
              <w:rPr>
                <w:rFonts w:ascii="Arial" w:hAnsi="Arial" w:cs="Arial"/>
                <w:bCs/>
                <w:sz w:val="16"/>
                <w:szCs w:val="16"/>
              </w:rPr>
            </w:pPr>
            <w:r w:rsidRPr="00DA515C">
              <w:rPr>
                <w:rFonts w:ascii="Arial" w:hAnsi="Arial" w:cs="Arial"/>
                <w:bCs/>
                <w:sz w:val="16"/>
                <w:szCs w:val="16"/>
              </w:rPr>
              <w:t>-Change in smoking status</w:t>
            </w:r>
          </w:p>
          <w:p w14:paraId="5DB6AEF3" w14:textId="0FA69E2D" w:rsidR="00BC1E3A" w:rsidRPr="00DA515C" w:rsidRDefault="00584A2F" w:rsidP="00584A2F">
            <w:pPr>
              <w:rPr>
                <w:rFonts w:ascii="Arial" w:hAnsi="Arial" w:cs="Arial"/>
                <w:sz w:val="16"/>
                <w:szCs w:val="16"/>
              </w:rPr>
            </w:pPr>
            <w:r w:rsidRPr="00DA515C">
              <w:rPr>
                <w:rFonts w:ascii="Arial" w:hAnsi="Arial" w:cs="Arial"/>
                <w:bCs/>
                <w:sz w:val="16"/>
                <w:szCs w:val="16"/>
              </w:rPr>
              <w:t>-Daily cigarette consumption</w:t>
            </w:r>
          </w:p>
        </w:tc>
        <w:tc>
          <w:tcPr>
            <w:tcW w:w="1471" w:type="dxa"/>
          </w:tcPr>
          <w:p w14:paraId="44629504" w14:textId="13594956" w:rsidR="00BC1E3A" w:rsidRPr="00DA515C" w:rsidRDefault="0038169D" w:rsidP="00BC1E3A">
            <w:pPr>
              <w:rPr>
                <w:rFonts w:ascii="Arial" w:hAnsi="Arial" w:cs="Arial"/>
                <w:sz w:val="16"/>
                <w:szCs w:val="16"/>
              </w:rPr>
            </w:pPr>
            <w:r w:rsidRPr="00DA515C">
              <w:rPr>
                <w:rFonts w:ascii="Arial" w:hAnsi="Arial" w:cs="Arial"/>
                <w:sz w:val="16"/>
                <w:szCs w:val="16"/>
              </w:rPr>
              <w:t xml:space="preserve">No </w:t>
            </w:r>
          </w:p>
        </w:tc>
        <w:tc>
          <w:tcPr>
            <w:tcW w:w="1481" w:type="dxa"/>
          </w:tcPr>
          <w:p w14:paraId="14FB9425" w14:textId="045D4B6D" w:rsidR="00BC1E3A" w:rsidRPr="00DA515C" w:rsidRDefault="0038169D" w:rsidP="00BC1E3A">
            <w:pPr>
              <w:rPr>
                <w:rFonts w:ascii="Arial" w:hAnsi="Arial" w:cs="Arial"/>
                <w:sz w:val="16"/>
                <w:szCs w:val="16"/>
              </w:rPr>
            </w:pPr>
            <w:r w:rsidRPr="00DA515C">
              <w:rPr>
                <w:rFonts w:ascii="Arial" w:hAnsi="Arial" w:cs="Arial"/>
                <w:bCs/>
                <w:sz w:val="16"/>
                <w:szCs w:val="16"/>
              </w:rPr>
              <w:t xml:space="preserve">US Navy Recruit Training Command, Navy Training </w:t>
            </w:r>
            <w:proofErr w:type="spellStart"/>
            <w:r w:rsidRPr="00DA515C">
              <w:rPr>
                <w:rFonts w:ascii="Arial" w:hAnsi="Arial" w:cs="Arial"/>
                <w:bCs/>
                <w:sz w:val="16"/>
                <w:szCs w:val="16"/>
              </w:rPr>
              <w:t>Center</w:t>
            </w:r>
            <w:proofErr w:type="spellEnd"/>
            <w:r w:rsidRPr="00DA515C">
              <w:rPr>
                <w:rFonts w:ascii="Arial" w:hAnsi="Arial" w:cs="Arial"/>
                <w:bCs/>
                <w:sz w:val="16"/>
                <w:szCs w:val="16"/>
              </w:rPr>
              <w:t>, San, Diego, California, USA</w:t>
            </w:r>
          </w:p>
        </w:tc>
      </w:tr>
      <w:tr w:rsidR="0076327E" w14:paraId="01E04CC3" w14:textId="77777777" w:rsidTr="00445A05">
        <w:tc>
          <w:tcPr>
            <w:tcW w:w="1271" w:type="dxa"/>
          </w:tcPr>
          <w:p w14:paraId="13BBAC60" w14:textId="0E431D30" w:rsidR="00DA515C" w:rsidRPr="00445A05" w:rsidRDefault="00BC1E3A" w:rsidP="00BC1E3A">
            <w:pPr>
              <w:rPr>
                <w:rFonts w:ascii="Arial" w:hAnsi="Arial" w:cs="Arial"/>
                <w:b/>
                <w:sz w:val="16"/>
                <w:szCs w:val="16"/>
              </w:rPr>
            </w:pPr>
            <w:proofErr w:type="spellStart"/>
            <w:r w:rsidRPr="00445A05">
              <w:rPr>
                <w:rFonts w:ascii="Arial" w:hAnsi="Arial" w:cs="Arial"/>
                <w:b/>
                <w:sz w:val="16"/>
                <w:szCs w:val="16"/>
              </w:rPr>
              <w:t>Derkenne</w:t>
            </w:r>
            <w:proofErr w:type="spellEnd"/>
            <w:r w:rsidRPr="00445A05">
              <w:rPr>
                <w:rFonts w:ascii="Arial" w:hAnsi="Arial" w:cs="Arial"/>
                <w:b/>
                <w:sz w:val="16"/>
                <w:szCs w:val="16"/>
              </w:rPr>
              <w:t xml:space="preserve"> et al. (2016)</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{"citationItems":[{"id":"ITEM-1","itemData":{"DOI":"10.7205/MILMED-D-15-00177","ISSN":"0026-4075","abstract":"Objectives: This study investigates nicotine withdrawal symptoms and resumption rates of tobacco abuse among French submariners during and after a 7-week mission without using tobacco.Methods: A prospective study was conducted in 2010 during two missions aboard nuclear-powered ballistic missile submarines. Over a 6-month follow-up, the study subjects completed five standardized questionnaires (Fagerström test, Hospital Anxiety Depression, and the Minnesota Nicotine Withdrawal Scale).Results: Out of 222 prospective study subjects, 168 were included, 52 of whom were smokers. For 84.9% of the smokers, the Fagerström test score was lower than 2 (no dependency). Additionally, 92% of the smokers did not experience withdrawal symptoms following an abrupt and mandatory cessation of cigarette smoking. Two-thirds of the smokers resumed their addiction within 2 months, 78% of whom did so the first day they had the opportunity.Conclusions: In the physically and mentally constraining environment of submarines, the behavioral component of cigarette dependency largely dominates over the psychological and physical components of nicotine dependence. This phenomenon occurs because the behavioral component of addiction is the source of smoking resumption and, therefore, must be better addressed to achieve sustained withdrawal.","author":[{"dropping-particle":"","family":"Derkenne","given":"Clément","non-dropping-particle":"","parse-names":false,"suffix":""},{"dropping-particle":"","family":"Bylicki","given":"Olivier","non-dropping-particle":"","parse-names":false,"suffix":""},{"dropping-particle":"","family":"Darléguy","given":"Adrien","non-dropping-particle":"","parse-names":false,"suffix":""},{"dropping-particle":"","family":"Garnier","given":"Mathieu","non-dropping-particle":"","parse-names":false,"suffix":""},{"dropping-particle":"","family":"Baert","given":"Patrice","non-dropping-particle":"","parse-names":false,"suffix":""},{"dropping-particle":"","family":"Lamblin","given":"Antoine","non-dropping-particle":"","parse-names":false,"suffix":""}],"container-title":"Military Medicine","id":"ITEM-1","issue":"5","issued":{"date-parts":[["2016","5"]]},"note":"Accession Number: 115064463. Language: English. Entry Date: 20170724. Revision Date: 20190619. Publication Type: journal article; research; tables/charts. Journal Subset: Biomedical; Expert Peer Reviewed; Peer Reviewed; USA. Instrumentation: Hospital Anxiety and Depression Scale (HADS); Minnesota Nicotine Withdrawal Scale (MNWS); Fagerstrom Test for Nicotine Dependence. NLM UID: 2984771R.","page":"445-450","publisher":"Oxford University Press / USA","publisher-place":"Gap Armed Forces Medical Center, Guillaume Headquarters, BP 05014, Gap Cedex, France.","title":"Tolerance and Effectiveness of Forced and Prolonged Smoking Cessation Among French Submariners.","type":"article-journal","volume":"181"},"uris":["http://www.mendeley.com/documents/?uuid=374d316e-d95e-4544-bc3e-e87e38e08eea"]}],"mendeley":{"formattedCitation":"(36)","plainTextFormattedCitation":"(36)","previouslyFormattedCitation":"(36)"},"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37</w:t>
            </w:r>
            <w:r w:rsidR="00026378" w:rsidRPr="00026378">
              <w:rPr>
                <w:rFonts w:ascii="Arial" w:hAnsi="Arial" w:cs="Arial"/>
                <w:noProof/>
                <w:sz w:val="16"/>
                <w:szCs w:val="16"/>
              </w:rPr>
              <w:t>)</w:t>
            </w:r>
            <w:r w:rsidR="0076327E">
              <w:rPr>
                <w:rFonts w:ascii="Arial" w:hAnsi="Arial" w:cs="Arial"/>
                <w:b/>
                <w:sz w:val="16"/>
                <w:szCs w:val="16"/>
              </w:rPr>
              <w:fldChar w:fldCharType="end"/>
            </w:r>
          </w:p>
          <w:p w14:paraId="4A3F86FB" w14:textId="289C6AD8" w:rsidR="00BC1E3A" w:rsidRPr="00DA515C" w:rsidRDefault="00BC1E3A" w:rsidP="00BC1E3A">
            <w:pPr>
              <w:rPr>
                <w:rFonts w:ascii="Arial" w:hAnsi="Arial" w:cs="Arial"/>
                <w:sz w:val="16"/>
                <w:szCs w:val="16"/>
              </w:rPr>
            </w:pPr>
            <w:r w:rsidRPr="00DA515C">
              <w:rPr>
                <w:rFonts w:ascii="Arial" w:hAnsi="Arial" w:cs="Arial"/>
                <w:sz w:val="16"/>
                <w:szCs w:val="16"/>
              </w:rPr>
              <w:t>UBA</w:t>
            </w:r>
          </w:p>
        </w:tc>
        <w:tc>
          <w:tcPr>
            <w:tcW w:w="2552" w:type="dxa"/>
          </w:tcPr>
          <w:p w14:paraId="2B3E6A42" w14:textId="0D336B3D" w:rsidR="00445A05" w:rsidRPr="00445A05" w:rsidRDefault="00445A05" w:rsidP="00445A05">
            <w:pPr>
              <w:rPr>
                <w:rFonts w:ascii="Arial" w:hAnsi="Arial" w:cs="Arial"/>
                <w:sz w:val="16"/>
                <w:szCs w:val="16"/>
              </w:rPr>
            </w:pPr>
            <w:r w:rsidRPr="00445A05">
              <w:rPr>
                <w:rFonts w:ascii="Arial" w:hAnsi="Arial" w:cs="Arial"/>
                <w:color w:val="212121"/>
                <w:sz w:val="16"/>
                <w:szCs w:val="16"/>
                <w:shd w:val="clear" w:color="auto" w:fill="FFFFFF"/>
              </w:rPr>
              <w:t>Investigate resumption rates of tobacco abuse during and after a 7-week mission without using tobacco</w:t>
            </w:r>
          </w:p>
          <w:p w14:paraId="022A18AA" w14:textId="77777777" w:rsidR="00BC1E3A" w:rsidRPr="00DA515C" w:rsidRDefault="00BC1E3A" w:rsidP="00BC1E3A">
            <w:pPr>
              <w:rPr>
                <w:rFonts w:ascii="Arial" w:hAnsi="Arial" w:cs="Arial"/>
                <w:sz w:val="16"/>
                <w:szCs w:val="16"/>
              </w:rPr>
            </w:pPr>
          </w:p>
        </w:tc>
        <w:tc>
          <w:tcPr>
            <w:tcW w:w="2126" w:type="dxa"/>
          </w:tcPr>
          <w:p w14:paraId="2B570FBE" w14:textId="77777777" w:rsidR="00BC1E3A" w:rsidRPr="00DA515C" w:rsidRDefault="00DA515C" w:rsidP="00BC1E3A">
            <w:pPr>
              <w:rPr>
                <w:rFonts w:ascii="Arial" w:hAnsi="Arial" w:cs="Arial"/>
                <w:sz w:val="16"/>
                <w:szCs w:val="16"/>
              </w:rPr>
            </w:pPr>
            <w:r w:rsidRPr="00DA515C">
              <w:rPr>
                <w:rFonts w:ascii="Arial" w:hAnsi="Arial" w:cs="Arial"/>
                <w:sz w:val="16"/>
                <w:szCs w:val="16"/>
              </w:rPr>
              <w:t>n=52 (smokers only)</w:t>
            </w:r>
          </w:p>
          <w:p w14:paraId="16FEC129" w14:textId="77777777" w:rsidR="00DA515C" w:rsidRPr="00DA515C" w:rsidRDefault="00DA515C" w:rsidP="00DA515C">
            <w:pPr>
              <w:rPr>
                <w:rFonts w:ascii="Arial" w:hAnsi="Arial" w:cs="Arial"/>
                <w:bCs/>
                <w:sz w:val="16"/>
                <w:szCs w:val="16"/>
              </w:rPr>
            </w:pPr>
            <w:r w:rsidRPr="00DA515C">
              <w:rPr>
                <w:rFonts w:ascii="Arial" w:hAnsi="Arial" w:cs="Arial"/>
                <w:bCs/>
                <w:sz w:val="16"/>
                <w:szCs w:val="16"/>
              </w:rPr>
              <w:t>French Navy Submariners</w:t>
            </w:r>
          </w:p>
          <w:p w14:paraId="2400DE31" w14:textId="62C1BE6D" w:rsidR="00DA515C" w:rsidRPr="00DA515C" w:rsidRDefault="00DA515C" w:rsidP="00BC1E3A">
            <w:pPr>
              <w:rPr>
                <w:rFonts w:ascii="Arial" w:hAnsi="Arial" w:cs="Arial"/>
                <w:sz w:val="16"/>
                <w:szCs w:val="16"/>
              </w:rPr>
            </w:pPr>
            <w:r w:rsidRPr="00DA515C">
              <w:rPr>
                <w:rFonts w:ascii="Arial" w:hAnsi="Arial" w:cs="Arial"/>
                <w:bCs/>
                <w:sz w:val="16"/>
                <w:szCs w:val="16"/>
              </w:rPr>
              <w:t>100% male</w:t>
            </w:r>
          </w:p>
        </w:tc>
        <w:tc>
          <w:tcPr>
            <w:tcW w:w="1417" w:type="dxa"/>
          </w:tcPr>
          <w:p w14:paraId="063AC512" w14:textId="77777777" w:rsidR="00BC1E3A" w:rsidRPr="00DA515C" w:rsidRDefault="00BC1E3A" w:rsidP="00BC1E3A">
            <w:pPr>
              <w:rPr>
                <w:rFonts w:ascii="Arial" w:hAnsi="Arial" w:cs="Arial"/>
                <w:bCs/>
                <w:sz w:val="16"/>
                <w:szCs w:val="16"/>
              </w:rPr>
            </w:pPr>
            <w:r w:rsidRPr="00DA515C">
              <w:rPr>
                <w:rFonts w:ascii="Arial" w:hAnsi="Arial" w:cs="Arial"/>
                <w:bCs/>
                <w:sz w:val="16"/>
                <w:szCs w:val="16"/>
              </w:rPr>
              <w:t>24/7 prohibition of all tobacco products</w:t>
            </w:r>
          </w:p>
          <w:p w14:paraId="5058CCA1" w14:textId="6CD6C46F" w:rsidR="00BC1E3A" w:rsidRPr="00DA515C" w:rsidRDefault="00BC1E3A" w:rsidP="00BC1E3A">
            <w:pPr>
              <w:rPr>
                <w:rFonts w:ascii="Arial" w:hAnsi="Arial" w:cs="Arial"/>
                <w:sz w:val="16"/>
                <w:szCs w:val="16"/>
              </w:rPr>
            </w:pPr>
          </w:p>
        </w:tc>
        <w:tc>
          <w:tcPr>
            <w:tcW w:w="1418" w:type="dxa"/>
          </w:tcPr>
          <w:p w14:paraId="79AF0A43" w14:textId="4F9A8327" w:rsidR="00BC1E3A" w:rsidRPr="00DA515C" w:rsidRDefault="0038169D" w:rsidP="00BC1E3A">
            <w:pPr>
              <w:rPr>
                <w:rFonts w:ascii="Arial" w:hAnsi="Arial" w:cs="Arial"/>
                <w:sz w:val="16"/>
                <w:szCs w:val="16"/>
              </w:rPr>
            </w:pPr>
            <w:r w:rsidRPr="00DA515C">
              <w:rPr>
                <w:rFonts w:ascii="Arial" w:hAnsi="Arial" w:cs="Arial"/>
                <w:sz w:val="16"/>
                <w:szCs w:val="16"/>
              </w:rPr>
              <w:t>No comparator</w:t>
            </w:r>
          </w:p>
        </w:tc>
        <w:tc>
          <w:tcPr>
            <w:tcW w:w="2214" w:type="dxa"/>
          </w:tcPr>
          <w:p w14:paraId="4B299B02" w14:textId="237736B2" w:rsidR="00BC1E3A" w:rsidRPr="00DA515C" w:rsidRDefault="00584A2F" w:rsidP="00BC1E3A">
            <w:pPr>
              <w:rPr>
                <w:rFonts w:ascii="Arial" w:hAnsi="Arial" w:cs="Arial"/>
                <w:sz w:val="16"/>
                <w:szCs w:val="16"/>
              </w:rPr>
            </w:pPr>
            <w:r w:rsidRPr="00DA515C">
              <w:rPr>
                <w:rFonts w:ascii="Arial" w:hAnsi="Arial" w:cs="Arial"/>
                <w:sz w:val="16"/>
                <w:szCs w:val="16"/>
              </w:rPr>
              <w:t>-Quit rate</w:t>
            </w:r>
          </w:p>
        </w:tc>
        <w:tc>
          <w:tcPr>
            <w:tcW w:w="1471" w:type="dxa"/>
          </w:tcPr>
          <w:p w14:paraId="162C8082" w14:textId="1BCA36D3" w:rsidR="00BC1E3A" w:rsidRPr="00DA515C" w:rsidRDefault="0038169D" w:rsidP="00BC1E3A">
            <w:pPr>
              <w:rPr>
                <w:rFonts w:ascii="Arial" w:hAnsi="Arial" w:cs="Arial"/>
                <w:sz w:val="16"/>
                <w:szCs w:val="16"/>
              </w:rPr>
            </w:pPr>
            <w:r w:rsidRPr="00DA515C">
              <w:rPr>
                <w:rFonts w:ascii="Arial" w:hAnsi="Arial" w:cs="Arial"/>
                <w:sz w:val="16"/>
                <w:szCs w:val="16"/>
              </w:rPr>
              <w:t>Yes</w:t>
            </w:r>
          </w:p>
        </w:tc>
        <w:tc>
          <w:tcPr>
            <w:tcW w:w="1481" w:type="dxa"/>
          </w:tcPr>
          <w:p w14:paraId="444ABA77" w14:textId="56B54ADF" w:rsidR="00BC1E3A" w:rsidRPr="00DA515C" w:rsidRDefault="0038169D" w:rsidP="00BC1E3A">
            <w:pPr>
              <w:rPr>
                <w:rFonts w:ascii="Arial" w:hAnsi="Arial" w:cs="Arial"/>
                <w:sz w:val="16"/>
                <w:szCs w:val="16"/>
              </w:rPr>
            </w:pPr>
            <w:r w:rsidRPr="00DA515C">
              <w:rPr>
                <w:rFonts w:ascii="Arial" w:hAnsi="Arial" w:cs="Arial"/>
                <w:bCs/>
                <w:sz w:val="16"/>
                <w:szCs w:val="16"/>
              </w:rPr>
              <w:t>French Navy submarine patrol</w:t>
            </w:r>
          </w:p>
        </w:tc>
      </w:tr>
      <w:tr w:rsidR="0076327E" w14:paraId="050680D9" w14:textId="77777777" w:rsidTr="00445A05">
        <w:tc>
          <w:tcPr>
            <w:tcW w:w="1271" w:type="dxa"/>
          </w:tcPr>
          <w:p w14:paraId="598E383D" w14:textId="72E4215F" w:rsidR="00DA515C" w:rsidRPr="00445A05" w:rsidRDefault="00BC1E3A" w:rsidP="00BC1E3A">
            <w:pPr>
              <w:rPr>
                <w:rFonts w:ascii="Arial" w:hAnsi="Arial" w:cs="Arial"/>
                <w:b/>
                <w:sz w:val="16"/>
                <w:szCs w:val="16"/>
              </w:rPr>
            </w:pPr>
            <w:r w:rsidRPr="00445A05">
              <w:rPr>
                <w:rFonts w:ascii="Arial" w:hAnsi="Arial" w:cs="Arial"/>
                <w:b/>
                <w:sz w:val="16"/>
                <w:szCs w:val="16"/>
              </w:rPr>
              <w:t>Hurtado and Conway (1996)</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{"citationItems":[{"id":"ITEM-1","itemData":{"abstract":"This study examined 449 U.S. Navy recruits who reported that they were current smokers upon entering Navy recruit training. Recruits were prohibited from using tobacco for the duration of the 8 weeks of basic training. Participants completed tobacco surveys at entry into the Navy, upon graduation from recruit training, and after 1 year of service. Forty percent of the smokers at entry into the Navy changed their classification to former smokers at the end of recruit training. At the I-year follow-up, 19% of the initial smokers classified themselves as former smokers. Multivariate logistic regression analyses indicated that having a higher intent to quit was predictive of reporting oneself as a former smoker at recruit training graduation. Smoking fewer cigarettes per day at entry into the Navy and more years of regular tobacco use were predictive of reporting oneself as a former smoker at the I-year follow-up. Findings from this study suggested a meaningful impact of the Navy's no-smoking policy during recruit training in reducing smoking prevalence.","author":[{"dropping-particle":"","family":"Hurtado","given":"Suzanne L","non-dropping-particle":"","parse-names":false,"suffix":""},{"dropping-particle":"","family":"Conway","given":"Terry L","non-dropping-particle":"","parse-names":false,"suffix":""}],"container-title":"MILITARY MEDICINE ORIGINAL ARTICLES MILITARY MEDICINE","id":"ITEM-1","issued":{"date-parts":[["1996"]]},"number-of-pages":"571","title":"Changes in Smoking Prevalence following a Strict No-Smoking Policy in U.S. Navy Recruit Training","type":"report","volume":"161"},"uris":["http://www.mendeley.com/documents/?uuid=1dc1a9d2-9d20-495b-9db7-59dcff7a87f7"]}],"mendeley":{"formattedCitation":"(37)","plainTextFormattedCitation":"(37)","previouslyFormattedCitation":"(37)"},"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38</w:t>
            </w:r>
            <w:r w:rsidR="00026378" w:rsidRPr="00026378">
              <w:rPr>
                <w:rFonts w:ascii="Arial" w:hAnsi="Arial" w:cs="Arial"/>
                <w:noProof/>
                <w:sz w:val="16"/>
                <w:szCs w:val="16"/>
              </w:rPr>
              <w:t>)</w:t>
            </w:r>
            <w:r w:rsidR="0076327E">
              <w:rPr>
                <w:rFonts w:ascii="Arial" w:hAnsi="Arial" w:cs="Arial"/>
                <w:b/>
                <w:sz w:val="16"/>
                <w:szCs w:val="16"/>
              </w:rPr>
              <w:fldChar w:fldCharType="end"/>
            </w:r>
          </w:p>
          <w:p w14:paraId="14ED8D0A" w14:textId="21D0926E" w:rsidR="00BC1E3A" w:rsidRPr="00DA515C" w:rsidRDefault="00BC1E3A" w:rsidP="00BC1E3A">
            <w:pPr>
              <w:rPr>
                <w:rFonts w:ascii="Arial" w:hAnsi="Arial" w:cs="Arial"/>
                <w:sz w:val="16"/>
                <w:szCs w:val="16"/>
              </w:rPr>
            </w:pPr>
            <w:r w:rsidRPr="00DA515C">
              <w:rPr>
                <w:rFonts w:ascii="Arial" w:hAnsi="Arial" w:cs="Arial"/>
                <w:sz w:val="16"/>
                <w:szCs w:val="16"/>
              </w:rPr>
              <w:t>UBA</w:t>
            </w:r>
          </w:p>
        </w:tc>
        <w:tc>
          <w:tcPr>
            <w:tcW w:w="2552" w:type="dxa"/>
          </w:tcPr>
          <w:p w14:paraId="784874F3" w14:textId="321864D7" w:rsidR="00BC1E3A" w:rsidRPr="00445A05" w:rsidRDefault="00445A05" w:rsidP="00BC1E3A">
            <w:pPr>
              <w:rPr>
                <w:rFonts w:ascii="Arial" w:hAnsi="Arial" w:cs="Arial"/>
                <w:sz w:val="16"/>
                <w:szCs w:val="16"/>
              </w:rPr>
            </w:pPr>
            <w:r w:rsidRPr="00445A05">
              <w:rPr>
                <w:rFonts w:ascii="Arial" w:hAnsi="Arial" w:cs="Arial"/>
                <w:sz w:val="16"/>
                <w:szCs w:val="16"/>
              </w:rPr>
              <w:t>Describe changes in smoking status at the end of recruit training and at the end of the first year of enlistment</w:t>
            </w:r>
          </w:p>
        </w:tc>
        <w:tc>
          <w:tcPr>
            <w:tcW w:w="2126" w:type="dxa"/>
          </w:tcPr>
          <w:p w14:paraId="138F69AF" w14:textId="77839F57" w:rsidR="00BC1E3A" w:rsidRPr="00DA515C" w:rsidRDefault="00DA515C" w:rsidP="00BC1E3A">
            <w:pPr>
              <w:rPr>
                <w:rFonts w:ascii="Arial" w:hAnsi="Arial" w:cs="Arial"/>
                <w:sz w:val="16"/>
                <w:szCs w:val="16"/>
              </w:rPr>
            </w:pPr>
            <w:r w:rsidRPr="00DA515C">
              <w:rPr>
                <w:rFonts w:ascii="Arial" w:hAnsi="Arial" w:cs="Arial"/>
                <w:sz w:val="16"/>
                <w:szCs w:val="16"/>
              </w:rPr>
              <w:t>n=1511</w:t>
            </w:r>
          </w:p>
          <w:p w14:paraId="44CD046E" w14:textId="77777777" w:rsidR="00DA515C" w:rsidRPr="00DA515C" w:rsidRDefault="00DA515C" w:rsidP="00BC1E3A">
            <w:pPr>
              <w:rPr>
                <w:rFonts w:ascii="Arial" w:hAnsi="Arial" w:cs="Arial"/>
                <w:bCs/>
                <w:sz w:val="16"/>
                <w:szCs w:val="16"/>
              </w:rPr>
            </w:pPr>
            <w:r w:rsidRPr="00DA515C">
              <w:rPr>
                <w:rFonts w:ascii="Arial" w:hAnsi="Arial" w:cs="Arial"/>
                <w:bCs/>
                <w:sz w:val="16"/>
                <w:szCs w:val="16"/>
              </w:rPr>
              <w:t>US Navy Recruits (smokers)</w:t>
            </w:r>
          </w:p>
          <w:p w14:paraId="0EBB8797" w14:textId="10BAB9E3" w:rsidR="00DA515C" w:rsidRPr="00DA515C" w:rsidRDefault="00DA515C" w:rsidP="00BC1E3A">
            <w:pPr>
              <w:rPr>
                <w:rFonts w:ascii="Arial" w:hAnsi="Arial" w:cs="Arial"/>
                <w:sz w:val="16"/>
                <w:szCs w:val="16"/>
              </w:rPr>
            </w:pPr>
            <w:r w:rsidRPr="00DA515C">
              <w:rPr>
                <w:rFonts w:ascii="Arial" w:hAnsi="Arial" w:cs="Arial"/>
                <w:bCs/>
                <w:sz w:val="16"/>
                <w:szCs w:val="16"/>
              </w:rPr>
              <w:t>100% male</w:t>
            </w:r>
          </w:p>
        </w:tc>
        <w:tc>
          <w:tcPr>
            <w:tcW w:w="1417" w:type="dxa"/>
          </w:tcPr>
          <w:p w14:paraId="58EBE5AB" w14:textId="77777777" w:rsidR="00BC1E3A" w:rsidRPr="00DA515C" w:rsidRDefault="00BC1E3A" w:rsidP="00BC1E3A">
            <w:pPr>
              <w:rPr>
                <w:rFonts w:ascii="Arial" w:hAnsi="Arial" w:cs="Arial"/>
                <w:bCs/>
                <w:sz w:val="16"/>
                <w:szCs w:val="16"/>
              </w:rPr>
            </w:pPr>
            <w:r w:rsidRPr="00DA515C">
              <w:rPr>
                <w:rFonts w:ascii="Arial" w:hAnsi="Arial" w:cs="Arial"/>
                <w:bCs/>
                <w:sz w:val="16"/>
                <w:szCs w:val="16"/>
              </w:rPr>
              <w:t>24/7 prohibition of all tobacco products</w:t>
            </w:r>
          </w:p>
          <w:p w14:paraId="4B4D6254" w14:textId="6E65F81A" w:rsidR="00BC1E3A" w:rsidRPr="00DA515C" w:rsidRDefault="00BC1E3A" w:rsidP="00BC1E3A">
            <w:pPr>
              <w:rPr>
                <w:rFonts w:ascii="Arial" w:hAnsi="Arial" w:cs="Arial"/>
                <w:sz w:val="16"/>
                <w:szCs w:val="16"/>
              </w:rPr>
            </w:pPr>
          </w:p>
        </w:tc>
        <w:tc>
          <w:tcPr>
            <w:tcW w:w="1418" w:type="dxa"/>
          </w:tcPr>
          <w:p w14:paraId="72C20C60" w14:textId="73CDF3DC" w:rsidR="00BC1E3A" w:rsidRPr="00DA515C" w:rsidRDefault="0038169D" w:rsidP="00BC1E3A">
            <w:pPr>
              <w:rPr>
                <w:rFonts w:ascii="Arial" w:hAnsi="Arial" w:cs="Arial"/>
                <w:sz w:val="16"/>
                <w:szCs w:val="16"/>
              </w:rPr>
            </w:pPr>
            <w:r w:rsidRPr="00DA515C">
              <w:rPr>
                <w:rFonts w:ascii="Arial" w:hAnsi="Arial" w:cs="Arial"/>
                <w:sz w:val="16"/>
                <w:szCs w:val="16"/>
              </w:rPr>
              <w:t>No comparator</w:t>
            </w:r>
          </w:p>
        </w:tc>
        <w:tc>
          <w:tcPr>
            <w:tcW w:w="2214" w:type="dxa"/>
          </w:tcPr>
          <w:p w14:paraId="1961B33E" w14:textId="2F7CF211" w:rsidR="00BC1E3A" w:rsidRPr="00DA515C" w:rsidRDefault="00584A2F" w:rsidP="00BC1E3A">
            <w:pPr>
              <w:rPr>
                <w:rFonts w:ascii="Arial" w:hAnsi="Arial" w:cs="Arial"/>
                <w:sz w:val="16"/>
                <w:szCs w:val="16"/>
              </w:rPr>
            </w:pPr>
            <w:r w:rsidRPr="00DA515C">
              <w:rPr>
                <w:rFonts w:ascii="Arial" w:hAnsi="Arial" w:cs="Arial"/>
                <w:sz w:val="16"/>
                <w:szCs w:val="16"/>
              </w:rPr>
              <w:t>-Quit rate</w:t>
            </w:r>
          </w:p>
        </w:tc>
        <w:tc>
          <w:tcPr>
            <w:tcW w:w="1471" w:type="dxa"/>
          </w:tcPr>
          <w:p w14:paraId="54260872" w14:textId="4B9EC841" w:rsidR="00BC1E3A" w:rsidRPr="00DA515C" w:rsidRDefault="0038169D" w:rsidP="00BC1E3A">
            <w:pPr>
              <w:rPr>
                <w:rFonts w:ascii="Arial" w:hAnsi="Arial" w:cs="Arial"/>
                <w:sz w:val="16"/>
                <w:szCs w:val="16"/>
              </w:rPr>
            </w:pPr>
            <w:r w:rsidRPr="00DA515C">
              <w:rPr>
                <w:rFonts w:ascii="Arial" w:hAnsi="Arial" w:cs="Arial"/>
                <w:sz w:val="16"/>
                <w:szCs w:val="16"/>
              </w:rPr>
              <w:t>No</w:t>
            </w:r>
          </w:p>
        </w:tc>
        <w:tc>
          <w:tcPr>
            <w:tcW w:w="1481" w:type="dxa"/>
          </w:tcPr>
          <w:p w14:paraId="521EDCB9" w14:textId="56288D15" w:rsidR="00BC1E3A" w:rsidRPr="00DA515C" w:rsidRDefault="0038169D" w:rsidP="00BC1E3A">
            <w:pPr>
              <w:rPr>
                <w:rFonts w:ascii="Arial" w:hAnsi="Arial" w:cs="Arial"/>
                <w:sz w:val="16"/>
                <w:szCs w:val="16"/>
              </w:rPr>
            </w:pPr>
            <w:r w:rsidRPr="00DA515C">
              <w:rPr>
                <w:rFonts w:ascii="Arial" w:hAnsi="Arial" w:cs="Arial"/>
                <w:sz w:val="16"/>
                <w:szCs w:val="16"/>
              </w:rPr>
              <w:t>3 US Navy Recruit Training Command sites, USA</w:t>
            </w:r>
          </w:p>
        </w:tc>
      </w:tr>
      <w:tr w:rsidR="0076327E" w14:paraId="39B7B33E" w14:textId="77777777" w:rsidTr="00445A05">
        <w:tc>
          <w:tcPr>
            <w:tcW w:w="1271" w:type="dxa"/>
          </w:tcPr>
          <w:p w14:paraId="4D10B78F" w14:textId="5AF5C833" w:rsidR="00DA515C" w:rsidRPr="00445A05" w:rsidRDefault="00BC1E3A" w:rsidP="00BC1E3A">
            <w:pPr>
              <w:rPr>
                <w:rFonts w:ascii="Arial" w:hAnsi="Arial" w:cs="Arial"/>
                <w:b/>
                <w:sz w:val="16"/>
                <w:szCs w:val="16"/>
              </w:rPr>
            </w:pPr>
            <w:r w:rsidRPr="00445A05">
              <w:rPr>
                <w:rFonts w:ascii="Arial" w:hAnsi="Arial" w:cs="Arial"/>
                <w:b/>
                <w:sz w:val="16"/>
                <w:szCs w:val="16"/>
              </w:rPr>
              <w:t>Patten et al. (1999)</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{"citationItems":[{"id":"ITEM-1","itemData":{"ISSN":"0740-5472","abstract":"The purpose of this study was to examine changes in smoking behavior and attitudes following treatment in the smoke-free Navy Alcohol Rehabilitation program (NARC) and to evaluate changes in staff attitudes toward the smoke-free policy. Consecutive patients (N = 404; 93.8% male) admitted to the NARC between February 1, 1993 and September 30, 1993 were studied, of whom 54.7% were current smokers. Measures included patient surveys administered repeatedly at admission and discharge and at 12 months following the 4-week treatment program. The staff were also administered a survey 2 months before (N = 86) and 6 months after (N = 104) policy implementation. Results indicate that alcohol treatment in a smoke-free environment did not markedly affect the smoking status of patients; the proportion of current smokers at discharge was 54.7%. Significant reductions in cigarettes smoked per day (p &lt; .001) were observed among patients from admission to discharge. However, no statistically significant change in readiness to consider smoking cessation scores was detected. Results indicated no significant change in patient smoking status at 12-month follow-up, although the survey response rate was low (35.1%; N = 142). Six months following implementation of the smoke-free policy, 84.6% of staff indicated that the NARC should remain smoke-free and 84.6% recommended that other alcohol and drug treatment facilities be smoke-free.","author":[{"dropping-particle":"","family":"Patten","given":"C A","non-dropping-particle":"","parse-names":false,"suffix":""},{"dropping-particle":"","family":"Martin","given":"J E","non-dropping-particle":"","parse-names":false,"suffix":""},{"dropping-particle":"","family":"Hofstetter","given":"C R","non-dropping-particle":"","parse-names":false,"suffix":""},{"dropping-particle":"","family":"Brown","given":"S A","non-dropping-particle":"","parse-names":false,"suffix":""},{"dropping-particle":"","family":"Kim","given":"N","non-dropping-particle":"","parse-names":false,"suffix":""},{"dropping-particle":"","family":"Williams","given":"C","non-dropping-particle":"","parse-names":false,"suffix":""}],"container-title":"Journal of substance abuse treatment","id":"ITEM-1","issue":"1","issued":{"date-parts":[["1999"]]},"page":"61-69","publisher-place":"United States","title":"Smoking cessation following treatment in a smoke-free Navy Alcohol Rehabilitation program.","type":"article-journal","volume":"16"},"uris":["http://www.mendeley.com/documents/?uuid=5d289ec5-d56e-46be-9458-387c905b1f99"]}],"mendeley":{"formattedCitation":"(38)","plainTextFormattedCitation":"(38)","previouslyFormattedCitation":"(38)"},"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39</w:t>
            </w:r>
            <w:r w:rsidR="00026378" w:rsidRPr="00026378">
              <w:rPr>
                <w:rFonts w:ascii="Arial" w:hAnsi="Arial" w:cs="Arial"/>
                <w:noProof/>
                <w:sz w:val="16"/>
                <w:szCs w:val="16"/>
              </w:rPr>
              <w:t>)</w:t>
            </w:r>
            <w:r w:rsidR="0076327E">
              <w:rPr>
                <w:rFonts w:ascii="Arial" w:hAnsi="Arial" w:cs="Arial"/>
                <w:b/>
                <w:sz w:val="16"/>
                <w:szCs w:val="16"/>
              </w:rPr>
              <w:fldChar w:fldCharType="end"/>
            </w:r>
          </w:p>
          <w:p w14:paraId="6589BDED" w14:textId="4010516E" w:rsidR="00BC1E3A" w:rsidRPr="00DA515C" w:rsidRDefault="00BC1E3A" w:rsidP="00BC1E3A">
            <w:pPr>
              <w:rPr>
                <w:rFonts w:ascii="Arial" w:hAnsi="Arial" w:cs="Arial"/>
                <w:sz w:val="16"/>
                <w:szCs w:val="16"/>
              </w:rPr>
            </w:pPr>
            <w:r w:rsidRPr="00DA515C">
              <w:rPr>
                <w:rFonts w:ascii="Arial" w:hAnsi="Arial" w:cs="Arial"/>
                <w:sz w:val="16"/>
                <w:szCs w:val="16"/>
              </w:rPr>
              <w:t>UBA</w:t>
            </w:r>
          </w:p>
        </w:tc>
        <w:tc>
          <w:tcPr>
            <w:tcW w:w="2552" w:type="dxa"/>
          </w:tcPr>
          <w:p w14:paraId="704816AB" w14:textId="44BAA2FA" w:rsidR="00BC1E3A" w:rsidRPr="00445A05" w:rsidRDefault="00445A05" w:rsidP="00BC1E3A">
            <w:pPr>
              <w:rPr>
                <w:rFonts w:ascii="Arial" w:hAnsi="Arial" w:cs="Arial"/>
                <w:sz w:val="16"/>
                <w:szCs w:val="16"/>
              </w:rPr>
            </w:pPr>
            <w:r w:rsidRPr="00445A05">
              <w:rPr>
                <w:rFonts w:ascii="Arial" w:hAnsi="Arial" w:cs="Arial"/>
                <w:sz w:val="16"/>
                <w:szCs w:val="16"/>
              </w:rPr>
              <w:t>Examine changes in smoking behavio</w:t>
            </w:r>
            <w:r w:rsidR="00996BE3">
              <w:rPr>
                <w:rFonts w:ascii="Arial" w:hAnsi="Arial" w:cs="Arial"/>
                <w:sz w:val="16"/>
                <w:szCs w:val="16"/>
              </w:rPr>
              <w:t>u</w:t>
            </w:r>
            <w:r w:rsidRPr="00445A05">
              <w:rPr>
                <w:rFonts w:ascii="Arial" w:hAnsi="Arial" w:cs="Arial"/>
                <w:sz w:val="16"/>
                <w:szCs w:val="16"/>
              </w:rPr>
              <w:t>r following treatment in the smoke-free Navy Alcohol Rehabilitation</w:t>
            </w:r>
          </w:p>
        </w:tc>
        <w:tc>
          <w:tcPr>
            <w:tcW w:w="2126" w:type="dxa"/>
          </w:tcPr>
          <w:p w14:paraId="49DD6F7E" w14:textId="17FCA605" w:rsidR="00DA515C" w:rsidRPr="00DA515C" w:rsidRDefault="00DA515C" w:rsidP="00BC1E3A">
            <w:pPr>
              <w:rPr>
                <w:rFonts w:ascii="Arial" w:hAnsi="Arial" w:cs="Arial"/>
                <w:bCs/>
                <w:sz w:val="16"/>
                <w:szCs w:val="16"/>
              </w:rPr>
            </w:pPr>
            <w:r w:rsidRPr="00DA515C">
              <w:rPr>
                <w:rFonts w:ascii="Arial" w:hAnsi="Arial" w:cs="Arial"/>
                <w:bCs/>
                <w:sz w:val="16"/>
                <w:szCs w:val="16"/>
              </w:rPr>
              <w:t>n=404</w:t>
            </w:r>
          </w:p>
          <w:p w14:paraId="55E456E2" w14:textId="5125A971" w:rsidR="00BC1E3A" w:rsidRPr="00DA515C" w:rsidRDefault="00DA515C" w:rsidP="00BC1E3A">
            <w:pPr>
              <w:rPr>
                <w:rFonts w:ascii="Arial" w:hAnsi="Arial" w:cs="Arial"/>
                <w:bCs/>
                <w:sz w:val="16"/>
                <w:szCs w:val="16"/>
              </w:rPr>
            </w:pPr>
            <w:r>
              <w:rPr>
                <w:rFonts w:ascii="Arial" w:hAnsi="Arial" w:cs="Arial"/>
                <w:bCs/>
                <w:sz w:val="16"/>
                <w:szCs w:val="16"/>
              </w:rPr>
              <w:t>Military p</w:t>
            </w:r>
            <w:r w:rsidRPr="00DA515C">
              <w:rPr>
                <w:rFonts w:ascii="Arial" w:hAnsi="Arial" w:cs="Arial"/>
                <w:bCs/>
                <w:sz w:val="16"/>
                <w:szCs w:val="16"/>
              </w:rPr>
              <w:t xml:space="preserve">atients </w:t>
            </w:r>
          </w:p>
          <w:p w14:paraId="33E5F232" w14:textId="77777777" w:rsidR="00DA515C" w:rsidRPr="00DA515C" w:rsidRDefault="00DA515C" w:rsidP="00DA515C">
            <w:pPr>
              <w:rPr>
                <w:rFonts w:ascii="Arial" w:hAnsi="Arial" w:cs="Arial"/>
                <w:bCs/>
                <w:sz w:val="16"/>
                <w:szCs w:val="16"/>
              </w:rPr>
            </w:pPr>
            <w:r w:rsidRPr="00DA515C">
              <w:rPr>
                <w:rFonts w:ascii="Arial" w:hAnsi="Arial" w:cs="Arial"/>
                <w:bCs/>
                <w:sz w:val="16"/>
                <w:szCs w:val="16"/>
              </w:rPr>
              <w:t>93.8% male</w:t>
            </w:r>
          </w:p>
          <w:p w14:paraId="189A9BB4" w14:textId="0603E591" w:rsidR="00DA515C" w:rsidRPr="00DA515C" w:rsidRDefault="00DA515C" w:rsidP="00BC1E3A">
            <w:pPr>
              <w:rPr>
                <w:rFonts w:ascii="Arial" w:hAnsi="Arial" w:cs="Arial"/>
                <w:bCs/>
                <w:sz w:val="16"/>
                <w:szCs w:val="16"/>
              </w:rPr>
            </w:pPr>
            <w:r w:rsidRPr="00DA515C">
              <w:rPr>
                <w:rFonts w:ascii="Arial" w:hAnsi="Arial" w:cs="Arial"/>
                <w:bCs/>
                <w:sz w:val="16"/>
                <w:szCs w:val="16"/>
              </w:rPr>
              <w:t>6.2% female</w:t>
            </w:r>
          </w:p>
        </w:tc>
        <w:tc>
          <w:tcPr>
            <w:tcW w:w="1417" w:type="dxa"/>
          </w:tcPr>
          <w:p w14:paraId="7C8FD1A0" w14:textId="4E135630" w:rsidR="00BC1E3A" w:rsidRPr="00DA515C" w:rsidRDefault="00BC1E3A" w:rsidP="00BC1E3A">
            <w:pPr>
              <w:rPr>
                <w:rFonts w:ascii="Arial" w:hAnsi="Arial" w:cs="Arial"/>
                <w:bCs/>
                <w:sz w:val="16"/>
                <w:szCs w:val="16"/>
              </w:rPr>
            </w:pPr>
            <w:r w:rsidRPr="00DA515C">
              <w:rPr>
                <w:rFonts w:ascii="Arial" w:hAnsi="Arial" w:cs="Arial"/>
                <w:bCs/>
                <w:sz w:val="16"/>
                <w:szCs w:val="16"/>
              </w:rPr>
              <w:t>Whole</w:t>
            </w:r>
            <w:r w:rsidR="00540FE2">
              <w:rPr>
                <w:rFonts w:ascii="Arial" w:hAnsi="Arial" w:cs="Arial"/>
                <w:bCs/>
                <w:sz w:val="16"/>
                <w:szCs w:val="16"/>
              </w:rPr>
              <w:t>-</w:t>
            </w:r>
            <w:r w:rsidRPr="00DA515C">
              <w:rPr>
                <w:rFonts w:ascii="Arial" w:hAnsi="Arial" w:cs="Arial"/>
                <w:bCs/>
                <w:sz w:val="16"/>
                <w:szCs w:val="16"/>
              </w:rPr>
              <w:t>site smoking ban</w:t>
            </w:r>
          </w:p>
          <w:p w14:paraId="5D9D161B" w14:textId="77777777" w:rsidR="00BC1E3A" w:rsidRPr="00DA515C" w:rsidRDefault="00BC1E3A" w:rsidP="00BC1E3A">
            <w:pPr>
              <w:rPr>
                <w:rFonts w:ascii="Arial" w:hAnsi="Arial" w:cs="Arial"/>
                <w:sz w:val="16"/>
                <w:szCs w:val="16"/>
              </w:rPr>
            </w:pPr>
          </w:p>
          <w:p w14:paraId="7E540C59" w14:textId="3469E5AE" w:rsidR="00BC1E3A" w:rsidRPr="00DA515C" w:rsidRDefault="00BC1E3A" w:rsidP="00BC1E3A">
            <w:pPr>
              <w:rPr>
                <w:rFonts w:ascii="Arial" w:hAnsi="Arial" w:cs="Arial"/>
                <w:sz w:val="16"/>
                <w:szCs w:val="16"/>
              </w:rPr>
            </w:pPr>
          </w:p>
        </w:tc>
        <w:tc>
          <w:tcPr>
            <w:tcW w:w="1418" w:type="dxa"/>
          </w:tcPr>
          <w:p w14:paraId="796AA8DE" w14:textId="3F1128DF" w:rsidR="00BC1E3A" w:rsidRPr="00DA515C" w:rsidRDefault="0038169D" w:rsidP="00BC1E3A">
            <w:pPr>
              <w:rPr>
                <w:rFonts w:ascii="Arial" w:hAnsi="Arial" w:cs="Arial"/>
                <w:sz w:val="16"/>
                <w:szCs w:val="16"/>
              </w:rPr>
            </w:pPr>
            <w:r w:rsidRPr="00DA515C">
              <w:rPr>
                <w:rFonts w:ascii="Arial" w:hAnsi="Arial" w:cs="Arial"/>
                <w:sz w:val="16"/>
                <w:szCs w:val="16"/>
              </w:rPr>
              <w:t>No comparator</w:t>
            </w:r>
          </w:p>
        </w:tc>
        <w:tc>
          <w:tcPr>
            <w:tcW w:w="2214" w:type="dxa"/>
          </w:tcPr>
          <w:p w14:paraId="6C1C20E1" w14:textId="7A2A13AF" w:rsidR="00584A2F" w:rsidRPr="00DA515C" w:rsidRDefault="00584A2F" w:rsidP="00584A2F">
            <w:pPr>
              <w:rPr>
                <w:rFonts w:ascii="Arial" w:hAnsi="Arial" w:cs="Arial"/>
                <w:bCs/>
                <w:sz w:val="16"/>
                <w:szCs w:val="16"/>
              </w:rPr>
            </w:pPr>
            <w:r w:rsidRPr="00DA515C">
              <w:rPr>
                <w:rFonts w:ascii="Arial" w:hAnsi="Arial" w:cs="Arial"/>
                <w:bCs/>
                <w:sz w:val="16"/>
                <w:szCs w:val="16"/>
              </w:rPr>
              <w:t>-Smoking initiation</w:t>
            </w:r>
          </w:p>
          <w:p w14:paraId="3B4227BF" w14:textId="4BE0BEBA" w:rsidR="00584A2F" w:rsidRPr="00DA515C" w:rsidRDefault="00584A2F" w:rsidP="00584A2F">
            <w:pPr>
              <w:rPr>
                <w:rFonts w:ascii="Arial" w:hAnsi="Arial" w:cs="Arial"/>
                <w:bCs/>
                <w:sz w:val="16"/>
                <w:szCs w:val="16"/>
              </w:rPr>
            </w:pPr>
            <w:r w:rsidRPr="00DA515C">
              <w:rPr>
                <w:rFonts w:ascii="Arial" w:hAnsi="Arial" w:cs="Arial"/>
                <w:bCs/>
                <w:sz w:val="16"/>
                <w:szCs w:val="16"/>
              </w:rPr>
              <w:t>-Prevalence</w:t>
            </w:r>
          </w:p>
          <w:p w14:paraId="0BDD3447" w14:textId="11BF2E4A" w:rsidR="00BC1E3A" w:rsidRPr="00DA515C" w:rsidRDefault="00584A2F" w:rsidP="00BC1E3A">
            <w:pPr>
              <w:rPr>
                <w:rFonts w:ascii="Arial" w:hAnsi="Arial" w:cs="Arial"/>
                <w:bCs/>
                <w:sz w:val="16"/>
                <w:szCs w:val="16"/>
              </w:rPr>
            </w:pPr>
            <w:r w:rsidRPr="00DA515C">
              <w:rPr>
                <w:rFonts w:ascii="Arial" w:hAnsi="Arial" w:cs="Arial"/>
                <w:bCs/>
                <w:sz w:val="16"/>
                <w:szCs w:val="16"/>
              </w:rPr>
              <w:t>-Quit rate</w:t>
            </w:r>
          </w:p>
        </w:tc>
        <w:tc>
          <w:tcPr>
            <w:tcW w:w="1471" w:type="dxa"/>
          </w:tcPr>
          <w:p w14:paraId="402B435C" w14:textId="1D2A2129" w:rsidR="00BC1E3A" w:rsidRPr="00DA515C" w:rsidRDefault="0038169D" w:rsidP="00BC1E3A">
            <w:pPr>
              <w:rPr>
                <w:rFonts w:ascii="Arial" w:hAnsi="Arial" w:cs="Arial"/>
                <w:sz w:val="16"/>
                <w:szCs w:val="16"/>
              </w:rPr>
            </w:pPr>
            <w:r w:rsidRPr="00DA515C">
              <w:rPr>
                <w:rFonts w:ascii="Arial" w:hAnsi="Arial" w:cs="Arial"/>
                <w:sz w:val="16"/>
                <w:szCs w:val="16"/>
              </w:rPr>
              <w:t>No</w:t>
            </w:r>
          </w:p>
        </w:tc>
        <w:tc>
          <w:tcPr>
            <w:tcW w:w="1481" w:type="dxa"/>
          </w:tcPr>
          <w:p w14:paraId="56C409C5" w14:textId="434072FB" w:rsidR="00BC1E3A" w:rsidRPr="00DA515C" w:rsidRDefault="0038169D" w:rsidP="00BC1E3A">
            <w:pPr>
              <w:rPr>
                <w:rFonts w:ascii="Arial" w:hAnsi="Arial" w:cs="Arial"/>
                <w:sz w:val="16"/>
                <w:szCs w:val="16"/>
              </w:rPr>
            </w:pPr>
            <w:r w:rsidRPr="00DA515C">
              <w:rPr>
                <w:rFonts w:ascii="Arial" w:hAnsi="Arial" w:cs="Arial"/>
                <w:bCs/>
                <w:sz w:val="16"/>
                <w:szCs w:val="16"/>
              </w:rPr>
              <w:t xml:space="preserve">US Navy Alcohol Rehabilitation </w:t>
            </w:r>
            <w:proofErr w:type="spellStart"/>
            <w:r w:rsidRPr="00DA515C">
              <w:rPr>
                <w:rFonts w:ascii="Arial" w:hAnsi="Arial" w:cs="Arial"/>
                <w:bCs/>
                <w:sz w:val="16"/>
                <w:szCs w:val="16"/>
              </w:rPr>
              <w:t>Center</w:t>
            </w:r>
            <w:proofErr w:type="spellEnd"/>
            <w:r w:rsidR="00DA515C" w:rsidRPr="00DA515C">
              <w:rPr>
                <w:rFonts w:ascii="Arial" w:hAnsi="Arial" w:cs="Arial"/>
                <w:bCs/>
                <w:sz w:val="16"/>
                <w:szCs w:val="16"/>
              </w:rPr>
              <w:t xml:space="preserve"> (NARC)</w:t>
            </w:r>
            <w:r w:rsidRPr="00DA515C">
              <w:rPr>
                <w:rFonts w:ascii="Arial" w:hAnsi="Arial" w:cs="Arial"/>
                <w:bCs/>
                <w:sz w:val="16"/>
                <w:szCs w:val="16"/>
              </w:rPr>
              <w:t>, USA</w:t>
            </w:r>
          </w:p>
        </w:tc>
      </w:tr>
      <w:tr w:rsidR="0076327E" w14:paraId="28DF8D17" w14:textId="77777777" w:rsidTr="00445A05">
        <w:tc>
          <w:tcPr>
            <w:tcW w:w="1271" w:type="dxa"/>
          </w:tcPr>
          <w:p w14:paraId="727FCD3B" w14:textId="1ACD3C8F" w:rsidR="00DA515C" w:rsidRPr="00445A05" w:rsidRDefault="00BC1E3A" w:rsidP="00BC1E3A">
            <w:pPr>
              <w:rPr>
                <w:rFonts w:ascii="Arial" w:hAnsi="Arial" w:cs="Arial"/>
                <w:b/>
                <w:sz w:val="16"/>
                <w:szCs w:val="16"/>
              </w:rPr>
            </w:pPr>
            <w:r w:rsidRPr="00445A05">
              <w:rPr>
                <w:rFonts w:ascii="Arial" w:hAnsi="Arial" w:cs="Arial"/>
                <w:b/>
                <w:sz w:val="16"/>
                <w:szCs w:val="16"/>
              </w:rPr>
              <w:t>Santo et al. (2017)</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{"citationItems":[{"id":"ITEM-1","itemData":{"DOI":"https://dx.doi.org/10.7205/MILMED-D-16-00153","ISSN":"1930-613X","abstract":"INTRODUCTION: Tobacco control is an ongoing concern for the U.S. Army. Although tobacco use is currently prohibited within all military hospitals and clinics, known as military treatment facilities (MTFs), no such facility had implemented a tobacco-free medical campus (TFMC) policy before 2012. This evaluation examined the effects of one Army installation's TFMC policy implementation at its medical facilities., MATERIALS AND METHODS: Online questionnaires were distributed to medical campus employees, including Active Duty Soldiers, civilians, and contractors, before policy implementation (N = 1,210) and 12 months following policy implementation (N = 1,147). Chi-square analyses, independent t tests, and logistic regression models were utilized to examine pretest/post-test changes in employees' secondhand smoke (SHS) exposure; tobacco use, motivation to quit, and cessation; and health outcomes. Twenty-three focus groups, interviews, and informal discussions with 65 employees and patients were conducted 13 months after initial policy implementation to capture both the intended and unintended policy effects., RESULTS: After controlling for demographic characteristics, the study found that employees had more than twice the odds of exposure to SHS in the workplace at baseline than at 12-month follow-up (odds ratio: 2.06, 95% confidence interval: 1.73-2.46, p &lt; 0.001). Employees also reported a lower prevalence of diagnosis with chronic bronchitis (p &lt; 0.05) at follow up compared to baseline. Although the mean number of sick days taken for respiratory illness decreased over time, results were not significant after controlling for demographic factors. No significant differences existed in tobacco-use prevalence or quit rates among tobacco users over time. Employees reported significantly higher levels of satisfaction with a TFMC policy than the original policy (p &lt; 0.001) though this finding was moderated by smoker status such that smokers reported lower levels of satisfaction with the policy over time. Qualitative findings revealed that the most common policy effect was that the policy caused smokers to change the location of where they used tobacco to off campus. Findings further revealed several unintended policy effects, including safety concerns and greater visibility of smokers in front of the MTF., CONCLUSION: The first Army MTF TFMC policy was associated with reported reductions in SHS exposure and improvements in some short-term health outcomes. The po…","author":[{"dropping-particle":"","family":"Santo","given":"Theresa J","non-dropping-particle":"","parse-names":false,"suffix":""},{"dropping-particle":"","family":"Ellis","given":"Shannon","non-dropping-particle":"","parse-names":false,"suffix":""},{"dropping-particle":"","family":"Rivera","given":"L Omar","non-dropping-particle":"","parse-names":false,"suffix":""},{"dropping-particle":"","family":"Vasquez","given":"Laura E","non-dropping-particle":"","parse-names":false,"suffix":""},{"dropping-particle":"","family":"Francis","given":"Molly M","non-dropping-particle":"","parse-names":false,"suffix":""},{"dropping-particle":"","family":"Jin","given":"Wana K","non-dropping-particle":"","parse-names":false,"suffix":""},{"dropping-particle":"","family":"McRae","given":"Kari A","non-dropping-particle":"","parse-names":false,"suffix":""},{"dropping-particle":"","family":"Place","given":"Ronald J","non-dropping-particle":"","parse-names":false,"suffix":""}],"container-title":"Military medicine","id":"ITEM-1","issue":"5","issued":{"date-parts":[["2017"]]},"page":"e1724-e1732","publisher-place":"England","title":"A Tobacco-Free Medical Campus Policy is Associated With Decreased Secondhand Smoke Exposure and Increased Satisfaction Among Military Medical Employees: Results of a Mixed-Methods Evaluation.","type":"article-journal","volume":"182"},"uris":["http://www.mendeley.com/documents/?uuid=be97ecdf-f6aa-4dc4-ba79-1575fca18983"]}],"mendeley":{"formattedCitation":"(39)","plainTextFormattedCitation":"(39)","previouslyFormattedCitation":"(39)"},"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40</w:t>
            </w:r>
            <w:r w:rsidR="00026378" w:rsidRPr="00026378">
              <w:rPr>
                <w:rFonts w:ascii="Arial" w:hAnsi="Arial" w:cs="Arial"/>
                <w:noProof/>
                <w:sz w:val="16"/>
                <w:szCs w:val="16"/>
              </w:rPr>
              <w:t>)</w:t>
            </w:r>
            <w:r w:rsidR="0076327E">
              <w:rPr>
                <w:rFonts w:ascii="Arial" w:hAnsi="Arial" w:cs="Arial"/>
                <w:b/>
                <w:sz w:val="16"/>
                <w:szCs w:val="16"/>
              </w:rPr>
              <w:fldChar w:fldCharType="end"/>
            </w:r>
          </w:p>
          <w:p w14:paraId="576421D8" w14:textId="155ED78C" w:rsidR="00BC1E3A" w:rsidRPr="00DA515C" w:rsidRDefault="00BC1E3A" w:rsidP="00BC1E3A">
            <w:pPr>
              <w:rPr>
                <w:rFonts w:ascii="Arial" w:hAnsi="Arial" w:cs="Arial"/>
                <w:sz w:val="16"/>
                <w:szCs w:val="16"/>
              </w:rPr>
            </w:pPr>
            <w:r w:rsidRPr="00DA515C">
              <w:rPr>
                <w:rFonts w:ascii="Arial" w:hAnsi="Arial" w:cs="Arial"/>
                <w:sz w:val="16"/>
                <w:szCs w:val="16"/>
              </w:rPr>
              <w:t>UBA</w:t>
            </w:r>
          </w:p>
        </w:tc>
        <w:tc>
          <w:tcPr>
            <w:tcW w:w="2552" w:type="dxa"/>
          </w:tcPr>
          <w:p w14:paraId="377350E2" w14:textId="42D5235B" w:rsidR="00BC1E3A" w:rsidRPr="00445A05" w:rsidRDefault="00445A05" w:rsidP="00BC1E3A">
            <w:pPr>
              <w:rPr>
                <w:rFonts w:ascii="Arial" w:hAnsi="Arial" w:cs="Arial"/>
                <w:sz w:val="16"/>
                <w:szCs w:val="16"/>
              </w:rPr>
            </w:pPr>
            <w:r w:rsidRPr="00445A05">
              <w:rPr>
                <w:rFonts w:ascii="Arial" w:hAnsi="Arial" w:cs="Arial"/>
                <w:sz w:val="16"/>
                <w:szCs w:val="16"/>
              </w:rPr>
              <w:t>Effect of smoke-free policy on: SHS exposure, tobacco use habits, cessation, health outcome, employee satisfaction with existing tobacco workplace policies, unintended policy effects</w:t>
            </w:r>
          </w:p>
        </w:tc>
        <w:tc>
          <w:tcPr>
            <w:tcW w:w="2126" w:type="dxa"/>
          </w:tcPr>
          <w:p w14:paraId="5B97AD24" w14:textId="679D864B" w:rsidR="00BC1E3A" w:rsidRPr="00DA515C" w:rsidRDefault="00DA515C" w:rsidP="00BC1E3A">
            <w:pPr>
              <w:rPr>
                <w:rFonts w:ascii="Arial" w:hAnsi="Arial" w:cs="Arial"/>
                <w:sz w:val="16"/>
                <w:szCs w:val="16"/>
              </w:rPr>
            </w:pPr>
            <w:r w:rsidRPr="00DA515C">
              <w:rPr>
                <w:rFonts w:ascii="Arial" w:hAnsi="Arial" w:cs="Arial"/>
                <w:sz w:val="16"/>
                <w:szCs w:val="16"/>
              </w:rPr>
              <w:t>n=1210</w:t>
            </w:r>
            <w:r>
              <w:rPr>
                <w:rFonts w:ascii="Arial" w:hAnsi="Arial" w:cs="Arial"/>
                <w:sz w:val="16"/>
                <w:szCs w:val="16"/>
              </w:rPr>
              <w:t>^</w:t>
            </w:r>
          </w:p>
          <w:p w14:paraId="4D10E7CC" w14:textId="2135E276" w:rsidR="00DA515C" w:rsidRPr="00DA515C" w:rsidRDefault="00DA515C" w:rsidP="00BC1E3A">
            <w:pPr>
              <w:rPr>
                <w:rFonts w:ascii="Arial" w:hAnsi="Arial" w:cs="Arial"/>
                <w:sz w:val="16"/>
                <w:szCs w:val="16"/>
              </w:rPr>
            </w:pPr>
            <w:r w:rsidRPr="00DA515C">
              <w:rPr>
                <w:rFonts w:ascii="Arial" w:hAnsi="Arial" w:cs="Arial"/>
                <w:sz w:val="16"/>
                <w:szCs w:val="16"/>
              </w:rPr>
              <w:t>n=1147</w:t>
            </w:r>
            <w:r>
              <w:rPr>
                <w:rFonts w:ascii="Arial" w:hAnsi="Arial" w:cs="Arial"/>
                <w:sz w:val="16"/>
                <w:szCs w:val="16"/>
              </w:rPr>
              <w:t>^</w:t>
            </w:r>
          </w:p>
          <w:p w14:paraId="1C9961BE" w14:textId="6E79C202" w:rsidR="00DA515C" w:rsidRPr="00DA515C" w:rsidRDefault="00DA515C" w:rsidP="00DA515C">
            <w:pPr>
              <w:rPr>
                <w:rFonts w:ascii="Arial" w:hAnsi="Arial" w:cs="Arial"/>
                <w:bCs/>
                <w:sz w:val="16"/>
                <w:szCs w:val="16"/>
              </w:rPr>
            </w:pPr>
            <w:r w:rsidRPr="00DA515C">
              <w:rPr>
                <w:rFonts w:ascii="Arial" w:hAnsi="Arial" w:cs="Arial"/>
                <w:bCs/>
                <w:sz w:val="16"/>
                <w:szCs w:val="16"/>
              </w:rPr>
              <w:t>US active-duty personnel, service civilians, contactors</w:t>
            </w:r>
          </w:p>
          <w:p w14:paraId="5014AA9B" w14:textId="2B3D7BF8" w:rsidR="00DA515C" w:rsidRPr="00DA515C" w:rsidRDefault="00DA515C" w:rsidP="00DA515C">
            <w:pPr>
              <w:rPr>
                <w:rFonts w:ascii="Arial" w:hAnsi="Arial" w:cs="Arial"/>
                <w:bCs/>
                <w:sz w:val="16"/>
                <w:szCs w:val="16"/>
              </w:rPr>
            </w:pPr>
            <w:r w:rsidRPr="00DA515C">
              <w:rPr>
                <w:rFonts w:ascii="Arial" w:hAnsi="Arial" w:cs="Arial"/>
                <w:bCs/>
                <w:sz w:val="16"/>
                <w:szCs w:val="16"/>
              </w:rPr>
              <w:t>64.7%/67.6% male</w:t>
            </w:r>
            <w:r>
              <w:rPr>
                <w:rFonts w:ascii="Arial" w:hAnsi="Arial" w:cs="Arial"/>
                <w:bCs/>
                <w:sz w:val="16"/>
                <w:szCs w:val="16"/>
              </w:rPr>
              <w:t>^</w:t>
            </w:r>
          </w:p>
          <w:p w14:paraId="5DF2B9C7" w14:textId="70C9AE49" w:rsidR="00DA515C" w:rsidRPr="00DA515C" w:rsidRDefault="00DA515C" w:rsidP="00BC1E3A">
            <w:pPr>
              <w:rPr>
                <w:rFonts w:ascii="Arial" w:hAnsi="Arial" w:cs="Arial"/>
                <w:sz w:val="16"/>
                <w:szCs w:val="16"/>
              </w:rPr>
            </w:pPr>
            <w:r w:rsidRPr="00DA515C">
              <w:rPr>
                <w:rFonts w:ascii="Arial" w:hAnsi="Arial" w:cs="Arial"/>
                <w:sz w:val="16"/>
                <w:szCs w:val="16"/>
              </w:rPr>
              <w:t>35.3%/32.4% female</w:t>
            </w:r>
            <w:r>
              <w:rPr>
                <w:rFonts w:ascii="Arial" w:hAnsi="Arial" w:cs="Arial"/>
                <w:sz w:val="16"/>
                <w:szCs w:val="16"/>
              </w:rPr>
              <w:t>^</w:t>
            </w:r>
          </w:p>
        </w:tc>
        <w:tc>
          <w:tcPr>
            <w:tcW w:w="1417" w:type="dxa"/>
          </w:tcPr>
          <w:p w14:paraId="6700DD97" w14:textId="29F2CBDA" w:rsidR="00BC1E3A" w:rsidRPr="00DA515C" w:rsidRDefault="00BC1E3A" w:rsidP="00BC1E3A">
            <w:pPr>
              <w:rPr>
                <w:rFonts w:ascii="Arial" w:hAnsi="Arial" w:cs="Arial"/>
                <w:bCs/>
                <w:sz w:val="16"/>
                <w:szCs w:val="16"/>
              </w:rPr>
            </w:pPr>
            <w:r w:rsidRPr="00DA515C">
              <w:rPr>
                <w:rFonts w:ascii="Arial" w:hAnsi="Arial" w:cs="Arial"/>
                <w:bCs/>
                <w:sz w:val="16"/>
                <w:szCs w:val="16"/>
              </w:rPr>
              <w:t>Whole</w:t>
            </w:r>
            <w:r w:rsidR="00540FE2">
              <w:rPr>
                <w:rFonts w:ascii="Arial" w:hAnsi="Arial" w:cs="Arial"/>
                <w:bCs/>
                <w:sz w:val="16"/>
                <w:szCs w:val="16"/>
              </w:rPr>
              <w:t>-</w:t>
            </w:r>
            <w:r w:rsidRPr="00DA515C">
              <w:rPr>
                <w:rFonts w:ascii="Arial" w:hAnsi="Arial" w:cs="Arial"/>
                <w:bCs/>
                <w:sz w:val="16"/>
                <w:szCs w:val="16"/>
              </w:rPr>
              <w:t>site smoking ban</w:t>
            </w:r>
          </w:p>
          <w:p w14:paraId="2037E9A7" w14:textId="77777777" w:rsidR="00BC1E3A" w:rsidRPr="00DA515C" w:rsidRDefault="00BC1E3A" w:rsidP="00BC1E3A">
            <w:pPr>
              <w:rPr>
                <w:rFonts w:ascii="Arial" w:hAnsi="Arial" w:cs="Arial"/>
                <w:sz w:val="16"/>
                <w:szCs w:val="16"/>
              </w:rPr>
            </w:pPr>
          </w:p>
          <w:p w14:paraId="43CDF2AA" w14:textId="7BFFD268" w:rsidR="00BC1E3A" w:rsidRPr="00DA515C" w:rsidRDefault="00BC1E3A" w:rsidP="00BC1E3A">
            <w:pPr>
              <w:rPr>
                <w:rFonts w:ascii="Arial" w:hAnsi="Arial" w:cs="Arial"/>
                <w:sz w:val="16"/>
                <w:szCs w:val="16"/>
              </w:rPr>
            </w:pPr>
          </w:p>
        </w:tc>
        <w:tc>
          <w:tcPr>
            <w:tcW w:w="1418" w:type="dxa"/>
          </w:tcPr>
          <w:p w14:paraId="4EE348C3" w14:textId="1059C6DC" w:rsidR="00BC1E3A" w:rsidRPr="00DA515C" w:rsidRDefault="0038169D" w:rsidP="00BC1E3A">
            <w:pPr>
              <w:rPr>
                <w:rFonts w:ascii="Arial" w:hAnsi="Arial" w:cs="Arial"/>
                <w:sz w:val="16"/>
                <w:szCs w:val="16"/>
              </w:rPr>
            </w:pPr>
            <w:r w:rsidRPr="00DA515C">
              <w:rPr>
                <w:rFonts w:ascii="Arial" w:hAnsi="Arial" w:cs="Arial"/>
                <w:sz w:val="16"/>
                <w:szCs w:val="16"/>
              </w:rPr>
              <w:t>No comparator</w:t>
            </w:r>
          </w:p>
        </w:tc>
        <w:tc>
          <w:tcPr>
            <w:tcW w:w="2214" w:type="dxa"/>
          </w:tcPr>
          <w:p w14:paraId="08FEF993" w14:textId="77777777" w:rsidR="0038169D" w:rsidRPr="00DA515C" w:rsidRDefault="00584A2F" w:rsidP="0038169D">
            <w:pPr>
              <w:rPr>
                <w:rFonts w:ascii="Arial" w:hAnsi="Arial" w:cs="Arial"/>
                <w:sz w:val="16"/>
                <w:szCs w:val="16"/>
              </w:rPr>
            </w:pPr>
            <w:r w:rsidRPr="00DA515C">
              <w:rPr>
                <w:rFonts w:ascii="Arial" w:hAnsi="Arial" w:cs="Arial"/>
                <w:sz w:val="16"/>
                <w:szCs w:val="16"/>
              </w:rPr>
              <w:t>-SHS exposure</w:t>
            </w:r>
          </w:p>
          <w:p w14:paraId="30298C67" w14:textId="5FDAE79A" w:rsidR="0038169D" w:rsidRPr="00DA515C" w:rsidRDefault="0038169D" w:rsidP="0038169D">
            <w:pPr>
              <w:rPr>
                <w:rFonts w:ascii="Arial" w:hAnsi="Arial" w:cs="Arial"/>
                <w:sz w:val="16"/>
                <w:szCs w:val="16"/>
              </w:rPr>
            </w:pPr>
            <w:r w:rsidRPr="00DA515C">
              <w:rPr>
                <w:rFonts w:ascii="Arial" w:hAnsi="Arial" w:cs="Arial"/>
                <w:sz w:val="16"/>
                <w:szCs w:val="16"/>
              </w:rPr>
              <w:t>-Tobacco product consumption</w:t>
            </w:r>
          </w:p>
          <w:p w14:paraId="6BF3E36C" w14:textId="7F5A9D09" w:rsidR="0038169D" w:rsidRPr="00DA515C" w:rsidRDefault="0038169D" w:rsidP="0038169D">
            <w:pPr>
              <w:rPr>
                <w:rFonts w:ascii="Arial" w:hAnsi="Arial" w:cs="Arial"/>
                <w:sz w:val="16"/>
                <w:szCs w:val="16"/>
              </w:rPr>
            </w:pPr>
            <w:r w:rsidRPr="00DA515C">
              <w:rPr>
                <w:rFonts w:ascii="Arial" w:hAnsi="Arial" w:cs="Arial"/>
                <w:sz w:val="16"/>
                <w:szCs w:val="16"/>
              </w:rPr>
              <w:t>-Prevalence</w:t>
            </w:r>
          </w:p>
          <w:p w14:paraId="52476804" w14:textId="41601941" w:rsidR="0038169D" w:rsidRPr="00DA515C" w:rsidRDefault="0038169D" w:rsidP="0038169D">
            <w:pPr>
              <w:rPr>
                <w:rFonts w:ascii="Arial" w:hAnsi="Arial" w:cs="Arial"/>
                <w:sz w:val="16"/>
                <w:szCs w:val="16"/>
              </w:rPr>
            </w:pPr>
            <w:r w:rsidRPr="00DA515C">
              <w:rPr>
                <w:rFonts w:ascii="Arial" w:hAnsi="Arial" w:cs="Arial"/>
                <w:sz w:val="16"/>
                <w:szCs w:val="16"/>
              </w:rPr>
              <w:t>-Quit rate</w:t>
            </w:r>
          </w:p>
          <w:p w14:paraId="006B34FD" w14:textId="7780580F" w:rsidR="00584A2F" w:rsidRPr="00DA515C" w:rsidRDefault="0038169D" w:rsidP="00BC1E3A">
            <w:pPr>
              <w:rPr>
                <w:rFonts w:ascii="Arial" w:hAnsi="Arial" w:cs="Arial"/>
                <w:sz w:val="16"/>
                <w:szCs w:val="16"/>
              </w:rPr>
            </w:pPr>
            <w:r w:rsidRPr="00DA515C">
              <w:rPr>
                <w:rFonts w:ascii="Arial" w:hAnsi="Arial" w:cs="Arial"/>
                <w:sz w:val="16"/>
                <w:szCs w:val="16"/>
              </w:rPr>
              <w:t xml:space="preserve">-Days of work lost </w:t>
            </w:r>
          </w:p>
        </w:tc>
        <w:tc>
          <w:tcPr>
            <w:tcW w:w="1471" w:type="dxa"/>
          </w:tcPr>
          <w:p w14:paraId="2BDC80B7" w14:textId="5FCD08A5" w:rsidR="00BC1E3A" w:rsidRPr="00DA515C" w:rsidRDefault="0038169D" w:rsidP="00BC1E3A">
            <w:pPr>
              <w:rPr>
                <w:rFonts w:ascii="Arial" w:hAnsi="Arial" w:cs="Arial"/>
                <w:sz w:val="16"/>
                <w:szCs w:val="16"/>
              </w:rPr>
            </w:pPr>
            <w:r w:rsidRPr="00DA515C">
              <w:rPr>
                <w:rFonts w:ascii="Arial" w:hAnsi="Arial" w:cs="Arial"/>
                <w:sz w:val="16"/>
                <w:szCs w:val="16"/>
              </w:rPr>
              <w:t>No</w:t>
            </w:r>
          </w:p>
        </w:tc>
        <w:tc>
          <w:tcPr>
            <w:tcW w:w="1481" w:type="dxa"/>
          </w:tcPr>
          <w:p w14:paraId="4542A5CD" w14:textId="7B0E1069" w:rsidR="00BC1E3A" w:rsidRPr="00DA515C" w:rsidRDefault="0038169D" w:rsidP="00BC1E3A">
            <w:pPr>
              <w:rPr>
                <w:rFonts w:ascii="Arial" w:hAnsi="Arial" w:cs="Arial"/>
                <w:sz w:val="16"/>
                <w:szCs w:val="16"/>
              </w:rPr>
            </w:pPr>
            <w:r w:rsidRPr="00DA515C">
              <w:rPr>
                <w:rFonts w:ascii="Arial" w:hAnsi="Arial" w:cs="Arial"/>
                <w:bCs/>
                <w:sz w:val="16"/>
                <w:szCs w:val="16"/>
              </w:rPr>
              <w:t>US Army Medical Campus,  USA</w:t>
            </w:r>
          </w:p>
        </w:tc>
      </w:tr>
      <w:tr w:rsidR="0076327E" w14:paraId="4BA71340" w14:textId="77777777" w:rsidTr="00445A05">
        <w:tc>
          <w:tcPr>
            <w:tcW w:w="1271" w:type="dxa"/>
          </w:tcPr>
          <w:p w14:paraId="5F45A1DC" w14:textId="10E524CB" w:rsidR="00DA515C" w:rsidRPr="00445A05" w:rsidRDefault="00BC1E3A" w:rsidP="00BC1E3A">
            <w:pPr>
              <w:rPr>
                <w:rFonts w:ascii="Arial" w:hAnsi="Arial" w:cs="Arial"/>
                <w:b/>
                <w:sz w:val="16"/>
                <w:szCs w:val="16"/>
              </w:rPr>
            </w:pPr>
            <w:r w:rsidRPr="00445A05">
              <w:rPr>
                <w:rFonts w:ascii="Arial" w:hAnsi="Arial" w:cs="Arial"/>
                <w:b/>
                <w:sz w:val="16"/>
                <w:szCs w:val="16"/>
              </w:rPr>
              <w:t>Williams et al. (1996)</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{"citationItems":[{"id":"ITEM-1","itemData":{"abstract":"To support the goal of a tobacco-free Air Force, a longitudinal study of 3,531 first-term airmen was conducted during basic military training (BMT) at Lackland Air Force Base, Texas. Tobacco use is currently prohibited during the 6-week period of BMT. Three self-reported surveys to determine tobacco use prevalence and behaviors were administered at the beginning, end, and 90 days post-BMT. Results indicate that 36% of men and 29% of women used some form of tobacco prior to BMT. Within 90 days after completing BMT, 74% of matched males and females resumed tobacco use and 6% of matched males and females initiated tobacco use. Regression analysis found that several survey questions could predict 85%of tobacco use and 88% of non-tobacco use after BMT. We conclude that tobacco prohibition during BMT has a small, beneficial effect on post-BMTtobacco use. Further efforts, however, are needed to meet the goal of a tobacco-free Air Force.","author":[{"dropping-particle":"","family":"Williams","given":"Larry","non-dropping-particle":"","parse-names":false,"suffix":""},{"dropping-particle":"","family":"Usn","given":"DC","non-dropping-particle":"","parse-names":false,"suffix":""},{"dropping-particle":"","family":"Fiedler","given":"Edna","non-dropping-particle":"","parse-names":false,"suffix":""}],"container-title":"MILITARY MEDICINE","id":"ITEM-1","issued":{"date-parts":[["1996"]]},"number-of-pages":"318","title":"Prevalence of Tobacco Use among First-Term Air Force Personnel before and after Basic Military Training","type":"report","volume":"161"},"uris":["http://www.mendeley.com/documents/?uuid=23eb5654-955d-4048-be70-a55d0037619d"]}],"mendeley":{"formattedCitation":"(40)","plainTextFormattedCitation":"(40)","previouslyFormattedCitation":"(40)"},"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41</w:t>
            </w:r>
            <w:r w:rsidR="00026378" w:rsidRPr="00026378">
              <w:rPr>
                <w:rFonts w:ascii="Arial" w:hAnsi="Arial" w:cs="Arial"/>
                <w:noProof/>
                <w:sz w:val="16"/>
                <w:szCs w:val="16"/>
              </w:rPr>
              <w:t>)</w:t>
            </w:r>
            <w:r w:rsidR="0076327E">
              <w:rPr>
                <w:rFonts w:ascii="Arial" w:hAnsi="Arial" w:cs="Arial"/>
                <w:b/>
                <w:sz w:val="16"/>
                <w:szCs w:val="16"/>
              </w:rPr>
              <w:fldChar w:fldCharType="end"/>
            </w:r>
          </w:p>
          <w:p w14:paraId="233484D2" w14:textId="2BF13331" w:rsidR="00BC1E3A" w:rsidRPr="00DA515C" w:rsidRDefault="00BC1E3A" w:rsidP="00BC1E3A">
            <w:pPr>
              <w:rPr>
                <w:rFonts w:ascii="Arial" w:hAnsi="Arial" w:cs="Arial"/>
                <w:sz w:val="16"/>
                <w:szCs w:val="16"/>
              </w:rPr>
            </w:pPr>
            <w:r w:rsidRPr="00DA515C">
              <w:rPr>
                <w:rFonts w:ascii="Arial" w:hAnsi="Arial" w:cs="Arial"/>
                <w:sz w:val="16"/>
                <w:szCs w:val="16"/>
              </w:rPr>
              <w:t>UBA</w:t>
            </w:r>
          </w:p>
        </w:tc>
        <w:tc>
          <w:tcPr>
            <w:tcW w:w="2552" w:type="dxa"/>
          </w:tcPr>
          <w:p w14:paraId="30D8417C" w14:textId="5BF93B50" w:rsidR="00BC1E3A" w:rsidRPr="0076327E" w:rsidRDefault="0076327E" w:rsidP="00BC1E3A">
            <w:pPr>
              <w:rPr>
                <w:rFonts w:ascii="Arial" w:hAnsi="Arial" w:cs="Arial"/>
                <w:sz w:val="16"/>
                <w:szCs w:val="16"/>
              </w:rPr>
            </w:pPr>
            <w:r w:rsidRPr="0076327E">
              <w:rPr>
                <w:rFonts w:ascii="Arial" w:hAnsi="Arial" w:cs="Arial"/>
                <w:sz w:val="16"/>
                <w:szCs w:val="16"/>
              </w:rPr>
              <w:t>Establish baseline prevalence of smoked and smokeless tobacco use prior basic training and 90 days following completion</w:t>
            </w:r>
          </w:p>
        </w:tc>
        <w:tc>
          <w:tcPr>
            <w:tcW w:w="2126" w:type="dxa"/>
          </w:tcPr>
          <w:p w14:paraId="13AED15C" w14:textId="553312A2" w:rsidR="00DA515C" w:rsidRPr="00DA515C" w:rsidRDefault="00DA515C" w:rsidP="00BC1E3A">
            <w:pPr>
              <w:rPr>
                <w:rFonts w:ascii="Arial" w:hAnsi="Arial" w:cs="Arial"/>
                <w:sz w:val="16"/>
                <w:szCs w:val="16"/>
              </w:rPr>
            </w:pPr>
            <w:r w:rsidRPr="00DA515C">
              <w:rPr>
                <w:rFonts w:ascii="Arial" w:hAnsi="Arial" w:cs="Arial"/>
                <w:sz w:val="16"/>
                <w:szCs w:val="16"/>
              </w:rPr>
              <w:t>n=3531</w:t>
            </w:r>
          </w:p>
          <w:p w14:paraId="7B64F098" w14:textId="77777777" w:rsidR="00BC1E3A" w:rsidRPr="00DA515C" w:rsidRDefault="00DA515C" w:rsidP="00BC1E3A">
            <w:pPr>
              <w:rPr>
                <w:rFonts w:ascii="Arial" w:hAnsi="Arial" w:cs="Arial"/>
                <w:sz w:val="16"/>
                <w:szCs w:val="16"/>
              </w:rPr>
            </w:pPr>
            <w:r w:rsidRPr="00DA515C">
              <w:rPr>
                <w:rFonts w:ascii="Arial" w:hAnsi="Arial" w:cs="Arial"/>
                <w:sz w:val="16"/>
                <w:szCs w:val="16"/>
              </w:rPr>
              <w:t>US Air Force recruits</w:t>
            </w:r>
          </w:p>
          <w:p w14:paraId="6A6EED27" w14:textId="77777777" w:rsidR="00DA515C" w:rsidRPr="00DA515C" w:rsidRDefault="00DA515C" w:rsidP="00DA515C">
            <w:pPr>
              <w:rPr>
                <w:rFonts w:ascii="Arial" w:hAnsi="Arial" w:cs="Arial"/>
                <w:bCs/>
                <w:sz w:val="16"/>
                <w:szCs w:val="16"/>
              </w:rPr>
            </w:pPr>
            <w:r w:rsidRPr="00DA515C">
              <w:rPr>
                <w:rFonts w:ascii="Arial" w:hAnsi="Arial" w:cs="Arial"/>
                <w:bCs/>
                <w:sz w:val="16"/>
                <w:szCs w:val="16"/>
              </w:rPr>
              <w:t>61% male</w:t>
            </w:r>
          </w:p>
          <w:p w14:paraId="7354F9AD" w14:textId="058AA165" w:rsidR="00DA515C" w:rsidRPr="00DA515C" w:rsidRDefault="00DA515C" w:rsidP="00BC1E3A">
            <w:pPr>
              <w:rPr>
                <w:rFonts w:ascii="Arial" w:hAnsi="Arial" w:cs="Arial"/>
                <w:bCs/>
                <w:sz w:val="16"/>
                <w:szCs w:val="16"/>
              </w:rPr>
            </w:pPr>
            <w:r w:rsidRPr="00DA515C">
              <w:rPr>
                <w:rFonts w:ascii="Arial" w:hAnsi="Arial" w:cs="Arial"/>
                <w:bCs/>
                <w:sz w:val="16"/>
                <w:szCs w:val="16"/>
              </w:rPr>
              <w:t>39% female</w:t>
            </w:r>
          </w:p>
        </w:tc>
        <w:tc>
          <w:tcPr>
            <w:tcW w:w="1417" w:type="dxa"/>
          </w:tcPr>
          <w:p w14:paraId="086DEBE8" w14:textId="77777777" w:rsidR="00BC1E3A" w:rsidRPr="00DA515C" w:rsidRDefault="00BC1E3A" w:rsidP="00BC1E3A">
            <w:pPr>
              <w:rPr>
                <w:rFonts w:ascii="Arial" w:hAnsi="Arial" w:cs="Arial"/>
                <w:bCs/>
                <w:sz w:val="16"/>
                <w:szCs w:val="16"/>
              </w:rPr>
            </w:pPr>
            <w:r w:rsidRPr="00DA515C">
              <w:rPr>
                <w:rFonts w:ascii="Arial" w:hAnsi="Arial" w:cs="Arial"/>
                <w:bCs/>
                <w:sz w:val="16"/>
                <w:szCs w:val="16"/>
              </w:rPr>
              <w:t>24/7 prohibition of all tobacco products</w:t>
            </w:r>
          </w:p>
          <w:p w14:paraId="1DFB5491" w14:textId="0BE918ED" w:rsidR="00BC1E3A" w:rsidRPr="00DA515C" w:rsidRDefault="00BC1E3A" w:rsidP="00BC1E3A">
            <w:pPr>
              <w:rPr>
                <w:rFonts w:ascii="Arial" w:hAnsi="Arial" w:cs="Arial"/>
                <w:sz w:val="16"/>
                <w:szCs w:val="16"/>
              </w:rPr>
            </w:pPr>
          </w:p>
        </w:tc>
        <w:tc>
          <w:tcPr>
            <w:tcW w:w="1418" w:type="dxa"/>
          </w:tcPr>
          <w:p w14:paraId="4DE7F5BF" w14:textId="5F2EA336" w:rsidR="00BC1E3A" w:rsidRPr="00DA515C" w:rsidRDefault="0038169D" w:rsidP="00BC1E3A">
            <w:pPr>
              <w:rPr>
                <w:rFonts w:ascii="Arial" w:hAnsi="Arial" w:cs="Arial"/>
                <w:sz w:val="16"/>
                <w:szCs w:val="16"/>
              </w:rPr>
            </w:pPr>
            <w:r w:rsidRPr="00DA515C">
              <w:rPr>
                <w:rFonts w:ascii="Arial" w:hAnsi="Arial" w:cs="Arial"/>
                <w:sz w:val="16"/>
                <w:szCs w:val="16"/>
              </w:rPr>
              <w:t>No comparator</w:t>
            </w:r>
          </w:p>
        </w:tc>
        <w:tc>
          <w:tcPr>
            <w:tcW w:w="2214" w:type="dxa"/>
          </w:tcPr>
          <w:p w14:paraId="13DD062F" w14:textId="77777777" w:rsidR="00BC1E3A" w:rsidRPr="00DA515C" w:rsidRDefault="0038169D" w:rsidP="00BC1E3A">
            <w:pPr>
              <w:rPr>
                <w:rFonts w:ascii="Arial" w:hAnsi="Arial" w:cs="Arial"/>
                <w:sz w:val="16"/>
                <w:szCs w:val="16"/>
              </w:rPr>
            </w:pPr>
            <w:r w:rsidRPr="00DA515C">
              <w:rPr>
                <w:rFonts w:ascii="Arial" w:hAnsi="Arial" w:cs="Arial"/>
                <w:sz w:val="16"/>
                <w:szCs w:val="16"/>
              </w:rPr>
              <w:t>-Smoking initiation</w:t>
            </w:r>
          </w:p>
          <w:p w14:paraId="50733C2C" w14:textId="77777777" w:rsidR="0038169D" w:rsidRPr="00DA515C" w:rsidRDefault="0038169D" w:rsidP="00BC1E3A">
            <w:pPr>
              <w:rPr>
                <w:rFonts w:ascii="Arial" w:hAnsi="Arial" w:cs="Arial"/>
                <w:sz w:val="16"/>
                <w:szCs w:val="16"/>
              </w:rPr>
            </w:pPr>
            <w:r w:rsidRPr="00DA515C">
              <w:rPr>
                <w:rFonts w:ascii="Arial" w:hAnsi="Arial" w:cs="Arial"/>
                <w:sz w:val="16"/>
                <w:szCs w:val="16"/>
              </w:rPr>
              <w:t>-Prevalence</w:t>
            </w:r>
          </w:p>
          <w:p w14:paraId="56CB8DA2" w14:textId="22FE5F25" w:rsidR="0038169D" w:rsidRPr="00DA515C" w:rsidRDefault="0038169D" w:rsidP="00BC1E3A">
            <w:pPr>
              <w:rPr>
                <w:rFonts w:ascii="Arial" w:hAnsi="Arial" w:cs="Arial"/>
                <w:sz w:val="16"/>
                <w:szCs w:val="16"/>
              </w:rPr>
            </w:pPr>
            <w:r w:rsidRPr="00DA515C">
              <w:rPr>
                <w:rFonts w:ascii="Arial" w:hAnsi="Arial" w:cs="Arial"/>
                <w:sz w:val="16"/>
                <w:szCs w:val="16"/>
              </w:rPr>
              <w:t>-Quit rate</w:t>
            </w:r>
          </w:p>
        </w:tc>
        <w:tc>
          <w:tcPr>
            <w:tcW w:w="1471" w:type="dxa"/>
          </w:tcPr>
          <w:p w14:paraId="5A05533F" w14:textId="1A63FAE2" w:rsidR="00BC1E3A" w:rsidRPr="00DA515C" w:rsidRDefault="0038169D" w:rsidP="00BC1E3A">
            <w:pPr>
              <w:rPr>
                <w:rFonts w:ascii="Arial" w:hAnsi="Arial" w:cs="Arial"/>
                <w:sz w:val="16"/>
                <w:szCs w:val="16"/>
              </w:rPr>
            </w:pPr>
            <w:r w:rsidRPr="00DA515C">
              <w:rPr>
                <w:rFonts w:ascii="Arial" w:hAnsi="Arial" w:cs="Arial"/>
                <w:sz w:val="16"/>
                <w:szCs w:val="16"/>
              </w:rPr>
              <w:t>No</w:t>
            </w:r>
          </w:p>
        </w:tc>
        <w:tc>
          <w:tcPr>
            <w:tcW w:w="1481" w:type="dxa"/>
          </w:tcPr>
          <w:p w14:paraId="19577819" w14:textId="30F8F1B8" w:rsidR="00BC1E3A" w:rsidRPr="00DA515C" w:rsidRDefault="0038169D" w:rsidP="00BC1E3A">
            <w:pPr>
              <w:rPr>
                <w:rFonts w:ascii="Arial" w:hAnsi="Arial" w:cs="Arial"/>
                <w:b/>
                <w:bCs/>
                <w:sz w:val="16"/>
                <w:szCs w:val="16"/>
              </w:rPr>
            </w:pPr>
            <w:r w:rsidRPr="00DA515C">
              <w:rPr>
                <w:rFonts w:ascii="Arial" w:hAnsi="Arial" w:cs="Arial"/>
                <w:sz w:val="16"/>
                <w:szCs w:val="16"/>
              </w:rPr>
              <w:t>Lackland Air Force Base, San Antonio, Texas, USA</w:t>
            </w:r>
          </w:p>
        </w:tc>
      </w:tr>
      <w:tr w:rsidR="0076327E" w14:paraId="42F10BA6" w14:textId="77777777" w:rsidTr="00445A05">
        <w:tc>
          <w:tcPr>
            <w:tcW w:w="1271" w:type="dxa"/>
          </w:tcPr>
          <w:p w14:paraId="0A41BF5E" w14:textId="56507A38" w:rsidR="00BC1E3A" w:rsidRPr="00445A05" w:rsidRDefault="00BC1E3A" w:rsidP="00BC1E3A">
            <w:pPr>
              <w:rPr>
                <w:rFonts w:ascii="Arial" w:hAnsi="Arial" w:cs="Arial"/>
                <w:b/>
                <w:sz w:val="16"/>
                <w:szCs w:val="16"/>
              </w:rPr>
            </w:pPr>
            <w:r w:rsidRPr="00445A05">
              <w:rPr>
                <w:rFonts w:ascii="Arial" w:hAnsi="Arial" w:cs="Arial"/>
                <w:b/>
                <w:sz w:val="16"/>
                <w:szCs w:val="16"/>
              </w:rPr>
              <w:t>Woodruff</w:t>
            </w:r>
            <w:r w:rsidR="0076327E">
              <w:rPr>
                <w:rFonts w:ascii="Arial" w:hAnsi="Arial" w:cs="Arial"/>
                <w:b/>
                <w:sz w:val="16"/>
                <w:szCs w:val="16"/>
              </w:rPr>
              <w:t xml:space="preserve"> et al. </w:t>
            </w:r>
            <w:r w:rsidRPr="00445A05">
              <w:rPr>
                <w:rFonts w:ascii="Arial" w:hAnsi="Arial" w:cs="Arial"/>
                <w:b/>
                <w:sz w:val="16"/>
                <w:szCs w:val="16"/>
              </w:rPr>
              <w:t>(2000)</w:t>
            </w:r>
            <w:r w:rsidR="0076327E">
              <w:rPr>
                <w:rFonts w:ascii="Arial" w:hAnsi="Arial" w:cs="Arial"/>
                <w:b/>
                <w:sz w:val="16"/>
                <w:szCs w:val="16"/>
              </w:rPr>
              <w:fldChar w:fldCharType="begin" w:fldLock="1"/>
            </w:r>
            <w:r w:rsidR="00147646">
              <w:rPr>
                <w:rFonts w:ascii="Arial" w:hAnsi="Arial" w:cs="Arial"/>
                <w:b/>
                <w:sz w:val="16"/>
                <w:szCs w:val="16"/>
              </w:rPr>
              <w:instrText>ADDIN CSL_CITATION {"citationItems":[{"id":"ITEM-1","itemData":{"DOI":"10.1136/tc.9.1.40","ISSN":"09644563","abstract":"Objective - To examine the effect of a unique organisational smoking ban on female United States Navy recruits, a population with historically high smoking rates. Setting and design - Study participants were female recruits (n = 5503) entering the Navy recruit training command between March 1996 and March 1997 (12 consecutive months). Participants completed smoking surveys at entry to recruit training (baseline) and again at graduation from training after exposure to an eight week, 24 hour a day smoking ban. Effects of the ban on. baseline to graduation changes in perceptions of being a smoker were examined, and relapse rates among baseline ever smokers was assessed three months after leaving recruit training. Results - Among all recruits, 41.4% reported being smokers at entry (that is, reported any smoking in the 30 days before entering recruit training). As a result of the ban, there was a significant reduction (from about 41% to 25%, p &lt; 0.001) in the percentage of all women recruits who reported themselves as smokers, a much larger change than expected had no ban been in place. Relapse at the three month follow up varied according to the type of smoker at entry into the Navy, with rates ranging from 89% relapse among baseline daily smokers to 31% among baseline experimenters. Conclusions - Findings suggest that the ban provides some smokers who desire to quit with an external impetus and support to do so. However, high relapse rates indicate that more than an organisationally mandated smoking ban during recruit training is needed to help younger smokers, more regular smokers, and those who intend to continue smoking to quit after joining the Navy.","author":[{"dropping-particle":"","family":"Woodruff","given":"SI","non-dropping-particle":"","parse-names":false,"suffix":""},{"dropping-particle":"","family":"Conway","given":"TL","non-dropping-particle":"","parse-names":false,"suffix":""},{"dropping-particle":"","family":"Edwards","given":"CC","non-dropping-particle":"","parse-names":false,"suffix":""}],"container-title":"Tobacco Control","id":"ITEM-1","issue":"1","issued":{"date-parts":[["2000"]]},"page":"40-46","publisher":"BMJ Publishing Group","title":"Effect of an eight week smoking ban on women at US Navy recruit training command","type":"article-journal","volume":"9"},"uris":["http://www.mendeley.com/documents/?uuid=85b86a82-923d-41a2-91ba-1bd4ac4e1355"]}],"mendeley":{"formattedCitation":"(41)","plainTextFormattedCitation":"(41)","previouslyFormattedCitation":"(41)"},"properties":{"noteIndex":0},"schema":"https://github.com/citation-style-language/schema/raw/master/csl-citation.json"}</w:instrText>
            </w:r>
            <w:r w:rsidR="0076327E">
              <w:rPr>
                <w:rFonts w:ascii="Arial" w:hAnsi="Arial" w:cs="Arial"/>
                <w:b/>
                <w:sz w:val="16"/>
                <w:szCs w:val="16"/>
              </w:rPr>
              <w:fldChar w:fldCharType="separate"/>
            </w:r>
            <w:r w:rsidR="00026378" w:rsidRPr="00026378">
              <w:rPr>
                <w:rFonts w:ascii="Arial" w:hAnsi="Arial" w:cs="Arial"/>
                <w:noProof/>
                <w:sz w:val="16"/>
                <w:szCs w:val="16"/>
              </w:rPr>
              <w:t>(</w:t>
            </w:r>
            <w:r w:rsidR="00C671B2">
              <w:rPr>
                <w:rFonts w:ascii="Arial" w:hAnsi="Arial" w:cs="Arial"/>
                <w:noProof/>
                <w:sz w:val="16"/>
                <w:szCs w:val="16"/>
              </w:rPr>
              <w:t>42</w:t>
            </w:r>
            <w:r w:rsidR="00026378" w:rsidRPr="00026378">
              <w:rPr>
                <w:rFonts w:ascii="Arial" w:hAnsi="Arial" w:cs="Arial"/>
                <w:noProof/>
                <w:sz w:val="16"/>
                <w:szCs w:val="16"/>
              </w:rPr>
              <w:t>)</w:t>
            </w:r>
            <w:r w:rsidR="0076327E">
              <w:rPr>
                <w:rFonts w:ascii="Arial" w:hAnsi="Arial" w:cs="Arial"/>
                <w:b/>
                <w:sz w:val="16"/>
                <w:szCs w:val="16"/>
              </w:rPr>
              <w:fldChar w:fldCharType="end"/>
            </w:r>
          </w:p>
          <w:p w14:paraId="639A529E" w14:textId="0D5F6492" w:rsidR="00BC1E3A" w:rsidRPr="00DA515C" w:rsidRDefault="00BC1E3A" w:rsidP="00BC1E3A">
            <w:pPr>
              <w:rPr>
                <w:rFonts w:ascii="Arial" w:hAnsi="Arial" w:cs="Arial"/>
                <w:sz w:val="16"/>
                <w:szCs w:val="16"/>
              </w:rPr>
            </w:pPr>
            <w:r w:rsidRPr="00DA515C">
              <w:rPr>
                <w:rFonts w:ascii="Arial" w:hAnsi="Arial" w:cs="Arial"/>
                <w:sz w:val="16"/>
                <w:szCs w:val="16"/>
              </w:rPr>
              <w:t>UBA</w:t>
            </w:r>
          </w:p>
        </w:tc>
        <w:tc>
          <w:tcPr>
            <w:tcW w:w="2552" w:type="dxa"/>
          </w:tcPr>
          <w:p w14:paraId="32606578" w14:textId="083E0DDD" w:rsidR="00BC1E3A" w:rsidRPr="0076327E" w:rsidRDefault="0076327E" w:rsidP="00BC1E3A">
            <w:pPr>
              <w:rPr>
                <w:rFonts w:ascii="Arial" w:hAnsi="Arial" w:cs="Arial"/>
                <w:sz w:val="16"/>
                <w:szCs w:val="16"/>
              </w:rPr>
            </w:pPr>
            <w:r w:rsidRPr="0076327E">
              <w:rPr>
                <w:rFonts w:ascii="Arial" w:hAnsi="Arial" w:cs="Arial"/>
                <w:sz w:val="16"/>
                <w:szCs w:val="16"/>
              </w:rPr>
              <w:t>Examine the effect of a unique organisational smoking ban on female United States Navy recruits</w:t>
            </w:r>
          </w:p>
        </w:tc>
        <w:tc>
          <w:tcPr>
            <w:tcW w:w="2126" w:type="dxa"/>
          </w:tcPr>
          <w:p w14:paraId="30085B0B" w14:textId="77777777" w:rsidR="00BC1E3A" w:rsidRPr="00DA515C" w:rsidRDefault="00DA515C" w:rsidP="00BC1E3A">
            <w:pPr>
              <w:rPr>
                <w:rFonts w:ascii="Arial" w:hAnsi="Arial" w:cs="Arial"/>
                <w:sz w:val="16"/>
                <w:szCs w:val="16"/>
              </w:rPr>
            </w:pPr>
            <w:r w:rsidRPr="00DA515C">
              <w:rPr>
                <w:rFonts w:ascii="Arial" w:hAnsi="Arial" w:cs="Arial"/>
                <w:sz w:val="16"/>
                <w:szCs w:val="16"/>
              </w:rPr>
              <w:t>n=5503</w:t>
            </w:r>
          </w:p>
          <w:p w14:paraId="406AFEDE" w14:textId="77777777" w:rsidR="00DA515C" w:rsidRPr="00DA515C" w:rsidRDefault="00DA515C" w:rsidP="00BC1E3A">
            <w:pPr>
              <w:rPr>
                <w:rFonts w:ascii="Arial" w:hAnsi="Arial" w:cs="Arial"/>
                <w:sz w:val="16"/>
                <w:szCs w:val="16"/>
              </w:rPr>
            </w:pPr>
            <w:r w:rsidRPr="00DA515C">
              <w:rPr>
                <w:rFonts w:ascii="Arial" w:hAnsi="Arial" w:cs="Arial"/>
                <w:sz w:val="16"/>
                <w:szCs w:val="16"/>
              </w:rPr>
              <w:t>US Navy recruits</w:t>
            </w:r>
          </w:p>
          <w:p w14:paraId="37217FEA" w14:textId="2A5DB2B5" w:rsidR="00DA515C" w:rsidRPr="00DA515C" w:rsidRDefault="00DA515C" w:rsidP="00BC1E3A">
            <w:pPr>
              <w:rPr>
                <w:rFonts w:ascii="Arial" w:hAnsi="Arial" w:cs="Arial"/>
                <w:sz w:val="16"/>
                <w:szCs w:val="16"/>
              </w:rPr>
            </w:pPr>
            <w:r w:rsidRPr="00DA515C">
              <w:rPr>
                <w:rFonts w:ascii="Arial" w:hAnsi="Arial" w:cs="Arial"/>
                <w:sz w:val="16"/>
                <w:szCs w:val="16"/>
              </w:rPr>
              <w:t>100% female</w:t>
            </w:r>
          </w:p>
        </w:tc>
        <w:tc>
          <w:tcPr>
            <w:tcW w:w="1417" w:type="dxa"/>
          </w:tcPr>
          <w:p w14:paraId="1B350D40" w14:textId="27F93145" w:rsidR="00BC1E3A" w:rsidRPr="00DA515C" w:rsidRDefault="00BC1E3A" w:rsidP="00BC1E3A">
            <w:pPr>
              <w:rPr>
                <w:rFonts w:ascii="Arial" w:hAnsi="Arial" w:cs="Arial"/>
                <w:sz w:val="16"/>
                <w:szCs w:val="16"/>
              </w:rPr>
            </w:pPr>
            <w:r w:rsidRPr="00DA515C">
              <w:rPr>
                <w:rFonts w:ascii="Arial" w:hAnsi="Arial" w:cs="Arial"/>
                <w:bCs/>
                <w:sz w:val="16"/>
                <w:szCs w:val="16"/>
              </w:rPr>
              <w:t>24/7 prohibition of all tobacco products</w:t>
            </w:r>
          </w:p>
        </w:tc>
        <w:tc>
          <w:tcPr>
            <w:tcW w:w="1418" w:type="dxa"/>
          </w:tcPr>
          <w:p w14:paraId="5D4A1089" w14:textId="1B383ECA" w:rsidR="00BC1E3A" w:rsidRPr="00DA515C" w:rsidRDefault="0038169D" w:rsidP="00BC1E3A">
            <w:pPr>
              <w:rPr>
                <w:rFonts w:ascii="Arial" w:hAnsi="Arial" w:cs="Arial"/>
                <w:sz w:val="16"/>
                <w:szCs w:val="16"/>
              </w:rPr>
            </w:pPr>
            <w:r w:rsidRPr="00DA515C">
              <w:rPr>
                <w:rFonts w:ascii="Arial" w:hAnsi="Arial" w:cs="Arial"/>
                <w:sz w:val="16"/>
                <w:szCs w:val="16"/>
              </w:rPr>
              <w:t>No comparator</w:t>
            </w:r>
          </w:p>
        </w:tc>
        <w:tc>
          <w:tcPr>
            <w:tcW w:w="2214" w:type="dxa"/>
          </w:tcPr>
          <w:p w14:paraId="664E4561" w14:textId="77777777" w:rsidR="00BC1E3A" w:rsidRPr="00DA515C" w:rsidRDefault="0038169D" w:rsidP="00BC1E3A">
            <w:pPr>
              <w:rPr>
                <w:rFonts w:ascii="Arial" w:hAnsi="Arial" w:cs="Arial"/>
                <w:sz w:val="16"/>
                <w:szCs w:val="16"/>
              </w:rPr>
            </w:pPr>
            <w:r w:rsidRPr="00DA515C">
              <w:rPr>
                <w:rFonts w:ascii="Arial" w:hAnsi="Arial" w:cs="Arial"/>
                <w:sz w:val="16"/>
                <w:szCs w:val="16"/>
              </w:rPr>
              <w:t>-Prevalence</w:t>
            </w:r>
          </w:p>
          <w:p w14:paraId="7D695220" w14:textId="25473E67" w:rsidR="0038169D" w:rsidRPr="00DA515C" w:rsidRDefault="0038169D" w:rsidP="00BC1E3A">
            <w:pPr>
              <w:rPr>
                <w:rFonts w:ascii="Arial" w:hAnsi="Arial" w:cs="Arial"/>
                <w:sz w:val="16"/>
                <w:szCs w:val="16"/>
              </w:rPr>
            </w:pPr>
            <w:r w:rsidRPr="00DA515C">
              <w:rPr>
                <w:rFonts w:ascii="Arial" w:hAnsi="Arial" w:cs="Arial"/>
                <w:sz w:val="16"/>
                <w:szCs w:val="16"/>
              </w:rPr>
              <w:t>-Quit rate</w:t>
            </w:r>
          </w:p>
        </w:tc>
        <w:tc>
          <w:tcPr>
            <w:tcW w:w="1471" w:type="dxa"/>
          </w:tcPr>
          <w:p w14:paraId="4C808737" w14:textId="743D2412" w:rsidR="00BC1E3A" w:rsidRPr="00DA515C" w:rsidRDefault="0038169D" w:rsidP="00BC1E3A">
            <w:pPr>
              <w:rPr>
                <w:rFonts w:ascii="Arial" w:hAnsi="Arial" w:cs="Arial"/>
                <w:sz w:val="16"/>
                <w:szCs w:val="16"/>
              </w:rPr>
            </w:pPr>
            <w:r w:rsidRPr="00DA515C">
              <w:rPr>
                <w:rFonts w:ascii="Arial" w:hAnsi="Arial" w:cs="Arial"/>
                <w:sz w:val="16"/>
                <w:szCs w:val="16"/>
              </w:rPr>
              <w:t>No</w:t>
            </w:r>
          </w:p>
        </w:tc>
        <w:tc>
          <w:tcPr>
            <w:tcW w:w="1481" w:type="dxa"/>
          </w:tcPr>
          <w:p w14:paraId="79D030E7" w14:textId="039153A6" w:rsidR="00BC1E3A" w:rsidRPr="00DA515C" w:rsidRDefault="0038169D" w:rsidP="00BC1E3A">
            <w:pPr>
              <w:rPr>
                <w:rFonts w:ascii="Arial" w:hAnsi="Arial" w:cs="Arial"/>
                <w:sz w:val="16"/>
                <w:szCs w:val="16"/>
              </w:rPr>
            </w:pPr>
            <w:r w:rsidRPr="00DA515C">
              <w:rPr>
                <w:rFonts w:ascii="Arial" w:hAnsi="Arial" w:cs="Arial"/>
                <w:sz w:val="16"/>
                <w:szCs w:val="16"/>
              </w:rPr>
              <w:t>US Navy Recruit Training Command, Great Lakes, Illinois, USA</w:t>
            </w:r>
          </w:p>
        </w:tc>
      </w:tr>
      <w:tr w:rsidR="00BC1E3A" w14:paraId="551B7E23" w14:textId="77777777" w:rsidTr="0038169D">
        <w:tc>
          <w:tcPr>
            <w:tcW w:w="13950" w:type="dxa"/>
            <w:gridSpan w:val="8"/>
          </w:tcPr>
          <w:p w14:paraId="3C89487F" w14:textId="77777777" w:rsidR="00DA515C" w:rsidRPr="00445A05" w:rsidRDefault="00BC1E3A" w:rsidP="00DA515C">
            <w:pPr>
              <w:rPr>
                <w:rFonts w:ascii="Arial" w:hAnsi="Arial" w:cs="Arial"/>
                <w:sz w:val="16"/>
                <w:szCs w:val="16"/>
              </w:rPr>
            </w:pPr>
            <w:r w:rsidRPr="00DA515C">
              <w:rPr>
                <w:rFonts w:ascii="Arial" w:hAnsi="Arial" w:cs="Arial"/>
                <w:b/>
                <w:bCs/>
                <w:sz w:val="16"/>
                <w:szCs w:val="16"/>
              </w:rPr>
              <w:t>Key:</w:t>
            </w:r>
            <w:r w:rsidRPr="00DA515C">
              <w:rPr>
                <w:rFonts w:ascii="Arial" w:hAnsi="Arial" w:cs="Arial"/>
                <w:sz w:val="16"/>
                <w:szCs w:val="16"/>
              </w:rPr>
              <w:t xml:space="preserve"> CBA: </w:t>
            </w:r>
            <w:r w:rsidRPr="00445A05">
              <w:rPr>
                <w:rFonts w:ascii="Arial" w:hAnsi="Arial" w:cs="Arial"/>
                <w:sz w:val="16"/>
                <w:szCs w:val="16"/>
              </w:rPr>
              <w:t>Controlled before-and-after study, UBA: Uncontrolled before-after-study</w:t>
            </w:r>
          </w:p>
          <w:p w14:paraId="460A0C81" w14:textId="5A60C32D" w:rsidR="00445A05" w:rsidRPr="00445A05" w:rsidRDefault="00445A05" w:rsidP="00445A05">
            <w:pPr>
              <w:rPr>
                <w:rFonts w:ascii="Arial" w:hAnsi="Arial" w:cs="Arial"/>
                <w:sz w:val="16"/>
                <w:szCs w:val="16"/>
              </w:rPr>
            </w:pPr>
            <w:r w:rsidRPr="00445A05">
              <w:rPr>
                <w:rFonts w:ascii="Arial" w:hAnsi="Arial" w:cs="Arial"/>
                <w:sz w:val="16"/>
                <w:szCs w:val="16"/>
              </w:rPr>
              <w:t>* 2 other intervention programmes (</w:t>
            </w:r>
            <w:r w:rsidRPr="00445A05">
              <w:rPr>
                <w:rFonts w:ascii="Arial" w:hAnsi="Arial" w:cs="Arial"/>
                <w:bCs/>
                <w:sz w:val="16"/>
                <w:szCs w:val="16"/>
              </w:rPr>
              <w:t>health education and health risk appraisal)</w:t>
            </w:r>
            <w:r w:rsidRPr="00445A05">
              <w:rPr>
                <w:rFonts w:ascii="Arial" w:hAnsi="Arial" w:cs="Arial"/>
                <w:sz w:val="16"/>
                <w:szCs w:val="16"/>
              </w:rPr>
              <w:t xml:space="preserve"> not assessed in this review</w:t>
            </w:r>
          </w:p>
          <w:p w14:paraId="3BC0236A" w14:textId="65854DE4" w:rsidR="00DA515C" w:rsidRPr="00DA515C" w:rsidRDefault="00DA515C" w:rsidP="00DA515C">
            <w:pPr>
              <w:rPr>
                <w:rFonts w:ascii="Arial" w:hAnsi="Arial" w:cs="Arial"/>
                <w:sz w:val="16"/>
                <w:szCs w:val="16"/>
              </w:rPr>
            </w:pPr>
            <w:r>
              <w:rPr>
                <w:rFonts w:ascii="Arial" w:hAnsi="Arial" w:cs="Arial"/>
                <w:sz w:val="16"/>
                <w:szCs w:val="16"/>
              </w:rPr>
              <w:t>^ 2 independent samples 12 months apart, the male: female percentages are given for both samples: baseline/12-month follow-up</w:t>
            </w:r>
          </w:p>
        </w:tc>
      </w:tr>
    </w:tbl>
    <w:p w14:paraId="027E60F6" w14:textId="19226267" w:rsidR="00BC1E3A" w:rsidRDefault="00BC1E3A" w:rsidP="00E67AD6">
      <w:pPr>
        <w:rPr>
          <w:rFonts w:ascii="Arial" w:hAnsi="Arial" w:cs="Arial"/>
          <w:sz w:val="22"/>
          <w:szCs w:val="22"/>
        </w:rPr>
        <w:sectPr w:rsidR="00BC1E3A" w:rsidSect="00BC1E3A">
          <w:pgSz w:w="16840" w:h="11900" w:orient="landscape"/>
          <w:pgMar w:top="1440" w:right="1440" w:bottom="1440" w:left="1440" w:header="708" w:footer="708" w:gutter="0"/>
          <w:cols w:space="708"/>
          <w:docGrid w:linePitch="360"/>
        </w:sectPr>
      </w:pPr>
    </w:p>
    <w:p w14:paraId="2D5E95A3" w14:textId="617F1315" w:rsidR="00E360E6" w:rsidRDefault="003A79CA" w:rsidP="00E67AD6">
      <w:pPr>
        <w:rPr>
          <w:rFonts w:ascii="Arial" w:hAnsi="Arial" w:cs="Arial"/>
          <w:b/>
          <w:bCs/>
          <w:sz w:val="22"/>
          <w:szCs w:val="22"/>
        </w:rPr>
      </w:pPr>
      <w:r>
        <w:rPr>
          <w:rFonts w:ascii="Arial" w:hAnsi="Arial" w:cs="Arial"/>
          <w:b/>
          <w:bCs/>
          <w:sz w:val="22"/>
          <w:szCs w:val="22"/>
        </w:rPr>
        <w:lastRenderedPageBreak/>
        <w:t>Risk of bias within studies</w:t>
      </w:r>
    </w:p>
    <w:p w14:paraId="68A13C33" w14:textId="21A984AD" w:rsidR="003267F2" w:rsidRPr="00CB3400" w:rsidRDefault="003267F2" w:rsidP="00E67AD6">
      <w:pPr>
        <w:rPr>
          <w:rFonts w:ascii="Arial" w:hAnsi="Arial" w:cs="Arial"/>
          <w:sz w:val="22"/>
          <w:szCs w:val="22"/>
        </w:rPr>
      </w:pPr>
      <w:r w:rsidRPr="003267F2">
        <w:rPr>
          <w:rFonts w:ascii="Arial" w:hAnsi="Arial" w:cs="Arial"/>
          <w:sz w:val="22"/>
          <w:szCs w:val="22"/>
        </w:rPr>
        <w:t>Seven studies were found to be at critical risk of bias, whilst one was found to have serious risk of bias</w:t>
      </w:r>
      <w:r w:rsidR="00E41D5B" w:rsidRPr="003267F2">
        <w:rPr>
          <w:rFonts w:ascii="Arial" w:hAnsi="Arial" w:cs="Arial"/>
          <w:sz w:val="22"/>
          <w:szCs w:val="22"/>
        </w:rPr>
        <w:fldChar w:fldCharType="begin" w:fldLock="1"/>
      </w:r>
      <w:r w:rsidR="00E41D5B">
        <w:rPr>
          <w:rFonts w:ascii="Arial" w:hAnsi="Arial" w:cs="Arial"/>
          <w:sz w:val="22"/>
          <w:szCs w:val="22"/>
        </w:rPr>
        <w:instrText>ADDIN CSL_CITATION {"citationItems":[{"id":"ITEM-1","itemData":{"DOI":"http://dx.doi.org/10.1016/j.addbeh.2016.12.006","ISSN":"0306-4603","author":[{"dropping-particle":"","family":"Chiu","given":"YL","non-dropping-particle":"","parse-names":false,"suffix":""},{"dropping-particle":"","family":"H.-C.","given":"Lo","non-dropping-particle":"","parse-names":false,"suffix":""},{"dropping-particle":"","family":"C.-H.","given":"Lai","non-dropping-particle":"","parse-names":false,"suffix":""},{"dropping-particle":"","family":"S.-L.","given":"Hwang","non-dropping-particle":"","parse-names":false,"suffix":""},{"dropping-particle":"","family":"F.-G.","given":"Lin","non-dropping-particle":"","parse-names":false,"suffix":""},{"dropping-particle":"","family":"S.-J.","given":"Huang","non-dropping-particle":"","parse-names":false,"suffix":""},{"dropping-particle":"","family":"S.-H.","given":"Jiang","non-dropping-particle":"","parse-names":false,"suffix":""},{"dropping-particle":"","family":"S.-R.","given":"Li","non-dropping-particle":"","parse-names":false,"suffix":""},{"dropping-particle":"","family":"Y.-M.","given":"Tzeng","non-dropping-particle":"","parse-names":false,"suffix":""},{"dropping-particle":"","family":"W.-H.","given":"Fang","non-dropping-particle":"","parse-names":false,"suffix":""}],"container-title":"Addictive Behaviors","id":"ITEM-1","issued":{"date-parts":[["2017"]]},"language":"English","page":"53-57","publisher":"Elsevier Ltd","publisher-place":"S. Kao, School of Public Health, National Defense Medical Center, Taipei, Taiwan (Republic of China). E-mail: kao@mail.ndmctsgh.edu.tw","title":"Effectiveness of a smoking restriction policy on smoking behaviour in the military","type":"article-journal","volume":"67"},"uris":["http://www.mendeley.com/documents/?uuid=7296af38-f0e0-4ca5-a2f5-e5a2c0e0870c"]}],"mendeley":{"formattedCitation":"(34)","plainTextFormattedCitation":"(34)","previouslyFormattedCitation":"(34)"},"properties":{"noteIndex":0},"schema":"https://github.com/citation-style-language/schema/raw/master/csl-citation.json"}</w:instrText>
      </w:r>
      <w:r w:rsidR="00E41D5B" w:rsidRPr="003267F2">
        <w:rPr>
          <w:rFonts w:ascii="Arial" w:hAnsi="Arial" w:cs="Arial"/>
          <w:sz w:val="22"/>
          <w:szCs w:val="22"/>
        </w:rPr>
        <w:fldChar w:fldCharType="separate"/>
      </w:r>
      <w:r w:rsidR="00E41D5B" w:rsidRPr="00026378">
        <w:rPr>
          <w:rFonts w:ascii="Arial" w:hAnsi="Arial" w:cs="Arial"/>
          <w:noProof/>
          <w:sz w:val="22"/>
          <w:szCs w:val="22"/>
        </w:rPr>
        <w:t>(</w:t>
      </w:r>
      <w:r w:rsidR="00E41D5B">
        <w:rPr>
          <w:rFonts w:ascii="Arial" w:hAnsi="Arial" w:cs="Arial"/>
          <w:noProof/>
          <w:sz w:val="22"/>
          <w:szCs w:val="22"/>
        </w:rPr>
        <w:t>35</w:t>
      </w:r>
      <w:r w:rsidR="00E41D5B" w:rsidRPr="00026378">
        <w:rPr>
          <w:rFonts w:ascii="Arial" w:hAnsi="Arial" w:cs="Arial"/>
          <w:noProof/>
          <w:sz w:val="22"/>
          <w:szCs w:val="22"/>
        </w:rPr>
        <w:t>)</w:t>
      </w:r>
      <w:r w:rsidR="00E41D5B" w:rsidRPr="003267F2">
        <w:rPr>
          <w:rFonts w:ascii="Arial" w:hAnsi="Arial" w:cs="Arial"/>
          <w:sz w:val="22"/>
          <w:szCs w:val="22"/>
        </w:rPr>
        <w:fldChar w:fldCharType="end"/>
      </w:r>
      <w:r w:rsidR="00E41D5B">
        <w:rPr>
          <w:rFonts w:ascii="Arial" w:hAnsi="Arial" w:cs="Arial"/>
          <w:sz w:val="22"/>
          <w:szCs w:val="22"/>
        </w:rPr>
        <w:t xml:space="preserve">. This is shown in </w:t>
      </w:r>
      <w:r w:rsidR="00E41D5B" w:rsidRPr="003267F2">
        <w:rPr>
          <w:rFonts w:ascii="Arial" w:hAnsi="Arial" w:cs="Arial"/>
          <w:sz w:val="22"/>
          <w:szCs w:val="22"/>
        </w:rPr>
        <w:t>figure 3</w:t>
      </w:r>
      <w:r w:rsidR="00E41D5B">
        <w:rPr>
          <w:rFonts w:ascii="Arial" w:hAnsi="Arial" w:cs="Arial"/>
          <w:sz w:val="22"/>
          <w:szCs w:val="22"/>
        </w:rPr>
        <w:t xml:space="preserve">, which was created using the </w:t>
      </w:r>
      <w:proofErr w:type="spellStart"/>
      <w:r w:rsidR="00E41D5B" w:rsidRPr="00CB3400">
        <w:rPr>
          <w:rFonts w:ascii="Arial" w:hAnsi="Arial" w:cs="Arial"/>
          <w:i/>
          <w:iCs/>
          <w:sz w:val="22"/>
          <w:szCs w:val="22"/>
        </w:rPr>
        <w:t>robvis</w:t>
      </w:r>
      <w:proofErr w:type="spellEnd"/>
      <w:r w:rsidR="00E41D5B">
        <w:rPr>
          <w:rFonts w:ascii="Arial" w:hAnsi="Arial" w:cs="Arial"/>
          <w:i/>
          <w:iCs/>
          <w:sz w:val="22"/>
          <w:szCs w:val="22"/>
        </w:rPr>
        <w:t xml:space="preserve"> </w:t>
      </w:r>
      <w:r w:rsidR="00E41D5B">
        <w:rPr>
          <w:rFonts w:ascii="Arial" w:hAnsi="Arial" w:cs="Arial"/>
          <w:sz w:val="22"/>
          <w:szCs w:val="22"/>
        </w:rPr>
        <w:t>tool</w:t>
      </w:r>
      <w:r w:rsidR="00E41D5B" w:rsidRPr="00CB3400">
        <w:rPr>
          <w:rFonts w:ascii="Arial" w:hAnsi="Arial" w:cs="Arial"/>
          <w:i/>
          <w:iCs/>
          <w:sz w:val="22"/>
          <w:szCs w:val="22"/>
        </w:rPr>
        <w:fldChar w:fldCharType="begin" w:fldLock="1"/>
      </w:r>
      <w:r w:rsidR="00E41D5B" w:rsidRPr="00CB3400">
        <w:rPr>
          <w:rFonts w:ascii="Arial" w:hAnsi="Arial" w:cs="Arial"/>
          <w:i/>
          <w:iCs/>
          <w:sz w:val="22"/>
          <w:szCs w:val="22"/>
        </w:rPr>
        <w:instrText>ADDIN CSL_CITATION {"citationItems":[{"id":"ITEM-1","itemData":{"DOI":"10.1002/jrsm.1411","ISSN":"1759-2879","abstract":"Despite a major increase in the range and number of software offerings now available to help researchers produce evidence syntheses, there is currently no generic tool for producing figures to display and explore the risk-of-bias assessments that routinely take place as part of systematic review. However, tools such as the R programming environment and Shiny (an R package for building interactive web apps) have made it straightforward to produce new tools to help in producing evidence syntheses. We present a new tool, robvis (Risk-Of-Bias VISualization), available as an R package and web app, which facilitates rapid production of publication-quality risk-of-bias assessment figures. We present a timeline of the tool's development and its key functionality.","author":[{"dropping-particle":"","family":"McGuinness","given":"Luke A","non-dropping-particle":"","parse-names":false,"suffix":""},{"dropping-particle":"","family":"Higgins","given":"Julian P T","non-dropping-particle":"","parse-names":false,"suffix":""}],"container-title":"Research Synthesis Methods","id":"ITEM-1","issue":"n/a","issued":{"date-parts":[["2020","4","26"]]},"note":"doi: 10.1002/jrsm.1411","publisher":"John Wiley &amp; Sons, Ltd","title":"Risk-of-bias VISualization (robvis): An R package and Shiny web app for visualizing risk-of-bias assessments","type":"article-journal","volume":"n/a"},"uris":["http://www.mendeley.com/documents/?uuid=b6fbf505-a2f4-4a8f-9186-e02b2d283710"]}],"mendeley":{"formattedCitation":"(42)","plainTextFormattedCitation":"(42)","previouslyFormattedCitation":"(42)"},"properties":{"noteIndex":0},"schema":"https://github.com/citation-style-language/schema/raw/master/csl-citation.json"}</w:instrText>
      </w:r>
      <w:r w:rsidR="00E41D5B" w:rsidRPr="00CB3400">
        <w:rPr>
          <w:rFonts w:ascii="Arial" w:hAnsi="Arial" w:cs="Arial"/>
          <w:i/>
          <w:iCs/>
          <w:sz w:val="22"/>
          <w:szCs w:val="22"/>
        </w:rPr>
        <w:fldChar w:fldCharType="separate"/>
      </w:r>
      <w:r w:rsidR="00E41D5B" w:rsidRPr="00CB3400">
        <w:rPr>
          <w:rFonts w:ascii="Arial" w:hAnsi="Arial" w:cs="Arial"/>
          <w:iCs/>
          <w:noProof/>
          <w:sz w:val="22"/>
          <w:szCs w:val="22"/>
        </w:rPr>
        <w:t>(43)</w:t>
      </w:r>
      <w:r w:rsidR="00E41D5B" w:rsidRPr="00CB3400">
        <w:rPr>
          <w:rFonts w:ascii="Arial" w:hAnsi="Arial" w:cs="Arial"/>
          <w:i/>
          <w:iCs/>
          <w:sz w:val="22"/>
          <w:szCs w:val="22"/>
        </w:rPr>
        <w:fldChar w:fldCharType="end"/>
      </w:r>
      <w:r w:rsidRPr="003267F2">
        <w:rPr>
          <w:rFonts w:ascii="Arial" w:hAnsi="Arial" w:cs="Arial"/>
          <w:sz w:val="22"/>
          <w:szCs w:val="22"/>
        </w:rPr>
        <w:t>. The most influential domain affecting the overall risk of bias assessment was confounding</w:t>
      </w:r>
      <w:r w:rsidR="001C5140">
        <w:rPr>
          <w:rFonts w:ascii="Arial" w:hAnsi="Arial" w:cs="Arial"/>
          <w:sz w:val="22"/>
          <w:szCs w:val="22"/>
        </w:rPr>
        <w:t>;</w:t>
      </w:r>
      <w:r w:rsidR="00261577">
        <w:rPr>
          <w:rFonts w:ascii="Arial" w:hAnsi="Arial" w:cs="Arial"/>
          <w:sz w:val="22"/>
          <w:szCs w:val="22"/>
        </w:rPr>
        <w:t xml:space="preserve"> </w:t>
      </w:r>
      <w:r w:rsidR="001C5140">
        <w:rPr>
          <w:rFonts w:ascii="Arial" w:hAnsi="Arial" w:cs="Arial"/>
          <w:sz w:val="22"/>
          <w:szCs w:val="22"/>
        </w:rPr>
        <w:t>m</w:t>
      </w:r>
      <w:r w:rsidRPr="003267F2">
        <w:rPr>
          <w:rFonts w:ascii="Arial" w:hAnsi="Arial" w:cs="Arial"/>
          <w:sz w:val="22"/>
          <w:szCs w:val="22"/>
        </w:rPr>
        <w:t>any of the studies did not consider confounding at all. Additionally</w:t>
      </w:r>
      <w:r w:rsidR="00D65EF2">
        <w:rPr>
          <w:rFonts w:ascii="Arial" w:hAnsi="Arial" w:cs="Arial"/>
          <w:sz w:val="22"/>
          <w:szCs w:val="22"/>
        </w:rPr>
        <w:t>,</w:t>
      </w:r>
      <w:r w:rsidRPr="003267F2">
        <w:rPr>
          <w:rFonts w:ascii="Arial" w:hAnsi="Arial" w:cs="Arial"/>
          <w:sz w:val="22"/>
          <w:szCs w:val="22"/>
        </w:rPr>
        <w:t xml:space="preserve"> five studies were judged as having a critical risk of bias due to missing data.  </w:t>
      </w:r>
    </w:p>
    <w:p w14:paraId="76D9B841" w14:textId="1D784CCD" w:rsidR="00411CFC" w:rsidRDefault="00411CFC" w:rsidP="00E67AD6">
      <w:pPr>
        <w:rPr>
          <w:rFonts w:ascii="Arial" w:hAnsi="Arial" w:cs="Arial"/>
          <w:b/>
          <w:bCs/>
          <w:sz w:val="22"/>
          <w:szCs w:val="22"/>
        </w:rPr>
      </w:pPr>
    </w:p>
    <w:p w14:paraId="23B16A6D" w14:textId="5BF95E92" w:rsidR="00261577" w:rsidRDefault="00261577" w:rsidP="00261577">
      <w:pPr>
        <w:rPr>
          <w:rFonts w:ascii="Arial" w:hAnsi="Arial" w:cs="Arial"/>
          <w:sz w:val="22"/>
          <w:szCs w:val="22"/>
        </w:rPr>
      </w:pPr>
      <w:r w:rsidRPr="00C270DB">
        <w:rPr>
          <w:rFonts w:ascii="Arial" w:hAnsi="Arial" w:cs="Arial"/>
          <w:sz w:val="22"/>
          <w:szCs w:val="22"/>
        </w:rPr>
        <w:t xml:space="preserve">The generalisability of the review’s findings is questionable given that only two of the primary studies were conducted in the presence of smoke-free legislation, with the remainder </w:t>
      </w:r>
      <w:r w:rsidR="001C5140">
        <w:rPr>
          <w:rFonts w:ascii="Arial" w:hAnsi="Arial" w:cs="Arial"/>
          <w:sz w:val="22"/>
          <w:szCs w:val="22"/>
        </w:rPr>
        <w:t>t</w:t>
      </w:r>
      <w:r w:rsidR="00E603E2">
        <w:rPr>
          <w:rFonts w:ascii="Arial" w:hAnsi="Arial" w:cs="Arial"/>
          <w:sz w:val="22"/>
          <w:szCs w:val="22"/>
        </w:rPr>
        <w:t>aking</w:t>
      </w:r>
      <w:r w:rsidR="001C5140" w:rsidRPr="00C270DB">
        <w:rPr>
          <w:rFonts w:ascii="Arial" w:hAnsi="Arial" w:cs="Arial"/>
          <w:sz w:val="22"/>
          <w:szCs w:val="22"/>
        </w:rPr>
        <w:t xml:space="preserve"> </w:t>
      </w:r>
      <w:r w:rsidR="00E603E2">
        <w:rPr>
          <w:rFonts w:ascii="Arial" w:hAnsi="Arial" w:cs="Arial"/>
          <w:sz w:val="22"/>
          <w:szCs w:val="22"/>
        </w:rPr>
        <w:t xml:space="preserve"> </w:t>
      </w:r>
      <w:r w:rsidRPr="00C270DB">
        <w:rPr>
          <w:rFonts w:ascii="Arial" w:hAnsi="Arial" w:cs="Arial"/>
          <w:sz w:val="22"/>
          <w:szCs w:val="22"/>
        </w:rPr>
        <w:t>place in an earlier era of more light-touch tobacco regulation</w:t>
      </w:r>
      <w:r w:rsidR="001C5140">
        <w:rPr>
          <w:rFonts w:ascii="Arial" w:hAnsi="Arial" w:cs="Arial"/>
          <w:sz w:val="22"/>
          <w:szCs w:val="22"/>
        </w:rPr>
        <w:t>s</w:t>
      </w:r>
      <w:r w:rsidRPr="00C270DB">
        <w:rPr>
          <w:rFonts w:ascii="Arial" w:hAnsi="Arial" w:cs="Arial"/>
          <w:sz w:val="22"/>
          <w:szCs w:val="22"/>
        </w:rPr>
        <w:t>. Additionally</w:t>
      </w:r>
      <w:r>
        <w:rPr>
          <w:rFonts w:ascii="Arial" w:hAnsi="Arial" w:cs="Arial"/>
          <w:sz w:val="22"/>
          <w:szCs w:val="22"/>
        </w:rPr>
        <w:t>,</w:t>
      </w:r>
      <w:r w:rsidRPr="00C270DB">
        <w:rPr>
          <w:rFonts w:ascii="Arial" w:hAnsi="Arial" w:cs="Arial"/>
          <w:sz w:val="22"/>
          <w:szCs w:val="22"/>
        </w:rPr>
        <w:t xml:space="preserve"> the primary studies were all set in relatively niche defence settings; basic training, a submarine, a military medical campus and a navy alcohol addiction centre</w:t>
      </w:r>
      <w:r w:rsidR="001C5140">
        <w:rPr>
          <w:rFonts w:ascii="Arial" w:hAnsi="Arial" w:cs="Arial"/>
          <w:sz w:val="22"/>
          <w:szCs w:val="22"/>
        </w:rPr>
        <w:t>,</w:t>
      </w:r>
      <w:r w:rsidRPr="00C270DB">
        <w:rPr>
          <w:rFonts w:ascii="Arial" w:hAnsi="Arial" w:cs="Arial"/>
          <w:sz w:val="22"/>
          <w:szCs w:val="22"/>
        </w:rPr>
        <w:t xml:space="preserve"> which may </w:t>
      </w:r>
      <w:r>
        <w:rPr>
          <w:rFonts w:ascii="Arial" w:hAnsi="Arial" w:cs="Arial"/>
          <w:sz w:val="22"/>
          <w:szCs w:val="22"/>
        </w:rPr>
        <w:t>not apply</w:t>
      </w:r>
      <w:r w:rsidRPr="00C270DB">
        <w:rPr>
          <w:rFonts w:ascii="Arial" w:hAnsi="Arial" w:cs="Arial"/>
          <w:sz w:val="22"/>
          <w:szCs w:val="22"/>
        </w:rPr>
        <w:t xml:space="preserve"> to a </w:t>
      </w:r>
      <w:r w:rsidRPr="00C270DB">
        <w:rPr>
          <w:rFonts w:ascii="Arial" w:hAnsi="Arial" w:cs="Arial"/>
          <w:i/>
          <w:iCs/>
          <w:sz w:val="22"/>
          <w:szCs w:val="22"/>
        </w:rPr>
        <w:t xml:space="preserve">“whole force” </w:t>
      </w:r>
      <w:r w:rsidRPr="00C270DB">
        <w:rPr>
          <w:rFonts w:ascii="Arial" w:hAnsi="Arial" w:cs="Arial"/>
          <w:sz w:val="22"/>
          <w:szCs w:val="22"/>
        </w:rPr>
        <w:t>approach.</w:t>
      </w:r>
    </w:p>
    <w:p w14:paraId="43D9B389" w14:textId="43DE396B" w:rsidR="007A072B" w:rsidRDefault="007A072B" w:rsidP="00261577">
      <w:pPr>
        <w:rPr>
          <w:rFonts w:ascii="Arial" w:hAnsi="Arial" w:cs="Arial"/>
          <w:sz w:val="22"/>
          <w:szCs w:val="22"/>
        </w:rPr>
      </w:pPr>
    </w:p>
    <w:p w14:paraId="3F4D9AB5" w14:textId="4825EA44" w:rsidR="0014394E" w:rsidRDefault="0014394E" w:rsidP="00261577">
      <w:pPr>
        <w:rPr>
          <w:rFonts w:ascii="Arial" w:hAnsi="Arial" w:cs="Arial"/>
          <w:sz w:val="22"/>
          <w:szCs w:val="22"/>
        </w:rPr>
      </w:pPr>
      <w:r>
        <w:rPr>
          <w:noProof/>
          <w:lang w:val="en-US"/>
        </w:rPr>
        <w:drawing>
          <wp:inline distT="0" distB="0" distL="0" distR="0" wp14:anchorId="71990B0A" wp14:editId="174984C2">
            <wp:extent cx="5486400" cy="4783265"/>
            <wp:effectExtent l="0" t="0" r="0" b="5080"/>
            <wp:docPr id="29" name="Picture 2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4783265"/>
                    </a:xfrm>
                    <a:prstGeom prst="rect">
                      <a:avLst/>
                    </a:prstGeom>
                  </pic:spPr>
                </pic:pic>
              </a:graphicData>
            </a:graphic>
          </wp:inline>
        </w:drawing>
      </w:r>
    </w:p>
    <w:p w14:paraId="2AF91B52" w14:textId="77777777" w:rsidR="007A072B" w:rsidRPr="007A072B" w:rsidRDefault="007A072B" w:rsidP="0014394E">
      <w:pPr>
        <w:jc w:val="center"/>
        <w:rPr>
          <w:rFonts w:ascii="Arial" w:hAnsi="Arial" w:cs="Arial"/>
          <w:b/>
          <w:bCs/>
          <w:sz w:val="22"/>
          <w:szCs w:val="22"/>
        </w:rPr>
      </w:pPr>
      <w:r w:rsidRPr="007A072B">
        <w:rPr>
          <w:rFonts w:ascii="Arial" w:hAnsi="Arial" w:cs="Arial"/>
          <w:b/>
          <w:bCs/>
          <w:sz w:val="22"/>
          <w:szCs w:val="22"/>
        </w:rPr>
        <w:t>Figure 3: Summary of the risk of bias within included studies using ROBINS-I</w:t>
      </w:r>
    </w:p>
    <w:p w14:paraId="34EA8307" w14:textId="77777777" w:rsidR="00261577" w:rsidRDefault="00261577" w:rsidP="00E67AD6">
      <w:pPr>
        <w:rPr>
          <w:rFonts w:ascii="Arial" w:hAnsi="Arial" w:cs="Arial"/>
          <w:b/>
          <w:bCs/>
          <w:sz w:val="22"/>
          <w:szCs w:val="22"/>
        </w:rPr>
      </w:pPr>
    </w:p>
    <w:p w14:paraId="1394C969" w14:textId="79EC1732" w:rsidR="004B7D6F" w:rsidRDefault="00C71571" w:rsidP="00A23888">
      <w:pPr>
        <w:rPr>
          <w:rFonts w:ascii="Arial" w:hAnsi="Arial" w:cs="Arial"/>
          <w:b/>
          <w:bCs/>
          <w:sz w:val="22"/>
          <w:szCs w:val="22"/>
        </w:rPr>
      </w:pPr>
      <w:r w:rsidRPr="00BA6AED">
        <w:rPr>
          <w:rFonts w:ascii="Arial" w:hAnsi="Arial" w:cs="Arial"/>
          <w:b/>
          <w:bCs/>
          <w:sz w:val="22"/>
          <w:szCs w:val="22"/>
        </w:rPr>
        <w:t>Results of individual studies</w:t>
      </w:r>
    </w:p>
    <w:p w14:paraId="3F74576E" w14:textId="4E4CE167" w:rsidR="006A3F23" w:rsidRPr="00261577" w:rsidRDefault="00AE6D50" w:rsidP="00A23888">
      <w:pPr>
        <w:rPr>
          <w:rFonts w:ascii="Arial" w:hAnsi="Arial" w:cs="Arial"/>
          <w:b/>
          <w:bCs/>
          <w:sz w:val="22"/>
          <w:szCs w:val="22"/>
        </w:rPr>
      </w:pPr>
      <w:r>
        <w:rPr>
          <w:rFonts w:ascii="Arial" w:hAnsi="Arial" w:cs="Arial"/>
          <w:color w:val="000000" w:themeColor="text1"/>
          <w:sz w:val="22"/>
          <w:szCs w:val="22"/>
        </w:rPr>
        <w:t xml:space="preserve">The results of individual studies by outcome have been </w:t>
      </w:r>
      <w:r w:rsidR="004D00AC">
        <w:rPr>
          <w:rFonts w:ascii="Arial" w:hAnsi="Arial" w:cs="Arial"/>
          <w:color w:val="000000" w:themeColor="text1"/>
          <w:sz w:val="22"/>
          <w:szCs w:val="22"/>
        </w:rPr>
        <w:t xml:space="preserve">simplified and </w:t>
      </w:r>
      <w:r>
        <w:rPr>
          <w:rFonts w:ascii="Arial" w:hAnsi="Arial" w:cs="Arial"/>
          <w:color w:val="000000" w:themeColor="text1"/>
          <w:sz w:val="22"/>
          <w:szCs w:val="22"/>
        </w:rPr>
        <w:t>summarised in an effect direction plot (table 3)</w:t>
      </w:r>
      <w:r w:rsidRPr="00AE6D50">
        <w:rPr>
          <w:rFonts w:ascii="Arial" w:hAnsi="Arial" w:cs="Arial"/>
          <w:bCs/>
          <w:sz w:val="22"/>
          <w:szCs w:val="22"/>
        </w:rPr>
        <w:t>.</w:t>
      </w:r>
      <w:r w:rsidR="006A3F23">
        <w:rPr>
          <w:rFonts w:ascii="Arial" w:hAnsi="Arial" w:cs="Arial"/>
          <w:bCs/>
          <w:sz w:val="22"/>
          <w:szCs w:val="22"/>
        </w:rPr>
        <w:t xml:space="preserve"> The results displayed used the longest follow-up period from each study to capture the longest-term effect possible. Detailed results from individual studies are contained in the </w:t>
      </w:r>
      <w:r w:rsidR="006A3F23">
        <w:rPr>
          <w:rFonts w:ascii="Arial" w:hAnsi="Arial" w:cs="Arial"/>
          <w:sz w:val="22"/>
          <w:szCs w:val="22"/>
        </w:rPr>
        <w:t>online supplementary appendix</w:t>
      </w:r>
      <w:r w:rsidR="00801DFF">
        <w:rPr>
          <w:rFonts w:ascii="Arial" w:hAnsi="Arial" w:cs="Arial"/>
          <w:sz w:val="22"/>
          <w:szCs w:val="22"/>
        </w:rPr>
        <w:t>.</w:t>
      </w:r>
    </w:p>
    <w:p w14:paraId="3BFC6944" w14:textId="77777777" w:rsidR="006A3F23" w:rsidRDefault="006A3F23" w:rsidP="00A23888"/>
    <w:p w14:paraId="4AA3AA45" w14:textId="77777777" w:rsidR="006A3F23" w:rsidRDefault="006A3F23" w:rsidP="00A23888"/>
    <w:p w14:paraId="38AF0319" w14:textId="1ABFC98B" w:rsidR="00E41D5B" w:rsidRDefault="00E41D5B" w:rsidP="00A23888">
      <w:pPr>
        <w:sectPr w:rsidR="00E41D5B" w:rsidSect="00BC1E3A">
          <w:pgSz w:w="11900" w:h="16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830"/>
        <w:gridCol w:w="1084"/>
        <w:gridCol w:w="1162"/>
        <w:gridCol w:w="1040"/>
        <w:gridCol w:w="1130"/>
        <w:gridCol w:w="1167"/>
        <w:gridCol w:w="1103"/>
        <w:gridCol w:w="1113"/>
        <w:gridCol w:w="1171"/>
        <w:gridCol w:w="339"/>
        <w:gridCol w:w="1816"/>
      </w:tblGrid>
      <w:tr w:rsidR="005709A1" w:rsidRPr="006A3F23" w14:paraId="4D2E79E5" w14:textId="77777777" w:rsidTr="0038169D">
        <w:tc>
          <w:tcPr>
            <w:tcW w:w="11786" w:type="dxa"/>
            <w:gridSpan w:val="9"/>
          </w:tcPr>
          <w:p w14:paraId="6C48FE59" w14:textId="5A6C2468" w:rsidR="00A86016" w:rsidRPr="00B95A09" w:rsidRDefault="005709A1" w:rsidP="006A3F23">
            <w:pPr>
              <w:rPr>
                <w:rFonts w:ascii="Arial" w:hAnsi="Arial" w:cs="Arial"/>
                <w:b/>
                <w:sz w:val="20"/>
                <w:szCs w:val="20"/>
              </w:rPr>
            </w:pPr>
            <w:r w:rsidRPr="00B95A09">
              <w:rPr>
                <w:rFonts w:ascii="Arial" w:hAnsi="Arial" w:cs="Arial"/>
                <w:b/>
                <w:sz w:val="20"/>
                <w:szCs w:val="20"/>
              </w:rPr>
              <w:lastRenderedPageBreak/>
              <w:t xml:space="preserve">Table </w:t>
            </w:r>
            <w:r w:rsidR="009D4923">
              <w:rPr>
                <w:rFonts w:ascii="Arial" w:hAnsi="Arial" w:cs="Arial"/>
                <w:b/>
                <w:sz w:val="20"/>
                <w:szCs w:val="20"/>
              </w:rPr>
              <w:t>3</w:t>
            </w:r>
            <w:r w:rsidRPr="00B95A09">
              <w:rPr>
                <w:rFonts w:ascii="Arial" w:hAnsi="Arial" w:cs="Arial"/>
                <w:b/>
                <w:sz w:val="20"/>
                <w:szCs w:val="20"/>
              </w:rPr>
              <w:t>: Effect Direction Plot</w:t>
            </w:r>
          </w:p>
          <w:p w14:paraId="79DE6F3B" w14:textId="33A75CDE" w:rsidR="00A86016" w:rsidRDefault="00A86016" w:rsidP="006A3F23">
            <w:pPr>
              <w:rPr>
                <w:rFonts w:ascii="Arial" w:hAnsi="Arial" w:cs="Arial"/>
                <w:sz w:val="18"/>
                <w:szCs w:val="18"/>
              </w:rPr>
            </w:pPr>
            <w:r w:rsidRPr="00B95A09">
              <w:rPr>
                <w:rFonts w:ascii="Arial" w:hAnsi="Arial" w:cs="Arial"/>
                <w:sz w:val="18"/>
                <w:szCs w:val="18"/>
              </w:rPr>
              <w:t xml:space="preserve">Where multiple sub-groups contribute to an outcome then &gt;70% of these </w:t>
            </w:r>
            <w:r w:rsidR="000C7FDC">
              <w:rPr>
                <w:rFonts w:ascii="Arial" w:hAnsi="Arial" w:cs="Arial"/>
                <w:sz w:val="18"/>
                <w:szCs w:val="18"/>
              </w:rPr>
              <w:t xml:space="preserve">are </w:t>
            </w:r>
            <w:r w:rsidRPr="00B95A09">
              <w:rPr>
                <w:rFonts w:ascii="Arial" w:hAnsi="Arial" w:cs="Arial"/>
                <w:sz w:val="18"/>
                <w:szCs w:val="18"/>
              </w:rPr>
              <w:t>needed to consistently demonstrate a direction of effect</w:t>
            </w:r>
            <w:r w:rsidR="00C33B0F">
              <w:rPr>
                <w:rFonts w:ascii="Arial" w:hAnsi="Arial" w:cs="Arial"/>
                <w:sz w:val="18"/>
                <w:szCs w:val="18"/>
              </w:rPr>
              <w:t>.</w:t>
            </w:r>
          </w:p>
          <w:p w14:paraId="1082F171" w14:textId="5B492544" w:rsidR="00C33B0F" w:rsidRPr="00C33B0F" w:rsidRDefault="00C33B0F" w:rsidP="006A3F23">
            <w:pPr>
              <w:rPr>
                <w:rFonts w:ascii="Arial" w:hAnsi="Arial" w:cs="Arial"/>
                <w:bCs/>
                <w:sz w:val="18"/>
                <w:szCs w:val="18"/>
              </w:rPr>
            </w:pPr>
            <w:r>
              <w:rPr>
                <w:rFonts w:ascii="Arial" w:hAnsi="Arial" w:cs="Arial"/>
                <w:bCs/>
                <w:sz w:val="18"/>
                <w:szCs w:val="18"/>
              </w:rPr>
              <w:t>Direction of effect in CBA based on difference between intervention and comparator, in UBA based on any change since baseline</w:t>
            </w:r>
            <w:r w:rsidRPr="00B95A09">
              <w:rPr>
                <w:rFonts w:ascii="Arial" w:hAnsi="Arial" w:cs="Arial"/>
                <w:sz w:val="18"/>
                <w:szCs w:val="18"/>
              </w:rPr>
              <w:fldChar w:fldCharType="begin" w:fldLock="1"/>
            </w:r>
            <w:r w:rsidR="00147646">
              <w:rPr>
                <w:rFonts w:ascii="Arial" w:hAnsi="Arial" w:cs="Arial"/>
                <w:sz w:val="18"/>
                <w:szCs w:val="18"/>
              </w:rPr>
              <w:instrText>ADDIN CSL_CITATION {"citationItems":[{"id":"ITEM-1","itemData":{"DOI":"10.1002/jrsm.1060","ISSN":"1759-2887","abstract":"Visual display of reported impacts is a valuable aid to both reviewers and readers of systematic reviews. Forest plots are routinely prepared to report standardised effect sizes, but where standardised effect sizes are not available for all included studies a forest plot may misrepresent the available evidence. Tabulated data summaries to accompany the narrative synthesis can be lengthy and inaccessible. Moreover, the link between the data and the synthesis conclusions may be opaque. This paper details the preparation of visual summaries of effect direction for multiple outcomes across 29 quantitative studies of the health impacts of housing improvement. A one page summary of reported health outcomes was prepared to accompany a 10 000-word narrative synthesis. The one page summary included details of study design, internal validity, sample size, time of follow-up, as well as changes in intermediate outcomes, for example, housing condition. This approach to visually summarising complex data can aid the reviewer in cross-study analysis and improve accessibility and transparency of the narrative synthesis where standardised effect sizes are not available. Copyright © 2012 John Wiley &amp; Sons, Ltd.","author":[{"dropping-particle":"","family":"Thomson","given":"Hilary J","non-dropping-particle":"","parse-names":false,"suffix":""},{"dropping-particle":"","family":"Thomas","given":"Sian","non-dropping-particle":"","parse-names":false,"suffix":""}],"container-title":"Research synthesis methods","edition":"2012/10/12","id":"ITEM-1","issue":"1","issued":{"date-parts":[["2013","3"]]},"language":"eng","page":"95-101","publisher":"Blackwell Publishing Ltd","title":"The effect direction plot: visual display of non-standardised effects across multiple outcome domains","type":"article-journal","volume":"4"},"uris":["http://www.mendeley.com/documents/?uuid=fa2fc90c-4edc-4645-84f1-97e5716b182b"]}],"mendeley":{"formattedCitation":"(43)","plainTextFormattedCitation":"(43)","previouslyFormattedCitation":"(43)"},"properties":{"noteIndex":0},"schema":"https://github.com/citation-style-language/schema/raw/master/csl-citation.json"}</w:instrText>
            </w:r>
            <w:r w:rsidRPr="00B95A09">
              <w:rPr>
                <w:rFonts w:ascii="Arial" w:hAnsi="Arial" w:cs="Arial"/>
                <w:sz w:val="18"/>
                <w:szCs w:val="18"/>
              </w:rPr>
              <w:fldChar w:fldCharType="separate"/>
            </w:r>
            <w:r w:rsidR="00026378" w:rsidRPr="00026378">
              <w:rPr>
                <w:rFonts w:ascii="Arial" w:hAnsi="Arial" w:cs="Arial"/>
                <w:noProof/>
                <w:sz w:val="18"/>
                <w:szCs w:val="18"/>
              </w:rPr>
              <w:t>(</w:t>
            </w:r>
            <w:r w:rsidR="00C671B2">
              <w:rPr>
                <w:rFonts w:ascii="Arial" w:hAnsi="Arial" w:cs="Arial"/>
                <w:noProof/>
                <w:sz w:val="18"/>
                <w:szCs w:val="18"/>
              </w:rPr>
              <w:t>44</w:t>
            </w:r>
            <w:r w:rsidR="00026378" w:rsidRPr="00026378">
              <w:rPr>
                <w:rFonts w:ascii="Arial" w:hAnsi="Arial" w:cs="Arial"/>
                <w:noProof/>
                <w:sz w:val="18"/>
                <w:szCs w:val="18"/>
              </w:rPr>
              <w:t>)</w:t>
            </w:r>
            <w:r w:rsidRPr="00B95A09">
              <w:rPr>
                <w:rFonts w:ascii="Arial" w:hAnsi="Arial" w:cs="Arial"/>
                <w:sz w:val="18"/>
                <w:szCs w:val="18"/>
              </w:rPr>
              <w:fldChar w:fldCharType="end"/>
            </w:r>
          </w:p>
        </w:tc>
        <w:tc>
          <w:tcPr>
            <w:tcW w:w="345" w:type="dxa"/>
            <w:tcBorders>
              <w:top w:val="nil"/>
              <w:bottom w:val="nil"/>
              <w:right w:val="nil"/>
            </w:tcBorders>
          </w:tcPr>
          <w:p w14:paraId="24258B84" w14:textId="77777777" w:rsidR="005709A1" w:rsidRPr="006A3F23" w:rsidRDefault="005709A1" w:rsidP="0038169D">
            <w:pPr>
              <w:jc w:val="center"/>
              <w:rPr>
                <w:rFonts w:ascii="Arial" w:hAnsi="Arial" w:cs="Arial"/>
                <w:b/>
                <w:sz w:val="20"/>
                <w:szCs w:val="20"/>
              </w:rPr>
            </w:pPr>
          </w:p>
        </w:tc>
        <w:tc>
          <w:tcPr>
            <w:tcW w:w="1824" w:type="dxa"/>
            <w:tcBorders>
              <w:top w:val="nil"/>
              <w:left w:val="nil"/>
              <w:bottom w:val="nil"/>
              <w:right w:val="nil"/>
            </w:tcBorders>
          </w:tcPr>
          <w:p w14:paraId="0A7532E7" w14:textId="4D0717B6" w:rsidR="005709A1" w:rsidRPr="006A3F23" w:rsidRDefault="005709A1" w:rsidP="0038169D">
            <w:pPr>
              <w:jc w:val="center"/>
              <w:rPr>
                <w:rFonts w:ascii="Arial" w:hAnsi="Arial" w:cs="Arial"/>
                <w:b/>
                <w:sz w:val="20"/>
                <w:szCs w:val="20"/>
              </w:rPr>
            </w:pPr>
          </w:p>
        </w:tc>
      </w:tr>
      <w:tr w:rsidR="001579AD" w:rsidRPr="006A3F23" w14:paraId="20AAC81C" w14:textId="77777777" w:rsidTr="000207ED">
        <w:tc>
          <w:tcPr>
            <w:tcW w:w="2873" w:type="dxa"/>
          </w:tcPr>
          <w:p w14:paraId="514074A1" w14:textId="56AC7564" w:rsidR="001579AD" w:rsidRPr="006A3F23" w:rsidRDefault="00051C00" w:rsidP="001579AD">
            <w:pPr>
              <w:jc w:val="right"/>
              <w:rPr>
                <w:rFonts w:ascii="Arial" w:hAnsi="Arial" w:cs="Arial"/>
                <w:bCs/>
                <w:sz w:val="20"/>
                <w:szCs w:val="20"/>
              </w:rPr>
            </w:pPr>
            <w:r>
              <w:rPr>
                <w:rFonts w:ascii="Arial" w:hAnsi="Arial" w:cs="Arial"/>
                <w:b/>
                <w:sz w:val="20"/>
                <w:szCs w:val="20"/>
              </w:rPr>
              <w:t>Study r</w:t>
            </w:r>
            <w:r w:rsidR="001579AD" w:rsidRPr="006A3F23">
              <w:rPr>
                <w:rFonts w:ascii="Arial" w:hAnsi="Arial" w:cs="Arial"/>
                <w:b/>
                <w:sz w:val="20"/>
                <w:szCs w:val="20"/>
              </w:rPr>
              <w:t xml:space="preserve">isk of </w:t>
            </w:r>
            <w:r w:rsidR="000207ED">
              <w:rPr>
                <w:rFonts w:ascii="Arial" w:hAnsi="Arial" w:cs="Arial"/>
                <w:b/>
                <w:sz w:val="20"/>
                <w:szCs w:val="20"/>
              </w:rPr>
              <w:t>b</w:t>
            </w:r>
            <w:r w:rsidR="001579AD" w:rsidRPr="006A3F23">
              <w:rPr>
                <w:rFonts w:ascii="Arial" w:hAnsi="Arial" w:cs="Arial"/>
                <w:b/>
                <w:sz w:val="20"/>
                <w:szCs w:val="20"/>
              </w:rPr>
              <w:t>ias:</w:t>
            </w:r>
          </w:p>
        </w:tc>
        <w:tc>
          <w:tcPr>
            <w:tcW w:w="1095" w:type="dxa"/>
            <w:shd w:val="pct15" w:color="auto" w:fill="auto"/>
          </w:tcPr>
          <w:p w14:paraId="453CC995" w14:textId="6A40C131" w:rsidR="001579AD" w:rsidRPr="006A3F23" w:rsidRDefault="001579AD" w:rsidP="0038169D">
            <w:pPr>
              <w:jc w:val="center"/>
              <w:rPr>
                <w:rFonts w:ascii="Arial" w:hAnsi="Arial" w:cs="Arial"/>
                <w:bCs/>
                <w:sz w:val="20"/>
                <w:szCs w:val="20"/>
              </w:rPr>
            </w:pPr>
            <w:r w:rsidRPr="006A3F23">
              <w:rPr>
                <w:rFonts w:ascii="Arial" w:hAnsi="Arial" w:cs="Arial"/>
                <w:bCs/>
                <w:sz w:val="20"/>
                <w:szCs w:val="20"/>
              </w:rPr>
              <w:t>Serious</w:t>
            </w:r>
          </w:p>
        </w:tc>
        <w:tc>
          <w:tcPr>
            <w:tcW w:w="7818" w:type="dxa"/>
            <w:gridSpan w:val="7"/>
            <w:shd w:val="pct45" w:color="auto" w:fill="auto"/>
          </w:tcPr>
          <w:p w14:paraId="480E2003"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Critical</w:t>
            </w:r>
          </w:p>
        </w:tc>
        <w:tc>
          <w:tcPr>
            <w:tcW w:w="345" w:type="dxa"/>
            <w:tcBorders>
              <w:top w:val="nil"/>
              <w:bottom w:val="nil"/>
              <w:right w:val="nil"/>
            </w:tcBorders>
          </w:tcPr>
          <w:p w14:paraId="1B9D6214" w14:textId="77777777" w:rsidR="001579AD" w:rsidRPr="006A3F23" w:rsidRDefault="001579AD" w:rsidP="006A3F23">
            <w:pPr>
              <w:rPr>
                <w:rFonts w:ascii="Arial" w:hAnsi="Arial" w:cs="Arial"/>
                <w:b/>
                <w:sz w:val="20"/>
                <w:szCs w:val="20"/>
              </w:rPr>
            </w:pPr>
          </w:p>
        </w:tc>
        <w:tc>
          <w:tcPr>
            <w:tcW w:w="1824" w:type="dxa"/>
            <w:vMerge w:val="restart"/>
            <w:tcBorders>
              <w:top w:val="nil"/>
              <w:left w:val="nil"/>
              <w:right w:val="nil"/>
            </w:tcBorders>
          </w:tcPr>
          <w:p w14:paraId="3642B725" w14:textId="64AD4637" w:rsidR="001579AD" w:rsidRPr="006A3F23" w:rsidRDefault="001579AD" w:rsidP="006A3F23">
            <w:pPr>
              <w:rPr>
                <w:rFonts w:ascii="Arial" w:hAnsi="Arial" w:cs="Arial"/>
                <w:b/>
                <w:sz w:val="20"/>
                <w:szCs w:val="20"/>
              </w:rPr>
            </w:pPr>
            <w:r w:rsidRPr="006A3F23">
              <w:rPr>
                <w:rFonts w:ascii="Arial" w:hAnsi="Arial" w:cs="Arial"/>
                <w:b/>
                <w:sz w:val="20"/>
                <w:szCs w:val="20"/>
              </w:rPr>
              <w:t>Key</w:t>
            </w:r>
            <w:r>
              <w:rPr>
                <w:rFonts w:ascii="Arial" w:hAnsi="Arial" w:cs="Arial"/>
                <w:b/>
                <w:sz w:val="20"/>
                <w:szCs w:val="20"/>
              </w:rPr>
              <w:t>:</w:t>
            </w:r>
          </w:p>
          <w:p w14:paraId="3878DAD0" w14:textId="77777777" w:rsidR="001579AD" w:rsidRPr="006A3F23" w:rsidRDefault="001579AD" w:rsidP="006A3F23">
            <w:pPr>
              <w:rPr>
                <w:rFonts w:ascii="Arial" w:hAnsi="Arial" w:cs="Arial"/>
                <w:b/>
                <w:sz w:val="20"/>
                <w:szCs w:val="20"/>
              </w:rPr>
            </w:pPr>
          </w:p>
          <w:p w14:paraId="0F6F2546" w14:textId="3AC16881" w:rsidR="001579AD" w:rsidRPr="006A3F23" w:rsidRDefault="001579AD" w:rsidP="006A3F23">
            <w:pPr>
              <w:rPr>
                <w:rFonts w:ascii="Arial" w:hAnsi="Arial" w:cs="Arial"/>
                <w:bCs/>
                <w:sz w:val="20"/>
                <w:szCs w:val="20"/>
              </w:rPr>
            </w:pPr>
            <w:r w:rsidRPr="006A3F23">
              <w:rPr>
                <w:rFonts w:ascii="Arial" w:hAnsi="Arial" w:cs="Arial"/>
                <w:bCs/>
                <w:sz w:val="20"/>
                <w:szCs w:val="20"/>
              </w:rPr>
              <w:t>CBA: controlled before &amp; after</w:t>
            </w:r>
            <w:r w:rsidR="00EE5463">
              <w:rPr>
                <w:rFonts w:ascii="Arial" w:hAnsi="Arial" w:cs="Arial"/>
                <w:bCs/>
                <w:sz w:val="20"/>
                <w:szCs w:val="20"/>
              </w:rPr>
              <w:t xml:space="preserve"> study</w:t>
            </w:r>
          </w:p>
          <w:p w14:paraId="35F59B63" w14:textId="77777777" w:rsidR="001579AD" w:rsidRPr="006A3F23" w:rsidRDefault="001579AD" w:rsidP="006A3F23">
            <w:pPr>
              <w:rPr>
                <w:rFonts w:ascii="Arial" w:hAnsi="Arial" w:cs="Arial"/>
                <w:bCs/>
                <w:sz w:val="20"/>
                <w:szCs w:val="20"/>
              </w:rPr>
            </w:pPr>
          </w:p>
          <w:p w14:paraId="2A56FE35" w14:textId="0A519FA6" w:rsidR="001579AD" w:rsidRPr="006A3F23" w:rsidRDefault="001579AD" w:rsidP="006A3F23">
            <w:pPr>
              <w:rPr>
                <w:rFonts w:ascii="Arial" w:hAnsi="Arial" w:cs="Arial"/>
                <w:bCs/>
                <w:sz w:val="20"/>
                <w:szCs w:val="20"/>
              </w:rPr>
            </w:pPr>
            <w:r w:rsidRPr="006A3F23">
              <w:rPr>
                <w:rFonts w:ascii="Arial" w:hAnsi="Arial" w:cs="Arial"/>
                <w:bCs/>
                <w:sz w:val="20"/>
                <w:szCs w:val="20"/>
              </w:rPr>
              <w:t>UBA: uncontrolled before &amp; after</w:t>
            </w:r>
            <w:r w:rsidR="00EE5463">
              <w:rPr>
                <w:rFonts w:ascii="Arial" w:hAnsi="Arial" w:cs="Arial"/>
                <w:bCs/>
                <w:sz w:val="20"/>
                <w:szCs w:val="20"/>
              </w:rPr>
              <w:t xml:space="preserve"> study</w:t>
            </w:r>
          </w:p>
          <w:p w14:paraId="6662F78A" w14:textId="77777777" w:rsidR="001579AD" w:rsidRPr="006A3F23" w:rsidRDefault="001579AD" w:rsidP="006A3F23">
            <w:pPr>
              <w:rPr>
                <w:rFonts w:ascii="Arial" w:hAnsi="Arial" w:cs="Arial"/>
                <w:b/>
                <w:sz w:val="20"/>
                <w:szCs w:val="20"/>
              </w:rPr>
            </w:pPr>
          </w:p>
          <w:p w14:paraId="7DBF637D" w14:textId="77777777" w:rsidR="001579AD" w:rsidRPr="006A3F23" w:rsidRDefault="001579AD" w:rsidP="006A3F23">
            <w:pPr>
              <w:rPr>
                <w:rFonts w:ascii="Arial" w:hAnsi="Arial" w:cs="Arial"/>
                <w:b/>
                <w:sz w:val="20"/>
                <w:szCs w:val="20"/>
              </w:rPr>
            </w:pPr>
            <w:r w:rsidRPr="006A3F23">
              <w:rPr>
                <w:rFonts w:ascii="Arial" w:hAnsi="Arial" w:cs="Arial"/>
                <w:sz w:val="20"/>
                <w:szCs w:val="20"/>
              </w:rPr>
              <w:t>▲</w:t>
            </w:r>
            <w:proofErr w:type="gramStart"/>
            <w:r w:rsidRPr="006A3F23">
              <w:rPr>
                <w:rFonts w:ascii="Arial" w:hAnsi="Arial" w:cs="Arial"/>
                <w:sz w:val="20"/>
                <w:szCs w:val="20"/>
              </w:rPr>
              <w:t>Favours</w:t>
            </w:r>
            <w:proofErr w:type="gramEnd"/>
            <w:r w:rsidRPr="006A3F23">
              <w:rPr>
                <w:rFonts w:ascii="Arial" w:hAnsi="Arial" w:cs="Arial"/>
                <w:sz w:val="20"/>
                <w:szCs w:val="20"/>
              </w:rPr>
              <w:t xml:space="preserve"> policy</w:t>
            </w:r>
          </w:p>
          <w:p w14:paraId="3258A401" w14:textId="77777777" w:rsidR="001579AD" w:rsidRPr="006A3F23" w:rsidRDefault="001579AD" w:rsidP="006A3F23">
            <w:pPr>
              <w:rPr>
                <w:rFonts w:ascii="Arial" w:hAnsi="Arial" w:cs="Arial"/>
                <w:sz w:val="20"/>
                <w:szCs w:val="20"/>
              </w:rPr>
            </w:pPr>
          </w:p>
          <w:p w14:paraId="0D987BEE" w14:textId="424F6F05" w:rsidR="001579AD" w:rsidRPr="006A3F23" w:rsidRDefault="001579AD" w:rsidP="006A3F23">
            <w:pPr>
              <w:rPr>
                <w:rFonts w:ascii="Arial" w:hAnsi="Arial" w:cs="Arial"/>
                <w:sz w:val="20"/>
                <w:szCs w:val="20"/>
              </w:rPr>
            </w:pPr>
            <w:r w:rsidRPr="006A3F23">
              <w:rPr>
                <w:rFonts w:ascii="Arial" w:hAnsi="Arial" w:cs="Arial"/>
                <w:sz w:val="20"/>
                <w:szCs w:val="20"/>
              </w:rPr>
              <w:t>◄►No clear effec</w:t>
            </w:r>
            <w:r w:rsidR="007E3ADA">
              <w:rPr>
                <w:rFonts w:ascii="Arial" w:hAnsi="Arial" w:cs="Arial"/>
                <w:sz w:val="20"/>
                <w:szCs w:val="20"/>
              </w:rPr>
              <w:t>t</w:t>
            </w:r>
            <w:r w:rsidRPr="006A3F23">
              <w:rPr>
                <w:rFonts w:ascii="Arial" w:hAnsi="Arial" w:cs="Arial"/>
                <w:sz w:val="20"/>
                <w:szCs w:val="20"/>
              </w:rPr>
              <w:t>/conflicting findings</w:t>
            </w:r>
          </w:p>
          <w:p w14:paraId="2DD70A77" w14:textId="77777777" w:rsidR="001579AD" w:rsidRPr="006A3F23" w:rsidRDefault="001579AD" w:rsidP="006A3F23">
            <w:pPr>
              <w:rPr>
                <w:rFonts w:ascii="Arial" w:hAnsi="Arial" w:cs="Arial"/>
                <w:sz w:val="20"/>
                <w:szCs w:val="20"/>
              </w:rPr>
            </w:pPr>
          </w:p>
          <w:p w14:paraId="2DB94921" w14:textId="77777777" w:rsidR="001579AD" w:rsidRPr="006A3F23" w:rsidRDefault="001579AD" w:rsidP="006A3F23">
            <w:pPr>
              <w:rPr>
                <w:rFonts w:ascii="Arial" w:hAnsi="Arial" w:cs="Arial"/>
                <w:sz w:val="20"/>
                <w:szCs w:val="20"/>
              </w:rPr>
            </w:pPr>
            <w:r w:rsidRPr="006A3F23">
              <w:rPr>
                <w:rFonts w:ascii="Arial" w:hAnsi="Arial" w:cs="Arial"/>
                <w:sz w:val="20"/>
                <w:szCs w:val="20"/>
              </w:rPr>
              <w:t>▼Does not favour policy</w:t>
            </w:r>
          </w:p>
          <w:p w14:paraId="38373EEC" w14:textId="77777777" w:rsidR="001579AD" w:rsidRPr="006A3F23" w:rsidRDefault="001579AD" w:rsidP="006A3F23">
            <w:pPr>
              <w:rPr>
                <w:rFonts w:ascii="Arial" w:hAnsi="Arial" w:cs="Arial"/>
                <w:bCs/>
                <w:sz w:val="20"/>
                <w:szCs w:val="20"/>
              </w:rPr>
            </w:pPr>
          </w:p>
          <w:p w14:paraId="3A75A599" w14:textId="77777777" w:rsidR="001579AD" w:rsidRPr="006A3F23" w:rsidRDefault="001579AD" w:rsidP="006A3F23">
            <w:pPr>
              <w:rPr>
                <w:rFonts w:ascii="Arial" w:hAnsi="Arial" w:cs="Arial"/>
                <w:bCs/>
                <w:sz w:val="20"/>
                <w:szCs w:val="20"/>
              </w:rPr>
            </w:pPr>
            <w:r w:rsidRPr="006A3F23">
              <w:rPr>
                <w:rFonts w:ascii="Arial" w:hAnsi="Arial" w:cs="Arial"/>
                <w:bCs/>
                <w:sz w:val="20"/>
                <w:szCs w:val="20"/>
              </w:rPr>
              <w:t>NS:</w:t>
            </w:r>
          </w:p>
          <w:p w14:paraId="68E6A543" w14:textId="77777777" w:rsidR="001579AD" w:rsidRDefault="001579AD" w:rsidP="006A3F23">
            <w:pPr>
              <w:rPr>
                <w:rFonts w:ascii="Arial" w:hAnsi="Arial" w:cs="Arial"/>
                <w:bCs/>
                <w:sz w:val="20"/>
                <w:szCs w:val="20"/>
              </w:rPr>
            </w:pPr>
            <w:r w:rsidRPr="006A3F23">
              <w:rPr>
                <w:rFonts w:ascii="Arial" w:hAnsi="Arial" w:cs="Arial"/>
                <w:bCs/>
                <w:sz w:val="20"/>
                <w:szCs w:val="20"/>
              </w:rPr>
              <w:t>never smokers</w:t>
            </w:r>
            <w:r>
              <w:rPr>
                <w:rFonts w:ascii="Arial" w:hAnsi="Arial" w:cs="Arial"/>
                <w:bCs/>
                <w:sz w:val="20"/>
                <w:szCs w:val="20"/>
              </w:rPr>
              <w:t xml:space="preserve"> </w:t>
            </w:r>
          </w:p>
          <w:p w14:paraId="4E5EAB75" w14:textId="780813A5" w:rsidR="001579AD" w:rsidRPr="006A3F23" w:rsidRDefault="001579AD" w:rsidP="006A3F23">
            <w:pPr>
              <w:rPr>
                <w:rFonts w:ascii="Arial" w:hAnsi="Arial" w:cs="Arial"/>
                <w:bCs/>
                <w:sz w:val="20"/>
                <w:szCs w:val="20"/>
              </w:rPr>
            </w:pPr>
            <w:r>
              <w:rPr>
                <w:rFonts w:ascii="Arial" w:hAnsi="Arial" w:cs="Arial"/>
                <w:bCs/>
                <w:sz w:val="20"/>
                <w:szCs w:val="20"/>
              </w:rPr>
              <w:t>(sub-group)</w:t>
            </w:r>
          </w:p>
          <w:p w14:paraId="20E48F48" w14:textId="77777777" w:rsidR="001579AD" w:rsidRPr="006A3F23" w:rsidRDefault="001579AD" w:rsidP="006A3F23">
            <w:pPr>
              <w:rPr>
                <w:rFonts w:ascii="Arial" w:hAnsi="Arial" w:cs="Arial"/>
                <w:bCs/>
                <w:sz w:val="20"/>
                <w:szCs w:val="20"/>
              </w:rPr>
            </w:pPr>
          </w:p>
          <w:p w14:paraId="7B598695" w14:textId="77777777" w:rsidR="001579AD" w:rsidRPr="006A3F23" w:rsidRDefault="001579AD" w:rsidP="006A3F23">
            <w:pPr>
              <w:rPr>
                <w:rFonts w:ascii="Arial" w:hAnsi="Arial" w:cs="Arial"/>
                <w:bCs/>
                <w:sz w:val="20"/>
                <w:szCs w:val="20"/>
              </w:rPr>
            </w:pPr>
            <w:r w:rsidRPr="006A3F23">
              <w:rPr>
                <w:rFonts w:ascii="Arial" w:hAnsi="Arial" w:cs="Arial"/>
                <w:bCs/>
                <w:sz w:val="20"/>
                <w:szCs w:val="20"/>
              </w:rPr>
              <w:t>FS:</w:t>
            </w:r>
          </w:p>
          <w:p w14:paraId="30045868" w14:textId="77777777" w:rsidR="001579AD" w:rsidRDefault="001579AD" w:rsidP="006A3F23">
            <w:pPr>
              <w:rPr>
                <w:rFonts w:ascii="Arial" w:hAnsi="Arial" w:cs="Arial"/>
                <w:bCs/>
                <w:sz w:val="20"/>
                <w:szCs w:val="20"/>
              </w:rPr>
            </w:pPr>
            <w:r w:rsidRPr="006A3F23">
              <w:rPr>
                <w:rFonts w:ascii="Arial" w:hAnsi="Arial" w:cs="Arial"/>
                <w:bCs/>
                <w:sz w:val="20"/>
                <w:szCs w:val="20"/>
              </w:rPr>
              <w:t>former smokers</w:t>
            </w:r>
          </w:p>
          <w:p w14:paraId="31C06659" w14:textId="77777777" w:rsidR="001579AD" w:rsidRPr="006A3F23" w:rsidRDefault="001579AD" w:rsidP="006A3F23">
            <w:pPr>
              <w:rPr>
                <w:rFonts w:ascii="Arial" w:hAnsi="Arial" w:cs="Arial"/>
                <w:bCs/>
                <w:sz w:val="20"/>
                <w:szCs w:val="20"/>
              </w:rPr>
            </w:pPr>
            <w:r>
              <w:rPr>
                <w:rFonts w:ascii="Arial" w:hAnsi="Arial" w:cs="Arial"/>
                <w:bCs/>
                <w:sz w:val="20"/>
                <w:szCs w:val="20"/>
              </w:rPr>
              <w:t>(sub-group)</w:t>
            </w:r>
          </w:p>
          <w:p w14:paraId="48946FCB" w14:textId="77777777" w:rsidR="001579AD" w:rsidRDefault="001579AD" w:rsidP="006A3F23">
            <w:pPr>
              <w:rPr>
                <w:rFonts w:ascii="Arial" w:hAnsi="Arial" w:cs="Arial"/>
                <w:bCs/>
                <w:sz w:val="20"/>
                <w:szCs w:val="20"/>
              </w:rPr>
            </w:pPr>
          </w:p>
          <w:p w14:paraId="2BFCA59E" w14:textId="77A0BA0F" w:rsidR="001579AD" w:rsidRDefault="001579AD" w:rsidP="006A3F23">
            <w:pPr>
              <w:rPr>
                <w:rFonts w:ascii="Arial" w:hAnsi="Arial" w:cs="Arial"/>
                <w:bCs/>
                <w:sz w:val="20"/>
                <w:szCs w:val="20"/>
              </w:rPr>
            </w:pPr>
            <w:r>
              <w:rPr>
                <w:rFonts w:ascii="Arial" w:hAnsi="Arial" w:cs="Arial"/>
                <w:bCs/>
                <w:sz w:val="20"/>
                <w:szCs w:val="20"/>
              </w:rPr>
              <w:t>*</w:t>
            </w:r>
            <w:r w:rsidR="000207ED">
              <w:rPr>
                <w:rFonts w:ascii="Arial" w:hAnsi="Arial" w:cs="Arial"/>
                <w:bCs/>
                <w:sz w:val="20"/>
                <w:szCs w:val="20"/>
              </w:rPr>
              <w:t xml:space="preserve"> </w:t>
            </w:r>
            <w:r w:rsidRPr="006A3F23">
              <w:rPr>
                <w:rFonts w:ascii="Arial" w:hAnsi="Arial" w:cs="Arial"/>
                <w:bCs/>
                <w:sz w:val="20"/>
                <w:szCs w:val="20"/>
              </w:rPr>
              <w:t>tobacco-related illnesses/injuries</w:t>
            </w:r>
          </w:p>
          <w:p w14:paraId="08EAA382" w14:textId="77777777" w:rsidR="000207ED" w:rsidRDefault="000207ED" w:rsidP="006A3F23">
            <w:pPr>
              <w:rPr>
                <w:rFonts w:ascii="Arial" w:hAnsi="Arial" w:cs="Arial"/>
                <w:bCs/>
                <w:sz w:val="20"/>
                <w:szCs w:val="20"/>
              </w:rPr>
            </w:pPr>
          </w:p>
          <w:p w14:paraId="348D02A2" w14:textId="619780B0" w:rsidR="000207ED" w:rsidRPr="006A3F23" w:rsidRDefault="000207ED" w:rsidP="006A3F23">
            <w:pPr>
              <w:rPr>
                <w:rFonts w:ascii="Arial" w:hAnsi="Arial" w:cs="Arial"/>
                <w:bCs/>
                <w:sz w:val="20"/>
                <w:szCs w:val="20"/>
              </w:rPr>
            </w:pPr>
            <w:r>
              <w:rPr>
                <w:rFonts w:ascii="Arial" w:hAnsi="Arial" w:cs="Arial"/>
                <w:bCs/>
                <w:sz w:val="20"/>
                <w:szCs w:val="20"/>
              </w:rPr>
              <w:t>^ Outcome length of follow-up</w:t>
            </w:r>
          </w:p>
        </w:tc>
      </w:tr>
      <w:tr w:rsidR="001579AD" w:rsidRPr="006A3F23" w14:paraId="1C0D0D3A" w14:textId="77777777" w:rsidTr="0038169D">
        <w:tc>
          <w:tcPr>
            <w:tcW w:w="2873" w:type="dxa"/>
          </w:tcPr>
          <w:p w14:paraId="61311634" w14:textId="58FCA60E" w:rsidR="001579AD" w:rsidRPr="006A3F23" w:rsidRDefault="001579AD" w:rsidP="001579AD">
            <w:pPr>
              <w:jc w:val="right"/>
              <w:rPr>
                <w:rFonts w:ascii="Arial" w:hAnsi="Arial" w:cs="Arial"/>
                <w:bCs/>
                <w:sz w:val="20"/>
                <w:szCs w:val="20"/>
              </w:rPr>
            </w:pPr>
            <w:r w:rsidRPr="006A3F23">
              <w:rPr>
                <w:rFonts w:ascii="Arial" w:hAnsi="Arial" w:cs="Arial"/>
                <w:b/>
                <w:sz w:val="20"/>
                <w:szCs w:val="20"/>
              </w:rPr>
              <w:t xml:space="preserve">Intervention </w:t>
            </w:r>
            <w:r w:rsidR="000207ED">
              <w:rPr>
                <w:rFonts w:ascii="Arial" w:hAnsi="Arial" w:cs="Arial"/>
                <w:b/>
                <w:sz w:val="20"/>
                <w:szCs w:val="20"/>
              </w:rPr>
              <w:t>t</w:t>
            </w:r>
            <w:r w:rsidRPr="006A3F23">
              <w:rPr>
                <w:rFonts w:ascii="Arial" w:hAnsi="Arial" w:cs="Arial"/>
                <w:b/>
                <w:sz w:val="20"/>
                <w:szCs w:val="20"/>
              </w:rPr>
              <w:t>ype:</w:t>
            </w:r>
          </w:p>
        </w:tc>
        <w:tc>
          <w:tcPr>
            <w:tcW w:w="1095" w:type="dxa"/>
          </w:tcPr>
          <w:p w14:paraId="6A4759F6" w14:textId="30C719AF" w:rsidR="001579AD" w:rsidRPr="006A3F23" w:rsidRDefault="001579AD" w:rsidP="0038169D">
            <w:pPr>
              <w:jc w:val="center"/>
              <w:rPr>
                <w:rFonts w:ascii="Arial" w:hAnsi="Arial" w:cs="Arial"/>
                <w:bCs/>
                <w:sz w:val="20"/>
                <w:szCs w:val="20"/>
              </w:rPr>
            </w:pPr>
            <w:r w:rsidRPr="006A3F23">
              <w:rPr>
                <w:rFonts w:ascii="Arial" w:hAnsi="Arial" w:cs="Arial"/>
                <w:bCs/>
                <w:sz w:val="20"/>
                <w:szCs w:val="20"/>
              </w:rPr>
              <w:t>Partial site ban</w:t>
            </w:r>
          </w:p>
        </w:tc>
        <w:tc>
          <w:tcPr>
            <w:tcW w:w="2106" w:type="dxa"/>
            <w:gridSpan w:val="2"/>
          </w:tcPr>
          <w:p w14:paraId="4E5316C5" w14:textId="5FF888E6" w:rsidR="001579AD" w:rsidRPr="006A3F23" w:rsidRDefault="001579AD" w:rsidP="0038169D">
            <w:pPr>
              <w:jc w:val="center"/>
              <w:rPr>
                <w:rFonts w:ascii="Arial" w:hAnsi="Arial" w:cs="Arial"/>
                <w:bCs/>
                <w:sz w:val="20"/>
                <w:szCs w:val="20"/>
              </w:rPr>
            </w:pPr>
            <w:r w:rsidRPr="006A3F23">
              <w:rPr>
                <w:rFonts w:ascii="Arial" w:hAnsi="Arial" w:cs="Arial"/>
                <w:bCs/>
                <w:sz w:val="20"/>
                <w:szCs w:val="20"/>
              </w:rPr>
              <w:t>Whole</w:t>
            </w:r>
            <w:r w:rsidR="00540FE2">
              <w:rPr>
                <w:rFonts w:ascii="Arial" w:hAnsi="Arial" w:cs="Arial"/>
                <w:bCs/>
                <w:sz w:val="20"/>
                <w:szCs w:val="20"/>
              </w:rPr>
              <w:t>-</w:t>
            </w:r>
            <w:r w:rsidRPr="006A3F23">
              <w:rPr>
                <w:rFonts w:ascii="Arial" w:hAnsi="Arial" w:cs="Arial"/>
                <w:bCs/>
                <w:sz w:val="20"/>
                <w:szCs w:val="20"/>
              </w:rPr>
              <w:t>site ban</w:t>
            </w:r>
          </w:p>
        </w:tc>
        <w:tc>
          <w:tcPr>
            <w:tcW w:w="5712" w:type="dxa"/>
            <w:gridSpan w:val="5"/>
          </w:tcPr>
          <w:p w14:paraId="649D6CB0"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24/7 prohibition of all tobacco products</w:t>
            </w:r>
          </w:p>
        </w:tc>
        <w:tc>
          <w:tcPr>
            <w:tcW w:w="345" w:type="dxa"/>
            <w:tcBorders>
              <w:top w:val="nil"/>
              <w:bottom w:val="nil"/>
              <w:right w:val="nil"/>
            </w:tcBorders>
          </w:tcPr>
          <w:p w14:paraId="41603044" w14:textId="77777777" w:rsidR="001579AD" w:rsidRPr="006A3F23" w:rsidRDefault="001579AD" w:rsidP="006A3F23">
            <w:pPr>
              <w:rPr>
                <w:rFonts w:ascii="Arial" w:hAnsi="Arial" w:cs="Arial"/>
                <w:bCs/>
                <w:sz w:val="20"/>
                <w:szCs w:val="20"/>
              </w:rPr>
            </w:pPr>
          </w:p>
        </w:tc>
        <w:tc>
          <w:tcPr>
            <w:tcW w:w="1824" w:type="dxa"/>
            <w:vMerge/>
            <w:tcBorders>
              <w:left w:val="nil"/>
              <w:right w:val="nil"/>
            </w:tcBorders>
          </w:tcPr>
          <w:p w14:paraId="065F9613" w14:textId="7FC84731" w:rsidR="001579AD" w:rsidRPr="006A3F23" w:rsidRDefault="001579AD" w:rsidP="006A3F23">
            <w:pPr>
              <w:rPr>
                <w:rFonts w:ascii="Arial" w:hAnsi="Arial" w:cs="Arial"/>
                <w:bCs/>
                <w:sz w:val="20"/>
                <w:szCs w:val="20"/>
              </w:rPr>
            </w:pPr>
          </w:p>
        </w:tc>
      </w:tr>
      <w:tr w:rsidR="001579AD" w:rsidRPr="006A3F23" w14:paraId="693DCB31" w14:textId="77777777" w:rsidTr="0038169D">
        <w:tc>
          <w:tcPr>
            <w:tcW w:w="2873" w:type="dxa"/>
          </w:tcPr>
          <w:p w14:paraId="7C8306AA" w14:textId="12AA4282" w:rsidR="001579AD" w:rsidRPr="006A3F23" w:rsidRDefault="001579AD" w:rsidP="001579AD">
            <w:pPr>
              <w:jc w:val="right"/>
              <w:rPr>
                <w:rFonts w:ascii="Arial" w:hAnsi="Arial" w:cs="Arial"/>
                <w:bCs/>
                <w:sz w:val="20"/>
                <w:szCs w:val="20"/>
              </w:rPr>
            </w:pPr>
            <w:r>
              <w:rPr>
                <w:rFonts w:ascii="Arial" w:hAnsi="Arial" w:cs="Arial"/>
                <w:b/>
                <w:sz w:val="20"/>
                <w:szCs w:val="20"/>
              </w:rPr>
              <w:t xml:space="preserve">Length of </w:t>
            </w:r>
            <w:r w:rsidR="000207ED">
              <w:rPr>
                <w:rFonts w:ascii="Arial" w:hAnsi="Arial" w:cs="Arial"/>
                <w:b/>
                <w:sz w:val="20"/>
                <w:szCs w:val="20"/>
              </w:rPr>
              <w:t>f</w:t>
            </w:r>
            <w:r>
              <w:rPr>
                <w:rFonts w:ascii="Arial" w:hAnsi="Arial" w:cs="Arial"/>
                <w:b/>
                <w:sz w:val="20"/>
                <w:szCs w:val="20"/>
              </w:rPr>
              <w:t>ollow-</w:t>
            </w:r>
            <w:r w:rsidR="000207ED">
              <w:rPr>
                <w:rFonts w:ascii="Arial" w:hAnsi="Arial" w:cs="Arial"/>
                <w:b/>
                <w:sz w:val="20"/>
                <w:szCs w:val="20"/>
              </w:rPr>
              <w:t>u</w:t>
            </w:r>
            <w:r>
              <w:rPr>
                <w:rFonts w:ascii="Arial" w:hAnsi="Arial" w:cs="Arial"/>
                <w:b/>
                <w:sz w:val="20"/>
                <w:szCs w:val="20"/>
              </w:rPr>
              <w:t>p:</w:t>
            </w:r>
          </w:p>
        </w:tc>
        <w:tc>
          <w:tcPr>
            <w:tcW w:w="1095" w:type="dxa"/>
          </w:tcPr>
          <w:p w14:paraId="470E056D" w14:textId="277D5067" w:rsidR="001579AD" w:rsidRPr="006A3F23" w:rsidRDefault="005709A1" w:rsidP="0038169D">
            <w:pPr>
              <w:jc w:val="center"/>
              <w:rPr>
                <w:rFonts w:ascii="Arial" w:hAnsi="Arial" w:cs="Arial"/>
                <w:bCs/>
                <w:sz w:val="20"/>
                <w:szCs w:val="20"/>
              </w:rPr>
            </w:pPr>
            <w:r>
              <w:rPr>
                <w:rFonts w:ascii="Arial" w:hAnsi="Arial" w:cs="Arial"/>
                <w:bCs/>
                <w:sz w:val="20"/>
                <w:szCs w:val="20"/>
              </w:rPr>
              <w:t>8 weeks</w:t>
            </w:r>
          </w:p>
        </w:tc>
        <w:tc>
          <w:tcPr>
            <w:tcW w:w="1053" w:type="dxa"/>
          </w:tcPr>
          <w:p w14:paraId="7FF310B1" w14:textId="00C1D6A5" w:rsidR="001579AD" w:rsidRPr="006A3F23" w:rsidRDefault="000207ED" w:rsidP="0038169D">
            <w:pPr>
              <w:jc w:val="center"/>
              <w:rPr>
                <w:rFonts w:ascii="Arial" w:hAnsi="Arial" w:cs="Arial"/>
                <w:bCs/>
                <w:sz w:val="20"/>
                <w:szCs w:val="20"/>
              </w:rPr>
            </w:pPr>
            <w:r>
              <w:rPr>
                <w:rFonts w:ascii="Arial" w:hAnsi="Arial" w:cs="Arial"/>
                <w:bCs/>
                <w:sz w:val="20"/>
                <w:szCs w:val="20"/>
              </w:rPr>
              <w:t>Outcome dependent</w:t>
            </w:r>
          </w:p>
        </w:tc>
        <w:tc>
          <w:tcPr>
            <w:tcW w:w="1053" w:type="dxa"/>
          </w:tcPr>
          <w:p w14:paraId="2AD45E4C" w14:textId="5D5AB60D" w:rsidR="001579AD" w:rsidRPr="006A3F23" w:rsidRDefault="000207ED" w:rsidP="0038169D">
            <w:pPr>
              <w:jc w:val="center"/>
              <w:rPr>
                <w:rFonts w:ascii="Arial" w:hAnsi="Arial" w:cs="Arial"/>
                <w:bCs/>
                <w:sz w:val="20"/>
                <w:szCs w:val="20"/>
              </w:rPr>
            </w:pPr>
            <w:r>
              <w:rPr>
                <w:rFonts w:ascii="Arial" w:hAnsi="Arial" w:cs="Arial"/>
                <w:bCs/>
                <w:sz w:val="20"/>
                <w:szCs w:val="20"/>
              </w:rPr>
              <w:t>1 year</w:t>
            </w:r>
          </w:p>
        </w:tc>
        <w:tc>
          <w:tcPr>
            <w:tcW w:w="1137" w:type="dxa"/>
          </w:tcPr>
          <w:p w14:paraId="30325729" w14:textId="56EE020B" w:rsidR="001579AD" w:rsidRPr="006A3F23" w:rsidRDefault="005709A1" w:rsidP="0038169D">
            <w:pPr>
              <w:jc w:val="center"/>
              <w:rPr>
                <w:rFonts w:ascii="Arial" w:hAnsi="Arial" w:cs="Arial"/>
                <w:bCs/>
                <w:sz w:val="20"/>
                <w:szCs w:val="20"/>
              </w:rPr>
            </w:pPr>
            <w:r>
              <w:rPr>
                <w:rFonts w:ascii="Arial" w:hAnsi="Arial" w:cs="Arial"/>
                <w:bCs/>
                <w:sz w:val="20"/>
                <w:szCs w:val="20"/>
              </w:rPr>
              <w:t>8 weeks</w:t>
            </w:r>
          </w:p>
        </w:tc>
        <w:tc>
          <w:tcPr>
            <w:tcW w:w="1171" w:type="dxa"/>
          </w:tcPr>
          <w:p w14:paraId="164699A9" w14:textId="23227AE4" w:rsidR="001579AD" w:rsidRPr="006A3F23" w:rsidRDefault="005709A1" w:rsidP="0038169D">
            <w:pPr>
              <w:jc w:val="center"/>
              <w:rPr>
                <w:rFonts w:ascii="Arial" w:hAnsi="Arial" w:cs="Arial"/>
                <w:bCs/>
                <w:sz w:val="20"/>
                <w:szCs w:val="20"/>
              </w:rPr>
            </w:pPr>
            <w:r>
              <w:rPr>
                <w:rFonts w:ascii="Arial" w:hAnsi="Arial" w:cs="Arial"/>
                <w:bCs/>
                <w:sz w:val="20"/>
                <w:szCs w:val="20"/>
              </w:rPr>
              <w:t>6 months</w:t>
            </w:r>
          </w:p>
        </w:tc>
        <w:tc>
          <w:tcPr>
            <w:tcW w:w="1112" w:type="dxa"/>
          </w:tcPr>
          <w:p w14:paraId="2D81B319" w14:textId="6710ABC8" w:rsidR="001579AD" w:rsidRPr="006A3F23" w:rsidRDefault="005709A1" w:rsidP="0038169D">
            <w:pPr>
              <w:jc w:val="center"/>
              <w:rPr>
                <w:rFonts w:ascii="Arial" w:hAnsi="Arial" w:cs="Arial"/>
                <w:bCs/>
                <w:sz w:val="20"/>
                <w:szCs w:val="20"/>
              </w:rPr>
            </w:pPr>
            <w:r>
              <w:rPr>
                <w:rFonts w:ascii="Arial" w:hAnsi="Arial" w:cs="Arial"/>
                <w:bCs/>
                <w:sz w:val="20"/>
                <w:szCs w:val="20"/>
              </w:rPr>
              <w:t>1 year</w:t>
            </w:r>
          </w:p>
        </w:tc>
        <w:tc>
          <w:tcPr>
            <w:tcW w:w="1121" w:type="dxa"/>
          </w:tcPr>
          <w:p w14:paraId="6222CCDA" w14:textId="50AD47CC" w:rsidR="007D3336" w:rsidRDefault="007D3336" w:rsidP="0038169D">
            <w:pPr>
              <w:jc w:val="center"/>
              <w:rPr>
                <w:rFonts w:ascii="Arial" w:hAnsi="Arial" w:cs="Arial"/>
                <w:bCs/>
                <w:sz w:val="20"/>
                <w:szCs w:val="20"/>
              </w:rPr>
            </w:pPr>
            <w:r>
              <w:rPr>
                <w:rFonts w:ascii="Arial" w:hAnsi="Arial" w:cs="Arial"/>
                <w:bCs/>
                <w:sz w:val="20"/>
                <w:szCs w:val="20"/>
              </w:rPr>
              <w:t>19 weeks</w:t>
            </w:r>
          </w:p>
          <w:p w14:paraId="63C0A397" w14:textId="421217C4" w:rsidR="007D3336" w:rsidRPr="006A3F23" w:rsidRDefault="007D3336" w:rsidP="0038169D">
            <w:pPr>
              <w:jc w:val="center"/>
              <w:rPr>
                <w:rFonts w:ascii="Arial" w:hAnsi="Arial" w:cs="Arial"/>
                <w:bCs/>
                <w:sz w:val="20"/>
                <w:szCs w:val="20"/>
              </w:rPr>
            </w:pPr>
            <w:r w:rsidRPr="007D3336">
              <w:rPr>
                <w:rFonts w:ascii="Arial" w:hAnsi="Arial" w:cs="Arial"/>
                <w:bCs/>
                <w:sz w:val="18"/>
                <w:szCs w:val="18"/>
              </w:rPr>
              <w:t>(135 days)</w:t>
            </w:r>
          </w:p>
        </w:tc>
        <w:tc>
          <w:tcPr>
            <w:tcW w:w="1171" w:type="dxa"/>
          </w:tcPr>
          <w:p w14:paraId="7050CC11" w14:textId="02DCF208" w:rsidR="001579AD" w:rsidRPr="006A3F23" w:rsidRDefault="000207ED" w:rsidP="0038169D">
            <w:pPr>
              <w:jc w:val="center"/>
              <w:rPr>
                <w:rFonts w:ascii="Arial" w:hAnsi="Arial" w:cs="Arial"/>
                <w:bCs/>
                <w:sz w:val="20"/>
                <w:szCs w:val="20"/>
              </w:rPr>
            </w:pPr>
            <w:r>
              <w:rPr>
                <w:rFonts w:ascii="Arial" w:hAnsi="Arial" w:cs="Arial"/>
                <w:bCs/>
                <w:sz w:val="20"/>
                <w:szCs w:val="20"/>
              </w:rPr>
              <w:t>Outcome dependent</w:t>
            </w:r>
          </w:p>
        </w:tc>
        <w:tc>
          <w:tcPr>
            <w:tcW w:w="345" w:type="dxa"/>
            <w:tcBorders>
              <w:top w:val="nil"/>
              <w:bottom w:val="nil"/>
              <w:right w:val="nil"/>
            </w:tcBorders>
          </w:tcPr>
          <w:p w14:paraId="66B19DD0" w14:textId="77777777" w:rsidR="001579AD" w:rsidRPr="006A3F23" w:rsidRDefault="001579AD" w:rsidP="006A3F23">
            <w:pPr>
              <w:rPr>
                <w:rFonts w:ascii="Arial" w:hAnsi="Arial" w:cs="Arial"/>
                <w:bCs/>
                <w:sz w:val="20"/>
                <w:szCs w:val="20"/>
              </w:rPr>
            </w:pPr>
          </w:p>
        </w:tc>
        <w:tc>
          <w:tcPr>
            <w:tcW w:w="1824" w:type="dxa"/>
            <w:vMerge/>
            <w:tcBorders>
              <w:left w:val="nil"/>
              <w:right w:val="nil"/>
            </w:tcBorders>
          </w:tcPr>
          <w:p w14:paraId="4700154B" w14:textId="77777777" w:rsidR="001579AD" w:rsidRPr="006A3F23" w:rsidRDefault="001579AD" w:rsidP="006A3F23">
            <w:pPr>
              <w:rPr>
                <w:rFonts w:ascii="Arial" w:hAnsi="Arial" w:cs="Arial"/>
                <w:bCs/>
                <w:sz w:val="20"/>
                <w:szCs w:val="20"/>
              </w:rPr>
            </w:pPr>
          </w:p>
        </w:tc>
      </w:tr>
      <w:tr w:rsidR="001579AD" w:rsidRPr="006A3F23" w14:paraId="70F16245" w14:textId="77777777" w:rsidTr="0038169D">
        <w:tc>
          <w:tcPr>
            <w:tcW w:w="2873" w:type="dxa"/>
          </w:tcPr>
          <w:p w14:paraId="284C84A6" w14:textId="258FCC74" w:rsidR="001579AD" w:rsidRPr="006A3F23" w:rsidRDefault="001579AD" w:rsidP="001579AD">
            <w:pPr>
              <w:jc w:val="right"/>
              <w:rPr>
                <w:rFonts w:ascii="Arial" w:hAnsi="Arial" w:cs="Arial"/>
                <w:bCs/>
                <w:sz w:val="20"/>
                <w:szCs w:val="20"/>
              </w:rPr>
            </w:pPr>
            <w:r w:rsidRPr="006A3F23">
              <w:rPr>
                <w:rFonts w:ascii="Arial" w:hAnsi="Arial" w:cs="Arial"/>
                <w:b/>
                <w:sz w:val="20"/>
                <w:szCs w:val="20"/>
              </w:rPr>
              <w:t>Study</w:t>
            </w:r>
            <w:r w:rsidR="000207ED">
              <w:rPr>
                <w:rFonts w:ascii="Arial" w:hAnsi="Arial" w:cs="Arial"/>
                <w:b/>
                <w:sz w:val="20"/>
                <w:szCs w:val="20"/>
              </w:rPr>
              <w:t xml:space="preserve"> d</w:t>
            </w:r>
            <w:r w:rsidRPr="006A3F23">
              <w:rPr>
                <w:rFonts w:ascii="Arial" w:hAnsi="Arial" w:cs="Arial"/>
                <w:b/>
                <w:sz w:val="20"/>
                <w:szCs w:val="20"/>
              </w:rPr>
              <w:t>esign</w:t>
            </w:r>
            <w:r>
              <w:rPr>
                <w:rFonts w:ascii="Arial" w:hAnsi="Arial" w:cs="Arial"/>
                <w:b/>
                <w:sz w:val="20"/>
                <w:szCs w:val="20"/>
              </w:rPr>
              <w:t>:</w:t>
            </w:r>
          </w:p>
        </w:tc>
        <w:tc>
          <w:tcPr>
            <w:tcW w:w="1095" w:type="dxa"/>
          </w:tcPr>
          <w:p w14:paraId="7E8E07E0" w14:textId="49A3B466" w:rsidR="001579AD" w:rsidRPr="006A3F23" w:rsidRDefault="001579AD" w:rsidP="0038169D">
            <w:pPr>
              <w:jc w:val="center"/>
              <w:rPr>
                <w:rFonts w:ascii="Arial" w:hAnsi="Arial" w:cs="Arial"/>
                <w:bCs/>
                <w:sz w:val="20"/>
                <w:szCs w:val="20"/>
              </w:rPr>
            </w:pPr>
            <w:r w:rsidRPr="006A3F23">
              <w:rPr>
                <w:rFonts w:ascii="Arial" w:hAnsi="Arial" w:cs="Arial"/>
                <w:bCs/>
                <w:sz w:val="20"/>
                <w:szCs w:val="20"/>
              </w:rPr>
              <w:t>CBA</w:t>
            </w:r>
          </w:p>
        </w:tc>
        <w:tc>
          <w:tcPr>
            <w:tcW w:w="1053" w:type="dxa"/>
          </w:tcPr>
          <w:p w14:paraId="29D11F34"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UBA</w:t>
            </w:r>
          </w:p>
        </w:tc>
        <w:tc>
          <w:tcPr>
            <w:tcW w:w="1053" w:type="dxa"/>
          </w:tcPr>
          <w:p w14:paraId="56A6C70F"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UBA</w:t>
            </w:r>
          </w:p>
        </w:tc>
        <w:tc>
          <w:tcPr>
            <w:tcW w:w="1137" w:type="dxa"/>
          </w:tcPr>
          <w:p w14:paraId="572F7AFE"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CBA</w:t>
            </w:r>
          </w:p>
        </w:tc>
        <w:tc>
          <w:tcPr>
            <w:tcW w:w="1171" w:type="dxa"/>
          </w:tcPr>
          <w:p w14:paraId="538E355E"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UBA</w:t>
            </w:r>
          </w:p>
        </w:tc>
        <w:tc>
          <w:tcPr>
            <w:tcW w:w="1112" w:type="dxa"/>
          </w:tcPr>
          <w:p w14:paraId="11A241D9"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UBA</w:t>
            </w:r>
          </w:p>
        </w:tc>
        <w:tc>
          <w:tcPr>
            <w:tcW w:w="1121" w:type="dxa"/>
          </w:tcPr>
          <w:p w14:paraId="18C4EE7D"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UBA</w:t>
            </w:r>
          </w:p>
        </w:tc>
        <w:tc>
          <w:tcPr>
            <w:tcW w:w="1171" w:type="dxa"/>
          </w:tcPr>
          <w:p w14:paraId="55FDDDEB"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UBA</w:t>
            </w:r>
          </w:p>
        </w:tc>
        <w:tc>
          <w:tcPr>
            <w:tcW w:w="345" w:type="dxa"/>
            <w:tcBorders>
              <w:top w:val="nil"/>
              <w:bottom w:val="nil"/>
              <w:right w:val="nil"/>
            </w:tcBorders>
          </w:tcPr>
          <w:p w14:paraId="0595FC4F" w14:textId="77777777" w:rsidR="001579AD" w:rsidRPr="006A3F23" w:rsidRDefault="001579AD" w:rsidP="006A3F23">
            <w:pPr>
              <w:rPr>
                <w:rFonts w:ascii="Arial" w:hAnsi="Arial" w:cs="Arial"/>
                <w:bCs/>
                <w:sz w:val="20"/>
                <w:szCs w:val="20"/>
              </w:rPr>
            </w:pPr>
          </w:p>
        </w:tc>
        <w:tc>
          <w:tcPr>
            <w:tcW w:w="1824" w:type="dxa"/>
            <w:vMerge/>
            <w:tcBorders>
              <w:left w:val="nil"/>
              <w:right w:val="nil"/>
            </w:tcBorders>
          </w:tcPr>
          <w:p w14:paraId="0737562B" w14:textId="22287826" w:rsidR="001579AD" w:rsidRPr="006A3F23" w:rsidRDefault="001579AD" w:rsidP="006A3F23">
            <w:pPr>
              <w:rPr>
                <w:rFonts w:ascii="Arial" w:hAnsi="Arial" w:cs="Arial"/>
                <w:bCs/>
                <w:sz w:val="20"/>
                <w:szCs w:val="20"/>
              </w:rPr>
            </w:pPr>
          </w:p>
        </w:tc>
      </w:tr>
      <w:tr w:rsidR="001579AD" w:rsidRPr="006A3F23" w14:paraId="28B7CB1F" w14:textId="77777777" w:rsidTr="0038169D">
        <w:trPr>
          <w:trHeight w:val="380"/>
        </w:trPr>
        <w:tc>
          <w:tcPr>
            <w:tcW w:w="2873" w:type="dxa"/>
          </w:tcPr>
          <w:p w14:paraId="37896C02" w14:textId="77777777" w:rsidR="001579AD" w:rsidRPr="006A3F23" w:rsidRDefault="001579AD" w:rsidP="0038169D">
            <w:pPr>
              <w:jc w:val="right"/>
              <w:rPr>
                <w:rFonts w:ascii="Arial" w:hAnsi="Arial" w:cs="Arial"/>
                <w:b/>
                <w:sz w:val="20"/>
                <w:szCs w:val="20"/>
              </w:rPr>
            </w:pPr>
            <w:r w:rsidRPr="006A3F23">
              <w:rPr>
                <w:rFonts w:ascii="Arial" w:hAnsi="Arial" w:cs="Arial"/>
                <w:b/>
                <w:sz w:val="20"/>
                <w:szCs w:val="20"/>
              </w:rPr>
              <w:t>Study:</w:t>
            </w:r>
          </w:p>
          <w:p w14:paraId="4BFA5993" w14:textId="77777777" w:rsidR="001579AD" w:rsidRDefault="001579AD" w:rsidP="001579AD">
            <w:pPr>
              <w:rPr>
                <w:rFonts w:ascii="Arial" w:hAnsi="Arial" w:cs="Arial"/>
                <w:bCs/>
                <w:sz w:val="20"/>
                <w:szCs w:val="20"/>
              </w:rPr>
            </w:pPr>
          </w:p>
          <w:p w14:paraId="168F477D" w14:textId="77777777" w:rsidR="001579AD" w:rsidRDefault="001579AD" w:rsidP="001579AD">
            <w:pPr>
              <w:rPr>
                <w:rFonts w:ascii="Arial" w:hAnsi="Arial" w:cs="Arial"/>
                <w:bCs/>
                <w:sz w:val="20"/>
                <w:szCs w:val="20"/>
              </w:rPr>
            </w:pPr>
          </w:p>
          <w:p w14:paraId="2B1C1EF5" w14:textId="4DD59A5A" w:rsidR="001579AD" w:rsidRPr="006A3F23" w:rsidRDefault="001579AD" w:rsidP="001579AD">
            <w:pPr>
              <w:rPr>
                <w:rFonts w:ascii="Arial" w:hAnsi="Arial" w:cs="Arial"/>
                <w:bCs/>
                <w:sz w:val="20"/>
                <w:szCs w:val="20"/>
              </w:rPr>
            </w:pPr>
          </w:p>
        </w:tc>
        <w:tc>
          <w:tcPr>
            <w:tcW w:w="1095" w:type="dxa"/>
            <w:vMerge w:val="restart"/>
          </w:tcPr>
          <w:p w14:paraId="61454DCF" w14:textId="1A8994BF" w:rsidR="001579AD" w:rsidRPr="006A3F23" w:rsidRDefault="001579AD" w:rsidP="0038169D">
            <w:pPr>
              <w:jc w:val="center"/>
              <w:rPr>
                <w:rFonts w:ascii="Arial" w:hAnsi="Arial" w:cs="Arial"/>
                <w:bCs/>
                <w:sz w:val="20"/>
                <w:szCs w:val="20"/>
              </w:rPr>
            </w:pPr>
            <w:r w:rsidRPr="006A3F23">
              <w:rPr>
                <w:rFonts w:ascii="Arial" w:hAnsi="Arial" w:cs="Arial"/>
                <w:bCs/>
                <w:sz w:val="20"/>
                <w:szCs w:val="20"/>
              </w:rPr>
              <w:t>Chiu et al. (2017)</w:t>
            </w:r>
          </w:p>
        </w:tc>
        <w:tc>
          <w:tcPr>
            <w:tcW w:w="1053" w:type="dxa"/>
            <w:vMerge w:val="restart"/>
          </w:tcPr>
          <w:p w14:paraId="3AC6E946"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Patten et al. (1999)</w:t>
            </w:r>
          </w:p>
        </w:tc>
        <w:tc>
          <w:tcPr>
            <w:tcW w:w="1053" w:type="dxa"/>
            <w:vMerge w:val="restart"/>
          </w:tcPr>
          <w:p w14:paraId="7BEFEB8E"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Santo et al. (2017)</w:t>
            </w:r>
          </w:p>
        </w:tc>
        <w:tc>
          <w:tcPr>
            <w:tcW w:w="1137" w:type="dxa"/>
            <w:vMerge w:val="restart"/>
          </w:tcPr>
          <w:p w14:paraId="3E2CB194" w14:textId="77777777" w:rsidR="001579AD" w:rsidRPr="006A3F23" w:rsidRDefault="001579AD" w:rsidP="0038169D">
            <w:pPr>
              <w:jc w:val="center"/>
              <w:rPr>
                <w:rFonts w:ascii="Arial" w:hAnsi="Arial" w:cs="Arial"/>
                <w:bCs/>
                <w:sz w:val="20"/>
                <w:szCs w:val="20"/>
              </w:rPr>
            </w:pPr>
            <w:proofErr w:type="spellStart"/>
            <w:r w:rsidRPr="006A3F23">
              <w:rPr>
                <w:rFonts w:ascii="Arial" w:hAnsi="Arial" w:cs="Arial"/>
                <w:bCs/>
                <w:sz w:val="20"/>
                <w:szCs w:val="20"/>
              </w:rPr>
              <w:t>Cronan</w:t>
            </w:r>
            <w:proofErr w:type="spellEnd"/>
            <w:r w:rsidRPr="006A3F23">
              <w:rPr>
                <w:rFonts w:ascii="Arial" w:hAnsi="Arial" w:cs="Arial"/>
                <w:bCs/>
                <w:sz w:val="20"/>
                <w:szCs w:val="20"/>
              </w:rPr>
              <w:t xml:space="preserve">, </w:t>
            </w:r>
            <w:proofErr w:type="spellStart"/>
            <w:r w:rsidRPr="006A3F23">
              <w:rPr>
                <w:rFonts w:ascii="Arial" w:hAnsi="Arial" w:cs="Arial"/>
                <w:bCs/>
                <w:sz w:val="20"/>
                <w:szCs w:val="20"/>
              </w:rPr>
              <w:t>Hervig</w:t>
            </w:r>
            <w:proofErr w:type="spellEnd"/>
            <w:r w:rsidRPr="006A3F23">
              <w:rPr>
                <w:rFonts w:ascii="Arial" w:hAnsi="Arial" w:cs="Arial"/>
                <w:bCs/>
                <w:sz w:val="20"/>
                <w:szCs w:val="20"/>
              </w:rPr>
              <w:t xml:space="preserve"> and Conway (1989)</w:t>
            </w:r>
          </w:p>
        </w:tc>
        <w:tc>
          <w:tcPr>
            <w:tcW w:w="1171" w:type="dxa"/>
            <w:vMerge w:val="restart"/>
          </w:tcPr>
          <w:p w14:paraId="53A55281" w14:textId="77777777" w:rsidR="001579AD" w:rsidRPr="006A3F23" w:rsidRDefault="001579AD" w:rsidP="0038169D">
            <w:pPr>
              <w:jc w:val="center"/>
              <w:rPr>
                <w:rFonts w:ascii="Arial" w:hAnsi="Arial" w:cs="Arial"/>
                <w:bCs/>
                <w:sz w:val="20"/>
                <w:szCs w:val="20"/>
              </w:rPr>
            </w:pPr>
            <w:proofErr w:type="spellStart"/>
            <w:r w:rsidRPr="006A3F23">
              <w:rPr>
                <w:rFonts w:ascii="Arial" w:hAnsi="Arial" w:cs="Arial"/>
                <w:bCs/>
                <w:sz w:val="20"/>
                <w:szCs w:val="20"/>
              </w:rPr>
              <w:t>Derkenne</w:t>
            </w:r>
            <w:proofErr w:type="spellEnd"/>
            <w:r w:rsidRPr="006A3F23">
              <w:rPr>
                <w:rFonts w:ascii="Arial" w:hAnsi="Arial" w:cs="Arial"/>
                <w:bCs/>
                <w:sz w:val="20"/>
                <w:szCs w:val="20"/>
              </w:rPr>
              <w:t xml:space="preserve"> et al. (2016)</w:t>
            </w:r>
          </w:p>
        </w:tc>
        <w:tc>
          <w:tcPr>
            <w:tcW w:w="1112" w:type="dxa"/>
            <w:vMerge w:val="restart"/>
          </w:tcPr>
          <w:p w14:paraId="085B139B"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Hurtado and Conway (1996)</w:t>
            </w:r>
          </w:p>
        </w:tc>
        <w:tc>
          <w:tcPr>
            <w:tcW w:w="1121" w:type="dxa"/>
            <w:vMerge w:val="restart"/>
          </w:tcPr>
          <w:p w14:paraId="290BD4A3"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Williams et al. (1996)</w:t>
            </w:r>
          </w:p>
        </w:tc>
        <w:tc>
          <w:tcPr>
            <w:tcW w:w="1171" w:type="dxa"/>
            <w:vMerge w:val="restart"/>
          </w:tcPr>
          <w:p w14:paraId="45E934F3" w14:textId="77777777" w:rsidR="001579AD" w:rsidRPr="006A3F23" w:rsidRDefault="001579AD" w:rsidP="0038169D">
            <w:pPr>
              <w:jc w:val="center"/>
              <w:rPr>
                <w:rFonts w:ascii="Arial" w:hAnsi="Arial" w:cs="Arial"/>
                <w:bCs/>
                <w:sz w:val="20"/>
                <w:szCs w:val="20"/>
              </w:rPr>
            </w:pPr>
            <w:r w:rsidRPr="006A3F23">
              <w:rPr>
                <w:rFonts w:ascii="Arial" w:hAnsi="Arial" w:cs="Arial"/>
                <w:bCs/>
                <w:sz w:val="20"/>
                <w:szCs w:val="20"/>
              </w:rPr>
              <w:t>Woodruff, Conway and Edwards (2000)</w:t>
            </w:r>
          </w:p>
        </w:tc>
        <w:tc>
          <w:tcPr>
            <w:tcW w:w="345" w:type="dxa"/>
            <w:vMerge w:val="restart"/>
            <w:tcBorders>
              <w:top w:val="nil"/>
              <w:right w:val="nil"/>
            </w:tcBorders>
          </w:tcPr>
          <w:p w14:paraId="3BBB31D4" w14:textId="77777777" w:rsidR="001579AD" w:rsidRPr="006A3F23" w:rsidRDefault="001579AD" w:rsidP="006A3F23">
            <w:pPr>
              <w:rPr>
                <w:rFonts w:ascii="Arial" w:hAnsi="Arial" w:cs="Arial"/>
                <w:bCs/>
                <w:sz w:val="20"/>
                <w:szCs w:val="20"/>
              </w:rPr>
            </w:pPr>
          </w:p>
        </w:tc>
        <w:tc>
          <w:tcPr>
            <w:tcW w:w="1824" w:type="dxa"/>
            <w:vMerge/>
            <w:tcBorders>
              <w:left w:val="nil"/>
              <w:right w:val="nil"/>
            </w:tcBorders>
          </w:tcPr>
          <w:p w14:paraId="1EA12FE9" w14:textId="65FD2682" w:rsidR="001579AD" w:rsidRPr="006A3F23" w:rsidRDefault="001579AD" w:rsidP="006A3F23">
            <w:pPr>
              <w:rPr>
                <w:rFonts w:ascii="Arial" w:hAnsi="Arial" w:cs="Arial"/>
                <w:bCs/>
                <w:sz w:val="20"/>
                <w:szCs w:val="20"/>
              </w:rPr>
            </w:pPr>
          </w:p>
        </w:tc>
      </w:tr>
      <w:tr w:rsidR="001579AD" w:rsidRPr="006A3F23" w14:paraId="3A7C038D" w14:textId="77777777" w:rsidTr="0038169D">
        <w:trPr>
          <w:trHeight w:val="380"/>
        </w:trPr>
        <w:tc>
          <w:tcPr>
            <w:tcW w:w="2873" w:type="dxa"/>
          </w:tcPr>
          <w:p w14:paraId="579CADF2" w14:textId="3BC13353" w:rsidR="001579AD" w:rsidRPr="006A3F23" w:rsidRDefault="001579AD" w:rsidP="001579AD">
            <w:pPr>
              <w:jc w:val="center"/>
              <w:rPr>
                <w:rFonts w:ascii="Arial" w:hAnsi="Arial" w:cs="Arial"/>
                <w:b/>
                <w:sz w:val="20"/>
                <w:szCs w:val="20"/>
              </w:rPr>
            </w:pPr>
            <w:r w:rsidRPr="006A3F23">
              <w:rPr>
                <w:rFonts w:ascii="Arial" w:hAnsi="Arial" w:cs="Arial"/>
                <w:b/>
                <w:sz w:val="20"/>
                <w:szCs w:val="20"/>
              </w:rPr>
              <w:t>Outcome</w:t>
            </w:r>
          </w:p>
        </w:tc>
        <w:tc>
          <w:tcPr>
            <w:tcW w:w="1095" w:type="dxa"/>
            <w:vMerge/>
          </w:tcPr>
          <w:p w14:paraId="30CA0CDC" w14:textId="77777777" w:rsidR="001579AD" w:rsidRPr="006A3F23" w:rsidRDefault="001579AD" w:rsidP="0038169D">
            <w:pPr>
              <w:jc w:val="center"/>
              <w:rPr>
                <w:rFonts w:ascii="Arial" w:hAnsi="Arial" w:cs="Arial"/>
                <w:bCs/>
                <w:sz w:val="20"/>
                <w:szCs w:val="20"/>
              </w:rPr>
            </w:pPr>
          </w:p>
        </w:tc>
        <w:tc>
          <w:tcPr>
            <w:tcW w:w="1053" w:type="dxa"/>
            <w:vMerge/>
          </w:tcPr>
          <w:p w14:paraId="525C15A2" w14:textId="77777777" w:rsidR="001579AD" w:rsidRPr="006A3F23" w:rsidRDefault="001579AD" w:rsidP="0038169D">
            <w:pPr>
              <w:jc w:val="center"/>
              <w:rPr>
                <w:rFonts w:ascii="Arial" w:hAnsi="Arial" w:cs="Arial"/>
                <w:bCs/>
                <w:sz w:val="20"/>
                <w:szCs w:val="20"/>
              </w:rPr>
            </w:pPr>
          </w:p>
        </w:tc>
        <w:tc>
          <w:tcPr>
            <w:tcW w:w="1053" w:type="dxa"/>
            <w:vMerge/>
          </w:tcPr>
          <w:p w14:paraId="31B6CD28" w14:textId="77777777" w:rsidR="001579AD" w:rsidRPr="006A3F23" w:rsidRDefault="001579AD" w:rsidP="0038169D">
            <w:pPr>
              <w:jc w:val="center"/>
              <w:rPr>
                <w:rFonts w:ascii="Arial" w:hAnsi="Arial" w:cs="Arial"/>
                <w:bCs/>
                <w:sz w:val="20"/>
                <w:szCs w:val="20"/>
              </w:rPr>
            </w:pPr>
          </w:p>
        </w:tc>
        <w:tc>
          <w:tcPr>
            <w:tcW w:w="1137" w:type="dxa"/>
            <w:vMerge/>
          </w:tcPr>
          <w:p w14:paraId="4CE9412F" w14:textId="77777777" w:rsidR="001579AD" w:rsidRPr="006A3F23" w:rsidRDefault="001579AD" w:rsidP="0038169D">
            <w:pPr>
              <w:jc w:val="center"/>
              <w:rPr>
                <w:rFonts w:ascii="Arial" w:hAnsi="Arial" w:cs="Arial"/>
                <w:bCs/>
                <w:sz w:val="20"/>
                <w:szCs w:val="20"/>
              </w:rPr>
            </w:pPr>
          </w:p>
        </w:tc>
        <w:tc>
          <w:tcPr>
            <w:tcW w:w="1171" w:type="dxa"/>
            <w:vMerge/>
          </w:tcPr>
          <w:p w14:paraId="2B76971F" w14:textId="77777777" w:rsidR="001579AD" w:rsidRPr="006A3F23" w:rsidRDefault="001579AD" w:rsidP="0038169D">
            <w:pPr>
              <w:jc w:val="center"/>
              <w:rPr>
                <w:rFonts w:ascii="Arial" w:hAnsi="Arial" w:cs="Arial"/>
                <w:bCs/>
                <w:sz w:val="20"/>
                <w:szCs w:val="20"/>
              </w:rPr>
            </w:pPr>
          </w:p>
        </w:tc>
        <w:tc>
          <w:tcPr>
            <w:tcW w:w="1112" w:type="dxa"/>
            <w:vMerge/>
          </w:tcPr>
          <w:p w14:paraId="7F903B14" w14:textId="77777777" w:rsidR="001579AD" w:rsidRPr="006A3F23" w:rsidRDefault="001579AD" w:rsidP="0038169D">
            <w:pPr>
              <w:jc w:val="center"/>
              <w:rPr>
                <w:rFonts w:ascii="Arial" w:hAnsi="Arial" w:cs="Arial"/>
                <w:bCs/>
                <w:sz w:val="20"/>
                <w:szCs w:val="20"/>
              </w:rPr>
            </w:pPr>
          </w:p>
        </w:tc>
        <w:tc>
          <w:tcPr>
            <w:tcW w:w="1121" w:type="dxa"/>
            <w:vMerge/>
          </w:tcPr>
          <w:p w14:paraId="5B375EA8" w14:textId="77777777" w:rsidR="001579AD" w:rsidRPr="006A3F23" w:rsidRDefault="001579AD" w:rsidP="0038169D">
            <w:pPr>
              <w:jc w:val="center"/>
              <w:rPr>
                <w:rFonts w:ascii="Arial" w:hAnsi="Arial" w:cs="Arial"/>
                <w:bCs/>
                <w:sz w:val="20"/>
                <w:szCs w:val="20"/>
              </w:rPr>
            </w:pPr>
          </w:p>
        </w:tc>
        <w:tc>
          <w:tcPr>
            <w:tcW w:w="1171" w:type="dxa"/>
            <w:vMerge/>
          </w:tcPr>
          <w:p w14:paraId="76373E8D" w14:textId="77777777" w:rsidR="001579AD" w:rsidRPr="006A3F23" w:rsidRDefault="001579AD" w:rsidP="0038169D">
            <w:pPr>
              <w:jc w:val="center"/>
              <w:rPr>
                <w:rFonts w:ascii="Arial" w:hAnsi="Arial" w:cs="Arial"/>
                <w:bCs/>
                <w:sz w:val="20"/>
                <w:szCs w:val="20"/>
              </w:rPr>
            </w:pPr>
          </w:p>
        </w:tc>
        <w:tc>
          <w:tcPr>
            <w:tcW w:w="345" w:type="dxa"/>
            <w:vMerge/>
            <w:tcBorders>
              <w:bottom w:val="nil"/>
              <w:right w:val="nil"/>
            </w:tcBorders>
          </w:tcPr>
          <w:p w14:paraId="40679A2A" w14:textId="77777777" w:rsidR="001579AD" w:rsidRPr="006A3F23" w:rsidRDefault="001579AD" w:rsidP="006A3F23">
            <w:pPr>
              <w:rPr>
                <w:rFonts w:ascii="Arial" w:hAnsi="Arial" w:cs="Arial"/>
                <w:bCs/>
                <w:sz w:val="20"/>
                <w:szCs w:val="20"/>
              </w:rPr>
            </w:pPr>
          </w:p>
        </w:tc>
        <w:tc>
          <w:tcPr>
            <w:tcW w:w="1824" w:type="dxa"/>
            <w:vMerge/>
            <w:tcBorders>
              <w:left w:val="nil"/>
              <w:right w:val="nil"/>
            </w:tcBorders>
          </w:tcPr>
          <w:p w14:paraId="6192094F" w14:textId="77777777" w:rsidR="001579AD" w:rsidRPr="006A3F23" w:rsidRDefault="001579AD" w:rsidP="006A3F23">
            <w:pPr>
              <w:rPr>
                <w:rFonts w:ascii="Arial" w:hAnsi="Arial" w:cs="Arial"/>
                <w:bCs/>
                <w:sz w:val="20"/>
                <w:szCs w:val="20"/>
              </w:rPr>
            </w:pPr>
          </w:p>
        </w:tc>
      </w:tr>
      <w:tr w:rsidR="001579AD" w:rsidRPr="006A3F23" w14:paraId="6E491320" w14:textId="77777777" w:rsidTr="0038169D">
        <w:tc>
          <w:tcPr>
            <w:tcW w:w="2873" w:type="dxa"/>
          </w:tcPr>
          <w:p w14:paraId="515B5596" w14:textId="4332B5FC" w:rsidR="001579AD" w:rsidRPr="005709A1" w:rsidRDefault="001579AD" w:rsidP="005709A1">
            <w:pPr>
              <w:jc w:val="center"/>
              <w:rPr>
                <w:rFonts w:ascii="Arial" w:hAnsi="Arial" w:cs="Arial"/>
                <w:sz w:val="20"/>
                <w:szCs w:val="20"/>
              </w:rPr>
            </w:pPr>
            <w:r w:rsidRPr="006A3F23">
              <w:rPr>
                <w:rFonts w:ascii="Arial" w:hAnsi="Arial" w:cs="Arial"/>
                <w:sz w:val="20"/>
                <w:szCs w:val="20"/>
              </w:rPr>
              <w:t xml:space="preserve">Non-smoker exposure to </w:t>
            </w:r>
            <w:r w:rsidR="00287096">
              <w:rPr>
                <w:rFonts w:ascii="Arial" w:hAnsi="Arial" w:cs="Arial"/>
                <w:sz w:val="20"/>
                <w:szCs w:val="20"/>
              </w:rPr>
              <w:t>SHS</w:t>
            </w:r>
            <w:r w:rsidR="00724CD2">
              <w:rPr>
                <w:rFonts w:ascii="Arial" w:hAnsi="Arial" w:cs="Arial"/>
                <w:sz w:val="20"/>
                <w:szCs w:val="20"/>
              </w:rPr>
              <w:t xml:space="preserve"> (</w:t>
            </w:r>
            <w:r w:rsidR="004C6951">
              <w:rPr>
                <w:rFonts w:ascii="Arial" w:hAnsi="Arial" w:cs="Arial"/>
                <w:sz w:val="20"/>
                <w:szCs w:val="20"/>
              </w:rPr>
              <w:t>p</w:t>
            </w:r>
            <w:r w:rsidR="00724CD2">
              <w:rPr>
                <w:rFonts w:ascii="Arial" w:hAnsi="Arial" w:cs="Arial"/>
                <w:sz w:val="20"/>
                <w:szCs w:val="20"/>
              </w:rPr>
              <w:t xml:space="preserve">rimary </w:t>
            </w:r>
            <w:r w:rsidR="004C6951">
              <w:rPr>
                <w:rFonts w:ascii="Arial" w:hAnsi="Arial" w:cs="Arial"/>
                <w:sz w:val="20"/>
                <w:szCs w:val="20"/>
              </w:rPr>
              <w:t>o</w:t>
            </w:r>
            <w:r w:rsidR="00724CD2">
              <w:rPr>
                <w:rFonts w:ascii="Arial" w:hAnsi="Arial" w:cs="Arial"/>
                <w:sz w:val="20"/>
                <w:szCs w:val="20"/>
              </w:rPr>
              <w:t>utcome)</w:t>
            </w:r>
          </w:p>
        </w:tc>
        <w:tc>
          <w:tcPr>
            <w:tcW w:w="1095" w:type="dxa"/>
          </w:tcPr>
          <w:p w14:paraId="26650947" w14:textId="70DC5FFD" w:rsidR="001579AD" w:rsidRPr="006A3F23" w:rsidRDefault="001579AD" w:rsidP="0038169D">
            <w:pPr>
              <w:jc w:val="center"/>
              <w:rPr>
                <w:rFonts w:ascii="Arial" w:hAnsi="Arial" w:cs="Arial"/>
                <w:b/>
                <w:sz w:val="20"/>
                <w:szCs w:val="20"/>
              </w:rPr>
            </w:pPr>
          </w:p>
        </w:tc>
        <w:tc>
          <w:tcPr>
            <w:tcW w:w="1053" w:type="dxa"/>
          </w:tcPr>
          <w:p w14:paraId="0D219F92" w14:textId="77777777" w:rsidR="001579AD" w:rsidRPr="006A3F23" w:rsidRDefault="001579AD" w:rsidP="0038169D">
            <w:pPr>
              <w:jc w:val="center"/>
              <w:rPr>
                <w:rFonts w:ascii="Arial" w:hAnsi="Arial" w:cs="Arial"/>
                <w:b/>
                <w:sz w:val="20"/>
                <w:szCs w:val="20"/>
              </w:rPr>
            </w:pPr>
          </w:p>
        </w:tc>
        <w:tc>
          <w:tcPr>
            <w:tcW w:w="1053" w:type="dxa"/>
          </w:tcPr>
          <w:p w14:paraId="5DF34F0C"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37" w:type="dxa"/>
          </w:tcPr>
          <w:p w14:paraId="5A2C633D" w14:textId="77777777" w:rsidR="001579AD" w:rsidRPr="006A3F23" w:rsidRDefault="001579AD" w:rsidP="0038169D">
            <w:pPr>
              <w:jc w:val="center"/>
              <w:rPr>
                <w:rFonts w:ascii="Arial" w:hAnsi="Arial" w:cs="Arial"/>
                <w:b/>
                <w:sz w:val="20"/>
                <w:szCs w:val="20"/>
              </w:rPr>
            </w:pPr>
          </w:p>
        </w:tc>
        <w:tc>
          <w:tcPr>
            <w:tcW w:w="1171" w:type="dxa"/>
          </w:tcPr>
          <w:p w14:paraId="73E7F9DE" w14:textId="77777777" w:rsidR="001579AD" w:rsidRPr="006A3F23" w:rsidRDefault="001579AD" w:rsidP="0038169D">
            <w:pPr>
              <w:jc w:val="center"/>
              <w:rPr>
                <w:rFonts w:ascii="Arial" w:hAnsi="Arial" w:cs="Arial"/>
                <w:b/>
                <w:sz w:val="20"/>
                <w:szCs w:val="20"/>
              </w:rPr>
            </w:pPr>
          </w:p>
        </w:tc>
        <w:tc>
          <w:tcPr>
            <w:tcW w:w="1112" w:type="dxa"/>
          </w:tcPr>
          <w:p w14:paraId="2569AA45" w14:textId="77777777" w:rsidR="001579AD" w:rsidRPr="006A3F23" w:rsidRDefault="001579AD" w:rsidP="0038169D">
            <w:pPr>
              <w:jc w:val="center"/>
              <w:rPr>
                <w:rFonts w:ascii="Arial" w:hAnsi="Arial" w:cs="Arial"/>
                <w:b/>
                <w:sz w:val="20"/>
                <w:szCs w:val="20"/>
              </w:rPr>
            </w:pPr>
          </w:p>
        </w:tc>
        <w:tc>
          <w:tcPr>
            <w:tcW w:w="1121" w:type="dxa"/>
          </w:tcPr>
          <w:p w14:paraId="61B5CCD7" w14:textId="77777777" w:rsidR="001579AD" w:rsidRPr="006A3F23" w:rsidRDefault="001579AD" w:rsidP="0038169D">
            <w:pPr>
              <w:jc w:val="center"/>
              <w:rPr>
                <w:rFonts w:ascii="Arial" w:hAnsi="Arial" w:cs="Arial"/>
                <w:b/>
                <w:sz w:val="20"/>
                <w:szCs w:val="20"/>
              </w:rPr>
            </w:pPr>
          </w:p>
        </w:tc>
        <w:tc>
          <w:tcPr>
            <w:tcW w:w="1171" w:type="dxa"/>
          </w:tcPr>
          <w:p w14:paraId="168041A7" w14:textId="77777777" w:rsidR="001579AD" w:rsidRPr="006A3F23" w:rsidRDefault="001579AD" w:rsidP="0038169D">
            <w:pPr>
              <w:jc w:val="center"/>
              <w:rPr>
                <w:rFonts w:ascii="Arial" w:hAnsi="Arial" w:cs="Arial"/>
                <w:b/>
                <w:sz w:val="20"/>
                <w:szCs w:val="20"/>
              </w:rPr>
            </w:pPr>
          </w:p>
        </w:tc>
        <w:tc>
          <w:tcPr>
            <w:tcW w:w="345" w:type="dxa"/>
            <w:tcBorders>
              <w:top w:val="nil"/>
              <w:bottom w:val="nil"/>
              <w:right w:val="nil"/>
            </w:tcBorders>
          </w:tcPr>
          <w:p w14:paraId="3F851EAF" w14:textId="77777777" w:rsidR="001579AD" w:rsidRPr="006A3F23" w:rsidRDefault="001579AD" w:rsidP="006A3F23">
            <w:pPr>
              <w:rPr>
                <w:rFonts w:ascii="Arial" w:hAnsi="Arial" w:cs="Arial"/>
                <w:b/>
                <w:sz w:val="20"/>
                <w:szCs w:val="20"/>
              </w:rPr>
            </w:pPr>
          </w:p>
        </w:tc>
        <w:tc>
          <w:tcPr>
            <w:tcW w:w="1824" w:type="dxa"/>
            <w:vMerge/>
            <w:tcBorders>
              <w:left w:val="nil"/>
              <w:right w:val="nil"/>
            </w:tcBorders>
          </w:tcPr>
          <w:p w14:paraId="51636C93" w14:textId="17735B60" w:rsidR="001579AD" w:rsidRPr="006A3F23" w:rsidRDefault="001579AD" w:rsidP="006A3F23">
            <w:pPr>
              <w:rPr>
                <w:rFonts w:ascii="Arial" w:hAnsi="Arial" w:cs="Arial"/>
                <w:b/>
                <w:sz w:val="20"/>
                <w:szCs w:val="20"/>
              </w:rPr>
            </w:pPr>
          </w:p>
        </w:tc>
      </w:tr>
      <w:tr w:rsidR="001579AD" w:rsidRPr="006A3F23" w14:paraId="7F83F1F4" w14:textId="77777777" w:rsidTr="0038169D">
        <w:tc>
          <w:tcPr>
            <w:tcW w:w="2873" w:type="dxa"/>
          </w:tcPr>
          <w:p w14:paraId="6D739FD8" w14:textId="368BC53D" w:rsidR="001579AD" w:rsidRPr="005709A1" w:rsidRDefault="001579AD" w:rsidP="005709A1">
            <w:pPr>
              <w:jc w:val="center"/>
              <w:rPr>
                <w:rFonts w:ascii="Arial" w:hAnsi="Arial" w:cs="Arial"/>
                <w:bCs/>
                <w:sz w:val="20"/>
                <w:szCs w:val="20"/>
              </w:rPr>
            </w:pPr>
            <w:r w:rsidRPr="006A3F23">
              <w:rPr>
                <w:rFonts w:ascii="Arial" w:hAnsi="Arial" w:cs="Arial"/>
                <w:bCs/>
                <w:sz w:val="20"/>
                <w:szCs w:val="20"/>
              </w:rPr>
              <w:t>Non-smoker</w:t>
            </w:r>
            <w:r>
              <w:rPr>
                <w:rFonts w:ascii="Arial" w:hAnsi="Arial" w:cs="Arial"/>
                <w:bCs/>
                <w:sz w:val="20"/>
                <w:szCs w:val="20"/>
              </w:rPr>
              <w:t xml:space="preserve"> </w:t>
            </w:r>
            <w:r w:rsidRPr="006A3F23">
              <w:rPr>
                <w:rFonts w:ascii="Arial" w:hAnsi="Arial" w:cs="Arial"/>
                <w:bCs/>
                <w:sz w:val="20"/>
                <w:szCs w:val="20"/>
              </w:rPr>
              <w:t>GP visits/hospitalisation</w:t>
            </w:r>
            <w:r>
              <w:rPr>
                <w:rFonts w:ascii="Arial" w:hAnsi="Arial" w:cs="Arial"/>
                <w:bCs/>
                <w:sz w:val="20"/>
                <w:szCs w:val="20"/>
              </w:rPr>
              <w:t>*</w:t>
            </w:r>
            <w:r w:rsidRPr="006A3F23">
              <w:rPr>
                <w:rFonts w:ascii="Arial" w:hAnsi="Arial" w:cs="Arial"/>
                <w:bCs/>
                <w:sz w:val="20"/>
                <w:szCs w:val="20"/>
              </w:rPr>
              <w:t xml:space="preserve"> </w:t>
            </w:r>
          </w:p>
        </w:tc>
        <w:tc>
          <w:tcPr>
            <w:tcW w:w="1095" w:type="dxa"/>
          </w:tcPr>
          <w:p w14:paraId="47F37164" w14:textId="37EF2BE4" w:rsidR="001579AD" w:rsidRPr="006A3F23" w:rsidRDefault="001579AD" w:rsidP="0038169D">
            <w:pPr>
              <w:jc w:val="center"/>
              <w:rPr>
                <w:rFonts w:ascii="Arial" w:hAnsi="Arial" w:cs="Arial"/>
                <w:b/>
                <w:sz w:val="20"/>
                <w:szCs w:val="20"/>
              </w:rPr>
            </w:pPr>
          </w:p>
        </w:tc>
        <w:tc>
          <w:tcPr>
            <w:tcW w:w="1053" w:type="dxa"/>
          </w:tcPr>
          <w:p w14:paraId="6151D24E" w14:textId="77777777" w:rsidR="001579AD" w:rsidRPr="006A3F23" w:rsidRDefault="001579AD" w:rsidP="0038169D">
            <w:pPr>
              <w:jc w:val="center"/>
              <w:rPr>
                <w:rFonts w:ascii="Arial" w:hAnsi="Arial" w:cs="Arial"/>
                <w:b/>
                <w:sz w:val="20"/>
                <w:szCs w:val="20"/>
              </w:rPr>
            </w:pPr>
          </w:p>
        </w:tc>
        <w:tc>
          <w:tcPr>
            <w:tcW w:w="1053" w:type="dxa"/>
          </w:tcPr>
          <w:p w14:paraId="1AFDF765" w14:textId="77777777" w:rsidR="001579AD" w:rsidRPr="006A3F23" w:rsidRDefault="001579AD" w:rsidP="0038169D">
            <w:pPr>
              <w:jc w:val="center"/>
              <w:rPr>
                <w:rFonts w:ascii="Arial" w:hAnsi="Arial" w:cs="Arial"/>
                <w:b/>
                <w:sz w:val="20"/>
                <w:szCs w:val="20"/>
              </w:rPr>
            </w:pPr>
          </w:p>
        </w:tc>
        <w:tc>
          <w:tcPr>
            <w:tcW w:w="1137" w:type="dxa"/>
          </w:tcPr>
          <w:p w14:paraId="1C08973D" w14:textId="77777777" w:rsidR="001579AD" w:rsidRPr="006A3F23" w:rsidRDefault="001579AD" w:rsidP="0038169D">
            <w:pPr>
              <w:jc w:val="center"/>
              <w:rPr>
                <w:rFonts w:ascii="Arial" w:hAnsi="Arial" w:cs="Arial"/>
                <w:b/>
                <w:sz w:val="20"/>
                <w:szCs w:val="20"/>
              </w:rPr>
            </w:pPr>
          </w:p>
        </w:tc>
        <w:tc>
          <w:tcPr>
            <w:tcW w:w="1171" w:type="dxa"/>
          </w:tcPr>
          <w:p w14:paraId="109EC5D2" w14:textId="77777777" w:rsidR="001579AD" w:rsidRPr="006A3F23" w:rsidRDefault="001579AD" w:rsidP="0038169D">
            <w:pPr>
              <w:jc w:val="center"/>
              <w:rPr>
                <w:rFonts w:ascii="Arial" w:hAnsi="Arial" w:cs="Arial"/>
                <w:b/>
                <w:sz w:val="20"/>
                <w:szCs w:val="20"/>
              </w:rPr>
            </w:pPr>
          </w:p>
        </w:tc>
        <w:tc>
          <w:tcPr>
            <w:tcW w:w="1112" w:type="dxa"/>
          </w:tcPr>
          <w:p w14:paraId="3617C7C8" w14:textId="77777777" w:rsidR="001579AD" w:rsidRPr="006A3F23" w:rsidRDefault="001579AD" w:rsidP="0038169D">
            <w:pPr>
              <w:jc w:val="center"/>
              <w:rPr>
                <w:rFonts w:ascii="Arial" w:hAnsi="Arial" w:cs="Arial"/>
                <w:b/>
                <w:sz w:val="20"/>
                <w:szCs w:val="20"/>
              </w:rPr>
            </w:pPr>
          </w:p>
        </w:tc>
        <w:tc>
          <w:tcPr>
            <w:tcW w:w="1121" w:type="dxa"/>
          </w:tcPr>
          <w:p w14:paraId="495809DD" w14:textId="77777777" w:rsidR="001579AD" w:rsidRPr="006A3F23" w:rsidRDefault="001579AD" w:rsidP="0038169D">
            <w:pPr>
              <w:jc w:val="center"/>
              <w:rPr>
                <w:rFonts w:ascii="Arial" w:hAnsi="Arial" w:cs="Arial"/>
                <w:b/>
                <w:sz w:val="20"/>
                <w:szCs w:val="20"/>
              </w:rPr>
            </w:pPr>
          </w:p>
        </w:tc>
        <w:tc>
          <w:tcPr>
            <w:tcW w:w="1171" w:type="dxa"/>
          </w:tcPr>
          <w:p w14:paraId="517F44B1" w14:textId="77777777" w:rsidR="001579AD" w:rsidRPr="006A3F23" w:rsidRDefault="001579AD" w:rsidP="0038169D">
            <w:pPr>
              <w:jc w:val="center"/>
              <w:rPr>
                <w:rFonts w:ascii="Arial" w:hAnsi="Arial" w:cs="Arial"/>
                <w:b/>
                <w:sz w:val="20"/>
                <w:szCs w:val="20"/>
              </w:rPr>
            </w:pPr>
          </w:p>
        </w:tc>
        <w:tc>
          <w:tcPr>
            <w:tcW w:w="345" w:type="dxa"/>
            <w:tcBorders>
              <w:top w:val="nil"/>
              <w:bottom w:val="nil"/>
              <w:right w:val="nil"/>
            </w:tcBorders>
          </w:tcPr>
          <w:p w14:paraId="4B9D8245" w14:textId="77777777" w:rsidR="001579AD" w:rsidRPr="006A3F23" w:rsidRDefault="001579AD" w:rsidP="006A3F23">
            <w:pPr>
              <w:rPr>
                <w:rFonts w:ascii="Arial" w:hAnsi="Arial" w:cs="Arial"/>
                <w:b/>
                <w:sz w:val="20"/>
                <w:szCs w:val="20"/>
              </w:rPr>
            </w:pPr>
          </w:p>
        </w:tc>
        <w:tc>
          <w:tcPr>
            <w:tcW w:w="1824" w:type="dxa"/>
            <w:vMerge/>
            <w:tcBorders>
              <w:left w:val="nil"/>
              <w:right w:val="nil"/>
            </w:tcBorders>
          </w:tcPr>
          <w:p w14:paraId="1A7B193D" w14:textId="70F6EAE0" w:rsidR="001579AD" w:rsidRPr="006A3F23" w:rsidRDefault="001579AD" w:rsidP="006A3F23">
            <w:pPr>
              <w:rPr>
                <w:rFonts w:ascii="Arial" w:hAnsi="Arial" w:cs="Arial"/>
                <w:b/>
                <w:sz w:val="20"/>
                <w:szCs w:val="20"/>
              </w:rPr>
            </w:pPr>
          </w:p>
        </w:tc>
      </w:tr>
      <w:tr w:rsidR="001579AD" w:rsidRPr="006A3F23" w14:paraId="0A2067CF" w14:textId="77777777" w:rsidTr="0038169D">
        <w:tc>
          <w:tcPr>
            <w:tcW w:w="2873" w:type="dxa"/>
          </w:tcPr>
          <w:p w14:paraId="210334CA" w14:textId="3B354E12" w:rsidR="001579AD" w:rsidRPr="001579AD" w:rsidRDefault="001579AD" w:rsidP="001579AD">
            <w:pPr>
              <w:jc w:val="center"/>
              <w:rPr>
                <w:rFonts w:ascii="Arial" w:hAnsi="Arial" w:cs="Arial"/>
                <w:bCs/>
                <w:sz w:val="20"/>
                <w:szCs w:val="20"/>
              </w:rPr>
            </w:pPr>
            <w:r w:rsidRPr="006A3F23">
              <w:rPr>
                <w:rFonts w:ascii="Arial" w:hAnsi="Arial" w:cs="Arial"/>
                <w:bCs/>
                <w:sz w:val="20"/>
                <w:szCs w:val="20"/>
              </w:rPr>
              <w:t>Uptake of smoking in non-smokers</w:t>
            </w:r>
            <w:r>
              <w:rPr>
                <w:rFonts w:ascii="Arial" w:hAnsi="Arial" w:cs="Arial"/>
                <w:bCs/>
                <w:sz w:val="20"/>
                <w:szCs w:val="20"/>
              </w:rPr>
              <w:t xml:space="preserve"> </w:t>
            </w:r>
            <w:r w:rsidRPr="006A3F23">
              <w:rPr>
                <w:rFonts w:ascii="Arial" w:hAnsi="Arial" w:cs="Arial"/>
                <w:bCs/>
                <w:sz w:val="20"/>
                <w:szCs w:val="20"/>
              </w:rPr>
              <w:t>(initiation rate)</w:t>
            </w:r>
          </w:p>
        </w:tc>
        <w:tc>
          <w:tcPr>
            <w:tcW w:w="1095" w:type="dxa"/>
          </w:tcPr>
          <w:p w14:paraId="7D26510C" w14:textId="07C80F64" w:rsidR="001579AD" w:rsidRPr="006A3F23" w:rsidRDefault="001579AD" w:rsidP="0038169D">
            <w:pPr>
              <w:jc w:val="center"/>
              <w:rPr>
                <w:rFonts w:ascii="Arial" w:hAnsi="Arial" w:cs="Arial"/>
                <w:b/>
                <w:sz w:val="20"/>
                <w:szCs w:val="20"/>
              </w:rPr>
            </w:pPr>
          </w:p>
        </w:tc>
        <w:tc>
          <w:tcPr>
            <w:tcW w:w="1053" w:type="dxa"/>
          </w:tcPr>
          <w:p w14:paraId="39768111" w14:textId="77777777" w:rsidR="001579AD" w:rsidRDefault="001579AD" w:rsidP="0038169D">
            <w:pPr>
              <w:jc w:val="center"/>
              <w:rPr>
                <w:rFonts w:ascii="Arial" w:hAnsi="Arial" w:cs="Arial"/>
              </w:rPr>
            </w:pPr>
            <w:r w:rsidRPr="006A3F23">
              <w:rPr>
                <w:rFonts w:ascii="Arial" w:hAnsi="Arial" w:cs="Arial"/>
              </w:rPr>
              <w:t>▼</w:t>
            </w:r>
          </w:p>
          <w:p w14:paraId="420039DD" w14:textId="13F5EEEA" w:rsidR="005709A1" w:rsidRPr="005709A1" w:rsidRDefault="005709A1" w:rsidP="0038169D">
            <w:pPr>
              <w:jc w:val="center"/>
              <w:rPr>
                <w:rFonts w:ascii="Arial" w:hAnsi="Arial" w:cs="Arial"/>
                <w:sz w:val="20"/>
                <w:szCs w:val="20"/>
              </w:rPr>
            </w:pPr>
            <w:r w:rsidRPr="005709A1">
              <w:rPr>
                <w:rFonts w:ascii="Arial" w:hAnsi="Arial" w:cs="Arial"/>
                <w:sz w:val="20"/>
                <w:szCs w:val="20"/>
              </w:rPr>
              <w:t xml:space="preserve">4 </w:t>
            </w:r>
            <w:r w:rsidR="000207ED">
              <w:rPr>
                <w:rFonts w:ascii="Arial" w:hAnsi="Arial" w:cs="Arial"/>
                <w:sz w:val="20"/>
                <w:szCs w:val="20"/>
              </w:rPr>
              <w:t>w</w:t>
            </w:r>
            <w:r>
              <w:rPr>
                <w:rFonts w:ascii="Arial" w:hAnsi="Arial" w:cs="Arial"/>
                <w:sz w:val="20"/>
                <w:szCs w:val="20"/>
              </w:rPr>
              <w:t>eeks</w:t>
            </w:r>
            <w:r w:rsidR="000207ED">
              <w:rPr>
                <w:rFonts w:ascii="Arial" w:hAnsi="Arial" w:cs="Arial"/>
                <w:sz w:val="20"/>
                <w:szCs w:val="20"/>
              </w:rPr>
              <w:t>^</w:t>
            </w:r>
          </w:p>
        </w:tc>
        <w:tc>
          <w:tcPr>
            <w:tcW w:w="1053" w:type="dxa"/>
          </w:tcPr>
          <w:p w14:paraId="1DB89A8B" w14:textId="77777777" w:rsidR="001579AD" w:rsidRPr="006A3F23" w:rsidRDefault="001579AD" w:rsidP="0038169D">
            <w:pPr>
              <w:jc w:val="center"/>
              <w:rPr>
                <w:rFonts w:ascii="Arial" w:hAnsi="Arial" w:cs="Arial"/>
                <w:b/>
                <w:sz w:val="20"/>
                <w:szCs w:val="20"/>
              </w:rPr>
            </w:pPr>
          </w:p>
        </w:tc>
        <w:tc>
          <w:tcPr>
            <w:tcW w:w="1137" w:type="dxa"/>
          </w:tcPr>
          <w:p w14:paraId="6BDF1205" w14:textId="77777777" w:rsidR="001579AD" w:rsidRDefault="001579AD" w:rsidP="0038169D">
            <w:pPr>
              <w:jc w:val="center"/>
              <w:rPr>
                <w:rFonts w:ascii="Arial" w:hAnsi="Arial" w:cs="Arial"/>
                <w:sz w:val="20"/>
                <w:szCs w:val="20"/>
              </w:rPr>
            </w:pPr>
            <w:r w:rsidRPr="006A3F23">
              <w:rPr>
                <w:rFonts w:ascii="Arial" w:hAnsi="Arial" w:cs="Arial"/>
                <w:sz w:val="20"/>
                <w:szCs w:val="20"/>
              </w:rPr>
              <w:t>◄►</w:t>
            </w:r>
          </w:p>
          <w:p w14:paraId="67C34BBD" w14:textId="77777777" w:rsidR="001579AD" w:rsidRPr="006A3F23" w:rsidRDefault="001579AD" w:rsidP="006A3F23">
            <w:pPr>
              <w:jc w:val="center"/>
              <w:rPr>
                <w:rFonts w:ascii="Arial" w:hAnsi="Arial" w:cs="Arial"/>
                <w:sz w:val="20"/>
                <w:szCs w:val="20"/>
              </w:rPr>
            </w:pPr>
            <w:r w:rsidRPr="006A3F23">
              <w:rPr>
                <w:rFonts w:ascii="Arial" w:hAnsi="Arial" w:cs="Arial"/>
                <w:sz w:val="20"/>
                <w:szCs w:val="20"/>
              </w:rPr>
              <w:t>▲(NS)</w:t>
            </w:r>
          </w:p>
          <w:p w14:paraId="317BEAF1" w14:textId="36E39F07" w:rsidR="001579AD" w:rsidRPr="006A3F23" w:rsidRDefault="001579AD" w:rsidP="006A3F23">
            <w:pPr>
              <w:jc w:val="center"/>
              <w:rPr>
                <w:rFonts w:ascii="Arial" w:hAnsi="Arial" w:cs="Arial"/>
                <w:sz w:val="20"/>
                <w:szCs w:val="20"/>
              </w:rPr>
            </w:pPr>
            <w:r w:rsidRPr="006A3F23">
              <w:rPr>
                <w:rFonts w:ascii="Arial" w:hAnsi="Arial" w:cs="Arial"/>
                <w:sz w:val="20"/>
                <w:szCs w:val="20"/>
              </w:rPr>
              <w:t>◄►(FS)</w:t>
            </w:r>
          </w:p>
        </w:tc>
        <w:tc>
          <w:tcPr>
            <w:tcW w:w="1171" w:type="dxa"/>
          </w:tcPr>
          <w:p w14:paraId="79F0E24F" w14:textId="77777777" w:rsidR="001579AD" w:rsidRPr="006A3F23" w:rsidRDefault="001579AD" w:rsidP="0038169D">
            <w:pPr>
              <w:jc w:val="center"/>
              <w:rPr>
                <w:rFonts w:ascii="Arial" w:hAnsi="Arial" w:cs="Arial"/>
                <w:b/>
                <w:sz w:val="20"/>
                <w:szCs w:val="20"/>
              </w:rPr>
            </w:pPr>
          </w:p>
        </w:tc>
        <w:tc>
          <w:tcPr>
            <w:tcW w:w="1112" w:type="dxa"/>
          </w:tcPr>
          <w:p w14:paraId="2926EAD6" w14:textId="77777777" w:rsidR="001579AD" w:rsidRPr="006A3F23" w:rsidRDefault="001579AD" w:rsidP="0038169D">
            <w:pPr>
              <w:jc w:val="center"/>
              <w:rPr>
                <w:rFonts w:ascii="Arial" w:hAnsi="Arial" w:cs="Arial"/>
                <w:b/>
                <w:sz w:val="20"/>
                <w:szCs w:val="20"/>
              </w:rPr>
            </w:pPr>
          </w:p>
        </w:tc>
        <w:tc>
          <w:tcPr>
            <w:tcW w:w="1121" w:type="dxa"/>
          </w:tcPr>
          <w:p w14:paraId="2482C30F" w14:textId="77777777" w:rsidR="001579AD" w:rsidRDefault="001579AD" w:rsidP="0038169D">
            <w:pPr>
              <w:jc w:val="center"/>
              <w:rPr>
                <w:rFonts w:ascii="Arial" w:hAnsi="Arial" w:cs="Arial"/>
              </w:rPr>
            </w:pPr>
            <w:r w:rsidRPr="006A3F23">
              <w:rPr>
                <w:rFonts w:ascii="Arial" w:hAnsi="Arial" w:cs="Arial"/>
              </w:rPr>
              <w:t>▼</w:t>
            </w:r>
          </w:p>
          <w:p w14:paraId="550BCA37" w14:textId="3772C4BF" w:rsidR="005709A1" w:rsidRPr="005709A1" w:rsidRDefault="005709A1" w:rsidP="0038169D">
            <w:pPr>
              <w:jc w:val="center"/>
              <w:rPr>
                <w:rFonts w:ascii="Arial" w:hAnsi="Arial" w:cs="Arial"/>
                <w:bCs/>
                <w:sz w:val="20"/>
                <w:szCs w:val="20"/>
              </w:rPr>
            </w:pPr>
          </w:p>
        </w:tc>
        <w:tc>
          <w:tcPr>
            <w:tcW w:w="1171" w:type="dxa"/>
          </w:tcPr>
          <w:p w14:paraId="40597BD8" w14:textId="77777777" w:rsidR="001579AD" w:rsidRPr="006A3F23" w:rsidRDefault="001579AD" w:rsidP="0038169D">
            <w:pPr>
              <w:jc w:val="center"/>
              <w:rPr>
                <w:rFonts w:ascii="Arial" w:hAnsi="Arial" w:cs="Arial"/>
                <w:b/>
                <w:sz w:val="20"/>
                <w:szCs w:val="20"/>
              </w:rPr>
            </w:pPr>
          </w:p>
        </w:tc>
        <w:tc>
          <w:tcPr>
            <w:tcW w:w="345" w:type="dxa"/>
            <w:tcBorders>
              <w:top w:val="nil"/>
              <w:bottom w:val="nil"/>
              <w:right w:val="nil"/>
            </w:tcBorders>
          </w:tcPr>
          <w:p w14:paraId="08642356" w14:textId="77777777" w:rsidR="001579AD" w:rsidRPr="006A3F23" w:rsidRDefault="001579AD" w:rsidP="006A3F23">
            <w:pPr>
              <w:rPr>
                <w:rFonts w:ascii="Arial" w:hAnsi="Arial" w:cs="Arial"/>
                <w:b/>
                <w:sz w:val="20"/>
                <w:szCs w:val="20"/>
              </w:rPr>
            </w:pPr>
          </w:p>
        </w:tc>
        <w:tc>
          <w:tcPr>
            <w:tcW w:w="1824" w:type="dxa"/>
            <w:vMerge/>
            <w:tcBorders>
              <w:left w:val="nil"/>
              <w:right w:val="nil"/>
            </w:tcBorders>
          </w:tcPr>
          <w:p w14:paraId="43F0DB78" w14:textId="749B644F" w:rsidR="001579AD" w:rsidRPr="006A3F23" w:rsidRDefault="001579AD" w:rsidP="006A3F23">
            <w:pPr>
              <w:rPr>
                <w:rFonts w:ascii="Arial" w:hAnsi="Arial" w:cs="Arial"/>
                <w:b/>
                <w:sz w:val="20"/>
                <w:szCs w:val="20"/>
              </w:rPr>
            </w:pPr>
          </w:p>
        </w:tc>
      </w:tr>
      <w:tr w:rsidR="001579AD" w:rsidRPr="006A3F23" w14:paraId="39772FAC" w14:textId="77777777" w:rsidTr="0038169D">
        <w:tc>
          <w:tcPr>
            <w:tcW w:w="2873" w:type="dxa"/>
          </w:tcPr>
          <w:p w14:paraId="71B23C5F" w14:textId="192A2848" w:rsidR="001579AD" w:rsidRPr="001579AD" w:rsidRDefault="001579AD" w:rsidP="005709A1">
            <w:pPr>
              <w:jc w:val="center"/>
              <w:rPr>
                <w:rFonts w:ascii="Arial" w:hAnsi="Arial" w:cs="Arial"/>
                <w:bCs/>
                <w:sz w:val="20"/>
                <w:szCs w:val="20"/>
              </w:rPr>
            </w:pPr>
            <w:r w:rsidRPr="006A3F23">
              <w:rPr>
                <w:rFonts w:ascii="Arial" w:hAnsi="Arial" w:cs="Arial"/>
                <w:bCs/>
                <w:sz w:val="20"/>
                <w:szCs w:val="20"/>
              </w:rPr>
              <w:t>Smoker</w:t>
            </w:r>
            <w:r>
              <w:rPr>
                <w:rFonts w:ascii="Arial" w:hAnsi="Arial" w:cs="Arial"/>
                <w:bCs/>
                <w:sz w:val="20"/>
                <w:szCs w:val="20"/>
              </w:rPr>
              <w:t xml:space="preserve"> </w:t>
            </w:r>
            <w:r w:rsidRPr="006A3F23">
              <w:rPr>
                <w:rFonts w:ascii="Arial" w:hAnsi="Arial" w:cs="Arial"/>
                <w:bCs/>
                <w:sz w:val="20"/>
                <w:szCs w:val="20"/>
              </w:rPr>
              <w:t>GP visits/hospitalisation</w:t>
            </w:r>
            <w:r>
              <w:rPr>
                <w:rFonts w:ascii="Arial" w:hAnsi="Arial" w:cs="Arial"/>
                <w:bCs/>
                <w:sz w:val="20"/>
                <w:szCs w:val="20"/>
              </w:rPr>
              <w:t>*</w:t>
            </w:r>
          </w:p>
        </w:tc>
        <w:tc>
          <w:tcPr>
            <w:tcW w:w="1095" w:type="dxa"/>
          </w:tcPr>
          <w:p w14:paraId="2F9AF81B" w14:textId="130CEB79" w:rsidR="001579AD" w:rsidRPr="006A3F23" w:rsidRDefault="001579AD" w:rsidP="0038169D">
            <w:pPr>
              <w:jc w:val="center"/>
              <w:rPr>
                <w:rFonts w:ascii="Arial" w:hAnsi="Arial" w:cs="Arial"/>
                <w:b/>
                <w:sz w:val="20"/>
                <w:szCs w:val="20"/>
              </w:rPr>
            </w:pPr>
          </w:p>
        </w:tc>
        <w:tc>
          <w:tcPr>
            <w:tcW w:w="1053" w:type="dxa"/>
          </w:tcPr>
          <w:p w14:paraId="672D02E4" w14:textId="77777777" w:rsidR="001579AD" w:rsidRPr="006A3F23" w:rsidRDefault="001579AD" w:rsidP="0038169D">
            <w:pPr>
              <w:jc w:val="center"/>
              <w:rPr>
                <w:rFonts w:ascii="Arial" w:hAnsi="Arial" w:cs="Arial"/>
                <w:b/>
                <w:sz w:val="20"/>
                <w:szCs w:val="20"/>
              </w:rPr>
            </w:pPr>
          </w:p>
        </w:tc>
        <w:tc>
          <w:tcPr>
            <w:tcW w:w="1053" w:type="dxa"/>
          </w:tcPr>
          <w:p w14:paraId="44D4D1EC" w14:textId="77777777" w:rsidR="001579AD" w:rsidRPr="006A3F23" w:rsidRDefault="001579AD" w:rsidP="0038169D">
            <w:pPr>
              <w:jc w:val="center"/>
              <w:rPr>
                <w:rFonts w:ascii="Arial" w:hAnsi="Arial" w:cs="Arial"/>
                <w:b/>
                <w:sz w:val="20"/>
                <w:szCs w:val="20"/>
              </w:rPr>
            </w:pPr>
          </w:p>
        </w:tc>
        <w:tc>
          <w:tcPr>
            <w:tcW w:w="1137" w:type="dxa"/>
          </w:tcPr>
          <w:p w14:paraId="3386368F" w14:textId="77777777" w:rsidR="001579AD" w:rsidRPr="006A3F23" w:rsidRDefault="001579AD" w:rsidP="0038169D">
            <w:pPr>
              <w:jc w:val="center"/>
              <w:rPr>
                <w:rFonts w:ascii="Arial" w:hAnsi="Arial" w:cs="Arial"/>
                <w:b/>
                <w:sz w:val="20"/>
                <w:szCs w:val="20"/>
              </w:rPr>
            </w:pPr>
          </w:p>
        </w:tc>
        <w:tc>
          <w:tcPr>
            <w:tcW w:w="1171" w:type="dxa"/>
          </w:tcPr>
          <w:p w14:paraId="3EE7CE09" w14:textId="77777777" w:rsidR="001579AD" w:rsidRPr="006A3F23" w:rsidRDefault="001579AD" w:rsidP="0038169D">
            <w:pPr>
              <w:jc w:val="center"/>
              <w:rPr>
                <w:rFonts w:ascii="Arial" w:hAnsi="Arial" w:cs="Arial"/>
                <w:b/>
                <w:sz w:val="20"/>
                <w:szCs w:val="20"/>
              </w:rPr>
            </w:pPr>
          </w:p>
        </w:tc>
        <w:tc>
          <w:tcPr>
            <w:tcW w:w="1112" w:type="dxa"/>
          </w:tcPr>
          <w:p w14:paraId="5DD8110D" w14:textId="77777777" w:rsidR="001579AD" w:rsidRPr="006A3F23" w:rsidRDefault="001579AD" w:rsidP="0038169D">
            <w:pPr>
              <w:jc w:val="center"/>
              <w:rPr>
                <w:rFonts w:ascii="Arial" w:hAnsi="Arial" w:cs="Arial"/>
                <w:b/>
                <w:sz w:val="20"/>
                <w:szCs w:val="20"/>
              </w:rPr>
            </w:pPr>
          </w:p>
        </w:tc>
        <w:tc>
          <w:tcPr>
            <w:tcW w:w="1121" w:type="dxa"/>
          </w:tcPr>
          <w:p w14:paraId="4512FB23" w14:textId="77777777" w:rsidR="001579AD" w:rsidRPr="006A3F23" w:rsidRDefault="001579AD" w:rsidP="0038169D">
            <w:pPr>
              <w:jc w:val="center"/>
              <w:rPr>
                <w:rFonts w:ascii="Arial" w:hAnsi="Arial" w:cs="Arial"/>
                <w:b/>
                <w:sz w:val="20"/>
                <w:szCs w:val="20"/>
              </w:rPr>
            </w:pPr>
          </w:p>
        </w:tc>
        <w:tc>
          <w:tcPr>
            <w:tcW w:w="1171" w:type="dxa"/>
          </w:tcPr>
          <w:p w14:paraId="04393846" w14:textId="77777777" w:rsidR="001579AD" w:rsidRPr="006A3F23" w:rsidRDefault="001579AD" w:rsidP="0038169D">
            <w:pPr>
              <w:jc w:val="center"/>
              <w:rPr>
                <w:rFonts w:ascii="Arial" w:hAnsi="Arial" w:cs="Arial"/>
                <w:b/>
                <w:sz w:val="20"/>
                <w:szCs w:val="20"/>
              </w:rPr>
            </w:pPr>
          </w:p>
        </w:tc>
        <w:tc>
          <w:tcPr>
            <w:tcW w:w="345" w:type="dxa"/>
            <w:tcBorders>
              <w:top w:val="nil"/>
              <w:bottom w:val="nil"/>
              <w:right w:val="nil"/>
            </w:tcBorders>
          </w:tcPr>
          <w:p w14:paraId="63BDC007" w14:textId="77777777" w:rsidR="001579AD" w:rsidRPr="006A3F23" w:rsidRDefault="001579AD" w:rsidP="006A3F23">
            <w:pPr>
              <w:rPr>
                <w:rFonts w:ascii="Arial" w:hAnsi="Arial" w:cs="Arial"/>
                <w:b/>
                <w:sz w:val="20"/>
                <w:szCs w:val="20"/>
              </w:rPr>
            </w:pPr>
          </w:p>
        </w:tc>
        <w:tc>
          <w:tcPr>
            <w:tcW w:w="1824" w:type="dxa"/>
            <w:vMerge/>
            <w:tcBorders>
              <w:left w:val="nil"/>
              <w:right w:val="nil"/>
            </w:tcBorders>
          </w:tcPr>
          <w:p w14:paraId="22307EA4" w14:textId="04AC5ECE" w:rsidR="001579AD" w:rsidRPr="006A3F23" w:rsidRDefault="001579AD" w:rsidP="006A3F23">
            <w:pPr>
              <w:rPr>
                <w:rFonts w:ascii="Arial" w:hAnsi="Arial" w:cs="Arial"/>
                <w:b/>
                <w:sz w:val="20"/>
                <w:szCs w:val="20"/>
              </w:rPr>
            </w:pPr>
          </w:p>
        </w:tc>
      </w:tr>
      <w:tr w:rsidR="001579AD" w:rsidRPr="006A3F23" w14:paraId="726F20F3" w14:textId="77777777" w:rsidTr="0038169D">
        <w:tc>
          <w:tcPr>
            <w:tcW w:w="2873" w:type="dxa"/>
          </w:tcPr>
          <w:p w14:paraId="1E6E8370" w14:textId="47AC0180" w:rsidR="001579AD" w:rsidRPr="005709A1" w:rsidRDefault="001579AD" w:rsidP="005709A1">
            <w:pPr>
              <w:jc w:val="center"/>
              <w:rPr>
                <w:rFonts w:ascii="Arial" w:hAnsi="Arial" w:cs="Arial"/>
                <w:sz w:val="20"/>
                <w:szCs w:val="20"/>
              </w:rPr>
            </w:pPr>
            <w:r w:rsidRPr="006A3F23">
              <w:rPr>
                <w:rFonts w:ascii="Arial" w:hAnsi="Arial" w:cs="Arial"/>
                <w:sz w:val="20"/>
                <w:szCs w:val="20"/>
              </w:rPr>
              <w:t>Total tobacco product consumption</w:t>
            </w:r>
          </w:p>
        </w:tc>
        <w:tc>
          <w:tcPr>
            <w:tcW w:w="1095" w:type="dxa"/>
          </w:tcPr>
          <w:p w14:paraId="5F763C5A" w14:textId="5DC30A49" w:rsidR="001579AD" w:rsidRPr="006A3F23" w:rsidRDefault="001579AD" w:rsidP="0038169D">
            <w:pPr>
              <w:jc w:val="center"/>
              <w:rPr>
                <w:rFonts w:ascii="Arial" w:hAnsi="Arial" w:cs="Arial"/>
                <w:b/>
                <w:sz w:val="20"/>
                <w:szCs w:val="20"/>
              </w:rPr>
            </w:pPr>
            <w:r w:rsidRPr="006A3F23">
              <w:rPr>
                <w:rFonts w:ascii="Arial" w:hAnsi="Arial" w:cs="Arial"/>
              </w:rPr>
              <w:t>▲</w:t>
            </w:r>
          </w:p>
        </w:tc>
        <w:tc>
          <w:tcPr>
            <w:tcW w:w="1053" w:type="dxa"/>
          </w:tcPr>
          <w:p w14:paraId="55F62A8D" w14:textId="77777777" w:rsidR="001579AD" w:rsidRPr="006A3F23" w:rsidRDefault="001579AD" w:rsidP="0038169D">
            <w:pPr>
              <w:jc w:val="center"/>
              <w:rPr>
                <w:rFonts w:ascii="Arial" w:hAnsi="Arial" w:cs="Arial"/>
                <w:b/>
                <w:sz w:val="20"/>
                <w:szCs w:val="20"/>
              </w:rPr>
            </w:pPr>
          </w:p>
        </w:tc>
        <w:tc>
          <w:tcPr>
            <w:tcW w:w="1053" w:type="dxa"/>
          </w:tcPr>
          <w:p w14:paraId="5FCB459A"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37" w:type="dxa"/>
          </w:tcPr>
          <w:p w14:paraId="143A11BF"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71" w:type="dxa"/>
          </w:tcPr>
          <w:p w14:paraId="12C775FA" w14:textId="77777777" w:rsidR="001579AD" w:rsidRPr="006A3F23" w:rsidRDefault="001579AD" w:rsidP="0038169D">
            <w:pPr>
              <w:jc w:val="center"/>
              <w:rPr>
                <w:rFonts w:ascii="Arial" w:hAnsi="Arial" w:cs="Arial"/>
                <w:b/>
                <w:sz w:val="20"/>
                <w:szCs w:val="20"/>
              </w:rPr>
            </w:pPr>
          </w:p>
        </w:tc>
        <w:tc>
          <w:tcPr>
            <w:tcW w:w="1112" w:type="dxa"/>
          </w:tcPr>
          <w:p w14:paraId="0905A408" w14:textId="77777777" w:rsidR="001579AD" w:rsidRPr="006A3F23" w:rsidRDefault="001579AD" w:rsidP="0038169D">
            <w:pPr>
              <w:jc w:val="center"/>
              <w:rPr>
                <w:rFonts w:ascii="Arial" w:hAnsi="Arial" w:cs="Arial"/>
                <w:b/>
                <w:sz w:val="20"/>
                <w:szCs w:val="20"/>
              </w:rPr>
            </w:pPr>
          </w:p>
        </w:tc>
        <w:tc>
          <w:tcPr>
            <w:tcW w:w="1121" w:type="dxa"/>
          </w:tcPr>
          <w:p w14:paraId="387280D4" w14:textId="77777777" w:rsidR="001579AD" w:rsidRPr="006A3F23" w:rsidRDefault="001579AD" w:rsidP="0038169D">
            <w:pPr>
              <w:jc w:val="center"/>
              <w:rPr>
                <w:rFonts w:ascii="Arial" w:hAnsi="Arial" w:cs="Arial"/>
                <w:b/>
                <w:sz w:val="20"/>
                <w:szCs w:val="20"/>
              </w:rPr>
            </w:pPr>
          </w:p>
        </w:tc>
        <w:tc>
          <w:tcPr>
            <w:tcW w:w="1171" w:type="dxa"/>
          </w:tcPr>
          <w:p w14:paraId="1BC50827" w14:textId="77777777" w:rsidR="001579AD" w:rsidRPr="006A3F23" w:rsidRDefault="001579AD" w:rsidP="0038169D">
            <w:pPr>
              <w:jc w:val="center"/>
              <w:rPr>
                <w:rFonts w:ascii="Arial" w:hAnsi="Arial" w:cs="Arial"/>
                <w:b/>
                <w:sz w:val="20"/>
                <w:szCs w:val="20"/>
              </w:rPr>
            </w:pPr>
          </w:p>
        </w:tc>
        <w:tc>
          <w:tcPr>
            <w:tcW w:w="345" w:type="dxa"/>
            <w:tcBorders>
              <w:top w:val="nil"/>
              <w:bottom w:val="nil"/>
              <w:right w:val="nil"/>
            </w:tcBorders>
          </w:tcPr>
          <w:p w14:paraId="28E1EE6D" w14:textId="77777777" w:rsidR="001579AD" w:rsidRPr="006A3F23" w:rsidRDefault="001579AD" w:rsidP="006A3F23">
            <w:pPr>
              <w:rPr>
                <w:rFonts w:ascii="Arial" w:hAnsi="Arial" w:cs="Arial"/>
                <w:b/>
                <w:sz w:val="20"/>
                <w:szCs w:val="20"/>
              </w:rPr>
            </w:pPr>
          </w:p>
        </w:tc>
        <w:tc>
          <w:tcPr>
            <w:tcW w:w="1824" w:type="dxa"/>
            <w:vMerge/>
            <w:tcBorders>
              <w:left w:val="nil"/>
              <w:right w:val="nil"/>
            </w:tcBorders>
          </w:tcPr>
          <w:p w14:paraId="70D6906A" w14:textId="017CB96B" w:rsidR="001579AD" w:rsidRPr="006A3F23" w:rsidRDefault="001579AD" w:rsidP="006A3F23">
            <w:pPr>
              <w:rPr>
                <w:rFonts w:ascii="Arial" w:hAnsi="Arial" w:cs="Arial"/>
                <w:b/>
                <w:sz w:val="20"/>
                <w:szCs w:val="20"/>
              </w:rPr>
            </w:pPr>
          </w:p>
        </w:tc>
      </w:tr>
      <w:tr w:rsidR="001579AD" w:rsidRPr="006A3F23" w14:paraId="16D43FF4" w14:textId="77777777" w:rsidTr="0038169D">
        <w:tc>
          <w:tcPr>
            <w:tcW w:w="2873" w:type="dxa"/>
          </w:tcPr>
          <w:p w14:paraId="11E2F370" w14:textId="2CC256E1" w:rsidR="001579AD" w:rsidRPr="005709A1" w:rsidRDefault="001579AD" w:rsidP="005709A1">
            <w:pPr>
              <w:jc w:val="center"/>
              <w:rPr>
                <w:rFonts w:ascii="Arial" w:hAnsi="Arial" w:cs="Arial"/>
                <w:sz w:val="20"/>
                <w:szCs w:val="20"/>
              </w:rPr>
            </w:pPr>
            <w:r w:rsidRPr="006A3F23">
              <w:rPr>
                <w:rFonts w:ascii="Arial" w:hAnsi="Arial" w:cs="Arial"/>
                <w:sz w:val="20"/>
                <w:szCs w:val="20"/>
              </w:rPr>
              <w:t>Prevalence of tobacco smoking</w:t>
            </w:r>
          </w:p>
        </w:tc>
        <w:tc>
          <w:tcPr>
            <w:tcW w:w="1095" w:type="dxa"/>
          </w:tcPr>
          <w:p w14:paraId="14337381" w14:textId="10B52F44" w:rsidR="001579AD" w:rsidRPr="006A3F23" w:rsidRDefault="001579AD" w:rsidP="0038169D">
            <w:pPr>
              <w:jc w:val="center"/>
              <w:rPr>
                <w:rFonts w:ascii="Arial" w:hAnsi="Arial" w:cs="Arial"/>
                <w:b/>
                <w:sz w:val="20"/>
                <w:szCs w:val="20"/>
              </w:rPr>
            </w:pPr>
          </w:p>
        </w:tc>
        <w:tc>
          <w:tcPr>
            <w:tcW w:w="1053" w:type="dxa"/>
          </w:tcPr>
          <w:p w14:paraId="1D51A542" w14:textId="77777777" w:rsidR="001579AD" w:rsidRDefault="001579AD" w:rsidP="0038169D">
            <w:pPr>
              <w:jc w:val="center"/>
              <w:rPr>
                <w:rFonts w:ascii="Arial" w:hAnsi="Arial" w:cs="Arial"/>
              </w:rPr>
            </w:pPr>
            <w:r w:rsidRPr="006A3F23">
              <w:rPr>
                <w:rFonts w:ascii="Arial" w:hAnsi="Arial" w:cs="Arial"/>
              </w:rPr>
              <w:t>▼</w:t>
            </w:r>
          </w:p>
          <w:p w14:paraId="14E2DCC1" w14:textId="5CDB4A08" w:rsidR="005709A1" w:rsidRPr="005709A1" w:rsidRDefault="005709A1" w:rsidP="005709A1">
            <w:pPr>
              <w:jc w:val="center"/>
              <w:rPr>
                <w:rFonts w:ascii="Arial" w:hAnsi="Arial" w:cs="Arial"/>
                <w:bCs/>
                <w:sz w:val="20"/>
                <w:szCs w:val="20"/>
              </w:rPr>
            </w:pPr>
            <w:r>
              <w:rPr>
                <w:rFonts w:ascii="Arial" w:hAnsi="Arial" w:cs="Arial"/>
                <w:bCs/>
                <w:sz w:val="20"/>
                <w:szCs w:val="20"/>
              </w:rPr>
              <w:t xml:space="preserve">1 </w:t>
            </w:r>
            <w:r w:rsidR="000207ED">
              <w:rPr>
                <w:rFonts w:ascii="Arial" w:hAnsi="Arial" w:cs="Arial"/>
                <w:bCs/>
                <w:sz w:val="20"/>
                <w:szCs w:val="20"/>
              </w:rPr>
              <w:t>y</w:t>
            </w:r>
            <w:r>
              <w:rPr>
                <w:rFonts w:ascii="Arial" w:hAnsi="Arial" w:cs="Arial"/>
                <w:bCs/>
                <w:sz w:val="20"/>
                <w:szCs w:val="20"/>
              </w:rPr>
              <w:t>ear</w:t>
            </w:r>
            <w:r w:rsidR="000207ED">
              <w:rPr>
                <w:rFonts w:ascii="Arial" w:hAnsi="Arial" w:cs="Arial"/>
                <w:bCs/>
                <w:sz w:val="20"/>
                <w:szCs w:val="20"/>
              </w:rPr>
              <w:t>^</w:t>
            </w:r>
          </w:p>
        </w:tc>
        <w:tc>
          <w:tcPr>
            <w:tcW w:w="1053" w:type="dxa"/>
          </w:tcPr>
          <w:p w14:paraId="5E3B9720"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37" w:type="dxa"/>
          </w:tcPr>
          <w:p w14:paraId="2F219D9D" w14:textId="77777777" w:rsidR="001579AD" w:rsidRPr="006A3F23" w:rsidRDefault="001579AD" w:rsidP="0038169D">
            <w:pPr>
              <w:jc w:val="center"/>
              <w:rPr>
                <w:rFonts w:ascii="Arial" w:hAnsi="Arial" w:cs="Arial"/>
                <w:b/>
                <w:sz w:val="20"/>
                <w:szCs w:val="20"/>
              </w:rPr>
            </w:pPr>
          </w:p>
        </w:tc>
        <w:tc>
          <w:tcPr>
            <w:tcW w:w="1171" w:type="dxa"/>
          </w:tcPr>
          <w:p w14:paraId="37A85498" w14:textId="77777777" w:rsidR="001579AD" w:rsidRPr="006A3F23" w:rsidRDefault="001579AD" w:rsidP="0038169D">
            <w:pPr>
              <w:jc w:val="center"/>
              <w:rPr>
                <w:rFonts w:ascii="Arial" w:hAnsi="Arial" w:cs="Arial"/>
                <w:b/>
                <w:sz w:val="20"/>
                <w:szCs w:val="20"/>
              </w:rPr>
            </w:pPr>
          </w:p>
        </w:tc>
        <w:tc>
          <w:tcPr>
            <w:tcW w:w="1112" w:type="dxa"/>
          </w:tcPr>
          <w:p w14:paraId="4FC22CC6" w14:textId="77777777" w:rsidR="001579AD" w:rsidRPr="006A3F23" w:rsidRDefault="001579AD" w:rsidP="0038169D">
            <w:pPr>
              <w:jc w:val="center"/>
              <w:rPr>
                <w:rFonts w:ascii="Arial" w:hAnsi="Arial" w:cs="Arial"/>
                <w:b/>
                <w:sz w:val="20"/>
                <w:szCs w:val="20"/>
              </w:rPr>
            </w:pPr>
          </w:p>
        </w:tc>
        <w:tc>
          <w:tcPr>
            <w:tcW w:w="1121" w:type="dxa"/>
          </w:tcPr>
          <w:p w14:paraId="673C94CC"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71" w:type="dxa"/>
          </w:tcPr>
          <w:p w14:paraId="6C3C2817" w14:textId="77777777" w:rsidR="001579AD" w:rsidRDefault="001579AD" w:rsidP="0038169D">
            <w:pPr>
              <w:jc w:val="center"/>
              <w:rPr>
                <w:rFonts w:ascii="Arial" w:hAnsi="Arial" w:cs="Arial"/>
                <w:color w:val="333333"/>
                <w:sz w:val="20"/>
                <w:szCs w:val="20"/>
              </w:rPr>
            </w:pPr>
            <w:r w:rsidRPr="006A3F23">
              <w:rPr>
                <w:rFonts w:ascii="Arial" w:hAnsi="Arial" w:cs="Arial"/>
              </w:rPr>
              <w:t>▲</w:t>
            </w:r>
            <w:r w:rsidRPr="006A3F23">
              <w:rPr>
                <w:rFonts w:ascii="Arial" w:hAnsi="Arial" w:cs="Arial"/>
                <w:color w:val="333333"/>
                <w:sz w:val="20"/>
                <w:szCs w:val="20"/>
              </w:rPr>
              <w:t xml:space="preserve"> </w:t>
            </w:r>
          </w:p>
          <w:p w14:paraId="1A255364" w14:textId="08B9D883" w:rsidR="000207ED" w:rsidRPr="000207ED" w:rsidRDefault="000207ED" w:rsidP="0038169D">
            <w:pPr>
              <w:jc w:val="center"/>
              <w:rPr>
                <w:rFonts w:ascii="Arial" w:hAnsi="Arial" w:cs="Arial"/>
                <w:bCs/>
                <w:sz w:val="20"/>
                <w:szCs w:val="20"/>
              </w:rPr>
            </w:pPr>
            <w:r>
              <w:rPr>
                <w:rFonts w:ascii="Arial" w:hAnsi="Arial" w:cs="Arial"/>
                <w:bCs/>
                <w:sz w:val="20"/>
                <w:szCs w:val="20"/>
              </w:rPr>
              <w:t>8 weeks^</w:t>
            </w:r>
          </w:p>
        </w:tc>
        <w:tc>
          <w:tcPr>
            <w:tcW w:w="345" w:type="dxa"/>
            <w:tcBorders>
              <w:top w:val="nil"/>
              <w:bottom w:val="nil"/>
              <w:right w:val="nil"/>
            </w:tcBorders>
          </w:tcPr>
          <w:p w14:paraId="4016AA85" w14:textId="77777777" w:rsidR="001579AD" w:rsidRPr="006A3F23" w:rsidRDefault="001579AD" w:rsidP="0038169D">
            <w:pPr>
              <w:jc w:val="center"/>
              <w:rPr>
                <w:rFonts w:ascii="Arial" w:hAnsi="Arial" w:cs="Arial"/>
              </w:rPr>
            </w:pPr>
          </w:p>
        </w:tc>
        <w:tc>
          <w:tcPr>
            <w:tcW w:w="1824" w:type="dxa"/>
            <w:vMerge/>
            <w:tcBorders>
              <w:left w:val="nil"/>
              <w:right w:val="nil"/>
            </w:tcBorders>
          </w:tcPr>
          <w:p w14:paraId="24FCF1C8" w14:textId="7E849A0C" w:rsidR="001579AD" w:rsidRPr="006A3F23" w:rsidRDefault="001579AD" w:rsidP="0038169D">
            <w:pPr>
              <w:jc w:val="center"/>
              <w:rPr>
                <w:rFonts w:ascii="Arial" w:hAnsi="Arial" w:cs="Arial"/>
              </w:rPr>
            </w:pPr>
          </w:p>
        </w:tc>
      </w:tr>
      <w:tr w:rsidR="001579AD" w:rsidRPr="006A3F23" w14:paraId="3B725CCE" w14:textId="77777777" w:rsidTr="0038169D">
        <w:tc>
          <w:tcPr>
            <w:tcW w:w="2873" w:type="dxa"/>
          </w:tcPr>
          <w:p w14:paraId="671F2877" w14:textId="77777777" w:rsidR="001579AD" w:rsidRPr="006A3F23" w:rsidRDefault="001579AD" w:rsidP="0038169D">
            <w:pPr>
              <w:jc w:val="center"/>
              <w:rPr>
                <w:rFonts w:ascii="Arial" w:hAnsi="Arial" w:cs="Arial"/>
                <w:sz w:val="20"/>
                <w:szCs w:val="20"/>
              </w:rPr>
            </w:pPr>
            <w:r w:rsidRPr="006A3F23">
              <w:rPr>
                <w:rFonts w:ascii="Arial" w:hAnsi="Arial" w:cs="Arial"/>
                <w:sz w:val="20"/>
                <w:szCs w:val="20"/>
              </w:rPr>
              <w:t>Quit rate</w:t>
            </w:r>
          </w:p>
          <w:p w14:paraId="3916E775" w14:textId="18936ECE" w:rsidR="005709A1" w:rsidRPr="006A3F23" w:rsidRDefault="005709A1" w:rsidP="005709A1">
            <w:pPr>
              <w:rPr>
                <w:rFonts w:ascii="Arial" w:hAnsi="Arial" w:cs="Arial"/>
              </w:rPr>
            </w:pPr>
          </w:p>
        </w:tc>
        <w:tc>
          <w:tcPr>
            <w:tcW w:w="1095" w:type="dxa"/>
          </w:tcPr>
          <w:p w14:paraId="701B6BB7" w14:textId="4AA1B7D9" w:rsidR="001579AD" w:rsidRPr="006A3F23" w:rsidRDefault="001579AD" w:rsidP="0038169D">
            <w:pPr>
              <w:jc w:val="center"/>
              <w:rPr>
                <w:rFonts w:ascii="Arial" w:hAnsi="Arial" w:cs="Arial"/>
                <w:b/>
                <w:sz w:val="20"/>
                <w:szCs w:val="20"/>
              </w:rPr>
            </w:pPr>
            <w:r w:rsidRPr="006A3F23">
              <w:rPr>
                <w:rFonts w:ascii="Arial" w:hAnsi="Arial" w:cs="Arial"/>
              </w:rPr>
              <w:t>◄►</w:t>
            </w:r>
          </w:p>
        </w:tc>
        <w:tc>
          <w:tcPr>
            <w:tcW w:w="1053" w:type="dxa"/>
          </w:tcPr>
          <w:p w14:paraId="79DB0244" w14:textId="77777777" w:rsidR="001579AD" w:rsidRDefault="001579AD" w:rsidP="0038169D">
            <w:pPr>
              <w:jc w:val="center"/>
              <w:rPr>
                <w:rFonts w:ascii="Arial" w:hAnsi="Arial" w:cs="Arial"/>
              </w:rPr>
            </w:pPr>
            <w:r w:rsidRPr="006A3F23">
              <w:rPr>
                <w:rFonts w:ascii="Arial" w:hAnsi="Arial" w:cs="Arial"/>
              </w:rPr>
              <w:t>▲</w:t>
            </w:r>
          </w:p>
          <w:p w14:paraId="6700301B" w14:textId="63B3EDE2" w:rsidR="005709A1" w:rsidRPr="005709A1" w:rsidRDefault="005709A1" w:rsidP="0038169D">
            <w:pPr>
              <w:jc w:val="center"/>
              <w:rPr>
                <w:rFonts w:ascii="Arial" w:hAnsi="Arial" w:cs="Arial"/>
                <w:bCs/>
                <w:sz w:val="20"/>
                <w:szCs w:val="20"/>
              </w:rPr>
            </w:pPr>
            <w:r>
              <w:rPr>
                <w:rFonts w:ascii="Arial" w:hAnsi="Arial" w:cs="Arial"/>
                <w:bCs/>
                <w:sz w:val="20"/>
                <w:szCs w:val="20"/>
              </w:rPr>
              <w:t>4 weeks</w:t>
            </w:r>
            <w:r w:rsidR="000207ED">
              <w:rPr>
                <w:rFonts w:ascii="Arial" w:hAnsi="Arial" w:cs="Arial"/>
                <w:bCs/>
                <w:sz w:val="20"/>
                <w:szCs w:val="20"/>
              </w:rPr>
              <w:t>^</w:t>
            </w:r>
          </w:p>
        </w:tc>
        <w:tc>
          <w:tcPr>
            <w:tcW w:w="1053" w:type="dxa"/>
          </w:tcPr>
          <w:p w14:paraId="0D4279EB"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37" w:type="dxa"/>
          </w:tcPr>
          <w:p w14:paraId="4A4BD462"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71" w:type="dxa"/>
          </w:tcPr>
          <w:p w14:paraId="5A1F8D4A"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12" w:type="dxa"/>
          </w:tcPr>
          <w:p w14:paraId="077C39FC"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21" w:type="dxa"/>
          </w:tcPr>
          <w:p w14:paraId="43C933D1"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71" w:type="dxa"/>
          </w:tcPr>
          <w:p w14:paraId="5102ACEA" w14:textId="77777777" w:rsidR="001579AD" w:rsidRDefault="001579AD" w:rsidP="0038169D">
            <w:pPr>
              <w:jc w:val="center"/>
              <w:rPr>
                <w:rFonts w:ascii="Arial" w:hAnsi="Arial" w:cs="Arial"/>
                <w:color w:val="333333"/>
                <w:sz w:val="20"/>
                <w:szCs w:val="20"/>
              </w:rPr>
            </w:pPr>
            <w:r w:rsidRPr="006A3F23">
              <w:rPr>
                <w:rFonts w:ascii="Arial" w:hAnsi="Arial" w:cs="Arial"/>
              </w:rPr>
              <w:t>▲</w:t>
            </w:r>
            <w:r w:rsidRPr="006A3F23">
              <w:rPr>
                <w:rFonts w:ascii="Arial" w:hAnsi="Arial" w:cs="Arial"/>
                <w:color w:val="333333"/>
                <w:sz w:val="20"/>
                <w:szCs w:val="20"/>
              </w:rPr>
              <w:t xml:space="preserve"> </w:t>
            </w:r>
          </w:p>
          <w:p w14:paraId="18D5A668" w14:textId="7CC93CC8" w:rsidR="000207ED" w:rsidRPr="000207ED" w:rsidRDefault="000207ED" w:rsidP="0038169D">
            <w:pPr>
              <w:jc w:val="center"/>
              <w:rPr>
                <w:rFonts w:ascii="Arial" w:hAnsi="Arial" w:cs="Arial"/>
                <w:sz w:val="20"/>
                <w:szCs w:val="20"/>
              </w:rPr>
            </w:pPr>
            <w:r>
              <w:rPr>
                <w:rFonts w:ascii="Arial" w:hAnsi="Arial" w:cs="Arial"/>
                <w:sz w:val="20"/>
                <w:szCs w:val="20"/>
              </w:rPr>
              <w:t>20 weeks^</w:t>
            </w:r>
          </w:p>
        </w:tc>
        <w:tc>
          <w:tcPr>
            <w:tcW w:w="345" w:type="dxa"/>
            <w:tcBorders>
              <w:top w:val="nil"/>
              <w:bottom w:val="nil"/>
              <w:right w:val="nil"/>
            </w:tcBorders>
          </w:tcPr>
          <w:p w14:paraId="353E461F" w14:textId="77777777" w:rsidR="001579AD" w:rsidRPr="006A3F23" w:rsidRDefault="001579AD" w:rsidP="0038169D">
            <w:pPr>
              <w:jc w:val="center"/>
              <w:rPr>
                <w:rFonts w:ascii="Arial" w:hAnsi="Arial" w:cs="Arial"/>
              </w:rPr>
            </w:pPr>
          </w:p>
        </w:tc>
        <w:tc>
          <w:tcPr>
            <w:tcW w:w="1824" w:type="dxa"/>
            <w:vMerge/>
            <w:tcBorders>
              <w:left w:val="nil"/>
              <w:right w:val="nil"/>
            </w:tcBorders>
          </w:tcPr>
          <w:p w14:paraId="575D9036" w14:textId="40987E9E" w:rsidR="001579AD" w:rsidRPr="006A3F23" w:rsidRDefault="001579AD" w:rsidP="0038169D">
            <w:pPr>
              <w:jc w:val="center"/>
              <w:rPr>
                <w:rFonts w:ascii="Arial" w:hAnsi="Arial" w:cs="Arial"/>
              </w:rPr>
            </w:pPr>
          </w:p>
        </w:tc>
      </w:tr>
      <w:tr w:rsidR="001579AD" w:rsidRPr="006A3F23" w14:paraId="2DB185DD" w14:textId="77777777" w:rsidTr="0038169D">
        <w:tc>
          <w:tcPr>
            <w:tcW w:w="2873" w:type="dxa"/>
          </w:tcPr>
          <w:p w14:paraId="354E0031" w14:textId="77777777" w:rsidR="001579AD" w:rsidRDefault="001579AD" w:rsidP="0038169D">
            <w:pPr>
              <w:jc w:val="center"/>
              <w:rPr>
                <w:rFonts w:ascii="Arial" w:hAnsi="Arial" w:cs="Arial"/>
                <w:sz w:val="20"/>
                <w:szCs w:val="20"/>
              </w:rPr>
            </w:pPr>
            <w:r w:rsidRPr="006A3F23">
              <w:rPr>
                <w:rFonts w:ascii="Arial" w:hAnsi="Arial" w:cs="Arial"/>
                <w:sz w:val="20"/>
                <w:szCs w:val="20"/>
              </w:rPr>
              <w:t>Days of work lost to smoking</w:t>
            </w:r>
          </w:p>
          <w:p w14:paraId="0D698CCE" w14:textId="6F2DD772" w:rsidR="001579AD" w:rsidRPr="006A3F23" w:rsidRDefault="001579AD" w:rsidP="005709A1">
            <w:pPr>
              <w:rPr>
                <w:rFonts w:ascii="Arial" w:hAnsi="Arial" w:cs="Arial"/>
                <w:b/>
                <w:sz w:val="20"/>
                <w:szCs w:val="20"/>
              </w:rPr>
            </w:pPr>
          </w:p>
        </w:tc>
        <w:tc>
          <w:tcPr>
            <w:tcW w:w="1095" w:type="dxa"/>
          </w:tcPr>
          <w:p w14:paraId="368D4CD4" w14:textId="3EBA555C" w:rsidR="001579AD" w:rsidRPr="006A3F23" w:rsidRDefault="001579AD" w:rsidP="0038169D">
            <w:pPr>
              <w:jc w:val="center"/>
              <w:rPr>
                <w:rFonts w:ascii="Arial" w:hAnsi="Arial" w:cs="Arial"/>
                <w:b/>
                <w:sz w:val="20"/>
                <w:szCs w:val="20"/>
              </w:rPr>
            </w:pPr>
          </w:p>
        </w:tc>
        <w:tc>
          <w:tcPr>
            <w:tcW w:w="1053" w:type="dxa"/>
          </w:tcPr>
          <w:p w14:paraId="65C944E5" w14:textId="77777777" w:rsidR="001579AD" w:rsidRPr="006A3F23" w:rsidRDefault="001579AD" w:rsidP="0038169D">
            <w:pPr>
              <w:jc w:val="center"/>
              <w:rPr>
                <w:rFonts w:ascii="Arial" w:hAnsi="Arial" w:cs="Arial"/>
                <w:b/>
                <w:sz w:val="20"/>
                <w:szCs w:val="20"/>
              </w:rPr>
            </w:pPr>
          </w:p>
        </w:tc>
        <w:tc>
          <w:tcPr>
            <w:tcW w:w="1053" w:type="dxa"/>
          </w:tcPr>
          <w:p w14:paraId="7564E3E6" w14:textId="77777777" w:rsidR="001579AD" w:rsidRPr="006A3F23" w:rsidRDefault="001579AD" w:rsidP="0038169D">
            <w:pPr>
              <w:jc w:val="center"/>
              <w:rPr>
                <w:rFonts w:ascii="Arial" w:hAnsi="Arial" w:cs="Arial"/>
                <w:b/>
                <w:sz w:val="20"/>
                <w:szCs w:val="20"/>
              </w:rPr>
            </w:pPr>
            <w:r w:rsidRPr="006A3F23">
              <w:rPr>
                <w:rFonts w:ascii="Arial" w:hAnsi="Arial" w:cs="Arial"/>
              </w:rPr>
              <w:t>◄►</w:t>
            </w:r>
          </w:p>
        </w:tc>
        <w:tc>
          <w:tcPr>
            <w:tcW w:w="1137" w:type="dxa"/>
          </w:tcPr>
          <w:p w14:paraId="3A87DF2C" w14:textId="77777777" w:rsidR="001579AD" w:rsidRPr="006A3F23" w:rsidRDefault="001579AD" w:rsidP="0038169D">
            <w:pPr>
              <w:jc w:val="center"/>
              <w:rPr>
                <w:rFonts w:ascii="Arial" w:hAnsi="Arial" w:cs="Arial"/>
                <w:b/>
                <w:sz w:val="20"/>
                <w:szCs w:val="20"/>
              </w:rPr>
            </w:pPr>
          </w:p>
        </w:tc>
        <w:tc>
          <w:tcPr>
            <w:tcW w:w="1171" w:type="dxa"/>
          </w:tcPr>
          <w:p w14:paraId="09897520" w14:textId="77777777" w:rsidR="001579AD" w:rsidRPr="006A3F23" w:rsidRDefault="001579AD" w:rsidP="0038169D">
            <w:pPr>
              <w:jc w:val="center"/>
              <w:rPr>
                <w:rFonts w:ascii="Arial" w:hAnsi="Arial" w:cs="Arial"/>
                <w:b/>
                <w:sz w:val="20"/>
                <w:szCs w:val="20"/>
              </w:rPr>
            </w:pPr>
          </w:p>
        </w:tc>
        <w:tc>
          <w:tcPr>
            <w:tcW w:w="1112" w:type="dxa"/>
          </w:tcPr>
          <w:p w14:paraId="795F13CE" w14:textId="77777777" w:rsidR="001579AD" w:rsidRPr="006A3F23" w:rsidRDefault="001579AD" w:rsidP="0038169D">
            <w:pPr>
              <w:jc w:val="center"/>
              <w:rPr>
                <w:rFonts w:ascii="Arial" w:hAnsi="Arial" w:cs="Arial"/>
                <w:b/>
                <w:sz w:val="20"/>
                <w:szCs w:val="20"/>
              </w:rPr>
            </w:pPr>
          </w:p>
        </w:tc>
        <w:tc>
          <w:tcPr>
            <w:tcW w:w="1121" w:type="dxa"/>
          </w:tcPr>
          <w:p w14:paraId="4F87B51B" w14:textId="77777777" w:rsidR="001579AD" w:rsidRPr="006A3F23" w:rsidRDefault="001579AD" w:rsidP="0038169D">
            <w:pPr>
              <w:jc w:val="center"/>
              <w:rPr>
                <w:rFonts w:ascii="Arial" w:hAnsi="Arial" w:cs="Arial"/>
                <w:b/>
                <w:sz w:val="20"/>
                <w:szCs w:val="20"/>
              </w:rPr>
            </w:pPr>
          </w:p>
        </w:tc>
        <w:tc>
          <w:tcPr>
            <w:tcW w:w="1171" w:type="dxa"/>
          </w:tcPr>
          <w:p w14:paraId="243B9C9C" w14:textId="77777777" w:rsidR="001579AD" w:rsidRPr="006A3F23" w:rsidRDefault="001579AD" w:rsidP="0038169D">
            <w:pPr>
              <w:jc w:val="center"/>
              <w:rPr>
                <w:rFonts w:ascii="Arial" w:hAnsi="Arial" w:cs="Arial"/>
                <w:b/>
                <w:sz w:val="20"/>
                <w:szCs w:val="20"/>
              </w:rPr>
            </w:pPr>
          </w:p>
        </w:tc>
        <w:tc>
          <w:tcPr>
            <w:tcW w:w="345" w:type="dxa"/>
            <w:tcBorders>
              <w:top w:val="nil"/>
              <w:bottom w:val="nil"/>
              <w:right w:val="nil"/>
            </w:tcBorders>
          </w:tcPr>
          <w:p w14:paraId="0826EF29" w14:textId="77777777" w:rsidR="001579AD" w:rsidRPr="006A3F23" w:rsidRDefault="001579AD" w:rsidP="0038169D">
            <w:pPr>
              <w:jc w:val="center"/>
              <w:rPr>
                <w:rFonts w:ascii="Arial" w:hAnsi="Arial" w:cs="Arial"/>
                <w:b/>
                <w:sz w:val="20"/>
                <w:szCs w:val="20"/>
              </w:rPr>
            </w:pPr>
          </w:p>
        </w:tc>
        <w:tc>
          <w:tcPr>
            <w:tcW w:w="1824" w:type="dxa"/>
            <w:vMerge/>
            <w:tcBorders>
              <w:left w:val="nil"/>
              <w:right w:val="nil"/>
            </w:tcBorders>
          </w:tcPr>
          <w:p w14:paraId="1DF3D14F" w14:textId="3114DB1F" w:rsidR="001579AD" w:rsidRPr="006A3F23" w:rsidRDefault="001579AD" w:rsidP="0038169D">
            <w:pPr>
              <w:jc w:val="center"/>
              <w:rPr>
                <w:rFonts w:ascii="Arial" w:hAnsi="Arial" w:cs="Arial"/>
                <w:b/>
                <w:sz w:val="20"/>
                <w:szCs w:val="20"/>
              </w:rPr>
            </w:pPr>
          </w:p>
        </w:tc>
      </w:tr>
      <w:tr w:rsidR="001579AD" w:rsidRPr="006A3F23" w14:paraId="137995C9" w14:textId="77777777" w:rsidTr="0038169D">
        <w:tc>
          <w:tcPr>
            <w:tcW w:w="2873" w:type="dxa"/>
          </w:tcPr>
          <w:p w14:paraId="5A4114FA" w14:textId="77777777" w:rsidR="001579AD" w:rsidRDefault="001579AD" w:rsidP="0038169D">
            <w:pPr>
              <w:jc w:val="center"/>
              <w:rPr>
                <w:rFonts w:ascii="Arial" w:hAnsi="Arial" w:cs="Arial"/>
                <w:sz w:val="20"/>
                <w:szCs w:val="20"/>
              </w:rPr>
            </w:pPr>
            <w:r w:rsidRPr="006A3F23">
              <w:rPr>
                <w:rFonts w:ascii="Arial" w:hAnsi="Arial" w:cs="Arial"/>
                <w:sz w:val="20"/>
                <w:szCs w:val="20"/>
              </w:rPr>
              <w:t>Medical deployability of the population</w:t>
            </w:r>
          </w:p>
          <w:p w14:paraId="5CAB0403" w14:textId="74CF92D6" w:rsidR="001579AD" w:rsidRPr="006A3F23" w:rsidRDefault="001579AD" w:rsidP="0038169D">
            <w:pPr>
              <w:jc w:val="center"/>
              <w:rPr>
                <w:rFonts w:ascii="Arial" w:hAnsi="Arial" w:cs="Arial"/>
                <w:b/>
                <w:sz w:val="20"/>
                <w:szCs w:val="20"/>
              </w:rPr>
            </w:pPr>
          </w:p>
        </w:tc>
        <w:tc>
          <w:tcPr>
            <w:tcW w:w="1095" w:type="dxa"/>
          </w:tcPr>
          <w:p w14:paraId="74A36AC6" w14:textId="254B8145" w:rsidR="001579AD" w:rsidRPr="006A3F23" w:rsidRDefault="001579AD" w:rsidP="0038169D">
            <w:pPr>
              <w:jc w:val="center"/>
              <w:rPr>
                <w:rFonts w:ascii="Arial" w:hAnsi="Arial" w:cs="Arial"/>
                <w:b/>
                <w:sz w:val="20"/>
                <w:szCs w:val="20"/>
              </w:rPr>
            </w:pPr>
          </w:p>
        </w:tc>
        <w:tc>
          <w:tcPr>
            <w:tcW w:w="1053" w:type="dxa"/>
          </w:tcPr>
          <w:p w14:paraId="3C441F39" w14:textId="77777777" w:rsidR="001579AD" w:rsidRPr="006A3F23" w:rsidRDefault="001579AD" w:rsidP="0038169D">
            <w:pPr>
              <w:jc w:val="center"/>
              <w:rPr>
                <w:rFonts w:ascii="Arial" w:hAnsi="Arial" w:cs="Arial"/>
                <w:b/>
                <w:sz w:val="20"/>
                <w:szCs w:val="20"/>
              </w:rPr>
            </w:pPr>
          </w:p>
        </w:tc>
        <w:tc>
          <w:tcPr>
            <w:tcW w:w="1053" w:type="dxa"/>
          </w:tcPr>
          <w:p w14:paraId="1C6E99C3" w14:textId="77777777" w:rsidR="001579AD" w:rsidRPr="006A3F23" w:rsidRDefault="001579AD" w:rsidP="0038169D">
            <w:pPr>
              <w:jc w:val="center"/>
              <w:rPr>
                <w:rFonts w:ascii="Arial" w:hAnsi="Arial" w:cs="Arial"/>
                <w:b/>
                <w:sz w:val="20"/>
                <w:szCs w:val="20"/>
              </w:rPr>
            </w:pPr>
          </w:p>
        </w:tc>
        <w:tc>
          <w:tcPr>
            <w:tcW w:w="1137" w:type="dxa"/>
          </w:tcPr>
          <w:p w14:paraId="5A0D8F53" w14:textId="77777777" w:rsidR="001579AD" w:rsidRPr="006A3F23" w:rsidRDefault="001579AD" w:rsidP="0038169D">
            <w:pPr>
              <w:jc w:val="center"/>
              <w:rPr>
                <w:rFonts w:ascii="Arial" w:hAnsi="Arial" w:cs="Arial"/>
                <w:b/>
                <w:sz w:val="20"/>
                <w:szCs w:val="20"/>
              </w:rPr>
            </w:pPr>
          </w:p>
        </w:tc>
        <w:tc>
          <w:tcPr>
            <w:tcW w:w="1171" w:type="dxa"/>
          </w:tcPr>
          <w:p w14:paraId="554059EA" w14:textId="77777777" w:rsidR="001579AD" w:rsidRPr="006A3F23" w:rsidRDefault="001579AD" w:rsidP="0038169D">
            <w:pPr>
              <w:jc w:val="center"/>
              <w:rPr>
                <w:rFonts w:ascii="Arial" w:hAnsi="Arial" w:cs="Arial"/>
                <w:b/>
                <w:sz w:val="20"/>
                <w:szCs w:val="20"/>
              </w:rPr>
            </w:pPr>
          </w:p>
        </w:tc>
        <w:tc>
          <w:tcPr>
            <w:tcW w:w="1112" w:type="dxa"/>
          </w:tcPr>
          <w:p w14:paraId="20C63C07" w14:textId="77777777" w:rsidR="001579AD" w:rsidRPr="006A3F23" w:rsidRDefault="001579AD" w:rsidP="0038169D">
            <w:pPr>
              <w:jc w:val="center"/>
              <w:rPr>
                <w:rFonts w:ascii="Arial" w:hAnsi="Arial" w:cs="Arial"/>
                <w:b/>
                <w:sz w:val="20"/>
                <w:szCs w:val="20"/>
              </w:rPr>
            </w:pPr>
          </w:p>
        </w:tc>
        <w:tc>
          <w:tcPr>
            <w:tcW w:w="1121" w:type="dxa"/>
          </w:tcPr>
          <w:p w14:paraId="6FF9A019" w14:textId="77777777" w:rsidR="001579AD" w:rsidRPr="006A3F23" w:rsidRDefault="001579AD" w:rsidP="0038169D">
            <w:pPr>
              <w:jc w:val="center"/>
              <w:rPr>
                <w:rFonts w:ascii="Arial" w:hAnsi="Arial" w:cs="Arial"/>
                <w:b/>
                <w:sz w:val="20"/>
                <w:szCs w:val="20"/>
              </w:rPr>
            </w:pPr>
          </w:p>
        </w:tc>
        <w:tc>
          <w:tcPr>
            <w:tcW w:w="1171" w:type="dxa"/>
          </w:tcPr>
          <w:p w14:paraId="567FCAD4" w14:textId="77777777" w:rsidR="001579AD" w:rsidRPr="006A3F23" w:rsidRDefault="001579AD" w:rsidP="0038169D">
            <w:pPr>
              <w:jc w:val="center"/>
              <w:rPr>
                <w:rFonts w:ascii="Arial" w:hAnsi="Arial" w:cs="Arial"/>
                <w:b/>
                <w:sz w:val="20"/>
                <w:szCs w:val="20"/>
              </w:rPr>
            </w:pPr>
          </w:p>
        </w:tc>
        <w:tc>
          <w:tcPr>
            <w:tcW w:w="345" w:type="dxa"/>
            <w:tcBorders>
              <w:top w:val="nil"/>
              <w:bottom w:val="nil"/>
              <w:right w:val="nil"/>
            </w:tcBorders>
          </w:tcPr>
          <w:p w14:paraId="31B4FC72" w14:textId="77777777" w:rsidR="001579AD" w:rsidRPr="006A3F23" w:rsidRDefault="001579AD" w:rsidP="0038169D">
            <w:pPr>
              <w:jc w:val="center"/>
              <w:rPr>
                <w:rFonts w:ascii="Arial" w:hAnsi="Arial" w:cs="Arial"/>
                <w:b/>
                <w:sz w:val="20"/>
                <w:szCs w:val="20"/>
              </w:rPr>
            </w:pPr>
          </w:p>
        </w:tc>
        <w:tc>
          <w:tcPr>
            <w:tcW w:w="1824" w:type="dxa"/>
            <w:vMerge/>
            <w:tcBorders>
              <w:left w:val="nil"/>
              <w:bottom w:val="nil"/>
              <w:right w:val="nil"/>
            </w:tcBorders>
          </w:tcPr>
          <w:p w14:paraId="7F9508A5" w14:textId="58B1A287" w:rsidR="001579AD" w:rsidRPr="006A3F23" w:rsidRDefault="001579AD" w:rsidP="0038169D">
            <w:pPr>
              <w:jc w:val="center"/>
              <w:rPr>
                <w:rFonts w:ascii="Arial" w:hAnsi="Arial" w:cs="Arial"/>
                <w:b/>
                <w:sz w:val="20"/>
                <w:szCs w:val="20"/>
              </w:rPr>
            </w:pPr>
          </w:p>
        </w:tc>
      </w:tr>
    </w:tbl>
    <w:p w14:paraId="54AAE8E7" w14:textId="77777777" w:rsidR="006A3F23" w:rsidRDefault="006A3F23" w:rsidP="00A23888">
      <w:pPr>
        <w:sectPr w:rsidR="006A3F23" w:rsidSect="006A3F23">
          <w:pgSz w:w="16840" w:h="11900" w:orient="landscape"/>
          <w:pgMar w:top="1440" w:right="1440" w:bottom="1440" w:left="1440" w:header="708" w:footer="708" w:gutter="0"/>
          <w:cols w:space="708"/>
          <w:docGrid w:linePitch="360"/>
        </w:sectPr>
      </w:pPr>
    </w:p>
    <w:p w14:paraId="5008873F" w14:textId="630BF2FB" w:rsidR="005514A2" w:rsidRDefault="003A79CA" w:rsidP="00A23888">
      <w:pPr>
        <w:rPr>
          <w:rFonts w:ascii="Arial" w:hAnsi="Arial" w:cs="Arial"/>
          <w:b/>
          <w:bCs/>
          <w:sz w:val="22"/>
          <w:szCs w:val="22"/>
        </w:rPr>
      </w:pPr>
      <w:r>
        <w:rPr>
          <w:rFonts w:ascii="Arial" w:hAnsi="Arial" w:cs="Arial"/>
          <w:b/>
          <w:bCs/>
          <w:sz w:val="22"/>
          <w:szCs w:val="22"/>
        </w:rPr>
        <w:lastRenderedPageBreak/>
        <w:t xml:space="preserve">Synthesis </w:t>
      </w:r>
    </w:p>
    <w:p w14:paraId="536CA4C6" w14:textId="4C5CE656" w:rsidR="00A23888" w:rsidRPr="00A23888" w:rsidRDefault="00A23888" w:rsidP="00A23888">
      <w:pPr>
        <w:rPr>
          <w:rFonts w:ascii="Arial" w:hAnsi="Arial" w:cs="Arial"/>
          <w:b/>
          <w:bCs/>
          <w:sz w:val="22"/>
          <w:szCs w:val="22"/>
        </w:rPr>
      </w:pPr>
      <w:r w:rsidRPr="00A23888">
        <w:rPr>
          <w:rFonts w:ascii="Arial" w:hAnsi="Arial" w:cs="Arial"/>
          <w:color w:val="000000" w:themeColor="text1"/>
          <w:sz w:val="22"/>
          <w:szCs w:val="22"/>
        </w:rPr>
        <w:t xml:space="preserve">Studies have been grouped for </w:t>
      </w:r>
      <w:proofErr w:type="spellStart"/>
      <w:r w:rsidR="000F506C">
        <w:rPr>
          <w:rFonts w:ascii="Arial" w:hAnsi="Arial" w:cs="Arial"/>
          <w:color w:val="000000" w:themeColor="text1"/>
          <w:sz w:val="22"/>
          <w:szCs w:val="22"/>
        </w:rPr>
        <w:t>SWiM</w:t>
      </w:r>
      <w:proofErr w:type="spellEnd"/>
      <w:r w:rsidRPr="00A23888">
        <w:rPr>
          <w:rFonts w:ascii="Arial" w:hAnsi="Arial" w:cs="Arial"/>
          <w:color w:val="000000" w:themeColor="text1"/>
          <w:sz w:val="22"/>
          <w:szCs w:val="22"/>
        </w:rPr>
        <w:t xml:space="preserve"> into three broad intervention types: 24/7 prohibition of all tobacco products, whole</w:t>
      </w:r>
      <w:r>
        <w:rPr>
          <w:rFonts w:ascii="Arial" w:hAnsi="Arial" w:cs="Arial"/>
          <w:color w:val="000000" w:themeColor="text1"/>
          <w:sz w:val="22"/>
          <w:szCs w:val="22"/>
        </w:rPr>
        <w:t>-</w:t>
      </w:r>
      <w:r w:rsidRPr="00A23888">
        <w:rPr>
          <w:rFonts w:ascii="Arial" w:hAnsi="Arial" w:cs="Arial"/>
          <w:color w:val="000000" w:themeColor="text1"/>
          <w:sz w:val="22"/>
          <w:szCs w:val="22"/>
        </w:rPr>
        <w:t>site smoking ban</w:t>
      </w:r>
      <w:r w:rsidR="00B630EC">
        <w:rPr>
          <w:rFonts w:ascii="Arial" w:hAnsi="Arial" w:cs="Arial"/>
          <w:color w:val="000000" w:themeColor="text1"/>
          <w:sz w:val="22"/>
          <w:szCs w:val="22"/>
        </w:rPr>
        <w:t>s</w:t>
      </w:r>
      <w:r w:rsidRPr="00A23888">
        <w:rPr>
          <w:rFonts w:ascii="Arial" w:hAnsi="Arial" w:cs="Arial"/>
          <w:color w:val="000000" w:themeColor="text1"/>
          <w:sz w:val="22"/>
          <w:szCs w:val="22"/>
        </w:rPr>
        <w:t xml:space="preserve"> and partial site smoking bans.</w:t>
      </w:r>
      <w:r>
        <w:rPr>
          <w:rFonts w:ascii="Arial" w:hAnsi="Arial" w:cs="Arial"/>
          <w:color w:val="000000" w:themeColor="text1"/>
          <w:sz w:val="22"/>
          <w:szCs w:val="22"/>
        </w:rPr>
        <w:t xml:space="preserve"> </w:t>
      </w:r>
    </w:p>
    <w:p w14:paraId="70601402" w14:textId="698183BE" w:rsidR="00A23888" w:rsidRDefault="00A23888" w:rsidP="00E67AD6">
      <w:pPr>
        <w:rPr>
          <w:rFonts w:ascii="Arial" w:hAnsi="Arial" w:cs="Arial"/>
          <w:b/>
          <w:color w:val="000000" w:themeColor="text1"/>
          <w:sz w:val="22"/>
          <w:szCs w:val="22"/>
        </w:rPr>
      </w:pPr>
    </w:p>
    <w:p w14:paraId="6760450D" w14:textId="10B440ED" w:rsidR="00A23888" w:rsidRPr="00E70955" w:rsidRDefault="00A23888" w:rsidP="00A23888">
      <w:pPr>
        <w:rPr>
          <w:rFonts w:ascii="Arial" w:hAnsi="Arial" w:cs="Arial"/>
          <w:b/>
          <w:bCs/>
          <w:sz w:val="22"/>
          <w:szCs w:val="22"/>
        </w:rPr>
      </w:pPr>
      <w:r w:rsidRPr="00A23888">
        <w:rPr>
          <w:rFonts w:ascii="Arial" w:hAnsi="Arial" w:cs="Arial"/>
          <w:bCs/>
          <w:sz w:val="22"/>
          <w:szCs w:val="22"/>
        </w:rPr>
        <w:t>There are two outcomes for which there is evidence that the 24/7 prohibition of tobacco products favoured the policy</w:t>
      </w:r>
      <w:r w:rsidR="00477C28">
        <w:rPr>
          <w:rFonts w:ascii="Arial" w:hAnsi="Arial" w:cs="Arial"/>
          <w:bCs/>
          <w:sz w:val="22"/>
          <w:szCs w:val="22"/>
        </w:rPr>
        <w:t>:</w:t>
      </w:r>
      <w:r w:rsidRPr="00A23888">
        <w:rPr>
          <w:rFonts w:ascii="Arial" w:hAnsi="Arial" w:cs="Arial"/>
          <w:bCs/>
          <w:sz w:val="22"/>
          <w:szCs w:val="22"/>
        </w:rPr>
        <w:t xml:space="preserve"> </w:t>
      </w:r>
      <w:r w:rsidR="001C5140">
        <w:rPr>
          <w:rFonts w:ascii="Arial" w:hAnsi="Arial" w:cs="Arial"/>
          <w:bCs/>
          <w:sz w:val="22"/>
          <w:szCs w:val="22"/>
        </w:rPr>
        <w:t xml:space="preserve">smoking </w:t>
      </w:r>
      <w:r w:rsidRPr="00A23888">
        <w:rPr>
          <w:rFonts w:ascii="Arial" w:hAnsi="Arial" w:cs="Arial"/>
          <w:bCs/>
          <w:sz w:val="22"/>
          <w:szCs w:val="22"/>
        </w:rPr>
        <w:t xml:space="preserve">prevalence and quit rate. Two of two studies measuring prevalence found a reduction in smoking (100% (95%CI 34% - 100%)), whilst four of the five studies measuring the quit rate found current smokers quit after being exposed to the ban (80% (95%CI 38% – 96%)). There is evidence, from one of two studies that the ban did not favour the policy in preventing initiation of smoking (50% (95% CI 9.45% – 90.55%)), whilst the other study found no clear effect </w:t>
      </w:r>
      <w:r w:rsidRPr="00A23888">
        <w:rPr>
          <w:rFonts w:ascii="Arial" w:hAnsi="Arial" w:cs="Arial"/>
          <w:bCs/>
          <w:sz w:val="22"/>
          <w:szCs w:val="22"/>
        </w:rPr>
        <w:fldChar w:fldCharType="begin" w:fldLock="1"/>
      </w:r>
      <w:r w:rsidR="00147646">
        <w:rPr>
          <w:rFonts w:ascii="Arial" w:hAnsi="Arial" w:cs="Arial"/>
          <w:bCs/>
          <w:sz w:val="22"/>
          <w:szCs w:val="22"/>
        </w:rPr>
        <w:instrText>ADDIN CSL_CITATION {"citationItems":[{"id":"ITEM-1","itemData":{"author":[{"dropping-particle":"","family":"Cronan","given":"TL","non-dropping-particle":"","parse-names":false,"suffix":""},{"dropping-particle":"","family":"Hervig","given":"Linda K","non-dropping-particle":"","parse-names":false,"suffix":""},{"dropping-particle":"","family":"Conway","given":"Terry L","non-dropping-particle":"","parse-names":false,"suffix":""}],"id":"ITEM-1","issued":{"date-parts":[["1989"]]},"title":"Evaluation of smoking interventions in recruit training","type":"report"},"uris":["http://www.mendeley.com/documents/?uuid=277533ef-ab2f-45d4-a48c-f53697447ccd"]}],"mendeley":{"formattedCitation":"(35)","plainTextFormattedCitation":"(35)","previouslyFormattedCitation":"(35)"},"properties":{"noteIndex":0},"schema":"https://github.com/citation-style-language/schema/raw/master/csl-citation.json"}</w:instrText>
      </w:r>
      <w:r w:rsidRPr="00A23888">
        <w:rPr>
          <w:rFonts w:ascii="Arial" w:hAnsi="Arial" w:cs="Arial"/>
          <w:bCs/>
          <w:sz w:val="22"/>
          <w:szCs w:val="22"/>
        </w:rPr>
        <w:fldChar w:fldCharType="separate"/>
      </w:r>
      <w:r w:rsidR="00026378" w:rsidRPr="00026378">
        <w:rPr>
          <w:rFonts w:ascii="Arial" w:hAnsi="Arial" w:cs="Arial"/>
          <w:bCs/>
          <w:noProof/>
          <w:sz w:val="22"/>
          <w:szCs w:val="22"/>
        </w:rPr>
        <w:t>(</w:t>
      </w:r>
      <w:r w:rsidR="00C671B2">
        <w:rPr>
          <w:rFonts w:ascii="Arial" w:hAnsi="Arial" w:cs="Arial"/>
          <w:bCs/>
          <w:noProof/>
          <w:sz w:val="22"/>
          <w:szCs w:val="22"/>
        </w:rPr>
        <w:t>36</w:t>
      </w:r>
      <w:r w:rsidR="00026378" w:rsidRPr="00026378">
        <w:rPr>
          <w:rFonts w:ascii="Arial" w:hAnsi="Arial" w:cs="Arial"/>
          <w:bCs/>
          <w:noProof/>
          <w:sz w:val="22"/>
          <w:szCs w:val="22"/>
        </w:rPr>
        <w:t>)</w:t>
      </w:r>
      <w:r w:rsidRPr="00A23888">
        <w:rPr>
          <w:rFonts w:ascii="Arial" w:hAnsi="Arial" w:cs="Arial"/>
          <w:bCs/>
          <w:sz w:val="22"/>
          <w:szCs w:val="22"/>
        </w:rPr>
        <w:fldChar w:fldCharType="end"/>
      </w:r>
      <w:r w:rsidR="002172D2">
        <w:rPr>
          <w:rFonts w:ascii="Arial" w:hAnsi="Arial" w:cs="Arial"/>
          <w:bCs/>
          <w:sz w:val="22"/>
          <w:szCs w:val="22"/>
        </w:rPr>
        <w:t>.</w:t>
      </w:r>
    </w:p>
    <w:p w14:paraId="5C467783" w14:textId="200E0E5D" w:rsidR="00A23888" w:rsidRDefault="00A23888" w:rsidP="00E67AD6">
      <w:pPr>
        <w:rPr>
          <w:rFonts w:ascii="Arial" w:hAnsi="Arial" w:cs="Arial"/>
          <w:b/>
          <w:bCs/>
          <w:sz w:val="22"/>
          <w:szCs w:val="22"/>
        </w:rPr>
      </w:pPr>
    </w:p>
    <w:p w14:paraId="105CB7B2" w14:textId="6B3D79DA" w:rsidR="00A23888" w:rsidRPr="00E70955" w:rsidRDefault="00A23888" w:rsidP="00A23888">
      <w:pPr>
        <w:rPr>
          <w:rFonts w:ascii="Arial" w:hAnsi="Arial" w:cs="Arial"/>
          <w:b/>
          <w:bCs/>
          <w:sz w:val="22"/>
          <w:szCs w:val="22"/>
        </w:rPr>
      </w:pPr>
      <w:r w:rsidRPr="00A23888">
        <w:rPr>
          <w:rFonts w:ascii="Arial" w:hAnsi="Arial" w:cs="Arial"/>
          <w:bCs/>
          <w:sz w:val="22"/>
          <w:szCs w:val="22"/>
        </w:rPr>
        <w:t>There are two outcomes for which there is evidence that whole</w:t>
      </w:r>
      <w:r w:rsidR="00540FE2">
        <w:rPr>
          <w:rFonts w:ascii="Arial" w:hAnsi="Arial" w:cs="Arial"/>
          <w:bCs/>
          <w:sz w:val="22"/>
          <w:szCs w:val="22"/>
        </w:rPr>
        <w:t>-</w:t>
      </w:r>
      <w:r w:rsidRPr="00A23888">
        <w:rPr>
          <w:rFonts w:ascii="Arial" w:hAnsi="Arial" w:cs="Arial"/>
          <w:bCs/>
          <w:sz w:val="22"/>
          <w:szCs w:val="22"/>
        </w:rPr>
        <w:t xml:space="preserve">site smoking bans favoured the </w:t>
      </w:r>
      <w:proofErr w:type="gramStart"/>
      <w:r w:rsidRPr="00A23888">
        <w:rPr>
          <w:rFonts w:ascii="Arial" w:hAnsi="Arial" w:cs="Arial"/>
          <w:bCs/>
          <w:sz w:val="22"/>
          <w:szCs w:val="22"/>
        </w:rPr>
        <w:t>policy;</w:t>
      </w:r>
      <w:proofErr w:type="gramEnd"/>
      <w:r w:rsidRPr="00A23888">
        <w:rPr>
          <w:rFonts w:ascii="Arial" w:hAnsi="Arial" w:cs="Arial"/>
          <w:bCs/>
          <w:sz w:val="22"/>
          <w:szCs w:val="22"/>
        </w:rPr>
        <w:t xml:space="preserve"> non-smoker exposure to </w:t>
      </w:r>
      <w:r w:rsidR="00FD6C51">
        <w:rPr>
          <w:rFonts w:ascii="Arial" w:hAnsi="Arial" w:cs="Arial"/>
          <w:bCs/>
          <w:sz w:val="22"/>
          <w:szCs w:val="22"/>
        </w:rPr>
        <w:t>SHS</w:t>
      </w:r>
      <w:r w:rsidRPr="00A23888">
        <w:rPr>
          <w:rFonts w:ascii="Arial" w:hAnsi="Arial" w:cs="Arial"/>
          <w:bCs/>
          <w:sz w:val="22"/>
          <w:szCs w:val="22"/>
        </w:rPr>
        <w:t xml:space="preserve"> and the quit rate. The only study that measured non-smoker exposure to </w:t>
      </w:r>
      <w:r w:rsidR="00FD6C51">
        <w:rPr>
          <w:rFonts w:ascii="Arial" w:hAnsi="Arial" w:cs="Arial"/>
          <w:bCs/>
          <w:sz w:val="22"/>
          <w:szCs w:val="22"/>
        </w:rPr>
        <w:t>SHS</w:t>
      </w:r>
      <w:r w:rsidR="00147646" w:rsidRPr="00147646">
        <w:rPr>
          <w:rFonts w:ascii="Arial" w:hAnsi="Arial" w:cs="Arial"/>
          <w:b/>
          <w:sz w:val="22"/>
          <w:szCs w:val="22"/>
        </w:rPr>
        <w:fldChar w:fldCharType="begin" w:fldLock="1"/>
      </w:r>
      <w:r w:rsidR="00147646">
        <w:rPr>
          <w:rFonts w:ascii="Arial" w:hAnsi="Arial" w:cs="Arial"/>
          <w:b/>
          <w:sz w:val="22"/>
          <w:szCs w:val="22"/>
        </w:rPr>
        <w:instrText>ADDIN CSL_CITATION {"citationItems":[{"id":"ITEM-1","itemData":{"DOI":"https://dx.doi.org/10.7205/MILMED-D-16-00153","ISSN":"1930-613X","abstract":"INTRODUCTION: Tobacco control is an ongoing concern for the U.S. Army. Although tobacco use is currently prohibited within all military hospitals and clinics, known as military treatment facilities (MTFs), no such facility had implemented a tobacco-free medical campus (TFMC) policy before 2012. This evaluation examined the effects of one Army installation's TFMC policy implementation at its medical facilities., MATERIALS AND METHODS: Online questionnaires were distributed to medical campus employees, including Active Duty Soldiers, civilians, and contractors, before policy implementation (N = 1,210) and 12 months following policy implementation (N = 1,147). Chi-square analyses, independent t tests, and logistic regression models were utilized to examine pretest/post-test changes in employees' secondhand smoke (SHS) exposure; tobacco use, motivation to quit, and cessation; and health outcomes. Twenty-three focus groups, interviews, and informal discussions with 65 employees and patients were conducted 13 months after initial policy implementation to capture both the intended and unintended policy effects., RESULTS: After controlling for demographic characteristics, the study found that employees had more than twice the odds of exposure to SHS in the workplace at baseline than at 12-month follow-up (odds ratio: 2.06, 95% confidence interval: 1.73-2.46, p &lt; 0.001). Employees also reported a lower prevalence of diagnosis with chronic bronchitis (p &lt; 0.05) at follow up compared to baseline. Although the mean number of sick days taken for respiratory illness decreased over time, results were not significant after controlling for demographic factors. No significant differences existed in tobacco-use prevalence or quit rates among tobacco users over time. Employees reported significantly higher levels of satisfaction with a TFMC policy than the original policy (p &lt; 0.001) though this finding was moderated by smoker status such that smokers reported lower levels of satisfaction with the policy over time. Qualitative findings revealed that the most common policy effect was that the policy caused smokers to change the location of where they used tobacco to off campus. Findings further revealed several unintended policy effects, including safety concerns and greater visibility of smokers in front of the MTF., CONCLUSION: The first Army MTF TFMC policy was associated with reported reductions in SHS exposure and improvements in some short-term health outcomes. The po…","author":[{"dropping-particle":"","family":"Santo","given":"Theresa J","non-dropping-particle":"","parse-names":false,"suffix":""},{"dropping-particle":"","family":"Ellis","given":"Shannon","non-dropping-particle":"","parse-names":false,"suffix":""},{"dropping-particle":"","family":"Rivera","given":"L Omar","non-dropping-particle":"","parse-names":false,"suffix":""},{"dropping-particle":"","family":"Vasquez","given":"Laura E","non-dropping-particle":"","parse-names":false,"suffix":""},{"dropping-particle":"","family":"Francis","given":"Molly M","non-dropping-particle":"","parse-names":false,"suffix":""},{"dropping-particle":"","family":"Jin","given":"Wana K","non-dropping-particle":"","parse-names":false,"suffix":""},{"dropping-particle":"","family":"McRae","given":"Kari A","non-dropping-particle":"","parse-names":false,"suffix":""},{"dropping-particle":"","family":"Place","given":"Ronald J","non-dropping-particle":"","parse-names":false,"suffix":""}],"container-title":"Military medicine","id":"ITEM-1","issue":"5","issued":{"date-parts":[["2017"]]},"page":"e1724-e1732","publisher-place":"England","title":"A Tobacco-Free Medical Campus Policy is Associated With Decreased Secondhand Smoke Exposure and Increased Satisfaction Among Military Medical Employees: Results of a Mixed-Methods Evaluation.","type":"article-journal","volume":"182"},"uris":["http://www.mendeley.com/documents/?uuid=be97ecdf-f6aa-4dc4-ba79-1575fca18983"]}],"mendeley":{"formattedCitation":"(39)","plainTextFormattedCitation":"(39)","previouslyFormattedCitation":"(39)"},"properties":{"noteIndex":0},"schema":"https://github.com/citation-style-language/schema/raw/master/csl-citation.json"}</w:instrText>
      </w:r>
      <w:r w:rsidR="00147646" w:rsidRPr="00147646">
        <w:rPr>
          <w:rFonts w:ascii="Arial" w:hAnsi="Arial" w:cs="Arial"/>
          <w:b/>
          <w:sz w:val="22"/>
          <w:szCs w:val="22"/>
        </w:rPr>
        <w:fldChar w:fldCharType="separate"/>
      </w:r>
      <w:r w:rsidR="00147646" w:rsidRPr="00147646">
        <w:rPr>
          <w:rFonts w:ascii="Arial" w:hAnsi="Arial" w:cs="Arial"/>
          <w:noProof/>
          <w:sz w:val="22"/>
          <w:szCs w:val="22"/>
        </w:rPr>
        <w:t>(</w:t>
      </w:r>
      <w:r w:rsidR="00C671B2">
        <w:rPr>
          <w:rFonts w:ascii="Arial" w:hAnsi="Arial" w:cs="Arial"/>
          <w:noProof/>
          <w:sz w:val="22"/>
          <w:szCs w:val="22"/>
        </w:rPr>
        <w:t>40</w:t>
      </w:r>
      <w:r w:rsidR="00147646" w:rsidRPr="00147646">
        <w:rPr>
          <w:rFonts w:ascii="Arial" w:hAnsi="Arial" w:cs="Arial"/>
          <w:noProof/>
          <w:sz w:val="22"/>
          <w:szCs w:val="22"/>
        </w:rPr>
        <w:t>)</w:t>
      </w:r>
      <w:r w:rsidR="00147646" w:rsidRPr="00147646">
        <w:rPr>
          <w:rFonts w:ascii="Arial" w:hAnsi="Arial" w:cs="Arial"/>
          <w:b/>
          <w:sz w:val="22"/>
          <w:szCs w:val="22"/>
        </w:rPr>
        <w:fldChar w:fldCharType="end"/>
      </w:r>
      <w:r w:rsidRPr="00147646">
        <w:rPr>
          <w:rFonts w:ascii="Arial" w:hAnsi="Arial" w:cs="Arial"/>
          <w:bCs/>
          <w:sz w:val="22"/>
          <w:szCs w:val="22"/>
        </w:rPr>
        <w:t xml:space="preserve"> </w:t>
      </w:r>
      <w:r w:rsidRPr="00A23888">
        <w:rPr>
          <w:rFonts w:ascii="Arial" w:hAnsi="Arial" w:cs="Arial"/>
          <w:bCs/>
          <w:sz w:val="22"/>
          <w:szCs w:val="22"/>
        </w:rPr>
        <w:t>found a reduction in seven</w:t>
      </w:r>
      <w:r w:rsidR="007B05BB">
        <w:rPr>
          <w:rFonts w:ascii="Arial" w:hAnsi="Arial" w:cs="Arial"/>
          <w:bCs/>
          <w:sz w:val="22"/>
          <w:szCs w:val="22"/>
        </w:rPr>
        <w:t>-</w:t>
      </w:r>
      <w:r w:rsidRPr="00A23888">
        <w:rPr>
          <w:rFonts w:ascii="Arial" w:hAnsi="Arial" w:cs="Arial"/>
          <w:bCs/>
          <w:sz w:val="22"/>
          <w:szCs w:val="22"/>
        </w:rPr>
        <w:t xml:space="preserve">day exposure to </w:t>
      </w:r>
      <w:r w:rsidR="00051C00">
        <w:rPr>
          <w:rFonts w:ascii="Arial" w:hAnsi="Arial" w:cs="Arial"/>
          <w:bCs/>
          <w:sz w:val="22"/>
          <w:szCs w:val="22"/>
        </w:rPr>
        <w:t>SHS</w:t>
      </w:r>
      <w:r w:rsidRPr="00A23888">
        <w:rPr>
          <w:rFonts w:ascii="Arial" w:hAnsi="Arial" w:cs="Arial"/>
          <w:bCs/>
          <w:sz w:val="22"/>
          <w:szCs w:val="22"/>
        </w:rPr>
        <w:t xml:space="preserve"> after one year of the policy (100% (95% CI 21% – 100%)). There is evidence from two of two studies that some smokers quit following the introduction of the </w:t>
      </w:r>
      <w:r w:rsidR="005611E6">
        <w:rPr>
          <w:rFonts w:ascii="Arial" w:hAnsi="Arial" w:cs="Arial"/>
          <w:bCs/>
          <w:sz w:val="22"/>
          <w:szCs w:val="22"/>
        </w:rPr>
        <w:t>whole-</w:t>
      </w:r>
      <w:r w:rsidRPr="00A23888">
        <w:rPr>
          <w:rFonts w:ascii="Arial" w:hAnsi="Arial" w:cs="Arial"/>
          <w:bCs/>
          <w:sz w:val="22"/>
          <w:szCs w:val="22"/>
        </w:rPr>
        <w:t>site ban 100% (95% CI 34% - 100%))</w:t>
      </w:r>
      <w:r w:rsidRPr="00A23888">
        <w:rPr>
          <w:rFonts w:ascii="Arial" w:hAnsi="Arial" w:cs="Arial"/>
          <w:sz w:val="22"/>
          <w:szCs w:val="22"/>
        </w:rPr>
        <w:t xml:space="preserve">. There is evidence from one of one study, that some </w:t>
      </w:r>
      <w:proofErr w:type="gramStart"/>
      <w:r w:rsidRPr="00A23888">
        <w:rPr>
          <w:rFonts w:ascii="Arial" w:hAnsi="Arial" w:cs="Arial"/>
          <w:sz w:val="22"/>
          <w:szCs w:val="22"/>
        </w:rPr>
        <w:t>non-smokers initiated</w:t>
      </w:r>
      <w:proofErr w:type="gramEnd"/>
      <w:r w:rsidRPr="00A23888">
        <w:rPr>
          <w:rFonts w:ascii="Arial" w:hAnsi="Arial" w:cs="Arial"/>
          <w:sz w:val="22"/>
          <w:szCs w:val="22"/>
        </w:rPr>
        <w:t xml:space="preserve"> smoking after the policy introduction (</w:t>
      </w:r>
      <w:r w:rsidRPr="00A23888">
        <w:rPr>
          <w:rFonts w:ascii="Arial" w:hAnsi="Arial" w:cs="Arial"/>
          <w:bCs/>
          <w:sz w:val="22"/>
          <w:szCs w:val="22"/>
        </w:rPr>
        <w:t>100% (95% CI 21% – 100%)) (not favouring the policy)</w:t>
      </w:r>
      <w:r w:rsidR="002172D2">
        <w:rPr>
          <w:rFonts w:ascii="Arial" w:hAnsi="Arial" w:cs="Arial"/>
          <w:bCs/>
          <w:sz w:val="22"/>
          <w:szCs w:val="22"/>
        </w:rPr>
        <w:t xml:space="preserve">, although this could be an artefact of the </w:t>
      </w:r>
      <w:r w:rsidR="004D67D4">
        <w:rPr>
          <w:rFonts w:ascii="Arial" w:hAnsi="Arial" w:cs="Arial"/>
          <w:bCs/>
          <w:sz w:val="22"/>
          <w:szCs w:val="22"/>
        </w:rPr>
        <w:t xml:space="preserve">uncontrolled before-and-after </w:t>
      </w:r>
      <w:r w:rsidR="002172D2">
        <w:rPr>
          <w:rFonts w:ascii="Arial" w:hAnsi="Arial" w:cs="Arial"/>
          <w:bCs/>
          <w:sz w:val="22"/>
          <w:szCs w:val="22"/>
        </w:rPr>
        <w:t>study design</w:t>
      </w:r>
      <w:r w:rsidRPr="00A23888">
        <w:rPr>
          <w:rFonts w:ascii="Arial" w:hAnsi="Arial" w:cs="Arial"/>
          <w:bCs/>
          <w:sz w:val="22"/>
          <w:szCs w:val="22"/>
        </w:rPr>
        <w:t>. There was no clear effect of the policy on total tobacco product consumption, the prevalence of smoking or days of work lost to smoking.</w:t>
      </w:r>
    </w:p>
    <w:p w14:paraId="33AE5043" w14:textId="3863EE4C" w:rsidR="00A23888" w:rsidRDefault="00A23888" w:rsidP="00A23888">
      <w:pPr>
        <w:rPr>
          <w:rFonts w:ascii="Arial" w:hAnsi="Arial" w:cs="Arial"/>
          <w:bCs/>
          <w:sz w:val="22"/>
          <w:szCs w:val="22"/>
        </w:rPr>
      </w:pPr>
    </w:p>
    <w:p w14:paraId="7BCFC4A9" w14:textId="6F268187" w:rsidR="00A23888" w:rsidRPr="00E70955" w:rsidRDefault="00A23888" w:rsidP="00A23888">
      <w:pPr>
        <w:rPr>
          <w:rFonts w:ascii="Arial" w:hAnsi="Arial" w:cs="Arial"/>
          <w:b/>
          <w:bCs/>
          <w:sz w:val="22"/>
          <w:szCs w:val="22"/>
        </w:rPr>
      </w:pPr>
      <w:r w:rsidRPr="00A23888">
        <w:rPr>
          <w:rFonts w:ascii="Arial" w:hAnsi="Arial" w:cs="Arial"/>
          <w:bCs/>
          <w:sz w:val="22"/>
          <w:szCs w:val="22"/>
        </w:rPr>
        <w:t>There was evidence that a partial site smoking ban had an effect on reducing total tobacco product consumption in one of one study (100% (95% CI 21% – 100%)). In contrast to the two intervention groups above, there was no clear effect on the quit rate. A daily cigarette reduction was seen in both the intervention and comparator group, but there was a difference in mean reductions between the two groups</w:t>
      </w:r>
      <w:r w:rsidR="002172D2">
        <w:rPr>
          <w:rFonts w:ascii="Arial" w:hAnsi="Arial" w:cs="Arial"/>
          <w:bCs/>
          <w:sz w:val="22"/>
          <w:szCs w:val="22"/>
        </w:rPr>
        <w:t>, favouring the intervention</w:t>
      </w:r>
      <w:r w:rsidRPr="00A23888">
        <w:rPr>
          <w:rFonts w:ascii="Arial" w:hAnsi="Arial" w:cs="Arial"/>
          <w:bCs/>
          <w:sz w:val="22"/>
          <w:szCs w:val="22"/>
        </w:rPr>
        <w:t xml:space="preserve">. </w:t>
      </w:r>
    </w:p>
    <w:p w14:paraId="0D20EE6A" w14:textId="43671EB7" w:rsidR="00E70955" w:rsidRDefault="00E70955" w:rsidP="00A23888">
      <w:pPr>
        <w:rPr>
          <w:rFonts w:ascii="Arial" w:hAnsi="Arial" w:cs="Arial"/>
          <w:bCs/>
          <w:sz w:val="22"/>
          <w:szCs w:val="22"/>
        </w:rPr>
      </w:pPr>
    </w:p>
    <w:p w14:paraId="09098DB2" w14:textId="6ECD6560" w:rsidR="00A23888" w:rsidRPr="00E70955" w:rsidRDefault="00E70955" w:rsidP="00E67AD6">
      <w:pPr>
        <w:rPr>
          <w:rFonts w:ascii="Arial" w:hAnsi="Arial" w:cs="Arial"/>
          <w:sz w:val="22"/>
          <w:szCs w:val="22"/>
        </w:rPr>
      </w:pPr>
      <w:r w:rsidRPr="00E70955">
        <w:rPr>
          <w:rFonts w:ascii="Arial" w:hAnsi="Arial" w:cs="Arial"/>
          <w:sz w:val="22"/>
          <w:szCs w:val="22"/>
        </w:rPr>
        <w:t xml:space="preserve">The confidence in cumulative evidence for defence smoke-free policies is very </w:t>
      </w:r>
      <w:r w:rsidR="002172D2">
        <w:rPr>
          <w:rFonts w:ascii="Arial" w:hAnsi="Arial" w:cs="Arial"/>
          <w:sz w:val="22"/>
          <w:szCs w:val="22"/>
        </w:rPr>
        <w:t>low</w:t>
      </w:r>
      <w:r w:rsidRPr="00E70955">
        <w:rPr>
          <w:rFonts w:ascii="Arial" w:hAnsi="Arial" w:cs="Arial"/>
          <w:sz w:val="22"/>
          <w:szCs w:val="22"/>
        </w:rPr>
        <w:t>, with the summary of effects being judged as very low-quality using the GRADE approach</w:t>
      </w:r>
      <w:r w:rsidRPr="00E70955">
        <w:rPr>
          <w:rFonts w:ascii="Arial" w:hAnsi="Arial" w:cs="Arial"/>
          <w:bCs/>
          <w:sz w:val="22"/>
          <w:szCs w:val="22"/>
        </w:rPr>
        <w:fldChar w:fldCharType="begin" w:fldLock="1"/>
      </w:r>
      <w:r w:rsidR="00147646">
        <w:rPr>
          <w:rFonts w:ascii="Arial" w:hAnsi="Arial" w:cs="Arial"/>
          <w:bCs/>
          <w:sz w:val="22"/>
          <w:szCs w:val="22"/>
        </w:rPr>
        <w:instrText>ADDIN CSL_CITATION {"citationItems":[{"id":"ITEM-1","itemData":{"author":[{"dropping-particle":"","family":"Schünemann HJ","given":"","non-dropping-particle":"","parse-names":false,"suffix":""},{"dropping-particle":"","family":"JPT","given":"Higgins","non-dropping-particle":"","parse-names":false,"suffix":""},{"dropping-particle":"","family":"GE","given":"Vist","non-dropping-particle":"","parse-names":false,"suffix":""},{"dropping-particle":"","family":"P","given":"Glasziou","non-dropping-particle":"","parse-names":false,"suffix":""},{"dropping-particle":"","family":"EA","given":"Akl","non-dropping-particle":"","parse-names":false,"suffix":""},{"dropping-particle":"","family":"N","given":"Skoetz","non-dropping-particle":"","parse-names":false,"suffix":""},{"dropping-particle":"","family":"GH","given":"Guyatt","non-dropping-particle":"","parse-names":false,"suffix":""}],"chapter-number":"14","container-title":"Cochrane Handbook for Systematic Reviews of Interventions","edition":"6.0","editor":[{"dropping-particle":"","family":"Higgins JPT","given":"","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2019"]]},"title":"Completing ‘Summary of findings’ tables and grading the certainty of the evidence.","type":"chapter"},"uris":["http://www.mendeley.com/documents/?uuid=b3457653-fd50-49fb-bf3b-dcdd104f8ec3"]}],"mendeley":{"formattedCitation":"(33)","plainTextFormattedCitation":"(33)","previouslyFormattedCitation":"(33)"},"properties":{"noteIndex":0},"schema":"https://github.com/citation-style-language/schema/raw/master/csl-citation.json"}</w:instrText>
      </w:r>
      <w:r w:rsidRPr="00E70955">
        <w:rPr>
          <w:rFonts w:ascii="Arial" w:hAnsi="Arial" w:cs="Arial"/>
          <w:bCs/>
          <w:sz w:val="22"/>
          <w:szCs w:val="22"/>
        </w:rPr>
        <w:fldChar w:fldCharType="separate"/>
      </w:r>
      <w:r w:rsidR="00026378" w:rsidRPr="00026378">
        <w:rPr>
          <w:rFonts w:ascii="Arial" w:hAnsi="Arial" w:cs="Arial"/>
          <w:bCs/>
          <w:noProof/>
          <w:sz w:val="22"/>
          <w:szCs w:val="22"/>
        </w:rPr>
        <w:t>(</w:t>
      </w:r>
      <w:r w:rsidR="00C671B2">
        <w:rPr>
          <w:rFonts w:ascii="Arial" w:hAnsi="Arial" w:cs="Arial"/>
          <w:bCs/>
          <w:noProof/>
          <w:sz w:val="22"/>
          <w:szCs w:val="22"/>
        </w:rPr>
        <w:t>34</w:t>
      </w:r>
      <w:r w:rsidR="00026378" w:rsidRPr="00026378">
        <w:rPr>
          <w:rFonts w:ascii="Arial" w:hAnsi="Arial" w:cs="Arial"/>
          <w:bCs/>
          <w:noProof/>
          <w:sz w:val="22"/>
          <w:szCs w:val="22"/>
        </w:rPr>
        <w:t>)</w:t>
      </w:r>
      <w:r w:rsidRPr="00E70955">
        <w:rPr>
          <w:rFonts w:ascii="Arial" w:hAnsi="Arial" w:cs="Arial"/>
          <w:bCs/>
          <w:sz w:val="22"/>
          <w:szCs w:val="22"/>
        </w:rPr>
        <w:fldChar w:fldCharType="end"/>
      </w:r>
      <w:r w:rsidRPr="00E70955">
        <w:rPr>
          <w:rFonts w:ascii="Arial" w:hAnsi="Arial" w:cs="Arial"/>
          <w:sz w:val="22"/>
          <w:szCs w:val="22"/>
        </w:rPr>
        <w:t xml:space="preserve">. The level of evidence was downgraded for both risk of bias in all studies and indirectness of the population </w:t>
      </w:r>
      <w:r w:rsidR="002172D2">
        <w:rPr>
          <w:rFonts w:ascii="Arial" w:hAnsi="Arial" w:cs="Arial"/>
          <w:sz w:val="22"/>
          <w:szCs w:val="22"/>
        </w:rPr>
        <w:t xml:space="preserve">(inpatients at alcohol rehabilitation centre) </w:t>
      </w:r>
      <w:r w:rsidRPr="00E70955">
        <w:rPr>
          <w:rFonts w:ascii="Arial" w:hAnsi="Arial" w:cs="Arial"/>
          <w:sz w:val="22"/>
          <w:szCs w:val="22"/>
        </w:rPr>
        <w:t>in one study</w:t>
      </w:r>
      <w:r w:rsidRPr="00E70955">
        <w:rPr>
          <w:rFonts w:ascii="Arial" w:hAnsi="Arial" w:cs="Arial"/>
          <w:sz w:val="22"/>
          <w:szCs w:val="22"/>
        </w:rPr>
        <w:fldChar w:fldCharType="begin" w:fldLock="1"/>
      </w:r>
      <w:r w:rsidR="00147646">
        <w:rPr>
          <w:rFonts w:ascii="Arial" w:hAnsi="Arial" w:cs="Arial"/>
          <w:sz w:val="22"/>
          <w:szCs w:val="22"/>
        </w:rPr>
        <w:instrText>ADDIN CSL_CITATION {"citationItems":[{"id":"ITEM-1","itemData":{"ISSN":"0740-5472","abstract":"The purpose of this study was to examine changes in smoking behavior and attitudes following treatment in the smoke-free Navy Alcohol Rehabilitation program (NARC) and to evaluate changes in staff attitudes toward the smoke-free policy. Consecutive patients (N = 404; 93.8% male) admitted to the NARC between February 1, 1993 and September 30, 1993 were studied, of whom 54.7% were current smokers. Measures included patient surveys administered repeatedly at admission and discharge and at 12 months following the 4-week treatment program. The staff were also administered a survey 2 months before (N = 86) and 6 months after (N = 104) policy implementation. Results indicate that alcohol treatment in a smoke-free environment did not markedly affect the smoking status of patients; the proportion of current smokers at discharge was 54.7%. Significant reductions in cigarettes smoked per day (p &lt; .001) were observed among patients from admission to discharge. However, no statistically significant change in readiness to consider smoking cessation scores was detected. Results indicated no significant change in patient smoking status at 12-month follow-up, although the survey response rate was low (35.1%; N = 142). Six months following implementation of the smoke-free policy, 84.6% of staff indicated that the NARC should remain smoke-free and 84.6% recommended that other alcohol and drug treatment facilities be smoke-free.","author":[{"dropping-particle":"","family":"Patten","given":"C A","non-dropping-particle":"","parse-names":false,"suffix":""},{"dropping-particle":"","family":"Martin","given":"J E","non-dropping-particle":"","parse-names":false,"suffix":""},{"dropping-particle":"","family":"Hofstetter","given":"C R","non-dropping-particle":"","parse-names":false,"suffix":""},{"dropping-particle":"","family":"Brown","given":"S A","non-dropping-particle":"","parse-names":false,"suffix":""},{"dropping-particle":"","family":"Kim","given":"N","non-dropping-particle":"","parse-names":false,"suffix":""},{"dropping-particle":"","family":"Williams","given":"C","non-dropping-particle":"","parse-names":false,"suffix":""}],"container-title":"Journal of substance abuse treatment","id":"ITEM-1","issue":"1","issued":{"date-parts":[["1999"]]},"page":"61-69","publisher-place":"United States","title":"Smoking cessation following treatment in a smoke-free Navy Alcohol Rehabilitation program.","type":"article-journal","volume":"16"},"uris":["http://www.mendeley.com/documents/?uuid=5d289ec5-d56e-46be-9458-387c905b1f99"]}],"mendeley":{"formattedCitation":"(38)","plainTextFormattedCitation":"(38)","previouslyFormattedCitation":"(38)"},"properties":{"noteIndex":0},"schema":"https://github.com/citation-style-language/schema/raw/master/csl-citation.json"}</w:instrText>
      </w:r>
      <w:r w:rsidRPr="00E70955">
        <w:rPr>
          <w:rFonts w:ascii="Arial" w:hAnsi="Arial" w:cs="Arial"/>
          <w:sz w:val="22"/>
          <w:szCs w:val="22"/>
        </w:rPr>
        <w:fldChar w:fldCharType="separate"/>
      </w:r>
      <w:r w:rsidR="00026378" w:rsidRPr="00026378">
        <w:rPr>
          <w:rFonts w:ascii="Arial" w:hAnsi="Arial" w:cs="Arial"/>
          <w:noProof/>
          <w:sz w:val="22"/>
          <w:szCs w:val="22"/>
        </w:rPr>
        <w:t>(</w:t>
      </w:r>
      <w:r w:rsidR="00C671B2">
        <w:rPr>
          <w:rFonts w:ascii="Arial" w:hAnsi="Arial" w:cs="Arial"/>
          <w:noProof/>
          <w:sz w:val="22"/>
          <w:szCs w:val="22"/>
        </w:rPr>
        <w:t>39</w:t>
      </w:r>
      <w:r w:rsidR="00026378" w:rsidRPr="00026378">
        <w:rPr>
          <w:rFonts w:ascii="Arial" w:hAnsi="Arial" w:cs="Arial"/>
          <w:noProof/>
          <w:sz w:val="22"/>
          <w:szCs w:val="22"/>
        </w:rPr>
        <w:t>)</w:t>
      </w:r>
      <w:r w:rsidRPr="00E70955">
        <w:rPr>
          <w:rFonts w:ascii="Arial" w:hAnsi="Arial" w:cs="Arial"/>
          <w:sz w:val="22"/>
          <w:szCs w:val="22"/>
        </w:rPr>
        <w:fldChar w:fldCharType="end"/>
      </w:r>
      <w:r w:rsidRPr="00E70955">
        <w:rPr>
          <w:rFonts w:ascii="Arial" w:hAnsi="Arial" w:cs="Arial"/>
          <w:sz w:val="22"/>
          <w:szCs w:val="22"/>
        </w:rPr>
        <w:t>. Causality cannot be attributed to the introduction of smoke-free policies; however</w:t>
      </w:r>
      <w:r w:rsidRPr="00E70955">
        <w:rPr>
          <w:rFonts w:ascii="Arial" w:hAnsi="Arial" w:cs="Arial"/>
          <w:bCs/>
          <w:sz w:val="22"/>
          <w:szCs w:val="22"/>
        </w:rPr>
        <w:t>, these studies do indicate a direction of effect</w:t>
      </w:r>
      <w:r w:rsidR="007A4095">
        <w:rPr>
          <w:rFonts w:ascii="Arial" w:hAnsi="Arial" w:cs="Arial"/>
          <w:bCs/>
          <w:sz w:val="22"/>
          <w:szCs w:val="22"/>
        </w:rPr>
        <w:t>,</w:t>
      </w:r>
      <w:r w:rsidRPr="00E70955">
        <w:rPr>
          <w:rFonts w:ascii="Arial" w:hAnsi="Arial" w:cs="Arial"/>
          <w:bCs/>
          <w:sz w:val="22"/>
          <w:szCs w:val="22"/>
        </w:rPr>
        <w:t xml:space="preserve"> which requires confirmation with better-designed studies.</w:t>
      </w:r>
    </w:p>
    <w:p w14:paraId="3C1776A7" w14:textId="6C3F513E" w:rsidR="003A79CA" w:rsidRDefault="003A79CA" w:rsidP="00E67AD6">
      <w:pPr>
        <w:rPr>
          <w:rFonts w:ascii="Arial" w:hAnsi="Arial" w:cs="Arial"/>
          <w:b/>
          <w:bCs/>
          <w:sz w:val="22"/>
          <w:szCs w:val="22"/>
        </w:rPr>
      </w:pPr>
    </w:p>
    <w:p w14:paraId="541CBB3F" w14:textId="75EDFC88" w:rsidR="003267F2" w:rsidRPr="00796836" w:rsidRDefault="003267F2" w:rsidP="00E67AD6">
      <w:pPr>
        <w:rPr>
          <w:rFonts w:ascii="Arial" w:hAnsi="Arial" w:cs="Arial"/>
          <w:b/>
          <w:bCs/>
          <w:sz w:val="22"/>
          <w:szCs w:val="22"/>
        </w:rPr>
      </w:pPr>
      <w:r w:rsidRPr="003267F2">
        <w:rPr>
          <w:rFonts w:ascii="Arial" w:hAnsi="Arial" w:cs="Arial"/>
          <w:sz w:val="22"/>
          <w:szCs w:val="22"/>
        </w:rPr>
        <w:t>Publication bias may exist on the basis that all of the primary studies found outcomes that favoured the intervention</w:t>
      </w:r>
      <w:r w:rsidR="00E70955">
        <w:rPr>
          <w:rFonts w:ascii="Arial" w:hAnsi="Arial" w:cs="Arial"/>
          <w:sz w:val="22"/>
          <w:szCs w:val="22"/>
        </w:rPr>
        <w:t xml:space="preserve">, although </w:t>
      </w:r>
      <w:r w:rsidR="002172D2">
        <w:rPr>
          <w:rFonts w:ascii="Arial" w:hAnsi="Arial" w:cs="Arial"/>
          <w:sz w:val="22"/>
          <w:szCs w:val="22"/>
        </w:rPr>
        <w:t xml:space="preserve">in only </w:t>
      </w:r>
      <w:r w:rsidR="00E70955">
        <w:rPr>
          <w:rFonts w:ascii="Arial" w:hAnsi="Arial" w:cs="Arial"/>
          <w:sz w:val="22"/>
          <w:szCs w:val="22"/>
        </w:rPr>
        <w:t xml:space="preserve">three studies </w:t>
      </w:r>
      <w:r w:rsidR="00BB3DF7">
        <w:rPr>
          <w:rFonts w:ascii="Arial" w:hAnsi="Arial" w:cs="Arial"/>
          <w:sz w:val="22"/>
          <w:szCs w:val="22"/>
        </w:rPr>
        <w:t xml:space="preserve">did </w:t>
      </w:r>
      <w:r w:rsidR="002172D2">
        <w:rPr>
          <w:rFonts w:ascii="Arial" w:hAnsi="Arial" w:cs="Arial"/>
          <w:sz w:val="22"/>
          <w:szCs w:val="22"/>
        </w:rPr>
        <w:t>all</w:t>
      </w:r>
      <w:r w:rsidR="00BB3DF7">
        <w:rPr>
          <w:rFonts w:ascii="Arial" w:hAnsi="Arial" w:cs="Arial"/>
          <w:sz w:val="22"/>
          <w:szCs w:val="22"/>
        </w:rPr>
        <w:t xml:space="preserve"> the</w:t>
      </w:r>
      <w:r w:rsidR="002172D2">
        <w:rPr>
          <w:rFonts w:ascii="Arial" w:hAnsi="Arial" w:cs="Arial"/>
          <w:sz w:val="22"/>
          <w:szCs w:val="22"/>
        </w:rPr>
        <w:t xml:space="preserve"> outcomes </w:t>
      </w:r>
      <w:r w:rsidR="00E70955">
        <w:rPr>
          <w:rFonts w:ascii="Arial" w:hAnsi="Arial" w:cs="Arial"/>
          <w:sz w:val="22"/>
          <w:szCs w:val="22"/>
        </w:rPr>
        <w:t>favoured the polic</w:t>
      </w:r>
      <w:r w:rsidR="002172D2">
        <w:rPr>
          <w:rFonts w:ascii="Arial" w:hAnsi="Arial" w:cs="Arial"/>
          <w:sz w:val="22"/>
          <w:szCs w:val="22"/>
        </w:rPr>
        <w:t>y</w:t>
      </w:r>
      <w:r w:rsidR="00E70955">
        <w:rPr>
          <w:rFonts w:ascii="Arial" w:hAnsi="Arial" w:cs="Arial"/>
          <w:sz w:val="22"/>
          <w:szCs w:val="22"/>
        </w:rPr>
        <w:t xml:space="preserve">. </w:t>
      </w:r>
      <w:r w:rsidRPr="006E003D">
        <w:rPr>
          <w:rFonts w:ascii="Arial" w:hAnsi="Arial" w:cs="Arial"/>
          <w:sz w:val="22"/>
          <w:szCs w:val="22"/>
        </w:rPr>
        <w:t xml:space="preserve">Outcome reporting bias may have been introduced, due to none of the included studies having published protocols </w:t>
      </w:r>
      <w:r w:rsidR="0006454A" w:rsidRPr="006E003D">
        <w:rPr>
          <w:rFonts w:ascii="Arial" w:hAnsi="Arial" w:cs="Arial"/>
          <w:sz w:val="22"/>
          <w:szCs w:val="22"/>
        </w:rPr>
        <w:t xml:space="preserve">with which </w:t>
      </w:r>
      <w:r w:rsidRPr="006E003D">
        <w:rPr>
          <w:rFonts w:ascii="Arial" w:hAnsi="Arial" w:cs="Arial"/>
          <w:sz w:val="22"/>
          <w:szCs w:val="22"/>
        </w:rPr>
        <w:t>to compare reported outcomes</w:t>
      </w:r>
      <w:r w:rsidR="00E70955" w:rsidRPr="00796836">
        <w:rPr>
          <w:rFonts w:ascii="Arial" w:hAnsi="Arial" w:cs="Arial"/>
          <w:b/>
          <w:bCs/>
          <w:sz w:val="22"/>
          <w:szCs w:val="22"/>
        </w:rPr>
        <w:t xml:space="preserve">. </w:t>
      </w:r>
    </w:p>
    <w:p w14:paraId="5E75BF83" w14:textId="77777777" w:rsidR="00E67AD6" w:rsidRDefault="00E67AD6" w:rsidP="00E67AD6">
      <w:pPr>
        <w:rPr>
          <w:rFonts w:ascii="Arial" w:hAnsi="Arial" w:cs="Arial"/>
          <w:b/>
          <w:bCs/>
          <w:sz w:val="22"/>
          <w:szCs w:val="22"/>
        </w:rPr>
      </w:pPr>
    </w:p>
    <w:p w14:paraId="00C3578B" w14:textId="2A54F883" w:rsidR="00140729" w:rsidRDefault="003A79CA" w:rsidP="00E67AD6">
      <w:pPr>
        <w:rPr>
          <w:rFonts w:ascii="Arial" w:hAnsi="Arial" w:cs="Arial"/>
          <w:b/>
          <w:bCs/>
          <w:sz w:val="22"/>
          <w:szCs w:val="22"/>
        </w:rPr>
      </w:pPr>
      <w:r>
        <w:rPr>
          <w:rFonts w:ascii="Arial" w:hAnsi="Arial" w:cs="Arial"/>
          <w:b/>
          <w:bCs/>
          <w:sz w:val="22"/>
          <w:szCs w:val="22"/>
        </w:rPr>
        <w:t>DISCUSSION</w:t>
      </w:r>
      <w:r w:rsidR="00170665">
        <w:rPr>
          <w:rFonts w:ascii="Arial" w:hAnsi="Arial" w:cs="Arial"/>
          <w:b/>
          <w:bCs/>
          <w:sz w:val="22"/>
          <w:szCs w:val="22"/>
        </w:rPr>
        <w:t xml:space="preserve"> </w:t>
      </w:r>
    </w:p>
    <w:p w14:paraId="3C6C3444" w14:textId="77777777" w:rsidR="00E67AD6" w:rsidRPr="003C730C" w:rsidRDefault="00E67AD6" w:rsidP="00E67AD6"/>
    <w:p w14:paraId="531FE40E" w14:textId="6356D994" w:rsidR="00982E80" w:rsidRPr="00136659" w:rsidRDefault="00E67AD6" w:rsidP="00982E80">
      <w:pPr>
        <w:rPr>
          <w:rFonts w:ascii="Arial" w:hAnsi="Arial" w:cs="Arial"/>
          <w:b/>
          <w:bCs/>
          <w:sz w:val="22"/>
          <w:szCs w:val="22"/>
        </w:rPr>
      </w:pPr>
      <w:r w:rsidRPr="005E2F47">
        <w:rPr>
          <w:rFonts w:ascii="Arial" w:hAnsi="Arial" w:cs="Arial"/>
          <w:sz w:val="22"/>
          <w:szCs w:val="22"/>
        </w:rPr>
        <w:t xml:space="preserve">The main finding from this review is that </w:t>
      </w:r>
      <w:r w:rsidR="002172D2">
        <w:rPr>
          <w:rFonts w:ascii="Arial" w:hAnsi="Arial" w:cs="Arial"/>
          <w:sz w:val="22"/>
          <w:szCs w:val="22"/>
        </w:rPr>
        <w:t xml:space="preserve">the </w:t>
      </w:r>
      <w:r w:rsidRPr="005E2F47">
        <w:rPr>
          <w:rFonts w:ascii="Arial" w:hAnsi="Arial" w:cs="Arial"/>
          <w:sz w:val="22"/>
          <w:szCs w:val="22"/>
        </w:rPr>
        <w:t xml:space="preserve">evidence </w:t>
      </w:r>
      <w:r w:rsidR="009D1EF2">
        <w:rPr>
          <w:rFonts w:ascii="Arial" w:hAnsi="Arial" w:cs="Arial"/>
          <w:sz w:val="22"/>
          <w:szCs w:val="22"/>
        </w:rPr>
        <w:t xml:space="preserve">from eight studies </w:t>
      </w:r>
      <w:r w:rsidRPr="005E2F47">
        <w:rPr>
          <w:rFonts w:ascii="Arial" w:hAnsi="Arial" w:cs="Arial"/>
          <w:sz w:val="22"/>
          <w:szCs w:val="22"/>
        </w:rPr>
        <w:t xml:space="preserve">for smoke-free policies in defence settings is </w:t>
      </w:r>
      <w:r w:rsidR="002172D2">
        <w:rPr>
          <w:rFonts w:ascii="Arial" w:hAnsi="Arial" w:cs="Arial"/>
          <w:sz w:val="22"/>
          <w:szCs w:val="22"/>
        </w:rPr>
        <w:t>very low-quality</w:t>
      </w:r>
      <w:r w:rsidRPr="005E2F47">
        <w:rPr>
          <w:rFonts w:ascii="Arial" w:hAnsi="Arial" w:cs="Arial"/>
          <w:sz w:val="22"/>
          <w:szCs w:val="22"/>
        </w:rPr>
        <w:t xml:space="preserve">. </w:t>
      </w:r>
      <w:r w:rsidR="00982E80" w:rsidRPr="00982E80">
        <w:rPr>
          <w:rFonts w:ascii="Arial" w:hAnsi="Arial" w:cs="Arial"/>
          <w:sz w:val="22"/>
          <w:szCs w:val="22"/>
        </w:rPr>
        <w:t>Reliable conclusions cannot be drawn from this review on the impact of defence smoke-free policies</w:t>
      </w:r>
      <w:r w:rsidR="00C533D2">
        <w:rPr>
          <w:rFonts w:ascii="Arial" w:hAnsi="Arial" w:cs="Arial"/>
          <w:sz w:val="22"/>
          <w:szCs w:val="22"/>
        </w:rPr>
        <w:t xml:space="preserve">. </w:t>
      </w:r>
      <w:r w:rsidR="005E2F47" w:rsidRPr="005E2F47">
        <w:rPr>
          <w:rFonts w:ascii="Arial" w:hAnsi="Arial" w:cs="Arial"/>
          <w:sz w:val="22"/>
          <w:szCs w:val="22"/>
        </w:rPr>
        <w:t>For the primary outcome</w:t>
      </w:r>
      <w:r w:rsidR="00713DC9">
        <w:rPr>
          <w:rFonts w:ascii="Arial" w:hAnsi="Arial" w:cs="Arial"/>
          <w:sz w:val="22"/>
          <w:szCs w:val="22"/>
        </w:rPr>
        <w:t>,</w:t>
      </w:r>
      <w:r w:rsidR="005E2F47" w:rsidRPr="005E2F47">
        <w:rPr>
          <w:rFonts w:ascii="Arial" w:hAnsi="Arial" w:cs="Arial"/>
          <w:sz w:val="22"/>
          <w:szCs w:val="22"/>
        </w:rPr>
        <w:t xml:space="preserve"> </w:t>
      </w:r>
      <w:r w:rsidR="005E2F47" w:rsidRPr="005E2F47">
        <w:rPr>
          <w:rFonts w:ascii="Arial" w:hAnsi="Arial" w:cs="Arial"/>
          <w:bCs/>
          <w:sz w:val="22"/>
          <w:szCs w:val="22"/>
        </w:rPr>
        <w:t xml:space="preserve">there is very low-quality evidence from one study that the </w:t>
      </w:r>
      <w:r w:rsidR="00261577">
        <w:rPr>
          <w:rFonts w:ascii="Arial" w:hAnsi="Arial" w:cs="Arial"/>
          <w:bCs/>
          <w:sz w:val="22"/>
          <w:szCs w:val="22"/>
        </w:rPr>
        <w:t>self-reported</w:t>
      </w:r>
      <w:r w:rsidR="005E2F47">
        <w:rPr>
          <w:rFonts w:ascii="Arial" w:hAnsi="Arial" w:cs="Arial"/>
          <w:bCs/>
          <w:sz w:val="22"/>
          <w:szCs w:val="22"/>
        </w:rPr>
        <w:t xml:space="preserve"> </w:t>
      </w:r>
      <w:r w:rsidR="005E2F47" w:rsidRPr="005E2F47">
        <w:rPr>
          <w:rFonts w:ascii="Arial" w:hAnsi="Arial" w:cs="Arial"/>
          <w:bCs/>
          <w:sz w:val="22"/>
          <w:szCs w:val="22"/>
        </w:rPr>
        <w:t xml:space="preserve">exposure to </w:t>
      </w:r>
      <w:r w:rsidR="005E2F47">
        <w:rPr>
          <w:rFonts w:ascii="Arial" w:hAnsi="Arial" w:cs="Arial"/>
          <w:bCs/>
          <w:sz w:val="22"/>
          <w:szCs w:val="22"/>
        </w:rPr>
        <w:t xml:space="preserve">SHS </w:t>
      </w:r>
      <w:r w:rsidR="005E2F47" w:rsidRPr="005E2F47">
        <w:rPr>
          <w:rFonts w:ascii="Arial" w:hAnsi="Arial" w:cs="Arial"/>
          <w:bCs/>
          <w:sz w:val="22"/>
          <w:szCs w:val="22"/>
        </w:rPr>
        <w:t xml:space="preserve">reduced following the introduction of a whole-site smoking ban. </w:t>
      </w:r>
      <w:r w:rsidR="00982E80">
        <w:rPr>
          <w:rFonts w:ascii="Arial" w:hAnsi="Arial" w:cs="Arial"/>
          <w:sz w:val="22"/>
          <w:szCs w:val="22"/>
        </w:rPr>
        <w:t>For the secondary outcomes</w:t>
      </w:r>
      <w:r w:rsidR="002B2B69">
        <w:rPr>
          <w:rFonts w:ascii="Arial" w:hAnsi="Arial" w:cs="Arial"/>
          <w:sz w:val="22"/>
          <w:szCs w:val="22"/>
        </w:rPr>
        <w:t>,</w:t>
      </w:r>
      <w:r w:rsidR="00982E80">
        <w:rPr>
          <w:rFonts w:ascii="Arial" w:hAnsi="Arial" w:cs="Arial"/>
          <w:sz w:val="22"/>
          <w:szCs w:val="22"/>
        </w:rPr>
        <w:t xml:space="preserve"> the</w:t>
      </w:r>
      <w:r w:rsidR="005E2F47" w:rsidRPr="005E2F47">
        <w:rPr>
          <w:rFonts w:ascii="Arial" w:hAnsi="Arial" w:cs="Arial"/>
          <w:sz w:val="22"/>
          <w:szCs w:val="22"/>
        </w:rPr>
        <w:t xml:space="preserve"> review found mixed results for the uptake of smoking amongst non-smokers.</w:t>
      </w:r>
      <w:r w:rsidR="00982E80">
        <w:rPr>
          <w:rFonts w:ascii="Arial" w:hAnsi="Arial" w:cs="Arial"/>
          <w:sz w:val="22"/>
          <w:szCs w:val="22"/>
        </w:rPr>
        <w:t xml:space="preserve"> </w:t>
      </w:r>
      <w:r w:rsidR="00982E80" w:rsidRPr="00982E80">
        <w:rPr>
          <w:rFonts w:ascii="Arial" w:hAnsi="Arial" w:cs="Arial"/>
          <w:sz w:val="22"/>
          <w:szCs w:val="22"/>
        </w:rPr>
        <w:t xml:space="preserve">The review found no overall clear effect </w:t>
      </w:r>
      <w:r w:rsidR="000142D5">
        <w:rPr>
          <w:rFonts w:ascii="Arial" w:hAnsi="Arial" w:cs="Arial"/>
          <w:sz w:val="22"/>
          <w:szCs w:val="22"/>
        </w:rPr>
        <w:t>on</w:t>
      </w:r>
      <w:r w:rsidR="00982E80" w:rsidRPr="00982E80">
        <w:rPr>
          <w:rFonts w:ascii="Arial" w:hAnsi="Arial" w:cs="Arial"/>
          <w:sz w:val="22"/>
          <w:szCs w:val="22"/>
        </w:rPr>
        <w:t xml:space="preserve"> the outcomes relating to smokers’ tobacco</w:t>
      </w:r>
      <w:r w:rsidR="00FF6BFF">
        <w:rPr>
          <w:rFonts w:ascii="Arial" w:hAnsi="Arial" w:cs="Arial"/>
          <w:sz w:val="22"/>
          <w:szCs w:val="22"/>
        </w:rPr>
        <w:t>-use behaviours</w:t>
      </w:r>
      <w:r w:rsidR="00982E80" w:rsidRPr="00982E80">
        <w:rPr>
          <w:rFonts w:ascii="Arial" w:hAnsi="Arial" w:cs="Arial"/>
          <w:sz w:val="22"/>
          <w:szCs w:val="22"/>
        </w:rPr>
        <w:t>. The quit rate was the one outcome in which the majority of studies (six of eight) showed a direction of effect favouring smoke-free policies, but this could be an artefact of the study design, rather than showing a true effect. None of the studies evaluated the impact of defence smoke-free policies on medical deployabilit</w:t>
      </w:r>
      <w:r w:rsidR="00982E80">
        <w:rPr>
          <w:rFonts w:ascii="Arial" w:hAnsi="Arial" w:cs="Arial"/>
          <w:sz w:val="22"/>
          <w:szCs w:val="22"/>
        </w:rPr>
        <w:t>y, which makes it difficult for policymakers to judge the impact of defence smoke-free policies on operational readiness</w:t>
      </w:r>
      <w:r w:rsidR="00136659">
        <w:rPr>
          <w:rFonts w:ascii="Arial" w:hAnsi="Arial" w:cs="Arial"/>
          <w:sz w:val="22"/>
          <w:szCs w:val="22"/>
        </w:rPr>
        <w:t>.</w:t>
      </w:r>
    </w:p>
    <w:p w14:paraId="3A3BF142" w14:textId="48DC1351" w:rsidR="00982E80" w:rsidRPr="00FF5421" w:rsidRDefault="00982E80" w:rsidP="00982E80">
      <w:pPr>
        <w:rPr>
          <w:rFonts w:ascii="Arial" w:hAnsi="Arial" w:cs="Arial"/>
          <w:sz w:val="22"/>
          <w:szCs w:val="22"/>
        </w:rPr>
      </w:pPr>
    </w:p>
    <w:p w14:paraId="12B3F211" w14:textId="09B9AE27" w:rsidR="00396238" w:rsidRPr="008B08D9" w:rsidRDefault="00FF5421" w:rsidP="00396238">
      <w:pPr>
        <w:rPr>
          <w:rFonts w:ascii="Arial" w:hAnsi="Arial" w:cs="Arial"/>
          <w:sz w:val="22"/>
          <w:szCs w:val="22"/>
        </w:rPr>
      </w:pPr>
      <w:r w:rsidRPr="00FF5421">
        <w:rPr>
          <w:rFonts w:ascii="Arial" w:hAnsi="Arial" w:cs="Arial"/>
          <w:sz w:val="22"/>
          <w:szCs w:val="22"/>
        </w:rPr>
        <w:t xml:space="preserve">This review has demonstrated a research gap on the impact of contemporary defence smoke-free policies on </w:t>
      </w:r>
      <w:r w:rsidR="002172D2">
        <w:rPr>
          <w:rFonts w:ascii="Arial" w:hAnsi="Arial" w:cs="Arial"/>
          <w:sz w:val="22"/>
          <w:szCs w:val="22"/>
        </w:rPr>
        <w:t xml:space="preserve">exposure to SHS and smoking behaviours of </w:t>
      </w:r>
      <w:r w:rsidRPr="00FF5421">
        <w:rPr>
          <w:rFonts w:ascii="Arial" w:hAnsi="Arial" w:cs="Arial"/>
          <w:sz w:val="22"/>
          <w:szCs w:val="22"/>
        </w:rPr>
        <w:t xml:space="preserve">defence </w:t>
      </w:r>
      <w:proofErr w:type="gramStart"/>
      <w:r w:rsidRPr="00FF5421">
        <w:rPr>
          <w:rFonts w:ascii="Arial" w:hAnsi="Arial" w:cs="Arial"/>
          <w:sz w:val="22"/>
          <w:szCs w:val="22"/>
        </w:rPr>
        <w:t>personnel.</w:t>
      </w:r>
      <w:r w:rsidR="00396238" w:rsidRPr="00396238">
        <w:rPr>
          <w:rFonts w:ascii="Arial" w:hAnsi="Arial"/>
          <w:b/>
          <w:bCs/>
          <w:sz w:val="22"/>
          <w:szCs w:val="22"/>
        </w:rPr>
        <w:t>.</w:t>
      </w:r>
      <w:proofErr w:type="gramEnd"/>
      <w:r w:rsidR="00396238" w:rsidRPr="00396238">
        <w:rPr>
          <w:rFonts w:ascii="Arial" w:hAnsi="Arial"/>
          <w:b/>
          <w:bCs/>
          <w:sz w:val="22"/>
          <w:szCs w:val="22"/>
        </w:rPr>
        <w:t xml:space="preserve"> </w:t>
      </w:r>
      <w:r w:rsidR="00396238" w:rsidRPr="008B08D9">
        <w:rPr>
          <w:rFonts w:ascii="Arial" w:hAnsi="Arial"/>
          <w:sz w:val="22"/>
          <w:szCs w:val="22"/>
        </w:rPr>
        <w:t>Research in a wider variety of defence settings that include</w:t>
      </w:r>
      <w:r w:rsidR="00F90B72" w:rsidRPr="008B08D9">
        <w:rPr>
          <w:rFonts w:ascii="Arial" w:hAnsi="Arial"/>
          <w:sz w:val="22"/>
          <w:szCs w:val="22"/>
        </w:rPr>
        <w:t>s</w:t>
      </w:r>
      <w:r w:rsidR="00396238" w:rsidRPr="008B08D9">
        <w:rPr>
          <w:rFonts w:ascii="Arial" w:hAnsi="Arial"/>
          <w:sz w:val="22"/>
          <w:szCs w:val="22"/>
        </w:rPr>
        <w:t xml:space="preserve"> the </w:t>
      </w:r>
      <w:r w:rsidR="00591696" w:rsidRPr="008B08D9">
        <w:rPr>
          <w:rFonts w:ascii="Arial" w:hAnsi="Arial"/>
          <w:sz w:val="22"/>
          <w:szCs w:val="22"/>
        </w:rPr>
        <w:t xml:space="preserve">whole force </w:t>
      </w:r>
      <w:r w:rsidR="00396238" w:rsidRPr="008B08D9">
        <w:rPr>
          <w:rFonts w:ascii="Arial" w:hAnsi="Arial"/>
          <w:sz w:val="22"/>
          <w:szCs w:val="22"/>
        </w:rPr>
        <w:t xml:space="preserve">population (including civilians), outside the relatively </w:t>
      </w:r>
      <w:r w:rsidR="002D261F" w:rsidRPr="008B08D9">
        <w:rPr>
          <w:rFonts w:ascii="Arial" w:hAnsi="Arial"/>
          <w:sz w:val="22"/>
          <w:szCs w:val="22"/>
        </w:rPr>
        <w:t>niche</w:t>
      </w:r>
      <w:r w:rsidR="00396238" w:rsidRPr="008B08D9">
        <w:rPr>
          <w:rFonts w:ascii="Arial" w:hAnsi="Arial"/>
          <w:sz w:val="22"/>
          <w:szCs w:val="22"/>
        </w:rPr>
        <w:t xml:space="preserve"> settings </w:t>
      </w:r>
      <w:r w:rsidR="00DD455C" w:rsidRPr="008B08D9">
        <w:rPr>
          <w:rFonts w:ascii="Arial" w:hAnsi="Arial"/>
          <w:sz w:val="22"/>
          <w:szCs w:val="22"/>
        </w:rPr>
        <w:t xml:space="preserve">included </w:t>
      </w:r>
      <w:r w:rsidR="00396238" w:rsidRPr="008B08D9">
        <w:rPr>
          <w:rFonts w:ascii="Arial" w:hAnsi="Arial"/>
          <w:sz w:val="22"/>
          <w:szCs w:val="22"/>
        </w:rPr>
        <w:t xml:space="preserve">in the studies of this review </w:t>
      </w:r>
      <w:r w:rsidR="002D261F" w:rsidRPr="008B08D9">
        <w:rPr>
          <w:rFonts w:ascii="Arial" w:hAnsi="Arial"/>
          <w:sz w:val="22"/>
          <w:szCs w:val="22"/>
        </w:rPr>
        <w:t>(basic training, submarines, medical settings)</w:t>
      </w:r>
      <w:r w:rsidR="002F6CC5" w:rsidRPr="008B08D9">
        <w:rPr>
          <w:rFonts w:ascii="Arial" w:hAnsi="Arial"/>
          <w:sz w:val="22"/>
          <w:szCs w:val="22"/>
        </w:rPr>
        <w:t>,</w:t>
      </w:r>
      <w:r w:rsidR="002D261F" w:rsidRPr="008B08D9">
        <w:rPr>
          <w:rFonts w:ascii="Arial" w:hAnsi="Arial"/>
          <w:sz w:val="22"/>
          <w:szCs w:val="22"/>
        </w:rPr>
        <w:t xml:space="preserve"> </w:t>
      </w:r>
      <w:r w:rsidR="00396238" w:rsidRPr="008B08D9">
        <w:rPr>
          <w:rFonts w:ascii="Arial" w:hAnsi="Arial"/>
          <w:sz w:val="22"/>
          <w:szCs w:val="22"/>
        </w:rPr>
        <w:t>would be beneficial</w:t>
      </w:r>
      <w:r w:rsidR="002F6CC5" w:rsidRPr="008B08D9">
        <w:rPr>
          <w:rFonts w:ascii="Arial" w:hAnsi="Arial"/>
          <w:sz w:val="22"/>
          <w:szCs w:val="22"/>
        </w:rPr>
        <w:t xml:space="preserve"> and </w:t>
      </w:r>
      <w:r w:rsidR="00396238" w:rsidRPr="008B08D9">
        <w:rPr>
          <w:rFonts w:ascii="Arial" w:hAnsi="Arial"/>
          <w:sz w:val="22"/>
          <w:szCs w:val="22"/>
        </w:rPr>
        <w:t xml:space="preserve">increase the external validity of studies. </w:t>
      </w:r>
    </w:p>
    <w:p w14:paraId="6C84EEF7" w14:textId="42D06D92" w:rsidR="00396238" w:rsidRPr="00CC1105" w:rsidRDefault="00396238" w:rsidP="00396238">
      <w:pPr>
        <w:rPr>
          <w:rFonts w:ascii="Arial" w:hAnsi="Arial"/>
          <w:b/>
          <w:bCs/>
          <w:sz w:val="22"/>
          <w:szCs w:val="22"/>
          <w:highlight w:val="yellow"/>
        </w:rPr>
      </w:pPr>
    </w:p>
    <w:p w14:paraId="3F4D4985" w14:textId="6E98AE78" w:rsidR="00396238" w:rsidRPr="008B08D9" w:rsidRDefault="00DD455C" w:rsidP="00B44812">
      <w:pPr>
        <w:rPr>
          <w:rFonts w:ascii="Arial" w:hAnsi="Arial"/>
          <w:sz w:val="22"/>
          <w:szCs w:val="22"/>
        </w:rPr>
      </w:pPr>
      <w:r w:rsidRPr="008B08D9">
        <w:rPr>
          <w:rFonts w:ascii="Arial" w:hAnsi="Arial"/>
          <w:sz w:val="22"/>
          <w:szCs w:val="22"/>
        </w:rPr>
        <w:t>Such evaluation</w:t>
      </w:r>
      <w:r w:rsidR="00396238" w:rsidRPr="008B08D9">
        <w:rPr>
          <w:rFonts w:ascii="Arial" w:hAnsi="Arial"/>
          <w:sz w:val="22"/>
          <w:szCs w:val="22"/>
        </w:rPr>
        <w:t xml:space="preserve"> studies would benefit from </w:t>
      </w:r>
      <w:r w:rsidRPr="008B08D9">
        <w:rPr>
          <w:rFonts w:ascii="Arial" w:hAnsi="Arial"/>
          <w:sz w:val="22"/>
          <w:szCs w:val="22"/>
        </w:rPr>
        <w:t xml:space="preserve">including </w:t>
      </w:r>
      <w:r w:rsidR="00396238" w:rsidRPr="008B08D9">
        <w:rPr>
          <w:rFonts w:ascii="Arial" w:hAnsi="Arial"/>
          <w:sz w:val="22"/>
          <w:szCs w:val="22"/>
        </w:rPr>
        <w:t xml:space="preserve">comparator groups, </w:t>
      </w:r>
      <w:r w:rsidR="00B44812" w:rsidRPr="008B08D9">
        <w:rPr>
          <w:rFonts w:ascii="Arial" w:hAnsi="Arial"/>
          <w:sz w:val="22"/>
          <w:szCs w:val="22"/>
        </w:rPr>
        <w:t xml:space="preserve">ideally </w:t>
      </w:r>
      <w:r w:rsidR="00396238" w:rsidRPr="008B08D9">
        <w:rPr>
          <w:rFonts w:ascii="Arial" w:hAnsi="Arial"/>
          <w:sz w:val="22"/>
          <w:szCs w:val="22"/>
        </w:rPr>
        <w:t xml:space="preserve">with randomisation to account for confounding, secular changes and regression to the mean. A stepped wedge clustered randomised control trial could be incorporated into a phased roll-out of a smoke-free </w:t>
      </w:r>
      <w:r w:rsidR="008603E6" w:rsidRPr="008B08D9">
        <w:rPr>
          <w:rFonts w:ascii="Arial" w:hAnsi="Arial"/>
          <w:sz w:val="22"/>
          <w:szCs w:val="22"/>
        </w:rPr>
        <w:t>policy, with</w:t>
      </w:r>
      <w:r w:rsidR="00396238" w:rsidRPr="008B08D9">
        <w:rPr>
          <w:rFonts w:ascii="Arial" w:hAnsi="Arial"/>
          <w:sz w:val="22"/>
          <w:szCs w:val="22"/>
        </w:rPr>
        <w:t xml:space="preserve"> locations </w:t>
      </w:r>
      <w:r w:rsidR="00B44812" w:rsidRPr="008B08D9">
        <w:rPr>
          <w:rFonts w:ascii="Arial" w:hAnsi="Arial"/>
          <w:sz w:val="22"/>
          <w:szCs w:val="22"/>
        </w:rPr>
        <w:t xml:space="preserve">implementing the policy later in the roll-out </w:t>
      </w:r>
      <w:r w:rsidR="008603E6" w:rsidRPr="008B08D9">
        <w:rPr>
          <w:rFonts w:ascii="Arial" w:hAnsi="Arial"/>
          <w:sz w:val="22"/>
          <w:szCs w:val="22"/>
        </w:rPr>
        <w:t xml:space="preserve">being </w:t>
      </w:r>
      <w:r w:rsidR="0094658E" w:rsidRPr="008B08D9">
        <w:rPr>
          <w:rFonts w:ascii="Arial" w:hAnsi="Arial"/>
          <w:sz w:val="22"/>
          <w:szCs w:val="22"/>
        </w:rPr>
        <w:t xml:space="preserve">initially </w:t>
      </w:r>
      <w:r w:rsidR="00B44812" w:rsidRPr="008B08D9">
        <w:rPr>
          <w:rFonts w:ascii="Arial" w:hAnsi="Arial"/>
          <w:sz w:val="22"/>
          <w:szCs w:val="22"/>
        </w:rPr>
        <w:t>assigned to the control-arm</w:t>
      </w:r>
      <w:r w:rsidR="00B26D3F" w:rsidRPr="008B08D9">
        <w:rPr>
          <w:rFonts w:ascii="Arial" w:hAnsi="Arial"/>
          <w:sz w:val="22"/>
          <w:szCs w:val="22"/>
        </w:rPr>
        <w:t>(</w:t>
      </w:r>
      <w:r w:rsidR="00C671B2" w:rsidRPr="008B08D9">
        <w:rPr>
          <w:rFonts w:ascii="Arial" w:hAnsi="Arial"/>
          <w:sz w:val="22"/>
          <w:szCs w:val="22"/>
        </w:rPr>
        <w:t>45</w:t>
      </w:r>
      <w:r w:rsidR="00B26D3F" w:rsidRPr="008B08D9">
        <w:rPr>
          <w:rFonts w:ascii="Arial" w:hAnsi="Arial"/>
          <w:sz w:val="22"/>
          <w:szCs w:val="22"/>
        </w:rPr>
        <w:t>)</w:t>
      </w:r>
      <w:r w:rsidR="00B44812" w:rsidRPr="008B08D9">
        <w:rPr>
          <w:rFonts w:ascii="Arial" w:hAnsi="Arial"/>
          <w:sz w:val="22"/>
          <w:szCs w:val="22"/>
        </w:rPr>
        <w:t>.</w:t>
      </w:r>
      <w:r w:rsidR="00591696" w:rsidRPr="008B08D9">
        <w:rPr>
          <w:rFonts w:ascii="Arial" w:hAnsi="Arial"/>
          <w:sz w:val="22"/>
          <w:szCs w:val="22"/>
        </w:rPr>
        <w:t xml:space="preserve"> </w:t>
      </w:r>
      <w:r w:rsidR="00396238" w:rsidRPr="008B08D9">
        <w:rPr>
          <w:rFonts w:ascii="Arial" w:hAnsi="Arial" w:cs="Arial"/>
          <w:sz w:val="22"/>
          <w:szCs w:val="22"/>
        </w:rPr>
        <w:t xml:space="preserve">However, </w:t>
      </w:r>
      <w:r w:rsidRPr="008B08D9">
        <w:rPr>
          <w:rFonts w:ascii="Arial" w:hAnsi="Arial" w:cs="Arial"/>
          <w:sz w:val="22"/>
          <w:szCs w:val="22"/>
        </w:rPr>
        <w:t>withholding smoke free initiatives</w:t>
      </w:r>
      <w:r w:rsidR="00396238" w:rsidRPr="008B08D9">
        <w:rPr>
          <w:rFonts w:ascii="Arial" w:hAnsi="Arial" w:cs="Arial"/>
          <w:sz w:val="22"/>
          <w:szCs w:val="22"/>
        </w:rPr>
        <w:t xml:space="preserve"> </w:t>
      </w:r>
      <w:r w:rsidRPr="008B08D9">
        <w:rPr>
          <w:rFonts w:ascii="Arial" w:hAnsi="Arial" w:cs="Arial"/>
          <w:sz w:val="22"/>
          <w:szCs w:val="22"/>
        </w:rPr>
        <w:t>for research purposes</w:t>
      </w:r>
      <w:r w:rsidR="00396238" w:rsidRPr="008B08D9">
        <w:rPr>
          <w:rFonts w:ascii="Arial" w:hAnsi="Arial" w:cs="Arial"/>
          <w:sz w:val="22"/>
          <w:szCs w:val="22"/>
        </w:rPr>
        <w:t xml:space="preserve"> </w:t>
      </w:r>
      <w:r w:rsidRPr="008B08D9">
        <w:rPr>
          <w:rFonts w:ascii="Arial" w:hAnsi="Arial" w:cs="Arial"/>
          <w:sz w:val="22"/>
          <w:szCs w:val="22"/>
        </w:rPr>
        <w:t xml:space="preserve">would be </w:t>
      </w:r>
      <w:r w:rsidR="00396238" w:rsidRPr="008B08D9">
        <w:rPr>
          <w:rFonts w:ascii="Arial" w:hAnsi="Arial" w:cs="Arial"/>
          <w:sz w:val="22"/>
          <w:szCs w:val="22"/>
        </w:rPr>
        <w:t xml:space="preserve">unethical due to </w:t>
      </w:r>
      <w:r w:rsidRPr="008B08D9">
        <w:rPr>
          <w:rFonts w:ascii="Arial" w:hAnsi="Arial" w:cs="Arial"/>
          <w:sz w:val="22"/>
          <w:szCs w:val="22"/>
        </w:rPr>
        <w:t>a lack of</w:t>
      </w:r>
      <w:r w:rsidR="00396238" w:rsidRPr="008B08D9">
        <w:rPr>
          <w:rFonts w:ascii="Arial" w:hAnsi="Arial" w:cs="Arial"/>
          <w:sz w:val="22"/>
          <w:szCs w:val="22"/>
        </w:rPr>
        <w:t xml:space="preserve"> genuine equipoise, given </w:t>
      </w:r>
      <w:r w:rsidRPr="008B08D9">
        <w:rPr>
          <w:rFonts w:ascii="Arial" w:hAnsi="Arial" w:cs="Arial"/>
          <w:sz w:val="22"/>
          <w:szCs w:val="22"/>
        </w:rPr>
        <w:t>the overwhelming strong evidence on</w:t>
      </w:r>
      <w:r w:rsidR="00396238" w:rsidRPr="008B08D9">
        <w:rPr>
          <w:rFonts w:ascii="Arial" w:hAnsi="Arial" w:cs="Arial"/>
          <w:sz w:val="22"/>
          <w:szCs w:val="22"/>
        </w:rPr>
        <w:t xml:space="preserve"> the harms of tobacco smoke</w:t>
      </w:r>
      <w:r w:rsidR="00B26D3F" w:rsidRPr="008B08D9">
        <w:rPr>
          <w:rFonts w:ascii="Arial" w:hAnsi="Arial" w:cs="Arial"/>
          <w:sz w:val="22"/>
          <w:szCs w:val="22"/>
        </w:rPr>
        <w:t>(</w:t>
      </w:r>
      <w:r w:rsidR="00C671B2" w:rsidRPr="008B08D9">
        <w:rPr>
          <w:rFonts w:ascii="Arial" w:hAnsi="Arial" w:cs="Arial"/>
          <w:sz w:val="22"/>
          <w:szCs w:val="22"/>
        </w:rPr>
        <w:t>46</w:t>
      </w:r>
      <w:r w:rsidR="00B26D3F" w:rsidRPr="008B08D9">
        <w:rPr>
          <w:rFonts w:ascii="Arial" w:hAnsi="Arial" w:cs="Arial"/>
          <w:sz w:val="22"/>
          <w:szCs w:val="22"/>
        </w:rPr>
        <w:t>)</w:t>
      </w:r>
      <w:r w:rsidR="00591696" w:rsidRPr="008B08D9">
        <w:rPr>
          <w:rFonts w:ascii="Arial" w:hAnsi="Arial" w:cs="Arial"/>
          <w:sz w:val="22"/>
          <w:szCs w:val="22"/>
        </w:rPr>
        <w:t>.</w:t>
      </w:r>
      <w:r w:rsidR="00B44812" w:rsidRPr="008B08D9">
        <w:rPr>
          <w:rFonts w:ascii="Arial" w:hAnsi="Arial" w:cs="Arial"/>
          <w:sz w:val="22"/>
          <w:szCs w:val="22"/>
        </w:rPr>
        <w:t xml:space="preserve"> </w:t>
      </w:r>
      <w:r w:rsidR="002D5919" w:rsidRPr="008B08D9">
        <w:rPr>
          <w:rFonts w:ascii="Arial" w:hAnsi="Arial" w:cs="Arial"/>
          <w:sz w:val="22"/>
          <w:szCs w:val="22"/>
        </w:rPr>
        <w:t>Methods used in</w:t>
      </w:r>
      <w:r w:rsidR="00396238" w:rsidRPr="008B08D9">
        <w:rPr>
          <w:rFonts w:ascii="Arial" w:hAnsi="Arial" w:cs="Arial"/>
          <w:sz w:val="22"/>
          <w:szCs w:val="22"/>
        </w:rPr>
        <w:t xml:space="preserve"> natural experiments</w:t>
      </w:r>
      <w:r w:rsidR="00591696" w:rsidRPr="008B08D9">
        <w:rPr>
          <w:rFonts w:ascii="Arial" w:hAnsi="Arial" w:cs="Arial"/>
          <w:sz w:val="22"/>
          <w:szCs w:val="22"/>
        </w:rPr>
        <w:t xml:space="preserve"> could be used </w:t>
      </w:r>
      <w:r w:rsidR="002D5919" w:rsidRPr="008B08D9">
        <w:rPr>
          <w:rFonts w:ascii="Arial" w:hAnsi="Arial" w:cs="Arial"/>
          <w:sz w:val="22"/>
          <w:szCs w:val="22"/>
        </w:rPr>
        <w:t>instead (</w:t>
      </w:r>
      <w:r w:rsidR="00C671B2" w:rsidRPr="008B08D9">
        <w:rPr>
          <w:rFonts w:ascii="Arial" w:hAnsi="Arial" w:cs="Arial"/>
          <w:sz w:val="22"/>
          <w:szCs w:val="22"/>
        </w:rPr>
        <w:t>47</w:t>
      </w:r>
      <w:r w:rsidR="00B26D3F" w:rsidRPr="008B08D9">
        <w:rPr>
          <w:rFonts w:ascii="Arial" w:hAnsi="Arial" w:cs="Arial"/>
          <w:sz w:val="22"/>
          <w:szCs w:val="22"/>
        </w:rPr>
        <w:t>)</w:t>
      </w:r>
      <w:r w:rsidR="00396238" w:rsidRPr="008B08D9">
        <w:rPr>
          <w:rFonts w:ascii="Arial" w:hAnsi="Arial" w:cs="Arial"/>
          <w:sz w:val="22"/>
          <w:szCs w:val="22"/>
        </w:rPr>
        <w:t>.</w:t>
      </w:r>
      <w:r w:rsidR="00591696" w:rsidRPr="008B08D9">
        <w:rPr>
          <w:rFonts w:ascii="Arial" w:hAnsi="Arial" w:cs="Arial"/>
          <w:sz w:val="22"/>
          <w:szCs w:val="22"/>
        </w:rPr>
        <w:t xml:space="preserve"> </w:t>
      </w:r>
      <w:r w:rsidR="002D5919" w:rsidRPr="008B08D9">
        <w:rPr>
          <w:rFonts w:ascii="Arial" w:hAnsi="Arial" w:cs="Arial"/>
          <w:sz w:val="22"/>
          <w:szCs w:val="22"/>
        </w:rPr>
        <w:t>Given the</w:t>
      </w:r>
      <w:r w:rsidR="00396238" w:rsidRPr="008B08D9">
        <w:rPr>
          <w:rFonts w:ascii="Arial" w:hAnsi="Arial" w:cs="Arial"/>
          <w:sz w:val="22"/>
          <w:szCs w:val="22"/>
        </w:rPr>
        <w:t xml:space="preserve"> difficult</w:t>
      </w:r>
      <w:r w:rsidR="002D5919" w:rsidRPr="008B08D9">
        <w:rPr>
          <w:rFonts w:ascii="Arial" w:hAnsi="Arial" w:cs="Arial"/>
          <w:sz w:val="22"/>
          <w:szCs w:val="22"/>
        </w:rPr>
        <w:t>y</w:t>
      </w:r>
      <w:r w:rsidR="00396238" w:rsidRPr="008B08D9">
        <w:rPr>
          <w:rFonts w:ascii="Arial" w:hAnsi="Arial" w:cs="Arial"/>
          <w:sz w:val="22"/>
          <w:szCs w:val="22"/>
        </w:rPr>
        <w:t xml:space="preserve"> </w:t>
      </w:r>
      <w:r w:rsidR="002D5919" w:rsidRPr="008B08D9">
        <w:rPr>
          <w:rFonts w:ascii="Arial" w:hAnsi="Arial" w:cs="Arial"/>
          <w:sz w:val="22"/>
          <w:szCs w:val="22"/>
        </w:rPr>
        <w:t>in inferring</w:t>
      </w:r>
      <w:r w:rsidR="00396238" w:rsidRPr="008B08D9">
        <w:rPr>
          <w:rFonts w:ascii="Arial" w:hAnsi="Arial" w:cs="Arial"/>
          <w:sz w:val="22"/>
          <w:szCs w:val="22"/>
        </w:rPr>
        <w:t xml:space="preserve"> causality without a control group</w:t>
      </w:r>
      <w:r w:rsidR="002D5919" w:rsidRPr="008B08D9">
        <w:rPr>
          <w:rFonts w:ascii="Arial" w:hAnsi="Arial" w:cs="Arial"/>
          <w:sz w:val="22"/>
          <w:szCs w:val="22"/>
        </w:rPr>
        <w:t>;</w:t>
      </w:r>
      <w:r w:rsidR="00396238" w:rsidRPr="008B08D9">
        <w:rPr>
          <w:rFonts w:ascii="Arial" w:hAnsi="Arial" w:cs="Arial"/>
          <w:sz w:val="22"/>
          <w:szCs w:val="22"/>
        </w:rPr>
        <w:t xml:space="preserve"> natural experiments researchers should </w:t>
      </w:r>
      <w:r w:rsidR="002D5919" w:rsidRPr="008B08D9">
        <w:rPr>
          <w:rFonts w:ascii="Arial" w:hAnsi="Arial" w:cs="Arial"/>
          <w:sz w:val="22"/>
          <w:szCs w:val="22"/>
        </w:rPr>
        <w:t>adjust for confounding using methods like</w:t>
      </w:r>
      <w:r w:rsidR="00214B10" w:rsidRPr="008B08D9">
        <w:rPr>
          <w:rFonts w:ascii="Arial" w:hAnsi="Arial" w:cs="Arial"/>
          <w:sz w:val="22"/>
          <w:szCs w:val="22"/>
        </w:rPr>
        <w:t xml:space="preserve"> </w:t>
      </w:r>
      <w:r w:rsidR="00396238" w:rsidRPr="008B08D9">
        <w:rPr>
          <w:rFonts w:ascii="Arial" w:hAnsi="Arial" w:cs="Arial"/>
          <w:sz w:val="22"/>
          <w:szCs w:val="22"/>
        </w:rPr>
        <w:t xml:space="preserve">synthetic control groups </w:t>
      </w:r>
      <w:r w:rsidR="00214B10" w:rsidRPr="008B08D9">
        <w:rPr>
          <w:rFonts w:ascii="Arial" w:hAnsi="Arial" w:cs="Arial"/>
          <w:sz w:val="22"/>
          <w:szCs w:val="22"/>
        </w:rPr>
        <w:t>or</w:t>
      </w:r>
      <w:r w:rsidR="00396238" w:rsidRPr="008B08D9">
        <w:rPr>
          <w:rFonts w:ascii="Arial" w:hAnsi="Arial" w:cs="Arial"/>
          <w:sz w:val="22"/>
          <w:szCs w:val="22"/>
        </w:rPr>
        <w:t xml:space="preserve"> </w:t>
      </w:r>
      <w:r w:rsidR="00195EDD" w:rsidRPr="008B08D9">
        <w:rPr>
          <w:rFonts w:ascii="Arial" w:hAnsi="Arial" w:cs="Arial"/>
          <w:sz w:val="22"/>
          <w:szCs w:val="22"/>
        </w:rPr>
        <w:t xml:space="preserve">multiple </w:t>
      </w:r>
      <w:r w:rsidR="00396238" w:rsidRPr="008B08D9">
        <w:rPr>
          <w:rFonts w:ascii="Arial" w:hAnsi="Arial" w:cs="Arial"/>
          <w:sz w:val="22"/>
          <w:szCs w:val="22"/>
        </w:rPr>
        <w:t>regression analysis</w:t>
      </w:r>
      <w:r w:rsidR="00B26D3F" w:rsidRPr="008B08D9">
        <w:rPr>
          <w:rFonts w:ascii="Arial" w:hAnsi="Arial" w:cs="Arial"/>
          <w:sz w:val="22"/>
          <w:szCs w:val="22"/>
        </w:rPr>
        <w:t xml:space="preserve"> (</w:t>
      </w:r>
      <w:r w:rsidR="00C671B2" w:rsidRPr="008B08D9">
        <w:rPr>
          <w:rFonts w:ascii="Arial" w:hAnsi="Arial" w:cs="Arial"/>
          <w:sz w:val="22"/>
          <w:szCs w:val="22"/>
        </w:rPr>
        <w:t>47-48</w:t>
      </w:r>
      <w:r w:rsidR="00B26D3F" w:rsidRPr="008B08D9">
        <w:rPr>
          <w:rFonts w:ascii="Arial" w:hAnsi="Arial" w:cs="Arial"/>
          <w:sz w:val="22"/>
          <w:szCs w:val="22"/>
        </w:rPr>
        <w:t>)</w:t>
      </w:r>
      <w:r w:rsidR="004F202D" w:rsidRPr="008B08D9">
        <w:rPr>
          <w:rFonts w:ascii="Arial" w:hAnsi="Arial" w:cs="Arial"/>
          <w:sz w:val="22"/>
          <w:szCs w:val="22"/>
        </w:rPr>
        <w:t>.</w:t>
      </w:r>
      <w:r w:rsidR="00591696" w:rsidRPr="008B08D9">
        <w:rPr>
          <w:rFonts w:ascii="Arial" w:hAnsi="Arial" w:cs="Arial"/>
          <w:sz w:val="22"/>
          <w:szCs w:val="22"/>
        </w:rPr>
        <w:t xml:space="preserve"> </w:t>
      </w:r>
    </w:p>
    <w:p w14:paraId="51D82553" w14:textId="6C1CD297" w:rsidR="00B44812" w:rsidRDefault="00B44812" w:rsidP="00B44812"/>
    <w:p w14:paraId="18972FF1" w14:textId="6D3E293F" w:rsidR="00B44812" w:rsidRDefault="00B44812" w:rsidP="00B44812">
      <w:pPr>
        <w:rPr>
          <w:rFonts w:ascii="Arial" w:hAnsi="Arial" w:cs="Arial"/>
          <w:sz w:val="22"/>
          <w:szCs w:val="22"/>
        </w:rPr>
      </w:pPr>
      <w:r w:rsidRPr="00FF5421">
        <w:rPr>
          <w:rFonts w:ascii="Arial" w:hAnsi="Arial" w:cs="Arial"/>
          <w:sz w:val="22"/>
          <w:szCs w:val="22"/>
        </w:rPr>
        <w:t>Longer-term effects could be investigated through the robust collection and then subsequent use of routine data in well-designed interrupted time series analysis studies</w:t>
      </w:r>
      <w:r w:rsidR="00B26D3F">
        <w:rPr>
          <w:rFonts w:ascii="Arial" w:hAnsi="Arial" w:cs="Arial"/>
          <w:sz w:val="22"/>
          <w:szCs w:val="22"/>
        </w:rPr>
        <w:t xml:space="preserve"> (</w:t>
      </w:r>
      <w:r w:rsidR="00C671B2">
        <w:rPr>
          <w:rFonts w:ascii="Arial" w:hAnsi="Arial" w:cs="Arial"/>
          <w:sz w:val="22"/>
          <w:szCs w:val="22"/>
        </w:rPr>
        <w:t>49</w:t>
      </w:r>
      <w:r w:rsidR="00B26D3F">
        <w:rPr>
          <w:rFonts w:ascii="Arial" w:hAnsi="Arial" w:cs="Arial"/>
          <w:sz w:val="22"/>
          <w:szCs w:val="22"/>
        </w:rPr>
        <w:t>)</w:t>
      </w:r>
      <w:r w:rsidRPr="00FF5421">
        <w:rPr>
          <w:rFonts w:ascii="Arial" w:hAnsi="Arial" w:cs="Arial"/>
          <w:sz w:val="22"/>
          <w:szCs w:val="22"/>
        </w:rPr>
        <w:t>.</w:t>
      </w:r>
      <w:r w:rsidR="00B26D3F">
        <w:rPr>
          <w:rFonts w:ascii="Arial" w:hAnsi="Arial" w:cs="Arial"/>
          <w:sz w:val="22"/>
          <w:szCs w:val="22"/>
        </w:rPr>
        <w:t xml:space="preserve"> </w:t>
      </w:r>
      <w:r w:rsidRPr="00C533D2">
        <w:rPr>
          <w:rFonts w:ascii="Arial" w:hAnsi="Arial" w:cs="Arial"/>
          <w:sz w:val="22"/>
          <w:szCs w:val="22"/>
        </w:rPr>
        <w:t>Future studies should aim to conduct more robust outcome measurements</w:t>
      </w:r>
      <w:r>
        <w:rPr>
          <w:rFonts w:ascii="Arial" w:hAnsi="Arial" w:cs="Arial"/>
          <w:sz w:val="22"/>
          <w:szCs w:val="22"/>
        </w:rPr>
        <w:t xml:space="preserve"> that would include biochemical and air quality measurements, a follow-up time of six or twelve months, an intention-to-treat analysis and blind follow-up data. </w:t>
      </w:r>
      <w:r w:rsidRPr="00C533D2">
        <w:rPr>
          <w:rFonts w:ascii="Arial" w:hAnsi="Arial" w:cs="Arial"/>
          <w:sz w:val="22"/>
          <w:szCs w:val="22"/>
        </w:rPr>
        <w:t>Studies in defence settings should additionally use outcomes relevant to the operational effectiveness of defence. As discussed earlier, this should include medical deployability, but a multi-disciplinary approach involving both researchers and defence officials could help determine the most relevant outcomes of interest for defence.</w:t>
      </w:r>
      <w:r>
        <w:rPr>
          <w:rFonts w:ascii="Arial" w:hAnsi="Arial" w:cs="Arial"/>
          <w:sz w:val="22"/>
          <w:szCs w:val="22"/>
        </w:rPr>
        <w:t xml:space="preserve"> </w:t>
      </w:r>
    </w:p>
    <w:p w14:paraId="448E62E7" w14:textId="77777777" w:rsidR="00C533D2" w:rsidRPr="00FF5421" w:rsidRDefault="00C533D2" w:rsidP="00FF5421">
      <w:pPr>
        <w:rPr>
          <w:rFonts w:ascii="Arial" w:hAnsi="Arial" w:cs="Arial"/>
          <w:sz w:val="22"/>
          <w:szCs w:val="22"/>
        </w:rPr>
      </w:pPr>
    </w:p>
    <w:p w14:paraId="74BD08B0" w14:textId="1E55EDCB" w:rsidR="00150159" w:rsidRPr="008B08D9" w:rsidRDefault="00841AFF" w:rsidP="00E67AD6">
      <w:pPr>
        <w:rPr>
          <w:rFonts w:ascii="Arial" w:hAnsi="Arial" w:cs="Arial"/>
          <w:sz w:val="22"/>
          <w:szCs w:val="22"/>
        </w:rPr>
      </w:pPr>
      <w:r w:rsidRPr="008B08D9">
        <w:rPr>
          <w:rFonts w:ascii="Arial" w:hAnsi="Arial" w:cs="Arial"/>
          <w:sz w:val="22"/>
          <w:szCs w:val="22"/>
        </w:rPr>
        <w:t xml:space="preserve">The benefits of smoke-free policies on health, which </w:t>
      </w:r>
      <w:r w:rsidR="00200908" w:rsidRPr="008B08D9">
        <w:rPr>
          <w:rFonts w:ascii="Arial" w:hAnsi="Arial" w:cs="Arial"/>
          <w:sz w:val="22"/>
          <w:szCs w:val="22"/>
        </w:rPr>
        <w:t>are highly likely</w:t>
      </w:r>
      <w:r w:rsidR="00DD455C" w:rsidRPr="008B08D9">
        <w:rPr>
          <w:rFonts w:ascii="Arial" w:hAnsi="Arial" w:cs="Arial"/>
          <w:sz w:val="22"/>
          <w:szCs w:val="22"/>
        </w:rPr>
        <w:t xml:space="preserve"> to</w:t>
      </w:r>
      <w:r w:rsidR="00200908" w:rsidRPr="008B08D9">
        <w:rPr>
          <w:rFonts w:ascii="Arial" w:hAnsi="Arial" w:cs="Arial"/>
          <w:sz w:val="22"/>
          <w:szCs w:val="22"/>
        </w:rPr>
        <w:t xml:space="preserve"> </w:t>
      </w:r>
      <w:r w:rsidR="0054336E" w:rsidRPr="008B08D9">
        <w:rPr>
          <w:rFonts w:ascii="Arial" w:hAnsi="Arial" w:cs="Arial"/>
          <w:sz w:val="22"/>
          <w:szCs w:val="22"/>
        </w:rPr>
        <w:t xml:space="preserve">be </w:t>
      </w:r>
      <w:r w:rsidRPr="008B08D9">
        <w:rPr>
          <w:rFonts w:ascii="Arial" w:hAnsi="Arial" w:cs="Arial"/>
          <w:sz w:val="22"/>
          <w:szCs w:val="22"/>
        </w:rPr>
        <w:t>beneficial in defence settings</w:t>
      </w:r>
      <w:r w:rsidR="00DD455C" w:rsidRPr="008B08D9">
        <w:rPr>
          <w:rFonts w:ascii="Arial" w:hAnsi="Arial" w:cs="Arial"/>
          <w:sz w:val="22"/>
          <w:szCs w:val="22"/>
        </w:rPr>
        <w:t>,</w:t>
      </w:r>
      <w:r w:rsidR="00200908" w:rsidRPr="008B08D9">
        <w:rPr>
          <w:rFonts w:ascii="Arial" w:hAnsi="Arial" w:cs="Arial"/>
          <w:sz w:val="22"/>
          <w:szCs w:val="22"/>
        </w:rPr>
        <w:t xml:space="preserve"> have been described </w:t>
      </w:r>
      <w:r w:rsidR="00DD455C" w:rsidRPr="008B08D9">
        <w:rPr>
          <w:rFonts w:ascii="Arial" w:hAnsi="Arial" w:cs="Arial"/>
          <w:sz w:val="22"/>
          <w:szCs w:val="22"/>
        </w:rPr>
        <w:t xml:space="preserve">extensively </w:t>
      </w:r>
      <w:r w:rsidR="00200908" w:rsidRPr="008B08D9">
        <w:rPr>
          <w:rFonts w:ascii="Arial" w:hAnsi="Arial" w:cs="Arial"/>
          <w:sz w:val="22"/>
          <w:szCs w:val="22"/>
        </w:rPr>
        <w:t>in the literature (</w:t>
      </w:r>
      <w:r w:rsidR="00B26D3F" w:rsidRPr="008B08D9">
        <w:rPr>
          <w:rFonts w:ascii="Arial" w:hAnsi="Arial" w:cs="Arial"/>
          <w:sz w:val="22"/>
          <w:szCs w:val="22"/>
        </w:rPr>
        <w:t xml:space="preserve">6-8). </w:t>
      </w:r>
      <w:r w:rsidR="00200908" w:rsidRPr="008B08D9">
        <w:rPr>
          <w:rFonts w:ascii="Arial" w:hAnsi="Arial" w:cs="Arial"/>
          <w:sz w:val="22"/>
          <w:szCs w:val="22"/>
        </w:rPr>
        <w:t>T</w:t>
      </w:r>
      <w:r w:rsidR="0066433B" w:rsidRPr="008B08D9">
        <w:rPr>
          <w:rFonts w:ascii="Arial" w:hAnsi="Arial" w:cs="Arial"/>
          <w:sz w:val="22"/>
          <w:szCs w:val="22"/>
        </w:rPr>
        <w:t xml:space="preserve">his review does not provide any </w:t>
      </w:r>
      <w:r w:rsidR="00926C3B" w:rsidRPr="008B08D9">
        <w:rPr>
          <w:rFonts w:ascii="Arial" w:hAnsi="Arial" w:cs="Arial"/>
          <w:sz w:val="22"/>
          <w:szCs w:val="22"/>
        </w:rPr>
        <w:t>additional</w:t>
      </w:r>
      <w:r w:rsidR="0066433B" w:rsidRPr="008B08D9">
        <w:rPr>
          <w:rFonts w:ascii="Arial" w:hAnsi="Arial" w:cs="Arial"/>
          <w:sz w:val="22"/>
          <w:szCs w:val="22"/>
        </w:rPr>
        <w:t xml:space="preserve"> new </w:t>
      </w:r>
      <w:r w:rsidR="00150159" w:rsidRPr="008B08D9">
        <w:rPr>
          <w:rFonts w:ascii="Arial" w:hAnsi="Arial" w:cs="Arial"/>
          <w:sz w:val="22"/>
          <w:szCs w:val="22"/>
        </w:rPr>
        <w:t xml:space="preserve">context-specific </w:t>
      </w:r>
      <w:r w:rsidR="0066433B" w:rsidRPr="008B08D9">
        <w:rPr>
          <w:rFonts w:ascii="Arial" w:hAnsi="Arial" w:cs="Arial"/>
          <w:sz w:val="22"/>
          <w:szCs w:val="22"/>
        </w:rPr>
        <w:t xml:space="preserve">evidence </w:t>
      </w:r>
      <w:r w:rsidR="007F0FFA" w:rsidRPr="008B08D9">
        <w:rPr>
          <w:rFonts w:ascii="Arial" w:hAnsi="Arial" w:cs="Arial"/>
          <w:sz w:val="22"/>
          <w:szCs w:val="22"/>
        </w:rPr>
        <w:t>to inform</w:t>
      </w:r>
      <w:r w:rsidR="0066433B" w:rsidRPr="008B08D9">
        <w:rPr>
          <w:rFonts w:ascii="Arial" w:hAnsi="Arial" w:cs="Arial"/>
          <w:sz w:val="22"/>
          <w:szCs w:val="22"/>
        </w:rPr>
        <w:t xml:space="preserve"> policymakers </w:t>
      </w:r>
      <w:r w:rsidR="007F0FFA" w:rsidRPr="008B08D9">
        <w:rPr>
          <w:rFonts w:ascii="Arial" w:hAnsi="Arial" w:cs="Arial"/>
          <w:sz w:val="22"/>
          <w:szCs w:val="22"/>
        </w:rPr>
        <w:t xml:space="preserve">on the </w:t>
      </w:r>
      <w:r w:rsidR="001B202E" w:rsidRPr="008B08D9">
        <w:rPr>
          <w:rFonts w:ascii="Arial" w:hAnsi="Arial" w:cs="Arial"/>
          <w:sz w:val="22"/>
          <w:szCs w:val="22"/>
        </w:rPr>
        <w:t>particular</w:t>
      </w:r>
      <w:r w:rsidR="0054336E" w:rsidRPr="008B08D9">
        <w:rPr>
          <w:rFonts w:ascii="Arial" w:hAnsi="Arial" w:cs="Arial"/>
          <w:sz w:val="22"/>
          <w:szCs w:val="22"/>
        </w:rPr>
        <w:t xml:space="preserve"> </w:t>
      </w:r>
      <w:r w:rsidR="007F0FFA" w:rsidRPr="008B08D9">
        <w:rPr>
          <w:rFonts w:ascii="Arial" w:hAnsi="Arial" w:cs="Arial"/>
          <w:sz w:val="22"/>
          <w:szCs w:val="22"/>
        </w:rPr>
        <w:t xml:space="preserve">impact </w:t>
      </w:r>
      <w:r w:rsidR="0066433B" w:rsidRPr="008B08D9">
        <w:rPr>
          <w:rFonts w:ascii="Arial" w:hAnsi="Arial" w:cs="Arial"/>
          <w:sz w:val="22"/>
          <w:szCs w:val="22"/>
        </w:rPr>
        <w:t>of smoke-free policies</w:t>
      </w:r>
      <w:r w:rsidR="00DD455C" w:rsidRPr="008B08D9">
        <w:rPr>
          <w:rFonts w:ascii="Arial" w:hAnsi="Arial" w:cs="Arial"/>
          <w:sz w:val="22"/>
          <w:szCs w:val="22"/>
        </w:rPr>
        <w:t xml:space="preserve"> in defence settings</w:t>
      </w:r>
      <w:r w:rsidR="00150159" w:rsidRPr="008B08D9">
        <w:rPr>
          <w:rFonts w:ascii="Arial" w:hAnsi="Arial" w:cs="Arial"/>
          <w:sz w:val="22"/>
          <w:szCs w:val="22"/>
        </w:rPr>
        <w:t xml:space="preserve">. </w:t>
      </w:r>
      <w:r w:rsidR="001B202E" w:rsidRPr="008B08D9">
        <w:rPr>
          <w:rFonts w:ascii="Arial" w:hAnsi="Arial" w:cs="Arial"/>
          <w:sz w:val="22"/>
          <w:szCs w:val="22"/>
        </w:rPr>
        <w:t>T</w:t>
      </w:r>
      <w:r w:rsidR="000D0909" w:rsidRPr="008B08D9">
        <w:rPr>
          <w:rFonts w:ascii="Arial" w:hAnsi="Arial" w:cs="Arial"/>
          <w:sz w:val="22"/>
          <w:szCs w:val="22"/>
        </w:rPr>
        <w:t xml:space="preserve">he </w:t>
      </w:r>
      <w:r w:rsidR="00DD455C" w:rsidRPr="008B08D9">
        <w:rPr>
          <w:rFonts w:ascii="Arial" w:hAnsi="Arial" w:cs="Arial"/>
          <w:sz w:val="22"/>
          <w:szCs w:val="22"/>
        </w:rPr>
        <w:t xml:space="preserve">urgently needed </w:t>
      </w:r>
      <w:r w:rsidR="00150159" w:rsidRPr="008B08D9">
        <w:rPr>
          <w:rFonts w:ascii="Arial" w:hAnsi="Arial" w:cs="Arial"/>
          <w:sz w:val="22"/>
          <w:szCs w:val="22"/>
        </w:rPr>
        <w:t>introduction of smoke-free policies in defence settings</w:t>
      </w:r>
      <w:r w:rsidR="00DD455C" w:rsidRPr="008B08D9">
        <w:rPr>
          <w:rFonts w:ascii="Arial" w:hAnsi="Arial" w:cs="Arial"/>
          <w:sz w:val="22"/>
          <w:szCs w:val="22"/>
        </w:rPr>
        <w:t xml:space="preserve"> also </w:t>
      </w:r>
      <w:r w:rsidR="00150159" w:rsidRPr="008B08D9">
        <w:rPr>
          <w:rFonts w:ascii="Arial" w:hAnsi="Arial" w:cs="Arial"/>
          <w:sz w:val="22"/>
          <w:szCs w:val="22"/>
        </w:rPr>
        <w:t xml:space="preserve">presents an opportunity to </w:t>
      </w:r>
      <w:r w:rsidR="00DD455C" w:rsidRPr="008B08D9">
        <w:rPr>
          <w:rFonts w:ascii="Arial" w:hAnsi="Arial" w:cs="Arial"/>
          <w:sz w:val="22"/>
          <w:szCs w:val="22"/>
        </w:rPr>
        <w:t xml:space="preserve">develop </w:t>
      </w:r>
      <w:r w:rsidR="00150159" w:rsidRPr="008B08D9">
        <w:rPr>
          <w:rFonts w:ascii="Arial" w:hAnsi="Arial" w:cs="Arial"/>
          <w:sz w:val="22"/>
          <w:szCs w:val="22"/>
        </w:rPr>
        <w:t>robust context specific evidence</w:t>
      </w:r>
      <w:r w:rsidR="001B202E" w:rsidRPr="008B08D9">
        <w:rPr>
          <w:rFonts w:ascii="Arial" w:hAnsi="Arial" w:cs="Arial"/>
          <w:sz w:val="22"/>
          <w:szCs w:val="22"/>
        </w:rPr>
        <w:t>,</w:t>
      </w:r>
      <w:r w:rsidR="00150159" w:rsidRPr="008B08D9">
        <w:rPr>
          <w:rFonts w:ascii="Arial" w:hAnsi="Arial" w:cs="Arial"/>
          <w:sz w:val="22"/>
          <w:szCs w:val="22"/>
        </w:rPr>
        <w:t xml:space="preserve"> using the best possible design appropriate </w:t>
      </w:r>
      <w:r w:rsidR="00DD455C" w:rsidRPr="008B08D9">
        <w:rPr>
          <w:rFonts w:ascii="Arial" w:hAnsi="Arial" w:cs="Arial"/>
          <w:sz w:val="22"/>
          <w:szCs w:val="22"/>
        </w:rPr>
        <w:t>for evaluating</w:t>
      </w:r>
      <w:r w:rsidR="00150159" w:rsidRPr="008B08D9">
        <w:rPr>
          <w:rFonts w:ascii="Arial" w:hAnsi="Arial" w:cs="Arial"/>
          <w:sz w:val="22"/>
          <w:szCs w:val="22"/>
        </w:rPr>
        <w:t xml:space="preserve"> po</w:t>
      </w:r>
      <w:r w:rsidR="00DD455C" w:rsidRPr="008B08D9">
        <w:rPr>
          <w:rFonts w:ascii="Arial" w:hAnsi="Arial" w:cs="Arial"/>
          <w:sz w:val="22"/>
          <w:szCs w:val="22"/>
        </w:rPr>
        <w:t>pulation-level interventions</w:t>
      </w:r>
      <w:r w:rsidR="00150159" w:rsidRPr="008B08D9">
        <w:rPr>
          <w:rFonts w:ascii="Arial" w:hAnsi="Arial" w:cs="Arial"/>
          <w:sz w:val="22"/>
          <w:szCs w:val="22"/>
        </w:rPr>
        <w:t xml:space="preserve">.  </w:t>
      </w:r>
    </w:p>
    <w:p w14:paraId="32D8421D" w14:textId="77777777" w:rsidR="00E67AD6" w:rsidRDefault="00E67AD6" w:rsidP="00E67AD6">
      <w:pPr>
        <w:rPr>
          <w:rFonts w:ascii="Arial" w:hAnsi="Arial" w:cs="Arial"/>
          <w:b/>
          <w:bCs/>
          <w:sz w:val="22"/>
          <w:szCs w:val="22"/>
        </w:rPr>
      </w:pPr>
    </w:p>
    <w:p w14:paraId="62CE30AD" w14:textId="2C09A2E8" w:rsidR="003A79CA" w:rsidRDefault="003A79CA" w:rsidP="00E67AD6">
      <w:pPr>
        <w:rPr>
          <w:rFonts w:ascii="Arial" w:hAnsi="Arial" w:cs="Arial"/>
          <w:b/>
          <w:bCs/>
          <w:sz w:val="22"/>
          <w:szCs w:val="22"/>
        </w:rPr>
      </w:pPr>
      <w:r>
        <w:rPr>
          <w:rFonts w:ascii="Arial" w:hAnsi="Arial" w:cs="Arial"/>
          <w:b/>
          <w:bCs/>
          <w:sz w:val="22"/>
          <w:szCs w:val="22"/>
        </w:rPr>
        <w:t>Limitations</w:t>
      </w:r>
    </w:p>
    <w:p w14:paraId="216C9CC6" w14:textId="73012735" w:rsidR="00841AFF" w:rsidRDefault="00982E80" w:rsidP="00E67AD6">
      <w:pPr>
        <w:rPr>
          <w:rFonts w:ascii="Arial" w:hAnsi="Arial" w:cs="Arial"/>
          <w:sz w:val="22"/>
          <w:szCs w:val="22"/>
        </w:rPr>
      </w:pPr>
      <w:r w:rsidRPr="00D234C9">
        <w:rPr>
          <w:rFonts w:ascii="Arial" w:hAnsi="Arial" w:cs="Arial"/>
          <w:sz w:val="22"/>
          <w:szCs w:val="22"/>
        </w:rPr>
        <w:t xml:space="preserve">The review </w:t>
      </w:r>
      <w:r w:rsidR="00841AFF">
        <w:rPr>
          <w:rFonts w:ascii="Arial" w:hAnsi="Arial" w:cs="Arial"/>
          <w:sz w:val="22"/>
          <w:szCs w:val="22"/>
        </w:rPr>
        <w:t>has a number of</w:t>
      </w:r>
      <w:r w:rsidRPr="00D234C9">
        <w:rPr>
          <w:rFonts w:ascii="Arial" w:hAnsi="Arial" w:cs="Arial"/>
          <w:sz w:val="22"/>
          <w:szCs w:val="22"/>
        </w:rPr>
        <w:t xml:space="preserve"> </w:t>
      </w:r>
      <w:r w:rsidR="00841AFF">
        <w:rPr>
          <w:rFonts w:ascii="Arial" w:hAnsi="Arial" w:cs="Arial"/>
          <w:sz w:val="22"/>
          <w:szCs w:val="22"/>
        </w:rPr>
        <w:t xml:space="preserve">methodological limitations. However, even with </w:t>
      </w:r>
      <w:r w:rsidR="00282AE8">
        <w:rPr>
          <w:rFonts w:ascii="Arial" w:hAnsi="Arial" w:cs="Arial"/>
          <w:sz w:val="22"/>
          <w:szCs w:val="22"/>
        </w:rPr>
        <w:t xml:space="preserve">the </w:t>
      </w:r>
      <w:r w:rsidR="00841AFF">
        <w:rPr>
          <w:rFonts w:ascii="Arial" w:hAnsi="Arial" w:cs="Arial"/>
          <w:sz w:val="22"/>
          <w:szCs w:val="22"/>
        </w:rPr>
        <w:t>use</w:t>
      </w:r>
      <w:r w:rsidR="00282AE8">
        <w:rPr>
          <w:rFonts w:ascii="Arial" w:hAnsi="Arial" w:cs="Arial"/>
          <w:sz w:val="22"/>
          <w:szCs w:val="22"/>
        </w:rPr>
        <w:t xml:space="preserve"> of </w:t>
      </w:r>
      <w:r w:rsidR="00841AFF">
        <w:rPr>
          <w:rFonts w:ascii="Arial" w:hAnsi="Arial" w:cs="Arial"/>
          <w:sz w:val="22"/>
          <w:szCs w:val="22"/>
        </w:rPr>
        <w:t xml:space="preserve"> perfect gold standard methods, such as the outlined in the ROBIS tool,</w:t>
      </w:r>
      <w:r w:rsidR="00B26D3F">
        <w:rPr>
          <w:rFonts w:ascii="Arial" w:hAnsi="Arial" w:cs="Arial"/>
          <w:sz w:val="22"/>
          <w:szCs w:val="22"/>
        </w:rPr>
        <w:t>(</w:t>
      </w:r>
      <w:r w:rsidR="003D0D89">
        <w:rPr>
          <w:rFonts w:ascii="Arial" w:hAnsi="Arial" w:cs="Arial"/>
          <w:sz w:val="22"/>
          <w:szCs w:val="22"/>
        </w:rPr>
        <w:t>50</w:t>
      </w:r>
      <w:r w:rsidR="00B26D3F">
        <w:rPr>
          <w:rFonts w:ascii="Arial" w:hAnsi="Arial" w:cs="Arial"/>
          <w:sz w:val="22"/>
          <w:szCs w:val="22"/>
        </w:rPr>
        <w:t>)</w:t>
      </w:r>
      <w:r w:rsidR="00841AFF">
        <w:rPr>
          <w:rFonts w:ascii="Arial" w:hAnsi="Arial" w:cs="Arial"/>
          <w:sz w:val="22"/>
          <w:szCs w:val="22"/>
        </w:rPr>
        <w:t xml:space="preserve"> it is unlikely that the findings (given the limited number and quality of studies) would have changed drastically.</w:t>
      </w:r>
    </w:p>
    <w:p w14:paraId="17748AC8" w14:textId="77777777" w:rsidR="00841AFF" w:rsidRDefault="00841AFF" w:rsidP="00E67AD6">
      <w:pPr>
        <w:rPr>
          <w:rFonts w:ascii="Arial" w:hAnsi="Arial" w:cs="Arial"/>
          <w:sz w:val="22"/>
          <w:szCs w:val="22"/>
        </w:rPr>
      </w:pPr>
    </w:p>
    <w:p w14:paraId="129928DB" w14:textId="1A1869D1" w:rsidR="00841AFF" w:rsidRDefault="00841AFF" w:rsidP="00E67AD6">
      <w:pPr>
        <w:rPr>
          <w:rFonts w:ascii="Arial" w:hAnsi="Arial" w:cs="Arial"/>
          <w:sz w:val="22"/>
          <w:szCs w:val="22"/>
        </w:rPr>
      </w:pPr>
      <w:r>
        <w:rPr>
          <w:rFonts w:ascii="Arial" w:hAnsi="Arial" w:cs="Arial"/>
          <w:sz w:val="22"/>
          <w:szCs w:val="22"/>
        </w:rPr>
        <w:t>The review is</w:t>
      </w:r>
      <w:r w:rsidR="00982E80" w:rsidRPr="00D234C9">
        <w:rPr>
          <w:rFonts w:ascii="Arial" w:hAnsi="Arial" w:cs="Arial"/>
          <w:sz w:val="22"/>
          <w:szCs w:val="22"/>
        </w:rPr>
        <w:t xml:space="preserve"> </w:t>
      </w:r>
      <w:r>
        <w:rPr>
          <w:rFonts w:ascii="Arial" w:hAnsi="Arial" w:cs="Arial"/>
          <w:sz w:val="22"/>
          <w:szCs w:val="22"/>
        </w:rPr>
        <w:t xml:space="preserve">limited </w:t>
      </w:r>
      <w:r w:rsidR="00AA4C8E">
        <w:rPr>
          <w:rFonts w:ascii="Arial" w:hAnsi="Arial" w:cs="Arial"/>
          <w:sz w:val="22"/>
          <w:szCs w:val="22"/>
        </w:rPr>
        <w:t>by</w:t>
      </w:r>
      <w:r w:rsidR="006224D4" w:rsidRPr="00D234C9">
        <w:rPr>
          <w:rFonts w:ascii="Arial" w:hAnsi="Arial" w:cs="Arial"/>
          <w:sz w:val="22"/>
          <w:szCs w:val="22"/>
        </w:rPr>
        <w:t xml:space="preserve"> </w:t>
      </w:r>
      <w:r w:rsidR="00982E80" w:rsidRPr="00D234C9">
        <w:rPr>
          <w:rFonts w:ascii="Arial" w:hAnsi="Arial" w:cs="Arial"/>
          <w:sz w:val="22"/>
          <w:szCs w:val="22"/>
        </w:rPr>
        <w:t>an English-language bias</w:t>
      </w:r>
      <w:r w:rsidR="00D11D57">
        <w:rPr>
          <w:rFonts w:ascii="Arial" w:hAnsi="Arial" w:cs="Arial"/>
          <w:sz w:val="22"/>
          <w:szCs w:val="22"/>
        </w:rPr>
        <w:t xml:space="preserve"> and a US-centric perspective due to six of studies being American. </w:t>
      </w:r>
      <w:r>
        <w:rPr>
          <w:rFonts w:ascii="Arial" w:hAnsi="Arial" w:cs="Arial"/>
          <w:sz w:val="22"/>
          <w:szCs w:val="22"/>
        </w:rPr>
        <w:t>Additionally, t</w:t>
      </w:r>
      <w:r w:rsidR="006224D4" w:rsidRPr="00D234C9">
        <w:rPr>
          <w:rFonts w:ascii="Arial" w:hAnsi="Arial" w:cs="Arial"/>
          <w:sz w:val="22"/>
          <w:szCs w:val="22"/>
        </w:rPr>
        <w:t>he review did not conform to ROBIS gold standards with title and abstract screening, data extraction and risk of bias assessment not being done by two independent reviewers,</w:t>
      </w:r>
      <w:r w:rsidR="00B26D3F">
        <w:rPr>
          <w:rFonts w:ascii="Arial" w:hAnsi="Arial" w:cs="Arial"/>
          <w:sz w:val="22"/>
          <w:szCs w:val="22"/>
        </w:rPr>
        <w:t>(</w:t>
      </w:r>
      <w:r w:rsidR="00C671B2">
        <w:rPr>
          <w:rFonts w:ascii="Arial" w:hAnsi="Arial" w:cs="Arial"/>
          <w:sz w:val="22"/>
          <w:szCs w:val="22"/>
        </w:rPr>
        <w:t>50</w:t>
      </w:r>
      <w:r w:rsidR="00B26D3F">
        <w:rPr>
          <w:rFonts w:ascii="Arial" w:hAnsi="Arial" w:cs="Arial"/>
          <w:sz w:val="22"/>
          <w:szCs w:val="22"/>
        </w:rPr>
        <w:t>)</w:t>
      </w:r>
      <w:r w:rsidR="006224D4" w:rsidRPr="00D234C9">
        <w:rPr>
          <w:rFonts w:ascii="Arial" w:hAnsi="Arial" w:cs="Arial"/>
          <w:sz w:val="22"/>
          <w:szCs w:val="22"/>
        </w:rPr>
        <w:t xml:space="preserve"> due to time and resource constraints. </w:t>
      </w:r>
    </w:p>
    <w:p w14:paraId="5822479B" w14:textId="3621F939" w:rsidR="00841AFF" w:rsidRDefault="00841AFF" w:rsidP="00E67AD6">
      <w:pPr>
        <w:rPr>
          <w:rFonts w:ascii="Arial" w:hAnsi="Arial" w:cs="Arial"/>
          <w:sz w:val="22"/>
          <w:szCs w:val="22"/>
        </w:rPr>
      </w:pPr>
    </w:p>
    <w:p w14:paraId="7D288B21" w14:textId="3080E25D" w:rsidR="00841AFF" w:rsidRDefault="00841AFF" w:rsidP="00841AFF">
      <w:pPr>
        <w:rPr>
          <w:rFonts w:ascii="Arial" w:hAnsi="Arial" w:cs="Arial"/>
          <w:sz w:val="22"/>
          <w:szCs w:val="22"/>
        </w:rPr>
      </w:pPr>
      <w:r w:rsidRPr="00D234C9">
        <w:rPr>
          <w:rFonts w:ascii="Arial" w:hAnsi="Arial" w:cs="Arial"/>
          <w:sz w:val="22"/>
          <w:szCs w:val="22"/>
        </w:rPr>
        <w:t>The ROBINS-I tool is not specific to before-</w:t>
      </w:r>
      <w:r>
        <w:rPr>
          <w:rFonts w:ascii="Arial" w:hAnsi="Arial" w:cs="Arial"/>
          <w:sz w:val="22"/>
          <w:szCs w:val="22"/>
        </w:rPr>
        <w:t>and-</w:t>
      </w:r>
      <w:r w:rsidRPr="00D234C9">
        <w:rPr>
          <w:rFonts w:ascii="Arial" w:hAnsi="Arial" w:cs="Arial"/>
          <w:sz w:val="22"/>
          <w:szCs w:val="22"/>
        </w:rPr>
        <w:t>after studies</w:t>
      </w:r>
      <w:r>
        <w:rPr>
          <w:rFonts w:ascii="Arial" w:hAnsi="Arial" w:cs="Arial"/>
          <w:sz w:val="22"/>
          <w:szCs w:val="22"/>
        </w:rPr>
        <w:t>;</w:t>
      </w:r>
      <w:r w:rsidRPr="00D234C9">
        <w:rPr>
          <w:rFonts w:ascii="Arial" w:hAnsi="Arial" w:cs="Arial"/>
          <w:sz w:val="22"/>
          <w:szCs w:val="22"/>
        </w:rPr>
        <w:t xml:space="preserve"> its authors have described it as “</w:t>
      </w:r>
      <w:r w:rsidRPr="00D234C9">
        <w:rPr>
          <w:rFonts w:ascii="Arial" w:hAnsi="Arial" w:cs="Arial"/>
          <w:i/>
          <w:iCs/>
          <w:sz w:val="22"/>
          <w:szCs w:val="22"/>
        </w:rPr>
        <w:t>adequate not great</w:t>
      </w:r>
      <w:r w:rsidRPr="00D234C9">
        <w:rPr>
          <w:rFonts w:ascii="Arial" w:hAnsi="Arial" w:cs="Arial"/>
          <w:sz w:val="22"/>
          <w:szCs w:val="22"/>
        </w:rPr>
        <w:t>” for before-and-after studie</w:t>
      </w:r>
      <w:r>
        <w:rPr>
          <w:rFonts w:ascii="Arial" w:hAnsi="Arial" w:cs="Arial"/>
          <w:sz w:val="22"/>
          <w:szCs w:val="22"/>
        </w:rPr>
        <w:t>s</w:t>
      </w:r>
      <w:r w:rsidR="00B26D3F">
        <w:rPr>
          <w:rFonts w:ascii="Arial" w:hAnsi="Arial" w:cs="Arial"/>
          <w:sz w:val="22"/>
          <w:szCs w:val="22"/>
        </w:rPr>
        <w:t>(</w:t>
      </w:r>
      <w:r w:rsidR="00C671B2">
        <w:rPr>
          <w:rFonts w:ascii="Arial" w:hAnsi="Arial" w:cs="Arial"/>
          <w:sz w:val="22"/>
          <w:szCs w:val="22"/>
        </w:rPr>
        <w:t>51</w:t>
      </w:r>
      <w:r w:rsidR="00B26D3F">
        <w:rPr>
          <w:rFonts w:ascii="Arial" w:hAnsi="Arial" w:cs="Arial"/>
          <w:sz w:val="22"/>
          <w:szCs w:val="22"/>
        </w:rPr>
        <w:t>).</w:t>
      </w:r>
      <w:r w:rsidRPr="00D234C9">
        <w:rPr>
          <w:rFonts w:ascii="Arial" w:hAnsi="Arial" w:cs="Arial"/>
          <w:sz w:val="22"/>
          <w:szCs w:val="22"/>
        </w:rPr>
        <w:t xml:space="preserve"> Additionally</w:t>
      </w:r>
      <w:r>
        <w:rPr>
          <w:rFonts w:ascii="Arial" w:hAnsi="Arial" w:cs="Arial"/>
          <w:sz w:val="22"/>
          <w:szCs w:val="22"/>
        </w:rPr>
        <w:t>,</w:t>
      </w:r>
      <w:r w:rsidRPr="00D234C9">
        <w:rPr>
          <w:rFonts w:ascii="Arial" w:hAnsi="Arial" w:cs="Arial"/>
          <w:sz w:val="22"/>
          <w:szCs w:val="22"/>
        </w:rPr>
        <w:t xml:space="preserve"> relevant confounders and co-intervention were not laid out in the protocol, which can be seen as reducing the transparency of the review</w:t>
      </w:r>
      <w:r w:rsidR="00B26D3F">
        <w:rPr>
          <w:rFonts w:ascii="Arial" w:hAnsi="Arial" w:cs="Arial"/>
          <w:sz w:val="22"/>
          <w:szCs w:val="22"/>
        </w:rPr>
        <w:t>(</w:t>
      </w:r>
      <w:r w:rsidR="00C671B2">
        <w:rPr>
          <w:rFonts w:ascii="Arial" w:hAnsi="Arial" w:cs="Arial"/>
          <w:sz w:val="22"/>
          <w:szCs w:val="22"/>
        </w:rPr>
        <w:t>32</w:t>
      </w:r>
      <w:r w:rsidR="00B26D3F">
        <w:rPr>
          <w:rFonts w:ascii="Arial" w:hAnsi="Arial" w:cs="Arial"/>
          <w:sz w:val="22"/>
          <w:szCs w:val="22"/>
        </w:rPr>
        <w:t>)</w:t>
      </w:r>
      <w:r w:rsidRPr="00D234C9">
        <w:rPr>
          <w:rFonts w:ascii="Arial" w:hAnsi="Arial" w:cs="Arial"/>
          <w:sz w:val="22"/>
          <w:szCs w:val="22"/>
        </w:rPr>
        <w:t>.</w:t>
      </w:r>
      <w:r>
        <w:rPr>
          <w:rFonts w:ascii="Arial" w:hAnsi="Arial" w:cs="Arial"/>
          <w:sz w:val="22"/>
          <w:szCs w:val="22"/>
        </w:rPr>
        <w:t xml:space="preserve"> </w:t>
      </w:r>
      <w:r w:rsidRPr="00841AFF">
        <w:rPr>
          <w:rFonts w:ascii="Arial" w:hAnsi="Arial" w:cs="Arial"/>
          <w:sz w:val="22"/>
          <w:szCs w:val="22"/>
        </w:rPr>
        <w:t>The ROBINS-I authors advised against including studies classed as having a “</w:t>
      </w:r>
      <w:r w:rsidRPr="00841AFF">
        <w:rPr>
          <w:rFonts w:ascii="Arial" w:hAnsi="Arial" w:cs="Arial"/>
          <w:i/>
          <w:iCs/>
          <w:sz w:val="22"/>
          <w:szCs w:val="22"/>
        </w:rPr>
        <w:t>critical risk of bias</w:t>
      </w:r>
      <w:r w:rsidRPr="00841AFF">
        <w:rPr>
          <w:rFonts w:ascii="Arial" w:hAnsi="Arial" w:cs="Arial"/>
          <w:sz w:val="22"/>
          <w:szCs w:val="22"/>
        </w:rPr>
        <w:t>” in a meta-analysis</w:t>
      </w:r>
      <w:r w:rsidR="00B26D3F">
        <w:rPr>
          <w:rFonts w:ascii="Arial" w:hAnsi="Arial" w:cs="Arial"/>
          <w:sz w:val="22"/>
          <w:szCs w:val="22"/>
        </w:rPr>
        <w:t>(</w:t>
      </w:r>
      <w:r w:rsidR="00C671B2">
        <w:rPr>
          <w:rFonts w:ascii="Arial" w:hAnsi="Arial" w:cs="Arial"/>
          <w:sz w:val="22"/>
          <w:szCs w:val="22"/>
        </w:rPr>
        <w:t>32</w:t>
      </w:r>
      <w:r w:rsidR="00B26D3F">
        <w:rPr>
          <w:rFonts w:ascii="Arial" w:hAnsi="Arial" w:cs="Arial"/>
          <w:sz w:val="22"/>
          <w:szCs w:val="22"/>
        </w:rPr>
        <w:t>)</w:t>
      </w:r>
      <w:r w:rsidRPr="00841AFF">
        <w:rPr>
          <w:rFonts w:ascii="Arial" w:hAnsi="Arial" w:cs="Arial"/>
          <w:sz w:val="22"/>
          <w:szCs w:val="22"/>
        </w:rPr>
        <w:t xml:space="preserve">. However, a meta-analysis </w:t>
      </w:r>
      <w:r>
        <w:rPr>
          <w:rFonts w:ascii="Arial" w:hAnsi="Arial" w:cs="Arial"/>
          <w:sz w:val="22"/>
          <w:szCs w:val="22"/>
        </w:rPr>
        <w:t>was not</w:t>
      </w:r>
      <w:r w:rsidRPr="00841AFF">
        <w:rPr>
          <w:rFonts w:ascii="Arial" w:hAnsi="Arial" w:cs="Arial"/>
          <w:sz w:val="22"/>
          <w:szCs w:val="22"/>
        </w:rPr>
        <w:t xml:space="preserve"> conducted and as there is often the need to synthesis “</w:t>
      </w:r>
      <w:r w:rsidRPr="00841AFF">
        <w:rPr>
          <w:rFonts w:ascii="Arial" w:hAnsi="Arial" w:cs="Arial"/>
          <w:i/>
          <w:iCs/>
          <w:sz w:val="22"/>
          <w:szCs w:val="22"/>
        </w:rPr>
        <w:t>best available evidence</w:t>
      </w:r>
      <w:r w:rsidRPr="00841AFF">
        <w:rPr>
          <w:rFonts w:ascii="Arial" w:hAnsi="Arial" w:cs="Arial"/>
          <w:sz w:val="22"/>
          <w:szCs w:val="22"/>
        </w:rPr>
        <w:t xml:space="preserve">”, as </w:t>
      </w:r>
      <w:r w:rsidRPr="00841AFF">
        <w:rPr>
          <w:rFonts w:ascii="Arial" w:hAnsi="Arial" w:cs="Arial"/>
          <w:sz w:val="22"/>
          <w:szCs w:val="22"/>
        </w:rPr>
        <w:lastRenderedPageBreak/>
        <w:t>opposed to the theoretically best level of evidence in public health review,</w:t>
      </w:r>
      <w:r w:rsidR="00B26D3F">
        <w:rPr>
          <w:rFonts w:ascii="Arial" w:hAnsi="Arial" w:cs="Arial"/>
          <w:sz w:val="22"/>
          <w:szCs w:val="22"/>
        </w:rPr>
        <w:t>(</w:t>
      </w:r>
      <w:r w:rsidR="00C671B2">
        <w:rPr>
          <w:rFonts w:ascii="Arial" w:hAnsi="Arial" w:cs="Arial"/>
          <w:sz w:val="22"/>
          <w:szCs w:val="22"/>
        </w:rPr>
        <w:t>31</w:t>
      </w:r>
      <w:r w:rsidR="00B26D3F">
        <w:rPr>
          <w:rFonts w:ascii="Arial" w:hAnsi="Arial" w:cs="Arial"/>
          <w:sz w:val="22"/>
          <w:szCs w:val="22"/>
        </w:rPr>
        <w:t>)</w:t>
      </w:r>
      <w:r w:rsidRPr="00841AFF">
        <w:rPr>
          <w:rFonts w:ascii="Arial" w:hAnsi="Arial" w:cs="Arial"/>
          <w:sz w:val="22"/>
          <w:szCs w:val="22"/>
        </w:rPr>
        <w:t xml:space="preserve"> these studies have been included in the synthesis.</w:t>
      </w:r>
    </w:p>
    <w:p w14:paraId="16010946" w14:textId="40CD863D" w:rsidR="001B202E" w:rsidRDefault="001B202E" w:rsidP="00841AFF">
      <w:pPr>
        <w:rPr>
          <w:rFonts w:ascii="Arial" w:hAnsi="Arial" w:cs="Arial"/>
          <w:sz w:val="22"/>
          <w:szCs w:val="22"/>
        </w:rPr>
      </w:pPr>
    </w:p>
    <w:p w14:paraId="27A3BAC3" w14:textId="7D876DA5" w:rsidR="001B202E" w:rsidRPr="008B08D9" w:rsidRDefault="001B202E" w:rsidP="00841AFF">
      <w:pPr>
        <w:rPr>
          <w:rFonts w:ascii="Arial" w:hAnsi="Arial" w:cs="Arial"/>
          <w:sz w:val="22"/>
          <w:szCs w:val="22"/>
        </w:rPr>
      </w:pPr>
      <w:r w:rsidRPr="008B08D9">
        <w:rPr>
          <w:rFonts w:ascii="Arial" w:hAnsi="Arial" w:cs="Arial"/>
          <w:sz w:val="22"/>
          <w:szCs w:val="22"/>
        </w:rPr>
        <w:t>Th</w:t>
      </w:r>
      <w:r w:rsidR="00543CD7" w:rsidRPr="008B08D9">
        <w:rPr>
          <w:rFonts w:ascii="Arial" w:hAnsi="Arial" w:cs="Arial"/>
          <w:sz w:val="22"/>
          <w:szCs w:val="22"/>
        </w:rPr>
        <w:t>is</w:t>
      </w:r>
      <w:r w:rsidRPr="008B08D9">
        <w:rPr>
          <w:rFonts w:ascii="Arial" w:hAnsi="Arial" w:cs="Arial"/>
          <w:sz w:val="22"/>
          <w:szCs w:val="22"/>
        </w:rPr>
        <w:t xml:space="preserve"> review </w:t>
      </w:r>
      <w:r w:rsidR="00200908" w:rsidRPr="008B08D9">
        <w:rPr>
          <w:rFonts w:ascii="Arial" w:hAnsi="Arial" w:cs="Arial"/>
          <w:sz w:val="22"/>
          <w:szCs w:val="22"/>
        </w:rPr>
        <w:t>is limited to studies</w:t>
      </w:r>
      <w:r w:rsidRPr="008B08D9">
        <w:rPr>
          <w:rFonts w:ascii="Arial" w:hAnsi="Arial" w:cs="Arial"/>
          <w:sz w:val="22"/>
          <w:szCs w:val="22"/>
        </w:rPr>
        <w:t xml:space="preserve"> evaluating the impact of</w:t>
      </w:r>
      <w:r w:rsidR="0041181C" w:rsidRPr="008B08D9">
        <w:rPr>
          <w:rFonts w:ascii="Arial" w:hAnsi="Arial" w:cs="Arial"/>
          <w:sz w:val="22"/>
          <w:szCs w:val="22"/>
        </w:rPr>
        <w:t xml:space="preserve"> defence</w:t>
      </w:r>
      <w:r w:rsidRPr="008B08D9">
        <w:rPr>
          <w:rFonts w:ascii="Arial" w:hAnsi="Arial" w:cs="Arial"/>
          <w:sz w:val="22"/>
          <w:szCs w:val="22"/>
        </w:rPr>
        <w:t xml:space="preserve"> smoke-free policies </w:t>
      </w:r>
      <w:r w:rsidR="00200908" w:rsidRPr="008B08D9">
        <w:rPr>
          <w:rFonts w:ascii="Arial" w:hAnsi="Arial" w:cs="Arial"/>
          <w:sz w:val="22"/>
          <w:szCs w:val="22"/>
        </w:rPr>
        <w:t xml:space="preserve">as </w:t>
      </w:r>
      <w:r w:rsidRPr="008B08D9">
        <w:rPr>
          <w:rFonts w:ascii="Arial" w:hAnsi="Arial" w:cs="Arial"/>
          <w:sz w:val="22"/>
          <w:szCs w:val="22"/>
        </w:rPr>
        <w:t>outlined in the research questions</w:t>
      </w:r>
      <w:r w:rsidR="00200908" w:rsidRPr="008B08D9">
        <w:rPr>
          <w:rFonts w:ascii="Arial" w:hAnsi="Arial" w:cs="Arial"/>
          <w:sz w:val="22"/>
          <w:szCs w:val="22"/>
        </w:rPr>
        <w:t>; i</w:t>
      </w:r>
      <w:r w:rsidRPr="008B08D9">
        <w:rPr>
          <w:rFonts w:ascii="Arial" w:hAnsi="Arial" w:cs="Arial"/>
          <w:sz w:val="22"/>
          <w:szCs w:val="22"/>
        </w:rPr>
        <w:t xml:space="preserve">t </w:t>
      </w:r>
      <w:r w:rsidR="00200908" w:rsidRPr="008B08D9">
        <w:rPr>
          <w:rFonts w:ascii="Arial" w:hAnsi="Arial" w:cs="Arial"/>
          <w:sz w:val="22"/>
          <w:szCs w:val="22"/>
        </w:rPr>
        <w:t xml:space="preserve">did </w:t>
      </w:r>
      <w:r w:rsidRPr="008B08D9">
        <w:rPr>
          <w:rFonts w:ascii="Arial" w:hAnsi="Arial" w:cs="Arial"/>
          <w:sz w:val="22"/>
          <w:szCs w:val="22"/>
        </w:rPr>
        <w:t xml:space="preserve">not </w:t>
      </w:r>
      <w:r w:rsidR="00200908" w:rsidRPr="008B08D9">
        <w:rPr>
          <w:rFonts w:ascii="Arial" w:hAnsi="Arial" w:cs="Arial"/>
          <w:sz w:val="22"/>
          <w:szCs w:val="22"/>
        </w:rPr>
        <w:t>include studies exploring</w:t>
      </w:r>
      <w:r w:rsidRPr="008B08D9">
        <w:rPr>
          <w:rFonts w:ascii="Arial" w:hAnsi="Arial" w:cs="Arial"/>
          <w:sz w:val="22"/>
          <w:szCs w:val="22"/>
        </w:rPr>
        <w:t xml:space="preserve"> </w:t>
      </w:r>
      <w:r w:rsidR="00777072" w:rsidRPr="008B08D9">
        <w:rPr>
          <w:rFonts w:ascii="Arial" w:hAnsi="Arial" w:cs="Arial"/>
          <w:sz w:val="22"/>
          <w:szCs w:val="22"/>
        </w:rPr>
        <w:t>facilitators and barriers to</w:t>
      </w:r>
      <w:r w:rsidR="00200908" w:rsidRPr="008B08D9">
        <w:rPr>
          <w:rFonts w:ascii="Arial" w:hAnsi="Arial" w:cs="Arial"/>
          <w:sz w:val="22"/>
          <w:szCs w:val="22"/>
        </w:rPr>
        <w:t xml:space="preserve"> their</w:t>
      </w:r>
      <w:r w:rsidR="00777072" w:rsidRPr="008B08D9">
        <w:rPr>
          <w:rFonts w:ascii="Arial" w:hAnsi="Arial" w:cs="Arial"/>
          <w:sz w:val="22"/>
          <w:szCs w:val="22"/>
        </w:rPr>
        <w:t xml:space="preserve"> implementation.</w:t>
      </w:r>
      <w:r w:rsidRPr="008B08D9">
        <w:rPr>
          <w:rFonts w:ascii="Arial" w:hAnsi="Arial" w:cs="Arial"/>
          <w:sz w:val="22"/>
          <w:szCs w:val="22"/>
        </w:rPr>
        <w:t xml:space="preserve"> </w:t>
      </w:r>
    </w:p>
    <w:p w14:paraId="533629E0" w14:textId="5FF14FFD" w:rsidR="001B202E" w:rsidRDefault="001B202E" w:rsidP="00841AFF">
      <w:pPr>
        <w:rPr>
          <w:rFonts w:ascii="Arial" w:hAnsi="Arial" w:cs="Arial"/>
          <w:sz w:val="22"/>
          <w:szCs w:val="22"/>
        </w:rPr>
      </w:pPr>
    </w:p>
    <w:p w14:paraId="1D7C8E0C" w14:textId="279F7FF0" w:rsidR="003A79CA" w:rsidRPr="003A79CA" w:rsidRDefault="003A79CA" w:rsidP="00E67AD6">
      <w:pPr>
        <w:rPr>
          <w:rFonts w:ascii="Arial" w:hAnsi="Arial" w:cs="Arial"/>
          <w:b/>
          <w:bCs/>
          <w:sz w:val="22"/>
          <w:szCs w:val="22"/>
        </w:rPr>
      </w:pPr>
      <w:r>
        <w:rPr>
          <w:rFonts w:ascii="Arial" w:hAnsi="Arial" w:cs="Arial"/>
          <w:b/>
          <w:bCs/>
          <w:sz w:val="22"/>
          <w:szCs w:val="22"/>
        </w:rPr>
        <w:t>CONCLUSIONS</w:t>
      </w:r>
    </w:p>
    <w:p w14:paraId="22E884AD" w14:textId="4E79536E" w:rsidR="003A79CA" w:rsidRPr="00170665" w:rsidRDefault="003A79CA" w:rsidP="00E67AD6">
      <w:pPr>
        <w:rPr>
          <w:rFonts w:ascii="Arial" w:hAnsi="Arial" w:cs="Arial"/>
          <w:b/>
          <w:bCs/>
          <w:sz w:val="22"/>
          <w:szCs w:val="22"/>
        </w:rPr>
      </w:pPr>
    </w:p>
    <w:p w14:paraId="655C2AC8" w14:textId="7637B529" w:rsidR="00EA696F" w:rsidRDefault="0066433B" w:rsidP="00170665">
      <w:pPr>
        <w:rPr>
          <w:rFonts w:ascii="Arial" w:hAnsi="Arial" w:cs="Arial"/>
          <w:b/>
          <w:bCs/>
          <w:sz w:val="22"/>
          <w:szCs w:val="22"/>
        </w:rPr>
      </w:pPr>
      <w:r w:rsidRPr="00170665">
        <w:rPr>
          <w:rFonts w:ascii="Arial" w:hAnsi="Arial" w:cs="Arial"/>
          <w:sz w:val="22"/>
          <w:szCs w:val="22"/>
        </w:rPr>
        <w:t xml:space="preserve">This systematic review aimed to evaluate the impact of </w:t>
      </w:r>
      <w:r w:rsidR="00C671B2" w:rsidRPr="008B08D9">
        <w:rPr>
          <w:rFonts w:ascii="Arial" w:hAnsi="Arial" w:cs="Arial"/>
          <w:sz w:val="22"/>
          <w:szCs w:val="22"/>
        </w:rPr>
        <w:t>military</w:t>
      </w:r>
      <w:r w:rsidR="00C671B2">
        <w:rPr>
          <w:rFonts w:ascii="Arial" w:hAnsi="Arial" w:cs="Arial"/>
          <w:b/>
          <w:bCs/>
          <w:sz w:val="22"/>
          <w:szCs w:val="22"/>
        </w:rPr>
        <w:t xml:space="preserve"> </w:t>
      </w:r>
      <w:r w:rsidRPr="00170665">
        <w:rPr>
          <w:rFonts w:ascii="Arial" w:hAnsi="Arial" w:cs="Arial"/>
          <w:sz w:val="22"/>
          <w:szCs w:val="22"/>
        </w:rPr>
        <w:t xml:space="preserve">smoke-free policies on the health of defence populations. It has found very low-quality evidence, from eight before-and-after studies with weak methodologies, which cannot determine the policies’ impacts with any degree of certainty. </w:t>
      </w:r>
      <w:r w:rsidR="00170665" w:rsidRPr="00170665">
        <w:rPr>
          <w:rFonts w:ascii="Arial" w:hAnsi="Arial" w:cs="Arial"/>
          <w:sz w:val="22"/>
          <w:szCs w:val="22"/>
        </w:rPr>
        <w:t>This is consistent with the previous literature on the impact of institutional smoking bans</w:t>
      </w:r>
      <w:r w:rsidR="00B26D3F">
        <w:rPr>
          <w:rFonts w:ascii="Arial" w:hAnsi="Arial" w:cs="Arial"/>
          <w:sz w:val="22"/>
          <w:szCs w:val="22"/>
        </w:rPr>
        <w:t>(</w:t>
      </w:r>
      <w:r w:rsidR="00C671B2">
        <w:rPr>
          <w:rFonts w:ascii="Arial" w:hAnsi="Arial" w:cs="Arial"/>
          <w:sz w:val="22"/>
          <w:szCs w:val="22"/>
        </w:rPr>
        <w:t>27</w:t>
      </w:r>
      <w:r w:rsidR="00B26D3F">
        <w:rPr>
          <w:rFonts w:ascii="Arial" w:hAnsi="Arial" w:cs="Arial"/>
          <w:sz w:val="22"/>
          <w:szCs w:val="22"/>
        </w:rPr>
        <w:t>).</w:t>
      </w:r>
      <w:r w:rsidR="00170665" w:rsidRPr="00170665">
        <w:rPr>
          <w:rFonts w:ascii="Arial" w:hAnsi="Arial" w:cs="Arial"/>
          <w:sz w:val="22"/>
          <w:szCs w:val="22"/>
        </w:rPr>
        <w:t xml:space="preserve"> </w:t>
      </w:r>
      <w:r w:rsidRPr="00170665">
        <w:rPr>
          <w:rFonts w:ascii="Arial" w:hAnsi="Arial" w:cs="Arial"/>
          <w:sz w:val="22"/>
          <w:szCs w:val="22"/>
        </w:rPr>
        <w:t>A research gap, therefore, exists for high-quality studies to investigate the impact of these policie</w:t>
      </w:r>
      <w:r w:rsidR="0054336E">
        <w:rPr>
          <w:rFonts w:ascii="Arial" w:hAnsi="Arial" w:cs="Arial"/>
          <w:sz w:val="22"/>
          <w:szCs w:val="22"/>
        </w:rPr>
        <w:t>s</w:t>
      </w:r>
      <w:r w:rsidR="00546332">
        <w:rPr>
          <w:rFonts w:ascii="Arial" w:hAnsi="Arial" w:cs="Arial"/>
          <w:sz w:val="22"/>
          <w:szCs w:val="22"/>
        </w:rPr>
        <w:t>.</w:t>
      </w:r>
      <w:r w:rsidR="0054336E">
        <w:rPr>
          <w:rFonts w:ascii="Arial" w:hAnsi="Arial" w:cs="Arial"/>
          <w:sz w:val="22"/>
          <w:szCs w:val="22"/>
        </w:rPr>
        <w:t xml:space="preserve"> </w:t>
      </w:r>
      <w:r w:rsidR="008D35DE" w:rsidRPr="00255AFE">
        <w:rPr>
          <w:rFonts w:ascii="Arial" w:hAnsi="Arial" w:cs="Arial"/>
          <w:sz w:val="22"/>
          <w:szCs w:val="22"/>
        </w:rPr>
        <w:t>Whilst the specific evidence to support smoke-free policies in defence settings is limited</w:t>
      </w:r>
      <w:r w:rsidR="00255AFE" w:rsidRPr="00255AFE">
        <w:rPr>
          <w:rFonts w:ascii="Arial" w:hAnsi="Arial" w:cs="Arial"/>
          <w:sz w:val="22"/>
          <w:szCs w:val="22"/>
        </w:rPr>
        <w:t xml:space="preserve">, the wider evidence of societal smoke-free measures would still support the introduction of such policies. However, these should be introduced </w:t>
      </w:r>
      <w:r w:rsidR="001A798A">
        <w:rPr>
          <w:rFonts w:ascii="Arial" w:hAnsi="Arial" w:cs="Arial"/>
          <w:sz w:val="22"/>
          <w:szCs w:val="22"/>
        </w:rPr>
        <w:t>with</w:t>
      </w:r>
      <w:r w:rsidR="00255AFE" w:rsidRPr="00255AFE">
        <w:rPr>
          <w:rFonts w:ascii="Arial" w:hAnsi="Arial" w:cs="Arial"/>
          <w:sz w:val="22"/>
          <w:szCs w:val="22"/>
        </w:rPr>
        <w:t>in a</w:t>
      </w:r>
      <w:r w:rsidR="00285543">
        <w:rPr>
          <w:rFonts w:ascii="Arial" w:hAnsi="Arial" w:cs="Arial"/>
          <w:sz w:val="22"/>
          <w:szCs w:val="22"/>
        </w:rPr>
        <w:t xml:space="preserve"> robust</w:t>
      </w:r>
      <w:r w:rsidR="00255AFE" w:rsidRPr="00255AFE">
        <w:rPr>
          <w:rFonts w:ascii="Arial" w:hAnsi="Arial" w:cs="Arial"/>
          <w:sz w:val="22"/>
          <w:szCs w:val="22"/>
        </w:rPr>
        <w:t xml:space="preserve"> evaluating framework so that relevant evidence of effect can be generated in time.</w:t>
      </w:r>
      <w:r w:rsidR="00255AFE">
        <w:rPr>
          <w:rFonts w:ascii="Arial" w:hAnsi="Arial" w:cs="Arial"/>
          <w:sz w:val="22"/>
          <w:szCs w:val="22"/>
        </w:rPr>
        <w:t xml:space="preserve"> </w:t>
      </w:r>
    </w:p>
    <w:p w14:paraId="49BD113F" w14:textId="754B8C7A" w:rsidR="00B349B7" w:rsidRDefault="00B349B7" w:rsidP="00170665">
      <w:pPr>
        <w:rPr>
          <w:rFonts w:ascii="Arial" w:hAnsi="Arial" w:cs="Arial"/>
          <w:b/>
          <w:bCs/>
          <w:sz w:val="22"/>
          <w:szCs w:val="22"/>
        </w:rPr>
      </w:pPr>
    </w:p>
    <w:p w14:paraId="552B8C43" w14:textId="77777777" w:rsidR="00B349B7" w:rsidRPr="00CB3400" w:rsidRDefault="00B349B7" w:rsidP="00B349B7">
      <w:pPr>
        <w:rPr>
          <w:rFonts w:ascii="Arial" w:hAnsi="Arial" w:cs="Arial"/>
          <w:sz w:val="22"/>
          <w:szCs w:val="22"/>
        </w:rPr>
      </w:pPr>
    </w:p>
    <w:p w14:paraId="2CAD3D4B" w14:textId="77777777" w:rsidR="00147646" w:rsidRPr="009308C1" w:rsidRDefault="00147646" w:rsidP="00147646">
      <w:pPr>
        <w:rPr>
          <w:rFonts w:ascii="Arial" w:hAnsi="Arial" w:cs="Arial"/>
          <w:b/>
          <w:bCs/>
          <w:color w:val="000000" w:themeColor="text1"/>
          <w:sz w:val="22"/>
          <w:szCs w:val="22"/>
        </w:rPr>
      </w:pPr>
      <w:r w:rsidRPr="009308C1">
        <w:rPr>
          <w:rFonts w:ascii="Arial" w:hAnsi="Arial" w:cs="Arial"/>
          <w:b/>
          <w:bCs/>
          <w:color w:val="000000" w:themeColor="text1"/>
          <w:sz w:val="22"/>
          <w:szCs w:val="22"/>
        </w:rPr>
        <w:t>Reference:</w:t>
      </w:r>
    </w:p>
    <w:p w14:paraId="0D152A36" w14:textId="77777777" w:rsidR="00147646" w:rsidRPr="009308C1" w:rsidRDefault="00147646" w:rsidP="00147646">
      <w:pPr>
        <w:rPr>
          <w:rFonts w:ascii="Arial" w:hAnsi="Arial" w:cs="Arial"/>
          <w:b/>
          <w:bCs/>
          <w:color w:val="000000" w:themeColor="text1"/>
          <w:sz w:val="22"/>
          <w:szCs w:val="22"/>
        </w:rPr>
      </w:pPr>
    </w:p>
    <w:p w14:paraId="0001036E" w14:textId="77777777" w:rsidR="00147646" w:rsidRPr="008B08D9" w:rsidRDefault="00147646" w:rsidP="00147646">
      <w:pPr>
        <w:widowControl w:val="0"/>
        <w:autoSpaceDE w:val="0"/>
        <w:autoSpaceDN w:val="0"/>
        <w:adjustRightInd w:val="0"/>
        <w:ind w:left="640" w:hanging="640"/>
        <w:rPr>
          <w:rFonts w:ascii="Arial" w:hAnsi="Arial" w:cs="Arial"/>
          <w:color w:val="000000" w:themeColor="text1"/>
          <w:sz w:val="22"/>
          <w:szCs w:val="22"/>
        </w:rPr>
      </w:pPr>
      <w:r w:rsidRPr="008B08D9">
        <w:rPr>
          <w:rFonts w:ascii="Arial" w:hAnsi="Arial" w:cs="Arial"/>
          <w:color w:val="000000" w:themeColor="text1"/>
          <w:sz w:val="22"/>
          <w:szCs w:val="22"/>
        </w:rPr>
        <w:fldChar w:fldCharType="begin" w:fldLock="1"/>
      </w:r>
      <w:r w:rsidRPr="008B08D9">
        <w:rPr>
          <w:rFonts w:ascii="Arial" w:hAnsi="Arial" w:cs="Arial"/>
          <w:color w:val="000000" w:themeColor="text1"/>
          <w:sz w:val="22"/>
          <w:szCs w:val="22"/>
        </w:rPr>
        <w:instrText xml:space="preserve">ADDIN Mendeley Bibliography CSL_BIBLIOGRAPHY </w:instrText>
      </w:r>
      <w:r w:rsidRPr="008B08D9">
        <w:rPr>
          <w:rFonts w:ascii="Arial" w:hAnsi="Arial" w:cs="Arial"/>
          <w:color w:val="000000" w:themeColor="text1"/>
          <w:sz w:val="22"/>
          <w:szCs w:val="22"/>
        </w:rPr>
        <w:fldChar w:fldCharType="separate"/>
      </w:r>
      <w:r w:rsidRPr="008B08D9">
        <w:rPr>
          <w:rFonts w:ascii="Arial" w:hAnsi="Arial" w:cs="Arial"/>
          <w:noProof/>
          <w:color w:val="000000" w:themeColor="text1"/>
          <w:sz w:val="22"/>
          <w:szCs w:val="22"/>
        </w:rPr>
        <w:t xml:space="preserve">1. </w:t>
      </w:r>
      <w:r w:rsidRPr="008B08D9">
        <w:rPr>
          <w:rFonts w:ascii="Arial" w:hAnsi="Arial" w:cs="Arial"/>
          <w:noProof/>
          <w:color w:val="000000" w:themeColor="text1"/>
          <w:sz w:val="22"/>
          <w:szCs w:val="22"/>
        </w:rPr>
        <w:tab/>
        <w:t xml:space="preserve">GBD 2017 Risk Factor Collaborators. Global, regional, and national comparative risk assessment of 84 behavioural, environmental and occupational, and metabolic risks or clusters of risks for 195 countries and territories, 1990-2017: a systematic analysis for the Global Burden of Disease Study 2017. </w:t>
      </w:r>
      <w:r w:rsidRPr="008B08D9">
        <w:rPr>
          <w:rFonts w:ascii="Arial" w:hAnsi="Arial" w:cs="Arial"/>
          <w:i/>
          <w:iCs/>
          <w:noProof/>
          <w:color w:val="000000" w:themeColor="text1"/>
          <w:sz w:val="22"/>
          <w:szCs w:val="22"/>
        </w:rPr>
        <w:t>Lancet</w:t>
      </w:r>
      <w:r w:rsidRPr="008B08D9">
        <w:rPr>
          <w:rFonts w:ascii="Arial" w:hAnsi="Arial" w:cs="Arial"/>
          <w:noProof/>
          <w:color w:val="000000" w:themeColor="text1"/>
          <w:sz w:val="22"/>
          <w:szCs w:val="22"/>
        </w:rPr>
        <w:t xml:space="preserve"> 2018</w:t>
      </w:r>
      <w:r w:rsidRPr="008B08D9">
        <w:rPr>
          <w:rFonts w:ascii="Arial" w:hAnsi="Arial" w:cs="Arial"/>
          <w:color w:val="000000" w:themeColor="text1"/>
          <w:sz w:val="22"/>
          <w:szCs w:val="22"/>
        </w:rPr>
        <w:t xml:space="preserve">;392:1923–94 doi: </w:t>
      </w:r>
      <w:hyperlink r:id="rId11" w:history="1">
        <w:r w:rsidRPr="008B08D9">
          <w:rPr>
            <w:rStyle w:val="Hyperlink"/>
            <w:rFonts w:ascii="Arial" w:hAnsi="Arial" w:cs="Arial"/>
            <w:color w:val="000000" w:themeColor="text1"/>
            <w:sz w:val="22"/>
            <w:szCs w:val="22"/>
          </w:rPr>
          <w:t>10.1016/S0140-6736(18)32225-6</w:t>
        </w:r>
      </w:hyperlink>
    </w:p>
    <w:p w14:paraId="41ED5413"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48BF30D3"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2. </w:t>
      </w:r>
      <w:r w:rsidRPr="008B08D9">
        <w:rPr>
          <w:rFonts w:ascii="Arial" w:hAnsi="Arial" w:cs="Arial"/>
          <w:noProof/>
          <w:color w:val="000000" w:themeColor="text1"/>
          <w:sz w:val="22"/>
          <w:szCs w:val="22"/>
        </w:rPr>
        <w:tab/>
        <w:t xml:space="preserve">NHS Digital. </w:t>
      </w:r>
      <w:r w:rsidRPr="008B08D9">
        <w:rPr>
          <w:rFonts w:ascii="Arial" w:hAnsi="Arial" w:cs="Arial"/>
          <w:i/>
          <w:iCs/>
          <w:noProof/>
          <w:color w:val="000000" w:themeColor="text1"/>
          <w:sz w:val="22"/>
          <w:szCs w:val="22"/>
        </w:rPr>
        <w:t>Statistics on Smoking, England</w:t>
      </w:r>
      <w:r w:rsidRPr="008B08D9">
        <w:rPr>
          <w:rFonts w:ascii="Arial" w:hAnsi="Arial" w:cs="Arial"/>
          <w:noProof/>
          <w:color w:val="000000" w:themeColor="text1"/>
          <w:sz w:val="22"/>
          <w:szCs w:val="22"/>
        </w:rPr>
        <w:t xml:space="preserve"> 2019. Available:  https://files.digital.nhs.uk/D9/5AACD3/smok-eng-2019-rep.pdf [Accessed 15 July 2020]</w:t>
      </w:r>
    </w:p>
    <w:p w14:paraId="69C0E0C6"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277BE8C5"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3. </w:t>
      </w:r>
      <w:r w:rsidRPr="008B08D9">
        <w:rPr>
          <w:rFonts w:ascii="Arial" w:hAnsi="Arial" w:cs="Arial"/>
          <w:noProof/>
          <w:color w:val="000000" w:themeColor="text1"/>
          <w:sz w:val="22"/>
          <w:szCs w:val="22"/>
        </w:rPr>
        <w:tab/>
        <w:t xml:space="preserve">Jamrozik K. Estimate of deaths attributable to passive smoking among UK adults: database analysis. </w:t>
      </w:r>
      <w:r w:rsidRPr="008B08D9">
        <w:rPr>
          <w:rFonts w:ascii="Arial" w:hAnsi="Arial" w:cs="Arial"/>
          <w:i/>
          <w:iCs/>
          <w:noProof/>
          <w:color w:val="000000" w:themeColor="text1"/>
          <w:sz w:val="22"/>
          <w:szCs w:val="22"/>
        </w:rPr>
        <w:t>BMJ</w:t>
      </w:r>
      <w:r w:rsidRPr="008B08D9">
        <w:rPr>
          <w:rFonts w:ascii="Arial" w:hAnsi="Arial" w:cs="Arial"/>
          <w:noProof/>
          <w:color w:val="000000" w:themeColor="text1"/>
          <w:sz w:val="22"/>
          <w:szCs w:val="22"/>
        </w:rPr>
        <w:t xml:space="preserve"> 2005;330(7495):812 </w:t>
      </w:r>
      <w:r w:rsidRPr="008B08D9">
        <w:rPr>
          <w:rFonts w:ascii="Arial" w:hAnsi="Arial" w:cs="Arial"/>
          <w:color w:val="000000" w:themeColor="text1"/>
          <w:sz w:val="22"/>
          <w:szCs w:val="22"/>
        </w:rPr>
        <w:t xml:space="preserve">doi: </w:t>
      </w:r>
      <w:hyperlink r:id="rId12" w:history="1">
        <w:r w:rsidRPr="008B08D9">
          <w:rPr>
            <w:rStyle w:val="highwire-cite-metadata-date"/>
            <w:rFonts w:ascii="Arial" w:hAnsi="Arial" w:cs="Arial"/>
            <w:color w:val="000000" w:themeColor="text1"/>
            <w:sz w:val="22"/>
            <w:szCs w:val="22"/>
            <w:bdr w:val="none" w:sz="0" w:space="0" w:color="auto" w:frame="1"/>
          </w:rPr>
          <w:t>10.1136/bmj.38370.496632.8F</w:t>
        </w:r>
      </w:hyperlink>
      <w:r w:rsidRPr="008B08D9">
        <w:rPr>
          <w:rFonts w:ascii="Arial" w:hAnsi="Arial" w:cs="Arial"/>
          <w:color w:val="000000" w:themeColor="text1"/>
          <w:sz w:val="22"/>
          <w:szCs w:val="22"/>
          <w:shd w:val="clear" w:color="auto" w:fill="FFFFFF"/>
        </w:rPr>
        <w:t> </w:t>
      </w:r>
    </w:p>
    <w:p w14:paraId="579D8310"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50B9F12D"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4. </w:t>
      </w:r>
      <w:r w:rsidRPr="008B08D9">
        <w:rPr>
          <w:rFonts w:ascii="Arial" w:hAnsi="Arial" w:cs="Arial"/>
          <w:noProof/>
          <w:color w:val="000000" w:themeColor="text1"/>
          <w:sz w:val="22"/>
          <w:szCs w:val="22"/>
        </w:rPr>
        <w:tab/>
        <w:t xml:space="preserve">World Health Organization. </w:t>
      </w:r>
      <w:r w:rsidRPr="008B08D9">
        <w:rPr>
          <w:rFonts w:ascii="Arial" w:hAnsi="Arial" w:cs="Arial"/>
          <w:i/>
          <w:iCs/>
          <w:noProof/>
          <w:color w:val="000000" w:themeColor="text1"/>
          <w:sz w:val="22"/>
          <w:szCs w:val="22"/>
        </w:rPr>
        <w:t xml:space="preserve">WHO Report on the Global Tobacco Epidemic </w:t>
      </w:r>
      <w:r w:rsidRPr="008B08D9">
        <w:rPr>
          <w:rFonts w:ascii="Arial" w:hAnsi="Arial" w:cs="Arial"/>
          <w:noProof/>
          <w:color w:val="000000" w:themeColor="text1"/>
          <w:sz w:val="22"/>
          <w:szCs w:val="22"/>
        </w:rPr>
        <w:t>2009. Available: http://whqlibdoc.who.int/publications/2009/9789241563918_eng_full.pdf?ua=1  [Accessed 07 July 2020]</w:t>
      </w:r>
    </w:p>
    <w:p w14:paraId="08662890"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522ECE4A"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5. </w:t>
      </w:r>
      <w:r w:rsidRPr="008B08D9">
        <w:rPr>
          <w:rFonts w:ascii="Arial" w:hAnsi="Arial" w:cs="Arial"/>
          <w:noProof/>
          <w:color w:val="000000" w:themeColor="text1"/>
          <w:sz w:val="22"/>
          <w:szCs w:val="22"/>
        </w:rPr>
        <w:tab/>
        <w:t xml:space="preserve">World Health Organization. </w:t>
      </w:r>
      <w:r w:rsidRPr="008B08D9">
        <w:rPr>
          <w:rFonts w:ascii="Arial" w:hAnsi="Arial" w:cs="Arial"/>
          <w:i/>
          <w:iCs/>
          <w:noProof/>
          <w:color w:val="000000" w:themeColor="text1"/>
          <w:sz w:val="22"/>
          <w:szCs w:val="22"/>
        </w:rPr>
        <w:t xml:space="preserve">WHO Framework Convention on Tobacco Control </w:t>
      </w:r>
      <w:r w:rsidRPr="008B08D9">
        <w:rPr>
          <w:rFonts w:ascii="Arial" w:hAnsi="Arial" w:cs="Arial"/>
          <w:noProof/>
          <w:color w:val="000000" w:themeColor="text1"/>
          <w:sz w:val="22"/>
          <w:szCs w:val="22"/>
        </w:rPr>
        <w:t>2020. Available: https://treaties.un.org/doc/Publication/MTDSG/Volume I/Chapter IX/IX-4.en.pdf [Accessed 07 September 2020]</w:t>
      </w:r>
    </w:p>
    <w:p w14:paraId="68ACCCA4"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48338EA9"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6. </w:t>
      </w:r>
      <w:r w:rsidRPr="008B08D9">
        <w:rPr>
          <w:rFonts w:ascii="Arial" w:hAnsi="Arial" w:cs="Arial"/>
          <w:noProof/>
          <w:color w:val="000000" w:themeColor="text1"/>
          <w:sz w:val="22"/>
          <w:szCs w:val="22"/>
        </w:rPr>
        <w:tab/>
        <w:t xml:space="preserve">Sims M, Mindell JS, Jarvis MJ, Feyerabend C, Wardle H, Gilmore A. Did smokefree legislation in England reduce exposure to secondhand smoke among nonsmoking adults? Cotinine analysis from the Health Survey for England. </w:t>
      </w:r>
      <w:r w:rsidRPr="008B08D9">
        <w:rPr>
          <w:rFonts w:ascii="Arial" w:hAnsi="Arial" w:cs="Arial"/>
          <w:i/>
          <w:iCs/>
          <w:noProof/>
          <w:color w:val="000000" w:themeColor="text1"/>
          <w:sz w:val="22"/>
          <w:szCs w:val="22"/>
        </w:rPr>
        <w:t xml:space="preserve">Environ Health Perspect </w:t>
      </w:r>
      <w:r w:rsidRPr="008B08D9">
        <w:rPr>
          <w:rFonts w:ascii="Arial" w:hAnsi="Arial" w:cs="Arial"/>
          <w:noProof/>
          <w:color w:val="000000" w:themeColor="text1"/>
          <w:sz w:val="22"/>
          <w:szCs w:val="22"/>
        </w:rPr>
        <w:t xml:space="preserve">2012;120(3):425–30 doi: </w:t>
      </w:r>
      <w:hyperlink r:id="rId13" w:history="1">
        <w:r w:rsidRPr="008B08D9">
          <w:rPr>
            <w:rStyle w:val="highwire-cite-metadata-date"/>
            <w:rFonts w:ascii="Arial" w:hAnsi="Arial" w:cs="Arial"/>
            <w:noProof/>
            <w:color w:val="000000" w:themeColor="text1"/>
            <w:sz w:val="22"/>
            <w:szCs w:val="22"/>
          </w:rPr>
          <w:t>10.1289/ehp.1103680</w:t>
        </w:r>
      </w:hyperlink>
    </w:p>
    <w:p w14:paraId="7CF4D67D"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57D5653B"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7. </w:t>
      </w:r>
      <w:r w:rsidRPr="008B08D9">
        <w:rPr>
          <w:rFonts w:ascii="Arial" w:hAnsi="Arial" w:cs="Arial"/>
          <w:noProof/>
          <w:color w:val="000000" w:themeColor="text1"/>
          <w:sz w:val="22"/>
          <w:szCs w:val="22"/>
        </w:rPr>
        <w:tab/>
        <w:t xml:space="preserve">Frazer K, Callinan JE, Mchugh J, van Baarsel S, Clarke A, Doherty K, et al. Legislative smoking bans for reducing harms from secondhand smoke exposure, smoking prevalence and tobacco consumption. </w:t>
      </w:r>
      <w:r w:rsidRPr="008B08D9">
        <w:rPr>
          <w:rFonts w:ascii="Arial" w:hAnsi="Arial" w:cs="Arial"/>
          <w:i/>
          <w:iCs/>
          <w:noProof/>
          <w:color w:val="000000" w:themeColor="text1"/>
          <w:sz w:val="22"/>
          <w:szCs w:val="22"/>
        </w:rPr>
        <w:t>Cochrane Database Syst Rev</w:t>
      </w:r>
      <w:r w:rsidRPr="008B08D9">
        <w:rPr>
          <w:rFonts w:ascii="Arial" w:hAnsi="Arial" w:cs="Arial"/>
          <w:noProof/>
          <w:color w:val="000000" w:themeColor="text1"/>
          <w:sz w:val="22"/>
          <w:szCs w:val="22"/>
        </w:rPr>
        <w:t xml:space="preserve"> 2016;2:CD005992–CD005992. Available: https://pubmed.ncbi.nlm.nih.gov/26842828 </w:t>
      </w:r>
      <w:r w:rsidRPr="008B08D9">
        <w:rPr>
          <w:rFonts w:ascii="Arial" w:hAnsi="Arial" w:cs="Arial"/>
          <w:color w:val="000000" w:themeColor="text1"/>
          <w:sz w:val="22"/>
          <w:szCs w:val="22"/>
        </w:rPr>
        <w:t>[Accessed 05 July 2020]</w:t>
      </w:r>
    </w:p>
    <w:p w14:paraId="309970F6"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098F4FC2"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8. </w:t>
      </w:r>
      <w:r w:rsidRPr="008B08D9">
        <w:rPr>
          <w:rFonts w:ascii="Arial" w:hAnsi="Arial" w:cs="Arial"/>
          <w:noProof/>
          <w:color w:val="000000" w:themeColor="text1"/>
          <w:sz w:val="22"/>
          <w:szCs w:val="22"/>
        </w:rPr>
        <w:tab/>
        <w:t xml:space="preserve">Faber T, Kumar A, Mackenbach JP, Millett C, Basu S, Sheikh A, et al. Effect of tobacco control policies on perinatal and child health: a systematic review and meta-analysis. </w:t>
      </w:r>
      <w:r w:rsidRPr="008B08D9">
        <w:rPr>
          <w:rFonts w:ascii="Arial" w:hAnsi="Arial" w:cs="Arial"/>
          <w:i/>
          <w:iCs/>
          <w:noProof/>
          <w:color w:val="000000" w:themeColor="text1"/>
          <w:sz w:val="22"/>
          <w:szCs w:val="22"/>
        </w:rPr>
        <w:t>Lancet Public Heal</w:t>
      </w:r>
      <w:r w:rsidRPr="008B08D9">
        <w:rPr>
          <w:rFonts w:ascii="Arial" w:hAnsi="Arial" w:cs="Arial"/>
          <w:noProof/>
          <w:color w:val="000000" w:themeColor="text1"/>
          <w:sz w:val="22"/>
          <w:szCs w:val="22"/>
        </w:rPr>
        <w:t xml:space="preserve"> 2017;2(9):e420–37 </w:t>
      </w:r>
      <w:r w:rsidRPr="008B08D9">
        <w:rPr>
          <w:rFonts w:ascii="Arial" w:hAnsi="Arial" w:cs="Arial"/>
          <w:color w:val="000000" w:themeColor="text1"/>
          <w:sz w:val="22"/>
          <w:szCs w:val="22"/>
        </w:rPr>
        <w:t>doi:</w:t>
      </w:r>
      <w:r w:rsidRPr="008B08D9">
        <w:rPr>
          <w:rFonts w:ascii="Arial" w:hAnsi="Arial" w:cs="Arial"/>
          <w:noProof/>
          <w:color w:val="000000" w:themeColor="text1"/>
          <w:sz w:val="22"/>
          <w:szCs w:val="22"/>
        </w:rPr>
        <w:t xml:space="preserve"> </w:t>
      </w:r>
      <w:hyperlink r:id="rId14" w:history="1">
        <w:r w:rsidRPr="008B08D9">
          <w:rPr>
            <w:rStyle w:val="highwire-cite-metadata-date"/>
            <w:rFonts w:ascii="Arial" w:hAnsi="Arial" w:cs="Arial"/>
            <w:noProof/>
            <w:color w:val="000000" w:themeColor="text1"/>
            <w:sz w:val="22"/>
            <w:szCs w:val="22"/>
          </w:rPr>
          <w:t>10.1016/S2468-2667(17)30144-5</w:t>
        </w:r>
      </w:hyperlink>
    </w:p>
    <w:p w14:paraId="59F37667"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6C123EB5"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9. </w:t>
      </w:r>
      <w:r w:rsidRPr="008B08D9">
        <w:rPr>
          <w:rFonts w:ascii="Arial" w:hAnsi="Arial" w:cs="Arial"/>
          <w:noProof/>
          <w:color w:val="000000" w:themeColor="text1"/>
          <w:sz w:val="22"/>
          <w:szCs w:val="22"/>
        </w:rPr>
        <w:tab/>
        <w:t xml:space="preserve">Department of Health. </w:t>
      </w:r>
      <w:r w:rsidRPr="008B08D9">
        <w:rPr>
          <w:rFonts w:ascii="Arial" w:hAnsi="Arial" w:cs="Arial"/>
          <w:i/>
          <w:iCs/>
          <w:noProof/>
          <w:color w:val="000000" w:themeColor="text1"/>
          <w:sz w:val="22"/>
          <w:szCs w:val="22"/>
        </w:rPr>
        <w:t>Towards a Smokefree Generation: A Tobacco Control Plan for England</w:t>
      </w:r>
      <w:r w:rsidRPr="008B08D9">
        <w:rPr>
          <w:rFonts w:ascii="Arial" w:hAnsi="Arial" w:cs="Arial"/>
          <w:noProof/>
          <w:color w:val="000000" w:themeColor="text1"/>
          <w:sz w:val="22"/>
          <w:szCs w:val="22"/>
        </w:rPr>
        <w:t xml:space="preserve"> 2017. Available: https://assets.publishing.service.gov.uk/government/uploads/system/uploads/attachment_data/file/630217/Towards_a_Smoke_free_Generation_-_A_Tobacco_Control_Plan_for_England_2017-2022__2_.pdf [Accessed 25 May 2020]</w:t>
      </w:r>
    </w:p>
    <w:p w14:paraId="12FC982C" w14:textId="4214A450"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2CF07611" w14:textId="3C581872" w:rsidR="003D0D89" w:rsidRPr="008B08D9" w:rsidRDefault="003D0D89" w:rsidP="003D0D89">
      <w:pPr>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 xml:space="preserve">10. </w:t>
      </w:r>
      <w:r w:rsidRPr="008B08D9">
        <w:rPr>
          <w:rFonts w:ascii="Arial" w:hAnsi="Arial" w:cs="Arial"/>
          <w:noProof/>
          <w:color w:val="000000" w:themeColor="text1"/>
          <w:sz w:val="22"/>
          <w:szCs w:val="22"/>
        </w:rPr>
        <w:tab/>
        <w:t xml:space="preserve">Public Health England. </w:t>
      </w:r>
      <w:r w:rsidRPr="008B08D9">
        <w:rPr>
          <w:rFonts w:ascii="Arial" w:hAnsi="Arial" w:cs="Arial"/>
          <w:i/>
          <w:iCs/>
          <w:sz w:val="22"/>
          <w:szCs w:val="22"/>
        </w:rPr>
        <w:t>Smokefree mental health services in England Implementation document for providers of mental health services</w:t>
      </w:r>
      <w:r w:rsidRPr="008B08D9">
        <w:rPr>
          <w:rFonts w:ascii="Arial" w:hAnsi="Arial" w:cs="Arial"/>
          <w:sz w:val="22"/>
          <w:szCs w:val="22"/>
        </w:rPr>
        <w:t>. 2016. Available: https://assets.publishing.service.gov.uk/government/uploads/system/uploads/attachment_data/file/779497/SF_MH_services_in_England__Guidance_for_Providers.pdf [Accessed 31 March 2021]</w:t>
      </w:r>
    </w:p>
    <w:p w14:paraId="11D9A8F5" w14:textId="77777777" w:rsidR="003D0D89" w:rsidRPr="008B08D9" w:rsidRDefault="003D0D89" w:rsidP="00147646">
      <w:pPr>
        <w:widowControl w:val="0"/>
        <w:autoSpaceDE w:val="0"/>
        <w:autoSpaceDN w:val="0"/>
        <w:adjustRightInd w:val="0"/>
        <w:rPr>
          <w:rFonts w:ascii="Arial" w:hAnsi="Arial" w:cs="Arial"/>
          <w:noProof/>
          <w:color w:val="000000" w:themeColor="text1"/>
          <w:sz w:val="22"/>
          <w:szCs w:val="22"/>
        </w:rPr>
      </w:pPr>
    </w:p>
    <w:p w14:paraId="7F66918B" w14:textId="01895F5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1</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Ministry of Defence. </w:t>
      </w:r>
      <w:r w:rsidRPr="008B08D9">
        <w:rPr>
          <w:rFonts w:ascii="Arial" w:hAnsi="Arial" w:cs="Arial"/>
          <w:i/>
          <w:iCs/>
          <w:noProof/>
          <w:color w:val="000000" w:themeColor="text1"/>
          <w:sz w:val="22"/>
          <w:szCs w:val="22"/>
        </w:rPr>
        <w:t>Smoking and Tobacco Control Strategy for Defence 2017-22</w:t>
      </w:r>
      <w:r w:rsidRPr="008B08D9">
        <w:rPr>
          <w:rFonts w:ascii="Arial" w:hAnsi="Arial" w:cs="Arial"/>
          <w:noProof/>
          <w:color w:val="000000" w:themeColor="text1"/>
          <w:sz w:val="22"/>
          <w:szCs w:val="22"/>
        </w:rPr>
        <w:t xml:space="preserve"> 2018. London: MOD</w:t>
      </w:r>
    </w:p>
    <w:p w14:paraId="1CEA7F3A" w14:textId="16333E03" w:rsidR="00147646" w:rsidRPr="008B08D9" w:rsidRDefault="00147646" w:rsidP="003D0D89">
      <w:pPr>
        <w:widowControl w:val="0"/>
        <w:autoSpaceDE w:val="0"/>
        <w:autoSpaceDN w:val="0"/>
        <w:adjustRightInd w:val="0"/>
        <w:rPr>
          <w:rFonts w:ascii="Arial" w:hAnsi="Arial" w:cs="Arial"/>
          <w:noProof/>
          <w:color w:val="000000" w:themeColor="text1"/>
          <w:sz w:val="22"/>
          <w:szCs w:val="22"/>
        </w:rPr>
      </w:pPr>
    </w:p>
    <w:p w14:paraId="6B1FA61D" w14:textId="440F12FA"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2</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Ministry of Defence. </w:t>
      </w:r>
      <w:r w:rsidRPr="008B08D9">
        <w:rPr>
          <w:rFonts w:ascii="Arial" w:hAnsi="Arial" w:cs="Arial"/>
          <w:i/>
          <w:iCs/>
          <w:noProof/>
          <w:color w:val="000000" w:themeColor="text1"/>
          <w:sz w:val="22"/>
          <w:szCs w:val="22"/>
        </w:rPr>
        <w:t xml:space="preserve">Freedom of Information Request Information FOI2020/05127 </w:t>
      </w:r>
      <w:r w:rsidRPr="008B08D9">
        <w:rPr>
          <w:rFonts w:ascii="Arial" w:hAnsi="Arial" w:cs="Arial"/>
          <w:noProof/>
          <w:color w:val="000000" w:themeColor="text1"/>
          <w:sz w:val="22"/>
          <w:szCs w:val="22"/>
        </w:rPr>
        <w:t>2020. Available: https://assets.publishing.service.gov.uk/government/uploads/system/uploads/attachment_data/file/893727/Information_regarding_how_many_of_those_in_the_Armed_Forces_smoke___2020_05127.pdf [Accessed 15 August 2020]</w:t>
      </w:r>
    </w:p>
    <w:p w14:paraId="3834A2C4"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56551956" w14:textId="740314CD"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3</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r>
      <w:r w:rsidRPr="008B08D9">
        <w:rPr>
          <w:rStyle w:val="highwire-citation-authors"/>
          <w:rFonts w:ascii="Arial" w:hAnsi="Arial" w:cs="Arial"/>
          <w:color w:val="000000" w:themeColor="text1"/>
          <w:sz w:val="22"/>
          <w:szCs w:val="22"/>
        </w:rPr>
        <w:t>Johnstone</w:t>
      </w:r>
      <w:r w:rsidRPr="008B08D9">
        <w:rPr>
          <w:rStyle w:val="Heading2Char"/>
          <w:rFonts w:ascii="Arial" w:hAnsi="Arial" w:cs="Arial"/>
          <w:b w:val="0"/>
          <w:bCs w:val="0"/>
          <w:sz w:val="22"/>
          <w:szCs w:val="22"/>
        </w:rPr>
        <w:t> A</w:t>
      </w:r>
      <w:r w:rsidRPr="008B08D9">
        <w:rPr>
          <w:rStyle w:val="highwire-cite-metadata-journal"/>
          <w:rFonts w:ascii="Arial" w:hAnsi="Arial" w:cs="Arial"/>
          <w:color w:val="000000" w:themeColor="text1"/>
          <w:sz w:val="22"/>
          <w:szCs w:val="22"/>
        </w:rPr>
        <w:t xml:space="preserve"> and </w:t>
      </w:r>
      <w:r w:rsidRPr="008B08D9">
        <w:rPr>
          <w:rStyle w:val="highwire-citation-authors"/>
          <w:rFonts w:ascii="Arial" w:hAnsi="Arial" w:cs="Arial"/>
          <w:color w:val="000000" w:themeColor="text1"/>
          <w:sz w:val="22"/>
          <w:szCs w:val="22"/>
        </w:rPr>
        <w:t>Martin-Bates</w:t>
      </w:r>
      <w:r w:rsidRPr="008B08D9">
        <w:rPr>
          <w:rStyle w:val="Heading2Char"/>
          <w:rFonts w:ascii="Arial" w:hAnsi="Arial" w:cs="Arial"/>
          <w:b w:val="0"/>
          <w:bCs w:val="0"/>
          <w:sz w:val="22"/>
          <w:szCs w:val="22"/>
        </w:rPr>
        <w:t> A</w:t>
      </w:r>
      <w:r w:rsidRPr="008B08D9">
        <w:rPr>
          <w:rFonts w:ascii="Arial" w:hAnsi="Arial" w:cs="Arial"/>
          <w:color w:val="000000" w:themeColor="text1"/>
          <w:sz w:val="22"/>
          <w:szCs w:val="22"/>
        </w:rPr>
        <w:t xml:space="preserve">. Banning smoking at Army Foundation College, Harrogate: a military phase I training establishment’s experience of introducing a smoking ban. </w:t>
      </w:r>
      <w:r w:rsidRPr="008B08D9">
        <w:rPr>
          <w:rStyle w:val="highwire-citation-author"/>
          <w:rFonts w:ascii="Arial" w:hAnsi="Arial" w:cs="Arial"/>
          <w:i/>
          <w:iCs/>
          <w:color w:val="000000" w:themeColor="text1"/>
          <w:sz w:val="22"/>
          <w:szCs w:val="22"/>
        </w:rPr>
        <w:t>BMJ Mil Health </w:t>
      </w:r>
      <w:r w:rsidRPr="008B08D9">
        <w:rPr>
          <w:rStyle w:val="highwire-cite-metadata-journal"/>
          <w:rFonts w:ascii="Arial" w:hAnsi="Arial" w:cs="Arial"/>
          <w:color w:val="000000" w:themeColor="text1"/>
          <w:sz w:val="22"/>
          <w:szCs w:val="22"/>
        </w:rPr>
        <w:t>Published Online First:</w:t>
      </w:r>
      <w:r w:rsidRPr="008B08D9">
        <w:rPr>
          <w:rStyle w:val="nlm-surname"/>
          <w:rFonts w:ascii="Arial" w:eastAsiaTheme="majorEastAsia" w:hAnsi="Arial" w:cs="Arial"/>
          <w:color w:val="000000" w:themeColor="text1"/>
          <w:sz w:val="22"/>
          <w:szCs w:val="22"/>
        </w:rPr>
        <w:t> 16 September 2020. </w:t>
      </w:r>
      <w:r w:rsidRPr="008B08D9">
        <w:rPr>
          <w:rStyle w:val="highwire-cite-metadata-journal"/>
          <w:rFonts w:ascii="Arial" w:hAnsi="Arial" w:cs="Arial"/>
          <w:color w:val="000000" w:themeColor="text1"/>
          <w:sz w:val="22"/>
          <w:szCs w:val="22"/>
        </w:rPr>
        <w:t>doi:</w:t>
      </w:r>
      <w:r w:rsidRPr="008B08D9">
        <w:rPr>
          <w:rStyle w:val="highwire-cite-metadata-date"/>
          <w:rFonts w:ascii="Arial" w:hAnsi="Arial" w:cs="Arial"/>
          <w:color w:val="000000" w:themeColor="text1"/>
          <w:sz w:val="22"/>
          <w:szCs w:val="22"/>
        </w:rPr>
        <w:t> 10.1136/bmjmilitary-2020-001599</w:t>
      </w:r>
    </w:p>
    <w:p w14:paraId="19B9D3CF"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08FF5E54" w14:textId="3ED5129D"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4</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BBC. </w:t>
      </w:r>
      <w:r w:rsidRPr="008B08D9">
        <w:rPr>
          <w:rFonts w:ascii="Arial" w:hAnsi="Arial" w:cs="Arial"/>
          <w:i/>
          <w:iCs/>
          <w:noProof/>
          <w:color w:val="000000" w:themeColor="text1"/>
          <w:sz w:val="22"/>
          <w:szCs w:val="22"/>
        </w:rPr>
        <w:t>Army bans smoking at Harrogate training college</w:t>
      </w:r>
      <w:r w:rsidRPr="008B08D9">
        <w:rPr>
          <w:rFonts w:ascii="Arial" w:hAnsi="Arial" w:cs="Arial"/>
          <w:noProof/>
          <w:color w:val="000000" w:themeColor="text1"/>
          <w:sz w:val="22"/>
          <w:szCs w:val="22"/>
        </w:rPr>
        <w:t>. 2019. Available: https://www.bbc.co.uk/news/uk-england-york-north-yorkshire-49646705 [Accessed 12 July 2020]</w:t>
      </w:r>
    </w:p>
    <w:p w14:paraId="47D283D9"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7218F2AC" w14:textId="6E40504C"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5</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Carter A. Policy Memorandum 16-001, Department of Defense Tobacco Policy. </w:t>
      </w:r>
      <w:r w:rsidRPr="008B08D9">
        <w:rPr>
          <w:rFonts w:ascii="Arial" w:hAnsi="Arial" w:cs="Arial"/>
          <w:i/>
          <w:iCs/>
          <w:noProof/>
          <w:color w:val="000000" w:themeColor="text1"/>
          <w:sz w:val="22"/>
          <w:szCs w:val="22"/>
        </w:rPr>
        <w:t>Department of Defense</w:t>
      </w:r>
      <w:r w:rsidRPr="008B08D9">
        <w:rPr>
          <w:rFonts w:ascii="Arial" w:hAnsi="Arial" w:cs="Arial"/>
          <w:noProof/>
          <w:color w:val="000000" w:themeColor="text1"/>
          <w:sz w:val="22"/>
          <w:szCs w:val="22"/>
        </w:rPr>
        <w:t xml:space="preserve"> 2016; Available: https://www.med.navy.mil/sites/nmcphc/Documents/health-promotion-wellness/tobacco-free-living/INCOMING-CARTER-Tobacco-Policy-Memo.pdf [Accessed 20 June 2020]</w:t>
      </w:r>
    </w:p>
    <w:p w14:paraId="42229E54"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4520E172" w14:textId="4974907C"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6</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Conway TL and Cronan TA. (1992). Smoking, exercise, and physical fitness. </w:t>
      </w:r>
      <w:r w:rsidRPr="008B08D9">
        <w:rPr>
          <w:rFonts w:ascii="Arial" w:hAnsi="Arial" w:cs="Arial"/>
          <w:i/>
          <w:iCs/>
          <w:noProof/>
          <w:color w:val="000000" w:themeColor="text1"/>
          <w:sz w:val="22"/>
          <w:szCs w:val="22"/>
        </w:rPr>
        <w:t xml:space="preserve">Prev Med </w:t>
      </w:r>
      <w:r w:rsidRPr="008B08D9">
        <w:rPr>
          <w:rFonts w:ascii="Arial" w:hAnsi="Arial" w:cs="Arial"/>
          <w:noProof/>
          <w:color w:val="000000" w:themeColor="text1"/>
          <w:sz w:val="22"/>
          <w:szCs w:val="22"/>
        </w:rPr>
        <w:t xml:space="preserve">1992;21(6):723–734 doi: </w:t>
      </w:r>
      <w:hyperlink r:id="rId15" w:tgtFrame="_blank" w:history="1">
        <w:r w:rsidRPr="008B08D9">
          <w:rPr>
            <w:rFonts w:ascii="Arial" w:hAnsi="Arial" w:cs="Arial"/>
            <w:color w:val="000000" w:themeColor="text1"/>
            <w:sz w:val="22"/>
            <w:szCs w:val="22"/>
            <w:u w:val="single"/>
          </w:rPr>
          <w:t>10.1016/0091-7435(92)90079-w</w:t>
        </w:r>
      </w:hyperlink>
    </w:p>
    <w:p w14:paraId="19759F98"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50784124" w14:textId="4AA8FD4D"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7</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Siddall AG, Bilzon JLJ, Thompson D, Greeves J, Izard R, and Stokes KA. Smoking status and physical fitness during initial military training. </w:t>
      </w:r>
      <w:r w:rsidRPr="008B08D9">
        <w:rPr>
          <w:rFonts w:ascii="Arial" w:hAnsi="Arial" w:cs="Arial"/>
          <w:i/>
          <w:iCs/>
          <w:noProof/>
          <w:color w:val="000000" w:themeColor="text1"/>
          <w:sz w:val="22"/>
          <w:szCs w:val="22"/>
        </w:rPr>
        <w:t xml:space="preserve">Occup Med </w:t>
      </w:r>
      <w:r w:rsidRPr="008B08D9">
        <w:rPr>
          <w:rFonts w:ascii="Arial" w:hAnsi="Arial" w:cs="Arial"/>
          <w:noProof/>
          <w:color w:val="000000" w:themeColor="text1"/>
          <w:sz w:val="22"/>
          <w:szCs w:val="22"/>
        </w:rPr>
        <w:t xml:space="preserve">2017;67(3):205–210 </w:t>
      </w:r>
      <w:r w:rsidRPr="008B08D9">
        <w:rPr>
          <w:rFonts w:ascii="Arial" w:hAnsi="Arial" w:cs="Arial"/>
          <w:color w:val="000000" w:themeColor="text1"/>
          <w:sz w:val="22"/>
          <w:szCs w:val="22"/>
        </w:rPr>
        <w:t xml:space="preserve">doi: </w:t>
      </w:r>
      <w:hyperlink r:id="rId16" w:tgtFrame="_blank" w:history="1">
        <w:r w:rsidRPr="008B08D9">
          <w:rPr>
            <w:rFonts w:ascii="Arial" w:hAnsi="Arial" w:cs="Arial"/>
            <w:color w:val="000000" w:themeColor="text1"/>
            <w:sz w:val="22"/>
            <w:szCs w:val="22"/>
            <w:u w:val="single"/>
          </w:rPr>
          <w:t>10.1093/occmed/kqx006</w:t>
        </w:r>
      </w:hyperlink>
    </w:p>
    <w:p w14:paraId="3067E163"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1C3E6E9B" w14:textId="35EF7C36"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8</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r>
      <w:r w:rsidRPr="008B08D9">
        <w:rPr>
          <w:rStyle w:val="highwire-citation-authors"/>
          <w:rFonts w:ascii="Arial" w:hAnsi="Arial" w:cs="Arial"/>
          <w:color w:val="000000" w:themeColor="text1"/>
          <w:sz w:val="22"/>
          <w:szCs w:val="22"/>
        </w:rPr>
        <w:t>Lynch</w:t>
      </w:r>
      <w:r w:rsidRPr="008B08D9">
        <w:rPr>
          <w:rStyle w:val="highwire-cite-metadata-date"/>
          <w:rFonts w:ascii="Arial" w:hAnsi="Arial" w:cs="Arial"/>
          <w:color w:val="000000" w:themeColor="text1"/>
          <w:sz w:val="22"/>
          <w:szCs w:val="22"/>
        </w:rPr>
        <w:t xml:space="preserve"> </w:t>
      </w:r>
      <w:r w:rsidRPr="008B08D9">
        <w:rPr>
          <w:rStyle w:val="Heading2Char"/>
          <w:rFonts w:ascii="Arial" w:hAnsi="Arial" w:cs="Arial"/>
          <w:b w:val="0"/>
          <w:bCs w:val="0"/>
          <w:sz w:val="22"/>
          <w:szCs w:val="22"/>
        </w:rPr>
        <w:t>P</w:t>
      </w:r>
      <w:r w:rsidRPr="008B08D9">
        <w:rPr>
          <w:rFonts w:ascii="Arial" w:hAnsi="Arial" w:cs="Arial"/>
          <w:color w:val="000000" w:themeColor="text1"/>
          <w:sz w:val="22"/>
          <w:szCs w:val="22"/>
        </w:rPr>
        <w:t>. Coronary Risk Profile of Young Soldiers with Coronary Heart Disease</w:t>
      </w:r>
    </w:p>
    <w:p w14:paraId="2225E968" w14:textId="77777777" w:rsidR="00147646" w:rsidRPr="008B08D9" w:rsidRDefault="00147646" w:rsidP="00147646">
      <w:pPr>
        <w:ind w:firstLine="640"/>
        <w:rPr>
          <w:rFonts w:ascii="Arial" w:hAnsi="Arial" w:cs="Arial"/>
          <w:color w:val="000000" w:themeColor="text1"/>
          <w:sz w:val="22"/>
          <w:szCs w:val="22"/>
        </w:rPr>
      </w:pPr>
      <w:r w:rsidRPr="008B08D9">
        <w:rPr>
          <w:rStyle w:val="highwire-citation-author"/>
          <w:rFonts w:ascii="Arial" w:hAnsi="Arial" w:cs="Arial"/>
          <w:i/>
          <w:iCs/>
          <w:color w:val="000000" w:themeColor="text1"/>
          <w:sz w:val="22"/>
          <w:szCs w:val="22"/>
        </w:rPr>
        <w:t>BMJ Military Health </w:t>
      </w:r>
      <w:r w:rsidRPr="008B08D9">
        <w:rPr>
          <w:rStyle w:val="nlm-surname"/>
          <w:rFonts w:ascii="Arial" w:eastAsiaTheme="majorEastAsia" w:hAnsi="Arial" w:cs="Arial"/>
          <w:color w:val="000000" w:themeColor="text1"/>
          <w:sz w:val="22"/>
          <w:szCs w:val="22"/>
        </w:rPr>
        <w:t>1985;</w:t>
      </w:r>
      <w:r w:rsidRPr="008B08D9">
        <w:rPr>
          <w:rStyle w:val="highwire-cite-metadata-journal"/>
          <w:rFonts w:ascii="Arial" w:hAnsi="Arial" w:cs="Arial"/>
          <w:color w:val="000000" w:themeColor="text1"/>
          <w:sz w:val="22"/>
          <w:szCs w:val="22"/>
        </w:rPr>
        <w:t>131:</w:t>
      </w:r>
      <w:r w:rsidRPr="008B08D9">
        <w:rPr>
          <w:rStyle w:val="highwire-cite-metadata-date"/>
          <w:rFonts w:ascii="Arial" w:hAnsi="Arial" w:cs="Arial"/>
          <w:color w:val="000000" w:themeColor="text1"/>
          <w:sz w:val="22"/>
          <w:szCs w:val="22"/>
        </w:rPr>
        <w:t>38-41</w:t>
      </w:r>
      <w:r w:rsidRPr="008B08D9">
        <w:rPr>
          <w:rStyle w:val="highwire-cite-doi"/>
          <w:rFonts w:ascii="Arial" w:hAnsi="Arial" w:cs="Arial"/>
          <w:color w:val="000000" w:themeColor="text1"/>
          <w:sz w:val="22"/>
          <w:szCs w:val="22"/>
        </w:rPr>
        <w:t xml:space="preserve"> doi: </w:t>
      </w:r>
      <w:hyperlink r:id="rId17" w:tgtFrame="_new" w:history="1">
        <w:r w:rsidRPr="008B08D9">
          <w:rPr>
            <w:rStyle w:val="highwire-cite-metadata-date"/>
            <w:rFonts w:ascii="Arial" w:hAnsi="Arial" w:cs="Arial"/>
            <w:color w:val="000000" w:themeColor="text1"/>
            <w:sz w:val="22"/>
            <w:szCs w:val="22"/>
            <w:shd w:val="clear" w:color="auto" w:fill="FFFFFF"/>
          </w:rPr>
          <w:t>10.1136/jramc-131-01-09</w:t>
        </w:r>
      </w:hyperlink>
    </w:p>
    <w:p w14:paraId="2377FDFE"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4D57D07D" w14:textId="35F80700"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1</w:t>
      </w:r>
      <w:r w:rsidR="003D0D89" w:rsidRPr="008B08D9">
        <w:rPr>
          <w:rFonts w:ascii="Arial" w:hAnsi="Arial" w:cs="Arial"/>
          <w:noProof/>
          <w:color w:val="000000" w:themeColor="text1"/>
          <w:sz w:val="22"/>
          <w:szCs w:val="22"/>
        </w:rPr>
        <w:t>9</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r>
      <w:r w:rsidRPr="008B08D9">
        <w:rPr>
          <w:rStyle w:val="highwire-citation-authors"/>
          <w:rFonts w:ascii="Arial" w:hAnsi="Arial" w:cs="Arial"/>
          <w:color w:val="000000" w:themeColor="text1"/>
          <w:sz w:val="22"/>
          <w:szCs w:val="22"/>
        </w:rPr>
        <w:t>Hoad</w:t>
      </w:r>
      <w:r w:rsidRPr="008B08D9">
        <w:rPr>
          <w:rStyle w:val="Heading2Char"/>
          <w:rFonts w:ascii="Arial" w:hAnsi="Arial" w:cs="Arial"/>
          <w:b w:val="0"/>
          <w:bCs w:val="0"/>
          <w:sz w:val="22"/>
          <w:szCs w:val="22"/>
        </w:rPr>
        <w:t> NA</w:t>
      </w:r>
      <w:r w:rsidRPr="008B08D9">
        <w:rPr>
          <w:rStyle w:val="highwire-cite-doi"/>
          <w:rFonts w:ascii="Arial" w:hAnsi="Arial" w:cs="Arial"/>
          <w:color w:val="000000" w:themeColor="text1"/>
          <w:sz w:val="22"/>
          <w:szCs w:val="22"/>
        </w:rPr>
        <w:t>, </w:t>
      </w:r>
      <w:r w:rsidRPr="008B08D9">
        <w:rPr>
          <w:rStyle w:val="highwire-citation-authors"/>
          <w:rFonts w:ascii="Arial" w:hAnsi="Arial" w:cs="Arial"/>
          <w:color w:val="000000" w:themeColor="text1"/>
          <w:sz w:val="22"/>
          <w:szCs w:val="22"/>
        </w:rPr>
        <w:t>Clay</w:t>
      </w:r>
      <w:r w:rsidRPr="008B08D9">
        <w:rPr>
          <w:rStyle w:val="Heading2Char"/>
          <w:rFonts w:ascii="Arial" w:hAnsi="Arial" w:cs="Arial"/>
          <w:b w:val="0"/>
          <w:bCs w:val="0"/>
          <w:sz w:val="22"/>
          <w:szCs w:val="22"/>
        </w:rPr>
        <w:t> DN</w:t>
      </w:r>
      <w:r w:rsidRPr="008B08D9">
        <w:rPr>
          <w:rFonts w:ascii="Arial" w:hAnsi="Arial" w:cs="Arial"/>
          <w:color w:val="000000" w:themeColor="text1"/>
          <w:sz w:val="22"/>
          <w:szCs w:val="22"/>
        </w:rPr>
        <w:t xml:space="preserve">. Smoking Impairs the Response to a Physical Training Regime: A Study of Officer Cadets. </w:t>
      </w:r>
      <w:r w:rsidRPr="008B08D9">
        <w:rPr>
          <w:rStyle w:val="highwire-citation-author"/>
          <w:rFonts w:ascii="Arial" w:hAnsi="Arial" w:cs="Arial"/>
          <w:i/>
          <w:iCs/>
          <w:color w:val="000000" w:themeColor="text1"/>
          <w:sz w:val="22"/>
          <w:szCs w:val="22"/>
        </w:rPr>
        <w:t>BMJ Military Health </w:t>
      </w:r>
      <w:r w:rsidRPr="008B08D9">
        <w:rPr>
          <w:rStyle w:val="nlm-surname"/>
          <w:rFonts w:ascii="Arial" w:eastAsiaTheme="majorEastAsia" w:hAnsi="Arial" w:cs="Arial"/>
          <w:color w:val="000000" w:themeColor="text1"/>
          <w:sz w:val="22"/>
          <w:szCs w:val="22"/>
        </w:rPr>
        <w:t>1992;</w:t>
      </w:r>
      <w:r w:rsidRPr="008B08D9">
        <w:rPr>
          <w:rStyle w:val="highwire-cite-metadata-journal"/>
          <w:rFonts w:ascii="Arial" w:hAnsi="Arial" w:cs="Arial"/>
          <w:color w:val="000000" w:themeColor="text1"/>
          <w:sz w:val="22"/>
          <w:szCs w:val="22"/>
        </w:rPr>
        <w:t>138:</w:t>
      </w:r>
      <w:r w:rsidRPr="008B08D9">
        <w:rPr>
          <w:rStyle w:val="highwire-cite-metadata-date"/>
          <w:rFonts w:ascii="Arial" w:hAnsi="Arial" w:cs="Arial"/>
          <w:color w:val="000000" w:themeColor="text1"/>
          <w:sz w:val="22"/>
          <w:szCs w:val="22"/>
        </w:rPr>
        <w:t>115-117</w:t>
      </w:r>
      <w:r w:rsidRPr="008B08D9">
        <w:rPr>
          <w:rStyle w:val="highwire-cite-doi"/>
          <w:rFonts w:ascii="Arial" w:hAnsi="Arial" w:cs="Arial"/>
          <w:color w:val="000000" w:themeColor="text1"/>
          <w:sz w:val="22"/>
          <w:szCs w:val="22"/>
        </w:rPr>
        <w:t xml:space="preserve"> doi:</w:t>
      </w:r>
      <w:r w:rsidRPr="008B08D9">
        <w:rPr>
          <w:rFonts w:ascii="Arial" w:hAnsi="Arial" w:cs="Arial"/>
          <w:color w:val="000000" w:themeColor="text1"/>
          <w:sz w:val="22"/>
          <w:szCs w:val="22"/>
        </w:rPr>
        <w:t xml:space="preserve"> </w:t>
      </w:r>
      <w:hyperlink r:id="rId18" w:tgtFrame="_new" w:history="1">
        <w:r w:rsidRPr="008B08D9">
          <w:rPr>
            <w:rStyle w:val="highwire-cite-metadata-date"/>
            <w:rFonts w:ascii="Arial" w:hAnsi="Arial" w:cs="Arial"/>
            <w:color w:val="000000" w:themeColor="text1"/>
            <w:sz w:val="22"/>
            <w:szCs w:val="22"/>
            <w:shd w:val="clear" w:color="auto" w:fill="FFFFFF"/>
          </w:rPr>
          <w:t>10.1136/jramc-</w:t>
        </w:r>
        <w:r w:rsidRPr="008B08D9">
          <w:rPr>
            <w:rStyle w:val="highwire-cite-metadata-date"/>
            <w:rFonts w:ascii="Arial" w:hAnsi="Arial" w:cs="Arial"/>
            <w:color w:val="000000" w:themeColor="text1"/>
            <w:sz w:val="22"/>
            <w:szCs w:val="22"/>
            <w:shd w:val="clear" w:color="auto" w:fill="FFFFFF"/>
          </w:rPr>
          <w:lastRenderedPageBreak/>
          <w:t>138-03-02</w:t>
        </w:r>
      </w:hyperlink>
    </w:p>
    <w:p w14:paraId="3CE635BC"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66A83D78" w14:textId="1214213D" w:rsidR="00147646" w:rsidRPr="008B08D9" w:rsidRDefault="003D0D89" w:rsidP="00147646">
      <w:pPr>
        <w:widowControl w:val="0"/>
        <w:autoSpaceDE w:val="0"/>
        <w:autoSpaceDN w:val="0"/>
        <w:adjustRightInd w:val="0"/>
        <w:ind w:left="640" w:hanging="640"/>
        <w:rPr>
          <w:rFonts w:ascii="Arial" w:hAnsi="Arial" w:cs="Arial"/>
          <w:color w:val="000000" w:themeColor="text1"/>
          <w:sz w:val="22"/>
          <w:szCs w:val="22"/>
        </w:rPr>
      </w:pPr>
      <w:r w:rsidRPr="008B08D9">
        <w:rPr>
          <w:rFonts w:ascii="Arial" w:hAnsi="Arial" w:cs="Arial"/>
          <w:noProof/>
          <w:color w:val="000000" w:themeColor="text1"/>
          <w:sz w:val="22"/>
          <w:szCs w:val="22"/>
        </w:rPr>
        <w:t>20</w:t>
      </w:r>
      <w:r w:rsidR="00147646" w:rsidRPr="008B08D9">
        <w:rPr>
          <w:rFonts w:ascii="Arial" w:hAnsi="Arial" w:cs="Arial"/>
          <w:noProof/>
          <w:color w:val="000000" w:themeColor="text1"/>
          <w:sz w:val="22"/>
          <w:szCs w:val="22"/>
        </w:rPr>
        <w:t xml:space="preserve">. </w:t>
      </w:r>
      <w:r w:rsidR="00147646" w:rsidRPr="008B08D9">
        <w:rPr>
          <w:rFonts w:ascii="Arial" w:hAnsi="Arial" w:cs="Arial"/>
          <w:noProof/>
          <w:color w:val="000000" w:themeColor="text1"/>
          <w:sz w:val="22"/>
          <w:szCs w:val="22"/>
        </w:rPr>
        <w:tab/>
        <w:t xml:space="preserve">Bedno SA, Jackson R, Feng X, Walton IL, Boivin MR, Cowan DN. Meta-analysis of Cigarette Smoking and Musculoskeletal Injuries in Military Training. </w:t>
      </w:r>
      <w:r w:rsidR="00147646" w:rsidRPr="008B08D9">
        <w:rPr>
          <w:rFonts w:ascii="Arial" w:hAnsi="Arial" w:cs="Arial"/>
          <w:i/>
          <w:iCs/>
          <w:noProof/>
          <w:color w:val="000000" w:themeColor="text1"/>
          <w:sz w:val="22"/>
          <w:szCs w:val="22"/>
        </w:rPr>
        <w:t>Med Sci Sport Exerc</w:t>
      </w:r>
      <w:r w:rsidR="00147646" w:rsidRPr="008B08D9">
        <w:rPr>
          <w:rFonts w:ascii="Arial" w:hAnsi="Arial" w:cs="Arial"/>
          <w:noProof/>
          <w:color w:val="000000" w:themeColor="text1"/>
          <w:sz w:val="22"/>
          <w:szCs w:val="22"/>
        </w:rPr>
        <w:t xml:space="preserve"> 2017;49(11):2191-2197 doi: </w:t>
      </w:r>
      <w:hyperlink r:id="rId19" w:history="1">
        <w:r w:rsidR="00147646" w:rsidRPr="008B08D9">
          <w:rPr>
            <w:rStyle w:val="highwire-cite-metadata-date"/>
            <w:rFonts w:ascii="Arial" w:hAnsi="Arial" w:cs="Arial"/>
            <w:noProof/>
            <w:color w:val="000000" w:themeColor="text1"/>
            <w:sz w:val="22"/>
            <w:szCs w:val="22"/>
          </w:rPr>
          <w:t>10.1249/mss.0000000000001349</w:t>
        </w:r>
      </w:hyperlink>
    </w:p>
    <w:p w14:paraId="5F4B0C11"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5D1AE275" w14:textId="60F4D72C"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1</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Munnoch K, Bridger RS. Smoking and injury in Royal Marines’ training. </w:t>
      </w:r>
      <w:r w:rsidRPr="008B08D9">
        <w:rPr>
          <w:rFonts w:ascii="Arial" w:hAnsi="Arial" w:cs="Arial"/>
          <w:i/>
          <w:iCs/>
          <w:noProof/>
          <w:color w:val="000000" w:themeColor="text1"/>
          <w:sz w:val="22"/>
          <w:szCs w:val="22"/>
        </w:rPr>
        <w:t>Occup Med</w:t>
      </w:r>
      <w:r w:rsidRPr="008B08D9">
        <w:rPr>
          <w:rFonts w:ascii="Arial" w:hAnsi="Arial" w:cs="Arial"/>
          <w:noProof/>
          <w:color w:val="000000" w:themeColor="text1"/>
          <w:sz w:val="22"/>
          <w:szCs w:val="22"/>
        </w:rPr>
        <w:t xml:space="preserve"> 2007;11;57(3):214–6  doi: </w:t>
      </w:r>
      <w:hyperlink r:id="rId20" w:tgtFrame="_blank" w:history="1">
        <w:r w:rsidRPr="008B08D9">
          <w:rPr>
            <w:rStyle w:val="Heading2Char"/>
            <w:rFonts w:ascii="Arial" w:hAnsi="Arial" w:cs="Arial"/>
            <w:b w:val="0"/>
            <w:bCs w:val="0"/>
            <w:sz w:val="22"/>
            <w:szCs w:val="22"/>
          </w:rPr>
          <w:t>10.1093/occmed/kql170</w:t>
        </w:r>
      </w:hyperlink>
    </w:p>
    <w:p w14:paraId="6B6E8D20"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0B28F0AD" w14:textId="23E29F52"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2</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Ministry of Defence. </w:t>
      </w:r>
      <w:r w:rsidRPr="008B08D9">
        <w:rPr>
          <w:rFonts w:ascii="Arial" w:hAnsi="Arial" w:cs="Arial"/>
          <w:i/>
          <w:iCs/>
          <w:noProof/>
          <w:color w:val="000000" w:themeColor="text1"/>
          <w:sz w:val="22"/>
          <w:szCs w:val="22"/>
        </w:rPr>
        <w:t>Annual Medical Discharges in the UK Regular Armed Forces: 1 April 2014 to 31 March 2019</w:t>
      </w:r>
      <w:r w:rsidRPr="008B08D9">
        <w:rPr>
          <w:rFonts w:ascii="Arial" w:hAnsi="Arial" w:cs="Arial"/>
          <w:noProof/>
          <w:color w:val="000000" w:themeColor="text1"/>
          <w:sz w:val="22"/>
          <w:szCs w:val="22"/>
        </w:rPr>
        <w:t xml:space="preserve"> 2019. Available: https://assets.publishing.service.gov.uk/government/uploads/system/uploads/attachment_data/file/816158/20190708_-_MedicalDisBulletinFinal_-_O.pdf [Accessed 15 July 2020]</w:t>
      </w:r>
    </w:p>
    <w:p w14:paraId="3CA5CDA0"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3FCE567B" w14:textId="4985DA49"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3</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Hefler M. New Zealand to have world’s first smoke-free military by 2020. </w:t>
      </w:r>
      <w:r w:rsidRPr="008B08D9">
        <w:rPr>
          <w:rFonts w:ascii="Arial" w:hAnsi="Arial" w:cs="Arial"/>
          <w:i/>
          <w:iCs/>
          <w:noProof/>
          <w:color w:val="000000" w:themeColor="text1"/>
          <w:sz w:val="22"/>
          <w:szCs w:val="22"/>
        </w:rPr>
        <w:t xml:space="preserve">Tob Control Blog </w:t>
      </w:r>
      <w:r w:rsidRPr="008B08D9">
        <w:rPr>
          <w:rFonts w:ascii="Arial" w:hAnsi="Arial" w:cs="Arial"/>
          <w:noProof/>
          <w:color w:val="000000" w:themeColor="text1"/>
          <w:sz w:val="22"/>
          <w:szCs w:val="22"/>
        </w:rPr>
        <w:t>2017. Available: https://blogs.bmj.com/tc/2017/05/31/new-zealand-to-have-worlds-first-smoke-free-military-by-2020/ [Accessed 05 May 2020]</w:t>
      </w:r>
    </w:p>
    <w:p w14:paraId="69D880FA"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31D8DDEC" w14:textId="2AF93BCA" w:rsidR="00147646" w:rsidRPr="008B08D9" w:rsidRDefault="00147646" w:rsidP="00147646">
      <w:pPr>
        <w:ind w:left="640" w:hanging="640"/>
        <w:rPr>
          <w:rFonts w:ascii="Arial" w:hAnsi="Arial" w:cs="Arial"/>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4</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Conway, TL. Tobacco use and the United States military: a longstanding problem. </w:t>
      </w:r>
      <w:r w:rsidRPr="008B08D9">
        <w:rPr>
          <w:rFonts w:ascii="Arial" w:hAnsi="Arial" w:cs="Arial"/>
          <w:i/>
          <w:iCs/>
          <w:noProof/>
          <w:color w:val="000000" w:themeColor="text1"/>
          <w:sz w:val="22"/>
          <w:szCs w:val="22"/>
        </w:rPr>
        <w:t xml:space="preserve">Tobacco Control </w:t>
      </w:r>
      <w:r w:rsidRPr="008B08D9">
        <w:rPr>
          <w:rFonts w:ascii="Arial" w:hAnsi="Arial" w:cs="Arial"/>
          <w:noProof/>
          <w:color w:val="000000" w:themeColor="text1"/>
          <w:sz w:val="22"/>
          <w:szCs w:val="22"/>
        </w:rPr>
        <w:t xml:space="preserve">1998;7:219-221 doi: </w:t>
      </w:r>
      <w:hyperlink r:id="rId21" w:tgtFrame="_new" w:history="1">
        <w:r w:rsidRPr="008B08D9">
          <w:rPr>
            <w:rStyle w:val="highwire-cite-metadata-date"/>
            <w:rFonts w:ascii="Arial" w:hAnsi="Arial" w:cs="Arial"/>
            <w:color w:val="000000" w:themeColor="text1"/>
            <w:sz w:val="22"/>
            <w:szCs w:val="22"/>
            <w:shd w:val="clear" w:color="auto" w:fill="FFFFFF"/>
          </w:rPr>
          <w:t>10.1136/tc.7.3.219</w:t>
        </w:r>
      </w:hyperlink>
    </w:p>
    <w:p w14:paraId="67C67E2C"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44E35D36" w14:textId="1EDAE8F5"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5</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Roeseler A, Burns D. The quarter that changed the world. </w:t>
      </w:r>
      <w:r w:rsidRPr="008B08D9">
        <w:rPr>
          <w:rFonts w:ascii="Arial" w:hAnsi="Arial" w:cs="Arial"/>
          <w:i/>
          <w:iCs/>
          <w:noProof/>
          <w:color w:val="000000" w:themeColor="text1"/>
          <w:sz w:val="22"/>
          <w:szCs w:val="22"/>
        </w:rPr>
        <w:t>Tob Control</w:t>
      </w:r>
      <w:r w:rsidRPr="008B08D9">
        <w:rPr>
          <w:rFonts w:ascii="Arial" w:hAnsi="Arial" w:cs="Arial"/>
          <w:noProof/>
          <w:color w:val="000000" w:themeColor="text1"/>
          <w:sz w:val="22"/>
          <w:szCs w:val="22"/>
        </w:rPr>
        <w:t xml:space="preserve"> 2010;1;19(Suppl 1):i3 LP-i15 doi: </w:t>
      </w:r>
      <w:hyperlink r:id="rId22" w:tgtFrame="_new" w:history="1">
        <w:r w:rsidRPr="008B08D9">
          <w:rPr>
            <w:rStyle w:val="highwire-cite-metadata-date"/>
            <w:rFonts w:ascii="Arial" w:hAnsi="Arial" w:cs="Arial"/>
            <w:color w:val="000000" w:themeColor="text1"/>
            <w:sz w:val="22"/>
            <w:szCs w:val="22"/>
            <w:shd w:val="clear" w:color="auto" w:fill="FFFFFF"/>
          </w:rPr>
          <w:t>10.1136/tc.2009.030809</w:t>
        </w:r>
      </w:hyperlink>
    </w:p>
    <w:p w14:paraId="617BCACA"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651F8FFB" w14:textId="42CE5525"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6</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Nicol M. Top Armed Forces medical officer faces “Nazi” jibes after trying to stop his soldiers smoking in uniform. </w:t>
      </w:r>
      <w:r w:rsidRPr="008B08D9">
        <w:rPr>
          <w:rFonts w:ascii="Arial" w:hAnsi="Arial" w:cs="Arial"/>
          <w:i/>
          <w:iCs/>
          <w:noProof/>
          <w:color w:val="000000" w:themeColor="text1"/>
          <w:sz w:val="22"/>
          <w:szCs w:val="22"/>
        </w:rPr>
        <w:t>Daily Mail</w:t>
      </w:r>
      <w:r w:rsidRPr="008B08D9">
        <w:rPr>
          <w:rFonts w:ascii="Arial" w:hAnsi="Arial" w:cs="Arial"/>
          <w:noProof/>
          <w:color w:val="000000" w:themeColor="text1"/>
          <w:sz w:val="22"/>
          <w:szCs w:val="22"/>
        </w:rPr>
        <w:t xml:space="preserve"> 2017; Available: https://www.dailymail.co.uk/news/article-4120664/Top-Armed-Forces-medical-officer-faces-Nazi-jibes-trying-stop-soldiers-smoking-uniform.html</w:t>
      </w:r>
    </w:p>
    <w:p w14:paraId="06E37FE8"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60AE9416" w14:textId="61A83141"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7</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Frazer K, McHugh J, Callinan JE, Kelleher C. Impact of institutional smoking bans on reducing harms and secondhand smoke exposure. </w:t>
      </w:r>
      <w:r w:rsidRPr="008B08D9">
        <w:rPr>
          <w:rFonts w:ascii="Arial" w:hAnsi="Arial" w:cs="Arial"/>
          <w:i/>
          <w:iCs/>
          <w:noProof/>
          <w:color w:val="000000" w:themeColor="text1"/>
          <w:sz w:val="22"/>
          <w:szCs w:val="22"/>
        </w:rPr>
        <w:t>Cochrane Database Syst Rev</w:t>
      </w:r>
      <w:r w:rsidRPr="008B08D9">
        <w:rPr>
          <w:rFonts w:ascii="Arial" w:hAnsi="Arial" w:cs="Arial"/>
          <w:noProof/>
          <w:color w:val="000000" w:themeColor="text1"/>
          <w:sz w:val="22"/>
          <w:szCs w:val="22"/>
        </w:rPr>
        <w:t xml:space="preserve">  2016;5:</w:t>
      </w:r>
      <w:r w:rsidRPr="008B08D9">
        <w:rPr>
          <w:rFonts w:ascii="Arial" w:hAnsi="Arial" w:cs="Arial"/>
          <w:color w:val="000000" w:themeColor="text1"/>
          <w:sz w:val="22"/>
          <w:szCs w:val="22"/>
        </w:rPr>
        <w:t>CD011856.</w:t>
      </w:r>
      <w:r w:rsidRPr="008B08D9">
        <w:rPr>
          <w:rFonts w:ascii="Arial" w:hAnsi="Arial" w:cs="Arial"/>
          <w:noProof/>
          <w:color w:val="000000" w:themeColor="text1"/>
          <w:sz w:val="22"/>
          <w:szCs w:val="22"/>
        </w:rPr>
        <w:t xml:space="preserve"> Available: https://www.cochranelibrary.com/cdsr/doi/10.1002/14651858.CD011856.pub2/epdf/full [Accessed 05 July 2020]</w:t>
      </w:r>
    </w:p>
    <w:p w14:paraId="247401A9"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36106A9A" w14:textId="384B6CFF" w:rsidR="00CC4558" w:rsidRPr="008B08D9" w:rsidRDefault="00147646" w:rsidP="00CC4558">
      <w:pPr>
        <w:widowControl w:val="0"/>
        <w:autoSpaceDE w:val="0"/>
        <w:autoSpaceDN w:val="0"/>
        <w:adjustRightInd w:val="0"/>
        <w:ind w:left="640" w:hanging="640"/>
        <w:rPr>
          <w:rFonts w:ascii="Arial" w:hAnsi="Arial" w:cs="Arial"/>
          <w:noProof/>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8</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r>
      <w:r w:rsidR="00CC4558" w:rsidRPr="008B08D9">
        <w:rPr>
          <w:rFonts w:ascii="Arial" w:hAnsi="Arial" w:cs="Arial"/>
          <w:noProof/>
          <w:sz w:val="22"/>
          <w:szCs w:val="22"/>
        </w:rPr>
        <w:t xml:space="preserve">National Institute for Health and Care Excellence. (2013). </w:t>
      </w:r>
      <w:r w:rsidR="00CC4558" w:rsidRPr="008B08D9">
        <w:rPr>
          <w:rFonts w:ascii="Arial" w:hAnsi="Arial" w:cs="Arial"/>
          <w:i/>
          <w:iCs/>
          <w:noProof/>
          <w:sz w:val="22"/>
          <w:szCs w:val="22"/>
        </w:rPr>
        <w:t xml:space="preserve">Smoking: acute, maternity and mental health services. Public health guideline [PH48] </w:t>
      </w:r>
      <w:r w:rsidR="00CC4558" w:rsidRPr="008B08D9">
        <w:rPr>
          <w:rFonts w:ascii="Arial" w:hAnsi="Arial" w:cs="Arial"/>
          <w:noProof/>
          <w:sz w:val="22"/>
          <w:szCs w:val="22"/>
        </w:rPr>
        <w:t>2013. Available at: https://www.nice.org.uk/guidance/ph48/chapter/10-Gaps-in-the-evidence [Accessed 13 July 2020]</w:t>
      </w:r>
    </w:p>
    <w:p w14:paraId="22DBEF58"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6A79D53D" w14:textId="06E5D729"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2</w:t>
      </w:r>
      <w:r w:rsidR="003D0D89" w:rsidRPr="008B08D9">
        <w:rPr>
          <w:rFonts w:ascii="Arial" w:hAnsi="Arial" w:cs="Arial"/>
          <w:noProof/>
          <w:color w:val="000000" w:themeColor="text1"/>
          <w:sz w:val="22"/>
          <w:szCs w:val="22"/>
        </w:rPr>
        <w:t>9</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Liberati A, Altman DG, Tetzlaff J, Mulrow C, Gøtzsche PC, Ioannidis JPA, et al. The PRISMA statement for reporting systematic reviews and meta-analyses of studies that evaluate healthcare interventions: explanation and elaboration. </w:t>
      </w:r>
      <w:r w:rsidRPr="008B08D9">
        <w:rPr>
          <w:rFonts w:ascii="Arial" w:hAnsi="Arial" w:cs="Arial"/>
          <w:i/>
          <w:iCs/>
          <w:noProof/>
          <w:color w:val="000000" w:themeColor="text1"/>
          <w:sz w:val="22"/>
          <w:szCs w:val="22"/>
        </w:rPr>
        <w:t>BMJ</w:t>
      </w:r>
      <w:r w:rsidRPr="008B08D9">
        <w:rPr>
          <w:rFonts w:ascii="Arial" w:hAnsi="Arial" w:cs="Arial"/>
          <w:noProof/>
          <w:color w:val="000000" w:themeColor="text1"/>
          <w:sz w:val="22"/>
          <w:szCs w:val="22"/>
        </w:rPr>
        <w:t xml:space="preserve"> 2009; 21;339:b2700 doi: </w:t>
      </w:r>
      <w:hyperlink r:id="rId23" w:history="1">
        <w:r w:rsidRPr="008B08D9">
          <w:rPr>
            <w:rStyle w:val="highwire-cite-metadata-date"/>
            <w:rFonts w:ascii="Arial" w:hAnsi="Arial" w:cs="Arial"/>
            <w:color w:val="000000" w:themeColor="text1"/>
            <w:sz w:val="22"/>
            <w:szCs w:val="22"/>
            <w:bdr w:val="none" w:sz="0" w:space="0" w:color="auto" w:frame="1"/>
            <w:shd w:val="clear" w:color="auto" w:fill="FFFFFF"/>
          </w:rPr>
          <w:t>10.1136/bmj.b2700</w:t>
        </w:r>
      </w:hyperlink>
    </w:p>
    <w:p w14:paraId="5EF66FEE"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2F30F772" w14:textId="102CFFCC" w:rsidR="00147646" w:rsidRPr="008B08D9" w:rsidRDefault="003D0D89"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30</w:t>
      </w:r>
      <w:r w:rsidR="00147646" w:rsidRPr="008B08D9">
        <w:rPr>
          <w:rFonts w:ascii="Arial" w:hAnsi="Arial" w:cs="Arial"/>
          <w:noProof/>
          <w:color w:val="000000" w:themeColor="text1"/>
          <w:sz w:val="22"/>
          <w:szCs w:val="22"/>
        </w:rPr>
        <w:t xml:space="preserve">. </w:t>
      </w:r>
      <w:r w:rsidR="00147646" w:rsidRPr="008B08D9">
        <w:rPr>
          <w:rFonts w:ascii="Arial" w:hAnsi="Arial" w:cs="Arial"/>
          <w:noProof/>
          <w:color w:val="000000" w:themeColor="text1"/>
          <w:sz w:val="22"/>
          <w:szCs w:val="22"/>
        </w:rPr>
        <w:tab/>
      </w:r>
      <w:r w:rsidR="00147646" w:rsidRPr="008B08D9">
        <w:rPr>
          <w:rFonts w:ascii="Arial" w:hAnsi="Arial" w:cs="Arial"/>
          <w:color w:val="000000" w:themeColor="text1"/>
          <w:sz w:val="22"/>
          <w:szCs w:val="22"/>
          <w:shd w:val="clear" w:color="auto" w:fill="FFFFFF"/>
        </w:rPr>
        <w:t xml:space="preserve">Falconer Hall T, Siddiqi K. Evaluation of the impact of smoke-free policies in defence settings on exposure of military personnel to second-hand smoke: a systematic review. </w:t>
      </w:r>
      <w:r w:rsidR="00147646" w:rsidRPr="008B08D9">
        <w:rPr>
          <w:rFonts w:ascii="Arial" w:hAnsi="Arial" w:cs="Arial"/>
          <w:i/>
          <w:iCs/>
          <w:color w:val="000000" w:themeColor="text1"/>
          <w:sz w:val="22"/>
          <w:szCs w:val="22"/>
          <w:shd w:val="clear" w:color="auto" w:fill="FFFFFF"/>
        </w:rPr>
        <w:t>PROSPERO</w:t>
      </w:r>
      <w:r w:rsidR="00147646" w:rsidRPr="008B08D9">
        <w:rPr>
          <w:rFonts w:ascii="Arial" w:hAnsi="Arial" w:cs="Arial"/>
          <w:color w:val="000000" w:themeColor="text1"/>
          <w:sz w:val="22"/>
          <w:szCs w:val="22"/>
          <w:shd w:val="clear" w:color="auto" w:fill="FFFFFF"/>
        </w:rPr>
        <w:t xml:space="preserve"> 2020;CRD42020198155. Available from: </w:t>
      </w:r>
      <w:hyperlink r:id="rId24" w:history="1">
        <w:r w:rsidR="00147646" w:rsidRPr="008B08D9">
          <w:rPr>
            <w:rStyle w:val="highwire-cite-doi"/>
            <w:rFonts w:ascii="Arial" w:hAnsi="Arial" w:cs="Arial"/>
            <w:color w:val="000000" w:themeColor="text1"/>
            <w:sz w:val="22"/>
            <w:szCs w:val="22"/>
            <w:shd w:val="clear" w:color="auto" w:fill="FFFFFF"/>
          </w:rPr>
          <w:t>https://www.crd.york.ac.uk/prospero/display_record.php?ID=CRD42020198155</w:t>
        </w:r>
      </w:hyperlink>
    </w:p>
    <w:p w14:paraId="04919F2B"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6193E46C" w14:textId="1138051C"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1</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Centre for Reviews and Dissemination. </w:t>
      </w:r>
      <w:r w:rsidRPr="008B08D9">
        <w:rPr>
          <w:rFonts w:ascii="Arial" w:hAnsi="Arial" w:cs="Arial"/>
          <w:i/>
          <w:iCs/>
          <w:noProof/>
          <w:color w:val="000000" w:themeColor="text1"/>
          <w:sz w:val="22"/>
          <w:szCs w:val="22"/>
        </w:rPr>
        <w:t>Systematic Reviews: CRD’s guidance for undertaking reviews in health care</w:t>
      </w:r>
      <w:r w:rsidRPr="008B08D9">
        <w:rPr>
          <w:rFonts w:ascii="Arial" w:hAnsi="Arial" w:cs="Arial"/>
          <w:noProof/>
          <w:color w:val="000000" w:themeColor="text1"/>
          <w:sz w:val="22"/>
          <w:szCs w:val="22"/>
        </w:rPr>
        <w:t xml:space="preserve"> 2009. Available from: https://www.york.ac.uk/media/crd/Systematic_Reviews.pdf [Accessed 23 May 2020]</w:t>
      </w:r>
    </w:p>
    <w:p w14:paraId="01AEFF18"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317CF8DD" w14:textId="0E4CEBF9"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lastRenderedPageBreak/>
        <w:t>3</w:t>
      </w:r>
      <w:r w:rsidR="003D0D89" w:rsidRPr="008B08D9">
        <w:rPr>
          <w:rFonts w:ascii="Arial" w:hAnsi="Arial" w:cs="Arial"/>
          <w:noProof/>
          <w:color w:val="000000" w:themeColor="text1"/>
          <w:sz w:val="22"/>
          <w:szCs w:val="22"/>
        </w:rPr>
        <w:t>2</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Sterne JAC, Hernán MA, Reeves BC, Savović J, Berkman ND, Viswanathan M, et al. ROBINS-I: a tool for assessing risk of bias in non-randomised studies of interventions. </w:t>
      </w:r>
      <w:r w:rsidRPr="008B08D9">
        <w:rPr>
          <w:rFonts w:ascii="Arial" w:hAnsi="Arial" w:cs="Arial"/>
          <w:i/>
          <w:iCs/>
          <w:noProof/>
          <w:color w:val="000000" w:themeColor="text1"/>
          <w:sz w:val="22"/>
          <w:szCs w:val="22"/>
        </w:rPr>
        <w:t xml:space="preserve">BMJ </w:t>
      </w:r>
      <w:r w:rsidRPr="008B08D9">
        <w:rPr>
          <w:rFonts w:ascii="Arial" w:hAnsi="Arial" w:cs="Arial"/>
          <w:noProof/>
          <w:color w:val="000000" w:themeColor="text1"/>
          <w:sz w:val="22"/>
          <w:szCs w:val="22"/>
        </w:rPr>
        <w:t xml:space="preserve">2016;355:i4919 doi: </w:t>
      </w:r>
      <w:hyperlink r:id="rId25" w:history="1">
        <w:r w:rsidRPr="008B08D9">
          <w:rPr>
            <w:rFonts w:ascii="Arial" w:hAnsi="Arial" w:cs="Arial"/>
            <w:color w:val="000000" w:themeColor="text1"/>
            <w:sz w:val="22"/>
            <w:szCs w:val="22"/>
            <w:u w:val="single"/>
            <w:bdr w:val="none" w:sz="0" w:space="0" w:color="auto" w:frame="1"/>
            <w:shd w:val="clear" w:color="auto" w:fill="FFFFFF"/>
          </w:rPr>
          <w:t>10.1136/bmj.i4919</w:t>
        </w:r>
      </w:hyperlink>
    </w:p>
    <w:p w14:paraId="2263F228"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6F4DB807" w14:textId="3FBA3321"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3</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Campbell M, McKenzie JE, Sowden A, Katikireddi SV, Brennan SE, Ellis S, et al. Synthesis without meta-analysis (SWiM) in systematic reviews: reporting guideline. </w:t>
      </w:r>
      <w:r w:rsidRPr="008B08D9">
        <w:rPr>
          <w:rFonts w:ascii="Arial" w:hAnsi="Arial" w:cs="Arial"/>
          <w:i/>
          <w:iCs/>
          <w:noProof/>
          <w:color w:val="000000" w:themeColor="text1"/>
          <w:sz w:val="22"/>
          <w:szCs w:val="22"/>
        </w:rPr>
        <w:t>BMJ</w:t>
      </w:r>
      <w:r w:rsidRPr="008B08D9">
        <w:rPr>
          <w:rFonts w:ascii="Arial" w:hAnsi="Arial" w:cs="Arial"/>
          <w:noProof/>
          <w:color w:val="000000" w:themeColor="text1"/>
          <w:sz w:val="22"/>
          <w:szCs w:val="22"/>
        </w:rPr>
        <w:t xml:space="preserve"> 2020;368:l6890 doi: </w:t>
      </w:r>
      <w:hyperlink r:id="rId26" w:history="1">
        <w:r w:rsidRPr="008B08D9">
          <w:rPr>
            <w:rFonts w:ascii="Arial" w:hAnsi="Arial" w:cs="Arial"/>
            <w:color w:val="000000" w:themeColor="text1"/>
            <w:sz w:val="22"/>
            <w:szCs w:val="22"/>
            <w:u w:val="single"/>
            <w:bdr w:val="none" w:sz="0" w:space="0" w:color="auto" w:frame="1"/>
            <w:shd w:val="clear" w:color="auto" w:fill="FFFFFF"/>
          </w:rPr>
          <w:t>10.1136/bmj.l6890</w:t>
        </w:r>
      </w:hyperlink>
    </w:p>
    <w:p w14:paraId="1399DA09"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104E378E" w14:textId="1E8A53A4"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4</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Schünemann HJ, Higgins JPT, Vist GE, Glasziou P, Akl EA, Skoetz N and Guyatt GH</w:t>
      </w:r>
      <w:r w:rsidRPr="008B08D9">
        <w:rPr>
          <w:rFonts w:ascii="Arial" w:hAnsi="Arial" w:cs="Arial"/>
          <w:i/>
          <w:iCs/>
          <w:noProof/>
          <w:color w:val="000000" w:themeColor="text1"/>
          <w:sz w:val="22"/>
          <w:szCs w:val="22"/>
        </w:rPr>
        <w:t>.</w:t>
      </w:r>
      <w:r w:rsidRPr="008B08D9">
        <w:rPr>
          <w:rFonts w:ascii="Arial" w:hAnsi="Arial" w:cs="Arial"/>
          <w:noProof/>
          <w:color w:val="000000" w:themeColor="text1"/>
          <w:sz w:val="22"/>
          <w:szCs w:val="22"/>
        </w:rPr>
        <w:t xml:space="preserve"> Chapter 14: Completing “Summary of findings” tables and grading the certainty of the evidence. In J.P.T. Higgins, J. Thomas, J. Chandler, M. Cumpston, T. Li, M.J. Page and V.A. Welch, (Eds). </w:t>
      </w:r>
      <w:r w:rsidRPr="008B08D9">
        <w:rPr>
          <w:rFonts w:ascii="Arial" w:hAnsi="Arial" w:cs="Arial"/>
          <w:i/>
          <w:iCs/>
          <w:noProof/>
          <w:color w:val="000000" w:themeColor="text1"/>
          <w:sz w:val="22"/>
          <w:szCs w:val="22"/>
        </w:rPr>
        <w:t>Cochrane Handbook for Systematic Reviews of Interventions</w:t>
      </w:r>
      <w:r w:rsidRPr="008B08D9">
        <w:rPr>
          <w:rFonts w:ascii="Arial" w:hAnsi="Arial" w:cs="Arial"/>
          <w:noProof/>
          <w:color w:val="000000" w:themeColor="text1"/>
          <w:sz w:val="22"/>
          <w:szCs w:val="22"/>
        </w:rPr>
        <w:t xml:space="preserve"> 2019;Version 6.0. Available: https://training.cochrane.org/handbook/current/chapter-14 [Accessed 07 July 2020].</w:t>
      </w:r>
    </w:p>
    <w:p w14:paraId="23B6037A"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18B01E56" w14:textId="0AB1D679"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5</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Chiu Y-L, Lo H-C, Lai C-H, Hwang S-L, Lin F-G, Huang S-J, Jiang S-H, Li S-R, Tzeng, Y-M, Fang W-H. and Kao, S. Effectiveness of a smoking restriction policy on smoking behaviour in the military. </w:t>
      </w:r>
      <w:r w:rsidRPr="008B08D9">
        <w:rPr>
          <w:rFonts w:ascii="Arial" w:hAnsi="Arial" w:cs="Arial"/>
          <w:i/>
          <w:iCs/>
          <w:noProof/>
          <w:color w:val="000000" w:themeColor="text1"/>
          <w:sz w:val="22"/>
          <w:szCs w:val="22"/>
        </w:rPr>
        <w:t xml:space="preserve">Addict Behav </w:t>
      </w:r>
      <w:r w:rsidRPr="008B08D9">
        <w:rPr>
          <w:rFonts w:ascii="Arial" w:hAnsi="Arial" w:cs="Arial"/>
          <w:noProof/>
          <w:color w:val="000000" w:themeColor="text1"/>
          <w:sz w:val="22"/>
          <w:szCs w:val="22"/>
        </w:rPr>
        <w:t xml:space="preserve">2017;67:53–57 doi: </w:t>
      </w:r>
      <w:hyperlink r:id="rId27" w:tgtFrame="_blank" w:history="1">
        <w:r w:rsidRPr="008B08D9">
          <w:rPr>
            <w:rFonts w:ascii="Arial" w:hAnsi="Arial" w:cs="Arial"/>
            <w:color w:val="000000" w:themeColor="text1"/>
            <w:sz w:val="22"/>
            <w:szCs w:val="22"/>
            <w:u w:val="single"/>
          </w:rPr>
          <w:t>10.1016/j.addbeh.2016.12.006</w:t>
        </w:r>
      </w:hyperlink>
    </w:p>
    <w:p w14:paraId="378899DE"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0E839E36" w14:textId="62C1C42D"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6</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Cronan T, Hervig LK, Conway TL. Evaluation of smoking interventions in recruit training. </w:t>
      </w:r>
      <w:r w:rsidRPr="008B08D9">
        <w:rPr>
          <w:rFonts w:ascii="Arial" w:hAnsi="Arial" w:cs="Arial"/>
          <w:i/>
          <w:iCs/>
          <w:noProof/>
          <w:color w:val="000000" w:themeColor="text1"/>
          <w:sz w:val="22"/>
          <w:szCs w:val="22"/>
        </w:rPr>
        <w:t xml:space="preserve">US NAvy Medical Research and Development Command </w:t>
      </w:r>
      <w:r w:rsidRPr="008B08D9">
        <w:rPr>
          <w:rFonts w:ascii="Arial" w:hAnsi="Arial" w:cs="Arial"/>
          <w:noProof/>
          <w:color w:val="000000" w:themeColor="text1"/>
          <w:sz w:val="22"/>
          <w:szCs w:val="22"/>
        </w:rPr>
        <w:t>1989. Available at: https://apps.dtic.mil/dtic/tr/fulltext/u2/a191940.pdf [Accessed 20 July 2020]</w:t>
      </w:r>
    </w:p>
    <w:p w14:paraId="6A5938CF"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7BE54A11" w14:textId="3122965F"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7</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Derkenne C, Bylicki O, Darléguy A, Garnier M, Baert P, Lamblin A. Tolerance and Effectiveness of Forced and Prolonged Smoking Cessation Among French Submariners. </w:t>
      </w:r>
      <w:r w:rsidRPr="008B08D9">
        <w:rPr>
          <w:rFonts w:ascii="Arial" w:hAnsi="Arial" w:cs="Arial"/>
          <w:i/>
          <w:iCs/>
          <w:noProof/>
          <w:color w:val="000000" w:themeColor="text1"/>
          <w:sz w:val="22"/>
          <w:szCs w:val="22"/>
        </w:rPr>
        <w:t>Mil Med</w:t>
      </w:r>
      <w:r w:rsidRPr="008B08D9">
        <w:rPr>
          <w:rFonts w:ascii="Arial" w:hAnsi="Arial" w:cs="Arial"/>
          <w:noProof/>
          <w:color w:val="000000" w:themeColor="text1"/>
          <w:sz w:val="22"/>
          <w:szCs w:val="22"/>
        </w:rPr>
        <w:t xml:space="preserve"> 2016;181(5):445–50 doi: </w:t>
      </w:r>
      <w:hyperlink r:id="rId28" w:tgtFrame="_blank" w:history="1">
        <w:r w:rsidRPr="008B08D9">
          <w:rPr>
            <w:rFonts w:ascii="Arial" w:hAnsi="Arial" w:cs="Arial"/>
            <w:color w:val="000000" w:themeColor="text1"/>
            <w:sz w:val="22"/>
            <w:szCs w:val="22"/>
            <w:u w:val="single"/>
          </w:rPr>
          <w:t>10.7205/MILMED-D-15-00177</w:t>
        </w:r>
      </w:hyperlink>
    </w:p>
    <w:p w14:paraId="26576B75"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02C235F5" w14:textId="00F8686A"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8</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Hurtado SL and Conway TL. Changes in Smoking Prevalence following a Strict No-Smoking Policy in U.S. Navy Recruit Training. </w:t>
      </w:r>
      <w:r w:rsidRPr="008B08D9">
        <w:rPr>
          <w:rFonts w:ascii="Arial" w:hAnsi="Arial" w:cs="Arial"/>
          <w:i/>
          <w:iCs/>
          <w:noProof/>
          <w:color w:val="000000" w:themeColor="text1"/>
          <w:sz w:val="22"/>
          <w:szCs w:val="22"/>
        </w:rPr>
        <w:t xml:space="preserve">Military Medicine </w:t>
      </w:r>
      <w:r w:rsidRPr="008B08D9">
        <w:rPr>
          <w:rFonts w:ascii="Arial" w:hAnsi="Arial" w:cs="Arial"/>
          <w:noProof/>
          <w:color w:val="000000" w:themeColor="text1"/>
          <w:sz w:val="22"/>
          <w:szCs w:val="22"/>
        </w:rPr>
        <w:t xml:space="preserve">1996;161(10):571-576 </w:t>
      </w:r>
      <w:r w:rsidRPr="008B08D9">
        <w:rPr>
          <w:rFonts w:ascii="Arial" w:hAnsi="Arial" w:cs="Arial"/>
          <w:color w:val="000000" w:themeColor="text1"/>
          <w:sz w:val="22"/>
          <w:szCs w:val="22"/>
        </w:rPr>
        <w:t xml:space="preserve">doi: </w:t>
      </w:r>
      <w:r w:rsidRPr="008B08D9">
        <w:rPr>
          <w:rFonts w:ascii="Arial" w:hAnsi="Arial" w:cs="Arial"/>
          <w:color w:val="000000" w:themeColor="text1"/>
          <w:sz w:val="22"/>
          <w:szCs w:val="22"/>
          <w:u w:val="single"/>
          <w:bdr w:val="none" w:sz="0" w:space="0" w:color="auto" w:frame="1"/>
          <w:shd w:val="clear" w:color="auto" w:fill="FFFFFF"/>
        </w:rPr>
        <w:t>https://doi.org/10.1093/milmed/161.10.571</w:t>
      </w:r>
    </w:p>
    <w:p w14:paraId="6F9CB24C"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6970F396" w14:textId="70E390F8"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3</w:t>
      </w:r>
      <w:r w:rsidR="003D0D89" w:rsidRPr="008B08D9">
        <w:rPr>
          <w:rFonts w:ascii="Arial" w:hAnsi="Arial" w:cs="Arial"/>
          <w:noProof/>
          <w:color w:val="000000" w:themeColor="text1"/>
          <w:sz w:val="22"/>
          <w:szCs w:val="22"/>
        </w:rPr>
        <w:t>9</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Patten CA, Martin JE, Hofstetter CR, Brown SA, Kim N, Williams C. Smoking cessation following treatment in a smoke-free Navy Alcohol Rehabilitation program. </w:t>
      </w:r>
      <w:r w:rsidRPr="008B08D9">
        <w:rPr>
          <w:rFonts w:ascii="Arial" w:hAnsi="Arial" w:cs="Arial"/>
          <w:i/>
          <w:iCs/>
          <w:noProof/>
          <w:color w:val="000000" w:themeColor="text1"/>
          <w:sz w:val="22"/>
          <w:szCs w:val="22"/>
        </w:rPr>
        <w:t xml:space="preserve">J Subst Abuse Treat </w:t>
      </w:r>
      <w:r w:rsidRPr="008B08D9">
        <w:rPr>
          <w:rFonts w:ascii="Arial" w:hAnsi="Arial" w:cs="Arial"/>
          <w:noProof/>
          <w:color w:val="000000" w:themeColor="text1"/>
          <w:sz w:val="22"/>
          <w:szCs w:val="22"/>
        </w:rPr>
        <w:t xml:space="preserve">1999;16(1):61–9 doi: </w:t>
      </w:r>
      <w:hyperlink r:id="rId29" w:tgtFrame="_blank" w:tooltip="Persistent link using digital object identifier" w:history="1">
        <w:r w:rsidRPr="008B08D9">
          <w:rPr>
            <w:rFonts w:ascii="Arial" w:hAnsi="Arial" w:cs="Arial"/>
            <w:color w:val="000000" w:themeColor="text1"/>
            <w:sz w:val="22"/>
            <w:szCs w:val="22"/>
            <w:u w:val="single"/>
          </w:rPr>
          <w:t>10.1016/S0740-5472(98)00016-6</w:t>
        </w:r>
      </w:hyperlink>
    </w:p>
    <w:p w14:paraId="2D3DBA81"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3428A7C1" w14:textId="3BF87AC9" w:rsidR="00147646" w:rsidRPr="008B08D9" w:rsidRDefault="003D0D89"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40</w:t>
      </w:r>
      <w:r w:rsidR="00147646" w:rsidRPr="008B08D9">
        <w:rPr>
          <w:rFonts w:ascii="Arial" w:hAnsi="Arial" w:cs="Arial"/>
          <w:noProof/>
          <w:color w:val="000000" w:themeColor="text1"/>
          <w:sz w:val="22"/>
          <w:szCs w:val="22"/>
        </w:rPr>
        <w:t xml:space="preserve">. </w:t>
      </w:r>
      <w:r w:rsidR="00147646" w:rsidRPr="008B08D9">
        <w:rPr>
          <w:rFonts w:ascii="Arial" w:hAnsi="Arial" w:cs="Arial"/>
          <w:noProof/>
          <w:color w:val="000000" w:themeColor="text1"/>
          <w:sz w:val="22"/>
          <w:szCs w:val="22"/>
        </w:rPr>
        <w:tab/>
        <w:t xml:space="preserve">Santo TJ, Ellis S, Rivera LO, Vasquez LE, Francis MM, Jin WK, et al. A Tobacco-Free Medical Campus Policy is Associated With Decreased Secondhand Smoke Exposure and Increased Satisfaction Among Military Medical Employees: Results of a Mixed-Methods Evaluation. </w:t>
      </w:r>
      <w:r w:rsidR="00147646" w:rsidRPr="008B08D9">
        <w:rPr>
          <w:rFonts w:ascii="Arial" w:hAnsi="Arial" w:cs="Arial"/>
          <w:i/>
          <w:iCs/>
          <w:noProof/>
          <w:color w:val="000000" w:themeColor="text1"/>
          <w:sz w:val="22"/>
          <w:szCs w:val="22"/>
        </w:rPr>
        <w:t>Mil Med</w:t>
      </w:r>
      <w:r w:rsidR="00147646" w:rsidRPr="008B08D9">
        <w:rPr>
          <w:rFonts w:ascii="Arial" w:hAnsi="Arial" w:cs="Arial"/>
          <w:noProof/>
          <w:color w:val="000000" w:themeColor="text1"/>
          <w:sz w:val="22"/>
          <w:szCs w:val="22"/>
        </w:rPr>
        <w:t xml:space="preserve"> 2017;182(5):e1724–32 doi: </w:t>
      </w:r>
      <w:hyperlink r:id="rId30" w:tgtFrame="_blank" w:history="1">
        <w:r w:rsidR="00147646" w:rsidRPr="008B08D9">
          <w:rPr>
            <w:rFonts w:ascii="Arial" w:hAnsi="Arial" w:cs="Arial"/>
            <w:color w:val="000000" w:themeColor="text1"/>
            <w:sz w:val="22"/>
            <w:szCs w:val="22"/>
            <w:u w:val="single"/>
          </w:rPr>
          <w:t>10.7205/MILMED-D-16-00153</w:t>
        </w:r>
      </w:hyperlink>
    </w:p>
    <w:p w14:paraId="16B85621"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38CD009D" w14:textId="66DB0194"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1</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Williams L, Gackstetter G, Fiedler E, Hermesch C and Lando H. Prevalence of Tobacco Use among First-Term Air Force Personnel before and after Basic Military Training. </w:t>
      </w:r>
      <w:r w:rsidRPr="008B08D9">
        <w:rPr>
          <w:rFonts w:ascii="Arial" w:hAnsi="Arial" w:cs="Arial"/>
          <w:i/>
          <w:iCs/>
          <w:noProof/>
          <w:color w:val="000000" w:themeColor="text1"/>
          <w:sz w:val="22"/>
          <w:szCs w:val="22"/>
        </w:rPr>
        <w:t xml:space="preserve">Mil Med </w:t>
      </w:r>
      <w:r w:rsidRPr="008B08D9">
        <w:rPr>
          <w:rFonts w:ascii="Arial" w:hAnsi="Arial" w:cs="Arial"/>
          <w:noProof/>
          <w:color w:val="000000" w:themeColor="text1"/>
          <w:sz w:val="22"/>
          <w:szCs w:val="22"/>
        </w:rPr>
        <w:t xml:space="preserve">1996;161(6):318-323 doi: </w:t>
      </w:r>
      <w:hyperlink r:id="rId31" w:history="1">
        <w:r w:rsidRPr="008B08D9">
          <w:rPr>
            <w:rFonts w:ascii="Arial" w:hAnsi="Arial" w:cs="Arial"/>
            <w:color w:val="000000" w:themeColor="text1"/>
            <w:sz w:val="22"/>
            <w:szCs w:val="22"/>
            <w:u w:val="single"/>
            <w:bdr w:val="none" w:sz="0" w:space="0" w:color="auto" w:frame="1"/>
            <w:shd w:val="clear" w:color="auto" w:fill="FFFFFF"/>
          </w:rPr>
          <w:t>10.1093/milmed/161.6.318</w:t>
        </w:r>
      </w:hyperlink>
    </w:p>
    <w:p w14:paraId="2B9D4B99"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4C69E7C6" w14:textId="5C084F6D"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2</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Woodruff S, Conway T, Edwards C. Effect of an eight week smoking ban on women at US Navy recruit training command. </w:t>
      </w:r>
      <w:r w:rsidRPr="008B08D9">
        <w:rPr>
          <w:rFonts w:ascii="Arial" w:hAnsi="Arial" w:cs="Arial"/>
          <w:i/>
          <w:iCs/>
          <w:noProof/>
          <w:color w:val="000000" w:themeColor="text1"/>
          <w:sz w:val="22"/>
          <w:szCs w:val="22"/>
        </w:rPr>
        <w:t>Tob Control</w:t>
      </w:r>
      <w:r w:rsidRPr="008B08D9">
        <w:rPr>
          <w:rFonts w:ascii="Arial" w:hAnsi="Arial" w:cs="Arial"/>
          <w:noProof/>
          <w:color w:val="000000" w:themeColor="text1"/>
          <w:sz w:val="22"/>
          <w:szCs w:val="22"/>
        </w:rPr>
        <w:t xml:space="preserve"> 2000;9(1):40–6 doi: </w:t>
      </w:r>
      <w:hyperlink r:id="rId32" w:history="1">
        <w:r w:rsidRPr="008B08D9">
          <w:rPr>
            <w:rStyle w:val="highwire-cite-metadata-date"/>
            <w:rFonts w:ascii="Arial" w:hAnsi="Arial" w:cs="Arial"/>
            <w:noProof/>
            <w:color w:val="000000" w:themeColor="text1"/>
            <w:sz w:val="22"/>
            <w:szCs w:val="22"/>
          </w:rPr>
          <w:t>10.1136/tc.9.1.40</w:t>
        </w:r>
      </w:hyperlink>
    </w:p>
    <w:p w14:paraId="15ED83CE"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53E62663" w14:textId="20EF2453"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3</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McGuinness LA, Higgins JPT. Risk-of-bias VISualization (robvis): An R package and Shiny web app for visualizing risk-of-bias assessments. </w:t>
      </w:r>
      <w:r w:rsidRPr="008B08D9">
        <w:rPr>
          <w:rFonts w:ascii="Arial" w:hAnsi="Arial" w:cs="Arial"/>
          <w:i/>
          <w:iCs/>
          <w:noProof/>
          <w:color w:val="000000" w:themeColor="text1"/>
          <w:sz w:val="22"/>
          <w:szCs w:val="22"/>
        </w:rPr>
        <w:t>Res Synth Methods</w:t>
      </w:r>
      <w:r w:rsidRPr="008B08D9">
        <w:rPr>
          <w:rFonts w:ascii="Arial" w:hAnsi="Arial" w:cs="Arial"/>
          <w:noProof/>
          <w:color w:val="000000" w:themeColor="text1"/>
          <w:sz w:val="22"/>
          <w:szCs w:val="22"/>
        </w:rPr>
        <w:t xml:space="preserve"> </w:t>
      </w:r>
      <w:r w:rsidRPr="008B08D9">
        <w:rPr>
          <w:rStyle w:val="highwire-cite-metadata-journal"/>
          <w:rFonts w:ascii="Arial" w:hAnsi="Arial" w:cs="Arial"/>
          <w:color w:val="000000" w:themeColor="text1"/>
          <w:sz w:val="22"/>
          <w:szCs w:val="22"/>
        </w:rPr>
        <w:t>Published Online First:</w:t>
      </w:r>
      <w:r w:rsidRPr="008B08D9">
        <w:rPr>
          <w:rStyle w:val="nlm-surname"/>
          <w:rFonts w:ascii="Arial" w:eastAsiaTheme="majorEastAsia" w:hAnsi="Arial" w:cs="Arial"/>
          <w:color w:val="000000" w:themeColor="text1"/>
          <w:sz w:val="22"/>
          <w:szCs w:val="22"/>
        </w:rPr>
        <w:t> </w:t>
      </w:r>
      <w:r w:rsidRPr="008B08D9">
        <w:rPr>
          <w:rStyle w:val="highwire-citation-authors"/>
          <w:rFonts w:ascii="Arial" w:eastAsiaTheme="majorEastAsia" w:hAnsi="Arial" w:cs="Arial"/>
          <w:color w:val="000000" w:themeColor="text1"/>
          <w:sz w:val="22"/>
          <w:szCs w:val="22"/>
        </w:rPr>
        <w:t>26</w:t>
      </w:r>
      <w:r w:rsidRPr="008B08D9">
        <w:rPr>
          <w:rStyle w:val="nlm-surname"/>
          <w:rFonts w:ascii="Arial" w:eastAsiaTheme="majorEastAsia" w:hAnsi="Arial" w:cs="Arial"/>
          <w:color w:val="000000" w:themeColor="text1"/>
          <w:sz w:val="22"/>
          <w:szCs w:val="22"/>
        </w:rPr>
        <w:t xml:space="preserve"> </w:t>
      </w:r>
      <w:r w:rsidRPr="008B08D9">
        <w:rPr>
          <w:rStyle w:val="highwire-citation-authors"/>
          <w:rFonts w:ascii="Arial" w:eastAsiaTheme="majorEastAsia" w:hAnsi="Arial" w:cs="Arial"/>
          <w:color w:val="000000" w:themeColor="text1"/>
          <w:sz w:val="22"/>
          <w:szCs w:val="22"/>
        </w:rPr>
        <w:t>April</w:t>
      </w:r>
      <w:r w:rsidRPr="008B08D9">
        <w:rPr>
          <w:rStyle w:val="nlm-surname"/>
          <w:rFonts w:ascii="Arial" w:eastAsiaTheme="majorEastAsia" w:hAnsi="Arial" w:cs="Arial"/>
          <w:color w:val="000000" w:themeColor="text1"/>
          <w:sz w:val="22"/>
          <w:szCs w:val="22"/>
        </w:rPr>
        <w:t xml:space="preserve"> 2020</w:t>
      </w:r>
      <w:r w:rsidRPr="008B08D9">
        <w:rPr>
          <w:rStyle w:val="highwire-citation-authors"/>
          <w:rFonts w:ascii="Arial" w:eastAsiaTheme="majorEastAsia" w:hAnsi="Arial" w:cs="Arial"/>
          <w:color w:val="000000" w:themeColor="text1"/>
          <w:sz w:val="22"/>
          <w:szCs w:val="22"/>
        </w:rPr>
        <w:t xml:space="preserve">. </w:t>
      </w:r>
      <w:r w:rsidRPr="008B08D9">
        <w:rPr>
          <w:rFonts w:ascii="Arial" w:hAnsi="Arial" w:cs="Arial"/>
          <w:noProof/>
          <w:color w:val="000000" w:themeColor="text1"/>
          <w:sz w:val="22"/>
          <w:szCs w:val="22"/>
        </w:rPr>
        <w:t xml:space="preserve">doi: </w:t>
      </w:r>
      <w:hyperlink r:id="rId33" w:history="1">
        <w:r w:rsidRPr="008B08D9">
          <w:rPr>
            <w:rFonts w:ascii="Arial" w:hAnsi="Arial" w:cs="Arial"/>
            <w:color w:val="000000" w:themeColor="text1"/>
            <w:sz w:val="22"/>
            <w:szCs w:val="22"/>
            <w:u w:val="single"/>
            <w:shd w:val="clear" w:color="auto" w:fill="FFFFFF"/>
          </w:rPr>
          <w:t>10.1002/jrsm.1411</w:t>
        </w:r>
      </w:hyperlink>
    </w:p>
    <w:p w14:paraId="3F5B98C7"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3800EAF4" w14:textId="77A700ED"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4</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Thomson HJ, Thomas S. The effect direction plot: visual display of non-standardised </w:t>
      </w:r>
      <w:r w:rsidRPr="008B08D9">
        <w:rPr>
          <w:rFonts w:ascii="Arial" w:hAnsi="Arial" w:cs="Arial"/>
          <w:noProof/>
          <w:color w:val="000000" w:themeColor="text1"/>
          <w:sz w:val="22"/>
          <w:szCs w:val="22"/>
        </w:rPr>
        <w:lastRenderedPageBreak/>
        <w:t xml:space="preserve">effects across multiple outcome domains. </w:t>
      </w:r>
      <w:r w:rsidRPr="008B08D9">
        <w:rPr>
          <w:rFonts w:ascii="Arial" w:hAnsi="Arial" w:cs="Arial"/>
          <w:i/>
          <w:iCs/>
          <w:noProof/>
          <w:color w:val="000000" w:themeColor="text1"/>
          <w:sz w:val="22"/>
          <w:szCs w:val="22"/>
        </w:rPr>
        <w:t>Res Synth Methods</w:t>
      </w:r>
      <w:r w:rsidRPr="008B08D9">
        <w:rPr>
          <w:rFonts w:ascii="Arial" w:hAnsi="Arial" w:cs="Arial"/>
          <w:noProof/>
          <w:color w:val="000000" w:themeColor="text1"/>
          <w:sz w:val="22"/>
          <w:szCs w:val="22"/>
        </w:rPr>
        <w:t xml:space="preserve"> 2013;4(1):95–101 </w:t>
      </w:r>
      <w:r w:rsidRPr="008B08D9">
        <w:rPr>
          <w:rStyle w:val="Heading2Char"/>
          <w:rFonts w:ascii="Arial" w:hAnsi="Arial" w:cs="Arial"/>
          <w:b w:val="0"/>
          <w:bCs w:val="0"/>
          <w:sz w:val="22"/>
          <w:szCs w:val="22"/>
        </w:rPr>
        <w:t xml:space="preserve">doi: </w:t>
      </w:r>
      <w:hyperlink r:id="rId34" w:tgtFrame="_blank" w:history="1">
        <w:r w:rsidRPr="008B08D9">
          <w:rPr>
            <w:rStyle w:val="Heading2Char"/>
            <w:rFonts w:ascii="Arial" w:hAnsi="Arial" w:cs="Arial"/>
            <w:b w:val="0"/>
            <w:bCs w:val="0"/>
            <w:sz w:val="22"/>
            <w:szCs w:val="22"/>
          </w:rPr>
          <w:t>10.1002/jrsm.1060</w:t>
        </w:r>
      </w:hyperlink>
    </w:p>
    <w:p w14:paraId="16425242"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095A69A0" w14:textId="6DDF3F2A"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5</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Haynes L, Service O, Goldacre B, Torgerson D. Test, Learn, Adapt: Developing Public Policy with Randomised Controlled Trials. </w:t>
      </w:r>
      <w:r w:rsidRPr="008B08D9">
        <w:rPr>
          <w:rFonts w:ascii="Arial" w:hAnsi="Arial" w:cs="Arial"/>
          <w:i/>
          <w:iCs/>
          <w:noProof/>
          <w:color w:val="000000" w:themeColor="text1"/>
          <w:sz w:val="22"/>
          <w:szCs w:val="22"/>
        </w:rPr>
        <w:t>Cabinet Office</w:t>
      </w:r>
      <w:r w:rsidRPr="008B08D9">
        <w:rPr>
          <w:rFonts w:ascii="Arial" w:hAnsi="Arial" w:cs="Arial"/>
          <w:noProof/>
          <w:color w:val="000000" w:themeColor="text1"/>
          <w:sz w:val="22"/>
          <w:szCs w:val="22"/>
        </w:rPr>
        <w:t xml:space="preserve"> 2020. Available: https://assets.publishing.service.gov.uk/government/uploads/system/uploads/attachment_data/file/62529/TLA-1906126.pdf [Accessed 12 August 2020]</w:t>
      </w:r>
    </w:p>
    <w:p w14:paraId="0A65F745" w14:textId="77777777" w:rsidR="00CC4558" w:rsidRPr="008B08D9" w:rsidRDefault="00CC4558" w:rsidP="00147646">
      <w:pPr>
        <w:widowControl w:val="0"/>
        <w:autoSpaceDE w:val="0"/>
        <w:autoSpaceDN w:val="0"/>
        <w:adjustRightInd w:val="0"/>
        <w:ind w:left="640" w:hanging="640"/>
        <w:rPr>
          <w:rFonts w:ascii="Arial" w:hAnsi="Arial" w:cs="Arial"/>
          <w:noProof/>
          <w:color w:val="000000" w:themeColor="text1"/>
          <w:sz w:val="22"/>
          <w:szCs w:val="22"/>
        </w:rPr>
      </w:pPr>
    </w:p>
    <w:p w14:paraId="6CED43CD" w14:textId="61B87D19" w:rsidR="00CD56B4" w:rsidRPr="008B08D9" w:rsidRDefault="00C4025E" w:rsidP="00405941">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6</w:t>
      </w:r>
      <w:r w:rsidRPr="008B08D9">
        <w:rPr>
          <w:rFonts w:ascii="Arial" w:hAnsi="Arial" w:cs="Arial"/>
          <w:noProof/>
          <w:color w:val="000000" w:themeColor="text1"/>
          <w:sz w:val="22"/>
          <w:szCs w:val="22"/>
        </w:rPr>
        <w:t>.</w:t>
      </w:r>
      <w:r w:rsidR="00CD56B4" w:rsidRPr="008B08D9">
        <w:rPr>
          <w:rFonts w:ascii="Arial" w:hAnsi="Arial" w:cs="Arial"/>
          <w:noProof/>
          <w:color w:val="000000" w:themeColor="text1"/>
          <w:sz w:val="22"/>
          <w:szCs w:val="22"/>
        </w:rPr>
        <w:tab/>
      </w:r>
      <w:r w:rsidRPr="008B08D9">
        <w:rPr>
          <w:rFonts w:ascii="Arial" w:hAnsi="Arial" w:cs="Arial"/>
          <w:noProof/>
          <w:color w:val="000000" w:themeColor="text1"/>
          <w:sz w:val="22"/>
          <w:szCs w:val="22"/>
        </w:rPr>
        <w:t>Bonell</w:t>
      </w:r>
      <w:r w:rsidR="00CD56B4" w:rsidRPr="008B08D9">
        <w:rPr>
          <w:rFonts w:ascii="Arial" w:hAnsi="Arial" w:cs="Arial"/>
          <w:noProof/>
          <w:color w:val="000000" w:themeColor="text1"/>
          <w:sz w:val="22"/>
          <w:szCs w:val="22"/>
        </w:rPr>
        <w:t xml:space="preserve"> CP</w:t>
      </w:r>
      <w:r w:rsidRPr="008B08D9">
        <w:rPr>
          <w:rFonts w:ascii="Arial" w:hAnsi="Arial" w:cs="Arial"/>
          <w:noProof/>
          <w:color w:val="000000" w:themeColor="text1"/>
          <w:sz w:val="22"/>
          <w:szCs w:val="22"/>
        </w:rPr>
        <w:t>, Hargreaves J, Cousens S, Ross D, Hayes R, Petticrew</w:t>
      </w:r>
      <w:r w:rsidR="00CD56B4"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 xml:space="preserve">M and Kirkwood BR. Alternatives to randomisation in the evaluation of public health interventions: design challenges and solutions. </w:t>
      </w:r>
      <w:r w:rsidRPr="008B08D9">
        <w:rPr>
          <w:rFonts w:ascii="Arial" w:hAnsi="Arial" w:cs="Arial"/>
          <w:i/>
          <w:iCs/>
          <w:noProof/>
          <w:color w:val="000000" w:themeColor="text1"/>
          <w:sz w:val="22"/>
          <w:szCs w:val="22"/>
        </w:rPr>
        <w:t>J Epidemiol Community Health</w:t>
      </w:r>
      <w:r w:rsidR="00CD56B4" w:rsidRPr="008B08D9">
        <w:rPr>
          <w:rFonts w:ascii="Arial" w:hAnsi="Arial" w:cs="Arial"/>
          <w:i/>
          <w:iCs/>
          <w:noProof/>
          <w:color w:val="000000" w:themeColor="text1"/>
          <w:sz w:val="22"/>
          <w:szCs w:val="22"/>
        </w:rPr>
        <w:t xml:space="preserve"> </w:t>
      </w:r>
      <w:r w:rsidR="00CD56B4" w:rsidRPr="008B08D9">
        <w:rPr>
          <w:rFonts w:ascii="Arial" w:hAnsi="Arial" w:cs="Arial"/>
          <w:noProof/>
          <w:color w:val="000000" w:themeColor="text1"/>
          <w:sz w:val="22"/>
          <w:szCs w:val="22"/>
        </w:rPr>
        <w:t>2011;</w:t>
      </w:r>
      <w:r w:rsidRPr="008B08D9">
        <w:rPr>
          <w:rFonts w:ascii="Arial" w:hAnsi="Arial" w:cs="Arial"/>
          <w:noProof/>
          <w:color w:val="000000" w:themeColor="text1"/>
          <w:sz w:val="22"/>
          <w:szCs w:val="22"/>
        </w:rPr>
        <w:t>65(7)582-587</w:t>
      </w:r>
      <w:r w:rsidR="00CD56B4" w:rsidRPr="008B08D9">
        <w:rPr>
          <w:rFonts w:ascii="Arial" w:hAnsi="Arial" w:cs="Arial"/>
          <w:noProof/>
          <w:color w:val="000000" w:themeColor="text1"/>
          <w:sz w:val="22"/>
          <w:szCs w:val="22"/>
        </w:rPr>
        <w:t xml:space="preserve"> doi: </w:t>
      </w:r>
      <w:hyperlink r:id="rId35" w:tgtFrame="_new" w:history="1">
        <w:r w:rsidR="00CD56B4" w:rsidRPr="008B08D9">
          <w:rPr>
            <w:rStyle w:val="Hyperlink"/>
            <w:rFonts w:ascii="Arial" w:hAnsi="Arial" w:cs="Arial"/>
            <w:color w:val="000000" w:themeColor="text1"/>
            <w:sz w:val="22"/>
            <w:szCs w:val="22"/>
            <w:shd w:val="clear" w:color="auto" w:fill="FFFFFF"/>
          </w:rPr>
          <w:t>10.1136/jech.2008.082602</w:t>
        </w:r>
      </w:hyperlink>
      <w:r w:rsidR="00CD56B4" w:rsidRPr="008B08D9">
        <w:rPr>
          <w:rFonts w:ascii="Arial" w:hAnsi="Arial" w:cs="Arial"/>
          <w:color w:val="000000" w:themeColor="text1"/>
          <w:sz w:val="22"/>
          <w:szCs w:val="22"/>
        </w:rPr>
        <w:t xml:space="preserve"> </w:t>
      </w:r>
    </w:p>
    <w:p w14:paraId="5C68A928" w14:textId="77777777" w:rsidR="00C4025E" w:rsidRPr="008B08D9" w:rsidRDefault="00C4025E" w:rsidP="00147646">
      <w:pPr>
        <w:widowControl w:val="0"/>
        <w:autoSpaceDE w:val="0"/>
        <w:autoSpaceDN w:val="0"/>
        <w:adjustRightInd w:val="0"/>
        <w:rPr>
          <w:rFonts w:ascii="Arial" w:hAnsi="Arial" w:cs="Arial"/>
          <w:noProof/>
          <w:color w:val="000000" w:themeColor="text1"/>
          <w:sz w:val="22"/>
          <w:szCs w:val="22"/>
        </w:rPr>
      </w:pPr>
    </w:p>
    <w:p w14:paraId="7A9081CE" w14:textId="19631B78" w:rsidR="00405941" w:rsidRPr="008B08D9" w:rsidRDefault="00C4025E" w:rsidP="00405941">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7</w:t>
      </w:r>
      <w:r w:rsidRPr="008B08D9">
        <w:rPr>
          <w:rFonts w:ascii="Arial" w:hAnsi="Arial" w:cs="Arial"/>
          <w:noProof/>
          <w:color w:val="000000" w:themeColor="text1"/>
          <w:sz w:val="22"/>
          <w:szCs w:val="22"/>
        </w:rPr>
        <w:t>.</w:t>
      </w:r>
      <w:r w:rsidR="00405941" w:rsidRPr="008B08D9">
        <w:rPr>
          <w:rFonts w:ascii="Arial" w:hAnsi="Arial" w:cs="Arial"/>
          <w:noProof/>
          <w:color w:val="000000" w:themeColor="text1"/>
          <w:sz w:val="22"/>
          <w:szCs w:val="22"/>
        </w:rPr>
        <w:tab/>
      </w:r>
      <w:r w:rsidR="00546332" w:rsidRPr="008B08D9">
        <w:rPr>
          <w:rFonts w:ascii="Arial" w:hAnsi="Arial" w:cs="Arial"/>
          <w:noProof/>
          <w:color w:val="000000" w:themeColor="text1"/>
          <w:sz w:val="22"/>
          <w:szCs w:val="22"/>
        </w:rPr>
        <w:t xml:space="preserve">Craig P, Katikireddi SV, Leyland A and Popham F. Natural Experiments: An Overview of Methods, Approaches, and Contributions to Public Health Intervention Research. </w:t>
      </w:r>
      <w:r w:rsidR="00546332" w:rsidRPr="008B08D9">
        <w:rPr>
          <w:rFonts w:ascii="Arial" w:hAnsi="Arial" w:cs="Arial"/>
          <w:i/>
          <w:iCs/>
          <w:noProof/>
          <w:color w:val="000000" w:themeColor="text1"/>
          <w:sz w:val="22"/>
          <w:szCs w:val="22"/>
        </w:rPr>
        <w:t>Annu Rev Public Health</w:t>
      </w:r>
      <w:r w:rsidR="00405941" w:rsidRPr="008B08D9">
        <w:rPr>
          <w:rFonts w:ascii="Arial" w:hAnsi="Arial" w:cs="Arial"/>
          <w:noProof/>
          <w:color w:val="000000" w:themeColor="text1"/>
          <w:sz w:val="22"/>
          <w:szCs w:val="22"/>
        </w:rPr>
        <w:t xml:space="preserve"> 2017;</w:t>
      </w:r>
      <w:r w:rsidR="00546332" w:rsidRPr="008B08D9">
        <w:rPr>
          <w:rFonts w:ascii="Arial" w:hAnsi="Arial" w:cs="Arial"/>
          <w:noProof/>
          <w:color w:val="000000" w:themeColor="text1"/>
          <w:sz w:val="22"/>
          <w:szCs w:val="22"/>
        </w:rPr>
        <w:t>38(1),39–56</w:t>
      </w:r>
      <w:r w:rsidR="00405941" w:rsidRPr="008B08D9">
        <w:rPr>
          <w:rFonts w:ascii="Arial" w:hAnsi="Arial" w:cs="Arial"/>
          <w:noProof/>
          <w:color w:val="000000" w:themeColor="text1"/>
          <w:sz w:val="22"/>
          <w:szCs w:val="22"/>
        </w:rPr>
        <w:t xml:space="preserve"> doi: </w:t>
      </w:r>
      <w:hyperlink r:id="rId36" w:tgtFrame="_blank" w:history="1">
        <w:r w:rsidR="00405941" w:rsidRPr="008B08D9">
          <w:rPr>
            <w:rStyle w:val="Hyperlink"/>
            <w:rFonts w:ascii="Arial" w:hAnsi="Arial" w:cs="Arial"/>
            <w:color w:val="000000" w:themeColor="text1"/>
            <w:sz w:val="22"/>
            <w:szCs w:val="22"/>
          </w:rPr>
          <w:t>10.1146/annurev-publhealth-031816-044327</w:t>
        </w:r>
      </w:hyperlink>
    </w:p>
    <w:p w14:paraId="0D171145" w14:textId="64EE560F" w:rsidR="00405941" w:rsidRPr="008B08D9" w:rsidRDefault="00546332" w:rsidP="00147646">
      <w:pPr>
        <w:widowControl w:val="0"/>
        <w:autoSpaceDE w:val="0"/>
        <w:autoSpaceDN w:val="0"/>
        <w:adjustRightInd w:val="0"/>
        <w:rPr>
          <w:noProof/>
        </w:rPr>
      </w:pPr>
      <w:r w:rsidRPr="008B08D9">
        <w:rPr>
          <w:noProof/>
        </w:rPr>
        <w:t xml:space="preserve"> </w:t>
      </w:r>
    </w:p>
    <w:p w14:paraId="4C787D46" w14:textId="41758FA5" w:rsidR="00405941" w:rsidRPr="008B08D9" w:rsidRDefault="00C4025E" w:rsidP="00405941">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8</w:t>
      </w:r>
      <w:r w:rsidRPr="008B08D9">
        <w:rPr>
          <w:rFonts w:ascii="Arial" w:hAnsi="Arial" w:cs="Arial"/>
          <w:noProof/>
          <w:color w:val="000000" w:themeColor="text1"/>
          <w:sz w:val="22"/>
          <w:szCs w:val="22"/>
        </w:rPr>
        <w:t>.</w:t>
      </w:r>
      <w:r w:rsidR="00405941" w:rsidRPr="008B08D9">
        <w:rPr>
          <w:rFonts w:ascii="Arial" w:hAnsi="Arial" w:cs="Arial"/>
          <w:noProof/>
          <w:color w:val="000000" w:themeColor="text1"/>
          <w:sz w:val="22"/>
          <w:szCs w:val="22"/>
        </w:rPr>
        <w:tab/>
      </w:r>
      <w:r w:rsidR="00546332" w:rsidRPr="008B08D9">
        <w:rPr>
          <w:rFonts w:ascii="Arial" w:hAnsi="Arial" w:cs="Arial"/>
          <w:noProof/>
          <w:color w:val="000000" w:themeColor="text1"/>
          <w:sz w:val="22"/>
          <w:szCs w:val="22"/>
        </w:rPr>
        <w:t xml:space="preserve">Abadi A, Diamond A and Hainmueller J. Synthetic Control Methods for Comparative Case Studies: Estimating the Effect of California’s Tobacco Control Program. </w:t>
      </w:r>
      <w:r w:rsidR="00546332" w:rsidRPr="008B08D9">
        <w:rPr>
          <w:rFonts w:ascii="Arial" w:hAnsi="Arial" w:cs="Arial"/>
          <w:i/>
          <w:iCs/>
          <w:noProof/>
          <w:color w:val="000000" w:themeColor="text1"/>
          <w:sz w:val="22"/>
          <w:szCs w:val="22"/>
        </w:rPr>
        <w:t>Journal of the American Statistical Association</w:t>
      </w:r>
      <w:r w:rsidR="00405941" w:rsidRPr="008B08D9">
        <w:rPr>
          <w:rFonts w:ascii="Arial" w:hAnsi="Arial" w:cs="Arial"/>
          <w:noProof/>
          <w:color w:val="000000" w:themeColor="text1"/>
          <w:sz w:val="22"/>
          <w:szCs w:val="22"/>
        </w:rPr>
        <w:t xml:space="preserve"> 2010;</w:t>
      </w:r>
      <w:r w:rsidR="00546332" w:rsidRPr="008B08D9">
        <w:rPr>
          <w:rFonts w:ascii="Arial" w:hAnsi="Arial" w:cs="Arial"/>
          <w:noProof/>
          <w:color w:val="000000" w:themeColor="text1"/>
          <w:sz w:val="22"/>
          <w:szCs w:val="22"/>
        </w:rPr>
        <w:t>105(490),493–505</w:t>
      </w:r>
      <w:r w:rsidR="00405941" w:rsidRPr="008B08D9">
        <w:rPr>
          <w:rFonts w:ascii="Arial" w:hAnsi="Arial" w:cs="Arial"/>
          <w:noProof/>
          <w:color w:val="000000" w:themeColor="text1"/>
          <w:sz w:val="22"/>
          <w:szCs w:val="22"/>
        </w:rPr>
        <w:t xml:space="preserve"> doi: </w:t>
      </w:r>
      <w:hyperlink r:id="rId37" w:history="1">
        <w:r w:rsidR="00405941" w:rsidRPr="008B08D9">
          <w:rPr>
            <w:rFonts w:ascii="Arial" w:hAnsi="Arial" w:cs="Arial"/>
            <w:color w:val="000000" w:themeColor="text1"/>
            <w:sz w:val="22"/>
            <w:szCs w:val="22"/>
            <w:u w:val="single"/>
          </w:rPr>
          <w:t>10.1198/jasa.2009.ap08746</w:t>
        </w:r>
      </w:hyperlink>
    </w:p>
    <w:p w14:paraId="714B54C1" w14:textId="77777777" w:rsidR="00C4025E" w:rsidRPr="008B08D9" w:rsidRDefault="00C4025E" w:rsidP="00147646">
      <w:pPr>
        <w:widowControl w:val="0"/>
        <w:autoSpaceDE w:val="0"/>
        <w:autoSpaceDN w:val="0"/>
        <w:adjustRightInd w:val="0"/>
        <w:rPr>
          <w:rFonts w:ascii="Arial" w:hAnsi="Arial" w:cs="Arial"/>
          <w:noProof/>
          <w:color w:val="000000" w:themeColor="text1"/>
          <w:sz w:val="22"/>
          <w:szCs w:val="22"/>
        </w:rPr>
      </w:pPr>
    </w:p>
    <w:p w14:paraId="5544CB09" w14:textId="69A3996F"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4</w:t>
      </w:r>
      <w:r w:rsidR="003D0D89" w:rsidRPr="008B08D9">
        <w:rPr>
          <w:rFonts w:ascii="Arial" w:hAnsi="Arial" w:cs="Arial"/>
          <w:noProof/>
          <w:color w:val="000000" w:themeColor="text1"/>
          <w:sz w:val="22"/>
          <w:szCs w:val="22"/>
        </w:rPr>
        <w:t>9</w:t>
      </w:r>
      <w:r w:rsidRPr="008B08D9">
        <w:rPr>
          <w:rFonts w:ascii="Arial" w:hAnsi="Arial" w:cs="Arial"/>
          <w:noProof/>
          <w:color w:val="000000" w:themeColor="text1"/>
          <w:sz w:val="22"/>
          <w:szCs w:val="22"/>
        </w:rPr>
        <w:t xml:space="preserve">. </w:t>
      </w:r>
      <w:r w:rsidRPr="008B08D9">
        <w:rPr>
          <w:rFonts w:ascii="Arial" w:hAnsi="Arial" w:cs="Arial"/>
          <w:noProof/>
          <w:color w:val="000000" w:themeColor="text1"/>
          <w:sz w:val="22"/>
          <w:szCs w:val="22"/>
        </w:rPr>
        <w:tab/>
        <w:t xml:space="preserve">Kontopantelis E, Doran T, Springate DA, Buchan I, Reeves D. Regression based quasi-experimental approach when randomisation is not an option: interrupted time series analysis. </w:t>
      </w:r>
      <w:r w:rsidRPr="008B08D9">
        <w:rPr>
          <w:rFonts w:ascii="Arial" w:hAnsi="Arial" w:cs="Arial"/>
          <w:i/>
          <w:iCs/>
          <w:noProof/>
          <w:color w:val="000000" w:themeColor="text1"/>
          <w:sz w:val="22"/>
          <w:szCs w:val="22"/>
        </w:rPr>
        <w:t>BMJ</w:t>
      </w:r>
      <w:r w:rsidRPr="008B08D9">
        <w:rPr>
          <w:rFonts w:ascii="Arial" w:hAnsi="Arial" w:cs="Arial"/>
          <w:noProof/>
          <w:color w:val="000000" w:themeColor="text1"/>
          <w:sz w:val="22"/>
          <w:szCs w:val="22"/>
        </w:rPr>
        <w:t xml:space="preserve"> 2015;350:h2750 doi: </w:t>
      </w:r>
      <w:hyperlink r:id="rId38" w:history="1">
        <w:r w:rsidRPr="008B08D9">
          <w:rPr>
            <w:rStyle w:val="highwire-cite-metadata-date"/>
            <w:rFonts w:ascii="Arial" w:hAnsi="Arial" w:cs="Arial"/>
            <w:color w:val="000000" w:themeColor="text1"/>
            <w:sz w:val="22"/>
            <w:szCs w:val="22"/>
            <w:bdr w:val="none" w:sz="0" w:space="0" w:color="auto" w:frame="1"/>
            <w:shd w:val="clear" w:color="auto" w:fill="FFFFFF"/>
          </w:rPr>
          <w:t>10.1136/bmj.h2750</w:t>
        </w:r>
      </w:hyperlink>
    </w:p>
    <w:p w14:paraId="4B2DE91E" w14:textId="77777777" w:rsidR="00147646" w:rsidRPr="008B08D9" w:rsidRDefault="00147646" w:rsidP="00147646">
      <w:pPr>
        <w:widowControl w:val="0"/>
        <w:autoSpaceDE w:val="0"/>
        <w:autoSpaceDN w:val="0"/>
        <w:adjustRightInd w:val="0"/>
        <w:ind w:left="640" w:hanging="640"/>
        <w:rPr>
          <w:rFonts w:ascii="Arial" w:hAnsi="Arial" w:cs="Arial"/>
          <w:noProof/>
          <w:color w:val="000000" w:themeColor="text1"/>
          <w:sz w:val="22"/>
          <w:szCs w:val="22"/>
        </w:rPr>
      </w:pPr>
    </w:p>
    <w:p w14:paraId="3B54FD5D" w14:textId="1F04B41D" w:rsidR="00147646" w:rsidRPr="008B08D9" w:rsidRDefault="003D0D89" w:rsidP="00147646">
      <w:pPr>
        <w:widowControl w:val="0"/>
        <w:autoSpaceDE w:val="0"/>
        <w:autoSpaceDN w:val="0"/>
        <w:adjustRightInd w:val="0"/>
        <w:ind w:left="640" w:hanging="640"/>
        <w:rPr>
          <w:rFonts w:ascii="Arial" w:hAnsi="Arial" w:cs="Arial"/>
          <w:noProof/>
          <w:color w:val="000000" w:themeColor="text1"/>
          <w:sz w:val="22"/>
          <w:szCs w:val="22"/>
        </w:rPr>
      </w:pPr>
      <w:r w:rsidRPr="008B08D9">
        <w:rPr>
          <w:rFonts w:ascii="Arial" w:hAnsi="Arial" w:cs="Arial"/>
          <w:noProof/>
          <w:color w:val="000000" w:themeColor="text1"/>
          <w:sz w:val="22"/>
          <w:szCs w:val="22"/>
        </w:rPr>
        <w:t>50</w:t>
      </w:r>
      <w:r w:rsidR="00147646" w:rsidRPr="008B08D9">
        <w:rPr>
          <w:rFonts w:ascii="Arial" w:hAnsi="Arial" w:cs="Arial"/>
          <w:noProof/>
          <w:color w:val="000000" w:themeColor="text1"/>
          <w:sz w:val="22"/>
          <w:szCs w:val="22"/>
        </w:rPr>
        <w:t xml:space="preserve">. </w:t>
      </w:r>
      <w:r w:rsidR="00147646" w:rsidRPr="008B08D9">
        <w:rPr>
          <w:rFonts w:ascii="Arial" w:hAnsi="Arial" w:cs="Arial"/>
          <w:noProof/>
          <w:color w:val="000000" w:themeColor="text1"/>
          <w:sz w:val="22"/>
          <w:szCs w:val="22"/>
        </w:rPr>
        <w:tab/>
        <w:t xml:space="preserve">Whiting P, Savović J, Higgins JPT, Caldwell DM, Reeves BC, Shea B, et al. ROBIS: A new tool to assess risk of bias in systematic reviews was developed. </w:t>
      </w:r>
      <w:r w:rsidR="00147646" w:rsidRPr="008B08D9">
        <w:rPr>
          <w:rFonts w:ascii="Arial" w:hAnsi="Arial" w:cs="Arial"/>
          <w:i/>
          <w:iCs/>
          <w:noProof/>
          <w:color w:val="000000" w:themeColor="text1"/>
          <w:sz w:val="22"/>
          <w:szCs w:val="22"/>
        </w:rPr>
        <w:t xml:space="preserve">J Clin Epidemiol </w:t>
      </w:r>
      <w:r w:rsidR="00147646" w:rsidRPr="008B08D9">
        <w:rPr>
          <w:rFonts w:ascii="Arial" w:hAnsi="Arial" w:cs="Arial"/>
          <w:noProof/>
          <w:color w:val="000000" w:themeColor="text1"/>
          <w:sz w:val="22"/>
          <w:szCs w:val="22"/>
        </w:rPr>
        <w:t xml:space="preserve">2016;69:225–34 doi: </w:t>
      </w:r>
      <w:hyperlink r:id="rId39" w:tgtFrame="_blank" w:history="1">
        <w:r w:rsidR="00147646" w:rsidRPr="008B08D9">
          <w:rPr>
            <w:rStyle w:val="Heading2Char"/>
            <w:rFonts w:ascii="Arial" w:hAnsi="Arial" w:cs="Arial"/>
            <w:b w:val="0"/>
            <w:bCs w:val="0"/>
            <w:sz w:val="22"/>
            <w:szCs w:val="22"/>
          </w:rPr>
          <w:t>10.1016/j.jclinepi.2015.06.005</w:t>
        </w:r>
      </w:hyperlink>
    </w:p>
    <w:p w14:paraId="4688ADFB" w14:textId="77777777" w:rsidR="00147646" w:rsidRPr="008B08D9" w:rsidRDefault="00147646" w:rsidP="00147646">
      <w:pPr>
        <w:widowControl w:val="0"/>
        <w:autoSpaceDE w:val="0"/>
        <w:autoSpaceDN w:val="0"/>
        <w:adjustRightInd w:val="0"/>
        <w:rPr>
          <w:rFonts w:ascii="Arial" w:hAnsi="Arial" w:cs="Arial"/>
          <w:noProof/>
          <w:color w:val="000000" w:themeColor="text1"/>
          <w:sz w:val="22"/>
          <w:szCs w:val="22"/>
        </w:rPr>
      </w:pPr>
    </w:p>
    <w:p w14:paraId="535B4747" w14:textId="1B8A0780" w:rsidR="00147646" w:rsidRPr="008B08D9" w:rsidRDefault="00591696" w:rsidP="00147646">
      <w:pPr>
        <w:widowControl w:val="0"/>
        <w:autoSpaceDE w:val="0"/>
        <w:autoSpaceDN w:val="0"/>
        <w:adjustRightInd w:val="0"/>
        <w:ind w:left="640" w:hanging="640"/>
        <w:rPr>
          <w:rFonts w:ascii="Arial" w:hAnsi="Arial" w:cs="Arial"/>
          <w:color w:val="000000" w:themeColor="text1"/>
          <w:sz w:val="22"/>
          <w:szCs w:val="22"/>
        </w:rPr>
      </w:pPr>
      <w:r w:rsidRPr="008B08D9">
        <w:rPr>
          <w:rFonts w:ascii="Arial" w:hAnsi="Arial" w:cs="Arial"/>
          <w:noProof/>
          <w:color w:val="000000" w:themeColor="text1"/>
          <w:sz w:val="22"/>
          <w:szCs w:val="22"/>
        </w:rPr>
        <w:t>5</w:t>
      </w:r>
      <w:r w:rsidR="003D0D89" w:rsidRPr="008B08D9">
        <w:rPr>
          <w:rFonts w:ascii="Arial" w:hAnsi="Arial" w:cs="Arial"/>
          <w:noProof/>
          <w:color w:val="000000" w:themeColor="text1"/>
          <w:sz w:val="22"/>
          <w:szCs w:val="22"/>
        </w:rPr>
        <w:t>1</w:t>
      </w:r>
      <w:r w:rsidR="00147646" w:rsidRPr="008B08D9">
        <w:rPr>
          <w:rFonts w:ascii="Arial" w:hAnsi="Arial" w:cs="Arial"/>
          <w:noProof/>
          <w:color w:val="000000" w:themeColor="text1"/>
          <w:sz w:val="22"/>
          <w:szCs w:val="22"/>
        </w:rPr>
        <w:t xml:space="preserve">. </w:t>
      </w:r>
      <w:r w:rsidR="00147646" w:rsidRPr="008B08D9">
        <w:rPr>
          <w:rFonts w:ascii="Arial" w:hAnsi="Arial" w:cs="Arial"/>
          <w:noProof/>
          <w:color w:val="000000" w:themeColor="text1"/>
          <w:sz w:val="22"/>
          <w:szCs w:val="22"/>
        </w:rPr>
        <w:tab/>
        <w:t xml:space="preserve">National Collaborating Centre for Method and Tools. </w:t>
      </w:r>
      <w:r w:rsidR="00147646" w:rsidRPr="008B08D9">
        <w:rPr>
          <w:rFonts w:ascii="Arial" w:hAnsi="Arial" w:cs="Arial"/>
          <w:i/>
          <w:iCs/>
          <w:noProof/>
          <w:color w:val="000000" w:themeColor="text1"/>
          <w:sz w:val="22"/>
          <w:szCs w:val="22"/>
        </w:rPr>
        <w:t>Spotlight on Methods and Tools: ROBINS-I</w:t>
      </w:r>
      <w:r w:rsidR="00147646" w:rsidRPr="008B08D9">
        <w:rPr>
          <w:rFonts w:ascii="Arial" w:hAnsi="Arial" w:cs="Arial"/>
          <w:noProof/>
          <w:color w:val="000000" w:themeColor="text1"/>
          <w:sz w:val="22"/>
          <w:szCs w:val="22"/>
        </w:rPr>
        <w:t xml:space="preserve"> [Video] 2017. Available: https://www.youtube.com/watch?v=HgZKQo28QSc [Accessed 23 July 2020]</w:t>
      </w:r>
    </w:p>
    <w:p w14:paraId="50915FEB" w14:textId="6531DEB2" w:rsidR="00220BB2" w:rsidRPr="008B08D9" w:rsidRDefault="00147646" w:rsidP="00E67AD6">
      <w:pPr>
        <w:rPr>
          <w:rFonts w:ascii="Arial" w:hAnsi="Arial" w:cs="Arial"/>
          <w:color w:val="000000" w:themeColor="text1"/>
          <w:sz w:val="22"/>
          <w:szCs w:val="22"/>
        </w:rPr>
      </w:pPr>
      <w:r w:rsidRPr="008B08D9">
        <w:rPr>
          <w:rFonts w:ascii="Arial" w:hAnsi="Arial" w:cs="Arial"/>
          <w:color w:val="000000" w:themeColor="text1"/>
          <w:sz w:val="22"/>
          <w:szCs w:val="22"/>
        </w:rPr>
        <w:fldChar w:fldCharType="end"/>
      </w:r>
    </w:p>
    <w:sectPr w:rsidR="00220BB2" w:rsidRPr="008B08D9" w:rsidSect="006A3F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C190" w14:textId="77777777" w:rsidR="00C85DFC" w:rsidRDefault="00C85DFC" w:rsidP="00136659">
      <w:r>
        <w:separator/>
      </w:r>
    </w:p>
  </w:endnote>
  <w:endnote w:type="continuationSeparator" w:id="0">
    <w:p w14:paraId="20605BA7" w14:textId="77777777" w:rsidR="00C85DFC" w:rsidRDefault="00C85DFC" w:rsidP="001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0454F" w14:textId="77777777" w:rsidR="00C85DFC" w:rsidRDefault="00C85DFC" w:rsidP="00136659">
      <w:r>
        <w:separator/>
      </w:r>
    </w:p>
  </w:footnote>
  <w:footnote w:type="continuationSeparator" w:id="0">
    <w:p w14:paraId="1D262AE3" w14:textId="77777777" w:rsidR="00C85DFC" w:rsidRDefault="00C85DFC" w:rsidP="001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35F"/>
    <w:multiLevelType w:val="hybridMultilevel"/>
    <w:tmpl w:val="BBE4D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1996"/>
    <w:multiLevelType w:val="hybridMultilevel"/>
    <w:tmpl w:val="74127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C56293"/>
    <w:multiLevelType w:val="multilevel"/>
    <w:tmpl w:val="EBD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50BD8"/>
    <w:multiLevelType w:val="hybridMultilevel"/>
    <w:tmpl w:val="1CB48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7636D"/>
    <w:multiLevelType w:val="multilevel"/>
    <w:tmpl w:val="4200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071AE"/>
    <w:multiLevelType w:val="multilevel"/>
    <w:tmpl w:val="E27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B6E80"/>
    <w:multiLevelType w:val="hybridMultilevel"/>
    <w:tmpl w:val="1196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54587"/>
    <w:multiLevelType w:val="multilevel"/>
    <w:tmpl w:val="373E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344DE"/>
    <w:multiLevelType w:val="multilevel"/>
    <w:tmpl w:val="915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F4D66"/>
    <w:multiLevelType w:val="hybridMultilevel"/>
    <w:tmpl w:val="77C0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24340"/>
    <w:multiLevelType w:val="multilevel"/>
    <w:tmpl w:val="704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514E4"/>
    <w:multiLevelType w:val="multilevel"/>
    <w:tmpl w:val="30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954F7"/>
    <w:multiLevelType w:val="hybridMultilevel"/>
    <w:tmpl w:val="C426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C6467"/>
    <w:multiLevelType w:val="multilevel"/>
    <w:tmpl w:val="0218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77260"/>
    <w:multiLevelType w:val="multilevel"/>
    <w:tmpl w:val="229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15E98"/>
    <w:multiLevelType w:val="multilevel"/>
    <w:tmpl w:val="643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76969"/>
    <w:multiLevelType w:val="hybridMultilevel"/>
    <w:tmpl w:val="7294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04549"/>
    <w:multiLevelType w:val="hybridMultilevel"/>
    <w:tmpl w:val="744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75AA9"/>
    <w:multiLevelType w:val="multilevel"/>
    <w:tmpl w:val="B7F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C3742"/>
    <w:multiLevelType w:val="multilevel"/>
    <w:tmpl w:val="4CBC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0F27C2"/>
    <w:multiLevelType w:val="hybridMultilevel"/>
    <w:tmpl w:val="CFF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D07BB"/>
    <w:multiLevelType w:val="multilevel"/>
    <w:tmpl w:val="A08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9"/>
  </w:num>
  <w:num w:numId="4">
    <w:abstractNumId w:val="3"/>
  </w:num>
  <w:num w:numId="5">
    <w:abstractNumId w:val="0"/>
  </w:num>
  <w:num w:numId="6">
    <w:abstractNumId w:val="20"/>
  </w:num>
  <w:num w:numId="7">
    <w:abstractNumId w:val="12"/>
  </w:num>
  <w:num w:numId="8">
    <w:abstractNumId w:val="1"/>
  </w:num>
  <w:num w:numId="9">
    <w:abstractNumId w:val="17"/>
  </w:num>
  <w:num w:numId="10">
    <w:abstractNumId w:val="16"/>
  </w:num>
  <w:num w:numId="11">
    <w:abstractNumId w:val="14"/>
  </w:num>
  <w:num w:numId="12">
    <w:abstractNumId w:val="7"/>
  </w:num>
  <w:num w:numId="13">
    <w:abstractNumId w:val="10"/>
  </w:num>
  <w:num w:numId="14">
    <w:abstractNumId w:val="18"/>
  </w:num>
  <w:num w:numId="15">
    <w:abstractNumId w:val="4"/>
  </w:num>
  <w:num w:numId="16">
    <w:abstractNumId w:val="8"/>
  </w:num>
  <w:num w:numId="17">
    <w:abstractNumId w:val="13"/>
  </w:num>
  <w:num w:numId="18">
    <w:abstractNumId w:val="5"/>
  </w:num>
  <w:num w:numId="19">
    <w:abstractNumId w:val="15"/>
  </w:num>
  <w:num w:numId="20">
    <w:abstractNumId w:val="11"/>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6A"/>
    <w:rsid w:val="00001D61"/>
    <w:rsid w:val="00005D8A"/>
    <w:rsid w:val="000142D5"/>
    <w:rsid w:val="00017922"/>
    <w:rsid w:val="000207ED"/>
    <w:rsid w:val="00026378"/>
    <w:rsid w:val="00044737"/>
    <w:rsid w:val="00051C00"/>
    <w:rsid w:val="0006454A"/>
    <w:rsid w:val="000872F3"/>
    <w:rsid w:val="00090CE2"/>
    <w:rsid w:val="000937EF"/>
    <w:rsid w:val="000A3714"/>
    <w:rsid w:val="000A606B"/>
    <w:rsid w:val="000B358B"/>
    <w:rsid w:val="000B421E"/>
    <w:rsid w:val="000B71D6"/>
    <w:rsid w:val="000C7FDC"/>
    <w:rsid w:val="000D0909"/>
    <w:rsid w:val="000D1085"/>
    <w:rsid w:val="000D6B56"/>
    <w:rsid w:val="000E0422"/>
    <w:rsid w:val="000E3029"/>
    <w:rsid w:val="000F02D1"/>
    <w:rsid w:val="000F506C"/>
    <w:rsid w:val="00101D7B"/>
    <w:rsid w:val="001023D5"/>
    <w:rsid w:val="00116CC2"/>
    <w:rsid w:val="00116ECE"/>
    <w:rsid w:val="00121C5D"/>
    <w:rsid w:val="001270C5"/>
    <w:rsid w:val="00131F90"/>
    <w:rsid w:val="001325EF"/>
    <w:rsid w:val="00133137"/>
    <w:rsid w:val="00136659"/>
    <w:rsid w:val="00137DD8"/>
    <w:rsid w:val="00140729"/>
    <w:rsid w:val="0014394E"/>
    <w:rsid w:val="00147646"/>
    <w:rsid w:val="00150159"/>
    <w:rsid w:val="001579AD"/>
    <w:rsid w:val="00163500"/>
    <w:rsid w:val="00170665"/>
    <w:rsid w:val="00172586"/>
    <w:rsid w:val="00180E76"/>
    <w:rsid w:val="00195EDD"/>
    <w:rsid w:val="001963D6"/>
    <w:rsid w:val="001A3763"/>
    <w:rsid w:val="001A798A"/>
    <w:rsid w:val="001B202E"/>
    <w:rsid w:val="001B4458"/>
    <w:rsid w:val="001C2021"/>
    <w:rsid w:val="001C5140"/>
    <w:rsid w:val="001D640A"/>
    <w:rsid w:val="00200908"/>
    <w:rsid w:val="00201F51"/>
    <w:rsid w:val="00210A85"/>
    <w:rsid w:val="00214B10"/>
    <w:rsid w:val="002172D2"/>
    <w:rsid w:val="00220BB2"/>
    <w:rsid w:val="0022347A"/>
    <w:rsid w:val="002313BF"/>
    <w:rsid w:val="00233F9D"/>
    <w:rsid w:val="00255AFE"/>
    <w:rsid w:val="002608B5"/>
    <w:rsid w:val="00260D66"/>
    <w:rsid w:val="00261012"/>
    <w:rsid w:val="00261577"/>
    <w:rsid w:val="00265E82"/>
    <w:rsid w:val="00272BB3"/>
    <w:rsid w:val="00282AE8"/>
    <w:rsid w:val="002835ED"/>
    <w:rsid w:val="00285543"/>
    <w:rsid w:val="00287096"/>
    <w:rsid w:val="002A06E4"/>
    <w:rsid w:val="002A7060"/>
    <w:rsid w:val="002B137E"/>
    <w:rsid w:val="002B2B69"/>
    <w:rsid w:val="002B6EC5"/>
    <w:rsid w:val="002B78B2"/>
    <w:rsid w:val="002D261F"/>
    <w:rsid w:val="002D5919"/>
    <w:rsid w:val="002D717B"/>
    <w:rsid w:val="002D72E0"/>
    <w:rsid w:val="002E3ED8"/>
    <w:rsid w:val="002F0868"/>
    <w:rsid w:val="002F1DDC"/>
    <w:rsid w:val="002F2386"/>
    <w:rsid w:val="002F6CC5"/>
    <w:rsid w:val="003267F2"/>
    <w:rsid w:val="003306AF"/>
    <w:rsid w:val="0035416B"/>
    <w:rsid w:val="0038169D"/>
    <w:rsid w:val="00383711"/>
    <w:rsid w:val="00386851"/>
    <w:rsid w:val="0039136A"/>
    <w:rsid w:val="003924BB"/>
    <w:rsid w:val="00396238"/>
    <w:rsid w:val="003A79CA"/>
    <w:rsid w:val="003B5331"/>
    <w:rsid w:val="003B7B0D"/>
    <w:rsid w:val="003B7E5E"/>
    <w:rsid w:val="003D0D89"/>
    <w:rsid w:val="003E05EF"/>
    <w:rsid w:val="00405941"/>
    <w:rsid w:val="00405DFF"/>
    <w:rsid w:val="004069DE"/>
    <w:rsid w:val="00407384"/>
    <w:rsid w:val="00410D2C"/>
    <w:rsid w:val="0041181C"/>
    <w:rsid w:val="00411CFC"/>
    <w:rsid w:val="004149AB"/>
    <w:rsid w:val="00433B84"/>
    <w:rsid w:val="00442127"/>
    <w:rsid w:val="004429CB"/>
    <w:rsid w:val="00445A05"/>
    <w:rsid w:val="004539CA"/>
    <w:rsid w:val="00454930"/>
    <w:rsid w:val="00456BC4"/>
    <w:rsid w:val="00457E91"/>
    <w:rsid w:val="0046603A"/>
    <w:rsid w:val="004722E3"/>
    <w:rsid w:val="00477C28"/>
    <w:rsid w:val="00477D01"/>
    <w:rsid w:val="00487F0B"/>
    <w:rsid w:val="0049087F"/>
    <w:rsid w:val="004931B5"/>
    <w:rsid w:val="004A1ED7"/>
    <w:rsid w:val="004A7854"/>
    <w:rsid w:val="004B3B12"/>
    <w:rsid w:val="004B7D6F"/>
    <w:rsid w:val="004C219F"/>
    <w:rsid w:val="004C6951"/>
    <w:rsid w:val="004D00AC"/>
    <w:rsid w:val="004D67D4"/>
    <w:rsid w:val="004F202D"/>
    <w:rsid w:val="004F40D4"/>
    <w:rsid w:val="004F76E5"/>
    <w:rsid w:val="004F78FD"/>
    <w:rsid w:val="00523118"/>
    <w:rsid w:val="00540FE2"/>
    <w:rsid w:val="0054336E"/>
    <w:rsid w:val="00543CD7"/>
    <w:rsid w:val="00545B70"/>
    <w:rsid w:val="00546332"/>
    <w:rsid w:val="005514A2"/>
    <w:rsid w:val="0056007F"/>
    <w:rsid w:val="005611E6"/>
    <w:rsid w:val="005709A1"/>
    <w:rsid w:val="005741D6"/>
    <w:rsid w:val="00576DDB"/>
    <w:rsid w:val="00584A2F"/>
    <w:rsid w:val="00590AC7"/>
    <w:rsid w:val="00591696"/>
    <w:rsid w:val="00594BDC"/>
    <w:rsid w:val="005A572C"/>
    <w:rsid w:val="005B4AA3"/>
    <w:rsid w:val="005B7E1B"/>
    <w:rsid w:val="005C0F5F"/>
    <w:rsid w:val="005C35BA"/>
    <w:rsid w:val="005C4B92"/>
    <w:rsid w:val="005E20BF"/>
    <w:rsid w:val="005E2F47"/>
    <w:rsid w:val="005E34BC"/>
    <w:rsid w:val="005F07C2"/>
    <w:rsid w:val="005F64E9"/>
    <w:rsid w:val="00601DC7"/>
    <w:rsid w:val="006130A2"/>
    <w:rsid w:val="00617A8F"/>
    <w:rsid w:val="006224D4"/>
    <w:rsid w:val="006367E2"/>
    <w:rsid w:val="00640E3F"/>
    <w:rsid w:val="00641A0A"/>
    <w:rsid w:val="006461F7"/>
    <w:rsid w:val="00660A18"/>
    <w:rsid w:val="00662E58"/>
    <w:rsid w:val="0066433B"/>
    <w:rsid w:val="0066795F"/>
    <w:rsid w:val="00674946"/>
    <w:rsid w:val="006805ED"/>
    <w:rsid w:val="00685194"/>
    <w:rsid w:val="006877EB"/>
    <w:rsid w:val="00697CBE"/>
    <w:rsid w:val="006A0CAA"/>
    <w:rsid w:val="006A0D5A"/>
    <w:rsid w:val="006A2295"/>
    <w:rsid w:val="006A3F23"/>
    <w:rsid w:val="006A7015"/>
    <w:rsid w:val="006B39A6"/>
    <w:rsid w:val="006B4FAE"/>
    <w:rsid w:val="006D17F9"/>
    <w:rsid w:val="006D673F"/>
    <w:rsid w:val="006E003D"/>
    <w:rsid w:val="006F2398"/>
    <w:rsid w:val="007138B5"/>
    <w:rsid w:val="00713DC9"/>
    <w:rsid w:val="0072021B"/>
    <w:rsid w:val="00721AC6"/>
    <w:rsid w:val="00723237"/>
    <w:rsid w:val="00723BCB"/>
    <w:rsid w:val="00724CD2"/>
    <w:rsid w:val="007400A7"/>
    <w:rsid w:val="00756A3E"/>
    <w:rsid w:val="00756BDA"/>
    <w:rsid w:val="00756D54"/>
    <w:rsid w:val="00762383"/>
    <w:rsid w:val="0076327E"/>
    <w:rsid w:val="00773EA2"/>
    <w:rsid w:val="0077540D"/>
    <w:rsid w:val="00777072"/>
    <w:rsid w:val="0078173A"/>
    <w:rsid w:val="00796836"/>
    <w:rsid w:val="007A072B"/>
    <w:rsid w:val="007A4095"/>
    <w:rsid w:val="007B05BB"/>
    <w:rsid w:val="007B1C09"/>
    <w:rsid w:val="007B432B"/>
    <w:rsid w:val="007B5803"/>
    <w:rsid w:val="007D229D"/>
    <w:rsid w:val="007D3336"/>
    <w:rsid w:val="007D7A51"/>
    <w:rsid w:val="007E3ADA"/>
    <w:rsid w:val="007E4FDD"/>
    <w:rsid w:val="007F0FFA"/>
    <w:rsid w:val="007F3462"/>
    <w:rsid w:val="007F6BF0"/>
    <w:rsid w:val="00801DFF"/>
    <w:rsid w:val="008060EB"/>
    <w:rsid w:val="00807359"/>
    <w:rsid w:val="00807C60"/>
    <w:rsid w:val="008102A5"/>
    <w:rsid w:val="00810B37"/>
    <w:rsid w:val="0082256B"/>
    <w:rsid w:val="0082475B"/>
    <w:rsid w:val="008273AE"/>
    <w:rsid w:val="008349FA"/>
    <w:rsid w:val="00841AFF"/>
    <w:rsid w:val="00852D56"/>
    <w:rsid w:val="008556C2"/>
    <w:rsid w:val="0086027B"/>
    <w:rsid w:val="008603E6"/>
    <w:rsid w:val="008629A5"/>
    <w:rsid w:val="008654EA"/>
    <w:rsid w:val="00865514"/>
    <w:rsid w:val="00865D37"/>
    <w:rsid w:val="00866AF9"/>
    <w:rsid w:val="00873160"/>
    <w:rsid w:val="00875F8C"/>
    <w:rsid w:val="00881A4E"/>
    <w:rsid w:val="008A5E04"/>
    <w:rsid w:val="008A769E"/>
    <w:rsid w:val="008B08D9"/>
    <w:rsid w:val="008B5CC0"/>
    <w:rsid w:val="008C2261"/>
    <w:rsid w:val="008C38BB"/>
    <w:rsid w:val="008D35DE"/>
    <w:rsid w:val="008D4454"/>
    <w:rsid w:val="008F3BD2"/>
    <w:rsid w:val="00903458"/>
    <w:rsid w:val="00917F53"/>
    <w:rsid w:val="00921F7F"/>
    <w:rsid w:val="00926C3B"/>
    <w:rsid w:val="00933710"/>
    <w:rsid w:val="0094658E"/>
    <w:rsid w:val="00956E60"/>
    <w:rsid w:val="009579A9"/>
    <w:rsid w:val="00957EF3"/>
    <w:rsid w:val="00972299"/>
    <w:rsid w:val="00973F43"/>
    <w:rsid w:val="00982891"/>
    <w:rsid w:val="00982E80"/>
    <w:rsid w:val="0099554F"/>
    <w:rsid w:val="00996BE3"/>
    <w:rsid w:val="009A2C2B"/>
    <w:rsid w:val="009A3E17"/>
    <w:rsid w:val="009A6744"/>
    <w:rsid w:val="009B050B"/>
    <w:rsid w:val="009C6749"/>
    <w:rsid w:val="009C72DE"/>
    <w:rsid w:val="009D1EF2"/>
    <w:rsid w:val="009D4923"/>
    <w:rsid w:val="009D6084"/>
    <w:rsid w:val="009D6EF2"/>
    <w:rsid w:val="009E635B"/>
    <w:rsid w:val="009F1C8E"/>
    <w:rsid w:val="00A041BE"/>
    <w:rsid w:val="00A0588D"/>
    <w:rsid w:val="00A0639D"/>
    <w:rsid w:val="00A10512"/>
    <w:rsid w:val="00A23888"/>
    <w:rsid w:val="00A245CC"/>
    <w:rsid w:val="00A30D6B"/>
    <w:rsid w:val="00A45774"/>
    <w:rsid w:val="00A52B71"/>
    <w:rsid w:val="00A712B8"/>
    <w:rsid w:val="00A74661"/>
    <w:rsid w:val="00A7647F"/>
    <w:rsid w:val="00A86016"/>
    <w:rsid w:val="00A87429"/>
    <w:rsid w:val="00AA25B1"/>
    <w:rsid w:val="00AA4C8E"/>
    <w:rsid w:val="00AB6E31"/>
    <w:rsid w:val="00AC70BE"/>
    <w:rsid w:val="00AD4A22"/>
    <w:rsid w:val="00AD5E7F"/>
    <w:rsid w:val="00AE6D50"/>
    <w:rsid w:val="00AF24D9"/>
    <w:rsid w:val="00AF39A6"/>
    <w:rsid w:val="00B13DEB"/>
    <w:rsid w:val="00B24BC1"/>
    <w:rsid w:val="00B26D3F"/>
    <w:rsid w:val="00B349B7"/>
    <w:rsid w:val="00B3588C"/>
    <w:rsid w:val="00B44812"/>
    <w:rsid w:val="00B53720"/>
    <w:rsid w:val="00B602CF"/>
    <w:rsid w:val="00B630EC"/>
    <w:rsid w:val="00B63258"/>
    <w:rsid w:val="00B6366B"/>
    <w:rsid w:val="00B70611"/>
    <w:rsid w:val="00B72ED8"/>
    <w:rsid w:val="00B74F53"/>
    <w:rsid w:val="00B84AE1"/>
    <w:rsid w:val="00B86808"/>
    <w:rsid w:val="00B8724D"/>
    <w:rsid w:val="00B91389"/>
    <w:rsid w:val="00B92B2F"/>
    <w:rsid w:val="00B946CD"/>
    <w:rsid w:val="00B95A09"/>
    <w:rsid w:val="00BA1E0C"/>
    <w:rsid w:val="00BA6AED"/>
    <w:rsid w:val="00BB3DF7"/>
    <w:rsid w:val="00BC1E3A"/>
    <w:rsid w:val="00BC2D94"/>
    <w:rsid w:val="00BC347C"/>
    <w:rsid w:val="00BD4D05"/>
    <w:rsid w:val="00BE0F7F"/>
    <w:rsid w:val="00BF171E"/>
    <w:rsid w:val="00BF4609"/>
    <w:rsid w:val="00C001F6"/>
    <w:rsid w:val="00C270DB"/>
    <w:rsid w:val="00C2755E"/>
    <w:rsid w:val="00C337BA"/>
    <w:rsid w:val="00C33B0F"/>
    <w:rsid w:val="00C4025E"/>
    <w:rsid w:val="00C533D2"/>
    <w:rsid w:val="00C5725E"/>
    <w:rsid w:val="00C572C2"/>
    <w:rsid w:val="00C6105B"/>
    <w:rsid w:val="00C64CF8"/>
    <w:rsid w:val="00C671B2"/>
    <w:rsid w:val="00C71571"/>
    <w:rsid w:val="00C80047"/>
    <w:rsid w:val="00C816E1"/>
    <w:rsid w:val="00C85DFC"/>
    <w:rsid w:val="00C9125D"/>
    <w:rsid w:val="00C91328"/>
    <w:rsid w:val="00C92BA1"/>
    <w:rsid w:val="00CA1990"/>
    <w:rsid w:val="00CB3400"/>
    <w:rsid w:val="00CC1105"/>
    <w:rsid w:val="00CC3249"/>
    <w:rsid w:val="00CC4558"/>
    <w:rsid w:val="00CD0340"/>
    <w:rsid w:val="00CD56B4"/>
    <w:rsid w:val="00CD6A54"/>
    <w:rsid w:val="00CE082A"/>
    <w:rsid w:val="00CF5534"/>
    <w:rsid w:val="00D00C31"/>
    <w:rsid w:val="00D0579D"/>
    <w:rsid w:val="00D07DBE"/>
    <w:rsid w:val="00D11D57"/>
    <w:rsid w:val="00D234C9"/>
    <w:rsid w:val="00D23EF4"/>
    <w:rsid w:val="00D25285"/>
    <w:rsid w:val="00D40BF1"/>
    <w:rsid w:val="00D502C9"/>
    <w:rsid w:val="00D50D6D"/>
    <w:rsid w:val="00D52180"/>
    <w:rsid w:val="00D6090C"/>
    <w:rsid w:val="00D65157"/>
    <w:rsid w:val="00D65EF2"/>
    <w:rsid w:val="00D66D76"/>
    <w:rsid w:val="00D7575C"/>
    <w:rsid w:val="00D92113"/>
    <w:rsid w:val="00D96788"/>
    <w:rsid w:val="00DA168E"/>
    <w:rsid w:val="00DA515C"/>
    <w:rsid w:val="00DB0C55"/>
    <w:rsid w:val="00DB5368"/>
    <w:rsid w:val="00DB5EC5"/>
    <w:rsid w:val="00DC52A0"/>
    <w:rsid w:val="00DD440E"/>
    <w:rsid w:val="00DD455C"/>
    <w:rsid w:val="00DF0889"/>
    <w:rsid w:val="00DF2183"/>
    <w:rsid w:val="00E120F4"/>
    <w:rsid w:val="00E135A7"/>
    <w:rsid w:val="00E27F28"/>
    <w:rsid w:val="00E27F3F"/>
    <w:rsid w:val="00E30525"/>
    <w:rsid w:val="00E360E6"/>
    <w:rsid w:val="00E4181C"/>
    <w:rsid w:val="00E41D5B"/>
    <w:rsid w:val="00E43CD3"/>
    <w:rsid w:val="00E46EF3"/>
    <w:rsid w:val="00E50020"/>
    <w:rsid w:val="00E5053C"/>
    <w:rsid w:val="00E52A27"/>
    <w:rsid w:val="00E603E2"/>
    <w:rsid w:val="00E63E57"/>
    <w:rsid w:val="00E67AD6"/>
    <w:rsid w:val="00E70955"/>
    <w:rsid w:val="00E76E06"/>
    <w:rsid w:val="00E847FE"/>
    <w:rsid w:val="00E9526A"/>
    <w:rsid w:val="00EA696F"/>
    <w:rsid w:val="00EB0FB1"/>
    <w:rsid w:val="00EC1046"/>
    <w:rsid w:val="00ED7705"/>
    <w:rsid w:val="00EE5463"/>
    <w:rsid w:val="00EF2F3C"/>
    <w:rsid w:val="00F00B98"/>
    <w:rsid w:val="00F00BEF"/>
    <w:rsid w:val="00F02C69"/>
    <w:rsid w:val="00F15EA5"/>
    <w:rsid w:val="00F32A57"/>
    <w:rsid w:val="00F60563"/>
    <w:rsid w:val="00F90B72"/>
    <w:rsid w:val="00F945E3"/>
    <w:rsid w:val="00F976D4"/>
    <w:rsid w:val="00FB29E2"/>
    <w:rsid w:val="00FC5842"/>
    <w:rsid w:val="00FC6EAB"/>
    <w:rsid w:val="00FD2EDD"/>
    <w:rsid w:val="00FD34DB"/>
    <w:rsid w:val="00FD6C51"/>
    <w:rsid w:val="00FE23D5"/>
    <w:rsid w:val="00FE2C69"/>
    <w:rsid w:val="00FE6361"/>
    <w:rsid w:val="00FE675E"/>
    <w:rsid w:val="00FE7E2F"/>
    <w:rsid w:val="00FF0138"/>
    <w:rsid w:val="00FF5421"/>
    <w:rsid w:val="00FF6BFF"/>
    <w:rsid w:val="00FF74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01CDF"/>
  <w15:docId w15:val="{B1FB8E11-ADD5-1846-97C8-C7241031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4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457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9136A"/>
    <w:pPr>
      <w:spacing w:line="360" w:lineRule="auto"/>
      <w:outlineLvl w:val="1"/>
    </w:pPr>
    <w:rPr>
      <w:b/>
      <w:bCs/>
      <w:color w:val="000000" w:themeColor="text1"/>
      <w:szCs w:val="36"/>
    </w:rPr>
  </w:style>
  <w:style w:type="paragraph" w:styleId="Heading3">
    <w:name w:val="heading 3"/>
    <w:basedOn w:val="Normal"/>
    <w:next w:val="Normal"/>
    <w:link w:val="Heading3Char"/>
    <w:uiPriority w:val="9"/>
    <w:semiHidden/>
    <w:unhideWhenUsed/>
    <w:qFormat/>
    <w:rsid w:val="009E635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238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36A"/>
    <w:rPr>
      <w:sz w:val="18"/>
      <w:szCs w:val="18"/>
    </w:rPr>
  </w:style>
  <w:style w:type="character" w:customStyle="1" w:styleId="BalloonTextChar">
    <w:name w:val="Balloon Text Char"/>
    <w:basedOn w:val="DefaultParagraphFont"/>
    <w:link w:val="BalloonText"/>
    <w:uiPriority w:val="99"/>
    <w:semiHidden/>
    <w:rsid w:val="0039136A"/>
    <w:rPr>
      <w:rFonts w:ascii="Times New Roman" w:hAnsi="Times New Roman" w:cs="Times New Roman"/>
      <w:sz w:val="18"/>
      <w:szCs w:val="18"/>
    </w:rPr>
  </w:style>
  <w:style w:type="character" w:customStyle="1" w:styleId="Heading2Char">
    <w:name w:val="Heading 2 Char"/>
    <w:basedOn w:val="DefaultParagraphFont"/>
    <w:link w:val="Heading2"/>
    <w:uiPriority w:val="9"/>
    <w:rsid w:val="0039136A"/>
    <w:rPr>
      <w:rFonts w:ascii="Times New Roman" w:eastAsia="Times New Roman" w:hAnsi="Times New Roman" w:cs="Times New Roman"/>
      <w:b/>
      <w:bCs/>
      <w:color w:val="000000" w:themeColor="text1"/>
      <w:szCs w:val="36"/>
      <w:lang w:eastAsia="en-GB"/>
    </w:rPr>
  </w:style>
  <w:style w:type="paragraph" w:customStyle="1" w:styleId="Default">
    <w:name w:val="Default"/>
    <w:rsid w:val="00220BB2"/>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220BB2"/>
    <w:rPr>
      <w:rFonts w:cs="Times New Roman"/>
      <w:color w:val="auto"/>
    </w:rPr>
  </w:style>
  <w:style w:type="character" w:customStyle="1" w:styleId="Heading3Char">
    <w:name w:val="Heading 3 Char"/>
    <w:basedOn w:val="DefaultParagraphFont"/>
    <w:link w:val="Heading3"/>
    <w:uiPriority w:val="9"/>
    <w:semiHidden/>
    <w:rsid w:val="009E635B"/>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99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8BB"/>
    <w:rPr>
      <w:color w:val="0000FF"/>
      <w:u w:val="single"/>
    </w:rPr>
  </w:style>
  <w:style w:type="paragraph" w:styleId="ListParagraph">
    <w:name w:val="List Paragraph"/>
    <w:basedOn w:val="Normal"/>
    <w:uiPriority w:val="34"/>
    <w:qFormat/>
    <w:rsid w:val="004A1ED7"/>
    <w:pPr>
      <w:ind w:left="720"/>
      <w:contextualSpacing/>
    </w:pPr>
  </w:style>
  <w:style w:type="paragraph" w:styleId="Header">
    <w:name w:val="header"/>
    <w:basedOn w:val="Normal"/>
    <w:link w:val="HeaderChar"/>
    <w:uiPriority w:val="99"/>
    <w:rsid w:val="00FC5842"/>
    <w:pPr>
      <w:tabs>
        <w:tab w:val="center" w:pos="4320"/>
        <w:tab w:val="right" w:pos="8640"/>
      </w:tabs>
    </w:pPr>
    <w:rPr>
      <w:rFonts w:ascii="Garamond" w:hAnsi="Garamond"/>
      <w:color w:val="008000"/>
      <w:w w:val="120"/>
      <w:lang w:val="en-CA"/>
    </w:rPr>
  </w:style>
  <w:style w:type="character" w:customStyle="1" w:styleId="HeaderChar">
    <w:name w:val="Header Char"/>
    <w:basedOn w:val="DefaultParagraphFont"/>
    <w:link w:val="Header"/>
    <w:uiPriority w:val="99"/>
    <w:rsid w:val="00FC5842"/>
    <w:rPr>
      <w:rFonts w:ascii="Garamond" w:eastAsia="Times New Roman" w:hAnsi="Garamond" w:cs="Times New Roman"/>
      <w:color w:val="008000"/>
      <w:w w:val="120"/>
      <w:lang w:val="en-CA"/>
    </w:rPr>
  </w:style>
  <w:style w:type="paragraph" w:styleId="NormalWeb">
    <w:name w:val="Normal (Web)"/>
    <w:basedOn w:val="Normal"/>
    <w:uiPriority w:val="99"/>
    <w:unhideWhenUsed/>
    <w:rsid w:val="00C71571"/>
    <w:pPr>
      <w:spacing w:before="100" w:beforeAutospacing="1" w:after="100" w:afterAutospacing="1"/>
    </w:pPr>
  </w:style>
  <w:style w:type="character" w:customStyle="1" w:styleId="Heading4Char">
    <w:name w:val="Heading 4 Char"/>
    <w:basedOn w:val="DefaultParagraphFont"/>
    <w:link w:val="Heading4"/>
    <w:uiPriority w:val="9"/>
    <w:rsid w:val="00A23888"/>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136659"/>
    <w:rPr>
      <w:sz w:val="20"/>
      <w:szCs w:val="20"/>
    </w:rPr>
  </w:style>
  <w:style w:type="character" w:customStyle="1" w:styleId="FootnoteTextChar">
    <w:name w:val="Footnote Text Char"/>
    <w:basedOn w:val="DefaultParagraphFont"/>
    <w:link w:val="FootnoteText"/>
    <w:uiPriority w:val="99"/>
    <w:semiHidden/>
    <w:rsid w:val="00136659"/>
    <w:rPr>
      <w:sz w:val="20"/>
      <w:szCs w:val="20"/>
    </w:rPr>
  </w:style>
  <w:style w:type="character" w:styleId="FootnoteReference">
    <w:name w:val="footnote reference"/>
    <w:basedOn w:val="DefaultParagraphFont"/>
    <w:uiPriority w:val="99"/>
    <w:semiHidden/>
    <w:unhideWhenUsed/>
    <w:rsid w:val="00136659"/>
    <w:rPr>
      <w:vertAlign w:val="superscript"/>
    </w:rPr>
  </w:style>
  <w:style w:type="paragraph" w:styleId="CommentText">
    <w:name w:val="annotation text"/>
    <w:basedOn w:val="Normal"/>
    <w:link w:val="CommentTextChar"/>
    <w:uiPriority w:val="99"/>
    <w:semiHidden/>
    <w:unhideWhenUsed/>
    <w:rsid w:val="006130A2"/>
  </w:style>
  <w:style w:type="character" w:customStyle="1" w:styleId="CommentTextChar">
    <w:name w:val="Comment Text Char"/>
    <w:basedOn w:val="DefaultParagraphFont"/>
    <w:link w:val="CommentText"/>
    <w:uiPriority w:val="99"/>
    <w:semiHidden/>
    <w:rsid w:val="006130A2"/>
  </w:style>
  <w:style w:type="character" w:styleId="CommentReference">
    <w:name w:val="annotation reference"/>
    <w:basedOn w:val="DefaultParagraphFont"/>
    <w:uiPriority w:val="99"/>
    <w:semiHidden/>
    <w:unhideWhenUsed/>
    <w:rsid w:val="00BC2D94"/>
    <w:rPr>
      <w:sz w:val="18"/>
      <w:szCs w:val="18"/>
    </w:rPr>
  </w:style>
  <w:style w:type="paragraph" w:styleId="CommentSubject">
    <w:name w:val="annotation subject"/>
    <w:basedOn w:val="CommentText"/>
    <w:next w:val="CommentText"/>
    <w:link w:val="CommentSubjectChar"/>
    <w:uiPriority w:val="99"/>
    <w:semiHidden/>
    <w:unhideWhenUsed/>
    <w:rsid w:val="00BC2D94"/>
    <w:rPr>
      <w:b/>
      <w:bCs/>
      <w:sz w:val="20"/>
      <w:szCs w:val="20"/>
    </w:rPr>
  </w:style>
  <w:style w:type="character" w:customStyle="1" w:styleId="CommentSubjectChar">
    <w:name w:val="Comment Subject Char"/>
    <w:basedOn w:val="CommentTextChar"/>
    <w:link w:val="CommentSubject"/>
    <w:uiPriority w:val="99"/>
    <w:semiHidden/>
    <w:rsid w:val="00BC2D94"/>
    <w:rPr>
      <w:b/>
      <w:bCs/>
      <w:sz w:val="20"/>
      <w:szCs w:val="20"/>
    </w:rPr>
  </w:style>
  <w:style w:type="paragraph" w:styleId="Revision">
    <w:name w:val="Revision"/>
    <w:hidden/>
    <w:uiPriority w:val="99"/>
    <w:semiHidden/>
    <w:rsid w:val="00C80047"/>
  </w:style>
  <w:style w:type="paragraph" w:styleId="EndnoteText">
    <w:name w:val="endnote text"/>
    <w:basedOn w:val="Normal"/>
    <w:link w:val="EndnoteTextChar"/>
    <w:uiPriority w:val="99"/>
    <w:unhideWhenUsed/>
    <w:rsid w:val="00723237"/>
    <w:rPr>
      <w:sz w:val="20"/>
      <w:szCs w:val="20"/>
    </w:rPr>
  </w:style>
  <w:style w:type="character" w:customStyle="1" w:styleId="EndnoteTextChar">
    <w:name w:val="Endnote Text Char"/>
    <w:basedOn w:val="DefaultParagraphFont"/>
    <w:link w:val="EndnoteText"/>
    <w:uiPriority w:val="99"/>
    <w:rsid w:val="00723237"/>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723237"/>
    <w:rPr>
      <w:color w:val="605E5C"/>
      <w:shd w:val="clear" w:color="auto" w:fill="E1DFDD"/>
    </w:rPr>
  </w:style>
  <w:style w:type="character" w:styleId="FollowedHyperlink">
    <w:name w:val="FollowedHyperlink"/>
    <w:basedOn w:val="DefaultParagraphFont"/>
    <w:uiPriority w:val="99"/>
    <w:semiHidden/>
    <w:unhideWhenUsed/>
    <w:rsid w:val="00723237"/>
    <w:rPr>
      <w:color w:val="954F72" w:themeColor="followedHyperlink"/>
      <w:u w:val="single"/>
    </w:rPr>
  </w:style>
  <w:style w:type="character" w:customStyle="1" w:styleId="Heading1Char">
    <w:name w:val="Heading 1 Char"/>
    <w:basedOn w:val="DefaultParagraphFont"/>
    <w:link w:val="Heading1"/>
    <w:uiPriority w:val="9"/>
    <w:rsid w:val="00A45774"/>
    <w:rPr>
      <w:rFonts w:asciiTheme="majorHAnsi" w:eastAsiaTheme="majorEastAsia" w:hAnsiTheme="majorHAnsi" w:cstheme="majorBidi"/>
      <w:color w:val="2F5496" w:themeColor="accent1" w:themeShade="BF"/>
      <w:sz w:val="32"/>
      <w:szCs w:val="32"/>
    </w:rPr>
  </w:style>
  <w:style w:type="character" w:customStyle="1" w:styleId="highwire-cite-journal">
    <w:name w:val="highwire-cite-journal"/>
    <w:basedOn w:val="DefaultParagraphFont"/>
    <w:rsid w:val="00A45774"/>
  </w:style>
  <w:style w:type="character" w:customStyle="1" w:styleId="highwire-cite-published-year">
    <w:name w:val="highwire-cite-published-year"/>
    <w:basedOn w:val="DefaultParagraphFont"/>
    <w:rsid w:val="00A45774"/>
  </w:style>
  <w:style w:type="character" w:customStyle="1" w:styleId="highwire-cite-volume-issue">
    <w:name w:val="highwire-cite-volume-issue"/>
    <w:basedOn w:val="DefaultParagraphFont"/>
    <w:rsid w:val="00A45774"/>
  </w:style>
  <w:style w:type="character" w:customStyle="1" w:styleId="highwire-cite-doi">
    <w:name w:val="highwire-cite-doi"/>
    <w:basedOn w:val="DefaultParagraphFont"/>
    <w:rsid w:val="00A45774"/>
  </w:style>
  <w:style w:type="character" w:customStyle="1" w:styleId="highwire-cite-date">
    <w:name w:val="highwire-cite-date"/>
    <w:basedOn w:val="DefaultParagraphFont"/>
    <w:rsid w:val="00A45774"/>
  </w:style>
  <w:style w:type="character" w:customStyle="1" w:styleId="highwire-cite-article-as">
    <w:name w:val="highwire-cite-article-as"/>
    <w:basedOn w:val="DefaultParagraphFont"/>
    <w:rsid w:val="00A45774"/>
  </w:style>
  <w:style w:type="character" w:customStyle="1" w:styleId="italic">
    <w:name w:val="italic"/>
    <w:basedOn w:val="DefaultParagraphFont"/>
    <w:rsid w:val="00A45774"/>
  </w:style>
  <w:style w:type="character" w:customStyle="1" w:styleId="highwire-citation-authors">
    <w:name w:val="highwire-citation-authors"/>
    <w:basedOn w:val="DefaultParagraphFont"/>
    <w:rsid w:val="002B6EC5"/>
  </w:style>
  <w:style w:type="character" w:customStyle="1" w:styleId="highwire-citation-author">
    <w:name w:val="highwire-citation-author"/>
    <w:basedOn w:val="DefaultParagraphFont"/>
    <w:rsid w:val="002B6EC5"/>
  </w:style>
  <w:style w:type="character" w:customStyle="1" w:styleId="nlm-surname">
    <w:name w:val="nlm-surname"/>
    <w:basedOn w:val="DefaultParagraphFont"/>
    <w:rsid w:val="002B6EC5"/>
  </w:style>
  <w:style w:type="character" w:customStyle="1" w:styleId="highwire-cite-metadata-journal">
    <w:name w:val="highwire-cite-metadata-journal"/>
    <w:basedOn w:val="DefaultParagraphFont"/>
    <w:rsid w:val="002B6EC5"/>
  </w:style>
  <w:style w:type="character" w:customStyle="1" w:styleId="highwire-cite-metadata-date">
    <w:name w:val="highwire-cite-metadata-date"/>
    <w:basedOn w:val="DefaultParagraphFont"/>
    <w:rsid w:val="002B6EC5"/>
  </w:style>
  <w:style w:type="character" w:customStyle="1" w:styleId="label">
    <w:name w:val="label"/>
    <w:basedOn w:val="DefaultParagraphFont"/>
    <w:rsid w:val="002B6EC5"/>
  </w:style>
  <w:style w:type="character" w:customStyle="1" w:styleId="highwire-cite-metadata-doi">
    <w:name w:val="highwire-cite-metadata-doi"/>
    <w:basedOn w:val="DefaultParagraphFont"/>
    <w:rsid w:val="002B6EC5"/>
  </w:style>
  <w:style w:type="character" w:customStyle="1" w:styleId="highwire-cite-metadata-year">
    <w:name w:val="highwire-cite-metadata-year"/>
    <w:basedOn w:val="DefaultParagraphFont"/>
    <w:rsid w:val="002B6EC5"/>
  </w:style>
  <w:style w:type="character" w:customStyle="1" w:styleId="highwire-cite-metadata-volume">
    <w:name w:val="highwire-cite-metadata-volume"/>
    <w:basedOn w:val="DefaultParagraphFont"/>
    <w:rsid w:val="002B6EC5"/>
  </w:style>
  <w:style w:type="character" w:customStyle="1" w:styleId="highwire-cite-metadata-pages">
    <w:name w:val="highwire-cite-metadata-pages"/>
    <w:basedOn w:val="DefaultParagraphFont"/>
    <w:rsid w:val="002B6EC5"/>
  </w:style>
  <w:style w:type="character" w:customStyle="1" w:styleId="identifier">
    <w:name w:val="identifier"/>
    <w:basedOn w:val="DefaultParagraphFont"/>
    <w:rsid w:val="005B4AA3"/>
  </w:style>
  <w:style w:type="paragraph" w:styleId="Footer">
    <w:name w:val="footer"/>
    <w:basedOn w:val="Normal"/>
    <w:link w:val="FooterChar"/>
    <w:uiPriority w:val="99"/>
    <w:unhideWhenUsed/>
    <w:rsid w:val="00C4025E"/>
    <w:pPr>
      <w:tabs>
        <w:tab w:val="center" w:pos="4680"/>
        <w:tab w:val="right" w:pos="9360"/>
      </w:tabs>
    </w:pPr>
  </w:style>
  <w:style w:type="character" w:customStyle="1" w:styleId="FooterChar">
    <w:name w:val="Footer Char"/>
    <w:basedOn w:val="DefaultParagraphFont"/>
    <w:link w:val="Footer"/>
    <w:uiPriority w:val="99"/>
    <w:rsid w:val="00C4025E"/>
    <w:rPr>
      <w:rFonts w:ascii="Times New Roman" w:eastAsia="Times New Roman" w:hAnsi="Times New Roman" w:cs="Times New Roman"/>
      <w:lang w:eastAsia="en-GB"/>
    </w:rPr>
  </w:style>
  <w:style w:type="character" w:customStyle="1" w:styleId="period">
    <w:name w:val="period"/>
    <w:basedOn w:val="DefaultParagraphFont"/>
    <w:rsid w:val="00405941"/>
  </w:style>
  <w:style w:type="paragraph" w:customStyle="1" w:styleId="dx-doi">
    <w:name w:val="dx-doi"/>
    <w:basedOn w:val="Normal"/>
    <w:rsid w:val="00405941"/>
    <w:pPr>
      <w:spacing w:before="100" w:beforeAutospacing="1" w:after="100" w:afterAutospacing="1"/>
    </w:pPr>
  </w:style>
  <w:style w:type="character" w:styleId="EndnoteReference">
    <w:name w:val="endnote reference"/>
    <w:basedOn w:val="DefaultParagraphFont"/>
    <w:uiPriority w:val="99"/>
    <w:semiHidden/>
    <w:unhideWhenUsed/>
    <w:rsid w:val="00C67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0478">
      <w:bodyDiv w:val="1"/>
      <w:marLeft w:val="0"/>
      <w:marRight w:val="0"/>
      <w:marTop w:val="0"/>
      <w:marBottom w:val="0"/>
      <w:divBdr>
        <w:top w:val="none" w:sz="0" w:space="0" w:color="auto"/>
        <w:left w:val="none" w:sz="0" w:space="0" w:color="auto"/>
        <w:bottom w:val="none" w:sz="0" w:space="0" w:color="auto"/>
        <w:right w:val="none" w:sz="0" w:space="0" w:color="auto"/>
      </w:divBdr>
    </w:div>
    <w:div w:id="76751298">
      <w:bodyDiv w:val="1"/>
      <w:marLeft w:val="0"/>
      <w:marRight w:val="0"/>
      <w:marTop w:val="0"/>
      <w:marBottom w:val="0"/>
      <w:divBdr>
        <w:top w:val="none" w:sz="0" w:space="0" w:color="auto"/>
        <w:left w:val="none" w:sz="0" w:space="0" w:color="auto"/>
        <w:bottom w:val="none" w:sz="0" w:space="0" w:color="auto"/>
        <w:right w:val="none" w:sz="0" w:space="0" w:color="auto"/>
      </w:divBdr>
    </w:div>
    <w:div w:id="80220056">
      <w:bodyDiv w:val="1"/>
      <w:marLeft w:val="0"/>
      <w:marRight w:val="0"/>
      <w:marTop w:val="0"/>
      <w:marBottom w:val="0"/>
      <w:divBdr>
        <w:top w:val="none" w:sz="0" w:space="0" w:color="auto"/>
        <w:left w:val="none" w:sz="0" w:space="0" w:color="auto"/>
        <w:bottom w:val="none" w:sz="0" w:space="0" w:color="auto"/>
        <w:right w:val="none" w:sz="0" w:space="0" w:color="auto"/>
      </w:divBdr>
      <w:divsChild>
        <w:div w:id="1811553526">
          <w:marLeft w:val="0"/>
          <w:marRight w:val="0"/>
          <w:marTop w:val="0"/>
          <w:marBottom w:val="0"/>
          <w:divBdr>
            <w:top w:val="none" w:sz="0" w:space="0" w:color="auto"/>
            <w:left w:val="none" w:sz="0" w:space="0" w:color="auto"/>
            <w:bottom w:val="none" w:sz="0" w:space="0" w:color="auto"/>
            <w:right w:val="none" w:sz="0" w:space="0" w:color="auto"/>
          </w:divBdr>
        </w:div>
        <w:div w:id="253517178">
          <w:marLeft w:val="0"/>
          <w:marRight w:val="0"/>
          <w:marTop w:val="0"/>
          <w:marBottom w:val="0"/>
          <w:divBdr>
            <w:top w:val="none" w:sz="0" w:space="0" w:color="auto"/>
            <w:left w:val="none" w:sz="0" w:space="0" w:color="auto"/>
            <w:bottom w:val="none" w:sz="0" w:space="0" w:color="auto"/>
            <w:right w:val="none" w:sz="0" w:space="0" w:color="auto"/>
          </w:divBdr>
        </w:div>
        <w:div w:id="1131247234">
          <w:marLeft w:val="0"/>
          <w:marRight w:val="0"/>
          <w:marTop w:val="0"/>
          <w:marBottom w:val="0"/>
          <w:divBdr>
            <w:top w:val="none" w:sz="0" w:space="0" w:color="auto"/>
            <w:left w:val="none" w:sz="0" w:space="0" w:color="auto"/>
            <w:bottom w:val="none" w:sz="0" w:space="0" w:color="auto"/>
            <w:right w:val="none" w:sz="0" w:space="0" w:color="auto"/>
          </w:divBdr>
        </w:div>
      </w:divsChild>
    </w:div>
    <w:div w:id="104693552">
      <w:bodyDiv w:val="1"/>
      <w:marLeft w:val="0"/>
      <w:marRight w:val="0"/>
      <w:marTop w:val="0"/>
      <w:marBottom w:val="0"/>
      <w:divBdr>
        <w:top w:val="none" w:sz="0" w:space="0" w:color="auto"/>
        <w:left w:val="none" w:sz="0" w:space="0" w:color="auto"/>
        <w:bottom w:val="none" w:sz="0" w:space="0" w:color="auto"/>
        <w:right w:val="none" w:sz="0" w:space="0" w:color="auto"/>
      </w:divBdr>
    </w:div>
    <w:div w:id="110129969">
      <w:bodyDiv w:val="1"/>
      <w:marLeft w:val="0"/>
      <w:marRight w:val="0"/>
      <w:marTop w:val="0"/>
      <w:marBottom w:val="0"/>
      <w:divBdr>
        <w:top w:val="none" w:sz="0" w:space="0" w:color="auto"/>
        <w:left w:val="none" w:sz="0" w:space="0" w:color="auto"/>
        <w:bottom w:val="none" w:sz="0" w:space="0" w:color="auto"/>
        <w:right w:val="none" w:sz="0" w:space="0" w:color="auto"/>
      </w:divBdr>
    </w:div>
    <w:div w:id="209070683">
      <w:bodyDiv w:val="1"/>
      <w:marLeft w:val="0"/>
      <w:marRight w:val="0"/>
      <w:marTop w:val="0"/>
      <w:marBottom w:val="0"/>
      <w:divBdr>
        <w:top w:val="none" w:sz="0" w:space="0" w:color="auto"/>
        <w:left w:val="none" w:sz="0" w:space="0" w:color="auto"/>
        <w:bottom w:val="none" w:sz="0" w:space="0" w:color="auto"/>
        <w:right w:val="none" w:sz="0" w:space="0" w:color="auto"/>
      </w:divBdr>
    </w:div>
    <w:div w:id="211768289">
      <w:bodyDiv w:val="1"/>
      <w:marLeft w:val="0"/>
      <w:marRight w:val="0"/>
      <w:marTop w:val="0"/>
      <w:marBottom w:val="0"/>
      <w:divBdr>
        <w:top w:val="none" w:sz="0" w:space="0" w:color="auto"/>
        <w:left w:val="none" w:sz="0" w:space="0" w:color="auto"/>
        <w:bottom w:val="none" w:sz="0" w:space="0" w:color="auto"/>
        <w:right w:val="none" w:sz="0" w:space="0" w:color="auto"/>
      </w:divBdr>
    </w:div>
    <w:div w:id="378743435">
      <w:bodyDiv w:val="1"/>
      <w:marLeft w:val="0"/>
      <w:marRight w:val="0"/>
      <w:marTop w:val="0"/>
      <w:marBottom w:val="0"/>
      <w:divBdr>
        <w:top w:val="none" w:sz="0" w:space="0" w:color="auto"/>
        <w:left w:val="none" w:sz="0" w:space="0" w:color="auto"/>
        <w:bottom w:val="none" w:sz="0" w:space="0" w:color="auto"/>
        <w:right w:val="none" w:sz="0" w:space="0" w:color="auto"/>
      </w:divBdr>
    </w:div>
    <w:div w:id="378942248">
      <w:bodyDiv w:val="1"/>
      <w:marLeft w:val="0"/>
      <w:marRight w:val="0"/>
      <w:marTop w:val="0"/>
      <w:marBottom w:val="0"/>
      <w:divBdr>
        <w:top w:val="none" w:sz="0" w:space="0" w:color="auto"/>
        <w:left w:val="none" w:sz="0" w:space="0" w:color="auto"/>
        <w:bottom w:val="none" w:sz="0" w:space="0" w:color="auto"/>
        <w:right w:val="none" w:sz="0" w:space="0" w:color="auto"/>
      </w:divBdr>
    </w:div>
    <w:div w:id="392971422">
      <w:bodyDiv w:val="1"/>
      <w:marLeft w:val="0"/>
      <w:marRight w:val="0"/>
      <w:marTop w:val="0"/>
      <w:marBottom w:val="0"/>
      <w:divBdr>
        <w:top w:val="none" w:sz="0" w:space="0" w:color="auto"/>
        <w:left w:val="none" w:sz="0" w:space="0" w:color="auto"/>
        <w:bottom w:val="none" w:sz="0" w:space="0" w:color="auto"/>
        <w:right w:val="none" w:sz="0" w:space="0" w:color="auto"/>
      </w:divBdr>
    </w:div>
    <w:div w:id="401759770">
      <w:bodyDiv w:val="1"/>
      <w:marLeft w:val="0"/>
      <w:marRight w:val="0"/>
      <w:marTop w:val="0"/>
      <w:marBottom w:val="0"/>
      <w:divBdr>
        <w:top w:val="none" w:sz="0" w:space="0" w:color="auto"/>
        <w:left w:val="none" w:sz="0" w:space="0" w:color="auto"/>
        <w:bottom w:val="none" w:sz="0" w:space="0" w:color="auto"/>
        <w:right w:val="none" w:sz="0" w:space="0" w:color="auto"/>
      </w:divBdr>
    </w:div>
    <w:div w:id="516429532">
      <w:bodyDiv w:val="1"/>
      <w:marLeft w:val="0"/>
      <w:marRight w:val="0"/>
      <w:marTop w:val="0"/>
      <w:marBottom w:val="0"/>
      <w:divBdr>
        <w:top w:val="none" w:sz="0" w:space="0" w:color="auto"/>
        <w:left w:val="none" w:sz="0" w:space="0" w:color="auto"/>
        <w:bottom w:val="none" w:sz="0" w:space="0" w:color="auto"/>
        <w:right w:val="none" w:sz="0" w:space="0" w:color="auto"/>
      </w:divBdr>
    </w:div>
    <w:div w:id="582957940">
      <w:bodyDiv w:val="1"/>
      <w:marLeft w:val="0"/>
      <w:marRight w:val="0"/>
      <w:marTop w:val="0"/>
      <w:marBottom w:val="0"/>
      <w:divBdr>
        <w:top w:val="none" w:sz="0" w:space="0" w:color="auto"/>
        <w:left w:val="none" w:sz="0" w:space="0" w:color="auto"/>
        <w:bottom w:val="none" w:sz="0" w:space="0" w:color="auto"/>
        <w:right w:val="none" w:sz="0" w:space="0" w:color="auto"/>
      </w:divBdr>
    </w:div>
    <w:div w:id="607663642">
      <w:bodyDiv w:val="1"/>
      <w:marLeft w:val="0"/>
      <w:marRight w:val="0"/>
      <w:marTop w:val="0"/>
      <w:marBottom w:val="0"/>
      <w:divBdr>
        <w:top w:val="none" w:sz="0" w:space="0" w:color="auto"/>
        <w:left w:val="none" w:sz="0" w:space="0" w:color="auto"/>
        <w:bottom w:val="none" w:sz="0" w:space="0" w:color="auto"/>
        <w:right w:val="none" w:sz="0" w:space="0" w:color="auto"/>
      </w:divBdr>
      <w:divsChild>
        <w:div w:id="1103723618">
          <w:marLeft w:val="0"/>
          <w:marRight w:val="0"/>
          <w:marTop w:val="0"/>
          <w:marBottom w:val="0"/>
          <w:divBdr>
            <w:top w:val="none" w:sz="0" w:space="0" w:color="auto"/>
            <w:left w:val="none" w:sz="0" w:space="0" w:color="auto"/>
            <w:bottom w:val="none" w:sz="0" w:space="0" w:color="auto"/>
            <w:right w:val="none" w:sz="0" w:space="0" w:color="auto"/>
          </w:divBdr>
        </w:div>
        <w:div w:id="1644771887">
          <w:marLeft w:val="0"/>
          <w:marRight w:val="0"/>
          <w:marTop w:val="0"/>
          <w:marBottom w:val="0"/>
          <w:divBdr>
            <w:top w:val="none" w:sz="0" w:space="0" w:color="auto"/>
            <w:left w:val="none" w:sz="0" w:space="0" w:color="auto"/>
            <w:bottom w:val="none" w:sz="0" w:space="0" w:color="auto"/>
            <w:right w:val="none" w:sz="0" w:space="0" w:color="auto"/>
          </w:divBdr>
        </w:div>
        <w:div w:id="596716751">
          <w:marLeft w:val="0"/>
          <w:marRight w:val="0"/>
          <w:marTop w:val="0"/>
          <w:marBottom w:val="0"/>
          <w:divBdr>
            <w:top w:val="none" w:sz="0" w:space="0" w:color="auto"/>
            <w:left w:val="none" w:sz="0" w:space="0" w:color="auto"/>
            <w:bottom w:val="none" w:sz="0" w:space="0" w:color="auto"/>
            <w:right w:val="none" w:sz="0" w:space="0" w:color="auto"/>
          </w:divBdr>
        </w:div>
      </w:divsChild>
    </w:div>
    <w:div w:id="651568335">
      <w:bodyDiv w:val="1"/>
      <w:marLeft w:val="0"/>
      <w:marRight w:val="0"/>
      <w:marTop w:val="0"/>
      <w:marBottom w:val="0"/>
      <w:divBdr>
        <w:top w:val="none" w:sz="0" w:space="0" w:color="auto"/>
        <w:left w:val="none" w:sz="0" w:space="0" w:color="auto"/>
        <w:bottom w:val="none" w:sz="0" w:space="0" w:color="auto"/>
        <w:right w:val="none" w:sz="0" w:space="0" w:color="auto"/>
      </w:divBdr>
    </w:div>
    <w:div w:id="708796508">
      <w:bodyDiv w:val="1"/>
      <w:marLeft w:val="0"/>
      <w:marRight w:val="0"/>
      <w:marTop w:val="0"/>
      <w:marBottom w:val="0"/>
      <w:divBdr>
        <w:top w:val="none" w:sz="0" w:space="0" w:color="auto"/>
        <w:left w:val="none" w:sz="0" w:space="0" w:color="auto"/>
        <w:bottom w:val="none" w:sz="0" w:space="0" w:color="auto"/>
        <w:right w:val="none" w:sz="0" w:space="0" w:color="auto"/>
      </w:divBdr>
    </w:div>
    <w:div w:id="727923909">
      <w:bodyDiv w:val="1"/>
      <w:marLeft w:val="0"/>
      <w:marRight w:val="0"/>
      <w:marTop w:val="0"/>
      <w:marBottom w:val="0"/>
      <w:divBdr>
        <w:top w:val="none" w:sz="0" w:space="0" w:color="auto"/>
        <w:left w:val="none" w:sz="0" w:space="0" w:color="auto"/>
        <w:bottom w:val="none" w:sz="0" w:space="0" w:color="auto"/>
        <w:right w:val="none" w:sz="0" w:space="0" w:color="auto"/>
      </w:divBdr>
    </w:div>
    <w:div w:id="745693068">
      <w:bodyDiv w:val="1"/>
      <w:marLeft w:val="0"/>
      <w:marRight w:val="0"/>
      <w:marTop w:val="0"/>
      <w:marBottom w:val="0"/>
      <w:divBdr>
        <w:top w:val="none" w:sz="0" w:space="0" w:color="auto"/>
        <w:left w:val="none" w:sz="0" w:space="0" w:color="auto"/>
        <w:bottom w:val="none" w:sz="0" w:space="0" w:color="auto"/>
        <w:right w:val="none" w:sz="0" w:space="0" w:color="auto"/>
      </w:divBdr>
    </w:div>
    <w:div w:id="789596128">
      <w:bodyDiv w:val="1"/>
      <w:marLeft w:val="0"/>
      <w:marRight w:val="0"/>
      <w:marTop w:val="0"/>
      <w:marBottom w:val="0"/>
      <w:divBdr>
        <w:top w:val="none" w:sz="0" w:space="0" w:color="auto"/>
        <w:left w:val="none" w:sz="0" w:space="0" w:color="auto"/>
        <w:bottom w:val="none" w:sz="0" w:space="0" w:color="auto"/>
        <w:right w:val="none" w:sz="0" w:space="0" w:color="auto"/>
      </w:divBdr>
    </w:div>
    <w:div w:id="809715454">
      <w:bodyDiv w:val="1"/>
      <w:marLeft w:val="0"/>
      <w:marRight w:val="0"/>
      <w:marTop w:val="0"/>
      <w:marBottom w:val="0"/>
      <w:divBdr>
        <w:top w:val="none" w:sz="0" w:space="0" w:color="auto"/>
        <w:left w:val="none" w:sz="0" w:space="0" w:color="auto"/>
        <w:bottom w:val="none" w:sz="0" w:space="0" w:color="auto"/>
        <w:right w:val="none" w:sz="0" w:space="0" w:color="auto"/>
      </w:divBdr>
    </w:div>
    <w:div w:id="864290536">
      <w:bodyDiv w:val="1"/>
      <w:marLeft w:val="0"/>
      <w:marRight w:val="0"/>
      <w:marTop w:val="0"/>
      <w:marBottom w:val="0"/>
      <w:divBdr>
        <w:top w:val="none" w:sz="0" w:space="0" w:color="auto"/>
        <w:left w:val="none" w:sz="0" w:space="0" w:color="auto"/>
        <w:bottom w:val="none" w:sz="0" w:space="0" w:color="auto"/>
        <w:right w:val="none" w:sz="0" w:space="0" w:color="auto"/>
      </w:divBdr>
    </w:div>
    <w:div w:id="955521049">
      <w:bodyDiv w:val="1"/>
      <w:marLeft w:val="0"/>
      <w:marRight w:val="0"/>
      <w:marTop w:val="0"/>
      <w:marBottom w:val="0"/>
      <w:divBdr>
        <w:top w:val="none" w:sz="0" w:space="0" w:color="auto"/>
        <w:left w:val="none" w:sz="0" w:space="0" w:color="auto"/>
        <w:bottom w:val="none" w:sz="0" w:space="0" w:color="auto"/>
        <w:right w:val="none" w:sz="0" w:space="0" w:color="auto"/>
      </w:divBdr>
    </w:div>
    <w:div w:id="1008479634">
      <w:bodyDiv w:val="1"/>
      <w:marLeft w:val="0"/>
      <w:marRight w:val="0"/>
      <w:marTop w:val="0"/>
      <w:marBottom w:val="0"/>
      <w:divBdr>
        <w:top w:val="none" w:sz="0" w:space="0" w:color="auto"/>
        <w:left w:val="none" w:sz="0" w:space="0" w:color="auto"/>
        <w:bottom w:val="none" w:sz="0" w:space="0" w:color="auto"/>
        <w:right w:val="none" w:sz="0" w:space="0" w:color="auto"/>
      </w:divBdr>
    </w:div>
    <w:div w:id="1108937182">
      <w:bodyDiv w:val="1"/>
      <w:marLeft w:val="0"/>
      <w:marRight w:val="0"/>
      <w:marTop w:val="0"/>
      <w:marBottom w:val="0"/>
      <w:divBdr>
        <w:top w:val="none" w:sz="0" w:space="0" w:color="auto"/>
        <w:left w:val="none" w:sz="0" w:space="0" w:color="auto"/>
        <w:bottom w:val="none" w:sz="0" w:space="0" w:color="auto"/>
        <w:right w:val="none" w:sz="0" w:space="0" w:color="auto"/>
      </w:divBdr>
    </w:div>
    <w:div w:id="1132021436">
      <w:bodyDiv w:val="1"/>
      <w:marLeft w:val="0"/>
      <w:marRight w:val="0"/>
      <w:marTop w:val="0"/>
      <w:marBottom w:val="0"/>
      <w:divBdr>
        <w:top w:val="none" w:sz="0" w:space="0" w:color="auto"/>
        <w:left w:val="none" w:sz="0" w:space="0" w:color="auto"/>
        <w:bottom w:val="none" w:sz="0" w:space="0" w:color="auto"/>
        <w:right w:val="none" w:sz="0" w:space="0" w:color="auto"/>
      </w:divBdr>
    </w:div>
    <w:div w:id="1164977904">
      <w:bodyDiv w:val="1"/>
      <w:marLeft w:val="0"/>
      <w:marRight w:val="0"/>
      <w:marTop w:val="0"/>
      <w:marBottom w:val="0"/>
      <w:divBdr>
        <w:top w:val="none" w:sz="0" w:space="0" w:color="auto"/>
        <w:left w:val="none" w:sz="0" w:space="0" w:color="auto"/>
        <w:bottom w:val="none" w:sz="0" w:space="0" w:color="auto"/>
        <w:right w:val="none" w:sz="0" w:space="0" w:color="auto"/>
      </w:divBdr>
    </w:div>
    <w:div w:id="1169833799">
      <w:bodyDiv w:val="1"/>
      <w:marLeft w:val="0"/>
      <w:marRight w:val="0"/>
      <w:marTop w:val="0"/>
      <w:marBottom w:val="0"/>
      <w:divBdr>
        <w:top w:val="none" w:sz="0" w:space="0" w:color="auto"/>
        <w:left w:val="none" w:sz="0" w:space="0" w:color="auto"/>
        <w:bottom w:val="none" w:sz="0" w:space="0" w:color="auto"/>
        <w:right w:val="none" w:sz="0" w:space="0" w:color="auto"/>
      </w:divBdr>
    </w:div>
    <w:div w:id="1183126068">
      <w:bodyDiv w:val="1"/>
      <w:marLeft w:val="0"/>
      <w:marRight w:val="0"/>
      <w:marTop w:val="0"/>
      <w:marBottom w:val="0"/>
      <w:divBdr>
        <w:top w:val="none" w:sz="0" w:space="0" w:color="auto"/>
        <w:left w:val="none" w:sz="0" w:space="0" w:color="auto"/>
        <w:bottom w:val="none" w:sz="0" w:space="0" w:color="auto"/>
        <w:right w:val="none" w:sz="0" w:space="0" w:color="auto"/>
      </w:divBdr>
    </w:div>
    <w:div w:id="1220557891">
      <w:bodyDiv w:val="1"/>
      <w:marLeft w:val="0"/>
      <w:marRight w:val="0"/>
      <w:marTop w:val="0"/>
      <w:marBottom w:val="0"/>
      <w:divBdr>
        <w:top w:val="none" w:sz="0" w:space="0" w:color="auto"/>
        <w:left w:val="none" w:sz="0" w:space="0" w:color="auto"/>
        <w:bottom w:val="none" w:sz="0" w:space="0" w:color="auto"/>
        <w:right w:val="none" w:sz="0" w:space="0" w:color="auto"/>
      </w:divBdr>
    </w:div>
    <w:div w:id="1220941131">
      <w:bodyDiv w:val="1"/>
      <w:marLeft w:val="0"/>
      <w:marRight w:val="0"/>
      <w:marTop w:val="0"/>
      <w:marBottom w:val="0"/>
      <w:divBdr>
        <w:top w:val="none" w:sz="0" w:space="0" w:color="auto"/>
        <w:left w:val="none" w:sz="0" w:space="0" w:color="auto"/>
        <w:bottom w:val="none" w:sz="0" w:space="0" w:color="auto"/>
        <w:right w:val="none" w:sz="0" w:space="0" w:color="auto"/>
      </w:divBdr>
    </w:div>
    <w:div w:id="1261989562">
      <w:bodyDiv w:val="1"/>
      <w:marLeft w:val="0"/>
      <w:marRight w:val="0"/>
      <w:marTop w:val="0"/>
      <w:marBottom w:val="0"/>
      <w:divBdr>
        <w:top w:val="none" w:sz="0" w:space="0" w:color="auto"/>
        <w:left w:val="none" w:sz="0" w:space="0" w:color="auto"/>
        <w:bottom w:val="none" w:sz="0" w:space="0" w:color="auto"/>
        <w:right w:val="none" w:sz="0" w:space="0" w:color="auto"/>
      </w:divBdr>
      <w:divsChild>
        <w:div w:id="1896163813">
          <w:marLeft w:val="0"/>
          <w:marRight w:val="0"/>
          <w:marTop w:val="0"/>
          <w:marBottom w:val="0"/>
          <w:divBdr>
            <w:top w:val="none" w:sz="0" w:space="0" w:color="auto"/>
            <w:left w:val="none" w:sz="0" w:space="0" w:color="auto"/>
            <w:bottom w:val="none" w:sz="0" w:space="0" w:color="auto"/>
            <w:right w:val="none" w:sz="0" w:space="0" w:color="auto"/>
          </w:divBdr>
          <w:divsChild>
            <w:div w:id="1541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2893">
      <w:bodyDiv w:val="1"/>
      <w:marLeft w:val="0"/>
      <w:marRight w:val="0"/>
      <w:marTop w:val="0"/>
      <w:marBottom w:val="0"/>
      <w:divBdr>
        <w:top w:val="none" w:sz="0" w:space="0" w:color="auto"/>
        <w:left w:val="none" w:sz="0" w:space="0" w:color="auto"/>
        <w:bottom w:val="none" w:sz="0" w:space="0" w:color="auto"/>
        <w:right w:val="none" w:sz="0" w:space="0" w:color="auto"/>
      </w:divBdr>
    </w:div>
    <w:div w:id="1316379537">
      <w:bodyDiv w:val="1"/>
      <w:marLeft w:val="0"/>
      <w:marRight w:val="0"/>
      <w:marTop w:val="0"/>
      <w:marBottom w:val="0"/>
      <w:divBdr>
        <w:top w:val="none" w:sz="0" w:space="0" w:color="auto"/>
        <w:left w:val="none" w:sz="0" w:space="0" w:color="auto"/>
        <w:bottom w:val="none" w:sz="0" w:space="0" w:color="auto"/>
        <w:right w:val="none" w:sz="0" w:space="0" w:color="auto"/>
      </w:divBdr>
    </w:div>
    <w:div w:id="1347370484">
      <w:bodyDiv w:val="1"/>
      <w:marLeft w:val="0"/>
      <w:marRight w:val="0"/>
      <w:marTop w:val="0"/>
      <w:marBottom w:val="0"/>
      <w:divBdr>
        <w:top w:val="none" w:sz="0" w:space="0" w:color="auto"/>
        <w:left w:val="none" w:sz="0" w:space="0" w:color="auto"/>
        <w:bottom w:val="none" w:sz="0" w:space="0" w:color="auto"/>
        <w:right w:val="none" w:sz="0" w:space="0" w:color="auto"/>
      </w:divBdr>
    </w:div>
    <w:div w:id="1411611945">
      <w:bodyDiv w:val="1"/>
      <w:marLeft w:val="0"/>
      <w:marRight w:val="0"/>
      <w:marTop w:val="0"/>
      <w:marBottom w:val="0"/>
      <w:divBdr>
        <w:top w:val="none" w:sz="0" w:space="0" w:color="auto"/>
        <w:left w:val="none" w:sz="0" w:space="0" w:color="auto"/>
        <w:bottom w:val="none" w:sz="0" w:space="0" w:color="auto"/>
        <w:right w:val="none" w:sz="0" w:space="0" w:color="auto"/>
      </w:divBdr>
    </w:div>
    <w:div w:id="1435595446">
      <w:bodyDiv w:val="1"/>
      <w:marLeft w:val="0"/>
      <w:marRight w:val="0"/>
      <w:marTop w:val="0"/>
      <w:marBottom w:val="0"/>
      <w:divBdr>
        <w:top w:val="none" w:sz="0" w:space="0" w:color="auto"/>
        <w:left w:val="none" w:sz="0" w:space="0" w:color="auto"/>
        <w:bottom w:val="none" w:sz="0" w:space="0" w:color="auto"/>
        <w:right w:val="none" w:sz="0" w:space="0" w:color="auto"/>
      </w:divBdr>
    </w:div>
    <w:div w:id="1489398910">
      <w:bodyDiv w:val="1"/>
      <w:marLeft w:val="0"/>
      <w:marRight w:val="0"/>
      <w:marTop w:val="0"/>
      <w:marBottom w:val="0"/>
      <w:divBdr>
        <w:top w:val="none" w:sz="0" w:space="0" w:color="auto"/>
        <w:left w:val="none" w:sz="0" w:space="0" w:color="auto"/>
        <w:bottom w:val="none" w:sz="0" w:space="0" w:color="auto"/>
        <w:right w:val="none" w:sz="0" w:space="0" w:color="auto"/>
      </w:divBdr>
    </w:div>
    <w:div w:id="1600600783">
      <w:bodyDiv w:val="1"/>
      <w:marLeft w:val="0"/>
      <w:marRight w:val="0"/>
      <w:marTop w:val="0"/>
      <w:marBottom w:val="0"/>
      <w:divBdr>
        <w:top w:val="none" w:sz="0" w:space="0" w:color="auto"/>
        <w:left w:val="none" w:sz="0" w:space="0" w:color="auto"/>
        <w:bottom w:val="none" w:sz="0" w:space="0" w:color="auto"/>
        <w:right w:val="none" w:sz="0" w:space="0" w:color="auto"/>
      </w:divBdr>
    </w:div>
    <w:div w:id="1661499542">
      <w:bodyDiv w:val="1"/>
      <w:marLeft w:val="0"/>
      <w:marRight w:val="0"/>
      <w:marTop w:val="0"/>
      <w:marBottom w:val="0"/>
      <w:divBdr>
        <w:top w:val="none" w:sz="0" w:space="0" w:color="auto"/>
        <w:left w:val="none" w:sz="0" w:space="0" w:color="auto"/>
        <w:bottom w:val="none" w:sz="0" w:space="0" w:color="auto"/>
        <w:right w:val="none" w:sz="0" w:space="0" w:color="auto"/>
      </w:divBdr>
    </w:div>
    <w:div w:id="1764766686">
      <w:bodyDiv w:val="1"/>
      <w:marLeft w:val="0"/>
      <w:marRight w:val="0"/>
      <w:marTop w:val="0"/>
      <w:marBottom w:val="0"/>
      <w:divBdr>
        <w:top w:val="none" w:sz="0" w:space="0" w:color="auto"/>
        <w:left w:val="none" w:sz="0" w:space="0" w:color="auto"/>
        <w:bottom w:val="none" w:sz="0" w:space="0" w:color="auto"/>
        <w:right w:val="none" w:sz="0" w:space="0" w:color="auto"/>
      </w:divBdr>
    </w:div>
    <w:div w:id="1864202212">
      <w:bodyDiv w:val="1"/>
      <w:marLeft w:val="0"/>
      <w:marRight w:val="0"/>
      <w:marTop w:val="0"/>
      <w:marBottom w:val="0"/>
      <w:divBdr>
        <w:top w:val="none" w:sz="0" w:space="0" w:color="auto"/>
        <w:left w:val="none" w:sz="0" w:space="0" w:color="auto"/>
        <w:bottom w:val="none" w:sz="0" w:space="0" w:color="auto"/>
        <w:right w:val="none" w:sz="0" w:space="0" w:color="auto"/>
      </w:divBdr>
    </w:div>
    <w:div w:id="1898125677">
      <w:bodyDiv w:val="1"/>
      <w:marLeft w:val="0"/>
      <w:marRight w:val="0"/>
      <w:marTop w:val="0"/>
      <w:marBottom w:val="0"/>
      <w:divBdr>
        <w:top w:val="none" w:sz="0" w:space="0" w:color="auto"/>
        <w:left w:val="none" w:sz="0" w:space="0" w:color="auto"/>
        <w:bottom w:val="none" w:sz="0" w:space="0" w:color="auto"/>
        <w:right w:val="none" w:sz="0" w:space="0" w:color="auto"/>
      </w:divBdr>
    </w:div>
    <w:div w:id="1903247970">
      <w:bodyDiv w:val="1"/>
      <w:marLeft w:val="0"/>
      <w:marRight w:val="0"/>
      <w:marTop w:val="0"/>
      <w:marBottom w:val="0"/>
      <w:divBdr>
        <w:top w:val="none" w:sz="0" w:space="0" w:color="auto"/>
        <w:left w:val="none" w:sz="0" w:space="0" w:color="auto"/>
        <w:bottom w:val="none" w:sz="0" w:space="0" w:color="auto"/>
        <w:right w:val="none" w:sz="0" w:space="0" w:color="auto"/>
      </w:divBdr>
    </w:div>
    <w:div w:id="1918519376">
      <w:bodyDiv w:val="1"/>
      <w:marLeft w:val="0"/>
      <w:marRight w:val="0"/>
      <w:marTop w:val="0"/>
      <w:marBottom w:val="0"/>
      <w:divBdr>
        <w:top w:val="none" w:sz="0" w:space="0" w:color="auto"/>
        <w:left w:val="none" w:sz="0" w:space="0" w:color="auto"/>
        <w:bottom w:val="none" w:sz="0" w:space="0" w:color="auto"/>
        <w:right w:val="none" w:sz="0" w:space="0" w:color="auto"/>
      </w:divBdr>
    </w:div>
    <w:div w:id="1942181934">
      <w:bodyDiv w:val="1"/>
      <w:marLeft w:val="0"/>
      <w:marRight w:val="0"/>
      <w:marTop w:val="0"/>
      <w:marBottom w:val="0"/>
      <w:divBdr>
        <w:top w:val="none" w:sz="0" w:space="0" w:color="auto"/>
        <w:left w:val="none" w:sz="0" w:space="0" w:color="auto"/>
        <w:bottom w:val="none" w:sz="0" w:space="0" w:color="auto"/>
        <w:right w:val="none" w:sz="0" w:space="0" w:color="auto"/>
      </w:divBdr>
    </w:div>
    <w:div w:id="1954434024">
      <w:bodyDiv w:val="1"/>
      <w:marLeft w:val="0"/>
      <w:marRight w:val="0"/>
      <w:marTop w:val="0"/>
      <w:marBottom w:val="0"/>
      <w:divBdr>
        <w:top w:val="none" w:sz="0" w:space="0" w:color="auto"/>
        <w:left w:val="none" w:sz="0" w:space="0" w:color="auto"/>
        <w:bottom w:val="none" w:sz="0" w:space="0" w:color="auto"/>
        <w:right w:val="none" w:sz="0" w:space="0" w:color="auto"/>
      </w:divBdr>
    </w:div>
    <w:div w:id="1979989003">
      <w:bodyDiv w:val="1"/>
      <w:marLeft w:val="0"/>
      <w:marRight w:val="0"/>
      <w:marTop w:val="0"/>
      <w:marBottom w:val="0"/>
      <w:divBdr>
        <w:top w:val="none" w:sz="0" w:space="0" w:color="auto"/>
        <w:left w:val="none" w:sz="0" w:space="0" w:color="auto"/>
        <w:bottom w:val="none" w:sz="0" w:space="0" w:color="auto"/>
        <w:right w:val="none" w:sz="0" w:space="0" w:color="auto"/>
      </w:divBdr>
    </w:div>
    <w:div w:id="2016304484">
      <w:bodyDiv w:val="1"/>
      <w:marLeft w:val="0"/>
      <w:marRight w:val="0"/>
      <w:marTop w:val="0"/>
      <w:marBottom w:val="0"/>
      <w:divBdr>
        <w:top w:val="none" w:sz="0" w:space="0" w:color="auto"/>
        <w:left w:val="none" w:sz="0" w:space="0" w:color="auto"/>
        <w:bottom w:val="none" w:sz="0" w:space="0" w:color="auto"/>
        <w:right w:val="none" w:sz="0" w:space="0" w:color="auto"/>
      </w:divBdr>
    </w:div>
    <w:div w:id="2069382176">
      <w:bodyDiv w:val="1"/>
      <w:marLeft w:val="0"/>
      <w:marRight w:val="0"/>
      <w:marTop w:val="0"/>
      <w:marBottom w:val="0"/>
      <w:divBdr>
        <w:top w:val="none" w:sz="0" w:space="0" w:color="auto"/>
        <w:left w:val="none" w:sz="0" w:space="0" w:color="auto"/>
        <w:bottom w:val="none" w:sz="0" w:space="0" w:color="auto"/>
        <w:right w:val="none" w:sz="0" w:space="0" w:color="auto"/>
      </w:divBdr>
    </w:div>
    <w:div w:id="2077971144">
      <w:bodyDiv w:val="1"/>
      <w:marLeft w:val="0"/>
      <w:marRight w:val="0"/>
      <w:marTop w:val="0"/>
      <w:marBottom w:val="0"/>
      <w:divBdr>
        <w:top w:val="none" w:sz="0" w:space="0" w:color="auto"/>
        <w:left w:val="none" w:sz="0" w:space="0" w:color="auto"/>
        <w:bottom w:val="none" w:sz="0" w:space="0" w:color="auto"/>
        <w:right w:val="none" w:sz="0" w:space="0" w:color="auto"/>
      </w:divBdr>
      <w:divsChild>
        <w:div w:id="1343555310">
          <w:marLeft w:val="0"/>
          <w:marRight w:val="0"/>
          <w:marTop w:val="0"/>
          <w:marBottom w:val="0"/>
          <w:divBdr>
            <w:top w:val="none" w:sz="0" w:space="0" w:color="auto"/>
            <w:left w:val="none" w:sz="0" w:space="0" w:color="auto"/>
            <w:bottom w:val="none" w:sz="0" w:space="0" w:color="auto"/>
            <w:right w:val="none" w:sz="0" w:space="0" w:color="auto"/>
          </w:divBdr>
        </w:div>
        <w:div w:id="1931502258">
          <w:marLeft w:val="0"/>
          <w:marRight w:val="0"/>
          <w:marTop w:val="0"/>
          <w:marBottom w:val="0"/>
          <w:divBdr>
            <w:top w:val="none" w:sz="0" w:space="0" w:color="auto"/>
            <w:left w:val="none" w:sz="0" w:space="0" w:color="auto"/>
            <w:bottom w:val="none" w:sz="0" w:space="0" w:color="auto"/>
            <w:right w:val="none" w:sz="0" w:space="0" w:color="auto"/>
          </w:divBdr>
        </w:div>
        <w:div w:id="202605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289/ehp.1103680" TargetMode="External"/><Relationship Id="rId18" Type="http://schemas.openxmlformats.org/officeDocument/2006/relationships/hyperlink" Target="http://dx.doi.org/10.1136/jramc-138-03-02" TargetMode="External"/><Relationship Id="rId26" Type="http://schemas.openxmlformats.org/officeDocument/2006/relationships/hyperlink" Target="https://doi.org/10.1136/bmj.l6890" TargetMode="External"/><Relationship Id="rId39" Type="http://schemas.openxmlformats.org/officeDocument/2006/relationships/hyperlink" Target="https://doi.org/10.1016/j.jclinepi.2015.06.005" TargetMode="External"/><Relationship Id="rId21" Type="http://schemas.openxmlformats.org/officeDocument/2006/relationships/hyperlink" Target="http://dx.doi.org/10.1136/tc.7.3.219" TargetMode="External"/><Relationship Id="rId34" Type="http://schemas.openxmlformats.org/officeDocument/2006/relationships/hyperlink" Target="https://doi.org/10.1002/jrsm.106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occmed/kqx006" TargetMode="External"/><Relationship Id="rId20" Type="http://schemas.openxmlformats.org/officeDocument/2006/relationships/hyperlink" Target="https://doi.org/10.1093/occmed/kql170" TargetMode="External"/><Relationship Id="rId29" Type="http://schemas.openxmlformats.org/officeDocument/2006/relationships/hyperlink" Target="https://doi.org/10.1016/S0740-5472(98)00016-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40-6736(18)32225-6" TargetMode="External"/><Relationship Id="rId24" Type="http://schemas.openxmlformats.org/officeDocument/2006/relationships/hyperlink" Target="https://www.crd.york.ac.uk/prospero/display_record.php?ID=CRD42020198155" TargetMode="External"/><Relationship Id="rId32" Type="http://schemas.openxmlformats.org/officeDocument/2006/relationships/hyperlink" Target="http://dx.doi.org/10.1136/tc.9.1.40" TargetMode="External"/><Relationship Id="rId37" Type="http://schemas.openxmlformats.org/officeDocument/2006/relationships/hyperlink" Target="https://doi.org/10.1198/jasa.2009.ap0874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0091-7435(92)90079-w" TargetMode="External"/><Relationship Id="rId23" Type="http://schemas.openxmlformats.org/officeDocument/2006/relationships/hyperlink" Target="https://doi.org/10.1136/bmj.b2700" TargetMode="External"/><Relationship Id="rId28" Type="http://schemas.openxmlformats.org/officeDocument/2006/relationships/hyperlink" Target="https://doi.org/10.7205/milmed-d-15-00177" TargetMode="External"/><Relationship Id="rId36" Type="http://schemas.openxmlformats.org/officeDocument/2006/relationships/hyperlink" Target="https://doi.org/10.1146/annurev-publhealth-031816-044327" TargetMode="External"/><Relationship Id="rId10" Type="http://schemas.openxmlformats.org/officeDocument/2006/relationships/image" Target="media/image3.png"/><Relationship Id="rId19" Type="http://schemas.openxmlformats.org/officeDocument/2006/relationships/hyperlink" Target="https://doi.org/10.1249/mss.0000000000001349" TargetMode="External"/><Relationship Id="rId31" Type="http://schemas.openxmlformats.org/officeDocument/2006/relationships/hyperlink" Target="https://doi.org/10.1093/milmed/161.6.3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S2468-2667(17)30144-5" TargetMode="External"/><Relationship Id="rId22" Type="http://schemas.openxmlformats.org/officeDocument/2006/relationships/hyperlink" Target="http://dx.doi.org/10.1136/tc.2009.030809" TargetMode="External"/><Relationship Id="rId27" Type="http://schemas.openxmlformats.org/officeDocument/2006/relationships/hyperlink" Target="https://doi.org/10.1016/j.addbeh.2016.12.006" TargetMode="External"/><Relationship Id="rId30" Type="http://schemas.openxmlformats.org/officeDocument/2006/relationships/hyperlink" Target="https://doi.org/10.7205/milmed-d-16-00153" TargetMode="External"/><Relationship Id="rId35" Type="http://schemas.openxmlformats.org/officeDocument/2006/relationships/hyperlink" Target="http://dx.doi.org/10.1136/jech.2008.082602"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doi.org/10.1136/bmj.38370.496632.8F" TargetMode="External"/><Relationship Id="rId17" Type="http://schemas.openxmlformats.org/officeDocument/2006/relationships/hyperlink" Target="http://dx.doi.org/10.1136/jramc-131-01-09" TargetMode="External"/><Relationship Id="rId25" Type="http://schemas.openxmlformats.org/officeDocument/2006/relationships/hyperlink" Target="https://doi.org/10.1136/bmj.i4919" TargetMode="External"/><Relationship Id="rId33" Type="http://schemas.openxmlformats.org/officeDocument/2006/relationships/hyperlink" Target="https://doi.org/10.1002/jrsm.1411" TargetMode="External"/><Relationship Id="rId38" Type="http://schemas.openxmlformats.org/officeDocument/2006/relationships/hyperlink" Target="https://doi.org/10.1136/bmj.h2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128D-C539-47C1-A6CB-59FD0684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22730</Words>
  <Characters>129561</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Falconer Hall</dc:creator>
  <cp:keywords/>
  <dc:description/>
  <cp:lastModifiedBy>Tom Falconer Hall</cp:lastModifiedBy>
  <cp:revision>11</cp:revision>
  <cp:lastPrinted>2020-11-26T17:56:00Z</cp:lastPrinted>
  <dcterms:created xsi:type="dcterms:W3CDTF">2021-04-21T08:30:00Z</dcterms:created>
  <dcterms:modified xsi:type="dcterms:W3CDTF">2021-04-21T08:37:00Z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7d00861e-3815-3fe0-a102-cf260c6c80d6</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