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1CEE4" w14:textId="77777777" w:rsidR="00DB05CB" w:rsidRPr="00C97895" w:rsidRDefault="00DB05CB" w:rsidP="00DB05CB">
      <w:pPr>
        <w:jc w:val="both"/>
        <w:rPr>
          <w:rFonts w:asciiTheme="minorHAnsi" w:hAnsiTheme="minorHAnsi" w:cstheme="minorHAnsi"/>
          <w:sz w:val="22"/>
          <w:szCs w:val="22"/>
        </w:rPr>
      </w:pPr>
      <w:r w:rsidRPr="00C97895">
        <w:rPr>
          <w:rFonts w:asciiTheme="minorHAnsi" w:hAnsiTheme="minorHAnsi" w:cstheme="minorHAnsi"/>
          <w:b/>
          <w:sz w:val="22"/>
          <w:szCs w:val="22"/>
        </w:rPr>
        <w:t xml:space="preserve">The legacy of austerity </w:t>
      </w:r>
    </w:p>
    <w:p w14:paraId="0528D896" w14:textId="0B099CFB" w:rsidR="00DB05CB" w:rsidRPr="00C97895" w:rsidRDefault="00DB05CB" w:rsidP="00DB05CB">
      <w:pPr>
        <w:jc w:val="both"/>
        <w:rPr>
          <w:rFonts w:asciiTheme="minorHAnsi" w:hAnsiTheme="minorHAnsi" w:cstheme="minorHAnsi"/>
          <w:sz w:val="22"/>
          <w:szCs w:val="22"/>
        </w:rPr>
      </w:pPr>
    </w:p>
    <w:p w14:paraId="0AD7FC4A" w14:textId="06284C2A" w:rsidR="00DB05CB" w:rsidRPr="00C97895" w:rsidRDefault="00DB05CB" w:rsidP="00DB05CB">
      <w:pPr>
        <w:jc w:val="both"/>
        <w:rPr>
          <w:rFonts w:asciiTheme="minorHAnsi" w:hAnsiTheme="minorHAnsi" w:cstheme="minorHAnsi"/>
          <w:b/>
          <w:bCs/>
          <w:sz w:val="22"/>
          <w:szCs w:val="22"/>
        </w:rPr>
      </w:pPr>
      <w:r w:rsidRPr="00C97895">
        <w:rPr>
          <w:rFonts w:asciiTheme="minorHAnsi" w:hAnsiTheme="minorHAnsi" w:cstheme="minorHAnsi"/>
          <w:b/>
          <w:bCs/>
          <w:sz w:val="22"/>
          <w:szCs w:val="22"/>
        </w:rPr>
        <w:t>Abstract</w:t>
      </w:r>
    </w:p>
    <w:p w14:paraId="52FE8886" w14:textId="77777777" w:rsidR="00DB05CB" w:rsidRPr="00C97895" w:rsidRDefault="00DB05CB" w:rsidP="00DB05CB">
      <w:pPr>
        <w:jc w:val="both"/>
        <w:rPr>
          <w:rFonts w:asciiTheme="minorHAnsi" w:hAnsiTheme="minorHAnsi" w:cstheme="minorHAnsi"/>
          <w:sz w:val="22"/>
          <w:szCs w:val="22"/>
        </w:rPr>
      </w:pPr>
    </w:p>
    <w:p w14:paraId="1AF71ABC" w14:textId="242DD3A7" w:rsidR="00DB05CB" w:rsidRDefault="00DB05CB" w:rsidP="009B732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97895">
        <w:rPr>
          <w:rFonts w:asciiTheme="minorHAnsi" w:hAnsiTheme="minorHAnsi" w:cstheme="minorHAnsi"/>
          <w:sz w:val="22"/>
          <w:szCs w:val="22"/>
        </w:rPr>
        <w:t xml:space="preserve">In considering the impact of austerity, </w:t>
      </w:r>
      <w:r w:rsidR="00B75974">
        <w:rPr>
          <w:rFonts w:asciiTheme="minorHAnsi" w:hAnsiTheme="minorHAnsi" w:cstheme="minorHAnsi"/>
          <w:sz w:val="22"/>
          <w:szCs w:val="22"/>
        </w:rPr>
        <w:t xml:space="preserve">much </w:t>
      </w:r>
      <w:r w:rsidRPr="00C97895">
        <w:rPr>
          <w:rFonts w:asciiTheme="minorHAnsi" w:hAnsiTheme="minorHAnsi" w:cstheme="minorHAnsi"/>
          <w:sz w:val="22"/>
          <w:szCs w:val="22"/>
        </w:rPr>
        <w:t xml:space="preserve">attention has been focused on the immediate effects of reductions in public spending and on documenting the resulting increase in hardship and unmet needs. However, in </w:t>
      </w:r>
      <w:r w:rsidR="000A150B" w:rsidRPr="00C97895">
        <w:rPr>
          <w:rFonts w:asciiTheme="minorHAnsi" w:hAnsiTheme="minorHAnsi" w:cstheme="minorHAnsi"/>
          <w:sz w:val="22"/>
          <w:szCs w:val="22"/>
        </w:rPr>
        <w:t xml:space="preserve">calculating </w:t>
      </w:r>
      <w:r w:rsidRPr="00C97895">
        <w:rPr>
          <w:rFonts w:asciiTheme="minorHAnsi" w:hAnsiTheme="minorHAnsi" w:cstheme="minorHAnsi"/>
          <w:sz w:val="22"/>
          <w:szCs w:val="22"/>
        </w:rPr>
        <w:t xml:space="preserve">the consequences of austerity for the welfare state, it is </w:t>
      </w:r>
      <w:r w:rsidR="00226E65">
        <w:rPr>
          <w:rFonts w:asciiTheme="minorHAnsi" w:hAnsiTheme="minorHAnsi" w:cstheme="minorHAnsi"/>
          <w:sz w:val="22"/>
          <w:szCs w:val="22"/>
        </w:rPr>
        <w:t>its</w:t>
      </w:r>
      <w:r w:rsidRPr="00C97895">
        <w:rPr>
          <w:rFonts w:asciiTheme="minorHAnsi" w:hAnsiTheme="minorHAnsi" w:cstheme="minorHAnsi"/>
          <w:sz w:val="22"/>
          <w:szCs w:val="22"/>
        </w:rPr>
        <w:t xml:space="preserve"> enduring legacy </w:t>
      </w:r>
      <w:r w:rsidR="00B75974">
        <w:rPr>
          <w:rFonts w:asciiTheme="minorHAnsi" w:hAnsiTheme="minorHAnsi" w:cstheme="minorHAnsi"/>
          <w:sz w:val="22"/>
          <w:szCs w:val="22"/>
        </w:rPr>
        <w:t>that is more important</w:t>
      </w:r>
      <w:r w:rsidRPr="00C97895">
        <w:rPr>
          <w:rFonts w:asciiTheme="minorHAnsi" w:hAnsiTheme="minorHAnsi" w:cstheme="minorHAnsi"/>
          <w:sz w:val="22"/>
          <w:szCs w:val="22"/>
        </w:rPr>
        <w:t>. This article examines the proposition that the indirect effects of austerity on social, economic and political relations, are as significant for the welfare of future generations as the ‘decade of austerity’ has been for contemporary welfare. The analysis draws on the approach adopted by Paul Wilding (1992) reflect</w:t>
      </w:r>
      <w:r w:rsidR="00226E65">
        <w:rPr>
          <w:rFonts w:asciiTheme="minorHAnsi" w:hAnsiTheme="minorHAnsi" w:cstheme="minorHAnsi"/>
          <w:sz w:val="22"/>
          <w:szCs w:val="22"/>
        </w:rPr>
        <w:t>ing</w:t>
      </w:r>
      <w:r w:rsidRPr="00C97895">
        <w:rPr>
          <w:rFonts w:asciiTheme="minorHAnsi" w:hAnsiTheme="minorHAnsi" w:cstheme="minorHAnsi"/>
          <w:sz w:val="22"/>
          <w:szCs w:val="22"/>
        </w:rPr>
        <w:t xml:space="preserve"> on the 1980s as the ‘decade of Thatcherism’ and </w:t>
      </w:r>
      <w:r w:rsidR="00B75974">
        <w:rPr>
          <w:rFonts w:asciiTheme="minorHAnsi" w:hAnsiTheme="minorHAnsi" w:cstheme="minorHAnsi"/>
          <w:sz w:val="22"/>
          <w:szCs w:val="22"/>
        </w:rPr>
        <w:t>his</w:t>
      </w:r>
      <w:r w:rsidRPr="00C97895">
        <w:rPr>
          <w:rFonts w:asciiTheme="minorHAnsi" w:hAnsiTheme="minorHAnsi" w:cstheme="minorHAnsi"/>
          <w:sz w:val="22"/>
          <w:szCs w:val="22"/>
        </w:rPr>
        <w:t xml:space="preserve"> articulat</w:t>
      </w:r>
      <w:r w:rsidR="00B75974">
        <w:rPr>
          <w:rFonts w:asciiTheme="minorHAnsi" w:hAnsiTheme="minorHAnsi" w:cstheme="minorHAnsi"/>
          <w:sz w:val="22"/>
          <w:szCs w:val="22"/>
        </w:rPr>
        <w:t>ion of</w:t>
      </w:r>
      <w:r w:rsidRPr="00C97895">
        <w:rPr>
          <w:rFonts w:asciiTheme="minorHAnsi" w:hAnsiTheme="minorHAnsi" w:cstheme="minorHAnsi"/>
          <w:sz w:val="22"/>
          <w:szCs w:val="22"/>
        </w:rPr>
        <w:t xml:space="preserve"> ten ways in which the legacy of Thatcher’s ideological mission would resonate through time. In a more parsimonious </w:t>
      </w:r>
      <w:r w:rsidR="00B75974">
        <w:rPr>
          <w:rFonts w:asciiTheme="minorHAnsi" w:hAnsiTheme="minorHAnsi" w:cstheme="minorHAnsi"/>
          <w:sz w:val="22"/>
          <w:szCs w:val="22"/>
        </w:rPr>
        <w:t>treatment</w:t>
      </w:r>
      <w:r w:rsidRPr="00C97895">
        <w:rPr>
          <w:rFonts w:asciiTheme="minorHAnsi" w:hAnsiTheme="minorHAnsi" w:cstheme="minorHAnsi"/>
          <w:sz w:val="22"/>
          <w:szCs w:val="22"/>
        </w:rPr>
        <w:t xml:space="preserve">, the argument presented here </w:t>
      </w:r>
      <w:r w:rsidR="009B7324">
        <w:rPr>
          <w:rFonts w:asciiTheme="minorHAnsi" w:hAnsiTheme="minorHAnsi" w:cstheme="minorHAnsi"/>
          <w:sz w:val="22"/>
          <w:szCs w:val="22"/>
        </w:rPr>
        <w:t xml:space="preserve">re-categorises Wilding’s legacies </w:t>
      </w:r>
      <w:r w:rsidRPr="00C97895">
        <w:rPr>
          <w:rFonts w:asciiTheme="minorHAnsi" w:hAnsiTheme="minorHAnsi" w:cstheme="minorHAnsi"/>
          <w:sz w:val="22"/>
          <w:szCs w:val="22"/>
        </w:rPr>
        <w:t>across four dimensions linked to the welfare state as a social settlement</w:t>
      </w:r>
      <w:r w:rsidR="004E3E6D">
        <w:rPr>
          <w:rFonts w:asciiTheme="minorHAnsi" w:hAnsiTheme="minorHAnsi" w:cstheme="minorHAnsi"/>
          <w:sz w:val="22"/>
          <w:szCs w:val="22"/>
        </w:rPr>
        <w:t>,</w:t>
      </w:r>
      <w:r w:rsidR="009B7324">
        <w:rPr>
          <w:rFonts w:asciiTheme="minorHAnsi" w:hAnsiTheme="minorHAnsi" w:cstheme="minorHAnsi"/>
          <w:sz w:val="22"/>
          <w:szCs w:val="22"/>
        </w:rPr>
        <w:t xml:space="preserve"> and which represent the particular legacies of austerity</w:t>
      </w:r>
      <w:r w:rsidR="004E3E6D">
        <w:rPr>
          <w:rFonts w:asciiTheme="minorHAnsi" w:hAnsiTheme="minorHAnsi" w:cstheme="minorHAnsi"/>
          <w:sz w:val="22"/>
          <w:szCs w:val="22"/>
        </w:rPr>
        <w:t>:</w:t>
      </w:r>
      <w:r w:rsidRPr="00C97895">
        <w:rPr>
          <w:rFonts w:asciiTheme="minorHAnsi" w:hAnsiTheme="minorHAnsi" w:cstheme="minorHAnsi"/>
          <w:sz w:val="22"/>
          <w:szCs w:val="22"/>
        </w:rPr>
        <w:t xml:space="preserve"> </w:t>
      </w:r>
      <w:r w:rsidR="00DF60F0">
        <w:rPr>
          <w:rFonts w:asciiTheme="minorHAnsi" w:hAnsiTheme="minorHAnsi" w:cstheme="minorHAnsi"/>
          <w:sz w:val="22"/>
          <w:szCs w:val="22"/>
        </w:rPr>
        <w:t xml:space="preserve">normalising </w:t>
      </w:r>
      <w:r w:rsidR="009B7324">
        <w:rPr>
          <w:rFonts w:asciiTheme="minorHAnsi" w:hAnsiTheme="minorHAnsi" w:cstheme="minorHAnsi"/>
          <w:sz w:val="22"/>
          <w:szCs w:val="22"/>
        </w:rPr>
        <w:t>a n</w:t>
      </w:r>
      <w:r w:rsidR="009B7324" w:rsidRPr="00C97895">
        <w:rPr>
          <w:rFonts w:asciiTheme="minorHAnsi" w:hAnsiTheme="minorHAnsi" w:cstheme="minorHAnsi"/>
          <w:sz w:val="22"/>
          <w:szCs w:val="22"/>
        </w:rPr>
        <w:t>on-commitment to welfare</w:t>
      </w:r>
      <w:r w:rsidR="009B7324">
        <w:rPr>
          <w:rFonts w:asciiTheme="minorHAnsi" w:hAnsiTheme="minorHAnsi" w:cstheme="minorHAnsi"/>
          <w:sz w:val="22"/>
          <w:szCs w:val="22"/>
        </w:rPr>
        <w:t>, societal scarring, r</w:t>
      </w:r>
      <w:r w:rsidR="009B7324" w:rsidRPr="00C97895">
        <w:rPr>
          <w:rFonts w:asciiTheme="minorHAnsi" w:hAnsiTheme="minorHAnsi" w:cstheme="minorHAnsi"/>
          <w:sz w:val="22"/>
          <w:szCs w:val="22"/>
        </w:rPr>
        <w:t>e</w:t>
      </w:r>
      <w:r w:rsidR="009B7324">
        <w:rPr>
          <w:rFonts w:asciiTheme="minorHAnsi" w:hAnsiTheme="minorHAnsi" w:cstheme="minorHAnsi"/>
          <w:sz w:val="22"/>
          <w:szCs w:val="22"/>
        </w:rPr>
        <w:t>fuell</w:t>
      </w:r>
      <w:r w:rsidR="009B7324" w:rsidRPr="00C97895">
        <w:rPr>
          <w:rFonts w:asciiTheme="minorHAnsi" w:hAnsiTheme="minorHAnsi" w:cstheme="minorHAnsi"/>
          <w:sz w:val="22"/>
          <w:szCs w:val="22"/>
        </w:rPr>
        <w:t xml:space="preserve">ing </w:t>
      </w:r>
      <w:r w:rsidR="009B7324">
        <w:rPr>
          <w:rFonts w:asciiTheme="minorHAnsi" w:hAnsiTheme="minorHAnsi" w:cstheme="minorHAnsi"/>
          <w:sz w:val="22"/>
          <w:szCs w:val="22"/>
        </w:rPr>
        <w:t>the</w:t>
      </w:r>
      <w:r w:rsidR="009B7324" w:rsidRPr="00C97895">
        <w:rPr>
          <w:rFonts w:asciiTheme="minorHAnsi" w:hAnsiTheme="minorHAnsi" w:cstheme="minorHAnsi"/>
          <w:sz w:val="22"/>
          <w:szCs w:val="22"/>
        </w:rPr>
        <w:t xml:space="preserve"> race to the bottom</w:t>
      </w:r>
      <w:r w:rsidR="009B7324">
        <w:rPr>
          <w:rFonts w:asciiTheme="minorHAnsi" w:hAnsiTheme="minorHAnsi" w:cstheme="minorHAnsi"/>
          <w:sz w:val="22"/>
          <w:szCs w:val="22"/>
        </w:rPr>
        <w:t xml:space="preserve"> and d</w:t>
      </w:r>
      <w:r w:rsidR="009B7324" w:rsidRPr="00C97895">
        <w:rPr>
          <w:rFonts w:asciiTheme="minorHAnsi" w:hAnsiTheme="minorHAnsi" w:cstheme="minorHAnsi"/>
          <w:sz w:val="22"/>
          <w:szCs w:val="22"/>
        </w:rPr>
        <w:t>iminish</w:t>
      </w:r>
      <w:r w:rsidR="009B7324">
        <w:rPr>
          <w:rFonts w:asciiTheme="minorHAnsi" w:hAnsiTheme="minorHAnsi" w:cstheme="minorHAnsi"/>
          <w:sz w:val="22"/>
          <w:szCs w:val="22"/>
        </w:rPr>
        <w:t xml:space="preserve">ing the </w:t>
      </w:r>
      <w:r w:rsidR="009B7324" w:rsidRPr="00C97895">
        <w:rPr>
          <w:rFonts w:asciiTheme="minorHAnsi" w:hAnsiTheme="minorHAnsi" w:cstheme="minorHAnsi"/>
          <w:sz w:val="22"/>
          <w:szCs w:val="22"/>
        </w:rPr>
        <w:t>political capacity for change</w:t>
      </w:r>
      <w:r w:rsidRPr="00C97895">
        <w:rPr>
          <w:rFonts w:asciiTheme="minorHAnsi" w:hAnsiTheme="minorHAnsi" w:cstheme="minorHAnsi"/>
          <w:sz w:val="22"/>
          <w:szCs w:val="22"/>
        </w:rPr>
        <w:t>.</w:t>
      </w:r>
      <w:r w:rsidR="00C52E3D" w:rsidRPr="00C97895">
        <w:rPr>
          <w:rFonts w:asciiTheme="minorHAnsi" w:hAnsiTheme="minorHAnsi" w:cstheme="minorHAnsi"/>
          <w:sz w:val="22"/>
          <w:szCs w:val="22"/>
        </w:rPr>
        <w:t xml:space="preserve"> </w:t>
      </w:r>
      <w:r w:rsidRPr="00C97895">
        <w:rPr>
          <w:rFonts w:asciiTheme="minorHAnsi" w:hAnsiTheme="minorHAnsi" w:cstheme="minorHAnsi"/>
          <w:sz w:val="22"/>
          <w:szCs w:val="22"/>
        </w:rPr>
        <w:t xml:space="preserve">Taken together, </w:t>
      </w:r>
      <w:r w:rsidR="00C52E3D" w:rsidRPr="00C97895">
        <w:rPr>
          <w:rFonts w:asciiTheme="minorHAnsi" w:hAnsiTheme="minorHAnsi" w:cstheme="minorHAnsi"/>
          <w:sz w:val="22"/>
          <w:szCs w:val="22"/>
        </w:rPr>
        <w:t xml:space="preserve">analysis along </w:t>
      </w:r>
      <w:r w:rsidRPr="00C97895">
        <w:rPr>
          <w:rFonts w:asciiTheme="minorHAnsi" w:hAnsiTheme="minorHAnsi" w:cstheme="minorHAnsi"/>
          <w:sz w:val="22"/>
          <w:szCs w:val="22"/>
        </w:rPr>
        <w:t xml:space="preserve">these four dimensions </w:t>
      </w:r>
      <w:r w:rsidR="00B75974">
        <w:rPr>
          <w:rFonts w:asciiTheme="minorHAnsi" w:hAnsiTheme="minorHAnsi" w:cstheme="minorHAnsi"/>
          <w:sz w:val="22"/>
          <w:szCs w:val="22"/>
        </w:rPr>
        <w:t>suggest</w:t>
      </w:r>
      <w:r w:rsidR="00C52E3D" w:rsidRPr="00C97895">
        <w:rPr>
          <w:rFonts w:asciiTheme="minorHAnsi" w:hAnsiTheme="minorHAnsi" w:cstheme="minorHAnsi"/>
          <w:sz w:val="22"/>
          <w:szCs w:val="22"/>
        </w:rPr>
        <w:t>s</w:t>
      </w:r>
      <w:r w:rsidRPr="00C97895">
        <w:rPr>
          <w:rFonts w:asciiTheme="minorHAnsi" w:hAnsiTheme="minorHAnsi" w:cstheme="minorHAnsi"/>
          <w:sz w:val="22"/>
          <w:szCs w:val="22"/>
        </w:rPr>
        <w:t xml:space="preserve"> that austerity will abide in the social and political relations of welfare long after austerity measures have ceased. </w:t>
      </w:r>
    </w:p>
    <w:p w14:paraId="75174B2F" w14:textId="19AC3440" w:rsidR="000F75AE" w:rsidRDefault="000F75AE" w:rsidP="00DB05CB">
      <w:pPr>
        <w:jc w:val="both"/>
        <w:rPr>
          <w:rFonts w:asciiTheme="minorHAnsi" w:hAnsiTheme="minorHAnsi" w:cstheme="minorHAnsi"/>
          <w:sz w:val="22"/>
          <w:szCs w:val="22"/>
        </w:rPr>
      </w:pPr>
    </w:p>
    <w:p w14:paraId="7E5D3D8F" w14:textId="418E3679" w:rsidR="000F75AE" w:rsidRPr="00C97895" w:rsidRDefault="000F75AE" w:rsidP="00DB05CB">
      <w:pPr>
        <w:jc w:val="both"/>
        <w:rPr>
          <w:rFonts w:asciiTheme="minorHAnsi" w:hAnsiTheme="minorHAnsi" w:cstheme="minorHAnsi"/>
          <w:sz w:val="22"/>
          <w:szCs w:val="22"/>
        </w:rPr>
      </w:pPr>
      <w:r>
        <w:rPr>
          <w:rFonts w:asciiTheme="minorHAnsi" w:hAnsiTheme="minorHAnsi" w:cstheme="minorHAnsi"/>
          <w:sz w:val="22"/>
          <w:szCs w:val="22"/>
        </w:rPr>
        <w:t>Key Words: austerity; welfare state, commitment to welfare, societal scarring, welfare transformation</w:t>
      </w:r>
    </w:p>
    <w:p w14:paraId="14C9699A" w14:textId="77777777" w:rsidR="00DB05CB" w:rsidRPr="00C97895" w:rsidRDefault="00DB05CB" w:rsidP="00DB05CB">
      <w:pPr>
        <w:jc w:val="both"/>
        <w:rPr>
          <w:rFonts w:asciiTheme="minorHAnsi" w:hAnsiTheme="minorHAnsi" w:cstheme="minorHAnsi"/>
          <w:sz w:val="22"/>
          <w:szCs w:val="22"/>
        </w:rPr>
      </w:pPr>
    </w:p>
    <w:p w14:paraId="0CAB7245" w14:textId="0AB03404" w:rsidR="00DB05CB" w:rsidRPr="00C97895" w:rsidRDefault="00DB05CB" w:rsidP="00DB05CB">
      <w:pPr>
        <w:rPr>
          <w:rFonts w:asciiTheme="minorHAnsi" w:hAnsiTheme="minorHAnsi" w:cstheme="minorHAnsi"/>
          <w:b/>
          <w:sz w:val="22"/>
          <w:szCs w:val="22"/>
        </w:rPr>
      </w:pPr>
    </w:p>
    <w:p w14:paraId="5943D564" w14:textId="77777777" w:rsidR="00F62EAF" w:rsidRPr="00C97895" w:rsidRDefault="00F62EAF" w:rsidP="00F62EAF">
      <w:pPr>
        <w:rPr>
          <w:rFonts w:asciiTheme="minorHAnsi" w:hAnsiTheme="minorHAnsi" w:cstheme="minorHAnsi"/>
          <w:b/>
          <w:color w:val="000000" w:themeColor="text1"/>
          <w:sz w:val="22"/>
          <w:szCs w:val="22"/>
        </w:rPr>
      </w:pPr>
      <w:r w:rsidRPr="00C97895">
        <w:rPr>
          <w:rFonts w:asciiTheme="minorHAnsi" w:hAnsiTheme="minorHAnsi" w:cstheme="minorHAnsi"/>
          <w:b/>
          <w:color w:val="000000" w:themeColor="text1"/>
          <w:sz w:val="22"/>
          <w:szCs w:val="22"/>
        </w:rPr>
        <w:t>Assessing a ‘legacy’</w:t>
      </w:r>
    </w:p>
    <w:p w14:paraId="14E89DE5" w14:textId="77777777" w:rsidR="004E3E6D" w:rsidRDefault="004E3E6D" w:rsidP="000D2BA5">
      <w:pPr>
        <w:pStyle w:val="NormalWeb"/>
        <w:jc w:val="both"/>
        <w:rPr>
          <w:rFonts w:asciiTheme="minorHAnsi" w:hAnsiTheme="minorHAnsi" w:cstheme="minorHAnsi"/>
          <w:color w:val="211E1E"/>
          <w:sz w:val="22"/>
          <w:szCs w:val="22"/>
        </w:rPr>
      </w:pPr>
      <w:r>
        <w:rPr>
          <w:rFonts w:asciiTheme="minorHAnsi" w:hAnsiTheme="minorHAnsi" w:cstheme="minorHAnsi"/>
          <w:sz w:val="22"/>
          <w:szCs w:val="22"/>
        </w:rPr>
        <w:t>T</w:t>
      </w:r>
      <w:r w:rsidRPr="00C97895">
        <w:rPr>
          <w:rFonts w:asciiTheme="minorHAnsi" w:hAnsiTheme="minorHAnsi" w:cstheme="minorHAnsi"/>
          <w:sz w:val="22"/>
          <w:szCs w:val="22"/>
        </w:rPr>
        <w:t>hroughout the decade from 2010</w:t>
      </w:r>
      <w:r>
        <w:rPr>
          <w:rFonts w:asciiTheme="minorHAnsi" w:hAnsiTheme="minorHAnsi" w:cstheme="minorHAnsi"/>
          <w:sz w:val="22"/>
          <w:szCs w:val="22"/>
        </w:rPr>
        <w:t>,</w:t>
      </w:r>
      <w:r w:rsidRPr="00C97895">
        <w:rPr>
          <w:rFonts w:asciiTheme="minorHAnsi" w:hAnsiTheme="minorHAnsi" w:cstheme="minorHAnsi"/>
          <w:sz w:val="22"/>
          <w:szCs w:val="22"/>
        </w:rPr>
        <w:t xml:space="preserve"> </w:t>
      </w:r>
      <w:r>
        <w:rPr>
          <w:rFonts w:asciiTheme="minorHAnsi" w:hAnsiTheme="minorHAnsi" w:cstheme="minorHAnsi"/>
          <w:sz w:val="22"/>
          <w:szCs w:val="22"/>
        </w:rPr>
        <w:t>a</w:t>
      </w:r>
      <w:r w:rsidR="00C56D6C">
        <w:rPr>
          <w:rFonts w:asciiTheme="minorHAnsi" w:hAnsiTheme="minorHAnsi" w:cstheme="minorHAnsi"/>
          <w:sz w:val="22"/>
          <w:szCs w:val="22"/>
        </w:rPr>
        <w:t>usterity’s</w:t>
      </w:r>
      <w:r w:rsidR="004E042A" w:rsidRPr="00C97895">
        <w:rPr>
          <w:rFonts w:asciiTheme="minorHAnsi" w:hAnsiTheme="minorHAnsi" w:cstheme="minorHAnsi"/>
          <w:sz w:val="22"/>
          <w:szCs w:val="22"/>
        </w:rPr>
        <w:t xml:space="preserve"> amorphous qualities and empirical imprecision </w:t>
      </w:r>
      <w:r w:rsidR="00C56D6C">
        <w:rPr>
          <w:rFonts w:asciiTheme="minorHAnsi" w:hAnsiTheme="minorHAnsi" w:cstheme="minorHAnsi"/>
          <w:sz w:val="22"/>
          <w:szCs w:val="22"/>
        </w:rPr>
        <w:t>have made it</w:t>
      </w:r>
      <w:r w:rsidR="0086086E" w:rsidRPr="00C97895">
        <w:rPr>
          <w:rFonts w:asciiTheme="minorHAnsi" w:hAnsiTheme="minorHAnsi" w:cstheme="minorHAnsi"/>
          <w:sz w:val="22"/>
          <w:szCs w:val="22"/>
        </w:rPr>
        <w:t xml:space="preserve"> </w:t>
      </w:r>
      <w:r w:rsidR="004E042A" w:rsidRPr="00C97895">
        <w:rPr>
          <w:rFonts w:asciiTheme="minorHAnsi" w:hAnsiTheme="minorHAnsi" w:cstheme="minorHAnsi"/>
          <w:sz w:val="22"/>
          <w:szCs w:val="22"/>
        </w:rPr>
        <w:t xml:space="preserve">possible to point to the resilience of welfare states </w:t>
      </w:r>
      <w:r w:rsidR="0086086E" w:rsidRPr="00C97895">
        <w:rPr>
          <w:rFonts w:asciiTheme="minorHAnsi" w:hAnsiTheme="minorHAnsi" w:cstheme="minorHAnsi"/>
          <w:sz w:val="22"/>
          <w:szCs w:val="22"/>
        </w:rPr>
        <w:t xml:space="preserve">and </w:t>
      </w:r>
      <w:r>
        <w:rPr>
          <w:rFonts w:asciiTheme="minorHAnsi" w:hAnsiTheme="minorHAnsi" w:cstheme="minorHAnsi"/>
          <w:sz w:val="22"/>
          <w:szCs w:val="22"/>
        </w:rPr>
        <w:t>the over-statement of austerity, especially beyond the UK</w:t>
      </w:r>
      <w:r w:rsidR="00A43530" w:rsidRPr="00C97895">
        <w:rPr>
          <w:rFonts w:asciiTheme="minorHAnsi" w:hAnsiTheme="minorHAnsi" w:cstheme="minorHAnsi"/>
          <w:sz w:val="22"/>
          <w:szCs w:val="22"/>
        </w:rPr>
        <w:t xml:space="preserve">. </w:t>
      </w:r>
      <w:r w:rsidR="00C56D6C">
        <w:rPr>
          <w:rFonts w:asciiTheme="minorHAnsi" w:hAnsiTheme="minorHAnsi" w:cstheme="minorHAnsi"/>
          <w:sz w:val="22"/>
          <w:szCs w:val="22"/>
        </w:rPr>
        <w:t>I</w:t>
      </w:r>
      <w:r w:rsidR="00F14F3F" w:rsidRPr="00C97895">
        <w:rPr>
          <w:rFonts w:asciiTheme="minorHAnsi" w:hAnsiTheme="minorHAnsi" w:cstheme="minorHAnsi"/>
          <w:sz w:val="22"/>
          <w:szCs w:val="22"/>
        </w:rPr>
        <w:t xml:space="preserve">n its early stages, </w:t>
      </w:r>
      <w:r w:rsidR="00F14F3F" w:rsidRPr="00C97895">
        <w:rPr>
          <w:rFonts w:asciiTheme="minorHAnsi" w:hAnsiTheme="minorHAnsi" w:cstheme="minorHAnsi"/>
          <w:color w:val="211E1E"/>
          <w:sz w:val="22"/>
          <w:szCs w:val="22"/>
        </w:rPr>
        <w:t>Vis et al (2014) argued that austerity was not the ‘only game in town’</w:t>
      </w:r>
      <w:r w:rsidR="00DC79BC" w:rsidRPr="00C97895">
        <w:rPr>
          <w:rFonts w:asciiTheme="minorHAnsi" w:hAnsiTheme="minorHAnsi" w:cstheme="minorHAnsi"/>
          <w:color w:val="211E1E"/>
          <w:sz w:val="22"/>
          <w:szCs w:val="22"/>
        </w:rPr>
        <w:t>,</w:t>
      </w:r>
      <w:r w:rsidR="00F14F3F" w:rsidRPr="00C97895">
        <w:rPr>
          <w:rFonts w:asciiTheme="minorHAnsi" w:hAnsiTheme="minorHAnsi" w:cstheme="minorHAnsi"/>
          <w:color w:val="211E1E"/>
          <w:sz w:val="22"/>
          <w:szCs w:val="22"/>
        </w:rPr>
        <w:t xml:space="preserve"> while </w:t>
      </w:r>
      <w:proofErr w:type="spellStart"/>
      <w:r w:rsidR="00A43530" w:rsidRPr="00C97895">
        <w:rPr>
          <w:rFonts w:asciiTheme="minorHAnsi" w:hAnsiTheme="minorHAnsi" w:cstheme="minorHAnsi"/>
          <w:sz w:val="22"/>
          <w:szCs w:val="22"/>
        </w:rPr>
        <w:t>Eurofound</w:t>
      </w:r>
      <w:proofErr w:type="spellEnd"/>
      <w:r w:rsidR="00A43530" w:rsidRPr="00C97895">
        <w:rPr>
          <w:rFonts w:asciiTheme="minorHAnsi" w:hAnsiTheme="minorHAnsi" w:cstheme="minorHAnsi"/>
          <w:sz w:val="22"/>
          <w:szCs w:val="22"/>
        </w:rPr>
        <w:t xml:space="preserve"> (2016, p10) </w:t>
      </w:r>
      <w:r w:rsidR="00E8587F" w:rsidRPr="00C97895">
        <w:rPr>
          <w:rFonts w:asciiTheme="minorHAnsi" w:hAnsiTheme="minorHAnsi" w:cstheme="minorHAnsi"/>
          <w:sz w:val="22"/>
          <w:szCs w:val="22"/>
        </w:rPr>
        <w:t xml:space="preserve">optimistically </w:t>
      </w:r>
      <w:r w:rsidR="00A43530" w:rsidRPr="00C97895">
        <w:rPr>
          <w:rFonts w:asciiTheme="minorHAnsi" w:hAnsiTheme="minorHAnsi" w:cstheme="minorHAnsi"/>
          <w:color w:val="211E1E"/>
          <w:sz w:val="22"/>
          <w:szCs w:val="22"/>
        </w:rPr>
        <w:t>point</w:t>
      </w:r>
      <w:r w:rsidR="00F14F3F" w:rsidRPr="00C97895">
        <w:rPr>
          <w:rFonts w:asciiTheme="minorHAnsi" w:hAnsiTheme="minorHAnsi" w:cstheme="minorHAnsi"/>
          <w:color w:val="211E1E"/>
          <w:sz w:val="22"/>
          <w:szCs w:val="22"/>
        </w:rPr>
        <w:t>ed</w:t>
      </w:r>
      <w:r w:rsidR="00A43530" w:rsidRPr="00C97895">
        <w:rPr>
          <w:rFonts w:asciiTheme="minorHAnsi" w:hAnsiTheme="minorHAnsi" w:cstheme="minorHAnsi"/>
          <w:color w:val="211E1E"/>
          <w:sz w:val="22"/>
          <w:szCs w:val="22"/>
        </w:rPr>
        <w:t xml:space="preserve"> to declining losses in jobs in public administration 2013</w:t>
      </w:r>
      <w:r w:rsidR="009B7324">
        <w:rPr>
          <w:rFonts w:asciiTheme="minorHAnsi" w:hAnsiTheme="minorHAnsi" w:cstheme="minorHAnsi"/>
          <w:color w:val="211E1E"/>
          <w:sz w:val="22"/>
          <w:szCs w:val="22"/>
        </w:rPr>
        <w:t xml:space="preserve"> to </w:t>
      </w:r>
      <w:r w:rsidR="00A43530" w:rsidRPr="00C97895">
        <w:rPr>
          <w:rFonts w:asciiTheme="minorHAnsi" w:hAnsiTheme="minorHAnsi" w:cstheme="minorHAnsi"/>
          <w:color w:val="211E1E"/>
          <w:sz w:val="22"/>
          <w:szCs w:val="22"/>
        </w:rPr>
        <w:t>2015 as ‘reflecting an end to public sector budget cuts (or ‘austerity’) in many countries’.</w:t>
      </w:r>
      <w:r w:rsidR="00F14F3F" w:rsidRPr="00C97895">
        <w:rPr>
          <w:rFonts w:asciiTheme="minorHAnsi" w:hAnsiTheme="minorHAnsi" w:cstheme="minorHAnsi"/>
          <w:color w:val="211E1E"/>
          <w:sz w:val="22"/>
          <w:szCs w:val="22"/>
        </w:rPr>
        <w:t xml:space="preserve"> </w:t>
      </w:r>
      <w:r w:rsidR="00D6637A" w:rsidRPr="00C97895">
        <w:rPr>
          <w:rFonts w:asciiTheme="minorHAnsi" w:hAnsiTheme="minorHAnsi" w:cstheme="minorHAnsi"/>
          <w:color w:val="211E1E"/>
          <w:sz w:val="22"/>
          <w:szCs w:val="22"/>
        </w:rPr>
        <w:t xml:space="preserve">The existence of contemporaneous stimulus measures (for example tax cuts, investment in infrastructure and so-called ‘social’ investment) </w:t>
      </w:r>
      <w:r w:rsidR="00AC36B5" w:rsidRPr="00C97895">
        <w:rPr>
          <w:rFonts w:asciiTheme="minorHAnsi" w:hAnsiTheme="minorHAnsi" w:cstheme="minorHAnsi"/>
          <w:color w:val="211E1E"/>
          <w:sz w:val="22"/>
          <w:szCs w:val="22"/>
        </w:rPr>
        <w:t xml:space="preserve">also </w:t>
      </w:r>
      <w:r w:rsidR="00D6637A" w:rsidRPr="00C97895">
        <w:rPr>
          <w:rFonts w:asciiTheme="minorHAnsi" w:hAnsiTheme="minorHAnsi" w:cstheme="minorHAnsi"/>
          <w:color w:val="211E1E"/>
          <w:sz w:val="22"/>
          <w:szCs w:val="22"/>
        </w:rPr>
        <w:t xml:space="preserve">provided evidence to support the resilience arguments. </w:t>
      </w:r>
      <w:r w:rsidR="00F14F3F" w:rsidRPr="00C97895">
        <w:rPr>
          <w:rFonts w:asciiTheme="minorHAnsi" w:hAnsiTheme="minorHAnsi" w:cstheme="minorHAnsi"/>
          <w:color w:val="211E1E"/>
          <w:sz w:val="22"/>
          <w:szCs w:val="22"/>
        </w:rPr>
        <w:t>Mo</w:t>
      </w:r>
      <w:r w:rsidR="00760FE9" w:rsidRPr="00C97895">
        <w:rPr>
          <w:rFonts w:asciiTheme="minorHAnsi" w:hAnsiTheme="minorHAnsi" w:cstheme="minorHAnsi"/>
          <w:color w:val="211E1E"/>
          <w:sz w:val="22"/>
          <w:szCs w:val="22"/>
        </w:rPr>
        <w:t>re</w:t>
      </w:r>
      <w:r w:rsidR="00F14F3F" w:rsidRPr="00C97895">
        <w:rPr>
          <w:rFonts w:asciiTheme="minorHAnsi" w:hAnsiTheme="minorHAnsi" w:cstheme="minorHAnsi"/>
          <w:color w:val="211E1E"/>
          <w:sz w:val="22"/>
          <w:szCs w:val="22"/>
        </w:rPr>
        <w:t xml:space="preserve"> recently, </w:t>
      </w:r>
      <w:r>
        <w:rPr>
          <w:rFonts w:asciiTheme="minorHAnsi" w:hAnsiTheme="minorHAnsi" w:cstheme="minorHAnsi"/>
          <w:color w:val="211E1E"/>
          <w:sz w:val="22"/>
          <w:szCs w:val="22"/>
        </w:rPr>
        <w:t xml:space="preserve">two </w:t>
      </w:r>
      <w:r w:rsidR="00F14F3F" w:rsidRPr="00C97895">
        <w:rPr>
          <w:rFonts w:asciiTheme="minorHAnsi" w:hAnsiTheme="minorHAnsi" w:cstheme="minorHAnsi"/>
          <w:color w:val="211E1E"/>
          <w:sz w:val="22"/>
          <w:szCs w:val="22"/>
        </w:rPr>
        <w:t>UK Chancellors of the Exchequer signalled the end of austerity in their Autumn budget statements in 2018 and 2019</w:t>
      </w:r>
      <w:r w:rsidR="00226E65">
        <w:rPr>
          <w:rFonts w:asciiTheme="minorHAnsi" w:hAnsiTheme="minorHAnsi" w:cstheme="minorHAnsi"/>
          <w:color w:val="211E1E"/>
          <w:sz w:val="22"/>
          <w:szCs w:val="22"/>
        </w:rPr>
        <w:t xml:space="preserve"> and</w:t>
      </w:r>
      <w:r w:rsidR="00EC4DE1" w:rsidRPr="00C97895">
        <w:rPr>
          <w:rFonts w:asciiTheme="minorHAnsi" w:hAnsiTheme="minorHAnsi" w:cstheme="minorHAnsi"/>
          <w:color w:val="211E1E"/>
          <w:sz w:val="22"/>
          <w:szCs w:val="22"/>
        </w:rPr>
        <w:t xml:space="preserve"> the Financial Times</w:t>
      </w:r>
      <w:r w:rsidR="00760FE9" w:rsidRPr="00C97895">
        <w:rPr>
          <w:rFonts w:asciiTheme="minorHAnsi" w:hAnsiTheme="minorHAnsi" w:cstheme="minorHAnsi"/>
          <w:color w:val="211E1E"/>
          <w:sz w:val="22"/>
          <w:szCs w:val="22"/>
        </w:rPr>
        <w:t xml:space="preserve"> (2019)</w:t>
      </w:r>
      <w:r w:rsidR="00EC4DE1" w:rsidRPr="00C97895">
        <w:rPr>
          <w:rFonts w:asciiTheme="minorHAnsi" w:hAnsiTheme="minorHAnsi" w:cstheme="minorHAnsi"/>
          <w:color w:val="211E1E"/>
          <w:sz w:val="22"/>
          <w:szCs w:val="22"/>
        </w:rPr>
        <w:t xml:space="preserve"> reported that other European countries were ‘turning on the spending taps as austerity comes to an end’</w:t>
      </w:r>
      <w:r w:rsidR="00F14F3F" w:rsidRPr="00C97895">
        <w:rPr>
          <w:rFonts w:asciiTheme="minorHAnsi" w:hAnsiTheme="minorHAnsi" w:cstheme="minorHAnsi"/>
          <w:color w:val="211E1E"/>
          <w:sz w:val="22"/>
          <w:szCs w:val="22"/>
        </w:rPr>
        <w:t>.</w:t>
      </w:r>
      <w:r w:rsidR="00760FE9" w:rsidRPr="00C97895">
        <w:rPr>
          <w:rFonts w:asciiTheme="minorHAnsi" w:hAnsiTheme="minorHAnsi" w:cstheme="minorHAnsi"/>
          <w:color w:val="211E1E"/>
          <w:sz w:val="22"/>
          <w:szCs w:val="22"/>
        </w:rPr>
        <w:t xml:space="preserve"> </w:t>
      </w:r>
    </w:p>
    <w:p w14:paraId="4ED13DD4" w14:textId="664F8D32" w:rsidR="00A43530" w:rsidRPr="00C97895" w:rsidRDefault="00760FE9" w:rsidP="000D2BA5">
      <w:pPr>
        <w:pStyle w:val="NormalWeb"/>
        <w:jc w:val="both"/>
        <w:rPr>
          <w:rFonts w:asciiTheme="minorHAnsi" w:hAnsiTheme="minorHAnsi" w:cstheme="minorHAnsi"/>
          <w:color w:val="211E1E"/>
          <w:sz w:val="22"/>
          <w:szCs w:val="22"/>
        </w:rPr>
      </w:pPr>
      <w:r w:rsidRPr="00C97895">
        <w:rPr>
          <w:rFonts w:asciiTheme="minorHAnsi" w:hAnsiTheme="minorHAnsi" w:cstheme="minorHAnsi"/>
          <w:color w:val="211E1E"/>
          <w:sz w:val="22"/>
          <w:szCs w:val="22"/>
        </w:rPr>
        <w:t xml:space="preserve">And </w:t>
      </w:r>
      <w:proofErr w:type="gramStart"/>
      <w:r w:rsidRPr="00C97895">
        <w:rPr>
          <w:rFonts w:asciiTheme="minorHAnsi" w:hAnsiTheme="minorHAnsi" w:cstheme="minorHAnsi"/>
          <w:color w:val="211E1E"/>
          <w:sz w:val="22"/>
          <w:szCs w:val="22"/>
        </w:rPr>
        <w:t>so</w:t>
      </w:r>
      <w:proofErr w:type="gramEnd"/>
      <w:r w:rsidRPr="00C97895">
        <w:rPr>
          <w:rFonts w:asciiTheme="minorHAnsi" w:hAnsiTheme="minorHAnsi" w:cstheme="minorHAnsi"/>
          <w:color w:val="211E1E"/>
          <w:sz w:val="22"/>
          <w:szCs w:val="22"/>
        </w:rPr>
        <w:t xml:space="preserve"> the debate continues as to whether increased public spending signifies the end of austerity</w:t>
      </w:r>
      <w:r w:rsidR="00D6637A" w:rsidRPr="00C97895">
        <w:rPr>
          <w:rFonts w:asciiTheme="minorHAnsi" w:hAnsiTheme="minorHAnsi" w:cstheme="minorHAnsi"/>
          <w:color w:val="211E1E"/>
          <w:sz w:val="22"/>
          <w:szCs w:val="22"/>
        </w:rPr>
        <w:t>.</w:t>
      </w:r>
      <w:r w:rsidRPr="00C97895">
        <w:rPr>
          <w:rFonts w:asciiTheme="minorHAnsi" w:hAnsiTheme="minorHAnsi" w:cstheme="minorHAnsi"/>
          <w:color w:val="211E1E"/>
          <w:sz w:val="22"/>
          <w:szCs w:val="22"/>
        </w:rPr>
        <w:t xml:space="preserve"> </w:t>
      </w:r>
      <w:r w:rsidR="00D6637A" w:rsidRPr="00C97895">
        <w:rPr>
          <w:rFonts w:asciiTheme="minorHAnsi" w:hAnsiTheme="minorHAnsi" w:cstheme="minorHAnsi"/>
          <w:color w:val="211E1E"/>
          <w:sz w:val="22"/>
          <w:szCs w:val="22"/>
        </w:rPr>
        <w:t>W</w:t>
      </w:r>
      <w:r w:rsidRPr="00C97895">
        <w:rPr>
          <w:rFonts w:asciiTheme="minorHAnsi" w:hAnsiTheme="minorHAnsi" w:cstheme="minorHAnsi"/>
          <w:color w:val="211E1E"/>
          <w:sz w:val="22"/>
          <w:szCs w:val="22"/>
        </w:rPr>
        <w:t xml:space="preserve">ithin this debate </w:t>
      </w:r>
      <w:r w:rsidR="00D6637A" w:rsidRPr="00C97895">
        <w:rPr>
          <w:rFonts w:asciiTheme="minorHAnsi" w:hAnsiTheme="minorHAnsi" w:cstheme="minorHAnsi"/>
          <w:color w:val="211E1E"/>
          <w:sz w:val="22"/>
          <w:szCs w:val="22"/>
        </w:rPr>
        <w:t xml:space="preserve">however, </w:t>
      </w:r>
      <w:r w:rsidRPr="00C97895">
        <w:rPr>
          <w:rFonts w:asciiTheme="minorHAnsi" w:hAnsiTheme="minorHAnsi" w:cstheme="minorHAnsi"/>
          <w:color w:val="211E1E"/>
          <w:sz w:val="22"/>
          <w:szCs w:val="22"/>
        </w:rPr>
        <w:t>austerity is reduced to a simple mechanism as though its presence produces an effect and its absence removes it.</w:t>
      </w:r>
      <w:r w:rsidR="004E2995" w:rsidRPr="00C97895">
        <w:rPr>
          <w:rFonts w:asciiTheme="minorHAnsi" w:hAnsiTheme="minorHAnsi" w:cstheme="minorHAnsi"/>
          <w:color w:val="211E1E"/>
          <w:sz w:val="22"/>
          <w:szCs w:val="22"/>
        </w:rPr>
        <w:t xml:space="preserve"> Public critique of government ‘end of austerity’ promises focus</w:t>
      </w:r>
      <w:r w:rsidR="001F7524" w:rsidRPr="00C97895">
        <w:rPr>
          <w:rFonts w:asciiTheme="minorHAnsi" w:hAnsiTheme="minorHAnsi" w:cstheme="minorHAnsi"/>
          <w:color w:val="211E1E"/>
          <w:sz w:val="22"/>
          <w:szCs w:val="22"/>
        </w:rPr>
        <w:t>es</w:t>
      </w:r>
      <w:r w:rsidR="004E2995" w:rsidRPr="00C97895">
        <w:rPr>
          <w:rFonts w:asciiTheme="minorHAnsi" w:hAnsiTheme="minorHAnsi" w:cstheme="minorHAnsi"/>
          <w:color w:val="211E1E"/>
          <w:sz w:val="22"/>
          <w:szCs w:val="22"/>
        </w:rPr>
        <w:t xml:space="preserve"> largely on the remaining gap between pre-crisis spending and future pledges which fail to reach these levels</w:t>
      </w:r>
      <w:r w:rsidR="0090360F" w:rsidRPr="00C97895">
        <w:rPr>
          <w:rFonts w:asciiTheme="minorHAnsi" w:hAnsiTheme="minorHAnsi" w:cstheme="minorHAnsi"/>
          <w:color w:val="211E1E"/>
          <w:sz w:val="22"/>
          <w:szCs w:val="22"/>
        </w:rPr>
        <w:t xml:space="preserve">, </w:t>
      </w:r>
      <w:r w:rsidR="004E2995" w:rsidRPr="00C97895">
        <w:rPr>
          <w:rFonts w:asciiTheme="minorHAnsi" w:hAnsiTheme="minorHAnsi" w:cstheme="minorHAnsi"/>
          <w:color w:val="211E1E"/>
          <w:sz w:val="22"/>
          <w:szCs w:val="22"/>
        </w:rPr>
        <w:t>match inflation</w:t>
      </w:r>
      <w:r w:rsidR="0090360F" w:rsidRPr="00C97895">
        <w:rPr>
          <w:rFonts w:asciiTheme="minorHAnsi" w:hAnsiTheme="minorHAnsi" w:cstheme="minorHAnsi"/>
          <w:color w:val="211E1E"/>
          <w:sz w:val="22"/>
          <w:szCs w:val="22"/>
        </w:rPr>
        <w:t xml:space="preserve"> or demographic change</w:t>
      </w:r>
      <w:r w:rsidR="004E2995" w:rsidRPr="00C97895">
        <w:rPr>
          <w:rFonts w:asciiTheme="minorHAnsi" w:hAnsiTheme="minorHAnsi" w:cstheme="minorHAnsi"/>
          <w:color w:val="211E1E"/>
          <w:sz w:val="22"/>
          <w:szCs w:val="22"/>
        </w:rPr>
        <w:t>.</w:t>
      </w:r>
      <w:r w:rsidR="0090360F" w:rsidRPr="00C97895">
        <w:rPr>
          <w:rFonts w:asciiTheme="minorHAnsi" w:hAnsiTheme="minorHAnsi" w:cstheme="minorHAnsi"/>
          <w:color w:val="211E1E"/>
          <w:sz w:val="22"/>
          <w:szCs w:val="22"/>
        </w:rPr>
        <w:t xml:space="preserve"> Not only does the promise of increases in some spending fail to end austerity, but co-incidental ‘stimulus’ promises for tax cuts (for higher earners) in the 2019 budgets of for example the UK and Australia</w:t>
      </w:r>
      <w:r w:rsidR="009B7324">
        <w:rPr>
          <w:rFonts w:asciiTheme="minorHAnsi" w:hAnsiTheme="minorHAnsi" w:cstheme="minorHAnsi"/>
          <w:color w:val="211E1E"/>
          <w:sz w:val="22"/>
          <w:szCs w:val="22"/>
        </w:rPr>
        <w:t>,</w:t>
      </w:r>
      <w:r w:rsidR="0090360F" w:rsidRPr="00C97895">
        <w:rPr>
          <w:rFonts w:asciiTheme="minorHAnsi" w:hAnsiTheme="minorHAnsi" w:cstheme="minorHAnsi"/>
          <w:color w:val="211E1E"/>
          <w:sz w:val="22"/>
          <w:szCs w:val="22"/>
        </w:rPr>
        <w:t xml:space="preserve"> reduce revenue available for closing the gap. In the </w:t>
      </w:r>
      <w:r w:rsidRPr="00C97895">
        <w:rPr>
          <w:rFonts w:asciiTheme="minorHAnsi" w:hAnsiTheme="minorHAnsi" w:cstheme="minorHAnsi"/>
          <w:color w:val="211E1E"/>
          <w:sz w:val="22"/>
          <w:szCs w:val="22"/>
        </w:rPr>
        <w:t>2017 Tax and Jobs Act</w:t>
      </w:r>
      <w:r w:rsidR="0090360F" w:rsidRPr="00C97895">
        <w:rPr>
          <w:rFonts w:asciiTheme="minorHAnsi" w:hAnsiTheme="minorHAnsi" w:cstheme="minorHAnsi"/>
          <w:color w:val="211E1E"/>
          <w:sz w:val="22"/>
          <w:szCs w:val="22"/>
        </w:rPr>
        <w:t xml:space="preserve">, the US </w:t>
      </w:r>
      <w:r w:rsidRPr="00C97895">
        <w:rPr>
          <w:rFonts w:asciiTheme="minorHAnsi" w:hAnsiTheme="minorHAnsi" w:cstheme="minorHAnsi"/>
          <w:color w:val="211E1E"/>
          <w:sz w:val="22"/>
          <w:szCs w:val="22"/>
        </w:rPr>
        <w:t>cut corporation tax (from 35% to 21%)</w:t>
      </w:r>
      <w:r w:rsidR="00552286" w:rsidRPr="00C97895">
        <w:rPr>
          <w:rFonts w:asciiTheme="minorHAnsi" w:hAnsiTheme="minorHAnsi" w:cstheme="minorHAnsi"/>
          <w:color w:val="211E1E"/>
          <w:sz w:val="22"/>
          <w:szCs w:val="22"/>
        </w:rPr>
        <w:t>, taking austerity a step further as the</w:t>
      </w:r>
      <w:r w:rsidR="00496368" w:rsidRPr="00C97895">
        <w:rPr>
          <w:rFonts w:asciiTheme="minorHAnsi" w:hAnsiTheme="minorHAnsi" w:cstheme="minorHAnsi"/>
          <w:color w:val="211E1E"/>
          <w:sz w:val="22"/>
          <w:szCs w:val="22"/>
        </w:rPr>
        <w:t xml:space="preserve"> consequent negative</w:t>
      </w:r>
      <w:r w:rsidR="00552286" w:rsidRPr="00C97895">
        <w:rPr>
          <w:rFonts w:asciiTheme="minorHAnsi" w:hAnsiTheme="minorHAnsi" w:cstheme="minorHAnsi"/>
          <w:color w:val="211E1E"/>
          <w:sz w:val="22"/>
          <w:szCs w:val="22"/>
        </w:rPr>
        <w:t xml:space="preserve"> impact on the US debt to GDP ratio </w:t>
      </w:r>
      <w:r w:rsidR="001F7524" w:rsidRPr="00C97895">
        <w:rPr>
          <w:rFonts w:asciiTheme="minorHAnsi" w:hAnsiTheme="minorHAnsi" w:cstheme="minorHAnsi"/>
          <w:color w:val="211E1E"/>
          <w:sz w:val="22"/>
          <w:szCs w:val="22"/>
        </w:rPr>
        <w:t>includes</w:t>
      </w:r>
      <w:r w:rsidR="00496368" w:rsidRPr="00C97895">
        <w:rPr>
          <w:rFonts w:asciiTheme="minorHAnsi" w:hAnsiTheme="minorHAnsi" w:cstheme="minorHAnsi"/>
          <w:color w:val="211E1E"/>
          <w:sz w:val="22"/>
          <w:szCs w:val="22"/>
        </w:rPr>
        <w:t xml:space="preserve"> budget plans estimated to cut public health insurance (Medicare and Medicaid) and social security by $1.9 trillion 2020-30 (</w:t>
      </w:r>
      <w:proofErr w:type="spellStart"/>
      <w:r w:rsidR="00496368" w:rsidRPr="00C97895">
        <w:rPr>
          <w:rFonts w:asciiTheme="minorHAnsi" w:hAnsiTheme="minorHAnsi" w:cstheme="minorHAnsi"/>
          <w:color w:val="211E1E"/>
          <w:sz w:val="22"/>
          <w:szCs w:val="22"/>
        </w:rPr>
        <w:t>Center</w:t>
      </w:r>
      <w:proofErr w:type="spellEnd"/>
      <w:r w:rsidR="00496368" w:rsidRPr="00C97895">
        <w:rPr>
          <w:rFonts w:asciiTheme="minorHAnsi" w:hAnsiTheme="minorHAnsi" w:cstheme="minorHAnsi"/>
          <w:color w:val="211E1E"/>
          <w:sz w:val="22"/>
          <w:szCs w:val="22"/>
        </w:rPr>
        <w:t xml:space="preserve"> for Public Integrity, 2019).</w:t>
      </w:r>
      <w:r w:rsidR="00D6637A" w:rsidRPr="00C97895">
        <w:rPr>
          <w:rFonts w:asciiTheme="minorHAnsi" w:hAnsiTheme="minorHAnsi" w:cstheme="minorHAnsi"/>
          <w:color w:val="211E1E"/>
          <w:sz w:val="22"/>
          <w:szCs w:val="22"/>
        </w:rPr>
        <w:t xml:space="preserve"> </w:t>
      </w:r>
      <w:r w:rsidR="00421D76" w:rsidRPr="00C97895">
        <w:rPr>
          <w:rFonts w:asciiTheme="minorHAnsi" w:hAnsiTheme="minorHAnsi" w:cstheme="minorHAnsi"/>
          <w:color w:val="211E1E"/>
          <w:sz w:val="22"/>
          <w:szCs w:val="22"/>
        </w:rPr>
        <w:t xml:space="preserve">As the Director of the UK’s Institute for Fiscal Studies observed in </w:t>
      </w:r>
      <w:r w:rsidR="002864EA" w:rsidRPr="00C97895">
        <w:rPr>
          <w:rFonts w:asciiTheme="minorHAnsi" w:hAnsiTheme="minorHAnsi" w:cstheme="minorHAnsi"/>
          <w:color w:val="211E1E"/>
          <w:sz w:val="22"/>
          <w:szCs w:val="22"/>
        </w:rPr>
        <w:t xml:space="preserve">an </w:t>
      </w:r>
      <w:r w:rsidR="00AD1491" w:rsidRPr="00C97895">
        <w:rPr>
          <w:rFonts w:asciiTheme="minorHAnsi" w:hAnsiTheme="minorHAnsi" w:cstheme="minorHAnsi"/>
          <w:color w:val="211E1E"/>
          <w:sz w:val="22"/>
          <w:szCs w:val="22"/>
        </w:rPr>
        <w:t>analysis of party Manifestos (Johnson, 2019), even where there are no further cuts, austerity is ‘baked in’ to future plans.</w:t>
      </w:r>
    </w:p>
    <w:p w14:paraId="49B039AD" w14:textId="73900A3F" w:rsidR="00202B73" w:rsidRPr="00C97895" w:rsidRDefault="00302FF8" w:rsidP="00673EA9">
      <w:pPr>
        <w:pStyle w:val="NormalWeb"/>
        <w:jc w:val="both"/>
        <w:rPr>
          <w:rFonts w:asciiTheme="minorHAnsi" w:hAnsiTheme="minorHAnsi" w:cstheme="minorHAnsi"/>
          <w:color w:val="211E1E"/>
          <w:sz w:val="22"/>
          <w:szCs w:val="22"/>
        </w:rPr>
      </w:pPr>
      <w:r w:rsidRPr="00C97895">
        <w:rPr>
          <w:rFonts w:asciiTheme="minorHAnsi" w:hAnsiTheme="minorHAnsi" w:cstheme="minorHAnsi"/>
          <w:color w:val="211E1E"/>
          <w:sz w:val="22"/>
          <w:szCs w:val="22"/>
        </w:rPr>
        <w:t>A focus on the economics of austerity therefore presents a fuzzy picture in</w:t>
      </w:r>
      <w:r w:rsidR="00D6637A" w:rsidRPr="00C97895">
        <w:rPr>
          <w:rFonts w:asciiTheme="minorHAnsi" w:hAnsiTheme="minorHAnsi" w:cstheme="minorHAnsi"/>
          <w:color w:val="211E1E"/>
          <w:sz w:val="22"/>
          <w:szCs w:val="22"/>
        </w:rPr>
        <w:t xml:space="preserve"> determining </w:t>
      </w:r>
      <w:r w:rsidR="00226E65">
        <w:rPr>
          <w:rFonts w:asciiTheme="minorHAnsi" w:hAnsiTheme="minorHAnsi" w:cstheme="minorHAnsi"/>
          <w:color w:val="211E1E"/>
          <w:sz w:val="22"/>
          <w:szCs w:val="22"/>
        </w:rPr>
        <w:t>its</w:t>
      </w:r>
      <w:r w:rsidR="00D6637A" w:rsidRPr="00C97895">
        <w:rPr>
          <w:rFonts w:asciiTheme="minorHAnsi" w:hAnsiTheme="minorHAnsi" w:cstheme="minorHAnsi"/>
          <w:color w:val="211E1E"/>
          <w:sz w:val="22"/>
          <w:szCs w:val="22"/>
        </w:rPr>
        <w:t xml:space="preserve"> beginning and anticipated end</w:t>
      </w:r>
      <w:r w:rsidR="004E3E6D">
        <w:rPr>
          <w:rFonts w:asciiTheme="minorHAnsi" w:hAnsiTheme="minorHAnsi" w:cstheme="minorHAnsi"/>
          <w:color w:val="211E1E"/>
          <w:sz w:val="22"/>
          <w:szCs w:val="22"/>
        </w:rPr>
        <w:t>, particularly where cross-national comparisons are applied</w:t>
      </w:r>
      <w:r w:rsidRPr="00C97895">
        <w:rPr>
          <w:rFonts w:asciiTheme="minorHAnsi" w:hAnsiTheme="minorHAnsi" w:cstheme="minorHAnsi"/>
          <w:color w:val="211E1E"/>
          <w:sz w:val="22"/>
          <w:szCs w:val="22"/>
        </w:rPr>
        <w:t xml:space="preserve">. Austerity is more than </w:t>
      </w:r>
      <w:r w:rsidRPr="00C97895">
        <w:rPr>
          <w:rFonts w:asciiTheme="minorHAnsi" w:hAnsiTheme="minorHAnsi" w:cstheme="minorHAnsi"/>
          <w:color w:val="211E1E"/>
          <w:sz w:val="22"/>
          <w:szCs w:val="22"/>
        </w:rPr>
        <w:lastRenderedPageBreak/>
        <w:t>a</w:t>
      </w:r>
      <w:r w:rsidR="00AC36B5" w:rsidRPr="00C97895">
        <w:rPr>
          <w:rFonts w:asciiTheme="minorHAnsi" w:hAnsiTheme="minorHAnsi" w:cstheme="minorHAnsi"/>
          <w:color w:val="211E1E"/>
          <w:sz w:val="22"/>
          <w:szCs w:val="22"/>
        </w:rPr>
        <w:t xml:space="preserve"> strategy to impose</w:t>
      </w:r>
      <w:r w:rsidRPr="00C97895">
        <w:rPr>
          <w:rFonts w:asciiTheme="minorHAnsi" w:hAnsiTheme="minorHAnsi" w:cstheme="minorHAnsi"/>
          <w:color w:val="211E1E"/>
          <w:sz w:val="22"/>
          <w:szCs w:val="22"/>
        </w:rPr>
        <w:t xml:space="preserve"> economic </w:t>
      </w:r>
      <w:r w:rsidR="00AC36B5" w:rsidRPr="00C97895">
        <w:rPr>
          <w:rFonts w:asciiTheme="minorHAnsi" w:hAnsiTheme="minorHAnsi" w:cstheme="minorHAnsi"/>
          <w:color w:val="211E1E"/>
          <w:sz w:val="22"/>
          <w:szCs w:val="22"/>
        </w:rPr>
        <w:t>logic</w:t>
      </w:r>
      <w:r w:rsidR="004E3E6D">
        <w:rPr>
          <w:rFonts w:asciiTheme="minorHAnsi" w:hAnsiTheme="minorHAnsi" w:cstheme="minorHAnsi"/>
          <w:color w:val="211E1E"/>
          <w:sz w:val="22"/>
          <w:szCs w:val="22"/>
        </w:rPr>
        <w:t xml:space="preserve"> however</w:t>
      </w:r>
      <w:r w:rsidR="002864EA" w:rsidRPr="00C97895">
        <w:rPr>
          <w:rFonts w:asciiTheme="minorHAnsi" w:hAnsiTheme="minorHAnsi" w:cstheme="minorHAnsi"/>
          <w:color w:val="211E1E"/>
          <w:sz w:val="22"/>
          <w:szCs w:val="22"/>
        </w:rPr>
        <w:t>, and its heritage long pre-dates the 2008 crisis</w:t>
      </w:r>
      <w:r w:rsidR="0041669E">
        <w:rPr>
          <w:rFonts w:asciiTheme="minorHAnsi" w:hAnsiTheme="minorHAnsi" w:cstheme="minorHAnsi"/>
          <w:color w:val="211E1E"/>
          <w:sz w:val="22"/>
          <w:szCs w:val="22"/>
        </w:rPr>
        <w:t xml:space="preserve"> (Blyth, 2013)</w:t>
      </w:r>
      <w:r w:rsidR="002864EA" w:rsidRPr="00C97895">
        <w:rPr>
          <w:rFonts w:asciiTheme="minorHAnsi" w:hAnsiTheme="minorHAnsi" w:cstheme="minorHAnsi"/>
          <w:color w:val="211E1E"/>
          <w:sz w:val="22"/>
          <w:szCs w:val="22"/>
        </w:rPr>
        <w:t xml:space="preserve">. It is arguable therefore that even when </w:t>
      </w:r>
      <w:r w:rsidR="00226E65">
        <w:rPr>
          <w:rFonts w:asciiTheme="minorHAnsi" w:hAnsiTheme="minorHAnsi" w:cstheme="minorHAnsi"/>
          <w:color w:val="211E1E"/>
          <w:sz w:val="22"/>
          <w:szCs w:val="22"/>
        </w:rPr>
        <w:t>associated</w:t>
      </w:r>
      <w:r w:rsidR="002864EA" w:rsidRPr="00C97895">
        <w:rPr>
          <w:rFonts w:asciiTheme="minorHAnsi" w:hAnsiTheme="minorHAnsi" w:cstheme="minorHAnsi"/>
          <w:color w:val="211E1E"/>
          <w:sz w:val="22"/>
          <w:szCs w:val="22"/>
        </w:rPr>
        <w:t xml:space="preserve"> specific policies are no longer in place, their residue will be left on social, political and economic life. </w:t>
      </w:r>
      <w:r w:rsidR="00DD4AAB" w:rsidRPr="00C97895">
        <w:rPr>
          <w:rFonts w:asciiTheme="minorHAnsi" w:hAnsiTheme="minorHAnsi" w:cstheme="minorHAnsi"/>
          <w:color w:val="211E1E"/>
          <w:sz w:val="22"/>
          <w:szCs w:val="22"/>
        </w:rPr>
        <w:t>This is the theme that is captured in idea</w:t>
      </w:r>
      <w:r w:rsidR="00F62EAF">
        <w:rPr>
          <w:rFonts w:asciiTheme="minorHAnsi" w:hAnsiTheme="minorHAnsi" w:cstheme="minorHAnsi"/>
          <w:color w:val="211E1E"/>
          <w:sz w:val="22"/>
          <w:szCs w:val="22"/>
        </w:rPr>
        <w:t>s</w:t>
      </w:r>
      <w:r w:rsidR="00DD4AAB" w:rsidRPr="00C97895">
        <w:rPr>
          <w:rFonts w:asciiTheme="minorHAnsi" w:hAnsiTheme="minorHAnsi" w:cstheme="minorHAnsi"/>
          <w:color w:val="211E1E"/>
          <w:sz w:val="22"/>
          <w:szCs w:val="22"/>
        </w:rPr>
        <w:t xml:space="preserve"> of ‘enduring’ austerity (Jessop, 2015)</w:t>
      </w:r>
      <w:r w:rsidR="00F62EAF">
        <w:rPr>
          <w:rFonts w:asciiTheme="minorHAnsi" w:hAnsiTheme="minorHAnsi" w:cstheme="minorHAnsi"/>
          <w:color w:val="211E1E"/>
          <w:sz w:val="22"/>
          <w:szCs w:val="22"/>
        </w:rPr>
        <w:t>, the ‘</w:t>
      </w:r>
      <w:proofErr w:type="spellStart"/>
      <w:r w:rsidR="00F62EAF">
        <w:rPr>
          <w:rFonts w:asciiTheme="minorHAnsi" w:hAnsiTheme="minorHAnsi" w:cstheme="minorHAnsi"/>
          <w:color w:val="211E1E"/>
          <w:sz w:val="22"/>
          <w:szCs w:val="22"/>
        </w:rPr>
        <w:t>embededness</w:t>
      </w:r>
      <w:proofErr w:type="spellEnd"/>
      <w:r w:rsidR="00F62EAF">
        <w:rPr>
          <w:rFonts w:asciiTheme="minorHAnsi" w:hAnsiTheme="minorHAnsi" w:cstheme="minorHAnsi"/>
          <w:color w:val="211E1E"/>
          <w:sz w:val="22"/>
          <w:szCs w:val="22"/>
        </w:rPr>
        <w:t>’ of cuts (Taylor-</w:t>
      </w:r>
      <w:proofErr w:type="spellStart"/>
      <w:r w:rsidR="00F62EAF">
        <w:rPr>
          <w:rFonts w:asciiTheme="minorHAnsi" w:hAnsiTheme="minorHAnsi" w:cstheme="minorHAnsi"/>
          <w:color w:val="211E1E"/>
          <w:sz w:val="22"/>
          <w:szCs w:val="22"/>
        </w:rPr>
        <w:t>Gooby</w:t>
      </w:r>
      <w:proofErr w:type="spellEnd"/>
      <w:r w:rsidR="00F62EAF">
        <w:rPr>
          <w:rFonts w:asciiTheme="minorHAnsi" w:hAnsiTheme="minorHAnsi" w:cstheme="minorHAnsi"/>
          <w:color w:val="211E1E"/>
          <w:sz w:val="22"/>
          <w:szCs w:val="22"/>
        </w:rPr>
        <w:t>, 2016)</w:t>
      </w:r>
      <w:r w:rsidR="00DD4AAB" w:rsidRPr="00C97895">
        <w:rPr>
          <w:rFonts w:asciiTheme="minorHAnsi" w:hAnsiTheme="minorHAnsi" w:cstheme="minorHAnsi"/>
          <w:color w:val="211E1E"/>
          <w:sz w:val="22"/>
          <w:szCs w:val="22"/>
        </w:rPr>
        <w:t xml:space="preserve"> and the ‘legacy’ of significant economic and socio-political transformation. </w:t>
      </w:r>
      <w:r w:rsidR="00F62EAF">
        <w:rPr>
          <w:rFonts w:asciiTheme="minorHAnsi" w:hAnsiTheme="minorHAnsi" w:cstheme="minorHAnsi"/>
          <w:color w:val="211E1E"/>
          <w:sz w:val="22"/>
          <w:szCs w:val="22"/>
        </w:rPr>
        <w:t>It is argued here that</w:t>
      </w:r>
      <w:r w:rsidR="009B7324">
        <w:rPr>
          <w:rFonts w:asciiTheme="minorHAnsi" w:hAnsiTheme="minorHAnsi" w:cstheme="minorHAnsi"/>
          <w:color w:val="211E1E"/>
          <w:sz w:val="22"/>
          <w:szCs w:val="22"/>
        </w:rPr>
        <w:t xml:space="preserve"> </w:t>
      </w:r>
      <w:r w:rsidR="000D2BA5" w:rsidRPr="00C97895">
        <w:rPr>
          <w:rFonts w:asciiTheme="minorHAnsi" w:hAnsiTheme="minorHAnsi" w:cstheme="minorHAnsi"/>
          <w:color w:val="211E1E"/>
          <w:sz w:val="22"/>
          <w:szCs w:val="22"/>
        </w:rPr>
        <w:t xml:space="preserve">even if </w:t>
      </w:r>
      <w:r w:rsidR="004F5916" w:rsidRPr="00C97895">
        <w:rPr>
          <w:rFonts w:asciiTheme="minorHAnsi" w:hAnsiTheme="minorHAnsi" w:cstheme="minorHAnsi"/>
          <w:color w:val="211E1E"/>
          <w:sz w:val="22"/>
          <w:szCs w:val="22"/>
        </w:rPr>
        <w:t xml:space="preserve">the </w:t>
      </w:r>
      <w:r w:rsidR="009B7324">
        <w:rPr>
          <w:rFonts w:asciiTheme="minorHAnsi" w:hAnsiTheme="minorHAnsi" w:cstheme="minorHAnsi"/>
          <w:color w:val="211E1E"/>
          <w:sz w:val="22"/>
          <w:szCs w:val="22"/>
        </w:rPr>
        <w:t xml:space="preserve">last </w:t>
      </w:r>
      <w:r w:rsidR="004F5916" w:rsidRPr="00C97895">
        <w:rPr>
          <w:rFonts w:asciiTheme="minorHAnsi" w:hAnsiTheme="minorHAnsi" w:cstheme="minorHAnsi"/>
          <w:color w:val="211E1E"/>
          <w:sz w:val="22"/>
          <w:szCs w:val="22"/>
        </w:rPr>
        <w:t>decade ha</w:t>
      </w:r>
      <w:r w:rsidR="000D2BA5" w:rsidRPr="00C97895">
        <w:rPr>
          <w:rFonts w:asciiTheme="minorHAnsi" w:hAnsiTheme="minorHAnsi" w:cstheme="minorHAnsi"/>
          <w:color w:val="211E1E"/>
          <w:sz w:val="22"/>
          <w:szCs w:val="22"/>
        </w:rPr>
        <w:t xml:space="preserve">s simply </w:t>
      </w:r>
      <w:r w:rsidR="004F5916" w:rsidRPr="00C97895">
        <w:rPr>
          <w:rFonts w:asciiTheme="minorHAnsi" w:hAnsiTheme="minorHAnsi" w:cstheme="minorHAnsi"/>
          <w:color w:val="211E1E"/>
          <w:sz w:val="22"/>
          <w:szCs w:val="22"/>
        </w:rPr>
        <w:t xml:space="preserve">been </w:t>
      </w:r>
      <w:r w:rsidR="000D2BA5" w:rsidRPr="00C97895">
        <w:rPr>
          <w:rFonts w:asciiTheme="minorHAnsi" w:hAnsiTheme="minorHAnsi" w:cstheme="minorHAnsi"/>
          <w:color w:val="211E1E"/>
          <w:sz w:val="22"/>
          <w:szCs w:val="22"/>
        </w:rPr>
        <w:t>a ‘turbo-charged</w:t>
      </w:r>
      <w:r w:rsidR="004F5916" w:rsidRPr="00C97895">
        <w:rPr>
          <w:rFonts w:asciiTheme="minorHAnsi" w:hAnsiTheme="minorHAnsi" w:cstheme="minorHAnsi"/>
          <w:color w:val="211E1E"/>
          <w:sz w:val="22"/>
          <w:szCs w:val="22"/>
        </w:rPr>
        <w:t>’ neoliberalism (</w:t>
      </w:r>
      <w:r w:rsidR="009B7324">
        <w:rPr>
          <w:rFonts w:asciiTheme="minorHAnsi" w:hAnsiTheme="minorHAnsi" w:cstheme="minorHAnsi"/>
          <w:color w:val="211E1E"/>
          <w:sz w:val="22"/>
          <w:szCs w:val="22"/>
        </w:rPr>
        <w:t xml:space="preserve">Farnsworth and Irving, 2018; see also </w:t>
      </w:r>
      <w:proofErr w:type="spellStart"/>
      <w:r w:rsidR="009B7324">
        <w:rPr>
          <w:rFonts w:asciiTheme="minorHAnsi" w:hAnsiTheme="minorHAnsi" w:cstheme="minorHAnsi"/>
          <w:color w:val="211E1E"/>
          <w:sz w:val="22"/>
          <w:szCs w:val="22"/>
        </w:rPr>
        <w:t>Farrall</w:t>
      </w:r>
      <w:proofErr w:type="spellEnd"/>
      <w:r w:rsidR="009B7324">
        <w:rPr>
          <w:rFonts w:asciiTheme="minorHAnsi" w:hAnsiTheme="minorHAnsi" w:cstheme="minorHAnsi"/>
          <w:color w:val="211E1E"/>
          <w:sz w:val="22"/>
          <w:szCs w:val="22"/>
        </w:rPr>
        <w:t xml:space="preserve"> and Hay, 2014</w:t>
      </w:r>
      <w:r w:rsidR="004F5916" w:rsidRPr="00C97895">
        <w:rPr>
          <w:rFonts w:asciiTheme="minorHAnsi" w:hAnsiTheme="minorHAnsi" w:cstheme="minorHAnsi"/>
          <w:color w:val="211E1E"/>
          <w:sz w:val="22"/>
          <w:szCs w:val="22"/>
        </w:rPr>
        <w:t>)</w:t>
      </w:r>
      <w:r w:rsidR="009B7324">
        <w:rPr>
          <w:rFonts w:asciiTheme="minorHAnsi" w:hAnsiTheme="minorHAnsi" w:cstheme="minorHAnsi"/>
          <w:color w:val="211E1E"/>
          <w:sz w:val="22"/>
          <w:szCs w:val="22"/>
        </w:rPr>
        <w:t>, austerity leaves its own</w:t>
      </w:r>
      <w:r w:rsidR="004F5916" w:rsidRPr="00C97895">
        <w:rPr>
          <w:rFonts w:asciiTheme="minorHAnsi" w:hAnsiTheme="minorHAnsi" w:cstheme="minorHAnsi"/>
          <w:color w:val="211E1E"/>
          <w:sz w:val="22"/>
          <w:szCs w:val="22"/>
        </w:rPr>
        <w:t xml:space="preserve"> </w:t>
      </w:r>
      <w:r w:rsidR="009B7324">
        <w:rPr>
          <w:rFonts w:asciiTheme="minorHAnsi" w:hAnsiTheme="minorHAnsi" w:cstheme="minorHAnsi"/>
          <w:color w:val="211E1E"/>
          <w:sz w:val="22"/>
          <w:szCs w:val="22"/>
        </w:rPr>
        <w:t xml:space="preserve">particular </w:t>
      </w:r>
      <w:r w:rsidR="004F5916" w:rsidRPr="00C97895">
        <w:rPr>
          <w:rFonts w:asciiTheme="minorHAnsi" w:hAnsiTheme="minorHAnsi" w:cstheme="minorHAnsi"/>
          <w:color w:val="211E1E"/>
          <w:sz w:val="22"/>
          <w:szCs w:val="22"/>
        </w:rPr>
        <w:t>legacy for the future conditions of welfare</w:t>
      </w:r>
      <w:r w:rsidR="009B7324">
        <w:rPr>
          <w:rFonts w:asciiTheme="minorHAnsi" w:hAnsiTheme="minorHAnsi" w:cstheme="minorHAnsi"/>
          <w:color w:val="211E1E"/>
          <w:sz w:val="22"/>
          <w:szCs w:val="22"/>
        </w:rPr>
        <w:t>.</w:t>
      </w:r>
      <w:r w:rsidR="00DD4AAB" w:rsidRPr="00C97895">
        <w:rPr>
          <w:rFonts w:asciiTheme="minorHAnsi" w:hAnsiTheme="minorHAnsi" w:cstheme="minorHAnsi"/>
          <w:color w:val="211E1E"/>
          <w:sz w:val="22"/>
          <w:szCs w:val="22"/>
        </w:rPr>
        <w:t xml:space="preserve"> </w:t>
      </w:r>
    </w:p>
    <w:p w14:paraId="1A7C4A16" w14:textId="77E5FF88" w:rsidR="00137D7F" w:rsidRDefault="00137D7F" w:rsidP="00137D7F">
      <w:pPr>
        <w:rPr>
          <w:rFonts w:asciiTheme="minorHAnsi" w:hAnsiTheme="minorHAnsi" w:cstheme="minorHAnsi"/>
          <w:bCs/>
          <w:color w:val="000000" w:themeColor="text1"/>
          <w:sz w:val="22"/>
          <w:szCs w:val="22"/>
        </w:rPr>
      </w:pPr>
      <w:r w:rsidRPr="00C97895">
        <w:rPr>
          <w:rFonts w:asciiTheme="minorHAnsi" w:hAnsiTheme="minorHAnsi" w:cstheme="minorHAnsi"/>
          <w:bCs/>
          <w:color w:val="000000" w:themeColor="text1"/>
          <w:sz w:val="22"/>
          <w:szCs w:val="22"/>
        </w:rPr>
        <w:t>Reflecting on the impact of the 2008 crisis, there have been more (</w:t>
      </w:r>
      <w:proofErr w:type="spellStart"/>
      <w:r w:rsidR="00D87796" w:rsidRPr="00C97895">
        <w:rPr>
          <w:rFonts w:asciiTheme="minorHAnsi" w:hAnsiTheme="minorHAnsi" w:cstheme="minorHAnsi"/>
          <w:bCs/>
          <w:color w:val="000000" w:themeColor="text1"/>
          <w:sz w:val="22"/>
          <w:szCs w:val="22"/>
        </w:rPr>
        <w:t>Streeck</w:t>
      </w:r>
      <w:proofErr w:type="spellEnd"/>
      <w:r w:rsidRPr="00C97895">
        <w:rPr>
          <w:rFonts w:asciiTheme="minorHAnsi" w:hAnsiTheme="minorHAnsi" w:cstheme="minorHAnsi"/>
          <w:bCs/>
          <w:color w:val="000000" w:themeColor="text1"/>
          <w:sz w:val="22"/>
          <w:szCs w:val="22"/>
        </w:rPr>
        <w:t xml:space="preserve">, </w:t>
      </w:r>
      <w:r w:rsidR="00D87796" w:rsidRPr="00C97895">
        <w:rPr>
          <w:rFonts w:asciiTheme="minorHAnsi" w:hAnsiTheme="minorHAnsi" w:cstheme="minorHAnsi"/>
          <w:bCs/>
          <w:color w:val="000000" w:themeColor="text1"/>
          <w:sz w:val="22"/>
          <w:szCs w:val="22"/>
        </w:rPr>
        <w:t>20</w:t>
      </w:r>
      <w:r w:rsidRPr="00C97895">
        <w:rPr>
          <w:rFonts w:asciiTheme="minorHAnsi" w:hAnsiTheme="minorHAnsi" w:cstheme="minorHAnsi"/>
          <w:bCs/>
          <w:color w:val="000000" w:themeColor="text1"/>
          <w:sz w:val="22"/>
          <w:szCs w:val="22"/>
        </w:rPr>
        <w:t>17</w:t>
      </w:r>
      <w:r w:rsidR="00D87796" w:rsidRPr="00C97895">
        <w:rPr>
          <w:rFonts w:asciiTheme="minorHAnsi" w:hAnsiTheme="minorHAnsi" w:cstheme="minorHAnsi"/>
          <w:bCs/>
          <w:color w:val="000000" w:themeColor="text1"/>
          <w:sz w:val="22"/>
          <w:szCs w:val="22"/>
        </w:rPr>
        <w:t xml:space="preserve">) </w:t>
      </w:r>
      <w:r w:rsidRPr="00C97895">
        <w:rPr>
          <w:rFonts w:asciiTheme="minorHAnsi" w:hAnsiTheme="minorHAnsi" w:cstheme="minorHAnsi"/>
          <w:bCs/>
          <w:color w:val="000000" w:themeColor="text1"/>
          <w:sz w:val="22"/>
          <w:szCs w:val="22"/>
        </w:rPr>
        <w:t>or less (</w:t>
      </w:r>
      <w:r w:rsidR="00D87796" w:rsidRPr="00C97895">
        <w:rPr>
          <w:rFonts w:asciiTheme="minorHAnsi" w:hAnsiTheme="minorHAnsi" w:cstheme="minorHAnsi"/>
          <w:bCs/>
          <w:color w:val="000000" w:themeColor="text1"/>
          <w:sz w:val="22"/>
          <w:szCs w:val="22"/>
        </w:rPr>
        <w:t>Gamble</w:t>
      </w:r>
      <w:r w:rsidRPr="00C97895">
        <w:rPr>
          <w:rFonts w:asciiTheme="minorHAnsi" w:hAnsiTheme="minorHAnsi" w:cstheme="minorHAnsi"/>
          <w:bCs/>
          <w:color w:val="000000" w:themeColor="text1"/>
          <w:sz w:val="22"/>
          <w:szCs w:val="22"/>
        </w:rPr>
        <w:t xml:space="preserve">, </w:t>
      </w:r>
      <w:r w:rsidR="00D87796" w:rsidRPr="00C97895">
        <w:rPr>
          <w:rFonts w:asciiTheme="minorHAnsi" w:hAnsiTheme="minorHAnsi" w:cstheme="minorHAnsi"/>
          <w:bCs/>
          <w:color w:val="000000" w:themeColor="text1"/>
          <w:sz w:val="22"/>
          <w:szCs w:val="22"/>
        </w:rPr>
        <w:t>20</w:t>
      </w:r>
      <w:r w:rsidR="004B4F3A" w:rsidRPr="00C97895">
        <w:rPr>
          <w:rFonts w:asciiTheme="minorHAnsi" w:hAnsiTheme="minorHAnsi" w:cstheme="minorHAnsi"/>
          <w:bCs/>
          <w:color w:val="000000" w:themeColor="text1"/>
          <w:sz w:val="22"/>
          <w:szCs w:val="22"/>
        </w:rPr>
        <w:t>16</w:t>
      </w:r>
      <w:r w:rsidR="00D87796" w:rsidRPr="00C97895">
        <w:rPr>
          <w:rFonts w:asciiTheme="minorHAnsi" w:hAnsiTheme="minorHAnsi" w:cstheme="minorHAnsi"/>
          <w:bCs/>
          <w:color w:val="000000" w:themeColor="text1"/>
          <w:sz w:val="22"/>
          <w:szCs w:val="22"/>
        </w:rPr>
        <w:t xml:space="preserve">) </w:t>
      </w:r>
      <w:r w:rsidRPr="00C97895">
        <w:rPr>
          <w:rFonts w:asciiTheme="minorHAnsi" w:hAnsiTheme="minorHAnsi" w:cstheme="minorHAnsi"/>
          <w:bCs/>
          <w:color w:val="000000" w:themeColor="text1"/>
          <w:sz w:val="22"/>
          <w:szCs w:val="22"/>
        </w:rPr>
        <w:t>pessimistic progno</w:t>
      </w:r>
      <w:r w:rsidR="00D87796" w:rsidRPr="00C97895">
        <w:rPr>
          <w:rFonts w:asciiTheme="minorHAnsi" w:hAnsiTheme="minorHAnsi" w:cstheme="minorHAnsi"/>
          <w:bCs/>
          <w:color w:val="000000" w:themeColor="text1"/>
          <w:sz w:val="22"/>
          <w:szCs w:val="22"/>
        </w:rPr>
        <w:t xml:space="preserve">ses </w:t>
      </w:r>
      <w:r w:rsidRPr="00C97895">
        <w:rPr>
          <w:rFonts w:asciiTheme="minorHAnsi" w:hAnsiTheme="minorHAnsi" w:cstheme="minorHAnsi"/>
          <w:bCs/>
          <w:color w:val="000000" w:themeColor="text1"/>
          <w:sz w:val="22"/>
          <w:szCs w:val="22"/>
        </w:rPr>
        <w:t>on</w:t>
      </w:r>
      <w:r w:rsidR="00D87796" w:rsidRPr="00C97895">
        <w:rPr>
          <w:rFonts w:asciiTheme="minorHAnsi" w:hAnsiTheme="minorHAnsi" w:cstheme="minorHAnsi"/>
          <w:bCs/>
          <w:color w:val="000000" w:themeColor="text1"/>
          <w:sz w:val="22"/>
          <w:szCs w:val="22"/>
        </w:rPr>
        <w:t xml:space="preserve"> the future political economy </w:t>
      </w:r>
      <w:r w:rsidRPr="00C97895">
        <w:rPr>
          <w:rFonts w:asciiTheme="minorHAnsi" w:hAnsiTheme="minorHAnsi" w:cstheme="minorHAnsi"/>
          <w:bCs/>
          <w:color w:val="000000" w:themeColor="text1"/>
          <w:sz w:val="22"/>
          <w:szCs w:val="22"/>
        </w:rPr>
        <w:t>(</w:t>
      </w:r>
      <w:r w:rsidR="00D87796" w:rsidRPr="00C97895">
        <w:rPr>
          <w:rFonts w:asciiTheme="minorHAnsi" w:hAnsiTheme="minorHAnsi" w:cstheme="minorHAnsi"/>
          <w:bCs/>
          <w:color w:val="000000" w:themeColor="text1"/>
          <w:sz w:val="22"/>
          <w:szCs w:val="22"/>
        </w:rPr>
        <w:t>of welfare</w:t>
      </w:r>
      <w:r w:rsidRPr="00C97895">
        <w:rPr>
          <w:rFonts w:asciiTheme="minorHAnsi" w:hAnsiTheme="minorHAnsi" w:cstheme="minorHAnsi"/>
          <w:bCs/>
          <w:color w:val="000000" w:themeColor="text1"/>
          <w:sz w:val="22"/>
          <w:szCs w:val="22"/>
        </w:rPr>
        <w:t>)</w:t>
      </w:r>
      <w:r w:rsidR="002F1B70" w:rsidRPr="00C97895">
        <w:rPr>
          <w:rFonts w:asciiTheme="minorHAnsi" w:hAnsiTheme="minorHAnsi" w:cstheme="minorHAnsi"/>
          <w:bCs/>
          <w:color w:val="000000" w:themeColor="text1"/>
          <w:sz w:val="22"/>
          <w:szCs w:val="22"/>
        </w:rPr>
        <w:t xml:space="preserve">. However, while these analyses </w:t>
      </w:r>
      <w:r w:rsidR="000C72B1" w:rsidRPr="00C97895">
        <w:rPr>
          <w:rFonts w:asciiTheme="minorHAnsi" w:hAnsiTheme="minorHAnsi" w:cstheme="minorHAnsi"/>
          <w:bCs/>
          <w:color w:val="000000" w:themeColor="text1"/>
          <w:sz w:val="22"/>
          <w:szCs w:val="22"/>
        </w:rPr>
        <w:t>assess</w:t>
      </w:r>
      <w:r w:rsidR="002F1B70" w:rsidRPr="00C97895">
        <w:rPr>
          <w:rFonts w:asciiTheme="minorHAnsi" w:hAnsiTheme="minorHAnsi" w:cstheme="minorHAnsi"/>
          <w:bCs/>
          <w:color w:val="000000" w:themeColor="text1"/>
          <w:sz w:val="22"/>
          <w:szCs w:val="22"/>
        </w:rPr>
        <w:t xml:space="preserve"> the increasingly untenable pact between capitalism and </w:t>
      </w:r>
      <w:proofErr w:type="gramStart"/>
      <w:r w:rsidR="002F1B70" w:rsidRPr="00C97895">
        <w:rPr>
          <w:rFonts w:asciiTheme="minorHAnsi" w:hAnsiTheme="minorHAnsi" w:cstheme="minorHAnsi"/>
          <w:bCs/>
          <w:color w:val="000000" w:themeColor="text1"/>
          <w:sz w:val="22"/>
          <w:szCs w:val="22"/>
        </w:rPr>
        <w:t>democracy</w:t>
      </w:r>
      <w:proofErr w:type="gramEnd"/>
      <w:r w:rsidRPr="00C97895">
        <w:rPr>
          <w:rFonts w:asciiTheme="minorHAnsi" w:hAnsiTheme="minorHAnsi" w:cstheme="minorHAnsi"/>
          <w:bCs/>
          <w:color w:val="000000" w:themeColor="text1"/>
          <w:sz w:val="22"/>
          <w:szCs w:val="22"/>
        </w:rPr>
        <w:t xml:space="preserve"> </w:t>
      </w:r>
      <w:r w:rsidR="008E4E30" w:rsidRPr="00C97895">
        <w:rPr>
          <w:rFonts w:asciiTheme="minorHAnsi" w:hAnsiTheme="minorHAnsi" w:cstheme="minorHAnsi"/>
          <w:bCs/>
          <w:color w:val="000000" w:themeColor="text1"/>
          <w:sz w:val="22"/>
          <w:szCs w:val="22"/>
        </w:rPr>
        <w:t>they</w:t>
      </w:r>
      <w:r w:rsidR="002F1B70" w:rsidRPr="00C97895">
        <w:rPr>
          <w:rFonts w:asciiTheme="minorHAnsi" w:hAnsiTheme="minorHAnsi" w:cstheme="minorHAnsi"/>
          <w:bCs/>
          <w:color w:val="000000" w:themeColor="text1"/>
          <w:sz w:val="22"/>
          <w:szCs w:val="22"/>
        </w:rPr>
        <w:t xml:space="preserve"> </w:t>
      </w:r>
      <w:r w:rsidR="008E4E30" w:rsidRPr="00C97895">
        <w:rPr>
          <w:rFonts w:asciiTheme="minorHAnsi" w:hAnsiTheme="minorHAnsi" w:cstheme="minorHAnsi"/>
          <w:bCs/>
          <w:color w:val="000000" w:themeColor="text1"/>
          <w:sz w:val="22"/>
          <w:szCs w:val="22"/>
        </w:rPr>
        <w:t xml:space="preserve">do </w:t>
      </w:r>
      <w:r w:rsidR="002F1B70" w:rsidRPr="00C97895">
        <w:rPr>
          <w:rFonts w:asciiTheme="minorHAnsi" w:hAnsiTheme="minorHAnsi" w:cstheme="minorHAnsi"/>
          <w:bCs/>
          <w:color w:val="000000" w:themeColor="text1"/>
          <w:sz w:val="22"/>
          <w:szCs w:val="22"/>
        </w:rPr>
        <w:t xml:space="preserve">not </w:t>
      </w:r>
      <w:r w:rsidR="000C72B1" w:rsidRPr="00C97895">
        <w:rPr>
          <w:rFonts w:asciiTheme="minorHAnsi" w:hAnsiTheme="minorHAnsi" w:cstheme="minorHAnsi"/>
          <w:bCs/>
          <w:color w:val="000000" w:themeColor="text1"/>
          <w:sz w:val="22"/>
          <w:szCs w:val="22"/>
        </w:rPr>
        <w:t xml:space="preserve">specifically </w:t>
      </w:r>
      <w:r w:rsidR="008E4E30" w:rsidRPr="00C97895">
        <w:rPr>
          <w:rFonts w:asciiTheme="minorHAnsi" w:hAnsiTheme="minorHAnsi" w:cstheme="minorHAnsi"/>
          <w:bCs/>
          <w:color w:val="000000" w:themeColor="text1"/>
          <w:sz w:val="22"/>
          <w:szCs w:val="22"/>
        </w:rPr>
        <w:t xml:space="preserve">examine </w:t>
      </w:r>
      <w:r w:rsidR="002F1B70" w:rsidRPr="00C97895">
        <w:rPr>
          <w:rFonts w:asciiTheme="minorHAnsi" w:hAnsiTheme="minorHAnsi" w:cstheme="minorHAnsi"/>
          <w:bCs/>
          <w:color w:val="000000" w:themeColor="text1"/>
          <w:sz w:val="22"/>
          <w:szCs w:val="22"/>
        </w:rPr>
        <w:t xml:space="preserve">the </w:t>
      </w:r>
      <w:r w:rsidR="008E4E30" w:rsidRPr="00C97895">
        <w:rPr>
          <w:rFonts w:asciiTheme="minorHAnsi" w:hAnsiTheme="minorHAnsi" w:cstheme="minorHAnsi"/>
          <w:bCs/>
          <w:color w:val="000000" w:themeColor="text1"/>
          <w:sz w:val="22"/>
          <w:szCs w:val="22"/>
        </w:rPr>
        <w:t xml:space="preserve">long-term effects </w:t>
      </w:r>
      <w:r w:rsidR="002F1B70" w:rsidRPr="00C97895">
        <w:rPr>
          <w:rFonts w:asciiTheme="minorHAnsi" w:hAnsiTheme="minorHAnsi" w:cstheme="minorHAnsi"/>
          <w:bCs/>
          <w:color w:val="000000" w:themeColor="text1"/>
          <w:sz w:val="22"/>
          <w:szCs w:val="22"/>
        </w:rPr>
        <w:t>of austerity on welfare</w:t>
      </w:r>
      <w:r w:rsidR="008E4E30" w:rsidRPr="00C97895">
        <w:rPr>
          <w:rFonts w:asciiTheme="minorHAnsi" w:hAnsiTheme="minorHAnsi" w:cstheme="minorHAnsi"/>
          <w:bCs/>
          <w:color w:val="000000" w:themeColor="text1"/>
          <w:sz w:val="22"/>
          <w:szCs w:val="22"/>
        </w:rPr>
        <w:t xml:space="preserve"> as a socio-political project. </w:t>
      </w:r>
      <w:r w:rsidR="000C72B1" w:rsidRPr="00C97895">
        <w:rPr>
          <w:rFonts w:asciiTheme="minorHAnsi" w:hAnsiTheme="minorHAnsi" w:cstheme="minorHAnsi"/>
          <w:bCs/>
          <w:color w:val="000000" w:themeColor="text1"/>
          <w:sz w:val="22"/>
          <w:szCs w:val="22"/>
        </w:rPr>
        <w:t xml:space="preserve">The </w:t>
      </w:r>
      <w:r w:rsidR="0041669E">
        <w:rPr>
          <w:rFonts w:asciiTheme="minorHAnsi" w:hAnsiTheme="minorHAnsi" w:cstheme="minorHAnsi"/>
          <w:bCs/>
          <w:color w:val="000000" w:themeColor="text1"/>
          <w:sz w:val="22"/>
          <w:szCs w:val="22"/>
        </w:rPr>
        <w:t>politics and</w:t>
      </w:r>
      <w:r w:rsidR="000C72B1" w:rsidRPr="00C97895">
        <w:rPr>
          <w:rFonts w:asciiTheme="minorHAnsi" w:hAnsiTheme="minorHAnsi" w:cstheme="minorHAnsi"/>
          <w:bCs/>
          <w:color w:val="000000" w:themeColor="text1"/>
          <w:sz w:val="22"/>
          <w:szCs w:val="22"/>
        </w:rPr>
        <w:t xml:space="preserve"> impact of austerity measures </w:t>
      </w:r>
      <w:r w:rsidR="002F12E8">
        <w:rPr>
          <w:rFonts w:asciiTheme="minorHAnsi" w:hAnsiTheme="minorHAnsi" w:cstheme="minorHAnsi"/>
          <w:bCs/>
          <w:color w:val="000000" w:themeColor="text1"/>
          <w:sz w:val="22"/>
          <w:szCs w:val="22"/>
        </w:rPr>
        <w:t>have been</w:t>
      </w:r>
      <w:r w:rsidR="000C72B1" w:rsidRPr="00C97895">
        <w:rPr>
          <w:rFonts w:asciiTheme="minorHAnsi" w:hAnsiTheme="minorHAnsi" w:cstheme="minorHAnsi"/>
          <w:bCs/>
          <w:color w:val="000000" w:themeColor="text1"/>
          <w:sz w:val="22"/>
          <w:szCs w:val="22"/>
        </w:rPr>
        <w:t xml:space="preserve"> subject to </w:t>
      </w:r>
      <w:r w:rsidR="002F12E8">
        <w:rPr>
          <w:rFonts w:asciiTheme="minorHAnsi" w:hAnsiTheme="minorHAnsi" w:cstheme="minorHAnsi"/>
          <w:bCs/>
          <w:color w:val="000000" w:themeColor="text1"/>
          <w:sz w:val="22"/>
          <w:szCs w:val="22"/>
        </w:rPr>
        <w:t xml:space="preserve">much </w:t>
      </w:r>
      <w:r w:rsidR="000C72B1" w:rsidRPr="00C97895">
        <w:rPr>
          <w:rFonts w:asciiTheme="minorHAnsi" w:hAnsiTheme="minorHAnsi" w:cstheme="minorHAnsi"/>
          <w:bCs/>
          <w:color w:val="000000" w:themeColor="text1"/>
          <w:sz w:val="22"/>
          <w:szCs w:val="22"/>
        </w:rPr>
        <w:t>critical scrutiny</w:t>
      </w:r>
      <w:r w:rsidR="002F12E8">
        <w:rPr>
          <w:rFonts w:asciiTheme="minorHAnsi" w:hAnsiTheme="minorHAnsi" w:cstheme="minorHAnsi"/>
          <w:bCs/>
          <w:color w:val="000000" w:themeColor="text1"/>
          <w:sz w:val="22"/>
          <w:szCs w:val="22"/>
        </w:rPr>
        <w:t xml:space="preserve"> (e.g. McBride and Evans, 2017)</w:t>
      </w:r>
      <w:r w:rsidR="000C72B1" w:rsidRPr="00C97895">
        <w:rPr>
          <w:rFonts w:asciiTheme="minorHAnsi" w:hAnsiTheme="minorHAnsi" w:cstheme="minorHAnsi"/>
          <w:bCs/>
          <w:color w:val="000000" w:themeColor="text1"/>
          <w:sz w:val="22"/>
          <w:szCs w:val="22"/>
        </w:rPr>
        <w:t xml:space="preserve">. At their most stark, research studies indicate that austerity results in death. </w:t>
      </w:r>
      <w:r w:rsidR="00DE12B9" w:rsidRPr="00C97895">
        <w:rPr>
          <w:rFonts w:asciiTheme="minorHAnsi" w:hAnsiTheme="minorHAnsi" w:cstheme="minorHAnsi"/>
          <w:bCs/>
          <w:color w:val="000000" w:themeColor="text1"/>
          <w:sz w:val="22"/>
          <w:szCs w:val="22"/>
        </w:rPr>
        <w:t xml:space="preserve">Following </w:t>
      </w:r>
      <w:proofErr w:type="spellStart"/>
      <w:r w:rsidR="00DE12B9" w:rsidRPr="00C97895">
        <w:rPr>
          <w:rFonts w:asciiTheme="minorHAnsi" w:hAnsiTheme="minorHAnsi" w:cstheme="minorHAnsi"/>
          <w:bCs/>
          <w:color w:val="000000" w:themeColor="text1"/>
          <w:sz w:val="22"/>
          <w:szCs w:val="22"/>
        </w:rPr>
        <w:t>Stuckler</w:t>
      </w:r>
      <w:proofErr w:type="spellEnd"/>
      <w:r w:rsidR="00DE12B9" w:rsidRPr="00C97895">
        <w:rPr>
          <w:rFonts w:asciiTheme="minorHAnsi" w:hAnsiTheme="minorHAnsi" w:cstheme="minorHAnsi"/>
          <w:bCs/>
          <w:color w:val="000000" w:themeColor="text1"/>
          <w:sz w:val="22"/>
          <w:szCs w:val="22"/>
        </w:rPr>
        <w:t xml:space="preserve"> and </w:t>
      </w:r>
      <w:proofErr w:type="spellStart"/>
      <w:r w:rsidR="00DE12B9" w:rsidRPr="00C97895">
        <w:rPr>
          <w:rFonts w:asciiTheme="minorHAnsi" w:hAnsiTheme="minorHAnsi" w:cstheme="minorHAnsi"/>
          <w:bCs/>
          <w:color w:val="000000" w:themeColor="text1"/>
          <w:sz w:val="22"/>
          <w:szCs w:val="22"/>
        </w:rPr>
        <w:t>Basu’s</w:t>
      </w:r>
      <w:proofErr w:type="spellEnd"/>
      <w:r w:rsidR="00DE12B9" w:rsidRPr="00C97895">
        <w:rPr>
          <w:rFonts w:asciiTheme="minorHAnsi" w:hAnsiTheme="minorHAnsi" w:cstheme="minorHAnsi"/>
          <w:bCs/>
          <w:color w:val="000000" w:themeColor="text1"/>
          <w:sz w:val="22"/>
          <w:szCs w:val="22"/>
        </w:rPr>
        <w:t xml:space="preserve"> (2013) early international analysis of post-crisis austerity-driven failures in public health, disease prevention and employment-related mental health trends, studies continue to indicate ‘excess deaths’ due to under-funding </w:t>
      </w:r>
      <w:r w:rsidR="00817AF8" w:rsidRPr="00C97895">
        <w:rPr>
          <w:rFonts w:asciiTheme="minorHAnsi" w:hAnsiTheme="minorHAnsi" w:cstheme="minorHAnsi"/>
          <w:bCs/>
          <w:color w:val="000000" w:themeColor="text1"/>
          <w:sz w:val="22"/>
          <w:szCs w:val="22"/>
        </w:rPr>
        <w:t xml:space="preserve">of health and social care in England </w:t>
      </w:r>
      <w:r w:rsidR="00DE12B9" w:rsidRPr="00C97895">
        <w:rPr>
          <w:rFonts w:asciiTheme="minorHAnsi" w:hAnsiTheme="minorHAnsi" w:cstheme="minorHAnsi"/>
          <w:bCs/>
          <w:color w:val="000000" w:themeColor="text1"/>
          <w:sz w:val="22"/>
          <w:szCs w:val="22"/>
        </w:rPr>
        <w:t>(</w:t>
      </w:r>
      <w:r w:rsidR="00817AF8" w:rsidRPr="00C97895">
        <w:rPr>
          <w:rFonts w:asciiTheme="minorHAnsi" w:hAnsiTheme="minorHAnsi" w:cstheme="minorHAnsi"/>
          <w:bCs/>
          <w:color w:val="000000" w:themeColor="text1"/>
          <w:sz w:val="22"/>
          <w:szCs w:val="22"/>
        </w:rPr>
        <w:t>Watkins et al, 2017</w:t>
      </w:r>
      <w:r w:rsidR="00DE12B9" w:rsidRPr="00C97895">
        <w:rPr>
          <w:rFonts w:asciiTheme="minorHAnsi" w:hAnsiTheme="minorHAnsi" w:cstheme="minorHAnsi"/>
          <w:bCs/>
          <w:color w:val="000000" w:themeColor="text1"/>
          <w:sz w:val="22"/>
          <w:szCs w:val="22"/>
        </w:rPr>
        <w:t xml:space="preserve">) and the </w:t>
      </w:r>
      <w:r w:rsidR="004B4F3A" w:rsidRPr="00C97895">
        <w:rPr>
          <w:rFonts w:asciiTheme="minorHAnsi" w:hAnsiTheme="minorHAnsi" w:cstheme="minorHAnsi"/>
          <w:bCs/>
          <w:color w:val="000000" w:themeColor="text1"/>
          <w:sz w:val="22"/>
          <w:szCs w:val="22"/>
        </w:rPr>
        <w:t xml:space="preserve">negative </w:t>
      </w:r>
      <w:r w:rsidR="00DE12B9" w:rsidRPr="00C97895">
        <w:rPr>
          <w:rFonts w:asciiTheme="minorHAnsi" w:hAnsiTheme="minorHAnsi" w:cstheme="minorHAnsi"/>
          <w:bCs/>
          <w:color w:val="000000" w:themeColor="text1"/>
          <w:sz w:val="22"/>
          <w:szCs w:val="22"/>
        </w:rPr>
        <w:t>global impact on health (</w:t>
      </w:r>
      <w:proofErr w:type="spellStart"/>
      <w:r w:rsidR="00DE12B9" w:rsidRPr="00C97895">
        <w:rPr>
          <w:rFonts w:asciiTheme="minorHAnsi" w:hAnsiTheme="minorHAnsi" w:cstheme="minorHAnsi"/>
          <w:bCs/>
          <w:color w:val="000000" w:themeColor="text1"/>
          <w:sz w:val="22"/>
          <w:szCs w:val="22"/>
        </w:rPr>
        <w:t>Basu</w:t>
      </w:r>
      <w:proofErr w:type="spellEnd"/>
      <w:r w:rsidR="00DE12B9" w:rsidRPr="00C97895">
        <w:rPr>
          <w:rFonts w:asciiTheme="minorHAnsi" w:hAnsiTheme="minorHAnsi" w:cstheme="minorHAnsi"/>
          <w:bCs/>
          <w:color w:val="000000" w:themeColor="text1"/>
          <w:sz w:val="22"/>
          <w:szCs w:val="22"/>
        </w:rPr>
        <w:t xml:space="preserve"> et al</w:t>
      </w:r>
      <w:r w:rsidR="00817AF8" w:rsidRPr="00C97895">
        <w:rPr>
          <w:rFonts w:asciiTheme="minorHAnsi" w:hAnsiTheme="minorHAnsi" w:cstheme="minorHAnsi"/>
          <w:bCs/>
          <w:color w:val="000000" w:themeColor="text1"/>
          <w:sz w:val="22"/>
          <w:szCs w:val="22"/>
        </w:rPr>
        <w:t>,</w:t>
      </w:r>
      <w:r w:rsidR="00DE12B9" w:rsidRPr="00C97895">
        <w:rPr>
          <w:rFonts w:asciiTheme="minorHAnsi" w:hAnsiTheme="minorHAnsi" w:cstheme="minorHAnsi"/>
          <w:bCs/>
          <w:color w:val="000000" w:themeColor="text1"/>
          <w:sz w:val="22"/>
          <w:szCs w:val="22"/>
        </w:rPr>
        <w:t xml:space="preserve"> 2017)</w:t>
      </w:r>
      <w:r w:rsidR="00817AF8" w:rsidRPr="00C97895">
        <w:rPr>
          <w:rFonts w:asciiTheme="minorHAnsi" w:hAnsiTheme="minorHAnsi" w:cstheme="minorHAnsi"/>
          <w:bCs/>
          <w:color w:val="000000" w:themeColor="text1"/>
          <w:sz w:val="22"/>
          <w:szCs w:val="22"/>
        </w:rPr>
        <w:t xml:space="preserve">. Health services are not the only area of welfare provision to experience cuts and there is ample evidence that in countries where austerity measures have been most widespread and sustained, the quality and outcomes of </w:t>
      </w:r>
      <w:r w:rsidR="00740EAC" w:rsidRPr="00C97895">
        <w:rPr>
          <w:rFonts w:asciiTheme="minorHAnsi" w:hAnsiTheme="minorHAnsi" w:cstheme="minorHAnsi"/>
          <w:bCs/>
          <w:color w:val="000000" w:themeColor="text1"/>
          <w:sz w:val="22"/>
          <w:szCs w:val="22"/>
        </w:rPr>
        <w:t xml:space="preserve">public services have deteriorated. The evidence is most revealing in those services which are not only the most </w:t>
      </w:r>
      <w:proofErr w:type="spellStart"/>
      <w:r w:rsidR="00740EAC" w:rsidRPr="00C97895">
        <w:rPr>
          <w:rFonts w:asciiTheme="minorHAnsi" w:hAnsiTheme="minorHAnsi" w:cstheme="minorHAnsi"/>
          <w:bCs/>
          <w:color w:val="000000" w:themeColor="text1"/>
          <w:sz w:val="22"/>
          <w:szCs w:val="22"/>
        </w:rPr>
        <w:t>residualised</w:t>
      </w:r>
      <w:proofErr w:type="spellEnd"/>
      <w:r w:rsidR="00740EAC" w:rsidRPr="00C97895">
        <w:rPr>
          <w:rFonts w:asciiTheme="minorHAnsi" w:hAnsiTheme="minorHAnsi" w:cstheme="minorHAnsi"/>
          <w:bCs/>
          <w:color w:val="000000" w:themeColor="text1"/>
          <w:sz w:val="22"/>
          <w:szCs w:val="22"/>
        </w:rPr>
        <w:t xml:space="preserve"> but are delivered to people with the least political voice, and in spending terms ‘discretionary’. With a focus on England,</w:t>
      </w:r>
      <w:r w:rsidR="004E3E6D">
        <w:rPr>
          <w:rFonts w:asciiTheme="minorHAnsi" w:hAnsiTheme="minorHAnsi" w:cstheme="minorHAnsi"/>
          <w:bCs/>
          <w:color w:val="000000" w:themeColor="text1"/>
          <w:sz w:val="22"/>
          <w:szCs w:val="22"/>
        </w:rPr>
        <w:t xml:space="preserve"> an austere exemplar,</w:t>
      </w:r>
      <w:r w:rsidR="00740EAC" w:rsidRPr="00C97895">
        <w:rPr>
          <w:rFonts w:asciiTheme="minorHAnsi" w:hAnsiTheme="minorHAnsi" w:cstheme="minorHAnsi"/>
          <w:bCs/>
          <w:color w:val="000000" w:themeColor="text1"/>
          <w:sz w:val="22"/>
          <w:szCs w:val="22"/>
        </w:rPr>
        <w:t xml:space="preserve"> all indicators for homelessness, the treatment of children in the care system, service provision in the areas of mental health, addiction, learning disability, </w:t>
      </w:r>
      <w:r w:rsidR="00B92B7A" w:rsidRPr="00C97895">
        <w:rPr>
          <w:rFonts w:asciiTheme="minorHAnsi" w:hAnsiTheme="minorHAnsi" w:cstheme="minorHAnsi"/>
          <w:bCs/>
          <w:color w:val="000000" w:themeColor="text1"/>
          <w:sz w:val="22"/>
          <w:szCs w:val="22"/>
        </w:rPr>
        <w:t>domestic violence, youth justice, and community services more widely point to rapid declines in resourcing and consequent unmet needs (</w:t>
      </w:r>
      <w:r w:rsidR="00DC79BC" w:rsidRPr="00C97895">
        <w:rPr>
          <w:rFonts w:asciiTheme="minorHAnsi" w:hAnsiTheme="minorHAnsi" w:cstheme="minorHAnsi"/>
          <w:bCs/>
          <w:color w:val="000000" w:themeColor="text1"/>
          <w:sz w:val="22"/>
          <w:szCs w:val="22"/>
        </w:rPr>
        <w:t xml:space="preserve">Marmot </w:t>
      </w:r>
      <w:r w:rsidR="00092EA6">
        <w:rPr>
          <w:rFonts w:asciiTheme="minorHAnsi" w:hAnsiTheme="minorHAnsi" w:cstheme="minorHAnsi"/>
          <w:bCs/>
          <w:color w:val="000000" w:themeColor="text1"/>
          <w:sz w:val="22"/>
          <w:szCs w:val="22"/>
        </w:rPr>
        <w:t>et al,</w:t>
      </w:r>
      <w:r w:rsidR="00DC79BC" w:rsidRPr="00C97895">
        <w:rPr>
          <w:rFonts w:asciiTheme="minorHAnsi" w:hAnsiTheme="minorHAnsi" w:cstheme="minorHAnsi"/>
          <w:bCs/>
          <w:color w:val="000000" w:themeColor="text1"/>
          <w:sz w:val="22"/>
          <w:szCs w:val="22"/>
        </w:rPr>
        <w:t xml:space="preserve"> 2020</w:t>
      </w:r>
      <w:r w:rsidR="00B92B7A" w:rsidRPr="00C97895">
        <w:rPr>
          <w:rFonts w:asciiTheme="minorHAnsi" w:hAnsiTheme="minorHAnsi" w:cstheme="minorHAnsi"/>
          <w:bCs/>
          <w:color w:val="000000" w:themeColor="text1"/>
          <w:sz w:val="22"/>
          <w:szCs w:val="22"/>
        </w:rPr>
        <w:t>).</w:t>
      </w:r>
    </w:p>
    <w:p w14:paraId="544B5CF7" w14:textId="6A3A5DDF" w:rsidR="003D66FC" w:rsidRPr="00C97895" w:rsidRDefault="003D66FC" w:rsidP="00137D7F">
      <w:pPr>
        <w:rPr>
          <w:rFonts w:asciiTheme="minorHAnsi" w:hAnsiTheme="minorHAnsi" w:cstheme="minorHAnsi"/>
          <w:bCs/>
          <w:color w:val="000000" w:themeColor="text1"/>
          <w:sz w:val="22"/>
          <w:szCs w:val="22"/>
        </w:rPr>
      </w:pPr>
    </w:p>
    <w:p w14:paraId="76B3FD28" w14:textId="3A50315B" w:rsidR="00F62EAF" w:rsidRPr="00F62EAF" w:rsidRDefault="003D66FC" w:rsidP="00F62EAF">
      <w:pPr>
        <w:rPr>
          <w:rFonts w:asciiTheme="minorHAnsi" w:hAnsiTheme="minorHAnsi" w:cstheme="minorHAnsi"/>
          <w:bCs/>
          <w:color w:val="000000" w:themeColor="text1"/>
          <w:sz w:val="22"/>
          <w:szCs w:val="22"/>
        </w:rPr>
      </w:pPr>
      <w:r w:rsidRPr="00C97895">
        <w:rPr>
          <w:rFonts w:asciiTheme="minorHAnsi" w:hAnsiTheme="minorHAnsi" w:cstheme="minorHAnsi"/>
          <w:bCs/>
          <w:color w:val="000000" w:themeColor="text1"/>
          <w:sz w:val="22"/>
          <w:szCs w:val="22"/>
        </w:rPr>
        <w:t xml:space="preserve">If a declared end to austerity </w:t>
      </w:r>
      <w:r w:rsidR="009B7324">
        <w:rPr>
          <w:rFonts w:asciiTheme="minorHAnsi" w:hAnsiTheme="minorHAnsi" w:cstheme="minorHAnsi"/>
          <w:bCs/>
          <w:color w:val="000000" w:themeColor="text1"/>
          <w:sz w:val="22"/>
          <w:szCs w:val="22"/>
        </w:rPr>
        <w:t xml:space="preserve">were true it </w:t>
      </w:r>
      <w:r w:rsidRPr="00C97895">
        <w:rPr>
          <w:rFonts w:asciiTheme="minorHAnsi" w:hAnsiTheme="minorHAnsi" w:cstheme="minorHAnsi"/>
          <w:bCs/>
          <w:color w:val="000000" w:themeColor="text1"/>
          <w:sz w:val="22"/>
          <w:szCs w:val="22"/>
        </w:rPr>
        <w:t>would leave governments in countries such as Greece</w:t>
      </w:r>
      <w:r w:rsidR="00BD6949" w:rsidRPr="00C97895">
        <w:rPr>
          <w:rFonts w:asciiTheme="minorHAnsi" w:hAnsiTheme="minorHAnsi" w:cstheme="minorHAnsi"/>
          <w:bCs/>
          <w:color w:val="000000" w:themeColor="text1"/>
          <w:sz w:val="22"/>
          <w:szCs w:val="22"/>
        </w:rPr>
        <w:t xml:space="preserve">, Italy, Ireland, </w:t>
      </w:r>
      <w:r w:rsidRPr="00C97895">
        <w:rPr>
          <w:rFonts w:asciiTheme="minorHAnsi" w:hAnsiTheme="minorHAnsi" w:cstheme="minorHAnsi"/>
          <w:bCs/>
          <w:color w:val="000000" w:themeColor="text1"/>
          <w:sz w:val="22"/>
          <w:szCs w:val="22"/>
        </w:rPr>
        <w:t xml:space="preserve">Spain </w:t>
      </w:r>
      <w:r w:rsidR="00BD6949" w:rsidRPr="00C97895">
        <w:rPr>
          <w:rFonts w:asciiTheme="minorHAnsi" w:hAnsiTheme="minorHAnsi" w:cstheme="minorHAnsi"/>
          <w:bCs/>
          <w:color w:val="000000" w:themeColor="text1"/>
          <w:sz w:val="22"/>
          <w:szCs w:val="22"/>
        </w:rPr>
        <w:t xml:space="preserve">and the UK </w:t>
      </w:r>
      <w:r w:rsidRPr="00C97895">
        <w:rPr>
          <w:rFonts w:asciiTheme="minorHAnsi" w:hAnsiTheme="minorHAnsi" w:cstheme="minorHAnsi"/>
          <w:bCs/>
          <w:color w:val="000000" w:themeColor="text1"/>
          <w:sz w:val="22"/>
          <w:szCs w:val="22"/>
        </w:rPr>
        <w:t xml:space="preserve">with much to be done in repairing the social and economic damage of a decade of cuts to public spending. </w:t>
      </w:r>
      <w:r w:rsidRPr="00F62EAF">
        <w:rPr>
          <w:rFonts w:asciiTheme="minorHAnsi" w:hAnsiTheme="minorHAnsi" w:cstheme="minorHAnsi"/>
          <w:bCs/>
          <w:color w:val="000000" w:themeColor="text1"/>
          <w:sz w:val="22"/>
          <w:szCs w:val="22"/>
        </w:rPr>
        <w:t xml:space="preserve">Social and economic </w:t>
      </w:r>
      <w:r w:rsidR="00811341" w:rsidRPr="00F62EAF">
        <w:rPr>
          <w:rFonts w:asciiTheme="minorHAnsi" w:hAnsiTheme="minorHAnsi" w:cstheme="minorHAnsi"/>
          <w:bCs/>
          <w:color w:val="000000" w:themeColor="text1"/>
          <w:sz w:val="22"/>
          <w:szCs w:val="22"/>
        </w:rPr>
        <w:t>compe</w:t>
      </w:r>
      <w:r w:rsidR="00811341" w:rsidRPr="00C97895">
        <w:rPr>
          <w:rFonts w:asciiTheme="minorHAnsi" w:hAnsiTheme="minorHAnsi" w:cstheme="minorHAnsi"/>
          <w:bCs/>
          <w:color w:val="000000" w:themeColor="text1"/>
          <w:sz w:val="22"/>
          <w:szCs w:val="22"/>
        </w:rPr>
        <w:t xml:space="preserve">nsation </w:t>
      </w:r>
      <w:r w:rsidRPr="00C97895">
        <w:rPr>
          <w:rFonts w:asciiTheme="minorHAnsi" w:hAnsiTheme="minorHAnsi" w:cstheme="minorHAnsi"/>
          <w:bCs/>
          <w:color w:val="000000" w:themeColor="text1"/>
          <w:sz w:val="22"/>
          <w:szCs w:val="22"/>
        </w:rPr>
        <w:t xml:space="preserve">through increased </w:t>
      </w:r>
      <w:proofErr w:type="gramStart"/>
      <w:r w:rsidRPr="00C97895">
        <w:rPr>
          <w:rFonts w:asciiTheme="minorHAnsi" w:hAnsiTheme="minorHAnsi" w:cstheme="minorHAnsi"/>
          <w:bCs/>
          <w:color w:val="000000" w:themeColor="text1"/>
          <w:sz w:val="22"/>
          <w:szCs w:val="22"/>
        </w:rPr>
        <w:t>spending</w:t>
      </w:r>
      <w:proofErr w:type="gramEnd"/>
      <w:r w:rsidRPr="00C97895">
        <w:rPr>
          <w:rFonts w:asciiTheme="minorHAnsi" w:hAnsiTheme="minorHAnsi" w:cstheme="minorHAnsi"/>
          <w:bCs/>
          <w:color w:val="000000" w:themeColor="text1"/>
          <w:sz w:val="22"/>
          <w:szCs w:val="22"/>
        </w:rPr>
        <w:t xml:space="preserve"> however, is not a simple antidote to the decade of austerity, even were the spending to exceed the levels of the pre-crisis period</w:t>
      </w:r>
      <w:r w:rsidR="00F12ED2">
        <w:rPr>
          <w:rFonts w:asciiTheme="minorHAnsi" w:hAnsiTheme="minorHAnsi" w:cstheme="minorHAnsi"/>
          <w:bCs/>
          <w:color w:val="000000" w:themeColor="text1"/>
          <w:sz w:val="22"/>
          <w:szCs w:val="22"/>
        </w:rPr>
        <w:t xml:space="preserve">. </w:t>
      </w:r>
      <w:r w:rsidRPr="00C97895">
        <w:rPr>
          <w:rFonts w:asciiTheme="minorHAnsi" w:hAnsiTheme="minorHAnsi" w:cstheme="minorHAnsi"/>
          <w:bCs/>
          <w:color w:val="000000" w:themeColor="text1"/>
          <w:sz w:val="22"/>
          <w:szCs w:val="22"/>
        </w:rPr>
        <w:t>It is argued here that this is because the legacy of austerity extends far beyond public spending budgets</w:t>
      </w:r>
      <w:r w:rsidR="00BD6949" w:rsidRPr="00C97895">
        <w:rPr>
          <w:rFonts w:asciiTheme="minorHAnsi" w:hAnsiTheme="minorHAnsi" w:cstheme="minorHAnsi"/>
          <w:bCs/>
          <w:color w:val="000000" w:themeColor="text1"/>
          <w:sz w:val="22"/>
          <w:szCs w:val="22"/>
        </w:rPr>
        <w:t>,</w:t>
      </w:r>
      <w:r w:rsidRPr="00C97895">
        <w:rPr>
          <w:rFonts w:asciiTheme="minorHAnsi" w:hAnsiTheme="minorHAnsi" w:cstheme="minorHAnsi"/>
          <w:bCs/>
          <w:color w:val="000000" w:themeColor="text1"/>
          <w:sz w:val="22"/>
          <w:szCs w:val="22"/>
        </w:rPr>
        <w:t xml:space="preserve"> and </w:t>
      </w:r>
      <w:r w:rsidR="00BD6949" w:rsidRPr="00C97895">
        <w:rPr>
          <w:rFonts w:asciiTheme="minorHAnsi" w:hAnsiTheme="minorHAnsi" w:cstheme="minorHAnsi"/>
          <w:bCs/>
          <w:color w:val="000000" w:themeColor="text1"/>
          <w:sz w:val="22"/>
          <w:szCs w:val="22"/>
        </w:rPr>
        <w:t xml:space="preserve">that </w:t>
      </w:r>
      <w:r w:rsidR="00811341" w:rsidRPr="00C97895">
        <w:rPr>
          <w:rFonts w:asciiTheme="minorHAnsi" w:hAnsiTheme="minorHAnsi" w:cstheme="minorHAnsi"/>
          <w:bCs/>
          <w:color w:val="000000" w:themeColor="text1"/>
          <w:sz w:val="22"/>
          <w:szCs w:val="22"/>
        </w:rPr>
        <w:t>reparation measures are themselves impeded by its vestiges.</w:t>
      </w:r>
      <w:r w:rsidR="00F62EAF">
        <w:rPr>
          <w:rFonts w:asciiTheme="minorHAnsi" w:hAnsiTheme="minorHAnsi" w:cstheme="minorHAnsi"/>
          <w:bCs/>
          <w:color w:val="000000" w:themeColor="text1"/>
          <w:sz w:val="22"/>
          <w:szCs w:val="22"/>
        </w:rPr>
        <w:t xml:space="preserve"> </w:t>
      </w:r>
      <w:r w:rsidR="00F62EAF" w:rsidRPr="00F62EAF">
        <w:rPr>
          <w:rFonts w:asciiTheme="minorHAnsi" w:hAnsiTheme="minorHAnsi" w:cstheme="minorHAnsi"/>
          <w:color w:val="211E1E"/>
          <w:sz w:val="22"/>
          <w:szCs w:val="22"/>
        </w:rPr>
        <w:t>The following section will summarise the framework of ‘Thatcher’s enduring legacy’ as discussed by Wilding (1992). This is followed by presentation of a revised analytical framework through which the legacy of austerity is assessed.</w:t>
      </w:r>
      <w:r w:rsidR="00F62EAF">
        <w:rPr>
          <w:rFonts w:asciiTheme="minorHAnsi" w:hAnsiTheme="minorHAnsi" w:cstheme="minorHAnsi"/>
          <w:color w:val="211E1E"/>
          <w:sz w:val="22"/>
          <w:szCs w:val="22"/>
        </w:rPr>
        <w:t xml:space="preserve"> </w:t>
      </w:r>
    </w:p>
    <w:p w14:paraId="49E05397" w14:textId="77777777" w:rsidR="00B75974" w:rsidRDefault="00B75974" w:rsidP="00137D7F">
      <w:pPr>
        <w:rPr>
          <w:rFonts w:asciiTheme="minorHAnsi" w:hAnsiTheme="minorHAnsi" w:cstheme="minorHAnsi"/>
          <w:bCs/>
          <w:color w:val="000000" w:themeColor="text1"/>
          <w:sz w:val="22"/>
          <w:szCs w:val="22"/>
        </w:rPr>
      </w:pPr>
    </w:p>
    <w:p w14:paraId="3399DFE6" w14:textId="1B64A266" w:rsidR="00B75974" w:rsidRPr="00B75974" w:rsidRDefault="00B75974" w:rsidP="00137D7F">
      <w:pPr>
        <w:rPr>
          <w:rFonts w:asciiTheme="minorHAnsi" w:hAnsiTheme="minorHAnsi" w:cstheme="minorHAnsi"/>
          <w:b/>
          <w:color w:val="000000" w:themeColor="text1"/>
          <w:sz w:val="22"/>
          <w:szCs w:val="22"/>
        </w:rPr>
      </w:pPr>
      <w:r w:rsidRPr="00B75974">
        <w:rPr>
          <w:rFonts w:asciiTheme="minorHAnsi" w:hAnsiTheme="minorHAnsi" w:cstheme="minorHAnsi"/>
          <w:b/>
          <w:color w:val="000000" w:themeColor="text1"/>
          <w:sz w:val="22"/>
          <w:szCs w:val="22"/>
        </w:rPr>
        <w:t>Thatcher’s enduring legacy revisited</w:t>
      </w:r>
    </w:p>
    <w:p w14:paraId="17F78FE5" w14:textId="003D592D" w:rsidR="00B01AA5" w:rsidRPr="00C97895" w:rsidRDefault="00811341" w:rsidP="00B01AA5">
      <w:pPr>
        <w:pStyle w:val="NormalWeb"/>
        <w:rPr>
          <w:rFonts w:asciiTheme="minorHAnsi" w:eastAsia="Times New Roman" w:hAnsiTheme="minorHAnsi" w:cstheme="minorHAnsi"/>
          <w:sz w:val="22"/>
          <w:szCs w:val="22"/>
          <w:lang w:eastAsia="en-GB"/>
        </w:rPr>
      </w:pPr>
      <w:r w:rsidRPr="00C97895">
        <w:rPr>
          <w:rFonts w:asciiTheme="minorHAnsi" w:hAnsiTheme="minorHAnsi" w:cstheme="minorHAnsi"/>
          <w:bCs/>
          <w:color w:val="000000" w:themeColor="text1"/>
          <w:sz w:val="22"/>
          <w:szCs w:val="22"/>
        </w:rPr>
        <w:t xml:space="preserve">In 1992, Paul Wilding published ‘an exercise in analysis and prophecy’ (Wilding, 1992: 201) which laid out ten legacies that together represented ‘Thatcherism’s enduring legacy’ for the British welfare state. In this article he identified (in no specific order) a range of ideas, challenges, reforms, processes, effects and outcomes that had emerged incrementally during Thatcher’s 11 years </w:t>
      </w:r>
      <w:r w:rsidR="0021195E" w:rsidRPr="00C97895">
        <w:rPr>
          <w:rFonts w:asciiTheme="minorHAnsi" w:hAnsiTheme="minorHAnsi" w:cstheme="minorHAnsi"/>
          <w:bCs/>
          <w:color w:val="000000" w:themeColor="text1"/>
          <w:sz w:val="22"/>
          <w:szCs w:val="22"/>
        </w:rPr>
        <w:t xml:space="preserve">as Prime Minister from 1979-90 which he </w:t>
      </w:r>
      <w:r w:rsidR="004B4F3A" w:rsidRPr="00C97895">
        <w:rPr>
          <w:rFonts w:asciiTheme="minorHAnsi" w:hAnsiTheme="minorHAnsi" w:cstheme="minorHAnsi"/>
          <w:bCs/>
          <w:color w:val="000000" w:themeColor="text1"/>
          <w:sz w:val="22"/>
          <w:szCs w:val="22"/>
        </w:rPr>
        <w:t>detail</w:t>
      </w:r>
      <w:r w:rsidR="0021195E" w:rsidRPr="00C97895">
        <w:rPr>
          <w:rFonts w:asciiTheme="minorHAnsi" w:hAnsiTheme="minorHAnsi" w:cstheme="minorHAnsi"/>
          <w:bCs/>
          <w:color w:val="000000" w:themeColor="text1"/>
          <w:sz w:val="22"/>
          <w:szCs w:val="22"/>
        </w:rPr>
        <w:t xml:space="preserve">ed as constituting the most significant, or enduring changes to the welfare state. In 2020, with nearly three decades of hindsight it is clear that Wilding’s analysis was </w:t>
      </w:r>
      <w:r w:rsidR="004B4F3A" w:rsidRPr="00C97895">
        <w:rPr>
          <w:rFonts w:asciiTheme="minorHAnsi" w:hAnsiTheme="minorHAnsi" w:cstheme="minorHAnsi"/>
          <w:bCs/>
          <w:color w:val="000000" w:themeColor="text1"/>
          <w:sz w:val="22"/>
          <w:szCs w:val="22"/>
        </w:rPr>
        <w:t xml:space="preserve">indeed a </w:t>
      </w:r>
      <w:r w:rsidR="0021195E" w:rsidRPr="00C97895">
        <w:rPr>
          <w:rFonts w:asciiTheme="minorHAnsi" w:hAnsiTheme="minorHAnsi" w:cstheme="minorHAnsi"/>
          <w:bCs/>
          <w:color w:val="000000" w:themeColor="text1"/>
          <w:sz w:val="22"/>
          <w:szCs w:val="22"/>
        </w:rPr>
        <w:t>prescient</w:t>
      </w:r>
      <w:r w:rsidR="004B4F3A" w:rsidRPr="00C97895">
        <w:rPr>
          <w:rFonts w:asciiTheme="minorHAnsi" w:hAnsiTheme="minorHAnsi" w:cstheme="minorHAnsi"/>
          <w:bCs/>
          <w:color w:val="000000" w:themeColor="text1"/>
          <w:sz w:val="22"/>
          <w:szCs w:val="22"/>
        </w:rPr>
        <w:t xml:space="preserve"> assessment of the </w:t>
      </w:r>
      <w:r w:rsidR="00DF60F0">
        <w:rPr>
          <w:rFonts w:asciiTheme="minorHAnsi" w:hAnsiTheme="minorHAnsi" w:cstheme="minorHAnsi"/>
          <w:bCs/>
          <w:color w:val="000000" w:themeColor="text1"/>
          <w:sz w:val="22"/>
          <w:szCs w:val="22"/>
        </w:rPr>
        <w:t xml:space="preserve">future </w:t>
      </w:r>
      <w:r w:rsidR="004B4F3A" w:rsidRPr="00C97895">
        <w:rPr>
          <w:rFonts w:asciiTheme="minorHAnsi" w:hAnsiTheme="minorHAnsi" w:cstheme="minorHAnsi"/>
          <w:bCs/>
          <w:color w:val="000000" w:themeColor="text1"/>
          <w:sz w:val="22"/>
          <w:szCs w:val="22"/>
        </w:rPr>
        <w:t>conditions of the welfare state</w:t>
      </w:r>
      <w:r w:rsidR="0021195E" w:rsidRPr="00C97895">
        <w:rPr>
          <w:rFonts w:asciiTheme="minorHAnsi" w:hAnsiTheme="minorHAnsi" w:cstheme="minorHAnsi"/>
          <w:bCs/>
          <w:color w:val="000000" w:themeColor="text1"/>
          <w:sz w:val="22"/>
          <w:szCs w:val="22"/>
        </w:rPr>
        <w:t xml:space="preserve">. The significance he attached to welfare pluralism, specifically the </w:t>
      </w:r>
      <w:r w:rsidR="00C52B0F" w:rsidRPr="00C97895">
        <w:rPr>
          <w:rFonts w:asciiTheme="minorHAnsi" w:hAnsiTheme="minorHAnsi" w:cstheme="minorHAnsi"/>
          <w:bCs/>
          <w:color w:val="000000" w:themeColor="text1"/>
          <w:sz w:val="22"/>
          <w:szCs w:val="22"/>
        </w:rPr>
        <w:t xml:space="preserve">decline of collectivist policy solutions and </w:t>
      </w:r>
      <w:r w:rsidR="00B0616C" w:rsidRPr="00C97895">
        <w:rPr>
          <w:rFonts w:asciiTheme="minorHAnsi" w:hAnsiTheme="minorHAnsi" w:cstheme="minorHAnsi"/>
          <w:bCs/>
          <w:color w:val="000000" w:themeColor="text1"/>
          <w:sz w:val="22"/>
          <w:szCs w:val="22"/>
        </w:rPr>
        <w:t xml:space="preserve">enduring </w:t>
      </w:r>
      <w:r w:rsidR="0021195E" w:rsidRPr="00C97895">
        <w:rPr>
          <w:rFonts w:asciiTheme="minorHAnsi" w:hAnsiTheme="minorHAnsi" w:cstheme="minorHAnsi"/>
          <w:bCs/>
          <w:color w:val="000000" w:themeColor="text1"/>
          <w:sz w:val="22"/>
          <w:szCs w:val="22"/>
        </w:rPr>
        <w:t xml:space="preserve">shift to privatisation, </w:t>
      </w:r>
      <w:r w:rsidR="00B0616C" w:rsidRPr="00C97895">
        <w:rPr>
          <w:rFonts w:asciiTheme="minorHAnsi" w:hAnsiTheme="minorHAnsi" w:cstheme="minorHAnsi"/>
          <w:bCs/>
          <w:color w:val="000000" w:themeColor="text1"/>
          <w:sz w:val="22"/>
          <w:szCs w:val="22"/>
        </w:rPr>
        <w:t xml:space="preserve">marketisation and individualisation </w:t>
      </w:r>
      <w:r w:rsidR="004B4F3A" w:rsidRPr="00C97895">
        <w:rPr>
          <w:rFonts w:asciiTheme="minorHAnsi" w:hAnsiTheme="minorHAnsi" w:cstheme="minorHAnsi"/>
          <w:bCs/>
          <w:color w:val="000000" w:themeColor="text1"/>
          <w:sz w:val="22"/>
          <w:szCs w:val="22"/>
        </w:rPr>
        <w:t xml:space="preserve">and the withdrawal of the state </w:t>
      </w:r>
      <w:r w:rsidR="00B0616C" w:rsidRPr="00C97895">
        <w:rPr>
          <w:rFonts w:asciiTheme="minorHAnsi" w:hAnsiTheme="minorHAnsi" w:cstheme="minorHAnsi"/>
          <w:bCs/>
          <w:color w:val="000000" w:themeColor="text1"/>
          <w:sz w:val="22"/>
          <w:szCs w:val="22"/>
        </w:rPr>
        <w:t>has</w:t>
      </w:r>
      <w:r w:rsidR="0021195E" w:rsidRPr="00C97895">
        <w:rPr>
          <w:rFonts w:asciiTheme="minorHAnsi" w:hAnsiTheme="minorHAnsi" w:cstheme="minorHAnsi"/>
          <w:bCs/>
          <w:color w:val="000000" w:themeColor="text1"/>
          <w:sz w:val="22"/>
          <w:szCs w:val="22"/>
        </w:rPr>
        <w:t xml:space="preserve"> been borne out</w:t>
      </w:r>
      <w:r w:rsidR="004B4F3A" w:rsidRPr="00C97895">
        <w:rPr>
          <w:rFonts w:asciiTheme="minorHAnsi" w:hAnsiTheme="minorHAnsi" w:cstheme="minorHAnsi"/>
          <w:bCs/>
          <w:color w:val="000000" w:themeColor="text1"/>
          <w:sz w:val="22"/>
          <w:szCs w:val="22"/>
        </w:rPr>
        <w:t xml:space="preserve">, as has </w:t>
      </w:r>
      <w:proofErr w:type="spellStart"/>
      <w:r w:rsidR="004B4F3A" w:rsidRPr="00C97895">
        <w:rPr>
          <w:rFonts w:asciiTheme="minorHAnsi" w:hAnsiTheme="minorHAnsi" w:cstheme="minorHAnsi"/>
          <w:bCs/>
          <w:color w:val="000000" w:themeColor="text1"/>
          <w:sz w:val="22"/>
          <w:szCs w:val="22"/>
        </w:rPr>
        <w:t>demunicipalisation</w:t>
      </w:r>
      <w:proofErr w:type="spellEnd"/>
      <w:r w:rsidR="004B4F3A" w:rsidRPr="00C97895">
        <w:rPr>
          <w:rFonts w:asciiTheme="minorHAnsi" w:hAnsiTheme="minorHAnsi" w:cstheme="minorHAnsi"/>
          <w:bCs/>
          <w:color w:val="000000" w:themeColor="text1"/>
          <w:sz w:val="22"/>
          <w:szCs w:val="22"/>
        </w:rPr>
        <w:t xml:space="preserve"> and the loss of</w:t>
      </w:r>
      <w:r w:rsidR="00B0616C" w:rsidRPr="00C97895">
        <w:rPr>
          <w:rFonts w:asciiTheme="minorHAnsi" w:hAnsiTheme="minorHAnsi" w:cstheme="minorHAnsi"/>
          <w:bCs/>
          <w:color w:val="000000" w:themeColor="text1"/>
          <w:sz w:val="22"/>
          <w:szCs w:val="22"/>
        </w:rPr>
        <w:t xml:space="preserve"> </w:t>
      </w:r>
      <w:r w:rsidR="004B4F3A" w:rsidRPr="00C97895">
        <w:rPr>
          <w:rFonts w:asciiTheme="minorHAnsi" w:hAnsiTheme="minorHAnsi" w:cstheme="minorHAnsi"/>
          <w:sz w:val="22"/>
          <w:szCs w:val="22"/>
        </w:rPr>
        <w:t>power, control, status, and revenue-raising capacity of local authorities.</w:t>
      </w:r>
      <w:r w:rsidR="00C52B0F" w:rsidRPr="00C97895">
        <w:rPr>
          <w:rFonts w:asciiTheme="minorHAnsi" w:hAnsiTheme="minorHAnsi" w:cstheme="minorHAnsi"/>
          <w:sz w:val="22"/>
          <w:szCs w:val="22"/>
        </w:rPr>
        <w:t xml:space="preserve"> At the level of welfare ideas, Wilding’s prediction that </w:t>
      </w:r>
      <w:r w:rsidR="00C52B0F" w:rsidRPr="00C97895">
        <w:rPr>
          <w:rFonts w:asciiTheme="minorHAnsi" w:hAnsiTheme="minorHAnsi" w:cstheme="minorHAnsi"/>
          <w:sz w:val="22"/>
          <w:szCs w:val="22"/>
        </w:rPr>
        <w:lastRenderedPageBreak/>
        <w:t>the rights of citizenship, as a ‘political artefact’ (1992: 209), would be increasingly inimical to the aim of establishing the welfare consumer is also a now well-established battleground in social policy practice.</w:t>
      </w:r>
      <w:r w:rsidR="00703B4F" w:rsidRPr="00C97895">
        <w:rPr>
          <w:rFonts w:asciiTheme="minorHAnsi" w:hAnsiTheme="minorHAnsi" w:cstheme="minorHAnsi"/>
          <w:sz w:val="22"/>
          <w:szCs w:val="22"/>
        </w:rPr>
        <w:t xml:space="preserve"> It is also the case that the welfare ‘cuts’ he identifies, and the managerialist reforms to ensure that reductions in expenditure, efficiency savings and tighter restrictions on eligibility could be enforced have been institutionalised. </w:t>
      </w:r>
      <w:r w:rsidR="00B01AA5" w:rsidRPr="00C97895">
        <w:rPr>
          <w:rFonts w:asciiTheme="minorHAnsi" w:hAnsiTheme="minorHAnsi" w:cstheme="minorHAnsi"/>
          <w:sz w:val="22"/>
          <w:szCs w:val="22"/>
        </w:rPr>
        <w:t>In combination with the cuts, t</w:t>
      </w:r>
      <w:r w:rsidR="00703B4F" w:rsidRPr="00C97895">
        <w:rPr>
          <w:rFonts w:asciiTheme="minorHAnsi" w:hAnsiTheme="minorHAnsi" w:cstheme="minorHAnsi"/>
          <w:sz w:val="22"/>
          <w:szCs w:val="22"/>
        </w:rPr>
        <w:t xml:space="preserve">he </w:t>
      </w:r>
      <w:r w:rsidR="00B01AA5" w:rsidRPr="00C97895">
        <w:rPr>
          <w:rFonts w:asciiTheme="minorHAnsi" w:hAnsiTheme="minorHAnsi" w:cstheme="minorHAnsi"/>
          <w:sz w:val="22"/>
          <w:szCs w:val="22"/>
        </w:rPr>
        <w:t xml:space="preserve">pernicious effect of </w:t>
      </w:r>
      <w:r w:rsidR="00703B4F" w:rsidRPr="00C97895">
        <w:rPr>
          <w:rFonts w:asciiTheme="minorHAnsi" w:hAnsiTheme="minorHAnsi" w:cstheme="minorHAnsi"/>
          <w:sz w:val="22"/>
          <w:szCs w:val="22"/>
        </w:rPr>
        <w:t>lack of trust (mainly in the non-state welfare providers) that he associates with the rise of the regulatory state</w:t>
      </w:r>
      <w:r w:rsidR="009F437E" w:rsidRPr="00C97895">
        <w:rPr>
          <w:rFonts w:asciiTheme="minorHAnsi" w:hAnsiTheme="minorHAnsi" w:cstheme="minorHAnsi"/>
          <w:sz w:val="22"/>
          <w:szCs w:val="22"/>
        </w:rPr>
        <w:t>,</w:t>
      </w:r>
      <w:r w:rsidR="00703B4F" w:rsidRPr="00C97895">
        <w:rPr>
          <w:rFonts w:asciiTheme="minorHAnsi" w:hAnsiTheme="minorHAnsi" w:cstheme="minorHAnsi"/>
          <w:sz w:val="22"/>
          <w:szCs w:val="22"/>
        </w:rPr>
        <w:t xml:space="preserve"> </w:t>
      </w:r>
      <w:r w:rsidR="00B01AA5" w:rsidRPr="00C97895">
        <w:rPr>
          <w:rFonts w:asciiTheme="minorHAnsi" w:hAnsiTheme="minorHAnsi" w:cstheme="minorHAnsi"/>
          <w:sz w:val="22"/>
          <w:szCs w:val="22"/>
        </w:rPr>
        <w:t xml:space="preserve">has in fact fed into a more generalised lack of trust in institutions. </w:t>
      </w:r>
      <w:proofErr w:type="spellStart"/>
      <w:r w:rsidR="00B01AA5" w:rsidRPr="00C97895">
        <w:rPr>
          <w:rFonts w:asciiTheme="minorHAnsi" w:hAnsiTheme="minorHAnsi" w:cstheme="minorHAnsi"/>
          <w:sz w:val="22"/>
          <w:szCs w:val="22"/>
        </w:rPr>
        <w:t>Eurofound</w:t>
      </w:r>
      <w:proofErr w:type="spellEnd"/>
      <w:r w:rsidR="00B01AA5" w:rsidRPr="00C97895">
        <w:rPr>
          <w:rFonts w:asciiTheme="minorHAnsi" w:hAnsiTheme="minorHAnsi" w:cstheme="minorHAnsi"/>
          <w:sz w:val="22"/>
          <w:szCs w:val="22"/>
        </w:rPr>
        <w:t xml:space="preserve"> </w:t>
      </w:r>
      <w:r w:rsidR="00B01AA5" w:rsidRPr="00C97895">
        <w:rPr>
          <w:rFonts w:asciiTheme="minorHAnsi" w:eastAsia="Times New Roman" w:hAnsiTheme="minorHAnsi" w:cstheme="minorHAnsi"/>
          <w:sz w:val="22"/>
          <w:szCs w:val="22"/>
          <w:lang w:eastAsia="en-GB"/>
        </w:rPr>
        <w:t xml:space="preserve">(2019: 12) observes that since its 2011 European Quality of Life Survey </w:t>
      </w:r>
      <w:r w:rsidR="00B01AA5" w:rsidRPr="00C97895">
        <w:rPr>
          <w:rFonts w:asciiTheme="minorHAnsi" w:hAnsiTheme="minorHAnsi" w:cstheme="minorHAnsi"/>
          <w:sz w:val="22"/>
          <w:szCs w:val="22"/>
        </w:rPr>
        <w:t>‘</w:t>
      </w:r>
      <w:r w:rsidR="00B01AA5" w:rsidRPr="00C97895">
        <w:rPr>
          <w:rFonts w:asciiTheme="minorHAnsi" w:eastAsia="Times New Roman" w:hAnsiTheme="minorHAnsi" w:cstheme="minorHAnsi"/>
          <w:sz w:val="22"/>
          <w:szCs w:val="22"/>
          <w:lang w:eastAsia="en-GB"/>
        </w:rPr>
        <w:t>the perceived quality of public services has consistently emerged as the most powerful determinant of trust in national institutions’.</w:t>
      </w:r>
    </w:p>
    <w:p w14:paraId="4CAFD8A6" w14:textId="7B971095" w:rsidR="00474BB0" w:rsidRPr="00C97895" w:rsidRDefault="009F437E" w:rsidP="00503DE7">
      <w:pPr>
        <w:rPr>
          <w:rFonts w:asciiTheme="minorHAnsi" w:hAnsiTheme="minorHAnsi" w:cstheme="minorHAnsi"/>
          <w:color w:val="000000" w:themeColor="text1"/>
          <w:sz w:val="22"/>
          <w:szCs w:val="22"/>
        </w:rPr>
      </w:pPr>
      <w:r w:rsidRPr="00C97895">
        <w:rPr>
          <w:rFonts w:asciiTheme="minorHAnsi" w:hAnsiTheme="minorHAnsi" w:cstheme="minorHAnsi"/>
          <w:sz w:val="22"/>
          <w:szCs w:val="22"/>
        </w:rPr>
        <w:t>Only for two of Wilding’s significant legacies, greater social division and the impact on the</w:t>
      </w:r>
      <w:r w:rsidR="00DF0AFE" w:rsidRPr="00C97895">
        <w:rPr>
          <w:rFonts w:asciiTheme="minorHAnsi" w:hAnsiTheme="minorHAnsi" w:cstheme="minorHAnsi"/>
          <w:sz w:val="22"/>
          <w:szCs w:val="22"/>
        </w:rPr>
        <w:t xml:space="preserve"> </w:t>
      </w:r>
      <w:r w:rsidRPr="00C97895">
        <w:rPr>
          <w:rFonts w:asciiTheme="minorHAnsi" w:hAnsiTheme="minorHAnsi" w:cstheme="minorHAnsi"/>
          <w:sz w:val="22"/>
          <w:szCs w:val="22"/>
        </w:rPr>
        <w:t>Labour Party, are the developments in subsequent decades less definitive</w:t>
      </w:r>
      <w:r w:rsidR="009B7324">
        <w:rPr>
          <w:rFonts w:asciiTheme="minorHAnsi" w:hAnsiTheme="minorHAnsi" w:cstheme="minorHAnsi"/>
          <w:sz w:val="22"/>
          <w:szCs w:val="22"/>
        </w:rPr>
        <w:t>.</w:t>
      </w:r>
      <w:r w:rsidR="009C19C4" w:rsidRPr="00C97895">
        <w:rPr>
          <w:rFonts w:asciiTheme="minorHAnsi" w:hAnsiTheme="minorHAnsi" w:cstheme="minorHAnsi"/>
          <w:sz w:val="22"/>
          <w:szCs w:val="22"/>
        </w:rPr>
        <w:t xml:space="preserve"> </w:t>
      </w:r>
      <w:r w:rsidR="009B7324">
        <w:rPr>
          <w:rFonts w:asciiTheme="minorHAnsi" w:hAnsiTheme="minorHAnsi" w:cstheme="minorHAnsi"/>
          <w:sz w:val="22"/>
          <w:szCs w:val="22"/>
        </w:rPr>
        <w:t>A</w:t>
      </w:r>
      <w:r w:rsidR="009C19C4" w:rsidRPr="00C97895">
        <w:rPr>
          <w:rFonts w:asciiTheme="minorHAnsi" w:hAnsiTheme="minorHAnsi" w:cstheme="minorHAnsi"/>
          <w:sz w:val="22"/>
          <w:szCs w:val="22"/>
        </w:rPr>
        <w:t xml:space="preserve"> position on their accuracy largely depends on judgement of the social policy achievements</w:t>
      </w:r>
      <w:r w:rsidR="00B75974">
        <w:rPr>
          <w:rFonts w:asciiTheme="minorHAnsi" w:hAnsiTheme="minorHAnsi" w:cstheme="minorHAnsi"/>
          <w:sz w:val="22"/>
          <w:szCs w:val="22"/>
        </w:rPr>
        <w:t xml:space="preserve"> in tackling inequality</w:t>
      </w:r>
      <w:r w:rsidR="009C19C4" w:rsidRPr="00C97895">
        <w:rPr>
          <w:rFonts w:asciiTheme="minorHAnsi" w:hAnsiTheme="minorHAnsi" w:cstheme="minorHAnsi"/>
          <w:sz w:val="22"/>
          <w:szCs w:val="22"/>
        </w:rPr>
        <w:t xml:space="preserve"> of the Blair/Brown governments</w:t>
      </w:r>
      <w:r w:rsidR="009B7324">
        <w:rPr>
          <w:rFonts w:asciiTheme="minorHAnsi" w:hAnsiTheme="minorHAnsi" w:cstheme="minorHAnsi"/>
          <w:sz w:val="22"/>
          <w:szCs w:val="22"/>
        </w:rPr>
        <w:t xml:space="preserve"> and the impact of Jeremy Corbyn’s leadership 2015-20</w:t>
      </w:r>
      <w:r w:rsidR="009C19C4" w:rsidRPr="00C97895">
        <w:rPr>
          <w:rFonts w:asciiTheme="minorHAnsi" w:hAnsiTheme="minorHAnsi" w:cstheme="minorHAnsi"/>
          <w:sz w:val="22"/>
          <w:szCs w:val="22"/>
        </w:rPr>
        <w:t>. While Thatcher may have regarded ‘New Labour’ as her greatest achievement (</w:t>
      </w:r>
      <w:proofErr w:type="spellStart"/>
      <w:r w:rsidR="009C19C4" w:rsidRPr="00C97895">
        <w:rPr>
          <w:rFonts w:asciiTheme="minorHAnsi" w:hAnsiTheme="minorHAnsi" w:cstheme="minorHAnsi"/>
          <w:color w:val="000000" w:themeColor="text1"/>
          <w:sz w:val="22"/>
          <w:szCs w:val="22"/>
        </w:rPr>
        <w:t>Espiet-Kilty</w:t>
      </w:r>
      <w:proofErr w:type="spellEnd"/>
      <w:r w:rsidR="009C19C4" w:rsidRPr="00C97895">
        <w:rPr>
          <w:rFonts w:asciiTheme="minorHAnsi" w:hAnsiTheme="minorHAnsi" w:cstheme="minorHAnsi"/>
          <w:color w:val="000000" w:themeColor="text1"/>
          <w:sz w:val="22"/>
          <w:szCs w:val="22"/>
          <w:shd w:val="clear" w:color="auto" w:fill="FFFFFF"/>
        </w:rPr>
        <w:t xml:space="preserve">, 2015), </w:t>
      </w:r>
      <w:r w:rsidR="001142EF" w:rsidRPr="00C97895">
        <w:rPr>
          <w:rFonts w:asciiTheme="minorHAnsi" w:hAnsiTheme="minorHAnsi" w:cstheme="minorHAnsi"/>
          <w:color w:val="000000" w:themeColor="text1"/>
          <w:sz w:val="22"/>
          <w:szCs w:val="22"/>
          <w:shd w:val="clear" w:color="auto" w:fill="FFFFFF"/>
        </w:rPr>
        <w:t xml:space="preserve">others have argued that </w:t>
      </w:r>
      <w:r w:rsidR="009C19C4" w:rsidRPr="00C97895">
        <w:rPr>
          <w:rFonts w:asciiTheme="minorHAnsi" w:hAnsiTheme="minorHAnsi" w:cstheme="minorHAnsi"/>
          <w:color w:val="000000" w:themeColor="text1"/>
          <w:sz w:val="22"/>
          <w:szCs w:val="22"/>
          <w:shd w:val="clear" w:color="auto" w:fill="FFFFFF"/>
        </w:rPr>
        <w:t xml:space="preserve">in terms of </w:t>
      </w:r>
      <w:r w:rsidR="001142EF" w:rsidRPr="00C97895">
        <w:rPr>
          <w:rFonts w:asciiTheme="minorHAnsi" w:hAnsiTheme="minorHAnsi" w:cstheme="minorHAnsi"/>
          <w:color w:val="000000" w:themeColor="text1"/>
          <w:sz w:val="22"/>
          <w:szCs w:val="22"/>
          <w:shd w:val="clear" w:color="auto" w:fill="FFFFFF"/>
        </w:rPr>
        <w:t xml:space="preserve">socio-economic progress, the Labour governments between 1997-2010 did act as a brake on a potentially rampant market fundamentalism and better protected capitalism’s losers than critics have conceded. </w:t>
      </w:r>
      <w:r w:rsidR="00346EDA" w:rsidRPr="00C97895">
        <w:rPr>
          <w:rFonts w:asciiTheme="minorHAnsi" w:hAnsiTheme="minorHAnsi" w:cstheme="minorHAnsi"/>
          <w:color w:val="000000" w:themeColor="text1"/>
          <w:sz w:val="22"/>
          <w:szCs w:val="22"/>
          <w:shd w:val="clear" w:color="auto" w:fill="FFFFFF"/>
        </w:rPr>
        <w:t>Up until the 2008 crisis, Wilding’s assessment that the Labour Party would unavoidably shift to the right and embrace the social market was correct.</w:t>
      </w:r>
      <w:r w:rsidR="00346EDA" w:rsidRPr="00C97895">
        <w:rPr>
          <w:rFonts w:asciiTheme="minorHAnsi" w:hAnsiTheme="minorHAnsi" w:cstheme="minorHAnsi"/>
          <w:sz w:val="22"/>
          <w:szCs w:val="22"/>
        </w:rPr>
        <w:t xml:space="preserve"> </w:t>
      </w:r>
      <w:r w:rsidR="00DF0AFE" w:rsidRPr="00C97895">
        <w:rPr>
          <w:rFonts w:asciiTheme="minorHAnsi" w:hAnsiTheme="minorHAnsi" w:cstheme="minorHAnsi"/>
          <w:sz w:val="22"/>
          <w:szCs w:val="22"/>
        </w:rPr>
        <w:t xml:space="preserve">The post-crisis era has enabled a deeper challenge to free market fundamentals </w:t>
      </w:r>
      <w:r w:rsidR="00D02A83" w:rsidRPr="00C97895">
        <w:rPr>
          <w:rFonts w:asciiTheme="minorHAnsi" w:hAnsiTheme="minorHAnsi" w:cstheme="minorHAnsi"/>
          <w:sz w:val="22"/>
          <w:szCs w:val="22"/>
        </w:rPr>
        <w:t xml:space="preserve">however, </w:t>
      </w:r>
      <w:r w:rsidR="00DF0AFE" w:rsidRPr="00C97895">
        <w:rPr>
          <w:rFonts w:asciiTheme="minorHAnsi" w:hAnsiTheme="minorHAnsi" w:cstheme="minorHAnsi"/>
          <w:sz w:val="22"/>
          <w:szCs w:val="22"/>
        </w:rPr>
        <w:t>and the (re)emergence of both socialist and populist/nativist political ‘answers’</w:t>
      </w:r>
      <w:r w:rsidR="00D02A83" w:rsidRPr="00C97895">
        <w:rPr>
          <w:rFonts w:asciiTheme="minorHAnsi" w:hAnsiTheme="minorHAnsi" w:cstheme="minorHAnsi"/>
          <w:sz w:val="22"/>
          <w:szCs w:val="22"/>
        </w:rPr>
        <w:t xml:space="preserve"> in nations across the globe</w:t>
      </w:r>
      <w:r w:rsidR="00DF0AFE" w:rsidRPr="00C97895">
        <w:rPr>
          <w:rFonts w:asciiTheme="minorHAnsi" w:hAnsiTheme="minorHAnsi" w:cstheme="minorHAnsi"/>
          <w:sz w:val="22"/>
          <w:szCs w:val="22"/>
        </w:rPr>
        <w:t xml:space="preserve">. </w:t>
      </w:r>
      <w:r w:rsidR="00D02A83" w:rsidRPr="00C97895">
        <w:rPr>
          <w:rFonts w:asciiTheme="minorHAnsi" w:hAnsiTheme="minorHAnsi" w:cstheme="minorHAnsi"/>
          <w:bCs/>
          <w:color w:val="000000" w:themeColor="text1"/>
          <w:sz w:val="22"/>
          <w:szCs w:val="22"/>
        </w:rPr>
        <w:t xml:space="preserve">Wilding’s argument that </w:t>
      </w:r>
      <w:r w:rsidR="00D02A83" w:rsidRPr="00C97895">
        <w:rPr>
          <w:rFonts w:asciiTheme="minorHAnsi" w:hAnsiTheme="minorHAnsi" w:cstheme="minorHAnsi"/>
          <w:sz w:val="22"/>
          <w:szCs w:val="22"/>
        </w:rPr>
        <w:t>‘supporters of state welfare will never look to collectivist answers with quite the same simple enthusiasm as before’ (1992: 202) is less c</w:t>
      </w:r>
      <w:r w:rsidR="009B7324">
        <w:rPr>
          <w:rFonts w:asciiTheme="minorHAnsi" w:hAnsiTheme="minorHAnsi" w:cstheme="minorHAnsi"/>
          <w:sz w:val="22"/>
          <w:szCs w:val="22"/>
        </w:rPr>
        <w:t>onvincing</w:t>
      </w:r>
      <w:r w:rsidR="00D02A83" w:rsidRPr="00C97895">
        <w:rPr>
          <w:rFonts w:asciiTheme="minorHAnsi" w:hAnsiTheme="minorHAnsi" w:cstheme="minorHAnsi"/>
          <w:sz w:val="22"/>
          <w:szCs w:val="22"/>
        </w:rPr>
        <w:t xml:space="preserve"> in this context, but it is partly the existence of austerity that has made it so. Similarly, r</w:t>
      </w:r>
      <w:r w:rsidR="00DF0AFE" w:rsidRPr="00C97895">
        <w:rPr>
          <w:rFonts w:asciiTheme="minorHAnsi" w:hAnsiTheme="minorHAnsi" w:cstheme="minorHAnsi"/>
          <w:sz w:val="22"/>
          <w:szCs w:val="22"/>
        </w:rPr>
        <w:t xml:space="preserve">egardless of </w:t>
      </w:r>
      <w:r w:rsidR="000D1E87" w:rsidRPr="00C97895">
        <w:rPr>
          <w:rFonts w:asciiTheme="minorHAnsi" w:hAnsiTheme="minorHAnsi" w:cstheme="minorHAnsi"/>
          <w:sz w:val="22"/>
          <w:szCs w:val="22"/>
        </w:rPr>
        <w:t>possible mitigating effects of</w:t>
      </w:r>
      <w:r w:rsidR="00DF0AFE" w:rsidRPr="00C97895">
        <w:rPr>
          <w:rFonts w:asciiTheme="minorHAnsi" w:hAnsiTheme="minorHAnsi" w:cstheme="minorHAnsi"/>
          <w:sz w:val="22"/>
          <w:szCs w:val="22"/>
        </w:rPr>
        <w:t xml:space="preserve"> specific welfare gains that can be attributed to the </w:t>
      </w:r>
      <w:r w:rsidR="00D02A83" w:rsidRPr="00C97895">
        <w:rPr>
          <w:rFonts w:asciiTheme="minorHAnsi" w:hAnsiTheme="minorHAnsi" w:cstheme="minorHAnsi"/>
          <w:sz w:val="22"/>
          <w:szCs w:val="22"/>
        </w:rPr>
        <w:t>L</w:t>
      </w:r>
      <w:r w:rsidR="00DF0AFE" w:rsidRPr="00C97895">
        <w:rPr>
          <w:rFonts w:asciiTheme="minorHAnsi" w:hAnsiTheme="minorHAnsi" w:cstheme="minorHAnsi"/>
          <w:sz w:val="22"/>
          <w:szCs w:val="22"/>
        </w:rPr>
        <w:t xml:space="preserve">abour </w:t>
      </w:r>
      <w:r w:rsidR="00D02A83" w:rsidRPr="00C97895">
        <w:rPr>
          <w:rFonts w:asciiTheme="minorHAnsi" w:hAnsiTheme="minorHAnsi" w:cstheme="minorHAnsi"/>
          <w:sz w:val="22"/>
          <w:szCs w:val="22"/>
        </w:rPr>
        <w:t>administration</w:t>
      </w:r>
      <w:r w:rsidR="00DF0AFE" w:rsidRPr="00C97895">
        <w:rPr>
          <w:rFonts w:asciiTheme="minorHAnsi" w:hAnsiTheme="minorHAnsi" w:cstheme="minorHAnsi"/>
          <w:sz w:val="22"/>
          <w:szCs w:val="22"/>
        </w:rPr>
        <w:t>s</w:t>
      </w:r>
      <w:r w:rsidR="00D02A83" w:rsidRPr="00C97895">
        <w:rPr>
          <w:rFonts w:asciiTheme="minorHAnsi" w:hAnsiTheme="minorHAnsi" w:cstheme="minorHAnsi"/>
          <w:sz w:val="22"/>
          <w:szCs w:val="22"/>
        </w:rPr>
        <w:t xml:space="preserve"> in the UK</w:t>
      </w:r>
      <w:r w:rsidR="00DF0AFE" w:rsidRPr="00C97895">
        <w:rPr>
          <w:rFonts w:asciiTheme="minorHAnsi" w:hAnsiTheme="minorHAnsi" w:cstheme="minorHAnsi"/>
          <w:sz w:val="22"/>
          <w:szCs w:val="22"/>
        </w:rPr>
        <w:t>, h</w:t>
      </w:r>
      <w:r w:rsidR="00346EDA" w:rsidRPr="00C97895">
        <w:rPr>
          <w:rFonts w:asciiTheme="minorHAnsi" w:hAnsiTheme="minorHAnsi" w:cstheme="minorHAnsi"/>
          <w:sz w:val="22"/>
          <w:szCs w:val="22"/>
        </w:rPr>
        <w:t xml:space="preserve">is assessment that increasing social divisions related to the labour market, race, income and wealth inequality and regional differences would be the inevitable result of Thatcher’s welfare legacy </w:t>
      </w:r>
      <w:r w:rsidR="00A16A21" w:rsidRPr="00C97895">
        <w:rPr>
          <w:rFonts w:asciiTheme="minorHAnsi" w:hAnsiTheme="minorHAnsi" w:cstheme="minorHAnsi"/>
          <w:sz w:val="22"/>
          <w:szCs w:val="22"/>
        </w:rPr>
        <w:t xml:space="preserve">has been brought </w:t>
      </w:r>
      <w:r w:rsidR="00A16A21" w:rsidRPr="00C97895">
        <w:rPr>
          <w:rFonts w:asciiTheme="minorHAnsi" w:hAnsiTheme="minorHAnsi" w:cstheme="minorHAnsi"/>
          <w:color w:val="000000" w:themeColor="text1"/>
          <w:sz w:val="22"/>
          <w:szCs w:val="22"/>
        </w:rPr>
        <w:t>into sharp relief through the decade of austerity</w:t>
      </w:r>
      <w:r w:rsidR="008B1F89" w:rsidRPr="00C97895">
        <w:rPr>
          <w:rFonts w:asciiTheme="minorHAnsi" w:hAnsiTheme="minorHAnsi" w:cstheme="minorHAnsi"/>
          <w:color w:val="000000" w:themeColor="text1"/>
          <w:sz w:val="22"/>
          <w:szCs w:val="22"/>
        </w:rPr>
        <w:t>. This can be seen</w:t>
      </w:r>
      <w:r w:rsidR="00A16A21" w:rsidRPr="00C97895">
        <w:rPr>
          <w:rFonts w:asciiTheme="minorHAnsi" w:hAnsiTheme="minorHAnsi" w:cstheme="minorHAnsi"/>
          <w:color w:val="000000" w:themeColor="text1"/>
          <w:sz w:val="22"/>
          <w:szCs w:val="22"/>
        </w:rPr>
        <w:t xml:space="preserve"> in increasing precarit</w:t>
      </w:r>
      <w:r w:rsidR="00474BB0" w:rsidRPr="00C97895">
        <w:rPr>
          <w:rFonts w:asciiTheme="minorHAnsi" w:hAnsiTheme="minorHAnsi" w:cstheme="minorHAnsi"/>
          <w:color w:val="000000" w:themeColor="text1"/>
          <w:sz w:val="22"/>
          <w:szCs w:val="22"/>
        </w:rPr>
        <w:t>y</w:t>
      </w:r>
      <w:r w:rsidR="00A16A21" w:rsidRPr="00C97895">
        <w:rPr>
          <w:rFonts w:asciiTheme="minorHAnsi" w:hAnsiTheme="minorHAnsi" w:cstheme="minorHAnsi"/>
          <w:color w:val="000000" w:themeColor="text1"/>
          <w:sz w:val="22"/>
          <w:szCs w:val="22"/>
        </w:rPr>
        <w:t xml:space="preserve"> </w:t>
      </w:r>
      <w:r w:rsidR="00474BB0" w:rsidRPr="00C97895">
        <w:rPr>
          <w:rFonts w:asciiTheme="minorHAnsi" w:hAnsiTheme="minorHAnsi" w:cstheme="minorHAnsi"/>
          <w:color w:val="000000" w:themeColor="text1"/>
          <w:sz w:val="22"/>
          <w:szCs w:val="22"/>
        </w:rPr>
        <w:t>in</w:t>
      </w:r>
      <w:r w:rsidR="00A16A21" w:rsidRPr="00C97895">
        <w:rPr>
          <w:rFonts w:asciiTheme="minorHAnsi" w:hAnsiTheme="minorHAnsi" w:cstheme="minorHAnsi"/>
          <w:color w:val="000000" w:themeColor="text1"/>
          <w:sz w:val="22"/>
          <w:szCs w:val="22"/>
        </w:rPr>
        <w:t xml:space="preserve"> employment, </w:t>
      </w:r>
      <w:r w:rsidR="00474BB0" w:rsidRPr="00C97895">
        <w:rPr>
          <w:rFonts w:asciiTheme="minorHAnsi" w:hAnsiTheme="minorHAnsi" w:cstheme="minorHAnsi"/>
          <w:color w:val="000000" w:themeColor="text1"/>
          <w:sz w:val="22"/>
          <w:szCs w:val="22"/>
        </w:rPr>
        <w:t>a</w:t>
      </w:r>
      <w:r w:rsidR="00A16A21" w:rsidRPr="00C97895">
        <w:rPr>
          <w:rFonts w:asciiTheme="minorHAnsi" w:hAnsiTheme="minorHAnsi" w:cstheme="minorHAnsi"/>
          <w:color w:val="000000" w:themeColor="text1"/>
          <w:sz w:val="22"/>
          <w:szCs w:val="22"/>
        </w:rPr>
        <w:t xml:space="preserve"> rise in </w:t>
      </w:r>
      <w:r w:rsidR="00474BB0" w:rsidRPr="00C97895">
        <w:rPr>
          <w:rFonts w:asciiTheme="minorHAnsi" w:hAnsiTheme="minorHAnsi" w:cstheme="minorHAnsi"/>
          <w:color w:val="000000" w:themeColor="text1"/>
          <w:sz w:val="22"/>
          <w:szCs w:val="22"/>
        </w:rPr>
        <w:t xml:space="preserve">recorded </w:t>
      </w:r>
      <w:r w:rsidR="00A16A21" w:rsidRPr="00C97895">
        <w:rPr>
          <w:rFonts w:asciiTheme="minorHAnsi" w:hAnsiTheme="minorHAnsi" w:cstheme="minorHAnsi"/>
          <w:color w:val="000000" w:themeColor="text1"/>
          <w:sz w:val="22"/>
          <w:szCs w:val="22"/>
        </w:rPr>
        <w:t>race-related hate crimes</w:t>
      </w:r>
      <w:r w:rsidR="00474BB0" w:rsidRPr="00C97895">
        <w:rPr>
          <w:rFonts w:asciiTheme="minorHAnsi" w:hAnsiTheme="minorHAnsi" w:cstheme="minorHAnsi"/>
          <w:color w:val="000000" w:themeColor="text1"/>
          <w:sz w:val="22"/>
          <w:szCs w:val="22"/>
        </w:rPr>
        <w:t xml:space="preserve"> (Allen and Zayed, 2019)</w:t>
      </w:r>
      <w:r w:rsidR="00A16A21" w:rsidRPr="00C97895">
        <w:rPr>
          <w:rFonts w:asciiTheme="minorHAnsi" w:hAnsiTheme="minorHAnsi" w:cstheme="minorHAnsi"/>
          <w:color w:val="000000" w:themeColor="text1"/>
          <w:sz w:val="22"/>
          <w:szCs w:val="22"/>
        </w:rPr>
        <w:t>, policy treatment of refugees, rapid dispersion of incomes and opportunities for wealth acquisition and the</w:t>
      </w:r>
      <w:r w:rsidR="00474BB0" w:rsidRPr="00C97895">
        <w:rPr>
          <w:rFonts w:asciiTheme="minorHAnsi" w:hAnsiTheme="minorHAnsi" w:cstheme="minorHAnsi"/>
          <w:color w:val="000000" w:themeColor="text1"/>
          <w:sz w:val="22"/>
          <w:szCs w:val="22"/>
        </w:rPr>
        <w:t xml:space="preserve"> evidence that ‘the UK is indeed one of the most </w:t>
      </w:r>
      <w:proofErr w:type="spellStart"/>
      <w:r w:rsidR="00474BB0" w:rsidRPr="00C97895">
        <w:rPr>
          <w:rFonts w:asciiTheme="minorHAnsi" w:hAnsiTheme="minorHAnsi" w:cstheme="minorHAnsi"/>
          <w:color w:val="000000" w:themeColor="text1"/>
          <w:sz w:val="22"/>
          <w:szCs w:val="22"/>
        </w:rPr>
        <w:t>interregionally</w:t>
      </w:r>
      <w:proofErr w:type="spellEnd"/>
      <w:r w:rsidR="00474BB0" w:rsidRPr="00C97895">
        <w:rPr>
          <w:rFonts w:asciiTheme="minorHAnsi" w:hAnsiTheme="minorHAnsi" w:cstheme="minorHAnsi"/>
          <w:color w:val="000000" w:themeColor="text1"/>
          <w:sz w:val="22"/>
          <w:szCs w:val="22"/>
        </w:rPr>
        <w:t xml:space="preserve"> unequal countries in the industrialized world’ (McCann, 2019: 1)</w:t>
      </w:r>
      <w:r w:rsidR="000D1E87" w:rsidRPr="00C97895">
        <w:rPr>
          <w:rFonts w:asciiTheme="minorHAnsi" w:hAnsiTheme="minorHAnsi" w:cstheme="minorHAnsi"/>
          <w:color w:val="000000" w:themeColor="text1"/>
          <w:sz w:val="22"/>
          <w:szCs w:val="22"/>
        </w:rPr>
        <w:t xml:space="preserve">. </w:t>
      </w:r>
    </w:p>
    <w:p w14:paraId="6BF91D60" w14:textId="4EE8DDEA" w:rsidR="000D1E87" w:rsidRPr="00C97895" w:rsidRDefault="000D1E87" w:rsidP="00503DE7">
      <w:pPr>
        <w:rPr>
          <w:rFonts w:asciiTheme="minorHAnsi" w:hAnsiTheme="minorHAnsi" w:cstheme="minorHAnsi"/>
          <w:color w:val="000000" w:themeColor="text1"/>
          <w:sz w:val="22"/>
          <w:szCs w:val="22"/>
        </w:rPr>
      </w:pPr>
    </w:p>
    <w:p w14:paraId="11FFBC33" w14:textId="3F187AD7" w:rsidR="000D571F" w:rsidRPr="00C97895" w:rsidRDefault="000D571F" w:rsidP="000D571F">
      <w:pPr>
        <w:rPr>
          <w:rFonts w:asciiTheme="minorHAnsi" w:hAnsiTheme="minorHAnsi" w:cstheme="minorHAnsi"/>
          <w:sz w:val="22"/>
          <w:szCs w:val="22"/>
        </w:rPr>
      </w:pPr>
      <w:r w:rsidRPr="00C97895">
        <w:rPr>
          <w:rFonts w:asciiTheme="minorHAnsi" w:hAnsiTheme="minorHAnsi" w:cstheme="minorHAnsi"/>
          <w:sz w:val="22"/>
          <w:szCs w:val="22"/>
        </w:rPr>
        <w:t xml:space="preserve">Ultimately, Wilding’s assessment of Thatcher’s legacy concludes with two core elements which can be located at the level of ideas and institutions respectively: the loss of </w:t>
      </w:r>
      <w:r w:rsidR="009B7324">
        <w:rPr>
          <w:rFonts w:asciiTheme="minorHAnsi" w:hAnsiTheme="minorHAnsi" w:cstheme="minorHAnsi"/>
          <w:sz w:val="22"/>
          <w:szCs w:val="22"/>
        </w:rPr>
        <w:t>unquestioning acceptance</w:t>
      </w:r>
      <w:r w:rsidRPr="00C97895">
        <w:rPr>
          <w:rFonts w:asciiTheme="minorHAnsi" w:hAnsiTheme="minorHAnsi" w:cstheme="minorHAnsi"/>
          <w:sz w:val="22"/>
          <w:szCs w:val="22"/>
        </w:rPr>
        <w:t xml:space="preserve"> of conventional wisdom on the meaning and purpose of the welfare state</w:t>
      </w:r>
      <w:r w:rsidR="00BD6949" w:rsidRPr="00C97895">
        <w:rPr>
          <w:rFonts w:asciiTheme="minorHAnsi" w:hAnsiTheme="minorHAnsi" w:cstheme="minorHAnsi"/>
          <w:sz w:val="22"/>
          <w:szCs w:val="22"/>
        </w:rPr>
        <w:t>,</w:t>
      </w:r>
      <w:r w:rsidRPr="00C97895">
        <w:rPr>
          <w:rFonts w:asciiTheme="minorHAnsi" w:hAnsiTheme="minorHAnsi" w:cstheme="minorHAnsi"/>
          <w:sz w:val="22"/>
          <w:szCs w:val="22"/>
        </w:rPr>
        <w:t xml:space="preserve"> and the cumulative deposit of incremental reforms that successive governments </w:t>
      </w:r>
      <w:r w:rsidR="00F62EAF">
        <w:rPr>
          <w:rFonts w:asciiTheme="minorHAnsi" w:hAnsiTheme="minorHAnsi" w:cstheme="minorHAnsi"/>
          <w:sz w:val="22"/>
          <w:szCs w:val="22"/>
        </w:rPr>
        <w:t xml:space="preserve">(even anti-pathetic </w:t>
      </w:r>
      <w:proofErr w:type="spellStart"/>
      <w:r w:rsidR="00F62EAF">
        <w:rPr>
          <w:rFonts w:asciiTheme="minorHAnsi" w:hAnsiTheme="minorHAnsi" w:cstheme="minorHAnsi"/>
          <w:sz w:val="22"/>
          <w:szCs w:val="22"/>
        </w:rPr>
        <w:t xml:space="preserve">ones) </w:t>
      </w:r>
      <w:proofErr w:type="spellEnd"/>
      <w:r w:rsidRPr="00C97895">
        <w:rPr>
          <w:rFonts w:asciiTheme="minorHAnsi" w:hAnsiTheme="minorHAnsi" w:cstheme="minorHAnsi"/>
          <w:sz w:val="22"/>
          <w:szCs w:val="22"/>
        </w:rPr>
        <w:t>would have neither political support nor policy energy to unpick.</w:t>
      </w:r>
    </w:p>
    <w:p w14:paraId="60254CCA" w14:textId="77777777" w:rsidR="000D571F" w:rsidRPr="00C97895" w:rsidRDefault="000D571F" w:rsidP="00B87026">
      <w:pPr>
        <w:rPr>
          <w:rFonts w:asciiTheme="minorHAnsi" w:hAnsiTheme="minorHAnsi" w:cstheme="minorHAnsi"/>
          <w:color w:val="000000" w:themeColor="text1"/>
          <w:sz w:val="22"/>
          <w:szCs w:val="22"/>
        </w:rPr>
      </w:pPr>
    </w:p>
    <w:p w14:paraId="293FE6F3" w14:textId="32ACD96A" w:rsidR="00536C0A" w:rsidRPr="00C97895" w:rsidRDefault="000D571F" w:rsidP="00DF60F0">
      <w:pPr>
        <w:rPr>
          <w:rFonts w:asciiTheme="minorHAnsi" w:hAnsiTheme="minorHAnsi" w:cstheme="minorHAnsi"/>
          <w:sz w:val="22"/>
          <w:szCs w:val="22"/>
        </w:rPr>
      </w:pPr>
      <w:r w:rsidRPr="00C97895">
        <w:rPr>
          <w:rFonts w:asciiTheme="minorHAnsi" w:hAnsiTheme="minorHAnsi" w:cstheme="minorHAnsi"/>
          <w:color w:val="000000" w:themeColor="text1"/>
          <w:sz w:val="22"/>
          <w:szCs w:val="22"/>
        </w:rPr>
        <w:t>With regard to both of these elements, i</w:t>
      </w:r>
      <w:r w:rsidR="000D1E87" w:rsidRPr="00C97895">
        <w:rPr>
          <w:rFonts w:asciiTheme="minorHAnsi" w:hAnsiTheme="minorHAnsi" w:cstheme="minorHAnsi"/>
          <w:color w:val="000000" w:themeColor="text1"/>
          <w:sz w:val="22"/>
          <w:szCs w:val="22"/>
        </w:rPr>
        <w:t>t is arguable that the austerity project and the means by which it has been implemented through austerity measures in the UK</w:t>
      </w:r>
      <w:r w:rsidR="004E3E6D">
        <w:rPr>
          <w:rFonts w:asciiTheme="minorHAnsi" w:hAnsiTheme="minorHAnsi" w:cstheme="minorHAnsi"/>
          <w:color w:val="000000" w:themeColor="text1"/>
          <w:sz w:val="22"/>
          <w:szCs w:val="22"/>
        </w:rPr>
        <w:t xml:space="preserve"> and elsewhere,</w:t>
      </w:r>
      <w:r w:rsidR="000D1E87" w:rsidRPr="00C97895">
        <w:rPr>
          <w:rFonts w:asciiTheme="minorHAnsi" w:hAnsiTheme="minorHAnsi" w:cstheme="minorHAnsi"/>
          <w:color w:val="000000" w:themeColor="text1"/>
          <w:sz w:val="22"/>
          <w:szCs w:val="22"/>
        </w:rPr>
        <w:t xml:space="preserve"> is itself Thatcher’s legacy</w:t>
      </w:r>
      <w:r w:rsidR="004E3E6D">
        <w:rPr>
          <w:rFonts w:asciiTheme="minorHAnsi" w:hAnsiTheme="minorHAnsi" w:cstheme="minorHAnsi"/>
          <w:color w:val="000000" w:themeColor="text1"/>
          <w:sz w:val="22"/>
          <w:szCs w:val="22"/>
        </w:rPr>
        <w:t xml:space="preserve">. </w:t>
      </w:r>
      <w:r w:rsidR="004E3E6D">
        <w:rPr>
          <w:rFonts w:asciiTheme="minorHAnsi" w:hAnsiTheme="minorHAnsi" w:cstheme="minorHAnsi"/>
          <w:color w:val="000000" w:themeColor="text1"/>
          <w:sz w:val="22"/>
          <w:szCs w:val="22"/>
          <w:shd w:val="clear" w:color="auto" w:fill="FFFFFF"/>
        </w:rPr>
        <w:t xml:space="preserve">‘Thatcher’ in this sense is symbolic of neoliberal </w:t>
      </w:r>
      <w:r w:rsidR="00DF60F0">
        <w:rPr>
          <w:rFonts w:asciiTheme="minorHAnsi" w:hAnsiTheme="minorHAnsi" w:cstheme="minorHAnsi"/>
          <w:color w:val="000000" w:themeColor="text1"/>
          <w:sz w:val="22"/>
          <w:szCs w:val="22"/>
          <w:shd w:val="clear" w:color="auto" w:fill="FFFFFF"/>
        </w:rPr>
        <w:t>ascendance</w:t>
      </w:r>
      <w:r w:rsidR="00901E46" w:rsidRPr="00C97895">
        <w:rPr>
          <w:rFonts w:asciiTheme="minorHAnsi" w:hAnsiTheme="minorHAnsi" w:cstheme="minorHAnsi"/>
          <w:color w:val="000000" w:themeColor="text1"/>
          <w:sz w:val="22"/>
          <w:szCs w:val="22"/>
          <w:shd w:val="clear" w:color="auto" w:fill="FFFFFF"/>
        </w:rPr>
        <w:t xml:space="preserve"> </w:t>
      </w:r>
      <w:r w:rsidR="004E3E6D">
        <w:rPr>
          <w:rFonts w:asciiTheme="minorHAnsi" w:hAnsiTheme="minorHAnsi" w:cstheme="minorHAnsi"/>
          <w:color w:val="000000" w:themeColor="text1"/>
          <w:sz w:val="22"/>
          <w:szCs w:val="22"/>
          <w:shd w:val="clear" w:color="auto" w:fill="FFFFFF"/>
        </w:rPr>
        <w:t xml:space="preserve">and </w:t>
      </w:r>
      <w:r w:rsidR="004E3E6D">
        <w:rPr>
          <w:rFonts w:asciiTheme="minorHAnsi" w:hAnsiTheme="minorHAnsi" w:cstheme="minorHAnsi"/>
          <w:color w:val="000000" w:themeColor="text1"/>
          <w:sz w:val="22"/>
          <w:szCs w:val="22"/>
        </w:rPr>
        <w:t>t</w:t>
      </w:r>
      <w:r w:rsidR="00901E46" w:rsidRPr="00C97895">
        <w:rPr>
          <w:rFonts w:asciiTheme="minorHAnsi" w:hAnsiTheme="minorHAnsi" w:cstheme="minorHAnsi"/>
          <w:color w:val="000000" w:themeColor="text1"/>
          <w:sz w:val="22"/>
          <w:szCs w:val="22"/>
        </w:rPr>
        <w:t xml:space="preserve">he </w:t>
      </w:r>
      <w:r w:rsidR="00497362" w:rsidRPr="00C97895">
        <w:rPr>
          <w:rFonts w:asciiTheme="minorHAnsi" w:hAnsiTheme="minorHAnsi" w:cstheme="minorHAnsi"/>
          <w:color w:val="000000" w:themeColor="text1"/>
          <w:sz w:val="22"/>
          <w:szCs w:val="22"/>
        </w:rPr>
        <w:t>heritage of austerity in n</w:t>
      </w:r>
      <w:r w:rsidR="00901E46" w:rsidRPr="00C97895">
        <w:rPr>
          <w:rFonts w:asciiTheme="minorHAnsi" w:hAnsiTheme="minorHAnsi" w:cstheme="minorHAnsi"/>
          <w:color w:val="000000" w:themeColor="text1"/>
          <w:sz w:val="22"/>
          <w:szCs w:val="22"/>
        </w:rPr>
        <w:t xml:space="preserve">eoliberal principles, objectives and discursive strategy is clearly recognisable (see </w:t>
      </w:r>
      <w:r w:rsidR="004E3E6D">
        <w:rPr>
          <w:rFonts w:asciiTheme="minorHAnsi" w:hAnsiTheme="minorHAnsi" w:cstheme="minorHAnsi"/>
          <w:color w:val="000000" w:themeColor="text1"/>
          <w:sz w:val="22"/>
          <w:szCs w:val="22"/>
        </w:rPr>
        <w:t>Farnsworth and Irving, 2018</w:t>
      </w:r>
      <w:r w:rsidR="00901E46" w:rsidRPr="00C97895">
        <w:rPr>
          <w:rFonts w:asciiTheme="minorHAnsi" w:hAnsiTheme="minorHAnsi" w:cstheme="minorHAnsi"/>
          <w:color w:val="000000" w:themeColor="text1"/>
          <w:sz w:val="22"/>
          <w:szCs w:val="22"/>
        </w:rPr>
        <w:t xml:space="preserve">). </w:t>
      </w:r>
      <w:r w:rsidR="00497362" w:rsidRPr="00C97895">
        <w:rPr>
          <w:rFonts w:asciiTheme="minorHAnsi" w:hAnsiTheme="minorHAnsi" w:cstheme="minorHAnsi"/>
          <w:color w:val="000000" w:themeColor="text1"/>
          <w:sz w:val="22"/>
          <w:szCs w:val="22"/>
        </w:rPr>
        <w:t>While t</w:t>
      </w:r>
      <w:r w:rsidR="00A12614" w:rsidRPr="00C97895">
        <w:rPr>
          <w:rFonts w:asciiTheme="minorHAnsi" w:hAnsiTheme="minorHAnsi" w:cstheme="minorHAnsi"/>
          <w:color w:val="000000" w:themeColor="text1"/>
          <w:sz w:val="22"/>
          <w:szCs w:val="22"/>
        </w:rPr>
        <w:t>here are key areas where austerity has provided continuity, sealed embeddedness and guaranteed the kind of irrevocable change that secure</w:t>
      </w:r>
      <w:r w:rsidR="00497362" w:rsidRPr="00C97895">
        <w:rPr>
          <w:rFonts w:asciiTheme="minorHAnsi" w:hAnsiTheme="minorHAnsi" w:cstheme="minorHAnsi"/>
          <w:color w:val="000000" w:themeColor="text1"/>
          <w:sz w:val="22"/>
          <w:szCs w:val="22"/>
        </w:rPr>
        <w:t>s</w:t>
      </w:r>
      <w:r w:rsidR="00A12614" w:rsidRPr="00C97895">
        <w:rPr>
          <w:rFonts w:asciiTheme="minorHAnsi" w:hAnsiTheme="minorHAnsi" w:cstheme="minorHAnsi"/>
          <w:color w:val="000000" w:themeColor="text1"/>
          <w:sz w:val="22"/>
          <w:szCs w:val="22"/>
        </w:rPr>
        <w:t xml:space="preserve"> Thatcher’s legacy, </w:t>
      </w:r>
      <w:r w:rsidR="00497362" w:rsidRPr="00C97895">
        <w:rPr>
          <w:rFonts w:asciiTheme="minorHAnsi" w:hAnsiTheme="minorHAnsi" w:cstheme="minorHAnsi"/>
          <w:color w:val="000000" w:themeColor="text1"/>
          <w:sz w:val="22"/>
          <w:szCs w:val="22"/>
        </w:rPr>
        <w:t>it has</w:t>
      </w:r>
      <w:r w:rsidR="00A12614" w:rsidRPr="00C97895">
        <w:rPr>
          <w:rFonts w:asciiTheme="minorHAnsi" w:hAnsiTheme="minorHAnsi" w:cstheme="minorHAnsi"/>
          <w:color w:val="000000" w:themeColor="text1"/>
          <w:sz w:val="22"/>
          <w:szCs w:val="22"/>
        </w:rPr>
        <w:t xml:space="preserve"> a</w:t>
      </w:r>
      <w:r w:rsidR="0039458A" w:rsidRPr="00C97895">
        <w:rPr>
          <w:rFonts w:asciiTheme="minorHAnsi" w:hAnsiTheme="minorHAnsi" w:cstheme="minorHAnsi"/>
          <w:color w:val="000000" w:themeColor="text1"/>
          <w:sz w:val="22"/>
          <w:szCs w:val="22"/>
        </w:rPr>
        <w:t>t the same time</w:t>
      </w:r>
      <w:r w:rsidR="00A12614" w:rsidRPr="00C97895">
        <w:rPr>
          <w:rFonts w:asciiTheme="minorHAnsi" w:hAnsiTheme="minorHAnsi" w:cstheme="minorHAnsi"/>
          <w:color w:val="000000" w:themeColor="text1"/>
          <w:sz w:val="22"/>
          <w:szCs w:val="22"/>
        </w:rPr>
        <w:t xml:space="preserve"> </w:t>
      </w:r>
      <w:r w:rsidR="0039458A" w:rsidRPr="00C97895">
        <w:rPr>
          <w:rFonts w:asciiTheme="minorHAnsi" w:hAnsiTheme="minorHAnsi" w:cstheme="minorHAnsi"/>
          <w:color w:val="000000" w:themeColor="text1"/>
          <w:sz w:val="22"/>
          <w:szCs w:val="22"/>
        </w:rPr>
        <w:t>produce</w:t>
      </w:r>
      <w:r w:rsidR="00497362" w:rsidRPr="00C97895">
        <w:rPr>
          <w:rFonts w:asciiTheme="minorHAnsi" w:hAnsiTheme="minorHAnsi" w:cstheme="minorHAnsi"/>
          <w:color w:val="000000" w:themeColor="text1"/>
          <w:sz w:val="22"/>
          <w:szCs w:val="22"/>
        </w:rPr>
        <w:t>d</w:t>
      </w:r>
      <w:r w:rsidR="0039458A" w:rsidRPr="00C97895">
        <w:rPr>
          <w:rFonts w:asciiTheme="minorHAnsi" w:hAnsiTheme="minorHAnsi" w:cstheme="minorHAnsi"/>
          <w:color w:val="000000" w:themeColor="text1"/>
          <w:sz w:val="22"/>
          <w:szCs w:val="22"/>
        </w:rPr>
        <w:t xml:space="preserve"> enduring</w:t>
      </w:r>
      <w:r w:rsidR="00A12614" w:rsidRPr="00C97895">
        <w:rPr>
          <w:rFonts w:asciiTheme="minorHAnsi" w:hAnsiTheme="minorHAnsi" w:cstheme="minorHAnsi"/>
          <w:color w:val="000000" w:themeColor="text1"/>
          <w:sz w:val="22"/>
          <w:szCs w:val="22"/>
        </w:rPr>
        <w:t xml:space="preserve"> legac</w:t>
      </w:r>
      <w:r w:rsidR="00F62EAF">
        <w:rPr>
          <w:rFonts w:asciiTheme="minorHAnsi" w:hAnsiTheme="minorHAnsi" w:cstheme="minorHAnsi"/>
          <w:color w:val="000000" w:themeColor="text1"/>
          <w:sz w:val="22"/>
          <w:szCs w:val="22"/>
        </w:rPr>
        <w:t>ies</w:t>
      </w:r>
      <w:r w:rsidR="00A12614" w:rsidRPr="00C97895">
        <w:rPr>
          <w:rFonts w:asciiTheme="minorHAnsi" w:hAnsiTheme="minorHAnsi" w:cstheme="minorHAnsi"/>
          <w:color w:val="000000" w:themeColor="text1"/>
          <w:sz w:val="22"/>
          <w:szCs w:val="22"/>
        </w:rPr>
        <w:t xml:space="preserve"> </w:t>
      </w:r>
      <w:r w:rsidR="0039458A" w:rsidRPr="00C97895">
        <w:rPr>
          <w:rFonts w:asciiTheme="minorHAnsi" w:hAnsiTheme="minorHAnsi" w:cstheme="minorHAnsi"/>
          <w:color w:val="000000" w:themeColor="text1"/>
          <w:sz w:val="22"/>
          <w:szCs w:val="22"/>
        </w:rPr>
        <w:t>of</w:t>
      </w:r>
      <w:r w:rsidR="00A12614" w:rsidRPr="00C97895">
        <w:rPr>
          <w:rFonts w:asciiTheme="minorHAnsi" w:hAnsiTheme="minorHAnsi" w:cstheme="minorHAnsi"/>
          <w:color w:val="000000" w:themeColor="text1"/>
          <w:sz w:val="22"/>
          <w:szCs w:val="22"/>
        </w:rPr>
        <w:t xml:space="preserve"> </w:t>
      </w:r>
      <w:r w:rsidR="00497362" w:rsidRPr="00C97895">
        <w:rPr>
          <w:rFonts w:asciiTheme="minorHAnsi" w:hAnsiTheme="minorHAnsi" w:cstheme="minorHAnsi"/>
          <w:color w:val="000000" w:themeColor="text1"/>
          <w:sz w:val="22"/>
          <w:szCs w:val="22"/>
        </w:rPr>
        <w:t>its own</w:t>
      </w:r>
      <w:r w:rsidR="00B87026" w:rsidRPr="00C97895">
        <w:rPr>
          <w:rFonts w:asciiTheme="minorHAnsi" w:hAnsiTheme="minorHAnsi" w:cstheme="minorHAnsi"/>
          <w:color w:val="000000" w:themeColor="text1"/>
          <w:sz w:val="22"/>
          <w:szCs w:val="22"/>
        </w:rPr>
        <w:t xml:space="preserve">. </w:t>
      </w:r>
    </w:p>
    <w:p w14:paraId="74F1C71D" w14:textId="77777777" w:rsidR="00536C0A" w:rsidRPr="00C97895" w:rsidRDefault="00536C0A" w:rsidP="00536C0A">
      <w:pPr>
        <w:rPr>
          <w:rFonts w:asciiTheme="minorHAnsi" w:hAnsiTheme="minorHAnsi" w:cstheme="minorHAnsi"/>
          <w:sz w:val="22"/>
          <w:szCs w:val="22"/>
        </w:rPr>
      </w:pPr>
    </w:p>
    <w:p w14:paraId="13B0A371" w14:textId="292D67B1" w:rsidR="00DF60F0" w:rsidRDefault="00BD6949" w:rsidP="00B87026">
      <w:pPr>
        <w:rPr>
          <w:rFonts w:asciiTheme="minorHAnsi" w:hAnsiTheme="minorHAnsi" w:cstheme="minorHAnsi"/>
          <w:color w:val="000000" w:themeColor="text1"/>
          <w:sz w:val="22"/>
          <w:szCs w:val="22"/>
        </w:rPr>
      </w:pPr>
      <w:r w:rsidRPr="00C97895">
        <w:rPr>
          <w:rFonts w:asciiTheme="minorHAnsi" w:hAnsiTheme="minorHAnsi" w:cstheme="minorHAnsi"/>
          <w:sz w:val="22"/>
          <w:szCs w:val="22"/>
        </w:rPr>
        <w:t xml:space="preserve">It is also </w:t>
      </w:r>
      <w:r w:rsidR="00B15B57" w:rsidRPr="00C97895">
        <w:rPr>
          <w:rFonts w:asciiTheme="minorHAnsi" w:hAnsiTheme="minorHAnsi" w:cstheme="minorHAnsi"/>
          <w:sz w:val="22"/>
          <w:szCs w:val="22"/>
        </w:rPr>
        <w:t xml:space="preserve">important to recognise that Wilding’s assessment did not extend beyond the UK, and the consequences for the British welfare state. </w:t>
      </w:r>
      <w:r w:rsidR="00536C0A" w:rsidRPr="00C97895">
        <w:rPr>
          <w:rFonts w:asciiTheme="minorHAnsi" w:hAnsiTheme="minorHAnsi" w:cstheme="minorHAnsi"/>
          <w:sz w:val="22"/>
          <w:szCs w:val="22"/>
        </w:rPr>
        <w:t xml:space="preserve">In the decades following his work the transmission of ‘Thatcherism’, the New right, Reaganomics and their parts in the global neoliberal turn has been widely interrogated </w:t>
      </w:r>
      <w:r w:rsidR="00536C0A" w:rsidRPr="00514186">
        <w:rPr>
          <w:rFonts w:asciiTheme="minorHAnsi" w:hAnsiTheme="minorHAnsi" w:cstheme="minorHAnsi"/>
          <w:sz w:val="22"/>
          <w:szCs w:val="22"/>
        </w:rPr>
        <w:t>(see for example</w:t>
      </w:r>
      <w:r w:rsidR="00514186" w:rsidRPr="00514186">
        <w:rPr>
          <w:rFonts w:asciiTheme="minorHAnsi" w:hAnsiTheme="minorHAnsi" w:cstheme="minorHAnsi"/>
          <w:sz w:val="22"/>
          <w:szCs w:val="22"/>
        </w:rPr>
        <w:t xml:space="preserve"> Harvey, 200</w:t>
      </w:r>
      <w:r w:rsidR="00514186">
        <w:rPr>
          <w:rFonts w:asciiTheme="minorHAnsi" w:hAnsiTheme="minorHAnsi" w:cstheme="minorHAnsi"/>
          <w:sz w:val="22"/>
          <w:szCs w:val="22"/>
        </w:rPr>
        <w:t>7</w:t>
      </w:r>
      <w:r w:rsidR="00536C0A" w:rsidRPr="00514186">
        <w:rPr>
          <w:rFonts w:asciiTheme="minorHAnsi" w:hAnsiTheme="minorHAnsi" w:cstheme="minorHAnsi"/>
          <w:sz w:val="22"/>
          <w:szCs w:val="22"/>
        </w:rPr>
        <w:t>).</w:t>
      </w:r>
      <w:r w:rsidR="00536C0A" w:rsidRPr="00C97895">
        <w:rPr>
          <w:rFonts w:asciiTheme="minorHAnsi" w:hAnsiTheme="minorHAnsi" w:cstheme="minorHAnsi"/>
          <w:sz w:val="22"/>
          <w:szCs w:val="22"/>
        </w:rPr>
        <w:t xml:space="preserve"> The absence of a legacy for Europe as a project </w:t>
      </w:r>
      <w:r w:rsidR="00536C0A" w:rsidRPr="00C97895">
        <w:rPr>
          <w:rFonts w:asciiTheme="minorHAnsi" w:hAnsiTheme="minorHAnsi" w:cstheme="minorHAnsi"/>
          <w:sz w:val="22"/>
          <w:szCs w:val="22"/>
        </w:rPr>
        <w:lastRenderedPageBreak/>
        <w:t xml:space="preserve">and a policy sphere is also notable, when as </w:t>
      </w:r>
      <w:proofErr w:type="spellStart"/>
      <w:r w:rsidR="00536C0A" w:rsidRPr="00C97895">
        <w:rPr>
          <w:rFonts w:asciiTheme="minorHAnsi" w:hAnsiTheme="minorHAnsi" w:cstheme="minorHAnsi"/>
          <w:color w:val="000000" w:themeColor="text1"/>
          <w:sz w:val="22"/>
          <w:szCs w:val="22"/>
        </w:rPr>
        <w:t>Espiet-Kilty</w:t>
      </w:r>
      <w:proofErr w:type="spellEnd"/>
      <w:r w:rsidR="00536C0A" w:rsidRPr="00C97895">
        <w:rPr>
          <w:rFonts w:asciiTheme="minorHAnsi" w:hAnsiTheme="minorHAnsi" w:cstheme="minorHAnsi"/>
          <w:color w:val="000000" w:themeColor="text1"/>
          <w:sz w:val="22"/>
          <w:szCs w:val="22"/>
          <w:shd w:val="clear" w:color="auto" w:fill="FFFFFF"/>
        </w:rPr>
        <w:t xml:space="preserve"> (2015) notes, Euroscepticism is central to the Thatcher legacy and has claimed a victory in the exit of the UK from the European Union. </w:t>
      </w:r>
      <w:r w:rsidR="00B15B57" w:rsidRPr="00C97895">
        <w:rPr>
          <w:rFonts w:asciiTheme="minorHAnsi" w:hAnsiTheme="minorHAnsi" w:cstheme="minorHAnsi"/>
          <w:sz w:val="22"/>
          <w:szCs w:val="22"/>
        </w:rPr>
        <w:t>In view of th</w:t>
      </w:r>
      <w:r w:rsidR="00536C0A" w:rsidRPr="00C97895">
        <w:rPr>
          <w:rFonts w:asciiTheme="minorHAnsi" w:hAnsiTheme="minorHAnsi" w:cstheme="minorHAnsi"/>
          <w:sz w:val="22"/>
          <w:szCs w:val="22"/>
        </w:rPr>
        <w:t>ese benefits of hindsight</w:t>
      </w:r>
      <w:r w:rsidR="00B15B57" w:rsidRPr="00C97895">
        <w:rPr>
          <w:rFonts w:asciiTheme="minorHAnsi" w:hAnsiTheme="minorHAnsi" w:cstheme="minorHAnsi"/>
          <w:sz w:val="22"/>
          <w:szCs w:val="22"/>
        </w:rPr>
        <w:t>, the following analysis is not limited to the UK and considers austerity as an international and global phenomenon.</w:t>
      </w:r>
      <w:r w:rsidR="009B7324">
        <w:rPr>
          <w:rFonts w:asciiTheme="minorHAnsi" w:hAnsiTheme="minorHAnsi" w:cstheme="minorHAnsi"/>
          <w:sz w:val="22"/>
          <w:szCs w:val="22"/>
        </w:rPr>
        <w:t xml:space="preserve"> It must also be recognised that although austerity is a global phenomenon in that it has left no country-level welfare discourse untouched, there are also significant differences in the extent to which states have embraced, accepted and resisted austerity measures (Farnsworth and Irving, 2012; </w:t>
      </w:r>
      <w:r w:rsidR="009B7324" w:rsidRPr="009B7324">
        <w:rPr>
          <w:rFonts w:asciiTheme="minorHAnsi" w:hAnsiTheme="minorHAnsi" w:cstheme="minorHAnsi"/>
          <w:color w:val="000000" w:themeColor="text1"/>
          <w:sz w:val="22"/>
          <w:szCs w:val="22"/>
        </w:rPr>
        <w:t xml:space="preserve">Cantillon </w:t>
      </w:r>
      <w:r w:rsidR="009B7324">
        <w:rPr>
          <w:rFonts w:asciiTheme="minorHAnsi" w:hAnsiTheme="minorHAnsi" w:cstheme="minorHAnsi"/>
          <w:color w:val="000000" w:themeColor="text1"/>
          <w:sz w:val="22"/>
          <w:szCs w:val="22"/>
        </w:rPr>
        <w:t xml:space="preserve">et al, </w:t>
      </w:r>
      <w:r w:rsidR="009B7324" w:rsidRPr="009B7324">
        <w:rPr>
          <w:rFonts w:asciiTheme="minorHAnsi" w:hAnsiTheme="minorHAnsi" w:cstheme="minorHAnsi"/>
          <w:color w:val="000000" w:themeColor="text1"/>
          <w:sz w:val="22"/>
          <w:szCs w:val="22"/>
        </w:rPr>
        <w:t>2017</w:t>
      </w:r>
      <w:r w:rsidR="009B7324">
        <w:rPr>
          <w:rFonts w:asciiTheme="minorHAnsi" w:hAnsiTheme="minorHAnsi" w:cstheme="minorHAnsi"/>
          <w:color w:val="000000" w:themeColor="text1"/>
          <w:sz w:val="22"/>
          <w:szCs w:val="22"/>
        </w:rPr>
        <w:t xml:space="preserve">; </w:t>
      </w:r>
      <w:r w:rsidR="009B7324" w:rsidRPr="009B7324">
        <w:rPr>
          <w:rFonts w:asciiTheme="minorHAnsi" w:hAnsiTheme="minorHAnsi" w:cstheme="minorHAnsi"/>
          <w:color w:val="000000" w:themeColor="text1"/>
          <w:sz w:val="22"/>
          <w:szCs w:val="22"/>
        </w:rPr>
        <w:t xml:space="preserve">Perez </w:t>
      </w:r>
      <w:r w:rsidR="009B7324">
        <w:rPr>
          <w:rFonts w:asciiTheme="minorHAnsi" w:hAnsiTheme="minorHAnsi" w:cstheme="minorHAnsi"/>
          <w:color w:val="000000" w:themeColor="text1"/>
          <w:sz w:val="22"/>
          <w:szCs w:val="22"/>
        </w:rPr>
        <w:t>and</w:t>
      </w:r>
      <w:r w:rsidR="009B7324" w:rsidRPr="009B7324">
        <w:rPr>
          <w:rFonts w:asciiTheme="minorHAnsi" w:hAnsiTheme="minorHAnsi" w:cstheme="minorHAnsi"/>
          <w:color w:val="000000" w:themeColor="text1"/>
          <w:sz w:val="22"/>
          <w:szCs w:val="22"/>
        </w:rPr>
        <w:t xml:space="preserve"> </w:t>
      </w:r>
      <w:proofErr w:type="spellStart"/>
      <w:r w:rsidR="009B7324" w:rsidRPr="009B7324">
        <w:rPr>
          <w:rFonts w:asciiTheme="minorHAnsi" w:hAnsiTheme="minorHAnsi" w:cstheme="minorHAnsi"/>
          <w:color w:val="000000" w:themeColor="text1"/>
          <w:sz w:val="22"/>
          <w:szCs w:val="22"/>
        </w:rPr>
        <w:t>Matsaganis</w:t>
      </w:r>
      <w:proofErr w:type="spellEnd"/>
      <w:r w:rsidR="009B7324">
        <w:rPr>
          <w:rFonts w:asciiTheme="minorHAnsi" w:hAnsiTheme="minorHAnsi" w:cstheme="minorHAnsi"/>
          <w:color w:val="000000" w:themeColor="text1"/>
          <w:sz w:val="22"/>
          <w:szCs w:val="22"/>
        </w:rPr>
        <w:t xml:space="preserve">, </w:t>
      </w:r>
      <w:r w:rsidR="009B7324" w:rsidRPr="009B7324">
        <w:rPr>
          <w:rFonts w:asciiTheme="minorHAnsi" w:hAnsiTheme="minorHAnsi" w:cstheme="minorHAnsi"/>
          <w:color w:val="000000" w:themeColor="text1"/>
          <w:sz w:val="22"/>
          <w:szCs w:val="22"/>
        </w:rPr>
        <w:t>2018)</w:t>
      </w:r>
      <w:r w:rsidR="009B7324">
        <w:rPr>
          <w:rFonts w:asciiTheme="minorHAnsi" w:hAnsiTheme="minorHAnsi" w:cstheme="minorHAnsi"/>
          <w:color w:val="000000" w:themeColor="text1"/>
          <w:sz w:val="22"/>
          <w:szCs w:val="22"/>
        </w:rPr>
        <w:t>.</w:t>
      </w:r>
      <w:r w:rsidR="00DF60F0">
        <w:rPr>
          <w:rFonts w:asciiTheme="minorHAnsi" w:hAnsiTheme="minorHAnsi" w:cstheme="minorHAnsi"/>
          <w:color w:val="000000" w:themeColor="text1"/>
          <w:sz w:val="22"/>
          <w:szCs w:val="22"/>
        </w:rPr>
        <w:t xml:space="preserve"> </w:t>
      </w:r>
    </w:p>
    <w:p w14:paraId="58760501" w14:textId="77777777" w:rsidR="00DF60F0" w:rsidRDefault="00DF60F0" w:rsidP="00B87026">
      <w:pPr>
        <w:rPr>
          <w:rFonts w:asciiTheme="minorHAnsi" w:hAnsiTheme="minorHAnsi" w:cstheme="minorHAnsi"/>
          <w:color w:val="000000" w:themeColor="text1"/>
          <w:sz w:val="22"/>
          <w:szCs w:val="22"/>
        </w:rPr>
      </w:pPr>
    </w:p>
    <w:p w14:paraId="5D261F03" w14:textId="67AC5687" w:rsidR="00DF60F0" w:rsidRPr="00DF60F0" w:rsidRDefault="00DF60F0" w:rsidP="00DF60F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four </w:t>
      </w:r>
      <w:r w:rsidR="00F62EAF">
        <w:rPr>
          <w:rFonts w:asciiTheme="minorHAnsi" w:hAnsiTheme="minorHAnsi" w:cstheme="minorHAnsi"/>
          <w:color w:val="000000" w:themeColor="text1"/>
          <w:sz w:val="22"/>
          <w:szCs w:val="22"/>
        </w:rPr>
        <w:t>legacie</w:t>
      </w:r>
      <w:r>
        <w:rPr>
          <w:rFonts w:asciiTheme="minorHAnsi" w:hAnsiTheme="minorHAnsi" w:cstheme="minorHAnsi"/>
          <w:color w:val="000000" w:themeColor="text1"/>
          <w:sz w:val="22"/>
          <w:szCs w:val="22"/>
        </w:rPr>
        <w:t xml:space="preserve">s discussed below are also global in reach but variable in shape and impact. </w:t>
      </w:r>
      <w:r w:rsidRPr="00C97895">
        <w:rPr>
          <w:rFonts w:asciiTheme="minorHAnsi" w:hAnsiTheme="minorHAnsi" w:cstheme="minorHAnsi"/>
          <w:color w:val="000000" w:themeColor="text1"/>
          <w:sz w:val="22"/>
          <w:szCs w:val="22"/>
        </w:rPr>
        <w:t>The</w:t>
      </w:r>
      <w:r>
        <w:rPr>
          <w:rFonts w:asciiTheme="minorHAnsi" w:hAnsiTheme="minorHAnsi" w:cstheme="minorHAnsi"/>
          <w:color w:val="000000" w:themeColor="text1"/>
          <w:sz w:val="22"/>
          <w:szCs w:val="22"/>
        </w:rPr>
        <w:t>y</w:t>
      </w:r>
      <w:r w:rsidRPr="00C97895">
        <w:rPr>
          <w:rFonts w:asciiTheme="minorHAnsi" w:hAnsiTheme="minorHAnsi" w:cstheme="minorHAnsi"/>
          <w:color w:val="000000" w:themeColor="text1"/>
          <w:sz w:val="22"/>
          <w:szCs w:val="22"/>
        </w:rPr>
        <w:t xml:space="preserve"> encompass the ten legacies identified by </w:t>
      </w:r>
      <w:r w:rsidRPr="00F62EAF">
        <w:rPr>
          <w:rFonts w:asciiTheme="minorHAnsi" w:hAnsiTheme="minorHAnsi" w:cstheme="minorHAnsi"/>
          <w:color w:val="000000" w:themeColor="text1"/>
          <w:sz w:val="22"/>
          <w:szCs w:val="22"/>
        </w:rPr>
        <w:t xml:space="preserve">Wilding, but for the purposes of this analysis are dealt with at a more abstract level to capture </w:t>
      </w:r>
      <w:r w:rsidR="00F62EAF">
        <w:rPr>
          <w:rFonts w:asciiTheme="minorHAnsi" w:hAnsiTheme="minorHAnsi" w:cstheme="minorHAnsi"/>
          <w:color w:val="000000" w:themeColor="text1"/>
          <w:sz w:val="22"/>
          <w:szCs w:val="22"/>
        </w:rPr>
        <w:t xml:space="preserve">their global conditioning effects rather than their national character. </w:t>
      </w:r>
      <w:proofErr w:type="gramStart"/>
      <w:r w:rsidR="00F62EAF">
        <w:rPr>
          <w:rFonts w:asciiTheme="minorHAnsi" w:hAnsiTheme="minorHAnsi" w:cstheme="minorHAnsi"/>
          <w:color w:val="000000" w:themeColor="text1"/>
          <w:sz w:val="22"/>
          <w:szCs w:val="22"/>
        </w:rPr>
        <w:t>Thus</w:t>
      </w:r>
      <w:proofErr w:type="gramEnd"/>
      <w:r w:rsidR="00F62EAF">
        <w:rPr>
          <w:rFonts w:asciiTheme="minorHAnsi" w:hAnsiTheme="minorHAnsi" w:cstheme="minorHAnsi"/>
          <w:color w:val="000000" w:themeColor="text1"/>
          <w:sz w:val="22"/>
          <w:szCs w:val="22"/>
        </w:rPr>
        <w:t xml:space="preserve"> austerity’s legacies are condensed to four themes that represent significant change in the realms of ideas, societies, economies and politics as they pertain to social policy and the welfare state. While it is not possible to undertake detailed analysis of the legacies’ domains of </w:t>
      </w:r>
      <w:proofErr w:type="gramStart"/>
      <w:r w:rsidR="00F62EAF">
        <w:rPr>
          <w:rFonts w:asciiTheme="minorHAnsi" w:hAnsiTheme="minorHAnsi" w:cstheme="minorHAnsi"/>
          <w:color w:val="000000" w:themeColor="text1"/>
          <w:sz w:val="22"/>
          <w:szCs w:val="22"/>
        </w:rPr>
        <w:t>impact</w:t>
      </w:r>
      <w:proofErr w:type="gramEnd"/>
      <w:r w:rsidR="00F62EAF">
        <w:rPr>
          <w:rFonts w:asciiTheme="minorHAnsi" w:hAnsiTheme="minorHAnsi" w:cstheme="minorHAnsi"/>
          <w:color w:val="000000" w:themeColor="text1"/>
          <w:sz w:val="22"/>
          <w:szCs w:val="22"/>
        </w:rPr>
        <w:t xml:space="preserve"> they are indicated in Table 1 and illustrative evidence is discussed in the following sections.</w:t>
      </w:r>
    </w:p>
    <w:p w14:paraId="16E7FEC9" w14:textId="77777777" w:rsidR="00DF60F0" w:rsidRPr="00C97895" w:rsidRDefault="00DF60F0" w:rsidP="00B87026">
      <w:pPr>
        <w:rPr>
          <w:rFonts w:asciiTheme="minorHAnsi" w:hAnsiTheme="minorHAnsi" w:cstheme="minorHAnsi"/>
          <w:sz w:val="22"/>
          <w:szCs w:val="22"/>
        </w:rPr>
      </w:pPr>
    </w:p>
    <w:p w14:paraId="1BABF1BF" w14:textId="2E65F020" w:rsidR="002F1B70" w:rsidRPr="00C97895" w:rsidRDefault="002F1B70" w:rsidP="00EA154D">
      <w:pPr>
        <w:ind w:left="360"/>
        <w:rPr>
          <w:rFonts w:asciiTheme="minorHAnsi" w:hAnsiTheme="minorHAnsi" w:cstheme="minorHAnsi"/>
          <w:sz w:val="22"/>
          <w:szCs w:val="22"/>
        </w:rPr>
      </w:pPr>
    </w:p>
    <w:p w14:paraId="70C13C9A" w14:textId="764A82AF" w:rsidR="005C24AE" w:rsidRPr="0007232E" w:rsidRDefault="002F1B70" w:rsidP="002F3021">
      <w:pPr>
        <w:rPr>
          <w:rFonts w:asciiTheme="minorHAnsi" w:hAnsiTheme="minorHAnsi" w:cstheme="minorHAnsi"/>
          <w:b/>
          <w:bCs/>
          <w:sz w:val="22"/>
          <w:szCs w:val="22"/>
        </w:rPr>
      </w:pPr>
      <w:r w:rsidRPr="0007232E">
        <w:rPr>
          <w:rFonts w:asciiTheme="minorHAnsi" w:hAnsiTheme="minorHAnsi" w:cstheme="minorHAnsi"/>
          <w:b/>
          <w:bCs/>
          <w:sz w:val="22"/>
          <w:szCs w:val="22"/>
        </w:rPr>
        <w:t>Table 1</w:t>
      </w:r>
      <w:r w:rsidR="0007232E">
        <w:rPr>
          <w:rFonts w:asciiTheme="minorHAnsi" w:hAnsiTheme="minorHAnsi" w:cstheme="minorHAnsi"/>
          <w:b/>
          <w:bCs/>
          <w:sz w:val="22"/>
          <w:szCs w:val="22"/>
        </w:rPr>
        <w:t>.</w:t>
      </w:r>
      <w:r w:rsidRPr="0007232E">
        <w:rPr>
          <w:rFonts w:asciiTheme="minorHAnsi" w:hAnsiTheme="minorHAnsi" w:cstheme="minorHAnsi"/>
          <w:b/>
          <w:bCs/>
          <w:sz w:val="22"/>
          <w:szCs w:val="22"/>
        </w:rPr>
        <w:t xml:space="preserve"> The Legacies of Thatcherism and austerity combined</w:t>
      </w:r>
    </w:p>
    <w:p w14:paraId="61693F2E" w14:textId="77777777" w:rsidR="002F1B70" w:rsidRPr="00C97895" w:rsidRDefault="002F1B70" w:rsidP="002F3021">
      <w:pPr>
        <w:rPr>
          <w:rFonts w:asciiTheme="minorHAnsi" w:hAnsiTheme="minorHAnsi" w:cstheme="minorHAnsi"/>
          <w:sz w:val="22"/>
          <w:szCs w:val="22"/>
        </w:rPr>
      </w:pPr>
    </w:p>
    <w:tbl>
      <w:tblPr>
        <w:tblStyle w:val="PlainTable2"/>
        <w:tblW w:w="8789" w:type="dxa"/>
        <w:tblLook w:val="04A0" w:firstRow="1" w:lastRow="0" w:firstColumn="1" w:lastColumn="0" w:noHBand="0" w:noVBand="1"/>
      </w:tblPr>
      <w:tblGrid>
        <w:gridCol w:w="3604"/>
        <w:gridCol w:w="2273"/>
        <w:gridCol w:w="2912"/>
      </w:tblGrid>
      <w:tr w:rsidR="00D87796" w:rsidRPr="00C97895" w14:paraId="05EF08B1" w14:textId="1D32A88A" w:rsidTr="00F62E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4" w:type="dxa"/>
          </w:tcPr>
          <w:p w14:paraId="602ADC6A" w14:textId="6A0A1B7D" w:rsidR="00F767AB" w:rsidRPr="00C97895" w:rsidRDefault="00F767AB" w:rsidP="00EA154D">
            <w:pPr>
              <w:rPr>
                <w:rFonts w:asciiTheme="minorHAnsi" w:hAnsiTheme="minorHAnsi" w:cstheme="minorHAnsi"/>
                <w:sz w:val="22"/>
                <w:szCs w:val="22"/>
              </w:rPr>
            </w:pPr>
            <w:r w:rsidRPr="00C97895">
              <w:rPr>
                <w:rFonts w:asciiTheme="minorHAnsi" w:hAnsiTheme="minorHAnsi" w:cstheme="minorHAnsi"/>
                <w:sz w:val="22"/>
                <w:szCs w:val="22"/>
              </w:rPr>
              <w:t>The 10 significant legacies of Thatcherism (Wilding</w:t>
            </w:r>
            <w:r w:rsidR="00D87796" w:rsidRPr="00C97895">
              <w:rPr>
                <w:rFonts w:asciiTheme="minorHAnsi" w:hAnsiTheme="minorHAnsi" w:cstheme="minorHAnsi"/>
                <w:sz w:val="22"/>
                <w:szCs w:val="22"/>
              </w:rPr>
              <w:t>,</w:t>
            </w:r>
            <w:r w:rsidRPr="00C97895">
              <w:rPr>
                <w:rFonts w:asciiTheme="minorHAnsi" w:hAnsiTheme="minorHAnsi" w:cstheme="minorHAnsi"/>
                <w:sz w:val="22"/>
                <w:szCs w:val="22"/>
              </w:rPr>
              <w:t xml:space="preserve"> 1992)</w:t>
            </w:r>
          </w:p>
        </w:tc>
        <w:tc>
          <w:tcPr>
            <w:tcW w:w="2273" w:type="dxa"/>
          </w:tcPr>
          <w:p w14:paraId="6756BF1F" w14:textId="71454390" w:rsidR="00F767AB" w:rsidRPr="00C97895" w:rsidRDefault="00F767AB" w:rsidP="00EA154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97895">
              <w:rPr>
                <w:rFonts w:asciiTheme="minorHAnsi" w:hAnsiTheme="minorHAnsi" w:cstheme="minorHAnsi"/>
                <w:sz w:val="22"/>
                <w:szCs w:val="22"/>
              </w:rPr>
              <w:t>The legacies of Austerity</w:t>
            </w:r>
          </w:p>
        </w:tc>
        <w:tc>
          <w:tcPr>
            <w:tcW w:w="2912" w:type="dxa"/>
          </w:tcPr>
          <w:p w14:paraId="3B787A51" w14:textId="67ADBD5B" w:rsidR="00F767AB" w:rsidRPr="00C97895" w:rsidRDefault="00844F8A" w:rsidP="00EA154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97895">
              <w:rPr>
                <w:rFonts w:asciiTheme="minorHAnsi" w:hAnsiTheme="minorHAnsi" w:cstheme="minorHAnsi"/>
                <w:sz w:val="22"/>
                <w:szCs w:val="22"/>
              </w:rPr>
              <w:t>D</w:t>
            </w:r>
            <w:r w:rsidR="00B87026" w:rsidRPr="00C97895">
              <w:rPr>
                <w:rFonts w:asciiTheme="minorHAnsi" w:hAnsiTheme="minorHAnsi" w:cstheme="minorHAnsi"/>
                <w:sz w:val="22"/>
                <w:szCs w:val="22"/>
              </w:rPr>
              <w:t>omain</w:t>
            </w:r>
            <w:r w:rsidRPr="00C97895">
              <w:rPr>
                <w:rFonts w:asciiTheme="minorHAnsi" w:hAnsiTheme="minorHAnsi" w:cstheme="minorHAnsi"/>
                <w:sz w:val="22"/>
                <w:szCs w:val="22"/>
              </w:rPr>
              <w:t>s</w:t>
            </w:r>
            <w:r w:rsidR="00F767AB" w:rsidRPr="00C97895">
              <w:rPr>
                <w:rFonts w:asciiTheme="minorHAnsi" w:hAnsiTheme="minorHAnsi" w:cstheme="minorHAnsi"/>
                <w:sz w:val="22"/>
                <w:szCs w:val="22"/>
              </w:rPr>
              <w:t xml:space="preserve"> of impact </w:t>
            </w:r>
          </w:p>
        </w:tc>
      </w:tr>
      <w:tr w:rsidR="002F1B70" w:rsidRPr="00C97895" w14:paraId="4A6F4E88" w14:textId="17F95A82" w:rsidTr="00F62EAF">
        <w:trPr>
          <w:cnfStyle w:val="000000100000" w:firstRow="0" w:lastRow="0" w:firstColumn="0" w:lastColumn="0" w:oddVBand="0" w:evenVBand="0" w:oddHBand="1" w:evenHBand="0" w:firstRowFirstColumn="0" w:firstRowLastColumn="0" w:lastRowFirstColumn="0" w:lastRowLastColumn="0"/>
          <w:trHeight w:val="1441"/>
        </w:trPr>
        <w:tc>
          <w:tcPr>
            <w:cnfStyle w:val="001000000000" w:firstRow="0" w:lastRow="0" w:firstColumn="1" w:lastColumn="0" w:oddVBand="0" w:evenVBand="0" w:oddHBand="0" w:evenHBand="0" w:firstRowFirstColumn="0" w:firstRowLastColumn="0" w:lastRowFirstColumn="0" w:lastRowLastColumn="0"/>
            <w:tcW w:w="3604" w:type="dxa"/>
            <w:vAlign w:val="center"/>
          </w:tcPr>
          <w:p w14:paraId="273E8F3A" w14:textId="77777777" w:rsidR="002F3021" w:rsidRPr="00C97895" w:rsidRDefault="002F3021" w:rsidP="002F1B70">
            <w:pPr>
              <w:tabs>
                <w:tab w:val="left" w:pos="236"/>
                <w:tab w:val="left" w:pos="803"/>
                <w:tab w:val="left" w:pos="1370"/>
              </w:tabs>
              <w:rPr>
                <w:rFonts w:asciiTheme="minorHAnsi" w:hAnsiTheme="minorHAnsi" w:cstheme="minorHAnsi"/>
                <w:b w:val="0"/>
                <w:bCs w:val="0"/>
                <w:sz w:val="22"/>
                <w:szCs w:val="22"/>
              </w:rPr>
            </w:pPr>
          </w:p>
          <w:p w14:paraId="07B505C3" w14:textId="2C85E212" w:rsidR="00297A1A" w:rsidRPr="00C97895" w:rsidRDefault="00297A1A" w:rsidP="002F1B70">
            <w:pPr>
              <w:pStyle w:val="ListParagraph"/>
              <w:numPr>
                <w:ilvl w:val="0"/>
                <w:numId w:val="10"/>
              </w:numPr>
              <w:tabs>
                <w:tab w:val="left" w:pos="236"/>
                <w:tab w:val="left" w:pos="803"/>
                <w:tab w:val="left" w:pos="1370"/>
              </w:tabs>
              <w:ind w:left="0" w:firstLine="0"/>
              <w:rPr>
                <w:rFonts w:cstheme="minorHAnsi"/>
                <w:b w:val="0"/>
                <w:bCs w:val="0"/>
                <w:sz w:val="22"/>
                <w:szCs w:val="22"/>
                <w:lang w:val="en-GB"/>
              </w:rPr>
            </w:pPr>
            <w:r w:rsidRPr="00C97895">
              <w:rPr>
                <w:rFonts w:cstheme="minorHAnsi"/>
                <w:b w:val="0"/>
                <w:bCs w:val="0"/>
                <w:sz w:val="22"/>
                <w:szCs w:val="22"/>
                <w:lang w:val="en-GB"/>
              </w:rPr>
              <w:t>The challenge to collectivism</w:t>
            </w:r>
          </w:p>
          <w:p w14:paraId="21D1748A" w14:textId="77777777" w:rsidR="00297A1A" w:rsidRPr="00C97895" w:rsidRDefault="00297A1A" w:rsidP="002F1B70">
            <w:pPr>
              <w:pStyle w:val="ListParagraph"/>
              <w:numPr>
                <w:ilvl w:val="0"/>
                <w:numId w:val="10"/>
              </w:numPr>
              <w:tabs>
                <w:tab w:val="left" w:pos="236"/>
                <w:tab w:val="left" w:pos="803"/>
                <w:tab w:val="left" w:pos="1370"/>
              </w:tabs>
              <w:ind w:left="0" w:firstLine="0"/>
              <w:rPr>
                <w:rFonts w:cstheme="minorHAnsi"/>
                <w:b w:val="0"/>
                <w:bCs w:val="0"/>
                <w:sz w:val="22"/>
                <w:szCs w:val="22"/>
                <w:lang w:val="en-GB"/>
              </w:rPr>
            </w:pPr>
            <w:r w:rsidRPr="00C97895">
              <w:rPr>
                <w:rFonts w:cstheme="minorHAnsi"/>
                <w:b w:val="0"/>
                <w:bCs w:val="0"/>
                <w:sz w:val="22"/>
                <w:szCs w:val="22"/>
                <w:lang w:val="en-GB"/>
              </w:rPr>
              <w:t>The promotion of private provision</w:t>
            </w:r>
          </w:p>
          <w:p w14:paraId="295C2304" w14:textId="77777777" w:rsidR="00297A1A" w:rsidRPr="00C97895" w:rsidRDefault="00297A1A" w:rsidP="002F1B70">
            <w:pPr>
              <w:pStyle w:val="ListParagraph"/>
              <w:numPr>
                <w:ilvl w:val="0"/>
                <w:numId w:val="10"/>
              </w:numPr>
              <w:tabs>
                <w:tab w:val="left" w:pos="236"/>
                <w:tab w:val="left" w:pos="803"/>
                <w:tab w:val="left" w:pos="1370"/>
              </w:tabs>
              <w:ind w:left="0" w:firstLine="0"/>
              <w:rPr>
                <w:rFonts w:cstheme="minorHAnsi"/>
                <w:b w:val="0"/>
                <w:bCs w:val="0"/>
                <w:sz w:val="22"/>
                <w:szCs w:val="22"/>
                <w:lang w:val="en-GB"/>
              </w:rPr>
            </w:pPr>
            <w:r w:rsidRPr="00C97895">
              <w:rPr>
                <w:rFonts w:cstheme="minorHAnsi"/>
                <w:b w:val="0"/>
                <w:bCs w:val="0"/>
                <w:sz w:val="22"/>
                <w:szCs w:val="22"/>
                <w:lang w:val="en-GB"/>
              </w:rPr>
              <w:t>The rights of citizenship</w:t>
            </w:r>
          </w:p>
          <w:p w14:paraId="3E2D2E84" w14:textId="40EEEF39" w:rsidR="002F3021" w:rsidRPr="00C97895" w:rsidRDefault="002F3021" w:rsidP="002F1B70">
            <w:pPr>
              <w:pStyle w:val="ListParagraph"/>
              <w:tabs>
                <w:tab w:val="left" w:pos="236"/>
                <w:tab w:val="left" w:pos="803"/>
                <w:tab w:val="left" w:pos="1370"/>
              </w:tabs>
              <w:ind w:left="0"/>
              <w:rPr>
                <w:rFonts w:cstheme="minorHAnsi"/>
                <w:b w:val="0"/>
                <w:bCs w:val="0"/>
                <w:sz w:val="22"/>
                <w:szCs w:val="22"/>
                <w:lang w:val="en-GB"/>
              </w:rPr>
            </w:pPr>
          </w:p>
        </w:tc>
        <w:tc>
          <w:tcPr>
            <w:tcW w:w="2273" w:type="dxa"/>
            <w:vAlign w:val="center"/>
          </w:tcPr>
          <w:p w14:paraId="395C7A92" w14:textId="3D68DD29" w:rsidR="00297A1A" w:rsidRPr="00C97895" w:rsidRDefault="00DF60F0" w:rsidP="002F1B7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Normalising a n</w:t>
            </w:r>
            <w:r w:rsidR="00297A1A" w:rsidRPr="00C97895">
              <w:rPr>
                <w:rFonts w:asciiTheme="minorHAnsi" w:hAnsiTheme="minorHAnsi" w:cstheme="minorHAnsi"/>
                <w:sz w:val="22"/>
                <w:szCs w:val="22"/>
              </w:rPr>
              <w:t>on-commitment to welfare</w:t>
            </w:r>
          </w:p>
          <w:p w14:paraId="665E4AFA" w14:textId="177462EC" w:rsidR="00297A1A" w:rsidRPr="00C97895" w:rsidRDefault="00297A1A" w:rsidP="002F1B7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912" w:type="dxa"/>
            <w:vAlign w:val="center"/>
          </w:tcPr>
          <w:p w14:paraId="038E7149" w14:textId="6C780F9B" w:rsidR="00D87796" w:rsidRPr="00C97895" w:rsidRDefault="00297A1A" w:rsidP="002F1B70">
            <w:pPr>
              <w:pStyle w:val="ListParagraph"/>
              <w:numPr>
                <w:ilvl w:val="0"/>
                <w:numId w:val="10"/>
              </w:numPr>
              <w:ind w:left="325" w:hanging="284"/>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C97895">
              <w:rPr>
                <w:rFonts w:cstheme="minorHAnsi"/>
                <w:sz w:val="22"/>
                <w:szCs w:val="22"/>
                <w:lang w:val="en-GB"/>
              </w:rPr>
              <w:t xml:space="preserve">Ideas </w:t>
            </w:r>
            <w:r w:rsidR="008C3EE7" w:rsidRPr="00C97895">
              <w:rPr>
                <w:rFonts w:cstheme="minorHAnsi"/>
                <w:sz w:val="22"/>
                <w:szCs w:val="22"/>
                <w:lang w:val="en-GB"/>
              </w:rPr>
              <w:t>and policy discourse</w:t>
            </w:r>
          </w:p>
          <w:p w14:paraId="5411E1FA" w14:textId="16BA062E" w:rsidR="008D2477" w:rsidRPr="00C97895" w:rsidRDefault="00F62EAF" w:rsidP="008D2477">
            <w:pPr>
              <w:pStyle w:val="ListParagraph"/>
              <w:numPr>
                <w:ilvl w:val="0"/>
                <w:numId w:val="10"/>
              </w:numPr>
              <w:ind w:left="325" w:hanging="284"/>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Pr>
                <w:rFonts w:cstheme="minorHAnsi"/>
                <w:sz w:val="22"/>
                <w:szCs w:val="22"/>
                <w:lang w:val="en-GB"/>
              </w:rPr>
              <w:t>Welfare</w:t>
            </w:r>
            <w:r w:rsidR="00297A1A" w:rsidRPr="00C97895">
              <w:rPr>
                <w:rFonts w:cstheme="minorHAnsi"/>
                <w:sz w:val="22"/>
                <w:szCs w:val="22"/>
                <w:lang w:val="en-GB"/>
              </w:rPr>
              <w:t xml:space="preserve"> </w:t>
            </w:r>
            <w:r w:rsidR="008C3EE7" w:rsidRPr="00C97895">
              <w:rPr>
                <w:rFonts w:cstheme="minorHAnsi"/>
                <w:sz w:val="22"/>
                <w:szCs w:val="22"/>
                <w:lang w:val="en-GB"/>
              </w:rPr>
              <w:t>expectations</w:t>
            </w:r>
          </w:p>
        </w:tc>
      </w:tr>
      <w:tr w:rsidR="00D87796" w:rsidRPr="00C97895" w14:paraId="6C0EB26C" w14:textId="100F9D0F" w:rsidTr="00F62EAF">
        <w:trPr>
          <w:trHeight w:val="844"/>
        </w:trPr>
        <w:tc>
          <w:tcPr>
            <w:cnfStyle w:val="001000000000" w:firstRow="0" w:lastRow="0" w:firstColumn="1" w:lastColumn="0" w:oddVBand="0" w:evenVBand="0" w:oddHBand="0" w:evenHBand="0" w:firstRowFirstColumn="0" w:firstRowLastColumn="0" w:lastRowFirstColumn="0" w:lastRowLastColumn="0"/>
            <w:tcW w:w="3604" w:type="dxa"/>
            <w:vAlign w:val="center"/>
          </w:tcPr>
          <w:p w14:paraId="4E9723A4" w14:textId="260970E0" w:rsidR="00F767AB" w:rsidRPr="00C97895" w:rsidRDefault="00F767AB" w:rsidP="002F1B70">
            <w:pPr>
              <w:pStyle w:val="ListParagraph"/>
              <w:numPr>
                <w:ilvl w:val="0"/>
                <w:numId w:val="10"/>
              </w:numPr>
              <w:tabs>
                <w:tab w:val="left" w:pos="236"/>
                <w:tab w:val="left" w:pos="803"/>
                <w:tab w:val="left" w:pos="1370"/>
              </w:tabs>
              <w:ind w:left="0" w:firstLine="0"/>
              <w:rPr>
                <w:rFonts w:cstheme="minorHAnsi"/>
                <w:b w:val="0"/>
                <w:bCs w:val="0"/>
                <w:sz w:val="22"/>
                <w:szCs w:val="22"/>
                <w:lang w:val="en-GB"/>
              </w:rPr>
            </w:pPr>
            <w:r w:rsidRPr="00C97895">
              <w:rPr>
                <w:rFonts w:cstheme="minorHAnsi"/>
                <w:b w:val="0"/>
                <w:bCs w:val="0"/>
                <w:sz w:val="22"/>
                <w:szCs w:val="22"/>
                <w:lang w:val="en-GB"/>
              </w:rPr>
              <w:t>Greater social division</w:t>
            </w:r>
          </w:p>
        </w:tc>
        <w:tc>
          <w:tcPr>
            <w:tcW w:w="2273" w:type="dxa"/>
            <w:vAlign w:val="center"/>
          </w:tcPr>
          <w:p w14:paraId="173F222C" w14:textId="50203170" w:rsidR="00F767AB" w:rsidRPr="00C97895" w:rsidRDefault="00F767AB" w:rsidP="002F1B7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97895">
              <w:rPr>
                <w:rFonts w:asciiTheme="minorHAnsi" w:hAnsiTheme="minorHAnsi" w:cstheme="minorHAnsi"/>
                <w:sz w:val="22"/>
                <w:szCs w:val="22"/>
              </w:rPr>
              <w:t xml:space="preserve">Societal </w:t>
            </w:r>
            <w:r w:rsidR="00DF60F0">
              <w:rPr>
                <w:rFonts w:asciiTheme="minorHAnsi" w:hAnsiTheme="minorHAnsi" w:cstheme="minorHAnsi"/>
                <w:sz w:val="22"/>
                <w:szCs w:val="22"/>
              </w:rPr>
              <w:t>scarring</w:t>
            </w:r>
          </w:p>
        </w:tc>
        <w:tc>
          <w:tcPr>
            <w:tcW w:w="2912" w:type="dxa"/>
            <w:vAlign w:val="center"/>
          </w:tcPr>
          <w:p w14:paraId="5DF765EB" w14:textId="61B899FB" w:rsidR="00F767AB" w:rsidRPr="00C97895" w:rsidRDefault="004B1348" w:rsidP="002F1B70">
            <w:pPr>
              <w:pStyle w:val="ListParagraph"/>
              <w:numPr>
                <w:ilvl w:val="0"/>
                <w:numId w:val="10"/>
              </w:numPr>
              <w:ind w:left="325" w:hanging="284"/>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C97895">
              <w:rPr>
                <w:rFonts w:cstheme="minorHAnsi"/>
                <w:sz w:val="22"/>
                <w:szCs w:val="22"/>
              </w:rPr>
              <w:t>Material consequences</w:t>
            </w:r>
            <w:r w:rsidRPr="00C97895">
              <w:rPr>
                <w:rFonts w:cstheme="minorHAnsi"/>
                <w:sz w:val="22"/>
                <w:szCs w:val="22"/>
                <w:lang w:val="en-GB"/>
              </w:rPr>
              <w:t xml:space="preserve"> </w:t>
            </w:r>
          </w:p>
          <w:p w14:paraId="4208FC73" w14:textId="77A6AAC2" w:rsidR="00F767AB" w:rsidRPr="00C97895" w:rsidRDefault="004B1348" w:rsidP="002F1B70">
            <w:pPr>
              <w:pStyle w:val="ListParagraph"/>
              <w:numPr>
                <w:ilvl w:val="0"/>
                <w:numId w:val="10"/>
              </w:numPr>
              <w:ind w:left="325" w:hanging="284"/>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C97895">
              <w:rPr>
                <w:rFonts w:cstheme="minorHAnsi"/>
                <w:sz w:val="22"/>
                <w:szCs w:val="22"/>
                <w:lang w:val="en-GB"/>
              </w:rPr>
              <w:t>Social relations</w:t>
            </w:r>
            <w:r w:rsidR="00F62EAF">
              <w:rPr>
                <w:rFonts w:cstheme="minorHAnsi"/>
                <w:sz w:val="22"/>
                <w:szCs w:val="22"/>
                <w:lang w:val="en-GB"/>
              </w:rPr>
              <w:t xml:space="preserve"> of welfare</w:t>
            </w:r>
          </w:p>
        </w:tc>
      </w:tr>
      <w:tr w:rsidR="00B15B57" w:rsidRPr="00C97895" w14:paraId="1F90368D" w14:textId="77777777" w:rsidTr="00F62EAF">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3604" w:type="dxa"/>
            <w:vAlign w:val="center"/>
          </w:tcPr>
          <w:p w14:paraId="6C13548F" w14:textId="77777777" w:rsidR="00B15B57" w:rsidRPr="00C97895" w:rsidRDefault="00B15B57" w:rsidP="009A0B17">
            <w:pPr>
              <w:pStyle w:val="ListParagraph"/>
              <w:tabs>
                <w:tab w:val="left" w:pos="236"/>
                <w:tab w:val="left" w:pos="803"/>
                <w:tab w:val="left" w:pos="1370"/>
              </w:tabs>
              <w:ind w:left="0"/>
              <w:rPr>
                <w:rFonts w:cstheme="minorHAnsi"/>
                <w:b w:val="0"/>
                <w:bCs w:val="0"/>
                <w:sz w:val="22"/>
                <w:szCs w:val="22"/>
                <w:lang w:val="en-GB"/>
              </w:rPr>
            </w:pPr>
          </w:p>
          <w:p w14:paraId="3C9FDBAC" w14:textId="77777777" w:rsidR="00B15B57" w:rsidRPr="00C97895" w:rsidRDefault="00B15B57" w:rsidP="009A0B17">
            <w:pPr>
              <w:pStyle w:val="ListParagraph"/>
              <w:numPr>
                <w:ilvl w:val="0"/>
                <w:numId w:val="9"/>
              </w:numPr>
              <w:tabs>
                <w:tab w:val="left" w:pos="236"/>
                <w:tab w:val="left" w:pos="803"/>
                <w:tab w:val="left" w:pos="1370"/>
              </w:tabs>
              <w:ind w:left="0" w:firstLine="0"/>
              <w:rPr>
                <w:rFonts w:cstheme="minorHAnsi"/>
                <w:b w:val="0"/>
                <w:bCs w:val="0"/>
                <w:sz w:val="22"/>
                <w:szCs w:val="22"/>
                <w:lang w:val="en-GB"/>
              </w:rPr>
            </w:pPr>
            <w:r w:rsidRPr="00C97895">
              <w:rPr>
                <w:rFonts w:cstheme="minorHAnsi"/>
                <w:b w:val="0"/>
                <w:bCs w:val="0"/>
                <w:sz w:val="22"/>
                <w:szCs w:val="22"/>
                <w:lang w:val="en-GB"/>
              </w:rPr>
              <w:t>The ‘cuts’</w:t>
            </w:r>
          </w:p>
          <w:p w14:paraId="5BBB3AB6" w14:textId="77777777" w:rsidR="00B15B57" w:rsidRPr="00C97895" w:rsidRDefault="00B15B57" w:rsidP="009A0B17">
            <w:pPr>
              <w:pStyle w:val="ListParagraph"/>
              <w:numPr>
                <w:ilvl w:val="0"/>
                <w:numId w:val="9"/>
              </w:numPr>
              <w:tabs>
                <w:tab w:val="left" w:pos="236"/>
                <w:tab w:val="left" w:pos="803"/>
                <w:tab w:val="left" w:pos="1370"/>
              </w:tabs>
              <w:ind w:left="0" w:firstLine="0"/>
              <w:rPr>
                <w:rFonts w:cstheme="minorHAnsi"/>
                <w:b w:val="0"/>
                <w:bCs w:val="0"/>
                <w:sz w:val="22"/>
                <w:szCs w:val="22"/>
                <w:lang w:val="en-GB"/>
              </w:rPr>
            </w:pPr>
            <w:r w:rsidRPr="00C97895">
              <w:rPr>
                <w:rFonts w:cstheme="minorHAnsi"/>
                <w:b w:val="0"/>
                <w:bCs w:val="0"/>
                <w:sz w:val="22"/>
                <w:szCs w:val="22"/>
                <w:lang w:val="en-GB"/>
              </w:rPr>
              <w:t>The new managerialism</w:t>
            </w:r>
          </w:p>
          <w:p w14:paraId="38C8412B" w14:textId="77777777" w:rsidR="00B15B57" w:rsidRPr="00C97895" w:rsidRDefault="00B15B57" w:rsidP="009A0B17">
            <w:pPr>
              <w:pStyle w:val="ListParagraph"/>
              <w:tabs>
                <w:tab w:val="left" w:pos="236"/>
                <w:tab w:val="left" w:pos="803"/>
                <w:tab w:val="left" w:pos="1370"/>
              </w:tabs>
              <w:ind w:left="0"/>
              <w:rPr>
                <w:rFonts w:cstheme="minorHAnsi"/>
                <w:b w:val="0"/>
                <w:bCs w:val="0"/>
                <w:sz w:val="22"/>
                <w:szCs w:val="22"/>
                <w:lang w:val="en-GB"/>
              </w:rPr>
            </w:pPr>
          </w:p>
        </w:tc>
        <w:tc>
          <w:tcPr>
            <w:tcW w:w="2273" w:type="dxa"/>
            <w:vAlign w:val="center"/>
          </w:tcPr>
          <w:p w14:paraId="7578DB6B" w14:textId="29C52CFA" w:rsidR="00B15B57" w:rsidRPr="00C97895" w:rsidRDefault="00B15B57" w:rsidP="009A0B1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97895">
              <w:rPr>
                <w:rFonts w:asciiTheme="minorHAnsi" w:hAnsiTheme="minorHAnsi" w:cstheme="minorHAnsi"/>
                <w:sz w:val="22"/>
                <w:szCs w:val="22"/>
              </w:rPr>
              <w:t>Re</w:t>
            </w:r>
            <w:r w:rsidR="00DF60F0">
              <w:rPr>
                <w:rFonts w:asciiTheme="minorHAnsi" w:hAnsiTheme="minorHAnsi" w:cstheme="minorHAnsi"/>
                <w:sz w:val="22"/>
                <w:szCs w:val="22"/>
              </w:rPr>
              <w:t>fuell</w:t>
            </w:r>
            <w:r w:rsidRPr="00C97895">
              <w:rPr>
                <w:rFonts w:asciiTheme="minorHAnsi" w:hAnsiTheme="minorHAnsi" w:cstheme="minorHAnsi"/>
                <w:sz w:val="22"/>
                <w:szCs w:val="22"/>
              </w:rPr>
              <w:t xml:space="preserve">ing </w:t>
            </w:r>
            <w:r w:rsidR="00823AF0">
              <w:rPr>
                <w:rFonts w:asciiTheme="minorHAnsi" w:hAnsiTheme="minorHAnsi" w:cstheme="minorHAnsi"/>
                <w:sz w:val="22"/>
                <w:szCs w:val="22"/>
              </w:rPr>
              <w:t>a</w:t>
            </w:r>
            <w:r w:rsidRPr="00C97895">
              <w:rPr>
                <w:rFonts w:asciiTheme="minorHAnsi" w:hAnsiTheme="minorHAnsi" w:cstheme="minorHAnsi"/>
                <w:sz w:val="22"/>
                <w:szCs w:val="22"/>
              </w:rPr>
              <w:t xml:space="preserve"> race to the bottom</w:t>
            </w:r>
          </w:p>
        </w:tc>
        <w:tc>
          <w:tcPr>
            <w:tcW w:w="2912" w:type="dxa"/>
            <w:vAlign w:val="center"/>
          </w:tcPr>
          <w:p w14:paraId="2B4405EA" w14:textId="77777777" w:rsidR="00B15B57" w:rsidRDefault="00B15B57" w:rsidP="009A0B17">
            <w:pPr>
              <w:pStyle w:val="ListParagraph"/>
              <w:numPr>
                <w:ilvl w:val="0"/>
                <w:numId w:val="9"/>
              </w:numPr>
              <w:ind w:left="316" w:hanging="284"/>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sidRPr="00C97895">
              <w:rPr>
                <w:rFonts w:cstheme="minorHAnsi"/>
                <w:sz w:val="22"/>
                <w:szCs w:val="22"/>
                <w:lang w:val="en-GB"/>
              </w:rPr>
              <w:t>Economic practices</w:t>
            </w:r>
          </w:p>
          <w:p w14:paraId="38869F0B" w14:textId="65522A99" w:rsidR="004B1348" w:rsidRPr="00C97895" w:rsidRDefault="00F62EAF" w:rsidP="009A0B17">
            <w:pPr>
              <w:pStyle w:val="ListParagraph"/>
              <w:numPr>
                <w:ilvl w:val="0"/>
                <w:numId w:val="9"/>
              </w:numPr>
              <w:ind w:left="316" w:hanging="284"/>
              <w:cnfStyle w:val="000000100000" w:firstRow="0" w:lastRow="0" w:firstColumn="0" w:lastColumn="0" w:oddVBand="0" w:evenVBand="0" w:oddHBand="1" w:evenHBand="0" w:firstRowFirstColumn="0" w:firstRowLastColumn="0" w:lastRowFirstColumn="0" w:lastRowLastColumn="0"/>
              <w:rPr>
                <w:rFonts w:cstheme="minorHAnsi"/>
                <w:sz w:val="22"/>
                <w:szCs w:val="22"/>
                <w:lang w:val="en-GB"/>
              </w:rPr>
            </w:pPr>
            <w:r>
              <w:rPr>
                <w:rFonts w:cstheme="minorHAnsi"/>
                <w:sz w:val="22"/>
                <w:szCs w:val="22"/>
                <w:lang w:val="en-GB"/>
              </w:rPr>
              <w:t>W</w:t>
            </w:r>
            <w:r w:rsidR="004B1348">
              <w:rPr>
                <w:rFonts w:cstheme="minorHAnsi"/>
                <w:sz w:val="22"/>
                <w:szCs w:val="22"/>
                <w:lang w:val="en-GB"/>
              </w:rPr>
              <w:t>ork</w:t>
            </w:r>
            <w:r>
              <w:rPr>
                <w:rFonts w:cstheme="minorHAnsi"/>
                <w:sz w:val="22"/>
                <w:szCs w:val="22"/>
                <w:lang w:val="en-GB"/>
              </w:rPr>
              <w:t>- welfare contract</w:t>
            </w:r>
          </w:p>
        </w:tc>
      </w:tr>
      <w:tr w:rsidR="00D87796" w:rsidRPr="00C97895" w14:paraId="0691B9DC" w14:textId="6DC9A3DD" w:rsidTr="00F62EAF">
        <w:trPr>
          <w:trHeight w:val="1692"/>
        </w:trPr>
        <w:tc>
          <w:tcPr>
            <w:cnfStyle w:val="001000000000" w:firstRow="0" w:lastRow="0" w:firstColumn="1" w:lastColumn="0" w:oddVBand="0" w:evenVBand="0" w:oddHBand="0" w:evenHBand="0" w:firstRowFirstColumn="0" w:firstRowLastColumn="0" w:lastRowFirstColumn="0" w:lastRowLastColumn="0"/>
            <w:tcW w:w="3604" w:type="dxa"/>
            <w:vAlign w:val="center"/>
          </w:tcPr>
          <w:p w14:paraId="02D5222F" w14:textId="77777777" w:rsidR="002F3021" w:rsidRPr="00C97895" w:rsidRDefault="002F3021" w:rsidP="002F1B70">
            <w:pPr>
              <w:pStyle w:val="ListParagraph"/>
              <w:numPr>
                <w:ilvl w:val="0"/>
                <w:numId w:val="10"/>
              </w:numPr>
              <w:tabs>
                <w:tab w:val="left" w:pos="236"/>
                <w:tab w:val="left" w:pos="803"/>
                <w:tab w:val="left" w:pos="1370"/>
              </w:tabs>
              <w:ind w:left="0" w:firstLine="0"/>
              <w:rPr>
                <w:rFonts w:cstheme="minorHAnsi"/>
                <w:b w:val="0"/>
                <w:bCs w:val="0"/>
                <w:sz w:val="22"/>
                <w:szCs w:val="22"/>
                <w:lang w:val="en-GB"/>
              </w:rPr>
            </w:pPr>
            <w:r w:rsidRPr="00C97895">
              <w:rPr>
                <w:rFonts w:cstheme="minorHAnsi"/>
                <w:b w:val="0"/>
                <w:bCs w:val="0"/>
                <w:sz w:val="22"/>
                <w:szCs w:val="22"/>
                <w:lang w:val="en-GB"/>
              </w:rPr>
              <w:t>The attack on local government</w:t>
            </w:r>
          </w:p>
          <w:p w14:paraId="10DF7689" w14:textId="77777777" w:rsidR="002F3021" w:rsidRPr="00C97895" w:rsidRDefault="002F3021" w:rsidP="002F1B70">
            <w:pPr>
              <w:pStyle w:val="ListParagraph"/>
              <w:numPr>
                <w:ilvl w:val="0"/>
                <w:numId w:val="10"/>
              </w:numPr>
              <w:tabs>
                <w:tab w:val="left" w:pos="236"/>
                <w:tab w:val="left" w:pos="803"/>
                <w:tab w:val="left" w:pos="1370"/>
              </w:tabs>
              <w:ind w:left="0" w:firstLine="0"/>
              <w:rPr>
                <w:rFonts w:cstheme="minorHAnsi"/>
                <w:b w:val="0"/>
                <w:bCs w:val="0"/>
                <w:sz w:val="22"/>
                <w:szCs w:val="22"/>
                <w:lang w:val="en-GB"/>
              </w:rPr>
            </w:pPr>
            <w:r w:rsidRPr="00C97895">
              <w:rPr>
                <w:rFonts w:cstheme="minorHAnsi"/>
                <w:b w:val="0"/>
                <w:bCs w:val="0"/>
                <w:sz w:val="22"/>
                <w:szCs w:val="22"/>
                <w:lang w:val="en-GB"/>
              </w:rPr>
              <w:t>The mixed economy of welfare</w:t>
            </w:r>
          </w:p>
          <w:p w14:paraId="67D31319" w14:textId="77777777" w:rsidR="002F3021" w:rsidRPr="00C97895" w:rsidRDefault="002F3021" w:rsidP="002F1B70">
            <w:pPr>
              <w:pStyle w:val="ListParagraph"/>
              <w:numPr>
                <w:ilvl w:val="0"/>
                <w:numId w:val="10"/>
              </w:numPr>
              <w:tabs>
                <w:tab w:val="left" w:pos="236"/>
                <w:tab w:val="left" w:pos="803"/>
                <w:tab w:val="left" w:pos="1370"/>
              </w:tabs>
              <w:ind w:left="0" w:firstLine="0"/>
              <w:rPr>
                <w:rFonts w:cstheme="minorHAnsi"/>
                <w:b w:val="0"/>
                <w:bCs w:val="0"/>
                <w:sz w:val="22"/>
                <w:szCs w:val="22"/>
                <w:lang w:val="en-GB"/>
              </w:rPr>
            </w:pPr>
            <w:r w:rsidRPr="00C97895">
              <w:rPr>
                <w:rFonts w:cstheme="minorHAnsi"/>
                <w:b w:val="0"/>
                <w:bCs w:val="0"/>
                <w:sz w:val="22"/>
                <w:szCs w:val="22"/>
                <w:lang w:val="en-GB"/>
              </w:rPr>
              <w:t>The regulatory state</w:t>
            </w:r>
          </w:p>
          <w:p w14:paraId="0ADFBB2B" w14:textId="2DDEFD0B" w:rsidR="002F3021" w:rsidRPr="00C97895" w:rsidRDefault="002F3021" w:rsidP="002F1B70">
            <w:pPr>
              <w:pStyle w:val="ListParagraph"/>
              <w:numPr>
                <w:ilvl w:val="0"/>
                <w:numId w:val="10"/>
              </w:numPr>
              <w:tabs>
                <w:tab w:val="left" w:pos="236"/>
                <w:tab w:val="left" w:pos="803"/>
                <w:tab w:val="left" w:pos="1370"/>
              </w:tabs>
              <w:ind w:left="0" w:firstLine="0"/>
              <w:rPr>
                <w:rFonts w:cstheme="minorHAnsi"/>
                <w:b w:val="0"/>
                <w:bCs w:val="0"/>
                <w:sz w:val="22"/>
                <w:szCs w:val="22"/>
                <w:lang w:val="en-GB"/>
              </w:rPr>
            </w:pPr>
            <w:r w:rsidRPr="00C97895">
              <w:rPr>
                <w:rFonts w:cstheme="minorHAnsi"/>
                <w:b w:val="0"/>
                <w:bCs w:val="0"/>
                <w:sz w:val="22"/>
                <w:szCs w:val="22"/>
                <w:lang w:val="en-GB"/>
              </w:rPr>
              <w:t>The impact on the Labour Party</w:t>
            </w:r>
          </w:p>
        </w:tc>
        <w:tc>
          <w:tcPr>
            <w:tcW w:w="2273" w:type="dxa"/>
            <w:vAlign w:val="center"/>
          </w:tcPr>
          <w:p w14:paraId="441C23AF" w14:textId="30672740" w:rsidR="002F3021" w:rsidRPr="00C97895" w:rsidRDefault="002F3021" w:rsidP="002F1B7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97895">
              <w:rPr>
                <w:rFonts w:asciiTheme="minorHAnsi" w:hAnsiTheme="minorHAnsi" w:cstheme="minorHAnsi"/>
                <w:sz w:val="22"/>
                <w:szCs w:val="22"/>
              </w:rPr>
              <w:t>Diminish</w:t>
            </w:r>
            <w:r w:rsidR="00DF60F0">
              <w:rPr>
                <w:rFonts w:asciiTheme="minorHAnsi" w:hAnsiTheme="minorHAnsi" w:cstheme="minorHAnsi"/>
                <w:sz w:val="22"/>
                <w:szCs w:val="22"/>
              </w:rPr>
              <w:t>ing</w:t>
            </w:r>
            <w:r w:rsidRPr="00C97895">
              <w:rPr>
                <w:rFonts w:asciiTheme="minorHAnsi" w:hAnsiTheme="minorHAnsi" w:cstheme="minorHAnsi"/>
                <w:sz w:val="22"/>
                <w:szCs w:val="22"/>
              </w:rPr>
              <w:t xml:space="preserve"> </w:t>
            </w:r>
            <w:r w:rsidR="00DF60F0">
              <w:rPr>
                <w:rFonts w:asciiTheme="minorHAnsi" w:hAnsiTheme="minorHAnsi" w:cstheme="minorHAnsi"/>
                <w:sz w:val="22"/>
                <w:szCs w:val="22"/>
              </w:rPr>
              <w:t xml:space="preserve">the </w:t>
            </w:r>
            <w:r w:rsidRPr="00C97895">
              <w:rPr>
                <w:rFonts w:asciiTheme="minorHAnsi" w:hAnsiTheme="minorHAnsi" w:cstheme="minorHAnsi"/>
                <w:sz w:val="22"/>
                <w:szCs w:val="22"/>
              </w:rPr>
              <w:t xml:space="preserve">political capacity for change </w:t>
            </w:r>
          </w:p>
        </w:tc>
        <w:tc>
          <w:tcPr>
            <w:tcW w:w="2912" w:type="dxa"/>
            <w:vAlign w:val="center"/>
          </w:tcPr>
          <w:p w14:paraId="388D57AE" w14:textId="24BF6B4E" w:rsidR="002F3021" w:rsidRDefault="00D87796" w:rsidP="002F1B70">
            <w:pPr>
              <w:pStyle w:val="ListParagraph"/>
              <w:numPr>
                <w:ilvl w:val="0"/>
                <w:numId w:val="10"/>
              </w:numPr>
              <w:ind w:left="325" w:right="-20" w:hanging="284"/>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sidRPr="00C97895">
              <w:rPr>
                <w:rFonts w:cstheme="minorHAnsi"/>
                <w:sz w:val="22"/>
                <w:szCs w:val="22"/>
                <w:lang w:val="en-GB"/>
              </w:rPr>
              <w:t>C</w:t>
            </w:r>
            <w:r w:rsidR="002F3021" w:rsidRPr="00C97895">
              <w:rPr>
                <w:rFonts w:cstheme="minorHAnsi"/>
                <w:sz w:val="22"/>
                <w:szCs w:val="22"/>
                <w:lang w:val="en-GB"/>
              </w:rPr>
              <w:t>ollective organisation</w:t>
            </w:r>
          </w:p>
          <w:p w14:paraId="5E845DB6" w14:textId="73504C49" w:rsidR="00906281" w:rsidRPr="00906281" w:rsidRDefault="00906281" w:rsidP="00906281">
            <w:pPr>
              <w:pStyle w:val="ListParagraph"/>
              <w:numPr>
                <w:ilvl w:val="0"/>
                <w:numId w:val="10"/>
              </w:numPr>
              <w:ind w:left="325" w:right="-20" w:hanging="284"/>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r>
              <w:rPr>
                <w:rFonts w:cstheme="minorHAnsi"/>
                <w:sz w:val="22"/>
                <w:szCs w:val="22"/>
                <w:lang w:val="en-GB"/>
              </w:rPr>
              <w:t>Welfare</w:t>
            </w:r>
            <w:r w:rsidRPr="00C97895">
              <w:rPr>
                <w:rFonts w:cstheme="minorHAnsi"/>
                <w:sz w:val="22"/>
                <w:szCs w:val="22"/>
                <w:lang w:val="en-GB"/>
              </w:rPr>
              <w:t xml:space="preserve"> politics </w:t>
            </w:r>
          </w:p>
          <w:p w14:paraId="6BA03830" w14:textId="23C2BCBD" w:rsidR="008D2477" w:rsidRPr="00C97895" w:rsidRDefault="008D2477" w:rsidP="00823AF0">
            <w:pPr>
              <w:pStyle w:val="ListParagraph"/>
              <w:ind w:left="325" w:right="-20"/>
              <w:cnfStyle w:val="000000000000" w:firstRow="0" w:lastRow="0" w:firstColumn="0" w:lastColumn="0" w:oddVBand="0" w:evenVBand="0" w:oddHBand="0" w:evenHBand="0" w:firstRowFirstColumn="0" w:firstRowLastColumn="0" w:lastRowFirstColumn="0" w:lastRowLastColumn="0"/>
              <w:rPr>
                <w:rFonts w:cstheme="minorHAnsi"/>
                <w:sz w:val="22"/>
                <w:szCs w:val="22"/>
                <w:lang w:val="en-GB"/>
              </w:rPr>
            </w:pPr>
          </w:p>
        </w:tc>
      </w:tr>
    </w:tbl>
    <w:p w14:paraId="6CBAD97D" w14:textId="77777777" w:rsidR="00BD6949" w:rsidRPr="00C97895" w:rsidRDefault="00BD6949" w:rsidP="001142EF">
      <w:pPr>
        <w:rPr>
          <w:rFonts w:asciiTheme="minorHAnsi" w:hAnsiTheme="minorHAnsi" w:cstheme="minorHAnsi"/>
          <w:b/>
          <w:bCs/>
          <w:sz w:val="22"/>
          <w:szCs w:val="22"/>
        </w:rPr>
      </w:pPr>
    </w:p>
    <w:p w14:paraId="63E66250" w14:textId="77777777" w:rsidR="00BD6949" w:rsidRPr="00C97895" w:rsidRDefault="00BD6949" w:rsidP="001142EF">
      <w:pPr>
        <w:rPr>
          <w:rFonts w:asciiTheme="minorHAnsi" w:hAnsiTheme="minorHAnsi" w:cstheme="minorHAnsi"/>
          <w:b/>
          <w:bCs/>
          <w:sz w:val="22"/>
          <w:szCs w:val="22"/>
        </w:rPr>
      </w:pPr>
    </w:p>
    <w:p w14:paraId="43333147" w14:textId="16D37F38" w:rsidR="005C24AE" w:rsidRPr="00C97895" w:rsidRDefault="001142EF" w:rsidP="001142EF">
      <w:pPr>
        <w:rPr>
          <w:rFonts w:asciiTheme="minorHAnsi" w:hAnsiTheme="minorHAnsi" w:cstheme="minorHAnsi"/>
          <w:b/>
          <w:bCs/>
          <w:sz w:val="22"/>
          <w:szCs w:val="22"/>
        </w:rPr>
      </w:pPr>
      <w:r w:rsidRPr="00C97895">
        <w:rPr>
          <w:rFonts w:asciiTheme="minorHAnsi" w:hAnsiTheme="minorHAnsi" w:cstheme="minorHAnsi"/>
          <w:b/>
          <w:bCs/>
          <w:sz w:val="22"/>
          <w:szCs w:val="22"/>
        </w:rPr>
        <w:t xml:space="preserve">The </w:t>
      </w:r>
      <w:r w:rsidR="00DF60F0">
        <w:rPr>
          <w:rFonts w:asciiTheme="minorHAnsi" w:hAnsiTheme="minorHAnsi" w:cstheme="minorHAnsi"/>
          <w:b/>
          <w:bCs/>
          <w:sz w:val="22"/>
          <w:szCs w:val="22"/>
        </w:rPr>
        <w:t>L</w:t>
      </w:r>
      <w:r w:rsidRPr="00C97895">
        <w:rPr>
          <w:rFonts w:asciiTheme="minorHAnsi" w:hAnsiTheme="minorHAnsi" w:cstheme="minorHAnsi"/>
          <w:b/>
          <w:bCs/>
          <w:sz w:val="22"/>
          <w:szCs w:val="22"/>
        </w:rPr>
        <w:t>egacies of Austerity</w:t>
      </w:r>
    </w:p>
    <w:p w14:paraId="0C6C43C6" w14:textId="3070BCB3" w:rsidR="00B415E5" w:rsidRPr="00C97895" w:rsidRDefault="00B415E5" w:rsidP="001142EF">
      <w:pPr>
        <w:rPr>
          <w:rFonts w:asciiTheme="minorHAnsi" w:hAnsiTheme="minorHAnsi" w:cstheme="minorHAnsi"/>
          <w:b/>
          <w:bCs/>
          <w:sz w:val="22"/>
          <w:szCs w:val="22"/>
        </w:rPr>
      </w:pPr>
    </w:p>
    <w:p w14:paraId="7003FA96" w14:textId="5584F15F" w:rsidR="00B415E5" w:rsidRPr="00C97895" w:rsidRDefault="00DF60F0" w:rsidP="001142EF">
      <w:pPr>
        <w:rPr>
          <w:rFonts w:asciiTheme="minorHAnsi" w:hAnsiTheme="minorHAnsi" w:cstheme="minorHAnsi"/>
          <w:b/>
          <w:bCs/>
          <w:i/>
          <w:iCs/>
          <w:sz w:val="22"/>
          <w:szCs w:val="22"/>
        </w:rPr>
      </w:pPr>
      <w:r>
        <w:rPr>
          <w:rFonts w:asciiTheme="minorHAnsi" w:hAnsiTheme="minorHAnsi" w:cstheme="minorHAnsi"/>
          <w:b/>
          <w:bCs/>
          <w:i/>
          <w:iCs/>
          <w:sz w:val="22"/>
          <w:szCs w:val="22"/>
        </w:rPr>
        <w:t>Normalising a n</w:t>
      </w:r>
      <w:r w:rsidR="00B415E5" w:rsidRPr="00C97895">
        <w:rPr>
          <w:rFonts w:asciiTheme="minorHAnsi" w:hAnsiTheme="minorHAnsi" w:cstheme="minorHAnsi"/>
          <w:b/>
          <w:bCs/>
          <w:i/>
          <w:iCs/>
          <w:sz w:val="22"/>
          <w:szCs w:val="22"/>
        </w:rPr>
        <w:t>on-commitment to welfare</w:t>
      </w:r>
    </w:p>
    <w:p w14:paraId="0E29888D" w14:textId="6A683EDE" w:rsidR="005C24AE" w:rsidRPr="00C97895" w:rsidRDefault="005C24AE" w:rsidP="00EA154D">
      <w:pPr>
        <w:ind w:left="360"/>
        <w:rPr>
          <w:rFonts w:asciiTheme="minorHAnsi" w:hAnsiTheme="minorHAnsi" w:cstheme="minorHAnsi"/>
          <w:sz w:val="22"/>
          <w:szCs w:val="22"/>
        </w:rPr>
      </w:pPr>
    </w:p>
    <w:p w14:paraId="461CAF4B" w14:textId="224A0C65" w:rsidR="00BF5105" w:rsidRPr="00C97895" w:rsidRDefault="00BF0C99" w:rsidP="00BF5105">
      <w:pPr>
        <w:rPr>
          <w:rFonts w:asciiTheme="minorHAnsi" w:hAnsiTheme="minorHAnsi" w:cstheme="minorHAnsi"/>
          <w:sz w:val="22"/>
          <w:szCs w:val="22"/>
        </w:rPr>
      </w:pPr>
      <w:r w:rsidRPr="00C97895">
        <w:rPr>
          <w:rFonts w:asciiTheme="minorHAnsi" w:hAnsiTheme="minorHAnsi" w:cstheme="minorHAnsi"/>
          <w:sz w:val="22"/>
          <w:szCs w:val="22"/>
        </w:rPr>
        <w:t xml:space="preserve">At the level of ideas and in the vocabulary of </w:t>
      </w:r>
      <w:proofErr w:type="spellStart"/>
      <w:r w:rsidRPr="00C97895">
        <w:rPr>
          <w:rFonts w:asciiTheme="minorHAnsi" w:hAnsiTheme="minorHAnsi" w:cstheme="minorHAnsi"/>
          <w:sz w:val="22"/>
          <w:szCs w:val="22"/>
        </w:rPr>
        <w:t>Titmuss</w:t>
      </w:r>
      <w:proofErr w:type="spellEnd"/>
      <w:r w:rsidRPr="00C97895">
        <w:rPr>
          <w:rFonts w:asciiTheme="minorHAnsi" w:hAnsiTheme="minorHAnsi" w:cstheme="minorHAnsi"/>
          <w:sz w:val="22"/>
          <w:szCs w:val="22"/>
        </w:rPr>
        <w:t xml:space="preserve">, austerity has </w:t>
      </w:r>
      <w:r w:rsidR="00DF60F0">
        <w:rPr>
          <w:rFonts w:asciiTheme="minorHAnsi" w:hAnsiTheme="minorHAnsi" w:cstheme="minorHAnsi"/>
          <w:sz w:val="22"/>
          <w:szCs w:val="22"/>
        </w:rPr>
        <w:t>normalised</w:t>
      </w:r>
      <w:r w:rsidRPr="00C97895">
        <w:rPr>
          <w:rFonts w:asciiTheme="minorHAnsi" w:hAnsiTheme="minorHAnsi" w:cstheme="minorHAnsi"/>
          <w:sz w:val="22"/>
          <w:szCs w:val="22"/>
        </w:rPr>
        <w:t xml:space="preserve"> an ideological non-commitment to welfare through a revisionist, economically instrumental interpretation of social policy that disavows its integrative function and </w:t>
      </w:r>
      <w:proofErr w:type="spellStart"/>
      <w:r w:rsidRPr="00C97895">
        <w:rPr>
          <w:rFonts w:asciiTheme="minorHAnsi" w:hAnsiTheme="minorHAnsi" w:cstheme="minorHAnsi"/>
          <w:sz w:val="22"/>
          <w:szCs w:val="22"/>
        </w:rPr>
        <w:t>solidaristic</w:t>
      </w:r>
      <w:proofErr w:type="spellEnd"/>
      <w:r w:rsidRPr="00C97895">
        <w:rPr>
          <w:rFonts w:asciiTheme="minorHAnsi" w:hAnsiTheme="minorHAnsi" w:cstheme="minorHAnsi"/>
          <w:sz w:val="22"/>
          <w:szCs w:val="22"/>
        </w:rPr>
        <w:t xml:space="preserve"> aims. As </w:t>
      </w:r>
      <w:proofErr w:type="spellStart"/>
      <w:r w:rsidRPr="00C97895">
        <w:rPr>
          <w:rFonts w:asciiTheme="minorHAnsi" w:hAnsiTheme="minorHAnsi" w:cstheme="minorHAnsi"/>
          <w:sz w:val="22"/>
          <w:szCs w:val="22"/>
        </w:rPr>
        <w:t>Basu</w:t>
      </w:r>
      <w:proofErr w:type="spellEnd"/>
      <w:r w:rsidRPr="00C97895">
        <w:rPr>
          <w:rFonts w:asciiTheme="minorHAnsi" w:hAnsiTheme="minorHAnsi" w:cstheme="minorHAnsi"/>
          <w:sz w:val="22"/>
          <w:szCs w:val="22"/>
        </w:rPr>
        <w:t xml:space="preserve"> et al (2017) suggest, “Austerity is the original ‘alternative fact’”, which </w:t>
      </w:r>
      <w:r w:rsidR="00F62EAF">
        <w:rPr>
          <w:rFonts w:asciiTheme="minorHAnsi" w:hAnsiTheme="minorHAnsi" w:cstheme="minorHAnsi"/>
          <w:sz w:val="22"/>
          <w:szCs w:val="22"/>
        </w:rPr>
        <w:t>establish</w:t>
      </w:r>
      <w:r w:rsidRPr="00C97895">
        <w:rPr>
          <w:rFonts w:asciiTheme="minorHAnsi" w:hAnsiTheme="minorHAnsi" w:cstheme="minorHAnsi"/>
          <w:sz w:val="22"/>
          <w:szCs w:val="22"/>
        </w:rPr>
        <w:t>ed the necessity</w:t>
      </w:r>
      <w:r w:rsidR="009B7324">
        <w:rPr>
          <w:rFonts w:asciiTheme="minorHAnsi" w:hAnsiTheme="minorHAnsi" w:cstheme="minorHAnsi"/>
          <w:sz w:val="22"/>
          <w:szCs w:val="22"/>
        </w:rPr>
        <w:t xml:space="preserve"> (rather than the Thatcherite desire)</w:t>
      </w:r>
      <w:r w:rsidRPr="00C97895">
        <w:rPr>
          <w:rFonts w:asciiTheme="minorHAnsi" w:hAnsiTheme="minorHAnsi" w:cstheme="minorHAnsi"/>
          <w:sz w:val="22"/>
          <w:szCs w:val="22"/>
        </w:rPr>
        <w:t xml:space="preserve"> of redirecting attention from distributive justice to the ‘burden’ of public debt, </w:t>
      </w:r>
      <w:r w:rsidRPr="00C97895">
        <w:rPr>
          <w:rFonts w:asciiTheme="minorHAnsi" w:hAnsiTheme="minorHAnsi" w:cstheme="minorHAnsi"/>
          <w:sz w:val="22"/>
          <w:szCs w:val="22"/>
        </w:rPr>
        <w:lastRenderedPageBreak/>
        <w:t xml:space="preserve">from the wider purpose of </w:t>
      </w:r>
      <w:r w:rsidR="00CC453A" w:rsidRPr="00C97895">
        <w:rPr>
          <w:rFonts w:asciiTheme="minorHAnsi" w:hAnsiTheme="minorHAnsi" w:cstheme="minorHAnsi"/>
          <w:sz w:val="22"/>
          <w:szCs w:val="22"/>
        </w:rPr>
        <w:t xml:space="preserve">investment in </w:t>
      </w:r>
      <w:r w:rsidRPr="00C97895">
        <w:rPr>
          <w:rFonts w:asciiTheme="minorHAnsi" w:hAnsiTheme="minorHAnsi" w:cstheme="minorHAnsi"/>
          <w:sz w:val="22"/>
          <w:szCs w:val="22"/>
        </w:rPr>
        <w:t xml:space="preserve">public </w:t>
      </w:r>
      <w:r w:rsidR="00CC453A" w:rsidRPr="00C97895">
        <w:rPr>
          <w:rFonts w:asciiTheme="minorHAnsi" w:hAnsiTheme="minorHAnsi" w:cstheme="minorHAnsi"/>
          <w:sz w:val="22"/>
          <w:szCs w:val="22"/>
        </w:rPr>
        <w:t>goods</w:t>
      </w:r>
      <w:r w:rsidRPr="00C97895">
        <w:rPr>
          <w:rFonts w:asciiTheme="minorHAnsi" w:hAnsiTheme="minorHAnsi" w:cstheme="minorHAnsi"/>
          <w:sz w:val="22"/>
          <w:szCs w:val="22"/>
        </w:rPr>
        <w:t xml:space="preserve"> to the narrow reduction of ‘the deficit’ </w:t>
      </w:r>
      <w:r w:rsidR="009B7324">
        <w:rPr>
          <w:rFonts w:asciiTheme="minorHAnsi" w:hAnsiTheme="minorHAnsi" w:cstheme="minorHAnsi"/>
          <w:sz w:val="22"/>
          <w:szCs w:val="22"/>
        </w:rPr>
        <w:t>and</w:t>
      </w:r>
      <w:r w:rsidRPr="00C97895">
        <w:rPr>
          <w:rFonts w:asciiTheme="minorHAnsi" w:hAnsiTheme="minorHAnsi" w:cstheme="minorHAnsi"/>
          <w:sz w:val="22"/>
          <w:szCs w:val="22"/>
        </w:rPr>
        <w:t xml:space="preserve"> profligacy in the public sector. The policy discourse of austerity sent a clear message that public expectations of what welfare states can or should do were unfounded and unsustainable. </w:t>
      </w:r>
      <w:r w:rsidR="00BF5105" w:rsidRPr="00C97895">
        <w:rPr>
          <w:rFonts w:asciiTheme="minorHAnsi" w:hAnsiTheme="minorHAnsi" w:cstheme="minorHAnsi"/>
          <w:sz w:val="22"/>
          <w:szCs w:val="22"/>
        </w:rPr>
        <w:t xml:space="preserve">In this context, the ‘socially caused </w:t>
      </w:r>
      <w:proofErr w:type="spellStart"/>
      <w:r w:rsidR="00BF5105" w:rsidRPr="00C97895">
        <w:rPr>
          <w:rFonts w:asciiTheme="minorHAnsi" w:hAnsiTheme="minorHAnsi" w:cstheme="minorHAnsi"/>
          <w:sz w:val="22"/>
          <w:szCs w:val="22"/>
        </w:rPr>
        <w:t>diswelfares</w:t>
      </w:r>
      <w:proofErr w:type="spellEnd"/>
      <w:r w:rsidR="00BF5105" w:rsidRPr="00C97895">
        <w:rPr>
          <w:rFonts w:asciiTheme="minorHAnsi" w:hAnsiTheme="minorHAnsi" w:cstheme="minorHAnsi"/>
          <w:sz w:val="22"/>
          <w:szCs w:val="22"/>
        </w:rPr>
        <w:t>’ (</w:t>
      </w:r>
      <w:proofErr w:type="spellStart"/>
      <w:r w:rsidR="00BF5105" w:rsidRPr="00C97895">
        <w:rPr>
          <w:rFonts w:asciiTheme="minorHAnsi" w:hAnsiTheme="minorHAnsi" w:cstheme="minorHAnsi"/>
          <w:sz w:val="22"/>
          <w:szCs w:val="22"/>
        </w:rPr>
        <w:t>Titmuss</w:t>
      </w:r>
      <w:proofErr w:type="spellEnd"/>
      <w:r w:rsidR="00BF5105" w:rsidRPr="00C97895">
        <w:rPr>
          <w:rFonts w:asciiTheme="minorHAnsi" w:hAnsiTheme="minorHAnsi" w:cstheme="minorHAnsi"/>
          <w:sz w:val="22"/>
          <w:szCs w:val="22"/>
        </w:rPr>
        <w:t xml:space="preserve">, 1968, p133) and the burdens on people </w:t>
      </w:r>
      <w:r w:rsidR="00BF5105" w:rsidRPr="00C97895">
        <w:rPr>
          <w:rFonts w:asciiTheme="minorHAnsi" w:hAnsiTheme="minorHAnsi" w:cstheme="minorHAnsi"/>
          <w:i/>
          <w:iCs/>
          <w:sz w:val="22"/>
          <w:szCs w:val="22"/>
        </w:rPr>
        <w:t>of</w:t>
      </w:r>
      <w:r w:rsidR="00BF5105" w:rsidRPr="00C97895">
        <w:rPr>
          <w:rFonts w:asciiTheme="minorHAnsi" w:hAnsiTheme="minorHAnsi" w:cstheme="minorHAnsi"/>
          <w:sz w:val="22"/>
          <w:szCs w:val="22"/>
        </w:rPr>
        <w:t xml:space="preserve"> work (Gough 1979) for which the post-war welfare settlement had accounted (and which Thatcherism had rejected) have disappeared from policy discussion.</w:t>
      </w:r>
    </w:p>
    <w:p w14:paraId="37A6C4C2" w14:textId="13D70B6A" w:rsidR="00D7129C" w:rsidRPr="00C97895" w:rsidRDefault="00D7129C" w:rsidP="00BF0C99">
      <w:pPr>
        <w:rPr>
          <w:rFonts w:asciiTheme="minorHAnsi" w:hAnsiTheme="minorHAnsi" w:cstheme="minorHAnsi"/>
          <w:sz w:val="22"/>
          <w:szCs w:val="22"/>
        </w:rPr>
      </w:pPr>
    </w:p>
    <w:p w14:paraId="1C1526CC" w14:textId="448B824D" w:rsidR="00B35685" w:rsidRPr="00C97895" w:rsidRDefault="00D7129C" w:rsidP="00B35685">
      <w:pPr>
        <w:rPr>
          <w:rFonts w:asciiTheme="minorHAnsi" w:hAnsiTheme="minorHAnsi" w:cstheme="minorHAnsi"/>
          <w:sz w:val="22"/>
          <w:szCs w:val="22"/>
        </w:rPr>
      </w:pPr>
      <w:r w:rsidRPr="00C97895">
        <w:rPr>
          <w:rFonts w:asciiTheme="minorHAnsi" w:hAnsiTheme="minorHAnsi" w:cstheme="minorHAnsi"/>
          <w:sz w:val="22"/>
          <w:szCs w:val="22"/>
        </w:rPr>
        <w:t xml:space="preserve">A non-commitment to welfare is experienced both </w:t>
      </w:r>
      <w:r w:rsidR="008C317F" w:rsidRPr="00C97895">
        <w:rPr>
          <w:rFonts w:asciiTheme="minorHAnsi" w:hAnsiTheme="minorHAnsi" w:cstheme="minorHAnsi"/>
          <w:sz w:val="22"/>
          <w:szCs w:val="22"/>
        </w:rPr>
        <w:t xml:space="preserve">directly </w:t>
      </w:r>
      <w:r w:rsidRPr="00C97895">
        <w:rPr>
          <w:rFonts w:asciiTheme="minorHAnsi" w:hAnsiTheme="minorHAnsi" w:cstheme="minorHAnsi"/>
          <w:sz w:val="22"/>
          <w:szCs w:val="22"/>
        </w:rPr>
        <w:t xml:space="preserve">through the </w:t>
      </w:r>
      <w:r w:rsidR="008C317F" w:rsidRPr="00C97895">
        <w:rPr>
          <w:rFonts w:asciiTheme="minorHAnsi" w:hAnsiTheme="minorHAnsi" w:cstheme="minorHAnsi"/>
          <w:sz w:val="22"/>
          <w:szCs w:val="22"/>
        </w:rPr>
        <w:t xml:space="preserve">material consequences of increasingly </w:t>
      </w:r>
      <w:proofErr w:type="spellStart"/>
      <w:r w:rsidR="008C317F" w:rsidRPr="00C97895">
        <w:rPr>
          <w:rFonts w:asciiTheme="minorHAnsi" w:hAnsiTheme="minorHAnsi" w:cstheme="minorHAnsi"/>
          <w:sz w:val="22"/>
          <w:szCs w:val="22"/>
        </w:rPr>
        <w:t>residualised</w:t>
      </w:r>
      <w:proofErr w:type="spellEnd"/>
      <w:r w:rsidR="008C317F" w:rsidRPr="00C97895">
        <w:rPr>
          <w:rFonts w:asciiTheme="minorHAnsi" w:hAnsiTheme="minorHAnsi" w:cstheme="minorHAnsi"/>
          <w:sz w:val="22"/>
          <w:szCs w:val="22"/>
        </w:rPr>
        <w:t xml:space="preserve"> provision, but also less tangibly through the absence of </w:t>
      </w:r>
      <w:r w:rsidR="000360DD" w:rsidRPr="00C97895">
        <w:rPr>
          <w:rFonts w:asciiTheme="minorHAnsi" w:hAnsiTheme="minorHAnsi" w:cstheme="minorHAnsi"/>
          <w:sz w:val="22"/>
          <w:szCs w:val="22"/>
        </w:rPr>
        <w:t xml:space="preserve">recognition </w:t>
      </w:r>
      <w:r w:rsidR="00EB2D87" w:rsidRPr="00C97895">
        <w:rPr>
          <w:rFonts w:asciiTheme="minorHAnsi" w:hAnsiTheme="minorHAnsi" w:cstheme="minorHAnsi"/>
          <w:sz w:val="22"/>
          <w:szCs w:val="22"/>
        </w:rPr>
        <w:t>of or concern for</w:t>
      </w:r>
      <w:r w:rsidR="000360DD" w:rsidRPr="00C97895">
        <w:rPr>
          <w:rFonts w:asciiTheme="minorHAnsi" w:hAnsiTheme="minorHAnsi" w:cstheme="minorHAnsi"/>
          <w:sz w:val="22"/>
          <w:szCs w:val="22"/>
        </w:rPr>
        <w:t xml:space="preserve"> the need for </w:t>
      </w:r>
      <w:r w:rsidR="008D2477" w:rsidRPr="00C97895">
        <w:rPr>
          <w:rFonts w:asciiTheme="minorHAnsi" w:hAnsiTheme="minorHAnsi" w:cstheme="minorHAnsi"/>
          <w:sz w:val="22"/>
          <w:szCs w:val="22"/>
        </w:rPr>
        <w:t>the ‘welfare commons’ (Williams, 2015)</w:t>
      </w:r>
      <w:r w:rsidR="008C317F" w:rsidRPr="00C97895">
        <w:rPr>
          <w:rFonts w:asciiTheme="minorHAnsi" w:hAnsiTheme="minorHAnsi" w:cstheme="minorHAnsi"/>
          <w:sz w:val="22"/>
          <w:szCs w:val="22"/>
        </w:rPr>
        <w:t xml:space="preserve">, and more importantly the </w:t>
      </w:r>
      <w:r w:rsidR="00EB2D87" w:rsidRPr="00C97895">
        <w:rPr>
          <w:rFonts w:asciiTheme="minorHAnsi" w:hAnsiTheme="minorHAnsi" w:cstheme="minorHAnsi"/>
          <w:sz w:val="22"/>
          <w:szCs w:val="22"/>
        </w:rPr>
        <w:t xml:space="preserve">closure of </w:t>
      </w:r>
      <w:r w:rsidR="008C317F" w:rsidRPr="00C97895">
        <w:rPr>
          <w:rFonts w:asciiTheme="minorHAnsi" w:hAnsiTheme="minorHAnsi" w:cstheme="minorHAnsi"/>
          <w:sz w:val="22"/>
          <w:szCs w:val="22"/>
        </w:rPr>
        <w:t xml:space="preserve">routes and mechanisms to make </w:t>
      </w:r>
      <w:r w:rsidR="000360DD" w:rsidRPr="00C97895">
        <w:rPr>
          <w:rFonts w:asciiTheme="minorHAnsi" w:hAnsiTheme="minorHAnsi" w:cstheme="minorHAnsi"/>
          <w:sz w:val="22"/>
          <w:szCs w:val="22"/>
        </w:rPr>
        <w:t>claim</w:t>
      </w:r>
      <w:r w:rsidR="008C317F" w:rsidRPr="00C97895">
        <w:rPr>
          <w:rFonts w:asciiTheme="minorHAnsi" w:hAnsiTheme="minorHAnsi" w:cstheme="minorHAnsi"/>
          <w:sz w:val="22"/>
          <w:szCs w:val="22"/>
        </w:rPr>
        <w:t>s for these part of a policy agenda.</w:t>
      </w:r>
      <w:r w:rsidR="000360DD" w:rsidRPr="00C97895">
        <w:rPr>
          <w:rFonts w:asciiTheme="minorHAnsi" w:hAnsiTheme="minorHAnsi" w:cstheme="minorHAnsi"/>
          <w:sz w:val="22"/>
          <w:szCs w:val="22"/>
        </w:rPr>
        <w:t xml:space="preserve"> The non-commitment to welfare is </w:t>
      </w:r>
      <w:r w:rsidR="00C40DD5">
        <w:rPr>
          <w:rFonts w:asciiTheme="minorHAnsi" w:hAnsiTheme="minorHAnsi" w:cstheme="minorHAnsi"/>
          <w:sz w:val="22"/>
          <w:szCs w:val="22"/>
        </w:rPr>
        <w:t xml:space="preserve">most obvious in the political ascendance of ethno-nationalism and xenophobia in advanced welfare states, even those </w:t>
      </w:r>
      <w:r w:rsidR="00DA0C42">
        <w:rPr>
          <w:rFonts w:asciiTheme="minorHAnsi" w:hAnsiTheme="minorHAnsi" w:cstheme="minorHAnsi"/>
          <w:sz w:val="22"/>
          <w:szCs w:val="22"/>
        </w:rPr>
        <w:t xml:space="preserve">such as Sweden which has </w:t>
      </w:r>
      <w:r w:rsidR="00F575EB">
        <w:rPr>
          <w:rFonts w:asciiTheme="minorHAnsi" w:hAnsiTheme="minorHAnsi" w:cstheme="minorHAnsi"/>
          <w:sz w:val="22"/>
          <w:szCs w:val="22"/>
        </w:rPr>
        <w:t xml:space="preserve">hitherto </w:t>
      </w:r>
      <w:r w:rsidR="00DA0C42">
        <w:rPr>
          <w:rFonts w:asciiTheme="minorHAnsi" w:hAnsiTheme="minorHAnsi" w:cstheme="minorHAnsi"/>
          <w:sz w:val="22"/>
          <w:szCs w:val="22"/>
        </w:rPr>
        <w:t xml:space="preserve">held pole position on other measures of welfare </w:t>
      </w:r>
      <w:proofErr w:type="spellStart"/>
      <w:r w:rsidR="00DA0C42">
        <w:rPr>
          <w:rFonts w:asciiTheme="minorHAnsi" w:hAnsiTheme="minorHAnsi" w:cstheme="minorHAnsi"/>
          <w:sz w:val="22"/>
          <w:szCs w:val="22"/>
        </w:rPr>
        <w:t>stateness</w:t>
      </w:r>
      <w:proofErr w:type="spellEnd"/>
      <w:r w:rsidR="00DA0C42">
        <w:rPr>
          <w:rFonts w:asciiTheme="minorHAnsi" w:hAnsiTheme="minorHAnsi" w:cstheme="minorHAnsi"/>
          <w:sz w:val="22"/>
          <w:szCs w:val="22"/>
        </w:rPr>
        <w:t>.</w:t>
      </w:r>
      <w:r w:rsidR="0063540D">
        <w:rPr>
          <w:rFonts w:asciiTheme="minorHAnsi" w:hAnsiTheme="minorHAnsi" w:cstheme="minorHAnsi"/>
          <w:sz w:val="22"/>
          <w:szCs w:val="22"/>
        </w:rPr>
        <w:t xml:space="preserve"> </w:t>
      </w:r>
      <w:r w:rsidR="00F575EB">
        <w:rPr>
          <w:rFonts w:asciiTheme="minorHAnsi" w:hAnsiTheme="minorHAnsi" w:cstheme="minorHAnsi"/>
          <w:sz w:val="22"/>
          <w:szCs w:val="22"/>
        </w:rPr>
        <w:t xml:space="preserve">This reflects both </w:t>
      </w:r>
      <w:r w:rsidR="002F12E8">
        <w:rPr>
          <w:rFonts w:asciiTheme="minorHAnsi" w:hAnsiTheme="minorHAnsi" w:cstheme="minorHAnsi"/>
          <w:sz w:val="22"/>
          <w:szCs w:val="22"/>
        </w:rPr>
        <w:t>materialist</w:t>
      </w:r>
      <w:r w:rsidR="00F575EB">
        <w:rPr>
          <w:rFonts w:asciiTheme="minorHAnsi" w:hAnsiTheme="minorHAnsi" w:cstheme="minorHAnsi"/>
          <w:sz w:val="22"/>
          <w:szCs w:val="22"/>
        </w:rPr>
        <w:t xml:space="preserve"> responses to the limiting of economic resources (Inglehart </w:t>
      </w:r>
      <w:r w:rsidR="002F12E8">
        <w:rPr>
          <w:rFonts w:asciiTheme="minorHAnsi" w:hAnsiTheme="minorHAnsi" w:cstheme="minorHAnsi"/>
          <w:sz w:val="22"/>
          <w:szCs w:val="22"/>
        </w:rPr>
        <w:t>and Norris, 2016</w:t>
      </w:r>
      <w:r w:rsidR="00F575EB">
        <w:rPr>
          <w:rFonts w:asciiTheme="minorHAnsi" w:hAnsiTheme="minorHAnsi" w:cstheme="minorHAnsi"/>
          <w:sz w:val="22"/>
          <w:szCs w:val="22"/>
        </w:rPr>
        <w:t>) and the divis</w:t>
      </w:r>
      <w:r w:rsidR="009B7324">
        <w:rPr>
          <w:rFonts w:asciiTheme="minorHAnsi" w:hAnsiTheme="minorHAnsi" w:cstheme="minorHAnsi"/>
          <w:sz w:val="22"/>
          <w:szCs w:val="22"/>
        </w:rPr>
        <w:t>ive</w:t>
      </w:r>
      <w:r w:rsidR="00F575EB">
        <w:rPr>
          <w:rFonts w:asciiTheme="minorHAnsi" w:hAnsiTheme="minorHAnsi" w:cstheme="minorHAnsi"/>
          <w:sz w:val="22"/>
          <w:szCs w:val="22"/>
        </w:rPr>
        <w:t xml:space="preserve"> outcomes of </w:t>
      </w:r>
      <w:proofErr w:type="spellStart"/>
      <w:r w:rsidR="00F575EB">
        <w:rPr>
          <w:rFonts w:asciiTheme="minorHAnsi" w:hAnsiTheme="minorHAnsi" w:cstheme="minorHAnsi"/>
          <w:sz w:val="22"/>
          <w:szCs w:val="22"/>
        </w:rPr>
        <w:t>residualisation</w:t>
      </w:r>
      <w:proofErr w:type="spellEnd"/>
      <w:r w:rsidR="00F575EB">
        <w:rPr>
          <w:rFonts w:asciiTheme="minorHAnsi" w:hAnsiTheme="minorHAnsi" w:cstheme="minorHAnsi"/>
          <w:sz w:val="22"/>
          <w:szCs w:val="22"/>
        </w:rPr>
        <w:t xml:space="preserve">. Xenophobic politics have </w:t>
      </w:r>
      <w:r w:rsidR="00E8180A">
        <w:rPr>
          <w:rFonts w:asciiTheme="minorHAnsi" w:hAnsiTheme="minorHAnsi" w:cstheme="minorHAnsi"/>
          <w:sz w:val="22"/>
          <w:szCs w:val="22"/>
        </w:rPr>
        <w:t>filtered</w:t>
      </w:r>
      <w:r w:rsidR="00F575EB">
        <w:rPr>
          <w:rFonts w:asciiTheme="minorHAnsi" w:hAnsiTheme="minorHAnsi" w:cstheme="minorHAnsi"/>
          <w:sz w:val="22"/>
          <w:szCs w:val="22"/>
        </w:rPr>
        <w:t xml:space="preserve"> from the extremes to the mainstream (Schumacher and van </w:t>
      </w:r>
      <w:proofErr w:type="spellStart"/>
      <w:r w:rsidR="00F575EB">
        <w:rPr>
          <w:rFonts w:asciiTheme="minorHAnsi" w:hAnsiTheme="minorHAnsi" w:cstheme="minorHAnsi"/>
          <w:sz w:val="22"/>
          <w:szCs w:val="22"/>
        </w:rPr>
        <w:t>Kersbergen</w:t>
      </w:r>
      <w:proofErr w:type="spellEnd"/>
      <w:r w:rsidR="00F575EB">
        <w:rPr>
          <w:rFonts w:asciiTheme="minorHAnsi" w:hAnsiTheme="minorHAnsi" w:cstheme="minorHAnsi"/>
          <w:sz w:val="22"/>
          <w:szCs w:val="22"/>
        </w:rPr>
        <w:t xml:space="preserve"> 2016)</w:t>
      </w:r>
      <w:r w:rsidR="00E8180A">
        <w:rPr>
          <w:rFonts w:asciiTheme="minorHAnsi" w:hAnsiTheme="minorHAnsi" w:cstheme="minorHAnsi"/>
          <w:sz w:val="22"/>
          <w:szCs w:val="22"/>
        </w:rPr>
        <w:t>. At the supra-national level these politics are reflected in the European response to migration in the 2010s (</w:t>
      </w:r>
      <w:r w:rsidR="00E8180A" w:rsidRPr="00E8180A">
        <w:rPr>
          <w:rFonts w:asciiTheme="minorHAnsi" w:hAnsiTheme="minorHAnsi" w:cstheme="minorHAnsi" w:hint="eastAsia"/>
          <w:color w:val="000000" w:themeColor="text1"/>
          <w:sz w:val="22"/>
          <w:szCs w:val="22"/>
        </w:rPr>
        <w:t>Crawley</w:t>
      </w:r>
      <w:r w:rsidR="00E8180A">
        <w:rPr>
          <w:rFonts w:asciiTheme="minorHAnsi" w:hAnsiTheme="minorHAnsi" w:cstheme="minorHAnsi"/>
          <w:color w:val="000000" w:themeColor="text1"/>
          <w:sz w:val="22"/>
          <w:szCs w:val="22"/>
        </w:rPr>
        <w:t xml:space="preserve"> and</w:t>
      </w:r>
      <w:r w:rsidR="00E8180A" w:rsidRPr="00E8180A">
        <w:rPr>
          <w:rFonts w:asciiTheme="minorHAnsi" w:hAnsiTheme="minorHAnsi" w:cstheme="minorHAnsi" w:hint="eastAsia"/>
          <w:color w:val="000000" w:themeColor="text1"/>
          <w:sz w:val="22"/>
          <w:szCs w:val="22"/>
        </w:rPr>
        <w:t xml:space="preserve"> </w:t>
      </w:r>
      <w:proofErr w:type="spellStart"/>
      <w:r w:rsidR="00E8180A" w:rsidRPr="00E8180A">
        <w:rPr>
          <w:rFonts w:asciiTheme="minorHAnsi" w:hAnsiTheme="minorHAnsi" w:cstheme="minorHAnsi" w:hint="eastAsia"/>
          <w:color w:val="000000" w:themeColor="text1"/>
          <w:sz w:val="22"/>
          <w:szCs w:val="22"/>
        </w:rPr>
        <w:t>Skleparis</w:t>
      </w:r>
      <w:proofErr w:type="spellEnd"/>
      <w:r w:rsidR="00E8180A">
        <w:rPr>
          <w:rFonts w:asciiTheme="minorHAnsi" w:hAnsiTheme="minorHAnsi" w:cstheme="minorHAnsi"/>
          <w:color w:val="000000" w:themeColor="text1"/>
          <w:sz w:val="22"/>
          <w:szCs w:val="22"/>
        </w:rPr>
        <w:t xml:space="preserve">, </w:t>
      </w:r>
      <w:r w:rsidR="00E8180A" w:rsidRPr="00E8180A">
        <w:rPr>
          <w:rFonts w:asciiTheme="minorHAnsi" w:hAnsiTheme="minorHAnsi" w:cstheme="minorHAnsi" w:hint="eastAsia"/>
          <w:color w:val="000000" w:themeColor="text1"/>
          <w:sz w:val="22"/>
          <w:szCs w:val="22"/>
        </w:rPr>
        <w:t>2018</w:t>
      </w:r>
      <w:r w:rsidR="00E8180A">
        <w:rPr>
          <w:rFonts w:asciiTheme="minorHAnsi" w:hAnsiTheme="minorHAnsi" w:cstheme="minorHAnsi"/>
          <w:color w:val="000000" w:themeColor="text1"/>
          <w:sz w:val="22"/>
          <w:szCs w:val="22"/>
        </w:rPr>
        <w:t xml:space="preserve">) and </w:t>
      </w:r>
      <w:r w:rsidR="007C5BB0" w:rsidRPr="00C97895">
        <w:rPr>
          <w:rFonts w:asciiTheme="minorHAnsi" w:hAnsiTheme="minorHAnsi" w:cstheme="minorHAnsi"/>
          <w:sz w:val="22"/>
          <w:szCs w:val="22"/>
        </w:rPr>
        <w:t>the partial international engagement with the</w:t>
      </w:r>
      <w:r w:rsidR="00EB2D87" w:rsidRPr="00C97895">
        <w:rPr>
          <w:rFonts w:asciiTheme="minorHAnsi" w:hAnsiTheme="minorHAnsi" w:cstheme="minorHAnsi"/>
          <w:sz w:val="22"/>
          <w:szCs w:val="22"/>
        </w:rPr>
        <w:t xml:space="preserve"> arguably </w:t>
      </w:r>
      <w:r w:rsidR="00245C2F" w:rsidRPr="00C97895">
        <w:rPr>
          <w:rFonts w:asciiTheme="minorHAnsi" w:hAnsiTheme="minorHAnsi" w:cstheme="minorHAnsi"/>
          <w:sz w:val="22"/>
          <w:szCs w:val="22"/>
        </w:rPr>
        <w:t xml:space="preserve">soft </w:t>
      </w:r>
      <w:r w:rsidR="005724BC" w:rsidRPr="00C97895">
        <w:rPr>
          <w:rFonts w:asciiTheme="minorHAnsi" w:hAnsiTheme="minorHAnsi" w:cstheme="minorHAnsi"/>
          <w:sz w:val="22"/>
          <w:szCs w:val="22"/>
        </w:rPr>
        <w:t xml:space="preserve">UN </w:t>
      </w:r>
      <w:r w:rsidR="007C5BB0" w:rsidRPr="00C97895">
        <w:rPr>
          <w:rFonts w:asciiTheme="minorHAnsi" w:hAnsiTheme="minorHAnsi" w:cstheme="minorHAnsi"/>
          <w:sz w:val="22"/>
          <w:szCs w:val="22"/>
        </w:rPr>
        <w:t>Global Compact for Safe</w:t>
      </w:r>
      <w:r w:rsidR="005724BC" w:rsidRPr="00C97895">
        <w:rPr>
          <w:rFonts w:asciiTheme="minorHAnsi" w:hAnsiTheme="minorHAnsi" w:cstheme="minorHAnsi"/>
          <w:sz w:val="22"/>
          <w:szCs w:val="22"/>
        </w:rPr>
        <w:t xml:space="preserve">, </w:t>
      </w:r>
      <w:r w:rsidR="007C5BB0" w:rsidRPr="00C97895">
        <w:rPr>
          <w:rFonts w:asciiTheme="minorHAnsi" w:hAnsiTheme="minorHAnsi" w:cstheme="minorHAnsi"/>
          <w:sz w:val="22"/>
          <w:szCs w:val="22"/>
        </w:rPr>
        <w:t xml:space="preserve">Orderly </w:t>
      </w:r>
      <w:r w:rsidR="005724BC" w:rsidRPr="00C97895">
        <w:rPr>
          <w:rFonts w:asciiTheme="minorHAnsi" w:hAnsiTheme="minorHAnsi" w:cstheme="minorHAnsi"/>
          <w:sz w:val="22"/>
          <w:szCs w:val="22"/>
        </w:rPr>
        <w:t xml:space="preserve">and Regular </w:t>
      </w:r>
      <w:r w:rsidR="007C5BB0" w:rsidRPr="00C97895">
        <w:rPr>
          <w:rFonts w:asciiTheme="minorHAnsi" w:hAnsiTheme="minorHAnsi" w:cstheme="minorHAnsi"/>
          <w:sz w:val="22"/>
          <w:szCs w:val="22"/>
        </w:rPr>
        <w:t>Migration.</w:t>
      </w:r>
      <w:r w:rsidR="00EB2D87" w:rsidRPr="00C97895">
        <w:rPr>
          <w:rFonts w:asciiTheme="minorHAnsi" w:hAnsiTheme="minorHAnsi" w:cstheme="minorHAnsi"/>
          <w:sz w:val="22"/>
          <w:szCs w:val="22"/>
        </w:rPr>
        <w:t xml:space="preserve"> </w:t>
      </w:r>
      <w:r w:rsidR="00B35685" w:rsidRPr="00C97895">
        <w:rPr>
          <w:rFonts w:asciiTheme="minorHAnsi" w:hAnsiTheme="minorHAnsi" w:cstheme="minorHAnsi"/>
          <w:sz w:val="22"/>
          <w:szCs w:val="22"/>
        </w:rPr>
        <w:t xml:space="preserve">Although it is implicit in the notion of ‘welfare chauvinism’ that a commitment to welfare remains, just in a more nativist exclusionary form, this reduces the commitment to promises of material protection and fails to reflect on the more significant long-term implications of dissolving solidarities. </w:t>
      </w:r>
    </w:p>
    <w:p w14:paraId="66A2C145" w14:textId="0CDD5A93" w:rsidR="007C5BB0" w:rsidRPr="00C97895" w:rsidRDefault="007C5BB0" w:rsidP="00BF0C99">
      <w:pPr>
        <w:rPr>
          <w:rFonts w:asciiTheme="minorHAnsi" w:hAnsiTheme="minorHAnsi" w:cstheme="minorHAnsi"/>
          <w:sz w:val="22"/>
          <w:szCs w:val="22"/>
        </w:rPr>
      </w:pPr>
    </w:p>
    <w:p w14:paraId="43F732C3" w14:textId="2F1C02A4" w:rsidR="00CA1630" w:rsidRPr="00C97895" w:rsidRDefault="007C5BB0" w:rsidP="00186E7C">
      <w:pPr>
        <w:rPr>
          <w:rFonts w:asciiTheme="minorHAnsi" w:hAnsiTheme="minorHAnsi" w:cstheme="minorHAnsi"/>
          <w:sz w:val="22"/>
          <w:szCs w:val="22"/>
        </w:rPr>
      </w:pPr>
      <w:r w:rsidRPr="00C97895">
        <w:rPr>
          <w:rFonts w:asciiTheme="minorHAnsi" w:hAnsiTheme="minorHAnsi" w:cstheme="minorHAnsi"/>
          <w:sz w:val="22"/>
          <w:szCs w:val="22"/>
        </w:rPr>
        <w:t xml:space="preserve">The reduction of social policy to its </w:t>
      </w:r>
      <w:proofErr w:type="spellStart"/>
      <w:r w:rsidRPr="00C97895">
        <w:rPr>
          <w:rFonts w:asciiTheme="minorHAnsi" w:hAnsiTheme="minorHAnsi" w:cstheme="minorHAnsi"/>
          <w:sz w:val="22"/>
          <w:szCs w:val="22"/>
        </w:rPr>
        <w:t>productivist</w:t>
      </w:r>
      <w:proofErr w:type="spellEnd"/>
      <w:r w:rsidRPr="00C97895">
        <w:rPr>
          <w:rFonts w:asciiTheme="minorHAnsi" w:hAnsiTheme="minorHAnsi" w:cstheme="minorHAnsi"/>
          <w:sz w:val="22"/>
          <w:szCs w:val="22"/>
        </w:rPr>
        <w:t xml:space="preserve"> uses is a defining feature of the decade of austerity</w:t>
      </w:r>
      <w:r w:rsidR="00CC453A" w:rsidRPr="00C97895">
        <w:rPr>
          <w:rFonts w:asciiTheme="minorHAnsi" w:hAnsiTheme="minorHAnsi" w:cstheme="minorHAnsi"/>
          <w:sz w:val="22"/>
          <w:szCs w:val="22"/>
        </w:rPr>
        <w:t>.</w:t>
      </w:r>
      <w:r w:rsidR="008E66DE" w:rsidRPr="00C97895">
        <w:rPr>
          <w:rFonts w:asciiTheme="minorHAnsi" w:hAnsiTheme="minorHAnsi" w:cstheme="minorHAnsi"/>
          <w:sz w:val="22"/>
          <w:szCs w:val="22"/>
        </w:rPr>
        <w:t xml:space="preserve"> </w:t>
      </w:r>
      <w:r w:rsidR="00CC453A" w:rsidRPr="00C97895">
        <w:rPr>
          <w:rFonts w:asciiTheme="minorHAnsi" w:hAnsiTheme="minorHAnsi" w:cstheme="minorHAnsi"/>
          <w:sz w:val="22"/>
          <w:szCs w:val="22"/>
        </w:rPr>
        <w:t>I</w:t>
      </w:r>
      <w:r w:rsidR="008E66DE" w:rsidRPr="00C97895">
        <w:rPr>
          <w:rFonts w:asciiTheme="minorHAnsi" w:hAnsiTheme="minorHAnsi" w:cstheme="minorHAnsi"/>
          <w:sz w:val="22"/>
          <w:szCs w:val="22"/>
        </w:rPr>
        <w:t xml:space="preserve">n policy terms </w:t>
      </w:r>
      <w:r w:rsidR="00CC453A" w:rsidRPr="00C97895">
        <w:rPr>
          <w:rFonts w:asciiTheme="minorHAnsi" w:hAnsiTheme="minorHAnsi" w:cstheme="minorHAnsi"/>
          <w:sz w:val="22"/>
          <w:szCs w:val="22"/>
        </w:rPr>
        <w:t xml:space="preserve">this </w:t>
      </w:r>
      <w:r w:rsidR="008E66DE" w:rsidRPr="00C97895">
        <w:rPr>
          <w:rFonts w:asciiTheme="minorHAnsi" w:hAnsiTheme="minorHAnsi" w:cstheme="minorHAnsi"/>
          <w:sz w:val="22"/>
          <w:szCs w:val="22"/>
        </w:rPr>
        <w:t>replaces an altruistic impulse with a quid pro quo</w:t>
      </w:r>
      <w:r w:rsidR="00CC453A" w:rsidRPr="00C97895">
        <w:rPr>
          <w:rFonts w:asciiTheme="minorHAnsi" w:hAnsiTheme="minorHAnsi" w:cstheme="minorHAnsi"/>
          <w:sz w:val="22"/>
          <w:szCs w:val="22"/>
        </w:rPr>
        <w:t xml:space="preserve"> </w:t>
      </w:r>
      <w:r w:rsidR="00813D52" w:rsidRPr="00C97895">
        <w:rPr>
          <w:rFonts w:asciiTheme="minorHAnsi" w:hAnsiTheme="minorHAnsi" w:cstheme="minorHAnsi"/>
          <w:sz w:val="22"/>
          <w:szCs w:val="22"/>
        </w:rPr>
        <w:t xml:space="preserve">- </w:t>
      </w:r>
      <w:r w:rsidR="005724BC" w:rsidRPr="00C97895">
        <w:rPr>
          <w:rFonts w:asciiTheme="minorHAnsi" w:hAnsiTheme="minorHAnsi" w:cstheme="minorHAnsi"/>
          <w:sz w:val="22"/>
          <w:szCs w:val="22"/>
        </w:rPr>
        <w:t>the distinction between social and economic policy</w:t>
      </w:r>
      <w:r w:rsidR="00CC453A" w:rsidRPr="00C97895">
        <w:rPr>
          <w:rFonts w:asciiTheme="minorHAnsi" w:hAnsiTheme="minorHAnsi" w:cstheme="minorHAnsi"/>
          <w:sz w:val="22"/>
          <w:szCs w:val="22"/>
        </w:rPr>
        <w:t xml:space="preserve"> </w:t>
      </w:r>
      <w:r w:rsidR="005724BC" w:rsidRPr="00C97895">
        <w:rPr>
          <w:rFonts w:asciiTheme="minorHAnsi" w:hAnsiTheme="minorHAnsi" w:cstheme="minorHAnsi"/>
          <w:sz w:val="22"/>
          <w:szCs w:val="22"/>
        </w:rPr>
        <w:t xml:space="preserve">conceived by </w:t>
      </w:r>
      <w:r w:rsidR="00CC453A" w:rsidRPr="00C97895">
        <w:rPr>
          <w:rFonts w:asciiTheme="minorHAnsi" w:hAnsiTheme="minorHAnsi" w:cstheme="minorHAnsi"/>
          <w:sz w:val="22"/>
          <w:szCs w:val="22"/>
        </w:rPr>
        <w:t>Kenneth Boulding</w:t>
      </w:r>
      <w:r w:rsidR="005724BC" w:rsidRPr="00C97895">
        <w:rPr>
          <w:rFonts w:asciiTheme="minorHAnsi" w:hAnsiTheme="minorHAnsi" w:cstheme="minorHAnsi"/>
          <w:sz w:val="22"/>
          <w:szCs w:val="22"/>
        </w:rPr>
        <w:t xml:space="preserve"> and </w:t>
      </w:r>
      <w:r w:rsidR="00CC453A" w:rsidRPr="00C97895">
        <w:rPr>
          <w:rFonts w:asciiTheme="minorHAnsi" w:hAnsiTheme="minorHAnsi" w:cstheme="minorHAnsi"/>
          <w:sz w:val="22"/>
          <w:szCs w:val="22"/>
        </w:rPr>
        <w:t xml:space="preserve">cited by </w:t>
      </w:r>
      <w:proofErr w:type="spellStart"/>
      <w:r w:rsidR="00CC453A" w:rsidRPr="00C97895">
        <w:rPr>
          <w:rFonts w:asciiTheme="minorHAnsi" w:hAnsiTheme="minorHAnsi" w:cstheme="minorHAnsi"/>
          <w:sz w:val="22"/>
          <w:szCs w:val="22"/>
        </w:rPr>
        <w:t>Titmuss</w:t>
      </w:r>
      <w:proofErr w:type="spellEnd"/>
      <w:r w:rsidR="00CC453A" w:rsidRPr="00C97895">
        <w:rPr>
          <w:rFonts w:asciiTheme="minorHAnsi" w:hAnsiTheme="minorHAnsi" w:cstheme="minorHAnsi"/>
          <w:sz w:val="22"/>
          <w:szCs w:val="22"/>
        </w:rPr>
        <w:t xml:space="preserve"> (</w:t>
      </w:r>
      <w:r w:rsidR="0023722A" w:rsidRPr="00C97895">
        <w:rPr>
          <w:rFonts w:asciiTheme="minorHAnsi" w:hAnsiTheme="minorHAnsi" w:cstheme="minorHAnsi"/>
          <w:sz w:val="22"/>
          <w:szCs w:val="22"/>
        </w:rPr>
        <w:t xml:space="preserve">1968 </w:t>
      </w:r>
      <w:r w:rsidR="00CC453A" w:rsidRPr="00C97895">
        <w:rPr>
          <w:rFonts w:asciiTheme="minorHAnsi" w:hAnsiTheme="minorHAnsi" w:cstheme="minorHAnsi"/>
          <w:sz w:val="22"/>
          <w:szCs w:val="22"/>
        </w:rPr>
        <w:t xml:space="preserve">p21). </w:t>
      </w:r>
      <w:r w:rsidR="0023722A" w:rsidRPr="00C97895">
        <w:rPr>
          <w:rFonts w:asciiTheme="minorHAnsi" w:hAnsiTheme="minorHAnsi" w:cstheme="minorHAnsi"/>
          <w:sz w:val="22"/>
          <w:szCs w:val="22"/>
        </w:rPr>
        <w:t>The non-commitment to welfare is central to austerity’s re</w:t>
      </w:r>
      <w:r w:rsidR="00813D52" w:rsidRPr="00C97895">
        <w:rPr>
          <w:rFonts w:asciiTheme="minorHAnsi" w:hAnsiTheme="minorHAnsi" w:cstheme="minorHAnsi"/>
          <w:sz w:val="22"/>
          <w:szCs w:val="22"/>
        </w:rPr>
        <w:t>purpos</w:t>
      </w:r>
      <w:r w:rsidR="0023722A" w:rsidRPr="00C97895">
        <w:rPr>
          <w:rFonts w:asciiTheme="minorHAnsi" w:hAnsiTheme="minorHAnsi" w:cstheme="minorHAnsi"/>
          <w:sz w:val="22"/>
          <w:szCs w:val="22"/>
        </w:rPr>
        <w:t>ing of social policy as an economic tool, and it requires both political, electoral and cultural buy-in</w:t>
      </w:r>
      <w:r w:rsidR="00DF60F0">
        <w:rPr>
          <w:rFonts w:asciiTheme="minorHAnsi" w:hAnsiTheme="minorHAnsi" w:cstheme="minorHAnsi"/>
          <w:sz w:val="22"/>
          <w:szCs w:val="22"/>
        </w:rPr>
        <w:t>, even when in the case of pensions for example, retrenchment will come at some political cost</w:t>
      </w:r>
      <w:r w:rsidR="0023722A" w:rsidRPr="00C97895">
        <w:rPr>
          <w:rFonts w:asciiTheme="minorHAnsi" w:hAnsiTheme="minorHAnsi" w:cstheme="minorHAnsi"/>
          <w:sz w:val="22"/>
          <w:szCs w:val="22"/>
        </w:rPr>
        <w:t xml:space="preserve">. </w:t>
      </w:r>
      <w:r w:rsidR="00B87026" w:rsidRPr="00C97895">
        <w:rPr>
          <w:rFonts w:asciiTheme="minorHAnsi" w:hAnsiTheme="minorHAnsi" w:cstheme="minorHAnsi"/>
          <w:color w:val="000000" w:themeColor="text1"/>
          <w:sz w:val="22"/>
          <w:szCs w:val="22"/>
        </w:rPr>
        <w:t xml:space="preserve">Where Thatcherism failed, according to Wilding (1992) was in ‘changing hearts and minds’, </w:t>
      </w:r>
      <w:r w:rsidR="00B415E5" w:rsidRPr="00C97895">
        <w:rPr>
          <w:rFonts w:asciiTheme="minorHAnsi" w:hAnsiTheme="minorHAnsi" w:cstheme="minorHAnsi"/>
          <w:color w:val="000000" w:themeColor="text1"/>
          <w:sz w:val="22"/>
          <w:szCs w:val="22"/>
        </w:rPr>
        <w:t>since</w:t>
      </w:r>
      <w:r w:rsidR="00B87026" w:rsidRPr="00C97895">
        <w:rPr>
          <w:rFonts w:asciiTheme="minorHAnsi" w:hAnsiTheme="minorHAnsi" w:cstheme="minorHAnsi"/>
          <w:color w:val="000000" w:themeColor="text1"/>
          <w:sz w:val="22"/>
          <w:szCs w:val="22"/>
        </w:rPr>
        <w:t xml:space="preserve"> opinion surveys at the time indicated </w:t>
      </w:r>
      <w:r w:rsidR="00B87026" w:rsidRPr="00C97895">
        <w:rPr>
          <w:rFonts w:asciiTheme="minorHAnsi" w:hAnsiTheme="minorHAnsi" w:cstheme="minorHAnsi"/>
          <w:sz w:val="22"/>
          <w:szCs w:val="22"/>
        </w:rPr>
        <w:t xml:space="preserve">increasing sympathy for opposing goals – higher taxes and better services. </w:t>
      </w:r>
      <w:r w:rsidR="00785055" w:rsidRPr="00C97895">
        <w:rPr>
          <w:rFonts w:asciiTheme="minorHAnsi" w:hAnsiTheme="minorHAnsi" w:cstheme="minorHAnsi"/>
          <w:sz w:val="22"/>
          <w:szCs w:val="22"/>
        </w:rPr>
        <w:t>However</w:t>
      </w:r>
      <w:r w:rsidR="008E66DE" w:rsidRPr="00C97895">
        <w:rPr>
          <w:rFonts w:asciiTheme="minorHAnsi" w:hAnsiTheme="minorHAnsi" w:cstheme="minorHAnsi"/>
          <w:sz w:val="22"/>
          <w:szCs w:val="22"/>
        </w:rPr>
        <w:t>,</w:t>
      </w:r>
      <w:r w:rsidR="00785055" w:rsidRPr="00C97895">
        <w:rPr>
          <w:rFonts w:asciiTheme="minorHAnsi" w:hAnsiTheme="minorHAnsi" w:cstheme="minorHAnsi"/>
          <w:sz w:val="22"/>
          <w:szCs w:val="22"/>
        </w:rPr>
        <w:t xml:space="preserve"> an issue to which he also alludes, is the ‘directness’ of translation of responses to public opinion surveys into </w:t>
      </w:r>
      <w:r w:rsidR="00F6360C" w:rsidRPr="00C97895">
        <w:rPr>
          <w:rFonts w:asciiTheme="minorHAnsi" w:hAnsiTheme="minorHAnsi" w:cstheme="minorHAnsi"/>
          <w:sz w:val="22"/>
          <w:szCs w:val="22"/>
        </w:rPr>
        <w:t>political</w:t>
      </w:r>
      <w:r w:rsidR="00785055" w:rsidRPr="00C97895">
        <w:rPr>
          <w:rFonts w:asciiTheme="minorHAnsi" w:hAnsiTheme="minorHAnsi" w:cstheme="minorHAnsi"/>
          <w:sz w:val="22"/>
          <w:szCs w:val="22"/>
        </w:rPr>
        <w:t xml:space="preserve"> behaviour. </w:t>
      </w:r>
      <w:r w:rsidR="00CC453A" w:rsidRPr="00C97895">
        <w:rPr>
          <w:rFonts w:asciiTheme="minorHAnsi" w:hAnsiTheme="minorHAnsi" w:cstheme="minorHAnsi"/>
          <w:sz w:val="22"/>
          <w:szCs w:val="22"/>
        </w:rPr>
        <w:t xml:space="preserve">This raises questions </w:t>
      </w:r>
      <w:r w:rsidR="0023722A" w:rsidRPr="00C97895">
        <w:rPr>
          <w:rFonts w:asciiTheme="minorHAnsi" w:hAnsiTheme="minorHAnsi" w:cstheme="minorHAnsi"/>
          <w:sz w:val="22"/>
          <w:szCs w:val="22"/>
        </w:rPr>
        <w:t>for</w:t>
      </w:r>
      <w:r w:rsidR="00CC453A" w:rsidRPr="00C97895">
        <w:rPr>
          <w:rFonts w:asciiTheme="minorHAnsi" w:hAnsiTheme="minorHAnsi" w:cstheme="minorHAnsi"/>
          <w:sz w:val="22"/>
          <w:szCs w:val="22"/>
        </w:rPr>
        <w:t xml:space="preserve"> </w:t>
      </w:r>
      <w:r w:rsidR="0023722A" w:rsidRPr="00C97895">
        <w:rPr>
          <w:rFonts w:asciiTheme="minorHAnsi" w:hAnsiTheme="minorHAnsi" w:cstheme="minorHAnsi"/>
          <w:sz w:val="22"/>
          <w:szCs w:val="22"/>
        </w:rPr>
        <w:t xml:space="preserve">austerity’s draining of </w:t>
      </w:r>
      <w:r w:rsidR="00CC453A" w:rsidRPr="00C97895">
        <w:rPr>
          <w:rFonts w:asciiTheme="minorHAnsi" w:hAnsiTheme="minorHAnsi" w:cstheme="minorHAnsi"/>
          <w:sz w:val="22"/>
          <w:szCs w:val="22"/>
        </w:rPr>
        <w:t>the ‘demand for one society’ (</w:t>
      </w:r>
      <w:proofErr w:type="spellStart"/>
      <w:r w:rsidR="00CC453A" w:rsidRPr="00C97895">
        <w:rPr>
          <w:rFonts w:asciiTheme="minorHAnsi" w:hAnsiTheme="minorHAnsi" w:cstheme="minorHAnsi"/>
          <w:sz w:val="22"/>
          <w:szCs w:val="22"/>
        </w:rPr>
        <w:t>Titmuss</w:t>
      </w:r>
      <w:proofErr w:type="spellEnd"/>
      <w:r w:rsidR="00CC453A" w:rsidRPr="00C97895">
        <w:rPr>
          <w:rFonts w:asciiTheme="minorHAnsi" w:hAnsiTheme="minorHAnsi" w:cstheme="minorHAnsi"/>
          <w:sz w:val="22"/>
          <w:szCs w:val="22"/>
        </w:rPr>
        <w:t>,</w:t>
      </w:r>
      <w:r w:rsidR="0023722A" w:rsidRPr="00C97895">
        <w:rPr>
          <w:rFonts w:asciiTheme="minorHAnsi" w:hAnsiTheme="minorHAnsi" w:cstheme="minorHAnsi"/>
          <w:sz w:val="22"/>
          <w:szCs w:val="22"/>
        </w:rPr>
        <w:t xml:space="preserve"> 1968</w:t>
      </w:r>
      <w:r w:rsidR="00CC453A" w:rsidRPr="00C97895">
        <w:rPr>
          <w:rFonts w:asciiTheme="minorHAnsi" w:hAnsiTheme="minorHAnsi" w:cstheme="minorHAnsi"/>
          <w:sz w:val="22"/>
          <w:szCs w:val="22"/>
        </w:rPr>
        <w:t xml:space="preserve"> p191). </w:t>
      </w:r>
      <w:r w:rsidR="009B7324">
        <w:rPr>
          <w:rFonts w:asciiTheme="minorHAnsi" w:hAnsiTheme="minorHAnsi" w:cstheme="minorHAnsi"/>
          <w:sz w:val="22"/>
          <w:szCs w:val="22"/>
        </w:rPr>
        <w:t>T</w:t>
      </w:r>
      <w:r w:rsidR="009B7324">
        <w:rPr>
          <w:rFonts w:asciiTheme="minorHAnsi" w:hAnsiTheme="minorHAnsi" w:cstheme="minorHAnsi"/>
          <w:sz w:val="22"/>
          <w:szCs w:val="22"/>
        </w:rPr>
        <w:t>he</w:t>
      </w:r>
      <w:r w:rsidR="009B7324" w:rsidRPr="00C97895">
        <w:rPr>
          <w:rFonts w:asciiTheme="minorHAnsi" w:hAnsiTheme="minorHAnsi" w:cstheme="minorHAnsi"/>
          <w:sz w:val="22"/>
          <w:szCs w:val="22"/>
        </w:rPr>
        <w:t xml:space="preserve"> historical record of welfare state building </w:t>
      </w:r>
      <w:r w:rsidR="009B7324">
        <w:rPr>
          <w:rFonts w:asciiTheme="minorHAnsi" w:hAnsiTheme="minorHAnsi" w:cstheme="minorHAnsi"/>
          <w:sz w:val="22"/>
          <w:szCs w:val="22"/>
        </w:rPr>
        <w:t xml:space="preserve">does not </w:t>
      </w:r>
      <w:r w:rsidR="009B7324" w:rsidRPr="00C97895">
        <w:rPr>
          <w:rFonts w:asciiTheme="minorHAnsi" w:hAnsiTheme="minorHAnsi" w:cstheme="minorHAnsi"/>
          <w:sz w:val="22"/>
          <w:szCs w:val="22"/>
        </w:rPr>
        <w:t>indicate that public opinion is a determining factor in effecting change (Flora and Heidenheimer 2005; Castles, 1989)</w:t>
      </w:r>
      <w:r w:rsidR="009B7324">
        <w:rPr>
          <w:rFonts w:asciiTheme="minorHAnsi" w:hAnsiTheme="minorHAnsi" w:cstheme="minorHAnsi"/>
          <w:sz w:val="22"/>
          <w:szCs w:val="22"/>
        </w:rPr>
        <w:t>.</w:t>
      </w:r>
      <w:r w:rsidR="009B7324" w:rsidRPr="00C97895">
        <w:rPr>
          <w:rFonts w:asciiTheme="minorHAnsi" w:hAnsiTheme="minorHAnsi" w:cstheme="minorHAnsi"/>
          <w:sz w:val="22"/>
          <w:szCs w:val="22"/>
        </w:rPr>
        <w:t xml:space="preserve"> </w:t>
      </w:r>
      <w:r w:rsidR="009B7324">
        <w:rPr>
          <w:rFonts w:asciiTheme="minorHAnsi" w:hAnsiTheme="minorHAnsi" w:cstheme="minorHAnsi"/>
          <w:sz w:val="22"/>
          <w:szCs w:val="22"/>
        </w:rPr>
        <w:t>A</w:t>
      </w:r>
      <w:r w:rsidR="00186E7C" w:rsidRPr="00C97895">
        <w:rPr>
          <w:rFonts w:asciiTheme="minorHAnsi" w:hAnsiTheme="minorHAnsi" w:cstheme="minorHAnsi"/>
          <w:sz w:val="22"/>
          <w:szCs w:val="22"/>
        </w:rPr>
        <w:t xml:space="preserve">ccording to the </w:t>
      </w:r>
      <w:proofErr w:type="spellStart"/>
      <w:r w:rsidR="00186E7C" w:rsidRPr="00C97895">
        <w:rPr>
          <w:rFonts w:asciiTheme="minorHAnsi" w:hAnsiTheme="minorHAnsi" w:cstheme="minorHAnsi"/>
          <w:sz w:val="22"/>
          <w:szCs w:val="22"/>
        </w:rPr>
        <w:t>Wilenskian</w:t>
      </w:r>
      <w:proofErr w:type="spellEnd"/>
      <w:r w:rsidR="00186E7C" w:rsidRPr="00C97895">
        <w:rPr>
          <w:rFonts w:asciiTheme="minorHAnsi" w:hAnsiTheme="minorHAnsi" w:cstheme="minorHAnsi"/>
          <w:sz w:val="22"/>
          <w:szCs w:val="22"/>
        </w:rPr>
        <w:t xml:space="preserve"> theorisation of public opinion and welfare state development, t</w:t>
      </w:r>
      <w:r w:rsidR="008E66DE" w:rsidRPr="00C97895">
        <w:rPr>
          <w:rFonts w:asciiTheme="minorHAnsi" w:hAnsiTheme="minorHAnsi" w:cstheme="minorHAnsi"/>
          <w:sz w:val="22"/>
          <w:szCs w:val="22"/>
        </w:rPr>
        <w:t xml:space="preserve">he extent to which an </w:t>
      </w:r>
      <w:proofErr w:type="spellStart"/>
      <w:r w:rsidR="008E66DE" w:rsidRPr="00C97895">
        <w:rPr>
          <w:rFonts w:asciiTheme="minorHAnsi" w:hAnsiTheme="minorHAnsi" w:cstheme="minorHAnsi"/>
          <w:sz w:val="22"/>
          <w:szCs w:val="22"/>
        </w:rPr>
        <w:t>austerian</w:t>
      </w:r>
      <w:proofErr w:type="spellEnd"/>
      <w:r w:rsidR="008E66DE" w:rsidRPr="00C97895">
        <w:rPr>
          <w:rFonts w:asciiTheme="minorHAnsi" w:hAnsiTheme="minorHAnsi" w:cstheme="minorHAnsi"/>
          <w:sz w:val="22"/>
          <w:szCs w:val="22"/>
        </w:rPr>
        <w:t xml:space="preserve"> transactional, investment approach to the provision of services and guarantees is reflected in social attitudes </w:t>
      </w:r>
      <w:r w:rsidR="008D2477" w:rsidRPr="00C97895">
        <w:rPr>
          <w:rFonts w:asciiTheme="minorHAnsi" w:hAnsiTheme="minorHAnsi" w:cstheme="minorHAnsi"/>
          <w:sz w:val="22"/>
          <w:szCs w:val="22"/>
        </w:rPr>
        <w:t>would be</w:t>
      </w:r>
      <w:r w:rsidR="00186E7C" w:rsidRPr="00C97895">
        <w:rPr>
          <w:rFonts w:asciiTheme="minorHAnsi" w:hAnsiTheme="minorHAnsi" w:cstheme="minorHAnsi"/>
          <w:sz w:val="22"/>
          <w:szCs w:val="22"/>
        </w:rPr>
        <w:t xml:space="preserve"> largely irrelevant because ‘mass attitudes about specific social programs’ are the same ‘under the ideological skin’ of all advanced welfare states</w:t>
      </w:r>
      <w:r w:rsidR="005724BC" w:rsidRPr="00C97895">
        <w:rPr>
          <w:rFonts w:asciiTheme="minorHAnsi" w:hAnsiTheme="minorHAnsi" w:cstheme="minorHAnsi"/>
          <w:sz w:val="22"/>
          <w:szCs w:val="22"/>
        </w:rPr>
        <w:t xml:space="preserve"> (</w:t>
      </w:r>
      <w:proofErr w:type="spellStart"/>
      <w:r w:rsidR="005724BC" w:rsidRPr="00C97895">
        <w:rPr>
          <w:rFonts w:asciiTheme="minorHAnsi" w:hAnsiTheme="minorHAnsi" w:cstheme="minorHAnsi"/>
          <w:sz w:val="22"/>
          <w:szCs w:val="22"/>
        </w:rPr>
        <w:t>Wilenksy</w:t>
      </w:r>
      <w:proofErr w:type="spellEnd"/>
      <w:r w:rsidR="005724BC" w:rsidRPr="00C97895">
        <w:rPr>
          <w:rFonts w:asciiTheme="minorHAnsi" w:hAnsiTheme="minorHAnsi" w:cstheme="minorHAnsi"/>
          <w:sz w:val="22"/>
          <w:szCs w:val="22"/>
        </w:rPr>
        <w:t xml:space="preserve"> 2002</w:t>
      </w:r>
      <w:r w:rsidR="00887DA7">
        <w:rPr>
          <w:rFonts w:asciiTheme="minorHAnsi" w:hAnsiTheme="minorHAnsi" w:cstheme="minorHAnsi"/>
          <w:sz w:val="22"/>
          <w:szCs w:val="22"/>
        </w:rPr>
        <w:t xml:space="preserve">: </w:t>
      </w:r>
      <w:r w:rsidR="005724BC" w:rsidRPr="00C97895">
        <w:rPr>
          <w:rFonts w:asciiTheme="minorHAnsi" w:hAnsiTheme="minorHAnsi" w:cstheme="minorHAnsi"/>
          <w:sz w:val="22"/>
          <w:szCs w:val="22"/>
        </w:rPr>
        <w:t>371) - positive regarding pensions and health and less so for the areas that better fulfil the integrative function</w:t>
      </w:r>
      <w:r w:rsidR="00186E7C" w:rsidRPr="00C97895">
        <w:rPr>
          <w:rFonts w:asciiTheme="minorHAnsi" w:hAnsiTheme="minorHAnsi" w:cstheme="minorHAnsi"/>
          <w:sz w:val="22"/>
          <w:szCs w:val="22"/>
        </w:rPr>
        <w:t xml:space="preserve">. </w:t>
      </w:r>
      <w:r w:rsidR="002B2217">
        <w:rPr>
          <w:rFonts w:asciiTheme="minorHAnsi" w:hAnsiTheme="minorHAnsi" w:cstheme="minorHAnsi"/>
          <w:sz w:val="22"/>
          <w:szCs w:val="22"/>
        </w:rPr>
        <w:t xml:space="preserve">This view is reflected in the recent OECD attitudes </w:t>
      </w:r>
      <w:r w:rsidR="00F501B3">
        <w:rPr>
          <w:rFonts w:asciiTheme="minorHAnsi" w:hAnsiTheme="minorHAnsi" w:cstheme="minorHAnsi"/>
          <w:sz w:val="22"/>
          <w:szCs w:val="22"/>
        </w:rPr>
        <w:t xml:space="preserve">survey </w:t>
      </w:r>
      <w:r w:rsidR="002B2217">
        <w:rPr>
          <w:rFonts w:asciiTheme="minorHAnsi" w:hAnsiTheme="minorHAnsi" w:cstheme="minorHAnsi"/>
          <w:sz w:val="22"/>
          <w:szCs w:val="22"/>
        </w:rPr>
        <w:t>data (2019</w:t>
      </w:r>
      <w:r w:rsidR="00F501B3">
        <w:rPr>
          <w:rFonts w:asciiTheme="minorHAnsi" w:hAnsiTheme="minorHAnsi" w:cstheme="minorHAnsi"/>
          <w:sz w:val="22"/>
          <w:szCs w:val="22"/>
        </w:rPr>
        <w:t>a</w:t>
      </w:r>
      <w:r w:rsidR="002B2217">
        <w:rPr>
          <w:rFonts w:asciiTheme="minorHAnsi" w:hAnsiTheme="minorHAnsi" w:cstheme="minorHAnsi"/>
          <w:sz w:val="22"/>
          <w:szCs w:val="22"/>
        </w:rPr>
        <w:t>).</w:t>
      </w:r>
    </w:p>
    <w:p w14:paraId="60F3C9B6" w14:textId="77777777" w:rsidR="00CA1630" w:rsidRPr="00C97895" w:rsidRDefault="00CA1630" w:rsidP="00186E7C">
      <w:pPr>
        <w:rPr>
          <w:rFonts w:asciiTheme="minorHAnsi" w:hAnsiTheme="minorHAnsi" w:cstheme="minorHAnsi"/>
          <w:sz w:val="22"/>
          <w:szCs w:val="22"/>
        </w:rPr>
      </w:pPr>
    </w:p>
    <w:p w14:paraId="68C09C00" w14:textId="595341C4" w:rsidR="00996D65" w:rsidRPr="009B7324" w:rsidRDefault="00EB2D87" w:rsidP="00996D65">
      <w:pPr>
        <w:rPr>
          <w:rFonts w:asciiTheme="minorHAnsi" w:hAnsiTheme="minorHAnsi" w:cstheme="minorHAnsi"/>
          <w:sz w:val="22"/>
          <w:szCs w:val="22"/>
        </w:rPr>
      </w:pPr>
      <w:r w:rsidRPr="00C97895">
        <w:rPr>
          <w:rFonts w:asciiTheme="minorHAnsi" w:hAnsiTheme="minorHAnsi" w:cstheme="minorHAnsi"/>
          <w:sz w:val="22"/>
          <w:szCs w:val="22"/>
        </w:rPr>
        <w:t>The resulting</w:t>
      </w:r>
      <w:r w:rsidR="00785055" w:rsidRPr="00C97895">
        <w:rPr>
          <w:rFonts w:asciiTheme="minorHAnsi" w:hAnsiTheme="minorHAnsi" w:cstheme="minorHAnsi"/>
          <w:sz w:val="22"/>
          <w:szCs w:val="22"/>
        </w:rPr>
        <w:t xml:space="preserve"> dissonance in electorates voicing ‘left’ but voting ‘right’ </w:t>
      </w:r>
      <w:r w:rsidR="009A0B17" w:rsidRPr="00C97895">
        <w:rPr>
          <w:rFonts w:asciiTheme="minorHAnsi" w:hAnsiTheme="minorHAnsi" w:cstheme="minorHAnsi"/>
          <w:sz w:val="22"/>
          <w:szCs w:val="22"/>
        </w:rPr>
        <w:t xml:space="preserve">in the decade of austerity </w:t>
      </w:r>
      <w:r w:rsidRPr="00C97895">
        <w:rPr>
          <w:rFonts w:asciiTheme="minorHAnsi" w:hAnsiTheme="minorHAnsi" w:cstheme="minorHAnsi"/>
          <w:sz w:val="22"/>
          <w:szCs w:val="22"/>
        </w:rPr>
        <w:t xml:space="preserve">might be expected if it is the case that </w:t>
      </w:r>
      <w:r w:rsidR="00F6360C" w:rsidRPr="00C97895">
        <w:rPr>
          <w:rFonts w:asciiTheme="minorHAnsi" w:hAnsiTheme="minorHAnsi" w:cstheme="minorHAnsi"/>
          <w:sz w:val="22"/>
          <w:szCs w:val="22"/>
        </w:rPr>
        <w:t xml:space="preserve">sympathy </w:t>
      </w:r>
      <w:r w:rsidRPr="00C97895">
        <w:rPr>
          <w:rFonts w:asciiTheme="minorHAnsi" w:hAnsiTheme="minorHAnsi" w:cstheme="minorHAnsi"/>
          <w:sz w:val="22"/>
          <w:szCs w:val="22"/>
        </w:rPr>
        <w:t xml:space="preserve">for the welfare state is </w:t>
      </w:r>
      <w:r w:rsidR="009A0B17" w:rsidRPr="00C97895">
        <w:rPr>
          <w:rFonts w:asciiTheme="minorHAnsi" w:hAnsiTheme="minorHAnsi" w:cstheme="minorHAnsi"/>
          <w:sz w:val="22"/>
          <w:szCs w:val="22"/>
        </w:rPr>
        <w:t>more apparent</w:t>
      </w:r>
      <w:r w:rsidRPr="00C97895">
        <w:rPr>
          <w:rFonts w:asciiTheme="minorHAnsi" w:hAnsiTheme="minorHAnsi" w:cstheme="minorHAnsi"/>
          <w:sz w:val="22"/>
          <w:szCs w:val="22"/>
        </w:rPr>
        <w:t xml:space="preserve"> </w:t>
      </w:r>
      <w:r w:rsidR="00F6360C" w:rsidRPr="00C97895">
        <w:rPr>
          <w:rFonts w:asciiTheme="minorHAnsi" w:hAnsiTheme="minorHAnsi" w:cstheme="minorHAnsi"/>
          <w:sz w:val="22"/>
          <w:szCs w:val="22"/>
        </w:rPr>
        <w:t>in harder times</w:t>
      </w:r>
      <w:r w:rsidR="00887DA7">
        <w:rPr>
          <w:rFonts w:asciiTheme="minorHAnsi" w:hAnsiTheme="minorHAnsi" w:cstheme="minorHAnsi"/>
          <w:sz w:val="22"/>
          <w:szCs w:val="22"/>
        </w:rPr>
        <w:t>. A</w:t>
      </w:r>
      <w:r w:rsidR="00945E09" w:rsidRPr="00C97895">
        <w:rPr>
          <w:rFonts w:asciiTheme="minorHAnsi" w:hAnsiTheme="minorHAnsi" w:cstheme="minorHAnsi"/>
          <w:sz w:val="22"/>
          <w:szCs w:val="22"/>
        </w:rPr>
        <w:t xml:space="preserve">ttitudes to welfare hardened considerably over the period 1997-2011 in the UK for example, </w:t>
      </w:r>
      <w:r w:rsidR="00887DA7">
        <w:rPr>
          <w:rFonts w:asciiTheme="minorHAnsi" w:hAnsiTheme="minorHAnsi" w:cstheme="minorHAnsi"/>
          <w:sz w:val="22"/>
          <w:szCs w:val="22"/>
        </w:rPr>
        <w:t>(</w:t>
      </w:r>
      <w:r w:rsidR="00945E09" w:rsidRPr="00C97895">
        <w:rPr>
          <w:rFonts w:asciiTheme="minorHAnsi" w:hAnsiTheme="minorHAnsi" w:cstheme="minorHAnsi"/>
          <w:sz w:val="22"/>
          <w:szCs w:val="22"/>
        </w:rPr>
        <w:t xml:space="preserve">see Park et al, 2012). </w:t>
      </w:r>
      <w:r w:rsidR="00CA1630" w:rsidRPr="00C97895">
        <w:rPr>
          <w:rFonts w:asciiTheme="minorHAnsi" w:hAnsiTheme="minorHAnsi" w:cstheme="minorHAnsi"/>
          <w:sz w:val="22"/>
          <w:szCs w:val="22"/>
        </w:rPr>
        <w:t xml:space="preserve">Larsen’s (2008) work </w:t>
      </w:r>
      <w:r w:rsidR="009A0B17" w:rsidRPr="00C97895">
        <w:rPr>
          <w:rFonts w:asciiTheme="minorHAnsi" w:hAnsiTheme="minorHAnsi" w:cstheme="minorHAnsi"/>
          <w:sz w:val="22"/>
          <w:szCs w:val="22"/>
        </w:rPr>
        <w:t xml:space="preserve">using 1990 World Values Survey data </w:t>
      </w:r>
      <w:r w:rsidR="00CA1630" w:rsidRPr="00C97895">
        <w:rPr>
          <w:rFonts w:asciiTheme="minorHAnsi" w:hAnsiTheme="minorHAnsi" w:cstheme="minorHAnsi"/>
          <w:sz w:val="22"/>
          <w:szCs w:val="22"/>
        </w:rPr>
        <w:t>suggests that residual</w:t>
      </w:r>
      <w:r w:rsidR="00E60B03" w:rsidRPr="00C97895">
        <w:rPr>
          <w:rFonts w:asciiTheme="minorHAnsi" w:hAnsiTheme="minorHAnsi" w:cstheme="minorHAnsi"/>
          <w:sz w:val="22"/>
          <w:szCs w:val="22"/>
        </w:rPr>
        <w:t xml:space="preserve"> welfare regimes</w:t>
      </w:r>
      <w:r w:rsidR="00CA1630" w:rsidRPr="00C97895">
        <w:rPr>
          <w:rFonts w:asciiTheme="minorHAnsi" w:hAnsiTheme="minorHAnsi" w:cstheme="minorHAnsi"/>
          <w:sz w:val="22"/>
          <w:szCs w:val="22"/>
        </w:rPr>
        <w:t xml:space="preserve"> beget </w:t>
      </w:r>
      <w:r w:rsidR="009A0B17" w:rsidRPr="00C97895">
        <w:rPr>
          <w:rFonts w:asciiTheme="minorHAnsi" w:hAnsiTheme="minorHAnsi" w:cstheme="minorHAnsi"/>
          <w:sz w:val="22"/>
          <w:szCs w:val="22"/>
        </w:rPr>
        <w:t xml:space="preserve">social </w:t>
      </w:r>
      <w:r w:rsidR="00CA1630" w:rsidRPr="00C97895">
        <w:rPr>
          <w:rFonts w:asciiTheme="minorHAnsi" w:hAnsiTheme="minorHAnsi" w:cstheme="minorHAnsi"/>
          <w:sz w:val="22"/>
          <w:szCs w:val="22"/>
        </w:rPr>
        <w:t>dis</w:t>
      </w:r>
      <w:r w:rsidR="009A0B17" w:rsidRPr="00C97895">
        <w:rPr>
          <w:rFonts w:asciiTheme="minorHAnsi" w:hAnsiTheme="minorHAnsi" w:cstheme="minorHAnsi"/>
          <w:sz w:val="22"/>
          <w:szCs w:val="22"/>
        </w:rPr>
        <w:t>tancing</w:t>
      </w:r>
      <w:r w:rsidR="00CA1630" w:rsidRPr="00C97895">
        <w:rPr>
          <w:rFonts w:asciiTheme="minorHAnsi" w:hAnsiTheme="minorHAnsi" w:cstheme="minorHAnsi"/>
          <w:sz w:val="22"/>
          <w:szCs w:val="22"/>
        </w:rPr>
        <w:t xml:space="preserve"> </w:t>
      </w:r>
      <w:r w:rsidR="00280D24" w:rsidRPr="00C97895">
        <w:rPr>
          <w:rFonts w:asciiTheme="minorHAnsi" w:hAnsiTheme="minorHAnsi" w:cstheme="minorHAnsi"/>
          <w:sz w:val="22"/>
          <w:szCs w:val="22"/>
        </w:rPr>
        <w:t xml:space="preserve">in public attitudes </w:t>
      </w:r>
      <w:r w:rsidR="00E60B03" w:rsidRPr="00C97895">
        <w:rPr>
          <w:rFonts w:asciiTheme="minorHAnsi" w:hAnsiTheme="minorHAnsi" w:cstheme="minorHAnsi"/>
          <w:sz w:val="22"/>
          <w:szCs w:val="22"/>
        </w:rPr>
        <w:t>however, and with austerity as the most widespread socially and economically distancing project since modern welfare states emerged, it would be expected that public attitudes would harden rather than soften</w:t>
      </w:r>
      <w:r w:rsidR="0023722A" w:rsidRPr="00C97895">
        <w:rPr>
          <w:rFonts w:asciiTheme="minorHAnsi" w:hAnsiTheme="minorHAnsi" w:cstheme="minorHAnsi"/>
          <w:sz w:val="22"/>
          <w:szCs w:val="22"/>
        </w:rPr>
        <w:t>, and that greater cross-national convergence would apply</w:t>
      </w:r>
      <w:r w:rsidR="00E60B03" w:rsidRPr="00C97895">
        <w:rPr>
          <w:rFonts w:asciiTheme="minorHAnsi" w:hAnsiTheme="minorHAnsi" w:cstheme="minorHAnsi"/>
          <w:sz w:val="22"/>
          <w:szCs w:val="22"/>
        </w:rPr>
        <w:t>.</w:t>
      </w:r>
      <w:r w:rsidR="00B35685" w:rsidRPr="00C97895">
        <w:rPr>
          <w:rFonts w:asciiTheme="minorHAnsi" w:hAnsiTheme="minorHAnsi" w:cstheme="minorHAnsi"/>
          <w:sz w:val="22"/>
          <w:szCs w:val="22"/>
        </w:rPr>
        <w:t xml:space="preserve"> </w:t>
      </w:r>
      <w:r w:rsidR="009B7324">
        <w:rPr>
          <w:rFonts w:asciiTheme="minorHAnsi" w:hAnsiTheme="minorHAnsi" w:cstheme="minorHAnsi"/>
          <w:sz w:val="22"/>
          <w:szCs w:val="22"/>
        </w:rPr>
        <w:t xml:space="preserve">The 2018 </w:t>
      </w:r>
      <w:r w:rsidR="009B7324" w:rsidRPr="009B7324">
        <w:rPr>
          <w:rFonts w:asciiTheme="minorHAnsi" w:hAnsiTheme="minorHAnsi" w:cstheme="minorHAnsi"/>
          <w:i/>
          <w:iCs/>
          <w:sz w:val="22"/>
          <w:szCs w:val="22"/>
        </w:rPr>
        <w:t>Risks that Matter</w:t>
      </w:r>
      <w:r w:rsidR="009B7324">
        <w:rPr>
          <w:rFonts w:asciiTheme="minorHAnsi" w:hAnsiTheme="minorHAnsi" w:cstheme="minorHAnsi"/>
          <w:sz w:val="22"/>
          <w:szCs w:val="22"/>
        </w:rPr>
        <w:t xml:space="preserve"> survey indicates that two thirds of respondents across 21 countries suspect </w:t>
      </w:r>
      <w:proofErr w:type="spellStart"/>
      <w:r w:rsidR="009B7324">
        <w:rPr>
          <w:rFonts w:asciiTheme="minorHAnsi" w:hAnsiTheme="minorHAnsi" w:cstheme="minorHAnsi"/>
          <w:sz w:val="22"/>
          <w:szCs w:val="22"/>
        </w:rPr>
        <w:t>undeservingness</w:t>
      </w:r>
      <w:proofErr w:type="spellEnd"/>
      <w:r w:rsidR="009B7324">
        <w:rPr>
          <w:rFonts w:asciiTheme="minorHAnsi" w:hAnsiTheme="minorHAnsi" w:cstheme="minorHAnsi"/>
          <w:sz w:val="22"/>
          <w:szCs w:val="22"/>
        </w:rPr>
        <w:t xml:space="preserve"> in public benefits received </w:t>
      </w:r>
      <w:r w:rsidR="009B7324">
        <w:rPr>
          <w:rFonts w:asciiTheme="minorHAnsi" w:hAnsiTheme="minorHAnsi" w:cstheme="minorHAnsi"/>
          <w:sz w:val="22"/>
          <w:szCs w:val="22"/>
        </w:rPr>
        <w:lastRenderedPageBreak/>
        <w:t xml:space="preserve">by others, while over half believe that they would not be able to access the benefits they need (OECD, 2019a: 68). In the UK, </w:t>
      </w:r>
      <w:r w:rsidR="002B2217">
        <w:rPr>
          <w:rFonts w:asciiTheme="minorHAnsi" w:hAnsiTheme="minorHAnsi" w:cstheme="minorHAnsi"/>
          <w:sz w:val="22"/>
          <w:szCs w:val="22"/>
        </w:rPr>
        <w:t>m</w:t>
      </w:r>
      <w:r w:rsidR="00980D69" w:rsidRPr="00C97895">
        <w:rPr>
          <w:rFonts w:asciiTheme="minorHAnsi" w:hAnsiTheme="minorHAnsi" w:cstheme="minorHAnsi"/>
          <w:sz w:val="22"/>
          <w:szCs w:val="22"/>
        </w:rPr>
        <w:t xml:space="preserve">ore revealing of the non-commitment is the question asked </w:t>
      </w:r>
      <w:r w:rsidR="00F501B3" w:rsidRPr="00C97895">
        <w:rPr>
          <w:rFonts w:asciiTheme="minorHAnsi" w:hAnsiTheme="minorHAnsi" w:cstheme="minorHAnsi"/>
          <w:sz w:val="22"/>
          <w:szCs w:val="22"/>
        </w:rPr>
        <w:t xml:space="preserve">to people on low incomes </w:t>
      </w:r>
      <w:r w:rsidR="00980D69" w:rsidRPr="00C97895">
        <w:rPr>
          <w:rFonts w:asciiTheme="minorHAnsi" w:hAnsiTheme="minorHAnsi" w:cstheme="minorHAnsi"/>
          <w:sz w:val="22"/>
          <w:szCs w:val="22"/>
        </w:rPr>
        <w:t>in the 201</w:t>
      </w:r>
      <w:r w:rsidR="00A37FFB" w:rsidRPr="00C97895">
        <w:rPr>
          <w:rFonts w:asciiTheme="minorHAnsi" w:hAnsiTheme="minorHAnsi" w:cstheme="minorHAnsi"/>
          <w:sz w:val="22"/>
          <w:szCs w:val="22"/>
        </w:rPr>
        <w:t>7</w:t>
      </w:r>
      <w:r w:rsidR="00980D69" w:rsidRPr="00C97895">
        <w:rPr>
          <w:rFonts w:asciiTheme="minorHAnsi" w:hAnsiTheme="minorHAnsi" w:cstheme="minorHAnsi"/>
          <w:sz w:val="22"/>
          <w:szCs w:val="22"/>
        </w:rPr>
        <w:t xml:space="preserve"> British Social Attitudes Survey: who do you think has the most power to improve your life? Only 9% of respondents cited the government while 73% cited ‘</w:t>
      </w:r>
      <w:proofErr w:type="gramStart"/>
      <w:r w:rsidR="00980D69" w:rsidRPr="00C97895">
        <w:rPr>
          <w:rFonts w:asciiTheme="minorHAnsi" w:hAnsiTheme="minorHAnsi" w:cstheme="minorHAnsi"/>
          <w:sz w:val="22"/>
          <w:szCs w:val="22"/>
        </w:rPr>
        <w:t>myself</w:t>
      </w:r>
      <w:proofErr w:type="gramEnd"/>
      <w:r w:rsidR="00980D69" w:rsidRPr="00C97895">
        <w:rPr>
          <w:rFonts w:asciiTheme="minorHAnsi" w:hAnsiTheme="minorHAnsi" w:cstheme="minorHAnsi"/>
          <w:sz w:val="22"/>
          <w:szCs w:val="22"/>
        </w:rPr>
        <w:t>’ (</w:t>
      </w:r>
      <w:r w:rsidR="00813D52" w:rsidRPr="00C97895">
        <w:rPr>
          <w:rFonts w:asciiTheme="minorHAnsi" w:hAnsiTheme="minorHAnsi" w:cstheme="minorHAnsi"/>
          <w:sz w:val="22"/>
          <w:szCs w:val="22"/>
        </w:rPr>
        <w:t>Taylor et al, 2017)</w:t>
      </w:r>
      <w:r w:rsidR="00980D69" w:rsidRPr="00C97895">
        <w:rPr>
          <w:rFonts w:asciiTheme="minorHAnsi" w:hAnsiTheme="minorHAnsi" w:cstheme="minorHAnsi"/>
          <w:sz w:val="22"/>
          <w:szCs w:val="22"/>
        </w:rPr>
        <w:t>.</w:t>
      </w:r>
      <w:r w:rsidR="00A37FFB" w:rsidRPr="00C97895">
        <w:rPr>
          <w:rFonts w:asciiTheme="minorHAnsi" w:hAnsiTheme="minorHAnsi" w:cstheme="minorHAnsi"/>
          <w:sz w:val="22"/>
          <w:szCs w:val="22"/>
        </w:rPr>
        <w:t xml:space="preserve"> </w:t>
      </w:r>
      <w:proofErr w:type="gramStart"/>
      <w:r w:rsidR="00DF60F0">
        <w:rPr>
          <w:rFonts w:asciiTheme="minorHAnsi" w:hAnsiTheme="minorHAnsi" w:cstheme="minorHAnsi"/>
          <w:sz w:val="22"/>
          <w:szCs w:val="22"/>
        </w:rPr>
        <w:t>Pre welfare</w:t>
      </w:r>
      <w:proofErr w:type="gramEnd"/>
      <w:r w:rsidR="00DF60F0">
        <w:rPr>
          <w:rFonts w:asciiTheme="minorHAnsi" w:hAnsiTheme="minorHAnsi" w:cstheme="minorHAnsi"/>
          <w:sz w:val="22"/>
          <w:szCs w:val="22"/>
        </w:rPr>
        <w:t xml:space="preserve"> state s</w:t>
      </w:r>
      <w:r w:rsidR="00A37FFB" w:rsidRPr="00C97895">
        <w:rPr>
          <w:rFonts w:asciiTheme="minorHAnsi" w:hAnsiTheme="minorHAnsi" w:cstheme="minorHAnsi"/>
          <w:sz w:val="22"/>
          <w:szCs w:val="22"/>
        </w:rPr>
        <w:t xml:space="preserve">elf-reliance has </w:t>
      </w:r>
      <w:r w:rsidR="00F501B3">
        <w:rPr>
          <w:rFonts w:asciiTheme="minorHAnsi" w:hAnsiTheme="minorHAnsi" w:cstheme="minorHAnsi"/>
          <w:sz w:val="22"/>
          <w:szCs w:val="22"/>
        </w:rPr>
        <w:t xml:space="preserve">thus </w:t>
      </w:r>
      <w:r w:rsidR="00A37FFB" w:rsidRPr="00C97895">
        <w:rPr>
          <w:rFonts w:asciiTheme="minorHAnsi" w:hAnsiTheme="minorHAnsi" w:cstheme="minorHAnsi"/>
          <w:sz w:val="22"/>
          <w:szCs w:val="22"/>
        </w:rPr>
        <w:t xml:space="preserve">become </w:t>
      </w:r>
      <w:r w:rsidR="00DF60F0">
        <w:rPr>
          <w:rFonts w:asciiTheme="minorHAnsi" w:hAnsiTheme="minorHAnsi" w:cstheme="minorHAnsi"/>
          <w:sz w:val="22"/>
          <w:szCs w:val="22"/>
        </w:rPr>
        <w:t>re-</w:t>
      </w:r>
      <w:r w:rsidR="00A37FFB" w:rsidRPr="00C97895">
        <w:rPr>
          <w:rFonts w:asciiTheme="minorHAnsi" w:hAnsiTheme="minorHAnsi" w:cstheme="minorHAnsi"/>
          <w:sz w:val="22"/>
          <w:szCs w:val="22"/>
        </w:rPr>
        <w:t>embedded in welfare expectations of those with greatest need</w:t>
      </w:r>
      <w:r w:rsidR="008D2477" w:rsidRPr="00C97895">
        <w:rPr>
          <w:rFonts w:asciiTheme="minorHAnsi" w:hAnsiTheme="minorHAnsi" w:cstheme="minorHAnsi"/>
          <w:sz w:val="22"/>
          <w:szCs w:val="22"/>
        </w:rPr>
        <w:t>.</w:t>
      </w:r>
      <w:r w:rsidR="00A37FFB" w:rsidRPr="00C97895">
        <w:rPr>
          <w:rFonts w:asciiTheme="minorHAnsi" w:hAnsiTheme="minorHAnsi" w:cstheme="minorHAnsi"/>
          <w:sz w:val="22"/>
          <w:szCs w:val="22"/>
        </w:rPr>
        <w:t xml:space="preserve"> </w:t>
      </w:r>
      <w:r w:rsidR="008D2477" w:rsidRPr="00C97895">
        <w:rPr>
          <w:rFonts w:asciiTheme="minorHAnsi" w:hAnsiTheme="minorHAnsi" w:cstheme="minorHAnsi"/>
          <w:sz w:val="22"/>
          <w:szCs w:val="22"/>
        </w:rPr>
        <w:t>S</w:t>
      </w:r>
      <w:r w:rsidR="00996D65" w:rsidRPr="00C97895">
        <w:rPr>
          <w:rFonts w:asciiTheme="minorHAnsi" w:hAnsiTheme="minorHAnsi" w:cstheme="minorHAnsi"/>
          <w:sz w:val="22"/>
          <w:szCs w:val="22"/>
        </w:rPr>
        <w:t xml:space="preserve">ome political scientists study the lowering of expectations as a ‘policy feedback effect’ but more than this it </w:t>
      </w:r>
      <w:r w:rsidR="00BF5105" w:rsidRPr="00C97895">
        <w:rPr>
          <w:rFonts w:asciiTheme="minorHAnsi" w:hAnsiTheme="minorHAnsi" w:cstheme="minorHAnsi"/>
          <w:sz w:val="22"/>
          <w:szCs w:val="22"/>
        </w:rPr>
        <w:t>reflects a societal choice that the ‘social costs of the system should lie where they fall’ (</w:t>
      </w:r>
      <w:proofErr w:type="spellStart"/>
      <w:r w:rsidR="00BF5105" w:rsidRPr="00C97895">
        <w:rPr>
          <w:rFonts w:asciiTheme="minorHAnsi" w:hAnsiTheme="minorHAnsi" w:cstheme="minorHAnsi"/>
          <w:sz w:val="22"/>
          <w:szCs w:val="22"/>
        </w:rPr>
        <w:t>Titmuss</w:t>
      </w:r>
      <w:proofErr w:type="spellEnd"/>
      <w:r w:rsidR="00BF5105" w:rsidRPr="00C97895">
        <w:rPr>
          <w:rFonts w:asciiTheme="minorHAnsi" w:hAnsiTheme="minorHAnsi" w:cstheme="minorHAnsi"/>
          <w:sz w:val="22"/>
          <w:szCs w:val="22"/>
        </w:rPr>
        <w:t>, 1968, p 133).</w:t>
      </w:r>
      <w:r w:rsidR="008D2477" w:rsidRPr="00C97895">
        <w:rPr>
          <w:rFonts w:asciiTheme="minorHAnsi" w:hAnsiTheme="minorHAnsi" w:cstheme="minorHAnsi"/>
          <w:sz w:val="22"/>
          <w:szCs w:val="22"/>
        </w:rPr>
        <w:t xml:space="preserve"> </w:t>
      </w:r>
      <w:proofErr w:type="gramStart"/>
      <w:r w:rsidR="00996D65" w:rsidRPr="00C97895">
        <w:rPr>
          <w:rFonts w:asciiTheme="minorHAnsi" w:hAnsiTheme="minorHAnsi" w:cstheme="minorHAnsi"/>
          <w:color w:val="000000" w:themeColor="text1"/>
          <w:sz w:val="22"/>
          <w:szCs w:val="22"/>
        </w:rPr>
        <w:t xml:space="preserve">The </w:t>
      </w:r>
      <w:r w:rsidR="00E229DF" w:rsidRPr="00C97895">
        <w:rPr>
          <w:rFonts w:asciiTheme="minorHAnsi" w:hAnsiTheme="minorHAnsi" w:cstheme="minorHAnsi"/>
          <w:color w:val="000000" w:themeColor="text1"/>
          <w:sz w:val="22"/>
          <w:szCs w:val="22"/>
        </w:rPr>
        <w:t xml:space="preserve">formal </w:t>
      </w:r>
      <w:r w:rsidR="00996D65" w:rsidRPr="00C97895">
        <w:rPr>
          <w:rFonts w:asciiTheme="minorHAnsi" w:hAnsiTheme="minorHAnsi" w:cstheme="minorHAnsi"/>
          <w:color w:val="000000" w:themeColor="text1"/>
          <w:sz w:val="22"/>
          <w:szCs w:val="22"/>
        </w:rPr>
        <w:t>recognition,</w:t>
      </w:r>
      <w:proofErr w:type="gramEnd"/>
      <w:r w:rsidR="00996D65" w:rsidRPr="00C97895">
        <w:rPr>
          <w:rFonts w:asciiTheme="minorHAnsi" w:hAnsiTheme="minorHAnsi" w:cstheme="minorHAnsi"/>
          <w:color w:val="000000" w:themeColor="text1"/>
          <w:sz w:val="22"/>
          <w:szCs w:val="22"/>
        </w:rPr>
        <w:t xml:space="preserve"> </w:t>
      </w:r>
      <w:r w:rsidR="008D2477" w:rsidRPr="00C97895">
        <w:rPr>
          <w:rFonts w:asciiTheme="minorHAnsi" w:hAnsiTheme="minorHAnsi" w:cstheme="minorHAnsi"/>
          <w:color w:val="000000" w:themeColor="text1"/>
          <w:sz w:val="22"/>
          <w:szCs w:val="22"/>
        </w:rPr>
        <w:t xml:space="preserve">guarantee and </w:t>
      </w:r>
      <w:r w:rsidR="00996D65" w:rsidRPr="00C97895">
        <w:rPr>
          <w:rFonts w:asciiTheme="minorHAnsi" w:hAnsiTheme="minorHAnsi" w:cstheme="minorHAnsi"/>
          <w:color w:val="000000" w:themeColor="text1"/>
          <w:sz w:val="22"/>
          <w:szCs w:val="22"/>
        </w:rPr>
        <w:t>realisation of shared interests</w:t>
      </w:r>
      <w:r w:rsidR="00DF60F0">
        <w:rPr>
          <w:rFonts w:asciiTheme="minorHAnsi" w:hAnsiTheme="minorHAnsi" w:cstheme="minorHAnsi"/>
          <w:color w:val="000000" w:themeColor="text1"/>
          <w:sz w:val="22"/>
          <w:szCs w:val="22"/>
        </w:rPr>
        <w:t xml:space="preserve"> </w:t>
      </w:r>
      <w:r w:rsidR="008D2477" w:rsidRPr="00C97895">
        <w:rPr>
          <w:rFonts w:asciiTheme="minorHAnsi" w:hAnsiTheme="minorHAnsi" w:cstheme="minorHAnsi"/>
          <w:color w:val="000000" w:themeColor="text1"/>
          <w:sz w:val="22"/>
          <w:szCs w:val="22"/>
        </w:rPr>
        <w:t xml:space="preserve">via </w:t>
      </w:r>
      <w:r w:rsidR="00996D65" w:rsidRPr="00C97895">
        <w:rPr>
          <w:rFonts w:asciiTheme="minorHAnsi" w:hAnsiTheme="minorHAnsi" w:cstheme="minorHAnsi"/>
          <w:color w:val="000000" w:themeColor="text1"/>
          <w:sz w:val="22"/>
          <w:szCs w:val="22"/>
        </w:rPr>
        <w:t xml:space="preserve">legitimate claims </w:t>
      </w:r>
      <w:r w:rsidR="00E229DF" w:rsidRPr="00C97895">
        <w:rPr>
          <w:rFonts w:asciiTheme="minorHAnsi" w:hAnsiTheme="minorHAnsi" w:cstheme="minorHAnsi"/>
          <w:color w:val="000000" w:themeColor="text1"/>
          <w:sz w:val="22"/>
          <w:szCs w:val="22"/>
        </w:rPr>
        <w:t>to universal and high quality public goods, weakened in the 1980s, has been successfully ruptured since 2010.</w:t>
      </w:r>
    </w:p>
    <w:p w14:paraId="63C81C21" w14:textId="77777777" w:rsidR="00121083" w:rsidRPr="00C97895" w:rsidRDefault="00121083" w:rsidP="00813D52">
      <w:pPr>
        <w:rPr>
          <w:rFonts w:asciiTheme="minorHAnsi" w:hAnsiTheme="minorHAnsi" w:cstheme="minorHAnsi"/>
          <w:sz w:val="22"/>
          <w:szCs w:val="22"/>
        </w:rPr>
      </w:pPr>
    </w:p>
    <w:p w14:paraId="5D891793" w14:textId="6A035AD3" w:rsidR="00653DCE" w:rsidRPr="00C97895" w:rsidRDefault="00653DCE" w:rsidP="00653DCE">
      <w:pPr>
        <w:rPr>
          <w:rFonts w:asciiTheme="minorHAnsi" w:hAnsiTheme="minorHAnsi" w:cstheme="minorHAnsi"/>
          <w:sz w:val="22"/>
          <w:szCs w:val="22"/>
        </w:rPr>
      </w:pPr>
    </w:p>
    <w:p w14:paraId="1A24BBBD" w14:textId="66C9282C" w:rsidR="00B87026" w:rsidRPr="00C97895" w:rsidRDefault="000D571F" w:rsidP="00B87026">
      <w:pPr>
        <w:rPr>
          <w:rFonts w:asciiTheme="minorHAnsi" w:hAnsiTheme="minorHAnsi" w:cstheme="minorHAnsi"/>
          <w:b/>
          <w:bCs/>
          <w:i/>
          <w:iCs/>
          <w:color w:val="000000" w:themeColor="text1"/>
          <w:sz w:val="22"/>
          <w:szCs w:val="22"/>
        </w:rPr>
      </w:pPr>
      <w:r w:rsidRPr="00C97895">
        <w:rPr>
          <w:rFonts w:asciiTheme="minorHAnsi" w:hAnsiTheme="minorHAnsi" w:cstheme="minorHAnsi"/>
          <w:b/>
          <w:bCs/>
          <w:i/>
          <w:iCs/>
          <w:color w:val="000000" w:themeColor="text1"/>
          <w:sz w:val="22"/>
          <w:szCs w:val="22"/>
        </w:rPr>
        <w:t xml:space="preserve">Societal </w:t>
      </w:r>
      <w:r w:rsidR="00DF60F0">
        <w:rPr>
          <w:rFonts w:asciiTheme="minorHAnsi" w:hAnsiTheme="minorHAnsi" w:cstheme="minorHAnsi"/>
          <w:b/>
          <w:bCs/>
          <w:i/>
          <w:iCs/>
          <w:color w:val="000000" w:themeColor="text1"/>
          <w:sz w:val="22"/>
          <w:szCs w:val="22"/>
        </w:rPr>
        <w:t>s</w:t>
      </w:r>
      <w:r w:rsidRPr="00C97895">
        <w:rPr>
          <w:rFonts w:asciiTheme="minorHAnsi" w:hAnsiTheme="minorHAnsi" w:cstheme="minorHAnsi"/>
          <w:b/>
          <w:bCs/>
          <w:i/>
          <w:iCs/>
          <w:color w:val="000000" w:themeColor="text1"/>
          <w:sz w:val="22"/>
          <w:szCs w:val="22"/>
        </w:rPr>
        <w:t xml:space="preserve">carring </w:t>
      </w:r>
    </w:p>
    <w:p w14:paraId="7CF034B4" w14:textId="2622D61A" w:rsidR="000D571F" w:rsidRPr="00C97895" w:rsidRDefault="000D571F" w:rsidP="00B87026">
      <w:pPr>
        <w:rPr>
          <w:rFonts w:asciiTheme="minorHAnsi" w:hAnsiTheme="minorHAnsi" w:cstheme="minorHAnsi"/>
          <w:b/>
          <w:bCs/>
          <w:i/>
          <w:iCs/>
          <w:color w:val="000000" w:themeColor="text1"/>
          <w:sz w:val="22"/>
          <w:szCs w:val="22"/>
        </w:rPr>
      </w:pPr>
    </w:p>
    <w:p w14:paraId="2146BF3A" w14:textId="0AB0B9F0" w:rsidR="0068624B" w:rsidRPr="00C97895" w:rsidRDefault="00742432" w:rsidP="00942074">
      <w:pPr>
        <w:rPr>
          <w:rFonts w:asciiTheme="minorHAnsi" w:hAnsiTheme="minorHAnsi" w:cstheme="minorHAnsi"/>
          <w:bCs/>
          <w:sz w:val="22"/>
          <w:szCs w:val="22"/>
        </w:rPr>
      </w:pPr>
      <w:r w:rsidRPr="00C97895">
        <w:rPr>
          <w:rFonts w:asciiTheme="minorHAnsi" w:hAnsiTheme="minorHAnsi" w:cstheme="minorHAnsi"/>
          <w:bCs/>
          <w:sz w:val="22"/>
          <w:szCs w:val="22"/>
        </w:rPr>
        <w:t xml:space="preserve">In his inauguration speech in December 2019, the incoming president of Argentina, Alberto Fernandez remarked on the many ‘open wounds’ that needed to be healed following austerity under the previous president (Reuters, 2019). This analogy is representative of how the current conditions of the body politic and body economic are seen by </w:t>
      </w:r>
      <w:r w:rsidR="00B15B57" w:rsidRPr="00C97895">
        <w:rPr>
          <w:rFonts w:asciiTheme="minorHAnsi" w:hAnsiTheme="minorHAnsi" w:cstheme="minorHAnsi"/>
          <w:bCs/>
          <w:sz w:val="22"/>
          <w:szCs w:val="22"/>
        </w:rPr>
        <w:t xml:space="preserve">austerity’s </w:t>
      </w:r>
      <w:r w:rsidR="000A0A9B">
        <w:rPr>
          <w:rFonts w:asciiTheme="minorHAnsi" w:hAnsiTheme="minorHAnsi" w:cstheme="minorHAnsi"/>
          <w:bCs/>
          <w:sz w:val="22"/>
          <w:szCs w:val="22"/>
        </w:rPr>
        <w:t>critic</w:t>
      </w:r>
      <w:r w:rsidRPr="00C97895">
        <w:rPr>
          <w:rFonts w:asciiTheme="minorHAnsi" w:hAnsiTheme="minorHAnsi" w:cstheme="minorHAnsi"/>
          <w:bCs/>
          <w:sz w:val="22"/>
          <w:szCs w:val="22"/>
        </w:rPr>
        <w:t xml:space="preserve">s. However, </w:t>
      </w:r>
      <w:r w:rsidR="007D4D6F" w:rsidRPr="00C97895">
        <w:rPr>
          <w:rFonts w:asciiTheme="minorHAnsi" w:hAnsiTheme="minorHAnsi" w:cstheme="minorHAnsi"/>
          <w:bCs/>
          <w:sz w:val="22"/>
          <w:szCs w:val="22"/>
        </w:rPr>
        <w:t xml:space="preserve">even if these ‘wounds’ could be healed, </w:t>
      </w:r>
      <w:r w:rsidRPr="00C97895">
        <w:rPr>
          <w:rFonts w:asciiTheme="minorHAnsi" w:hAnsiTheme="minorHAnsi" w:cstheme="minorHAnsi"/>
          <w:bCs/>
          <w:sz w:val="22"/>
          <w:szCs w:val="22"/>
        </w:rPr>
        <w:t>t</w:t>
      </w:r>
      <w:r w:rsidR="008B1F89" w:rsidRPr="00C97895">
        <w:rPr>
          <w:rFonts w:asciiTheme="minorHAnsi" w:hAnsiTheme="minorHAnsi" w:cstheme="minorHAnsi"/>
          <w:sz w:val="22"/>
          <w:szCs w:val="22"/>
        </w:rPr>
        <w:t xml:space="preserve">he second legacy of austerity is </w:t>
      </w:r>
      <w:r w:rsidR="0068624B" w:rsidRPr="00C97895">
        <w:rPr>
          <w:rFonts w:asciiTheme="minorHAnsi" w:hAnsiTheme="minorHAnsi" w:cstheme="minorHAnsi"/>
          <w:sz w:val="22"/>
          <w:szCs w:val="22"/>
        </w:rPr>
        <w:t>the</w:t>
      </w:r>
      <w:r w:rsidR="008B1F89" w:rsidRPr="00C97895">
        <w:rPr>
          <w:rFonts w:asciiTheme="minorHAnsi" w:hAnsiTheme="minorHAnsi" w:cstheme="minorHAnsi"/>
          <w:sz w:val="22"/>
          <w:szCs w:val="22"/>
        </w:rPr>
        <w:t xml:space="preserve"> scarring effects </w:t>
      </w:r>
      <w:r w:rsidR="0068624B" w:rsidRPr="00C97895">
        <w:rPr>
          <w:rFonts w:asciiTheme="minorHAnsi" w:hAnsiTheme="minorHAnsi" w:cstheme="minorHAnsi"/>
          <w:sz w:val="22"/>
          <w:szCs w:val="22"/>
        </w:rPr>
        <w:t xml:space="preserve">that it will leave </w:t>
      </w:r>
      <w:r w:rsidR="008B1F89" w:rsidRPr="00C97895">
        <w:rPr>
          <w:rFonts w:asciiTheme="minorHAnsi" w:hAnsiTheme="minorHAnsi" w:cstheme="minorHAnsi"/>
          <w:sz w:val="22"/>
          <w:szCs w:val="22"/>
        </w:rPr>
        <w:t>on societies both through the material consequences of the depletion of services, incomes and assets</w:t>
      </w:r>
      <w:r w:rsidR="000A0A9B">
        <w:rPr>
          <w:rFonts w:asciiTheme="minorHAnsi" w:hAnsiTheme="minorHAnsi" w:cstheme="minorHAnsi"/>
          <w:sz w:val="22"/>
          <w:szCs w:val="22"/>
        </w:rPr>
        <w:t>,</w:t>
      </w:r>
      <w:r w:rsidR="008B1F89" w:rsidRPr="00C97895">
        <w:rPr>
          <w:rFonts w:asciiTheme="minorHAnsi" w:hAnsiTheme="minorHAnsi" w:cstheme="minorHAnsi"/>
          <w:sz w:val="22"/>
          <w:szCs w:val="22"/>
        </w:rPr>
        <w:t xml:space="preserve"> and </w:t>
      </w:r>
      <w:r w:rsidR="00DF60F0">
        <w:rPr>
          <w:rFonts w:asciiTheme="minorHAnsi" w:hAnsiTheme="minorHAnsi" w:cstheme="minorHAnsi"/>
          <w:sz w:val="22"/>
          <w:szCs w:val="22"/>
        </w:rPr>
        <w:t xml:space="preserve">through </w:t>
      </w:r>
      <w:r w:rsidR="008B1F89" w:rsidRPr="00C97895">
        <w:rPr>
          <w:rFonts w:asciiTheme="minorHAnsi" w:hAnsiTheme="minorHAnsi" w:cstheme="minorHAnsi"/>
          <w:sz w:val="22"/>
          <w:szCs w:val="22"/>
        </w:rPr>
        <w:t xml:space="preserve">the </w:t>
      </w:r>
      <w:r w:rsidR="00B53D4A" w:rsidRPr="00C97895">
        <w:rPr>
          <w:rFonts w:asciiTheme="minorHAnsi" w:hAnsiTheme="minorHAnsi" w:cstheme="minorHAnsi"/>
          <w:sz w:val="22"/>
          <w:szCs w:val="22"/>
        </w:rPr>
        <w:t xml:space="preserve">consequences for </w:t>
      </w:r>
      <w:r w:rsidR="0068624B" w:rsidRPr="00C97895">
        <w:rPr>
          <w:rFonts w:asciiTheme="minorHAnsi" w:hAnsiTheme="minorHAnsi" w:cstheme="minorHAnsi"/>
          <w:sz w:val="22"/>
          <w:szCs w:val="22"/>
        </w:rPr>
        <w:t xml:space="preserve">the </w:t>
      </w:r>
      <w:r w:rsidR="000A0A9B">
        <w:rPr>
          <w:rFonts w:asciiTheme="minorHAnsi" w:hAnsiTheme="minorHAnsi" w:cstheme="minorHAnsi"/>
          <w:sz w:val="22"/>
          <w:szCs w:val="22"/>
        </w:rPr>
        <w:t xml:space="preserve">wider </w:t>
      </w:r>
      <w:r w:rsidR="008B1F89" w:rsidRPr="00C97895">
        <w:rPr>
          <w:rFonts w:asciiTheme="minorHAnsi" w:hAnsiTheme="minorHAnsi" w:cstheme="minorHAnsi"/>
          <w:sz w:val="22"/>
          <w:szCs w:val="22"/>
        </w:rPr>
        <w:t>social relations</w:t>
      </w:r>
      <w:r w:rsidR="0068624B" w:rsidRPr="00C97895">
        <w:rPr>
          <w:rFonts w:asciiTheme="minorHAnsi" w:hAnsiTheme="minorHAnsi" w:cstheme="minorHAnsi"/>
          <w:sz w:val="22"/>
          <w:szCs w:val="22"/>
        </w:rPr>
        <w:t xml:space="preserve"> of welfare</w:t>
      </w:r>
      <w:r w:rsidR="008B1F89" w:rsidRPr="00C97895">
        <w:rPr>
          <w:rFonts w:asciiTheme="minorHAnsi" w:hAnsiTheme="minorHAnsi" w:cstheme="minorHAnsi"/>
          <w:sz w:val="22"/>
          <w:szCs w:val="22"/>
        </w:rPr>
        <w:t xml:space="preserve">. </w:t>
      </w:r>
    </w:p>
    <w:p w14:paraId="117A254E" w14:textId="15F5DF88" w:rsidR="00D74F87" w:rsidRPr="00C97895" w:rsidRDefault="00D74F87" w:rsidP="0068624B">
      <w:pPr>
        <w:rPr>
          <w:rFonts w:asciiTheme="minorHAnsi" w:hAnsiTheme="minorHAnsi" w:cstheme="minorHAnsi"/>
          <w:sz w:val="22"/>
          <w:szCs w:val="22"/>
        </w:rPr>
      </w:pPr>
    </w:p>
    <w:p w14:paraId="5E47678C" w14:textId="22352079" w:rsidR="007D792F" w:rsidRDefault="00D74F87" w:rsidP="007D792F">
      <w:pPr>
        <w:rPr>
          <w:rFonts w:asciiTheme="minorHAnsi" w:hAnsiTheme="minorHAnsi" w:cstheme="minorHAnsi"/>
          <w:color w:val="000000" w:themeColor="text1"/>
          <w:sz w:val="22"/>
          <w:szCs w:val="22"/>
        </w:rPr>
      </w:pPr>
      <w:r w:rsidRPr="00C97895">
        <w:rPr>
          <w:rFonts w:asciiTheme="minorHAnsi" w:hAnsiTheme="minorHAnsi" w:cstheme="minorHAnsi"/>
          <w:color w:val="000000" w:themeColor="text1"/>
          <w:sz w:val="22"/>
          <w:szCs w:val="22"/>
        </w:rPr>
        <w:t xml:space="preserve">Scarring effects have been specifically studied </w:t>
      </w:r>
      <w:r w:rsidR="00B942FA" w:rsidRPr="00C97895">
        <w:rPr>
          <w:rFonts w:asciiTheme="minorHAnsi" w:hAnsiTheme="minorHAnsi" w:cstheme="minorHAnsi"/>
          <w:color w:val="000000" w:themeColor="text1"/>
          <w:sz w:val="22"/>
          <w:szCs w:val="22"/>
        </w:rPr>
        <w:t xml:space="preserve">in relation to </w:t>
      </w:r>
      <w:r w:rsidRPr="00C97895">
        <w:rPr>
          <w:rFonts w:asciiTheme="minorHAnsi" w:hAnsiTheme="minorHAnsi" w:cstheme="minorHAnsi"/>
          <w:color w:val="000000" w:themeColor="text1"/>
          <w:sz w:val="22"/>
          <w:szCs w:val="22"/>
        </w:rPr>
        <w:t>unemployment</w:t>
      </w:r>
      <w:r w:rsidR="009B7324">
        <w:rPr>
          <w:rFonts w:asciiTheme="minorHAnsi" w:hAnsiTheme="minorHAnsi" w:cstheme="minorHAnsi"/>
          <w:color w:val="000000" w:themeColor="text1"/>
          <w:sz w:val="22"/>
          <w:szCs w:val="22"/>
        </w:rPr>
        <w:t xml:space="preserve"> (</w:t>
      </w:r>
      <w:proofErr w:type="spellStart"/>
      <w:r w:rsidR="009B7324">
        <w:rPr>
          <w:rFonts w:asciiTheme="minorHAnsi" w:hAnsiTheme="minorHAnsi" w:cstheme="minorHAnsi"/>
          <w:color w:val="000000" w:themeColor="text1"/>
          <w:sz w:val="22"/>
          <w:szCs w:val="22"/>
        </w:rPr>
        <w:t>Gallie</w:t>
      </w:r>
      <w:proofErr w:type="spellEnd"/>
      <w:r w:rsidR="009B7324">
        <w:rPr>
          <w:rFonts w:asciiTheme="minorHAnsi" w:hAnsiTheme="minorHAnsi" w:cstheme="minorHAnsi"/>
          <w:color w:val="000000" w:themeColor="text1"/>
          <w:sz w:val="22"/>
          <w:szCs w:val="22"/>
        </w:rPr>
        <w:t xml:space="preserve"> and </w:t>
      </w:r>
      <w:proofErr w:type="spellStart"/>
      <w:r w:rsidR="009B7324">
        <w:rPr>
          <w:rFonts w:asciiTheme="minorHAnsi" w:hAnsiTheme="minorHAnsi" w:cstheme="minorHAnsi"/>
          <w:color w:val="000000" w:themeColor="text1"/>
          <w:sz w:val="22"/>
          <w:szCs w:val="22"/>
        </w:rPr>
        <w:t>Paugam</w:t>
      </w:r>
      <w:proofErr w:type="spellEnd"/>
      <w:r w:rsidR="009B7324">
        <w:rPr>
          <w:rFonts w:asciiTheme="minorHAnsi" w:hAnsiTheme="minorHAnsi" w:cstheme="minorHAnsi"/>
          <w:color w:val="000000" w:themeColor="text1"/>
          <w:sz w:val="22"/>
          <w:szCs w:val="22"/>
        </w:rPr>
        <w:t>, 2000</w:t>
      </w:r>
      <w:r w:rsidR="00F62EAF">
        <w:rPr>
          <w:rFonts w:asciiTheme="minorHAnsi" w:hAnsiTheme="minorHAnsi" w:cstheme="minorHAnsi"/>
          <w:color w:val="000000" w:themeColor="text1"/>
          <w:sz w:val="22"/>
          <w:szCs w:val="22"/>
        </w:rPr>
        <w:t xml:space="preserve">; </w:t>
      </w:r>
      <w:proofErr w:type="spellStart"/>
      <w:r w:rsidR="00B942FA" w:rsidRPr="00C97895">
        <w:rPr>
          <w:rFonts w:asciiTheme="minorHAnsi" w:hAnsiTheme="minorHAnsi" w:cstheme="minorHAnsi"/>
          <w:color w:val="000000" w:themeColor="text1"/>
          <w:sz w:val="22"/>
          <w:szCs w:val="22"/>
        </w:rPr>
        <w:t>Tumino</w:t>
      </w:r>
      <w:proofErr w:type="spellEnd"/>
      <w:r w:rsidR="00B942FA" w:rsidRPr="00C97895">
        <w:rPr>
          <w:rFonts w:asciiTheme="minorHAnsi" w:hAnsiTheme="minorHAnsi" w:cstheme="minorHAnsi"/>
          <w:color w:val="000000" w:themeColor="text1"/>
          <w:sz w:val="22"/>
          <w:szCs w:val="22"/>
        </w:rPr>
        <w:t>, 2015)</w:t>
      </w:r>
      <w:r w:rsidR="007D792F" w:rsidRPr="00C97895">
        <w:rPr>
          <w:rFonts w:asciiTheme="minorHAnsi" w:hAnsiTheme="minorHAnsi" w:cstheme="minorHAnsi"/>
          <w:color w:val="000000" w:themeColor="text1"/>
          <w:sz w:val="22"/>
          <w:szCs w:val="22"/>
        </w:rPr>
        <w:t>. However, t</w:t>
      </w:r>
      <w:r w:rsidR="00B942FA" w:rsidRPr="00C97895">
        <w:rPr>
          <w:rFonts w:asciiTheme="minorHAnsi" w:hAnsiTheme="minorHAnsi" w:cstheme="minorHAnsi"/>
          <w:color w:val="000000" w:themeColor="text1"/>
          <w:sz w:val="22"/>
          <w:szCs w:val="22"/>
        </w:rPr>
        <w:t xml:space="preserve">he concept of scarring is equally applicable </w:t>
      </w:r>
      <w:r w:rsidR="007D792F" w:rsidRPr="00C97895">
        <w:rPr>
          <w:rFonts w:asciiTheme="minorHAnsi" w:hAnsiTheme="minorHAnsi" w:cstheme="minorHAnsi"/>
          <w:color w:val="000000" w:themeColor="text1"/>
          <w:sz w:val="22"/>
          <w:szCs w:val="22"/>
        </w:rPr>
        <w:t>as</w:t>
      </w:r>
      <w:r w:rsidR="00B942FA" w:rsidRPr="00C97895">
        <w:rPr>
          <w:rFonts w:asciiTheme="minorHAnsi" w:hAnsiTheme="minorHAnsi" w:cstheme="minorHAnsi"/>
          <w:color w:val="000000" w:themeColor="text1"/>
          <w:sz w:val="22"/>
          <w:szCs w:val="22"/>
        </w:rPr>
        <w:t xml:space="preserve"> </w:t>
      </w:r>
      <w:r w:rsidR="007D792F" w:rsidRPr="00C97895">
        <w:rPr>
          <w:rFonts w:asciiTheme="minorHAnsi" w:hAnsiTheme="minorHAnsi" w:cstheme="minorHAnsi"/>
          <w:color w:val="000000" w:themeColor="text1"/>
          <w:sz w:val="22"/>
          <w:szCs w:val="22"/>
        </w:rPr>
        <w:t>a</w:t>
      </w:r>
      <w:r w:rsidR="00B942FA" w:rsidRPr="00C97895">
        <w:rPr>
          <w:rFonts w:asciiTheme="minorHAnsi" w:hAnsiTheme="minorHAnsi" w:cstheme="minorHAnsi"/>
          <w:color w:val="000000" w:themeColor="text1"/>
          <w:sz w:val="22"/>
          <w:szCs w:val="22"/>
        </w:rPr>
        <w:t xml:space="preserve"> </w:t>
      </w:r>
      <w:r w:rsidR="007D792F" w:rsidRPr="00C97895">
        <w:rPr>
          <w:rFonts w:asciiTheme="minorHAnsi" w:hAnsiTheme="minorHAnsi" w:cstheme="minorHAnsi"/>
          <w:color w:val="000000" w:themeColor="text1"/>
          <w:sz w:val="22"/>
          <w:szCs w:val="22"/>
        </w:rPr>
        <w:t xml:space="preserve">generalised defining feature of austerity on the future quality of life for a significant proportion of people, particularly young people, but it has failed to register </w:t>
      </w:r>
      <w:r w:rsidR="008B33E4" w:rsidRPr="00C97895">
        <w:rPr>
          <w:rFonts w:asciiTheme="minorHAnsi" w:hAnsiTheme="minorHAnsi" w:cstheme="minorHAnsi"/>
          <w:color w:val="000000" w:themeColor="text1"/>
          <w:sz w:val="22"/>
          <w:szCs w:val="22"/>
        </w:rPr>
        <w:t xml:space="preserve">with contemporary governments </w:t>
      </w:r>
      <w:r w:rsidR="00FC366D">
        <w:rPr>
          <w:rFonts w:asciiTheme="minorHAnsi" w:hAnsiTheme="minorHAnsi" w:cstheme="minorHAnsi"/>
          <w:color w:val="000000" w:themeColor="text1"/>
          <w:sz w:val="22"/>
          <w:szCs w:val="22"/>
        </w:rPr>
        <w:t xml:space="preserve">of advanced economies </w:t>
      </w:r>
      <w:r w:rsidR="007D792F" w:rsidRPr="00C97895">
        <w:rPr>
          <w:rFonts w:asciiTheme="minorHAnsi" w:hAnsiTheme="minorHAnsi" w:cstheme="minorHAnsi"/>
          <w:color w:val="000000" w:themeColor="text1"/>
          <w:sz w:val="22"/>
          <w:szCs w:val="22"/>
        </w:rPr>
        <w:t>as a policy crisis on the horizon</w:t>
      </w:r>
      <w:r w:rsidR="008B33E4" w:rsidRPr="00C97895">
        <w:rPr>
          <w:rFonts w:asciiTheme="minorHAnsi" w:hAnsiTheme="minorHAnsi" w:cstheme="minorHAnsi"/>
          <w:color w:val="000000" w:themeColor="text1"/>
          <w:sz w:val="22"/>
          <w:szCs w:val="22"/>
        </w:rPr>
        <w:t>. Arguably this is for two reasons</w:t>
      </w:r>
      <w:r w:rsidR="000A0A9B">
        <w:rPr>
          <w:rFonts w:asciiTheme="minorHAnsi" w:hAnsiTheme="minorHAnsi" w:cstheme="minorHAnsi"/>
          <w:color w:val="000000" w:themeColor="text1"/>
          <w:sz w:val="22"/>
          <w:szCs w:val="22"/>
        </w:rPr>
        <w:t>.</w:t>
      </w:r>
      <w:r w:rsidR="008B33E4" w:rsidRPr="00C97895">
        <w:rPr>
          <w:rFonts w:asciiTheme="minorHAnsi" w:hAnsiTheme="minorHAnsi" w:cstheme="minorHAnsi"/>
          <w:color w:val="000000" w:themeColor="text1"/>
          <w:sz w:val="22"/>
          <w:szCs w:val="22"/>
        </w:rPr>
        <w:t xml:space="preserve"> </w:t>
      </w:r>
      <w:r w:rsidR="000A0A9B">
        <w:rPr>
          <w:rFonts w:asciiTheme="minorHAnsi" w:hAnsiTheme="minorHAnsi" w:cstheme="minorHAnsi"/>
          <w:color w:val="000000" w:themeColor="text1"/>
          <w:sz w:val="22"/>
          <w:szCs w:val="22"/>
        </w:rPr>
        <w:t>F</w:t>
      </w:r>
      <w:r w:rsidR="008B33E4" w:rsidRPr="00C97895">
        <w:rPr>
          <w:rFonts w:asciiTheme="minorHAnsi" w:hAnsiTheme="minorHAnsi" w:cstheme="minorHAnsi"/>
          <w:color w:val="000000" w:themeColor="text1"/>
          <w:sz w:val="22"/>
          <w:szCs w:val="22"/>
        </w:rPr>
        <w:t>irstly</w:t>
      </w:r>
      <w:r w:rsidR="000A0A9B">
        <w:rPr>
          <w:rFonts w:asciiTheme="minorHAnsi" w:hAnsiTheme="minorHAnsi" w:cstheme="minorHAnsi"/>
          <w:color w:val="000000" w:themeColor="text1"/>
          <w:sz w:val="22"/>
          <w:szCs w:val="22"/>
        </w:rPr>
        <w:t xml:space="preserve">, </w:t>
      </w:r>
      <w:r w:rsidR="008B33E4" w:rsidRPr="00C97895">
        <w:rPr>
          <w:rFonts w:asciiTheme="minorHAnsi" w:hAnsiTheme="minorHAnsi" w:cstheme="minorHAnsi"/>
          <w:color w:val="000000" w:themeColor="text1"/>
          <w:sz w:val="22"/>
          <w:szCs w:val="22"/>
        </w:rPr>
        <w:t xml:space="preserve">the costs of austerity are not equally shared and inevitably fall on those </w:t>
      </w:r>
      <w:r w:rsidR="000A0A9B">
        <w:rPr>
          <w:rFonts w:asciiTheme="minorHAnsi" w:hAnsiTheme="minorHAnsi" w:cstheme="minorHAnsi"/>
          <w:color w:val="000000" w:themeColor="text1"/>
          <w:sz w:val="22"/>
          <w:szCs w:val="22"/>
        </w:rPr>
        <w:t xml:space="preserve">with the </w:t>
      </w:r>
      <w:r w:rsidR="008B33E4" w:rsidRPr="00C97895">
        <w:rPr>
          <w:rFonts w:asciiTheme="minorHAnsi" w:hAnsiTheme="minorHAnsi" w:cstheme="minorHAnsi"/>
          <w:color w:val="000000" w:themeColor="text1"/>
          <w:sz w:val="22"/>
          <w:szCs w:val="22"/>
        </w:rPr>
        <w:t xml:space="preserve">least </w:t>
      </w:r>
      <w:r w:rsidR="000A0A9B">
        <w:rPr>
          <w:rFonts w:asciiTheme="minorHAnsi" w:hAnsiTheme="minorHAnsi" w:cstheme="minorHAnsi"/>
          <w:color w:val="000000" w:themeColor="text1"/>
          <w:sz w:val="22"/>
          <w:szCs w:val="22"/>
        </w:rPr>
        <w:t>power to meet or challenge them</w:t>
      </w:r>
      <w:r w:rsidR="008B33E4" w:rsidRPr="00C97895">
        <w:rPr>
          <w:rFonts w:asciiTheme="minorHAnsi" w:hAnsiTheme="minorHAnsi" w:cstheme="minorHAnsi"/>
          <w:color w:val="000000" w:themeColor="text1"/>
          <w:sz w:val="22"/>
          <w:szCs w:val="22"/>
        </w:rPr>
        <w:t xml:space="preserve">. </w:t>
      </w:r>
      <w:r w:rsidR="000D3AF2" w:rsidRPr="00C97895">
        <w:rPr>
          <w:rFonts w:asciiTheme="minorHAnsi" w:hAnsiTheme="minorHAnsi" w:cstheme="minorHAnsi"/>
          <w:color w:val="000000" w:themeColor="text1"/>
          <w:sz w:val="22"/>
          <w:szCs w:val="22"/>
        </w:rPr>
        <w:t>Secondly, the social costs of austerity have largely been passed from national to local government</w:t>
      </w:r>
      <w:r w:rsidR="006C1735">
        <w:rPr>
          <w:rFonts w:asciiTheme="minorHAnsi" w:hAnsiTheme="minorHAnsi" w:cstheme="minorHAnsi"/>
          <w:color w:val="000000" w:themeColor="text1"/>
          <w:sz w:val="22"/>
          <w:szCs w:val="22"/>
        </w:rPr>
        <w:t xml:space="preserve"> because the local level is where most discretionary spending is disbursed (Gray and Barford, 2018)</w:t>
      </w:r>
      <w:r w:rsidR="000D3AF2" w:rsidRPr="00C97895">
        <w:rPr>
          <w:rFonts w:asciiTheme="minorHAnsi" w:hAnsiTheme="minorHAnsi" w:cstheme="minorHAnsi"/>
          <w:color w:val="000000" w:themeColor="text1"/>
          <w:sz w:val="22"/>
          <w:szCs w:val="22"/>
        </w:rPr>
        <w:t xml:space="preserve">. </w:t>
      </w:r>
      <w:r w:rsidR="00E8575F">
        <w:rPr>
          <w:rFonts w:asciiTheme="minorHAnsi" w:hAnsiTheme="minorHAnsi" w:cstheme="minorHAnsi"/>
          <w:color w:val="000000" w:themeColor="text1"/>
          <w:sz w:val="22"/>
          <w:szCs w:val="22"/>
        </w:rPr>
        <w:t xml:space="preserve">This has enabled both re-centralisation of spending power and the devolution of the social and political fall-out of spending cuts in many European countries, particularly those most affected by the financial crisis (Schwab et al, 2017). </w:t>
      </w:r>
      <w:r w:rsidR="000D3AF2" w:rsidRPr="00C97895">
        <w:rPr>
          <w:rFonts w:asciiTheme="minorHAnsi" w:hAnsiTheme="minorHAnsi" w:cstheme="minorHAnsi"/>
          <w:color w:val="000000" w:themeColor="text1"/>
          <w:sz w:val="22"/>
          <w:szCs w:val="22"/>
        </w:rPr>
        <w:t xml:space="preserve">The governance constraints within which local authorities operate and the austerity measures which they themselves have endured, is </w:t>
      </w:r>
      <w:r w:rsidR="00FC366D">
        <w:rPr>
          <w:rFonts w:asciiTheme="minorHAnsi" w:hAnsiTheme="minorHAnsi" w:cstheme="minorHAnsi"/>
          <w:color w:val="000000" w:themeColor="text1"/>
          <w:sz w:val="22"/>
          <w:szCs w:val="22"/>
        </w:rPr>
        <w:t xml:space="preserve">thus </w:t>
      </w:r>
      <w:r w:rsidR="000D3AF2" w:rsidRPr="00C97895">
        <w:rPr>
          <w:rFonts w:asciiTheme="minorHAnsi" w:hAnsiTheme="minorHAnsi" w:cstheme="minorHAnsi"/>
          <w:color w:val="000000" w:themeColor="text1"/>
          <w:sz w:val="22"/>
          <w:szCs w:val="22"/>
        </w:rPr>
        <w:t>manifested in an acute inverse welfare effect which is likely to become chronic through the 2020s.</w:t>
      </w:r>
    </w:p>
    <w:p w14:paraId="68D6944F" w14:textId="0B04895F" w:rsidR="00942074" w:rsidRDefault="00942074" w:rsidP="007D792F">
      <w:pPr>
        <w:rPr>
          <w:rFonts w:asciiTheme="minorHAnsi" w:hAnsiTheme="minorHAnsi" w:cstheme="minorHAnsi"/>
          <w:color w:val="000000" w:themeColor="text1"/>
          <w:sz w:val="22"/>
          <w:szCs w:val="22"/>
        </w:rPr>
      </w:pPr>
    </w:p>
    <w:p w14:paraId="62C4D9F1" w14:textId="4846F1A3" w:rsidR="00942074" w:rsidRPr="00FC366D" w:rsidRDefault="00942074" w:rsidP="00942074">
      <w:pPr>
        <w:rPr>
          <w:rFonts w:asciiTheme="minorHAnsi" w:hAnsiTheme="minorHAnsi" w:cstheme="minorHAnsi"/>
          <w:sz w:val="22"/>
          <w:szCs w:val="22"/>
        </w:rPr>
      </w:pPr>
      <w:r w:rsidRPr="00C97895">
        <w:rPr>
          <w:rFonts w:asciiTheme="minorHAnsi" w:hAnsiTheme="minorHAnsi" w:cstheme="minorHAnsi"/>
          <w:sz w:val="22"/>
          <w:szCs w:val="22"/>
        </w:rPr>
        <w:t xml:space="preserve">The </w:t>
      </w:r>
      <w:r w:rsidR="00FC366D">
        <w:rPr>
          <w:rFonts w:asciiTheme="minorHAnsi" w:hAnsiTheme="minorHAnsi" w:cstheme="minorHAnsi"/>
          <w:sz w:val="22"/>
          <w:szCs w:val="22"/>
        </w:rPr>
        <w:t xml:space="preserve">full </w:t>
      </w:r>
      <w:r w:rsidRPr="00C97895">
        <w:rPr>
          <w:rFonts w:asciiTheme="minorHAnsi" w:hAnsiTheme="minorHAnsi" w:cstheme="minorHAnsi"/>
          <w:sz w:val="22"/>
          <w:szCs w:val="22"/>
        </w:rPr>
        <w:t xml:space="preserve">extent of societal scarring inflicted by austerity is as yet unknown, but it is a ‘known unknown’ which can be extrapolated from the vast range of data sources that evidence the long-term outcomes of </w:t>
      </w:r>
      <w:proofErr w:type="spellStart"/>
      <w:r w:rsidRPr="00C97895">
        <w:rPr>
          <w:rFonts w:asciiTheme="minorHAnsi" w:hAnsiTheme="minorHAnsi" w:cstheme="minorHAnsi"/>
          <w:sz w:val="22"/>
          <w:szCs w:val="22"/>
        </w:rPr>
        <w:t>diswelfare</w:t>
      </w:r>
      <w:proofErr w:type="spellEnd"/>
      <w:r w:rsidRPr="00C97895">
        <w:rPr>
          <w:rFonts w:asciiTheme="minorHAnsi" w:hAnsiTheme="minorHAnsi" w:cstheme="minorHAnsi"/>
          <w:sz w:val="22"/>
          <w:szCs w:val="22"/>
        </w:rPr>
        <w:t xml:space="preserve">. These outcomes are known at the level of the individual, for families, communities, localities, regions and countries. </w:t>
      </w:r>
      <w:r w:rsidR="00970FED">
        <w:rPr>
          <w:rFonts w:asciiTheme="minorHAnsi" w:hAnsiTheme="minorHAnsi" w:cstheme="minorHAnsi"/>
          <w:sz w:val="22"/>
          <w:szCs w:val="22"/>
        </w:rPr>
        <w:t>Following the recessions of the 1980s and 1990s, l</w:t>
      </w:r>
      <w:r w:rsidRPr="00C97895">
        <w:rPr>
          <w:rFonts w:asciiTheme="minorHAnsi" w:hAnsiTheme="minorHAnsi" w:cstheme="minorHAnsi"/>
          <w:sz w:val="22"/>
          <w:szCs w:val="22"/>
        </w:rPr>
        <w:t>ongitudinal studies focused on various dimensions of inequality and hardship indicate</w:t>
      </w:r>
      <w:r w:rsidR="00C15875">
        <w:rPr>
          <w:rFonts w:asciiTheme="minorHAnsi" w:hAnsiTheme="minorHAnsi" w:cstheme="minorHAnsi"/>
          <w:sz w:val="22"/>
          <w:szCs w:val="22"/>
        </w:rPr>
        <w:t>d</w:t>
      </w:r>
      <w:r w:rsidRPr="00C97895">
        <w:rPr>
          <w:rFonts w:asciiTheme="minorHAnsi" w:hAnsiTheme="minorHAnsi" w:cstheme="minorHAnsi"/>
          <w:sz w:val="22"/>
          <w:szCs w:val="22"/>
        </w:rPr>
        <w:t xml:space="preserve"> life opportunities lost and the </w:t>
      </w:r>
      <w:r w:rsidR="009B7324">
        <w:rPr>
          <w:rFonts w:asciiTheme="minorHAnsi" w:hAnsiTheme="minorHAnsi" w:cstheme="minorHAnsi"/>
          <w:sz w:val="22"/>
          <w:szCs w:val="22"/>
        </w:rPr>
        <w:t xml:space="preserve">long-term </w:t>
      </w:r>
      <w:r w:rsidRPr="00C97895">
        <w:rPr>
          <w:rFonts w:asciiTheme="minorHAnsi" w:hAnsiTheme="minorHAnsi" w:cstheme="minorHAnsi"/>
          <w:sz w:val="22"/>
          <w:szCs w:val="22"/>
        </w:rPr>
        <w:t xml:space="preserve">costs of social division (see for example </w:t>
      </w:r>
      <w:proofErr w:type="spellStart"/>
      <w:r w:rsidRPr="00C97895">
        <w:rPr>
          <w:rFonts w:asciiTheme="minorHAnsi" w:hAnsiTheme="minorHAnsi" w:cstheme="minorHAnsi"/>
          <w:sz w:val="22"/>
          <w:szCs w:val="22"/>
        </w:rPr>
        <w:t>Layte</w:t>
      </w:r>
      <w:proofErr w:type="spellEnd"/>
      <w:r w:rsidRPr="00C97895">
        <w:rPr>
          <w:rFonts w:asciiTheme="minorHAnsi" w:hAnsiTheme="minorHAnsi" w:cstheme="minorHAnsi"/>
          <w:sz w:val="22"/>
          <w:szCs w:val="22"/>
        </w:rPr>
        <w:t xml:space="preserve"> and Whelan, 2003). These include the effects of childhood deprivations as factors in adult disadvantage and social immobility, the negative impact on life chances of periods of mental and physical ill-health, clear associations between unemployment, economic insecurity, long-term sickness and its disabling effects, and mental ill-health. The advantages of less targeted and more </w:t>
      </w:r>
      <w:proofErr w:type="gramStart"/>
      <w:r w:rsidRPr="00C97895">
        <w:rPr>
          <w:rFonts w:asciiTheme="minorHAnsi" w:hAnsiTheme="minorHAnsi" w:cstheme="minorHAnsi"/>
          <w:sz w:val="22"/>
          <w:szCs w:val="22"/>
        </w:rPr>
        <w:t>citizenship oriented</w:t>
      </w:r>
      <w:proofErr w:type="gramEnd"/>
      <w:r w:rsidRPr="00C97895">
        <w:rPr>
          <w:rFonts w:asciiTheme="minorHAnsi" w:hAnsiTheme="minorHAnsi" w:cstheme="minorHAnsi"/>
          <w:sz w:val="22"/>
          <w:szCs w:val="22"/>
        </w:rPr>
        <w:t xml:space="preserve"> welfare arrangements in mitigating the societal effects of periods of disadvantage have also been identified however (</w:t>
      </w:r>
      <w:proofErr w:type="spellStart"/>
      <w:r w:rsidRPr="00C97895">
        <w:rPr>
          <w:rFonts w:asciiTheme="minorHAnsi" w:hAnsiTheme="minorHAnsi" w:cstheme="minorHAnsi"/>
          <w:sz w:val="22"/>
          <w:szCs w:val="22"/>
        </w:rPr>
        <w:t>Layte</w:t>
      </w:r>
      <w:proofErr w:type="spellEnd"/>
      <w:r w:rsidRPr="00C97895">
        <w:rPr>
          <w:rFonts w:asciiTheme="minorHAnsi" w:hAnsiTheme="minorHAnsi" w:cstheme="minorHAnsi"/>
          <w:sz w:val="22"/>
          <w:szCs w:val="22"/>
        </w:rPr>
        <w:t xml:space="preserve"> and Whelan, 2002)</w:t>
      </w:r>
      <w:r>
        <w:rPr>
          <w:rFonts w:asciiTheme="minorHAnsi" w:hAnsiTheme="minorHAnsi" w:cstheme="minorHAnsi"/>
          <w:sz w:val="22"/>
          <w:szCs w:val="22"/>
        </w:rPr>
        <w:t>,</w:t>
      </w:r>
      <w:r w:rsidRPr="00C97895">
        <w:rPr>
          <w:rFonts w:asciiTheme="minorHAnsi" w:hAnsiTheme="minorHAnsi" w:cstheme="minorHAnsi"/>
          <w:sz w:val="22"/>
          <w:szCs w:val="22"/>
        </w:rPr>
        <w:t xml:space="preserve"> as has the mitigation of scarring in employment </w:t>
      </w:r>
      <w:r w:rsidR="00FC366D">
        <w:rPr>
          <w:rFonts w:asciiTheme="minorHAnsi" w:hAnsiTheme="minorHAnsi" w:cstheme="minorHAnsi"/>
          <w:sz w:val="22"/>
          <w:szCs w:val="22"/>
        </w:rPr>
        <w:t xml:space="preserve">by such provisions </w:t>
      </w:r>
      <w:r w:rsidRPr="00C97895">
        <w:rPr>
          <w:rFonts w:asciiTheme="minorHAnsi" w:hAnsiTheme="minorHAnsi" w:cstheme="minorHAnsi"/>
          <w:sz w:val="22"/>
          <w:szCs w:val="22"/>
        </w:rPr>
        <w:t>(</w:t>
      </w:r>
      <w:proofErr w:type="spellStart"/>
      <w:r w:rsidRPr="00C97895">
        <w:rPr>
          <w:rFonts w:asciiTheme="minorHAnsi" w:hAnsiTheme="minorHAnsi" w:cstheme="minorHAnsi"/>
          <w:sz w:val="22"/>
          <w:szCs w:val="22"/>
        </w:rPr>
        <w:t>Gangl</w:t>
      </w:r>
      <w:proofErr w:type="spellEnd"/>
      <w:r w:rsidRPr="00C97895">
        <w:rPr>
          <w:rFonts w:asciiTheme="minorHAnsi" w:hAnsiTheme="minorHAnsi" w:cstheme="minorHAnsi"/>
          <w:sz w:val="22"/>
          <w:szCs w:val="22"/>
        </w:rPr>
        <w:t>, 2004).</w:t>
      </w:r>
      <w:r w:rsidR="00FC366D">
        <w:rPr>
          <w:rFonts w:asciiTheme="minorHAnsi" w:hAnsiTheme="minorHAnsi" w:cstheme="minorHAnsi"/>
          <w:sz w:val="22"/>
          <w:szCs w:val="22"/>
        </w:rPr>
        <w:t xml:space="preserve"> </w:t>
      </w:r>
      <w:r w:rsidRPr="00C97895">
        <w:rPr>
          <w:rFonts w:asciiTheme="minorHAnsi" w:hAnsiTheme="minorHAnsi" w:cstheme="minorHAnsi"/>
          <w:sz w:val="22"/>
          <w:szCs w:val="22"/>
        </w:rPr>
        <w:t xml:space="preserve">Since the 1980s there has </w:t>
      </w:r>
      <w:r w:rsidR="00FC366D">
        <w:rPr>
          <w:rFonts w:asciiTheme="minorHAnsi" w:hAnsiTheme="minorHAnsi" w:cstheme="minorHAnsi"/>
          <w:sz w:val="22"/>
          <w:szCs w:val="22"/>
        </w:rPr>
        <w:t xml:space="preserve">also </w:t>
      </w:r>
      <w:r w:rsidRPr="00C97895">
        <w:rPr>
          <w:rFonts w:asciiTheme="minorHAnsi" w:hAnsiTheme="minorHAnsi" w:cstheme="minorHAnsi"/>
          <w:sz w:val="22"/>
          <w:szCs w:val="22"/>
        </w:rPr>
        <w:t>been ample spatial research that has documented deindustrialisation in local economies and analysed the degenerative impact of the absence of protective policy</w:t>
      </w:r>
      <w:r w:rsidR="00092EA6">
        <w:rPr>
          <w:rFonts w:asciiTheme="minorHAnsi" w:hAnsiTheme="minorHAnsi" w:cstheme="minorHAnsi"/>
          <w:sz w:val="22"/>
          <w:szCs w:val="22"/>
        </w:rPr>
        <w:t xml:space="preserve"> and solidarities</w:t>
      </w:r>
      <w:r w:rsidR="00C15875">
        <w:rPr>
          <w:rFonts w:asciiTheme="minorHAnsi" w:hAnsiTheme="minorHAnsi" w:cstheme="minorHAnsi"/>
          <w:sz w:val="22"/>
          <w:szCs w:val="22"/>
        </w:rPr>
        <w:t xml:space="preserve"> </w:t>
      </w:r>
      <w:r w:rsidR="00C15875" w:rsidRPr="00092EA6">
        <w:rPr>
          <w:rFonts w:asciiTheme="minorHAnsi" w:hAnsiTheme="minorHAnsi" w:cstheme="minorHAnsi"/>
          <w:sz w:val="22"/>
          <w:szCs w:val="22"/>
        </w:rPr>
        <w:t>(</w:t>
      </w:r>
      <w:r w:rsidR="00092EA6">
        <w:rPr>
          <w:rFonts w:asciiTheme="minorHAnsi" w:hAnsiTheme="minorHAnsi" w:cstheme="minorHAnsi"/>
          <w:sz w:val="22"/>
          <w:szCs w:val="22"/>
        </w:rPr>
        <w:t xml:space="preserve">see for example </w:t>
      </w:r>
      <w:r w:rsidR="00092EA6" w:rsidRPr="00092EA6">
        <w:rPr>
          <w:rFonts w:asciiTheme="minorHAnsi" w:hAnsiTheme="minorHAnsi" w:cstheme="minorHAnsi"/>
          <w:sz w:val="22"/>
          <w:szCs w:val="22"/>
        </w:rPr>
        <w:t>Koch et al, 2019</w:t>
      </w:r>
      <w:r w:rsidR="00C15875" w:rsidRPr="00092EA6">
        <w:rPr>
          <w:rFonts w:asciiTheme="minorHAnsi" w:hAnsiTheme="minorHAnsi" w:cstheme="minorHAnsi"/>
          <w:sz w:val="22"/>
          <w:szCs w:val="22"/>
        </w:rPr>
        <w:t>)</w:t>
      </w:r>
      <w:r w:rsidRPr="00092EA6">
        <w:rPr>
          <w:rFonts w:asciiTheme="minorHAnsi" w:hAnsiTheme="minorHAnsi" w:cstheme="minorHAnsi"/>
          <w:sz w:val="22"/>
          <w:szCs w:val="22"/>
        </w:rPr>
        <w:t>.</w:t>
      </w:r>
      <w:r w:rsidRPr="00C97895">
        <w:rPr>
          <w:rFonts w:asciiTheme="minorHAnsi" w:hAnsiTheme="minorHAnsi" w:cstheme="minorHAnsi"/>
          <w:sz w:val="22"/>
          <w:szCs w:val="22"/>
        </w:rPr>
        <w:t xml:space="preserve"> Added to this is the </w:t>
      </w:r>
      <w:r w:rsidRPr="00C97895">
        <w:rPr>
          <w:rFonts w:asciiTheme="minorHAnsi" w:hAnsiTheme="minorHAnsi" w:cstheme="minorHAnsi"/>
          <w:sz w:val="22"/>
          <w:szCs w:val="22"/>
        </w:rPr>
        <w:lastRenderedPageBreak/>
        <w:t xml:space="preserve">strain of households with overburdened housing costs, generalised housing insecurity amongst younger age-groups, rising levels of homelessness and communities with dwindling amenities and transport, labour immobility and environmental decline. The inferences to be made regarding future welfare needs </w:t>
      </w:r>
      <w:r w:rsidR="00C15875">
        <w:rPr>
          <w:rFonts w:asciiTheme="minorHAnsi" w:hAnsiTheme="minorHAnsi" w:cstheme="minorHAnsi"/>
          <w:sz w:val="22"/>
          <w:szCs w:val="22"/>
        </w:rPr>
        <w:t xml:space="preserve">generated through these material consequences </w:t>
      </w:r>
      <w:r w:rsidRPr="00C97895">
        <w:rPr>
          <w:rFonts w:asciiTheme="minorHAnsi" w:hAnsiTheme="minorHAnsi" w:cstheme="minorHAnsi"/>
          <w:sz w:val="22"/>
          <w:szCs w:val="22"/>
        </w:rPr>
        <w:t xml:space="preserve">are stark. </w:t>
      </w:r>
    </w:p>
    <w:p w14:paraId="4816BFDA" w14:textId="77777777" w:rsidR="00942074" w:rsidRPr="00C97895" w:rsidRDefault="00942074" w:rsidP="007D792F">
      <w:pPr>
        <w:rPr>
          <w:rFonts w:asciiTheme="minorHAnsi" w:hAnsiTheme="minorHAnsi" w:cstheme="minorHAnsi"/>
          <w:color w:val="000000" w:themeColor="text1"/>
          <w:sz w:val="22"/>
          <w:szCs w:val="22"/>
        </w:rPr>
      </w:pPr>
    </w:p>
    <w:p w14:paraId="25C4AA4F" w14:textId="77777777" w:rsidR="00F501B3" w:rsidRDefault="00CF78CD" w:rsidP="00CF78CD">
      <w:pPr>
        <w:rPr>
          <w:rFonts w:asciiTheme="minorHAnsi" w:hAnsiTheme="minorHAnsi" w:cstheme="minorHAnsi"/>
          <w:sz w:val="22"/>
          <w:szCs w:val="22"/>
        </w:rPr>
      </w:pPr>
      <w:r w:rsidRPr="00C97895">
        <w:rPr>
          <w:rFonts w:asciiTheme="minorHAnsi" w:hAnsiTheme="minorHAnsi" w:cstheme="minorHAnsi"/>
          <w:color w:val="000000" w:themeColor="text1"/>
          <w:sz w:val="22"/>
          <w:szCs w:val="22"/>
        </w:rPr>
        <w:t xml:space="preserve">For the social relations of welfare, the consequences of austerity lie in its </w:t>
      </w:r>
      <w:r w:rsidRPr="00C97895">
        <w:rPr>
          <w:rFonts w:asciiTheme="minorHAnsi" w:hAnsiTheme="minorHAnsi" w:cstheme="minorHAnsi"/>
          <w:sz w:val="22"/>
          <w:szCs w:val="22"/>
        </w:rPr>
        <w:t xml:space="preserve">diminishing of the </w:t>
      </w:r>
      <w:r w:rsidR="00970FED">
        <w:rPr>
          <w:rFonts w:asciiTheme="minorHAnsi" w:hAnsiTheme="minorHAnsi" w:cstheme="minorHAnsi"/>
          <w:sz w:val="22"/>
          <w:szCs w:val="22"/>
        </w:rPr>
        <w:t xml:space="preserve">socially </w:t>
      </w:r>
      <w:r w:rsidRPr="00C97895">
        <w:rPr>
          <w:rFonts w:asciiTheme="minorHAnsi" w:hAnsiTheme="minorHAnsi" w:cstheme="minorHAnsi"/>
          <w:sz w:val="22"/>
          <w:szCs w:val="22"/>
        </w:rPr>
        <w:t xml:space="preserve">integrative function of social policy </w:t>
      </w:r>
      <w:r w:rsidR="00FC366D">
        <w:rPr>
          <w:rFonts w:asciiTheme="minorHAnsi" w:hAnsiTheme="minorHAnsi" w:cstheme="minorHAnsi"/>
          <w:sz w:val="22"/>
          <w:szCs w:val="22"/>
        </w:rPr>
        <w:t>as discussed above</w:t>
      </w:r>
      <w:r w:rsidR="00DB4379">
        <w:rPr>
          <w:rFonts w:asciiTheme="minorHAnsi" w:hAnsiTheme="minorHAnsi" w:cstheme="minorHAnsi"/>
          <w:sz w:val="22"/>
          <w:szCs w:val="22"/>
        </w:rPr>
        <w:t>. In practice this means the</w:t>
      </w:r>
      <w:r w:rsidRPr="00C97895">
        <w:rPr>
          <w:rFonts w:asciiTheme="minorHAnsi" w:hAnsiTheme="minorHAnsi" w:cstheme="minorHAnsi"/>
          <w:sz w:val="22"/>
          <w:szCs w:val="22"/>
        </w:rPr>
        <w:t xml:space="preserve"> </w:t>
      </w:r>
      <w:r w:rsidRPr="00C97895">
        <w:rPr>
          <w:rFonts w:asciiTheme="minorHAnsi" w:hAnsiTheme="minorHAnsi" w:cstheme="minorHAnsi"/>
          <w:color w:val="000000" w:themeColor="text1"/>
          <w:sz w:val="22"/>
          <w:szCs w:val="22"/>
        </w:rPr>
        <w:t>c</w:t>
      </w:r>
      <w:r w:rsidRPr="00C97895">
        <w:rPr>
          <w:rFonts w:asciiTheme="minorHAnsi" w:hAnsiTheme="minorHAnsi" w:cstheme="minorHAnsi"/>
          <w:sz w:val="22"/>
          <w:szCs w:val="22"/>
        </w:rPr>
        <w:t>ementing of the principle of difference not commonality</w:t>
      </w:r>
      <w:r w:rsidR="00C15875">
        <w:rPr>
          <w:rFonts w:asciiTheme="minorHAnsi" w:hAnsiTheme="minorHAnsi" w:cstheme="minorHAnsi"/>
          <w:sz w:val="22"/>
          <w:szCs w:val="22"/>
        </w:rPr>
        <w:t xml:space="preserve"> and the brake that this applies to any further extension </w:t>
      </w:r>
      <w:r w:rsidR="00DB4379">
        <w:rPr>
          <w:rFonts w:asciiTheme="minorHAnsi" w:hAnsiTheme="minorHAnsi" w:cstheme="minorHAnsi"/>
          <w:sz w:val="22"/>
          <w:szCs w:val="22"/>
        </w:rPr>
        <w:t xml:space="preserve">or enhancement </w:t>
      </w:r>
      <w:r w:rsidR="00C15875">
        <w:rPr>
          <w:rFonts w:asciiTheme="minorHAnsi" w:hAnsiTheme="minorHAnsi" w:cstheme="minorHAnsi"/>
          <w:sz w:val="22"/>
          <w:szCs w:val="22"/>
        </w:rPr>
        <w:t>of rights</w:t>
      </w:r>
      <w:r w:rsidR="00DB4379">
        <w:rPr>
          <w:rFonts w:asciiTheme="minorHAnsi" w:hAnsiTheme="minorHAnsi" w:cstheme="minorHAnsi"/>
          <w:sz w:val="22"/>
          <w:szCs w:val="22"/>
        </w:rPr>
        <w:t xml:space="preserve"> and guarantees</w:t>
      </w:r>
      <w:r w:rsidRPr="00C97895">
        <w:rPr>
          <w:rFonts w:asciiTheme="minorHAnsi" w:hAnsiTheme="minorHAnsi" w:cstheme="minorHAnsi"/>
          <w:sz w:val="22"/>
          <w:szCs w:val="22"/>
        </w:rPr>
        <w:t>. Historically, the purpose of welfare state expansion has been to extend the means to secure social rights on an equal basis - formalising interdependence and this is why universalism can be regarded as the most societally significant component of social policies</w:t>
      </w:r>
      <w:r w:rsidR="00FC366D">
        <w:rPr>
          <w:rFonts w:asciiTheme="minorHAnsi" w:hAnsiTheme="minorHAnsi" w:cstheme="minorHAnsi"/>
          <w:sz w:val="22"/>
          <w:szCs w:val="22"/>
        </w:rPr>
        <w:t xml:space="preserve">, </w:t>
      </w:r>
      <w:r w:rsidRPr="00C97895">
        <w:rPr>
          <w:rFonts w:asciiTheme="minorHAnsi" w:hAnsiTheme="minorHAnsi" w:cstheme="minorHAnsi"/>
          <w:sz w:val="22"/>
          <w:szCs w:val="22"/>
        </w:rPr>
        <w:t xml:space="preserve">as well as the most effective in terms of redistribution as </w:t>
      </w:r>
      <w:proofErr w:type="spellStart"/>
      <w:r w:rsidRPr="00C97895">
        <w:rPr>
          <w:rFonts w:asciiTheme="minorHAnsi" w:hAnsiTheme="minorHAnsi" w:cstheme="minorHAnsi"/>
          <w:sz w:val="22"/>
          <w:szCs w:val="22"/>
        </w:rPr>
        <w:t>Korpi</w:t>
      </w:r>
      <w:proofErr w:type="spellEnd"/>
      <w:r w:rsidRPr="00C97895">
        <w:rPr>
          <w:rFonts w:asciiTheme="minorHAnsi" w:hAnsiTheme="minorHAnsi" w:cstheme="minorHAnsi"/>
          <w:sz w:val="22"/>
          <w:szCs w:val="22"/>
        </w:rPr>
        <w:t xml:space="preserve"> and Palme (1994) revealed. It is also the reason why the expansion of life-enhancing services and the creation of a ‘welfare commons’ (Williams, 20</w:t>
      </w:r>
      <w:r w:rsidR="00F501B3">
        <w:rPr>
          <w:rFonts w:asciiTheme="minorHAnsi" w:hAnsiTheme="minorHAnsi" w:cstheme="minorHAnsi"/>
          <w:sz w:val="22"/>
          <w:szCs w:val="22"/>
        </w:rPr>
        <w:t>15</w:t>
      </w:r>
      <w:r w:rsidRPr="00C97895">
        <w:rPr>
          <w:rFonts w:asciiTheme="minorHAnsi" w:hAnsiTheme="minorHAnsi" w:cstheme="minorHAnsi"/>
          <w:sz w:val="22"/>
          <w:szCs w:val="22"/>
        </w:rPr>
        <w:t>) are so central to the commitment to welfare as a social condition. The economic logic of austerity has reduced universalism to a question of affordability rather than social purpose.</w:t>
      </w:r>
      <w:r w:rsidR="00DB4379">
        <w:rPr>
          <w:rFonts w:asciiTheme="minorHAnsi" w:hAnsiTheme="minorHAnsi" w:cstheme="minorHAnsi"/>
          <w:sz w:val="22"/>
          <w:szCs w:val="22"/>
        </w:rPr>
        <w:t xml:space="preserve"> </w:t>
      </w:r>
    </w:p>
    <w:p w14:paraId="47370294" w14:textId="77777777" w:rsidR="00F501B3" w:rsidRDefault="00F501B3" w:rsidP="00CF78CD">
      <w:pPr>
        <w:rPr>
          <w:rFonts w:asciiTheme="minorHAnsi" w:hAnsiTheme="minorHAnsi" w:cstheme="minorHAnsi"/>
          <w:sz w:val="22"/>
          <w:szCs w:val="22"/>
        </w:rPr>
      </w:pPr>
    </w:p>
    <w:p w14:paraId="22CA7C81" w14:textId="603200DD" w:rsidR="00CF78CD" w:rsidRPr="00C97895" w:rsidRDefault="00D71D0F" w:rsidP="00CF78CD">
      <w:pPr>
        <w:rPr>
          <w:rFonts w:asciiTheme="minorHAnsi" w:hAnsiTheme="minorHAnsi" w:cstheme="minorHAnsi"/>
          <w:sz w:val="22"/>
          <w:szCs w:val="22"/>
        </w:rPr>
      </w:pPr>
      <w:proofErr w:type="spellStart"/>
      <w:r>
        <w:rPr>
          <w:rFonts w:asciiTheme="minorHAnsi" w:hAnsiTheme="minorHAnsi" w:cstheme="minorHAnsi"/>
          <w:sz w:val="22"/>
          <w:szCs w:val="22"/>
        </w:rPr>
        <w:t>R</w:t>
      </w:r>
      <w:r w:rsidR="00CF78CD" w:rsidRPr="00C97895">
        <w:rPr>
          <w:rFonts w:asciiTheme="minorHAnsi" w:hAnsiTheme="minorHAnsi" w:cstheme="minorHAnsi"/>
          <w:sz w:val="22"/>
          <w:szCs w:val="22"/>
        </w:rPr>
        <w:t>esidualisation</w:t>
      </w:r>
      <w:proofErr w:type="spellEnd"/>
      <w:r>
        <w:rPr>
          <w:rFonts w:asciiTheme="minorHAnsi" w:hAnsiTheme="minorHAnsi" w:cstheme="minorHAnsi"/>
          <w:sz w:val="22"/>
          <w:szCs w:val="22"/>
        </w:rPr>
        <w:t xml:space="preserve"> on the other hand is </w:t>
      </w:r>
      <w:r w:rsidR="00CF78CD" w:rsidRPr="00C97895">
        <w:rPr>
          <w:rFonts w:asciiTheme="minorHAnsi" w:hAnsiTheme="minorHAnsi" w:cstheme="minorHAnsi"/>
          <w:sz w:val="22"/>
          <w:szCs w:val="22"/>
        </w:rPr>
        <w:t xml:space="preserve">conjoined </w:t>
      </w:r>
      <w:r>
        <w:rPr>
          <w:rFonts w:asciiTheme="minorHAnsi" w:hAnsiTheme="minorHAnsi" w:cstheme="minorHAnsi"/>
          <w:sz w:val="22"/>
          <w:szCs w:val="22"/>
        </w:rPr>
        <w:t xml:space="preserve">with </w:t>
      </w:r>
      <w:r w:rsidR="00CF78CD" w:rsidRPr="00C97895">
        <w:rPr>
          <w:rFonts w:asciiTheme="minorHAnsi" w:hAnsiTheme="minorHAnsi" w:cstheme="minorHAnsi"/>
          <w:sz w:val="22"/>
          <w:szCs w:val="22"/>
        </w:rPr>
        <w:t>processes</w:t>
      </w:r>
      <w:r>
        <w:rPr>
          <w:rFonts w:asciiTheme="minorHAnsi" w:hAnsiTheme="minorHAnsi" w:cstheme="minorHAnsi"/>
          <w:sz w:val="22"/>
          <w:szCs w:val="22"/>
        </w:rPr>
        <w:t xml:space="preserve"> of othering and a decade of austerity has instituted othering both within and between nations. </w:t>
      </w:r>
      <w:r w:rsidR="00CF78CD" w:rsidRPr="00C97895">
        <w:rPr>
          <w:rFonts w:asciiTheme="minorHAnsi" w:hAnsiTheme="minorHAnsi" w:cstheme="minorHAnsi"/>
          <w:sz w:val="22"/>
          <w:szCs w:val="22"/>
        </w:rPr>
        <w:t xml:space="preserve">From representations </w:t>
      </w:r>
      <w:r>
        <w:rPr>
          <w:rFonts w:asciiTheme="minorHAnsi" w:hAnsiTheme="minorHAnsi" w:cstheme="minorHAnsi"/>
          <w:sz w:val="22"/>
          <w:szCs w:val="22"/>
        </w:rPr>
        <w:t xml:space="preserve">in </w:t>
      </w:r>
      <w:r w:rsidR="00CF78CD" w:rsidRPr="00C97895">
        <w:rPr>
          <w:rFonts w:asciiTheme="minorHAnsi" w:hAnsiTheme="minorHAnsi" w:cstheme="minorHAnsi"/>
          <w:sz w:val="22"/>
          <w:szCs w:val="22"/>
        </w:rPr>
        <w:t xml:space="preserve">the print and broadcast media to the physical representations of </w:t>
      </w:r>
      <w:r>
        <w:rPr>
          <w:rFonts w:asciiTheme="minorHAnsi" w:hAnsiTheme="minorHAnsi" w:cstheme="minorHAnsi"/>
          <w:sz w:val="22"/>
          <w:szCs w:val="22"/>
        </w:rPr>
        <w:t xml:space="preserve">national </w:t>
      </w:r>
      <w:r w:rsidR="00CF78CD" w:rsidRPr="00C97895">
        <w:rPr>
          <w:rFonts w:asciiTheme="minorHAnsi" w:hAnsiTheme="minorHAnsi" w:cstheme="minorHAnsi"/>
          <w:sz w:val="22"/>
          <w:szCs w:val="22"/>
        </w:rPr>
        <w:t xml:space="preserve">borders (in the US </w:t>
      </w:r>
      <w:r>
        <w:rPr>
          <w:rFonts w:asciiTheme="minorHAnsi" w:hAnsiTheme="minorHAnsi" w:cstheme="minorHAnsi"/>
          <w:sz w:val="22"/>
          <w:szCs w:val="22"/>
        </w:rPr>
        <w:t xml:space="preserve">and </w:t>
      </w:r>
      <w:r w:rsidR="00CF78CD" w:rsidRPr="00C97895">
        <w:rPr>
          <w:rFonts w:asciiTheme="minorHAnsi" w:hAnsiTheme="minorHAnsi" w:cstheme="minorHAnsi"/>
          <w:sz w:val="22"/>
          <w:szCs w:val="22"/>
        </w:rPr>
        <w:t>Hungary</w:t>
      </w:r>
      <w:r>
        <w:rPr>
          <w:rFonts w:asciiTheme="minorHAnsi" w:hAnsiTheme="minorHAnsi" w:cstheme="minorHAnsi"/>
          <w:sz w:val="22"/>
          <w:szCs w:val="22"/>
        </w:rPr>
        <w:t xml:space="preserve"> for example</w:t>
      </w:r>
      <w:r w:rsidR="00CF78CD" w:rsidRPr="00C97895">
        <w:rPr>
          <w:rFonts w:asciiTheme="minorHAnsi" w:hAnsiTheme="minorHAnsi" w:cstheme="minorHAnsi"/>
          <w:sz w:val="22"/>
          <w:szCs w:val="22"/>
        </w:rPr>
        <w:t>) divisions are mor</w:t>
      </w:r>
      <w:r>
        <w:rPr>
          <w:rFonts w:asciiTheme="minorHAnsi" w:hAnsiTheme="minorHAnsi" w:cstheme="minorHAnsi"/>
          <w:sz w:val="22"/>
          <w:szCs w:val="22"/>
        </w:rPr>
        <w:t>e visible and accepted</w:t>
      </w:r>
      <w:r w:rsidR="00CF78CD" w:rsidRPr="00C97895">
        <w:rPr>
          <w:rFonts w:asciiTheme="minorHAnsi" w:hAnsiTheme="minorHAnsi" w:cstheme="minorHAnsi"/>
          <w:sz w:val="22"/>
          <w:szCs w:val="22"/>
        </w:rPr>
        <w:t xml:space="preserve">. Intergenerational solidarity </w:t>
      </w:r>
      <w:r>
        <w:rPr>
          <w:rFonts w:asciiTheme="minorHAnsi" w:hAnsiTheme="minorHAnsi" w:cstheme="minorHAnsi"/>
          <w:sz w:val="22"/>
          <w:szCs w:val="22"/>
        </w:rPr>
        <w:t xml:space="preserve">has also </w:t>
      </w:r>
      <w:r w:rsidR="00CF78CD" w:rsidRPr="00C97895">
        <w:rPr>
          <w:rFonts w:asciiTheme="minorHAnsi" w:hAnsiTheme="minorHAnsi" w:cstheme="minorHAnsi"/>
          <w:sz w:val="22"/>
          <w:szCs w:val="22"/>
        </w:rPr>
        <w:t>weake</w:t>
      </w:r>
      <w:r w:rsidR="00FC366D">
        <w:rPr>
          <w:rFonts w:asciiTheme="minorHAnsi" w:hAnsiTheme="minorHAnsi" w:cstheme="minorHAnsi"/>
          <w:sz w:val="22"/>
          <w:szCs w:val="22"/>
        </w:rPr>
        <w:t>n</w:t>
      </w:r>
      <w:r>
        <w:rPr>
          <w:rFonts w:asciiTheme="minorHAnsi" w:hAnsiTheme="minorHAnsi" w:cstheme="minorHAnsi"/>
          <w:sz w:val="22"/>
          <w:szCs w:val="22"/>
        </w:rPr>
        <w:t>ed</w:t>
      </w:r>
      <w:r w:rsidR="00CF78CD" w:rsidRPr="00C97895">
        <w:rPr>
          <w:rFonts w:asciiTheme="minorHAnsi" w:hAnsiTheme="minorHAnsi" w:cstheme="minorHAnsi"/>
          <w:sz w:val="22"/>
          <w:szCs w:val="22"/>
        </w:rPr>
        <w:t xml:space="preserve"> as age-related divisions </w:t>
      </w:r>
      <w:r>
        <w:rPr>
          <w:rFonts w:asciiTheme="minorHAnsi" w:hAnsiTheme="minorHAnsi" w:cstheme="minorHAnsi"/>
          <w:sz w:val="22"/>
          <w:szCs w:val="22"/>
        </w:rPr>
        <w:t xml:space="preserve">in wealth and security now characterise housing and employment markets as well as political preferences. While the retirement promises and pension incomes accruing to older populations are not </w:t>
      </w:r>
      <w:r w:rsidR="00CF78CD" w:rsidRPr="00C97895">
        <w:rPr>
          <w:rFonts w:asciiTheme="minorHAnsi" w:hAnsiTheme="minorHAnsi" w:cstheme="minorHAnsi"/>
          <w:sz w:val="22"/>
          <w:szCs w:val="22"/>
        </w:rPr>
        <w:t xml:space="preserve">part of young </w:t>
      </w:r>
      <w:r>
        <w:rPr>
          <w:rFonts w:asciiTheme="minorHAnsi" w:hAnsiTheme="minorHAnsi" w:cstheme="minorHAnsi"/>
          <w:sz w:val="22"/>
          <w:szCs w:val="22"/>
        </w:rPr>
        <w:t>generations’</w:t>
      </w:r>
      <w:r w:rsidR="00CF78CD" w:rsidRPr="00C97895">
        <w:rPr>
          <w:rFonts w:asciiTheme="minorHAnsi" w:hAnsiTheme="minorHAnsi" w:cstheme="minorHAnsi"/>
          <w:sz w:val="22"/>
          <w:szCs w:val="22"/>
        </w:rPr>
        <w:t xml:space="preserve"> futures, </w:t>
      </w:r>
      <w:r>
        <w:rPr>
          <w:rFonts w:asciiTheme="minorHAnsi" w:hAnsiTheme="minorHAnsi" w:cstheme="minorHAnsi"/>
          <w:sz w:val="22"/>
          <w:szCs w:val="22"/>
        </w:rPr>
        <w:t xml:space="preserve">servicing the needs </w:t>
      </w:r>
      <w:r w:rsidR="00CF78CD" w:rsidRPr="00C97895">
        <w:rPr>
          <w:rFonts w:asciiTheme="minorHAnsi" w:hAnsiTheme="minorHAnsi" w:cstheme="minorHAnsi"/>
          <w:sz w:val="22"/>
          <w:szCs w:val="22"/>
        </w:rPr>
        <w:t xml:space="preserve">generated by ageing populations </w:t>
      </w:r>
      <w:r>
        <w:rPr>
          <w:rFonts w:asciiTheme="minorHAnsi" w:hAnsiTheme="minorHAnsi" w:cstheme="minorHAnsi"/>
          <w:sz w:val="22"/>
          <w:szCs w:val="22"/>
        </w:rPr>
        <w:t>certainly will be</w:t>
      </w:r>
      <w:r w:rsidR="004B1348">
        <w:rPr>
          <w:rFonts w:asciiTheme="minorHAnsi" w:hAnsiTheme="minorHAnsi" w:cstheme="minorHAnsi"/>
          <w:sz w:val="22"/>
          <w:szCs w:val="22"/>
        </w:rPr>
        <w:t>.</w:t>
      </w:r>
      <w:r>
        <w:rPr>
          <w:rFonts w:asciiTheme="minorHAnsi" w:hAnsiTheme="minorHAnsi" w:cstheme="minorHAnsi"/>
          <w:sz w:val="22"/>
          <w:szCs w:val="22"/>
        </w:rPr>
        <w:t xml:space="preserve"> </w:t>
      </w:r>
      <w:r w:rsidR="004B1348">
        <w:rPr>
          <w:rFonts w:asciiTheme="minorHAnsi" w:hAnsiTheme="minorHAnsi" w:cstheme="minorHAnsi"/>
          <w:sz w:val="22"/>
          <w:szCs w:val="22"/>
        </w:rPr>
        <w:t xml:space="preserve">The damage to </w:t>
      </w:r>
      <w:r w:rsidR="00CF78CD" w:rsidRPr="00C97895">
        <w:rPr>
          <w:rFonts w:asciiTheme="minorHAnsi" w:hAnsiTheme="minorHAnsi" w:cstheme="minorHAnsi"/>
          <w:sz w:val="22"/>
          <w:szCs w:val="22"/>
        </w:rPr>
        <w:t>the principles of generational reciprocity underpinn</w:t>
      </w:r>
      <w:r w:rsidR="004B1348">
        <w:rPr>
          <w:rFonts w:asciiTheme="minorHAnsi" w:hAnsiTheme="minorHAnsi" w:cstheme="minorHAnsi"/>
          <w:sz w:val="22"/>
          <w:szCs w:val="22"/>
        </w:rPr>
        <w:t>ing</w:t>
      </w:r>
      <w:r w:rsidR="00CF78CD" w:rsidRPr="00C97895">
        <w:rPr>
          <w:rFonts w:asciiTheme="minorHAnsi" w:hAnsiTheme="minorHAnsi" w:cstheme="minorHAnsi"/>
          <w:sz w:val="22"/>
          <w:szCs w:val="22"/>
        </w:rPr>
        <w:t xml:space="preserve"> </w:t>
      </w:r>
      <w:r w:rsidR="004B1348">
        <w:rPr>
          <w:rFonts w:asciiTheme="minorHAnsi" w:hAnsiTheme="minorHAnsi" w:cstheme="minorHAnsi"/>
          <w:sz w:val="22"/>
          <w:szCs w:val="22"/>
        </w:rPr>
        <w:t xml:space="preserve">the </w:t>
      </w:r>
      <w:r w:rsidR="00CF78CD" w:rsidRPr="00C97895">
        <w:rPr>
          <w:rFonts w:asciiTheme="minorHAnsi" w:hAnsiTheme="minorHAnsi" w:cstheme="minorHAnsi"/>
          <w:sz w:val="22"/>
          <w:szCs w:val="22"/>
        </w:rPr>
        <w:t>social relations of care</w:t>
      </w:r>
      <w:r w:rsidR="004B1348">
        <w:rPr>
          <w:rFonts w:asciiTheme="minorHAnsi" w:hAnsiTheme="minorHAnsi" w:cstheme="minorHAnsi"/>
          <w:sz w:val="22"/>
          <w:szCs w:val="22"/>
        </w:rPr>
        <w:t xml:space="preserve"> are also unremarked even in the limited policy recognition of crises of care</w:t>
      </w:r>
      <w:r w:rsidR="00CF78CD" w:rsidRPr="00C97895">
        <w:rPr>
          <w:rFonts w:asciiTheme="minorHAnsi" w:hAnsiTheme="minorHAnsi" w:cstheme="minorHAnsi"/>
          <w:sz w:val="22"/>
          <w:szCs w:val="22"/>
        </w:rPr>
        <w:t>.</w:t>
      </w:r>
      <w:r w:rsidR="004B1348">
        <w:rPr>
          <w:rFonts w:asciiTheme="minorHAnsi" w:hAnsiTheme="minorHAnsi" w:cstheme="minorHAnsi"/>
          <w:sz w:val="22"/>
          <w:szCs w:val="22"/>
        </w:rPr>
        <w:t xml:space="preserve"> Scaling up the wounds inflicted on the social relations of welfare </w:t>
      </w:r>
      <w:r w:rsidR="00CF78CD" w:rsidRPr="00C97895">
        <w:rPr>
          <w:rFonts w:asciiTheme="minorHAnsi" w:hAnsiTheme="minorHAnsi" w:cstheme="minorHAnsi"/>
          <w:sz w:val="22"/>
          <w:szCs w:val="22"/>
        </w:rPr>
        <w:t>to account for the macro-existential dimensions of what welfare states previously provided</w:t>
      </w:r>
      <w:r w:rsidR="004B1348">
        <w:rPr>
          <w:rFonts w:asciiTheme="minorHAnsi" w:hAnsiTheme="minorHAnsi" w:cstheme="minorHAnsi"/>
          <w:sz w:val="22"/>
          <w:szCs w:val="22"/>
        </w:rPr>
        <w:t xml:space="preserve"> is summarised in the</w:t>
      </w:r>
      <w:r w:rsidR="00CF78CD" w:rsidRPr="00C97895">
        <w:rPr>
          <w:rFonts w:asciiTheme="minorHAnsi" w:hAnsiTheme="minorHAnsi" w:cstheme="minorHAnsi"/>
          <w:sz w:val="22"/>
          <w:szCs w:val="22"/>
        </w:rPr>
        <w:t xml:space="preserve"> </w:t>
      </w:r>
      <w:r w:rsidR="004B1348">
        <w:rPr>
          <w:rFonts w:asciiTheme="minorHAnsi" w:hAnsiTheme="minorHAnsi" w:cstheme="minorHAnsi"/>
          <w:sz w:val="22"/>
          <w:szCs w:val="22"/>
        </w:rPr>
        <w:t xml:space="preserve">loss of security, </w:t>
      </w:r>
      <w:r w:rsidR="00CF78CD" w:rsidRPr="00C97895">
        <w:rPr>
          <w:rFonts w:asciiTheme="minorHAnsi" w:hAnsiTheme="minorHAnsi" w:cstheme="minorHAnsi"/>
          <w:sz w:val="22"/>
          <w:szCs w:val="22"/>
        </w:rPr>
        <w:t>trust</w:t>
      </w:r>
      <w:r w:rsidR="004B1348">
        <w:rPr>
          <w:rFonts w:asciiTheme="minorHAnsi" w:hAnsiTheme="minorHAnsi" w:cstheme="minorHAnsi"/>
          <w:sz w:val="22"/>
          <w:szCs w:val="22"/>
        </w:rPr>
        <w:t xml:space="preserve"> and</w:t>
      </w:r>
      <w:r w:rsidR="00CF78CD" w:rsidRPr="00C97895">
        <w:rPr>
          <w:rFonts w:asciiTheme="minorHAnsi" w:hAnsiTheme="minorHAnsi" w:cstheme="minorHAnsi"/>
          <w:sz w:val="22"/>
          <w:szCs w:val="22"/>
        </w:rPr>
        <w:t xml:space="preserve"> hope</w:t>
      </w:r>
      <w:r w:rsidR="00DB4379">
        <w:rPr>
          <w:rFonts w:asciiTheme="minorHAnsi" w:hAnsiTheme="minorHAnsi" w:cstheme="minorHAnsi"/>
          <w:sz w:val="22"/>
          <w:szCs w:val="22"/>
        </w:rPr>
        <w:t xml:space="preserve">. Security is discussed in more detail below, but the question of trust, </w:t>
      </w:r>
      <w:r w:rsidR="002F2EA0">
        <w:rPr>
          <w:rFonts w:asciiTheme="minorHAnsi" w:hAnsiTheme="minorHAnsi" w:cstheme="minorHAnsi"/>
          <w:sz w:val="22"/>
          <w:szCs w:val="22"/>
        </w:rPr>
        <w:t>i</w:t>
      </w:r>
      <w:r w:rsidR="00DB4379">
        <w:rPr>
          <w:rFonts w:asciiTheme="minorHAnsi" w:hAnsiTheme="minorHAnsi" w:cstheme="minorHAnsi"/>
          <w:sz w:val="22"/>
          <w:szCs w:val="22"/>
        </w:rPr>
        <w:t xml:space="preserve">s </w:t>
      </w:r>
      <w:r w:rsidR="002F2EA0">
        <w:rPr>
          <w:rFonts w:asciiTheme="minorHAnsi" w:hAnsiTheme="minorHAnsi" w:cstheme="minorHAnsi"/>
          <w:sz w:val="22"/>
          <w:szCs w:val="22"/>
        </w:rPr>
        <w:t>captured in both the problems of moral hazard as a precept of austerity (</w:t>
      </w:r>
      <w:r w:rsidR="00DB4379">
        <w:rPr>
          <w:rFonts w:asciiTheme="minorHAnsi" w:hAnsiTheme="minorHAnsi" w:cstheme="minorHAnsi"/>
          <w:sz w:val="22"/>
          <w:szCs w:val="22"/>
        </w:rPr>
        <w:t>Blyth</w:t>
      </w:r>
      <w:r w:rsidR="002F2EA0">
        <w:rPr>
          <w:rFonts w:asciiTheme="minorHAnsi" w:hAnsiTheme="minorHAnsi" w:cstheme="minorHAnsi"/>
          <w:sz w:val="22"/>
          <w:szCs w:val="22"/>
        </w:rPr>
        <w:t xml:space="preserve">, </w:t>
      </w:r>
      <w:r w:rsidR="00DB4379">
        <w:rPr>
          <w:rFonts w:asciiTheme="minorHAnsi" w:hAnsiTheme="minorHAnsi" w:cstheme="minorHAnsi"/>
          <w:sz w:val="22"/>
          <w:szCs w:val="22"/>
        </w:rPr>
        <w:t>20</w:t>
      </w:r>
      <w:r w:rsidR="00F501B3">
        <w:rPr>
          <w:rFonts w:asciiTheme="minorHAnsi" w:hAnsiTheme="minorHAnsi" w:cstheme="minorHAnsi"/>
          <w:sz w:val="22"/>
          <w:szCs w:val="22"/>
        </w:rPr>
        <w:t>13</w:t>
      </w:r>
      <w:r w:rsidR="00DB4379">
        <w:rPr>
          <w:rFonts w:asciiTheme="minorHAnsi" w:hAnsiTheme="minorHAnsi" w:cstheme="minorHAnsi"/>
          <w:sz w:val="22"/>
          <w:szCs w:val="22"/>
        </w:rPr>
        <w:t xml:space="preserve">) </w:t>
      </w:r>
      <w:r w:rsidR="002F2EA0">
        <w:rPr>
          <w:rFonts w:asciiTheme="minorHAnsi" w:hAnsiTheme="minorHAnsi" w:cstheme="minorHAnsi"/>
          <w:sz w:val="22"/>
          <w:szCs w:val="22"/>
        </w:rPr>
        <w:t xml:space="preserve">and contemporary </w:t>
      </w:r>
      <w:r w:rsidR="00DB4379">
        <w:rPr>
          <w:rFonts w:asciiTheme="minorHAnsi" w:hAnsiTheme="minorHAnsi" w:cstheme="minorHAnsi"/>
          <w:sz w:val="22"/>
          <w:szCs w:val="22"/>
        </w:rPr>
        <w:t xml:space="preserve">debate on political </w:t>
      </w:r>
      <w:r w:rsidR="002F2EA0">
        <w:rPr>
          <w:rFonts w:asciiTheme="minorHAnsi" w:hAnsiTheme="minorHAnsi" w:cstheme="minorHAnsi"/>
          <w:sz w:val="22"/>
          <w:szCs w:val="22"/>
        </w:rPr>
        <w:t>engagement</w:t>
      </w:r>
      <w:r w:rsidR="0041669E">
        <w:rPr>
          <w:rFonts w:asciiTheme="minorHAnsi" w:hAnsiTheme="minorHAnsi" w:cstheme="minorHAnsi"/>
          <w:sz w:val="22"/>
          <w:szCs w:val="22"/>
        </w:rPr>
        <w:t>.</w:t>
      </w:r>
      <w:r w:rsidR="004B1348">
        <w:rPr>
          <w:rFonts w:asciiTheme="minorHAnsi" w:hAnsiTheme="minorHAnsi" w:cstheme="minorHAnsi"/>
          <w:sz w:val="22"/>
          <w:szCs w:val="22"/>
        </w:rPr>
        <w:t xml:space="preserve"> </w:t>
      </w:r>
    </w:p>
    <w:p w14:paraId="68E36580" w14:textId="76B9C55D" w:rsidR="00673EA9" w:rsidRPr="00C97895" w:rsidRDefault="00673EA9" w:rsidP="007D792F">
      <w:pPr>
        <w:rPr>
          <w:rFonts w:asciiTheme="minorHAnsi" w:hAnsiTheme="minorHAnsi" w:cstheme="minorHAnsi"/>
          <w:color w:val="000000" w:themeColor="text1"/>
          <w:sz w:val="22"/>
          <w:szCs w:val="22"/>
        </w:rPr>
      </w:pPr>
    </w:p>
    <w:p w14:paraId="5D2E892E" w14:textId="5D51929C" w:rsidR="00653268" w:rsidRPr="00C97895" w:rsidRDefault="00653268" w:rsidP="002E1955">
      <w:pPr>
        <w:rPr>
          <w:rFonts w:asciiTheme="minorHAnsi" w:hAnsiTheme="minorHAnsi" w:cstheme="minorHAnsi"/>
          <w:sz w:val="22"/>
          <w:szCs w:val="22"/>
        </w:rPr>
      </w:pPr>
    </w:p>
    <w:p w14:paraId="4570139B" w14:textId="6F0FDEED" w:rsidR="00653268" w:rsidRPr="00C97895" w:rsidRDefault="00653268" w:rsidP="00653268">
      <w:pPr>
        <w:rPr>
          <w:rFonts w:asciiTheme="minorHAnsi" w:hAnsiTheme="minorHAnsi" w:cstheme="minorHAnsi"/>
          <w:b/>
          <w:bCs/>
          <w:i/>
          <w:iCs/>
          <w:color w:val="000000" w:themeColor="text1"/>
          <w:sz w:val="22"/>
          <w:szCs w:val="22"/>
        </w:rPr>
      </w:pPr>
      <w:r w:rsidRPr="00C97895">
        <w:rPr>
          <w:rFonts w:asciiTheme="minorHAnsi" w:hAnsiTheme="minorHAnsi" w:cstheme="minorHAnsi"/>
          <w:b/>
          <w:bCs/>
          <w:i/>
          <w:iCs/>
          <w:sz w:val="22"/>
          <w:szCs w:val="22"/>
        </w:rPr>
        <w:t>Re</w:t>
      </w:r>
      <w:r w:rsidR="007111B9">
        <w:rPr>
          <w:rFonts w:asciiTheme="minorHAnsi" w:hAnsiTheme="minorHAnsi" w:cstheme="minorHAnsi"/>
          <w:b/>
          <w:bCs/>
          <w:i/>
          <w:iCs/>
          <w:sz w:val="22"/>
          <w:szCs w:val="22"/>
        </w:rPr>
        <w:t>fuelling</w:t>
      </w:r>
      <w:r w:rsidRPr="00C97895">
        <w:rPr>
          <w:rFonts w:asciiTheme="minorHAnsi" w:hAnsiTheme="minorHAnsi" w:cstheme="minorHAnsi"/>
          <w:b/>
          <w:bCs/>
          <w:i/>
          <w:iCs/>
          <w:sz w:val="22"/>
          <w:szCs w:val="22"/>
        </w:rPr>
        <w:t xml:space="preserve"> the race to the bottom</w:t>
      </w:r>
    </w:p>
    <w:p w14:paraId="53625B49" w14:textId="77777777" w:rsidR="0082202B" w:rsidRDefault="0082202B" w:rsidP="004B1348">
      <w:pPr>
        <w:rPr>
          <w:rFonts w:asciiTheme="minorHAnsi" w:hAnsiTheme="minorHAnsi" w:cstheme="minorHAnsi"/>
          <w:b/>
          <w:color w:val="4472C4" w:themeColor="accent1"/>
          <w:sz w:val="22"/>
          <w:szCs w:val="22"/>
        </w:rPr>
      </w:pPr>
    </w:p>
    <w:p w14:paraId="36657992" w14:textId="6B423EE3" w:rsidR="00525A72" w:rsidRPr="009B7324" w:rsidRDefault="002F2EA0" w:rsidP="00525A72">
      <w:pPr>
        <w:rPr>
          <w:rFonts w:asciiTheme="minorHAnsi" w:hAnsiTheme="minorHAnsi" w:cstheme="minorHAnsi"/>
          <w:sz w:val="22"/>
          <w:szCs w:val="22"/>
          <w:highlight w:val="yellow"/>
        </w:rPr>
      </w:pPr>
      <w:r>
        <w:rPr>
          <w:rFonts w:asciiTheme="minorHAnsi" w:hAnsiTheme="minorHAnsi" w:cstheme="minorHAnsi"/>
          <w:sz w:val="22"/>
          <w:szCs w:val="22"/>
        </w:rPr>
        <w:t xml:space="preserve">In the early phase of globalisation the reality of a ‘race to the bottom’ was questioned </w:t>
      </w:r>
      <w:r w:rsidR="007111B9">
        <w:rPr>
          <w:rFonts w:asciiTheme="minorHAnsi" w:hAnsiTheme="minorHAnsi" w:cstheme="minorHAnsi"/>
          <w:sz w:val="22"/>
          <w:szCs w:val="22"/>
        </w:rPr>
        <w:t>at the comparative cross-national level</w:t>
      </w:r>
      <w:r w:rsidR="004E3E6D">
        <w:rPr>
          <w:rFonts w:asciiTheme="minorHAnsi" w:hAnsiTheme="minorHAnsi" w:cstheme="minorHAnsi"/>
          <w:sz w:val="22"/>
          <w:szCs w:val="22"/>
        </w:rPr>
        <w:t>,</w:t>
      </w:r>
      <w:r w:rsidR="007111B9">
        <w:rPr>
          <w:rFonts w:asciiTheme="minorHAnsi" w:hAnsiTheme="minorHAnsi" w:cstheme="minorHAnsi"/>
          <w:sz w:val="22"/>
          <w:szCs w:val="22"/>
        </w:rPr>
        <w:t xml:space="preserve"> given that nations compete in different markets with different investors and stability of social spending or ‘welfare generosity’ could be clearly identified</w:t>
      </w:r>
      <w:r w:rsidR="00831421">
        <w:rPr>
          <w:rFonts w:asciiTheme="minorHAnsi" w:hAnsiTheme="minorHAnsi" w:cstheme="minorHAnsi"/>
          <w:sz w:val="22"/>
          <w:szCs w:val="22"/>
        </w:rPr>
        <w:t xml:space="preserve"> until the 1990s</w:t>
      </w:r>
      <w:r w:rsidR="003F701E">
        <w:rPr>
          <w:rFonts w:asciiTheme="minorHAnsi" w:hAnsiTheme="minorHAnsi" w:cstheme="minorHAnsi"/>
          <w:sz w:val="22"/>
          <w:szCs w:val="22"/>
        </w:rPr>
        <w:t>, often as a central component of countries’ competitive strategy</w:t>
      </w:r>
      <w:r w:rsidR="007111B9">
        <w:rPr>
          <w:rFonts w:asciiTheme="minorHAnsi" w:hAnsiTheme="minorHAnsi" w:cstheme="minorHAnsi"/>
          <w:sz w:val="22"/>
          <w:szCs w:val="22"/>
        </w:rPr>
        <w:t>.</w:t>
      </w:r>
      <w:r w:rsidR="00831421">
        <w:rPr>
          <w:rFonts w:asciiTheme="minorHAnsi" w:hAnsiTheme="minorHAnsi" w:cstheme="minorHAnsi"/>
          <w:sz w:val="22"/>
          <w:szCs w:val="22"/>
        </w:rPr>
        <w:t xml:space="preserve"> Part of the purpose of this exposure of a</w:t>
      </w:r>
      <w:r w:rsidR="0082202B">
        <w:rPr>
          <w:rFonts w:asciiTheme="minorHAnsi" w:hAnsiTheme="minorHAnsi" w:cstheme="minorHAnsi"/>
          <w:sz w:val="22"/>
          <w:szCs w:val="22"/>
        </w:rPr>
        <w:t>n</w:t>
      </w:r>
      <w:r w:rsidR="00831421">
        <w:rPr>
          <w:rFonts w:asciiTheme="minorHAnsi" w:hAnsiTheme="minorHAnsi" w:cstheme="minorHAnsi"/>
          <w:sz w:val="22"/>
          <w:szCs w:val="22"/>
        </w:rPr>
        <w:t xml:space="preserve"> exogenously d</w:t>
      </w:r>
      <w:r w:rsidR="009E07A6">
        <w:rPr>
          <w:rFonts w:asciiTheme="minorHAnsi" w:hAnsiTheme="minorHAnsi" w:cstheme="minorHAnsi"/>
          <w:sz w:val="22"/>
          <w:szCs w:val="22"/>
        </w:rPr>
        <w:t>etermined</w:t>
      </w:r>
      <w:r w:rsidR="00831421">
        <w:rPr>
          <w:rFonts w:asciiTheme="minorHAnsi" w:hAnsiTheme="minorHAnsi" w:cstheme="minorHAnsi"/>
          <w:sz w:val="22"/>
          <w:szCs w:val="22"/>
        </w:rPr>
        <w:t xml:space="preserve"> ‘crisis myth’ was to challenge ideologically rather than evidentially driven welfare cuts </w:t>
      </w:r>
      <w:r w:rsidR="009E07A6">
        <w:rPr>
          <w:rFonts w:asciiTheme="minorHAnsi" w:hAnsiTheme="minorHAnsi" w:cstheme="minorHAnsi"/>
          <w:sz w:val="22"/>
          <w:szCs w:val="22"/>
        </w:rPr>
        <w:t xml:space="preserve">in a period of relative plenty </w:t>
      </w:r>
      <w:r w:rsidR="00831421">
        <w:rPr>
          <w:rFonts w:asciiTheme="minorHAnsi" w:hAnsiTheme="minorHAnsi" w:cstheme="minorHAnsi"/>
          <w:sz w:val="22"/>
          <w:szCs w:val="22"/>
        </w:rPr>
        <w:t>(see for example Castles, 2004</w:t>
      </w:r>
      <w:r w:rsidR="009E07A6">
        <w:rPr>
          <w:rFonts w:asciiTheme="minorHAnsi" w:hAnsiTheme="minorHAnsi" w:cstheme="minorHAnsi"/>
          <w:sz w:val="22"/>
          <w:szCs w:val="22"/>
        </w:rPr>
        <w:t>). In the decade of austerity in contrast, the failing of various economies and ubiquity of a narrative that demonised the role of national deficits in this</w:t>
      </w:r>
      <w:r w:rsidR="004E3E6D">
        <w:rPr>
          <w:rFonts w:asciiTheme="minorHAnsi" w:hAnsiTheme="minorHAnsi" w:cstheme="minorHAnsi"/>
          <w:sz w:val="22"/>
          <w:szCs w:val="22"/>
        </w:rPr>
        <w:t>,</w:t>
      </w:r>
      <w:r w:rsidR="009E07A6">
        <w:rPr>
          <w:rFonts w:asciiTheme="minorHAnsi" w:hAnsiTheme="minorHAnsi" w:cstheme="minorHAnsi"/>
          <w:sz w:val="22"/>
          <w:szCs w:val="22"/>
        </w:rPr>
        <w:t xml:space="preserve"> ostensibly provided both the evidence and the</w:t>
      </w:r>
      <w:r w:rsidR="0082202B">
        <w:rPr>
          <w:rFonts w:asciiTheme="minorHAnsi" w:hAnsiTheme="minorHAnsi" w:cstheme="minorHAnsi"/>
          <w:sz w:val="22"/>
          <w:szCs w:val="22"/>
        </w:rPr>
        <w:t xml:space="preserve"> validation of the ideological position. </w:t>
      </w:r>
      <w:r w:rsidR="003F701E">
        <w:rPr>
          <w:rFonts w:asciiTheme="minorHAnsi" w:hAnsiTheme="minorHAnsi" w:cstheme="minorHAnsi"/>
          <w:sz w:val="22"/>
          <w:szCs w:val="22"/>
        </w:rPr>
        <w:t>Legitimation has in this way been boiled down to so-called ‘social investment’ (social policy as an economic tool), an approach which meets the limited financial commitment to welfare insofar</w:t>
      </w:r>
      <w:r w:rsidR="00621E95">
        <w:rPr>
          <w:rFonts w:asciiTheme="minorHAnsi" w:hAnsiTheme="minorHAnsi" w:cstheme="minorHAnsi"/>
          <w:sz w:val="22"/>
          <w:szCs w:val="22"/>
        </w:rPr>
        <w:t xml:space="preserve"> as</w:t>
      </w:r>
      <w:r w:rsidR="003F701E">
        <w:rPr>
          <w:rFonts w:asciiTheme="minorHAnsi" w:hAnsiTheme="minorHAnsi" w:cstheme="minorHAnsi"/>
          <w:sz w:val="22"/>
          <w:szCs w:val="22"/>
        </w:rPr>
        <w:t xml:space="preserve"> a competitive and/or stable economy is desired (</w:t>
      </w:r>
      <w:r w:rsidR="004E3E6D">
        <w:rPr>
          <w:rFonts w:asciiTheme="minorHAnsi" w:hAnsiTheme="minorHAnsi" w:cstheme="minorHAnsi"/>
          <w:sz w:val="22"/>
          <w:szCs w:val="22"/>
        </w:rPr>
        <w:t>Farnsworth and Irving, 2015</w:t>
      </w:r>
      <w:r w:rsidR="003F701E">
        <w:rPr>
          <w:rFonts w:asciiTheme="minorHAnsi" w:hAnsiTheme="minorHAnsi" w:cstheme="minorHAnsi"/>
          <w:sz w:val="22"/>
          <w:szCs w:val="22"/>
        </w:rPr>
        <w:t xml:space="preserve">). </w:t>
      </w:r>
      <w:r w:rsidR="00525A72">
        <w:rPr>
          <w:rFonts w:asciiTheme="minorHAnsi" w:hAnsiTheme="minorHAnsi" w:cstheme="minorHAnsi"/>
          <w:sz w:val="22"/>
          <w:szCs w:val="22"/>
        </w:rPr>
        <w:t>Spending on h</w:t>
      </w:r>
      <w:r w:rsidR="003F701E">
        <w:rPr>
          <w:rFonts w:asciiTheme="minorHAnsi" w:hAnsiTheme="minorHAnsi" w:cstheme="minorHAnsi"/>
          <w:sz w:val="22"/>
          <w:szCs w:val="22"/>
        </w:rPr>
        <w:t xml:space="preserve">uman capital </w:t>
      </w:r>
      <w:r w:rsidR="00525A72">
        <w:rPr>
          <w:rFonts w:asciiTheme="minorHAnsi" w:hAnsiTheme="minorHAnsi" w:cstheme="minorHAnsi"/>
          <w:sz w:val="22"/>
          <w:szCs w:val="22"/>
        </w:rPr>
        <w:t xml:space="preserve">is nonetheless treated as elastic and </w:t>
      </w:r>
      <w:r w:rsidR="00525A72" w:rsidRPr="00525A72">
        <w:rPr>
          <w:rFonts w:asciiTheme="minorHAnsi" w:hAnsiTheme="minorHAnsi" w:cstheme="minorHAnsi"/>
          <w:color w:val="000000" w:themeColor="text1"/>
          <w:sz w:val="22"/>
          <w:szCs w:val="22"/>
        </w:rPr>
        <w:t xml:space="preserve">this </w:t>
      </w:r>
      <w:proofErr w:type="spellStart"/>
      <w:r w:rsidR="00525A72" w:rsidRPr="00525A72">
        <w:rPr>
          <w:rFonts w:asciiTheme="minorHAnsi" w:hAnsiTheme="minorHAnsi" w:cstheme="minorHAnsi"/>
          <w:color w:val="000000" w:themeColor="text1"/>
          <w:sz w:val="22"/>
          <w:szCs w:val="22"/>
        </w:rPr>
        <w:t>productivist</w:t>
      </w:r>
      <w:proofErr w:type="spellEnd"/>
      <w:r w:rsidR="00525A72" w:rsidRPr="00525A72">
        <w:rPr>
          <w:rFonts w:asciiTheme="minorHAnsi" w:hAnsiTheme="minorHAnsi" w:cstheme="minorHAnsi"/>
          <w:color w:val="000000" w:themeColor="text1"/>
          <w:sz w:val="22"/>
          <w:szCs w:val="22"/>
        </w:rPr>
        <w:t xml:space="preserve"> impulse </w:t>
      </w:r>
      <w:r w:rsidR="00525A72">
        <w:rPr>
          <w:rFonts w:asciiTheme="minorHAnsi" w:hAnsiTheme="minorHAnsi" w:cstheme="minorHAnsi"/>
          <w:color w:val="000000" w:themeColor="text1"/>
          <w:sz w:val="22"/>
          <w:szCs w:val="22"/>
        </w:rPr>
        <w:t>has</w:t>
      </w:r>
      <w:r w:rsidR="00525A72" w:rsidRPr="00525A72">
        <w:rPr>
          <w:rFonts w:asciiTheme="minorHAnsi" w:hAnsiTheme="minorHAnsi" w:cstheme="minorHAnsi"/>
          <w:color w:val="000000" w:themeColor="text1"/>
          <w:sz w:val="22"/>
          <w:szCs w:val="22"/>
        </w:rPr>
        <w:t xml:space="preserve"> </w:t>
      </w:r>
      <w:r w:rsidR="00F070F7">
        <w:rPr>
          <w:rFonts w:asciiTheme="minorHAnsi" w:hAnsiTheme="minorHAnsi" w:cstheme="minorHAnsi"/>
          <w:color w:val="000000" w:themeColor="text1"/>
          <w:sz w:val="22"/>
          <w:szCs w:val="22"/>
        </w:rPr>
        <w:t xml:space="preserve">itself </w:t>
      </w:r>
      <w:r w:rsidR="00525A72" w:rsidRPr="00525A72">
        <w:rPr>
          <w:rFonts w:asciiTheme="minorHAnsi" w:hAnsiTheme="minorHAnsi" w:cstheme="minorHAnsi"/>
          <w:color w:val="000000" w:themeColor="text1"/>
          <w:sz w:val="22"/>
          <w:szCs w:val="22"/>
        </w:rPr>
        <w:t xml:space="preserve">come under pressure as the revenue base for public spending </w:t>
      </w:r>
      <w:r w:rsidR="00525A72">
        <w:rPr>
          <w:rFonts w:asciiTheme="minorHAnsi" w:hAnsiTheme="minorHAnsi" w:cstheme="minorHAnsi"/>
          <w:color w:val="000000" w:themeColor="text1"/>
          <w:sz w:val="22"/>
          <w:szCs w:val="22"/>
        </w:rPr>
        <w:t xml:space="preserve">has </w:t>
      </w:r>
      <w:r w:rsidR="00525A72" w:rsidRPr="00525A72">
        <w:rPr>
          <w:rFonts w:asciiTheme="minorHAnsi" w:hAnsiTheme="minorHAnsi" w:cstheme="minorHAnsi"/>
          <w:color w:val="000000" w:themeColor="text1"/>
          <w:sz w:val="22"/>
          <w:szCs w:val="22"/>
        </w:rPr>
        <w:t>decline</w:t>
      </w:r>
      <w:r w:rsidR="00525A72">
        <w:rPr>
          <w:rFonts w:asciiTheme="minorHAnsi" w:hAnsiTheme="minorHAnsi" w:cstheme="minorHAnsi"/>
          <w:color w:val="000000" w:themeColor="text1"/>
          <w:sz w:val="22"/>
          <w:szCs w:val="22"/>
        </w:rPr>
        <w:t>d</w:t>
      </w:r>
      <w:r w:rsidR="009B7324">
        <w:rPr>
          <w:rFonts w:asciiTheme="minorHAnsi" w:hAnsiTheme="minorHAnsi" w:cstheme="minorHAnsi"/>
          <w:color w:val="000000" w:themeColor="text1"/>
          <w:sz w:val="22"/>
          <w:szCs w:val="22"/>
        </w:rPr>
        <w:t>.</w:t>
      </w:r>
      <w:r w:rsidR="00FF332A">
        <w:rPr>
          <w:rFonts w:asciiTheme="minorHAnsi" w:hAnsiTheme="minorHAnsi" w:cstheme="minorHAnsi"/>
          <w:color w:val="000000" w:themeColor="text1"/>
          <w:sz w:val="22"/>
          <w:szCs w:val="22"/>
        </w:rPr>
        <w:t xml:space="preserve"> </w:t>
      </w:r>
      <w:r w:rsidR="0062045D">
        <w:rPr>
          <w:rFonts w:asciiTheme="minorHAnsi" w:hAnsiTheme="minorHAnsi" w:cstheme="minorHAnsi"/>
          <w:color w:val="000000" w:themeColor="text1"/>
          <w:sz w:val="22"/>
          <w:szCs w:val="22"/>
        </w:rPr>
        <w:t>While the OECD (2019</w:t>
      </w:r>
      <w:r w:rsidR="002B2217">
        <w:rPr>
          <w:rFonts w:asciiTheme="minorHAnsi" w:hAnsiTheme="minorHAnsi" w:cstheme="minorHAnsi"/>
          <w:color w:val="000000" w:themeColor="text1"/>
          <w:sz w:val="22"/>
          <w:szCs w:val="22"/>
        </w:rPr>
        <w:t>b</w:t>
      </w:r>
      <w:r w:rsidR="0062045D">
        <w:rPr>
          <w:rFonts w:asciiTheme="minorHAnsi" w:hAnsiTheme="minorHAnsi" w:cstheme="minorHAnsi"/>
          <w:color w:val="000000" w:themeColor="text1"/>
          <w:sz w:val="22"/>
          <w:szCs w:val="22"/>
        </w:rPr>
        <w:t xml:space="preserve">) is keen to play up the increasing investment in tertiary education since 2006, </w:t>
      </w:r>
      <w:r w:rsidR="006B7EB1">
        <w:rPr>
          <w:rFonts w:asciiTheme="minorHAnsi" w:hAnsiTheme="minorHAnsi" w:cstheme="minorHAnsi"/>
          <w:color w:val="000000" w:themeColor="text1"/>
          <w:sz w:val="22"/>
          <w:szCs w:val="22"/>
        </w:rPr>
        <w:t xml:space="preserve">as a proportion of GDP the </w:t>
      </w:r>
      <w:r w:rsidR="0062045D">
        <w:rPr>
          <w:rFonts w:asciiTheme="minorHAnsi" w:hAnsiTheme="minorHAnsi" w:cstheme="minorHAnsi"/>
          <w:color w:val="000000" w:themeColor="text1"/>
          <w:sz w:val="22"/>
          <w:szCs w:val="22"/>
        </w:rPr>
        <w:t xml:space="preserve">overall </w:t>
      </w:r>
      <w:r w:rsidR="006B7EB1">
        <w:rPr>
          <w:rFonts w:asciiTheme="minorHAnsi" w:hAnsiTheme="minorHAnsi" w:cstheme="minorHAnsi"/>
          <w:color w:val="000000" w:themeColor="text1"/>
          <w:sz w:val="22"/>
          <w:szCs w:val="22"/>
        </w:rPr>
        <w:t>importance of spending</w:t>
      </w:r>
      <w:r w:rsidR="0062045D">
        <w:rPr>
          <w:rFonts w:asciiTheme="minorHAnsi" w:hAnsiTheme="minorHAnsi" w:cstheme="minorHAnsi"/>
          <w:color w:val="000000" w:themeColor="text1"/>
          <w:sz w:val="22"/>
          <w:szCs w:val="22"/>
        </w:rPr>
        <w:t xml:space="preserve"> on education </w:t>
      </w:r>
      <w:r w:rsidR="006B7EB1">
        <w:rPr>
          <w:rFonts w:asciiTheme="minorHAnsi" w:hAnsiTheme="minorHAnsi" w:cstheme="minorHAnsi"/>
          <w:color w:val="000000" w:themeColor="text1"/>
          <w:sz w:val="22"/>
          <w:szCs w:val="22"/>
        </w:rPr>
        <w:t>in the</w:t>
      </w:r>
      <w:r w:rsidR="0062045D">
        <w:rPr>
          <w:rFonts w:asciiTheme="minorHAnsi" w:hAnsiTheme="minorHAnsi" w:cstheme="minorHAnsi"/>
          <w:color w:val="000000" w:themeColor="text1"/>
          <w:sz w:val="22"/>
          <w:szCs w:val="22"/>
        </w:rPr>
        <w:t xml:space="preserve"> 2010</w:t>
      </w:r>
      <w:r w:rsidR="006B7EB1">
        <w:rPr>
          <w:rFonts w:asciiTheme="minorHAnsi" w:hAnsiTheme="minorHAnsi" w:cstheme="minorHAnsi"/>
          <w:color w:val="000000" w:themeColor="text1"/>
          <w:sz w:val="22"/>
          <w:szCs w:val="22"/>
        </w:rPr>
        <w:t>s has not been maintained in many advanced economies</w:t>
      </w:r>
      <w:r w:rsidR="009B7324">
        <w:rPr>
          <w:rFonts w:asciiTheme="minorHAnsi" w:hAnsiTheme="minorHAnsi" w:cstheme="minorHAnsi"/>
          <w:color w:val="000000" w:themeColor="text1"/>
          <w:sz w:val="22"/>
          <w:szCs w:val="22"/>
        </w:rPr>
        <w:t>,</w:t>
      </w:r>
      <w:r w:rsidR="006B7EB1">
        <w:rPr>
          <w:rFonts w:asciiTheme="minorHAnsi" w:hAnsiTheme="minorHAnsi" w:cstheme="minorHAnsi"/>
          <w:color w:val="000000" w:themeColor="text1"/>
          <w:sz w:val="22"/>
          <w:szCs w:val="22"/>
        </w:rPr>
        <w:t xml:space="preserve"> </w:t>
      </w:r>
      <w:r w:rsidR="009B7324">
        <w:rPr>
          <w:rFonts w:asciiTheme="minorHAnsi" w:hAnsiTheme="minorHAnsi" w:cstheme="minorHAnsi"/>
          <w:color w:val="000000" w:themeColor="text1"/>
          <w:sz w:val="22"/>
          <w:szCs w:val="22"/>
        </w:rPr>
        <w:t xml:space="preserve">and many countries </w:t>
      </w:r>
      <w:r w:rsidR="009B7324">
        <w:rPr>
          <w:rFonts w:asciiTheme="minorHAnsi" w:hAnsiTheme="minorHAnsi" w:cstheme="minorHAnsi"/>
          <w:color w:val="000000" w:themeColor="text1"/>
          <w:sz w:val="22"/>
          <w:szCs w:val="22"/>
        </w:rPr>
        <w:t xml:space="preserve">have similarly </w:t>
      </w:r>
      <w:r w:rsidR="009B7324">
        <w:rPr>
          <w:rFonts w:asciiTheme="minorHAnsi" w:hAnsiTheme="minorHAnsi" w:cstheme="minorHAnsi"/>
          <w:color w:val="000000" w:themeColor="text1"/>
          <w:sz w:val="22"/>
          <w:szCs w:val="22"/>
        </w:rPr>
        <w:t xml:space="preserve">decreased spending on labour markets </w:t>
      </w:r>
      <w:r w:rsidR="009B7324" w:rsidRPr="009B7324">
        <w:rPr>
          <w:rFonts w:asciiTheme="minorHAnsi" w:hAnsiTheme="minorHAnsi" w:cstheme="minorHAnsi"/>
          <w:color w:val="000000" w:themeColor="text1"/>
          <w:sz w:val="22"/>
          <w:szCs w:val="22"/>
        </w:rPr>
        <w:t>(</w:t>
      </w:r>
      <w:r w:rsidR="009B7324" w:rsidRPr="009B7324">
        <w:rPr>
          <w:rFonts w:asciiTheme="minorHAnsi" w:hAnsiTheme="minorHAnsi" w:cstheme="minorHAnsi"/>
          <w:sz w:val="22"/>
          <w:szCs w:val="22"/>
        </w:rPr>
        <w:t>OECD, 2020a; 2020b)</w:t>
      </w:r>
      <w:r w:rsidR="009B7324">
        <w:rPr>
          <w:rFonts w:asciiTheme="minorHAnsi" w:hAnsiTheme="minorHAnsi" w:cstheme="minorHAnsi"/>
          <w:color w:val="000000" w:themeColor="text1"/>
          <w:sz w:val="22"/>
          <w:szCs w:val="22"/>
        </w:rPr>
        <w:t>.</w:t>
      </w:r>
      <w:r w:rsidR="009B7324" w:rsidRPr="00525A72">
        <w:rPr>
          <w:rFonts w:asciiTheme="minorHAnsi" w:hAnsiTheme="minorHAnsi" w:cstheme="minorHAnsi"/>
          <w:color w:val="000000" w:themeColor="text1"/>
          <w:sz w:val="22"/>
          <w:szCs w:val="22"/>
        </w:rPr>
        <w:t xml:space="preserve"> </w:t>
      </w:r>
      <w:r w:rsidR="006B7EB1">
        <w:rPr>
          <w:rFonts w:asciiTheme="minorHAnsi" w:hAnsiTheme="minorHAnsi" w:cstheme="minorHAnsi"/>
          <w:sz w:val="22"/>
          <w:szCs w:val="22"/>
        </w:rPr>
        <w:t>The race to the bottom is nuanced by the nature</w:t>
      </w:r>
      <w:r w:rsidR="00510E53">
        <w:rPr>
          <w:rFonts w:asciiTheme="minorHAnsi" w:hAnsiTheme="minorHAnsi" w:cstheme="minorHAnsi"/>
          <w:sz w:val="22"/>
          <w:szCs w:val="22"/>
        </w:rPr>
        <w:t>,</w:t>
      </w:r>
      <w:r w:rsidR="006B7EB1">
        <w:rPr>
          <w:rFonts w:asciiTheme="minorHAnsi" w:hAnsiTheme="minorHAnsi" w:cstheme="minorHAnsi"/>
          <w:sz w:val="22"/>
          <w:szCs w:val="22"/>
        </w:rPr>
        <w:t xml:space="preserve"> rather than </w:t>
      </w:r>
      <w:r w:rsidR="006B7EB1">
        <w:rPr>
          <w:rFonts w:asciiTheme="minorHAnsi" w:hAnsiTheme="minorHAnsi" w:cstheme="minorHAnsi"/>
          <w:sz w:val="22"/>
          <w:szCs w:val="22"/>
        </w:rPr>
        <w:lastRenderedPageBreak/>
        <w:t xml:space="preserve">just the extent of financial commitments to human capital spending </w:t>
      </w:r>
      <w:proofErr w:type="gramStart"/>
      <w:r w:rsidR="009B7324">
        <w:rPr>
          <w:rFonts w:asciiTheme="minorHAnsi" w:hAnsiTheme="minorHAnsi" w:cstheme="minorHAnsi"/>
          <w:sz w:val="22"/>
          <w:szCs w:val="22"/>
        </w:rPr>
        <w:t>of course</w:t>
      </w:r>
      <w:r w:rsidR="004E3E6D">
        <w:rPr>
          <w:rFonts w:asciiTheme="minorHAnsi" w:hAnsiTheme="minorHAnsi" w:cstheme="minorHAnsi"/>
          <w:sz w:val="22"/>
          <w:szCs w:val="22"/>
        </w:rPr>
        <w:t>,</w:t>
      </w:r>
      <w:r w:rsidR="009B7324">
        <w:rPr>
          <w:rFonts w:asciiTheme="minorHAnsi" w:hAnsiTheme="minorHAnsi" w:cstheme="minorHAnsi"/>
          <w:sz w:val="22"/>
          <w:szCs w:val="22"/>
        </w:rPr>
        <w:t xml:space="preserve"> and</w:t>
      </w:r>
      <w:proofErr w:type="gramEnd"/>
      <w:r w:rsidR="006B7EB1">
        <w:rPr>
          <w:rFonts w:asciiTheme="minorHAnsi" w:hAnsiTheme="minorHAnsi" w:cstheme="minorHAnsi"/>
          <w:sz w:val="22"/>
          <w:szCs w:val="22"/>
        </w:rPr>
        <w:t xml:space="preserve"> is most effectively entered through the flexibilization of workers.</w:t>
      </w:r>
    </w:p>
    <w:p w14:paraId="77CF3FD6" w14:textId="64D0DC24" w:rsidR="006B7EB1" w:rsidRDefault="006B7EB1" w:rsidP="004B1348">
      <w:pPr>
        <w:rPr>
          <w:rFonts w:asciiTheme="minorHAnsi" w:hAnsiTheme="minorHAnsi" w:cstheme="minorHAnsi"/>
          <w:sz w:val="22"/>
          <w:szCs w:val="22"/>
        </w:rPr>
      </w:pPr>
    </w:p>
    <w:p w14:paraId="0AB3258C" w14:textId="366DBBEC" w:rsidR="00001B98" w:rsidRDefault="00F070F7" w:rsidP="004B1348">
      <w:pPr>
        <w:rPr>
          <w:noProof/>
        </w:rPr>
      </w:pPr>
      <w:r w:rsidRPr="00C97895">
        <w:rPr>
          <w:rFonts w:asciiTheme="minorHAnsi" w:hAnsiTheme="minorHAnsi" w:cstheme="minorHAnsi"/>
          <w:sz w:val="22"/>
          <w:szCs w:val="22"/>
        </w:rPr>
        <w:t xml:space="preserve">In </w:t>
      </w:r>
      <w:r>
        <w:rPr>
          <w:rFonts w:asciiTheme="minorHAnsi" w:hAnsiTheme="minorHAnsi" w:cstheme="minorHAnsi"/>
          <w:sz w:val="22"/>
          <w:szCs w:val="22"/>
        </w:rPr>
        <w:t xml:space="preserve">economic </w:t>
      </w:r>
      <w:r w:rsidRPr="00C97895">
        <w:rPr>
          <w:rFonts w:asciiTheme="minorHAnsi" w:hAnsiTheme="minorHAnsi" w:cstheme="minorHAnsi"/>
          <w:sz w:val="22"/>
          <w:szCs w:val="22"/>
        </w:rPr>
        <w:t xml:space="preserve">practice, austerity has refuelled a race to the bottom </w:t>
      </w:r>
      <w:r>
        <w:rPr>
          <w:rFonts w:asciiTheme="minorHAnsi" w:hAnsiTheme="minorHAnsi" w:cstheme="minorHAnsi"/>
          <w:sz w:val="22"/>
          <w:szCs w:val="22"/>
        </w:rPr>
        <w:t xml:space="preserve">through </w:t>
      </w:r>
      <w:r w:rsidRPr="00C97895">
        <w:rPr>
          <w:rFonts w:asciiTheme="minorHAnsi" w:hAnsiTheme="minorHAnsi" w:cstheme="minorHAnsi"/>
          <w:sz w:val="22"/>
          <w:szCs w:val="22"/>
        </w:rPr>
        <w:t>lowering the bar for national efforts to compensate labour market losses and dampening aspirations to make work decent.</w:t>
      </w:r>
      <w:r>
        <w:rPr>
          <w:rFonts w:asciiTheme="minorHAnsi" w:hAnsiTheme="minorHAnsi" w:cstheme="minorHAnsi"/>
          <w:sz w:val="22"/>
          <w:szCs w:val="22"/>
        </w:rPr>
        <w:t xml:space="preserve"> </w:t>
      </w:r>
      <w:r w:rsidR="00823AF0">
        <w:rPr>
          <w:rFonts w:asciiTheme="minorHAnsi" w:hAnsiTheme="minorHAnsi" w:cstheme="minorHAnsi"/>
          <w:sz w:val="22"/>
          <w:szCs w:val="22"/>
        </w:rPr>
        <w:t>Processes of flexibilization and the rising incidence of in-work poverty pre-date the financial crisis but</w:t>
      </w:r>
      <w:r>
        <w:rPr>
          <w:rFonts w:asciiTheme="minorHAnsi" w:hAnsiTheme="minorHAnsi" w:cstheme="minorHAnsi"/>
          <w:sz w:val="22"/>
          <w:szCs w:val="22"/>
        </w:rPr>
        <w:t xml:space="preserve"> austerity has </w:t>
      </w:r>
      <w:r w:rsidRPr="00C97895">
        <w:rPr>
          <w:rFonts w:asciiTheme="minorHAnsi" w:hAnsiTheme="minorHAnsi" w:cstheme="minorHAnsi"/>
          <w:sz w:val="22"/>
          <w:szCs w:val="22"/>
        </w:rPr>
        <w:t>facilitat</w:t>
      </w:r>
      <w:r>
        <w:rPr>
          <w:rFonts w:asciiTheme="minorHAnsi" w:hAnsiTheme="minorHAnsi" w:cstheme="minorHAnsi"/>
          <w:sz w:val="22"/>
          <w:szCs w:val="22"/>
        </w:rPr>
        <w:t>ed</w:t>
      </w:r>
      <w:r w:rsidRPr="00C97895">
        <w:rPr>
          <w:rFonts w:asciiTheme="minorHAnsi" w:hAnsiTheme="minorHAnsi" w:cstheme="minorHAnsi"/>
          <w:sz w:val="22"/>
          <w:szCs w:val="22"/>
        </w:rPr>
        <w:t xml:space="preserve"> labour </w:t>
      </w:r>
      <w:r>
        <w:rPr>
          <w:rFonts w:asciiTheme="minorHAnsi" w:hAnsiTheme="minorHAnsi" w:cstheme="minorHAnsi"/>
          <w:sz w:val="22"/>
          <w:szCs w:val="22"/>
        </w:rPr>
        <w:t>‘</w:t>
      </w:r>
      <w:proofErr w:type="spellStart"/>
      <w:r>
        <w:rPr>
          <w:rFonts w:asciiTheme="minorHAnsi" w:hAnsiTheme="minorHAnsi" w:cstheme="minorHAnsi"/>
          <w:sz w:val="22"/>
          <w:szCs w:val="22"/>
        </w:rPr>
        <w:t>fl</w:t>
      </w:r>
      <w:r w:rsidRPr="00C97895">
        <w:rPr>
          <w:rFonts w:asciiTheme="minorHAnsi" w:hAnsiTheme="minorHAnsi" w:cstheme="minorHAnsi"/>
          <w:sz w:val="22"/>
          <w:szCs w:val="22"/>
        </w:rPr>
        <w:t>exploitation</w:t>
      </w:r>
      <w:proofErr w:type="spellEnd"/>
      <w:r>
        <w:rPr>
          <w:rFonts w:asciiTheme="minorHAnsi" w:hAnsiTheme="minorHAnsi" w:cstheme="minorHAnsi"/>
          <w:sz w:val="22"/>
          <w:szCs w:val="22"/>
        </w:rPr>
        <w:t xml:space="preserve">’ by increasing </w:t>
      </w:r>
      <w:r w:rsidR="00514194">
        <w:rPr>
          <w:rFonts w:asciiTheme="minorHAnsi" w:hAnsiTheme="minorHAnsi" w:cstheme="minorHAnsi"/>
          <w:sz w:val="22"/>
          <w:szCs w:val="22"/>
        </w:rPr>
        <w:t xml:space="preserve">labour market </w:t>
      </w:r>
      <w:r>
        <w:rPr>
          <w:rFonts w:asciiTheme="minorHAnsi" w:hAnsiTheme="minorHAnsi" w:cstheme="minorHAnsi"/>
          <w:sz w:val="22"/>
          <w:szCs w:val="22"/>
        </w:rPr>
        <w:t>desperation</w:t>
      </w:r>
      <w:r w:rsidR="00514194">
        <w:rPr>
          <w:rFonts w:asciiTheme="minorHAnsi" w:hAnsiTheme="minorHAnsi" w:cstheme="minorHAnsi"/>
          <w:sz w:val="22"/>
          <w:szCs w:val="22"/>
        </w:rPr>
        <w:t>,</w:t>
      </w:r>
      <w:r w:rsidR="00A83EAA">
        <w:rPr>
          <w:rFonts w:asciiTheme="minorHAnsi" w:hAnsiTheme="minorHAnsi" w:cstheme="minorHAnsi"/>
          <w:sz w:val="22"/>
          <w:szCs w:val="22"/>
        </w:rPr>
        <w:t xml:space="preserve"> </w:t>
      </w:r>
      <w:r w:rsidR="00514194">
        <w:rPr>
          <w:rFonts w:asciiTheme="minorHAnsi" w:hAnsiTheme="minorHAnsi" w:cstheme="minorHAnsi"/>
          <w:sz w:val="22"/>
          <w:szCs w:val="22"/>
        </w:rPr>
        <w:t>described in policy terms as required ‘supply-side reform’ (for comparative assessment</w:t>
      </w:r>
      <w:r w:rsidR="000B2001">
        <w:rPr>
          <w:rFonts w:asciiTheme="minorHAnsi" w:hAnsiTheme="minorHAnsi" w:cstheme="minorHAnsi"/>
          <w:sz w:val="22"/>
          <w:szCs w:val="22"/>
        </w:rPr>
        <w:t xml:space="preserve"> of EU countries </w:t>
      </w:r>
      <w:r w:rsidR="00514194">
        <w:rPr>
          <w:rFonts w:asciiTheme="minorHAnsi" w:hAnsiTheme="minorHAnsi" w:cstheme="minorHAnsi"/>
          <w:sz w:val="22"/>
          <w:szCs w:val="22"/>
        </w:rPr>
        <w:t xml:space="preserve">see Hastings and </w:t>
      </w:r>
      <w:proofErr w:type="spellStart"/>
      <w:r w:rsidR="00514194">
        <w:rPr>
          <w:rFonts w:asciiTheme="minorHAnsi" w:hAnsiTheme="minorHAnsi" w:cstheme="minorHAnsi"/>
          <w:sz w:val="22"/>
          <w:szCs w:val="22"/>
        </w:rPr>
        <w:t>Heyes</w:t>
      </w:r>
      <w:proofErr w:type="spellEnd"/>
      <w:r w:rsidR="00514194">
        <w:rPr>
          <w:rFonts w:asciiTheme="minorHAnsi" w:hAnsiTheme="minorHAnsi" w:cstheme="minorHAnsi"/>
          <w:sz w:val="22"/>
          <w:szCs w:val="22"/>
        </w:rPr>
        <w:t>, 2018)</w:t>
      </w:r>
      <w:r>
        <w:rPr>
          <w:rFonts w:asciiTheme="minorHAnsi" w:hAnsiTheme="minorHAnsi" w:cstheme="minorHAnsi"/>
          <w:sz w:val="22"/>
          <w:szCs w:val="22"/>
        </w:rPr>
        <w:t xml:space="preserve">. </w:t>
      </w:r>
      <w:r w:rsidR="000B2001">
        <w:rPr>
          <w:rFonts w:asciiTheme="minorHAnsi" w:hAnsiTheme="minorHAnsi" w:cstheme="minorHAnsi"/>
          <w:sz w:val="22"/>
          <w:szCs w:val="22"/>
        </w:rPr>
        <w:t xml:space="preserve">Much of the supply-side reform is simply employees adjusting to the reality of </w:t>
      </w:r>
      <w:r w:rsidR="00001B98">
        <w:rPr>
          <w:rFonts w:asciiTheme="minorHAnsi" w:hAnsiTheme="minorHAnsi" w:cstheme="minorHAnsi"/>
          <w:sz w:val="22"/>
          <w:szCs w:val="22"/>
        </w:rPr>
        <w:t>‘</w:t>
      </w:r>
      <w:r w:rsidR="000B2001">
        <w:rPr>
          <w:rFonts w:asciiTheme="minorHAnsi" w:hAnsiTheme="minorHAnsi" w:cstheme="minorHAnsi"/>
          <w:sz w:val="22"/>
          <w:szCs w:val="22"/>
        </w:rPr>
        <w:t>marginal</w:t>
      </w:r>
      <w:r w:rsidR="00001B98">
        <w:rPr>
          <w:rFonts w:asciiTheme="minorHAnsi" w:hAnsiTheme="minorHAnsi" w:cstheme="minorHAnsi"/>
          <w:sz w:val="22"/>
          <w:szCs w:val="22"/>
        </w:rPr>
        <w:t>’</w:t>
      </w:r>
      <w:r w:rsidR="000B2001">
        <w:rPr>
          <w:rFonts w:asciiTheme="minorHAnsi" w:hAnsiTheme="minorHAnsi" w:cstheme="minorHAnsi"/>
          <w:sz w:val="22"/>
          <w:szCs w:val="22"/>
        </w:rPr>
        <w:t xml:space="preserve"> part-time employment</w:t>
      </w:r>
      <w:r w:rsidR="00255348">
        <w:rPr>
          <w:rFonts w:asciiTheme="minorHAnsi" w:hAnsiTheme="minorHAnsi" w:cstheme="minorHAnsi"/>
          <w:sz w:val="22"/>
          <w:szCs w:val="22"/>
        </w:rPr>
        <w:t xml:space="preserve"> </w:t>
      </w:r>
      <w:r w:rsidR="000B2001">
        <w:rPr>
          <w:rFonts w:asciiTheme="minorHAnsi" w:hAnsiTheme="minorHAnsi" w:cstheme="minorHAnsi"/>
          <w:sz w:val="22"/>
          <w:szCs w:val="22"/>
        </w:rPr>
        <w:t>(</w:t>
      </w:r>
      <w:bookmarkStart w:id="0" w:name="OLE_LINK1"/>
      <w:r w:rsidR="006867D1">
        <w:rPr>
          <w:rFonts w:asciiTheme="minorHAnsi" w:hAnsiTheme="minorHAnsi" w:cstheme="minorHAnsi"/>
          <w:sz w:val="22"/>
          <w:szCs w:val="22"/>
        </w:rPr>
        <w:t xml:space="preserve">Messenger and </w:t>
      </w:r>
      <w:proofErr w:type="spellStart"/>
      <w:r w:rsidR="006867D1">
        <w:rPr>
          <w:rFonts w:asciiTheme="minorHAnsi" w:hAnsiTheme="minorHAnsi" w:cstheme="minorHAnsi"/>
          <w:sz w:val="22"/>
          <w:szCs w:val="22"/>
        </w:rPr>
        <w:t>Wallot</w:t>
      </w:r>
      <w:proofErr w:type="spellEnd"/>
      <w:r w:rsidR="006867D1">
        <w:rPr>
          <w:rFonts w:asciiTheme="minorHAnsi" w:hAnsiTheme="minorHAnsi" w:cstheme="minorHAnsi"/>
          <w:sz w:val="22"/>
          <w:szCs w:val="22"/>
        </w:rPr>
        <w:t>, 2015</w:t>
      </w:r>
      <w:bookmarkEnd w:id="0"/>
      <w:r w:rsidR="000B2001" w:rsidRPr="006867D1">
        <w:rPr>
          <w:rFonts w:asciiTheme="minorHAnsi" w:hAnsiTheme="minorHAnsi" w:cstheme="minorHAnsi"/>
          <w:sz w:val="22"/>
          <w:szCs w:val="22"/>
        </w:rPr>
        <w:t>)</w:t>
      </w:r>
      <w:r w:rsidR="00001B98" w:rsidRPr="006867D1">
        <w:rPr>
          <w:rFonts w:asciiTheme="minorHAnsi" w:hAnsiTheme="minorHAnsi"/>
          <w:noProof/>
          <w:sz w:val="22"/>
          <w:szCs w:val="22"/>
        </w:rPr>
        <w:t xml:space="preserve">. </w:t>
      </w:r>
      <w:r w:rsidR="009F0060">
        <w:rPr>
          <w:rFonts w:asciiTheme="minorHAnsi" w:hAnsiTheme="minorHAnsi"/>
          <w:noProof/>
          <w:sz w:val="22"/>
          <w:szCs w:val="22"/>
        </w:rPr>
        <w:t>By</w:t>
      </w:r>
      <w:r w:rsidR="00001B98" w:rsidRPr="006867D1">
        <w:rPr>
          <w:rFonts w:asciiTheme="minorHAnsi" w:hAnsiTheme="minorHAnsi"/>
          <w:noProof/>
          <w:sz w:val="22"/>
          <w:szCs w:val="22"/>
        </w:rPr>
        <w:t xml:space="preserve"> 2018, rates of </w:t>
      </w:r>
      <w:r w:rsidR="00001B98" w:rsidRPr="006867D1">
        <w:rPr>
          <w:rFonts w:asciiTheme="minorHAnsi" w:hAnsiTheme="minorHAnsi" w:cstheme="minorHAnsi"/>
          <w:sz w:val="22"/>
          <w:szCs w:val="22"/>
        </w:rPr>
        <w:t xml:space="preserve">‘time-related underemployment’ (TRU) </w:t>
      </w:r>
      <w:r w:rsidR="009F0060">
        <w:rPr>
          <w:rFonts w:asciiTheme="minorHAnsi" w:hAnsiTheme="minorHAnsi" w:cstheme="minorHAnsi"/>
          <w:sz w:val="22"/>
          <w:szCs w:val="22"/>
        </w:rPr>
        <w:t>had increased considerably from pre-crisis levels and remained</w:t>
      </w:r>
      <w:r w:rsidR="00001B98" w:rsidRPr="006867D1">
        <w:rPr>
          <w:rFonts w:asciiTheme="minorHAnsi" w:hAnsiTheme="minorHAnsi" w:cstheme="minorHAnsi"/>
          <w:sz w:val="22"/>
          <w:szCs w:val="22"/>
        </w:rPr>
        <w:t xml:space="preserve"> high across a range of countries</w:t>
      </w:r>
      <w:r w:rsidR="006867D1">
        <w:rPr>
          <w:rFonts w:asciiTheme="minorHAnsi" w:hAnsiTheme="minorHAnsi" w:cstheme="minorHAnsi"/>
          <w:sz w:val="22"/>
          <w:szCs w:val="22"/>
        </w:rPr>
        <w:t xml:space="preserve"> (see Figure 1). Th</w:t>
      </w:r>
      <w:r w:rsidR="009F0060">
        <w:rPr>
          <w:rFonts w:asciiTheme="minorHAnsi" w:hAnsiTheme="minorHAnsi" w:cstheme="minorHAnsi"/>
          <w:sz w:val="22"/>
          <w:szCs w:val="22"/>
        </w:rPr>
        <w:t>is measurement disguises a range of comparative shortcomings but gives an indication of the extent of marginal employment</w:t>
      </w:r>
      <w:r w:rsidR="00255348">
        <w:rPr>
          <w:rFonts w:asciiTheme="minorHAnsi" w:hAnsiTheme="minorHAnsi" w:cstheme="minorHAnsi"/>
          <w:sz w:val="22"/>
          <w:szCs w:val="22"/>
        </w:rPr>
        <w:t>,</w:t>
      </w:r>
      <w:r w:rsidR="009F0060">
        <w:rPr>
          <w:rFonts w:asciiTheme="minorHAnsi" w:hAnsiTheme="minorHAnsi" w:cstheme="minorHAnsi"/>
          <w:sz w:val="22"/>
          <w:szCs w:val="22"/>
        </w:rPr>
        <w:t xml:space="preserve"> from </w:t>
      </w:r>
      <w:r w:rsidR="008C4471">
        <w:rPr>
          <w:rFonts w:asciiTheme="minorHAnsi" w:hAnsiTheme="minorHAnsi" w:cstheme="minorHAnsi"/>
          <w:sz w:val="22"/>
          <w:szCs w:val="22"/>
        </w:rPr>
        <w:t xml:space="preserve">zero hours in contracts in the UK </w:t>
      </w:r>
      <w:r w:rsidR="006867D1">
        <w:rPr>
          <w:rFonts w:asciiTheme="minorHAnsi" w:hAnsiTheme="minorHAnsi" w:cstheme="minorHAnsi"/>
          <w:sz w:val="22"/>
          <w:szCs w:val="22"/>
        </w:rPr>
        <w:t>(</w:t>
      </w:r>
      <w:r w:rsidR="008C4471">
        <w:rPr>
          <w:rFonts w:asciiTheme="minorHAnsi" w:hAnsiTheme="minorHAnsi" w:cstheme="minorHAnsi"/>
          <w:sz w:val="22"/>
          <w:szCs w:val="22"/>
        </w:rPr>
        <w:t>and some other advanced economies</w:t>
      </w:r>
      <w:r w:rsidR="006867D1">
        <w:rPr>
          <w:rFonts w:asciiTheme="minorHAnsi" w:hAnsiTheme="minorHAnsi" w:cstheme="minorHAnsi"/>
          <w:sz w:val="22"/>
          <w:szCs w:val="22"/>
        </w:rPr>
        <w:t>)</w:t>
      </w:r>
      <w:r w:rsidR="008C4471">
        <w:rPr>
          <w:rFonts w:asciiTheme="minorHAnsi" w:hAnsiTheme="minorHAnsi" w:cstheme="minorHAnsi"/>
          <w:sz w:val="22"/>
          <w:szCs w:val="22"/>
        </w:rPr>
        <w:t xml:space="preserve"> to casual hourly paid employment</w:t>
      </w:r>
      <w:r w:rsidR="006867D1">
        <w:rPr>
          <w:rFonts w:asciiTheme="minorHAnsi" w:hAnsiTheme="minorHAnsi" w:cstheme="minorHAnsi"/>
          <w:sz w:val="22"/>
          <w:szCs w:val="22"/>
        </w:rPr>
        <w:t>.</w:t>
      </w:r>
      <w:r w:rsidR="00255348">
        <w:rPr>
          <w:rFonts w:asciiTheme="minorHAnsi" w:hAnsiTheme="minorHAnsi" w:cstheme="minorHAnsi"/>
          <w:sz w:val="22"/>
          <w:szCs w:val="22"/>
        </w:rPr>
        <w:t xml:space="preserve"> </w:t>
      </w:r>
      <w:r w:rsidR="006F7781">
        <w:rPr>
          <w:rFonts w:asciiTheme="minorHAnsi" w:hAnsiTheme="minorHAnsi" w:cstheme="minorHAnsi"/>
          <w:sz w:val="22"/>
          <w:szCs w:val="22"/>
        </w:rPr>
        <w:t>A significant</w:t>
      </w:r>
      <w:r w:rsidR="00255348">
        <w:rPr>
          <w:rFonts w:asciiTheme="minorHAnsi" w:hAnsiTheme="minorHAnsi" w:cstheme="minorHAnsi"/>
          <w:sz w:val="22"/>
          <w:szCs w:val="22"/>
        </w:rPr>
        <w:t xml:space="preserve"> level of re-regulation </w:t>
      </w:r>
      <w:r w:rsidR="004E3E6D">
        <w:rPr>
          <w:rFonts w:asciiTheme="minorHAnsi" w:hAnsiTheme="minorHAnsi" w:cstheme="minorHAnsi"/>
          <w:sz w:val="22"/>
          <w:szCs w:val="22"/>
        </w:rPr>
        <w:t xml:space="preserve">and restoration of labour rights </w:t>
      </w:r>
      <w:r w:rsidR="006F7781">
        <w:rPr>
          <w:rFonts w:asciiTheme="minorHAnsi" w:hAnsiTheme="minorHAnsi" w:cstheme="minorHAnsi"/>
          <w:sz w:val="22"/>
          <w:szCs w:val="22"/>
        </w:rPr>
        <w:t xml:space="preserve">would be </w:t>
      </w:r>
      <w:r w:rsidR="00255348">
        <w:rPr>
          <w:rFonts w:asciiTheme="minorHAnsi" w:hAnsiTheme="minorHAnsi" w:cstheme="minorHAnsi"/>
          <w:sz w:val="22"/>
          <w:szCs w:val="22"/>
        </w:rPr>
        <w:t>required to halt employment practices that fail to provide guarantees of hours, securities of income</w:t>
      </w:r>
      <w:r w:rsidR="006F7781">
        <w:rPr>
          <w:rFonts w:asciiTheme="minorHAnsi" w:hAnsiTheme="minorHAnsi" w:cstheme="minorHAnsi"/>
          <w:sz w:val="22"/>
          <w:szCs w:val="22"/>
        </w:rPr>
        <w:t>, social protection</w:t>
      </w:r>
      <w:r w:rsidR="00255348">
        <w:rPr>
          <w:rFonts w:asciiTheme="minorHAnsi" w:hAnsiTheme="minorHAnsi" w:cstheme="minorHAnsi"/>
          <w:sz w:val="22"/>
          <w:szCs w:val="22"/>
        </w:rPr>
        <w:t xml:space="preserve"> and future prospects</w:t>
      </w:r>
      <w:r w:rsidR="006F7781">
        <w:rPr>
          <w:rFonts w:asciiTheme="minorHAnsi" w:hAnsiTheme="minorHAnsi" w:cstheme="minorHAnsi"/>
          <w:sz w:val="22"/>
          <w:szCs w:val="22"/>
        </w:rPr>
        <w:t xml:space="preserve"> and in the context of weakened collective action (see below) the pressure to secure these protections is absent.</w:t>
      </w:r>
    </w:p>
    <w:p w14:paraId="3D507351" w14:textId="5B3C488A" w:rsidR="00001B98" w:rsidRDefault="00001B98" w:rsidP="004B1348">
      <w:pPr>
        <w:rPr>
          <w:noProof/>
        </w:rPr>
      </w:pPr>
    </w:p>
    <w:p w14:paraId="3B9A4465" w14:textId="22822A28" w:rsidR="006B7EB1" w:rsidRDefault="006F7781" w:rsidP="004B1348">
      <w:pPr>
        <w:rPr>
          <w:rFonts w:asciiTheme="minorHAnsi" w:hAnsiTheme="minorHAnsi" w:cstheme="minorHAnsi"/>
          <w:sz w:val="22"/>
          <w:szCs w:val="22"/>
        </w:rPr>
      </w:pPr>
      <w:r>
        <w:rPr>
          <w:rFonts w:asciiTheme="minorHAnsi" w:hAnsiTheme="minorHAnsi" w:cstheme="minorHAnsi"/>
          <w:sz w:val="22"/>
          <w:szCs w:val="22"/>
        </w:rPr>
        <w:t>Figure 1</w:t>
      </w:r>
    </w:p>
    <w:p w14:paraId="6C67C34D" w14:textId="7697F3B4" w:rsidR="004B1348" w:rsidRPr="006F7781" w:rsidRDefault="00F1541E" w:rsidP="00653268">
      <w:pPr>
        <w:rPr>
          <w:rFonts w:asciiTheme="minorHAnsi" w:hAnsiTheme="minorHAnsi" w:cstheme="minorHAnsi"/>
          <w:sz w:val="22"/>
          <w:szCs w:val="22"/>
        </w:rPr>
      </w:pPr>
      <w:r>
        <w:rPr>
          <w:noProof/>
        </w:rPr>
        <w:drawing>
          <wp:inline distT="0" distB="0" distL="0" distR="0" wp14:anchorId="3B72537B" wp14:editId="12CAD6E4">
            <wp:extent cx="5727700" cy="3385820"/>
            <wp:effectExtent l="0" t="0" r="12700" b="17780"/>
            <wp:docPr id="3" name="Chart 3">
              <a:extLst xmlns:a="http://schemas.openxmlformats.org/drawingml/2006/main">
                <a:ext uri="{FF2B5EF4-FFF2-40B4-BE49-F238E27FC236}">
                  <a16:creationId xmlns:a16="http://schemas.microsoft.com/office/drawing/2014/main" id="{0A0FD7F6-16B2-4245-AB60-191C248E84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724FE7" w14:textId="09704518" w:rsidR="00653268" w:rsidRDefault="00001B98" w:rsidP="002E1955">
      <w:pPr>
        <w:rPr>
          <w:rFonts w:asciiTheme="minorHAnsi" w:hAnsiTheme="minorHAnsi" w:cstheme="minorHAnsi"/>
          <w:sz w:val="22"/>
          <w:szCs w:val="22"/>
        </w:rPr>
      </w:pPr>
      <w:r>
        <w:rPr>
          <w:rFonts w:asciiTheme="minorHAnsi" w:hAnsiTheme="minorHAnsi" w:cstheme="minorHAnsi"/>
          <w:sz w:val="22"/>
          <w:szCs w:val="22"/>
        </w:rPr>
        <w:t>Source: I</w:t>
      </w:r>
      <w:r w:rsidR="008C4471">
        <w:rPr>
          <w:rFonts w:asciiTheme="minorHAnsi" w:hAnsiTheme="minorHAnsi" w:cstheme="minorHAnsi"/>
          <w:sz w:val="22"/>
          <w:szCs w:val="22"/>
        </w:rPr>
        <w:t xml:space="preserve">nternational </w:t>
      </w:r>
      <w:r>
        <w:rPr>
          <w:rFonts w:asciiTheme="minorHAnsi" w:hAnsiTheme="minorHAnsi" w:cstheme="minorHAnsi"/>
          <w:sz w:val="22"/>
          <w:szCs w:val="22"/>
        </w:rPr>
        <w:t>L</w:t>
      </w:r>
      <w:r w:rsidR="008C4471">
        <w:rPr>
          <w:rFonts w:asciiTheme="minorHAnsi" w:hAnsiTheme="minorHAnsi" w:cstheme="minorHAnsi"/>
          <w:sz w:val="22"/>
          <w:szCs w:val="22"/>
        </w:rPr>
        <w:t xml:space="preserve">abour </w:t>
      </w:r>
      <w:r>
        <w:rPr>
          <w:rFonts w:asciiTheme="minorHAnsi" w:hAnsiTheme="minorHAnsi" w:cstheme="minorHAnsi"/>
          <w:sz w:val="22"/>
          <w:szCs w:val="22"/>
        </w:rPr>
        <w:t>O</w:t>
      </w:r>
      <w:r w:rsidR="008C4471">
        <w:rPr>
          <w:rFonts w:asciiTheme="minorHAnsi" w:hAnsiTheme="minorHAnsi" w:cstheme="minorHAnsi"/>
          <w:sz w:val="22"/>
          <w:szCs w:val="22"/>
        </w:rPr>
        <w:t xml:space="preserve">rganization (2020) </w:t>
      </w:r>
      <w:proofErr w:type="spellStart"/>
      <w:r w:rsidR="008C4471">
        <w:rPr>
          <w:rFonts w:asciiTheme="minorHAnsi" w:hAnsiTheme="minorHAnsi" w:cstheme="minorHAnsi"/>
          <w:sz w:val="22"/>
          <w:szCs w:val="22"/>
        </w:rPr>
        <w:t>ILO</w:t>
      </w:r>
      <w:r>
        <w:rPr>
          <w:rFonts w:asciiTheme="minorHAnsi" w:hAnsiTheme="minorHAnsi" w:cstheme="minorHAnsi"/>
          <w:sz w:val="22"/>
          <w:szCs w:val="22"/>
        </w:rPr>
        <w:t>Stat</w:t>
      </w:r>
      <w:proofErr w:type="spellEnd"/>
      <w:r w:rsidR="008C4471">
        <w:rPr>
          <w:rFonts w:asciiTheme="minorHAnsi" w:hAnsiTheme="minorHAnsi" w:cstheme="minorHAnsi"/>
          <w:sz w:val="22"/>
          <w:szCs w:val="22"/>
        </w:rPr>
        <w:t>, Time-related Underemployment Rate by Sex and Age (%) Annual [Data File]</w:t>
      </w:r>
    </w:p>
    <w:p w14:paraId="33176570" w14:textId="445F9A3C" w:rsidR="00AC6DB2" w:rsidRPr="00C97895" w:rsidRDefault="00AC6DB2" w:rsidP="002E1955">
      <w:pPr>
        <w:rPr>
          <w:rFonts w:asciiTheme="minorHAnsi" w:hAnsiTheme="minorHAnsi" w:cstheme="minorHAnsi"/>
          <w:sz w:val="22"/>
          <w:szCs w:val="22"/>
        </w:rPr>
      </w:pPr>
      <w:r>
        <w:rPr>
          <w:rFonts w:asciiTheme="minorHAnsi" w:hAnsiTheme="minorHAnsi" w:cstheme="minorHAnsi"/>
          <w:sz w:val="22"/>
          <w:szCs w:val="22"/>
        </w:rPr>
        <w:t xml:space="preserve">Note: </w:t>
      </w:r>
      <w:r w:rsidR="00D424B8">
        <w:rPr>
          <w:rFonts w:asciiTheme="minorHAnsi" w:hAnsiTheme="minorHAnsi" w:cstheme="minorHAnsi"/>
          <w:sz w:val="22"/>
          <w:szCs w:val="22"/>
        </w:rPr>
        <w:t>Data shown for high income countries with data for all three years only</w:t>
      </w:r>
      <w:r w:rsidR="00F1541E">
        <w:rPr>
          <w:rFonts w:asciiTheme="minorHAnsi" w:hAnsiTheme="minorHAnsi" w:cstheme="minorHAnsi"/>
          <w:sz w:val="22"/>
          <w:szCs w:val="22"/>
        </w:rPr>
        <w:t xml:space="preserve"> ordered ascending by 2010 data</w:t>
      </w:r>
      <w:r w:rsidR="00D424B8">
        <w:rPr>
          <w:rFonts w:asciiTheme="minorHAnsi" w:hAnsiTheme="minorHAnsi" w:cstheme="minorHAnsi"/>
          <w:sz w:val="22"/>
          <w:szCs w:val="22"/>
        </w:rPr>
        <w:t xml:space="preserve">; Data for 2005 for Ireland and Spain from Messenger and </w:t>
      </w:r>
      <w:proofErr w:type="spellStart"/>
      <w:r w:rsidR="00D424B8">
        <w:rPr>
          <w:rFonts w:asciiTheme="minorHAnsi" w:hAnsiTheme="minorHAnsi" w:cstheme="minorHAnsi"/>
          <w:sz w:val="22"/>
          <w:szCs w:val="22"/>
        </w:rPr>
        <w:t>Wallot</w:t>
      </w:r>
      <w:proofErr w:type="spellEnd"/>
      <w:r w:rsidR="00D424B8">
        <w:rPr>
          <w:rFonts w:asciiTheme="minorHAnsi" w:hAnsiTheme="minorHAnsi" w:cstheme="minorHAnsi"/>
          <w:sz w:val="22"/>
          <w:szCs w:val="22"/>
        </w:rPr>
        <w:t xml:space="preserve">, 2015: 3, Figure 3. </w:t>
      </w:r>
    </w:p>
    <w:p w14:paraId="2A8836B1" w14:textId="77777777" w:rsidR="00653DCE" w:rsidRPr="00C97895" w:rsidRDefault="00653DCE" w:rsidP="00653DCE">
      <w:pPr>
        <w:rPr>
          <w:rFonts w:asciiTheme="minorHAnsi" w:hAnsiTheme="minorHAnsi" w:cstheme="minorHAnsi"/>
          <w:b/>
          <w:sz w:val="22"/>
          <w:szCs w:val="22"/>
        </w:rPr>
      </w:pPr>
    </w:p>
    <w:p w14:paraId="1EA4D5B6" w14:textId="77777777" w:rsidR="00653DCE" w:rsidRPr="00C97895" w:rsidRDefault="00653DCE" w:rsidP="00653DCE">
      <w:pPr>
        <w:rPr>
          <w:rFonts w:asciiTheme="minorHAnsi" w:hAnsiTheme="minorHAnsi" w:cstheme="minorHAnsi"/>
          <w:bCs/>
          <w:sz w:val="22"/>
          <w:szCs w:val="22"/>
        </w:rPr>
      </w:pPr>
    </w:p>
    <w:p w14:paraId="3AB9652F" w14:textId="677ADEDC" w:rsidR="000D571F" w:rsidRPr="00C97895" w:rsidRDefault="000D571F" w:rsidP="00B87026">
      <w:pPr>
        <w:rPr>
          <w:rFonts w:asciiTheme="minorHAnsi" w:hAnsiTheme="minorHAnsi" w:cstheme="minorHAnsi"/>
          <w:b/>
          <w:bCs/>
          <w:i/>
          <w:iCs/>
          <w:sz w:val="22"/>
          <w:szCs w:val="22"/>
        </w:rPr>
      </w:pPr>
      <w:r w:rsidRPr="00C97895">
        <w:rPr>
          <w:rFonts w:asciiTheme="minorHAnsi" w:hAnsiTheme="minorHAnsi" w:cstheme="minorHAnsi"/>
          <w:b/>
          <w:bCs/>
          <w:i/>
          <w:iCs/>
          <w:sz w:val="22"/>
          <w:szCs w:val="22"/>
        </w:rPr>
        <w:t>Diminish</w:t>
      </w:r>
      <w:r w:rsidR="00DF60F0">
        <w:rPr>
          <w:rFonts w:asciiTheme="minorHAnsi" w:hAnsiTheme="minorHAnsi" w:cstheme="minorHAnsi"/>
          <w:b/>
          <w:bCs/>
          <w:i/>
          <w:iCs/>
          <w:sz w:val="22"/>
          <w:szCs w:val="22"/>
        </w:rPr>
        <w:t>ing the</w:t>
      </w:r>
      <w:r w:rsidRPr="00C97895">
        <w:rPr>
          <w:rFonts w:asciiTheme="minorHAnsi" w:hAnsiTheme="minorHAnsi" w:cstheme="minorHAnsi"/>
          <w:b/>
          <w:bCs/>
          <w:i/>
          <w:iCs/>
          <w:sz w:val="22"/>
          <w:szCs w:val="22"/>
        </w:rPr>
        <w:t xml:space="preserve"> political capacity for change</w:t>
      </w:r>
    </w:p>
    <w:p w14:paraId="0DFFA58F" w14:textId="77777777" w:rsidR="0007232E" w:rsidRDefault="0007232E" w:rsidP="00653DCE">
      <w:pPr>
        <w:rPr>
          <w:rFonts w:asciiTheme="minorHAnsi" w:hAnsiTheme="minorHAnsi" w:cstheme="minorHAnsi"/>
          <w:b/>
          <w:bCs/>
          <w:i/>
          <w:iCs/>
          <w:color w:val="4472C4" w:themeColor="accent1"/>
          <w:sz w:val="22"/>
          <w:szCs w:val="22"/>
        </w:rPr>
      </w:pPr>
    </w:p>
    <w:p w14:paraId="2FBA896F" w14:textId="7D019F7B" w:rsidR="00653DCE" w:rsidRPr="00C97895" w:rsidRDefault="00653DCE" w:rsidP="00653DCE">
      <w:pPr>
        <w:rPr>
          <w:rFonts w:asciiTheme="minorHAnsi" w:hAnsiTheme="minorHAnsi" w:cstheme="minorHAnsi"/>
          <w:sz w:val="22"/>
          <w:szCs w:val="22"/>
        </w:rPr>
      </w:pPr>
      <w:r w:rsidRPr="00C97895">
        <w:rPr>
          <w:rFonts w:asciiTheme="minorHAnsi" w:hAnsiTheme="minorHAnsi" w:cstheme="minorHAnsi"/>
          <w:sz w:val="22"/>
          <w:szCs w:val="22"/>
        </w:rPr>
        <w:t>Finally, although the ‘end of austerity’ has been implied by national politicians and international actors, even if this were the case, the question of how welfare states can now be built and rebuilt remains, and herein lies the most significant achievement</w:t>
      </w:r>
      <w:r w:rsidR="009B7324">
        <w:rPr>
          <w:rFonts w:asciiTheme="minorHAnsi" w:hAnsiTheme="minorHAnsi" w:cstheme="minorHAnsi"/>
          <w:sz w:val="22"/>
          <w:szCs w:val="22"/>
        </w:rPr>
        <w:t>.</w:t>
      </w:r>
      <w:r w:rsidRPr="00C97895">
        <w:rPr>
          <w:rFonts w:asciiTheme="minorHAnsi" w:hAnsiTheme="minorHAnsi" w:cstheme="minorHAnsi"/>
          <w:sz w:val="22"/>
          <w:szCs w:val="22"/>
        </w:rPr>
        <w:t xml:space="preserve"> The capacity for welfare state rebuilding </w:t>
      </w:r>
      <w:r w:rsidRPr="00C97895">
        <w:rPr>
          <w:rFonts w:asciiTheme="minorHAnsi" w:hAnsiTheme="minorHAnsi" w:cstheme="minorHAnsi"/>
          <w:sz w:val="22"/>
          <w:szCs w:val="22"/>
        </w:rPr>
        <w:lastRenderedPageBreak/>
        <w:t>is seriously diminished by austerity’s impact on vital forms of welfare mobilisation</w:t>
      </w:r>
      <w:r w:rsidR="00CA46C9" w:rsidRPr="00C97895">
        <w:rPr>
          <w:rFonts w:asciiTheme="minorHAnsi" w:hAnsiTheme="minorHAnsi" w:cstheme="minorHAnsi"/>
          <w:sz w:val="22"/>
          <w:szCs w:val="22"/>
        </w:rPr>
        <w:t xml:space="preserve"> that </w:t>
      </w:r>
      <w:r w:rsidR="0007232E">
        <w:rPr>
          <w:rFonts w:asciiTheme="minorHAnsi" w:hAnsiTheme="minorHAnsi" w:cstheme="minorHAnsi"/>
          <w:sz w:val="22"/>
          <w:szCs w:val="22"/>
        </w:rPr>
        <w:t>have been</w:t>
      </w:r>
      <w:r w:rsidR="00CA46C9" w:rsidRPr="00C97895">
        <w:rPr>
          <w:rFonts w:asciiTheme="minorHAnsi" w:hAnsiTheme="minorHAnsi" w:cstheme="minorHAnsi"/>
          <w:sz w:val="22"/>
          <w:szCs w:val="22"/>
        </w:rPr>
        <w:t xml:space="preserve"> key ingredients, essential in the early twentieth century welfare state formation</w:t>
      </w:r>
      <w:r w:rsidR="0007232E">
        <w:rPr>
          <w:rFonts w:asciiTheme="minorHAnsi" w:hAnsiTheme="minorHAnsi" w:cstheme="minorHAnsi"/>
          <w:sz w:val="22"/>
          <w:szCs w:val="22"/>
        </w:rPr>
        <w:t xml:space="preserve"> and its subsequent expansion of rights</w:t>
      </w:r>
      <w:r w:rsidRPr="00C97895">
        <w:rPr>
          <w:rFonts w:asciiTheme="minorHAnsi" w:hAnsiTheme="minorHAnsi" w:cstheme="minorHAnsi"/>
          <w:sz w:val="22"/>
          <w:szCs w:val="22"/>
        </w:rPr>
        <w:t xml:space="preserve">: the </w:t>
      </w:r>
      <w:r w:rsidR="00CA46C9" w:rsidRPr="00C97895">
        <w:rPr>
          <w:rFonts w:asciiTheme="minorHAnsi" w:hAnsiTheme="minorHAnsi" w:cstheme="minorHAnsi"/>
          <w:sz w:val="22"/>
          <w:szCs w:val="22"/>
        </w:rPr>
        <w:t>power of labour</w:t>
      </w:r>
      <w:r w:rsidR="007B4D9A">
        <w:rPr>
          <w:rFonts w:asciiTheme="minorHAnsi" w:hAnsiTheme="minorHAnsi" w:cstheme="minorHAnsi"/>
          <w:sz w:val="22"/>
          <w:szCs w:val="22"/>
        </w:rPr>
        <w:t xml:space="preserve"> and</w:t>
      </w:r>
      <w:r w:rsidR="00496BCE" w:rsidRPr="00C97895">
        <w:rPr>
          <w:rFonts w:asciiTheme="minorHAnsi" w:hAnsiTheme="minorHAnsi" w:cstheme="minorHAnsi"/>
          <w:sz w:val="22"/>
          <w:szCs w:val="22"/>
        </w:rPr>
        <w:t xml:space="preserve"> class solidarit</w:t>
      </w:r>
      <w:r w:rsidR="007B4D9A">
        <w:rPr>
          <w:rFonts w:asciiTheme="minorHAnsi" w:hAnsiTheme="minorHAnsi" w:cstheme="minorHAnsi"/>
          <w:sz w:val="22"/>
          <w:szCs w:val="22"/>
        </w:rPr>
        <w:t>ies</w:t>
      </w:r>
      <w:r w:rsidRPr="00C97895">
        <w:rPr>
          <w:rFonts w:asciiTheme="minorHAnsi" w:hAnsiTheme="minorHAnsi" w:cstheme="minorHAnsi"/>
          <w:sz w:val="22"/>
          <w:szCs w:val="22"/>
        </w:rPr>
        <w:t xml:space="preserve">. </w:t>
      </w:r>
    </w:p>
    <w:p w14:paraId="15F32847" w14:textId="2C5CFB98" w:rsidR="00496BCE" w:rsidRPr="00C97895" w:rsidRDefault="00496BCE" w:rsidP="00653DCE">
      <w:pPr>
        <w:rPr>
          <w:rFonts w:asciiTheme="minorHAnsi" w:hAnsiTheme="minorHAnsi" w:cstheme="minorHAnsi"/>
          <w:sz w:val="22"/>
          <w:szCs w:val="22"/>
        </w:rPr>
      </w:pPr>
    </w:p>
    <w:p w14:paraId="2133A78B" w14:textId="275778BF" w:rsidR="00A061E7" w:rsidRDefault="00496BCE" w:rsidP="00496BCE">
      <w:pPr>
        <w:rPr>
          <w:rFonts w:asciiTheme="minorHAnsi" w:hAnsiTheme="minorHAnsi" w:cstheme="minorHAnsi"/>
          <w:sz w:val="22"/>
          <w:szCs w:val="22"/>
        </w:rPr>
      </w:pPr>
      <w:r w:rsidRPr="00C97895">
        <w:rPr>
          <w:rFonts w:asciiTheme="minorHAnsi" w:hAnsiTheme="minorHAnsi" w:cstheme="minorHAnsi"/>
          <w:sz w:val="22"/>
          <w:szCs w:val="22"/>
        </w:rPr>
        <w:t>The decline in power of organised labour is a well-established f</w:t>
      </w:r>
      <w:r w:rsidR="00A36A28">
        <w:rPr>
          <w:rFonts w:asciiTheme="minorHAnsi" w:hAnsiTheme="minorHAnsi" w:cstheme="minorHAnsi"/>
          <w:sz w:val="22"/>
          <w:szCs w:val="22"/>
        </w:rPr>
        <w:t xml:space="preserve">eature of global labour market change and it has also been central </w:t>
      </w:r>
      <w:r w:rsidR="000B31A0">
        <w:rPr>
          <w:rFonts w:asciiTheme="minorHAnsi" w:hAnsiTheme="minorHAnsi" w:cstheme="minorHAnsi"/>
          <w:sz w:val="22"/>
          <w:szCs w:val="22"/>
        </w:rPr>
        <w:t>in</w:t>
      </w:r>
      <w:r w:rsidRPr="00C97895">
        <w:rPr>
          <w:rFonts w:asciiTheme="minorHAnsi" w:hAnsiTheme="minorHAnsi" w:cstheme="minorHAnsi"/>
          <w:sz w:val="22"/>
          <w:szCs w:val="22"/>
        </w:rPr>
        <w:t xml:space="preserve"> the success of the strategy of austerity</w:t>
      </w:r>
      <w:r w:rsidR="00A36A28">
        <w:rPr>
          <w:rFonts w:asciiTheme="minorHAnsi" w:hAnsiTheme="minorHAnsi" w:cstheme="minorHAnsi"/>
          <w:sz w:val="22"/>
          <w:szCs w:val="22"/>
        </w:rPr>
        <w:t>.</w:t>
      </w:r>
      <w:r w:rsidR="00A9234D">
        <w:rPr>
          <w:rFonts w:asciiTheme="minorHAnsi" w:hAnsiTheme="minorHAnsi" w:cstheme="minorHAnsi"/>
          <w:sz w:val="22"/>
          <w:szCs w:val="22"/>
        </w:rPr>
        <w:t xml:space="preserve"> </w:t>
      </w:r>
      <w:r w:rsidR="009B7324">
        <w:rPr>
          <w:rFonts w:asciiTheme="minorHAnsi" w:hAnsiTheme="minorHAnsi" w:cstheme="minorHAnsi"/>
          <w:sz w:val="22"/>
          <w:szCs w:val="22"/>
        </w:rPr>
        <w:t>Data on world union density change 2006-16 (</w:t>
      </w:r>
      <w:r w:rsidR="009B7324" w:rsidRPr="009B7324">
        <w:rPr>
          <w:rFonts w:asciiTheme="minorHAnsi" w:hAnsiTheme="minorHAnsi" w:cstheme="minorHAnsi"/>
          <w:color w:val="000000" w:themeColor="text1"/>
          <w:sz w:val="22"/>
          <w:szCs w:val="22"/>
          <w:shd w:val="clear" w:color="auto" w:fill="FFFFFF"/>
          <w:lang w:eastAsia="en-US"/>
        </w:rPr>
        <w:t>ILO</w:t>
      </w:r>
      <w:r w:rsidR="009B7324" w:rsidRPr="009B7324">
        <w:rPr>
          <w:rFonts w:asciiTheme="minorHAnsi" w:hAnsiTheme="minorHAnsi" w:cstheme="minorHAnsi"/>
          <w:color w:val="000000" w:themeColor="text1"/>
          <w:sz w:val="22"/>
          <w:szCs w:val="22"/>
          <w:shd w:val="clear" w:color="auto" w:fill="FFFFFF"/>
          <w:lang w:eastAsia="en-US"/>
        </w:rPr>
        <w:t xml:space="preserve">, </w:t>
      </w:r>
      <w:r w:rsidR="009B7324" w:rsidRPr="009B7324">
        <w:rPr>
          <w:rFonts w:asciiTheme="minorHAnsi" w:hAnsiTheme="minorHAnsi" w:cstheme="minorHAnsi"/>
          <w:color w:val="000000" w:themeColor="text1"/>
          <w:sz w:val="22"/>
          <w:szCs w:val="22"/>
          <w:shd w:val="clear" w:color="auto" w:fill="FFFFFF"/>
          <w:lang w:eastAsia="en-US"/>
        </w:rPr>
        <w:t>2018</w:t>
      </w:r>
      <w:r w:rsidR="009B7324" w:rsidRPr="009B7324">
        <w:rPr>
          <w:rFonts w:asciiTheme="minorHAnsi" w:hAnsiTheme="minorHAnsi" w:cstheme="minorHAnsi"/>
          <w:color w:val="000000" w:themeColor="text1"/>
          <w:sz w:val="22"/>
          <w:szCs w:val="22"/>
          <w:shd w:val="clear" w:color="auto" w:fill="FFFFFF"/>
          <w:lang w:eastAsia="en-US"/>
        </w:rPr>
        <w:t>: 25</w:t>
      </w:r>
      <w:r w:rsidR="009B7324" w:rsidRPr="009B7324">
        <w:rPr>
          <w:rFonts w:asciiTheme="minorHAnsi" w:hAnsiTheme="minorHAnsi" w:cstheme="minorHAnsi"/>
          <w:color w:val="000000" w:themeColor="text1"/>
          <w:sz w:val="22"/>
          <w:szCs w:val="22"/>
          <w:shd w:val="clear" w:color="auto" w:fill="FFFFFF"/>
          <w:lang w:eastAsia="en-US"/>
        </w:rPr>
        <w:t xml:space="preserve"> Figure 1.4</w:t>
      </w:r>
      <w:r w:rsidR="009B7324" w:rsidRPr="009B7324">
        <w:rPr>
          <w:rFonts w:asciiTheme="minorHAnsi" w:hAnsiTheme="minorHAnsi" w:cstheme="minorHAnsi"/>
          <w:color w:val="000000" w:themeColor="text1"/>
          <w:sz w:val="22"/>
          <w:szCs w:val="22"/>
          <w:shd w:val="clear" w:color="auto" w:fill="FFFFFF"/>
          <w:lang w:eastAsia="en-US"/>
        </w:rPr>
        <w:t>)</w:t>
      </w:r>
      <w:r w:rsidR="009B7324" w:rsidRPr="009B7324">
        <w:rPr>
          <w:rFonts w:asciiTheme="minorHAnsi" w:hAnsiTheme="minorHAnsi" w:cstheme="minorHAnsi"/>
          <w:color w:val="000000" w:themeColor="text1"/>
          <w:sz w:val="22"/>
          <w:szCs w:val="22"/>
          <w:shd w:val="clear" w:color="auto" w:fill="FFFFFF"/>
          <w:lang w:eastAsia="en-US"/>
        </w:rPr>
        <w:t xml:space="preserve"> </w:t>
      </w:r>
      <w:r w:rsidR="009B7324">
        <w:rPr>
          <w:rFonts w:asciiTheme="minorHAnsi" w:hAnsiTheme="minorHAnsi" w:cstheme="minorHAnsi"/>
          <w:color w:val="000000" w:themeColor="text1"/>
          <w:sz w:val="22"/>
          <w:szCs w:val="22"/>
          <w:shd w:val="clear" w:color="auto" w:fill="FFFFFF"/>
          <w:lang w:eastAsia="en-US"/>
        </w:rPr>
        <w:t xml:space="preserve">indicate declines in most </w:t>
      </w:r>
      <w:proofErr w:type="gramStart"/>
      <w:r w:rsidR="009B7324">
        <w:rPr>
          <w:rFonts w:asciiTheme="minorHAnsi" w:hAnsiTheme="minorHAnsi" w:cstheme="minorHAnsi"/>
          <w:color w:val="000000" w:themeColor="text1"/>
          <w:sz w:val="22"/>
          <w:szCs w:val="22"/>
          <w:shd w:val="clear" w:color="auto" w:fill="FFFFFF"/>
          <w:lang w:eastAsia="en-US"/>
        </w:rPr>
        <w:t>high income</w:t>
      </w:r>
      <w:proofErr w:type="gramEnd"/>
      <w:r w:rsidR="009B7324">
        <w:rPr>
          <w:rFonts w:asciiTheme="minorHAnsi" w:hAnsiTheme="minorHAnsi" w:cstheme="minorHAnsi"/>
          <w:color w:val="000000" w:themeColor="text1"/>
          <w:sz w:val="22"/>
          <w:szCs w:val="22"/>
          <w:shd w:val="clear" w:color="auto" w:fill="FFFFFF"/>
          <w:lang w:eastAsia="en-US"/>
        </w:rPr>
        <w:t xml:space="preserve"> countries</w:t>
      </w:r>
      <w:r w:rsidR="009B7324">
        <w:rPr>
          <w:rStyle w:val="EndnoteReference"/>
          <w:rFonts w:asciiTheme="minorHAnsi" w:hAnsiTheme="minorHAnsi" w:cstheme="minorHAnsi"/>
          <w:color w:val="000000" w:themeColor="text1"/>
          <w:sz w:val="22"/>
          <w:szCs w:val="22"/>
          <w:shd w:val="clear" w:color="auto" w:fill="FFFFFF"/>
          <w:lang w:eastAsia="en-US"/>
        </w:rPr>
        <w:endnoteReference w:id="1"/>
      </w:r>
      <w:r w:rsidR="009B7324">
        <w:rPr>
          <w:rFonts w:asciiTheme="minorHAnsi" w:hAnsiTheme="minorHAnsi" w:cstheme="minorHAnsi"/>
          <w:color w:val="000000" w:themeColor="text1"/>
          <w:sz w:val="22"/>
          <w:szCs w:val="22"/>
          <w:shd w:val="clear" w:color="auto" w:fill="FFFFFF"/>
          <w:lang w:eastAsia="en-US"/>
        </w:rPr>
        <w:t xml:space="preserve"> and regionally, </w:t>
      </w:r>
      <w:r w:rsidR="004E3E6D">
        <w:rPr>
          <w:rFonts w:asciiTheme="minorHAnsi" w:hAnsiTheme="minorHAnsi" w:cstheme="minorHAnsi"/>
          <w:color w:val="000000" w:themeColor="text1"/>
          <w:sz w:val="22"/>
          <w:szCs w:val="22"/>
          <w:shd w:val="clear" w:color="auto" w:fill="FFFFFF"/>
          <w:lang w:eastAsia="en-US"/>
        </w:rPr>
        <w:t xml:space="preserve">a </w:t>
      </w:r>
      <w:r w:rsidR="009B7324">
        <w:rPr>
          <w:rFonts w:asciiTheme="minorHAnsi" w:hAnsiTheme="minorHAnsi" w:cstheme="minorHAnsi"/>
          <w:color w:val="000000" w:themeColor="text1"/>
          <w:sz w:val="22"/>
          <w:szCs w:val="22"/>
          <w:shd w:val="clear" w:color="auto" w:fill="FFFFFF"/>
          <w:lang w:eastAsia="en-US"/>
        </w:rPr>
        <w:t xml:space="preserve">noticeable increase only in low and middle </w:t>
      </w:r>
      <w:proofErr w:type="spellStart"/>
      <w:r w:rsidR="009B7324">
        <w:rPr>
          <w:rFonts w:asciiTheme="minorHAnsi" w:hAnsiTheme="minorHAnsi" w:cstheme="minorHAnsi"/>
          <w:color w:val="000000" w:themeColor="text1"/>
          <w:sz w:val="22"/>
          <w:szCs w:val="22"/>
          <w:shd w:val="clear" w:color="auto" w:fill="FFFFFF"/>
          <w:lang w:eastAsia="en-US"/>
        </w:rPr>
        <w:t>countries</w:t>
      </w:r>
      <w:proofErr w:type="spellEnd"/>
      <w:r w:rsidR="009B7324">
        <w:rPr>
          <w:rFonts w:asciiTheme="minorHAnsi" w:hAnsiTheme="minorHAnsi" w:cstheme="minorHAnsi"/>
          <w:color w:val="000000" w:themeColor="text1"/>
          <w:sz w:val="22"/>
          <w:szCs w:val="22"/>
          <w:shd w:val="clear" w:color="auto" w:fill="FFFFFF"/>
          <w:lang w:eastAsia="en-US"/>
        </w:rPr>
        <w:t xml:space="preserve"> in Latin America. </w:t>
      </w:r>
      <w:r w:rsidR="000B31A0">
        <w:rPr>
          <w:rFonts w:asciiTheme="minorHAnsi" w:hAnsiTheme="minorHAnsi" w:cstheme="minorHAnsi"/>
          <w:sz w:val="22"/>
          <w:szCs w:val="22"/>
        </w:rPr>
        <w:t xml:space="preserve">The contraction of the public sector workforce is </w:t>
      </w:r>
      <w:r w:rsidR="00CC5844">
        <w:rPr>
          <w:rFonts w:asciiTheme="minorHAnsi" w:hAnsiTheme="minorHAnsi" w:cstheme="minorHAnsi"/>
          <w:sz w:val="22"/>
          <w:szCs w:val="22"/>
        </w:rPr>
        <w:t xml:space="preserve">particularly significant </w:t>
      </w:r>
      <w:r w:rsidR="000B31A0">
        <w:rPr>
          <w:rFonts w:asciiTheme="minorHAnsi" w:hAnsiTheme="minorHAnsi" w:cstheme="minorHAnsi"/>
          <w:sz w:val="22"/>
          <w:szCs w:val="22"/>
        </w:rPr>
        <w:t>since these workers have an individual</w:t>
      </w:r>
      <w:r w:rsidR="00931228">
        <w:rPr>
          <w:rFonts w:asciiTheme="minorHAnsi" w:hAnsiTheme="minorHAnsi" w:cstheme="minorHAnsi"/>
          <w:sz w:val="22"/>
          <w:szCs w:val="22"/>
        </w:rPr>
        <w:t>,</w:t>
      </w:r>
      <w:r w:rsidR="000B31A0">
        <w:rPr>
          <w:rFonts w:asciiTheme="minorHAnsi" w:hAnsiTheme="minorHAnsi" w:cstheme="minorHAnsi"/>
          <w:sz w:val="22"/>
          <w:szCs w:val="22"/>
        </w:rPr>
        <w:t xml:space="preserve"> as well as a collective interest in resisting change (</w:t>
      </w:r>
      <w:proofErr w:type="spellStart"/>
      <w:r w:rsidR="000B31A0">
        <w:rPr>
          <w:rFonts w:asciiTheme="minorHAnsi" w:hAnsiTheme="minorHAnsi" w:cstheme="minorHAnsi"/>
          <w:sz w:val="22"/>
          <w:szCs w:val="22"/>
        </w:rPr>
        <w:t>cf</w:t>
      </w:r>
      <w:proofErr w:type="spellEnd"/>
      <w:r w:rsidR="000B31A0">
        <w:rPr>
          <w:rFonts w:asciiTheme="minorHAnsi" w:hAnsiTheme="minorHAnsi" w:cstheme="minorHAnsi"/>
          <w:sz w:val="22"/>
          <w:szCs w:val="22"/>
        </w:rPr>
        <w:t xml:space="preserve"> Pierson, 1994)</w:t>
      </w:r>
      <w:r w:rsidR="00CC5844">
        <w:rPr>
          <w:rFonts w:asciiTheme="minorHAnsi" w:hAnsiTheme="minorHAnsi" w:cstheme="minorHAnsi"/>
          <w:sz w:val="22"/>
          <w:szCs w:val="22"/>
        </w:rPr>
        <w:t>.</w:t>
      </w:r>
      <w:r w:rsidR="00931228">
        <w:rPr>
          <w:rFonts w:asciiTheme="minorHAnsi" w:hAnsiTheme="minorHAnsi" w:cstheme="minorHAnsi"/>
          <w:sz w:val="22"/>
          <w:szCs w:val="22"/>
        </w:rPr>
        <w:t xml:space="preserve"> </w:t>
      </w:r>
      <w:r w:rsidR="00CC5844">
        <w:rPr>
          <w:rFonts w:asciiTheme="minorHAnsi" w:hAnsiTheme="minorHAnsi" w:cstheme="minorHAnsi"/>
          <w:sz w:val="22"/>
          <w:szCs w:val="22"/>
        </w:rPr>
        <w:t>I</w:t>
      </w:r>
      <w:r w:rsidR="00931228">
        <w:rPr>
          <w:rFonts w:asciiTheme="minorHAnsi" w:hAnsiTheme="minorHAnsi" w:cstheme="minorHAnsi"/>
          <w:sz w:val="22"/>
          <w:szCs w:val="22"/>
        </w:rPr>
        <w:t>n the UK over half of public sector workers are union members compared to only 13.2 per cent of private sector employees (BEIS, 2019)</w:t>
      </w:r>
      <w:r w:rsidR="000B31A0">
        <w:rPr>
          <w:rFonts w:asciiTheme="minorHAnsi" w:hAnsiTheme="minorHAnsi" w:cstheme="minorHAnsi"/>
          <w:sz w:val="22"/>
          <w:szCs w:val="22"/>
        </w:rPr>
        <w:t>. With an underlying assumption that either the private sector or individuals themselves would crowd-in to make up the slack in support and service provision</w:t>
      </w:r>
      <w:r w:rsidR="00931228">
        <w:rPr>
          <w:rFonts w:asciiTheme="minorHAnsi" w:hAnsiTheme="minorHAnsi" w:cstheme="minorHAnsi"/>
          <w:sz w:val="22"/>
          <w:szCs w:val="22"/>
        </w:rPr>
        <w:t xml:space="preserve">, public sector employment has long been a target for reform </w:t>
      </w:r>
      <w:r w:rsidR="00043E29">
        <w:rPr>
          <w:rFonts w:asciiTheme="minorHAnsi" w:hAnsiTheme="minorHAnsi" w:cstheme="minorHAnsi"/>
          <w:sz w:val="22"/>
          <w:szCs w:val="22"/>
        </w:rPr>
        <w:t>through</w:t>
      </w:r>
      <w:r w:rsidR="00931228">
        <w:rPr>
          <w:rFonts w:asciiTheme="minorHAnsi" w:hAnsiTheme="minorHAnsi" w:cstheme="minorHAnsi"/>
          <w:sz w:val="22"/>
          <w:szCs w:val="22"/>
        </w:rPr>
        <w:t xml:space="preserve"> austerity’s pre-cursor Structural Adjustment Programmes imposed by the World Bank</w:t>
      </w:r>
      <w:r w:rsidR="00043E29">
        <w:rPr>
          <w:rFonts w:asciiTheme="minorHAnsi" w:hAnsiTheme="minorHAnsi" w:cstheme="minorHAnsi"/>
          <w:sz w:val="22"/>
          <w:szCs w:val="22"/>
        </w:rPr>
        <w:t xml:space="preserve"> in the global South</w:t>
      </w:r>
      <w:r w:rsidR="000B31A0">
        <w:rPr>
          <w:rFonts w:asciiTheme="minorHAnsi" w:hAnsiTheme="minorHAnsi" w:cstheme="minorHAnsi"/>
          <w:sz w:val="22"/>
          <w:szCs w:val="22"/>
        </w:rPr>
        <w:t xml:space="preserve">. </w:t>
      </w:r>
      <w:r w:rsidR="000568E8">
        <w:rPr>
          <w:rFonts w:asciiTheme="minorHAnsi" w:hAnsiTheme="minorHAnsi" w:cstheme="minorHAnsi"/>
          <w:sz w:val="22"/>
          <w:szCs w:val="22"/>
        </w:rPr>
        <w:t xml:space="preserve">Although problematic to measure, OECD data indicate that </w:t>
      </w:r>
      <w:r w:rsidR="0053054A">
        <w:rPr>
          <w:rFonts w:asciiTheme="minorHAnsi" w:hAnsiTheme="minorHAnsi" w:cstheme="minorHAnsi"/>
          <w:sz w:val="22"/>
          <w:szCs w:val="22"/>
        </w:rPr>
        <w:t>while</w:t>
      </w:r>
      <w:r w:rsidR="000568E8">
        <w:rPr>
          <w:rFonts w:asciiTheme="minorHAnsi" w:hAnsiTheme="minorHAnsi" w:cstheme="minorHAnsi"/>
          <w:sz w:val="22"/>
          <w:szCs w:val="22"/>
        </w:rPr>
        <w:t xml:space="preserve"> on average government </w:t>
      </w:r>
      <w:r w:rsidR="00931228">
        <w:rPr>
          <w:rFonts w:asciiTheme="minorHAnsi" w:hAnsiTheme="minorHAnsi" w:cstheme="minorHAnsi"/>
          <w:sz w:val="22"/>
          <w:szCs w:val="22"/>
        </w:rPr>
        <w:t xml:space="preserve">employment </w:t>
      </w:r>
      <w:r w:rsidR="000568E8">
        <w:rPr>
          <w:rFonts w:asciiTheme="minorHAnsi" w:hAnsiTheme="minorHAnsi" w:cstheme="minorHAnsi"/>
          <w:sz w:val="22"/>
          <w:szCs w:val="22"/>
        </w:rPr>
        <w:t>is reported as ‘stable’ over time (OECD, 2019</w:t>
      </w:r>
      <w:r w:rsidR="00621E95">
        <w:rPr>
          <w:rFonts w:asciiTheme="minorHAnsi" w:hAnsiTheme="minorHAnsi" w:cstheme="minorHAnsi"/>
          <w:sz w:val="22"/>
          <w:szCs w:val="22"/>
        </w:rPr>
        <w:t>c</w:t>
      </w:r>
      <w:r w:rsidR="000568E8">
        <w:rPr>
          <w:rFonts w:asciiTheme="minorHAnsi" w:hAnsiTheme="minorHAnsi" w:cstheme="minorHAnsi"/>
          <w:sz w:val="22"/>
          <w:szCs w:val="22"/>
        </w:rPr>
        <w:t>) it decreased in the majority of OECD countries between 2009-17</w:t>
      </w:r>
      <w:r w:rsidR="00043E29">
        <w:rPr>
          <w:rFonts w:asciiTheme="minorHAnsi" w:hAnsiTheme="minorHAnsi" w:cstheme="minorHAnsi"/>
          <w:sz w:val="22"/>
          <w:szCs w:val="22"/>
        </w:rPr>
        <w:t>, even allowing for those with missing data</w:t>
      </w:r>
      <w:r w:rsidR="009B7324">
        <w:rPr>
          <w:rFonts w:asciiTheme="minorHAnsi" w:hAnsiTheme="minorHAnsi" w:cstheme="minorHAnsi"/>
          <w:sz w:val="22"/>
          <w:szCs w:val="22"/>
        </w:rPr>
        <w:t xml:space="preserve">. </w:t>
      </w:r>
      <w:r w:rsidR="007B4D9A">
        <w:rPr>
          <w:rFonts w:asciiTheme="minorHAnsi" w:hAnsiTheme="minorHAnsi" w:cstheme="minorHAnsi"/>
          <w:sz w:val="22"/>
          <w:szCs w:val="22"/>
        </w:rPr>
        <w:t xml:space="preserve">Reducing public sector employment both further diminishes collective strength, but also the implicit opportunities for building solidarities in other ways (see for example Laird (2017) on the effects on race inequalities). </w:t>
      </w:r>
    </w:p>
    <w:p w14:paraId="48B87C72" w14:textId="03C13047" w:rsidR="0007232E" w:rsidRPr="0007232E" w:rsidRDefault="0007232E" w:rsidP="0007232E">
      <w:pPr>
        <w:jc w:val="both"/>
        <w:rPr>
          <w:rFonts w:asciiTheme="minorHAnsi" w:hAnsiTheme="minorHAnsi" w:cstheme="minorHAnsi"/>
          <w:color w:val="000000" w:themeColor="text1"/>
          <w:sz w:val="22"/>
          <w:szCs w:val="22"/>
          <w:shd w:val="clear" w:color="auto" w:fill="FFFFFF"/>
          <w:lang w:eastAsia="en-US"/>
        </w:rPr>
      </w:pPr>
    </w:p>
    <w:p w14:paraId="5BDB0C96" w14:textId="600E6722" w:rsidR="00C0740B" w:rsidRPr="00C0740B" w:rsidRDefault="007B4D9A" w:rsidP="0015314E">
      <w:pPr>
        <w:rPr>
          <w:rFonts w:asciiTheme="minorHAnsi" w:hAnsiTheme="minorHAnsi" w:cstheme="minorHAnsi"/>
          <w:color w:val="000000" w:themeColor="text1"/>
          <w:sz w:val="22"/>
          <w:szCs w:val="22"/>
        </w:rPr>
      </w:pPr>
      <w:r>
        <w:rPr>
          <w:rFonts w:asciiTheme="minorHAnsi" w:hAnsiTheme="minorHAnsi" w:cstheme="minorHAnsi"/>
          <w:sz w:val="22"/>
          <w:szCs w:val="22"/>
        </w:rPr>
        <w:t xml:space="preserve">Shaping economies so that a more atomised labour force is desirable for employers and less costly for states has not, to date, resulted in the rise of a transformative precariat </w:t>
      </w:r>
      <w:r w:rsidRPr="0063540D">
        <w:rPr>
          <w:rFonts w:asciiTheme="minorHAnsi" w:hAnsiTheme="minorHAnsi" w:cstheme="minorHAnsi"/>
          <w:color w:val="000000" w:themeColor="text1"/>
          <w:sz w:val="22"/>
          <w:szCs w:val="22"/>
        </w:rPr>
        <w:t xml:space="preserve">class </w:t>
      </w:r>
      <w:r>
        <w:rPr>
          <w:rFonts w:asciiTheme="minorHAnsi" w:hAnsiTheme="minorHAnsi" w:cstheme="minorHAnsi"/>
          <w:sz w:val="22"/>
          <w:szCs w:val="22"/>
        </w:rPr>
        <w:t>because intra-class solidarities depend on the recognition of shared interests</w:t>
      </w:r>
      <w:r w:rsidR="00906281">
        <w:rPr>
          <w:rFonts w:asciiTheme="minorHAnsi" w:hAnsiTheme="minorHAnsi" w:cstheme="minorHAnsi"/>
          <w:sz w:val="22"/>
          <w:szCs w:val="22"/>
        </w:rPr>
        <w:t xml:space="preserve"> and the space to consolidate them</w:t>
      </w:r>
      <w:r>
        <w:rPr>
          <w:rFonts w:asciiTheme="minorHAnsi" w:hAnsiTheme="minorHAnsi" w:cstheme="minorHAnsi"/>
          <w:sz w:val="22"/>
          <w:szCs w:val="22"/>
        </w:rPr>
        <w:t xml:space="preserve">. </w:t>
      </w:r>
      <w:r w:rsidR="00906281">
        <w:rPr>
          <w:rFonts w:asciiTheme="minorHAnsi" w:hAnsiTheme="minorHAnsi" w:cstheme="minorHAnsi"/>
          <w:sz w:val="22"/>
          <w:szCs w:val="22"/>
        </w:rPr>
        <w:t xml:space="preserve">In the absence of a </w:t>
      </w:r>
      <w:r w:rsidR="0063540D">
        <w:rPr>
          <w:rFonts w:asciiTheme="minorHAnsi" w:hAnsiTheme="minorHAnsi" w:cstheme="minorHAnsi"/>
          <w:sz w:val="22"/>
          <w:szCs w:val="22"/>
        </w:rPr>
        <w:t>precariat ‘</w:t>
      </w:r>
      <w:r w:rsidR="00906281">
        <w:rPr>
          <w:rFonts w:asciiTheme="minorHAnsi" w:hAnsiTheme="minorHAnsi" w:cstheme="minorHAnsi"/>
          <w:sz w:val="22"/>
          <w:szCs w:val="22"/>
        </w:rPr>
        <w:t>class</w:t>
      </w:r>
      <w:r w:rsidR="0063540D">
        <w:rPr>
          <w:rFonts w:asciiTheme="minorHAnsi" w:hAnsiTheme="minorHAnsi" w:cstheme="minorHAnsi"/>
          <w:sz w:val="22"/>
          <w:szCs w:val="22"/>
        </w:rPr>
        <w:t>-for-itself’</w:t>
      </w:r>
      <w:r w:rsidR="00DC5229">
        <w:rPr>
          <w:rFonts w:asciiTheme="minorHAnsi" w:hAnsiTheme="minorHAnsi" w:cstheme="minorHAnsi"/>
          <w:sz w:val="22"/>
          <w:szCs w:val="22"/>
        </w:rPr>
        <w:t xml:space="preserve"> </w:t>
      </w:r>
      <w:r w:rsidR="0063540D" w:rsidRPr="0063540D">
        <w:rPr>
          <w:rFonts w:asciiTheme="minorHAnsi" w:hAnsiTheme="minorHAnsi" w:cstheme="minorHAnsi"/>
          <w:color w:val="000000" w:themeColor="text1"/>
          <w:sz w:val="22"/>
          <w:szCs w:val="22"/>
        </w:rPr>
        <w:t>(Standing, 2014)</w:t>
      </w:r>
      <w:r w:rsidR="00906281">
        <w:rPr>
          <w:rFonts w:asciiTheme="minorHAnsi" w:hAnsiTheme="minorHAnsi" w:cstheme="minorHAnsi"/>
          <w:sz w:val="22"/>
          <w:szCs w:val="22"/>
        </w:rPr>
        <w:t xml:space="preserve">, </w:t>
      </w:r>
      <w:r w:rsidR="00C0740B" w:rsidRPr="00C0740B">
        <w:rPr>
          <w:rFonts w:asciiTheme="minorHAnsi" w:hAnsiTheme="minorHAnsi" w:cstheme="minorHAnsi"/>
          <w:color w:val="000000" w:themeColor="text1"/>
          <w:sz w:val="22"/>
          <w:szCs w:val="22"/>
        </w:rPr>
        <w:t>m</w:t>
      </w:r>
      <w:r w:rsidR="00024B16" w:rsidRPr="00C0740B">
        <w:rPr>
          <w:rFonts w:asciiTheme="minorHAnsi" w:hAnsiTheme="minorHAnsi" w:cstheme="minorHAnsi"/>
          <w:color w:val="000000" w:themeColor="text1"/>
          <w:sz w:val="22"/>
          <w:szCs w:val="22"/>
        </w:rPr>
        <w:t xml:space="preserve">iddle class buy-in </w:t>
      </w:r>
      <w:r w:rsidR="00C0740B" w:rsidRPr="00C0740B">
        <w:rPr>
          <w:rFonts w:asciiTheme="minorHAnsi" w:hAnsiTheme="minorHAnsi" w:cstheme="minorHAnsi"/>
          <w:color w:val="000000" w:themeColor="text1"/>
          <w:sz w:val="22"/>
          <w:szCs w:val="22"/>
        </w:rPr>
        <w:t>remains</w:t>
      </w:r>
      <w:r w:rsidR="00024B16" w:rsidRPr="00C0740B">
        <w:rPr>
          <w:rFonts w:asciiTheme="minorHAnsi" w:hAnsiTheme="minorHAnsi" w:cstheme="minorHAnsi"/>
          <w:color w:val="000000" w:themeColor="text1"/>
          <w:sz w:val="22"/>
          <w:szCs w:val="22"/>
        </w:rPr>
        <w:t xml:space="preserve"> central to the integrative function of state welfare</w:t>
      </w:r>
      <w:r w:rsidR="0063540D">
        <w:rPr>
          <w:rFonts w:asciiTheme="minorHAnsi" w:hAnsiTheme="minorHAnsi" w:cstheme="minorHAnsi"/>
          <w:color w:val="000000" w:themeColor="text1"/>
          <w:sz w:val="22"/>
          <w:szCs w:val="22"/>
        </w:rPr>
        <w:t xml:space="preserve">. </w:t>
      </w:r>
      <w:r w:rsidR="00F01242" w:rsidRPr="00C0740B">
        <w:rPr>
          <w:rFonts w:asciiTheme="minorHAnsi" w:hAnsiTheme="minorHAnsi" w:cstheme="minorHAnsi"/>
          <w:color w:val="000000" w:themeColor="text1"/>
          <w:sz w:val="22"/>
          <w:szCs w:val="22"/>
        </w:rPr>
        <w:t xml:space="preserve">The welfare politics of the </w:t>
      </w:r>
      <w:proofErr w:type="gramStart"/>
      <w:r w:rsidR="00F01242" w:rsidRPr="00C0740B">
        <w:rPr>
          <w:rFonts w:asciiTheme="minorHAnsi" w:hAnsiTheme="minorHAnsi" w:cstheme="minorHAnsi"/>
          <w:color w:val="000000" w:themeColor="text1"/>
          <w:sz w:val="22"/>
          <w:szCs w:val="22"/>
        </w:rPr>
        <w:t>middle class</w:t>
      </w:r>
      <w:proofErr w:type="gramEnd"/>
      <w:r w:rsidR="00F01242" w:rsidRPr="00C0740B">
        <w:rPr>
          <w:rFonts w:asciiTheme="minorHAnsi" w:hAnsiTheme="minorHAnsi" w:cstheme="minorHAnsi"/>
          <w:color w:val="000000" w:themeColor="text1"/>
          <w:sz w:val="22"/>
          <w:szCs w:val="22"/>
        </w:rPr>
        <w:t xml:space="preserve"> matter because while it captures disproportionate benefits from the welfare state</w:t>
      </w:r>
      <w:r w:rsidR="00C0740B">
        <w:rPr>
          <w:rFonts w:asciiTheme="minorHAnsi" w:hAnsiTheme="minorHAnsi" w:cstheme="minorHAnsi"/>
          <w:color w:val="000000" w:themeColor="text1"/>
          <w:sz w:val="22"/>
          <w:szCs w:val="22"/>
        </w:rPr>
        <w:t>,</w:t>
      </w:r>
      <w:r w:rsidR="00F01242" w:rsidRPr="00C0740B">
        <w:rPr>
          <w:rFonts w:asciiTheme="minorHAnsi" w:hAnsiTheme="minorHAnsi" w:cstheme="minorHAnsi"/>
          <w:color w:val="000000" w:themeColor="text1"/>
          <w:sz w:val="22"/>
          <w:szCs w:val="22"/>
        </w:rPr>
        <w:t xml:space="preserve"> it also has power in voicing and securing demands for more and better public services, defending </w:t>
      </w:r>
      <w:r w:rsidR="00A07B85">
        <w:rPr>
          <w:rFonts w:asciiTheme="minorHAnsi" w:hAnsiTheme="minorHAnsi" w:cstheme="minorHAnsi"/>
          <w:color w:val="000000" w:themeColor="text1"/>
          <w:sz w:val="22"/>
          <w:szCs w:val="22"/>
        </w:rPr>
        <w:t xml:space="preserve">the scope and generosity of </w:t>
      </w:r>
      <w:r w:rsidR="00F01242" w:rsidRPr="00C0740B">
        <w:rPr>
          <w:rFonts w:asciiTheme="minorHAnsi" w:hAnsiTheme="minorHAnsi" w:cstheme="minorHAnsi"/>
          <w:color w:val="000000" w:themeColor="text1"/>
          <w:sz w:val="22"/>
          <w:szCs w:val="22"/>
        </w:rPr>
        <w:t xml:space="preserve">existing provisions and protecting universalism. </w:t>
      </w:r>
    </w:p>
    <w:p w14:paraId="03A3AE80" w14:textId="77777777" w:rsidR="00C0740B" w:rsidRDefault="00C0740B" w:rsidP="0015314E">
      <w:pPr>
        <w:rPr>
          <w:rFonts w:asciiTheme="minorHAnsi" w:hAnsiTheme="minorHAnsi" w:cstheme="minorHAnsi"/>
          <w:color w:val="FF0000"/>
          <w:sz w:val="22"/>
          <w:szCs w:val="22"/>
        </w:rPr>
      </w:pPr>
    </w:p>
    <w:p w14:paraId="160AE0E9" w14:textId="257A208C" w:rsidR="00F737C1" w:rsidRPr="00F12ED2" w:rsidRDefault="00F01242" w:rsidP="00F737C1">
      <w:pPr>
        <w:rPr>
          <w:rFonts w:asciiTheme="minorHAnsi" w:hAnsiTheme="minorHAnsi" w:cstheme="minorHAnsi"/>
          <w:color w:val="000000" w:themeColor="text1"/>
          <w:sz w:val="22"/>
          <w:szCs w:val="22"/>
        </w:rPr>
      </w:pPr>
      <w:r w:rsidRPr="00C0740B">
        <w:rPr>
          <w:rFonts w:asciiTheme="minorHAnsi" w:hAnsiTheme="minorHAnsi" w:cstheme="minorHAnsi"/>
          <w:color w:val="000000" w:themeColor="text1"/>
          <w:sz w:val="22"/>
          <w:szCs w:val="22"/>
        </w:rPr>
        <w:t>Globally, the middle class is growing but fragile in low income countries</w:t>
      </w:r>
      <w:r w:rsidR="005B5FC5" w:rsidRPr="00C0740B">
        <w:rPr>
          <w:rFonts w:asciiTheme="minorHAnsi" w:hAnsiTheme="minorHAnsi" w:cstheme="minorHAnsi"/>
          <w:color w:val="000000" w:themeColor="text1"/>
          <w:sz w:val="22"/>
          <w:szCs w:val="22"/>
        </w:rPr>
        <w:t xml:space="preserve">, and its fortunes generate significant policy interest </w:t>
      </w:r>
      <w:r w:rsidR="00B742A7" w:rsidRPr="00C0740B">
        <w:rPr>
          <w:rFonts w:asciiTheme="minorHAnsi" w:hAnsiTheme="minorHAnsi" w:cstheme="minorHAnsi"/>
          <w:color w:val="000000" w:themeColor="text1"/>
          <w:sz w:val="22"/>
          <w:szCs w:val="22"/>
        </w:rPr>
        <w:t xml:space="preserve">both amongst think tanks (e.g. </w:t>
      </w:r>
      <w:proofErr w:type="spellStart"/>
      <w:r w:rsidR="00B742A7" w:rsidRPr="00C0740B">
        <w:rPr>
          <w:rFonts w:asciiTheme="minorHAnsi" w:hAnsiTheme="minorHAnsi" w:cstheme="minorHAnsi"/>
          <w:color w:val="000000" w:themeColor="text1"/>
          <w:sz w:val="22"/>
          <w:szCs w:val="22"/>
        </w:rPr>
        <w:t>Kharas</w:t>
      </w:r>
      <w:proofErr w:type="spellEnd"/>
      <w:r w:rsidR="00B742A7" w:rsidRPr="00C0740B">
        <w:rPr>
          <w:rFonts w:asciiTheme="minorHAnsi" w:hAnsiTheme="minorHAnsi" w:cstheme="minorHAnsi"/>
          <w:color w:val="000000" w:themeColor="text1"/>
          <w:sz w:val="22"/>
          <w:szCs w:val="22"/>
        </w:rPr>
        <w:t xml:space="preserve"> and Hamel, 2018) and international organisations </w:t>
      </w:r>
      <w:r w:rsidR="005B5FC5" w:rsidRPr="00C0740B">
        <w:rPr>
          <w:rFonts w:asciiTheme="minorHAnsi" w:hAnsiTheme="minorHAnsi" w:cstheme="minorHAnsi"/>
          <w:color w:val="000000" w:themeColor="text1"/>
          <w:sz w:val="22"/>
          <w:szCs w:val="22"/>
        </w:rPr>
        <w:t>(</w:t>
      </w:r>
      <w:r w:rsidR="00B742A7" w:rsidRPr="00C0740B">
        <w:rPr>
          <w:rFonts w:asciiTheme="minorHAnsi" w:hAnsiTheme="minorHAnsi" w:cstheme="minorHAnsi"/>
          <w:color w:val="000000" w:themeColor="text1"/>
          <w:sz w:val="22"/>
          <w:szCs w:val="22"/>
        </w:rPr>
        <w:t>e.g. OECD, 2019</w:t>
      </w:r>
      <w:r w:rsidR="002B2217">
        <w:rPr>
          <w:rFonts w:asciiTheme="minorHAnsi" w:hAnsiTheme="minorHAnsi" w:cstheme="minorHAnsi"/>
          <w:color w:val="000000" w:themeColor="text1"/>
          <w:sz w:val="22"/>
          <w:szCs w:val="22"/>
        </w:rPr>
        <w:t>d</w:t>
      </w:r>
      <w:r w:rsidR="00B742A7" w:rsidRPr="00C0740B">
        <w:rPr>
          <w:rFonts w:asciiTheme="minorHAnsi" w:hAnsiTheme="minorHAnsi" w:cstheme="minorHAnsi"/>
          <w:color w:val="000000" w:themeColor="text1"/>
          <w:sz w:val="22"/>
          <w:szCs w:val="22"/>
        </w:rPr>
        <w:t>).</w:t>
      </w:r>
      <w:r w:rsidR="0015314E" w:rsidRPr="00C0740B">
        <w:rPr>
          <w:rFonts w:asciiTheme="minorHAnsi" w:hAnsiTheme="minorHAnsi" w:cstheme="minorHAnsi"/>
          <w:color w:val="000000" w:themeColor="text1"/>
          <w:sz w:val="22"/>
          <w:szCs w:val="22"/>
        </w:rPr>
        <w:t xml:space="preserve"> In advanced economies, as the OECD has noted, middle class economic power has weakened. Since 2010, the top 10% incomes have increased across the OECD countries while average median incomes have hardly changed (OECD, 2019</w:t>
      </w:r>
      <w:r w:rsidR="002B2217">
        <w:rPr>
          <w:rFonts w:asciiTheme="minorHAnsi" w:hAnsiTheme="minorHAnsi" w:cstheme="minorHAnsi"/>
          <w:color w:val="000000" w:themeColor="text1"/>
          <w:sz w:val="22"/>
          <w:szCs w:val="22"/>
        </w:rPr>
        <w:t>d</w:t>
      </w:r>
      <w:r w:rsidR="0015314E" w:rsidRPr="00C0740B">
        <w:rPr>
          <w:rFonts w:asciiTheme="minorHAnsi" w:hAnsiTheme="minorHAnsi" w:cstheme="minorHAnsi"/>
          <w:color w:val="000000" w:themeColor="text1"/>
          <w:sz w:val="22"/>
          <w:szCs w:val="22"/>
        </w:rPr>
        <w:t>, Figure 1.2). For those whose income status has deteriorated their weakening economic power will inevitably be accompanied by a weakening of political voice. For those whose status is maintained</w:t>
      </w:r>
      <w:r w:rsidR="00A07B85">
        <w:rPr>
          <w:rFonts w:asciiTheme="minorHAnsi" w:hAnsiTheme="minorHAnsi" w:cstheme="minorHAnsi"/>
          <w:color w:val="000000" w:themeColor="text1"/>
          <w:sz w:val="22"/>
          <w:szCs w:val="22"/>
        </w:rPr>
        <w:t xml:space="preserve"> or elevated to the top 10 per cent</w:t>
      </w:r>
      <w:r w:rsidR="0015314E" w:rsidRPr="00C0740B">
        <w:rPr>
          <w:rFonts w:asciiTheme="minorHAnsi" w:hAnsiTheme="minorHAnsi" w:cstheme="minorHAnsi"/>
          <w:color w:val="000000" w:themeColor="text1"/>
          <w:sz w:val="22"/>
          <w:szCs w:val="22"/>
        </w:rPr>
        <w:t xml:space="preserve">, opting out of reduced quality public welfare to pursue private options is </w:t>
      </w:r>
      <w:r w:rsidR="00053934">
        <w:rPr>
          <w:rFonts w:asciiTheme="minorHAnsi" w:hAnsiTheme="minorHAnsi" w:cstheme="minorHAnsi"/>
          <w:color w:val="000000" w:themeColor="text1"/>
          <w:sz w:val="22"/>
          <w:szCs w:val="22"/>
        </w:rPr>
        <w:t>more attractive</w:t>
      </w:r>
      <w:r w:rsidR="009B7324">
        <w:rPr>
          <w:rFonts w:asciiTheme="minorHAnsi" w:hAnsiTheme="minorHAnsi" w:cstheme="minorHAnsi"/>
          <w:color w:val="000000" w:themeColor="text1"/>
          <w:sz w:val="22"/>
          <w:szCs w:val="22"/>
        </w:rPr>
        <w:t>, especially where states encourage this through tax relief</w:t>
      </w:r>
      <w:r w:rsidR="00053934">
        <w:rPr>
          <w:rFonts w:asciiTheme="minorHAnsi" w:hAnsiTheme="minorHAnsi" w:cstheme="minorHAnsi"/>
          <w:color w:val="000000" w:themeColor="text1"/>
          <w:sz w:val="22"/>
          <w:szCs w:val="22"/>
        </w:rPr>
        <w:t>. Private health insurance is grow</w:t>
      </w:r>
      <w:r w:rsidR="0015314E" w:rsidRPr="00C0740B">
        <w:rPr>
          <w:rFonts w:asciiTheme="minorHAnsi" w:hAnsiTheme="minorHAnsi" w:cstheme="minorHAnsi"/>
          <w:color w:val="000000" w:themeColor="text1"/>
          <w:sz w:val="22"/>
          <w:szCs w:val="22"/>
        </w:rPr>
        <w:t xml:space="preserve">ing in </w:t>
      </w:r>
      <w:r w:rsidR="00053934">
        <w:rPr>
          <w:rFonts w:asciiTheme="minorHAnsi" w:hAnsiTheme="minorHAnsi" w:cstheme="minorHAnsi"/>
          <w:color w:val="000000" w:themeColor="text1"/>
          <w:sz w:val="22"/>
          <w:szCs w:val="22"/>
        </w:rPr>
        <w:t>Europe (</w:t>
      </w:r>
      <w:r w:rsidR="00F737C1">
        <w:rPr>
          <w:rFonts w:asciiTheme="minorHAnsi" w:hAnsiTheme="minorHAnsi" w:cstheme="minorHAnsi"/>
          <w:color w:val="000000" w:themeColor="text1"/>
          <w:sz w:val="22"/>
          <w:szCs w:val="22"/>
        </w:rPr>
        <w:t xml:space="preserve">Insurance Europe, </w:t>
      </w:r>
      <w:r w:rsidR="00053934">
        <w:rPr>
          <w:rFonts w:asciiTheme="minorHAnsi" w:hAnsiTheme="minorHAnsi" w:cstheme="minorHAnsi"/>
          <w:color w:val="000000" w:themeColor="text1"/>
          <w:sz w:val="22"/>
          <w:szCs w:val="22"/>
        </w:rPr>
        <w:t xml:space="preserve">2019) </w:t>
      </w:r>
      <w:r w:rsidR="0044591D">
        <w:rPr>
          <w:rFonts w:asciiTheme="minorHAnsi" w:hAnsiTheme="minorHAnsi" w:cstheme="minorHAnsi"/>
          <w:color w:val="000000" w:themeColor="text1"/>
          <w:sz w:val="22"/>
          <w:szCs w:val="22"/>
        </w:rPr>
        <w:t xml:space="preserve">and </w:t>
      </w:r>
      <w:r w:rsidR="00053934">
        <w:rPr>
          <w:rFonts w:asciiTheme="minorHAnsi" w:hAnsiTheme="minorHAnsi" w:cstheme="minorHAnsi"/>
          <w:color w:val="000000" w:themeColor="text1"/>
          <w:sz w:val="22"/>
          <w:szCs w:val="22"/>
        </w:rPr>
        <w:t xml:space="preserve">globally, </w:t>
      </w:r>
      <w:r w:rsidR="0044591D">
        <w:rPr>
          <w:rFonts w:asciiTheme="minorHAnsi" w:hAnsiTheme="minorHAnsi" w:cstheme="minorHAnsi"/>
          <w:color w:val="000000" w:themeColor="text1"/>
          <w:sz w:val="22"/>
          <w:szCs w:val="22"/>
        </w:rPr>
        <w:t>combines with transnational mobilities and international trade in services to distort national demands for service development</w:t>
      </w:r>
      <w:r w:rsidR="00C0740B" w:rsidRPr="0044591D">
        <w:rPr>
          <w:rFonts w:asciiTheme="minorHAnsi" w:hAnsiTheme="minorHAnsi" w:cstheme="minorHAnsi"/>
          <w:color w:val="000000" w:themeColor="text1"/>
          <w:sz w:val="22"/>
          <w:szCs w:val="22"/>
        </w:rPr>
        <w:t>.</w:t>
      </w:r>
      <w:r w:rsidR="0063540D" w:rsidRPr="0044591D">
        <w:rPr>
          <w:rFonts w:asciiTheme="minorHAnsi" w:hAnsiTheme="minorHAnsi" w:cstheme="minorHAnsi"/>
          <w:color w:val="000000" w:themeColor="text1"/>
          <w:sz w:val="22"/>
          <w:szCs w:val="22"/>
        </w:rPr>
        <w:t xml:space="preserve"> </w:t>
      </w:r>
      <w:r w:rsidR="00053934">
        <w:rPr>
          <w:rFonts w:asciiTheme="minorHAnsi" w:hAnsiTheme="minorHAnsi" w:cstheme="minorHAnsi"/>
          <w:color w:val="000000" w:themeColor="text1"/>
          <w:sz w:val="22"/>
          <w:szCs w:val="22"/>
        </w:rPr>
        <w:t>In the UK, growth in voluntary health insurance (VHI) 2010-14 was concentrated in the richest consumption quintile where nearly a quarter of households held VHI compared to 3.9 per cent in the poorest quintile (WHO, 2018</w:t>
      </w:r>
      <w:r w:rsidR="00F737C1">
        <w:rPr>
          <w:rFonts w:asciiTheme="minorHAnsi" w:hAnsiTheme="minorHAnsi" w:cstheme="minorHAnsi"/>
          <w:color w:val="000000" w:themeColor="text1"/>
          <w:sz w:val="22"/>
          <w:szCs w:val="22"/>
        </w:rPr>
        <w:t>:14</w:t>
      </w:r>
      <w:r w:rsidR="00053934">
        <w:rPr>
          <w:rFonts w:asciiTheme="minorHAnsi" w:hAnsiTheme="minorHAnsi" w:cstheme="minorHAnsi"/>
          <w:color w:val="000000" w:themeColor="text1"/>
          <w:sz w:val="22"/>
          <w:szCs w:val="22"/>
        </w:rPr>
        <w:t>)</w:t>
      </w:r>
      <w:r w:rsidR="00F737C1">
        <w:rPr>
          <w:rFonts w:asciiTheme="minorHAnsi" w:hAnsiTheme="minorHAnsi" w:cstheme="minorHAnsi"/>
          <w:color w:val="000000" w:themeColor="text1"/>
          <w:sz w:val="22"/>
          <w:szCs w:val="22"/>
        </w:rPr>
        <w:t xml:space="preserve">. </w:t>
      </w:r>
      <w:r w:rsidR="0044591D" w:rsidRPr="0044591D">
        <w:rPr>
          <w:rFonts w:asciiTheme="minorHAnsi" w:hAnsiTheme="minorHAnsi" w:cstheme="minorHAnsi"/>
          <w:color w:val="000000" w:themeColor="text1"/>
          <w:sz w:val="22"/>
          <w:szCs w:val="22"/>
        </w:rPr>
        <w:t>D</w:t>
      </w:r>
      <w:r w:rsidR="00785055" w:rsidRPr="0044591D">
        <w:rPr>
          <w:rFonts w:asciiTheme="minorHAnsi" w:hAnsiTheme="minorHAnsi" w:cstheme="minorHAnsi"/>
          <w:color w:val="000000" w:themeColor="text1"/>
          <w:sz w:val="22"/>
          <w:szCs w:val="22"/>
        </w:rPr>
        <w:t>efen</w:t>
      </w:r>
      <w:r w:rsidR="0044591D" w:rsidRPr="0044591D">
        <w:rPr>
          <w:rFonts w:asciiTheme="minorHAnsi" w:hAnsiTheme="minorHAnsi" w:cstheme="minorHAnsi"/>
          <w:color w:val="000000" w:themeColor="text1"/>
          <w:sz w:val="22"/>
          <w:szCs w:val="22"/>
        </w:rPr>
        <w:t>ding</w:t>
      </w:r>
      <w:r w:rsidR="00785055" w:rsidRPr="0044591D">
        <w:rPr>
          <w:rFonts w:asciiTheme="minorHAnsi" w:hAnsiTheme="minorHAnsi" w:cstheme="minorHAnsi"/>
          <w:color w:val="000000" w:themeColor="text1"/>
          <w:sz w:val="22"/>
          <w:szCs w:val="22"/>
        </w:rPr>
        <w:t xml:space="preserve"> middle-class advantage is </w:t>
      </w:r>
      <w:r w:rsidR="00785055" w:rsidRPr="001E0C1C">
        <w:rPr>
          <w:rFonts w:asciiTheme="minorHAnsi" w:hAnsiTheme="minorHAnsi" w:cstheme="minorHAnsi"/>
          <w:color w:val="000000" w:themeColor="text1"/>
          <w:sz w:val="22"/>
          <w:szCs w:val="22"/>
        </w:rPr>
        <w:t>problematic</w:t>
      </w:r>
      <w:r w:rsidR="00785055" w:rsidRPr="0044591D">
        <w:rPr>
          <w:rFonts w:asciiTheme="minorHAnsi" w:hAnsiTheme="minorHAnsi" w:cstheme="minorHAnsi"/>
          <w:color w:val="000000" w:themeColor="text1"/>
          <w:sz w:val="22"/>
          <w:szCs w:val="22"/>
        </w:rPr>
        <w:t xml:space="preserve">, but </w:t>
      </w:r>
      <w:r w:rsidR="0044591D">
        <w:rPr>
          <w:rFonts w:asciiTheme="minorHAnsi" w:hAnsiTheme="minorHAnsi" w:cstheme="minorHAnsi"/>
          <w:color w:val="000000" w:themeColor="text1"/>
          <w:sz w:val="22"/>
          <w:szCs w:val="22"/>
        </w:rPr>
        <w:t xml:space="preserve">deterring middle-class flight is essential for </w:t>
      </w:r>
      <w:r w:rsidR="0044591D" w:rsidRPr="0044591D">
        <w:rPr>
          <w:rFonts w:asciiTheme="minorHAnsi" w:hAnsiTheme="minorHAnsi" w:cstheme="minorHAnsi"/>
          <w:color w:val="000000" w:themeColor="text1"/>
          <w:sz w:val="22"/>
          <w:szCs w:val="22"/>
        </w:rPr>
        <w:t>successful welfare struggles</w:t>
      </w:r>
      <w:r w:rsidR="001E0C1C">
        <w:rPr>
          <w:rFonts w:asciiTheme="minorHAnsi" w:hAnsiTheme="minorHAnsi" w:cstheme="minorHAnsi"/>
          <w:color w:val="000000" w:themeColor="text1"/>
          <w:sz w:val="22"/>
          <w:szCs w:val="22"/>
        </w:rPr>
        <w:t xml:space="preserve"> (</w:t>
      </w:r>
      <w:proofErr w:type="spellStart"/>
      <w:r w:rsidR="001E0C1C">
        <w:rPr>
          <w:rFonts w:asciiTheme="minorHAnsi" w:hAnsiTheme="minorHAnsi" w:cstheme="minorHAnsi"/>
          <w:color w:val="000000" w:themeColor="text1"/>
          <w:sz w:val="22"/>
          <w:szCs w:val="22"/>
        </w:rPr>
        <w:t>Goodin</w:t>
      </w:r>
      <w:proofErr w:type="spellEnd"/>
      <w:r w:rsidR="001E0C1C">
        <w:rPr>
          <w:rFonts w:asciiTheme="minorHAnsi" w:hAnsiTheme="minorHAnsi" w:cstheme="minorHAnsi"/>
          <w:color w:val="000000" w:themeColor="text1"/>
          <w:sz w:val="22"/>
          <w:szCs w:val="22"/>
        </w:rPr>
        <w:t xml:space="preserve"> and LeGrand, 1987</w:t>
      </w:r>
      <w:r w:rsidR="001E0C1C" w:rsidRPr="00F12ED2">
        <w:rPr>
          <w:rFonts w:asciiTheme="minorHAnsi" w:hAnsiTheme="minorHAnsi" w:cstheme="minorHAnsi"/>
          <w:color w:val="000000" w:themeColor="text1"/>
          <w:sz w:val="22"/>
          <w:szCs w:val="22"/>
        </w:rPr>
        <w:t>)</w:t>
      </w:r>
      <w:r w:rsidR="0044591D" w:rsidRPr="00F12ED2">
        <w:rPr>
          <w:rFonts w:asciiTheme="minorHAnsi" w:hAnsiTheme="minorHAnsi" w:cstheme="minorHAnsi"/>
          <w:color w:val="000000" w:themeColor="text1"/>
          <w:sz w:val="22"/>
          <w:szCs w:val="22"/>
        </w:rPr>
        <w:t xml:space="preserve">. </w:t>
      </w:r>
      <w:r w:rsidR="00F737C1" w:rsidRPr="00F12ED2">
        <w:rPr>
          <w:rFonts w:asciiTheme="minorHAnsi" w:hAnsiTheme="minorHAnsi" w:cstheme="minorHAnsi"/>
          <w:color w:val="000000" w:themeColor="text1"/>
          <w:sz w:val="22"/>
          <w:szCs w:val="22"/>
        </w:rPr>
        <w:t>The significance of th</w:t>
      </w:r>
      <w:r w:rsidR="00F12ED2">
        <w:rPr>
          <w:rFonts w:asciiTheme="minorHAnsi" w:hAnsiTheme="minorHAnsi" w:cstheme="minorHAnsi"/>
          <w:color w:val="000000" w:themeColor="text1"/>
          <w:sz w:val="22"/>
          <w:szCs w:val="22"/>
        </w:rPr>
        <w:t>e</w:t>
      </w:r>
      <w:r w:rsidR="00F737C1" w:rsidRPr="00F12ED2">
        <w:rPr>
          <w:rFonts w:asciiTheme="minorHAnsi" w:hAnsiTheme="minorHAnsi" w:cstheme="minorHAnsi"/>
          <w:color w:val="000000" w:themeColor="text1"/>
          <w:sz w:val="22"/>
          <w:szCs w:val="22"/>
        </w:rPr>
        <w:t xml:space="preserve"> </w:t>
      </w:r>
      <w:r w:rsidR="00F12ED2">
        <w:rPr>
          <w:rFonts w:asciiTheme="minorHAnsi" w:hAnsiTheme="minorHAnsi" w:cstheme="minorHAnsi"/>
          <w:color w:val="000000" w:themeColor="text1"/>
          <w:sz w:val="22"/>
          <w:szCs w:val="22"/>
        </w:rPr>
        <w:t>political capacities noted here</w:t>
      </w:r>
      <w:r w:rsidR="00F737C1" w:rsidRPr="00F12ED2">
        <w:rPr>
          <w:rFonts w:asciiTheme="minorHAnsi" w:hAnsiTheme="minorHAnsi" w:cstheme="minorHAnsi"/>
          <w:color w:val="000000" w:themeColor="text1"/>
          <w:sz w:val="22"/>
          <w:szCs w:val="22"/>
        </w:rPr>
        <w:t xml:space="preserve"> is that they not only ‘override resistance’ (van </w:t>
      </w:r>
      <w:proofErr w:type="spellStart"/>
      <w:r w:rsidR="00F737C1" w:rsidRPr="00F12ED2">
        <w:rPr>
          <w:rFonts w:asciiTheme="minorHAnsi" w:hAnsiTheme="minorHAnsi" w:cstheme="minorHAnsi"/>
          <w:color w:val="000000" w:themeColor="text1"/>
          <w:sz w:val="22"/>
          <w:szCs w:val="22"/>
        </w:rPr>
        <w:t>Kersbergen</w:t>
      </w:r>
      <w:proofErr w:type="spellEnd"/>
      <w:r w:rsidR="00F737C1" w:rsidRPr="00F12ED2">
        <w:rPr>
          <w:rFonts w:asciiTheme="minorHAnsi" w:hAnsiTheme="minorHAnsi" w:cstheme="minorHAnsi"/>
          <w:color w:val="000000" w:themeColor="text1"/>
          <w:sz w:val="22"/>
          <w:szCs w:val="22"/>
        </w:rPr>
        <w:t>, 2000: 27) but also prevent future coalescence of interests.</w:t>
      </w:r>
      <w:r w:rsidR="00F12ED2">
        <w:rPr>
          <w:rFonts w:asciiTheme="minorHAnsi" w:hAnsiTheme="minorHAnsi" w:cstheme="minorHAnsi"/>
          <w:color w:val="000000" w:themeColor="text1"/>
          <w:sz w:val="22"/>
          <w:szCs w:val="22"/>
        </w:rPr>
        <w:t xml:space="preserve"> The shrinkage of opportunity for recognising and acting upon collective interests, a once immovable object of welfare state reform is the critical legacy of austerity.</w:t>
      </w:r>
    </w:p>
    <w:p w14:paraId="329E100F" w14:textId="77777777" w:rsidR="00982780" w:rsidRPr="00C97895" w:rsidRDefault="00982780" w:rsidP="00982780">
      <w:pPr>
        <w:rPr>
          <w:rFonts w:asciiTheme="minorHAnsi" w:hAnsiTheme="minorHAnsi" w:cstheme="minorHAnsi"/>
          <w:b/>
          <w:sz w:val="22"/>
          <w:szCs w:val="22"/>
        </w:rPr>
      </w:pPr>
    </w:p>
    <w:p w14:paraId="32266A50" w14:textId="77777777" w:rsidR="00982780" w:rsidRPr="00C97895" w:rsidRDefault="00982780" w:rsidP="00982780">
      <w:pPr>
        <w:rPr>
          <w:rFonts w:asciiTheme="minorHAnsi" w:hAnsiTheme="minorHAnsi" w:cstheme="minorHAnsi"/>
          <w:b/>
          <w:sz w:val="22"/>
          <w:szCs w:val="22"/>
        </w:rPr>
      </w:pPr>
    </w:p>
    <w:p w14:paraId="1806C3B6" w14:textId="18A64724" w:rsidR="00982780" w:rsidRPr="00C97895" w:rsidRDefault="0016761D" w:rsidP="00982780">
      <w:pPr>
        <w:rPr>
          <w:rFonts w:asciiTheme="minorHAnsi" w:hAnsiTheme="minorHAnsi" w:cstheme="minorHAnsi"/>
          <w:b/>
          <w:color w:val="000000" w:themeColor="text1"/>
          <w:sz w:val="22"/>
          <w:szCs w:val="22"/>
        </w:rPr>
      </w:pPr>
      <w:r w:rsidRPr="00C97895">
        <w:rPr>
          <w:rFonts w:asciiTheme="minorHAnsi" w:hAnsiTheme="minorHAnsi" w:cstheme="minorHAnsi"/>
          <w:b/>
          <w:color w:val="000000" w:themeColor="text1"/>
          <w:sz w:val="22"/>
          <w:szCs w:val="22"/>
        </w:rPr>
        <w:lastRenderedPageBreak/>
        <w:t>Conclusion</w:t>
      </w:r>
    </w:p>
    <w:p w14:paraId="6A830E76" w14:textId="40CEA9DF" w:rsidR="000D571F" w:rsidRPr="00C97895" w:rsidRDefault="000D571F" w:rsidP="00982780">
      <w:pPr>
        <w:rPr>
          <w:rFonts w:asciiTheme="minorHAnsi" w:hAnsiTheme="minorHAnsi" w:cstheme="minorHAnsi"/>
          <w:b/>
          <w:color w:val="4472C4" w:themeColor="accent1"/>
          <w:sz w:val="22"/>
          <w:szCs w:val="22"/>
        </w:rPr>
      </w:pPr>
    </w:p>
    <w:p w14:paraId="21706D54" w14:textId="7901820A" w:rsidR="00165472" w:rsidRPr="00C97895" w:rsidRDefault="00996D65" w:rsidP="00165472">
      <w:pPr>
        <w:rPr>
          <w:rFonts w:asciiTheme="minorHAnsi" w:hAnsiTheme="minorHAnsi" w:cstheme="minorHAnsi"/>
          <w:bCs/>
          <w:sz w:val="22"/>
          <w:szCs w:val="22"/>
        </w:rPr>
      </w:pPr>
      <w:r w:rsidRPr="00C97895">
        <w:rPr>
          <w:rFonts w:asciiTheme="minorHAnsi" w:hAnsiTheme="minorHAnsi" w:cstheme="minorHAnsi"/>
          <w:sz w:val="22"/>
          <w:szCs w:val="22"/>
        </w:rPr>
        <w:t xml:space="preserve">Austerity has been regarded as an acute problem for social policy, inflicting serious harm over a recognisable period, or as </w:t>
      </w:r>
      <w:r w:rsidR="00E015F2">
        <w:rPr>
          <w:rFonts w:asciiTheme="minorHAnsi" w:hAnsiTheme="minorHAnsi" w:cstheme="minorHAnsi"/>
          <w:sz w:val="22"/>
          <w:szCs w:val="22"/>
        </w:rPr>
        <w:t>a report for the Resolution Foundation (</w:t>
      </w:r>
      <w:r w:rsidRPr="00C97895">
        <w:rPr>
          <w:rFonts w:asciiTheme="minorHAnsi" w:hAnsiTheme="minorHAnsi" w:cstheme="minorHAnsi"/>
          <w:sz w:val="22"/>
          <w:szCs w:val="22"/>
        </w:rPr>
        <w:t>Whittaker</w:t>
      </w:r>
      <w:r w:rsidR="00E015F2">
        <w:rPr>
          <w:rFonts w:asciiTheme="minorHAnsi" w:hAnsiTheme="minorHAnsi" w:cstheme="minorHAnsi"/>
          <w:sz w:val="22"/>
          <w:szCs w:val="22"/>
        </w:rPr>
        <w:t xml:space="preserve">, </w:t>
      </w:r>
      <w:r w:rsidRPr="00C97895">
        <w:rPr>
          <w:rFonts w:asciiTheme="minorHAnsi" w:hAnsiTheme="minorHAnsi" w:cstheme="minorHAnsi"/>
          <w:sz w:val="22"/>
          <w:szCs w:val="22"/>
        </w:rPr>
        <w:t>2019</w:t>
      </w:r>
      <w:r w:rsidR="00E015F2">
        <w:rPr>
          <w:rFonts w:asciiTheme="minorHAnsi" w:hAnsiTheme="minorHAnsi" w:cstheme="minorHAnsi"/>
          <w:sz w:val="22"/>
          <w:szCs w:val="22"/>
        </w:rPr>
        <w:t>:</w:t>
      </w:r>
      <w:r w:rsidRPr="00C97895">
        <w:rPr>
          <w:rFonts w:asciiTheme="minorHAnsi" w:hAnsiTheme="minorHAnsi" w:cstheme="minorHAnsi"/>
          <w:sz w:val="22"/>
          <w:szCs w:val="22"/>
        </w:rPr>
        <w:t xml:space="preserve">43) understatedly observes ‘producing an unprecedentedly long pause in spending growth’. Contrary to </w:t>
      </w:r>
      <w:r w:rsidR="00E015F2">
        <w:rPr>
          <w:rFonts w:asciiTheme="minorHAnsi" w:hAnsiTheme="minorHAnsi" w:cstheme="minorHAnsi"/>
          <w:sz w:val="22"/>
          <w:szCs w:val="22"/>
        </w:rPr>
        <w:t>the report’s</w:t>
      </w:r>
      <w:r w:rsidRPr="00C97895">
        <w:rPr>
          <w:rFonts w:asciiTheme="minorHAnsi" w:hAnsiTheme="minorHAnsi" w:cstheme="minorHAnsi"/>
          <w:sz w:val="22"/>
          <w:szCs w:val="22"/>
        </w:rPr>
        <w:t xml:space="preserve"> conclusion however, the argument presented here is that austerity is not ‘now over’. </w:t>
      </w:r>
    </w:p>
    <w:p w14:paraId="1EF0FDFE" w14:textId="77777777" w:rsidR="00F62EAF" w:rsidRDefault="00E015F2" w:rsidP="00165472">
      <w:pPr>
        <w:rPr>
          <w:rFonts w:asciiTheme="minorHAnsi" w:hAnsiTheme="minorHAnsi" w:cstheme="minorHAnsi"/>
          <w:sz w:val="22"/>
          <w:szCs w:val="22"/>
        </w:rPr>
      </w:pPr>
      <w:r>
        <w:rPr>
          <w:rFonts w:asciiTheme="minorHAnsi" w:hAnsiTheme="minorHAnsi" w:cstheme="minorHAnsi"/>
          <w:sz w:val="22"/>
          <w:szCs w:val="22"/>
        </w:rPr>
        <w:t>Instead it has been argued that a</w:t>
      </w:r>
      <w:r w:rsidR="00AF4458" w:rsidRPr="00C97895">
        <w:rPr>
          <w:rFonts w:asciiTheme="minorHAnsi" w:hAnsiTheme="minorHAnsi" w:cstheme="minorHAnsi"/>
          <w:sz w:val="22"/>
          <w:szCs w:val="22"/>
        </w:rPr>
        <w:t xml:space="preserve">usterity </w:t>
      </w:r>
      <w:r w:rsidR="00B75974">
        <w:rPr>
          <w:rFonts w:asciiTheme="minorHAnsi" w:hAnsiTheme="minorHAnsi" w:cstheme="minorHAnsi"/>
          <w:sz w:val="22"/>
          <w:szCs w:val="22"/>
        </w:rPr>
        <w:t>has left</w:t>
      </w:r>
      <w:r w:rsidR="00AF4458" w:rsidRPr="00C97895">
        <w:rPr>
          <w:rFonts w:asciiTheme="minorHAnsi" w:hAnsiTheme="minorHAnsi" w:cstheme="minorHAnsi"/>
          <w:sz w:val="22"/>
          <w:szCs w:val="22"/>
        </w:rPr>
        <w:t xml:space="preserve"> a </w:t>
      </w:r>
      <w:r>
        <w:rPr>
          <w:rFonts w:asciiTheme="minorHAnsi" w:hAnsiTheme="minorHAnsi" w:cstheme="minorHAnsi"/>
          <w:sz w:val="22"/>
          <w:szCs w:val="22"/>
        </w:rPr>
        <w:t xml:space="preserve">legacy of </w:t>
      </w:r>
      <w:r w:rsidR="00AF4458" w:rsidRPr="00C97895">
        <w:rPr>
          <w:rFonts w:asciiTheme="minorHAnsi" w:hAnsiTheme="minorHAnsi" w:cstheme="minorHAnsi"/>
          <w:sz w:val="22"/>
          <w:szCs w:val="22"/>
        </w:rPr>
        <w:t>chronic soci</w:t>
      </w:r>
      <w:r>
        <w:rPr>
          <w:rFonts w:asciiTheme="minorHAnsi" w:hAnsiTheme="minorHAnsi" w:cstheme="minorHAnsi"/>
          <w:sz w:val="22"/>
          <w:szCs w:val="22"/>
        </w:rPr>
        <w:t>eta</w:t>
      </w:r>
      <w:r w:rsidR="00AF4458" w:rsidRPr="00C97895">
        <w:rPr>
          <w:rFonts w:asciiTheme="minorHAnsi" w:hAnsiTheme="minorHAnsi" w:cstheme="minorHAnsi"/>
          <w:sz w:val="22"/>
          <w:szCs w:val="22"/>
        </w:rPr>
        <w:t>l har</w:t>
      </w:r>
      <w:r>
        <w:rPr>
          <w:rFonts w:asciiTheme="minorHAnsi" w:hAnsiTheme="minorHAnsi" w:cstheme="minorHAnsi"/>
          <w:sz w:val="22"/>
          <w:szCs w:val="22"/>
        </w:rPr>
        <w:t>m</w:t>
      </w:r>
      <w:r w:rsidR="00A9473F">
        <w:rPr>
          <w:rFonts w:asciiTheme="minorHAnsi" w:hAnsiTheme="minorHAnsi" w:cstheme="minorHAnsi"/>
          <w:sz w:val="22"/>
          <w:szCs w:val="22"/>
        </w:rPr>
        <w:t xml:space="preserve"> </w:t>
      </w:r>
      <w:r w:rsidR="00B75974">
        <w:rPr>
          <w:rFonts w:asciiTheme="minorHAnsi" w:hAnsiTheme="minorHAnsi" w:cstheme="minorHAnsi"/>
          <w:sz w:val="22"/>
          <w:szCs w:val="22"/>
        </w:rPr>
        <w:t>which cannot be fixed simply through</w:t>
      </w:r>
      <w:r w:rsidR="00A9473F">
        <w:rPr>
          <w:rFonts w:asciiTheme="minorHAnsi" w:hAnsiTheme="minorHAnsi" w:cstheme="minorHAnsi"/>
          <w:sz w:val="22"/>
          <w:szCs w:val="22"/>
        </w:rPr>
        <w:t xml:space="preserve"> </w:t>
      </w:r>
      <w:r w:rsidR="00B75974">
        <w:rPr>
          <w:rFonts w:asciiTheme="minorHAnsi" w:hAnsiTheme="minorHAnsi" w:cstheme="minorHAnsi"/>
          <w:sz w:val="22"/>
          <w:szCs w:val="22"/>
        </w:rPr>
        <w:t>higher</w:t>
      </w:r>
      <w:r w:rsidR="00A9473F">
        <w:rPr>
          <w:rFonts w:asciiTheme="minorHAnsi" w:hAnsiTheme="minorHAnsi" w:cstheme="minorHAnsi"/>
          <w:sz w:val="22"/>
          <w:szCs w:val="22"/>
        </w:rPr>
        <w:t xml:space="preserve"> spending</w:t>
      </w:r>
      <w:r w:rsidR="00B75974">
        <w:rPr>
          <w:rFonts w:asciiTheme="minorHAnsi" w:hAnsiTheme="minorHAnsi" w:cstheme="minorHAnsi"/>
          <w:sz w:val="22"/>
          <w:szCs w:val="22"/>
        </w:rPr>
        <w:t xml:space="preserve"> in the future</w:t>
      </w:r>
      <w:r w:rsidR="00AF4458" w:rsidRPr="00C97895">
        <w:rPr>
          <w:rFonts w:asciiTheme="minorHAnsi" w:hAnsiTheme="minorHAnsi" w:cstheme="minorHAnsi"/>
          <w:sz w:val="22"/>
          <w:szCs w:val="22"/>
        </w:rPr>
        <w:t xml:space="preserve">. Other than this </w:t>
      </w:r>
      <w:r>
        <w:rPr>
          <w:rFonts w:asciiTheme="minorHAnsi" w:hAnsiTheme="minorHAnsi" w:cstheme="minorHAnsi"/>
          <w:sz w:val="22"/>
          <w:szCs w:val="22"/>
        </w:rPr>
        <w:t xml:space="preserve">general </w:t>
      </w:r>
      <w:r w:rsidR="00AF4458" w:rsidRPr="00C97895">
        <w:rPr>
          <w:rFonts w:asciiTheme="minorHAnsi" w:hAnsiTheme="minorHAnsi" w:cstheme="minorHAnsi"/>
          <w:sz w:val="22"/>
          <w:szCs w:val="22"/>
        </w:rPr>
        <w:t>prediction, t</w:t>
      </w:r>
      <w:r w:rsidR="00996D65" w:rsidRPr="00C97895">
        <w:rPr>
          <w:rFonts w:asciiTheme="minorHAnsi" w:hAnsiTheme="minorHAnsi" w:cstheme="minorHAnsi"/>
          <w:sz w:val="22"/>
          <w:szCs w:val="22"/>
        </w:rPr>
        <w:t xml:space="preserve">he preceding discussion has sought to </w:t>
      </w:r>
      <w:r w:rsidR="000D571F" w:rsidRPr="00C97895">
        <w:rPr>
          <w:rFonts w:asciiTheme="minorHAnsi" w:hAnsiTheme="minorHAnsi" w:cstheme="minorHAnsi"/>
          <w:sz w:val="22"/>
          <w:szCs w:val="22"/>
        </w:rPr>
        <w:t xml:space="preserve">classify the </w:t>
      </w:r>
      <w:r>
        <w:rPr>
          <w:rFonts w:asciiTheme="minorHAnsi" w:hAnsiTheme="minorHAnsi" w:cstheme="minorHAnsi"/>
          <w:sz w:val="22"/>
          <w:szCs w:val="22"/>
        </w:rPr>
        <w:t xml:space="preserve">limiting </w:t>
      </w:r>
      <w:r w:rsidR="000D571F" w:rsidRPr="00C97895">
        <w:rPr>
          <w:rFonts w:asciiTheme="minorHAnsi" w:hAnsiTheme="minorHAnsi" w:cstheme="minorHAnsi"/>
          <w:sz w:val="22"/>
          <w:szCs w:val="22"/>
        </w:rPr>
        <w:t>conditions or parameters within which welfare states and social policy will operat</w:t>
      </w:r>
      <w:r>
        <w:rPr>
          <w:rFonts w:asciiTheme="minorHAnsi" w:hAnsiTheme="minorHAnsi" w:cstheme="minorHAnsi"/>
          <w:sz w:val="22"/>
          <w:szCs w:val="22"/>
        </w:rPr>
        <w:t>e</w:t>
      </w:r>
      <w:r w:rsidR="000D571F" w:rsidRPr="00C97895">
        <w:rPr>
          <w:rFonts w:asciiTheme="minorHAnsi" w:hAnsiTheme="minorHAnsi" w:cstheme="minorHAnsi"/>
          <w:sz w:val="22"/>
          <w:szCs w:val="22"/>
        </w:rPr>
        <w:t xml:space="preserve"> in the coming </w:t>
      </w:r>
      <w:r w:rsidR="00996D65" w:rsidRPr="00C97895">
        <w:rPr>
          <w:rFonts w:asciiTheme="minorHAnsi" w:hAnsiTheme="minorHAnsi" w:cstheme="minorHAnsi"/>
          <w:sz w:val="22"/>
          <w:szCs w:val="22"/>
        </w:rPr>
        <w:t>years</w:t>
      </w:r>
      <w:r w:rsidR="000D571F" w:rsidRPr="00C97895">
        <w:rPr>
          <w:rFonts w:asciiTheme="minorHAnsi" w:hAnsiTheme="minorHAnsi" w:cstheme="minorHAnsi"/>
          <w:sz w:val="22"/>
          <w:szCs w:val="22"/>
        </w:rPr>
        <w:t xml:space="preserve"> in the absence of </w:t>
      </w:r>
      <w:r w:rsidR="00996D65" w:rsidRPr="00C97895">
        <w:rPr>
          <w:rFonts w:asciiTheme="minorHAnsi" w:hAnsiTheme="minorHAnsi" w:cstheme="minorHAnsi"/>
          <w:sz w:val="22"/>
          <w:szCs w:val="22"/>
        </w:rPr>
        <w:t>essential</w:t>
      </w:r>
      <w:r w:rsidR="000D571F" w:rsidRPr="00C97895">
        <w:rPr>
          <w:rFonts w:asciiTheme="minorHAnsi" w:hAnsiTheme="minorHAnsi" w:cstheme="minorHAnsi"/>
          <w:sz w:val="22"/>
          <w:szCs w:val="22"/>
        </w:rPr>
        <w:t xml:space="preserve"> change.</w:t>
      </w:r>
      <w:r w:rsidR="00AF4458" w:rsidRPr="00C97895">
        <w:rPr>
          <w:rFonts w:asciiTheme="minorHAnsi" w:hAnsiTheme="minorHAnsi" w:cstheme="minorHAnsi"/>
          <w:sz w:val="22"/>
          <w:szCs w:val="22"/>
        </w:rPr>
        <w:t xml:space="preserve"> </w:t>
      </w:r>
    </w:p>
    <w:p w14:paraId="7EE80F48" w14:textId="77777777" w:rsidR="00F62EAF" w:rsidRDefault="00F62EAF" w:rsidP="00165472">
      <w:pPr>
        <w:rPr>
          <w:rFonts w:asciiTheme="minorHAnsi" w:hAnsiTheme="minorHAnsi" w:cstheme="minorHAnsi"/>
          <w:sz w:val="22"/>
          <w:szCs w:val="22"/>
        </w:rPr>
      </w:pPr>
    </w:p>
    <w:p w14:paraId="339B450D" w14:textId="243B8532" w:rsidR="00F62EAF" w:rsidRDefault="00F62EAF" w:rsidP="00F62E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Wilding’s (1992) post Thatcher analysis r</w:t>
      </w:r>
      <w:r w:rsidR="00165472" w:rsidRPr="00F62EAF">
        <w:rPr>
          <w:rFonts w:asciiTheme="minorHAnsi" w:hAnsiTheme="minorHAnsi" w:cstheme="minorHAnsi"/>
          <w:sz w:val="22"/>
          <w:szCs w:val="22"/>
        </w:rPr>
        <w:t>epresent</w:t>
      </w:r>
      <w:r>
        <w:rPr>
          <w:rFonts w:asciiTheme="minorHAnsi" w:hAnsiTheme="minorHAnsi" w:cstheme="minorHAnsi"/>
          <w:sz w:val="22"/>
          <w:szCs w:val="22"/>
        </w:rPr>
        <w:t>s</w:t>
      </w:r>
      <w:r w:rsidR="00165472" w:rsidRPr="00F62EAF">
        <w:rPr>
          <w:rFonts w:asciiTheme="minorHAnsi" w:hAnsiTheme="minorHAnsi" w:cstheme="minorHAnsi"/>
          <w:sz w:val="22"/>
          <w:szCs w:val="22"/>
        </w:rPr>
        <w:t xml:space="preserve"> a touchstone for the ‘welfare state’ </w:t>
      </w:r>
      <w:r>
        <w:rPr>
          <w:rFonts w:asciiTheme="minorHAnsi" w:hAnsiTheme="minorHAnsi" w:cstheme="minorHAnsi"/>
          <w:sz w:val="22"/>
          <w:szCs w:val="22"/>
        </w:rPr>
        <w:t>at a time</w:t>
      </w:r>
      <w:r w:rsidR="00165472" w:rsidRPr="00F62EAF">
        <w:rPr>
          <w:rFonts w:asciiTheme="minorHAnsi" w:hAnsiTheme="minorHAnsi" w:cstheme="minorHAnsi"/>
          <w:sz w:val="22"/>
          <w:szCs w:val="22"/>
        </w:rPr>
        <w:t xml:space="preserve"> when</w:t>
      </w:r>
      <w:r>
        <w:rPr>
          <w:rFonts w:asciiTheme="minorHAnsi" w:hAnsiTheme="minorHAnsi" w:cstheme="minorHAnsi"/>
          <w:sz w:val="22"/>
          <w:szCs w:val="22"/>
        </w:rPr>
        <w:t xml:space="preserve"> despite the political shifts,</w:t>
      </w:r>
      <w:r w:rsidR="00165472" w:rsidRPr="00F62EAF">
        <w:rPr>
          <w:rFonts w:asciiTheme="minorHAnsi" w:hAnsiTheme="minorHAnsi" w:cstheme="minorHAnsi"/>
          <w:sz w:val="22"/>
          <w:szCs w:val="22"/>
        </w:rPr>
        <w:t xml:space="preserve"> resilience could </w:t>
      </w:r>
      <w:r>
        <w:rPr>
          <w:rFonts w:asciiTheme="minorHAnsi" w:hAnsiTheme="minorHAnsi" w:cstheme="minorHAnsi"/>
          <w:sz w:val="22"/>
          <w:szCs w:val="22"/>
        </w:rPr>
        <w:t xml:space="preserve">subsequently </w:t>
      </w:r>
      <w:r w:rsidR="00165472" w:rsidRPr="00F62EAF">
        <w:rPr>
          <w:rFonts w:asciiTheme="minorHAnsi" w:hAnsiTheme="minorHAnsi" w:cstheme="minorHAnsi"/>
          <w:sz w:val="22"/>
          <w:szCs w:val="22"/>
        </w:rPr>
        <w:t>be more</w:t>
      </w:r>
      <w:r w:rsidR="00165472">
        <w:rPr>
          <w:rFonts w:asciiTheme="minorHAnsi" w:hAnsiTheme="minorHAnsi" w:cstheme="minorHAnsi"/>
          <w:sz w:val="22"/>
          <w:szCs w:val="22"/>
        </w:rPr>
        <w:t xml:space="preserve"> convincingly argued on the basis of popular support, electoral caution and institutional stickiness. A decade of austerity has stripped away these safeguards</w:t>
      </w:r>
      <w:r w:rsidR="00A9473F">
        <w:rPr>
          <w:rFonts w:asciiTheme="minorHAnsi" w:hAnsiTheme="minorHAnsi" w:cstheme="minorHAnsi"/>
          <w:sz w:val="22"/>
          <w:szCs w:val="22"/>
        </w:rPr>
        <w:t>. While Thatcher’s legacy laid the groundwork for austerity’s success, austerity’s legac</w:t>
      </w:r>
      <w:r>
        <w:rPr>
          <w:rFonts w:asciiTheme="minorHAnsi" w:hAnsiTheme="minorHAnsi" w:cstheme="minorHAnsi"/>
          <w:sz w:val="22"/>
          <w:szCs w:val="22"/>
        </w:rPr>
        <w:t>ies</w:t>
      </w:r>
      <w:r w:rsidR="00A9473F">
        <w:rPr>
          <w:rFonts w:asciiTheme="minorHAnsi" w:hAnsiTheme="minorHAnsi" w:cstheme="minorHAnsi"/>
          <w:sz w:val="22"/>
          <w:szCs w:val="22"/>
        </w:rPr>
        <w:t xml:space="preserve"> </w:t>
      </w:r>
      <w:r w:rsidR="000C5CCF">
        <w:rPr>
          <w:rFonts w:asciiTheme="minorHAnsi" w:hAnsiTheme="minorHAnsi" w:cstheme="minorHAnsi"/>
          <w:sz w:val="22"/>
          <w:szCs w:val="22"/>
        </w:rPr>
        <w:t xml:space="preserve">will be felt </w:t>
      </w:r>
      <w:r>
        <w:rPr>
          <w:rFonts w:asciiTheme="minorHAnsi" w:hAnsiTheme="minorHAnsi" w:cstheme="minorHAnsi"/>
          <w:sz w:val="22"/>
          <w:szCs w:val="22"/>
        </w:rPr>
        <w:t>through</w:t>
      </w:r>
      <w:r w:rsidR="000C5CCF">
        <w:rPr>
          <w:rFonts w:asciiTheme="minorHAnsi" w:hAnsiTheme="minorHAnsi" w:cstheme="minorHAnsi"/>
          <w:sz w:val="22"/>
          <w:szCs w:val="22"/>
        </w:rPr>
        <w:t xml:space="preserve"> </w:t>
      </w:r>
      <w:r w:rsidR="00A9473F">
        <w:rPr>
          <w:rFonts w:asciiTheme="minorHAnsi" w:hAnsiTheme="minorHAnsi" w:cstheme="minorHAnsi"/>
          <w:sz w:val="22"/>
          <w:szCs w:val="22"/>
        </w:rPr>
        <w:t>failure to forecast the long-term social and political costs of ideological myopi</w:t>
      </w:r>
      <w:r w:rsidR="000C5CCF">
        <w:rPr>
          <w:rFonts w:asciiTheme="minorHAnsi" w:hAnsiTheme="minorHAnsi" w:cstheme="minorHAnsi"/>
          <w:sz w:val="22"/>
          <w:szCs w:val="22"/>
        </w:rPr>
        <w:t>a</w:t>
      </w:r>
      <w:r w:rsidR="00A9473F">
        <w:rPr>
          <w:rFonts w:asciiTheme="minorHAnsi" w:hAnsiTheme="minorHAnsi" w:cstheme="minorHAnsi"/>
          <w:sz w:val="22"/>
          <w:szCs w:val="22"/>
        </w:rPr>
        <w:t xml:space="preserve">. </w:t>
      </w:r>
      <w:r>
        <w:rPr>
          <w:rFonts w:asciiTheme="minorHAnsi" w:hAnsiTheme="minorHAnsi" w:cstheme="minorHAnsi"/>
          <w:sz w:val="22"/>
          <w:szCs w:val="22"/>
        </w:rPr>
        <w:t>Although the argument presented here was developed pre-Covid-19, there is little to suggest that the legacies of austerity have not been embedded to the extent that a ‘post-</w:t>
      </w:r>
      <w:proofErr w:type="spellStart"/>
      <w:r>
        <w:rPr>
          <w:rFonts w:asciiTheme="minorHAnsi" w:hAnsiTheme="minorHAnsi" w:cstheme="minorHAnsi"/>
          <w:sz w:val="22"/>
          <w:szCs w:val="22"/>
        </w:rPr>
        <w:t>Covid</w:t>
      </w:r>
      <w:proofErr w:type="spellEnd"/>
      <w:r>
        <w:rPr>
          <w:rFonts w:asciiTheme="minorHAnsi" w:hAnsiTheme="minorHAnsi" w:cstheme="minorHAnsi"/>
          <w:sz w:val="22"/>
          <w:szCs w:val="22"/>
        </w:rPr>
        <w:t xml:space="preserve">’ social settlement will be different. </w:t>
      </w:r>
      <w:r w:rsidRPr="00F62EAF">
        <w:rPr>
          <w:rFonts w:asciiTheme="minorHAnsi" w:hAnsiTheme="minorHAnsi" w:cstheme="minorHAnsi"/>
          <w:sz w:val="22"/>
          <w:szCs w:val="22"/>
        </w:rPr>
        <w:t xml:space="preserve">The non-commitment to welfare has not ultimately been challenged by greater </w:t>
      </w:r>
      <w:r>
        <w:rPr>
          <w:rFonts w:asciiTheme="minorHAnsi" w:hAnsiTheme="minorHAnsi" w:cstheme="minorHAnsi"/>
          <w:sz w:val="22"/>
          <w:szCs w:val="22"/>
        </w:rPr>
        <w:t xml:space="preserve">‘universal’ </w:t>
      </w:r>
      <w:r w:rsidRPr="00F62EAF">
        <w:rPr>
          <w:rFonts w:asciiTheme="minorHAnsi" w:hAnsiTheme="minorHAnsi" w:cstheme="minorHAnsi"/>
          <w:sz w:val="22"/>
          <w:szCs w:val="22"/>
        </w:rPr>
        <w:t xml:space="preserve">pressures on health and care services. Borders are rendered more secure and people are more isolated both individually and </w:t>
      </w:r>
      <w:r>
        <w:rPr>
          <w:rFonts w:asciiTheme="minorHAnsi" w:hAnsiTheme="minorHAnsi" w:cstheme="minorHAnsi"/>
          <w:sz w:val="22"/>
          <w:szCs w:val="22"/>
        </w:rPr>
        <w:t xml:space="preserve">as </w:t>
      </w:r>
      <w:r w:rsidRPr="00F62EAF">
        <w:rPr>
          <w:rFonts w:asciiTheme="minorHAnsi" w:hAnsiTheme="minorHAnsi" w:cstheme="minorHAnsi"/>
          <w:sz w:val="22"/>
          <w:szCs w:val="22"/>
        </w:rPr>
        <w:t>nation</w:t>
      </w:r>
      <w:r>
        <w:rPr>
          <w:rFonts w:asciiTheme="minorHAnsi" w:hAnsiTheme="minorHAnsi" w:cstheme="minorHAnsi"/>
          <w:sz w:val="22"/>
          <w:szCs w:val="22"/>
        </w:rPr>
        <w:t>s</w:t>
      </w:r>
      <w:r w:rsidRPr="00F62EAF">
        <w:rPr>
          <w:rFonts w:asciiTheme="minorHAnsi" w:hAnsiTheme="minorHAnsi" w:cstheme="minorHAnsi"/>
          <w:sz w:val="22"/>
          <w:szCs w:val="22"/>
        </w:rPr>
        <w:t>. S</w:t>
      </w:r>
      <w:r w:rsidRPr="00F62EAF">
        <w:rPr>
          <w:rFonts w:asciiTheme="minorHAnsi" w:hAnsiTheme="minorHAnsi" w:cstheme="minorHAnsi"/>
          <w:sz w:val="22"/>
          <w:szCs w:val="22"/>
        </w:rPr>
        <w:t>ocietal scarring</w:t>
      </w:r>
      <w:r w:rsidRPr="00F62EAF">
        <w:rPr>
          <w:rFonts w:asciiTheme="minorHAnsi" w:hAnsiTheme="minorHAnsi" w:cstheme="minorHAnsi"/>
          <w:sz w:val="22"/>
          <w:szCs w:val="22"/>
        </w:rPr>
        <w:t xml:space="preserve"> is</w:t>
      </w:r>
      <w:r>
        <w:rPr>
          <w:rFonts w:asciiTheme="minorHAnsi" w:hAnsiTheme="minorHAnsi" w:cstheme="minorHAnsi"/>
          <w:sz w:val="22"/>
          <w:szCs w:val="22"/>
        </w:rPr>
        <w:t xml:space="preserve"> likely to be worse given the paucity of existing social and economic resources on which the demands of living in a pandemic have been made. Temporary and partial employment support schemes will not lead to decent work, particularly in the context of mass unemployment which will only exacerbate the </w:t>
      </w:r>
      <w:proofErr w:type="spellStart"/>
      <w:r>
        <w:rPr>
          <w:rFonts w:asciiTheme="minorHAnsi" w:hAnsiTheme="minorHAnsi" w:cstheme="minorHAnsi"/>
          <w:sz w:val="22"/>
          <w:szCs w:val="22"/>
        </w:rPr>
        <w:t>flexploitation</w:t>
      </w:r>
      <w:proofErr w:type="spellEnd"/>
      <w:r>
        <w:rPr>
          <w:rFonts w:asciiTheme="minorHAnsi" w:hAnsiTheme="minorHAnsi" w:cstheme="minorHAnsi"/>
          <w:sz w:val="22"/>
          <w:szCs w:val="22"/>
        </w:rPr>
        <w:t xml:space="preserve"> of workers. For the most critical legacy - political capacity for change - there are indications that some collective interests have been strengthened, most notably in the Black Lives Matter movement, and that alternative ideas, such as Basic Income are gaining ground. But the traditional institutions </w:t>
      </w:r>
      <w:r w:rsidR="00281791">
        <w:rPr>
          <w:rFonts w:asciiTheme="minorHAnsi" w:hAnsiTheme="minorHAnsi" w:cstheme="minorHAnsi"/>
          <w:sz w:val="22"/>
          <w:szCs w:val="22"/>
        </w:rPr>
        <w:t xml:space="preserve">and coalitions </w:t>
      </w:r>
      <w:r>
        <w:rPr>
          <w:rFonts w:asciiTheme="minorHAnsi" w:hAnsiTheme="minorHAnsi" w:cstheme="minorHAnsi"/>
          <w:sz w:val="22"/>
          <w:szCs w:val="22"/>
        </w:rPr>
        <w:t>of collective power have not, so far,</w:t>
      </w:r>
      <w:r w:rsidR="00281791">
        <w:rPr>
          <w:rFonts w:asciiTheme="minorHAnsi" w:hAnsiTheme="minorHAnsi" w:cstheme="minorHAnsi"/>
          <w:sz w:val="22"/>
          <w:szCs w:val="22"/>
        </w:rPr>
        <w:t xml:space="preserve"> coalesced in a way </w:t>
      </w:r>
      <w:proofErr w:type="gramStart"/>
      <w:r w:rsidR="00281791">
        <w:rPr>
          <w:rFonts w:asciiTheme="minorHAnsi" w:hAnsiTheme="minorHAnsi" w:cstheme="minorHAnsi"/>
          <w:sz w:val="22"/>
          <w:szCs w:val="22"/>
        </w:rPr>
        <w:t xml:space="preserve">that </w:t>
      </w:r>
      <w:r>
        <w:rPr>
          <w:rFonts w:asciiTheme="minorHAnsi" w:hAnsiTheme="minorHAnsi" w:cstheme="minorHAnsi"/>
          <w:sz w:val="22"/>
          <w:szCs w:val="22"/>
        </w:rPr>
        <w:t xml:space="preserve"> headway</w:t>
      </w:r>
      <w:proofErr w:type="gramEnd"/>
      <w:r>
        <w:rPr>
          <w:rFonts w:asciiTheme="minorHAnsi" w:hAnsiTheme="minorHAnsi" w:cstheme="minorHAnsi"/>
          <w:sz w:val="22"/>
          <w:szCs w:val="22"/>
        </w:rPr>
        <w:t xml:space="preserve"> </w:t>
      </w:r>
      <w:r w:rsidR="00281791">
        <w:rPr>
          <w:rFonts w:asciiTheme="minorHAnsi" w:hAnsiTheme="minorHAnsi" w:cstheme="minorHAnsi"/>
          <w:sz w:val="22"/>
          <w:szCs w:val="22"/>
        </w:rPr>
        <w:t xml:space="preserve">can be made </w:t>
      </w:r>
      <w:r>
        <w:rPr>
          <w:rFonts w:asciiTheme="minorHAnsi" w:hAnsiTheme="minorHAnsi" w:cstheme="minorHAnsi"/>
          <w:sz w:val="22"/>
          <w:szCs w:val="22"/>
        </w:rPr>
        <w:t xml:space="preserve">in shifting political priorities to addressing the wider inequalities </w:t>
      </w:r>
      <w:r w:rsidR="00281791">
        <w:rPr>
          <w:rFonts w:asciiTheme="minorHAnsi" w:hAnsiTheme="minorHAnsi" w:cstheme="minorHAnsi"/>
          <w:sz w:val="22"/>
          <w:szCs w:val="22"/>
        </w:rPr>
        <w:t xml:space="preserve">that the pandemic has </w:t>
      </w:r>
      <w:r>
        <w:rPr>
          <w:rFonts w:asciiTheme="minorHAnsi" w:hAnsiTheme="minorHAnsi" w:cstheme="minorHAnsi"/>
          <w:sz w:val="22"/>
          <w:szCs w:val="22"/>
        </w:rPr>
        <w:t xml:space="preserve">exposed in sharp relief. </w:t>
      </w:r>
      <w:r w:rsidRPr="00C97895">
        <w:rPr>
          <w:rFonts w:asciiTheme="minorHAnsi" w:hAnsiTheme="minorHAnsi" w:cstheme="minorHAnsi"/>
          <w:sz w:val="22"/>
          <w:szCs w:val="22"/>
        </w:rPr>
        <w:t>T</w:t>
      </w:r>
      <w:r>
        <w:rPr>
          <w:rFonts w:asciiTheme="minorHAnsi" w:hAnsiTheme="minorHAnsi" w:cstheme="minorHAnsi"/>
          <w:sz w:val="22"/>
          <w:szCs w:val="22"/>
        </w:rPr>
        <w:t xml:space="preserve">his all suggests </w:t>
      </w:r>
      <w:r w:rsidRPr="00C97895">
        <w:rPr>
          <w:rFonts w:asciiTheme="minorHAnsi" w:hAnsiTheme="minorHAnsi" w:cstheme="minorHAnsi"/>
          <w:sz w:val="22"/>
          <w:szCs w:val="22"/>
        </w:rPr>
        <w:t xml:space="preserve">austerity will abide in the social and political relations of welfare long after austerity measures have ceased. </w:t>
      </w:r>
    </w:p>
    <w:p w14:paraId="62D4C2EC" w14:textId="66B4E3EE" w:rsidR="00165472" w:rsidRDefault="00165472" w:rsidP="00165472">
      <w:pPr>
        <w:rPr>
          <w:rFonts w:asciiTheme="minorHAnsi" w:hAnsiTheme="minorHAnsi" w:cstheme="minorHAnsi"/>
          <w:sz w:val="22"/>
          <w:szCs w:val="22"/>
        </w:rPr>
      </w:pPr>
    </w:p>
    <w:p w14:paraId="69D79B14" w14:textId="0F654BA0" w:rsidR="009B7324" w:rsidRDefault="009B7324" w:rsidP="00165472">
      <w:pPr>
        <w:rPr>
          <w:rFonts w:asciiTheme="minorHAnsi" w:hAnsiTheme="minorHAnsi" w:cstheme="minorHAnsi"/>
          <w:sz w:val="22"/>
          <w:szCs w:val="22"/>
        </w:rPr>
      </w:pPr>
    </w:p>
    <w:p w14:paraId="728F4EAE" w14:textId="77777777" w:rsidR="002F1B70" w:rsidRPr="00C97895" w:rsidRDefault="002F1B70">
      <w:pPr>
        <w:rPr>
          <w:rFonts w:asciiTheme="minorHAnsi" w:hAnsiTheme="minorHAnsi" w:cstheme="minorHAnsi"/>
          <w:b/>
          <w:bCs/>
          <w:color w:val="000000" w:themeColor="text1"/>
          <w:sz w:val="22"/>
          <w:szCs w:val="22"/>
        </w:rPr>
      </w:pPr>
    </w:p>
    <w:p w14:paraId="5B56D02C" w14:textId="57EC3982" w:rsidR="009B7324" w:rsidRDefault="009B7324" w:rsidP="004C42F5">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Acknowledgements</w:t>
      </w:r>
    </w:p>
    <w:p w14:paraId="1C671F0C" w14:textId="0A66BEF2" w:rsidR="009B7324" w:rsidRPr="009B7324" w:rsidRDefault="009B7324" w:rsidP="004C42F5">
      <w:pPr>
        <w:rPr>
          <w:rFonts w:asciiTheme="minorHAnsi" w:hAnsiTheme="minorHAnsi" w:cstheme="minorHAnsi"/>
          <w:color w:val="000000" w:themeColor="text1"/>
          <w:sz w:val="22"/>
          <w:szCs w:val="22"/>
        </w:rPr>
      </w:pPr>
      <w:r w:rsidRPr="009B7324">
        <w:rPr>
          <w:rFonts w:asciiTheme="minorHAnsi" w:hAnsiTheme="minorHAnsi" w:cstheme="minorHAnsi"/>
          <w:color w:val="000000" w:themeColor="text1"/>
          <w:sz w:val="22"/>
          <w:szCs w:val="22"/>
        </w:rPr>
        <w:t xml:space="preserve">With thanks to the two anonymous referees whose comments were extremely helpful in clarifying and </w:t>
      </w:r>
      <w:r>
        <w:rPr>
          <w:rFonts w:asciiTheme="minorHAnsi" w:hAnsiTheme="minorHAnsi" w:cstheme="minorHAnsi"/>
          <w:color w:val="000000" w:themeColor="text1"/>
          <w:sz w:val="22"/>
          <w:szCs w:val="22"/>
        </w:rPr>
        <w:t>improving</w:t>
      </w:r>
      <w:r w:rsidRPr="009B7324">
        <w:rPr>
          <w:rFonts w:asciiTheme="minorHAnsi" w:hAnsiTheme="minorHAnsi" w:cstheme="minorHAnsi"/>
          <w:color w:val="000000" w:themeColor="text1"/>
          <w:sz w:val="22"/>
          <w:szCs w:val="22"/>
        </w:rPr>
        <w:t xml:space="preserve"> the arguments presented here</w:t>
      </w:r>
      <w:r>
        <w:rPr>
          <w:rFonts w:asciiTheme="minorHAnsi" w:hAnsiTheme="minorHAnsi" w:cstheme="minorHAnsi"/>
          <w:color w:val="000000" w:themeColor="text1"/>
          <w:sz w:val="22"/>
          <w:szCs w:val="22"/>
        </w:rPr>
        <w:t xml:space="preserve">. </w:t>
      </w:r>
    </w:p>
    <w:p w14:paraId="534B86DB" w14:textId="77777777" w:rsidR="009B7324" w:rsidRDefault="009B7324" w:rsidP="004C42F5">
      <w:pPr>
        <w:rPr>
          <w:rFonts w:asciiTheme="minorHAnsi" w:hAnsiTheme="minorHAnsi" w:cstheme="minorHAnsi"/>
          <w:b/>
          <w:bCs/>
          <w:color w:val="000000" w:themeColor="text1"/>
          <w:sz w:val="22"/>
          <w:szCs w:val="22"/>
        </w:rPr>
      </w:pPr>
    </w:p>
    <w:p w14:paraId="64B8BDD0" w14:textId="2C7D0592" w:rsidR="001D61B9" w:rsidRPr="00C97895" w:rsidRDefault="00402A7C" w:rsidP="004C42F5">
      <w:pPr>
        <w:rPr>
          <w:rFonts w:asciiTheme="minorHAnsi" w:hAnsiTheme="minorHAnsi" w:cstheme="minorHAnsi"/>
          <w:b/>
          <w:bCs/>
          <w:color w:val="000000" w:themeColor="text1"/>
          <w:sz w:val="22"/>
          <w:szCs w:val="22"/>
        </w:rPr>
      </w:pPr>
      <w:r w:rsidRPr="00C97895">
        <w:rPr>
          <w:rFonts w:asciiTheme="minorHAnsi" w:hAnsiTheme="minorHAnsi" w:cstheme="minorHAnsi"/>
          <w:b/>
          <w:bCs/>
          <w:color w:val="000000" w:themeColor="text1"/>
          <w:sz w:val="22"/>
          <w:szCs w:val="22"/>
        </w:rPr>
        <w:t>Refere</w:t>
      </w:r>
      <w:r w:rsidR="001D620F" w:rsidRPr="00C97895">
        <w:rPr>
          <w:rFonts w:asciiTheme="minorHAnsi" w:hAnsiTheme="minorHAnsi" w:cstheme="minorHAnsi"/>
          <w:b/>
          <w:bCs/>
          <w:color w:val="000000" w:themeColor="text1"/>
          <w:sz w:val="22"/>
          <w:szCs w:val="22"/>
        </w:rPr>
        <w:t>nces</w:t>
      </w:r>
    </w:p>
    <w:p w14:paraId="472A86A9" w14:textId="49035E37" w:rsidR="001D620F" w:rsidRPr="00C97895" w:rsidRDefault="001D620F" w:rsidP="004C42F5">
      <w:pPr>
        <w:rPr>
          <w:rFonts w:asciiTheme="minorHAnsi" w:hAnsiTheme="minorHAnsi" w:cstheme="minorHAnsi"/>
          <w:color w:val="000000" w:themeColor="text1"/>
          <w:sz w:val="22"/>
          <w:szCs w:val="22"/>
        </w:rPr>
      </w:pPr>
    </w:p>
    <w:p w14:paraId="2BC5CB9F" w14:textId="10D39EC5" w:rsidR="000D693E" w:rsidRPr="00C97895" w:rsidRDefault="000D693E" w:rsidP="004C42F5">
      <w:pPr>
        <w:ind w:left="284" w:hanging="284"/>
        <w:rPr>
          <w:rFonts w:asciiTheme="minorHAnsi" w:hAnsiTheme="minorHAnsi" w:cstheme="minorHAnsi"/>
          <w:bCs/>
          <w:color w:val="000000" w:themeColor="text1"/>
          <w:sz w:val="22"/>
          <w:szCs w:val="22"/>
        </w:rPr>
      </w:pPr>
      <w:r w:rsidRPr="00C97895">
        <w:rPr>
          <w:rFonts w:asciiTheme="minorHAnsi" w:hAnsiTheme="minorHAnsi" w:cstheme="minorHAnsi"/>
          <w:bCs/>
          <w:color w:val="000000" w:themeColor="text1"/>
          <w:sz w:val="22"/>
          <w:szCs w:val="22"/>
        </w:rPr>
        <w:t xml:space="preserve">Allen, G. and Zayed, Y. (2019) </w:t>
      </w:r>
      <w:r w:rsidRPr="00C97895">
        <w:rPr>
          <w:rFonts w:asciiTheme="minorHAnsi" w:hAnsiTheme="minorHAnsi" w:cstheme="minorHAnsi"/>
          <w:bCs/>
          <w:i/>
          <w:iCs/>
          <w:color w:val="000000" w:themeColor="text1"/>
          <w:sz w:val="22"/>
          <w:szCs w:val="22"/>
        </w:rPr>
        <w:t>Hate Crime Statistics</w:t>
      </w:r>
      <w:r w:rsidRPr="00C97895">
        <w:rPr>
          <w:rFonts w:asciiTheme="minorHAnsi" w:hAnsiTheme="minorHAnsi" w:cstheme="minorHAnsi"/>
          <w:bCs/>
          <w:color w:val="000000" w:themeColor="text1"/>
          <w:sz w:val="22"/>
          <w:szCs w:val="22"/>
        </w:rPr>
        <w:t>, House of Commons Library Briefing Paper No. 08537, 28 March 2019, London: House of Commons Library.</w:t>
      </w:r>
    </w:p>
    <w:p w14:paraId="7148ECF5" w14:textId="217E9468" w:rsidR="00DE12B9" w:rsidRPr="00C97895" w:rsidRDefault="00DE12B9" w:rsidP="004C42F5">
      <w:pPr>
        <w:ind w:left="284" w:hanging="284"/>
        <w:rPr>
          <w:rFonts w:asciiTheme="minorHAnsi" w:hAnsiTheme="minorHAnsi" w:cstheme="minorHAnsi"/>
          <w:color w:val="000000" w:themeColor="text1"/>
          <w:sz w:val="22"/>
          <w:szCs w:val="22"/>
        </w:rPr>
      </w:pPr>
      <w:proofErr w:type="spellStart"/>
      <w:r w:rsidRPr="00C97895">
        <w:rPr>
          <w:rFonts w:asciiTheme="minorHAnsi" w:hAnsiTheme="minorHAnsi" w:cstheme="minorHAnsi"/>
          <w:color w:val="000000" w:themeColor="text1"/>
          <w:sz w:val="22"/>
          <w:szCs w:val="22"/>
        </w:rPr>
        <w:t>Basu</w:t>
      </w:r>
      <w:proofErr w:type="spellEnd"/>
      <w:r w:rsidRPr="00C97895">
        <w:rPr>
          <w:rFonts w:asciiTheme="minorHAnsi" w:hAnsiTheme="minorHAnsi" w:cstheme="minorHAnsi"/>
          <w:color w:val="000000" w:themeColor="text1"/>
          <w:sz w:val="22"/>
          <w:szCs w:val="22"/>
        </w:rPr>
        <w:t xml:space="preserve">, S., Carney, M. Kenworthy, N. (2017) Ten years after the financial crisis: The long reach of austerity and its global impacts on health, </w:t>
      </w:r>
      <w:r w:rsidRPr="00C97895">
        <w:rPr>
          <w:rFonts w:asciiTheme="minorHAnsi" w:hAnsiTheme="minorHAnsi" w:cstheme="minorHAnsi"/>
          <w:i/>
          <w:iCs/>
          <w:color w:val="000000" w:themeColor="text1"/>
          <w:sz w:val="22"/>
          <w:szCs w:val="22"/>
        </w:rPr>
        <w:t>Social Science and Medicine</w:t>
      </w:r>
      <w:r w:rsidRPr="00C97895">
        <w:rPr>
          <w:rFonts w:asciiTheme="minorHAnsi" w:hAnsiTheme="minorHAnsi" w:cstheme="minorHAnsi"/>
          <w:color w:val="000000" w:themeColor="text1"/>
          <w:sz w:val="22"/>
          <w:szCs w:val="22"/>
        </w:rPr>
        <w:t>, 187, 203-7</w:t>
      </w:r>
    </w:p>
    <w:p w14:paraId="37D135C7" w14:textId="72558EE2" w:rsidR="007B11E1" w:rsidRDefault="007B11E1" w:rsidP="00635283">
      <w:pPr>
        <w:ind w:left="284" w:hanging="28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BEIS (2019) </w:t>
      </w:r>
      <w:r w:rsidRPr="00AD16AB">
        <w:rPr>
          <w:rFonts w:asciiTheme="minorHAnsi" w:hAnsiTheme="minorHAnsi" w:cstheme="minorHAnsi"/>
          <w:i/>
          <w:iCs/>
          <w:color w:val="000000" w:themeColor="text1"/>
          <w:sz w:val="22"/>
          <w:szCs w:val="22"/>
        </w:rPr>
        <w:t>Trade Union Membership: Statistical Bulletin</w:t>
      </w:r>
      <w:r>
        <w:rPr>
          <w:rFonts w:asciiTheme="minorHAnsi" w:hAnsiTheme="minorHAnsi" w:cstheme="minorHAnsi"/>
          <w:color w:val="000000" w:themeColor="text1"/>
          <w:sz w:val="22"/>
          <w:szCs w:val="22"/>
        </w:rPr>
        <w:t xml:space="preserve">, </w:t>
      </w:r>
      <w:r w:rsidR="00AD16AB">
        <w:rPr>
          <w:rFonts w:asciiTheme="minorHAnsi" w:hAnsiTheme="minorHAnsi" w:cstheme="minorHAnsi"/>
          <w:color w:val="000000" w:themeColor="text1"/>
          <w:sz w:val="22"/>
          <w:szCs w:val="22"/>
        </w:rPr>
        <w:t xml:space="preserve">London: </w:t>
      </w:r>
      <w:r>
        <w:rPr>
          <w:rFonts w:asciiTheme="minorHAnsi" w:hAnsiTheme="minorHAnsi" w:cstheme="minorHAnsi"/>
          <w:color w:val="000000" w:themeColor="text1"/>
          <w:sz w:val="22"/>
          <w:szCs w:val="22"/>
        </w:rPr>
        <w:t>Department for Business, Energy and Industrial Strategy</w:t>
      </w:r>
      <w:r w:rsidR="00AD16AB">
        <w:rPr>
          <w:rFonts w:asciiTheme="minorHAnsi" w:hAnsiTheme="minorHAnsi" w:cstheme="minorHAnsi"/>
          <w:color w:val="000000" w:themeColor="text1"/>
          <w:sz w:val="22"/>
          <w:szCs w:val="22"/>
        </w:rPr>
        <w:t xml:space="preserve">, 30 May, </w:t>
      </w:r>
      <w:hyperlink r:id="rId8" w:history="1">
        <w:r w:rsidR="00AD16AB" w:rsidRPr="00356804">
          <w:rPr>
            <w:rStyle w:val="Hyperlink"/>
            <w:rFonts w:asciiTheme="minorHAnsi" w:hAnsiTheme="minorHAnsi" w:cstheme="minorHAnsi"/>
            <w:sz w:val="22"/>
            <w:szCs w:val="22"/>
          </w:rPr>
          <w:t>https://assets.publishing.service.gov.uk/government/uploads/system/uploads/attachment_data/file/805268/trade-union-membership-2018-statistical-bulletin.pdf</w:t>
        </w:r>
      </w:hyperlink>
    </w:p>
    <w:p w14:paraId="088D3752" w14:textId="72E22B44" w:rsidR="0041669E" w:rsidRPr="0041669E" w:rsidRDefault="0041669E" w:rsidP="0041669E">
      <w:pPr>
        <w:ind w:left="284" w:hanging="284"/>
        <w:rPr>
          <w:rFonts w:asciiTheme="minorHAnsi" w:hAnsiTheme="minorHAnsi" w:cstheme="minorHAnsi"/>
          <w:color w:val="000000" w:themeColor="text1"/>
          <w:sz w:val="22"/>
          <w:szCs w:val="22"/>
        </w:rPr>
      </w:pPr>
      <w:r w:rsidRPr="0041669E">
        <w:rPr>
          <w:rFonts w:asciiTheme="minorHAnsi" w:hAnsiTheme="minorHAnsi" w:cstheme="minorHAnsi"/>
          <w:color w:val="000000" w:themeColor="text1"/>
          <w:sz w:val="22"/>
          <w:szCs w:val="22"/>
        </w:rPr>
        <w:t xml:space="preserve">Blyth, M. (2013) </w:t>
      </w:r>
      <w:r w:rsidRPr="0041669E">
        <w:rPr>
          <w:rFonts w:asciiTheme="minorHAnsi" w:hAnsiTheme="minorHAnsi" w:cstheme="minorHAnsi"/>
          <w:i/>
          <w:iCs/>
          <w:color w:val="000000" w:themeColor="text1"/>
          <w:sz w:val="22"/>
          <w:szCs w:val="22"/>
        </w:rPr>
        <w:t>Austerity, the History of a Dangerous Idea</w:t>
      </w:r>
      <w:r w:rsidRPr="0041669E">
        <w:rPr>
          <w:rFonts w:asciiTheme="minorHAnsi" w:hAnsiTheme="minorHAnsi" w:cstheme="minorHAnsi"/>
          <w:color w:val="000000" w:themeColor="text1"/>
          <w:sz w:val="22"/>
          <w:szCs w:val="22"/>
        </w:rPr>
        <w:t xml:space="preserve">, Oxford: Oxford University Press. </w:t>
      </w:r>
    </w:p>
    <w:p w14:paraId="0B7DE08E" w14:textId="5997BAD2" w:rsidR="009B7324" w:rsidRPr="009B7324" w:rsidRDefault="009B7324" w:rsidP="009B7324">
      <w:pPr>
        <w:pStyle w:val="Referencetxt"/>
      </w:pPr>
      <w:r w:rsidRPr="009B7324">
        <w:t>Cantillon B</w:t>
      </w:r>
      <w:r>
        <w:t>.</w:t>
      </w:r>
      <w:r w:rsidRPr="009B7324">
        <w:t xml:space="preserve">, </w:t>
      </w:r>
      <w:proofErr w:type="spellStart"/>
      <w:r w:rsidRPr="009B7324">
        <w:t>Chzhen</w:t>
      </w:r>
      <w:proofErr w:type="spellEnd"/>
      <w:r w:rsidRPr="009B7324">
        <w:t>, Y</w:t>
      </w:r>
      <w:r>
        <w:t>.</w:t>
      </w:r>
      <w:r w:rsidRPr="009B7324">
        <w:t>, Handa, S</w:t>
      </w:r>
      <w:r>
        <w:t>.</w:t>
      </w:r>
      <w:r w:rsidRPr="009B7324">
        <w:t xml:space="preserve"> and Nolan, B</w:t>
      </w:r>
      <w:r>
        <w:t>.</w:t>
      </w:r>
      <w:r w:rsidRPr="009B7324">
        <w:t xml:space="preserve"> (2017) </w:t>
      </w:r>
      <w:r w:rsidRPr="009B7324">
        <w:rPr>
          <w:i/>
        </w:rPr>
        <w:t>Children of Austerity: Impact of the Great Recession on Child Poverty in Rich Countries</w:t>
      </w:r>
      <w:r w:rsidRPr="009B7324">
        <w:t>, Oxford: UNICEF and Oxford University Press.</w:t>
      </w:r>
    </w:p>
    <w:p w14:paraId="18C06EF4" w14:textId="670EA4B2" w:rsidR="00F41BBD" w:rsidRPr="00C97895" w:rsidRDefault="00F41BBD" w:rsidP="00635283">
      <w:pPr>
        <w:ind w:left="284" w:hanging="284"/>
        <w:rPr>
          <w:rFonts w:asciiTheme="minorHAnsi" w:hAnsiTheme="minorHAnsi" w:cstheme="minorHAnsi"/>
          <w:color w:val="000000" w:themeColor="text1"/>
          <w:sz w:val="22"/>
          <w:szCs w:val="22"/>
        </w:rPr>
      </w:pPr>
      <w:r w:rsidRPr="00C97895">
        <w:rPr>
          <w:rFonts w:asciiTheme="minorHAnsi" w:hAnsiTheme="minorHAnsi" w:cstheme="minorHAnsi"/>
          <w:color w:val="000000" w:themeColor="text1"/>
          <w:sz w:val="22"/>
          <w:szCs w:val="22"/>
        </w:rPr>
        <w:lastRenderedPageBreak/>
        <w:t xml:space="preserve">Castles, F. (ed) (1989) </w:t>
      </w:r>
      <w:r w:rsidRPr="00C97895">
        <w:rPr>
          <w:rFonts w:asciiTheme="minorHAnsi" w:hAnsiTheme="minorHAnsi" w:cstheme="minorHAnsi"/>
          <w:i/>
          <w:iCs/>
          <w:color w:val="000000" w:themeColor="text1"/>
          <w:sz w:val="22"/>
          <w:szCs w:val="22"/>
        </w:rPr>
        <w:t>The Comparative History of Public Policy</w:t>
      </w:r>
      <w:r w:rsidRPr="00C97895">
        <w:rPr>
          <w:rFonts w:asciiTheme="minorHAnsi" w:hAnsiTheme="minorHAnsi" w:cstheme="minorHAnsi"/>
          <w:color w:val="000000" w:themeColor="text1"/>
          <w:sz w:val="22"/>
          <w:szCs w:val="22"/>
        </w:rPr>
        <w:t>, Cambridge: Policy Press</w:t>
      </w:r>
    </w:p>
    <w:p w14:paraId="24EA46AE" w14:textId="6E4A2BDF" w:rsidR="00831421" w:rsidRDefault="00831421" w:rsidP="00635283">
      <w:pPr>
        <w:ind w:left="284" w:hanging="28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Castles, F. (200</w:t>
      </w:r>
      <w:r w:rsidR="009E07A6">
        <w:rPr>
          <w:rFonts w:asciiTheme="minorHAnsi" w:hAnsiTheme="minorHAnsi" w:cstheme="minorHAnsi"/>
          <w:color w:val="000000" w:themeColor="text1"/>
          <w:sz w:val="22"/>
          <w:szCs w:val="22"/>
        </w:rPr>
        <w:t>4</w:t>
      </w:r>
      <w:r>
        <w:rPr>
          <w:rFonts w:asciiTheme="minorHAnsi" w:hAnsiTheme="minorHAnsi" w:cstheme="minorHAnsi"/>
          <w:color w:val="000000" w:themeColor="text1"/>
          <w:sz w:val="22"/>
          <w:szCs w:val="22"/>
        </w:rPr>
        <w:t xml:space="preserve">) </w:t>
      </w:r>
      <w:r w:rsidRPr="00831421">
        <w:rPr>
          <w:rFonts w:asciiTheme="minorHAnsi" w:hAnsiTheme="minorHAnsi" w:cstheme="minorHAnsi"/>
          <w:i/>
          <w:iCs/>
          <w:color w:val="000000" w:themeColor="text1"/>
          <w:sz w:val="22"/>
          <w:szCs w:val="22"/>
        </w:rPr>
        <w:t xml:space="preserve">The </w:t>
      </w:r>
      <w:r w:rsidR="009E07A6">
        <w:rPr>
          <w:rFonts w:asciiTheme="minorHAnsi" w:hAnsiTheme="minorHAnsi" w:cstheme="minorHAnsi"/>
          <w:i/>
          <w:iCs/>
          <w:color w:val="000000" w:themeColor="text1"/>
          <w:sz w:val="22"/>
          <w:szCs w:val="22"/>
        </w:rPr>
        <w:t xml:space="preserve">Future of the </w:t>
      </w:r>
      <w:r w:rsidRPr="00831421">
        <w:rPr>
          <w:rFonts w:asciiTheme="minorHAnsi" w:hAnsiTheme="minorHAnsi" w:cstheme="minorHAnsi"/>
          <w:i/>
          <w:iCs/>
          <w:color w:val="000000" w:themeColor="text1"/>
          <w:sz w:val="22"/>
          <w:szCs w:val="22"/>
        </w:rPr>
        <w:t>Welfare State</w:t>
      </w:r>
      <w:r w:rsidR="009E07A6">
        <w:rPr>
          <w:rFonts w:asciiTheme="minorHAnsi" w:hAnsiTheme="minorHAnsi" w:cstheme="minorHAnsi"/>
          <w:i/>
          <w:iCs/>
          <w:color w:val="000000" w:themeColor="text1"/>
          <w:sz w:val="22"/>
          <w:szCs w:val="22"/>
        </w:rPr>
        <w:t>: Crisis Myths and Crisis Realities</w:t>
      </w:r>
      <w:r>
        <w:rPr>
          <w:rFonts w:asciiTheme="minorHAnsi" w:hAnsiTheme="minorHAnsi" w:cstheme="minorHAnsi"/>
          <w:color w:val="000000" w:themeColor="text1"/>
          <w:sz w:val="22"/>
          <w:szCs w:val="22"/>
        </w:rPr>
        <w:t xml:space="preserve">, </w:t>
      </w:r>
      <w:r w:rsidR="009E07A6">
        <w:rPr>
          <w:rFonts w:asciiTheme="minorHAnsi" w:hAnsiTheme="minorHAnsi" w:cstheme="minorHAnsi"/>
          <w:color w:val="000000" w:themeColor="text1"/>
          <w:sz w:val="22"/>
          <w:szCs w:val="22"/>
        </w:rPr>
        <w:t>Oxford: Oxford University Press.</w:t>
      </w:r>
    </w:p>
    <w:p w14:paraId="2FA37206" w14:textId="64D36CC9" w:rsidR="004C42F5" w:rsidRPr="00C97895" w:rsidRDefault="00496368" w:rsidP="00635283">
      <w:pPr>
        <w:ind w:left="284" w:hanging="284"/>
        <w:rPr>
          <w:rFonts w:asciiTheme="minorHAnsi" w:hAnsiTheme="minorHAnsi" w:cstheme="minorHAnsi"/>
          <w:color w:val="000000" w:themeColor="text1"/>
          <w:sz w:val="22"/>
          <w:szCs w:val="22"/>
          <w:u w:val="single"/>
        </w:rPr>
      </w:pPr>
      <w:proofErr w:type="spellStart"/>
      <w:r w:rsidRPr="00C97895">
        <w:rPr>
          <w:rFonts w:asciiTheme="minorHAnsi" w:hAnsiTheme="minorHAnsi" w:cstheme="minorHAnsi"/>
          <w:color w:val="000000" w:themeColor="text1"/>
          <w:sz w:val="22"/>
          <w:szCs w:val="22"/>
        </w:rPr>
        <w:t>Center</w:t>
      </w:r>
      <w:proofErr w:type="spellEnd"/>
      <w:r w:rsidRPr="00C97895">
        <w:rPr>
          <w:rFonts w:asciiTheme="minorHAnsi" w:hAnsiTheme="minorHAnsi" w:cstheme="minorHAnsi"/>
          <w:color w:val="000000" w:themeColor="text1"/>
          <w:sz w:val="22"/>
          <w:szCs w:val="22"/>
        </w:rPr>
        <w:t xml:space="preserve"> for Public Integrity (2019) </w:t>
      </w:r>
      <w:r w:rsidRPr="00C97895">
        <w:rPr>
          <w:rFonts w:asciiTheme="minorHAnsi" w:hAnsiTheme="minorHAnsi" w:cstheme="minorHAnsi"/>
          <w:i/>
          <w:iCs/>
          <w:color w:val="000000" w:themeColor="text1"/>
          <w:sz w:val="22"/>
          <w:szCs w:val="22"/>
        </w:rPr>
        <w:t>The Secret Saga of Trump’s Tax Cuts</w:t>
      </w:r>
      <w:r w:rsidRPr="00C97895">
        <w:rPr>
          <w:rFonts w:asciiTheme="minorHAnsi" w:hAnsiTheme="minorHAnsi" w:cstheme="minorHAnsi"/>
          <w:color w:val="000000" w:themeColor="text1"/>
          <w:sz w:val="22"/>
          <w:szCs w:val="22"/>
        </w:rPr>
        <w:t xml:space="preserve">, April 30 </w:t>
      </w:r>
      <w:hyperlink r:id="rId9" w:history="1">
        <w:r w:rsidRPr="00C97895">
          <w:rPr>
            <w:rStyle w:val="Hyperlink"/>
            <w:rFonts w:asciiTheme="minorHAnsi" w:hAnsiTheme="minorHAnsi" w:cstheme="minorHAnsi"/>
            <w:color w:val="000000" w:themeColor="text1"/>
            <w:sz w:val="22"/>
            <w:szCs w:val="22"/>
          </w:rPr>
          <w:t>https://publicintegrity.org/business/taxes/trumps-tax-cuts/the-secret-saga-of-trumps-tax-cuts/</w:t>
        </w:r>
      </w:hyperlink>
      <w:r w:rsidRPr="00C97895">
        <w:rPr>
          <w:rFonts w:asciiTheme="minorHAnsi" w:hAnsiTheme="minorHAnsi" w:cstheme="minorHAnsi"/>
          <w:color w:val="000000" w:themeColor="text1"/>
          <w:sz w:val="22"/>
          <w:szCs w:val="22"/>
        </w:rPr>
        <w:t xml:space="preserve">, accessed </w:t>
      </w:r>
      <w:r w:rsidR="00D6637A" w:rsidRPr="00C97895">
        <w:rPr>
          <w:rFonts w:asciiTheme="minorHAnsi" w:hAnsiTheme="minorHAnsi" w:cstheme="minorHAnsi"/>
          <w:color w:val="000000" w:themeColor="text1"/>
          <w:sz w:val="22"/>
          <w:szCs w:val="22"/>
        </w:rPr>
        <w:t>20 November 2019</w:t>
      </w:r>
    </w:p>
    <w:p w14:paraId="58905BFA" w14:textId="2E320E55" w:rsidR="00E8180A" w:rsidRPr="00E8180A" w:rsidRDefault="00E8180A" w:rsidP="00E8180A">
      <w:pPr>
        <w:rPr>
          <w:rFonts w:asciiTheme="minorHAnsi" w:hAnsiTheme="minorHAnsi" w:cstheme="minorHAnsi"/>
          <w:color w:val="000000" w:themeColor="text1"/>
          <w:sz w:val="22"/>
          <w:szCs w:val="22"/>
        </w:rPr>
      </w:pPr>
      <w:r w:rsidRPr="00E8180A">
        <w:rPr>
          <w:rFonts w:asciiTheme="minorHAnsi" w:hAnsiTheme="minorHAnsi" w:cstheme="minorHAnsi" w:hint="eastAsia"/>
          <w:color w:val="000000" w:themeColor="text1"/>
          <w:sz w:val="22"/>
          <w:szCs w:val="22"/>
        </w:rPr>
        <w:t>Crawley</w:t>
      </w:r>
      <w:r>
        <w:rPr>
          <w:rFonts w:asciiTheme="minorHAnsi" w:hAnsiTheme="minorHAnsi" w:cstheme="minorHAnsi"/>
          <w:color w:val="000000" w:themeColor="text1"/>
          <w:sz w:val="22"/>
          <w:szCs w:val="22"/>
        </w:rPr>
        <w:t>, H. and</w:t>
      </w:r>
      <w:r w:rsidRPr="00E8180A">
        <w:rPr>
          <w:rFonts w:asciiTheme="minorHAnsi" w:hAnsiTheme="minorHAnsi" w:cstheme="minorHAnsi" w:hint="eastAsia"/>
          <w:color w:val="000000" w:themeColor="text1"/>
          <w:sz w:val="22"/>
          <w:szCs w:val="22"/>
        </w:rPr>
        <w:t xml:space="preserve"> </w:t>
      </w:r>
      <w:proofErr w:type="spellStart"/>
      <w:r w:rsidRPr="00E8180A">
        <w:rPr>
          <w:rFonts w:asciiTheme="minorHAnsi" w:hAnsiTheme="minorHAnsi" w:cstheme="minorHAnsi" w:hint="eastAsia"/>
          <w:color w:val="000000" w:themeColor="text1"/>
          <w:sz w:val="22"/>
          <w:szCs w:val="22"/>
        </w:rPr>
        <w:t>Skleparis</w:t>
      </w:r>
      <w:proofErr w:type="spellEnd"/>
      <w:r>
        <w:rPr>
          <w:rFonts w:asciiTheme="minorHAnsi" w:hAnsiTheme="minorHAnsi" w:cstheme="minorHAnsi"/>
          <w:color w:val="000000" w:themeColor="text1"/>
          <w:sz w:val="22"/>
          <w:szCs w:val="22"/>
        </w:rPr>
        <w:t>, D.</w:t>
      </w:r>
      <w:r w:rsidRPr="00E8180A">
        <w:rPr>
          <w:rFonts w:asciiTheme="minorHAnsi" w:hAnsiTheme="minorHAnsi" w:cstheme="minorHAnsi" w:hint="eastAsia"/>
          <w:color w:val="000000" w:themeColor="text1"/>
          <w:sz w:val="22"/>
          <w:szCs w:val="22"/>
        </w:rPr>
        <w:t xml:space="preserve"> (2018) Refugees, migrants, neither, both: categorical fetishism and the politics of bounding in Europe’s ‘migration crisis’, </w:t>
      </w:r>
      <w:r w:rsidRPr="00E8180A">
        <w:rPr>
          <w:rFonts w:asciiTheme="minorHAnsi" w:hAnsiTheme="minorHAnsi" w:cstheme="minorHAnsi" w:hint="eastAsia"/>
          <w:i/>
          <w:iCs/>
          <w:color w:val="000000" w:themeColor="text1"/>
          <w:sz w:val="22"/>
          <w:szCs w:val="22"/>
        </w:rPr>
        <w:t>Journal of Ethnic and Migration Studies</w:t>
      </w:r>
      <w:r w:rsidRPr="00E8180A">
        <w:rPr>
          <w:rFonts w:asciiTheme="minorHAnsi" w:hAnsiTheme="minorHAnsi" w:cstheme="minorHAnsi" w:hint="eastAsia"/>
          <w:color w:val="000000" w:themeColor="text1"/>
          <w:sz w:val="22"/>
          <w:szCs w:val="22"/>
        </w:rPr>
        <w:t xml:space="preserve">, 44:1, 48-64 </w:t>
      </w:r>
    </w:p>
    <w:p w14:paraId="0EDEB476" w14:textId="78D9B3FA" w:rsidR="001D620F" w:rsidRPr="00C97895" w:rsidRDefault="002F1B70" w:rsidP="004C42F5">
      <w:pPr>
        <w:ind w:left="284" w:hanging="284"/>
        <w:rPr>
          <w:rFonts w:asciiTheme="minorHAnsi" w:hAnsiTheme="minorHAnsi" w:cstheme="minorHAnsi"/>
          <w:color w:val="000000" w:themeColor="text1"/>
          <w:sz w:val="22"/>
          <w:szCs w:val="22"/>
          <w:shd w:val="clear" w:color="auto" w:fill="FFFFFF"/>
        </w:rPr>
      </w:pPr>
      <w:proofErr w:type="spellStart"/>
      <w:r w:rsidRPr="00C97895">
        <w:rPr>
          <w:rFonts w:asciiTheme="minorHAnsi" w:hAnsiTheme="minorHAnsi" w:cstheme="minorHAnsi"/>
          <w:color w:val="000000" w:themeColor="text1"/>
          <w:sz w:val="22"/>
          <w:szCs w:val="22"/>
        </w:rPr>
        <w:t>Espiet-Kilty</w:t>
      </w:r>
      <w:proofErr w:type="spellEnd"/>
      <w:r w:rsidRPr="00C97895">
        <w:rPr>
          <w:rFonts w:asciiTheme="minorHAnsi" w:hAnsiTheme="minorHAnsi" w:cstheme="minorHAnsi"/>
          <w:color w:val="000000" w:themeColor="text1"/>
          <w:sz w:val="22"/>
          <w:szCs w:val="22"/>
          <w:shd w:val="clear" w:color="auto" w:fill="FFFFFF"/>
        </w:rPr>
        <w:t xml:space="preserve">, R. (2015) </w:t>
      </w:r>
      <w:r w:rsidRPr="00C97895">
        <w:rPr>
          <w:rFonts w:asciiTheme="minorHAnsi" w:hAnsiTheme="minorHAnsi" w:cstheme="minorHAnsi"/>
          <w:color w:val="000000" w:themeColor="text1"/>
          <w:sz w:val="22"/>
          <w:szCs w:val="22"/>
          <w:lang w:val="en"/>
        </w:rPr>
        <w:t>The Legacy of Thatcherism in Question: an Introduction</w:t>
      </w:r>
      <w:r w:rsidRPr="00C97895">
        <w:rPr>
          <w:rFonts w:asciiTheme="minorHAnsi" w:hAnsiTheme="minorHAnsi" w:cstheme="minorHAnsi"/>
          <w:color w:val="000000" w:themeColor="text1"/>
          <w:sz w:val="22"/>
          <w:szCs w:val="22"/>
          <w:shd w:val="clear" w:color="auto" w:fill="FFFFFF"/>
        </w:rPr>
        <w:t>, </w:t>
      </w:r>
      <w:proofErr w:type="spellStart"/>
      <w:r w:rsidRPr="00C97895">
        <w:rPr>
          <w:rFonts w:asciiTheme="minorHAnsi" w:hAnsiTheme="minorHAnsi" w:cstheme="minorHAnsi"/>
          <w:i/>
          <w:iCs/>
          <w:color w:val="000000" w:themeColor="text1"/>
          <w:sz w:val="22"/>
          <w:szCs w:val="22"/>
        </w:rPr>
        <w:t>Observatoire</w:t>
      </w:r>
      <w:proofErr w:type="spellEnd"/>
      <w:r w:rsidRPr="00C97895">
        <w:rPr>
          <w:rFonts w:asciiTheme="minorHAnsi" w:hAnsiTheme="minorHAnsi" w:cstheme="minorHAnsi"/>
          <w:i/>
          <w:iCs/>
          <w:color w:val="000000" w:themeColor="text1"/>
          <w:sz w:val="22"/>
          <w:szCs w:val="22"/>
        </w:rPr>
        <w:t xml:space="preserve"> de la </w:t>
      </w:r>
      <w:proofErr w:type="spellStart"/>
      <w:r w:rsidRPr="00C97895">
        <w:rPr>
          <w:rFonts w:asciiTheme="minorHAnsi" w:hAnsiTheme="minorHAnsi" w:cstheme="minorHAnsi"/>
          <w:i/>
          <w:iCs/>
          <w:color w:val="000000" w:themeColor="text1"/>
          <w:sz w:val="22"/>
          <w:szCs w:val="22"/>
        </w:rPr>
        <w:t>société</w:t>
      </w:r>
      <w:proofErr w:type="spellEnd"/>
      <w:r w:rsidRPr="00C97895">
        <w:rPr>
          <w:rFonts w:asciiTheme="minorHAnsi" w:hAnsiTheme="minorHAnsi" w:cstheme="minorHAnsi"/>
          <w:i/>
          <w:iCs/>
          <w:color w:val="000000" w:themeColor="text1"/>
          <w:sz w:val="22"/>
          <w:szCs w:val="22"/>
        </w:rPr>
        <w:t xml:space="preserve"> </w:t>
      </w:r>
      <w:proofErr w:type="spellStart"/>
      <w:r w:rsidRPr="00C97895">
        <w:rPr>
          <w:rFonts w:asciiTheme="minorHAnsi" w:hAnsiTheme="minorHAnsi" w:cstheme="minorHAnsi"/>
          <w:i/>
          <w:iCs/>
          <w:color w:val="000000" w:themeColor="text1"/>
          <w:sz w:val="22"/>
          <w:szCs w:val="22"/>
        </w:rPr>
        <w:t>britannique</w:t>
      </w:r>
      <w:proofErr w:type="spellEnd"/>
      <w:r w:rsidRPr="00C97895">
        <w:rPr>
          <w:rFonts w:asciiTheme="minorHAnsi" w:hAnsiTheme="minorHAnsi" w:cstheme="minorHAnsi"/>
          <w:color w:val="000000" w:themeColor="text1"/>
          <w:sz w:val="22"/>
          <w:szCs w:val="22"/>
          <w:shd w:val="clear" w:color="auto" w:fill="FFFFFF"/>
        </w:rPr>
        <w:t xml:space="preserve"> [online], 17 </w:t>
      </w:r>
      <w:hyperlink r:id="rId10" w:history="1">
        <w:r w:rsidR="004D7E57" w:rsidRPr="00C97895">
          <w:rPr>
            <w:rStyle w:val="Hyperlink"/>
            <w:rFonts w:asciiTheme="minorHAnsi" w:hAnsiTheme="minorHAnsi" w:cstheme="minorHAnsi"/>
            <w:sz w:val="22"/>
            <w:szCs w:val="22"/>
            <w:shd w:val="clear" w:color="auto" w:fill="FFFFFF"/>
          </w:rPr>
          <w:t>http://journals.openedition.org/osb/1757</w:t>
        </w:r>
      </w:hyperlink>
    </w:p>
    <w:p w14:paraId="6433D947" w14:textId="77777777" w:rsidR="004C42F5" w:rsidRPr="009B7324" w:rsidRDefault="00A06411" w:rsidP="009B7324">
      <w:pPr>
        <w:ind w:left="284" w:hanging="284"/>
        <w:rPr>
          <w:rFonts w:asciiTheme="minorHAnsi" w:hAnsiTheme="minorHAnsi" w:cstheme="minorHAnsi"/>
          <w:color w:val="000000" w:themeColor="text1"/>
          <w:sz w:val="22"/>
          <w:szCs w:val="22"/>
        </w:rPr>
      </w:pPr>
      <w:proofErr w:type="spellStart"/>
      <w:r w:rsidRPr="009B7324">
        <w:rPr>
          <w:rFonts w:asciiTheme="minorHAnsi" w:hAnsiTheme="minorHAnsi" w:cstheme="minorHAnsi"/>
          <w:color w:val="000000" w:themeColor="text1"/>
          <w:sz w:val="22"/>
          <w:szCs w:val="22"/>
        </w:rPr>
        <w:t>Eurofound</w:t>
      </w:r>
      <w:proofErr w:type="spellEnd"/>
      <w:r w:rsidR="00E8587F" w:rsidRPr="009B7324">
        <w:rPr>
          <w:rFonts w:asciiTheme="minorHAnsi" w:hAnsiTheme="minorHAnsi" w:cstheme="minorHAnsi"/>
          <w:color w:val="000000" w:themeColor="text1"/>
          <w:sz w:val="22"/>
          <w:szCs w:val="22"/>
        </w:rPr>
        <w:t xml:space="preserve"> (2016) </w:t>
      </w:r>
      <w:proofErr w:type="spellStart"/>
      <w:r w:rsidR="00E8587F" w:rsidRPr="009B7324">
        <w:rPr>
          <w:rFonts w:asciiTheme="minorHAnsi" w:hAnsiTheme="minorHAnsi" w:cstheme="minorHAnsi"/>
          <w:i/>
          <w:iCs/>
          <w:color w:val="000000" w:themeColor="text1"/>
          <w:sz w:val="22"/>
          <w:szCs w:val="22"/>
        </w:rPr>
        <w:t>Eurofound</w:t>
      </w:r>
      <w:proofErr w:type="spellEnd"/>
      <w:r w:rsidR="00E8587F" w:rsidRPr="009B7324">
        <w:rPr>
          <w:rFonts w:asciiTheme="minorHAnsi" w:hAnsiTheme="minorHAnsi" w:cstheme="minorHAnsi"/>
          <w:i/>
          <w:iCs/>
          <w:color w:val="000000" w:themeColor="text1"/>
          <w:sz w:val="22"/>
          <w:szCs w:val="22"/>
        </w:rPr>
        <w:t xml:space="preserve"> Yearbook 2015: Living and Working in Europe</w:t>
      </w:r>
      <w:r w:rsidR="00E8587F" w:rsidRPr="009B7324">
        <w:rPr>
          <w:rFonts w:asciiTheme="minorHAnsi" w:hAnsiTheme="minorHAnsi" w:cstheme="minorHAnsi"/>
          <w:color w:val="000000" w:themeColor="text1"/>
          <w:sz w:val="22"/>
          <w:szCs w:val="22"/>
        </w:rPr>
        <w:t>, Dublin: European Foundation for the Improvement of Living and Working Conditions</w:t>
      </w:r>
    </w:p>
    <w:p w14:paraId="3167B0D8" w14:textId="71299B33" w:rsidR="00B01AA5" w:rsidRPr="009B7324" w:rsidRDefault="00B01AA5" w:rsidP="009B7324">
      <w:pPr>
        <w:ind w:left="284" w:hanging="284"/>
        <w:rPr>
          <w:rFonts w:asciiTheme="minorHAnsi" w:hAnsiTheme="minorHAnsi" w:cstheme="minorHAnsi"/>
          <w:color w:val="000000" w:themeColor="text1"/>
          <w:sz w:val="22"/>
          <w:szCs w:val="22"/>
        </w:rPr>
      </w:pPr>
      <w:proofErr w:type="spellStart"/>
      <w:r w:rsidRPr="009B7324">
        <w:rPr>
          <w:rFonts w:asciiTheme="minorHAnsi" w:hAnsiTheme="minorHAnsi" w:cstheme="minorHAnsi"/>
          <w:color w:val="000000" w:themeColor="text1"/>
          <w:sz w:val="22"/>
          <w:szCs w:val="22"/>
        </w:rPr>
        <w:t>Eurofound</w:t>
      </w:r>
      <w:proofErr w:type="spellEnd"/>
      <w:r w:rsidRPr="009B7324">
        <w:rPr>
          <w:rFonts w:asciiTheme="minorHAnsi" w:hAnsiTheme="minorHAnsi" w:cstheme="minorHAnsi"/>
          <w:color w:val="000000" w:themeColor="text1"/>
          <w:sz w:val="22"/>
          <w:szCs w:val="22"/>
        </w:rPr>
        <w:t xml:space="preserve"> (2019), </w:t>
      </w:r>
      <w:r w:rsidRPr="009B7324">
        <w:rPr>
          <w:rFonts w:asciiTheme="minorHAnsi" w:hAnsiTheme="minorHAnsi" w:cstheme="minorHAnsi"/>
          <w:i/>
          <w:iCs/>
          <w:color w:val="000000" w:themeColor="text1"/>
          <w:sz w:val="22"/>
          <w:szCs w:val="22"/>
        </w:rPr>
        <w:t>Challenges and prospects in the EU: Quality of life and public services</w:t>
      </w:r>
      <w:r w:rsidRPr="009B7324">
        <w:rPr>
          <w:rFonts w:asciiTheme="minorHAnsi" w:hAnsiTheme="minorHAnsi" w:cstheme="minorHAnsi"/>
          <w:color w:val="000000" w:themeColor="text1"/>
          <w:sz w:val="22"/>
          <w:szCs w:val="22"/>
        </w:rPr>
        <w:t xml:space="preserve">, Publications Office of the European Union, Luxembourg. </w:t>
      </w:r>
    </w:p>
    <w:p w14:paraId="1CF7CD3F" w14:textId="1EA9018B" w:rsidR="009B7324" w:rsidRPr="009B7324" w:rsidRDefault="009B7324" w:rsidP="009B7324">
      <w:pPr>
        <w:rPr>
          <w:rFonts w:asciiTheme="minorHAnsi" w:hAnsiTheme="minorHAnsi" w:cstheme="minorHAnsi"/>
          <w:sz w:val="22"/>
          <w:szCs w:val="22"/>
        </w:rPr>
      </w:pPr>
      <w:r w:rsidRPr="009B7324">
        <w:rPr>
          <w:rFonts w:asciiTheme="minorHAnsi" w:hAnsiTheme="minorHAnsi" w:cstheme="minorHAnsi"/>
          <w:sz w:val="22"/>
          <w:szCs w:val="22"/>
        </w:rPr>
        <w:t xml:space="preserve">Farnsworth, K. and Irving, Z. </w:t>
      </w:r>
      <w:r>
        <w:rPr>
          <w:rFonts w:asciiTheme="minorHAnsi" w:hAnsiTheme="minorHAnsi" w:cstheme="minorHAnsi"/>
          <w:sz w:val="22"/>
          <w:szCs w:val="22"/>
        </w:rPr>
        <w:t>(2015) ‘</w:t>
      </w:r>
      <w:r w:rsidRPr="009B7324">
        <w:rPr>
          <w:rFonts w:asciiTheme="minorHAnsi" w:hAnsiTheme="minorHAnsi" w:cstheme="minorHAnsi"/>
          <w:sz w:val="22"/>
          <w:szCs w:val="22"/>
        </w:rPr>
        <w:t>Austerity: More than the sum of its parts</w:t>
      </w:r>
      <w:r>
        <w:rPr>
          <w:rFonts w:asciiTheme="minorHAnsi" w:hAnsiTheme="minorHAnsi" w:cstheme="minorHAnsi"/>
          <w:sz w:val="22"/>
          <w:szCs w:val="22"/>
        </w:rPr>
        <w:t>’</w:t>
      </w:r>
      <w:r w:rsidRPr="009B7324">
        <w:rPr>
          <w:rFonts w:asciiTheme="minorHAnsi" w:hAnsiTheme="minorHAnsi" w:cstheme="minorHAnsi"/>
          <w:sz w:val="22"/>
          <w:szCs w:val="22"/>
        </w:rPr>
        <w:t xml:space="preserve">, in K. Farnsworth and Z. Irving (eds) </w:t>
      </w:r>
      <w:r w:rsidRPr="009B7324">
        <w:rPr>
          <w:rFonts w:asciiTheme="minorHAnsi" w:hAnsiTheme="minorHAnsi" w:cstheme="minorHAnsi"/>
          <w:i/>
          <w:sz w:val="22"/>
          <w:szCs w:val="22"/>
        </w:rPr>
        <w:t>Social Policy in Times of Austerity: Global Economic Crisis and the New Politics of Welfare</w:t>
      </w:r>
      <w:r w:rsidRPr="009B7324">
        <w:rPr>
          <w:rFonts w:asciiTheme="minorHAnsi" w:hAnsiTheme="minorHAnsi" w:cstheme="minorHAnsi"/>
          <w:sz w:val="22"/>
          <w:szCs w:val="22"/>
        </w:rPr>
        <w:t xml:space="preserve">, Bristol, Policy Press, 9-41 </w:t>
      </w:r>
    </w:p>
    <w:p w14:paraId="174A771D" w14:textId="09A61EDA" w:rsidR="009B7324" w:rsidRPr="009B7324" w:rsidRDefault="009B7324" w:rsidP="009B7324">
      <w:pPr>
        <w:pStyle w:val="BodyText"/>
        <w:spacing w:after="0" w:line="240" w:lineRule="auto"/>
        <w:ind w:left="426" w:hanging="426"/>
        <w:rPr>
          <w:rFonts w:asciiTheme="minorHAnsi" w:hAnsiTheme="minorHAnsi" w:cstheme="minorHAnsi"/>
          <w:sz w:val="22"/>
        </w:rPr>
      </w:pPr>
      <w:r w:rsidRPr="009B7324">
        <w:rPr>
          <w:rFonts w:asciiTheme="minorHAnsi" w:hAnsiTheme="minorHAnsi" w:cstheme="minorHAnsi"/>
          <w:sz w:val="22"/>
        </w:rPr>
        <w:t xml:space="preserve">Farnsworth, K. and Irving, Z., </w:t>
      </w:r>
      <w:r>
        <w:rPr>
          <w:rFonts w:asciiTheme="minorHAnsi" w:hAnsiTheme="minorHAnsi" w:cstheme="minorHAnsi"/>
          <w:sz w:val="22"/>
        </w:rPr>
        <w:t xml:space="preserve">(2012) </w:t>
      </w:r>
      <w:r w:rsidRPr="009B7324">
        <w:rPr>
          <w:rFonts w:asciiTheme="minorHAnsi" w:hAnsiTheme="minorHAnsi" w:cstheme="minorHAnsi"/>
          <w:sz w:val="22"/>
        </w:rPr>
        <w:t xml:space="preserve">‘Varieties of Crisis, varieties of austerity: Social policy in challenging times’, </w:t>
      </w:r>
      <w:r w:rsidRPr="009B7324">
        <w:rPr>
          <w:rFonts w:asciiTheme="minorHAnsi" w:hAnsiTheme="minorHAnsi" w:cstheme="minorHAnsi"/>
          <w:i/>
          <w:sz w:val="22"/>
        </w:rPr>
        <w:t>Journal of Poverty and Social Justice,</w:t>
      </w:r>
      <w:r w:rsidRPr="009B7324">
        <w:rPr>
          <w:rFonts w:asciiTheme="minorHAnsi" w:hAnsiTheme="minorHAnsi" w:cstheme="minorHAnsi"/>
          <w:sz w:val="22"/>
        </w:rPr>
        <w:t xml:space="preserve"> 20</w:t>
      </w:r>
      <w:r>
        <w:rPr>
          <w:rFonts w:asciiTheme="minorHAnsi" w:hAnsiTheme="minorHAnsi" w:cstheme="minorHAnsi"/>
          <w:sz w:val="22"/>
        </w:rPr>
        <w:t xml:space="preserve">, </w:t>
      </w:r>
      <w:r w:rsidRPr="009B7324">
        <w:rPr>
          <w:rFonts w:asciiTheme="minorHAnsi" w:hAnsiTheme="minorHAnsi" w:cstheme="minorHAnsi"/>
          <w:sz w:val="22"/>
        </w:rPr>
        <w:t>2, 135-49</w:t>
      </w:r>
    </w:p>
    <w:p w14:paraId="04A6AC46" w14:textId="7EC7CF08" w:rsidR="009B7324" w:rsidRPr="009B7324" w:rsidRDefault="009B7324" w:rsidP="009B7324">
      <w:pPr>
        <w:ind w:left="450" w:hanging="450"/>
        <w:rPr>
          <w:rStyle w:val="Hyperlink"/>
          <w:rFonts w:asciiTheme="minorHAnsi" w:hAnsiTheme="minorHAnsi" w:cstheme="minorHAnsi"/>
          <w:color w:val="006ACC"/>
          <w:sz w:val="22"/>
          <w:szCs w:val="22"/>
        </w:rPr>
      </w:pPr>
      <w:r w:rsidRPr="009B7324">
        <w:rPr>
          <w:rFonts w:asciiTheme="minorHAnsi" w:hAnsiTheme="minorHAnsi" w:cstheme="minorHAnsi"/>
          <w:sz w:val="22"/>
          <w:szCs w:val="22"/>
        </w:rPr>
        <w:t xml:space="preserve">Farnsworth, K. and Irving, Z. </w:t>
      </w:r>
      <w:r>
        <w:rPr>
          <w:rFonts w:asciiTheme="minorHAnsi" w:hAnsiTheme="minorHAnsi" w:cstheme="minorHAnsi"/>
          <w:sz w:val="22"/>
          <w:szCs w:val="22"/>
        </w:rPr>
        <w:t xml:space="preserve">(2018) </w:t>
      </w:r>
      <w:r w:rsidRPr="009B7324">
        <w:rPr>
          <w:rFonts w:asciiTheme="minorHAnsi" w:hAnsiTheme="minorHAnsi" w:cstheme="minorHAnsi"/>
          <w:sz w:val="22"/>
          <w:szCs w:val="22"/>
        </w:rPr>
        <w:t xml:space="preserve">‘Austerity: Neoliberal dreams come true?’, </w:t>
      </w:r>
      <w:r w:rsidRPr="009B7324">
        <w:rPr>
          <w:rFonts w:asciiTheme="minorHAnsi" w:hAnsiTheme="minorHAnsi" w:cstheme="minorHAnsi"/>
          <w:i/>
          <w:sz w:val="22"/>
          <w:szCs w:val="22"/>
        </w:rPr>
        <w:t>Critical Social Policy</w:t>
      </w:r>
      <w:r w:rsidRPr="009B7324">
        <w:rPr>
          <w:rFonts w:asciiTheme="minorHAnsi" w:hAnsiTheme="minorHAnsi" w:cstheme="minorHAnsi"/>
          <w:sz w:val="22"/>
          <w:szCs w:val="22"/>
        </w:rPr>
        <w:t>, 38</w:t>
      </w:r>
      <w:r>
        <w:rPr>
          <w:rFonts w:asciiTheme="minorHAnsi" w:hAnsiTheme="minorHAnsi" w:cstheme="minorHAnsi"/>
          <w:sz w:val="22"/>
          <w:szCs w:val="22"/>
        </w:rPr>
        <w:t xml:space="preserve">, </w:t>
      </w:r>
      <w:r w:rsidRPr="009B7324">
        <w:rPr>
          <w:rFonts w:asciiTheme="minorHAnsi" w:hAnsiTheme="minorHAnsi" w:cstheme="minorHAnsi"/>
          <w:sz w:val="22"/>
          <w:szCs w:val="22"/>
        </w:rPr>
        <w:t>3</w:t>
      </w:r>
      <w:r>
        <w:rPr>
          <w:rFonts w:asciiTheme="minorHAnsi" w:hAnsiTheme="minorHAnsi" w:cstheme="minorHAnsi"/>
          <w:sz w:val="22"/>
          <w:szCs w:val="22"/>
        </w:rPr>
        <w:t xml:space="preserve">, </w:t>
      </w:r>
      <w:r w:rsidRPr="009B7324">
        <w:rPr>
          <w:rFonts w:asciiTheme="minorHAnsi" w:hAnsiTheme="minorHAnsi" w:cstheme="minorHAnsi"/>
          <w:sz w:val="22"/>
          <w:szCs w:val="22"/>
        </w:rPr>
        <w:t xml:space="preserve">461-81 </w:t>
      </w:r>
    </w:p>
    <w:p w14:paraId="39E5338F" w14:textId="648D54B7" w:rsidR="009B7324" w:rsidRPr="009B7324" w:rsidRDefault="009B7324" w:rsidP="009B7324">
      <w:pPr>
        <w:rPr>
          <w:rFonts w:asciiTheme="minorHAnsi" w:hAnsiTheme="minorHAnsi" w:cstheme="minorHAnsi"/>
          <w:color w:val="000000" w:themeColor="text1"/>
          <w:sz w:val="22"/>
          <w:szCs w:val="22"/>
        </w:rPr>
      </w:pPr>
      <w:proofErr w:type="spellStart"/>
      <w:r w:rsidRPr="009B7324">
        <w:rPr>
          <w:rFonts w:asciiTheme="minorHAnsi" w:hAnsiTheme="minorHAnsi" w:cstheme="minorHAnsi"/>
          <w:color w:val="000000" w:themeColor="text1"/>
          <w:sz w:val="22"/>
          <w:szCs w:val="22"/>
        </w:rPr>
        <w:t>Farrall</w:t>
      </w:r>
      <w:proofErr w:type="spellEnd"/>
      <w:r w:rsidRPr="009B7324">
        <w:rPr>
          <w:rFonts w:asciiTheme="minorHAnsi" w:hAnsiTheme="minorHAnsi" w:cstheme="minorHAnsi"/>
          <w:color w:val="000000" w:themeColor="text1"/>
          <w:sz w:val="22"/>
          <w:szCs w:val="22"/>
        </w:rPr>
        <w:t>, S</w:t>
      </w:r>
      <w:r w:rsidRPr="009B7324">
        <w:rPr>
          <w:rFonts w:asciiTheme="minorHAnsi" w:hAnsiTheme="minorHAnsi" w:cstheme="minorHAnsi"/>
          <w:color w:val="000000" w:themeColor="text1"/>
          <w:sz w:val="22"/>
          <w:szCs w:val="22"/>
        </w:rPr>
        <w:t>.</w:t>
      </w:r>
      <w:r w:rsidRPr="009B7324">
        <w:rPr>
          <w:rFonts w:asciiTheme="minorHAnsi" w:hAnsiTheme="minorHAnsi" w:cstheme="minorHAnsi"/>
          <w:color w:val="000000" w:themeColor="text1"/>
          <w:sz w:val="22"/>
          <w:szCs w:val="22"/>
        </w:rPr>
        <w:t xml:space="preserve"> and Hay, C</w:t>
      </w:r>
      <w:r w:rsidRPr="009B7324">
        <w:rPr>
          <w:rFonts w:asciiTheme="minorHAnsi" w:hAnsiTheme="minorHAnsi" w:cstheme="minorHAnsi"/>
          <w:color w:val="000000" w:themeColor="text1"/>
          <w:sz w:val="22"/>
          <w:szCs w:val="22"/>
        </w:rPr>
        <w:t>.</w:t>
      </w:r>
      <w:r w:rsidRPr="009B7324">
        <w:rPr>
          <w:rFonts w:asciiTheme="minorHAnsi" w:hAnsiTheme="minorHAnsi" w:cstheme="minorHAnsi"/>
          <w:color w:val="000000" w:themeColor="text1"/>
          <w:sz w:val="22"/>
          <w:szCs w:val="22"/>
        </w:rPr>
        <w:t xml:space="preserve"> </w:t>
      </w:r>
      <w:r w:rsidRPr="009B7324">
        <w:rPr>
          <w:rFonts w:asciiTheme="minorHAnsi" w:hAnsiTheme="minorHAnsi" w:cstheme="minorHAnsi"/>
          <w:color w:val="000000" w:themeColor="text1"/>
          <w:sz w:val="22"/>
          <w:szCs w:val="22"/>
        </w:rPr>
        <w:t>(</w:t>
      </w:r>
      <w:r w:rsidRPr="009B7324">
        <w:rPr>
          <w:rFonts w:asciiTheme="minorHAnsi" w:hAnsiTheme="minorHAnsi" w:cstheme="minorHAnsi"/>
          <w:color w:val="000000" w:themeColor="text1"/>
          <w:sz w:val="22"/>
          <w:szCs w:val="22"/>
        </w:rPr>
        <w:t>eds</w:t>
      </w:r>
      <w:r w:rsidRPr="009B7324">
        <w:rPr>
          <w:rFonts w:asciiTheme="minorHAnsi" w:hAnsiTheme="minorHAnsi" w:cstheme="minorHAnsi"/>
          <w:color w:val="000000" w:themeColor="text1"/>
          <w:sz w:val="22"/>
          <w:szCs w:val="22"/>
        </w:rPr>
        <w:t>)</w:t>
      </w:r>
      <w:r w:rsidRPr="009B7324">
        <w:rPr>
          <w:rFonts w:asciiTheme="minorHAnsi" w:hAnsiTheme="minorHAnsi" w:cstheme="minorHAnsi"/>
          <w:i/>
          <w:color w:val="000000" w:themeColor="text1"/>
          <w:sz w:val="22"/>
          <w:szCs w:val="22"/>
        </w:rPr>
        <w:t xml:space="preserve"> </w:t>
      </w:r>
      <w:r w:rsidRPr="009B7324">
        <w:rPr>
          <w:rFonts w:asciiTheme="minorHAnsi" w:hAnsiTheme="minorHAnsi" w:cstheme="minorHAnsi"/>
          <w:color w:val="000000" w:themeColor="text1"/>
          <w:sz w:val="22"/>
          <w:szCs w:val="22"/>
        </w:rPr>
        <w:t xml:space="preserve">(2014) </w:t>
      </w:r>
      <w:r w:rsidRPr="009B7324">
        <w:rPr>
          <w:rFonts w:asciiTheme="minorHAnsi" w:hAnsiTheme="minorHAnsi" w:cstheme="minorHAnsi"/>
          <w:i/>
          <w:color w:val="000000" w:themeColor="text1"/>
          <w:sz w:val="22"/>
          <w:szCs w:val="22"/>
        </w:rPr>
        <w:t>The legacy of Thatcherism: assessing and exploring Thatcherite social and economic policies</w:t>
      </w:r>
      <w:r w:rsidRPr="009B7324">
        <w:rPr>
          <w:rFonts w:asciiTheme="minorHAnsi" w:hAnsiTheme="minorHAnsi" w:cstheme="minorHAnsi"/>
          <w:color w:val="000000" w:themeColor="text1"/>
          <w:sz w:val="22"/>
          <w:szCs w:val="22"/>
        </w:rPr>
        <w:t>, Oxford: Oxford University Press.</w:t>
      </w:r>
    </w:p>
    <w:p w14:paraId="08D7AD69" w14:textId="4E02B609" w:rsidR="00EC4DE1" w:rsidRPr="009B7324" w:rsidRDefault="00EC4DE1" w:rsidP="009B7324">
      <w:pPr>
        <w:ind w:left="284" w:hanging="284"/>
        <w:rPr>
          <w:rFonts w:asciiTheme="minorHAnsi" w:hAnsiTheme="minorHAnsi" w:cstheme="minorHAnsi"/>
          <w:bCs/>
          <w:color w:val="000000" w:themeColor="text1"/>
          <w:sz w:val="22"/>
          <w:szCs w:val="22"/>
        </w:rPr>
      </w:pPr>
      <w:r w:rsidRPr="009B7324">
        <w:rPr>
          <w:rFonts w:asciiTheme="minorHAnsi" w:hAnsiTheme="minorHAnsi" w:cstheme="minorHAnsi"/>
          <w:color w:val="000000" w:themeColor="text1"/>
          <w:sz w:val="22"/>
          <w:szCs w:val="22"/>
        </w:rPr>
        <w:t>Financial Times (2019) ‘Europe turns on spending taps as austerity comes to an end’ 10 February</w:t>
      </w:r>
    </w:p>
    <w:p w14:paraId="0AEC7CC4" w14:textId="7AF5D397" w:rsidR="00F41BBD" w:rsidRPr="009B7324" w:rsidRDefault="00F41BBD" w:rsidP="009B7324">
      <w:pPr>
        <w:widowControl w:val="0"/>
        <w:autoSpaceDE w:val="0"/>
        <w:autoSpaceDN w:val="0"/>
        <w:adjustRightInd w:val="0"/>
        <w:ind w:left="284" w:hanging="284"/>
        <w:rPr>
          <w:rFonts w:asciiTheme="minorHAnsi" w:hAnsiTheme="minorHAnsi" w:cstheme="minorHAnsi"/>
          <w:color w:val="000000" w:themeColor="text1"/>
          <w:sz w:val="22"/>
          <w:szCs w:val="22"/>
        </w:rPr>
      </w:pPr>
      <w:r w:rsidRPr="009B7324">
        <w:rPr>
          <w:rFonts w:asciiTheme="minorHAnsi" w:hAnsiTheme="minorHAnsi" w:cstheme="minorHAnsi"/>
          <w:color w:val="000000" w:themeColor="text1"/>
          <w:sz w:val="22"/>
          <w:szCs w:val="22"/>
        </w:rPr>
        <w:t xml:space="preserve">Flora, P. and Heidenheimer, A.J. (eds) (2005) </w:t>
      </w:r>
      <w:r w:rsidRPr="009B7324">
        <w:rPr>
          <w:rFonts w:asciiTheme="minorHAnsi" w:hAnsiTheme="minorHAnsi" w:cstheme="minorHAnsi"/>
          <w:i/>
          <w:iCs/>
          <w:color w:val="000000" w:themeColor="text1"/>
          <w:sz w:val="22"/>
          <w:szCs w:val="22"/>
        </w:rPr>
        <w:t>The Development of Welfare States in Europe and America</w:t>
      </w:r>
      <w:r w:rsidRPr="009B7324">
        <w:rPr>
          <w:rFonts w:asciiTheme="minorHAnsi" w:hAnsiTheme="minorHAnsi" w:cstheme="minorHAnsi"/>
          <w:color w:val="000000" w:themeColor="text1"/>
          <w:sz w:val="22"/>
          <w:szCs w:val="22"/>
        </w:rPr>
        <w:t>, New Brunswick: Transaction Publishers</w:t>
      </w:r>
    </w:p>
    <w:p w14:paraId="0753BCE4" w14:textId="72727724" w:rsidR="009B7324" w:rsidRPr="009B7324" w:rsidRDefault="009B7324" w:rsidP="009B7324">
      <w:pPr>
        <w:widowControl w:val="0"/>
        <w:autoSpaceDE w:val="0"/>
        <w:autoSpaceDN w:val="0"/>
        <w:adjustRightInd w:val="0"/>
        <w:ind w:left="284" w:hanging="284"/>
        <w:rPr>
          <w:rFonts w:asciiTheme="minorHAnsi" w:hAnsiTheme="minorHAnsi" w:cstheme="minorHAnsi"/>
          <w:color w:val="000000" w:themeColor="text1"/>
          <w:sz w:val="22"/>
          <w:szCs w:val="22"/>
        </w:rPr>
      </w:pPr>
      <w:proofErr w:type="spellStart"/>
      <w:r w:rsidRPr="009B7324">
        <w:rPr>
          <w:rFonts w:asciiTheme="minorHAnsi" w:hAnsiTheme="minorHAnsi" w:cstheme="minorHAnsi"/>
          <w:color w:val="000000" w:themeColor="text1"/>
          <w:sz w:val="22"/>
          <w:szCs w:val="22"/>
        </w:rPr>
        <w:t>Gallie</w:t>
      </w:r>
      <w:proofErr w:type="spellEnd"/>
      <w:r w:rsidRPr="009B7324">
        <w:rPr>
          <w:rFonts w:asciiTheme="minorHAnsi" w:hAnsiTheme="minorHAnsi" w:cstheme="minorHAnsi"/>
          <w:color w:val="000000" w:themeColor="text1"/>
          <w:sz w:val="22"/>
          <w:szCs w:val="22"/>
        </w:rPr>
        <w:t xml:space="preserve">, D. and </w:t>
      </w:r>
      <w:proofErr w:type="spellStart"/>
      <w:r w:rsidRPr="009B7324">
        <w:rPr>
          <w:rFonts w:asciiTheme="minorHAnsi" w:hAnsiTheme="minorHAnsi" w:cstheme="minorHAnsi"/>
          <w:color w:val="000000" w:themeColor="text1"/>
          <w:sz w:val="22"/>
          <w:szCs w:val="22"/>
        </w:rPr>
        <w:t>Paugnam</w:t>
      </w:r>
      <w:proofErr w:type="spellEnd"/>
      <w:r w:rsidRPr="009B7324">
        <w:rPr>
          <w:rFonts w:asciiTheme="minorHAnsi" w:hAnsiTheme="minorHAnsi" w:cstheme="minorHAnsi"/>
          <w:color w:val="000000" w:themeColor="text1"/>
          <w:sz w:val="22"/>
          <w:szCs w:val="22"/>
        </w:rPr>
        <w:t xml:space="preserve">, S. (eds) (2000) </w:t>
      </w:r>
      <w:r w:rsidRPr="009B7324">
        <w:rPr>
          <w:rFonts w:asciiTheme="minorHAnsi" w:hAnsiTheme="minorHAnsi" w:cstheme="minorHAnsi"/>
          <w:i/>
          <w:iCs/>
          <w:color w:val="000000" w:themeColor="text1"/>
          <w:sz w:val="22"/>
          <w:szCs w:val="22"/>
        </w:rPr>
        <w:t>Welfare Regimes and the Experience of Unemployment in Europe</w:t>
      </w:r>
      <w:r w:rsidRPr="009B7324">
        <w:rPr>
          <w:rFonts w:asciiTheme="minorHAnsi" w:hAnsiTheme="minorHAnsi" w:cstheme="minorHAnsi"/>
          <w:color w:val="000000" w:themeColor="text1"/>
          <w:sz w:val="22"/>
          <w:szCs w:val="22"/>
        </w:rPr>
        <w:t>, Oxford: Oxford University Press</w:t>
      </w:r>
    </w:p>
    <w:p w14:paraId="25710A6C" w14:textId="5730D477" w:rsidR="00635283" w:rsidRPr="00C97895" w:rsidRDefault="004C42F5" w:rsidP="009B7324">
      <w:pPr>
        <w:widowControl w:val="0"/>
        <w:autoSpaceDE w:val="0"/>
        <w:autoSpaceDN w:val="0"/>
        <w:adjustRightInd w:val="0"/>
        <w:ind w:left="284" w:hanging="284"/>
        <w:rPr>
          <w:rFonts w:asciiTheme="minorHAnsi" w:hAnsiTheme="minorHAnsi" w:cstheme="minorHAnsi"/>
          <w:color w:val="000000" w:themeColor="text1"/>
          <w:sz w:val="22"/>
          <w:szCs w:val="22"/>
        </w:rPr>
      </w:pPr>
      <w:r w:rsidRPr="009B7324">
        <w:rPr>
          <w:rFonts w:asciiTheme="minorHAnsi" w:hAnsiTheme="minorHAnsi" w:cstheme="minorHAnsi"/>
          <w:color w:val="000000" w:themeColor="text1"/>
          <w:sz w:val="22"/>
          <w:szCs w:val="22"/>
        </w:rPr>
        <w:t xml:space="preserve">Gamble, A. (2016) </w:t>
      </w:r>
      <w:r w:rsidRPr="009B7324">
        <w:rPr>
          <w:rFonts w:asciiTheme="minorHAnsi" w:hAnsiTheme="minorHAnsi" w:cstheme="minorHAnsi"/>
          <w:i/>
          <w:color w:val="000000" w:themeColor="text1"/>
          <w:sz w:val="22"/>
          <w:szCs w:val="22"/>
        </w:rPr>
        <w:t>Can the Welfare State Survive</w:t>
      </w:r>
      <w:r w:rsidRPr="00C97895">
        <w:rPr>
          <w:rFonts w:asciiTheme="minorHAnsi" w:hAnsiTheme="minorHAnsi" w:cstheme="minorHAnsi"/>
          <w:i/>
          <w:color w:val="000000" w:themeColor="text1"/>
          <w:sz w:val="22"/>
          <w:szCs w:val="22"/>
        </w:rPr>
        <w:t>?</w:t>
      </w:r>
      <w:r w:rsidRPr="00C97895">
        <w:rPr>
          <w:rFonts w:asciiTheme="minorHAnsi" w:hAnsiTheme="minorHAnsi" w:cstheme="minorHAnsi"/>
          <w:color w:val="000000" w:themeColor="text1"/>
          <w:sz w:val="22"/>
          <w:szCs w:val="22"/>
        </w:rPr>
        <w:t xml:space="preserve"> Cambridge: Polity.</w:t>
      </w:r>
    </w:p>
    <w:p w14:paraId="13F62844" w14:textId="77777777" w:rsidR="00970FED" w:rsidRPr="00970FED" w:rsidRDefault="00970FED" w:rsidP="00970FED">
      <w:pPr>
        <w:rPr>
          <w:rFonts w:asciiTheme="minorHAnsi" w:hAnsiTheme="minorHAnsi" w:cstheme="minorHAnsi"/>
          <w:color w:val="000000" w:themeColor="text1"/>
        </w:rPr>
      </w:pPr>
      <w:proofErr w:type="spellStart"/>
      <w:r w:rsidRPr="00970FED">
        <w:rPr>
          <w:rFonts w:asciiTheme="minorHAnsi" w:hAnsiTheme="minorHAnsi" w:cstheme="minorHAnsi"/>
          <w:color w:val="000000" w:themeColor="text1"/>
          <w:sz w:val="21"/>
          <w:szCs w:val="21"/>
          <w:shd w:val="clear" w:color="auto" w:fill="FFFFFF"/>
        </w:rPr>
        <w:t>Gangl</w:t>
      </w:r>
      <w:proofErr w:type="spellEnd"/>
      <w:r w:rsidRPr="00970FED">
        <w:rPr>
          <w:rFonts w:asciiTheme="minorHAnsi" w:hAnsiTheme="minorHAnsi" w:cstheme="minorHAnsi"/>
          <w:color w:val="000000" w:themeColor="text1"/>
          <w:sz w:val="21"/>
          <w:szCs w:val="21"/>
          <w:shd w:val="clear" w:color="auto" w:fill="FFFFFF"/>
        </w:rPr>
        <w:t>, M. (2004) Welfare States and the Scar Effects of Unemployment: A Comparative Analysis of the United States and West Germany.</w:t>
      </w:r>
      <w:r w:rsidRPr="00970FED">
        <w:rPr>
          <w:rStyle w:val="apple-converted-space"/>
          <w:rFonts w:asciiTheme="minorHAnsi" w:hAnsiTheme="minorHAnsi" w:cstheme="minorHAnsi"/>
          <w:color w:val="000000" w:themeColor="text1"/>
          <w:sz w:val="21"/>
          <w:szCs w:val="21"/>
          <w:shd w:val="clear" w:color="auto" w:fill="FFFFFF"/>
        </w:rPr>
        <w:t> </w:t>
      </w:r>
      <w:r w:rsidRPr="00970FED">
        <w:rPr>
          <w:rFonts w:asciiTheme="minorHAnsi" w:hAnsiTheme="minorHAnsi" w:cstheme="minorHAnsi"/>
          <w:i/>
          <w:iCs/>
          <w:color w:val="000000" w:themeColor="text1"/>
          <w:sz w:val="21"/>
          <w:szCs w:val="21"/>
        </w:rPr>
        <w:t>American Journal of Sociology,</w:t>
      </w:r>
      <w:r w:rsidRPr="00970FED">
        <w:rPr>
          <w:rStyle w:val="apple-converted-space"/>
          <w:rFonts w:asciiTheme="minorHAnsi" w:hAnsiTheme="minorHAnsi" w:cstheme="minorHAnsi"/>
          <w:color w:val="000000" w:themeColor="text1"/>
          <w:sz w:val="21"/>
          <w:szCs w:val="21"/>
          <w:shd w:val="clear" w:color="auto" w:fill="FFFFFF"/>
        </w:rPr>
        <w:t> </w:t>
      </w:r>
      <w:r w:rsidRPr="00970FED">
        <w:rPr>
          <w:rFonts w:asciiTheme="minorHAnsi" w:hAnsiTheme="minorHAnsi" w:cstheme="minorHAnsi"/>
          <w:i/>
          <w:iCs/>
          <w:color w:val="000000" w:themeColor="text1"/>
          <w:sz w:val="21"/>
          <w:szCs w:val="21"/>
        </w:rPr>
        <w:t>109</w:t>
      </w:r>
      <w:r w:rsidRPr="00970FED">
        <w:rPr>
          <w:rFonts w:asciiTheme="minorHAnsi" w:hAnsiTheme="minorHAnsi" w:cstheme="minorHAnsi"/>
          <w:color w:val="000000" w:themeColor="text1"/>
          <w:sz w:val="21"/>
          <w:szCs w:val="21"/>
          <w:shd w:val="clear" w:color="auto" w:fill="FFFFFF"/>
        </w:rPr>
        <w:t xml:space="preserve">(6), 1319-1364. </w:t>
      </w:r>
    </w:p>
    <w:p w14:paraId="6A9F6775" w14:textId="77777777" w:rsidR="00C56D6C" w:rsidRPr="00C56D6C" w:rsidRDefault="00C56D6C" w:rsidP="00C56D6C">
      <w:pPr>
        <w:ind w:left="284" w:hanging="284"/>
        <w:rPr>
          <w:rFonts w:asciiTheme="minorHAnsi" w:hAnsiTheme="minorHAnsi" w:cstheme="minorHAnsi"/>
          <w:color w:val="000000" w:themeColor="text1"/>
          <w:sz w:val="22"/>
          <w:szCs w:val="22"/>
        </w:rPr>
      </w:pPr>
      <w:r w:rsidRPr="00C56D6C">
        <w:rPr>
          <w:rFonts w:asciiTheme="minorHAnsi" w:hAnsiTheme="minorHAnsi" w:cstheme="minorHAnsi"/>
          <w:color w:val="000000" w:themeColor="text1"/>
          <w:sz w:val="22"/>
          <w:szCs w:val="22"/>
        </w:rPr>
        <w:t xml:space="preserve">Gough, I. (1979) </w:t>
      </w:r>
      <w:r w:rsidRPr="00C56D6C">
        <w:rPr>
          <w:rFonts w:asciiTheme="minorHAnsi" w:hAnsiTheme="minorHAnsi" w:cstheme="minorHAnsi"/>
          <w:i/>
          <w:iCs/>
          <w:color w:val="000000" w:themeColor="text1"/>
          <w:sz w:val="22"/>
          <w:szCs w:val="22"/>
        </w:rPr>
        <w:t>The Political Economy of the Welfare State</w:t>
      </w:r>
      <w:r w:rsidRPr="00C56D6C">
        <w:rPr>
          <w:rFonts w:asciiTheme="minorHAnsi" w:hAnsiTheme="minorHAnsi" w:cstheme="minorHAnsi"/>
          <w:color w:val="000000" w:themeColor="text1"/>
          <w:sz w:val="22"/>
          <w:szCs w:val="22"/>
        </w:rPr>
        <w:t xml:space="preserve">, London: Macmillan. </w:t>
      </w:r>
    </w:p>
    <w:p w14:paraId="761D9182" w14:textId="49C9D832" w:rsidR="006C1735" w:rsidRPr="00514194" w:rsidRDefault="006C1735" w:rsidP="00C56D6C">
      <w:pPr>
        <w:rPr>
          <w:rFonts w:asciiTheme="minorHAnsi" w:hAnsiTheme="minorHAnsi" w:cstheme="minorHAnsi"/>
          <w:color w:val="000000" w:themeColor="text1"/>
          <w:sz w:val="22"/>
          <w:szCs w:val="22"/>
        </w:rPr>
      </w:pPr>
      <w:r w:rsidRPr="00514194">
        <w:rPr>
          <w:rFonts w:asciiTheme="minorHAnsi" w:hAnsiTheme="minorHAnsi" w:cstheme="minorHAnsi"/>
          <w:color w:val="000000" w:themeColor="text1"/>
          <w:sz w:val="22"/>
          <w:szCs w:val="22"/>
        </w:rPr>
        <w:t>Gray, M. and Barford, A. (2018) The depths of the cuts: the uneven geography of local government austerity, </w:t>
      </w:r>
      <w:r w:rsidRPr="00514194">
        <w:rPr>
          <w:rFonts w:asciiTheme="minorHAnsi" w:hAnsiTheme="minorHAnsi" w:cstheme="minorHAnsi"/>
          <w:i/>
          <w:iCs/>
          <w:color w:val="000000" w:themeColor="text1"/>
          <w:sz w:val="22"/>
          <w:szCs w:val="22"/>
        </w:rPr>
        <w:t>Cambridge Journal of Regions, Economy and Society</w:t>
      </w:r>
      <w:r w:rsidRPr="00514194">
        <w:rPr>
          <w:rFonts w:asciiTheme="minorHAnsi" w:hAnsiTheme="minorHAnsi" w:cstheme="minorHAnsi"/>
          <w:color w:val="000000" w:themeColor="text1"/>
          <w:sz w:val="22"/>
          <w:szCs w:val="22"/>
        </w:rPr>
        <w:t>, 11, 3, pp 541–563,</w:t>
      </w:r>
    </w:p>
    <w:p w14:paraId="3F911857" w14:textId="7816D721" w:rsidR="00514186" w:rsidRDefault="00514186" w:rsidP="00514194">
      <w:pPr>
        <w:ind w:left="284" w:hanging="28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Harvey, D. (2007) </w:t>
      </w:r>
      <w:r w:rsidRPr="00514186">
        <w:rPr>
          <w:rFonts w:asciiTheme="minorHAnsi" w:hAnsiTheme="minorHAnsi" w:cstheme="minorHAnsi"/>
          <w:bCs/>
          <w:i/>
          <w:iCs/>
          <w:color w:val="000000" w:themeColor="text1"/>
          <w:sz w:val="22"/>
          <w:szCs w:val="22"/>
        </w:rPr>
        <w:t>A Brief History of Neoliberalism</w:t>
      </w:r>
      <w:r>
        <w:rPr>
          <w:rFonts w:asciiTheme="minorHAnsi" w:hAnsiTheme="minorHAnsi" w:cstheme="minorHAnsi"/>
          <w:bCs/>
          <w:color w:val="000000" w:themeColor="text1"/>
          <w:sz w:val="22"/>
          <w:szCs w:val="22"/>
        </w:rPr>
        <w:t xml:space="preserve">, Oxford: </w:t>
      </w:r>
      <w:proofErr w:type="spellStart"/>
      <w:r>
        <w:rPr>
          <w:rFonts w:asciiTheme="minorHAnsi" w:hAnsiTheme="minorHAnsi" w:cstheme="minorHAnsi"/>
          <w:bCs/>
          <w:color w:val="000000" w:themeColor="text1"/>
          <w:sz w:val="22"/>
          <w:szCs w:val="22"/>
        </w:rPr>
        <w:t>Ofrod</w:t>
      </w:r>
      <w:proofErr w:type="spellEnd"/>
      <w:r>
        <w:rPr>
          <w:rFonts w:asciiTheme="minorHAnsi" w:hAnsiTheme="minorHAnsi" w:cstheme="minorHAnsi"/>
          <w:bCs/>
          <w:color w:val="000000" w:themeColor="text1"/>
          <w:sz w:val="22"/>
          <w:szCs w:val="22"/>
        </w:rPr>
        <w:t xml:space="preserve"> University Press</w:t>
      </w:r>
    </w:p>
    <w:p w14:paraId="1AE618DD" w14:textId="32569B50" w:rsidR="00514194" w:rsidRPr="00514194" w:rsidRDefault="00514194" w:rsidP="00514194">
      <w:pPr>
        <w:ind w:left="284" w:hanging="284"/>
        <w:rPr>
          <w:rFonts w:asciiTheme="minorHAnsi" w:hAnsiTheme="minorHAnsi" w:cstheme="minorHAnsi"/>
          <w:bCs/>
          <w:color w:val="000000" w:themeColor="text1"/>
          <w:sz w:val="22"/>
          <w:szCs w:val="22"/>
        </w:rPr>
      </w:pPr>
      <w:r w:rsidRPr="00514194">
        <w:rPr>
          <w:rFonts w:asciiTheme="minorHAnsi" w:hAnsiTheme="minorHAnsi" w:cstheme="minorHAnsi"/>
          <w:bCs/>
          <w:color w:val="000000" w:themeColor="text1"/>
          <w:sz w:val="22"/>
          <w:szCs w:val="22"/>
        </w:rPr>
        <w:t xml:space="preserve">Hastings, T. and </w:t>
      </w:r>
      <w:proofErr w:type="spellStart"/>
      <w:r w:rsidRPr="00514194">
        <w:rPr>
          <w:rFonts w:asciiTheme="minorHAnsi" w:hAnsiTheme="minorHAnsi" w:cstheme="minorHAnsi"/>
          <w:bCs/>
          <w:color w:val="000000" w:themeColor="text1"/>
          <w:sz w:val="22"/>
          <w:szCs w:val="22"/>
        </w:rPr>
        <w:t>Heyes</w:t>
      </w:r>
      <w:proofErr w:type="spellEnd"/>
      <w:r w:rsidRPr="00514194">
        <w:rPr>
          <w:rFonts w:asciiTheme="minorHAnsi" w:hAnsiTheme="minorHAnsi" w:cstheme="minorHAnsi"/>
          <w:bCs/>
          <w:color w:val="000000" w:themeColor="text1"/>
          <w:sz w:val="22"/>
          <w:szCs w:val="22"/>
        </w:rPr>
        <w:t xml:space="preserve">, J. (2018) ‘Farewell to flexicurity? Austerity and labour policies in the European Union’, </w:t>
      </w:r>
      <w:r w:rsidRPr="00514194">
        <w:rPr>
          <w:rFonts w:asciiTheme="minorHAnsi" w:hAnsiTheme="minorHAnsi" w:cstheme="minorHAnsi"/>
          <w:bCs/>
          <w:i/>
          <w:color w:val="000000" w:themeColor="text1"/>
          <w:sz w:val="22"/>
          <w:szCs w:val="22"/>
        </w:rPr>
        <w:t>Economic and Industrial Democracy</w:t>
      </w:r>
      <w:r w:rsidRPr="00514194">
        <w:rPr>
          <w:rFonts w:asciiTheme="minorHAnsi" w:hAnsiTheme="minorHAnsi" w:cstheme="minorHAnsi"/>
          <w:bCs/>
          <w:color w:val="000000" w:themeColor="text1"/>
          <w:sz w:val="22"/>
          <w:szCs w:val="22"/>
        </w:rPr>
        <w:t>, 39(3): 458-480.</w:t>
      </w:r>
    </w:p>
    <w:p w14:paraId="5B27F381" w14:textId="1C79B6A1" w:rsidR="002F12E8" w:rsidRPr="000F75AE" w:rsidRDefault="002F12E8" w:rsidP="008C4471">
      <w:pPr>
        <w:rPr>
          <w:rFonts w:asciiTheme="minorHAnsi" w:hAnsiTheme="minorHAnsi" w:cstheme="minorHAnsi"/>
          <w:bCs/>
          <w:color w:val="000000" w:themeColor="text1"/>
          <w:sz w:val="22"/>
          <w:szCs w:val="22"/>
        </w:rPr>
      </w:pPr>
      <w:r w:rsidRPr="000F75AE">
        <w:rPr>
          <w:rFonts w:asciiTheme="minorHAnsi" w:hAnsiTheme="minorHAnsi" w:cstheme="minorHAnsi"/>
          <w:bCs/>
          <w:color w:val="000000" w:themeColor="text1"/>
          <w:sz w:val="22"/>
          <w:szCs w:val="22"/>
        </w:rPr>
        <w:t>Hobson</w:t>
      </w:r>
      <w:r w:rsidR="000F75AE">
        <w:rPr>
          <w:rFonts w:asciiTheme="minorHAnsi" w:hAnsiTheme="minorHAnsi" w:cstheme="minorHAnsi"/>
          <w:bCs/>
          <w:color w:val="000000" w:themeColor="text1"/>
          <w:sz w:val="22"/>
          <w:szCs w:val="22"/>
        </w:rPr>
        <w:t>, B.</w:t>
      </w:r>
      <w:r w:rsidRPr="000F75AE">
        <w:rPr>
          <w:rFonts w:asciiTheme="minorHAnsi" w:hAnsiTheme="minorHAnsi" w:cstheme="minorHAnsi"/>
          <w:bCs/>
          <w:color w:val="000000" w:themeColor="text1"/>
          <w:sz w:val="22"/>
          <w:szCs w:val="22"/>
        </w:rPr>
        <w:t xml:space="preserve"> (199</w:t>
      </w:r>
      <w:r w:rsidR="000F75AE" w:rsidRPr="000F75AE">
        <w:rPr>
          <w:rFonts w:asciiTheme="minorHAnsi" w:hAnsiTheme="minorHAnsi" w:cstheme="minorHAnsi"/>
          <w:bCs/>
          <w:color w:val="000000" w:themeColor="text1"/>
          <w:sz w:val="22"/>
          <w:szCs w:val="22"/>
        </w:rPr>
        <w:t>4</w:t>
      </w:r>
      <w:r w:rsidRPr="000F75AE">
        <w:rPr>
          <w:rFonts w:asciiTheme="minorHAnsi" w:hAnsiTheme="minorHAnsi" w:cstheme="minorHAnsi"/>
          <w:bCs/>
          <w:color w:val="000000" w:themeColor="text1"/>
          <w:sz w:val="22"/>
          <w:szCs w:val="22"/>
        </w:rPr>
        <w:t xml:space="preserve">) </w:t>
      </w:r>
      <w:r w:rsidR="000F75AE" w:rsidRPr="000F75AE">
        <w:rPr>
          <w:rFonts w:asciiTheme="minorHAnsi" w:hAnsiTheme="minorHAnsi" w:cstheme="minorHAnsi"/>
          <w:bCs/>
          <w:color w:val="000000" w:themeColor="text1"/>
          <w:sz w:val="22"/>
          <w:szCs w:val="22"/>
        </w:rPr>
        <w:t xml:space="preserve">‘Solo Mothers, Social Policy Regimes and the Logics of Gender’ in D. Sainsbury (ed) </w:t>
      </w:r>
      <w:r w:rsidR="000F75AE" w:rsidRPr="000F75AE">
        <w:rPr>
          <w:rFonts w:asciiTheme="minorHAnsi" w:hAnsiTheme="minorHAnsi" w:cstheme="minorHAnsi"/>
          <w:bCs/>
          <w:i/>
          <w:iCs/>
          <w:color w:val="000000" w:themeColor="text1"/>
          <w:sz w:val="22"/>
          <w:szCs w:val="22"/>
        </w:rPr>
        <w:t>Gendering Welfare States</w:t>
      </w:r>
      <w:r w:rsidR="000F75AE" w:rsidRPr="000F75AE">
        <w:rPr>
          <w:rFonts w:asciiTheme="minorHAnsi" w:hAnsiTheme="minorHAnsi" w:cstheme="minorHAnsi"/>
          <w:bCs/>
          <w:color w:val="000000" w:themeColor="text1"/>
          <w:sz w:val="22"/>
          <w:szCs w:val="22"/>
        </w:rPr>
        <w:t>, London:</w:t>
      </w:r>
      <w:r w:rsidR="000F75AE">
        <w:rPr>
          <w:rFonts w:asciiTheme="minorHAnsi" w:hAnsiTheme="minorHAnsi" w:cstheme="minorHAnsi"/>
          <w:bCs/>
          <w:color w:val="000000" w:themeColor="text1"/>
          <w:sz w:val="22"/>
          <w:szCs w:val="22"/>
        </w:rPr>
        <w:t xml:space="preserve"> </w:t>
      </w:r>
      <w:r w:rsidR="000F75AE" w:rsidRPr="000F75AE">
        <w:rPr>
          <w:rFonts w:asciiTheme="minorHAnsi" w:hAnsiTheme="minorHAnsi" w:cstheme="minorHAnsi"/>
          <w:bCs/>
          <w:color w:val="000000" w:themeColor="text1"/>
          <w:sz w:val="22"/>
          <w:szCs w:val="22"/>
        </w:rPr>
        <w:t>Sage</w:t>
      </w:r>
    </w:p>
    <w:p w14:paraId="506431D6" w14:textId="4C39A97D" w:rsidR="008C4471" w:rsidRDefault="008C4471" w:rsidP="008C4471">
      <w:pPr>
        <w:rPr>
          <w:rFonts w:asciiTheme="minorHAnsi" w:hAnsiTheme="minorHAnsi" w:cstheme="minorHAnsi"/>
          <w:sz w:val="22"/>
          <w:szCs w:val="22"/>
        </w:rPr>
      </w:pPr>
      <w:r>
        <w:rPr>
          <w:rFonts w:asciiTheme="minorHAnsi" w:hAnsiTheme="minorHAnsi" w:cstheme="minorHAnsi"/>
          <w:sz w:val="22"/>
          <w:szCs w:val="22"/>
        </w:rPr>
        <w:t xml:space="preserve">ILO (2020) </w:t>
      </w:r>
      <w:proofErr w:type="spellStart"/>
      <w:r>
        <w:rPr>
          <w:rFonts w:asciiTheme="minorHAnsi" w:hAnsiTheme="minorHAnsi" w:cstheme="minorHAnsi"/>
          <w:sz w:val="22"/>
          <w:szCs w:val="22"/>
        </w:rPr>
        <w:t>ILOStat</w:t>
      </w:r>
      <w:proofErr w:type="spellEnd"/>
      <w:r w:rsidRPr="006867D1">
        <w:rPr>
          <w:rFonts w:asciiTheme="minorHAnsi" w:hAnsiTheme="minorHAnsi" w:cstheme="minorHAnsi"/>
          <w:sz w:val="22"/>
          <w:szCs w:val="22"/>
        </w:rPr>
        <w:t xml:space="preserve">, </w:t>
      </w:r>
      <w:r w:rsidR="006867D1" w:rsidRPr="006867D1">
        <w:rPr>
          <w:rFonts w:asciiTheme="minorHAnsi" w:hAnsiTheme="minorHAnsi" w:cstheme="minorHAnsi"/>
          <w:i/>
          <w:iCs/>
          <w:sz w:val="22"/>
          <w:szCs w:val="22"/>
        </w:rPr>
        <w:t xml:space="preserve">Statistics on unemployment and supplementary measures of labour underutilization 1996-2020 - </w:t>
      </w:r>
      <w:r w:rsidRPr="006867D1">
        <w:rPr>
          <w:rFonts w:asciiTheme="minorHAnsi" w:hAnsiTheme="minorHAnsi" w:cstheme="minorHAnsi"/>
          <w:i/>
          <w:iCs/>
          <w:sz w:val="22"/>
          <w:szCs w:val="22"/>
        </w:rPr>
        <w:t>Time-related Underemployment Rate by Sex and Age (%) Annual</w:t>
      </w:r>
      <w:r>
        <w:rPr>
          <w:rFonts w:asciiTheme="minorHAnsi" w:hAnsiTheme="minorHAnsi" w:cstheme="minorHAnsi"/>
          <w:sz w:val="22"/>
          <w:szCs w:val="22"/>
        </w:rPr>
        <w:t xml:space="preserve"> [Data File]</w:t>
      </w:r>
      <w:r w:rsidRPr="008C4471">
        <w:t xml:space="preserve"> </w:t>
      </w:r>
      <w:r>
        <w:t xml:space="preserve">Retrieved from: </w:t>
      </w:r>
      <w:hyperlink r:id="rId11" w:history="1">
        <w:r w:rsidR="00906281" w:rsidRPr="00356804">
          <w:rPr>
            <w:rStyle w:val="Hyperlink"/>
            <w:rFonts w:asciiTheme="minorHAnsi" w:hAnsiTheme="minorHAnsi" w:cstheme="minorHAnsi"/>
            <w:sz w:val="22"/>
            <w:szCs w:val="22"/>
          </w:rPr>
          <w:t>https://www.ilo.org/shinyapps/bulkexplorer30/?lang=en&amp;segment=indicator&amp;id=TRU_DEMP_SEX_AGE_RT_A</w:t>
        </w:r>
      </w:hyperlink>
    </w:p>
    <w:p w14:paraId="65C18256" w14:textId="16C78F36" w:rsidR="002F12E8" w:rsidRPr="002F12E8" w:rsidRDefault="002F12E8" w:rsidP="002F12E8">
      <w:pPr>
        <w:rPr>
          <w:rFonts w:asciiTheme="minorHAnsi" w:hAnsiTheme="minorHAnsi" w:cstheme="minorHAnsi"/>
          <w:color w:val="FF0000"/>
          <w:sz w:val="22"/>
          <w:szCs w:val="22"/>
        </w:rPr>
      </w:pPr>
      <w:r w:rsidRPr="002F12E8">
        <w:rPr>
          <w:rFonts w:asciiTheme="minorHAnsi" w:hAnsiTheme="minorHAnsi" w:cstheme="minorHAnsi"/>
          <w:color w:val="000000" w:themeColor="text1"/>
          <w:sz w:val="22"/>
          <w:szCs w:val="22"/>
        </w:rPr>
        <w:t>Inglehart, R</w:t>
      </w:r>
      <w:r w:rsidR="00087A3E">
        <w:rPr>
          <w:rFonts w:asciiTheme="minorHAnsi" w:hAnsiTheme="minorHAnsi" w:cstheme="minorHAnsi"/>
          <w:color w:val="000000" w:themeColor="text1"/>
          <w:sz w:val="22"/>
          <w:szCs w:val="22"/>
        </w:rPr>
        <w:t>.</w:t>
      </w:r>
      <w:r w:rsidRPr="002F12E8">
        <w:rPr>
          <w:rFonts w:asciiTheme="minorHAnsi" w:hAnsiTheme="minorHAnsi" w:cstheme="minorHAnsi"/>
          <w:color w:val="000000" w:themeColor="text1"/>
          <w:sz w:val="22"/>
          <w:szCs w:val="22"/>
        </w:rPr>
        <w:t xml:space="preserve"> F. and Norris, P</w:t>
      </w:r>
      <w:r w:rsidR="00087A3E">
        <w:rPr>
          <w:rFonts w:asciiTheme="minorHAnsi" w:hAnsiTheme="minorHAnsi" w:cstheme="minorHAnsi"/>
          <w:color w:val="000000" w:themeColor="text1"/>
          <w:sz w:val="22"/>
          <w:szCs w:val="22"/>
        </w:rPr>
        <w:t>. (2016)</w:t>
      </w:r>
      <w:r w:rsidRPr="002F12E8">
        <w:rPr>
          <w:rFonts w:asciiTheme="minorHAnsi" w:hAnsiTheme="minorHAnsi" w:cstheme="minorHAnsi"/>
          <w:color w:val="000000" w:themeColor="text1"/>
          <w:sz w:val="22"/>
          <w:szCs w:val="22"/>
        </w:rPr>
        <w:t xml:space="preserve"> </w:t>
      </w:r>
      <w:r w:rsidRPr="002F12E8">
        <w:rPr>
          <w:rFonts w:asciiTheme="minorHAnsi" w:hAnsiTheme="minorHAnsi" w:cstheme="minorHAnsi"/>
          <w:i/>
          <w:iCs/>
          <w:color w:val="000000" w:themeColor="text1"/>
          <w:sz w:val="22"/>
          <w:szCs w:val="22"/>
        </w:rPr>
        <w:t>Trump, Brexit, and the Rise of Populism: Economic Have-Nots and Cultural Backlash</w:t>
      </w:r>
      <w:r w:rsidR="00087A3E">
        <w:rPr>
          <w:rFonts w:asciiTheme="minorHAnsi" w:hAnsiTheme="minorHAnsi" w:cstheme="minorHAnsi"/>
          <w:color w:val="000000" w:themeColor="text1"/>
          <w:sz w:val="22"/>
          <w:szCs w:val="22"/>
        </w:rPr>
        <w:t xml:space="preserve">, </w:t>
      </w:r>
      <w:r w:rsidRPr="002F12E8">
        <w:rPr>
          <w:rFonts w:asciiTheme="minorHAnsi" w:hAnsiTheme="minorHAnsi" w:cstheme="minorHAnsi"/>
          <w:color w:val="000000" w:themeColor="text1"/>
          <w:sz w:val="22"/>
          <w:szCs w:val="22"/>
        </w:rPr>
        <w:t>July 29, HKS Working Paper No. RWP16-026. Available at SSRN: </w:t>
      </w:r>
      <w:hyperlink r:id="rId12" w:tgtFrame="_blank" w:history="1">
        <w:r w:rsidRPr="002F12E8">
          <w:rPr>
            <w:rStyle w:val="Hyperlink"/>
            <w:rFonts w:asciiTheme="minorHAnsi" w:hAnsiTheme="minorHAnsi" w:cstheme="minorHAnsi"/>
            <w:sz w:val="22"/>
            <w:szCs w:val="22"/>
          </w:rPr>
          <w:t>https://ssrn.com/abstract=2818659</w:t>
        </w:r>
      </w:hyperlink>
      <w:r w:rsidRPr="002F12E8">
        <w:rPr>
          <w:rFonts w:asciiTheme="minorHAnsi" w:hAnsiTheme="minorHAnsi" w:cstheme="minorHAnsi"/>
          <w:color w:val="FF0000"/>
          <w:sz w:val="22"/>
          <w:szCs w:val="22"/>
        </w:rPr>
        <w:t> </w:t>
      </w:r>
      <w:r w:rsidR="00087A3E" w:rsidRPr="002F12E8">
        <w:rPr>
          <w:rFonts w:asciiTheme="minorHAnsi" w:hAnsiTheme="minorHAnsi" w:cstheme="minorHAnsi"/>
          <w:color w:val="FF0000"/>
          <w:sz w:val="22"/>
          <w:szCs w:val="22"/>
        </w:rPr>
        <w:t xml:space="preserve"> </w:t>
      </w:r>
    </w:p>
    <w:p w14:paraId="536C7DFF" w14:textId="68E7C1E4" w:rsidR="00F737C1" w:rsidRDefault="00F737C1" w:rsidP="008C4471">
      <w:pPr>
        <w:rPr>
          <w:rFonts w:asciiTheme="minorHAnsi" w:hAnsiTheme="minorHAnsi" w:cstheme="minorHAnsi"/>
          <w:color w:val="FF0000"/>
          <w:sz w:val="22"/>
          <w:szCs w:val="22"/>
        </w:rPr>
      </w:pPr>
      <w:r w:rsidRPr="00F737C1">
        <w:rPr>
          <w:rFonts w:asciiTheme="minorHAnsi" w:hAnsiTheme="minorHAnsi" w:cstheme="minorHAnsi"/>
          <w:color w:val="000000" w:themeColor="text1"/>
          <w:sz w:val="22"/>
          <w:szCs w:val="22"/>
        </w:rPr>
        <w:t xml:space="preserve">Insurance Europe (2018) European Insurance in Figures, 2017 Data, Brussels: Insurance Europe </w:t>
      </w:r>
      <w:proofErr w:type="spellStart"/>
      <w:r w:rsidRPr="00F737C1">
        <w:rPr>
          <w:rFonts w:asciiTheme="minorHAnsi" w:hAnsiTheme="minorHAnsi" w:cstheme="minorHAnsi"/>
          <w:color w:val="000000" w:themeColor="text1"/>
          <w:sz w:val="22"/>
          <w:szCs w:val="22"/>
        </w:rPr>
        <w:t>aisbl</w:t>
      </w:r>
      <w:proofErr w:type="spellEnd"/>
      <w:r w:rsidRPr="00F737C1">
        <w:rPr>
          <w:rFonts w:asciiTheme="minorHAnsi" w:hAnsiTheme="minorHAnsi" w:cstheme="minorHAnsi"/>
          <w:color w:val="000000" w:themeColor="text1"/>
          <w:sz w:val="22"/>
          <w:szCs w:val="22"/>
        </w:rPr>
        <w:t xml:space="preserve">, </w:t>
      </w:r>
      <w:hyperlink r:id="rId13" w:history="1">
        <w:r w:rsidRPr="00356804">
          <w:rPr>
            <w:rStyle w:val="Hyperlink"/>
            <w:rFonts w:asciiTheme="minorHAnsi" w:hAnsiTheme="minorHAnsi" w:cstheme="minorHAnsi"/>
            <w:sz w:val="22"/>
            <w:szCs w:val="22"/>
          </w:rPr>
          <w:t>https://www.insuranceeurope.eu/sites/default/files/attachments/European%20Insurance%20in%20Figures%20-%202017%20data.pdf</w:t>
        </w:r>
      </w:hyperlink>
    </w:p>
    <w:p w14:paraId="78157F13" w14:textId="44A19AF3" w:rsidR="00635283" w:rsidRPr="000F75AE" w:rsidRDefault="000F75AE" w:rsidP="008C4471">
      <w:pPr>
        <w:rPr>
          <w:rFonts w:asciiTheme="minorHAnsi" w:hAnsiTheme="minorHAnsi" w:cstheme="minorHAnsi"/>
          <w:color w:val="000000" w:themeColor="text1"/>
          <w:sz w:val="22"/>
          <w:szCs w:val="22"/>
        </w:rPr>
      </w:pPr>
      <w:r w:rsidRPr="000F75AE">
        <w:rPr>
          <w:rFonts w:asciiTheme="minorHAnsi" w:hAnsiTheme="minorHAnsi" w:cstheme="minorHAnsi"/>
          <w:color w:val="000000" w:themeColor="text1"/>
          <w:sz w:val="22"/>
          <w:szCs w:val="22"/>
        </w:rPr>
        <w:lastRenderedPageBreak/>
        <w:t xml:space="preserve">Jessop B (2015) ‘Neo-liberalism, Finance-dominated Accumulation, and Enduring Austerity: A Cultural Political Economy Perspective’, pp. 87–112 in K </w:t>
      </w:r>
      <w:proofErr w:type="spellStart"/>
      <w:r w:rsidRPr="000F75AE">
        <w:rPr>
          <w:rFonts w:asciiTheme="minorHAnsi" w:hAnsiTheme="minorHAnsi" w:cstheme="minorHAnsi"/>
          <w:color w:val="000000" w:themeColor="text1"/>
          <w:sz w:val="22"/>
          <w:szCs w:val="22"/>
        </w:rPr>
        <w:t>Farn</w:t>
      </w:r>
      <w:proofErr w:type="spellEnd"/>
      <w:r w:rsidRPr="000F75AE">
        <w:rPr>
          <w:rFonts w:asciiTheme="minorHAnsi" w:hAnsiTheme="minorHAnsi" w:cstheme="minorHAnsi"/>
          <w:color w:val="000000" w:themeColor="text1"/>
          <w:sz w:val="22"/>
          <w:szCs w:val="22"/>
        </w:rPr>
        <w:t xml:space="preserve">- </w:t>
      </w:r>
      <w:proofErr w:type="spellStart"/>
      <w:r w:rsidRPr="000F75AE">
        <w:rPr>
          <w:rFonts w:asciiTheme="minorHAnsi" w:hAnsiTheme="minorHAnsi" w:cstheme="minorHAnsi"/>
          <w:color w:val="000000" w:themeColor="text1"/>
          <w:sz w:val="22"/>
          <w:szCs w:val="22"/>
        </w:rPr>
        <w:t>sworth</w:t>
      </w:r>
      <w:proofErr w:type="spellEnd"/>
      <w:r w:rsidRPr="000F75AE">
        <w:rPr>
          <w:rFonts w:asciiTheme="minorHAnsi" w:hAnsiTheme="minorHAnsi" w:cstheme="minorHAnsi"/>
          <w:color w:val="000000" w:themeColor="text1"/>
          <w:sz w:val="22"/>
          <w:szCs w:val="22"/>
        </w:rPr>
        <w:t xml:space="preserve"> and Z Irving (eds) </w:t>
      </w:r>
      <w:r w:rsidRPr="000F75AE">
        <w:rPr>
          <w:rFonts w:asciiTheme="minorHAnsi" w:hAnsiTheme="minorHAnsi" w:cstheme="minorHAnsi"/>
          <w:i/>
          <w:iCs/>
          <w:color w:val="000000" w:themeColor="text1"/>
          <w:sz w:val="22"/>
          <w:szCs w:val="22"/>
        </w:rPr>
        <w:t>Social Policy in Times of Austerity: Global Economic Crisis and the New Politics of Welfare</w:t>
      </w:r>
      <w:r w:rsidRPr="000F75AE">
        <w:rPr>
          <w:rFonts w:asciiTheme="minorHAnsi" w:hAnsiTheme="minorHAnsi" w:cstheme="minorHAnsi"/>
          <w:color w:val="000000" w:themeColor="text1"/>
          <w:sz w:val="22"/>
          <w:szCs w:val="22"/>
        </w:rPr>
        <w:t xml:space="preserve">. Bristol: Policy Press. </w:t>
      </w:r>
    </w:p>
    <w:p w14:paraId="7F85BA44" w14:textId="7EEA2835" w:rsidR="004C42F5" w:rsidRPr="00C97895" w:rsidRDefault="00421D76" w:rsidP="00F41BBD">
      <w:pPr>
        <w:ind w:left="284" w:hanging="284"/>
        <w:rPr>
          <w:rFonts w:asciiTheme="minorHAnsi" w:hAnsiTheme="minorHAnsi" w:cstheme="minorHAnsi"/>
          <w:color w:val="000000" w:themeColor="text1"/>
          <w:sz w:val="22"/>
          <w:szCs w:val="22"/>
        </w:rPr>
      </w:pPr>
      <w:r w:rsidRPr="00C97895">
        <w:rPr>
          <w:rFonts w:asciiTheme="minorHAnsi" w:hAnsiTheme="minorHAnsi" w:cstheme="minorHAnsi"/>
          <w:color w:val="000000" w:themeColor="text1"/>
          <w:sz w:val="22"/>
          <w:szCs w:val="22"/>
        </w:rPr>
        <w:t>Johnson</w:t>
      </w:r>
      <w:r w:rsidR="004C42F5" w:rsidRPr="00C97895">
        <w:rPr>
          <w:rFonts w:asciiTheme="minorHAnsi" w:hAnsiTheme="minorHAnsi" w:cstheme="minorHAnsi"/>
          <w:color w:val="000000" w:themeColor="text1"/>
          <w:sz w:val="22"/>
          <w:szCs w:val="22"/>
        </w:rPr>
        <w:t>, P.</w:t>
      </w:r>
      <w:r w:rsidRPr="00C97895">
        <w:rPr>
          <w:rFonts w:asciiTheme="minorHAnsi" w:hAnsiTheme="minorHAnsi" w:cstheme="minorHAnsi"/>
          <w:color w:val="000000" w:themeColor="text1"/>
          <w:sz w:val="22"/>
          <w:szCs w:val="22"/>
        </w:rPr>
        <w:t xml:space="preserve"> (2019) Opening remarks to Party Manifesto Analysis </w:t>
      </w:r>
      <w:hyperlink r:id="rId14" w:history="1">
        <w:r w:rsidRPr="00C97895">
          <w:rPr>
            <w:rStyle w:val="Hyperlink"/>
            <w:rFonts w:asciiTheme="minorHAnsi" w:hAnsiTheme="minorHAnsi" w:cstheme="minorHAnsi"/>
            <w:color w:val="000000" w:themeColor="text1"/>
            <w:sz w:val="22"/>
            <w:szCs w:val="22"/>
          </w:rPr>
          <w:t>https://www.ifs.org.uk/election/2019/manifestos</w:t>
        </w:r>
      </w:hyperlink>
      <w:r w:rsidRPr="00C97895">
        <w:rPr>
          <w:rFonts w:asciiTheme="minorHAnsi" w:hAnsiTheme="minorHAnsi" w:cstheme="minorHAnsi"/>
          <w:color w:val="000000" w:themeColor="text1"/>
          <w:sz w:val="22"/>
          <w:szCs w:val="22"/>
        </w:rPr>
        <w:t xml:space="preserve"> (accessed 05.12.19)</w:t>
      </w:r>
    </w:p>
    <w:p w14:paraId="330E1087" w14:textId="77777777" w:rsidR="00092EA6" w:rsidRDefault="005B5FC5" w:rsidP="00092EA6">
      <w:pPr>
        <w:rPr>
          <w:rFonts w:asciiTheme="minorHAnsi" w:hAnsiTheme="minorHAnsi" w:cstheme="minorHAnsi"/>
          <w:sz w:val="22"/>
          <w:szCs w:val="22"/>
        </w:rPr>
      </w:pPr>
      <w:proofErr w:type="spellStart"/>
      <w:r>
        <w:rPr>
          <w:rFonts w:asciiTheme="minorHAnsi" w:hAnsiTheme="minorHAnsi" w:cstheme="minorHAnsi"/>
          <w:sz w:val="22"/>
          <w:szCs w:val="22"/>
        </w:rPr>
        <w:t>Kharas</w:t>
      </w:r>
      <w:proofErr w:type="spellEnd"/>
      <w:r>
        <w:rPr>
          <w:rFonts w:asciiTheme="minorHAnsi" w:hAnsiTheme="minorHAnsi" w:cstheme="minorHAnsi"/>
          <w:sz w:val="22"/>
          <w:szCs w:val="22"/>
        </w:rPr>
        <w:t>, H. and Hamel, K. (2018</w:t>
      </w:r>
      <w:r w:rsidRPr="00B742A7">
        <w:rPr>
          <w:rFonts w:asciiTheme="minorHAnsi" w:hAnsiTheme="minorHAnsi" w:cstheme="minorHAnsi"/>
          <w:sz w:val="22"/>
          <w:szCs w:val="22"/>
        </w:rPr>
        <w:t xml:space="preserve">) </w:t>
      </w:r>
      <w:r w:rsidRPr="00B742A7">
        <w:rPr>
          <w:rFonts w:asciiTheme="minorHAnsi" w:hAnsiTheme="minorHAnsi" w:cstheme="minorHAnsi"/>
          <w:i/>
          <w:iCs/>
          <w:sz w:val="22"/>
          <w:szCs w:val="22"/>
        </w:rPr>
        <w:t>A global tipping point: Half the world is now middle class or wealthier</w:t>
      </w:r>
      <w:r w:rsidRPr="00B742A7">
        <w:rPr>
          <w:rFonts w:asciiTheme="minorHAnsi" w:hAnsiTheme="minorHAnsi" w:cstheme="minorHAnsi"/>
          <w:sz w:val="22"/>
          <w:szCs w:val="22"/>
        </w:rPr>
        <w:t>, Future Development Blog, World Bank/Brookings Institute</w:t>
      </w:r>
      <w:r w:rsidR="00B742A7">
        <w:rPr>
          <w:rFonts w:asciiTheme="minorHAnsi" w:hAnsiTheme="minorHAnsi" w:cstheme="minorHAnsi"/>
          <w:sz w:val="22"/>
          <w:szCs w:val="22"/>
        </w:rPr>
        <w:t xml:space="preserve">, </w:t>
      </w:r>
      <w:hyperlink r:id="rId15" w:history="1">
        <w:r w:rsidR="00B742A7" w:rsidRPr="00356804">
          <w:rPr>
            <w:rStyle w:val="Hyperlink"/>
            <w:rFonts w:asciiTheme="minorHAnsi" w:hAnsiTheme="minorHAnsi" w:cstheme="minorHAnsi"/>
            <w:sz w:val="22"/>
            <w:szCs w:val="22"/>
          </w:rPr>
          <w:t>https://www.brookings.edu/blog/future-development/2018/09/27/a-global-tipping-point-half-the-world-is-now-middle-class-or-wealthier/</w:t>
        </w:r>
      </w:hyperlink>
    </w:p>
    <w:p w14:paraId="161F52DC" w14:textId="40B9CD84" w:rsidR="00092EA6" w:rsidRDefault="00092EA6" w:rsidP="00092EA6">
      <w:pPr>
        <w:rPr>
          <w:rFonts w:asciiTheme="minorHAnsi" w:hAnsiTheme="minorHAnsi" w:cstheme="minorHAnsi"/>
          <w:sz w:val="22"/>
          <w:szCs w:val="22"/>
        </w:rPr>
      </w:pPr>
      <w:r w:rsidRPr="00092EA6">
        <w:rPr>
          <w:rFonts w:asciiTheme="minorHAnsi" w:hAnsiTheme="minorHAnsi" w:cstheme="minorHAnsi"/>
          <w:sz w:val="22"/>
          <w:szCs w:val="22"/>
        </w:rPr>
        <w:t>Koch, I., </w:t>
      </w:r>
      <w:proofErr w:type="spellStart"/>
      <w:r w:rsidRPr="00092EA6">
        <w:rPr>
          <w:rFonts w:asciiTheme="minorHAnsi" w:hAnsiTheme="minorHAnsi" w:cstheme="minorHAnsi"/>
          <w:sz w:val="22"/>
          <w:szCs w:val="22"/>
        </w:rPr>
        <w:t>Fransham</w:t>
      </w:r>
      <w:proofErr w:type="spellEnd"/>
      <w:r w:rsidRPr="00092EA6">
        <w:rPr>
          <w:rFonts w:asciiTheme="minorHAnsi" w:hAnsiTheme="minorHAnsi" w:cstheme="minorHAnsi"/>
          <w:sz w:val="22"/>
          <w:szCs w:val="22"/>
        </w:rPr>
        <w:t>, M., </w:t>
      </w:r>
      <w:proofErr w:type="gramStart"/>
      <w:r w:rsidRPr="00092EA6">
        <w:rPr>
          <w:rFonts w:asciiTheme="minorHAnsi" w:hAnsiTheme="minorHAnsi" w:cstheme="minorHAnsi"/>
          <w:sz w:val="22"/>
          <w:szCs w:val="22"/>
        </w:rPr>
        <w:t>Cant</w:t>
      </w:r>
      <w:proofErr w:type="gramEnd"/>
      <w:r w:rsidRPr="00092EA6">
        <w:rPr>
          <w:rFonts w:asciiTheme="minorHAnsi" w:hAnsiTheme="minorHAnsi" w:cstheme="minorHAnsi"/>
          <w:sz w:val="22"/>
          <w:szCs w:val="22"/>
        </w:rPr>
        <w:t>, S., </w:t>
      </w:r>
      <w:proofErr w:type="spellStart"/>
      <w:r w:rsidRPr="00092EA6">
        <w:rPr>
          <w:rFonts w:asciiTheme="minorHAnsi" w:hAnsiTheme="minorHAnsi" w:cstheme="minorHAnsi"/>
          <w:sz w:val="22"/>
          <w:szCs w:val="22"/>
        </w:rPr>
        <w:t>Ebrey</w:t>
      </w:r>
      <w:proofErr w:type="spellEnd"/>
      <w:r w:rsidRPr="00092EA6">
        <w:rPr>
          <w:rFonts w:asciiTheme="minorHAnsi" w:hAnsiTheme="minorHAnsi" w:cstheme="minorHAnsi"/>
          <w:sz w:val="22"/>
          <w:szCs w:val="22"/>
        </w:rPr>
        <w:t>, J., Glucksberg, L. and Savage, M. (2019) </w:t>
      </w:r>
      <w:r w:rsidRPr="00092EA6">
        <w:rPr>
          <w:rFonts w:asciiTheme="minorHAnsi" w:hAnsiTheme="minorHAnsi" w:cstheme="minorHAnsi"/>
          <w:i/>
          <w:iCs/>
          <w:sz w:val="22"/>
          <w:szCs w:val="22"/>
        </w:rPr>
        <w:t>Social polarisation at the local level: a four-town comparative study.</w:t>
      </w:r>
      <w:r w:rsidRPr="00092EA6">
        <w:rPr>
          <w:rFonts w:asciiTheme="minorHAnsi" w:hAnsiTheme="minorHAnsi" w:cstheme="minorHAnsi"/>
          <w:sz w:val="22"/>
          <w:szCs w:val="22"/>
        </w:rPr>
        <w:t> Working Paper (37), International Inequalities Institute, London: London School of Economics and Political Science</w:t>
      </w:r>
      <w:r w:rsidRPr="00092EA6">
        <w:rPr>
          <w:rFonts w:ascii="DejaVuSans" w:hAnsi="DejaVuSans"/>
          <w:sz w:val="22"/>
          <w:szCs w:val="22"/>
        </w:rPr>
        <w:t xml:space="preserve"> </w:t>
      </w:r>
      <w:hyperlink r:id="rId16" w:history="1">
        <w:r w:rsidRPr="00356804">
          <w:rPr>
            <w:rStyle w:val="Hyperlink"/>
            <w:rFonts w:asciiTheme="minorHAnsi" w:hAnsiTheme="minorHAnsi" w:cstheme="minorHAnsi"/>
            <w:sz w:val="22"/>
            <w:szCs w:val="22"/>
          </w:rPr>
          <w:t>http://eprints.lse.ac.uk/102216/</w:t>
        </w:r>
      </w:hyperlink>
    </w:p>
    <w:p w14:paraId="0D5E1046" w14:textId="77777777" w:rsidR="00C56D6C" w:rsidRPr="00C56D6C" w:rsidRDefault="00C56D6C" w:rsidP="00C56D6C">
      <w:pPr>
        <w:rPr>
          <w:rFonts w:asciiTheme="minorHAnsi" w:hAnsiTheme="minorHAnsi" w:cstheme="minorHAnsi"/>
          <w:sz w:val="22"/>
          <w:szCs w:val="22"/>
        </w:rPr>
      </w:pPr>
      <w:proofErr w:type="spellStart"/>
      <w:r w:rsidRPr="00C56D6C">
        <w:rPr>
          <w:rFonts w:asciiTheme="minorHAnsi" w:hAnsiTheme="minorHAnsi" w:cstheme="minorHAnsi"/>
          <w:sz w:val="22"/>
          <w:szCs w:val="22"/>
        </w:rPr>
        <w:t>Korpi</w:t>
      </w:r>
      <w:proofErr w:type="spellEnd"/>
      <w:r w:rsidRPr="00C56D6C">
        <w:rPr>
          <w:rFonts w:asciiTheme="minorHAnsi" w:hAnsiTheme="minorHAnsi" w:cstheme="minorHAnsi"/>
          <w:sz w:val="22"/>
          <w:szCs w:val="22"/>
        </w:rPr>
        <w:t xml:space="preserve">, W. and Palme, J. (1998) ‘The Paradox of Redistribution: Welfare State Institutions and Poverty in the Western Countries’, </w:t>
      </w:r>
      <w:r w:rsidRPr="00C56D6C">
        <w:rPr>
          <w:rFonts w:asciiTheme="minorHAnsi" w:hAnsiTheme="minorHAnsi" w:cstheme="minorHAnsi"/>
          <w:i/>
          <w:iCs/>
          <w:sz w:val="22"/>
          <w:szCs w:val="22"/>
        </w:rPr>
        <w:t>American Sociological Review</w:t>
      </w:r>
      <w:r w:rsidRPr="00C56D6C">
        <w:rPr>
          <w:rFonts w:asciiTheme="minorHAnsi" w:hAnsiTheme="minorHAnsi" w:cstheme="minorHAnsi"/>
          <w:sz w:val="22"/>
          <w:szCs w:val="22"/>
        </w:rPr>
        <w:t xml:space="preserve">, 63 (5): 661–87. </w:t>
      </w:r>
    </w:p>
    <w:p w14:paraId="310F74CC" w14:textId="2762A0B1" w:rsidR="00E414A3" w:rsidRPr="00E414A3" w:rsidRDefault="00E414A3" w:rsidP="00E414A3">
      <w:pPr>
        <w:rPr>
          <w:rFonts w:asciiTheme="minorHAnsi" w:hAnsiTheme="minorHAnsi" w:cstheme="minorHAnsi"/>
          <w:sz w:val="22"/>
          <w:szCs w:val="22"/>
        </w:rPr>
      </w:pPr>
      <w:r w:rsidRPr="00E414A3">
        <w:rPr>
          <w:rFonts w:asciiTheme="minorHAnsi" w:hAnsiTheme="minorHAnsi" w:cstheme="minorHAnsi"/>
          <w:sz w:val="22"/>
          <w:szCs w:val="22"/>
        </w:rPr>
        <w:t xml:space="preserve">Laird, J. </w:t>
      </w:r>
      <w:r>
        <w:rPr>
          <w:rFonts w:asciiTheme="minorHAnsi" w:hAnsiTheme="minorHAnsi" w:cstheme="minorHAnsi"/>
          <w:sz w:val="22"/>
          <w:szCs w:val="22"/>
        </w:rPr>
        <w:t>(2017) ‘</w:t>
      </w:r>
      <w:r w:rsidRPr="00E414A3">
        <w:rPr>
          <w:rFonts w:asciiTheme="minorHAnsi" w:hAnsiTheme="minorHAnsi" w:cstheme="minorHAnsi"/>
          <w:sz w:val="22"/>
          <w:szCs w:val="22"/>
        </w:rPr>
        <w:t>Public Sector Employment Inequality in the United States and the Great Recession</w:t>
      </w:r>
      <w:r>
        <w:rPr>
          <w:rFonts w:asciiTheme="minorHAnsi" w:hAnsiTheme="minorHAnsi" w:cstheme="minorHAnsi"/>
          <w:sz w:val="22"/>
          <w:szCs w:val="22"/>
        </w:rPr>
        <w:t>’,</w:t>
      </w:r>
      <w:r w:rsidRPr="00E414A3">
        <w:rPr>
          <w:rFonts w:asciiTheme="minorHAnsi" w:hAnsiTheme="minorHAnsi" w:cstheme="minorHAnsi"/>
          <w:sz w:val="22"/>
          <w:szCs w:val="22"/>
        </w:rPr>
        <w:t> </w:t>
      </w:r>
      <w:r w:rsidRPr="00E414A3">
        <w:rPr>
          <w:rFonts w:asciiTheme="minorHAnsi" w:hAnsiTheme="minorHAnsi" w:cstheme="minorHAnsi"/>
          <w:i/>
          <w:iCs/>
          <w:sz w:val="22"/>
          <w:szCs w:val="22"/>
        </w:rPr>
        <w:t>Demography</w:t>
      </w:r>
      <w:r w:rsidRPr="00E414A3">
        <w:rPr>
          <w:rFonts w:asciiTheme="minorHAnsi" w:hAnsiTheme="minorHAnsi" w:cstheme="minorHAnsi"/>
          <w:sz w:val="22"/>
          <w:szCs w:val="22"/>
        </w:rPr>
        <w:t> 54,</w:t>
      </w:r>
      <w:r w:rsidRPr="00E414A3">
        <w:rPr>
          <w:rFonts w:asciiTheme="minorHAnsi" w:hAnsiTheme="minorHAnsi" w:cstheme="minorHAnsi"/>
          <w:b/>
          <w:bCs/>
          <w:sz w:val="22"/>
          <w:szCs w:val="22"/>
        </w:rPr>
        <w:t> </w:t>
      </w:r>
      <w:r w:rsidRPr="00E414A3">
        <w:rPr>
          <w:rFonts w:asciiTheme="minorHAnsi" w:hAnsiTheme="minorHAnsi" w:cstheme="minorHAnsi"/>
          <w:sz w:val="22"/>
          <w:szCs w:val="22"/>
        </w:rPr>
        <w:t xml:space="preserve">391–411 </w:t>
      </w:r>
    </w:p>
    <w:p w14:paraId="1A519C76" w14:textId="284175DB" w:rsidR="00280D24" w:rsidRPr="00C97895" w:rsidRDefault="00280D24" w:rsidP="00F41BBD">
      <w:pPr>
        <w:rPr>
          <w:rFonts w:asciiTheme="minorHAnsi" w:hAnsiTheme="minorHAnsi" w:cstheme="minorHAnsi"/>
          <w:sz w:val="22"/>
          <w:szCs w:val="22"/>
        </w:rPr>
      </w:pPr>
      <w:r w:rsidRPr="00C97895">
        <w:rPr>
          <w:rFonts w:asciiTheme="minorHAnsi" w:hAnsiTheme="minorHAnsi" w:cstheme="minorHAnsi"/>
          <w:sz w:val="22"/>
          <w:szCs w:val="22"/>
        </w:rPr>
        <w:t>Larsen, C.A. (2008) ‘</w:t>
      </w:r>
      <w:r w:rsidR="00F41BBD" w:rsidRPr="00C97895">
        <w:rPr>
          <w:rFonts w:asciiTheme="minorHAnsi" w:hAnsiTheme="minorHAnsi" w:cstheme="minorHAnsi"/>
          <w:sz w:val="22"/>
          <w:szCs w:val="22"/>
        </w:rPr>
        <w:t>The institutional logic of welfare attitudes: How welfare regimes influence public support’</w:t>
      </w:r>
      <w:r w:rsidRPr="00C97895">
        <w:rPr>
          <w:rFonts w:asciiTheme="minorHAnsi" w:hAnsiTheme="minorHAnsi" w:cstheme="minorHAnsi"/>
          <w:sz w:val="22"/>
          <w:szCs w:val="22"/>
        </w:rPr>
        <w:t xml:space="preserve">, </w:t>
      </w:r>
      <w:r w:rsidRPr="00C97895">
        <w:rPr>
          <w:rFonts w:asciiTheme="minorHAnsi" w:hAnsiTheme="minorHAnsi" w:cstheme="minorHAnsi"/>
          <w:i/>
          <w:iCs/>
          <w:sz w:val="22"/>
          <w:szCs w:val="22"/>
        </w:rPr>
        <w:t xml:space="preserve">Comparative Political Studies </w:t>
      </w:r>
      <w:r w:rsidRPr="00C97895">
        <w:rPr>
          <w:rFonts w:asciiTheme="minorHAnsi" w:hAnsiTheme="minorHAnsi" w:cstheme="minorHAnsi"/>
          <w:sz w:val="22"/>
          <w:szCs w:val="22"/>
        </w:rPr>
        <w:t>41(2): 145–</w:t>
      </w:r>
      <w:r w:rsidR="00F41BBD" w:rsidRPr="00C97895">
        <w:rPr>
          <w:rFonts w:asciiTheme="minorHAnsi" w:hAnsiTheme="minorHAnsi" w:cstheme="minorHAnsi"/>
          <w:sz w:val="22"/>
          <w:szCs w:val="22"/>
        </w:rPr>
        <w:t>68</w:t>
      </w:r>
      <w:r w:rsidRPr="00C97895">
        <w:rPr>
          <w:rFonts w:asciiTheme="minorHAnsi" w:hAnsiTheme="minorHAnsi" w:cstheme="minorHAnsi"/>
          <w:sz w:val="22"/>
          <w:szCs w:val="22"/>
        </w:rPr>
        <w:t xml:space="preserve">. </w:t>
      </w:r>
    </w:p>
    <w:p w14:paraId="1556CCDD" w14:textId="03CFB929" w:rsidR="00970FED" w:rsidRPr="00970FED" w:rsidRDefault="00970FED" w:rsidP="00970FED">
      <w:pPr>
        <w:rPr>
          <w:rFonts w:asciiTheme="minorHAnsi" w:hAnsiTheme="minorHAnsi" w:cstheme="minorHAnsi"/>
          <w:color w:val="000000" w:themeColor="text1"/>
          <w:sz w:val="22"/>
          <w:szCs w:val="22"/>
        </w:rPr>
      </w:pPr>
      <w:proofErr w:type="spellStart"/>
      <w:r w:rsidRPr="00970FED">
        <w:rPr>
          <w:rStyle w:val="authors"/>
          <w:rFonts w:asciiTheme="minorHAnsi" w:hAnsiTheme="minorHAnsi" w:cstheme="minorHAnsi"/>
          <w:color w:val="000000" w:themeColor="text1"/>
          <w:sz w:val="22"/>
          <w:szCs w:val="22"/>
        </w:rPr>
        <w:t>Layte</w:t>
      </w:r>
      <w:proofErr w:type="spellEnd"/>
      <w:r w:rsidRPr="00970FED">
        <w:rPr>
          <w:rStyle w:val="authors"/>
          <w:rFonts w:asciiTheme="minorHAnsi" w:hAnsiTheme="minorHAnsi" w:cstheme="minorHAnsi"/>
          <w:color w:val="000000" w:themeColor="text1"/>
          <w:sz w:val="22"/>
          <w:szCs w:val="22"/>
        </w:rPr>
        <w:t>, R. and Whelan, C.T.</w:t>
      </w:r>
      <w:r w:rsidRPr="00970FED">
        <w:rPr>
          <w:rStyle w:val="apple-converted-space"/>
          <w:rFonts w:asciiTheme="minorHAnsi" w:hAnsiTheme="minorHAnsi" w:cstheme="minorHAnsi"/>
          <w:color w:val="000000" w:themeColor="text1"/>
          <w:sz w:val="22"/>
          <w:szCs w:val="22"/>
          <w:shd w:val="clear" w:color="auto" w:fill="FFFFFF"/>
        </w:rPr>
        <w:t> </w:t>
      </w:r>
      <w:r w:rsidRPr="00970FED">
        <w:rPr>
          <w:rStyle w:val="Date2"/>
          <w:rFonts w:asciiTheme="minorHAnsi" w:hAnsiTheme="minorHAnsi" w:cstheme="minorHAnsi"/>
          <w:color w:val="000000" w:themeColor="text1"/>
          <w:sz w:val="22"/>
          <w:szCs w:val="22"/>
        </w:rPr>
        <w:t>(2002)</w:t>
      </w:r>
      <w:r w:rsidRPr="00970FED">
        <w:rPr>
          <w:rStyle w:val="apple-converted-space"/>
          <w:rFonts w:asciiTheme="minorHAnsi" w:hAnsiTheme="minorHAnsi" w:cstheme="minorHAnsi"/>
          <w:color w:val="000000" w:themeColor="text1"/>
          <w:sz w:val="22"/>
          <w:szCs w:val="22"/>
          <w:shd w:val="clear" w:color="auto" w:fill="FFFFFF"/>
        </w:rPr>
        <w:t> </w:t>
      </w:r>
      <w:r w:rsidRPr="00970FED">
        <w:rPr>
          <w:rStyle w:val="arttitle"/>
          <w:rFonts w:asciiTheme="minorHAnsi" w:hAnsiTheme="minorHAnsi" w:cstheme="minorHAnsi"/>
          <w:color w:val="000000" w:themeColor="text1"/>
          <w:sz w:val="22"/>
          <w:szCs w:val="22"/>
        </w:rPr>
        <w:t xml:space="preserve">Cumulative Disadvantage or Individualisation? A Comparative Analysis </w:t>
      </w:r>
      <w:r w:rsidR="0015314E">
        <w:rPr>
          <w:rStyle w:val="arttitle"/>
          <w:rFonts w:asciiTheme="minorHAnsi" w:hAnsiTheme="minorHAnsi" w:cstheme="minorHAnsi"/>
          <w:color w:val="000000" w:themeColor="text1"/>
          <w:sz w:val="22"/>
          <w:szCs w:val="22"/>
        </w:rPr>
        <w:t>o</w:t>
      </w:r>
      <w:r w:rsidRPr="00970FED">
        <w:rPr>
          <w:rStyle w:val="arttitle"/>
          <w:rFonts w:asciiTheme="minorHAnsi" w:hAnsiTheme="minorHAnsi" w:cstheme="minorHAnsi"/>
          <w:color w:val="000000" w:themeColor="text1"/>
          <w:sz w:val="22"/>
          <w:szCs w:val="22"/>
        </w:rPr>
        <w:t xml:space="preserve">f Poverty Risk </w:t>
      </w:r>
      <w:r w:rsidR="0015314E">
        <w:rPr>
          <w:rStyle w:val="arttitle"/>
          <w:rFonts w:asciiTheme="minorHAnsi" w:hAnsiTheme="minorHAnsi" w:cstheme="minorHAnsi"/>
          <w:color w:val="000000" w:themeColor="text1"/>
          <w:sz w:val="22"/>
          <w:szCs w:val="22"/>
        </w:rPr>
        <w:t>a</w:t>
      </w:r>
      <w:r w:rsidRPr="00970FED">
        <w:rPr>
          <w:rStyle w:val="arttitle"/>
          <w:rFonts w:asciiTheme="minorHAnsi" w:hAnsiTheme="minorHAnsi" w:cstheme="minorHAnsi"/>
          <w:color w:val="000000" w:themeColor="text1"/>
          <w:sz w:val="22"/>
          <w:szCs w:val="22"/>
        </w:rPr>
        <w:t xml:space="preserve">nd Incidence, </w:t>
      </w:r>
      <w:r w:rsidRPr="00970FED">
        <w:rPr>
          <w:rStyle w:val="serialtitle"/>
          <w:rFonts w:asciiTheme="minorHAnsi" w:hAnsiTheme="minorHAnsi" w:cstheme="minorHAnsi"/>
          <w:i/>
          <w:iCs/>
          <w:color w:val="000000" w:themeColor="text1"/>
          <w:sz w:val="22"/>
          <w:szCs w:val="22"/>
        </w:rPr>
        <w:t>European Societies</w:t>
      </w:r>
      <w:r w:rsidRPr="00970FED">
        <w:rPr>
          <w:rStyle w:val="serialtitle"/>
          <w:rFonts w:asciiTheme="minorHAnsi" w:hAnsiTheme="minorHAnsi" w:cstheme="minorHAnsi"/>
          <w:color w:val="000000" w:themeColor="text1"/>
          <w:sz w:val="22"/>
          <w:szCs w:val="22"/>
        </w:rPr>
        <w:t>,</w:t>
      </w:r>
      <w:r w:rsidRPr="00970FED">
        <w:rPr>
          <w:rStyle w:val="apple-converted-space"/>
          <w:rFonts w:asciiTheme="minorHAnsi" w:hAnsiTheme="minorHAnsi" w:cstheme="minorHAnsi"/>
          <w:color w:val="000000" w:themeColor="text1"/>
          <w:sz w:val="22"/>
          <w:szCs w:val="22"/>
          <w:shd w:val="clear" w:color="auto" w:fill="FFFFFF"/>
        </w:rPr>
        <w:t> </w:t>
      </w:r>
      <w:r w:rsidRPr="00970FED">
        <w:rPr>
          <w:rStyle w:val="volumeissue"/>
          <w:rFonts w:asciiTheme="minorHAnsi" w:hAnsiTheme="minorHAnsi" w:cstheme="minorHAnsi"/>
          <w:color w:val="000000" w:themeColor="text1"/>
          <w:sz w:val="22"/>
          <w:szCs w:val="22"/>
        </w:rPr>
        <w:t>4:2,</w:t>
      </w:r>
      <w:r w:rsidRPr="00970FED">
        <w:rPr>
          <w:rStyle w:val="apple-converted-space"/>
          <w:rFonts w:asciiTheme="minorHAnsi" w:hAnsiTheme="minorHAnsi" w:cstheme="minorHAnsi"/>
          <w:color w:val="000000" w:themeColor="text1"/>
          <w:sz w:val="22"/>
          <w:szCs w:val="22"/>
          <w:shd w:val="clear" w:color="auto" w:fill="FFFFFF"/>
        </w:rPr>
        <w:t> </w:t>
      </w:r>
      <w:r w:rsidRPr="00970FED">
        <w:rPr>
          <w:rStyle w:val="pagerange"/>
          <w:rFonts w:asciiTheme="minorHAnsi" w:hAnsiTheme="minorHAnsi" w:cstheme="minorHAnsi"/>
          <w:color w:val="000000" w:themeColor="text1"/>
          <w:sz w:val="22"/>
          <w:szCs w:val="22"/>
        </w:rPr>
        <w:t>209-233</w:t>
      </w:r>
      <w:r w:rsidRPr="00970FED">
        <w:rPr>
          <w:rFonts w:asciiTheme="minorHAnsi" w:hAnsiTheme="minorHAnsi" w:cstheme="minorHAnsi"/>
          <w:color w:val="000000" w:themeColor="text1"/>
          <w:sz w:val="22"/>
          <w:szCs w:val="22"/>
        </w:rPr>
        <w:t xml:space="preserve"> </w:t>
      </w:r>
    </w:p>
    <w:p w14:paraId="797B96D8" w14:textId="543D84FD" w:rsidR="00970FED" w:rsidRPr="00970FED" w:rsidRDefault="00970FED" w:rsidP="00970FED">
      <w:pPr>
        <w:rPr>
          <w:rFonts w:asciiTheme="minorHAnsi" w:hAnsiTheme="minorHAnsi" w:cstheme="minorHAnsi"/>
          <w:color w:val="000000" w:themeColor="text1"/>
          <w:sz w:val="22"/>
          <w:szCs w:val="22"/>
        </w:rPr>
      </w:pPr>
      <w:proofErr w:type="spellStart"/>
      <w:r w:rsidRPr="00970FED">
        <w:rPr>
          <w:rStyle w:val="authors"/>
          <w:rFonts w:asciiTheme="minorHAnsi" w:hAnsiTheme="minorHAnsi" w:cstheme="minorHAnsi"/>
          <w:color w:val="000000" w:themeColor="text1"/>
          <w:sz w:val="22"/>
          <w:szCs w:val="22"/>
        </w:rPr>
        <w:t>Layte</w:t>
      </w:r>
      <w:proofErr w:type="spellEnd"/>
      <w:r w:rsidRPr="00970FED">
        <w:rPr>
          <w:rStyle w:val="authors"/>
          <w:rFonts w:asciiTheme="minorHAnsi" w:hAnsiTheme="minorHAnsi" w:cstheme="minorHAnsi"/>
          <w:color w:val="000000" w:themeColor="text1"/>
          <w:sz w:val="22"/>
          <w:szCs w:val="22"/>
        </w:rPr>
        <w:t>, R. and Whelan, C.T.</w:t>
      </w:r>
      <w:r w:rsidRPr="00970FED">
        <w:rPr>
          <w:rStyle w:val="Date2"/>
          <w:rFonts w:asciiTheme="minorHAnsi" w:hAnsiTheme="minorHAnsi" w:cstheme="minorHAnsi"/>
          <w:color w:val="000000" w:themeColor="text1"/>
          <w:sz w:val="22"/>
          <w:szCs w:val="22"/>
        </w:rPr>
        <w:t xml:space="preserve"> (2003)</w:t>
      </w:r>
      <w:r w:rsidRPr="00970FED">
        <w:rPr>
          <w:rStyle w:val="apple-converted-space"/>
          <w:rFonts w:asciiTheme="minorHAnsi" w:hAnsiTheme="minorHAnsi" w:cstheme="minorHAnsi"/>
          <w:color w:val="000000" w:themeColor="text1"/>
          <w:sz w:val="22"/>
          <w:szCs w:val="22"/>
          <w:shd w:val="clear" w:color="auto" w:fill="FFFFFF"/>
        </w:rPr>
        <w:t> </w:t>
      </w:r>
      <w:r w:rsidRPr="00970FED">
        <w:rPr>
          <w:rStyle w:val="arttitle"/>
          <w:rFonts w:asciiTheme="minorHAnsi" w:hAnsiTheme="minorHAnsi" w:cstheme="minorHAnsi"/>
          <w:color w:val="000000" w:themeColor="text1"/>
          <w:sz w:val="22"/>
          <w:szCs w:val="22"/>
        </w:rPr>
        <w:t>Moving in and out of poverty,</w:t>
      </w:r>
      <w:r w:rsidRPr="00970FED">
        <w:rPr>
          <w:rStyle w:val="apple-converted-space"/>
          <w:rFonts w:asciiTheme="minorHAnsi" w:hAnsiTheme="minorHAnsi" w:cstheme="minorHAnsi"/>
          <w:color w:val="000000" w:themeColor="text1"/>
          <w:sz w:val="22"/>
          <w:szCs w:val="22"/>
          <w:shd w:val="clear" w:color="auto" w:fill="FFFFFF"/>
        </w:rPr>
        <w:t> </w:t>
      </w:r>
      <w:r w:rsidRPr="00970FED">
        <w:rPr>
          <w:rStyle w:val="serialtitle"/>
          <w:rFonts w:asciiTheme="minorHAnsi" w:hAnsiTheme="minorHAnsi" w:cstheme="minorHAnsi"/>
          <w:i/>
          <w:iCs/>
          <w:color w:val="000000" w:themeColor="text1"/>
          <w:sz w:val="22"/>
          <w:szCs w:val="22"/>
        </w:rPr>
        <w:t>European Societies</w:t>
      </w:r>
      <w:r w:rsidRPr="00970FED">
        <w:rPr>
          <w:rStyle w:val="serialtitle"/>
          <w:rFonts w:asciiTheme="minorHAnsi" w:hAnsiTheme="minorHAnsi" w:cstheme="minorHAnsi"/>
          <w:color w:val="000000" w:themeColor="text1"/>
          <w:sz w:val="22"/>
          <w:szCs w:val="22"/>
        </w:rPr>
        <w:t>,</w:t>
      </w:r>
      <w:r w:rsidRPr="00970FED">
        <w:rPr>
          <w:rStyle w:val="apple-converted-space"/>
          <w:rFonts w:asciiTheme="minorHAnsi" w:hAnsiTheme="minorHAnsi" w:cstheme="minorHAnsi"/>
          <w:color w:val="000000" w:themeColor="text1"/>
          <w:sz w:val="22"/>
          <w:szCs w:val="22"/>
          <w:shd w:val="clear" w:color="auto" w:fill="FFFFFF"/>
        </w:rPr>
        <w:t> </w:t>
      </w:r>
      <w:r w:rsidRPr="00970FED">
        <w:rPr>
          <w:rStyle w:val="volumeissue"/>
          <w:rFonts w:asciiTheme="minorHAnsi" w:hAnsiTheme="minorHAnsi" w:cstheme="minorHAnsi"/>
          <w:color w:val="000000" w:themeColor="text1"/>
          <w:sz w:val="22"/>
          <w:szCs w:val="22"/>
        </w:rPr>
        <w:t>5:2,</w:t>
      </w:r>
      <w:r w:rsidRPr="00970FED">
        <w:rPr>
          <w:rStyle w:val="apple-converted-space"/>
          <w:rFonts w:asciiTheme="minorHAnsi" w:hAnsiTheme="minorHAnsi" w:cstheme="minorHAnsi"/>
          <w:color w:val="000000" w:themeColor="text1"/>
          <w:sz w:val="22"/>
          <w:szCs w:val="22"/>
          <w:shd w:val="clear" w:color="auto" w:fill="FFFFFF"/>
        </w:rPr>
        <w:t> </w:t>
      </w:r>
      <w:r w:rsidRPr="00970FED">
        <w:rPr>
          <w:rStyle w:val="pagerange"/>
          <w:rFonts w:asciiTheme="minorHAnsi" w:hAnsiTheme="minorHAnsi" w:cstheme="minorHAnsi"/>
          <w:color w:val="000000" w:themeColor="text1"/>
          <w:sz w:val="22"/>
          <w:szCs w:val="22"/>
        </w:rPr>
        <w:t>167-191</w:t>
      </w:r>
      <w:r w:rsidRPr="00970FED">
        <w:rPr>
          <w:rFonts w:asciiTheme="minorHAnsi" w:hAnsiTheme="minorHAnsi" w:cstheme="minorHAnsi"/>
          <w:color w:val="000000" w:themeColor="text1"/>
          <w:sz w:val="22"/>
          <w:szCs w:val="22"/>
        </w:rPr>
        <w:t xml:space="preserve"> </w:t>
      </w:r>
    </w:p>
    <w:p w14:paraId="42BFEACE" w14:textId="3B319DB2" w:rsidR="00742432" w:rsidRPr="00C97895" w:rsidRDefault="00742432" w:rsidP="00F41BBD">
      <w:pPr>
        <w:ind w:left="284" w:hanging="284"/>
        <w:rPr>
          <w:rStyle w:val="authors"/>
          <w:rFonts w:asciiTheme="minorHAnsi" w:hAnsiTheme="minorHAnsi" w:cstheme="minorHAnsi"/>
          <w:color w:val="000000" w:themeColor="text1"/>
          <w:sz w:val="22"/>
          <w:szCs w:val="22"/>
        </w:rPr>
      </w:pPr>
      <w:r w:rsidRPr="00C97895">
        <w:rPr>
          <w:rFonts w:asciiTheme="minorHAnsi" w:hAnsiTheme="minorHAnsi" w:cstheme="minorHAnsi"/>
          <w:bCs/>
          <w:sz w:val="22"/>
          <w:szCs w:val="22"/>
        </w:rPr>
        <w:t xml:space="preserve">Reuters, 2019 </w:t>
      </w:r>
      <w:hyperlink r:id="rId17" w:history="1">
        <w:r w:rsidRPr="00C97895">
          <w:rPr>
            <w:rStyle w:val="Hyperlink"/>
            <w:rFonts w:asciiTheme="minorHAnsi" w:hAnsiTheme="minorHAnsi" w:cstheme="minorHAnsi"/>
            <w:bCs/>
            <w:sz w:val="22"/>
            <w:szCs w:val="22"/>
          </w:rPr>
          <w:t>https://www.reuters.com/article/us-argentina-politics-inauguration/argentinas-peronist-left-returns-as-fernandez-sworn-in-to-power-idUSKBN1YE128</w:t>
        </w:r>
      </w:hyperlink>
    </w:p>
    <w:p w14:paraId="027FE88B" w14:textId="404A0A9B" w:rsidR="00092EA6" w:rsidRPr="00092EA6" w:rsidRDefault="00092EA6" w:rsidP="00092EA6">
      <w:pPr>
        <w:ind w:left="284" w:hanging="284"/>
        <w:rPr>
          <w:rFonts w:asciiTheme="minorHAnsi" w:hAnsiTheme="minorHAnsi" w:cstheme="minorHAnsi"/>
          <w:color w:val="000000" w:themeColor="text1"/>
          <w:sz w:val="22"/>
          <w:szCs w:val="22"/>
        </w:rPr>
      </w:pPr>
      <w:r w:rsidRPr="00092EA6">
        <w:rPr>
          <w:rFonts w:asciiTheme="minorHAnsi" w:hAnsiTheme="minorHAnsi" w:cstheme="minorHAnsi"/>
          <w:color w:val="000000" w:themeColor="text1"/>
          <w:sz w:val="22"/>
          <w:szCs w:val="22"/>
        </w:rPr>
        <w:t>Marmot,</w:t>
      </w:r>
      <w:r>
        <w:rPr>
          <w:rFonts w:asciiTheme="minorHAnsi" w:hAnsiTheme="minorHAnsi" w:cstheme="minorHAnsi"/>
          <w:color w:val="000000" w:themeColor="text1"/>
          <w:sz w:val="22"/>
          <w:szCs w:val="22"/>
        </w:rPr>
        <w:t xml:space="preserve"> M.</w:t>
      </w:r>
      <w:r w:rsidRPr="00092EA6">
        <w:rPr>
          <w:rFonts w:asciiTheme="minorHAnsi" w:hAnsiTheme="minorHAnsi" w:cstheme="minorHAnsi"/>
          <w:color w:val="000000" w:themeColor="text1"/>
          <w:sz w:val="22"/>
          <w:szCs w:val="22"/>
        </w:rPr>
        <w:t xml:space="preserve"> Allen, </w:t>
      </w:r>
      <w:r w:rsidR="0053054A">
        <w:rPr>
          <w:rFonts w:asciiTheme="minorHAnsi" w:hAnsiTheme="minorHAnsi" w:cstheme="minorHAnsi"/>
          <w:color w:val="000000" w:themeColor="text1"/>
          <w:sz w:val="22"/>
          <w:szCs w:val="22"/>
        </w:rPr>
        <w:t xml:space="preserve">J., </w:t>
      </w:r>
      <w:r w:rsidRPr="00092EA6">
        <w:rPr>
          <w:rFonts w:asciiTheme="minorHAnsi" w:hAnsiTheme="minorHAnsi" w:cstheme="minorHAnsi"/>
          <w:color w:val="000000" w:themeColor="text1"/>
          <w:sz w:val="22"/>
          <w:szCs w:val="22"/>
        </w:rPr>
        <w:t xml:space="preserve">Boyce, </w:t>
      </w:r>
      <w:r w:rsidR="0053054A">
        <w:rPr>
          <w:rFonts w:asciiTheme="minorHAnsi" w:hAnsiTheme="minorHAnsi" w:cstheme="minorHAnsi"/>
          <w:color w:val="000000" w:themeColor="text1"/>
          <w:sz w:val="22"/>
          <w:szCs w:val="22"/>
        </w:rPr>
        <w:t xml:space="preserve">T., </w:t>
      </w:r>
      <w:r w:rsidRPr="00092EA6">
        <w:rPr>
          <w:rFonts w:asciiTheme="minorHAnsi" w:hAnsiTheme="minorHAnsi" w:cstheme="minorHAnsi"/>
          <w:color w:val="000000" w:themeColor="text1"/>
          <w:sz w:val="22"/>
          <w:szCs w:val="22"/>
        </w:rPr>
        <w:t xml:space="preserve">Goldblatt, </w:t>
      </w:r>
      <w:r w:rsidR="0053054A">
        <w:rPr>
          <w:rFonts w:asciiTheme="minorHAnsi" w:hAnsiTheme="minorHAnsi" w:cstheme="minorHAnsi"/>
          <w:color w:val="000000" w:themeColor="text1"/>
          <w:sz w:val="22"/>
          <w:szCs w:val="22"/>
        </w:rPr>
        <w:t xml:space="preserve">P. and </w:t>
      </w:r>
      <w:r w:rsidRPr="00092EA6">
        <w:rPr>
          <w:rFonts w:asciiTheme="minorHAnsi" w:hAnsiTheme="minorHAnsi" w:cstheme="minorHAnsi"/>
          <w:color w:val="000000" w:themeColor="text1"/>
          <w:sz w:val="22"/>
          <w:szCs w:val="22"/>
        </w:rPr>
        <w:t>Morrison</w:t>
      </w:r>
      <w:r w:rsidR="0053054A">
        <w:rPr>
          <w:rFonts w:asciiTheme="minorHAnsi" w:hAnsiTheme="minorHAnsi" w:cstheme="minorHAnsi"/>
          <w:color w:val="000000" w:themeColor="text1"/>
          <w:sz w:val="22"/>
          <w:szCs w:val="22"/>
        </w:rPr>
        <w:t>, J.</w:t>
      </w:r>
      <w:r w:rsidRPr="00092EA6">
        <w:rPr>
          <w:rFonts w:asciiTheme="minorHAnsi" w:hAnsiTheme="minorHAnsi" w:cstheme="minorHAnsi"/>
          <w:color w:val="000000" w:themeColor="text1"/>
          <w:sz w:val="22"/>
          <w:szCs w:val="22"/>
        </w:rPr>
        <w:t xml:space="preserve"> (2020) </w:t>
      </w:r>
      <w:r w:rsidRPr="00092EA6">
        <w:rPr>
          <w:rFonts w:asciiTheme="minorHAnsi" w:hAnsiTheme="minorHAnsi" w:cstheme="minorHAnsi"/>
          <w:i/>
          <w:iCs/>
          <w:color w:val="000000" w:themeColor="text1"/>
          <w:sz w:val="22"/>
          <w:szCs w:val="22"/>
        </w:rPr>
        <w:t>Health equity in England: The Marmot Review 10 years on</w:t>
      </w:r>
      <w:r w:rsidR="0053054A">
        <w:rPr>
          <w:rFonts w:asciiTheme="minorHAnsi" w:hAnsiTheme="minorHAnsi" w:cstheme="minorHAnsi"/>
          <w:color w:val="000000" w:themeColor="text1"/>
          <w:sz w:val="22"/>
          <w:szCs w:val="22"/>
        </w:rPr>
        <w:t>,</w:t>
      </w:r>
      <w:r w:rsidRPr="00092EA6">
        <w:rPr>
          <w:rFonts w:asciiTheme="minorHAnsi" w:hAnsiTheme="minorHAnsi" w:cstheme="minorHAnsi"/>
          <w:color w:val="000000" w:themeColor="text1"/>
          <w:sz w:val="22"/>
          <w:szCs w:val="22"/>
        </w:rPr>
        <w:t xml:space="preserve"> London: Institute of Health Equity</w:t>
      </w:r>
      <w:r w:rsidR="0053054A">
        <w:rPr>
          <w:rFonts w:asciiTheme="minorHAnsi" w:hAnsiTheme="minorHAnsi" w:cstheme="minorHAnsi"/>
          <w:color w:val="000000" w:themeColor="text1"/>
          <w:sz w:val="22"/>
          <w:szCs w:val="22"/>
        </w:rPr>
        <w:t>.</w:t>
      </w:r>
    </w:p>
    <w:p w14:paraId="1CF80EF7" w14:textId="1554FAD2" w:rsidR="002F12E8" w:rsidRDefault="002F12E8" w:rsidP="00F41BBD">
      <w:pPr>
        <w:ind w:left="284" w:hanging="284"/>
        <w:rPr>
          <w:rStyle w:val="authors"/>
          <w:rFonts w:asciiTheme="minorHAnsi" w:hAnsiTheme="minorHAnsi" w:cstheme="minorHAnsi"/>
          <w:color w:val="000000" w:themeColor="text1"/>
          <w:sz w:val="22"/>
          <w:szCs w:val="22"/>
        </w:rPr>
      </w:pPr>
      <w:r>
        <w:rPr>
          <w:rStyle w:val="authors"/>
          <w:rFonts w:asciiTheme="minorHAnsi" w:hAnsiTheme="minorHAnsi" w:cstheme="minorHAnsi"/>
          <w:color w:val="000000" w:themeColor="text1"/>
          <w:sz w:val="22"/>
          <w:szCs w:val="22"/>
        </w:rPr>
        <w:t>McBride, S. and Evans, B. (eds</w:t>
      </w:r>
      <w:proofErr w:type="gramStart"/>
      <w:r>
        <w:rPr>
          <w:rStyle w:val="authors"/>
          <w:rFonts w:asciiTheme="minorHAnsi" w:hAnsiTheme="minorHAnsi" w:cstheme="minorHAnsi"/>
          <w:color w:val="000000" w:themeColor="text1"/>
          <w:sz w:val="22"/>
          <w:szCs w:val="22"/>
        </w:rPr>
        <w:t>)(</w:t>
      </w:r>
      <w:proofErr w:type="gramEnd"/>
      <w:r>
        <w:rPr>
          <w:rStyle w:val="authors"/>
          <w:rFonts w:asciiTheme="minorHAnsi" w:hAnsiTheme="minorHAnsi" w:cstheme="minorHAnsi"/>
          <w:color w:val="000000" w:themeColor="text1"/>
          <w:sz w:val="22"/>
          <w:szCs w:val="22"/>
        </w:rPr>
        <w:t xml:space="preserve">2017) </w:t>
      </w:r>
      <w:r w:rsidRPr="002F12E8">
        <w:rPr>
          <w:rStyle w:val="authors"/>
          <w:rFonts w:asciiTheme="minorHAnsi" w:hAnsiTheme="minorHAnsi" w:cstheme="minorHAnsi"/>
          <w:i/>
          <w:iCs/>
          <w:color w:val="000000" w:themeColor="text1"/>
          <w:sz w:val="22"/>
          <w:szCs w:val="22"/>
        </w:rPr>
        <w:t>The Austerity State</w:t>
      </w:r>
      <w:r>
        <w:rPr>
          <w:rStyle w:val="authors"/>
          <w:rFonts w:asciiTheme="minorHAnsi" w:hAnsiTheme="minorHAnsi" w:cstheme="minorHAnsi"/>
          <w:color w:val="000000" w:themeColor="text1"/>
          <w:sz w:val="22"/>
          <w:szCs w:val="22"/>
        </w:rPr>
        <w:t>, Toronto: University of Toronto Press</w:t>
      </w:r>
    </w:p>
    <w:p w14:paraId="6FC5864B" w14:textId="26B58690" w:rsidR="00F41BBD" w:rsidRPr="00C97895" w:rsidRDefault="00474BB0" w:rsidP="00F41BBD">
      <w:pPr>
        <w:ind w:left="284" w:hanging="284"/>
        <w:rPr>
          <w:rFonts w:asciiTheme="minorHAnsi" w:hAnsiTheme="minorHAnsi" w:cstheme="minorHAnsi"/>
          <w:color w:val="000000" w:themeColor="text1"/>
          <w:sz w:val="22"/>
          <w:szCs w:val="22"/>
          <w:u w:val="single"/>
        </w:rPr>
      </w:pPr>
      <w:r w:rsidRPr="00C97895">
        <w:rPr>
          <w:rStyle w:val="authors"/>
          <w:rFonts w:asciiTheme="minorHAnsi" w:hAnsiTheme="minorHAnsi" w:cstheme="minorHAnsi"/>
          <w:color w:val="000000" w:themeColor="text1"/>
          <w:sz w:val="22"/>
          <w:szCs w:val="22"/>
        </w:rPr>
        <w:t>McCann</w:t>
      </w:r>
      <w:r w:rsidR="00B415E5" w:rsidRPr="00C97895">
        <w:rPr>
          <w:rStyle w:val="authors"/>
          <w:rFonts w:asciiTheme="minorHAnsi" w:hAnsiTheme="minorHAnsi" w:cstheme="minorHAnsi"/>
          <w:color w:val="000000" w:themeColor="text1"/>
          <w:sz w:val="22"/>
          <w:szCs w:val="22"/>
        </w:rPr>
        <w:t>, P.</w:t>
      </w:r>
      <w:r w:rsidRPr="00C97895">
        <w:rPr>
          <w:rStyle w:val="apple-converted-space"/>
          <w:rFonts w:asciiTheme="minorHAnsi" w:hAnsiTheme="minorHAnsi" w:cstheme="minorHAnsi"/>
          <w:color w:val="000000" w:themeColor="text1"/>
          <w:sz w:val="22"/>
          <w:szCs w:val="22"/>
          <w:shd w:val="clear" w:color="auto" w:fill="FFFFFF"/>
        </w:rPr>
        <w:t> </w:t>
      </w:r>
      <w:r w:rsidRPr="00C97895">
        <w:rPr>
          <w:rStyle w:val="Date1"/>
          <w:rFonts w:asciiTheme="minorHAnsi" w:hAnsiTheme="minorHAnsi" w:cstheme="minorHAnsi"/>
          <w:color w:val="000000" w:themeColor="text1"/>
          <w:sz w:val="22"/>
          <w:szCs w:val="22"/>
        </w:rPr>
        <w:t>(2019)</w:t>
      </w:r>
      <w:r w:rsidRPr="00C97895">
        <w:rPr>
          <w:rStyle w:val="apple-converted-space"/>
          <w:rFonts w:asciiTheme="minorHAnsi" w:hAnsiTheme="minorHAnsi" w:cstheme="minorHAnsi"/>
          <w:color w:val="000000" w:themeColor="text1"/>
          <w:sz w:val="22"/>
          <w:szCs w:val="22"/>
          <w:shd w:val="clear" w:color="auto" w:fill="FFFFFF"/>
        </w:rPr>
        <w:t> </w:t>
      </w:r>
      <w:r w:rsidRPr="00C97895">
        <w:rPr>
          <w:rStyle w:val="arttitle"/>
          <w:rFonts w:asciiTheme="minorHAnsi" w:hAnsiTheme="minorHAnsi" w:cstheme="minorHAnsi"/>
          <w:color w:val="000000" w:themeColor="text1"/>
          <w:sz w:val="22"/>
          <w:szCs w:val="22"/>
        </w:rPr>
        <w:t>Perceptions of regional inequality and the geography of discontent: insights from the UK,</w:t>
      </w:r>
      <w:r w:rsidRPr="00C97895">
        <w:rPr>
          <w:rStyle w:val="apple-converted-space"/>
          <w:rFonts w:asciiTheme="minorHAnsi" w:hAnsiTheme="minorHAnsi" w:cstheme="minorHAnsi"/>
          <w:color w:val="000000" w:themeColor="text1"/>
          <w:sz w:val="22"/>
          <w:szCs w:val="22"/>
          <w:shd w:val="clear" w:color="auto" w:fill="FFFFFF"/>
        </w:rPr>
        <w:t> </w:t>
      </w:r>
      <w:r w:rsidRPr="00C97895">
        <w:rPr>
          <w:rStyle w:val="serialtitle"/>
          <w:rFonts w:asciiTheme="minorHAnsi" w:hAnsiTheme="minorHAnsi" w:cstheme="minorHAnsi"/>
          <w:i/>
          <w:iCs/>
          <w:color w:val="000000" w:themeColor="text1"/>
          <w:sz w:val="22"/>
          <w:szCs w:val="22"/>
        </w:rPr>
        <w:t>Regional Studies</w:t>
      </w:r>
      <w:r w:rsidRPr="00C97895">
        <w:rPr>
          <w:rStyle w:val="serialtitle"/>
          <w:rFonts w:asciiTheme="minorHAnsi" w:hAnsiTheme="minorHAnsi" w:cstheme="minorHAnsi"/>
          <w:color w:val="000000" w:themeColor="text1"/>
          <w:sz w:val="22"/>
          <w:szCs w:val="22"/>
        </w:rPr>
        <w:t>,</w:t>
      </w:r>
      <w:r w:rsidRPr="00C97895">
        <w:rPr>
          <w:rStyle w:val="apple-converted-space"/>
          <w:rFonts w:asciiTheme="minorHAnsi" w:hAnsiTheme="minorHAnsi" w:cstheme="minorHAnsi"/>
          <w:color w:val="000000" w:themeColor="text1"/>
          <w:sz w:val="22"/>
          <w:szCs w:val="22"/>
          <w:shd w:val="clear" w:color="auto" w:fill="FFFFFF"/>
        </w:rPr>
        <w:t> </w:t>
      </w:r>
      <w:r w:rsidRPr="00C97895">
        <w:rPr>
          <w:rStyle w:val="doilink"/>
          <w:rFonts w:asciiTheme="minorHAnsi" w:hAnsiTheme="minorHAnsi" w:cstheme="minorHAnsi"/>
          <w:color w:val="000000" w:themeColor="text1"/>
          <w:sz w:val="22"/>
          <w:szCs w:val="22"/>
        </w:rPr>
        <w:t>DOI:</w:t>
      </w:r>
      <w:r w:rsidRPr="00C97895">
        <w:rPr>
          <w:rStyle w:val="apple-converted-space"/>
          <w:rFonts w:asciiTheme="minorHAnsi" w:hAnsiTheme="minorHAnsi" w:cstheme="minorHAnsi"/>
          <w:color w:val="000000" w:themeColor="text1"/>
          <w:sz w:val="22"/>
          <w:szCs w:val="22"/>
        </w:rPr>
        <w:t> </w:t>
      </w:r>
      <w:hyperlink r:id="rId18" w:history="1">
        <w:r w:rsidRPr="00C97895">
          <w:rPr>
            <w:rStyle w:val="Hyperlink"/>
            <w:rFonts w:asciiTheme="minorHAnsi" w:hAnsiTheme="minorHAnsi" w:cstheme="minorHAnsi"/>
            <w:color w:val="000000" w:themeColor="text1"/>
            <w:sz w:val="22"/>
            <w:szCs w:val="22"/>
          </w:rPr>
          <w:t>10.1080/00343404.2019.1619928</w:t>
        </w:r>
      </w:hyperlink>
    </w:p>
    <w:p w14:paraId="7CB13D47" w14:textId="0CFE19B1" w:rsidR="006867D1" w:rsidRDefault="006867D1" w:rsidP="00510E53">
      <w:pPr>
        <w:rPr>
          <w:rFonts w:asciiTheme="minorHAnsi" w:hAnsiTheme="minorHAnsi" w:cstheme="minorHAnsi"/>
          <w:sz w:val="22"/>
          <w:szCs w:val="22"/>
        </w:rPr>
      </w:pPr>
      <w:r>
        <w:rPr>
          <w:rFonts w:asciiTheme="minorHAnsi" w:hAnsiTheme="minorHAnsi" w:cstheme="minorHAnsi"/>
          <w:sz w:val="22"/>
          <w:szCs w:val="22"/>
        </w:rPr>
        <w:t xml:space="preserve">Messenger, J. and </w:t>
      </w:r>
      <w:proofErr w:type="spellStart"/>
      <w:r>
        <w:rPr>
          <w:rFonts w:asciiTheme="minorHAnsi" w:hAnsiTheme="minorHAnsi" w:cstheme="minorHAnsi"/>
          <w:sz w:val="22"/>
          <w:szCs w:val="22"/>
        </w:rPr>
        <w:t>Wallot</w:t>
      </w:r>
      <w:proofErr w:type="spellEnd"/>
      <w:r>
        <w:rPr>
          <w:rFonts w:asciiTheme="minorHAnsi" w:hAnsiTheme="minorHAnsi" w:cstheme="minorHAnsi"/>
          <w:sz w:val="22"/>
          <w:szCs w:val="22"/>
        </w:rPr>
        <w:t xml:space="preserve">, P. (2015) </w:t>
      </w:r>
      <w:r w:rsidRPr="006867D1">
        <w:rPr>
          <w:rFonts w:asciiTheme="minorHAnsi" w:hAnsiTheme="minorHAnsi" w:cstheme="minorHAnsi"/>
          <w:i/>
          <w:iCs/>
          <w:sz w:val="22"/>
          <w:szCs w:val="22"/>
        </w:rPr>
        <w:t>The Diversity of “Marginal” Part-time Employment</w:t>
      </w:r>
      <w:r>
        <w:rPr>
          <w:rFonts w:asciiTheme="minorHAnsi" w:hAnsiTheme="minorHAnsi" w:cstheme="minorHAnsi"/>
          <w:sz w:val="22"/>
          <w:szCs w:val="22"/>
        </w:rPr>
        <w:t>, INWORK Policy Brief No.7, May, Geneva: International Labour Office</w:t>
      </w:r>
    </w:p>
    <w:p w14:paraId="3E5FC9D5" w14:textId="2EFF9B94" w:rsidR="002B2217" w:rsidRPr="002B2217" w:rsidRDefault="002B2217" w:rsidP="002B2217">
      <w:pPr>
        <w:rPr>
          <w:rFonts w:asciiTheme="minorHAnsi" w:hAnsiTheme="minorHAnsi" w:cstheme="minorHAnsi"/>
          <w:sz w:val="22"/>
          <w:szCs w:val="22"/>
        </w:rPr>
      </w:pPr>
      <w:r w:rsidRPr="002B2217">
        <w:rPr>
          <w:rFonts w:asciiTheme="minorHAnsi" w:hAnsiTheme="minorHAnsi" w:cstheme="minorHAnsi" w:hint="eastAsia"/>
          <w:sz w:val="22"/>
          <w:szCs w:val="22"/>
        </w:rPr>
        <w:t>OECD (2019</w:t>
      </w:r>
      <w:r>
        <w:rPr>
          <w:rFonts w:asciiTheme="minorHAnsi" w:hAnsiTheme="minorHAnsi" w:cstheme="minorHAnsi"/>
          <w:sz w:val="22"/>
          <w:szCs w:val="22"/>
        </w:rPr>
        <w:t>a</w:t>
      </w:r>
      <w:r w:rsidRPr="002B2217">
        <w:rPr>
          <w:rFonts w:asciiTheme="minorHAnsi" w:hAnsiTheme="minorHAnsi" w:cstheme="minorHAnsi" w:hint="eastAsia"/>
          <w:sz w:val="22"/>
          <w:szCs w:val="22"/>
        </w:rPr>
        <w:t xml:space="preserve">), “Preferences for social policy”, in </w:t>
      </w:r>
      <w:r w:rsidRPr="002B2217">
        <w:rPr>
          <w:rFonts w:asciiTheme="minorHAnsi" w:hAnsiTheme="minorHAnsi" w:cstheme="minorHAnsi"/>
          <w:i/>
          <w:iCs/>
          <w:sz w:val="22"/>
          <w:szCs w:val="22"/>
        </w:rPr>
        <w:t>Society at a Glance 2019: OECD Social Indicators</w:t>
      </w:r>
      <w:r w:rsidRPr="002B2217">
        <w:rPr>
          <w:rFonts w:asciiTheme="minorHAnsi" w:hAnsiTheme="minorHAnsi" w:cstheme="minorHAnsi" w:hint="eastAsia"/>
          <w:sz w:val="22"/>
          <w:szCs w:val="22"/>
        </w:rPr>
        <w:t xml:space="preserve">, OECD Publishing, Paris. </w:t>
      </w:r>
    </w:p>
    <w:p w14:paraId="53060AE0" w14:textId="7F80AED6" w:rsidR="00510E53" w:rsidRPr="00510E53" w:rsidRDefault="00510E53" w:rsidP="00510E53">
      <w:pPr>
        <w:rPr>
          <w:rFonts w:asciiTheme="minorHAnsi" w:hAnsiTheme="minorHAnsi" w:cstheme="minorHAnsi"/>
          <w:sz w:val="22"/>
          <w:szCs w:val="22"/>
        </w:rPr>
      </w:pPr>
      <w:r w:rsidRPr="00510E53">
        <w:rPr>
          <w:rFonts w:asciiTheme="minorHAnsi" w:hAnsiTheme="minorHAnsi" w:cstheme="minorHAnsi"/>
          <w:sz w:val="22"/>
          <w:szCs w:val="22"/>
        </w:rPr>
        <w:t>OECD (2019</w:t>
      </w:r>
      <w:r w:rsidR="002B2217">
        <w:rPr>
          <w:rFonts w:asciiTheme="minorHAnsi" w:hAnsiTheme="minorHAnsi" w:cstheme="minorHAnsi"/>
          <w:sz w:val="22"/>
          <w:szCs w:val="22"/>
        </w:rPr>
        <w:t>b</w:t>
      </w:r>
      <w:r w:rsidRPr="00510E53">
        <w:rPr>
          <w:rFonts w:asciiTheme="minorHAnsi" w:hAnsiTheme="minorHAnsi" w:cstheme="minorHAnsi"/>
          <w:sz w:val="22"/>
          <w:szCs w:val="22"/>
        </w:rPr>
        <w:t>)</w:t>
      </w:r>
      <w:r>
        <w:rPr>
          <w:rFonts w:asciiTheme="minorHAnsi" w:hAnsiTheme="minorHAnsi" w:cstheme="minorHAnsi"/>
          <w:sz w:val="22"/>
          <w:szCs w:val="22"/>
        </w:rPr>
        <w:t xml:space="preserve"> </w:t>
      </w:r>
      <w:r w:rsidRPr="00510E53">
        <w:rPr>
          <w:rFonts w:asciiTheme="minorHAnsi" w:hAnsiTheme="minorHAnsi" w:cstheme="minorHAnsi"/>
          <w:i/>
          <w:iCs/>
          <w:sz w:val="22"/>
          <w:szCs w:val="22"/>
        </w:rPr>
        <w:t>Education at a Glance 2019: OECD Indicators</w:t>
      </w:r>
      <w:r w:rsidRPr="00510E53">
        <w:rPr>
          <w:rFonts w:asciiTheme="minorHAnsi" w:hAnsiTheme="minorHAnsi" w:cstheme="minorHAnsi"/>
          <w:sz w:val="22"/>
          <w:szCs w:val="22"/>
        </w:rPr>
        <w:t>, OECD Publishing, Paris, </w:t>
      </w:r>
      <w:hyperlink r:id="rId19" w:history="1">
        <w:r w:rsidRPr="00510E53">
          <w:rPr>
            <w:rStyle w:val="Hyperlink"/>
            <w:rFonts w:asciiTheme="minorHAnsi" w:hAnsiTheme="minorHAnsi" w:cstheme="minorHAnsi"/>
            <w:sz w:val="22"/>
            <w:szCs w:val="22"/>
          </w:rPr>
          <w:t>https://doi.org/10.1787/f8d7880d-en</w:t>
        </w:r>
      </w:hyperlink>
      <w:r w:rsidRPr="00510E53">
        <w:rPr>
          <w:rFonts w:asciiTheme="minorHAnsi" w:hAnsiTheme="minorHAnsi" w:cstheme="minorHAnsi"/>
          <w:sz w:val="22"/>
          <w:szCs w:val="22"/>
        </w:rPr>
        <w:t>.</w:t>
      </w:r>
    </w:p>
    <w:p w14:paraId="6E13D2C7" w14:textId="2C6E8E6D" w:rsidR="000568E8" w:rsidRPr="000568E8" w:rsidRDefault="00510E53" w:rsidP="00510E53">
      <w:pPr>
        <w:rPr>
          <w:rFonts w:asciiTheme="minorHAnsi" w:hAnsiTheme="minorHAnsi" w:cstheme="minorHAnsi"/>
          <w:sz w:val="22"/>
          <w:szCs w:val="22"/>
        </w:rPr>
      </w:pPr>
      <w:r w:rsidRPr="00510E53">
        <w:rPr>
          <w:rFonts w:asciiTheme="minorHAnsi" w:hAnsiTheme="minorHAnsi" w:cstheme="minorHAnsi"/>
          <w:sz w:val="22"/>
          <w:szCs w:val="22"/>
        </w:rPr>
        <w:t xml:space="preserve"> </w:t>
      </w:r>
      <w:r w:rsidR="000568E8" w:rsidRPr="000568E8">
        <w:rPr>
          <w:rFonts w:asciiTheme="minorHAnsi" w:hAnsiTheme="minorHAnsi" w:cstheme="minorHAnsi"/>
          <w:sz w:val="22"/>
          <w:szCs w:val="22"/>
        </w:rPr>
        <w:t>OECD (2019</w:t>
      </w:r>
      <w:r w:rsidR="002B2217">
        <w:rPr>
          <w:rFonts w:asciiTheme="minorHAnsi" w:hAnsiTheme="minorHAnsi" w:cstheme="minorHAnsi"/>
          <w:sz w:val="22"/>
          <w:szCs w:val="22"/>
        </w:rPr>
        <w:t>c</w:t>
      </w:r>
      <w:r w:rsidR="000568E8" w:rsidRPr="000568E8">
        <w:rPr>
          <w:rFonts w:asciiTheme="minorHAnsi" w:hAnsiTheme="minorHAnsi" w:cstheme="minorHAnsi"/>
          <w:sz w:val="22"/>
          <w:szCs w:val="22"/>
        </w:rPr>
        <w:t>)</w:t>
      </w:r>
      <w:r>
        <w:rPr>
          <w:rFonts w:asciiTheme="minorHAnsi" w:hAnsiTheme="minorHAnsi" w:cstheme="minorHAnsi"/>
          <w:sz w:val="22"/>
          <w:szCs w:val="22"/>
        </w:rPr>
        <w:t xml:space="preserve"> </w:t>
      </w:r>
      <w:r w:rsidR="000568E8" w:rsidRPr="000568E8">
        <w:rPr>
          <w:rFonts w:asciiTheme="minorHAnsi" w:hAnsiTheme="minorHAnsi" w:cstheme="minorHAnsi"/>
          <w:i/>
          <w:iCs/>
          <w:sz w:val="22"/>
          <w:szCs w:val="22"/>
        </w:rPr>
        <w:t>Government at a Glance 2019</w:t>
      </w:r>
      <w:r w:rsidR="000568E8" w:rsidRPr="000568E8">
        <w:rPr>
          <w:rFonts w:asciiTheme="minorHAnsi" w:hAnsiTheme="minorHAnsi" w:cstheme="minorHAnsi"/>
          <w:sz w:val="22"/>
          <w:szCs w:val="22"/>
        </w:rPr>
        <w:t>, OECD Publishing,</w:t>
      </w:r>
      <w:r w:rsidR="000568E8">
        <w:rPr>
          <w:rFonts w:asciiTheme="minorHAnsi" w:hAnsiTheme="minorHAnsi" w:cstheme="minorHAnsi"/>
          <w:sz w:val="22"/>
          <w:szCs w:val="22"/>
        </w:rPr>
        <w:t xml:space="preserve"> </w:t>
      </w:r>
      <w:r w:rsidR="000568E8" w:rsidRPr="000568E8">
        <w:rPr>
          <w:rFonts w:asciiTheme="minorHAnsi" w:hAnsiTheme="minorHAnsi" w:cstheme="minorHAnsi"/>
          <w:sz w:val="22"/>
          <w:szCs w:val="22"/>
        </w:rPr>
        <w:t>Paris, </w:t>
      </w:r>
      <w:hyperlink r:id="rId20" w:history="1">
        <w:r w:rsidR="000568E8" w:rsidRPr="000568E8">
          <w:rPr>
            <w:rStyle w:val="Hyperlink"/>
            <w:rFonts w:asciiTheme="minorHAnsi" w:hAnsiTheme="minorHAnsi" w:cstheme="minorHAnsi"/>
            <w:sz w:val="22"/>
            <w:szCs w:val="22"/>
          </w:rPr>
          <w:t>https://doi.org/10.1787/8ccf5c38-en</w:t>
        </w:r>
      </w:hyperlink>
      <w:r w:rsidR="000568E8" w:rsidRPr="000568E8">
        <w:rPr>
          <w:rFonts w:asciiTheme="minorHAnsi" w:hAnsiTheme="minorHAnsi" w:cstheme="minorHAnsi"/>
          <w:sz w:val="22"/>
          <w:szCs w:val="22"/>
        </w:rPr>
        <w:t>.</w:t>
      </w:r>
    </w:p>
    <w:p w14:paraId="4EE3D514" w14:textId="42A8C837" w:rsidR="00B742A7" w:rsidRPr="00B742A7" w:rsidRDefault="00B742A7" w:rsidP="00B742A7">
      <w:pPr>
        <w:ind w:left="284" w:hanging="284"/>
        <w:rPr>
          <w:rFonts w:asciiTheme="minorHAnsi" w:hAnsiTheme="minorHAnsi" w:cstheme="minorHAnsi"/>
          <w:sz w:val="22"/>
          <w:szCs w:val="22"/>
        </w:rPr>
      </w:pPr>
      <w:r w:rsidRPr="00B742A7">
        <w:rPr>
          <w:rFonts w:asciiTheme="minorHAnsi" w:hAnsiTheme="minorHAnsi" w:cstheme="minorHAnsi"/>
          <w:sz w:val="22"/>
          <w:szCs w:val="22"/>
        </w:rPr>
        <w:t>OECD (2019</w:t>
      </w:r>
      <w:r w:rsidR="002B2217">
        <w:rPr>
          <w:rFonts w:asciiTheme="minorHAnsi" w:hAnsiTheme="minorHAnsi" w:cstheme="minorHAnsi"/>
          <w:sz w:val="22"/>
          <w:szCs w:val="22"/>
        </w:rPr>
        <w:t>d</w:t>
      </w:r>
      <w:r w:rsidRPr="00B742A7">
        <w:rPr>
          <w:rFonts w:asciiTheme="minorHAnsi" w:hAnsiTheme="minorHAnsi" w:cstheme="minorHAnsi"/>
          <w:sz w:val="22"/>
          <w:szCs w:val="22"/>
        </w:rPr>
        <w:t>), </w:t>
      </w:r>
      <w:r w:rsidRPr="00B742A7">
        <w:rPr>
          <w:rFonts w:asciiTheme="minorHAnsi" w:hAnsiTheme="minorHAnsi" w:cstheme="minorHAnsi"/>
          <w:i/>
          <w:iCs/>
          <w:sz w:val="22"/>
          <w:szCs w:val="22"/>
        </w:rPr>
        <w:t>Under Pressure: The Squeezed Middle Class</w:t>
      </w:r>
      <w:r w:rsidRPr="00B742A7">
        <w:rPr>
          <w:rFonts w:asciiTheme="minorHAnsi" w:hAnsiTheme="minorHAnsi" w:cstheme="minorHAnsi"/>
          <w:sz w:val="22"/>
          <w:szCs w:val="22"/>
        </w:rPr>
        <w:t xml:space="preserve">, OECD Publishing, </w:t>
      </w:r>
      <w:proofErr w:type="spellStart"/>
      <w:r w:rsidRPr="00B742A7">
        <w:rPr>
          <w:rFonts w:asciiTheme="minorHAnsi" w:hAnsiTheme="minorHAnsi" w:cstheme="minorHAnsi"/>
          <w:sz w:val="22"/>
          <w:szCs w:val="22"/>
        </w:rPr>
        <w:t>Paris,</w:t>
      </w:r>
      <w:hyperlink r:id="rId21" w:history="1">
        <w:r w:rsidRPr="00B742A7">
          <w:rPr>
            <w:rStyle w:val="Hyperlink"/>
            <w:rFonts w:asciiTheme="minorHAnsi" w:hAnsiTheme="minorHAnsi" w:cstheme="minorHAnsi"/>
            <w:sz w:val="22"/>
            <w:szCs w:val="22"/>
          </w:rPr>
          <w:t>https</w:t>
        </w:r>
        <w:proofErr w:type="spellEnd"/>
        <w:r w:rsidRPr="00B742A7">
          <w:rPr>
            <w:rStyle w:val="Hyperlink"/>
            <w:rFonts w:asciiTheme="minorHAnsi" w:hAnsiTheme="minorHAnsi" w:cstheme="minorHAnsi"/>
            <w:sz w:val="22"/>
            <w:szCs w:val="22"/>
          </w:rPr>
          <w:t>://doi.org/10.1787/689afed1-en</w:t>
        </w:r>
      </w:hyperlink>
      <w:r w:rsidRPr="00B742A7">
        <w:rPr>
          <w:rFonts w:asciiTheme="minorHAnsi" w:hAnsiTheme="minorHAnsi" w:cstheme="minorHAnsi"/>
          <w:sz w:val="22"/>
          <w:szCs w:val="22"/>
        </w:rPr>
        <w:t>.</w:t>
      </w:r>
    </w:p>
    <w:p w14:paraId="769C40BC" w14:textId="59A6F0C5" w:rsidR="00FF332A" w:rsidRDefault="00FF332A" w:rsidP="00FF332A">
      <w:pPr>
        <w:rPr>
          <w:rFonts w:asciiTheme="minorHAnsi" w:hAnsiTheme="minorHAnsi" w:cstheme="minorHAnsi"/>
          <w:sz w:val="22"/>
          <w:szCs w:val="22"/>
        </w:rPr>
      </w:pPr>
      <w:r w:rsidRPr="00FF332A">
        <w:rPr>
          <w:rFonts w:asciiTheme="minorHAnsi" w:hAnsiTheme="minorHAnsi" w:cstheme="minorHAnsi"/>
          <w:sz w:val="22"/>
          <w:szCs w:val="22"/>
        </w:rPr>
        <w:t>OECD (2020</w:t>
      </w:r>
      <w:r w:rsidR="00AF3D2B">
        <w:rPr>
          <w:rFonts w:asciiTheme="minorHAnsi" w:hAnsiTheme="minorHAnsi" w:cstheme="minorHAnsi"/>
          <w:sz w:val="22"/>
          <w:szCs w:val="22"/>
        </w:rPr>
        <w:t>a</w:t>
      </w:r>
      <w:r w:rsidRPr="00FF332A">
        <w:rPr>
          <w:rFonts w:asciiTheme="minorHAnsi" w:hAnsiTheme="minorHAnsi" w:cstheme="minorHAnsi"/>
          <w:sz w:val="22"/>
          <w:szCs w:val="22"/>
        </w:rPr>
        <w:t xml:space="preserve">) Public spending on labour markets (indicator). </w:t>
      </w:r>
      <w:proofErr w:type="spellStart"/>
      <w:r w:rsidRPr="00FF332A">
        <w:rPr>
          <w:rFonts w:asciiTheme="minorHAnsi" w:hAnsiTheme="minorHAnsi" w:cstheme="minorHAnsi"/>
          <w:sz w:val="22"/>
          <w:szCs w:val="22"/>
        </w:rPr>
        <w:t>doi</w:t>
      </w:r>
      <w:proofErr w:type="spellEnd"/>
      <w:r w:rsidRPr="00FF332A">
        <w:rPr>
          <w:rFonts w:asciiTheme="minorHAnsi" w:hAnsiTheme="minorHAnsi" w:cstheme="minorHAnsi"/>
          <w:sz w:val="22"/>
          <w:szCs w:val="22"/>
        </w:rPr>
        <w:t>: 10.1787/911b8753-en (Accessed on 04 March 2020)</w:t>
      </w:r>
    </w:p>
    <w:p w14:paraId="7501AA34" w14:textId="1C62C3BA" w:rsidR="00AF3D2B" w:rsidRPr="00FF332A" w:rsidRDefault="00AF3D2B" w:rsidP="00FF332A">
      <w:pPr>
        <w:rPr>
          <w:rFonts w:asciiTheme="minorHAnsi" w:hAnsiTheme="minorHAnsi" w:cstheme="minorHAnsi"/>
          <w:sz w:val="22"/>
          <w:szCs w:val="22"/>
        </w:rPr>
      </w:pPr>
      <w:r w:rsidRPr="00AF3D2B">
        <w:rPr>
          <w:rFonts w:asciiTheme="minorHAnsi" w:hAnsiTheme="minorHAnsi" w:cstheme="minorHAnsi"/>
          <w:sz w:val="22"/>
          <w:szCs w:val="22"/>
        </w:rPr>
        <w:t>OECD (2020</w:t>
      </w:r>
      <w:r>
        <w:rPr>
          <w:rFonts w:asciiTheme="minorHAnsi" w:hAnsiTheme="minorHAnsi" w:cstheme="minorHAnsi"/>
          <w:sz w:val="22"/>
          <w:szCs w:val="22"/>
        </w:rPr>
        <w:t>b</w:t>
      </w:r>
      <w:r w:rsidRPr="00AF3D2B">
        <w:rPr>
          <w:rFonts w:asciiTheme="minorHAnsi" w:hAnsiTheme="minorHAnsi" w:cstheme="minorHAnsi"/>
          <w:sz w:val="22"/>
          <w:szCs w:val="22"/>
        </w:rPr>
        <w:t xml:space="preserve">) Public spending on education (indicator). </w:t>
      </w:r>
      <w:proofErr w:type="spellStart"/>
      <w:r w:rsidRPr="00AF3D2B">
        <w:rPr>
          <w:rFonts w:asciiTheme="minorHAnsi" w:hAnsiTheme="minorHAnsi" w:cstheme="minorHAnsi"/>
          <w:sz w:val="22"/>
          <w:szCs w:val="22"/>
        </w:rPr>
        <w:t>doi</w:t>
      </w:r>
      <w:proofErr w:type="spellEnd"/>
      <w:r w:rsidRPr="00AF3D2B">
        <w:rPr>
          <w:rFonts w:asciiTheme="minorHAnsi" w:hAnsiTheme="minorHAnsi" w:cstheme="minorHAnsi"/>
          <w:sz w:val="22"/>
          <w:szCs w:val="22"/>
        </w:rPr>
        <w:t>: 10.1787/f99b45d0-en (Accessed on 04 March 2020)</w:t>
      </w:r>
    </w:p>
    <w:p w14:paraId="2B6E9705" w14:textId="56438042" w:rsidR="00945E09" w:rsidRPr="00C97895" w:rsidRDefault="00945E09" w:rsidP="00F41BBD">
      <w:pPr>
        <w:ind w:left="284" w:hanging="284"/>
        <w:rPr>
          <w:rFonts w:asciiTheme="minorHAnsi" w:eastAsiaTheme="minorHAnsi" w:hAnsiTheme="minorHAnsi" w:cstheme="minorHAnsi"/>
          <w:color w:val="000000" w:themeColor="text1"/>
          <w:sz w:val="22"/>
          <w:szCs w:val="22"/>
          <w:u w:val="single"/>
          <w:lang w:val="en-CA" w:eastAsia="en-CA"/>
        </w:rPr>
      </w:pPr>
      <w:r w:rsidRPr="00945E09">
        <w:rPr>
          <w:rFonts w:asciiTheme="minorHAnsi" w:hAnsiTheme="minorHAnsi" w:cstheme="minorHAnsi"/>
          <w:sz w:val="22"/>
          <w:szCs w:val="22"/>
        </w:rPr>
        <w:t xml:space="preserve">Park, A., </w:t>
      </w:r>
      <w:proofErr w:type="spellStart"/>
      <w:r w:rsidRPr="00945E09">
        <w:rPr>
          <w:rFonts w:asciiTheme="minorHAnsi" w:hAnsiTheme="minorHAnsi" w:cstheme="minorHAnsi"/>
          <w:sz w:val="22"/>
          <w:szCs w:val="22"/>
        </w:rPr>
        <w:t>Clery</w:t>
      </w:r>
      <w:proofErr w:type="spellEnd"/>
      <w:r w:rsidRPr="00945E09">
        <w:rPr>
          <w:rFonts w:asciiTheme="minorHAnsi" w:hAnsiTheme="minorHAnsi" w:cstheme="minorHAnsi"/>
          <w:sz w:val="22"/>
          <w:szCs w:val="22"/>
        </w:rPr>
        <w:t xml:space="preserve">, E., </w:t>
      </w:r>
      <w:proofErr w:type="spellStart"/>
      <w:r w:rsidRPr="00945E09">
        <w:rPr>
          <w:rFonts w:asciiTheme="minorHAnsi" w:hAnsiTheme="minorHAnsi" w:cstheme="minorHAnsi"/>
          <w:sz w:val="22"/>
          <w:szCs w:val="22"/>
        </w:rPr>
        <w:t>Curtice</w:t>
      </w:r>
      <w:proofErr w:type="spellEnd"/>
      <w:r w:rsidRPr="00945E09">
        <w:rPr>
          <w:rFonts w:asciiTheme="minorHAnsi" w:hAnsiTheme="minorHAnsi" w:cstheme="minorHAnsi"/>
          <w:sz w:val="22"/>
          <w:szCs w:val="22"/>
        </w:rPr>
        <w:t xml:space="preserve">, J., Phillips, M. and </w:t>
      </w:r>
      <w:proofErr w:type="spellStart"/>
      <w:r w:rsidRPr="00945E09">
        <w:rPr>
          <w:rFonts w:asciiTheme="minorHAnsi" w:hAnsiTheme="minorHAnsi" w:cstheme="minorHAnsi"/>
          <w:sz w:val="22"/>
          <w:szCs w:val="22"/>
        </w:rPr>
        <w:t>Utting</w:t>
      </w:r>
      <w:proofErr w:type="spellEnd"/>
      <w:r w:rsidRPr="00945E09">
        <w:rPr>
          <w:rFonts w:asciiTheme="minorHAnsi" w:hAnsiTheme="minorHAnsi" w:cstheme="minorHAnsi"/>
          <w:sz w:val="22"/>
          <w:szCs w:val="22"/>
        </w:rPr>
        <w:t xml:space="preserve">, D. (eds.) (2012), </w:t>
      </w:r>
      <w:r w:rsidRPr="00945E09">
        <w:rPr>
          <w:rFonts w:asciiTheme="minorHAnsi" w:hAnsiTheme="minorHAnsi" w:cstheme="minorHAnsi"/>
          <w:i/>
          <w:iCs/>
          <w:sz w:val="22"/>
          <w:szCs w:val="22"/>
        </w:rPr>
        <w:t xml:space="preserve">British Social Attitudes: </w:t>
      </w:r>
      <w:r w:rsidR="00F41BBD" w:rsidRPr="00C97895">
        <w:rPr>
          <w:rFonts w:asciiTheme="minorHAnsi" w:hAnsiTheme="minorHAnsi" w:cstheme="minorHAnsi"/>
          <w:i/>
          <w:iCs/>
          <w:sz w:val="22"/>
          <w:szCs w:val="22"/>
        </w:rPr>
        <w:t>T</w:t>
      </w:r>
      <w:r w:rsidRPr="00945E09">
        <w:rPr>
          <w:rFonts w:asciiTheme="minorHAnsi" w:hAnsiTheme="minorHAnsi" w:cstheme="minorHAnsi"/>
          <w:i/>
          <w:iCs/>
          <w:sz w:val="22"/>
          <w:szCs w:val="22"/>
        </w:rPr>
        <w:t>he 29</w:t>
      </w:r>
      <w:proofErr w:type="spellStart"/>
      <w:r w:rsidRPr="00945E09">
        <w:rPr>
          <w:rFonts w:asciiTheme="minorHAnsi" w:hAnsiTheme="minorHAnsi" w:cstheme="minorHAnsi"/>
          <w:i/>
          <w:iCs/>
          <w:position w:val="6"/>
          <w:sz w:val="22"/>
          <w:szCs w:val="22"/>
        </w:rPr>
        <w:t>th</w:t>
      </w:r>
      <w:proofErr w:type="spellEnd"/>
      <w:r w:rsidRPr="00945E09">
        <w:rPr>
          <w:rFonts w:asciiTheme="minorHAnsi" w:hAnsiTheme="minorHAnsi" w:cstheme="minorHAnsi"/>
          <w:i/>
          <w:iCs/>
          <w:position w:val="6"/>
          <w:sz w:val="22"/>
          <w:szCs w:val="22"/>
        </w:rPr>
        <w:t xml:space="preserve"> </w:t>
      </w:r>
      <w:r w:rsidRPr="00945E09">
        <w:rPr>
          <w:rFonts w:asciiTheme="minorHAnsi" w:hAnsiTheme="minorHAnsi" w:cstheme="minorHAnsi"/>
          <w:i/>
          <w:iCs/>
          <w:sz w:val="22"/>
          <w:szCs w:val="22"/>
        </w:rPr>
        <w:t>Report</w:t>
      </w:r>
      <w:r w:rsidRPr="00945E09">
        <w:rPr>
          <w:rFonts w:asciiTheme="minorHAnsi" w:hAnsiTheme="minorHAnsi" w:cstheme="minorHAnsi"/>
          <w:sz w:val="22"/>
          <w:szCs w:val="22"/>
        </w:rPr>
        <w:t xml:space="preserve">, London: </w:t>
      </w:r>
      <w:proofErr w:type="spellStart"/>
      <w:r w:rsidRPr="00945E09">
        <w:rPr>
          <w:rFonts w:asciiTheme="minorHAnsi" w:hAnsiTheme="minorHAnsi" w:cstheme="minorHAnsi"/>
          <w:sz w:val="22"/>
          <w:szCs w:val="22"/>
        </w:rPr>
        <w:t>NatCen</w:t>
      </w:r>
      <w:proofErr w:type="spellEnd"/>
      <w:r w:rsidRPr="00945E09">
        <w:rPr>
          <w:rFonts w:asciiTheme="minorHAnsi" w:hAnsiTheme="minorHAnsi" w:cstheme="minorHAnsi"/>
          <w:sz w:val="22"/>
          <w:szCs w:val="22"/>
        </w:rPr>
        <w:t xml:space="preserve"> Social Research, available online at: www.bsa-29.natcen.ac.uk </w:t>
      </w:r>
    </w:p>
    <w:p w14:paraId="71CF61B0" w14:textId="020B51FC" w:rsidR="009B7324" w:rsidRPr="009B7324" w:rsidRDefault="009B7324" w:rsidP="009B7324">
      <w:pPr>
        <w:widowControl w:val="0"/>
        <w:tabs>
          <w:tab w:val="left" w:pos="-142"/>
          <w:tab w:val="left" w:pos="142"/>
          <w:tab w:val="left" w:pos="709"/>
          <w:tab w:val="left" w:pos="851"/>
        </w:tabs>
        <w:autoSpaceDE w:val="0"/>
        <w:autoSpaceDN w:val="0"/>
        <w:adjustRightInd w:val="0"/>
        <w:ind w:left="284" w:hanging="284"/>
        <w:rPr>
          <w:rFonts w:asciiTheme="minorHAnsi" w:hAnsiTheme="minorHAnsi" w:cstheme="minorHAnsi"/>
          <w:color w:val="000000" w:themeColor="text1"/>
          <w:sz w:val="22"/>
          <w:szCs w:val="22"/>
        </w:rPr>
      </w:pPr>
      <w:r w:rsidRPr="009B7324">
        <w:rPr>
          <w:rFonts w:asciiTheme="minorHAnsi" w:hAnsiTheme="minorHAnsi" w:cstheme="minorHAnsi"/>
          <w:color w:val="000000" w:themeColor="text1"/>
          <w:sz w:val="22"/>
          <w:szCs w:val="22"/>
        </w:rPr>
        <w:t xml:space="preserve">Perez, S. </w:t>
      </w:r>
      <w:r>
        <w:rPr>
          <w:rFonts w:asciiTheme="minorHAnsi" w:hAnsiTheme="minorHAnsi" w:cstheme="minorHAnsi"/>
          <w:color w:val="000000" w:themeColor="text1"/>
          <w:sz w:val="22"/>
          <w:szCs w:val="22"/>
        </w:rPr>
        <w:t>and</w:t>
      </w:r>
      <w:r w:rsidRPr="009B7324">
        <w:rPr>
          <w:rFonts w:asciiTheme="minorHAnsi" w:hAnsiTheme="minorHAnsi" w:cstheme="minorHAnsi"/>
          <w:color w:val="000000" w:themeColor="text1"/>
          <w:sz w:val="22"/>
          <w:szCs w:val="22"/>
        </w:rPr>
        <w:t xml:space="preserve"> </w:t>
      </w:r>
      <w:proofErr w:type="spellStart"/>
      <w:r w:rsidRPr="009B7324">
        <w:rPr>
          <w:rFonts w:asciiTheme="minorHAnsi" w:hAnsiTheme="minorHAnsi" w:cstheme="minorHAnsi"/>
          <w:color w:val="000000" w:themeColor="text1"/>
          <w:sz w:val="22"/>
          <w:szCs w:val="22"/>
        </w:rPr>
        <w:t>Matsaganis</w:t>
      </w:r>
      <w:proofErr w:type="spellEnd"/>
      <w:r w:rsidRPr="009B7324">
        <w:rPr>
          <w:rFonts w:asciiTheme="minorHAnsi" w:hAnsiTheme="minorHAnsi" w:cstheme="minorHAnsi"/>
          <w:color w:val="000000" w:themeColor="text1"/>
          <w:sz w:val="22"/>
          <w:szCs w:val="22"/>
        </w:rPr>
        <w:t>, M</w:t>
      </w:r>
      <w:r>
        <w:rPr>
          <w:rFonts w:asciiTheme="minorHAnsi" w:hAnsiTheme="minorHAnsi" w:cstheme="minorHAnsi"/>
          <w:color w:val="000000" w:themeColor="text1"/>
          <w:sz w:val="22"/>
          <w:szCs w:val="22"/>
        </w:rPr>
        <w:t>.</w:t>
      </w:r>
      <w:r w:rsidRPr="009B7324">
        <w:rPr>
          <w:rFonts w:asciiTheme="minorHAnsi" w:hAnsiTheme="minorHAnsi" w:cstheme="minorHAnsi"/>
          <w:color w:val="000000" w:themeColor="text1"/>
          <w:sz w:val="22"/>
          <w:szCs w:val="22"/>
          <w:shd w:val="clear" w:color="auto" w:fill="FFFFFF"/>
        </w:rPr>
        <w:t> </w:t>
      </w:r>
      <w:r w:rsidRPr="009B7324">
        <w:rPr>
          <w:rFonts w:asciiTheme="minorHAnsi" w:hAnsiTheme="minorHAnsi" w:cstheme="minorHAnsi"/>
          <w:color w:val="000000" w:themeColor="text1"/>
          <w:sz w:val="22"/>
          <w:szCs w:val="22"/>
        </w:rPr>
        <w:t>(2018)</w:t>
      </w:r>
      <w:r w:rsidRPr="009B7324">
        <w:rPr>
          <w:rFonts w:asciiTheme="minorHAnsi" w:hAnsiTheme="minorHAnsi" w:cstheme="minorHAnsi"/>
          <w:color w:val="000000" w:themeColor="text1"/>
          <w:sz w:val="22"/>
          <w:szCs w:val="22"/>
          <w:shd w:val="clear" w:color="auto" w:fill="FFFFFF"/>
        </w:rPr>
        <w:t> ‘</w:t>
      </w:r>
      <w:r w:rsidRPr="009B7324">
        <w:rPr>
          <w:rFonts w:asciiTheme="minorHAnsi" w:hAnsiTheme="minorHAnsi" w:cstheme="minorHAnsi"/>
          <w:color w:val="000000" w:themeColor="text1"/>
          <w:sz w:val="22"/>
          <w:szCs w:val="22"/>
        </w:rPr>
        <w:t>The Political Economy of Austerity in Southern Europe’,</w:t>
      </w:r>
      <w:r w:rsidRPr="009B7324">
        <w:rPr>
          <w:rFonts w:asciiTheme="minorHAnsi" w:hAnsiTheme="minorHAnsi" w:cstheme="minorHAnsi"/>
          <w:color w:val="000000" w:themeColor="text1"/>
          <w:sz w:val="22"/>
          <w:szCs w:val="22"/>
          <w:shd w:val="clear" w:color="auto" w:fill="FFFFFF"/>
        </w:rPr>
        <w:t> </w:t>
      </w:r>
      <w:r w:rsidRPr="009B7324">
        <w:rPr>
          <w:rFonts w:asciiTheme="minorHAnsi" w:hAnsiTheme="minorHAnsi" w:cstheme="minorHAnsi"/>
          <w:i/>
          <w:color w:val="000000" w:themeColor="text1"/>
          <w:sz w:val="22"/>
          <w:szCs w:val="22"/>
        </w:rPr>
        <w:t>New Political Economy</w:t>
      </w:r>
      <w:r w:rsidRPr="009B7324">
        <w:rPr>
          <w:rFonts w:asciiTheme="minorHAnsi" w:hAnsiTheme="minorHAnsi" w:cstheme="minorHAnsi"/>
          <w:color w:val="000000" w:themeColor="text1"/>
          <w:sz w:val="22"/>
          <w:szCs w:val="22"/>
        </w:rPr>
        <w:t>,</w:t>
      </w:r>
      <w:r w:rsidRPr="009B7324">
        <w:rPr>
          <w:rFonts w:asciiTheme="minorHAnsi" w:hAnsiTheme="minorHAnsi" w:cstheme="minorHAnsi"/>
          <w:color w:val="000000" w:themeColor="text1"/>
          <w:sz w:val="22"/>
          <w:szCs w:val="22"/>
          <w:shd w:val="clear" w:color="auto" w:fill="FFFFFF"/>
        </w:rPr>
        <w:t> </w:t>
      </w:r>
      <w:r w:rsidRPr="009B7324">
        <w:rPr>
          <w:rFonts w:asciiTheme="minorHAnsi" w:hAnsiTheme="minorHAnsi" w:cstheme="minorHAnsi"/>
          <w:color w:val="000000" w:themeColor="text1"/>
          <w:sz w:val="22"/>
          <w:szCs w:val="22"/>
        </w:rPr>
        <w:t>23</w:t>
      </w:r>
      <w:r>
        <w:rPr>
          <w:rFonts w:asciiTheme="minorHAnsi" w:hAnsiTheme="minorHAnsi" w:cstheme="minorHAnsi"/>
          <w:color w:val="000000" w:themeColor="text1"/>
          <w:sz w:val="22"/>
          <w:szCs w:val="22"/>
        </w:rPr>
        <w:t xml:space="preserve">, </w:t>
      </w:r>
      <w:r w:rsidRPr="009B7324">
        <w:rPr>
          <w:rFonts w:asciiTheme="minorHAnsi" w:hAnsiTheme="minorHAnsi" w:cstheme="minorHAnsi"/>
          <w:color w:val="000000" w:themeColor="text1"/>
          <w:sz w:val="22"/>
          <w:szCs w:val="22"/>
        </w:rPr>
        <w:t>2,</w:t>
      </w:r>
      <w:r>
        <w:rPr>
          <w:rFonts w:asciiTheme="minorHAnsi" w:hAnsiTheme="minorHAnsi" w:cstheme="minorHAnsi"/>
          <w:color w:val="000000" w:themeColor="text1"/>
          <w:sz w:val="22"/>
          <w:szCs w:val="22"/>
          <w:shd w:val="clear" w:color="auto" w:fill="FFFFFF"/>
        </w:rPr>
        <w:t xml:space="preserve"> </w:t>
      </w:r>
      <w:r w:rsidRPr="009B7324">
        <w:rPr>
          <w:rFonts w:asciiTheme="minorHAnsi" w:hAnsiTheme="minorHAnsi" w:cstheme="minorHAnsi"/>
          <w:color w:val="000000" w:themeColor="text1"/>
          <w:sz w:val="22"/>
          <w:szCs w:val="22"/>
        </w:rPr>
        <w:t>192-207.</w:t>
      </w:r>
    </w:p>
    <w:p w14:paraId="437190A8" w14:textId="128A72D6" w:rsidR="0063540D" w:rsidRPr="0063540D" w:rsidRDefault="0063540D" w:rsidP="0063540D">
      <w:pPr>
        <w:rPr>
          <w:rFonts w:asciiTheme="minorHAnsi" w:hAnsiTheme="minorHAnsi" w:cstheme="minorHAnsi"/>
          <w:color w:val="000000" w:themeColor="text1"/>
          <w:sz w:val="22"/>
          <w:szCs w:val="22"/>
        </w:rPr>
      </w:pPr>
      <w:r w:rsidRPr="0063540D">
        <w:rPr>
          <w:rFonts w:asciiTheme="minorHAnsi" w:hAnsiTheme="minorHAnsi" w:cstheme="minorHAnsi"/>
          <w:color w:val="000000" w:themeColor="text1"/>
          <w:sz w:val="22"/>
          <w:szCs w:val="22"/>
        </w:rPr>
        <w:t>Schumacher, G.</w:t>
      </w:r>
      <w:r>
        <w:rPr>
          <w:rFonts w:asciiTheme="minorHAnsi" w:hAnsiTheme="minorHAnsi" w:cstheme="minorHAnsi"/>
          <w:color w:val="000000" w:themeColor="text1"/>
          <w:sz w:val="22"/>
          <w:szCs w:val="22"/>
        </w:rPr>
        <w:t xml:space="preserve"> and</w:t>
      </w:r>
      <w:r w:rsidRPr="0063540D">
        <w:rPr>
          <w:rFonts w:asciiTheme="minorHAnsi" w:hAnsiTheme="minorHAnsi" w:cstheme="minorHAnsi"/>
          <w:color w:val="000000" w:themeColor="text1"/>
          <w:sz w:val="22"/>
          <w:szCs w:val="22"/>
        </w:rPr>
        <w:t xml:space="preserve"> van </w:t>
      </w:r>
      <w:proofErr w:type="spellStart"/>
      <w:r w:rsidRPr="0063540D">
        <w:rPr>
          <w:rFonts w:asciiTheme="minorHAnsi" w:hAnsiTheme="minorHAnsi" w:cstheme="minorHAnsi"/>
          <w:color w:val="000000" w:themeColor="text1"/>
          <w:sz w:val="22"/>
          <w:szCs w:val="22"/>
        </w:rPr>
        <w:t>Kersbergen</w:t>
      </w:r>
      <w:proofErr w:type="spellEnd"/>
      <w:r w:rsidRPr="0063540D">
        <w:rPr>
          <w:rFonts w:asciiTheme="minorHAnsi" w:hAnsiTheme="minorHAnsi" w:cstheme="minorHAnsi"/>
          <w:color w:val="000000" w:themeColor="text1"/>
          <w:sz w:val="22"/>
          <w:szCs w:val="22"/>
        </w:rPr>
        <w:t>, K. (2016) Do mainstream parties adapt to the welfare chauvinism of populist parties? </w:t>
      </w:r>
      <w:r w:rsidRPr="0063540D">
        <w:rPr>
          <w:rFonts w:asciiTheme="minorHAnsi" w:hAnsiTheme="minorHAnsi" w:cstheme="minorHAnsi"/>
          <w:i/>
          <w:iCs/>
          <w:color w:val="000000" w:themeColor="text1"/>
          <w:sz w:val="22"/>
          <w:szCs w:val="22"/>
        </w:rPr>
        <w:t>Party Politics</w:t>
      </w:r>
      <w:r w:rsidRPr="0063540D">
        <w:rPr>
          <w:rFonts w:asciiTheme="minorHAnsi" w:hAnsiTheme="minorHAnsi" w:cstheme="minorHAnsi"/>
          <w:color w:val="000000" w:themeColor="text1"/>
          <w:sz w:val="22"/>
          <w:szCs w:val="22"/>
        </w:rPr>
        <w:t>, </w:t>
      </w:r>
      <w:r w:rsidRPr="0063540D">
        <w:rPr>
          <w:rFonts w:asciiTheme="minorHAnsi" w:hAnsiTheme="minorHAnsi" w:cstheme="minorHAnsi"/>
          <w:i/>
          <w:iCs/>
          <w:color w:val="000000" w:themeColor="text1"/>
          <w:sz w:val="22"/>
          <w:szCs w:val="22"/>
        </w:rPr>
        <w:t>22</w:t>
      </w:r>
      <w:r w:rsidRPr="0063540D">
        <w:rPr>
          <w:rFonts w:asciiTheme="minorHAnsi" w:hAnsiTheme="minorHAnsi" w:cstheme="minorHAnsi"/>
          <w:color w:val="000000" w:themeColor="text1"/>
          <w:sz w:val="22"/>
          <w:szCs w:val="22"/>
        </w:rPr>
        <w:t>(3)</w:t>
      </w:r>
      <w:r>
        <w:rPr>
          <w:rFonts w:asciiTheme="minorHAnsi" w:hAnsiTheme="minorHAnsi" w:cstheme="minorHAnsi"/>
          <w:color w:val="000000" w:themeColor="text1"/>
          <w:sz w:val="22"/>
          <w:szCs w:val="22"/>
        </w:rPr>
        <w:t>:</w:t>
      </w:r>
      <w:r w:rsidRPr="0063540D">
        <w:rPr>
          <w:rFonts w:asciiTheme="minorHAnsi" w:hAnsiTheme="minorHAnsi" w:cstheme="minorHAnsi"/>
          <w:color w:val="000000" w:themeColor="text1"/>
          <w:sz w:val="22"/>
          <w:szCs w:val="22"/>
        </w:rPr>
        <w:t xml:space="preserve"> 300–312.</w:t>
      </w:r>
    </w:p>
    <w:p w14:paraId="6936EAF5" w14:textId="6CADA6D1" w:rsidR="00E8575F" w:rsidRDefault="00E8575F" w:rsidP="00AD16A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Schwab, C., </w:t>
      </w:r>
      <w:proofErr w:type="spellStart"/>
      <w:r>
        <w:rPr>
          <w:rFonts w:asciiTheme="minorHAnsi" w:hAnsiTheme="minorHAnsi" w:cstheme="minorHAnsi"/>
          <w:color w:val="000000" w:themeColor="text1"/>
          <w:sz w:val="22"/>
          <w:szCs w:val="22"/>
        </w:rPr>
        <w:t>Bouckaert</w:t>
      </w:r>
      <w:proofErr w:type="spellEnd"/>
      <w:r>
        <w:rPr>
          <w:rFonts w:asciiTheme="minorHAnsi" w:hAnsiTheme="minorHAnsi" w:cstheme="minorHAnsi"/>
          <w:color w:val="000000" w:themeColor="text1"/>
          <w:sz w:val="22"/>
          <w:szCs w:val="22"/>
        </w:rPr>
        <w:t xml:space="preserve">, G. and Kuhlmann, S. (eds) (2017) </w:t>
      </w:r>
      <w:r>
        <w:rPr>
          <w:rFonts w:asciiTheme="minorHAnsi" w:hAnsiTheme="minorHAnsi" w:cstheme="minorHAnsi"/>
          <w:i/>
          <w:iCs/>
          <w:color w:val="000000" w:themeColor="text1"/>
          <w:sz w:val="22"/>
          <w:szCs w:val="22"/>
        </w:rPr>
        <w:t xml:space="preserve">The Future of Local Government in Europe: Lessons from Research and </w:t>
      </w:r>
      <w:proofErr w:type="spellStart"/>
      <w:r>
        <w:rPr>
          <w:rFonts w:asciiTheme="minorHAnsi" w:hAnsiTheme="minorHAnsi" w:cstheme="minorHAnsi"/>
          <w:i/>
          <w:iCs/>
          <w:color w:val="000000" w:themeColor="text1"/>
          <w:sz w:val="22"/>
          <w:szCs w:val="22"/>
        </w:rPr>
        <w:t>Prcatice</w:t>
      </w:r>
      <w:proofErr w:type="spellEnd"/>
      <w:r>
        <w:rPr>
          <w:rFonts w:asciiTheme="minorHAnsi" w:hAnsiTheme="minorHAnsi" w:cstheme="minorHAnsi"/>
          <w:i/>
          <w:iCs/>
          <w:color w:val="000000" w:themeColor="text1"/>
          <w:sz w:val="22"/>
          <w:szCs w:val="22"/>
        </w:rPr>
        <w:t xml:space="preserve"> in 31 Countries</w:t>
      </w:r>
      <w:r>
        <w:rPr>
          <w:rFonts w:asciiTheme="minorHAnsi" w:hAnsiTheme="minorHAnsi" w:cstheme="minorHAnsi"/>
          <w:color w:val="000000" w:themeColor="text1"/>
          <w:sz w:val="22"/>
          <w:szCs w:val="22"/>
        </w:rPr>
        <w:t xml:space="preserve">, </w:t>
      </w:r>
      <w:r w:rsidRPr="00E8575F">
        <w:rPr>
          <w:rFonts w:asciiTheme="minorHAnsi" w:hAnsiTheme="minorHAnsi" w:cstheme="minorHAnsi"/>
          <w:color w:val="000000" w:themeColor="text1"/>
          <w:sz w:val="22"/>
          <w:szCs w:val="22"/>
        </w:rPr>
        <w:t xml:space="preserve">Baden-Baden, Germany: Nomos </w:t>
      </w:r>
      <w:proofErr w:type="spellStart"/>
      <w:r w:rsidRPr="00E8575F">
        <w:rPr>
          <w:rFonts w:asciiTheme="minorHAnsi" w:hAnsiTheme="minorHAnsi" w:cstheme="minorHAnsi"/>
          <w:color w:val="000000" w:themeColor="text1"/>
          <w:sz w:val="22"/>
          <w:szCs w:val="22"/>
        </w:rPr>
        <w:t>Verlagsgesellschaft</w:t>
      </w:r>
      <w:proofErr w:type="spellEnd"/>
      <w:r w:rsidRPr="00E8575F">
        <w:rPr>
          <w:rFonts w:asciiTheme="minorHAnsi" w:hAnsiTheme="minorHAnsi" w:cstheme="minorHAnsi"/>
          <w:color w:val="000000" w:themeColor="text1"/>
          <w:sz w:val="22"/>
          <w:szCs w:val="22"/>
        </w:rPr>
        <w:t xml:space="preserve"> </w:t>
      </w:r>
      <w:proofErr w:type="spellStart"/>
      <w:r w:rsidRPr="00E8575F">
        <w:rPr>
          <w:rFonts w:asciiTheme="minorHAnsi" w:hAnsiTheme="minorHAnsi" w:cstheme="minorHAnsi"/>
          <w:color w:val="000000" w:themeColor="text1"/>
          <w:sz w:val="22"/>
          <w:szCs w:val="22"/>
        </w:rPr>
        <w:t>mbH</w:t>
      </w:r>
      <w:proofErr w:type="spellEnd"/>
      <w:r w:rsidR="00FA21EE">
        <w:rPr>
          <w:rFonts w:asciiTheme="minorHAnsi" w:hAnsiTheme="minorHAnsi" w:cstheme="minorHAnsi"/>
          <w:color w:val="000000" w:themeColor="text1"/>
          <w:sz w:val="22"/>
          <w:szCs w:val="22"/>
        </w:rPr>
        <w:t>,</w:t>
      </w:r>
      <w:r w:rsidRPr="00E8575F">
        <w:rPr>
          <w:rFonts w:asciiTheme="minorHAnsi" w:hAnsiTheme="minorHAnsi" w:cstheme="minorHAnsi"/>
          <w:color w:val="000000" w:themeColor="text1"/>
          <w:sz w:val="22"/>
          <w:szCs w:val="22"/>
        </w:rPr>
        <w:t xml:space="preserve"> </w:t>
      </w:r>
      <w:hyperlink r:id="rId22" w:history="1">
        <w:r w:rsidR="00FA21EE" w:rsidRPr="00356804">
          <w:rPr>
            <w:rStyle w:val="Hyperlink"/>
            <w:rFonts w:asciiTheme="minorHAnsi" w:hAnsiTheme="minorHAnsi" w:cstheme="minorHAnsi"/>
            <w:sz w:val="22"/>
            <w:szCs w:val="22"/>
          </w:rPr>
          <w:t>https://www.jstor.org/stable/j.ctv941qjd.1</w:t>
        </w:r>
      </w:hyperlink>
    </w:p>
    <w:p w14:paraId="63ECA2F1" w14:textId="7884C2E0" w:rsidR="00DA0C42" w:rsidRPr="00DA0C42" w:rsidRDefault="00DA0C42" w:rsidP="00DA0C42">
      <w:pPr>
        <w:ind w:left="284" w:hanging="284"/>
        <w:rPr>
          <w:rFonts w:asciiTheme="minorHAnsi" w:hAnsiTheme="minorHAnsi" w:cstheme="minorHAnsi"/>
          <w:color w:val="000000" w:themeColor="text1"/>
          <w:sz w:val="22"/>
          <w:szCs w:val="22"/>
        </w:rPr>
      </w:pPr>
      <w:r w:rsidRPr="00DA0C42">
        <w:rPr>
          <w:rFonts w:asciiTheme="minorHAnsi" w:hAnsiTheme="minorHAnsi" w:cstheme="minorHAnsi"/>
          <w:color w:val="000000" w:themeColor="text1"/>
          <w:sz w:val="22"/>
          <w:szCs w:val="22"/>
        </w:rPr>
        <w:lastRenderedPageBreak/>
        <w:t xml:space="preserve">Standing, G. (2014) ‘The Precariat: From Denizens to Citizens’, </w:t>
      </w:r>
      <w:r w:rsidRPr="00DA0C42">
        <w:rPr>
          <w:rFonts w:asciiTheme="minorHAnsi" w:hAnsiTheme="minorHAnsi" w:cstheme="minorHAnsi"/>
          <w:i/>
          <w:iCs/>
          <w:color w:val="000000" w:themeColor="text1"/>
          <w:sz w:val="22"/>
          <w:szCs w:val="22"/>
        </w:rPr>
        <w:t>Polity</w:t>
      </w:r>
      <w:r w:rsidRPr="00DA0C42">
        <w:rPr>
          <w:rFonts w:asciiTheme="minorHAnsi" w:hAnsiTheme="minorHAnsi" w:cstheme="minorHAnsi"/>
          <w:color w:val="000000" w:themeColor="text1"/>
          <w:sz w:val="22"/>
          <w:szCs w:val="22"/>
        </w:rPr>
        <w:t>, 44 (4): 588–608.</w:t>
      </w:r>
    </w:p>
    <w:p w14:paraId="7660ED0F" w14:textId="628025CC" w:rsidR="00137D7F" w:rsidRPr="00C97895" w:rsidRDefault="00137D7F" w:rsidP="00F41BBD">
      <w:pPr>
        <w:ind w:left="284" w:hanging="284"/>
        <w:rPr>
          <w:rFonts w:asciiTheme="minorHAnsi" w:hAnsiTheme="minorHAnsi" w:cstheme="minorHAnsi"/>
          <w:color w:val="000000" w:themeColor="text1"/>
          <w:sz w:val="22"/>
          <w:szCs w:val="22"/>
        </w:rPr>
      </w:pPr>
      <w:proofErr w:type="spellStart"/>
      <w:r w:rsidRPr="00C97895">
        <w:rPr>
          <w:rFonts w:asciiTheme="minorHAnsi" w:hAnsiTheme="minorHAnsi" w:cstheme="minorHAnsi"/>
          <w:color w:val="000000" w:themeColor="text1"/>
          <w:sz w:val="22"/>
          <w:szCs w:val="22"/>
        </w:rPr>
        <w:t>Streeck</w:t>
      </w:r>
      <w:proofErr w:type="spellEnd"/>
      <w:r w:rsidRPr="00C97895">
        <w:rPr>
          <w:rFonts w:asciiTheme="minorHAnsi" w:hAnsiTheme="minorHAnsi" w:cstheme="minorHAnsi"/>
          <w:color w:val="000000" w:themeColor="text1"/>
          <w:sz w:val="22"/>
          <w:szCs w:val="22"/>
        </w:rPr>
        <w:t xml:space="preserve">, W. (2017) </w:t>
      </w:r>
      <w:r w:rsidRPr="00C97895">
        <w:rPr>
          <w:rFonts w:asciiTheme="minorHAnsi" w:hAnsiTheme="minorHAnsi" w:cstheme="minorHAnsi"/>
          <w:i/>
          <w:iCs/>
          <w:color w:val="000000" w:themeColor="text1"/>
          <w:sz w:val="22"/>
          <w:szCs w:val="22"/>
        </w:rPr>
        <w:t>How will capitalism end?</w:t>
      </w:r>
      <w:r w:rsidRPr="00C97895">
        <w:rPr>
          <w:rFonts w:asciiTheme="minorHAnsi" w:hAnsiTheme="minorHAnsi" w:cstheme="minorHAnsi"/>
          <w:color w:val="000000" w:themeColor="text1"/>
          <w:sz w:val="22"/>
          <w:szCs w:val="22"/>
        </w:rPr>
        <w:t xml:space="preserve"> London: Verso</w:t>
      </w:r>
    </w:p>
    <w:p w14:paraId="7B374916" w14:textId="5D05FD9B" w:rsidR="00980D69" w:rsidRPr="00C97895" w:rsidRDefault="00DE12B9" w:rsidP="00F41BBD">
      <w:pPr>
        <w:ind w:left="284" w:hanging="284"/>
        <w:rPr>
          <w:rFonts w:asciiTheme="minorHAnsi" w:hAnsiTheme="minorHAnsi" w:cstheme="minorHAnsi"/>
          <w:color w:val="000000" w:themeColor="text1"/>
          <w:sz w:val="22"/>
          <w:szCs w:val="22"/>
        </w:rPr>
      </w:pPr>
      <w:proofErr w:type="spellStart"/>
      <w:r w:rsidRPr="00C97895">
        <w:rPr>
          <w:rFonts w:asciiTheme="minorHAnsi" w:hAnsiTheme="minorHAnsi" w:cstheme="minorHAnsi"/>
          <w:color w:val="000000" w:themeColor="text1"/>
          <w:sz w:val="22"/>
          <w:szCs w:val="22"/>
        </w:rPr>
        <w:t>Stuckler</w:t>
      </w:r>
      <w:proofErr w:type="spellEnd"/>
      <w:r w:rsidRPr="00C97895">
        <w:rPr>
          <w:rFonts w:asciiTheme="minorHAnsi" w:hAnsiTheme="minorHAnsi" w:cstheme="minorHAnsi"/>
          <w:color w:val="000000" w:themeColor="text1"/>
          <w:sz w:val="22"/>
          <w:szCs w:val="22"/>
        </w:rPr>
        <w:t xml:space="preserve">, D. and </w:t>
      </w:r>
      <w:proofErr w:type="spellStart"/>
      <w:r w:rsidRPr="00C97895">
        <w:rPr>
          <w:rFonts w:asciiTheme="minorHAnsi" w:hAnsiTheme="minorHAnsi" w:cstheme="minorHAnsi"/>
          <w:color w:val="000000" w:themeColor="text1"/>
          <w:sz w:val="22"/>
          <w:szCs w:val="22"/>
        </w:rPr>
        <w:t>Basu</w:t>
      </w:r>
      <w:proofErr w:type="spellEnd"/>
      <w:r w:rsidRPr="00C97895">
        <w:rPr>
          <w:rFonts w:asciiTheme="minorHAnsi" w:hAnsiTheme="minorHAnsi" w:cstheme="minorHAnsi"/>
          <w:color w:val="000000" w:themeColor="text1"/>
          <w:sz w:val="22"/>
          <w:szCs w:val="22"/>
        </w:rPr>
        <w:t xml:space="preserve">, S. (2013) </w:t>
      </w:r>
      <w:r w:rsidRPr="00C97895">
        <w:rPr>
          <w:rFonts w:asciiTheme="minorHAnsi" w:hAnsiTheme="minorHAnsi" w:cstheme="minorHAnsi"/>
          <w:i/>
          <w:iCs/>
          <w:color w:val="000000" w:themeColor="text1"/>
          <w:sz w:val="22"/>
          <w:szCs w:val="22"/>
        </w:rPr>
        <w:t>The Body Economic, Eight experiments in Economic recovery form Iceland to Greece</w:t>
      </w:r>
      <w:r w:rsidRPr="00C97895">
        <w:rPr>
          <w:rFonts w:asciiTheme="minorHAnsi" w:hAnsiTheme="minorHAnsi" w:cstheme="minorHAnsi"/>
          <w:color w:val="000000" w:themeColor="text1"/>
          <w:sz w:val="22"/>
          <w:szCs w:val="22"/>
        </w:rPr>
        <w:t>, London: Penguin Books</w:t>
      </w:r>
    </w:p>
    <w:p w14:paraId="391EDA50" w14:textId="788D5DA6" w:rsidR="00980D69" w:rsidRPr="00C97895" w:rsidRDefault="00980D69" w:rsidP="00980D69">
      <w:pPr>
        <w:ind w:left="284" w:hanging="284"/>
        <w:rPr>
          <w:rFonts w:asciiTheme="minorHAnsi" w:eastAsiaTheme="minorHAnsi" w:hAnsiTheme="minorHAnsi" w:cstheme="minorHAnsi"/>
          <w:color w:val="000000" w:themeColor="text1"/>
          <w:sz w:val="22"/>
          <w:szCs w:val="22"/>
          <w:lang w:eastAsia="en-CA"/>
        </w:rPr>
      </w:pPr>
      <w:r w:rsidRPr="00980D69">
        <w:rPr>
          <w:rFonts w:asciiTheme="minorHAnsi" w:hAnsiTheme="minorHAnsi" w:cstheme="minorHAnsi"/>
          <w:color w:val="000000" w:themeColor="text1"/>
          <w:sz w:val="22"/>
          <w:szCs w:val="22"/>
        </w:rPr>
        <w:t xml:space="preserve">Taylor, </w:t>
      </w:r>
      <w:r w:rsidRPr="00C97895">
        <w:rPr>
          <w:rFonts w:asciiTheme="minorHAnsi" w:hAnsiTheme="minorHAnsi" w:cstheme="minorHAnsi"/>
          <w:color w:val="000000" w:themeColor="text1"/>
          <w:sz w:val="22"/>
          <w:szCs w:val="22"/>
        </w:rPr>
        <w:t xml:space="preserve">E., </w:t>
      </w:r>
      <w:r w:rsidRPr="00980D69">
        <w:rPr>
          <w:rFonts w:asciiTheme="minorHAnsi" w:hAnsiTheme="minorHAnsi" w:cstheme="minorHAnsi"/>
          <w:color w:val="000000" w:themeColor="text1"/>
          <w:sz w:val="22"/>
          <w:szCs w:val="22"/>
        </w:rPr>
        <w:t xml:space="preserve">Saunders, </w:t>
      </w:r>
      <w:r w:rsidRPr="00C97895">
        <w:rPr>
          <w:rFonts w:asciiTheme="minorHAnsi" w:hAnsiTheme="minorHAnsi" w:cstheme="minorHAnsi"/>
          <w:color w:val="000000" w:themeColor="text1"/>
          <w:sz w:val="22"/>
          <w:szCs w:val="22"/>
        </w:rPr>
        <w:t xml:space="preserve">C. and </w:t>
      </w:r>
      <w:proofErr w:type="spellStart"/>
      <w:r w:rsidRPr="00980D69">
        <w:rPr>
          <w:rFonts w:asciiTheme="minorHAnsi" w:hAnsiTheme="minorHAnsi" w:cstheme="minorHAnsi"/>
          <w:color w:val="000000" w:themeColor="text1"/>
          <w:sz w:val="22"/>
          <w:szCs w:val="22"/>
        </w:rPr>
        <w:t>Toomse</w:t>
      </w:r>
      <w:proofErr w:type="spellEnd"/>
      <w:r w:rsidRPr="00980D69">
        <w:rPr>
          <w:rFonts w:asciiTheme="minorHAnsi" w:hAnsiTheme="minorHAnsi" w:cstheme="minorHAnsi"/>
          <w:color w:val="000000" w:themeColor="text1"/>
          <w:sz w:val="22"/>
          <w:szCs w:val="22"/>
        </w:rPr>
        <w:t>-Smith</w:t>
      </w:r>
      <w:r w:rsidRPr="00C97895">
        <w:rPr>
          <w:rFonts w:asciiTheme="minorHAnsi" w:hAnsiTheme="minorHAnsi" w:cstheme="minorHAnsi"/>
          <w:color w:val="000000" w:themeColor="text1"/>
          <w:sz w:val="22"/>
          <w:szCs w:val="22"/>
        </w:rPr>
        <w:t>, M.</w:t>
      </w:r>
      <w:r w:rsidRPr="00980D69">
        <w:rPr>
          <w:rFonts w:asciiTheme="minorHAnsi" w:hAnsiTheme="minorHAnsi" w:cstheme="minorHAnsi"/>
          <w:color w:val="000000" w:themeColor="text1"/>
          <w:sz w:val="22"/>
          <w:szCs w:val="22"/>
        </w:rPr>
        <w:t xml:space="preserve"> </w:t>
      </w:r>
      <w:r w:rsidRPr="00C97895">
        <w:rPr>
          <w:rFonts w:asciiTheme="minorHAnsi" w:hAnsiTheme="minorHAnsi" w:cstheme="minorHAnsi"/>
          <w:color w:val="000000" w:themeColor="text1"/>
          <w:sz w:val="22"/>
          <w:szCs w:val="22"/>
        </w:rPr>
        <w:t xml:space="preserve">(2017) </w:t>
      </w:r>
      <w:r w:rsidRPr="00980D69">
        <w:rPr>
          <w:rFonts w:asciiTheme="minorHAnsi" w:hAnsiTheme="minorHAnsi" w:cstheme="minorHAnsi"/>
          <w:i/>
          <w:iCs/>
          <w:color w:val="000000" w:themeColor="text1"/>
          <w:sz w:val="22"/>
          <w:szCs w:val="22"/>
        </w:rPr>
        <w:t xml:space="preserve">Social and political attitudes of people on low incomes 2017 </w:t>
      </w:r>
      <w:r w:rsidR="00813D52" w:rsidRPr="00C97895">
        <w:rPr>
          <w:rFonts w:asciiTheme="minorHAnsi" w:hAnsiTheme="minorHAnsi" w:cstheme="minorHAnsi"/>
          <w:i/>
          <w:iCs/>
          <w:color w:val="000000" w:themeColor="text1"/>
          <w:sz w:val="22"/>
          <w:szCs w:val="22"/>
        </w:rPr>
        <w:t>R</w:t>
      </w:r>
      <w:r w:rsidRPr="00980D69">
        <w:rPr>
          <w:rFonts w:asciiTheme="minorHAnsi" w:hAnsiTheme="minorHAnsi" w:cstheme="minorHAnsi"/>
          <w:i/>
          <w:iCs/>
          <w:color w:val="000000" w:themeColor="text1"/>
          <w:sz w:val="22"/>
          <w:szCs w:val="22"/>
        </w:rPr>
        <w:t>eport</w:t>
      </w:r>
      <w:r w:rsidRPr="00C97895">
        <w:rPr>
          <w:rFonts w:asciiTheme="minorHAnsi" w:hAnsiTheme="minorHAnsi" w:cstheme="minorHAnsi"/>
          <w:color w:val="000000" w:themeColor="text1"/>
          <w:sz w:val="22"/>
          <w:szCs w:val="22"/>
        </w:rPr>
        <w:t>,</w:t>
      </w:r>
      <w:r w:rsidRPr="00980D69">
        <w:rPr>
          <w:rFonts w:asciiTheme="minorHAnsi" w:hAnsiTheme="minorHAnsi" w:cstheme="minorHAnsi"/>
          <w:color w:val="000000" w:themeColor="text1"/>
          <w:sz w:val="22"/>
          <w:szCs w:val="22"/>
        </w:rPr>
        <w:t xml:space="preserve"> </w:t>
      </w:r>
      <w:r w:rsidRPr="00C97895">
        <w:rPr>
          <w:rFonts w:asciiTheme="minorHAnsi" w:eastAsiaTheme="minorHAnsi" w:hAnsiTheme="minorHAnsi" w:cstheme="minorHAnsi"/>
          <w:color w:val="000000" w:themeColor="text1"/>
          <w:sz w:val="22"/>
          <w:szCs w:val="22"/>
          <w:lang w:eastAsia="en-CA"/>
        </w:rPr>
        <w:t xml:space="preserve">Joseph Rowntree Foundation </w:t>
      </w:r>
      <w:r w:rsidRPr="00C97895">
        <w:rPr>
          <w:rFonts w:asciiTheme="minorHAnsi" w:hAnsiTheme="minorHAnsi" w:cstheme="minorHAnsi"/>
          <w:color w:val="000000" w:themeColor="text1"/>
          <w:sz w:val="22"/>
          <w:szCs w:val="22"/>
        </w:rPr>
        <w:t xml:space="preserve">London: </w:t>
      </w:r>
      <w:proofErr w:type="spellStart"/>
      <w:r w:rsidRPr="00C97895">
        <w:rPr>
          <w:rFonts w:asciiTheme="minorHAnsi" w:eastAsiaTheme="minorHAnsi" w:hAnsiTheme="minorHAnsi" w:cstheme="minorHAnsi"/>
          <w:color w:val="000000" w:themeColor="text1"/>
          <w:sz w:val="22"/>
          <w:szCs w:val="22"/>
          <w:lang w:eastAsia="en-CA"/>
        </w:rPr>
        <w:t>NatCen</w:t>
      </w:r>
      <w:proofErr w:type="spellEnd"/>
      <w:r w:rsidRPr="00C97895">
        <w:rPr>
          <w:rFonts w:asciiTheme="minorHAnsi" w:eastAsiaTheme="minorHAnsi" w:hAnsiTheme="minorHAnsi" w:cstheme="minorHAnsi"/>
          <w:color w:val="000000" w:themeColor="text1"/>
          <w:sz w:val="22"/>
          <w:szCs w:val="22"/>
          <w:lang w:eastAsia="en-CA"/>
        </w:rPr>
        <w:t xml:space="preserve"> Social Research </w:t>
      </w:r>
    </w:p>
    <w:p w14:paraId="1E032B08" w14:textId="69FE08D2" w:rsidR="004E3E6D" w:rsidRDefault="004E3E6D" w:rsidP="00F41BB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Taylor-</w:t>
      </w:r>
      <w:proofErr w:type="spellStart"/>
      <w:r>
        <w:rPr>
          <w:rFonts w:asciiTheme="minorHAnsi" w:hAnsiTheme="minorHAnsi" w:cstheme="minorHAnsi"/>
          <w:color w:val="000000" w:themeColor="text1"/>
          <w:sz w:val="22"/>
          <w:szCs w:val="22"/>
        </w:rPr>
        <w:t>Gooby</w:t>
      </w:r>
      <w:proofErr w:type="spellEnd"/>
      <w:r>
        <w:rPr>
          <w:rFonts w:asciiTheme="minorHAnsi" w:hAnsiTheme="minorHAnsi" w:cstheme="minorHAnsi"/>
          <w:color w:val="000000" w:themeColor="text1"/>
          <w:sz w:val="22"/>
          <w:szCs w:val="22"/>
        </w:rPr>
        <w:t xml:space="preserve">, P. (2016) ‘The Divisive Welfare State’, </w:t>
      </w:r>
      <w:r w:rsidRPr="004E3E6D">
        <w:rPr>
          <w:rFonts w:asciiTheme="minorHAnsi" w:hAnsiTheme="minorHAnsi" w:cstheme="minorHAnsi"/>
          <w:i/>
          <w:iCs/>
          <w:color w:val="000000" w:themeColor="text1"/>
          <w:sz w:val="22"/>
          <w:szCs w:val="22"/>
        </w:rPr>
        <w:t>Social Policy and Administration</w:t>
      </w:r>
      <w:r>
        <w:rPr>
          <w:rFonts w:asciiTheme="minorHAnsi" w:hAnsiTheme="minorHAnsi" w:cstheme="minorHAnsi"/>
          <w:color w:val="000000" w:themeColor="text1"/>
          <w:sz w:val="22"/>
          <w:szCs w:val="22"/>
        </w:rPr>
        <w:t>, 50, 6, 712-33</w:t>
      </w:r>
    </w:p>
    <w:p w14:paraId="0AF008FD" w14:textId="61C0016A" w:rsidR="00F41BBD" w:rsidRPr="00C97895" w:rsidRDefault="00F41BBD" w:rsidP="00F41BBD">
      <w:pPr>
        <w:rPr>
          <w:rFonts w:asciiTheme="minorHAnsi" w:hAnsiTheme="minorHAnsi" w:cstheme="minorHAnsi"/>
          <w:color w:val="000000" w:themeColor="text1"/>
          <w:sz w:val="22"/>
          <w:szCs w:val="22"/>
        </w:rPr>
      </w:pPr>
      <w:proofErr w:type="spellStart"/>
      <w:r w:rsidRPr="00C97895">
        <w:rPr>
          <w:rFonts w:asciiTheme="minorHAnsi" w:hAnsiTheme="minorHAnsi" w:cstheme="minorHAnsi"/>
          <w:color w:val="000000" w:themeColor="text1"/>
          <w:sz w:val="22"/>
          <w:szCs w:val="22"/>
        </w:rPr>
        <w:t>Titmuss</w:t>
      </w:r>
      <w:proofErr w:type="spellEnd"/>
      <w:r w:rsidRPr="00C97895">
        <w:rPr>
          <w:rFonts w:asciiTheme="minorHAnsi" w:hAnsiTheme="minorHAnsi" w:cstheme="minorHAnsi"/>
          <w:color w:val="000000" w:themeColor="text1"/>
          <w:sz w:val="22"/>
          <w:szCs w:val="22"/>
        </w:rPr>
        <w:t xml:space="preserve">, R. (1968) </w:t>
      </w:r>
      <w:r w:rsidRPr="00C97895">
        <w:rPr>
          <w:rFonts w:asciiTheme="minorHAnsi" w:hAnsiTheme="minorHAnsi" w:cstheme="minorHAnsi"/>
          <w:i/>
          <w:iCs/>
          <w:color w:val="000000" w:themeColor="text1"/>
          <w:sz w:val="22"/>
          <w:szCs w:val="22"/>
        </w:rPr>
        <w:t xml:space="preserve">Commitment to Welfare, </w:t>
      </w:r>
      <w:r w:rsidRPr="00C97895">
        <w:rPr>
          <w:rFonts w:asciiTheme="minorHAnsi" w:hAnsiTheme="minorHAnsi" w:cstheme="minorHAnsi"/>
          <w:color w:val="000000" w:themeColor="text1"/>
          <w:sz w:val="22"/>
          <w:szCs w:val="22"/>
        </w:rPr>
        <w:t>London: George Allen and Unwin Ltd</w:t>
      </w:r>
    </w:p>
    <w:p w14:paraId="082B0876" w14:textId="49DEFF2C" w:rsidR="004C42F5" w:rsidRPr="00C97895" w:rsidRDefault="00B942FA" w:rsidP="00F41BBD">
      <w:pPr>
        <w:rPr>
          <w:rFonts w:asciiTheme="minorHAnsi" w:eastAsia="ArialUnicodeMS" w:hAnsiTheme="minorHAnsi" w:cstheme="minorHAnsi"/>
          <w:sz w:val="22"/>
          <w:szCs w:val="22"/>
        </w:rPr>
      </w:pPr>
      <w:proofErr w:type="spellStart"/>
      <w:r w:rsidRPr="00C97895">
        <w:rPr>
          <w:rFonts w:asciiTheme="minorHAnsi" w:hAnsiTheme="minorHAnsi" w:cstheme="minorHAnsi"/>
          <w:color w:val="000000" w:themeColor="text1"/>
          <w:sz w:val="22"/>
          <w:szCs w:val="22"/>
        </w:rPr>
        <w:t>Tumino</w:t>
      </w:r>
      <w:proofErr w:type="spellEnd"/>
      <w:r w:rsidRPr="00C97895">
        <w:rPr>
          <w:rFonts w:asciiTheme="minorHAnsi" w:hAnsiTheme="minorHAnsi" w:cstheme="minorHAnsi"/>
          <w:color w:val="000000" w:themeColor="text1"/>
          <w:sz w:val="22"/>
          <w:szCs w:val="22"/>
        </w:rPr>
        <w:t xml:space="preserve">, A. (2015) </w:t>
      </w:r>
      <w:r w:rsidRPr="00C97895">
        <w:rPr>
          <w:rFonts w:asciiTheme="minorHAnsi" w:hAnsiTheme="minorHAnsi" w:cstheme="minorHAnsi"/>
          <w:i/>
          <w:iCs/>
          <w:sz w:val="22"/>
          <w:szCs w:val="22"/>
        </w:rPr>
        <w:t xml:space="preserve">The scarring effect of unemployment from the early ‘90s to the Great </w:t>
      </w:r>
      <w:proofErr w:type="gramStart"/>
      <w:r w:rsidRPr="00C97895">
        <w:rPr>
          <w:rFonts w:asciiTheme="minorHAnsi" w:hAnsiTheme="minorHAnsi" w:cstheme="minorHAnsi"/>
          <w:i/>
          <w:iCs/>
          <w:sz w:val="22"/>
          <w:szCs w:val="22"/>
        </w:rPr>
        <w:t>Recession</w:t>
      </w:r>
      <w:r w:rsidRPr="00C97895">
        <w:rPr>
          <w:rFonts w:asciiTheme="minorHAnsi" w:hAnsiTheme="minorHAnsi" w:cstheme="minorHAnsi"/>
          <w:sz w:val="22"/>
          <w:szCs w:val="22"/>
        </w:rPr>
        <w:t xml:space="preserve">,  </w:t>
      </w:r>
      <w:r w:rsidRPr="00C97895">
        <w:rPr>
          <w:rFonts w:asciiTheme="minorHAnsi" w:eastAsia="ArialUnicodeMS" w:hAnsiTheme="minorHAnsi" w:cstheme="minorHAnsi"/>
          <w:sz w:val="22"/>
          <w:szCs w:val="22"/>
        </w:rPr>
        <w:t>ISER</w:t>
      </w:r>
      <w:proofErr w:type="gramEnd"/>
      <w:r w:rsidRPr="00C97895">
        <w:rPr>
          <w:rFonts w:asciiTheme="minorHAnsi" w:eastAsia="ArialUnicodeMS" w:hAnsiTheme="minorHAnsi" w:cstheme="minorHAnsi"/>
          <w:sz w:val="22"/>
          <w:szCs w:val="22"/>
        </w:rPr>
        <w:t xml:space="preserve"> Working Paper Series, No. 2015-05, University of Essex, Institute for Social and Economic Research (ISER), Colchester </w:t>
      </w:r>
    </w:p>
    <w:p w14:paraId="22A3F00F" w14:textId="70CADC27" w:rsidR="0032472D" w:rsidRDefault="0063540D" w:rsidP="004C42F5">
      <w:pPr>
        <w:ind w:left="284" w:hanging="28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w:t>
      </w:r>
      <w:r w:rsidR="0032472D">
        <w:rPr>
          <w:rFonts w:asciiTheme="minorHAnsi" w:hAnsiTheme="minorHAnsi" w:cstheme="minorHAnsi"/>
          <w:color w:val="000000" w:themeColor="text1"/>
          <w:sz w:val="22"/>
          <w:szCs w:val="22"/>
        </w:rPr>
        <w:t xml:space="preserve">an </w:t>
      </w:r>
      <w:proofErr w:type="spellStart"/>
      <w:r w:rsidR="0032472D">
        <w:rPr>
          <w:rFonts w:asciiTheme="minorHAnsi" w:hAnsiTheme="minorHAnsi" w:cstheme="minorHAnsi"/>
          <w:color w:val="000000" w:themeColor="text1"/>
          <w:sz w:val="22"/>
          <w:szCs w:val="22"/>
        </w:rPr>
        <w:t>Kersbergen</w:t>
      </w:r>
      <w:proofErr w:type="spellEnd"/>
      <w:r w:rsidR="0032472D">
        <w:rPr>
          <w:rFonts w:asciiTheme="minorHAnsi" w:hAnsiTheme="minorHAnsi" w:cstheme="minorHAnsi"/>
          <w:color w:val="000000" w:themeColor="text1"/>
          <w:sz w:val="22"/>
          <w:szCs w:val="22"/>
        </w:rPr>
        <w:t xml:space="preserve">, K. (2000) The Declining Resistance of Welfare States to </w:t>
      </w:r>
      <w:proofErr w:type="gramStart"/>
      <w:r w:rsidR="0032472D">
        <w:rPr>
          <w:rFonts w:asciiTheme="minorHAnsi" w:hAnsiTheme="minorHAnsi" w:cstheme="minorHAnsi"/>
          <w:color w:val="000000" w:themeColor="text1"/>
          <w:sz w:val="22"/>
          <w:szCs w:val="22"/>
        </w:rPr>
        <w:t>Change?,</w:t>
      </w:r>
      <w:proofErr w:type="gramEnd"/>
      <w:r w:rsidR="0032472D">
        <w:rPr>
          <w:rFonts w:asciiTheme="minorHAnsi" w:hAnsiTheme="minorHAnsi" w:cstheme="minorHAnsi"/>
          <w:color w:val="000000" w:themeColor="text1"/>
          <w:sz w:val="22"/>
          <w:szCs w:val="22"/>
        </w:rPr>
        <w:t xml:space="preserve"> in S. </w:t>
      </w:r>
      <w:proofErr w:type="spellStart"/>
      <w:r w:rsidR="0032472D">
        <w:rPr>
          <w:rFonts w:asciiTheme="minorHAnsi" w:hAnsiTheme="minorHAnsi" w:cstheme="minorHAnsi"/>
          <w:color w:val="000000" w:themeColor="text1"/>
          <w:sz w:val="22"/>
          <w:szCs w:val="22"/>
        </w:rPr>
        <w:t>Kuhnle</w:t>
      </w:r>
      <w:proofErr w:type="spellEnd"/>
      <w:r w:rsidR="0032472D">
        <w:rPr>
          <w:rFonts w:asciiTheme="minorHAnsi" w:hAnsiTheme="minorHAnsi" w:cstheme="minorHAnsi"/>
          <w:color w:val="000000" w:themeColor="text1"/>
          <w:sz w:val="22"/>
          <w:szCs w:val="22"/>
        </w:rPr>
        <w:t xml:space="preserve"> (ed), </w:t>
      </w:r>
      <w:r w:rsidR="0032472D" w:rsidRPr="0032472D">
        <w:rPr>
          <w:rFonts w:asciiTheme="minorHAnsi" w:hAnsiTheme="minorHAnsi" w:cstheme="minorHAnsi"/>
          <w:i/>
          <w:iCs/>
          <w:color w:val="000000" w:themeColor="text1"/>
          <w:sz w:val="22"/>
          <w:szCs w:val="22"/>
        </w:rPr>
        <w:t>Survival of the European Welfare State</w:t>
      </w:r>
      <w:r w:rsidR="0032472D">
        <w:rPr>
          <w:rFonts w:asciiTheme="minorHAnsi" w:hAnsiTheme="minorHAnsi" w:cstheme="minorHAnsi"/>
          <w:color w:val="000000" w:themeColor="text1"/>
          <w:sz w:val="22"/>
          <w:szCs w:val="22"/>
        </w:rPr>
        <w:t>, London: Routledge, 19-36.</w:t>
      </w:r>
    </w:p>
    <w:p w14:paraId="231210D5" w14:textId="50D1FB56" w:rsidR="00817AF8" w:rsidRPr="00C97895" w:rsidRDefault="00817AF8" w:rsidP="004C42F5">
      <w:pPr>
        <w:ind w:left="284" w:hanging="284"/>
        <w:rPr>
          <w:rFonts w:asciiTheme="minorHAnsi" w:hAnsiTheme="minorHAnsi" w:cstheme="minorHAnsi"/>
          <w:color w:val="000000" w:themeColor="text1"/>
          <w:sz w:val="22"/>
          <w:szCs w:val="22"/>
        </w:rPr>
      </w:pPr>
      <w:r w:rsidRPr="00C97895">
        <w:rPr>
          <w:rFonts w:asciiTheme="minorHAnsi" w:hAnsiTheme="minorHAnsi" w:cstheme="minorHAnsi"/>
          <w:color w:val="000000" w:themeColor="text1"/>
          <w:sz w:val="22"/>
          <w:szCs w:val="22"/>
        </w:rPr>
        <w:t xml:space="preserve">Watkins, J., </w:t>
      </w:r>
      <w:proofErr w:type="spellStart"/>
      <w:r w:rsidRPr="00C97895">
        <w:rPr>
          <w:rFonts w:asciiTheme="minorHAnsi" w:hAnsiTheme="minorHAnsi" w:cstheme="minorHAnsi"/>
          <w:color w:val="000000" w:themeColor="text1"/>
          <w:sz w:val="22"/>
          <w:szCs w:val="22"/>
        </w:rPr>
        <w:t>Wulaningsih</w:t>
      </w:r>
      <w:proofErr w:type="spellEnd"/>
      <w:r w:rsidRPr="00C97895">
        <w:rPr>
          <w:rFonts w:asciiTheme="minorHAnsi" w:hAnsiTheme="minorHAnsi" w:cstheme="minorHAnsi"/>
          <w:color w:val="000000" w:themeColor="text1"/>
          <w:sz w:val="22"/>
          <w:szCs w:val="22"/>
        </w:rPr>
        <w:t xml:space="preserve">, W., Da Zhou, C., Marshall, D., </w:t>
      </w:r>
      <w:proofErr w:type="spellStart"/>
      <w:r w:rsidRPr="00C97895">
        <w:rPr>
          <w:rFonts w:asciiTheme="minorHAnsi" w:hAnsiTheme="minorHAnsi" w:cstheme="minorHAnsi"/>
          <w:color w:val="000000" w:themeColor="text1"/>
          <w:sz w:val="22"/>
          <w:szCs w:val="22"/>
        </w:rPr>
        <w:t>Sylianteng</w:t>
      </w:r>
      <w:proofErr w:type="spellEnd"/>
      <w:r w:rsidRPr="00C97895">
        <w:rPr>
          <w:rFonts w:asciiTheme="minorHAnsi" w:hAnsiTheme="minorHAnsi" w:cstheme="minorHAnsi"/>
          <w:color w:val="000000" w:themeColor="text1"/>
          <w:sz w:val="22"/>
          <w:szCs w:val="22"/>
        </w:rPr>
        <w:t xml:space="preserve">, G., Dela Rosa, P., Miguel, V. Raine, R., King, L. and </w:t>
      </w:r>
      <w:proofErr w:type="spellStart"/>
      <w:r w:rsidRPr="00C97895">
        <w:rPr>
          <w:rFonts w:asciiTheme="minorHAnsi" w:hAnsiTheme="minorHAnsi" w:cstheme="minorHAnsi"/>
          <w:color w:val="000000" w:themeColor="text1"/>
          <w:sz w:val="22"/>
          <w:szCs w:val="22"/>
        </w:rPr>
        <w:t>Maruthappu</w:t>
      </w:r>
      <w:proofErr w:type="spellEnd"/>
      <w:r w:rsidRPr="00C97895">
        <w:rPr>
          <w:rFonts w:asciiTheme="minorHAnsi" w:hAnsiTheme="minorHAnsi" w:cstheme="minorHAnsi"/>
          <w:color w:val="000000" w:themeColor="text1"/>
          <w:sz w:val="22"/>
          <w:szCs w:val="22"/>
        </w:rPr>
        <w:t xml:space="preserve">, M. (2017) Effects of health and social care spending constraints on mortality in England: A time trend analysis, </w:t>
      </w:r>
      <w:r w:rsidRPr="00C97895">
        <w:rPr>
          <w:rFonts w:asciiTheme="minorHAnsi" w:hAnsiTheme="minorHAnsi" w:cstheme="minorHAnsi"/>
          <w:i/>
          <w:iCs/>
          <w:color w:val="000000" w:themeColor="text1"/>
          <w:sz w:val="22"/>
          <w:szCs w:val="22"/>
        </w:rPr>
        <w:t>BMJ Open</w:t>
      </w:r>
      <w:r w:rsidRPr="00C97895">
        <w:rPr>
          <w:rFonts w:asciiTheme="minorHAnsi" w:hAnsiTheme="minorHAnsi" w:cstheme="minorHAnsi"/>
          <w:color w:val="000000" w:themeColor="text1"/>
          <w:sz w:val="22"/>
          <w:szCs w:val="22"/>
        </w:rPr>
        <w:t xml:space="preserve"> 7:e017722</w:t>
      </w:r>
    </w:p>
    <w:p w14:paraId="5B9078DB" w14:textId="125A0E63" w:rsidR="00F737C1" w:rsidRDefault="00F737C1" w:rsidP="004C42F5">
      <w:pPr>
        <w:ind w:left="284" w:hanging="28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WHO (2018) </w:t>
      </w:r>
      <w:r w:rsidRPr="00F737C1">
        <w:rPr>
          <w:rFonts w:asciiTheme="minorHAnsi" w:hAnsiTheme="minorHAnsi" w:cstheme="minorHAnsi"/>
          <w:i/>
          <w:iCs/>
          <w:color w:val="000000" w:themeColor="text1"/>
          <w:sz w:val="22"/>
          <w:szCs w:val="22"/>
        </w:rPr>
        <w:t xml:space="preserve">Can People Afford to pay for health care in the United </w:t>
      </w:r>
      <w:proofErr w:type="gramStart"/>
      <w:r w:rsidRPr="00F737C1">
        <w:rPr>
          <w:rFonts w:asciiTheme="minorHAnsi" w:hAnsiTheme="minorHAnsi" w:cstheme="minorHAnsi"/>
          <w:i/>
          <w:iCs/>
          <w:color w:val="000000" w:themeColor="text1"/>
          <w:sz w:val="22"/>
          <w:szCs w:val="22"/>
        </w:rPr>
        <w:t>Kingdom?</w:t>
      </w:r>
      <w:r>
        <w:rPr>
          <w:rFonts w:asciiTheme="minorHAnsi" w:hAnsiTheme="minorHAnsi" w:cstheme="minorHAnsi"/>
          <w:color w:val="000000" w:themeColor="text1"/>
          <w:sz w:val="22"/>
          <w:szCs w:val="22"/>
        </w:rPr>
        <w:t>,</w:t>
      </w:r>
      <w:proofErr w:type="gramEnd"/>
      <w:r>
        <w:rPr>
          <w:rFonts w:asciiTheme="minorHAnsi" w:hAnsiTheme="minorHAnsi" w:cstheme="minorHAnsi"/>
          <w:color w:val="000000" w:themeColor="text1"/>
          <w:sz w:val="22"/>
          <w:szCs w:val="22"/>
        </w:rPr>
        <w:t xml:space="preserve"> World Health Organisation, Copenhagen: WHO Regional Office for Europe. </w:t>
      </w:r>
    </w:p>
    <w:p w14:paraId="4C89B93F" w14:textId="0869BD51" w:rsidR="00635283" w:rsidRPr="00C97895" w:rsidRDefault="00635283" w:rsidP="004C42F5">
      <w:pPr>
        <w:ind w:left="284" w:hanging="284"/>
        <w:rPr>
          <w:rFonts w:asciiTheme="minorHAnsi" w:hAnsiTheme="minorHAnsi" w:cstheme="minorHAnsi"/>
          <w:color w:val="000000" w:themeColor="text1"/>
          <w:sz w:val="22"/>
          <w:szCs w:val="22"/>
        </w:rPr>
      </w:pPr>
      <w:r w:rsidRPr="00C97895">
        <w:rPr>
          <w:rFonts w:asciiTheme="minorHAnsi" w:hAnsiTheme="minorHAnsi" w:cstheme="minorHAnsi"/>
          <w:color w:val="000000" w:themeColor="text1"/>
          <w:sz w:val="22"/>
          <w:szCs w:val="22"/>
        </w:rPr>
        <w:t xml:space="preserve">Whittaker, M. (2019) </w:t>
      </w:r>
      <w:r w:rsidRPr="00C97895">
        <w:rPr>
          <w:rFonts w:asciiTheme="minorHAnsi" w:hAnsiTheme="minorHAnsi" w:cstheme="minorHAnsi"/>
          <w:i/>
          <w:iCs/>
          <w:color w:val="000000" w:themeColor="text1"/>
          <w:sz w:val="22"/>
          <w:szCs w:val="22"/>
        </w:rPr>
        <w:t>The shape of things to come, Charting the changing size and shape of the UK state</w:t>
      </w:r>
      <w:r w:rsidRPr="00C97895">
        <w:rPr>
          <w:rFonts w:asciiTheme="minorHAnsi" w:hAnsiTheme="minorHAnsi" w:cstheme="minorHAnsi"/>
          <w:color w:val="000000" w:themeColor="text1"/>
          <w:sz w:val="22"/>
          <w:szCs w:val="22"/>
        </w:rPr>
        <w:t>, London: Resolution Foundation</w:t>
      </w:r>
    </w:p>
    <w:p w14:paraId="344346F3" w14:textId="2C154A6C" w:rsidR="00137D7F" w:rsidRPr="00C97895" w:rsidRDefault="00137D7F" w:rsidP="004C42F5">
      <w:pPr>
        <w:ind w:left="284" w:hanging="284"/>
        <w:rPr>
          <w:rFonts w:asciiTheme="minorHAnsi" w:hAnsiTheme="minorHAnsi" w:cstheme="minorHAnsi"/>
          <w:color w:val="000000" w:themeColor="text1"/>
          <w:sz w:val="22"/>
          <w:szCs w:val="22"/>
        </w:rPr>
      </w:pPr>
      <w:r w:rsidRPr="00C97895">
        <w:rPr>
          <w:rFonts w:asciiTheme="minorHAnsi" w:hAnsiTheme="minorHAnsi" w:cstheme="minorHAnsi"/>
          <w:color w:val="000000" w:themeColor="text1"/>
          <w:sz w:val="22"/>
          <w:szCs w:val="22"/>
        </w:rPr>
        <w:t xml:space="preserve">Wilding, P. (1992) ‘The British welfare state: Thatcherism’s enduring legacy’, </w:t>
      </w:r>
      <w:r w:rsidRPr="00C97895">
        <w:rPr>
          <w:rFonts w:asciiTheme="minorHAnsi" w:hAnsiTheme="minorHAnsi" w:cstheme="minorHAnsi"/>
          <w:i/>
          <w:iCs/>
          <w:color w:val="000000" w:themeColor="text1"/>
          <w:sz w:val="22"/>
          <w:szCs w:val="22"/>
        </w:rPr>
        <w:t>Policy and Politics</w:t>
      </w:r>
      <w:r w:rsidRPr="00C97895">
        <w:rPr>
          <w:rFonts w:asciiTheme="minorHAnsi" w:hAnsiTheme="minorHAnsi" w:cstheme="minorHAnsi"/>
          <w:color w:val="000000" w:themeColor="text1"/>
          <w:sz w:val="22"/>
          <w:szCs w:val="22"/>
        </w:rPr>
        <w:t>, 20, 3, 201-212</w:t>
      </w:r>
    </w:p>
    <w:p w14:paraId="47D4DB30" w14:textId="39B078B6" w:rsidR="00F41BBD" w:rsidRPr="00F12ED2" w:rsidRDefault="00F41BBD" w:rsidP="004C42F5">
      <w:pPr>
        <w:ind w:left="284" w:hanging="284"/>
        <w:rPr>
          <w:rFonts w:asciiTheme="minorHAnsi" w:hAnsiTheme="minorHAnsi" w:cstheme="minorHAnsi"/>
          <w:color w:val="000000" w:themeColor="text1"/>
          <w:sz w:val="22"/>
          <w:szCs w:val="22"/>
        </w:rPr>
      </w:pPr>
      <w:r w:rsidRPr="00F12ED2">
        <w:rPr>
          <w:rFonts w:asciiTheme="minorHAnsi" w:hAnsiTheme="minorHAnsi" w:cstheme="minorHAnsi"/>
          <w:color w:val="000000" w:themeColor="text1"/>
          <w:sz w:val="22"/>
          <w:szCs w:val="22"/>
        </w:rPr>
        <w:t xml:space="preserve">Wilensky, H. (2002) </w:t>
      </w:r>
      <w:r w:rsidRPr="00F12ED2">
        <w:rPr>
          <w:rFonts w:asciiTheme="minorHAnsi" w:hAnsiTheme="minorHAnsi" w:cstheme="minorHAnsi"/>
          <w:i/>
          <w:iCs/>
          <w:color w:val="000000" w:themeColor="text1"/>
          <w:sz w:val="22"/>
          <w:szCs w:val="22"/>
        </w:rPr>
        <w:t>Rich Democracies, Political Economy, Public Policy and Performance</w:t>
      </w:r>
      <w:r w:rsidRPr="00F12ED2">
        <w:rPr>
          <w:rFonts w:asciiTheme="minorHAnsi" w:hAnsiTheme="minorHAnsi" w:cstheme="minorHAnsi"/>
          <w:color w:val="000000" w:themeColor="text1"/>
          <w:sz w:val="22"/>
          <w:szCs w:val="22"/>
        </w:rPr>
        <w:t>, Berkeley: University of California Press</w:t>
      </w:r>
    </w:p>
    <w:p w14:paraId="52C3CA4A" w14:textId="5D8197D3" w:rsidR="00F12ED2" w:rsidRPr="009B7324" w:rsidRDefault="00F12ED2" w:rsidP="00F12ED2">
      <w:pPr>
        <w:ind w:left="284" w:hanging="284"/>
        <w:rPr>
          <w:rFonts w:asciiTheme="minorHAnsi" w:hAnsiTheme="minorHAnsi" w:cstheme="minorHAnsi"/>
          <w:color w:val="000000" w:themeColor="text1"/>
          <w:sz w:val="22"/>
          <w:szCs w:val="22"/>
        </w:rPr>
      </w:pPr>
      <w:r w:rsidRPr="009B7324">
        <w:rPr>
          <w:rFonts w:asciiTheme="minorHAnsi" w:hAnsiTheme="minorHAnsi" w:cstheme="minorHAnsi"/>
          <w:color w:val="000000" w:themeColor="text1"/>
          <w:sz w:val="22"/>
          <w:szCs w:val="22"/>
        </w:rPr>
        <w:t xml:space="preserve">Williams, F. (2015) ‘Towards the Welfare Commons: Contestation, Critique 30 and Criticality in Social Policy’, in Z. Irving, M. </w:t>
      </w:r>
      <w:proofErr w:type="spellStart"/>
      <w:r w:rsidRPr="009B7324">
        <w:rPr>
          <w:rFonts w:asciiTheme="minorHAnsi" w:hAnsiTheme="minorHAnsi" w:cstheme="minorHAnsi"/>
          <w:color w:val="000000" w:themeColor="text1"/>
          <w:sz w:val="22"/>
          <w:szCs w:val="22"/>
        </w:rPr>
        <w:t>Fenger</w:t>
      </w:r>
      <w:proofErr w:type="spellEnd"/>
      <w:r w:rsidRPr="009B7324">
        <w:rPr>
          <w:rFonts w:asciiTheme="minorHAnsi" w:hAnsiTheme="minorHAnsi" w:cstheme="minorHAnsi"/>
          <w:color w:val="000000" w:themeColor="text1"/>
          <w:sz w:val="22"/>
          <w:szCs w:val="22"/>
        </w:rPr>
        <w:t xml:space="preserve"> and J. Hudson (eds) 31 </w:t>
      </w:r>
      <w:r w:rsidRPr="009B7324">
        <w:rPr>
          <w:rFonts w:asciiTheme="minorHAnsi" w:hAnsiTheme="minorHAnsi" w:cstheme="minorHAnsi"/>
          <w:i/>
          <w:iCs/>
          <w:color w:val="000000" w:themeColor="text1"/>
          <w:sz w:val="22"/>
          <w:szCs w:val="22"/>
        </w:rPr>
        <w:t>Social Policy Review 27: Analysis and Debate in Social Policy</w:t>
      </w:r>
      <w:r w:rsidRPr="009B7324">
        <w:rPr>
          <w:rFonts w:asciiTheme="minorHAnsi" w:hAnsiTheme="minorHAnsi" w:cstheme="minorHAnsi"/>
          <w:color w:val="000000" w:themeColor="text1"/>
          <w:sz w:val="22"/>
          <w:szCs w:val="22"/>
        </w:rPr>
        <w:t xml:space="preserve">, Bristol: Policy Press. </w:t>
      </w:r>
    </w:p>
    <w:p w14:paraId="45B78986" w14:textId="77777777" w:rsidR="00563843" w:rsidRPr="009B7324" w:rsidRDefault="00563843" w:rsidP="00563843">
      <w:pPr>
        <w:tabs>
          <w:tab w:val="left" w:pos="720"/>
          <w:tab w:val="left" w:pos="3600"/>
          <w:tab w:val="left" w:pos="4320"/>
          <w:tab w:val="left" w:pos="5040"/>
          <w:tab w:val="left" w:pos="5760"/>
          <w:tab w:val="left" w:pos="6480"/>
          <w:tab w:val="left" w:pos="7200"/>
          <w:tab w:val="left" w:pos="7920"/>
        </w:tabs>
        <w:ind w:left="284" w:hanging="284"/>
        <w:jc w:val="both"/>
        <w:rPr>
          <w:rFonts w:asciiTheme="minorHAnsi" w:hAnsiTheme="minorHAnsi" w:cstheme="minorHAnsi"/>
          <w:sz w:val="22"/>
          <w:szCs w:val="22"/>
        </w:rPr>
      </w:pPr>
      <w:r w:rsidRPr="009B7324">
        <w:rPr>
          <w:rFonts w:asciiTheme="minorHAnsi" w:hAnsiTheme="minorHAnsi" w:cstheme="minorHAnsi"/>
          <w:sz w:val="22"/>
          <w:szCs w:val="22"/>
        </w:rPr>
        <w:t xml:space="preserve">Wren-Lewis, S. (2018) </w:t>
      </w:r>
      <w:r w:rsidRPr="009B7324">
        <w:rPr>
          <w:rFonts w:asciiTheme="minorHAnsi" w:hAnsiTheme="minorHAnsi" w:cstheme="minorHAnsi"/>
          <w:i/>
          <w:iCs/>
          <w:sz w:val="22"/>
          <w:szCs w:val="22"/>
        </w:rPr>
        <w:t>The Lies we were told, Politics, Economics, Austerity and Brexit</w:t>
      </w:r>
      <w:r w:rsidRPr="009B7324">
        <w:rPr>
          <w:rFonts w:asciiTheme="minorHAnsi" w:hAnsiTheme="minorHAnsi" w:cstheme="minorHAnsi"/>
          <w:sz w:val="22"/>
          <w:szCs w:val="22"/>
        </w:rPr>
        <w:t>, Bristol: Bristol University Press</w:t>
      </w:r>
    </w:p>
    <w:p w14:paraId="1DB4972F" w14:textId="7D58E1CE" w:rsidR="000F75AE" w:rsidRPr="00970FED" w:rsidRDefault="000F75AE">
      <w:pPr>
        <w:rPr>
          <w:rFonts w:asciiTheme="minorHAnsi" w:hAnsiTheme="minorHAnsi" w:cstheme="minorHAnsi"/>
          <w:color w:val="000000" w:themeColor="text1"/>
          <w:sz w:val="22"/>
          <w:szCs w:val="22"/>
        </w:rPr>
      </w:pPr>
    </w:p>
    <w:sectPr w:rsidR="000F75AE" w:rsidRPr="00970FED" w:rsidSect="00BD51A2">
      <w:footerReference w:type="even" r:id="rId23"/>
      <w:footerReference w:type="default" r:id="rId2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1FC93" w14:textId="77777777" w:rsidR="005023D0" w:rsidRDefault="005023D0" w:rsidP="00B87026">
      <w:r>
        <w:separator/>
      </w:r>
    </w:p>
  </w:endnote>
  <w:endnote w:type="continuationSeparator" w:id="0">
    <w:p w14:paraId="1E872F90" w14:textId="77777777" w:rsidR="005023D0" w:rsidRDefault="005023D0" w:rsidP="00B87026">
      <w:r>
        <w:continuationSeparator/>
      </w:r>
    </w:p>
  </w:endnote>
  <w:endnote w:id="1">
    <w:p w14:paraId="32D06405" w14:textId="6AD44199" w:rsidR="009B7324" w:rsidRPr="009B7324" w:rsidRDefault="009B7324">
      <w:pPr>
        <w:pStyle w:val="EndnoteText"/>
        <w:rPr>
          <w:lang w:val="en-GB"/>
        </w:rPr>
      </w:pPr>
      <w:r>
        <w:rPr>
          <w:rStyle w:val="EndnoteReference"/>
        </w:rPr>
        <w:endnoteRef/>
      </w:r>
      <w:r>
        <w:t xml:space="preserve"> </w:t>
      </w:r>
      <w:r>
        <w:rPr>
          <w:lang w:val="en-GB"/>
        </w:rPr>
        <w:t xml:space="preserve">Except Hong Kong, Iceland, Israel, </w:t>
      </w:r>
      <w:proofErr w:type="spellStart"/>
      <w:proofErr w:type="gramStart"/>
      <w:r>
        <w:rPr>
          <w:lang w:val="en-GB"/>
        </w:rPr>
        <w:t>Singapore,</w:t>
      </w:r>
      <w:r>
        <w:rPr>
          <w:lang w:val="en-GB"/>
        </w:rPr>
        <w:t>and</w:t>
      </w:r>
      <w:proofErr w:type="spellEnd"/>
      <w:proofErr w:type="gramEnd"/>
      <w:r>
        <w:rPr>
          <w:lang w:val="en-GB"/>
        </w:rPr>
        <w:t xml:space="preserve"> Turkey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DejaVuSans">
    <w:altName w:val="Cambria"/>
    <w:panose1 w:val="020B0604020202020204"/>
    <w:charset w:val="00"/>
    <w:family w:val="roman"/>
    <w:notTrueType/>
    <w:pitch w:val="default"/>
  </w:font>
  <w:font w:name="ArialUnicode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36006787"/>
      <w:docPartObj>
        <w:docPartGallery w:val="Page Numbers (Bottom of Page)"/>
        <w:docPartUnique/>
      </w:docPartObj>
    </w:sdtPr>
    <w:sdtEndPr>
      <w:rPr>
        <w:rStyle w:val="PageNumber"/>
      </w:rPr>
    </w:sdtEndPr>
    <w:sdtContent>
      <w:p w14:paraId="27D430BF" w14:textId="5AA27038" w:rsidR="0015314E" w:rsidRDefault="0015314E" w:rsidP="00357B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87598" w14:textId="77777777" w:rsidR="0015314E" w:rsidRDefault="0015314E" w:rsidP="00B87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37076876"/>
      <w:docPartObj>
        <w:docPartGallery w:val="Page Numbers (Bottom of Page)"/>
        <w:docPartUnique/>
      </w:docPartObj>
    </w:sdtPr>
    <w:sdtEndPr>
      <w:rPr>
        <w:rStyle w:val="PageNumber"/>
      </w:rPr>
    </w:sdtEndPr>
    <w:sdtContent>
      <w:p w14:paraId="15B0C726" w14:textId="2D7D40A8" w:rsidR="0015314E" w:rsidRDefault="0015314E" w:rsidP="00357B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7F6E21" w14:textId="77777777" w:rsidR="0015314E" w:rsidRDefault="0015314E" w:rsidP="00B870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6FB97" w14:textId="77777777" w:rsidR="005023D0" w:rsidRDefault="005023D0" w:rsidP="00B87026">
      <w:r>
        <w:separator/>
      </w:r>
    </w:p>
  </w:footnote>
  <w:footnote w:type="continuationSeparator" w:id="0">
    <w:p w14:paraId="793D61B9" w14:textId="77777777" w:rsidR="005023D0" w:rsidRDefault="005023D0" w:rsidP="00B87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405ED"/>
    <w:multiLevelType w:val="hybridMultilevel"/>
    <w:tmpl w:val="6B565AAC"/>
    <w:lvl w:ilvl="0" w:tplc="47A2917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61514"/>
    <w:multiLevelType w:val="hybridMultilevel"/>
    <w:tmpl w:val="08761966"/>
    <w:lvl w:ilvl="0" w:tplc="C3BCAD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549D8"/>
    <w:multiLevelType w:val="hybridMultilevel"/>
    <w:tmpl w:val="3CCAA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76E48DE"/>
    <w:multiLevelType w:val="hybridMultilevel"/>
    <w:tmpl w:val="DBC8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773E6"/>
    <w:multiLevelType w:val="hybridMultilevel"/>
    <w:tmpl w:val="0E042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B426680"/>
    <w:multiLevelType w:val="hybridMultilevel"/>
    <w:tmpl w:val="362CA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684381"/>
    <w:multiLevelType w:val="hybridMultilevel"/>
    <w:tmpl w:val="DBC6B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0A7E9E"/>
    <w:multiLevelType w:val="hybridMultilevel"/>
    <w:tmpl w:val="97C2625A"/>
    <w:lvl w:ilvl="0" w:tplc="47A291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0A0FDA"/>
    <w:multiLevelType w:val="hybridMultilevel"/>
    <w:tmpl w:val="9064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6D2D1D"/>
    <w:multiLevelType w:val="hybridMultilevel"/>
    <w:tmpl w:val="C19E5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9575C54"/>
    <w:multiLevelType w:val="hybridMultilevel"/>
    <w:tmpl w:val="34B8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1"/>
  </w:num>
  <w:num w:numId="5">
    <w:abstractNumId w:val="5"/>
  </w:num>
  <w:num w:numId="6">
    <w:abstractNumId w:val="2"/>
  </w:num>
  <w:num w:numId="7">
    <w:abstractNumId w:val="4"/>
  </w:num>
  <w:num w:numId="8">
    <w:abstractNumId w:val="6"/>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AB"/>
    <w:rsid w:val="00001B98"/>
    <w:rsid w:val="000076D6"/>
    <w:rsid w:val="000134B9"/>
    <w:rsid w:val="00024B16"/>
    <w:rsid w:val="00030B49"/>
    <w:rsid w:val="000360DD"/>
    <w:rsid w:val="00043E29"/>
    <w:rsid w:val="00044F90"/>
    <w:rsid w:val="00053934"/>
    <w:rsid w:val="000568E8"/>
    <w:rsid w:val="0007232E"/>
    <w:rsid w:val="00087A3E"/>
    <w:rsid w:val="00092EA6"/>
    <w:rsid w:val="00095477"/>
    <w:rsid w:val="000A0A9B"/>
    <w:rsid w:val="000A150B"/>
    <w:rsid w:val="000B2001"/>
    <w:rsid w:val="000B31A0"/>
    <w:rsid w:val="000C5CCF"/>
    <w:rsid w:val="000C72B1"/>
    <w:rsid w:val="000D1E87"/>
    <w:rsid w:val="000D25E5"/>
    <w:rsid w:val="000D2BA5"/>
    <w:rsid w:val="000D3AF2"/>
    <w:rsid w:val="000D571F"/>
    <w:rsid w:val="000D693E"/>
    <w:rsid w:val="000F75AE"/>
    <w:rsid w:val="001142EF"/>
    <w:rsid w:val="00121083"/>
    <w:rsid w:val="00137D7F"/>
    <w:rsid w:val="0015314E"/>
    <w:rsid w:val="00165472"/>
    <w:rsid w:val="0016761D"/>
    <w:rsid w:val="0017348D"/>
    <w:rsid w:val="00186E7C"/>
    <w:rsid w:val="001875BA"/>
    <w:rsid w:val="00187E36"/>
    <w:rsid w:val="00187F7C"/>
    <w:rsid w:val="001B5916"/>
    <w:rsid w:val="001D61B9"/>
    <w:rsid w:val="001D620F"/>
    <w:rsid w:val="001E0C1C"/>
    <w:rsid w:val="001E21AB"/>
    <w:rsid w:val="001F7524"/>
    <w:rsid w:val="00202B73"/>
    <w:rsid w:val="00203960"/>
    <w:rsid w:val="0021195E"/>
    <w:rsid w:val="00226E65"/>
    <w:rsid w:val="00231A4E"/>
    <w:rsid w:val="0023722A"/>
    <w:rsid w:val="00245C2F"/>
    <w:rsid w:val="00255348"/>
    <w:rsid w:val="00280D24"/>
    <w:rsid w:val="00281791"/>
    <w:rsid w:val="002864EA"/>
    <w:rsid w:val="00297A1A"/>
    <w:rsid w:val="002B2217"/>
    <w:rsid w:val="002D2642"/>
    <w:rsid w:val="002D6118"/>
    <w:rsid w:val="002E1955"/>
    <w:rsid w:val="002F12E8"/>
    <w:rsid w:val="002F1B70"/>
    <w:rsid w:val="002F2EA0"/>
    <w:rsid w:val="002F3021"/>
    <w:rsid w:val="002F500B"/>
    <w:rsid w:val="00302FF8"/>
    <w:rsid w:val="00306090"/>
    <w:rsid w:val="0032472D"/>
    <w:rsid w:val="003442BA"/>
    <w:rsid w:val="003469D4"/>
    <w:rsid w:val="00346EDA"/>
    <w:rsid w:val="00357B63"/>
    <w:rsid w:val="0039458A"/>
    <w:rsid w:val="003D66FC"/>
    <w:rsid w:val="003F701E"/>
    <w:rsid w:val="00402A7C"/>
    <w:rsid w:val="0041669E"/>
    <w:rsid w:val="00421D76"/>
    <w:rsid w:val="0042586A"/>
    <w:rsid w:val="0044591D"/>
    <w:rsid w:val="00474BB0"/>
    <w:rsid w:val="00481AE7"/>
    <w:rsid w:val="00496368"/>
    <w:rsid w:val="00496BCE"/>
    <w:rsid w:val="00497362"/>
    <w:rsid w:val="004B1348"/>
    <w:rsid w:val="004B4F3A"/>
    <w:rsid w:val="004C42F5"/>
    <w:rsid w:val="004D7E57"/>
    <w:rsid w:val="004E042A"/>
    <w:rsid w:val="004E2995"/>
    <w:rsid w:val="004E3E6D"/>
    <w:rsid w:val="004F5916"/>
    <w:rsid w:val="005023D0"/>
    <w:rsid w:val="00503DE7"/>
    <w:rsid w:val="00505915"/>
    <w:rsid w:val="00510E53"/>
    <w:rsid w:val="00514186"/>
    <w:rsid w:val="00514194"/>
    <w:rsid w:val="00525A72"/>
    <w:rsid w:val="0053054A"/>
    <w:rsid w:val="00536C0A"/>
    <w:rsid w:val="00552286"/>
    <w:rsid w:val="00556F75"/>
    <w:rsid w:val="00563843"/>
    <w:rsid w:val="005724BC"/>
    <w:rsid w:val="005B5FC5"/>
    <w:rsid w:val="005C24AE"/>
    <w:rsid w:val="005E5067"/>
    <w:rsid w:val="005F0C36"/>
    <w:rsid w:val="006037E5"/>
    <w:rsid w:val="00610D0B"/>
    <w:rsid w:val="0062045D"/>
    <w:rsid w:val="00621E95"/>
    <w:rsid w:val="00635283"/>
    <w:rsid w:val="0063540D"/>
    <w:rsid w:val="00641211"/>
    <w:rsid w:val="00647902"/>
    <w:rsid w:val="00653268"/>
    <w:rsid w:val="00653DCE"/>
    <w:rsid w:val="00662996"/>
    <w:rsid w:val="00673EA9"/>
    <w:rsid w:val="006817C3"/>
    <w:rsid w:val="0068624B"/>
    <w:rsid w:val="006867D1"/>
    <w:rsid w:val="00694305"/>
    <w:rsid w:val="00695C3A"/>
    <w:rsid w:val="006A2001"/>
    <w:rsid w:val="006A677A"/>
    <w:rsid w:val="006B7EB1"/>
    <w:rsid w:val="006C02BC"/>
    <w:rsid w:val="006C1735"/>
    <w:rsid w:val="006F1857"/>
    <w:rsid w:val="006F7781"/>
    <w:rsid w:val="00703B4F"/>
    <w:rsid w:val="00706C73"/>
    <w:rsid w:val="007111B9"/>
    <w:rsid w:val="00713FEF"/>
    <w:rsid w:val="00717E32"/>
    <w:rsid w:val="007347AE"/>
    <w:rsid w:val="00736D99"/>
    <w:rsid w:val="00740EAC"/>
    <w:rsid w:val="00742432"/>
    <w:rsid w:val="00760FE9"/>
    <w:rsid w:val="00785055"/>
    <w:rsid w:val="00794FC4"/>
    <w:rsid w:val="007B0560"/>
    <w:rsid w:val="007B11E1"/>
    <w:rsid w:val="007B4D9A"/>
    <w:rsid w:val="007C5BB0"/>
    <w:rsid w:val="007D13CA"/>
    <w:rsid w:val="007D4D6F"/>
    <w:rsid w:val="007D792F"/>
    <w:rsid w:val="007E127F"/>
    <w:rsid w:val="008002C7"/>
    <w:rsid w:val="00800F74"/>
    <w:rsid w:val="00804EDE"/>
    <w:rsid w:val="00811341"/>
    <w:rsid w:val="00813D52"/>
    <w:rsid w:val="00817AF8"/>
    <w:rsid w:val="0082202B"/>
    <w:rsid w:val="00823AF0"/>
    <w:rsid w:val="00824C47"/>
    <w:rsid w:val="00831421"/>
    <w:rsid w:val="00844F8A"/>
    <w:rsid w:val="0086086E"/>
    <w:rsid w:val="00860C8A"/>
    <w:rsid w:val="00874EB8"/>
    <w:rsid w:val="008761AD"/>
    <w:rsid w:val="0088512B"/>
    <w:rsid w:val="00887DA7"/>
    <w:rsid w:val="008B1F89"/>
    <w:rsid w:val="008B33E4"/>
    <w:rsid w:val="008C317F"/>
    <w:rsid w:val="008C3EE7"/>
    <w:rsid w:val="008C4471"/>
    <w:rsid w:val="008D2477"/>
    <w:rsid w:val="008E4E30"/>
    <w:rsid w:val="008E66DE"/>
    <w:rsid w:val="008E7C78"/>
    <w:rsid w:val="008F5852"/>
    <w:rsid w:val="00900D56"/>
    <w:rsid w:val="00901E46"/>
    <w:rsid w:val="0090360F"/>
    <w:rsid w:val="00904B8F"/>
    <w:rsid w:val="00906281"/>
    <w:rsid w:val="00927079"/>
    <w:rsid w:val="00931228"/>
    <w:rsid w:val="00942074"/>
    <w:rsid w:val="00945E09"/>
    <w:rsid w:val="0095130A"/>
    <w:rsid w:val="00970FED"/>
    <w:rsid w:val="009720EA"/>
    <w:rsid w:val="009807BF"/>
    <w:rsid w:val="00980D69"/>
    <w:rsid w:val="00982780"/>
    <w:rsid w:val="00996D65"/>
    <w:rsid w:val="00997311"/>
    <w:rsid w:val="009A0B17"/>
    <w:rsid w:val="009B7324"/>
    <w:rsid w:val="009C19C4"/>
    <w:rsid w:val="009E07A6"/>
    <w:rsid w:val="009F0060"/>
    <w:rsid w:val="009F437E"/>
    <w:rsid w:val="00A00562"/>
    <w:rsid w:val="00A061E7"/>
    <w:rsid w:val="00A06411"/>
    <w:rsid w:val="00A07B85"/>
    <w:rsid w:val="00A12614"/>
    <w:rsid w:val="00A16A21"/>
    <w:rsid w:val="00A30CCC"/>
    <w:rsid w:val="00A345A2"/>
    <w:rsid w:val="00A36A28"/>
    <w:rsid w:val="00A37FFB"/>
    <w:rsid w:val="00A41D58"/>
    <w:rsid w:val="00A43530"/>
    <w:rsid w:val="00A714B3"/>
    <w:rsid w:val="00A83EAA"/>
    <w:rsid w:val="00A9234D"/>
    <w:rsid w:val="00A9473F"/>
    <w:rsid w:val="00AB5C06"/>
    <w:rsid w:val="00AC36B5"/>
    <w:rsid w:val="00AC6DB2"/>
    <w:rsid w:val="00AD1491"/>
    <w:rsid w:val="00AD16AB"/>
    <w:rsid w:val="00AF3D2B"/>
    <w:rsid w:val="00AF4458"/>
    <w:rsid w:val="00B01AA5"/>
    <w:rsid w:val="00B0616C"/>
    <w:rsid w:val="00B15B57"/>
    <w:rsid w:val="00B35685"/>
    <w:rsid w:val="00B415E5"/>
    <w:rsid w:val="00B53D4A"/>
    <w:rsid w:val="00B742A7"/>
    <w:rsid w:val="00B75974"/>
    <w:rsid w:val="00B87026"/>
    <w:rsid w:val="00B92B7A"/>
    <w:rsid w:val="00B942FA"/>
    <w:rsid w:val="00BA3D2F"/>
    <w:rsid w:val="00BD51A2"/>
    <w:rsid w:val="00BD6949"/>
    <w:rsid w:val="00BE66FB"/>
    <w:rsid w:val="00BF0C99"/>
    <w:rsid w:val="00BF5105"/>
    <w:rsid w:val="00C0740B"/>
    <w:rsid w:val="00C15875"/>
    <w:rsid w:val="00C22846"/>
    <w:rsid w:val="00C40DD5"/>
    <w:rsid w:val="00C4190C"/>
    <w:rsid w:val="00C509D6"/>
    <w:rsid w:val="00C52B0F"/>
    <w:rsid w:val="00C52E3D"/>
    <w:rsid w:val="00C56D6C"/>
    <w:rsid w:val="00C85102"/>
    <w:rsid w:val="00C97895"/>
    <w:rsid w:val="00CA1630"/>
    <w:rsid w:val="00CA46C9"/>
    <w:rsid w:val="00CC453A"/>
    <w:rsid w:val="00CC5844"/>
    <w:rsid w:val="00CE0A77"/>
    <w:rsid w:val="00CE137E"/>
    <w:rsid w:val="00CF78CD"/>
    <w:rsid w:val="00D02A83"/>
    <w:rsid w:val="00D16490"/>
    <w:rsid w:val="00D25067"/>
    <w:rsid w:val="00D26073"/>
    <w:rsid w:val="00D424B8"/>
    <w:rsid w:val="00D6614B"/>
    <w:rsid w:val="00D6637A"/>
    <w:rsid w:val="00D7129C"/>
    <w:rsid w:val="00D71D0F"/>
    <w:rsid w:val="00D74F87"/>
    <w:rsid w:val="00D87796"/>
    <w:rsid w:val="00DA03A5"/>
    <w:rsid w:val="00DA0C42"/>
    <w:rsid w:val="00DB05CB"/>
    <w:rsid w:val="00DB4379"/>
    <w:rsid w:val="00DB581B"/>
    <w:rsid w:val="00DC1EDF"/>
    <w:rsid w:val="00DC5229"/>
    <w:rsid w:val="00DC79BC"/>
    <w:rsid w:val="00DD4AAB"/>
    <w:rsid w:val="00DE12B9"/>
    <w:rsid w:val="00DF0AFE"/>
    <w:rsid w:val="00DF60F0"/>
    <w:rsid w:val="00E015F2"/>
    <w:rsid w:val="00E04B2A"/>
    <w:rsid w:val="00E07956"/>
    <w:rsid w:val="00E21FEE"/>
    <w:rsid w:val="00E229DF"/>
    <w:rsid w:val="00E279E3"/>
    <w:rsid w:val="00E414A3"/>
    <w:rsid w:val="00E60B03"/>
    <w:rsid w:val="00E7160A"/>
    <w:rsid w:val="00E8180A"/>
    <w:rsid w:val="00E8575F"/>
    <w:rsid w:val="00E8587F"/>
    <w:rsid w:val="00E91110"/>
    <w:rsid w:val="00E95380"/>
    <w:rsid w:val="00EA154D"/>
    <w:rsid w:val="00EB2D87"/>
    <w:rsid w:val="00EC309E"/>
    <w:rsid w:val="00EC4DE1"/>
    <w:rsid w:val="00ED25A4"/>
    <w:rsid w:val="00F01242"/>
    <w:rsid w:val="00F0289F"/>
    <w:rsid w:val="00F057EE"/>
    <w:rsid w:val="00F070F7"/>
    <w:rsid w:val="00F10A44"/>
    <w:rsid w:val="00F12ED2"/>
    <w:rsid w:val="00F14F3F"/>
    <w:rsid w:val="00F1541E"/>
    <w:rsid w:val="00F154AE"/>
    <w:rsid w:val="00F3253F"/>
    <w:rsid w:val="00F41BBD"/>
    <w:rsid w:val="00F432C2"/>
    <w:rsid w:val="00F452E4"/>
    <w:rsid w:val="00F460B2"/>
    <w:rsid w:val="00F501B3"/>
    <w:rsid w:val="00F554BA"/>
    <w:rsid w:val="00F575EB"/>
    <w:rsid w:val="00F62EAF"/>
    <w:rsid w:val="00F6360C"/>
    <w:rsid w:val="00F737C1"/>
    <w:rsid w:val="00F767AB"/>
    <w:rsid w:val="00FA21EE"/>
    <w:rsid w:val="00FB038B"/>
    <w:rsid w:val="00FC366D"/>
    <w:rsid w:val="00FF3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9FFD"/>
  <w14:defaultImageDpi w14:val="32767"/>
  <w15:chartTrackingRefBased/>
  <w15:docId w15:val="{3B20AC7A-A2A4-3F40-97D4-27170B3A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6D6C"/>
    <w:rPr>
      <w:rFonts w:ascii="Times New Roman" w:eastAsia="Times New Roman" w:hAnsi="Times New Roman" w:cs="Times New Roman"/>
      <w:lang w:val="en-GB" w:eastAsia="en-GB"/>
    </w:rPr>
  </w:style>
  <w:style w:type="paragraph" w:styleId="Heading1">
    <w:name w:val="heading 1"/>
    <w:basedOn w:val="Normal"/>
    <w:link w:val="Heading1Char"/>
    <w:uiPriority w:val="9"/>
    <w:qFormat/>
    <w:rsid w:val="00EC4DE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C36"/>
    <w:rPr>
      <w:color w:val="0563C1" w:themeColor="hyperlink"/>
      <w:u w:val="single"/>
    </w:rPr>
  </w:style>
  <w:style w:type="character" w:styleId="UnresolvedMention">
    <w:name w:val="Unresolved Mention"/>
    <w:basedOn w:val="DefaultParagraphFont"/>
    <w:uiPriority w:val="99"/>
    <w:rsid w:val="005F0C36"/>
    <w:rPr>
      <w:color w:val="605E5C"/>
      <w:shd w:val="clear" w:color="auto" w:fill="E1DFDD"/>
    </w:rPr>
  </w:style>
  <w:style w:type="character" w:styleId="FollowedHyperlink">
    <w:name w:val="FollowedHyperlink"/>
    <w:basedOn w:val="DefaultParagraphFont"/>
    <w:uiPriority w:val="99"/>
    <w:semiHidden/>
    <w:unhideWhenUsed/>
    <w:rsid w:val="000134B9"/>
    <w:rPr>
      <w:color w:val="954F72" w:themeColor="followedHyperlink"/>
      <w:u w:val="single"/>
    </w:rPr>
  </w:style>
  <w:style w:type="paragraph" w:styleId="ListParagraph">
    <w:name w:val="List Paragraph"/>
    <w:basedOn w:val="Normal"/>
    <w:uiPriority w:val="34"/>
    <w:qFormat/>
    <w:rsid w:val="00982780"/>
    <w:pPr>
      <w:ind w:left="720"/>
      <w:contextualSpacing/>
    </w:pPr>
    <w:rPr>
      <w:rFonts w:asciiTheme="minorHAnsi" w:eastAsiaTheme="minorEastAsia" w:hAnsiTheme="minorHAnsi" w:cstheme="minorBidi"/>
      <w:lang w:val="en-US" w:eastAsia="en-US"/>
    </w:rPr>
  </w:style>
  <w:style w:type="paragraph" w:styleId="NormalWeb">
    <w:name w:val="Normal (Web)"/>
    <w:basedOn w:val="Normal"/>
    <w:uiPriority w:val="99"/>
    <w:unhideWhenUsed/>
    <w:rsid w:val="00982780"/>
    <w:pPr>
      <w:spacing w:before="100" w:beforeAutospacing="1" w:after="100" w:afterAutospacing="1"/>
    </w:pPr>
    <w:rPr>
      <w:rFonts w:ascii="Times" w:eastAsiaTheme="minorEastAsia" w:hAnsi="Times"/>
      <w:sz w:val="20"/>
      <w:szCs w:val="20"/>
      <w:lang w:eastAsia="en-US"/>
    </w:rPr>
  </w:style>
  <w:style w:type="character" w:customStyle="1" w:styleId="Heading1Char">
    <w:name w:val="Heading 1 Char"/>
    <w:basedOn w:val="DefaultParagraphFont"/>
    <w:link w:val="Heading1"/>
    <w:uiPriority w:val="9"/>
    <w:rsid w:val="00EC4DE1"/>
    <w:rPr>
      <w:rFonts w:ascii="Times New Roman" w:eastAsia="Times New Roman" w:hAnsi="Times New Roman" w:cs="Times New Roman"/>
      <w:b/>
      <w:bCs/>
      <w:kern w:val="36"/>
      <w:sz w:val="48"/>
      <w:szCs w:val="48"/>
      <w:lang w:val="en-GB" w:eastAsia="en-GB"/>
    </w:rPr>
  </w:style>
  <w:style w:type="character" w:customStyle="1" w:styleId="article-classifiergap">
    <w:name w:val="article-classifier__gap"/>
    <w:basedOn w:val="DefaultParagraphFont"/>
    <w:rsid w:val="00EC4DE1"/>
  </w:style>
  <w:style w:type="paragraph" w:styleId="BalloonText">
    <w:name w:val="Balloon Text"/>
    <w:basedOn w:val="Normal"/>
    <w:link w:val="BalloonTextChar"/>
    <w:uiPriority w:val="99"/>
    <w:semiHidden/>
    <w:unhideWhenUsed/>
    <w:rsid w:val="000A150B"/>
    <w:rPr>
      <w:rFonts w:eastAsiaTheme="minorHAnsi"/>
      <w:sz w:val="18"/>
      <w:szCs w:val="18"/>
      <w:lang w:val="en-CA" w:eastAsia="en-CA"/>
    </w:rPr>
  </w:style>
  <w:style w:type="character" w:customStyle="1" w:styleId="BalloonTextChar">
    <w:name w:val="Balloon Text Char"/>
    <w:basedOn w:val="DefaultParagraphFont"/>
    <w:link w:val="BalloonText"/>
    <w:uiPriority w:val="99"/>
    <w:semiHidden/>
    <w:rsid w:val="000A150B"/>
    <w:rPr>
      <w:rFonts w:ascii="Times New Roman" w:hAnsi="Times New Roman" w:cs="Times New Roman"/>
      <w:sz w:val="18"/>
      <w:szCs w:val="18"/>
    </w:rPr>
  </w:style>
  <w:style w:type="table" w:styleId="TableGrid">
    <w:name w:val="Table Grid"/>
    <w:basedOn w:val="TableNormal"/>
    <w:uiPriority w:val="39"/>
    <w:rsid w:val="00202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3FEF"/>
    <w:rPr>
      <w:b/>
      <w:bCs/>
    </w:rPr>
  </w:style>
  <w:style w:type="character" w:customStyle="1" w:styleId="apple-converted-space">
    <w:name w:val="apple-converted-space"/>
    <w:basedOn w:val="DefaultParagraphFont"/>
    <w:rsid w:val="00713FEF"/>
  </w:style>
  <w:style w:type="character" w:customStyle="1" w:styleId="familyname">
    <w:name w:val="familyname"/>
    <w:basedOn w:val="DefaultParagraphFont"/>
    <w:rsid w:val="00713FEF"/>
  </w:style>
  <w:style w:type="character" w:styleId="Emphasis">
    <w:name w:val="Emphasis"/>
    <w:basedOn w:val="DefaultParagraphFont"/>
    <w:uiPriority w:val="20"/>
    <w:qFormat/>
    <w:rsid w:val="00713FEF"/>
    <w:rPr>
      <w:i/>
      <w:iCs/>
    </w:rPr>
  </w:style>
  <w:style w:type="table" w:styleId="PlainTable2">
    <w:name w:val="Plain Table 2"/>
    <w:basedOn w:val="TableNormal"/>
    <w:uiPriority w:val="42"/>
    <w:rsid w:val="002F1B7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2F1B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urful">
    <w:name w:val="List Table 6 Colorful"/>
    <w:basedOn w:val="TableNormal"/>
    <w:uiPriority w:val="51"/>
    <w:rsid w:val="002F1B7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uthors">
    <w:name w:val="authors"/>
    <w:basedOn w:val="DefaultParagraphFont"/>
    <w:rsid w:val="00474BB0"/>
  </w:style>
  <w:style w:type="character" w:customStyle="1" w:styleId="Date1">
    <w:name w:val="Date1"/>
    <w:basedOn w:val="DefaultParagraphFont"/>
    <w:rsid w:val="00474BB0"/>
  </w:style>
  <w:style w:type="character" w:customStyle="1" w:styleId="arttitle">
    <w:name w:val="art_title"/>
    <w:basedOn w:val="DefaultParagraphFont"/>
    <w:rsid w:val="00474BB0"/>
  </w:style>
  <w:style w:type="character" w:customStyle="1" w:styleId="serialtitle">
    <w:name w:val="serial_title"/>
    <w:basedOn w:val="DefaultParagraphFont"/>
    <w:rsid w:val="00474BB0"/>
  </w:style>
  <w:style w:type="character" w:customStyle="1" w:styleId="doilink">
    <w:name w:val="doi_link"/>
    <w:basedOn w:val="DefaultParagraphFont"/>
    <w:rsid w:val="00474BB0"/>
  </w:style>
  <w:style w:type="paragraph" w:styleId="Footer">
    <w:name w:val="footer"/>
    <w:basedOn w:val="Normal"/>
    <w:link w:val="FooterChar"/>
    <w:uiPriority w:val="99"/>
    <w:unhideWhenUsed/>
    <w:rsid w:val="00B87026"/>
    <w:pPr>
      <w:tabs>
        <w:tab w:val="center" w:pos="4680"/>
        <w:tab w:val="right" w:pos="9360"/>
      </w:tabs>
    </w:pPr>
    <w:rPr>
      <w:rFonts w:asciiTheme="minorHAnsi" w:eastAsiaTheme="minorHAnsi" w:hAnsiTheme="minorHAnsi" w:cstheme="minorBidi"/>
      <w:lang w:val="en-CA" w:eastAsia="en-CA"/>
    </w:rPr>
  </w:style>
  <w:style w:type="character" w:customStyle="1" w:styleId="FooterChar">
    <w:name w:val="Footer Char"/>
    <w:basedOn w:val="DefaultParagraphFont"/>
    <w:link w:val="Footer"/>
    <w:uiPriority w:val="99"/>
    <w:rsid w:val="00B87026"/>
  </w:style>
  <w:style w:type="character" w:styleId="PageNumber">
    <w:name w:val="page number"/>
    <w:basedOn w:val="DefaultParagraphFont"/>
    <w:uiPriority w:val="99"/>
    <w:semiHidden/>
    <w:unhideWhenUsed/>
    <w:rsid w:val="00B87026"/>
  </w:style>
  <w:style w:type="character" w:customStyle="1" w:styleId="title-text">
    <w:name w:val="title-text"/>
    <w:basedOn w:val="DefaultParagraphFont"/>
    <w:rsid w:val="00D74F87"/>
  </w:style>
  <w:style w:type="paragraph" w:styleId="EndnoteText">
    <w:name w:val="endnote text"/>
    <w:basedOn w:val="Normal"/>
    <w:link w:val="EndnoteTextChar"/>
    <w:uiPriority w:val="99"/>
    <w:semiHidden/>
    <w:unhideWhenUsed/>
    <w:rsid w:val="00742432"/>
    <w:rPr>
      <w:rFonts w:asciiTheme="minorHAnsi" w:eastAsiaTheme="minorHAnsi" w:hAnsiTheme="minorHAnsi" w:cstheme="minorBidi"/>
      <w:sz w:val="20"/>
      <w:szCs w:val="20"/>
      <w:lang w:val="en-CA" w:eastAsia="en-CA"/>
    </w:rPr>
  </w:style>
  <w:style w:type="character" w:customStyle="1" w:styleId="EndnoteTextChar">
    <w:name w:val="Endnote Text Char"/>
    <w:basedOn w:val="DefaultParagraphFont"/>
    <w:link w:val="EndnoteText"/>
    <w:uiPriority w:val="99"/>
    <w:semiHidden/>
    <w:rsid w:val="00742432"/>
    <w:rPr>
      <w:sz w:val="20"/>
      <w:szCs w:val="20"/>
    </w:rPr>
  </w:style>
  <w:style w:type="character" w:styleId="EndnoteReference">
    <w:name w:val="endnote reference"/>
    <w:basedOn w:val="DefaultParagraphFont"/>
    <w:uiPriority w:val="99"/>
    <w:semiHidden/>
    <w:unhideWhenUsed/>
    <w:rsid w:val="00742432"/>
    <w:rPr>
      <w:vertAlign w:val="superscript"/>
    </w:rPr>
  </w:style>
  <w:style w:type="character" w:customStyle="1" w:styleId="ff11">
    <w:name w:val="ff11"/>
    <w:basedOn w:val="DefaultParagraphFont"/>
    <w:rsid w:val="00ED25A4"/>
  </w:style>
  <w:style w:type="character" w:customStyle="1" w:styleId="ls23">
    <w:name w:val="ls23"/>
    <w:basedOn w:val="DefaultParagraphFont"/>
    <w:rsid w:val="00ED25A4"/>
  </w:style>
  <w:style w:type="character" w:customStyle="1" w:styleId="Date2">
    <w:name w:val="Date2"/>
    <w:basedOn w:val="DefaultParagraphFont"/>
    <w:rsid w:val="00ED25A4"/>
  </w:style>
  <w:style w:type="character" w:customStyle="1" w:styleId="volumeissue">
    <w:name w:val="volume_issue"/>
    <w:basedOn w:val="DefaultParagraphFont"/>
    <w:rsid w:val="00ED25A4"/>
  </w:style>
  <w:style w:type="character" w:customStyle="1" w:styleId="pagerange">
    <w:name w:val="page_range"/>
    <w:basedOn w:val="DefaultParagraphFont"/>
    <w:rsid w:val="00ED25A4"/>
  </w:style>
  <w:style w:type="table" w:styleId="ListTable3">
    <w:name w:val="List Table 3"/>
    <w:basedOn w:val="TableNormal"/>
    <w:uiPriority w:val="48"/>
    <w:rsid w:val="0007232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3">
    <w:name w:val="Plain Table 3"/>
    <w:basedOn w:val="TableNormal"/>
    <w:uiPriority w:val="43"/>
    <w:rsid w:val="0007232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07232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07232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Referencetxt">
    <w:name w:val="Reference txt"/>
    <w:basedOn w:val="Normal"/>
    <w:autoRedefine/>
    <w:rsid w:val="009B7324"/>
    <w:pPr>
      <w:ind w:left="284" w:hanging="284"/>
    </w:pPr>
    <w:rPr>
      <w:rFonts w:asciiTheme="minorHAnsi" w:hAnsiTheme="minorHAnsi" w:cstheme="minorHAnsi"/>
      <w:color w:val="000000" w:themeColor="text1"/>
      <w:sz w:val="22"/>
      <w:szCs w:val="22"/>
      <w:lang w:eastAsia="en-US"/>
    </w:rPr>
  </w:style>
  <w:style w:type="paragraph" w:styleId="BodyText">
    <w:name w:val="Body Text"/>
    <w:basedOn w:val="Normal"/>
    <w:link w:val="BodyTextChar"/>
    <w:rsid w:val="009B7324"/>
    <w:pPr>
      <w:spacing w:after="200" w:line="276" w:lineRule="auto"/>
    </w:pPr>
    <w:rPr>
      <w:rFonts w:ascii="Cambria" w:hAnsi="Cambria"/>
      <w:szCs w:val="22"/>
      <w:lang w:val="en-US" w:eastAsia="en-US"/>
    </w:rPr>
  </w:style>
  <w:style w:type="character" w:customStyle="1" w:styleId="BodyTextChar">
    <w:name w:val="Body Text Char"/>
    <w:basedOn w:val="DefaultParagraphFont"/>
    <w:link w:val="BodyText"/>
    <w:rsid w:val="009B7324"/>
    <w:rPr>
      <w:rFonts w:ascii="Cambria" w:eastAsia="Times New Roman" w:hAnsi="Cambria" w:cs="Times New Roman"/>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66666">
      <w:bodyDiv w:val="1"/>
      <w:marLeft w:val="0"/>
      <w:marRight w:val="0"/>
      <w:marTop w:val="0"/>
      <w:marBottom w:val="0"/>
      <w:divBdr>
        <w:top w:val="none" w:sz="0" w:space="0" w:color="auto"/>
        <w:left w:val="none" w:sz="0" w:space="0" w:color="auto"/>
        <w:bottom w:val="none" w:sz="0" w:space="0" w:color="auto"/>
        <w:right w:val="none" w:sz="0" w:space="0" w:color="auto"/>
      </w:divBdr>
    </w:div>
    <w:div w:id="129135726">
      <w:bodyDiv w:val="1"/>
      <w:marLeft w:val="0"/>
      <w:marRight w:val="0"/>
      <w:marTop w:val="0"/>
      <w:marBottom w:val="0"/>
      <w:divBdr>
        <w:top w:val="none" w:sz="0" w:space="0" w:color="auto"/>
        <w:left w:val="none" w:sz="0" w:space="0" w:color="auto"/>
        <w:bottom w:val="none" w:sz="0" w:space="0" w:color="auto"/>
        <w:right w:val="none" w:sz="0" w:space="0" w:color="auto"/>
      </w:divBdr>
      <w:divsChild>
        <w:div w:id="1735425273">
          <w:marLeft w:val="0"/>
          <w:marRight w:val="0"/>
          <w:marTop w:val="0"/>
          <w:marBottom w:val="0"/>
          <w:divBdr>
            <w:top w:val="none" w:sz="0" w:space="0" w:color="auto"/>
            <w:left w:val="none" w:sz="0" w:space="0" w:color="auto"/>
            <w:bottom w:val="none" w:sz="0" w:space="0" w:color="auto"/>
            <w:right w:val="none" w:sz="0" w:space="0" w:color="auto"/>
          </w:divBdr>
          <w:divsChild>
            <w:div w:id="1200167600">
              <w:marLeft w:val="0"/>
              <w:marRight w:val="0"/>
              <w:marTop w:val="0"/>
              <w:marBottom w:val="0"/>
              <w:divBdr>
                <w:top w:val="none" w:sz="0" w:space="0" w:color="auto"/>
                <w:left w:val="none" w:sz="0" w:space="0" w:color="auto"/>
                <w:bottom w:val="none" w:sz="0" w:space="0" w:color="auto"/>
                <w:right w:val="none" w:sz="0" w:space="0" w:color="auto"/>
              </w:divBdr>
              <w:divsChild>
                <w:div w:id="20799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5824">
      <w:bodyDiv w:val="1"/>
      <w:marLeft w:val="0"/>
      <w:marRight w:val="0"/>
      <w:marTop w:val="0"/>
      <w:marBottom w:val="0"/>
      <w:divBdr>
        <w:top w:val="none" w:sz="0" w:space="0" w:color="auto"/>
        <w:left w:val="none" w:sz="0" w:space="0" w:color="auto"/>
        <w:bottom w:val="none" w:sz="0" w:space="0" w:color="auto"/>
        <w:right w:val="none" w:sz="0" w:space="0" w:color="auto"/>
      </w:divBdr>
    </w:div>
    <w:div w:id="194925634">
      <w:bodyDiv w:val="1"/>
      <w:marLeft w:val="0"/>
      <w:marRight w:val="0"/>
      <w:marTop w:val="0"/>
      <w:marBottom w:val="0"/>
      <w:divBdr>
        <w:top w:val="none" w:sz="0" w:space="0" w:color="auto"/>
        <w:left w:val="none" w:sz="0" w:space="0" w:color="auto"/>
        <w:bottom w:val="none" w:sz="0" w:space="0" w:color="auto"/>
        <w:right w:val="none" w:sz="0" w:space="0" w:color="auto"/>
      </w:divBdr>
      <w:divsChild>
        <w:div w:id="886262069">
          <w:marLeft w:val="0"/>
          <w:marRight w:val="0"/>
          <w:marTop w:val="0"/>
          <w:marBottom w:val="0"/>
          <w:divBdr>
            <w:top w:val="none" w:sz="0" w:space="0" w:color="auto"/>
            <w:left w:val="none" w:sz="0" w:space="0" w:color="auto"/>
            <w:bottom w:val="none" w:sz="0" w:space="0" w:color="auto"/>
            <w:right w:val="none" w:sz="0" w:space="0" w:color="auto"/>
          </w:divBdr>
          <w:divsChild>
            <w:div w:id="2018994331">
              <w:marLeft w:val="0"/>
              <w:marRight w:val="0"/>
              <w:marTop w:val="0"/>
              <w:marBottom w:val="0"/>
              <w:divBdr>
                <w:top w:val="none" w:sz="0" w:space="0" w:color="auto"/>
                <w:left w:val="none" w:sz="0" w:space="0" w:color="auto"/>
                <w:bottom w:val="none" w:sz="0" w:space="0" w:color="auto"/>
                <w:right w:val="none" w:sz="0" w:space="0" w:color="auto"/>
              </w:divBdr>
              <w:divsChild>
                <w:div w:id="6610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5970">
      <w:bodyDiv w:val="1"/>
      <w:marLeft w:val="0"/>
      <w:marRight w:val="0"/>
      <w:marTop w:val="0"/>
      <w:marBottom w:val="0"/>
      <w:divBdr>
        <w:top w:val="none" w:sz="0" w:space="0" w:color="auto"/>
        <w:left w:val="none" w:sz="0" w:space="0" w:color="auto"/>
        <w:bottom w:val="none" w:sz="0" w:space="0" w:color="auto"/>
        <w:right w:val="none" w:sz="0" w:space="0" w:color="auto"/>
      </w:divBdr>
      <w:divsChild>
        <w:div w:id="906647425">
          <w:marLeft w:val="0"/>
          <w:marRight w:val="0"/>
          <w:marTop w:val="0"/>
          <w:marBottom w:val="0"/>
          <w:divBdr>
            <w:top w:val="none" w:sz="0" w:space="0" w:color="auto"/>
            <w:left w:val="none" w:sz="0" w:space="0" w:color="auto"/>
            <w:bottom w:val="none" w:sz="0" w:space="0" w:color="auto"/>
            <w:right w:val="none" w:sz="0" w:space="0" w:color="auto"/>
          </w:divBdr>
          <w:divsChild>
            <w:div w:id="952251410">
              <w:marLeft w:val="0"/>
              <w:marRight w:val="0"/>
              <w:marTop w:val="0"/>
              <w:marBottom w:val="0"/>
              <w:divBdr>
                <w:top w:val="none" w:sz="0" w:space="0" w:color="auto"/>
                <w:left w:val="none" w:sz="0" w:space="0" w:color="auto"/>
                <w:bottom w:val="none" w:sz="0" w:space="0" w:color="auto"/>
                <w:right w:val="none" w:sz="0" w:space="0" w:color="auto"/>
              </w:divBdr>
              <w:divsChild>
                <w:div w:id="179806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4944">
      <w:bodyDiv w:val="1"/>
      <w:marLeft w:val="0"/>
      <w:marRight w:val="0"/>
      <w:marTop w:val="0"/>
      <w:marBottom w:val="0"/>
      <w:divBdr>
        <w:top w:val="none" w:sz="0" w:space="0" w:color="auto"/>
        <w:left w:val="none" w:sz="0" w:space="0" w:color="auto"/>
        <w:bottom w:val="none" w:sz="0" w:space="0" w:color="auto"/>
        <w:right w:val="none" w:sz="0" w:space="0" w:color="auto"/>
      </w:divBdr>
    </w:div>
    <w:div w:id="340666270">
      <w:bodyDiv w:val="1"/>
      <w:marLeft w:val="0"/>
      <w:marRight w:val="0"/>
      <w:marTop w:val="0"/>
      <w:marBottom w:val="0"/>
      <w:divBdr>
        <w:top w:val="none" w:sz="0" w:space="0" w:color="auto"/>
        <w:left w:val="none" w:sz="0" w:space="0" w:color="auto"/>
        <w:bottom w:val="none" w:sz="0" w:space="0" w:color="auto"/>
        <w:right w:val="none" w:sz="0" w:space="0" w:color="auto"/>
      </w:divBdr>
      <w:divsChild>
        <w:div w:id="144469217">
          <w:marLeft w:val="0"/>
          <w:marRight w:val="0"/>
          <w:marTop w:val="0"/>
          <w:marBottom w:val="0"/>
          <w:divBdr>
            <w:top w:val="none" w:sz="0" w:space="0" w:color="auto"/>
            <w:left w:val="none" w:sz="0" w:space="0" w:color="auto"/>
            <w:bottom w:val="none" w:sz="0" w:space="0" w:color="auto"/>
            <w:right w:val="none" w:sz="0" w:space="0" w:color="auto"/>
          </w:divBdr>
          <w:divsChild>
            <w:div w:id="1921018848">
              <w:marLeft w:val="0"/>
              <w:marRight w:val="0"/>
              <w:marTop w:val="0"/>
              <w:marBottom w:val="0"/>
              <w:divBdr>
                <w:top w:val="none" w:sz="0" w:space="0" w:color="auto"/>
                <w:left w:val="none" w:sz="0" w:space="0" w:color="auto"/>
                <w:bottom w:val="none" w:sz="0" w:space="0" w:color="auto"/>
                <w:right w:val="none" w:sz="0" w:space="0" w:color="auto"/>
              </w:divBdr>
              <w:divsChild>
                <w:div w:id="1550845261">
                  <w:marLeft w:val="0"/>
                  <w:marRight w:val="0"/>
                  <w:marTop w:val="0"/>
                  <w:marBottom w:val="0"/>
                  <w:divBdr>
                    <w:top w:val="none" w:sz="0" w:space="0" w:color="auto"/>
                    <w:left w:val="none" w:sz="0" w:space="0" w:color="auto"/>
                    <w:bottom w:val="none" w:sz="0" w:space="0" w:color="auto"/>
                    <w:right w:val="none" w:sz="0" w:space="0" w:color="auto"/>
                  </w:divBdr>
                  <w:divsChild>
                    <w:div w:id="15997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37082">
      <w:bodyDiv w:val="1"/>
      <w:marLeft w:val="0"/>
      <w:marRight w:val="0"/>
      <w:marTop w:val="0"/>
      <w:marBottom w:val="0"/>
      <w:divBdr>
        <w:top w:val="none" w:sz="0" w:space="0" w:color="auto"/>
        <w:left w:val="none" w:sz="0" w:space="0" w:color="auto"/>
        <w:bottom w:val="none" w:sz="0" w:space="0" w:color="auto"/>
        <w:right w:val="none" w:sz="0" w:space="0" w:color="auto"/>
      </w:divBdr>
      <w:divsChild>
        <w:div w:id="1128623803">
          <w:marLeft w:val="0"/>
          <w:marRight w:val="0"/>
          <w:marTop w:val="0"/>
          <w:marBottom w:val="0"/>
          <w:divBdr>
            <w:top w:val="none" w:sz="0" w:space="0" w:color="auto"/>
            <w:left w:val="none" w:sz="0" w:space="0" w:color="auto"/>
            <w:bottom w:val="none" w:sz="0" w:space="0" w:color="auto"/>
            <w:right w:val="none" w:sz="0" w:space="0" w:color="auto"/>
          </w:divBdr>
          <w:divsChild>
            <w:div w:id="794060065">
              <w:marLeft w:val="0"/>
              <w:marRight w:val="0"/>
              <w:marTop w:val="0"/>
              <w:marBottom w:val="0"/>
              <w:divBdr>
                <w:top w:val="none" w:sz="0" w:space="0" w:color="auto"/>
                <w:left w:val="none" w:sz="0" w:space="0" w:color="auto"/>
                <w:bottom w:val="none" w:sz="0" w:space="0" w:color="auto"/>
                <w:right w:val="none" w:sz="0" w:space="0" w:color="auto"/>
              </w:divBdr>
              <w:divsChild>
                <w:div w:id="14111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2095">
      <w:bodyDiv w:val="1"/>
      <w:marLeft w:val="0"/>
      <w:marRight w:val="0"/>
      <w:marTop w:val="0"/>
      <w:marBottom w:val="0"/>
      <w:divBdr>
        <w:top w:val="none" w:sz="0" w:space="0" w:color="auto"/>
        <w:left w:val="none" w:sz="0" w:space="0" w:color="auto"/>
        <w:bottom w:val="none" w:sz="0" w:space="0" w:color="auto"/>
        <w:right w:val="none" w:sz="0" w:space="0" w:color="auto"/>
      </w:divBdr>
      <w:divsChild>
        <w:div w:id="532577042">
          <w:marLeft w:val="0"/>
          <w:marRight w:val="0"/>
          <w:marTop w:val="0"/>
          <w:marBottom w:val="0"/>
          <w:divBdr>
            <w:top w:val="none" w:sz="0" w:space="0" w:color="auto"/>
            <w:left w:val="none" w:sz="0" w:space="0" w:color="auto"/>
            <w:bottom w:val="none" w:sz="0" w:space="0" w:color="auto"/>
            <w:right w:val="none" w:sz="0" w:space="0" w:color="auto"/>
          </w:divBdr>
          <w:divsChild>
            <w:div w:id="1504516539">
              <w:marLeft w:val="0"/>
              <w:marRight w:val="0"/>
              <w:marTop w:val="0"/>
              <w:marBottom w:val="0"/>
              <w:divBdr>
                <w:top w:val="none" w:sz="0" w:space="0" w:color="auto"/>
                <w:left w:val="none" w:sz="0" w:space="0" w:color="auto"/>
                <w:bottom w:val="none" w:sz="0" w:space="0" w:color="auto"/>
                <w:right w:val="none" w:sz="0" w:space="0" w:color="auto"/>
              </w:divBdr>
              <w:divsChild>
                <w:div w:id="145361429">
                  <w:marLeft w:val="0"/>
                  <w:marRight w:val="0"/>
                  <w:marTop w:val="0"/>
                  <w:marBottom w:val="0"/>
                  <w:divBdr>
                    <w:top w:val="none" w:sz="0" w:space="0" w:color="auto"/>
                    <w:left w:val="none" w:sz="0" w:space="0" w:color="auto"/>
                    <w:bottom w:val="none" w:sz="0" w:space="0" w:color="auto"/>
                    <w:right w:val="none" w:sz="0" w:space="0" w:color="auto"/>
                  </w:divBdr>
                  <w:divsChild>
                    <w:div w:id="7020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30894">
      <w:bodyDiv w:val="1"/>
      <w:marLeft w:val="0"/>
      <w:marRight w:val="0"/>
      <w:marTop w:val="0"/>
      <w:marBottom w:val="0"/>
      <w:divBdr>
        <w:top w:val="none" w:sz="0" w:space="0" w:color="auto"/>
        <w:left w:val="none" w:sz="0" w:space="0" w:color="auto"/>
        <w:bottom w:val="none" w:sz="0" w:space="0" w:color="auto"/>
        <w:right w:val="none" w:sz="0" w:space="0" w:color="auto"/>
      </w:divBdr>
    </w:div>
    <w:div w:id="421343229">
      <w:bodyDiv w:val="1"/>
      <w:marLeft w:val="0"/>
      <w:marRight w:val="0"/>
      <w:marTop w:val="0"/>
      <w:marBottom w:val="0"/>
      <w:divBdr>
        <w:top w:val="none" w:sz="0" w:space="0" w:color="auto"/>
        <w:left w:val="none" w:sz="0" w:space="0" w:color="auto"/>
        <w:bottom w:val="none" w:sz="0" w:space="0" w:color="auto"/>
        <w:right w:val="none" w:sz="0" w:space="0" w:color="auto"/>
      </w:divBdr>
      <w:divsChild>
        <w:div w:id="1783184632">
          <w:marLeft w:val="0"/>
          <w:marRight w:val="0"/>
          <w:marTop w:val="0"/>
          <w:marBottom w:val="0"/>
          <w:divBdr>
            <w:top w:val="none" w:sz="0" w:space="0" w:color="auto"/>
            <w:left w:val="none" w:sz="0" w:space="0" w:color="auto"/>
            <w:bottom w:val="none" w:sz="0" w:space="0" w:color="auto"/>
            <w:right w:val="none" w:sz="0" w:space="0" w:color="auto"/>
          </w:divBdr>
          <w:divsChild>
            <w:div w:id="1437629468">
              <w:marLeft w:val="0"/>
              <w:marRight w:val="0"/>
              <w:marTop w:val="0"/>
              <w:marBottom w:val="0"/>
              <w:divBdr>
                <w:top w:val="none" w:sz="0" w:space="0" w:color="auto"/>
                <w:left w:val="none" w:sz="0" w:space="0" w:color="auto"/>
                <w:bottom w:val="none" w:sz="0" w:space="0" w:color="auto"/>
                <w:right w:val="none" w:sz="0" w:space="0" w:color="auto"/>
              </w:divBdr>
              <w:divsChild>
                <w:div w:id="1208956687">
                  <w:marLeft w:val="0"/>
                  <w:marRight w:val="0"/>
                  <w:marTop w:val="0"/>
                  <w:marBottom w:val="0"/>
                  <w:divBdr>
                    <w:top w:val="none" w:sz="0" w:space="0" w:color="auto"/>
                    <w:left w:val="none" w:sz="0" w:space="0" w:color="auto"/>
                    <w:bottom w:val="none" w:sz="0" w:space="0" w:color="auto"/>
                    <w:right w:val="none" w:sz="0" w:space="0" w:color="auto"/>
                  </w:divBdr>
                  <w:divsChild>
                    <w:div w:id="6296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17741">
      <w:bodyDiv w:val="1"/>
      <w:marLeft w:val="0"/>
      <w:marRight w:val="0"/>
      <w:marTop w:val="0"/>
      <w:marBottom w:val="0"/>
      <w:divBdr>
        <w:top w:val="none" w:sz="0" w:space="0" w:color="auto"/>
        <w:left w:val="none" w:sz="0" w:space="0" w:color="auto"/>
        <w:bottom w:val="none" w:sz="0" w:space="0" w:color="auto"/>
        <w:right w:val="none" w:sz="0" w:space="0" w:color="auto"/>
      </w:divBdr>
      <w:divsChild>
        <w:div w:id="749498240">
          <w:marLeft w:val="0"/>
          <w:marRight w:val="0"/>
          <w:marTop w:val="0"/>
          <w:marBottom w:val="0"/>
          <w:divBdr>
            <w:top w:val="none" w:sz="0" w:space="0" w:color="auto"/>
            <w:left w:val="none" w:sz="0" w:space="0" w:color="auto"/>
            <w:bottom w:val="none" w:sz="0" w:space="0" w:color="auto"/>
            <w:right w:val="none" w:sz="0" w:space="0" w:color="auto"/>
          </w:divBdr>
          <w:divsChild>
            <w:div w:id="703019820">
              <w:marLeft w:val="0"/>
              <w:marRight w:val="0"/>
              <w:marTop w:val="0"/>
              <w:marBottom w:val="0"/>
              <w:divBdr>
                <w:top w:val="none" w:sz="0" w:space="0" w:color="auto"/>
                <w:left w:val="none" w:sz="0" w:space="0" w:color="auto"/>
                <w:bottom w:val="none" w:sz="0" w:space="0" w:color="auto"/>
                <w:right w:val="none" w:sz="0" w:space="0" w:color="auto"/>
              </w:divBdr>
              <w:divsChild>
                <w:div w:id="111093824">
                  <w:marLeft w:val="0"/>
                  <w:marRight w:val="0"/>
                  <w:marTop w:val="0"/>
                  <w:marBottom w:val="0"/>
                  <w:divBdr>
                    <w:top w:val="none" w:sz="0" w:space="0" w:color="auto"/>
                    <w:left w:val="none" w:sz="0" w:space="0" w:color="auto"/>
                    <w:bottom w:val="none" w:sz="0" w:space="0" w:color="auto"/>
                    <w:right w:val="none" w:sz="0" w:space="0" w:color="auto"/>
                  </w:divBdr>
                  <w:divsChild>
                    <w:div w:id="175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6355">
      <w:bodyDiv w:val="1"/>
      <w:marLeft w:val="0"/>
      <w:marRight w:val="0"/>
      <w:marTop w:val="0"/>
      <w:marBottom w:val="0"/>
      <w:divBdr>
        <w:top w:val="none" w:sz="0" w:space="0" w:color="auto"/>
        <w:left w:val="none" w:sz="0" w:space="0" w:color="auto"/>
        <w:bottom w:val="none" w:sz="0" w:space="0" w:color="auto"/>
        <w:right w:val="none" w:sz="0" w:space="0" w:color="auto"/>
      </w:divBdr>
      <w:divsChild>
        <w:div w:id="350376346">
          <w:marLeft w:val="0"/>
          <w:marRight w:val="0"/>
          <w:marTop w:val="0"/>
          <w:marBottom w:val="0"/>
          <w:divBdr>
            <w:top w:val="none" w:sz="0" w:space="0" w:color="auto"/>
            <w:left w:val="none" w:sz="0" w:space="0" w:color="auto"/>
            <w:bottom w:val="none" w:sz="0" w:space="0" w:color="auto"/>
            <w:right w:val="none" w:sz="0" w:space="0" w:color="auto"/>
          </w:divBdr>
          <w:divsChild>
            <w:div w:id="385761452">
              <w:marLeft w:val="0"/>
              <w:marRight w:val="0"/>
              <w:marTop w:val="0"/>
              <w:marBottom w:val="0"/>
              <w:divBdr>
                <w:top w:val="none" w:sz="0" w:space="0" w:color="auto"/>
                <w:left w:val="none" w:sz="0" w:space="0" w:color="auto"/>
                <w:bottom w:val="none" w:sz="0" w:space="0" w:color="auto"/>
                <w:right w:val="none" w:sz="0" w:space="0" w:color="auto"/>
              </w:divBdr>
              <w:divsChild>
                <w:div w:id="11938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083824">
      <w:bodyDiv w:val="1"/>
      <w:marLeft w:val="0"/>
      <w:marRight w:val="0"/>
      <w:marTop w:val="0"/>
      <w:marBottom w:val="0"/>
      <w:divBdr>
        <w:top w:val="none" w:sz="0" w:space="0" w:color="auto"/>
        <w:left w:val="none" w:sz="0" w:space="0" w:color="auto"/>
        <w:bottom w:val="none" w:sz="0" w:space="0" w:color="auto"/>
        <w:right w:val="none" w:sz="0" w:space="0" w:color="auto"/>
      </w:divBdr>
    </w:div>
    <w:div w:id="499976431">
      <w:bodyDiv w:val="1"/>
      <w:marLeft w:val="0"/>
      <w:marRight w:val="0"/>
      <w:marTop w:val="0"/>
      <w:marBottom w:val="0"/>
      <w:divBdr>
        <w:top w:val="none" w:sz="0" w:space="0" w:color="auto"/>
        <w:left w:val="none" w:sz="0" w:space="0" w:color="auto"/>
        <w:bottom w:val="none" w:sz="0" w:space="0" w:color="auto"/>
        <w:right w:val="none" w:sz="0" w:space="0" w:color="auto"/>
      </w:divBdr>
      <w:divsChild>
        <w:div w:id="552741898">
          <w:marLeft w:val="0"/>
          <w:marRight w:val="0"/>
          <w:marTop w:val="0"/>
          <w:marBottom w:val="0"/>
          <w:divBdr>
            <w:top w:val="none" w:sz="0" w:space="0" w:color="auto"/>
            <w:left w:val="none" w:sz="0" w:space="0" w:color="auto"/>
            <w:bottom w:val="none" w:sz="0" w:space="0" w:color="auto"/>
            <w:right w:val="none" w:sz="0" w:space="0" w:color="auto"/>
          </w:divBdr>
          <w:divsChild>
            <w:div w:id="1985043934">
              <w:marLeft w:val="0"/>
              <w:marRight w:val="0"/>
              <w:marTop w:val="0"/>
              <w:marBottom w:val="0"/>
              <w:divBdr>
                <w:top w:val="none" w:sz="0" w:space="0" w:color="auto"/>
                <w:left w:val="none" w:sz="0" w:space="0" w:color="auto"/>
                <w:bottom w:val="none" w:sz="0" w:space="0" w:color="auto"/>
                <w:right w:val="none" w:sz="0" w:space="0" w:color="auto"/>
              </w:divBdr>
              <w:divsChild>
                <w:div w:id="14906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2999">
      <w:bodyDiv w:val="1"/>
      <w:marLeft w:val="0"/>
      <w:marRight w:val="0"/>
      <w:marTop w:val="0"/>
      <w:marBottom w:val="0"/>
      <w:divBdr>
        <w:top w:val="none" w:sz="0" w:space="0" w:color="auto"/>
        <w:left w:val="none" w:sz="0" w:space="0" w:color="auto"/>
        <w:bottom w:val="none" w:sz="0" w:space="0" w:color="auto"/>
        <w:right w:val="none" w:sz="0" w:space="0" w:color="auto"/>
      </w:divBdr>
    </w:div>
    <w:div w:id="536701609">
      <w:bodyDiv w:val="1"/>
      <w:marLeft w:val="0"/>
      <w:marRight w:val="0"/>
      <w:marTop w:val="0"/>
      <w:marBottom w:val="0"/>
      <w:divBdr>
        <w:top w:val="none" w:sz="0" w:space="0" w:color="auto"/>
        <w:left w:val="none" w:sz="0" w:space="0" w:color="auto"/>
        <w:bottom w:val="none" w:sz="0" w:space="0" w:color="auto"/>
        <w:right w:val="none" w:sz="0" w:space="0" w:color="auto"/>
      </w:divBdr>
    </w:div>
    <w:div w:id="581110956">
      <w:bodyDiv w:val="1"/>
      <w:marLeft w:val="0"/>
      <w:marRight w:val="0"/>
      <w:marTop w:val="0"/>
      <w:marBottom w:val="0"/>
      <w:divBdr>
        <w:top w:val="none" w:sz="0" w:space="0" w:color="auto"/>
        <w:left w:val="none" w:sz="0" w:space="0" w:color="auto"/>
        <w:bottom w:val="none" w:sz="0" w:space="0" w:color="auto"/>
        <w:right w:val="none" w:sz="0" w:space="0" w:color="auto"/>
      </w:divBdr>
    </w:div>
    <w:div w:id="602153214">
      <w:bodyDiv w:val="1"/>
      <w:marLeft w:val="0"/>
      <w:marRight w:val="0"/>
      <w:marTop w:val="0"/>
      <w:marBottom w:val="0"/>
      <w:divBdr>
        <w:top w:val="none" w:sz="0" w:space="0" w:color="auto"/>
        <w:left w:val="none" w:sz="0" w:space="0" w:color="auto"/>
        <w:bottom w:val="none" w:sz="0" w:space="0" w:color="auto"/>
        <w:right w:val="none" w:sz="0" w:space="0" w:color="auto"/>
      </w:divBdr>
    </w:div>
    <w:div w:id="604046989">
      <w:bodyDiv w:val="1"/>
      <w:marLeft w:val="0"/>
      <w:marRight w:val="0"/>
      <w:marTop w:val="0"/>
      <w:marBottom w:val="0"/>
      <w:divBdr>
        <w:top w:val="none" w:sz="0" w:space="0" w:color="auto"/>
        <w:left w:val="none" w:sz="0" w:space="0" w:color="auto"/>
        <w:bottom w:val="none" w:sz="0" w:space="0" w:color="auto"/>
        <w:right w:val="none" w:sz="0" w:space="0" w:color="auto"/>
      </w:divBdr>
      <w:divsChild>
        <w:div w:id="898511816">
          <w:marLeft w:val="0"/>
          <w:marRight w:val="0"/>
          <w:marTop w:val="0"/>
          <w:marBottom w:val="0"/>
          <w:divBdr>
            <w:top w:val="none" w:sz="0" w:space="0" w:color="auto"/>
            <w:left w:val="none" w:sz="0" w:space="0" w:color="auto"/>
            <w:bottom w:val="none" w:sz="0" w:space="0" w:color="auto"/>
            <w:right w:val="none" w:sz="0" w:space="0" w:color="auto"/>
          </w:divBdr>
          <w:divsChild>
            <w:div w:id="411317900">
              <w:marLeft w:val="0"/>
              <w:marRight w:val="0"/>
              <w:marTop w:val="0"/>
              <w:marBottom w:val="0"/>
              <w:divBdr>
                <w:top w:val="none" w:sz="0" w:space="0" w:color="auto"/>
                <w:left w:val="none" w:sz="0" w:space="0" w:color="auto"/>
                <w:bottom w:val="none" w:sz="0" w:space="0" w:color="auto"/>
                <w:right w:val="none" w:sz="0" w:space="0" w:color="auto"/>
              </w:divBdr>
              <w:divsChild>
                <w:div w:id="14113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7286">
      <w:bodyDiv w:val="1"/>
      <w:marLeft w:val="0"/>
      <w:marRight w:val="0"/>
      <w:marTop w:val="0"/>
      <w:marBottom w:val="0"/>
      <w:divBdr>
        <w:top w:val="none" w:sz="0" w:space="0" w:color="auto"/>
        <w:left w:val="none" w:sz="0" w:space="0" w:color="auto"/>
        <w:bottom w:val="none" w:sz="0" w:space="0" w:color="auto"/>
        <w:right w:val="none" w:sz="0" w:space="0" w:color="auto"/>
      </w:divBdr>
    </w:div>
    <w:div w:id="682244506">
      <w:bodyDiv w:val="1"/>
      <w:marLeft w:val="0"/>
      <w:marRight w:val="0"/>
      <w:marTop w:val="0"/>
      <w:marBottom w:val="0"/>
      <w:divBdr>
        <w:top w:val="none" w:sz="0" w:space="0" w:color="auto"/>
        <w:left w:val="none" w:sz="0" w:space="0" w:color="auto"/>
        <w:bottom w:val="none" w:sz="0" w:space="0" w:color="auto"/>
        <w:right w:val="none" w:sz="0" w:space="0" w:color="auto"/>
      </w:divBdr>
      <w:divsChild>
        <w:div w:id="883637463">
          <w:marLeft w:val="0"/>
          <w:marRight w:val="0"/>
          <w:marTop w:val="0"/>
          <w:marBottom w:val="0"/>
          <w:divBdr>
            <w:top w:val="none" w:sz="0" w:space="0" w:color="auto"/>
            <w:left w:val="none" w:sz="0" w:space="0" w:color="auto"/>
            <w:bottom w:val="none" w:sz="0" w:space="0" w:color="auto"/>
            <w:right w:val="none" w:sz="0" w:space="0" w:color="auto"/>
          </w:divBdr>
          <w:divsChild>
            <w:div w:id="1244073136">
              <w:marLeft w:val="0"/>
              <w:marRight w:val="0"/>
              <w:marTop w:val="0"/>
              <w:marBottom w:val="0"/>
              <w:divBdr>
                <w:top w:val="none" w:sz="0" w:space="0" w:color="auto"/>
                <w:left w:val="none" w:sz="0" w:space="0" w:color="auto"/>
                <w:bottom w:val="none" w:sz="0" w:space="0" w:color="auto"/>
                <w:right w:val="none" w:sz="0" w:space="0" w:color="auto"/>
              </w:divBdr>
              <w:divsChild>
                <w:div w:id="1269238560">
                  <w:marLeft w:val="0"/>
                  <w:marRight w:val="0"/>
                  <w:marTop w:val="0"/>
                  <w:marBottom w:val="0"/>
                  <w:divBdr>
                    <w:top w:val="none" w:sz="0" w:space="0" w:color="auto"/>
                    <w:left w:val="none" w:sz="0" w:space="0" w:color="auto"/>
                    <w:bottom w:val="none" w:sz="0" w:space="0" w:color="auto"/>
                    <w:right w:val="none" w:sz="0" w:space="0" w:color="auto"/>
                  </w:divBdr>
                  <w:divsChild>
                    <w:div w:id="6418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233415">
      <w:bodyDiv w:val="1"/>
      <w:marLeft w:val="0"/>
      <w:marRight w:val="0"/>
      <w:marTop w:val="0"/>
      <w:marBottom w:val="0"/>
      <w:divBdr>
        <w:top w:val="none" w:sz="0" w:space="0" w:color="auto"/>
        <w:left w:val="none" w:sz="0" w:space="0" w:color="auto"/>
        <w:bottom w:val="none" w:sz="0" w:space="0" w:color="auto"/>
        <w:right w:val="none" w:sz="0" w:space="0" w:color="auto"/>
      </w:divBdr>
    </w:div>
    <w:div w:id="716929260">
      <w:bodyDiv w:val="1"/>
      <w:marLeft w:val="0"/>
      <w:marRight w:val="0"/>
      <w:marTop w:val="0"/>
      <w:marBottom w:val="0"/>
      <w:divBdr>
        <w:top w:val="none" w:sz="0" w:space="0" w:color="auto"/>
        <w:left w:val="none" w:sz="0" w:space="0" w:color="auto"/>
        <w:bottom w:val="none" w:sz="0" w:space="0" w:color="auto"/>
        <w:right w:val="none" w:sz="0" w:space="0" w:color="auto"/>
      </w:divBdr>
      <w:divsChild>
        <w:div w:id="1740202402">
          <w:marLeft w:val="0"/>
          <w:marRight w:val="0"/>
          <w:marTop w:val="0"/>
          <w:marBottom w:val="0"/>
          <w:divBdr>
            <w:top w:val="none" w:sz="0" w:space="0" w:color="auto"/>
            <w:left w:val="none" w:sz="0" w:space="0" w:color="auto"/>
            <w:bottom w:val="none" w:sz="0" w:space="0" w:color="auto"/>
            <w:right w:val="none" w:sz="0" w:space="0" w:color="auto"/>
          </w:divBdr>
          <w:divsChild>
            <w:div w:id="87700049">
              <w:marLeft w:val="0"/>
              <w:marRight w:val="0"/>
              <w:marTop w:val="0"/>
              <w:marBottom w:val="0"/>
              <w:divBdr>
                <w:top w:val="none" w:sz="0" w:space="0" w:color="auto"/>
                <w:left w:val="none" w:sz="0" w:space="0" w:color="auto"/>
                <w:bottom w:val="none" w:sz="0" w:space="0" w:color="auto"/>
                <w:right w:val="none" w:sz="0" w:space="0" w:color="auto"/>
              </w:divBdr>
              <w:divsChild>
                <w:div w:id="9052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22425">
      <w:bodyDiv w:val="1"/>
      <w:marLeft w:val="0"/>
      <w:marRight w:val="0"/>
      <w:marTop w:val="0"/>
      <w:marBottom w:val="0"/>
      <w:divBdr>
        <w:top w:val="none" w:sz="0" w:space="0" w:color="auto"/>
        <w:left w:val="none" w:sz="0" w:space="0" w:color="auto"/>
        <w:bottom w:val="none" w:sz="0" w:space="0" w:color="auto"/>
        <w:right w:val="none" w:sz="0" w:space="0" w:color="auto"/>
      </w:divBdr>
    </w:div>
    <w:div w:id="812259822">
      <w:bodyDiv w:val="1"/>
      <w:marLeft w:val="0"/>
      <w:marRight w:val="0"/>
      <w:marTop w:val="0"/>
      <w:marBottom w:val="0"/>
      <w:divBdr>
        <w:top w:val="none" w:sz="0" w:space="0" w:color="auto"/>
        <w:left w:val="none" w:sz="0" w:space="0" w:color="auto"/>
        <w:bottom w:val="none" w:sz="0" w:space="0" w:color="auto"/>
        <w:right w:val="none" w:sz="0" w:space="0" w:color="auto"/>
      </w:divBdr>
      <w:divsChild>
        <w:div w:id="1535725681">
          <w:marLeft w:val="0"/>
          <w:marRight w:val="0"/>
          <w:marTop w:val="0"/>
          <w:marBottom w:val="0"/>
          <w:divBdr>
            <w:top w:val="none" w:sz="0" w:space="0" w:color="auto"/>
            <w:left w:val="none" w:sz="0" w:space="0" w:color="auto"/>
            <w:bottom w:val="none" w:sz="0" w:space="0" w:color="auto"/>
            <w:right w:val="none" w:sz="0" w:space="0" w:color="auto"/>
          </w:divBdr>
          <w:divsChild>
            <w:div w:id="1831680033">
              <w:marLeft w:val="0"/>
              <w:marRight w:val="0"/>
              <w:marTop w:val="0"/>
              <w:marBottom w:val="0"/>
              <w:divBdr>
                <w:top w:val="none" w:sz="0" w:space="0" w:color="auto"/>
                <w:left w:val="none" w:sz="0" w:space="0" w:color="auto"/>
                <w:bottom w:val="none" w:sz="0" w:space="0" w:color="auto"/>
                <w:right w:val="none" w:sz="0" w:space="0" w:color="auto"/>
              </w:divBdr>
              <w:divsChild>
                <w:div w:id="1464538917">
                  <w:marLeft w:val="0"/>
                  <w:marRight w:val="0"/>
                  <w:marTop w:val="0"/>
                  <w:marBottom w:val="0"/>
                  <w:divBdr>
                    <w:top w:val="none" w:sz="0" w:space="0" w:color="auto"/>
                    <w:left w:val="none" w:sz="0" w:space="0" w:color="auto"/>
                    <w:bottom w:val="none" w:sz="0" w:space="0" w:color="auto"/>
                    <w:right w:val="none" w:sz="0" w:space="0" w:color="auto"/>
                  </w:divBdr>
                  <w:divsChild>
                    <w:div w:id="1086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8984">
      <w:bodyDiv w:val="1"/>
      <w:marLeft w:val="0"/>
      <w:marRight w:val="0"/>
      <w:marTop w:val="0"/>
      <w:marBottom w:val="0"/>
      <w:divBdr>
        <w:top w:val="none" w:sz="0" w:space="0" w:color="auto"/>
        <w:left w:val="none" w:sz="0" w:space="0" w:color="auto"/>
        <w:bottom w:val="none" w:sz="0" w:space="0" w:color="auto"/>
        <w:right w:val="none" w:sz="0" w:space="0" w:color="auto"/>
      </w:divBdr>
    </w:div>
    <w:div w:id="869033177">
      <w:bodyDiv w:val="1"/>
      <w:marLeft w:val="0"/>
      <w:marRight w:val="0"/>
      <w:marTop w:val="0"/>
      <w:marBottom w:val="0"/>
      <w:divBdr>
        <w:top w:val="none" w:sz="0" w:space="0" w:color="auto"/>
        <w:left w:val="none" w:sz="0" w:space="0" w:color="auto"/>
        <w:bottom w:val="none" w:sz="0" w:space="0" w:color="auto"/>
        <w:right w:val="none" w:sz="0" w:space="0" w:color="auto"/>
      </w:divBdr>
      <w:divsChild>
        <w:div w:id="306740464">
          <w:marLeft w:val="0"/>
          <w:marRight w:val="0"/>
          <w:marTop w:val="0"/>
          <w:marBottom w:val="0"/>
          <w:divBdr>
            <w:top w:val="none" w:sz="0" w:space="0" w:color="auto"/>
            <w:left w:val="none" w:sz="0" w:space="0" w:color="auto"/>
            <w:bottom w:val="none" w:sz="0" w:space="0" w:color="auto"/>
            <w:right w:val="none" w:sz="0" w:space="0" w:color="auto"/>
          </w:divBdr>
          <w:divsChild>
            <w:div w:id="165441614">
              <w:marLeft w:val="0"/>
              <w:marRight w:val="0"/>
              <w:marTop w:val="0"/>
              <w:marBottom w:val="0"/>
              <w:divBdr>
                <w:top w:val="none" w:sz="0" w:space="0" w:color="auto"/>
                <w:left w:val="none" w:sz="0" w:space="0" w:color="auto"/>
                <w:bottom w:val="none" w:sz="0" w:space="0" w:color="auto"/>
                <w:right w:val="none" w:sz="0" w:space="0" w:color="auto"/>
              </w:divBdr>
              <w:divsChild>
                <w:div w:id="16442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22094">
      <w:bodyDiv w:val="1"/>
      <w:marLeft w:val="0"/>
      <w:marRight w:val="0"/>
      <w:marTop w:val="0"/>
      <w:marBottom w:val="0"/>
      <w:divBdr>
        <w:top w:val="none" w:sz="0" w:space="0" w:color="auto"/>
        <w:left w:val="none" w:sz="0" w:space="0" w:color="auto"/>
        <w:bottom w:val="none" w:sz="0" w:space="0" w:color="auto"/>
        <w:right w:val="none" w:sz="0" w:space="0" w:color="auto"/>
      </w:divBdr>
      <w:divsChild>
        <w:div w:id="405763265">
          <w:marLeft w:val="0"/>
          <w:marRight w:val="0"/>
          <w:marTop w:val="0"/>
          <w:marBottom w:val="0"/>
          <w:divBdr>
            <w:top w:val="none" w:sz="0" w:space="0" w:color="auto"/>
            <w:left w:val="none" w:sz="0" w:space="0" w:color="auto"/>
            <w:bottom w:val="none" w:sz="0" w:space="0" w:color="auto"/>
            <w:right w:val="none" w:sz="0" w:space="0" w:color="auto"/>
          </w:divBdr>
          <w:divsChild>
            <w:div w:id="36976905">
              <w:marLeft w:val="0"/>
              <w:marRight w:val="0"/>
              <w:marTop w:val="0"/>
              <w:marBottom w:val="0"/>
              <w:divBdr>
                <w:top w:val="none" w:sz="0" w:space="0" w:color="auto"/>
                <w:left w:val="none" w:sz="0" w:space="0" w:color="auto"/>
                <w:bottom w:val="none" w:sz="0" w:space="0" w:color="auto"/>
                <w:right w:val="none" w:sz="0" w:space="0" w:color="auto"/>
              </w:divBdr>
              <w:divsChild>
                <w:div w:id="95449383">
                  <w:marLeft w:val="0"/>
                  <w:marRight w:val="0"/>
                  <w:marTop w:val="0"/>
                  <w:marBottom w:val="0"/>
                  <w:divBdr>
                    <w:top w:val="none" w:sz="0" w:space="0" w:color="auto"/>
                    <w:left w:val="none" w:sz="0" w:space="0" w:color="auto"/>
                    <w:bottom w:val="none" w:sz="0" w:space="0" w:color="auto"/>
                    <w:right w:val="none" w:sz="0" w:space="0" w:color="auto"/>
                  </w:divBdr>
                  <w:divsChild>
                    <w:div w:id="90244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74092">
      <w:bodyDiv w:val="1"/>
      <w:marLeft w:val="0"/>
      <w:marRight w:val="0"/>
      <w:marTop w:val="0"/>
      <w:marBottom w:val="0"/>
      <w:divBdr>
        <w:top w:val="none" w:sz="0" w:space="0" w:color="auto"/>
        <w:left w:val="none" w:sz="0" w:space="0" w:color="auto"/>
        <w:bottom w:val="none" w:sz="0" w:space="0" w:color="auto"/>
        <w:right w:val="none" w:sz="0" w:space="0" w:color="auto"/>
      </w:divBdr>
      <w:divsChild>
        <w:div w:id="1938055917">
          <w:marLeft w:val="0"/>
          <w:marRight w:val="0"/>
          <w:marTop w:val="0"/>
          <w:marBottom w:val="0"/>
          <w:divBdr>
            <w:top w:val="none" w:sz="0" w:space="0" w:color="auto"/>
            <w:left w:val="none" w:sz="0" w:space="0" w:color="auto"/>
            <w:bottom w:val="none" w:sz="0" w:space="0" w:color="auto"/>
            <w:right w:val="none" w:sz="0" w:space="0" w:color="auto"/>
          </w:divBdr>
          <w:divsChild>
            <w:div w:id="2107387727">
              <w:marLeft w:val="0"/>
              <w:marRight w:val="0"/>
              <w:marTop w:val="0"/>
              <w:marBottom w:val="0"/>
              <w:divBdr>
                <w:top w:val="none" w:sz="0" w:space="0" w:color="auto"/>
                <w:left w:val="none" w:sz="0" w:space="0" w:color="auto"/>
                <w:bottom w:val="none" w:sz="0" w:space="0" w:color="auto"/>
                <w:right w:val="none" w:sz="0" w:space="0" w:color="auto"/>
              </w:divBdr>
              <w:divsChild>
                <w:div w:id="10316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93844">
      <w:bodyDiv w:val="1"/>
      <w:marLeft w:val="0"/>
      <w:marRight w:val="0"/>
      <w:marTop w:val="0"/>
      <w:marBottom w:val="0"/>
      <w:divBdr>
        <w:top w:val="none" w:sz="0" w:space="0" w:color="auto"/>
        <w:left w:val="none" w:sz="0" w:space="0" w:color="auto"/>
        <w:bottom w:val="none" w:sz="0" w:space="0" w:color="auto"/>
        <w:right w:val="none" w:sz="0" w:space="0" w:color="auto"/>
      </w:divBdr>
      <w:divsChild>
        <w:div w:id="1851874604">
          <w:marLeft w:val="0"/>
          <w:marRight w:val="0"/>
          <w:marTop w:val="0"/>
          <w:marBottom w:val="0"/>
          <w:divBdr>
            <w:top w:val="none" w:sz="0" w:space="0" w:color="auto"/>
            <w:left w:val="none" w:sz="0" w:space="0" w:color="auto"/>
            <w:bottom w:val="none" w:sz="0" w:space="0" w:color="auto"/>
            <w:right w:val="none" w:sz="0" w:space="0" w:color="auto"/>
          </w:divBdr>
        </w:div>
        <w:div w:id="109739236">
          <w:marLeft w:val="0"/>
          <w:marRight w:val="0"/>
          <w:marTop w:val="0"/>
          <w:marBottom w:val="0"/>
          <w:divBdr>
            <w:top w:val="none" w:sz="0" w:space="0" w:color="auto"/>
            <w:left w:val="none" w:sz="0" w:space="0" w:color="auto"/>
            <w:bottom w:val="none" w:sz="0" w:space="0" w:color="auto"/>
            <w:right w:val="none" w:sz="0" w:space="0" w:color="auto"/>
          </w:divBdr>
        </w:div>
        <w:div w:id="1473211598">
          <w:marLeft w:val="0"/>
          <w:marRight w:val="0"/>
          <w:marTop w:val="0"/>
          <w:marBottom w:val="0"/>
          <w:divBdr>
            <w:top w:val="none" w:sz="0" w:space="0" w:color="auto"/>
            <w:left w:val="none" w:sz="0" w:space="0" w:color="auto"/>
            <w:bottom w:val="none" w:sz="0" w:space="0" w:color="auto"/>
            <w:right w:val="none" w:sz="0" w:space="0" w:color="auto"/>
          </w:divBdr>
        </w:div>
      </w:divsChild>
    </w:div>
    <w:div w:id="969018607">
      <w:bodyDiv w:val="1"/>
      <w:marLeft w:val="0"/>
      <w:marRight w:val="0"/>
      <w:marTop w:val="0"/>
      <w:marBottom w:val="0"/>
      <w:divBdr>
        <w:top w:val="none" w:sz="0" w:space="0" w:color="auto"/>
        <w:left w:val="none" w:sz="0" w:space="0" w:color="auto"/>
        <w:bottom w:val="none" w:sz="0" w:space="0" w:color="auto"/>
        <w:right w:val="none" w:sz="0" w:space="0" w:color="auto"/>
      </w:divBdr>
      <w:divsChild>
        <w:div w:id="1559585020">
          <w:marLeft w:val="0"/>
          <w:marRight w:val="0"/>
          <w:marTop w:val="0"/>
          <w:marBottom w:val="0"/>
          <w:divBdr>
            <w:top w:val="none" w:sz="0" w:space="0" w:color="auto"/>
            <w:left w:val="none" w:sz="0" w:space="0" w:color="auto"/>
            <w:bottom w:val="none" w:sz="0" w:space="0" w:color="auto"/>
            <w:right w:val="none" w:sz="0" w:space="0" w:color="auto"/>
          </w:divBdr>
          <w:divsChild>
            <w:div w:id="1342661925">
              <w:marLeft w:val="0"/>
              <w:marRight w:val="0"/>
              <w:marTop w:val="0"/>
              <w:marBottom w:val="0"/>
              <w:divBdr>
                <w:top w:val="none" w:sz="0" w:space="0" w:color="auto"/>
                <w:left w:val="none" w:sz="0" w:space="0" w:color="auto"/>
                <w:bottom w:val="none" w:sz="0" w:space="0" w:color="auto"/>
                <w:right w:val="none" w:sz="0" w:space="0" w:color="auto"/>
              </w:divBdr>
              <w:divsChild>
                <w:div w:id="4002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24568">
      <w:bodyDiv w:val="1"/>
      <w:marLeft w:val="0"/>
      <w:marRight w:val="0"/>
      <w:marTop w:val="0"/>
      <w:marBottom w:val="0"/>
      <w:divBdr>
        <w:top w:val="none" w:sz="0" w:space="0" w:color="auto"/>
        <w:left w:val="none" w:sz="0" w:space="0" w:color="auto"/>
        <w:bottom w:val="none" w:sz="0" w:space="0" w:color="auto"/>
        <w:right w:val="none" w:sz="0" w:space="0" w:color="auto"/>
      </w:divBdr>
    </w:div>
    <w:div w:id="999774411">
      <w:bodyDiv w:val="1"/>
      <w:marLeft w:val="0"/>
      <w:marRight w:val="0"/>
      <w:marTop w:val="0"/>
      <w:marBottom w:val="0"/>
      <w:divBdr>
        <w:top w:val="none" w:sz="0" w:space="0" w:color="auto"/>
        <w:left w:val="none" w:sz="0" w:space="0" w:color="auto"/>
        <w:bottom w:val="none" w:sz="0" w:space="0" w:color="auto"/>
        <w:right w:val="none" w:sz="0" w:space="0" w:color="auto"/>
      </w:divBdr>
    </w:div>
    <w:div w:id="1050809804">
      <w:bodyDiv w:val="1"/>
      <w:marLeft w:val="0"/>
      <w:marRight w:val="0"/>
      <w:marTop w:val="0"/>
      <w:marBottom w:val="0"/>
      <w:divBdr>
        <w:top w:val="none" w:sz="0" w:space="0" w:color="auto"/>
        <w:left w:val="none" w:sz="0" w:space="0" w:color="auto"/>
        <w:bottom w:val="none" w:sz="0" w:space="0" w:color="auto"/>
        <w:right w:val="none" w:sz="0" w:space="0" w:color="auto"/>
      </w:divBdr>
    </w:div>
    <w:div w:id="1091896889">
      <w:bodyDiv w:val="1"/>
      <w:marLeft w:val="0"/>
      <w:marRight w:val="0"/>
      <w:marTop w:val="0"/>
      <w:marBottom w:val="0"/>
      <w:divBdr>
        <w:top w:val="none" w:sz="0" w:space="0" w:color="auto"/>
        <w:left w:val="none" w:sz="0" w:space="0" w:color="auto"/>
        <w:bottom w:val="none" w:sz="0" w:space="0" w:color="auto"/>
        <w:right w:val="none" w:sz="0" w:space="0" w:color="auto"/>
      </w:divBdr>
    </w:div>
    <w:div w:id="1136990380">
      <w:bodyDiv w:val="1"/>
      <w:marLeft w:val="0"/>
      <w:marRight w:val="0"/>
      <w:marTop w:val="0"/>
      <w:marBottom w:val="0"/>
      <w:divBdr>
        <w:top w:val="none" w:sz="0" w:space="0" w:color="auto"/>
        <w:left w:val="none" w:sz="0" w:space="0" w:color="auto"/>
        <w:bottom w:val="none" w:sz="0" w:space="0" w:color="auto"/>
        <w:right w:val="none" w:sz="0" w:space="0" w:color="auto"/>
      </w:divBdr>
      <w:divsChild>
        <w:div w:id="1957371050">
          <w:marLeft w:val="0"/>
          <w:marRight w:val="0"/>
          <w:marTop w:val="0"/>
          <w:marBottom w:val="0"/>
          <w:divBdr>
            <w:top w:val="none" w:sz="0" w:space="0" w:color="auto"/>
            <w:left w:val="none" w:sz="0" w:space="0" w:color="auto"/>
            <w:bottom w:val="none" w:sz="0" w:space="0" w:color="auto"/>
            <w:right w:val="none" w:sz="0" w:space="0" w:color="auto"/>
          </w:divBdr>
          <w:divsChild>
            <w:div w:id="661659837">
              <w:marLeft w:val="0"/>
              <w:marRight w:val="0"/>
              <w:marTop w:val="0"/>
              <w:marBottom w:val="0"/>
              <w:divBdr>
                <w:top w:val="none" w:sz="0" w:space="0" w:color="auto"/>
                <w:left w:val="none" w:sz="0" w:space="0" w:color="auto"/>
                <w:bottom w:val="none" w:sz="0" w:space="0" w:color="auto"/>
                <w:right w:val="none" w:sz="0" w:space="0" w:color="auto"/>
              </w:divBdr>
              <w:divsChild>
                <w:div w:id="6420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53095">
      <w:bodyDiv w:val="1"/>
      <w:marLeft w:val="0"/>
      <w:marRight w:val="0"/>
      <w:marTop w:val="0"/>
      <w:marBottom w:val="0"/>
      <w:divBdr>
        <w:top w:val="none" w:sz="0" w:space="0" w:color="auto"/>
        <w:left w:val="none" w:sz="0" w:space="0" w:color="auto"/>
        <w:bottom w:val="none" w:sz="0" w:space="0" w:color="auto"/>
        <w:right w:val="none" w:sz="0" w:space="0" w:color="auto"/>
      </w:divBdr>
      <w:divsChild>
        <w:div w:id="2003191998">
          <w:marLeft w:val="0"/>
          <w:marRight w:val="0"/>
          <w:marTop w:val="0"/>
          <w:marBottom w:val="0"/>
          <w:divBdr>
            <w:top w:val="none" w:sz="0" w:space="0" w:color="auto"/>
            <w:left w:val="none" w:sz="0" w:space="0" w:color="auto"/>
            <w:bottom w:val="none" w:sz="0" w:space="0" w:color="auto"/>
            <w:right w:val="none" w:sz="0" w:space="0" w:color="auto"/>
          </w:divBdr>
          <w:divsChild>
            <w:div w:id="1908415303">
              <w:marLeft w:val="0"/>
              <w:marRight w:val="0"/>
              <w:marTop w:val="0"/>
              <w:marBottom w:val="0"/>
              <w:divBdr>
                <w:top w:val="none" w:sz="0" w:space="0" w:color="auto"/>
                <w:left w:val="none" w:sz="0" w:space="0" w:color="auto"/>
                <w:bottom w:val="none" w:sz="0" w:space="0" w:color="auto"/>
                <w:right w:val="none" w:sz="0" w:space="0" w:color="auto"/>
              </w:divBdr>
              <w:divsChild>
                <w:div w:id="15028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83666">
      <w:bodyDiv w:val="1"/>
      <w:marLeft w:val="0"/>
      <w:marRight w:val="0"/>
      <w:marTop w:val="0"/>
      <w:marBottom w:val="0"/>
      <w:divBdr>
        <w:top w:val="none" w:sz="0" w:space="0" w:color="auto"/>
        <w:left w:val="none" w:sz="0" w:space="0" w:color="auto"/>
        <w:bottom w:val="none" w:sz="0" w:space="0" w:color="auto"/>
        <w:right w:val="none" w:sz="0" w:space="0" w:color="auto"/>
      </w:divBdr>
    </w:div>
    <w:div w:id="1277830775">
      <w:bodyDiv w:val="1"/>
      <w:marLeft w:val="0"/>
      <w:marRight w:val="0"/>
      <w:marTop w:val="0"/>
      <w:marBottom w:val="0"/>
      <w:divBdr>
        <w:top w:val="none" w:sz="0" w:space="0" w:color="auto"/>
        <w:left w:val="none" w:sz="0" w:space="0" w:color="auto"/>
        <w:bottom w:val="none" w:sz="0" w:space="0" w:color="auto"/>
        <w:right w:val="none" w:sz="0" w:space="0" w:color="auto"/>
      </w:divBdr>
      <w:divsChild>
        <w:div w:id="677199354">
          <w:marLeft w:val="0"/>
          <w:marRight w:val="0"/>
          <w:marTop w:val="0"/>
          <w:marBottom w:val="0"/>
          <w:divBdr>
            <w:top w:val="none" w:sz="0" w:space="0" w:color="auto"/>
            <w:left w:val="none" w:sz="0" w:space="0" w:color="auto"/>
            <w:bottom w:val="none" w:sz="0" w:space="0" w:color="auto"/>
            <w:right w:val="none" w:sz="0" w:space="0" w:color="auto"/>
          </w:divBdr>
          <w:divsChild>
            <w:div w:id="1213620535">
              <w:marLeft w:val="0"/>
              <w:marRight w:val="0"/>
              <w:marTop w:val="0"/>
              <w:marBottom w:val="0"/>
              <w:divBdr>
                <w:top w:val="none" w:sz="0" w:space="0" w:color="auto"/>
                <w:left w:val="none" w:sz="0" w:space="0" w:color="auto"/>
                <w:bottom w:val="none" w:sz="0" w:space="0" w:color="auto"/>
                <w:right w:val="none" w:sz="0" w:space="0" w:color="auto"/>
              </w:divBdr>
              <w:divsChild>
                <w:div w:id="52470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41671">
      <w:bodyDiv w:val="1"/>
      <w:marLeft w:val="0"/>
      <w:marRight w:val="0"/>
      <w:marTop w:val="0"/>
      <w:marBottom w:val="0"/>
      <w:divBdr>
        <w:top w:val="none" w:sz="0" w:space="0" w:color="auto"/>
        <w:left w:val="none" w:sz="0" w:space="0" w:color="auto"/>
        <w:bottom w:val="none" w:sz="0" w:space="0" w:color="auto"/>
        <w:right w:val="none" w:sz="0" w:space="0" w:color="auto"/>
      </w:divBdr>
      <w:divsChild>
        <w:div w:id="1620601165">
          <w:marLeft w:val="0"/>
          <w:marRight w:val="0"/>
          <w:marTop w:val="0"/>
          <w:marBottom w:val="0"/>
          <w:divBdr>
            <w:top w:val="none" w:sz="0" w:space="0" w:color="auto"/>
            <w:left w:val="none" w:sz="0" w:space="0" w:color="auto"/>
            <w:bottom w:val="none" w:sz="0" w:space="0" w:color="auto"/>
            <w:right w:val="none" w:sz="0" w:space="0" w:color="auto"/>
          </w:divBdr>
          <w:divsChild>
            <w:div w:id="684096810">
              <w:marLeft w:val="0"/>
              <w:marRight w:val="0"/>
              <w:marTop w:val="0"/>
              <w:marBottom w:val="0"/>
              <w:divBdr>
                <w:top w:val="none" w:sz="0" w:space="0" w:color="auto"/>
                <w:left w:val="none" w:sz="0" w:space="0" w:color="auto"/>
                <w:bottom w:val="none" w:sz="0" w:space="0" w:color="auto"/>
                <w:right w:val="none" w:sz="0" w:space="0" w:color="auto"/>
              </w:divBdr>
              <w:divsChild>
                <w:div w:id="13241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3557">
      <w:bodyDiv w:val="1"/>
      <w:marLeft w:val="0"/>
      <w:marRight w:val="0"/>
      <w:marTop w:val="0"/>
      <w:marBottom w:val="0"/>
      <w:divBdr>
        <w:top w:val="none" w:sz="0" w:space="0" w:color="auto"/>
        <w:left w:val="none" w:sz="0" w:space="0" w:color="auto"/>
        <w:bottom w:val="none" w:sz="0" w:space="0" w:color="auto"/>
        <w:right w:val="none" w:sz="0" w:space="0" w:color="auto"/>
      </w:divBdr>
      <w:divsChild>
        <w:div w:id="945696166">
          <w:marLeft w:val="0"/>
          <w:marRight w:val="0"/>
          <w:marTop w:val="0"/>
          <w:marBottom w:val="0"/>
          <w:divBdr>
            <w:top w:val="none" w:sz="0" w:space="0" w:color="auto"/>
            <w:left w:val="none" w:sz="0" w:space="0" w:color="auto"/>
            <w:bottom w:val="none" w:sz="0" w:space="0" w:color="auto"/>
            <w:right w:val="none" w:sz="0" w:space="0" w:color="auto"/>
          </w:divBdr>
          <w:divsChild>
            <w:div w:id="1348948639">
              <w:marLeft w:val="0"/>
              <w:marRight w:val="0"/>
              <w:marTop w:val="0"/>
              <w:marBottom w:val="0"/>
              <w:divBdr>
                <w:top w:val="none" w:sz="0" w:space="0" w:color="auto"/>
                <w:left w:val="none" w:sz="0" w:space="0" w:color="auto"/>
                <w:bottom w:val="none" w:sz="0" w:space="0" w:color="auto"/>
                <w:right w:val="none" w:sz="0" w:space="0" w:color="auto"/>
              </w:divBdr>
              <w:divsChild>
                <w:div w:id="80881405">
                  <w:marLeft w:val="0"/>
                  <w:marRight w:val="0"/>
                  <w:marTop w:val="0"/>
                  <w:marBottom w:val="0"/>
                  <w:divBdr>
                    <w:top w:val="none" w:sz="0" w:space="0" w:color="auto"/>
                    <w:left w:val="none" w:sz="0" w:space="0" w:color="auto"/>
                    <w:bottom w:val="none" w:sz="0" w:space="0" w:color="auto"/>
                    <w:right w:val="none" w:sz="0" w:space="0" w:color="auto"/>
                  </w:divBdr>
                  <w:divsChild>
                    <w:div w:id="16507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95604">
      <w:bodyDiv w:val="1"/>
      <w:marLeft w:val="0"/>
      <w:marRight w:val="0"/>
      <w:marTop w:val="0"/>
      <w:marBottom w:val="0"/>
      <w:divBdr>
        <w:top w:val="none" w:sz="0" w:space="0" w:color="auto"/>
        <w:left w:val="none" w:sz="0" w:space="0" w:color="auto"/>
        <w:bottom w:val="none" w:sz="0" w:space="0" w:color="auto"/>
        <w:right w:val="none" w:sz="0" w:space="0" w:color="auto"/>
      </w:divBdr>
    </w:div>
    <w:div w:id="1422263906">
      <w:bodyDiv w:val="1"/>
      <w:marLeft w:val="0"/>
      <w:marRight w:val="0"/>
      <w:marTop w:val="0"/>
      <w:marBottom w:val="0"/>
      <w:divBdr>
        <w:top w:val="none" w:sz="0" w:space="0" w:color="auto"/>
        <w:left w:val="none" w:sz="0" w:space="0" w:color="auto"/>
        <w:bottom w:val="none" w:sz="0" w:space="0" w:color="auto"/>
        <w:right w:val="none" w:sz="0" w:space="0" w:color="auto"/>
      </w:divBdr>
      <w:divsChild>
        <w:div w:id="2028873335">
          <w:marLeft w:val="0"/>
          <w:marRight w:val="0"/>
          <w:marTop w:val="0"/>
          <w:marBottom w:val="0"/>
          <w:divBdr>
            <w:top w:val="none" w:sz="0" w:space="0" w:color="auto"/>
            <w:left w:val="none" w:sz="0" w:space="0" w:color="auto"/>
            <w:bottom w:val="none" w:sz="0" w:space="0" w:color="auto"/>
            <w:right w:val="none" w:sz="0" w:space="0" w:color="auto"/>
          </w:divBdr>
        </w:div>
        <w:div w:id="775756897">
          <w:marLeft w:val="0"/>
          <w:marRight w:val="0"/>
          <w:marTop w:val="0"/>
          <w:marBottom w:val="0"/>
          <w:divBdr>
            <w:top w:val="none" w:sz="0" w:space="0" w:color="auto"/>
            <w:left w:val="none" w:sz="0" w:space="0" w:color="auto"/>
            <w:bottom w:val="none" w:sz="0" w:space="0" w:color="auto"/>
            <w:right w:val="none" w:sz="0" w:space="0" w:color="auto"/>
          </w:divBdr>
        </w:div>
        <w:div w:id="1355616259">
          <w:marLeft w:val="0"/>
          <w:marRight w:val="0"/>
          <w:marTop w:val="0"/>
          <w:marBottom w:val="0"/>
          <w:divBdr>
            <w:top w:val="none" w:sz="0" w:space="0" w:color="auto"/>
            <w:left w:val="none" w:sz="0" w:space="0" w:color="auto"/>
            <w:bottom w:val="none" w:sz="0" w:space="0" w:color="auto"/>
            <w:right w:val="none" w:sz="0" w:space="0" w:color="auto"/>
          </w:divBdr>
        </w:div>
      </w:divsChild>
    </w:div>
    <w:div w:id="1602639325">
      <w:bodyDiv w:val="1"/>
      <w:marLeft w:val="0"/>
      <w:marRight w:val="0"/>
      <w:marTop w:val="0"/>
      <w:marBottom w:val="0"/>
      <w:divBdr>
        <w:top w:val="none" w:sz="0" w:space="0" w:color="auto"/>
        <w:left w:val="none" w:sz="0" w:space="0" w:color="auto"/>
        <w:bottom w:val="none" w:sz="0" w:space="0" w:color="auto"/>
        <w:right w:val="none" w:sz="0" w:space="0" w:color="auto"/>
      </w:divBdr>
    </w:div>
    <w:div w:id="1632516837">
      <w:bodyDiv w:val="1"/>
      <w:marLeft w:val="0"/>
      <w:marRight w:val="0"/>
      <w:marTop w:val="0"/>
      <w:marBottom w:val="0"/>
      <w:divBdr>
        <w:top w:val="none" w:sz="0" w:space="0" w:color="auto"/>
        <w:left w:val="none" w:sz="0" w:space="0" w:color="auto"/>
        <w:bottom w:val="none" w:sz="0" w:space="0" w:color="auto"/>
        <w:right w:val="none" w:sz="0" w:space="0" w:color="auto"/>
      </w:divBdr>
      <w:divsChild>
        <w:div w:id="1384452223">
          <w:marLeft w:val="0"/>
          <w:marRight w:val="0"/>
          <w:marTop w:val="0"/>
          <w:marBottom w:val="0"/>
          <w:divBdr>
            <w:top w:val="none" w:sz="0" w:space="0" w:color="auto"/>
            <w:left w:val="none" w:sz="0" w:space="0" w:color="auto"/>
            <w:bottom w:val="none" w:sz="0" w:space="0" w:color="auto"/>
            <w:right w:val="none" w:sz="0" w:space="0" w:color="auto"/>
          </w:divBdr>
          <w:divsChild>
            <w:div w:id="1392462712">
              <w:marLeft w:val="0"/>
              <w:marRight w:val="0"/>
              <w:marTop w:val="0"/>
              <w:marBottom w:val="0"/>
              <w:divBdr>
                <w:top w:val="none" w:sz="0" w:space="0" w:color="auto"/>
                <w:left w:val="none" w:sz="0" w:space="0" w:color="auto"/>
                <w:bottom w:val="none" w:sz="0" w:space="0" w:color="auto"/>
                <w:right w:val="none" w:sz="0" w:space="0" w:color="auto"/>
              </w:divBdr>
              <w:divsChild>
                <w:div w:id="19934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40757">
      <w:bodyDiv w:val="1"/>
      <w:marLeft w:val="0"/>
      <w:marRight w:val="0"/>
      <w:marTop w:val="0"/>
      <w:marBottom w:val="0"/>
      <w:divBdr>
        <w:top w:val="none" w:sz="0" w:space="0" w:color="auto"/>
        <w:left w:val="none" w:sz="0" w:space="0" w:color="auto"/>
        <w:bottom w:val="none" w:sz="0" w:space="0" w:color="auto"/>
        <w:right w:val="none" w:sz="0" w:space="0" w:color="auto"/>
      </w:divBdr>
      <w:divsChild>
        <w:div w:id="1852717840">
          <w:marLeft w:val="0"/>
          <w:marRight w:val="0"/>
          <w:marTop w:val="0"/>
          <w:marBottom w:val="0"/>
          <w:divBdr>
            <w:top w:val="none" w:sz="0" w:space="0" w:color="auto"/>
            <w:left w:val="none" w:sz="0" w:space="0" w:color="auto"/>
            <w:bottom w:val="none" w:sz="0" w:space="0" w:color="auto"/>
            <w:right w:val="none" w:sz="0" w:space="0" w:color="auto"/>
          </w:divBdr>
          <w:divsChild>
            <w:div w:id="596325029">
              <w:marLeft w:val="0"/>
              <w:marRight w:val="0"/>
              <w:marTop w:val="0"/>
              <w:marBottom w:val="0"/>
              <w:divBdr>
                <w:top w:val="none" w:sz="0" w:space="0" w:color="auto"/>
                <w:left w:val="none" w:sz="0" w:space="0" w:color="auto"/>
                <w:bottom w:val="none" w:sz="0" w:space="0" w:color="auto"/>
                <w:right w:val="none" w:sz="0" w:space="0" w:color="auto"/>
              </w:divBdr>
              <w:divsChild>
                <w:div w:id="11450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83058">
      <w:bodyDiv w:val="1"/>
      <w:marLeft w:val="0"/>
      <w:marRight w:val="0"/>
      <w:marTop w:val="0"/>
      <w:marBottom w:val="0"/>
      <w:divBdr>
        <w:top w:val="none" w:sz="0" w:space="0" w:color="auto"/>
        <w:left w:val="none" w:sz="0" w:space="0" w:color="auto"/>
        <w:bottom w:val="none" w:sz="0" w:space="0" w:color="auto"/>
        <w:right w:val="none" w:sz="0" w:space="0" w:color="auto"/>
      </w:divBdr>
    </w:div>
    <w:div w:id="1696955685">
      <w:bodyDiv w:val="1"/>
      <w:marLeft w:val="0"/>
      <w:marRight w:val="0"/>
      <w:marTop w:val="0"/>
      <w:marBottom w:val="0"/>
      <w:divBdr>
        <w:top w:val="none" w:sz="0" w:space="0" w:color="auto"/>
        <w:left w:val="none" w:sz="0" w:space="0" w:color="auto"/>
        <w:bottom w:val="none" w:sz="0" w:space="0" w:color="auto"/>
        <w:right w:val="none" w:sz="0" w:space="0" w:color="auto"/>
      </w:divBdr>
    </w:div>
    <w:div w:id="1751998775">
      <w:bodyDiv w:val="1"/>
      <w:marLeft w:val="0"/>
      <w:marRight w:val="0"/>
      <w:marTop w:val="0"/>
      <w:marBottom w:val="0"/>
      <w:divBdr>
        <w:top w:val="none" w:sz="0" w:space="0" w:color="auto"/>
        <w:left w:val="none" w:sz="0" w:space="0" w:color="auto"/>
        <w:bottom w:val="none" w:sz="0" w:space="0" w:color="auto"/>
        <w:right w:val="none" w:sz="0" w:space="0" w:color="auto"/>
      </w:divBdr>
    </w:div>
    <w:div w:id="1778141067">
      <w:bodyDiv w:val="1"/>
      <w:marLeft w:val="0"/>
      <w:marRight w:val="0"/>
      <w:marTop w:val="0"/>
      <w:marBottom w:val="0"/>
      <w:divBdr>
        <w:top w:val="none" w:sz="0" w:space="0" w:color="auto"/>
        <w:left w:val="none" w:sz="0" w:space="0" w:color="auto"/>
        <w:bottom w:val="none" w:sz="0" w:space="0" w:color="auto"/>
        <w:right w:val="none" w:sz="0" w:space="0" w:color="auto"/>
      </w:divBdr>
    </w:div>
    <w:div w:id="1827670951">
      <w:bodyDiv w:val="1"/>
      <w:marLeft w:val="0"/>
      <w:marRight w:val="0"/>
      <w:marTop w:val="0"/>
      <w:marBottom w:val="0"/>
      <w:divBdr>
        <w:top w:val="none" w:sz="0" w:space="0" w:color="auto"/>
        <w:left w:val="none" w:sz="0" w:space="0" w:color="auto"/>
        <w:bottom w:val="none" w:sz="0" w:space="0" w:color="auto"/>
        <w:right w:val="none" w:sz="0" w:space="0" w:color="auto"/>
      </w:divBdr>
    </w:div>
    <w:div w:id="1856771793">
      <w:bodyDiv w:val="1"/>
      <w:marLeft w:val="0"/>
      <w:marRight w:val="0"/>
      <w:marTop w:val="0"/>
      <w:marBottom w:val="0"/>
      <w:divBdr>
        <w:top w:val="none" w:sz="0" w:space="0" w:color="auto"/>
        <w:left w:val="none" w:sz="0" w:space="0" w:color="auto"/>
        <w:bottom w:val="none" w:sz="0" w:space="0" w:color="auto"/>
        <w:right w:val="none" w:sz="0" w:space="0" w:color="auto"/>
      </w:divBdr>
      <w:divsChild>
        <w:div w:id="1920863296">
          <w:marLeft w:val="0"/>
          <w:marRight w:val="0"/>
          <w:marTop w:val="0"/>
          <w:marBottom w:val="0"/>
          <w:divBdr>
            <w:top w:val="none" w:sz="0" w:space="0" w:color="auto"/>
            <w:left w:val="none" w:sz="0" w:space="0" w:color="auto"/>
            <w:bottom w:val="none" w:sz="0" w:space="0" w:color="auto"/>
            <w:right w:val="none" w:sz="0" w:space="0" w:color="auto"/>
          </w:divBdr>
          <w:divsChild>
            <w:div w:id="2126656001">
              <w:marLeft w:val="0"/>
              <w:marRight w:val="0"/>
              <w:marTop w:val="0"/>
              <w:marBottom w:val="0"/>
              <w:divBdr>
                <w:top w:val="none" w:sz="0" w:space="0" w:color="auto"/>
                <w:left w:val="none" w:sz="0" w:space="0" w:color="auto"/>
                <w:bottom w:val="none" w:sz="0" w:space="0" w:color="auto"/>
                <w:right w:val="none" w:sz="0" w:space="0" w:color="auto"/>
              </w:divBdr>
              <w:divsChild>
                <w:div w:id="1236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2463">
      <w:bodyDiv w:val="1"/>
      <w:marLeft w:val="0"/>
      <w:marRight w:val="0"/>
      <w:marTop w:val="0"/>
      <w:marBottom w:val="0"/>
      <w:divBdr>
        <w:top w:val="none" w:sz="0" w:space="0" w:color="auto"/>
        <w:left w:val="none" w:sz="0" w:space="0" w:color="auto"/>
        <w:bottom w:val="none" w:sz="0" w:space="0" w:color="auto"/>
        <w:right w:val="none" w:sz="0" w:space="0" w:color="auto"/>
      </w:divBdr>
    </w:div>
    <w:div w:id="1927611348">
      <w:bodyDiv w:val="1"/>
      <w:marLeft w:val="0"/>
      <w:marRight w:val="0"/>
      <w:marTop w:val="0"/>
      <w:marBottom w:val="0"/>
      <w:divBdr>
        <w:top w:val="none" w:sz="0" w:space="0" w:color="auto"/>
        <w:left w:val="none" w:sz="0" w:space="0" w:color="auto"/>
        <w:bottom w:val="none" w:sz="0" w:space="0" w:color="auto"/>
        <w:right w:val="none" w:sz="0" w:space="0" w:color="auto"/>
      </w:divBdr>
      <w:divsChild>
        <w:div w:id="308365794">
          <w:marLeft w:val="0"/>
          <w:marRight w:val="0"/>
          <w:marTop w:val="0"/>
          <w:marBottom w:val="0"/>
          <w:divBdr>
            <w:top w:val="none" w:sz="0" w:space="0" w:color="auto"/>
            <w:left w:val="none" w:sz="0" w:space="0" w:color="auto"/>
            <w:bottom w:val="none" w:sz="0" w:space="0" w:color="auto"/>
            <w:right w:val="none" w:sz="0" w:space="0" w:color="auto"/>
          </w:divBdr>
          <w:divsChild>
            <w:div w:id="723722079">
              <w:marLeft w:val="0"/>
              <w:marRight w:val="0"/>
              <w:marTop w:val="0"/>
              <w:marBottom w:val="0"/>
              <w:divBdr>
                <w:top w:val="none" w:sz="0" w:space="0" w:color="auto"/>
                <w:left w:val="none" w:sz="0" w:space="0" w:color="auto"/>
                <w:bottom w:val="none" w:sz="0" w:space="0" w:color="auto"/>
                <w:right w:val="none" w:sz="0" w:space="0" w:color="auto"/>
              </w:divBdr>
              <w:divsChild>
                <w:div w:id="1216817820">
                  <w:marLeft w:val="0"/>
                  <w:marRight w:val="0"/>
                  <w:marTop w:val="0"/>
                  <w:marBottom w:val="0"/>
                  <w:divBdr>
                    <w:top w:val="none" w:sz="0" w:space="0" w:color="auto"/>
                    <w:left w:val="none" w:sz="0" w:space="0" w:color="auto"/>
                    <w:bottom w:val="none" w:sz="0" w:space="0" w:color="auto"/>
                    <w:right w:val="none" w:sz="0" w:space="0" w:color="auto"/>
                  </w:divBdr>
                  <w:divsChild>
                    <w:div w:id="16422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560757">
      <w:bodyDiv w:val="1"/>
      <w:marLeft w:val="0"/>
      <w:marRight w:val="0"/>
      <w:marTop w:val="0"/>
      <w:marBottom w:val="0"/>
      <w:divBdr>
        <w:top w:val="none" w:sz="0" w:space="0" w:color="auto"/>
        <w:left w:val="none" w:sz="0" w:space="0" w:color="auto"/>
        <w:bottom w:val="none" w:sz="0" w:space="0" w:color="auto"/>
        <w:right w:val="none" w:sz="0" w:space="0" w:color="auto"/>
      </w:divBdr>
      <w:divsChild>
        <w:div w:id="1594780993">
          <w:marLeft w:val="0"/>
          <w:marRight w:val="0"/>
          <w:marTop w:val="0"/>
          <w:marBottom w:val="0"/>
          <w:divBdr>
            <w:top w:val="none" w:sz="0" w:space="0" w:color="auto"/>
            <w:left w:val="none" w:sz="0" w:space="0" w:color="auto"/>
            <w:bottom w:val="none" w:sz="0" w:space="0" w:color="auto"/>
            <w:right w:val="none" w:sz="0" w:space="0" w:color="auto"/>
          </w:divBdr>
          <w:divsChild>
            <w:div w:id="469129381">
              <w:marLeft w:val="0"/>
              <w:marRight w:val="0"/>
              <w:marTop w:val="0"/>
              <w:marBottom w:val="0"/>
              <w:divBdr>
                <w:top w:val="none" w:sz="0" w:space="0" w:color="auto"/>
                <w:left w:val="none" w:sz="0" w:space="0" w:color="auto"/>
                <w:bottom w:val="none" w:sz="0" w:space="0" w:color="auto"/>
                <w:right w:val="none" w:sz="0" w:space="0" w:color="auto"/>
              </w:divBdr>
              <w:divsChild>
                <w:div w:id="9407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467">
      <w:bodyDiv w:val="1"/>
      <w:marLeft w:val="0"/>
      <w:marRight w:val="0"/>
      <w:marTop w:val="0"/>
      <w:marBottom w:val="0"/>
      <w:divBdr>
        <w:top w:val="none" w:sz="0" w:space="0" w:color="auto"/>
        <w:left w:val="none" w:sz="0" w:space="0" w:color="auto"/>
        <w:bottom w:val="none" w:sz="0" w:space="0" w:color="auto"/>
        <w:right w:val="none" w:sz="0" w:space="0" w:color="auto"/>
      </w:divBdr>
      <w:divsChild>
        <w:div w:id="1013268384">
          <w:marLeft w:val="0"/>
          <w:marRight w:val="0"/>
          <w:marTop w:val="0"/>
          <w:marBottom w:val="0"/>
          <w:divBdr>
            <w:top w:val="none" w:sz="0" w:space="0" w:color="auto"/>
            <w:left w:val="none" w:sz="0" w:space="0" w:color="auto"/>
            <w:bottom w:val="none" w:sz="0" w:space="0" w:color="auto"/>
            <w:right w:val="none" w:sz="0" w:space="0" w:color="auto"/>
          </w:divBdr>
          <w:divsChild>
            <w:div w:id="862405611">
              <w:marLeft w:val="0"/>
              <w:marRight w:val="0"/>
              <w:marTop w:val="0"/>
              <w:marBottom w:val="0"/>
              <w:divBdr>
                <w:top w:val="none" w:sz="0" w:space="0" w:color="auto"/>
                <w:left w:val="none" w:sz="0" w:space="0" w:color="auto"/>
                <w:bottom w:val="none" w:sz="0" w:space="0" w:color="auto"/>
                <w:right w:val="none" w:sz="0" w:space="0" w:color="auto"/>
              </w:divBdr>
              <w:divsChild>
                <w:div w:id="756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3418">
      <w:bodyDiv w:val="1"/>
      <w:marLeft w:val="0"/>
      <w:marRight w:val="0"/>
      <w:marTop w:val="0"/>
      <w:marBottom w:val="0"/>
      <w:divBdr>
        <w:top w:val="none" w:sz="0" w:space="0" w:color="auto"/>
        <w:left w:val="none" w:sz="0" w:space="0" w:color="auto"/>
        <w:bottom w:val="none" w:sz="0" w:space="0" w:color="auto"/>
        <w:right w:val="none" w:sz="0" w:space="0" w:color="auto"/>
      </w:divBdr>
      <w:divsChild>
        <w:div w:id="1156140868">
          <w:marLeft w:val="0"/>
          <w:marRight w:val="0"/>
          <w:marTop w:val="0"/>
          <w:marBottom w:val="0"/>
          <w:divBdr>
            <w:top w:val="none" w:sz="0" w:space="0" w:color="auto"/>
            <w:left w:val="none" w:sz="0" w:space="0" w:color="auto"/>
            <w:bottom w:val="none" w:sz="0" w:space="0" w:color="auto"/>
            <w:right w:val="none" w:sz="0" w:space="0" w:color="auto"/>
          </w:divBdr>
          <w:divsChild>
            <w:div w:id="1617785489">
              <w:marLeft w:val="0"/>
              <w:marRight w:val="0"/>
              <w:marTop w:val="0"/>
              <w:marBottom w:val="0"/>
              <w:divBdr>
                <w:top w:val="none" w:sz="0" w:space="0" w:color="auto"/>
                <w:left w:val="none" w:sz="0" w:space="0" w:color="auto"/>
                <w:bottom w:val="none" w:sz="0" w:space="0" w:color="auto"/>
                <w:right w:val="none" w:sz="0" w:space="0" w:color="auto"/>
              </w:divBdr>
              <w:divsChild>
                <w:div w:id="162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54269">
      <w:bodyDiv w:val="1"/>
      <w:marLeft w:val="0"/>
      <w:marRight w:val="0"/>
      <w:marTop w:val="0"/>
      <w:marBottom w:val="0"/>
      <w:divBdr>
        <w:top w:val="none" w:sz="0" w:space="0" w:color="auto"/>
        <w:left w:val="none" w:sz="0" w:space="0" w:color="auto"/>
        <w:bottom w:val="none" w:sz="0" w:space="0" w:color="auto"/>
        <w:right w:val="none" w:sz="0" w:space="0" w:color="auto"/>
      </w:divBdr>
      <w:divsChild>
        <w:div w:id="96370557">
          <w:marLeft w:val="0"/>
          <w:marRight w:val="0"/>
          <w:marTop w:val="0"/>
          <w:marBottom w:val="0"/>
          <w:divBdr>
            <w:top w:val="none" w:sz="0" w:space="0" w:color="auto"/>
            <w:left w:val="none" w:sz="0" w:space="0" w:color="auto"/>
            <w:bottom w:val="none" w:sz="0" w:space="0" w:color="auto"/>
            <w:right w:val="none" w:sz="0" w:space="0" w:color="auto"/>
          </w:divBdr>
          <w:divsChild>
            <w:div w:id="140660621">
              <w:marLeft w:val="0"/>
              <w:marRight w:val="0"/>
              <w:marTop w:val="0"/>
              <w:marBottom w:val="0"/>
              <w:divBdr>
                <w:top w:val="none" w:sz="0" w:space="0" w:color="auto"/>
                <w:left w:val="none" w:sz="0" w:space="0" w:color="auto"/>
                <w:bottom w:val="none" w:sz="0" w:space="0" w:color="auto"/>
                <w:right w:val="none" w:sz="0" w:space="0" w:color="auto"/>
              </w:divBdr>
              <w:divsChild>
                <w:div w:id="11203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8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05268/trade-union-membership-2018-statistical-bulletin.pdf" TargetMode="External"/><Relationship Id="rId13" Type="http://schemas.openxmlformats.org/officeDocument/2006/relationships/hyperlink" Target="https://www.insuranceeurope.eu/sites/default/files/attachments/European%20Insurance%20in%20Figures%20-%202017%20data.pdf" TargetMode="External"/><Relationship Id="rId18" Type="http://schemas.openxmlformats.org/officeDocument/2006/relationships/hyperlink" Target="https://doi.org/10.1080/00343404.2019.161992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787/689afed1-en" TargetMode="External"/><Relationship Id="rId7" Type="http://schemas.openxmlformats.org/officeDocument/2006/relationships/chart" Target="charts/chart1.xml"/><Relationship Id="rId12" Type="http://schemas.openxmlformats.org/officeDocument/2006/relationships/hyperlink" Target="https://ssrn.com/abstract=2818659" TargetMode="External"/><Relationship Id="rId17" Type="http://schemas.openxmlformats.org/officeDocument/2006/relationships/hyperlink" Target="https://www.reuters.com/article/us-argentina-politics-inauguration/argentinas-peronist-left-returns-as-fernandez-sworn-in-to-power-idUSKBN1YE12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prints.lse.ac.uk/102216/" TargetMode="External"/><Relationship Id="rId20" Type="http://schemas.openxmlformats.org/officeDocument/2006/relationships/hyperlink" Target="https://doi.org/10.1787/8ccf5c38-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lo.org/shinyapps/bulkexplorer30/?lang=en&amp;segment=indicator&amp;id=TRU_DEMP_SEX_AGE_RT_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brookings.edu/blog/future-development/2018/09/27/a-global-tipping-point-half-the-world-is-now-middle-class-or-wealthier/" TargetMode="External"/><Relationship Id="rId23" Type="http://schemas.openxmlformats.org/officeDocument/2006/relationships/footer" Target="footer1.xml"/><Relationship Id="rId10" Type="http://schemas.openxmlformats.org/officeDocument/2006/relationships/hyperlink" Target="http://journals.openedition.org/osb/1757" TargetMode="External"/><Relationship Id="rId19" Type="http://schemas.openxmlformats.org/officeDocument/2006/relationships/hyperlink" Target="https://doi.org/10.1787/f8d7880d-en" TargetMode="External"/><Relationship Id="rId4" Type="http://schemas.openxmlformats.org/officeDocument/2006/relationships/webSettings" Target="webSettings.xml"/><Relationship Id="rId9" Type="http://schemas.openxmlformats.org/officeDocument/2006/relationships/hyperlink" Target="https://publicintegrity.org/business/taxes/trumps-tax-cuts/the-secret-saga-of-trumps-tax-cuts/" TargetMode="External"/><Relationship Id="rId14" Type="http://schemas.openxmlformats.org/officeDocument/2006/relationships/hyperlink" Target="https://www.ifs.org.uk/election/2019/manifestos" TargetMode="External"/><Relationship Id="rId22" Type="http://schemas.openxmlformats.org/officeDocument/2006/relationships/hyperlink" Target="https://www.jstor.org/stable/j.ctv941qjd.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zoeirving/Downloads/ILO%20Data%20Explorer%20TRU%2020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Time-related</a:t>
            </a:r>
            <a:r>
              <a:rPr lang="en-GB" baseline="0"/>
              <a:t> Underemployment Rate (% of total employment)</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3">
                <a:tint val="58000"/>
              </a:schemeClr>
            </a:solidFill>
            <a:ln>
              <a:noFill/>
            </a:ln>
            <a:effectLst/>
          </c:spPr>
          <c:invertIfNegative val="0"/>
          <c:cat>
            <c:strRef>
              <c:f>Sheet2!$A$2:$D$43</c:f>
              <c:strCache>
                <c:ptCount val="29"/>
                <c:pt idx="0">
                  <c:v>Belgium</c:v>
                </c:pt>
                <c:pt idx="1">
                  <c:v>Bulgaria</c:v>
                </c:pt>
                <c:pt idx="2">
                  <c:v>United States</c:v>
                </c:pt>
                <c:pt idx="3">
                  <c:v>Netherlands</c:v>
                </c:pt>
                <c:pt idx="4">
                  <c:v>Slovakia</c:v>
                </c:pt>
                <c:pt idx="5">
                  <c:v>Hungary</c:v>
                </c:pt>
                <c:pt idx="6">
                  <c:v>Canada</c:v>
                </c:pt>
                <c:pt idx="7">
                  <c:v>Luxembourg</c:v>
                </c:pt>
                <c:pt idx="8">
                  <c:v>Portugal</c:v>
                </c:pt>
                <c:pt idx="9">
                  <c:v>Estonia</c:v>
                </c:pt>
                <c:pt idx="10">
                  <c:v>Poland</c:v>
                </c:pt>
                <c:pt idx="11">
                  <c:v>Romania</c:v>
                </c:pt>
                <c:pt idx="12">
                  <c:v>Croatia</c:v>
                </c:pt>
                <c:pt idx="13">
                  <c:v>Austria</c:v>
                </c:pt>
                <c:pt idx="14">
                  <c:v>Lithuania</c:v>
                </c:pt>
                <c:pt idx="15">
                  <c:v>Denmark</c:v>
                </c:pt>
                <c:pt idx="16">
                  <c:v>Greece</c:v>
                </c:pt>
                <c:pt idx="17">
                  <c:v>Italy</c:v>
                </c:pt>
                <c:pt idx="18">
                  <c:v>Finland</c:v>
                </c:pt>
                <c:pt idx="19">
                  <c:v>Sweden</c:v>
                </c:pt>
                <c:pt idx="20">
                  <c:v>Cyprus</c:v>
                </c:pt>
                <c:pt idx="21">
                  <c:v>Switzerland</c:v>
                </c:pt>
                <c:pt idx="22">
                  <c:v>Germany</c:v>
                </c:pt>
                <c:pt idx="23">
                  <c:v>United Kingdom</c:v>
                </c:pt>
                <c:pt idx="24">
                  <c:v>Spain</c:v>
                </c:pt>
                <c:pt idx="25">
                  <c:v>Australia</c:v>
                </c:pt>
                <c:pt idx="26">
                  <c:v>France</c:v>
                </c:pt>
                <c:pt idx="27">
                  <c:v>Ireland</c:v>
                </c:pt>
                <c:pt idx="28">
                  <c:v>Latvia</c:v>
                </c:pt>
              </c:strCache>
            </c:strRef>
          </c:cat>
          <c:val>
            <c:numRef>
              <c:f>Sheet2!$E$2:$E$43</c:f>
            </c:numRef>
          </c:val>
          <c:extLst>
            <c:ext xmlns:c16="http://schemas.microsoft.com/office/drawing/2014/chart" uri="{C3380CC4-5D6E-409C-BE32-E72D297353CC}">
              <c16:uniqueId val="{00000000-CCC0-1846-A7DA-FC01170FCDB2}"/>
            </c:ext>
          </c:extLst>
        </c:ser>
        <c:ser>
          <c:idx val="1"/>
          <c:order val="1"/>
          <c:tx>
            <c:v>2005</c:v>
          </c:tx>
          <c:spPr>
            <a:solidFill>
              <a:schemeClr val="accent3">
                <a:tint val="86000"/>
              </a:schemeClr>
            </a:solidFill>
            <a:ln>
              <a:noFill/>
            </a:ln>
            <a:effectLst/>
          </c:spPr>
          <c:invertIfNegative val="0"/>
          <c:cat>
            <c:strRef>
              <c:f>Sheet2!$A$2:$D$43</c:f>
              <c:strCache>
                <c:ptCount val="29"/>
                <c:pt idx="0">
                  <c:v>Belgium</c:v>
                </c:pt>
                <c:pt idx="1">
                  <c:v>Bulgaria</c:v>
                </c:pt>
                <c:pt idx="2">
                  <c:v>United States</c:v>
                </c:pt>
                <c:pt idx="3">
                  <c:v>Netherlands</c:v>
                </c:pt>
                <c:pt idx="4">
                  <c:v>Slovakia</c:v>
                </c:pt>
                <c:pt idx="5">
                  <c:v>Hungary</c:v>
                </c:pt>
                <c:pt idx="6">
                  <c:v>Canada</c:v>
                </c:pt>
                <c:pt idx="7">
                  <c:v>Luxembourg</c:v>
                </c:pt>
                <c:pt idx="8">
                  <c:v>Portugal</c:v>
                </c:pt>
                <c:pt idx="9">
                  <c:v>Estonia</c:v>
                </c:pt>
                <c:pt idx="10">
                  <c:v>Poland</c:v>
                </c:pt>
                <c:pt idx="11">
                  <c:v>Romania</c:v>
                </c:pt>
                <c:pt idx="12">
                  <c:v>Croatia</c:v>
                </c:pt>
                <c:pt idx="13">
                  <c:v>Austria</c:v>
                </c:pt>
                <c:pt idx="14">
                  <c:v>Lithuania</c:v>
                </c:pt>
                <c:pt idx="15">
                  <c:v>Denmark</c:v>
                </c:pt>
                <c:pt idx="16">
                  <c:v>Greece</c:v>
                </c:pt>
                <c:pt idx="17">
                  <c:v>Italy</c:v>
                </c:pt>
                <c:pt idx="18">
                  <c:v>Finland</c:v>
                </c:pt>
                <c:pt idx="19">
                  <c:v>Sweden</c:v>
                </c:pt>
                <c:pt idx="20">
                  <c:v>Cyprus</c:v>
                </c:pt>
                <c:pt idx="21">
                  <c:v>Switzerland</c:v>
                </c:pt>
                <c:pt idx="22">
                  <c:v>Germany</c:v>
                </c:pt>
                <c:pt idx="23">
                  <c:v>United Kingdom</c:v>
                </c:pt>
                <c:pt idx="24">
                  <c:v>Spain</c:v>
                </c:pt>
                <c:pt idx="25">
                  <c:v>Australia</c:v>
                </c:pt>
                <c:pt idx="26">
                  <c:v>France</c:v>
                </c:pt>
                <c:pt idx="27">
                  <c:v>Ireland</c:v>
                </c:pt>
                <c:pt idx="28">
                  <c:v>Latvia</c:v>
                </c:pt>
              </c:strCache>
            </c:strRef>
          </c:cat>
          <c:val>
            <c:numRef>
              <c:f>Sheet2!$F$2:$F$43</c:f>
              <c:numCache>
                <c:formatCode>General</c:formatCode>
                <c:ptCount val="29"/>
                <c:pt idx="0">
                  <c:v>1</c:v>
                </c:pt>
                <c:pt idx="1">
                  <c:v>0.3</c:v>
                </c:pt>
                <c:pt idx="2">
                  <c:v>0.9</c:v>
                </c:pt>
                <c:pt idx="3">
                  <c:v>1.5</c:v>
                </c:pt>
                <c:pt idx="4">
                  <c:v>0.2</c:v>
                </c:pt>
                <c:pt idx="5">
                  <c:v>0.1</c:v>
                </c:pt>
                <c:pt idx="6">
                  <c:v>1.4</c:v>
                </c:pt>
                <c:pt idx="7">
                  <c:v>0.9</c:v>
                </c:pt>
                <c:pt idx="8">
                  <c:v>1.7</c:v>
                </c:pt>
                <c:pt idx="9">
                  <c:v>1.8</c:v>
                </c:pt>
                <c:pt idx="10">
                  <c:v>3.7</c:v>
                </c:pt>
                <c:pt idx="11">
                  <c:v>3</c:v>
                </c:pt>
                <c:pt idx="12">
                  <c:v>2.5</c:v>
                </c:pt>
                <c:pt idx="13">
                  <c:v>3.1</c:v>
                </c:pt>
                <c:pt idx="14">
                  <c:v>3.3</c:v>
                </c:pt>
                <c:pt idx="15">
                  <c:v>0.3</c:v>
                </c:pt>
                <c:pt idx="16">
                  <c:v>1</c:v>
                </c:pt>
                <c:pt idx="17">
                  <c:v>1.8</c:v>
                </c:pt>
                <c:pt idx="18">
                  <c:v>3.7</c:v>
                </c:pt>
                <c:pt idx="19">
                  <c:v>4.4000000000000004</c:v>
                </c:pt>
                <c:pt idx="20">
                  <c:v>3.1</c:v>
                </c:pt>
                <c:pt idx="21" formatCode="0">
                  <c:v>5.0999999999999996</c:v>
                </c:pt>
                <c:pt idx="22">
                  <c:v>1.7</c:v>
                </c:pt>
                <c:pt idx="23">
                  <c:v>3.4</c:v>
                </c:pt>
                <c:pt idx="24">
                  <c:v>5.0999999999999996</c:v>
                </c:pt>
                <c:pt idx="25">
                  <c:v>7.2</c:v>
                </c:pt>
                <c:pt idx="26">
                  <c:v>7.3</c:v>
                </c:pt>
                <c:pt idx="27">
                  <c:v>2.1</c:v>
                </c:pt>
                <c:pt idx="28">
                  <c:v>0.8</c:v>
                </c:pt>
              </c:numCache>
            </c:numRef>
          </c:val>
          <c:extLst>
            <c:ext xmlns:c16="http://schemas.microsoft.com/office/drawing/2014/chart" uri="{C3380CC4-5D6E-409C-BE32-E72D297353CC}">
              <c16:uniqueId val="{00000001-CCC0-1846-A7DA-FC01170FCDB2}"/>
            </c:ext>
          </c:extLst>
        </c:ser>
        <c:ser>
          <c:idx val="2"/>
          <c:order val="2"/>
          <c:tx>
            <c:v>2010</c:v>
          </c:tx>
          <c:spPr>
            <a:solidFill>
              <a:schemeClr val="accent3">
                <a:shade val="86000"/>
              </a:schemeClr>
            </a:solidFill>
            <a:ln>
              <a:noFill/>
            </a:ln>
            <a:effectLst/>
          </c:spPr>
          <c:invertIfNegative val="0"/>
          <c:cat>
            <c:strRef>
              <c:f>Sheet2!$A$2:$D$43</c:f>
              <c:strCache>
                <c:ptCount val="29"/>
                <c:pt idx="0">
                  <c:v>Belgium</c:v>
                </c:pt>
                <c:pt idx="1">
                  <c:v>Bulgaria</c:v>
                </c:pt>
                <c:pt idx="2">
                  <c:v>United States</c:v>
                </c:pt>
                <c:pt idx="3">
                  <c:v>Netherlands</c:v>
                </c:pt>
                <c:pt idx="4">
                  <c:v>Slovakia</c:v>
                </c:pt>
                <c:pt idx="5">
                  <c:v>Hungary</c:v>
                </c:pt>
                <c:pt idx="6">
                  <c:v>Canada</c:v>
                </c:pt>
                <c:pt idx="7">
                  <c:v>Luxembourg</c:v>
                </c:pt>
                <c:pt idx="8">
                  <c:v>Portugal</c:v>
                </c:pt>
                <c:pt idx="9">
                  <c:v>Estonia</c:v>
                </c:pt>
                <c:pt idx="10">
                  <c:v>Poland</c:v>
                </c:pt>
                <c:pt idx="11">
                  <c:v>Romania</c:v>
                </c:pt>
                <c:pt idx="12">
                  <c:v>Croatia</c:v>
                </c:pt>
                <c:pt idx="13">
                  <c:v>Austria</c:v>
                </c:pt>
                <c:pt idx="14">
                  <c:v>Lithuania</c:v>
                </c:pt>
                <c:pt idx="15">
                  <c:v>Denmark</c:v>
                </c:pt>
                <c:pt idx="16">
                  <c:v>Greece</c:v>
                </c:pt>
                <c:pt idx="17">
                  <c:v>Italy</c:v>
                </c:pt>
                <c:pt idx="18">
                  <c:v>Finland</c:v>
                </c:pt>
                <c:pt idx="19">
                  <c:v>Sweden</c:v>
                </c:pt>
                <c:pt idx="20">
                  <c:v>Cyprus</c:v>
                </c:pt>
                <c:pt idx="21">
                  <c:v>Switzerland</c:v>
                </c:pt>
                <c:pt idx="22">
                  <c:v>Germany</c:v>
                </c:pt>
                <c:pt idx="23">
                  <c:v>United Kingdom</c:v>
                </c:pt>
                <c:pt idx="24">
                  <c:v>Spain</c:v>
                </c:pt>
                <c:pt idx="25">
                  <c:v>Australia</c:v>
                </c:pt>
                <c:pt idx="26">
                  <c:v>France</c:v>
                </c:pt>
                <c:pt idx="27">
                  <c:v>Ireland</c:v>
                </c:pt>
                <c:pt idx="28">
                  <c:v>Latvia</c:v>
                </c:pt>
              </c:strCache>
            </c:strRef>
          </c:cat>
          <c:val>
            <c:numRef>
              <c:f>Sheet2!$G$2:$G$43</c:f>
              <c:numCache>
                <c:formatCode>General</c:formatCode>
                <c:ptCount val="29"/>
                <c:pt idx="0">
                  <c:v>0.9</c:v>
                </c:pt>
                <c:pt idx="1">
                  <c:v>1.3</c:v>
                </c:pt>
                <c:pt idx="2">
                  <c:v>1.4</c:v>
                </c:pt>
                <c:pt idx="3">
                  <c:v>1.4</c:v>
                </c:pt>
                <c:pt idx="4">
                  <c:v>1.6</c:v>
                </c:pt>
                <c:pt idx="5">
                  <c:v>1.8</c:v>
                </c:pt>
                <c:pt idx="6">
                  <c:v>2</c:v>
                </c:pt>
                <c:pt idx="7">
                  <c:v>2.2000000000000002</c:v>
                </c:pt>
                <c:pt idx="8">
                  <c:v>2.2000000000000002</c:v>
                </c:pt>
                <c:pt idx="9">
                  <c:v>2.4</c:v>
                </c:pt>
                <c:pt idx="10">
                  <c:v>2.6</c:v>
                </c:pt>
                <c:pt idx="11">
                  <c:v>3</c:v>
                </c:pt>
                <c:pt idx="12">
                  <c:v>3.1</c:v>
                </c:pt>
                <c:pt idx="13">
                  <c:v>3.3</c:v>
                </c:pt>
                <c:pt idx="14">
                  <c:v>3.5</c:v>
                </c:pt>
                <c:pt idx="15">
                  <c:v>3.5</c:v>
                </c:pt>
                <c:pt idx="16">
                  <c:v>3.6</c:v>
                </c:pt>
                <c:pt idx="17">
                  <c:v>3.7</c:v>
                </c:pt>
                <c:pt idx="18">
                  <c:v>4.8</c:v>
                </c:pt>
                <c:pt idx="19">
                  <c:v>4.9000000000000004</c:v>
                </c:pt>
                <c:pt idx="20">
                  <c:v>4.9000000000000004</c:v>
                </c:pt>
                <c:pt idx="21">
                  <c:v>5.0999999999999996</c:v>
                </c:pt>
                <c:pt idx="22">
                  <c:v>6.7</c:v>
                </c:pt>
                <c:pt idx="23">
                  <c:v>7.2</c:v>
                </c:pt>
                <c:pt idx="24">
                  <c:v>7.5</c:v>
                </c:pt>
                <c:pt idx="25">
                  <c:v>7.6</c:v>
                </c:pt>
                <c:pt idx="26">
                  <c:v>7.9</c:v>
                </c:pt>
                <c:pt idx="27">
                  <c:v>8.3000000000000007</c:v>
                </c:pt>
                <c:pt idx="28">
                  <c:v>8.4</c:v>
                </c:pt>
              </c:numCache>
            </c:numRef>
          </c:val>
          <c:extLst>
            <c:ext xmlns:c16="http://schemas.microsoft.com/office/drawing/2014/chart" uri="{C3380CC4-5D6E-409C-BE32-E72D297353CC}">
              <c16:uniqueId val="{00000002-CCC0-1846-A7DA-FC01170FCDB2}"/>
            </c:ext>
          </c:extLst>
        </c:ser>
        <c:ser>
          <c:idx val="3"/>
          <c:order val="3"/>
          <c:tx>
            <c:v>2018</c:v>
          </c:tx>
          <c:spPr>
            <a:solidFill>
              <a:schemeClr val="accent3">
                <a:shade val="58000"/>
              </a:schemeClr>
            </a:solidFill>
            <a:ln>
              <a:noFill/>
            </a:ln>
            <a:effectLst/>
          </c:spPr>
          <c:invertIfNegative val="0"/>
          <c:cat>
            <c:strRef>
              <c:f>Sheet2!$A$2:$D$43</c:f>
              <c:strCache>
                <c:ptCount val="29"/>
                <c:pt idx="0">
                  <c:v>Belgium</c:v>
                </c:pt>
                <c:pt idx="1">
                  <c:v>Bulgaria</c:v>
                </c:pt>
                <c:pt idx="2">
                  <c:v>United States</c:v>
                </c:pt>
                <c:pt idx="3">
                  <c:v>Netherlands</c:v>
                </c:pt>
                <c:pt idx="4">
                  <c:v>Slovakia</c:v>
                </c:pt>
                <c:pt idx="5">
                  <c:v>Hungary</c:v>
                </c:pt>
                <c:pt idx="6">
                  <c:v>Canada</c:v>
                </c:pt>
                <c:pt idx="7">
                  <c:v>Luxembourg</c:v>
                </c:pt>
                <c:pt idx="8">
                  <c:v>Portugal</c:v>
                </c:pt>
                <c:pt idx="9">
                  <c:v>Estonia</c:v>
                </c:pt>
                <c:pt idx="10">
                  <c:v>Poland</c:v>
                </c:pt>
                <c:pt idx="11">
                  <c:v>Romania</c:v>
                </c:pt>
                <c:pt idx="12">
                  <c:v>Croatia</c:v>
                </c:pt>
                <c:pt idx="13">
                  <c:v>Austria</c:v>
                </c:pt>
                <c:pt idx="14">
                  <c:v>Lithuania</c:v>
                </c:pt>
                <c:pt idx="15">
                  <c:v>Denmark</c:v>
                </c:pt>
                <c:pt idx="16">
                  <c:v>Greece</c:v>
                </c:pt>
                <c:pt idx="17">
                  <c:v>Italy</c:v>
                </c:pt>
                <c:pt idx="18">
                  <c:v>Finland</c:v>
                </c:pt>
                <c:pt idx="19">
                  <c:v>Sweden</c:v>
                </c:pt>
                <c:pt idx="20">
                  <c:v>Cyprus</c:v>
                </c:pt>
                <c:pt idx="21">
                  <c:v>Switzerland</c:v>
                </c:pt>
                <c:pt idx="22">
                  <c:v>Germany</c:v>
                </c:pt>
                <c:pt idx="23">
                  <c:v>United Kingdom</c:v>
                </c:pt>
                <c:pt idx="24">
                  <c:v>Spain</c:v>
                </c:pt>
                <c:pt idx="25">
                  <c:v>Australia</c:v>
                </c:pt>
                <c:pt idx="26">
                  <c:v>France</c:v>
                </c:pt>
                <c:pt idx="27">
                  <c:v>Ireland</c:v>
                </c:pt>
                <c:pt idx="28">
                  <c:v>Latvia</c:v>
                </c:pt>
              </c:strCache>
            </c:strRef>
          </c:cat>
          <c:val>
            <c:numRef>
              <c:f>Sheet2!$H$2:$H$43</c:f>
              <c:numCache>
                <c:formatCode>General</c:formatCode>
                <c:ptCount val="29"/>
                <c:pt idx="0">
                  <c:v>4.5</c:v>
                </c:pt>
                <c:pt idx="1">
                  <c:v>0.6</c:v>
                </c:pt>
                <c:pt idx="2">
                  <c:v>0.7</c:v>
                </c:pt>
                <c:pt idx="3">
                  <c:v>4.0999999999999996</c:v>
                </c:pt>
                <c:pt idx="4">
                  <c:v>1.8</c:v>
                </c:pt>
                <c:pt idx="5">
                  <c:v>0.9</c:v>
                </c:pt>
                <c:pt idx="6">
                  <c:v>1.6</c:v>
                </c:pt>
                <c:pt idx="7">
                  <c:v>2.1</c:v>
                </c:pt>
                <c:pt idx="8">
                  <c:v>6.3</c:v>
                </c:pt>
                <c:pt idx="9">
                  <c:v>1.3</c:v>
                </c:pt>
                <c:pt idx="10">
                  <c:v>1.9</c:v>
                </c:pt>
                <c:pt idx="11">
                  <c:v>2.5</c:v>
                </c:pt>
                <c:pt idx="12">
                  <c:v>2.2999999999999998</c:v>
                </c:pt>
                <c:pt idx="13">
                  <c:v>3.6</c:v>
                </c:pt>
                <c:pt idx="14">
                  <c:v>1.1000000000000001</c:v>
                </c:pt>
                <c:pt idx="15">
                  <c:v>3.2</c:v>
                </c:pt>
                <c:pt idx="16">
                  <c:v>7.4</c:v>
                </c:pt>
                <c:pt idx="17">
                  <c:v>3.6</c:v>
                </c:pt>
                <c:pt idx="18">
                  <c:v>5.5</c:v>
                </c:pt>
                <c:pt idx="19">
                  <c:v>3</c:v>
                </c:pt>
                <c:pt idx="20">
                  <c:v>7.5</c:v>
                </c:pt>
                <c:pt idx="21" formatCode="0">
                  <c:v>6</c:v>
                </c:pt>
                <c:pt idx="22">
                  <c:v>3.3</c:v>
                </c:pt>
                <c:pt idx="23">
                  <c:v>5.4</c:v>
                </c:pt>
                <c:pt idx="24">
                  <c:v>7.3</c:v>
                </c:pt>
                <c:pt idx="25">
                  <c:v>8.8000000000000007</c:v>
                </c:pt>
                <c:pt idx="26">
                  <c:v>8.3000000000000007</c:v>
                </c:pt>
                <c:pt idx="27">
                  <c:v>6.7</c:v>
                </c:pt>
                <c:pt idx="28">
                  <c:v>3.3</c:v>
                </c:pt>
              </c:numCache>
            </c:numRef>
          </c:val>
          <c:extLst>
            <c:ext xmlns:c16="http://schemas.microsoft.com/office/drawing/2014/chart" uri="{C3380CC4-5D6E-409C-BE32-E72D297353CC}">
              <c16:uniqueId val="{00000003-CCC0-1846-A7DA-FC01170FCDB2}"/>
            </c:ext>
          </c:extLst>
        </c:ser>
        <c:dLbls>
          <c:showLegendKey val="0"/>
          <c:showVal val="0"/>
          <c:showCatName val="0"/>
          <c:showSerName val="0"/>
          <c:showPercent val="0"/>
          <c:showBubbleSize val="0"/>
        </c:dLbls>
        <c:gapWidth val="219"/>
        <c:overlap val="-27"/>
        <c:axId val="554621888"/>
        <c:axId val="539282448"/>
      </c:barChart>
      <c:catAx>
        <c:axId val="55462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9282448"/>
        <c:crosses val="autoZero"/>
        <c:auto val="1"/>
        <c:lblAlgn val="ctr"/>
        <c:lblOffset val="100"/>
        <c:noMultiLvlLbl val="0"/>
      </c:catAx>
      <c:valAx>
        <c:axId val="539282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of Total Employment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6218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13</Pages>
  <Words>7474</Words>
  <Characters>43130</Characters>
  <Application>Microsoft Office Word</Application>
  <DocSecurity>0</DocSecurity>
  <Lines>653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Irving</dc:creator>
  <cp:keywords/>
  <dc:description/>
  <cp:lastModifiedBy>Zoe Irving</cp:lastModifiedBy>
  <cp:revision>8</cp:revision>
  <cp:lastPrinted>2020-04-08T11:37:00Z</cp:lastPrinted>
  <dcterms:created xsi:type="dcterms:W3CDTF">2020-08-07T13:34:00Z</dcterms:created>
  <dcterms:modified xsi:type="dcterms:W3CDTF">2020-08-14T16:30:00Z</dcterms:modified>
</cp:coreProperties>
</file>