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397" w:rsidRPr="00CA0397" w:rsidRDefault="00CA0397" w:rsidP="00CA0397">
      <w:pPr>
        <w:keepNext/>
        <w:keepLines/>
        <w:spacing w:before="480" w:after="0" w:line="276" w:lineRule="auto"/>
        <w:jc w:val="center"/>
        <w:outlineLvl w:val="0"/>
        <w:rPr>
          <w:rFonts w:ascii="Cambria" w:eastAsia="MS Gothic" w:hAnsi="Cambria" w:cs="Times New Roman"/>
          <w:b/>
          <w:bCs/>
          <w:sz w:val="28"/>
          <w:szCs w:val="28"/>
        </w:rPr>
      </w:pPr>
    </w:p>
    <w:p w:rsidR="00CA0397" w:rsidRPr="00CA0397" w:rsidRDefault="00CA0397" w:rsidP="00CA0397">
      <w:pPr>
        <w:keepNext/>
        <w:keepLines/>
        <w:spacing w:before="480" w:after="0" w:line="276" w:lineRule="auto"/>
        <w:jc w:val="center"/>
        <w:outlineLvl w:val="0"/>
        <w:rPr>
          <w:rFonts w:ascii="Cambria" w:eastAsia="MS Gothic" w:hAnsi="Cambria" w:cs="Times New Roman"/>
          <w:b/>
          <w:bCs/>
          <w:sz w:val="28"/>
          <w:szCs w:val="28"/>
        </w:rPr>
      </w:pPr>
    </w:p>
    <w:p w:rsidR="00CA0397" w:rsidRPr="00CA0397" w:rsidRDefault="00CA0397" w:rsidP="00CA0397">
      <w:pPr>
        <w:keepNext/>
        <w:keepLines/>
        <w:spacing w:before="480" w:after="0" w:line="276" w:lineRule="auto"/>
        <w:jc w:val="center"/>
        <w:outlineLvl w:val="0"/>
        <w:rPr>
          <w:rFonts w:ascii="Calibri" w:eastAsia="MS Gothic" w:hAnsi="Calibri" w:cs="Times New Roman"/>
          <w:b/>
          <w:bCs/>
          <w:sz w:val="28"/>
          <w:szCs w:val="28"/>
        </w:rPr>
      </w:pPr>
      <w:r w:rsidRPr="00CA0397">
        <w:rPr>
          <w:rFonts w:ascii="Calibri" w:eastAsia="MS Gothic" w:hAnsi="Calibri" w:cs="Times New Roman"/>
          <w:b/>
          <w:bCs/>
          <w:sz w:val="28"/>
          <w:szCs w:val="28"/>
        </w:rPr>
        <w:t>PERFORMANCE-BASED RISK SHARING AGREEMENTS IN RENAL CARE: CURRENT EXPERIENCE AND FUTURE PROSPECTS</w:t>
      </w:r>
    </w:p>
    <w:p w:rsidR="00CA0397" w:rsidRPr="00CA0397" w:rsidRDefault="00CA0397" w:rsidP="00CA0397">
      <w:pPr>
        <w:spacing w:after="200" w:line="276" w:lineRule="auto"/>
        <w:rPr>
          <w:rFonts w:ascii="Calibri" w:eastAsia="Cambria" w:hAnsi="Calibri" w:cs="Times New Roman"/>
        </w:rPr>
      </w:pPr>
    </w:p>
    <w:p w:rsidR="00CA0397" w:rsidRPr="00CA0397" w:rsidRDefault="00CA0397" w:rsidP="00CA0397">
      <w:pPr>
        <w:spacing w:after="200" w:line="276" w:lineRule="auto"/>
        <w:rPr>
          <w:rFonts w:ascii="Calibri" w:eastAsia="Cambria" w:hAnsi="Calibri" w:cs="Times New Roman"/>
        </w:rPr>
      </w:pPr>
    </w:p>
    <w:p w:rsidR="00CA0397" w:rsidRPr="00CA0397" w:rsidRDefault="00CA0397" w:rsidP="00CA0397">
      <w:pPr>
        <w:spacing w:after="200" w:line="240" w:lineRule="auto"/>
        <w:jc w:val="center"/>
        <w:rPr>
          <w:rFonts w:ascii="Calibri" w:eastAsia="Cambria" w:hAnsi="Calibri" w:cs="Times New Roman"/>
          <w:b/>
          <w:sz w:val="24"/>
          <w:szCs w:val="24"/>
          <w:vertAlign w:val="superscript"/>
        </w:rPr>
      </w:pPr>
      <w:r w:rsidRPr="00CA0397">
        <w:rPr>
          <w:rFonts w:ascii="Calibri" w:eastAsia="Cambria" w:hAnsi="Calibri" w:cs="Times New Roman"/>
          <w:b/>
          <w:sz w:val="24"/>
          <w:szCs w:val="24"/>
        </w:rPr>
        <w:t>Michael Drummond</w:t>
      </w:r>
      <w:r w:rsidRPr="00CA0397">
        <w:rPr>
          <w:rFonts w:ascii="Calibri" w:eastAsia="Cambria" w:hAnsi="Calibri" w:cs="Times New Roman"/>
          <w:b/>
          <w:sz w:val="24"/>
          <w:szCs w:val="24"/>
          <w:vertAlign w:val="superscript"/>
        </w:rPr>
        <w:t>1,2</w:t>
      </w:r>
    </w:p>
    <w:p w:rsidR="00CA0397" w:rsidRPr="00CA0397" w:rsidRDefault="00CA0397" w:rsidP="00CA0397">
      <w:pPr>
        <w:spacing w:after="200" w:line="240" w:lineRule="auto"/>
        <w:jc w:val="center"/>
        <w:rPr>
          <w:rFonts w:ascii="Calibri" w:eastAsia="Cambria" w:hAnsi="Calibri" w:cs="Times New Roman"/>
          <w:b/>
          <w:sz w:val="24"/>
          <w:szCs w:val="24"/>
          <w:vertAlign w:val="superscript"/>
        </w:rPr>
      </w:pPr>
      <w:r w:rsidRPr="00CA0397">
        <w:rPr>
          <w:rFonts w:ascii="Calibri" w:eastAsia="Cambria" w:hAnsi="Calibri" w:cs="Times New Roman"/>
          <w:b/>
          <w:sz w:val="24"/>
          <w:szCs w:val="24"/>
        </w:rPr>
        <w:t>Carlo Federici</w:t>
      </w:r>
      <w:r w:rsidRPr="00CA0397">
        <w:rPr>
          <w:rFonts w:ascii="Calibri" w:eastAsia="Cambria" w:hAnsi="Calibri" w:cs="Times New Roman"/>
          <w:b/>
          <w:sz w:val="24"/>
          <w:szCs w:val="24"/>
          <w:vertAlign w:val="superscript"/>
        </w:rPr>
        <w:t>2</w:t>
      </w:r>
    </w:p>
    <w:p w:rsidR="00CA0397" w:rsidRPr="00CA0397" w:rsidRDefault="00CA0397" w:rsidP="00CA0397">
      <w:pPr>
        <w:spacing w:after="200" w:line="240" w:lineRule="auto"/>
        <w:jc w:val="center"/>
        <w:rPr>
          <w:rFonts w:ascii="Calibri" w:eastAsia="Cambria" w:hAnsi="Calibri" w:cs="Times New Roman"/>
          <w:b/>
          <w:sz w:val="24"/>
          <w:szCs w:val="24"/>
          <w:vertAlign w:val="superscript"/>
        </w:rPr>
      </w:pPr>
      <w:r w:rsidRPr="00CA0397">
        <w:rPr>
          <w:rFonts w:ascii="Calibri" w:eastAsia="Cambria" w:hAnsi="Calibri" w:cs="Times New Roman"/>
          <w:b/>
          <w:sz w:val="24"/>
          <w:szCs w:val="24"/>
        </w:rPr>
        <w:t>Ellen Busink</w:t>
      </w:r>
      <w:r w:rsidRPr="00CA0397">
        <w:rPr>
          <w:rFonts w:ascii="Calibri" w:eastAsia="Cambria" w:hAnsi="Calibri" w:cs="Times New Roman"/>
          <w:b/>
          <w:sz w:val="24"/>
          <w:szCs w:val="24"/>
          <w:vertAlign w:val="superscript"/>
        </w:rPr>
        <w:t>3</w:t>
      </w:r>
    </w:p>
    <w:p w:rsidR="00CA0397" w:rsidRPr="00CA0397" w:rsidRDefault="00CA0397" w:rsidP="00CA0397">
      <w:pPr>
        <w:spacing w:after="200" w:line="240" w:lineRule="auto"/>
        <w:jc w:val="center"/>
        <w:rPr>
          <w:rFonts w:ascii="Calibri" w:eastAsia="Cambria" w:hAnsi="Calibri" w:cs="Times New Roman"/>
          <w:b/>
          <w:sz w:val="24"/>
          <w:szCs w:val="24"/>
          <w:vertAlign w:val="superscript"/>
        </w:rPr>
      </w:pPr>
      <w:r w:rsidRPr="00CA0397">
        <w:rPr>
          <w:rFonts w:ascii="Calibri" w:eastAsia="Cambria" w:hAnsi="Calibri" w:cs="Times New Roman"/>
          <w:b/>
          <w:sz w:val="24"/>
          <w:szCs w:val="24"/>
        </w:rPr>
        <w:t>Christian Apel</w:t>
      </w:r>
      <w:r w:rsidRPr="00CA0397">
        <w:rPr>
          <w:rFonts w:ascii="Calibri" w:eastAsia="Cambria" w:hAnsi="Calibri" w:cs="Times New Roman"/>
          <w:b/>
          <w:sz w:val="24"/>
          <w:szCs w:val="24"/>
          <w:vertAlign w:val="superscript"/>
        </w:rPr>
        <w:t>3</w:t>
      </w:r>
    </w:p>
    <w:p w:rsidR="00CA0397" w:rsidRPr="00CA0397" w:rsidRDefault="00CA0397" w:rsidP="00CA0397">
      <w:pPr>
        <w:spacing w:after="200" w:line="240" w:lineRule="auto"/>
        <w:jc w:val="center"/>
        <w:rPr>
          <w:rFonts w:ascii="Calibri" w:eastAsia="Cambria" w:hAnsi="Calibri" w:cs="Times New Roman"/>
          <w:b/>
          <w:sz w:val="24"/>
          <w:szCs w:val="24"/>
          <w:vertAlign w:val="superscript"/>
        </w:rPr>
      </w:pPr>
      <w:r w:rsidRPr="00CA0397">
        <w:rPr>
          <w:rFonts w:ascii="Calibri" w:eastAsia="Cambria" w:hAnsi="Calibri" w:cs="Times New Roman"/>
          <w:b/>
          <w:sz w:val="24"/>
          <w:szCs w:val="24"/>
        </w:rPr>
        <w:t>Dana Kendzia</w:t>
      </w:r>
      <w:r w:rsidRPr="00CA0397">
        <w:rPr>
          <w:rFonts w:ascii="Calibri" w:eastAsia="Cambria" w:hAnsi="Calibri" w:cs="Times New Roman"/>
          <w:b/>
          <w:sz w:val="24"/>
          <w:szCs w:val="24"/>
          <w:vertAlign w:val="superscript"/>
        </w:rPr>
        <w:t>3</w:t>
      </w:r>
    </w:p>
    <w:p w:rsidR="00CA0397" w:rsidRPr="00CA0397" w:rsidRDefault="00CA0397" w:rsidP="00CA0397">
      <w:pPr>
        <w:spacing w:after="200" w:line="240" w:lineRule="auto"/>
        <w:jc w:val="center"/>
        <w:rPr>
          <w:rFonts w:ascii="Calibri" w:eastAsia="Cambria" w:hAnsi="Calibri" w:cs="Times New Roman"/>
          <w:b/>
          <w:sz w:val="24"/>
          <w:szCs w:val="24"/>
        </w:rPr>
      </w:pPr>
      <w:r w:rsidRPr="00CA0397">
        <w:rPr>
          <w:rFonts w:ascii="Calibri" w:eastAsia="Cambria" w:hAnsi="Calibri" w:cs="Times New Roman"/>
          <w:b/>
          <w:sz w:val="24"/>
          <w:szCs w:val="24"/>
        </w:rPr>
        <w:t>Werner Brouwer</w:t>
      </w:r>
      <w:r w:rsidRPr="00CA0397">
        <w:rPr>
          <w:rFonts w:ascii="Calibri" w:eastAsia="Cambria" w:hAnsi="Calibri" w:cs="Times New Roman"/>
          <w:b/>
          <w:sz w:val="24"/>
          <w:szCs w:val="24"/>
          <w:vertAlign w:val="superscript"/>
        </w:rPr>
        <w:t>4</w:t>
      </w:r>
    </w:p>
    <w:p w:rsidR="00CA0397" w:rsidRPr="00CA0397" w:rsidRDefault="00CA0397" w:rsidP="00CA0397">
      <w:pPr>
        <w:spacing w:after="200" w:line="240" w:lineRule="auto"/>
        <w:jc w:val="center"/>
        <w:rPr>
          <w:rFonts w:ascii="Calibri" w:eastAsia="Cambria" w:hAnsi="Calibri" w:cs="Times New Roman"/>
          <w:sz w:val="24"/>
          <w:szCs w:val="24"/>
          <w:vertAlign w:val="superscript"/>
        </w:rPr>
      </w:pPr>
    </w:p>
    <w:p w:rsidR="00CA0397" w:rsidRPr="00CA0397" w:rsidRDefault="00CA0397" w:rsidP="00CA0397">
      <w:pPr>
        <w:spacing w:after="200" w:line="240" w:lineRule="auto"/>
        <w:jc w:val="center"/>
        <w:rPr>
          <w:rFonts w:ascii="Calibri" w:eastAsia="Cambria" w:hAnsi="Calibri" w:cs="Times New Roman"/>
          <w:vertAlign w:val="superscript"/>
        </w:rPr>
      </w:pPr>
    </w:p>
    <w:p w:rsidR="00CA0397" w:rsidRPr="00CA0397" w:rsidRDefault="00CA0397" w:rsidP="00CA0397">
      <w:pPr>
        <w:spacing w:after="200" w:line="240" w:lineRule="auto"/>
        <w:jc w:val="center"/>
        <w:rPr>
          <w:rFonts w:ascii="Calibri" w:eastAsia="Cambria" w:hAnsi="Calibri" w:cs="Times New Roman"/>
          <w:vertAlign w:val="superscript"/>
        </w:rPr>
      </w:pPr>
    </w:p>
    <w:p w:rsidR="00CA0397" w:rsidRPr="00CA0397" w:rsidRDefault="00CA0397" w:rsidP="00CA0397">
      <w:pPr>
        <w:spacing w:after="200" w:line="240" w:lineRule="auto"/>
        <w:jc w:val="center"/>
        <w:rPr>
          <w:rFonts w:ascii="Calibri" w:eastAsia="Cambria" w:hAnsi="Calibri" w:cs="Times New Roman"/>
          <w:vertAlign w:val="superscript"/>
        </w:rPr>
      </w:pPr>
    </w:p>
    <w:p w:rsidR="00CA0397" w:rsidRPr="00CA0397" w:rsidRDefault="00CA0397" w:rsidP="00CA0397">
      <w:pPr>
        <w:spacing w:after="200" w:line="240" w:lineRule="auto"/>
        <w:rPr>
          <w:rFonts w:ascii="Calibri" w:eastAsia="Cambria" w:hAnsi="Calibri" w:cs="Times New Roman"/>
        </w:rPr>
      </w:pPr>
    </w:p>
    <w:p w:rsidR="00CA0397" w:rsidRPr="00CA0397" w:rsidRDefault="00CA0397" w:rsidP="00CA0397">
      <w:pPr>
        <w:spacing w:after="200" w:line="240" w:lineRule="auto"/>
        <w:rPr>
          <w:rFonts w:ascii="Calibri" w:eastAsia="Cambria" w:hAnsi="Calibri" w:cs="Times New Roman"/>
        </w:rPr>
      </w:pPr>
      <w:r w:rsidRPr="00CA0397">
        <w:rPr>
          <w:rFonts w:ascii="Calibri" w:eastAsia="Cambria" w:hAnsi="Calibri" w:cs="Times New Roman"/>
        </w:rPr>
        <w:t>1.</w:t>
      </w:r>
      <w:r w:rsidRPr="00CA0397">
        <w:rPr>
          <w:rFonts w:ascii="Calibri" w:eastAsia="Cambria" w:hAnsi="Calibri" w:cs="Times New Roman"/>
          <w:vertAlign w:val="superscript"/>
        </w:rPr>
        <w:t xml:space="preserve">  </w:t>
      </w:r>
      <w:r w:rsidRPr="00CA0397">
        <w:rPr>
          <w:rFonts w:ascii="Calibri" w:eastAsia="Cambria" w:hAnsi="Calibri" w:cs="Times New Roman"/>
        </w:rPr>
        <w:t>University of York, York, UK</w:t>
      </w:r>
    </w:p>
    <w:p w:rsidR="00CA0397" w:rsidRPr="00CA0397" w:rsidRDefault="00CA0397" w:rsidP="00CA0397">
      <w:pPr>
        <w:spacing w:after="200" w:line="240" w:lineRule="auto"/>
        <w:rPr>
          <w:rFonts w:ascii="Calibri" w:eastAsia="Cambria" w:hAnsi="Calibri" w:cs="Times New Roman"/>
        </w:rPr>
      </w:pPr>
      <w:r w:rsidRPr="00CA0397">
        <w:rPr>
          <w:rFonts w:ascii="Calibri" w:eastAsia="Cambria" w:hAnsi="Calibri" w:cs="Times New Roman"/>
        </w:rPr>
        <w:t>2. Bocconi University, Milan, Italy</w:t>
      </w:r>
    </w:p>
    <w:p w:rsidR="00CA0397" w:rsidRPr="00CA0397" w:rsidRDefault="00CA0397" w:rsidP="00CA0397">
      <w:pPr>
        <w:spacing w:after="200" w:line="240" w:lineRule="auto"/>
        <w:rPr>
          <w:rFonts w:ascii="Calibri" w:eastAsia="Cambria" w:hAnsi="Calibri" w:cs="Times New Roman"/>
        </w:rPr>
      </w:pPr>
      <w:r w:rsidRPr="00CA0397">
        <w:rPr>
          <w:rFonts w:ascii="Calibri" w:eastAsia="Cambria" w:hAnsi="Calibri" w:cs="Times New Roman"/>
        </w:rPr>
        <w:t>3. Fresenius Medical Care, Bad Homburg, Germany</w:t>
      </w:r>
    </w:p>
    <w:p w:rsidR="00CA0397" w:rsidRPr="00CA0397" w:rsidRDefault="00CA0397" w:rsidP="00CA0397">
      <w:pPr>
        <w:spacing w:after="200" w:line="240" w:lineRule="auto"/>
        <w:rPr>
          <w:rFonts w:ascii="Calibri" w:eastAsia="Cambria" w:hAnsi="Calibri" w:cs="Times New Roman"/>
        </w:rPr>
      </w:pPr>
      <w:r w:rsidRPr="00CA0397">
        <w:rPr>
          <w:rFonts w:ascii="Calibri" w:eastAsia="Cambria" w:hAnsi="Calibri" w:cs="Times New Roman"/>
        </w:rPr>
        <w:t>4. Erasmus University, Rotterdam, The Netherlands</w:t>
      </w:r>
    </w:p>
    <w:p w:rsidR="00CA0397" w:rsidRPr="00CA0397" w:rsidRDefault="00CA0397" w:rsidP="00CA0397">
      <w:pPr>
        <w:spacing w:after="200" w:line="240" w:lineRule="auto"/>
        <w:rPr>
          <w:rFonts w:ascii="Calibri" w:eastAsia="Cambria" w:hAnsi="Calibri" w:cs="Times New Roman"/>
        </w:rPr>
      </w:pPr>
    </w:p>
    <w:p w:rsidR="00CA0397" w:rsidRPr="00CA0397" w:rsidRDefault="00CA0397" w:rsidP="00CA0397">
      <w:pPr>
        <w:spacing w:after="200" w:line="276" w:lineRule="auto"/>
        <w:jc w:val="center"/>
        <w:rPr>
          <w:rFonts w:ascii="Calibri" w:eastAsia="Cambria" w:hAnsi="Calibri" w:cs="Times New Roman"/>
        </w:rPr>
      </w:pPr>
    </w:p>
    <w:p w:rsidR="00CA0397" w:rsidRPr="00CA0397" w:rsidRDefault="00CA0397" w:rsidP="00CA0397">
      <w:pPr>
        <w:spacing w:after="200" w:line="276" w:lineRule="auto"/>
        <w:rPr>
          <w:rFonts w:ascii="Calibri" w:eastAsia="Cambria" w:hAnsi="Calibri" w:cs="Times New Roman"/>
        </w:rPr>
      </w:pPr>
      <w:r w:rsidRPr="00CA0397">
        <w:rPr>
          <w:rFonts w:ascii="Calibri" w:eastAsia="Cambria" w:hAnsi="Calibri" w:cs="Times New Roman"/>
        </w:rPr>
        <w:t xml:space="preserve">Correspondence to: Professor Michael Drummond, Centre for Health Economics, University of York, </w:t>
      </w:r>
      <w:proofErr w:type="spellStart"/>
      <w:r w:rsidRPr="00CA0397">
        <w:rPr>
          <w:rFonts w:ascii="Calibri" w:eastAsia="Cambria" w:hAnsi="Calibri" w:cs="Times New Roman"/>
        </w:rPr>
        <w:t>Heslington</w:t>
      </w:r>
      <w:proofErr w:type="spellEnd"/>
      <w:r w:rsidRPr="00CA0397">
        <w:rPr>
          <w:rFonts w:ascii="Calibri" w:eastAsia="Cambria" w:hAnsi="Calibri" w:cs="Times New Roman"/>
        </w:rPr>
        <w:t>, York, YO10 5DD, United Kingdom.</w:t>
      </w:r>
    </w:p>
    <w:p w:rsidR="00CA0397" w:rsidRPr="00CA0397" w:rsidRDefault="00CA0397" w:rsidP="00CA0397">
      <w:pPr>
        <w:spacing w:after="200" w:line="276" w:lineRule="auto"/>
        <w:rPr>
          <w:rFonts w:ascii="Calibri" w:eastAsia="Cambria" w:hAnsi="Calibri" w:cs="Times New Roman"/>
        </w:rPr>
      </w:pPr>
      <w:r w:rsidRPr="00CA0397">
        <w:rPr>
          <w:rFonts w:ascii="Calibri" w:eastAsia="Cambria" w:hAnsi="Calibri" w:cs="Times New Roman"/>
        </w:rPr>
        <w:lastRenderedPageBreak/>
        <w:t>Email: mike.drummond@york.ac.uk</w:t>
      </w:r>
    </w:p>
    <w:p w:rsidR="00CA0397" w:rsidRPr="00CA0397" w:rsidRDefault="00CA0397" w:rsidP="00CA0397">
      <w:pPr>
        <w:spacing w:after="200" w:line="276" w:lineRule="auto"/>
        <w:rPr>
          <w:rFonts w:ascii="Cambria" w:eastAsia="Cambria" w:hAnsi="Cambria" w:cs="Times New Roman"/>
        </w:rPr>
      </w:pPr>
    </w:p>
    <w:p w:rsidR="00CA0397" w:rsidRPr="00CA0397" w:rsidRDefault="00CA0397" w:rsidP="00CA0397">
      <w:pPr>
        <w:tabs>
          <w:tab w:val="left" w:pos="3811"/>
        </w:tabs>
        <w:spacing w:after="200" w:line="276" w:lineRule="auto"/>
        <w:rPr>
          <w:rFonts w:ascii="Calibri" w:eastAsia="Calibri" w:hAnsi="Calibri" w:cs="Arial"/>
        </w:rPr>
      </w:pPr>
      <w:r w:rsidRPr="00CA0397">
        <w:rPr>
          <w:rFonts w:ascii="Calibri" w:eastAsia="Calibri" w:hAnsi="Calibri" w:cs="Arial"/>
        </w:rPr>
        <w:tab/>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keepNext/>
        <w:keepLines/>
        <w:spacing w:before="480" w:after="0" w:line="276" w:lineRule="auto"/>
        <w:jc w:val="center"/>
        <w:outlineLvl w:val="0"/>
        <w:rPr>
          <w:rFonts w:ascii="Calibri" w:eastAsia="Times New Roman" w:hAnsi="Calibri" w:cs="Times New Roman"/>
          <w:b/>
          <w:bCs/>
          <w:sz w:val="28"/>
          <w:szCs w:val="28"/>
        </w:rPr>
      </w:pPr>
      <w:r w:rsidRPr="00CA0397">
        <w:rPr>
          <w:rFonts w:ascii="Calibri" w:eastAsia="Times New Roman" w:hAnsi="Calibri" w:cs="Times New Roman"/>
          <w:b/>
          <w:bCs/>
          <w:sz w:val="28"/>
          <w:szCs w:val="28"/>
        </w:rPr>
        <w:t>PERFORMANCE-BASED RISK-SHARING AGREEMENTS IN RENAL CARE: CURRENT EXPERIENCE AND FUTURE PROSPECTS</w:t>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b/>
        </w:rPr>
      </w:pPr>
    </w:p>
    <w:p w:rsidR="00CA0397" w:rsidRPr="00CA0397" w:rsidRDefault="00CA0397" w:rsidP="00CA0397">
      <w:pPr>
        <w:spacing w:after="200" w:line="240" w:lineRule="auto"/>
        <w:jc w:val="center"/>
        <w:rPr>
          <w:rFonts w:ascii="Calibri" w:eastAsia="Calibri" w:hAnsi="Calibri" w:cs="Arial"/>
          <w:b/>
        </w:rPr>
      </w:pPr>
    </w:p>
    <w:p w:rsidR="00CA0397" w:rsidRPr="00CA0397" w:rsidRDefault="00CA0397" w:rsidP="00CA0397">
      <w:pPr>
        <w:spacing w:after="200" w:line="240" w:lineRule="auto"/>
        <w:jc w:val="center"/>
        <w:rPr>
          <w:rFonts w:ascii="Calibri" w:eastAsia="Calibri" w:hAnsi="Calibri" w:cs="Arial"/>
          <w:b/>
        </w:rPr>
      </w:pPr>
    </w:p>
    <w:p w:rsidR="00CA0397" w:rsidRPr="00CA0397" w:rsidRDefault="00CA0397" w:rsidP="00CA0397">
      <w:pPr>
        <w:spacing w:after="200" w:line="240" w:lineRule="auto"/>
        <w:jc w:val="center"/>
        <w:rPr>
          <w:rFonts w:ascii="Calibri" w:eastAsia="Calibri" w:hAnsi="Calibri" w:cs="Arial"/>
          <w:b/>
        </w:rPr>
      </w:pPr>
    </w:p>
    <w:p w:rsidR="00CA0397" w:rsidRPr="00CA0397" w:rsidRDefault="00CA0397" w:rsidP="00CA0397">
      <w:pPr>
        <w:spacing w:after="200" w:line="240" w:lineRule="auto"/>
        <w:jc w:val="center"/>
        <w:rPr>
          <w:rFonts w:ascii="Calibri" w:eastAsia="Calibri" w:hAnsi="Calibri" w:cs="Arial"/>
          <w:b/>
        </w:rPr>
      </w:pPr>
    </w:p>
    <w:p w:rsidR="00CA0397" w:rsidRPr="00CA0397" w:rsidRDefault="00CA0397" w:rsidP="00CA0397">
      <w:pPr>
        <w:spacing w:after="200" w:line="240" w:lineRule="auto"/>
        <w:jc w:val="center"/>
        <w:rPr>
          <w:rFonts w:ascii="Calibri" w:eastAsia="Calibri" w:hAnsi="Calibri" w:cs="Arial"/>
          <w:sz w:val="24"/>
          <w:szCs w:val="24"/>
          <w:vertAlign w:val="superscript"/>
        </w:rPr>
      </w:pPr>
    </w:p>
    <w:p w:rsidR="00CA0397" w:rsidRPr="00CA0397" w:rsidRDefault="00CA0397" w:rsidP="00CA0397">
      <w:pPr>
        <w:spacing w:after="200" w:line="240" w:lineRule="auto"/>
        <w:jc w:val="center"/>
        <w:rPr>
          <w:rFonts w:ascii="Calibri" w:eastAsia="Calibri" w:hAnsi="Calibri" w:cs="Arial"/>
          <w:vertAlign w:val="superscript"/>
        </w:rPr>
      </w:pPr>
    </w:p>
    <w:p w:rsidR="00CA0397" w:rsidRPr="00CA0397" w:rsidRDefault="00CA0397" w:rsidP="00CA0397">
      <w:pPr>
        <w:spacing w:after="200" w:line="240" w:lineRule="auto"/>
        <w:jc w:val="center"/>
        <w:rPr>
          <w:rFonts w:ascii="Calibri" w:eastAsia="Calibri" w:hAnsi="Calibri" w:cs="Arial"/>
          <w:vertAlign w:val="superscript"/>
        </w:rPr>
      </w:pPr>
    </w:p>
    <w:p w:rsidR="00CA0397" w:rsidRPr="00CA0397" w:rsidRDefault="00CA0397" w:rsidP="00CA0397">
      <w:pPr>
        <w:spacing w:after="200" w:line="240" w:lineRule="auto"/>
        <w:jc w:val="center"/>
        <w:rPr>
          <w:rFonts w:ascii="Calibri" w:eastAsia="Calibri" w:hAnsi="Calibri" w:cs="Arial"/>
          <w:vertAlign w:val="superscript"/>
        </w:rPr>
      </w:pPr>
    </w:p>
    <w:p w:rsidR="00CA0397" w:rsidRPr="00CA0397" w:rsidRDefault="00CA0397" w:rsidP="00CA0397">
      <w:pPr>
        <w:spacing w:after="200" w:line="240" w:lineRule="auto"/>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rPr>
      </w:pPr>
    </w:p>
    <w:p w:rsidR="00CA0397" w:rsidRPr="00CA0397" w:rsidRDefault="00CA0397" w:rsidP="00CA0397">
      <w:pPr>
        <w:spacing w:after="200" w:line="240" w:lineRule="auto"/>
        <w:jc w:val="center"/>
        <w:rPr>
          <w:rFonts w:ascii="Calibri" w:eastAsia="Calibri" w:hAnsi="Calibri" w:cs="Arial"/>
          <w:b/>
          <w:sz w:val="24"/>
          <w:szCs w:val="24"/>
        </w:rPr>
      </w:pPr>
      <w:r w:rsidRPr="00CA0397">
        <w:rPr>
          <w:rFonts w:ascii="Calibri" w:eastAsia="Calibri" w:hAnsi="Calibri" w:cs="Arial"/>
          <w:b/>
          <w:sz w:val="24"/>
          <w:szCs w:val="24"/>
        </w:rPr>
        <w:t>Abstract</w:t>
      </w:r>
    </w:p>
    <w:p w:rsidR="00CA0397" w:rsidRPr="00CA0397" w:rsidRDefault="00CA0397" w:rsidP="00CA0397">
      <w:pPr>
        <w:spacing w:after="200" w:line="240" w:lineRule="auto"/>
        <w:rPr>
          <w:rFonts w:ascii="Calibri" w:eastAsia="Calibri" w:hAnsi="Calibri" w:cs="Arial"/>
          <w:sz w:val="24"/>
          <w:szCs w:val="24"/>
        </w:rPr>
      </w:pPr>
      <w:r w:rsidRPr="00CA0397">
        <w:rPr>
          <w:rFonts w:ascii="Calibri" w:eastAsia="Calibri" w:hAnsi="Calibri" w:cs="Arial"/>
          <w:b/>
          <w:sz w:val="24"/>
          <w:szCs w:val="24"/>
        </w:rPr>
        <w:t xml:space="preserve">Introduction: </w:t>
      </w:r>
      <w:r w:rsidRPr="00CA0397">
        <w:rPr>
          <w:rFonts w:ascii="Calibri" w:eastAsia="Calibri" w:hAnsi="Calibri" w:cs="Arial"/>
          <w:sz w:val="24"/>
          <w:szCs w:val="24"/>
        </w:rPr>
        <w:t>Performance-based risk -sharing agreements (PBRSAs), between payers, health care providers, and technology manufacturers can be useful when there is uncertainty about the (cost-) effectiveness of a new technology or service. However, they can be challenging to design and implement.</w:t>
      </w:r>
    </w:p>
    <w:p w:rsidR="00CA0397" w:rsidRPr="00CA0397" w:rsidRDefault="00CA0397" w:rsidP="00CA0397">
      <w:pPr>
        <w:spacing w:after="200" w:line="240" w:lineRule="auto"/>
        <w:rPr>
          <w:rFonts w:ascii="Calibri" w:eastAsia="Calibri" w:hAnsi="Calibri" w:cs="Arial"/>
          <w:sz w:val="24"/>
          <w:szCs w:val="24"/>
        </w:rPr>
      </w:pPr>
      <w:r w:rsidRPr="00CA0397">
        <w:rPr>
          <w:rFonts w:ascii="Calibri" w:eastAsia="Calibri" w:hAnsi="Calibri" w:cs="Arial"/>
          <w:b/>
          <w:sz w:val="24"/>
          <w:szCs w:val="24"/>
        </w:rPr>
        <w:t xml:space="preserve">Areas covered: </w:t>
      </w:r>
      <w:r w:rsidRPr="00CA0397">
        <w:rPr>
          <w:rFonts w:ascii="Calibri" w:eastAsia="Calibri" w:hAnsi="Calibri" w:cs="Arial"/>
          <w:sz w:val="24"/>
          <w:szCs w:val="24"/>
        </w:rPr>
        <w:t>A total of 18 performance-based agreements were identified through a literature review.  All but 2 of the agreements identified were pay-for-performance schemes, agreed between providers and payers at the national level. No examples were found of agreements between healthcare providers and manufacturers at the local level. The potential for these local agreements was illustrated by hypothetical case studies of water quality management and an integrated chronic kidney disease programme.</w:t>
      </w:r>
    </w:p>
    <w:p w:rsidR="00CA0397" w:rsidRPr="00CA0397" w:rsidRDefault="00CA0397" w:rsidP="00CA0397">
      <w:pPr>
        <w:spacing w:after="200" w:line="276" w:lineRule="auto"/>
        <w:rPr>
          <w:rFonts w:ascii="Calibri" w:eastAsia="Calibri" w:hAnsi="Calibri" w:cs="Arial"/>
          <w:sz w:val="24"/>
          <w:szCs w:val="24"/>
        </w:rPr>
      </w:pPr>
      <w:r w:rsidRPr="00CA0397">
        <w:rPr>
          <w:rFonts w:ascii="Calibri" w:eastAsia="Calibri" w:hAnsi="Calibri" w:cs="Arial"/>
          <w:b/>
          <w:sz w:val="24"/>
          <w:szCs w:val="24"/>
        </w:rPr>
        <w:t>Expert opinion:</w:t>
      </w:r>
      <w:r w:rsidRPr="00CA0397">
        <w:rPr>
          <w:rFonts w:ascii="Calibri" w:eastAsia="Calibri" w:hAnsi="Calibri" w:cs="Arial"/>
          <w:sz w:val="24"/>
          <w:szCs w:val="24"/>
        </w:rPr>
        <w:t xml:space="preserve"> Performance-based risk-sharing agreements can work to the advantage of patients, health care providers, payers, and technology manufacturers, particularly if they facilitate the introduction of technologies or systems of care that might not have been introduced otherwise. However, the design, conduct, and implementation of PBRSAs in renal care pose a number of challenges. Efforts should be made to overcome these challenges, so that more renal care patients can benefit from technological advances and new models of care. </w:t>
      </w: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rPr>
          <w:rFonts w:ascii="Calibri" w:eastAsia="Calibri" w:hAnsi="Calibri" w:cs="Arial"/>
          <w:b/>
          <w:sz w:val="28"/>
          <w:szCs w:val="28"/>
        </w:rPr>
      </w:pPr>
      <w:r w:rsidRPr="00CA0397">
        <w:rPr>
          <w:rFonts w:ascii="Calibri" w:eastAsia="Calibri" w:hAnsi="Calibri" w:cs="Arial"/>
          <w:b/>
          <w:sz w:val="28"/>
          <w:szCs w:val="28"/>
        </w:rPr>
        <w:t>Article highlights</w:t>
      </w:r>
    </w:p>
    <w:p w:rsidR="00CA0397" w:rsidRPr="00CA0397" w:rsidRDefault="00CA0397" w:rsidP="00CA0397">
      <w:pPr>
        <w:numPr>
          <w:ilvl w:val="0"/>
          <w:numId w:val="1"/>
        </w:numPr>
        <w:spacing w:after="200" w:line="276" w:lineRule="auto"/>
        <w:contextualSpacing/>
        <w:rPr>
          <w:rFonts w:ascii="Calibri" w:eastAsia="Calibri" w:hAnsi="Calibri" w:cs="Arial"/>
          <w:sz w:val="24"/>
          <w:szCs w:val="24"/>
        </w:rPr>
      </w:pPr>
      <w:r w:rsidRPr="00CA0397">
        <w:rPr>
          <w:rFonts w:ascii="Calibri" w:eastAsia="Calibri" w:hAnsi="Calibri" w:cs="Arial"/>
          <w:sz w:val="24"/>
          <w:szCs w:val="24"/>
        </w:rPr>
        <w:t>Performance-based risk-sharing agreements are attracting considerable interest in health care, as they offer potential benefits to patients, technology manufacturers, health care providers and payers.</w:t>
      </w:r>
    </w:p>
    <w:p w:rsidR="00CA0397" w:rsidRPr="00CA0397" w:rsidRDefault="00CA0397" w:rsidP="00CA0397">
      <w:pPr>
        <w:numPr>
          <w:ilvl w:val="0"/>
          <w:numId w:val="1"/>
        </w:numPr>
        <w:spacing w:after="200" w:line="276" w:lineRule="auto"/>
        <w:contextualSpacing/>
        <w:rPr>
          <w:rFonts w:ascii="Calibri" w:eastAsia="Calibri" w:hAnsi="Calibri" w:cs="Arial"/>
          <w:sz w:val="24"/>
          <w:szCs w:val="24"/>
        </w:rPr>
      </w:pPr>
      <w:r w:rsidRPr="00CA0397">
        <w:rPr>
          <w:rFonts w:ascii="Calibri" w:eastAsia="Calibri" w:hAnsi="Calibri" w:cs="Arial"/>
          <w:sz w:val="24"/>
          <w:szCs w:val="24"/>
        </w:rPr>
        <w:t>Despite this interest, progress in establishing these agreements has been slow and has been mainly limited to new medicines.</w:t>
      </w:r>
    </w:p>
    <w:p w:rsidR="00CA0397" w:rsidRPr="00CA0397" w:rsidRDefault="00CA0397" w:rsidP="00CA0397">
      <w:pPr>
        <w:numPr>
          <w:ilvl w:val="0"/>
          <w:numId w:val="1"/>
        </w:numPr>
        <w:spacing w:after="200" w:line="276" w:lineRule="auto"/>
        <w:contextualSpacing/>
        <w:rPr>
          <w:rFonts w:ascii="Calibri" w:eastAsia="Calibri" w:hAnsi="Calibri" w:cs="Arial"/>
          <w:sz w:val="24"/>
          <w:szCs w:val="24"/>
        </w:rPr>
      </w:pPr>
      <w:r w:rsidRPr="00CA0397">
        <w:rPr>
          <w:rFonts w:ascii="Calibri" w:eastAsia="Calibri" w:hAnsi="Calibri" w:cs="Arial"/>
          <w:sz w:val="24"/>
          <w:szCs w:val="24"/>
        </w:rPr>
        <w:t>The field of renal care is a potential candidate for these agreements, since it consists of a range of expensive long-term services, the quality or cost-effectiveness of which could be improved.</w:t>
      </w:r>
    </w:p>
    <w:p w:rsidR="00CA0397" w:rsidRPr="00CA0397" w:rsidRDefault="00CA0397" w:rsidP="00CA0397">
      <w:pPr>
        <w:numPr>
          <w:ilvl w:val="0"/>
          <w:numId w:val="1"/>
        </w:numPr>
        <w:spacing w:after="200" w:line="276" w:lineRule="auto"/>
        <w:contextualSpacing/>
        <w:rPr>
          <w:rFonts w:ascii="Calibri" w:eastAsia="Calibri" w:hAnsi="Calibri" w:cs="Arial"/>
          <w:sz w:val="24"/>
          <w:szCs w:val="24"/>
        </w:rPr>
      </w:pPr>
      <w:r w:rsidRPr="00CA0397">
        <w:rPr>
          <w:rFonts w:ascii="Calibri" w:eastAsia="Calibri" w:hAnsi="Calibri" w:cs="Arial"/>
          <w:sz w:val="24"/>
          <w:szCs w:val="24"/>
        </w:rPr>
        <w:t>This paper adds to our knowledge by identifying a number of such agreements in renal care, describing their key characteristics.</w:t>
      </w:r>
    </w:p>
    <w:p w:rsidR="00CA0397" w:rsidRPr="00CA0397" w:rsidRDefault="00CA0397" w:rsidP="00CA0397">
      <w:pPr>
        <w:numPr>
          <w:ilvl w:val="0"/>
          <w:numId w:val="1"/>
        </w:numPr>
        <w:spacing w:after="200" w:line="276" w:lineRule="auto"/>
        <w:contextualSpacing/>
        <w:rPr>
          <w:rFonts w:ascii="Calibri" w:eastAsia="Calibri" w:hAnsi="Calibri" w:cs="Arial"/>
          <w:sz w:val="24"/>
          <w:szCs w:val="24"/>
        </w:rPr>
      </w:pPr>
      <w:r w:rsidRPr="00CA0397">
        <w:rPr>
          <w:rFonts w:ascii="Calibri" w:eastAsia="Calibri" w:hAnsi="Calibri" w:cs="Arial"/>
          <w:sz w:val="24"/>
          <w:szCs w:val="24"/>
        </w:rPr>
        <w:t>Performance-based risk-sharing agreements can be complex in the field of renal care, requiring agreement by payers, providers and technology manufacturers on a number of key issues in the design, conduct and evaluation of schemes.</w:t>
      </w:r>
    </w:p>
    <w:p w:rsidR="00CA0397" w:rsidRPr="00CA0397" w:rsidRDefault="00CA0397" w:rsidP="00CA0397">
      <w:pPr>
        <w:numPr>
          <w:ilvl w:val="0"/>
          <w:numId w:val="1"/>
        </w:numPr>
        <w:spacing w:after="200" w:line="276" w:lineRule="auto"/>
        <w:contextualSpacing/>
        <w:rPr>
          <w:rFonts w:ascii="Calibri" w:eastAsia="Calibri" w:hAnsi="Calibri" w:cs="Arial"/>
          <w:sz w:val="24"/>
          <w:szCs w:val="24"/>
        </w:rPr>
      </w:pPr>
      <w:r w:rsidRPr="00CA0397">
        <w:rPr>
          <w:rFonts w:ascii="Calibri" w:eastAsia="Calibri" w:hAnsi="Calibri" w:cs="Arial"/>
          <w:sz w:val="24"/>
          <w:szCs w:val="24"/>
        </w:rPr>
        <w:t>These complexities are illustrated by the use of two hypothetical case studies.</w:t>
      </w:r>
    </w:p>
    <w:p w:rsidR="00CA0397" w:rsidRPr="00CA0397" w:rsidRDefault="00CA0397" w:rsidP="00CA0397">
      <w:pPr>
        <w:numPr>
          <w:ilvl w:val="0"/>
          <w:numId w:val="1"/>
        </w:numPr>
        <w:spacing w:after="200" w:line="276" w:lineRule="auto"/>
        <w:contextualSpacing/>
        <w:rPr>
          <w:rFonts w:ascii="Calibri" w:eastAsia="Calibri" w:hAnsi="Calibri" w:cs="Arial"/>
          <w:sz w:val="24"/>
          <w:szCs w:val="24"/>
        </w:rPr>
      </w:pPr>
      <w:r w:rsidRPr="00CA0397">
        <w:rPr>
          <w:rFonts w:ascii="Calibri" w:eastAsia="Calibri" w:hAnsi="Calibri" w:cs="Arial"/>
          <w:sz w:val="24"/>
          <w:szCs w:val="24"/>
        </w:rPr>
        <w:t>Overall, there is further scope for PBRSA in renal care, providing the main challenges can be overcome.</w:t>
      </w: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40" w:lineRule="auto"/>
        <w:rPr>
          <w:rFonts w:ascii="Calibri" w:eastAsia="Calibri" w:hAnsi="Calibri" w:cs="Arial"/>
          <w:sz w:val="24"/>
          <w:szCs w:val="24"/>
        </w:rPr>
      </w:pPr>
    </w:p>
    <w:p w:rsidR="00CA0397" w:rsidRPr="00CA0397" w:rsidRDefault="00CA0397" w:rsidP="00CA0397">
      <w:pPr>
        <w:spacing w:after="200" w:line="276" w:lineRule="auto"/>
        <w:outlineLvl w:val="1"/>
        <w:rPr>
          <w:rFonts w:ascii="Calibri" w:eastAsia="Calibri" w:hAnsi="Calibri" w:cs="Arial"/>
          <w:b/>
          <w:sz w:val="28"/>
          <w:szCs w:val="28"/>
        </w:rPr>
      </w:pPr>
    </w:p>
    <w:p w:rsidR="00CA0397" w:rsidRPr="00CA0397" w:rsidRDefault="00CA0397" w:rsidP="00CA0397">
      <w:pPr>
        <w:spacing w:after="200" w:line="276" w:lineRule="auto"/>
        <w:outlineLvl w:val="1"/>
        <w:rPr>
          <w:rFonts w:ascii="Calibri" w:eastAsia="Calibri" w:hAnsi="Calibri" w:cs="Arial"/>
          <w:b/>
          <w:sz w:val="28"/>
          <w:szCs w:val="28"/>
        </w:rPr>
      </w:pPr>
      <w:r w:rsidRPr="00CA0397">
        <w:rPr>
          <w:rFonts w:ascii="Calibri" w:eastAsia="Calibri" w:hAnsi="Calibri" w:cs="Arial"/>
          <w:b/>
          <w:sz w:val="28"/>
          <w:szCs w:val="28"/>
        </w:rPr>
        <w:t>1. Introduction</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The notion of payment for performance is gaining popularity in healthcare worldwide. No longer are health professionals or providers paid for merely delivering a service, payment is based on achieving a given level of performance. In renal care, ‘pay-for-performance’ schemes exist in a number of settings. The exact nature of these schemes varies from place to place, but in general they are agreements between providers and payers, with the provider being rewarded for meeting a pre-agreed target, or penalized for failing to meet it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8x6ZBMCR","properties":{"formattedCitation":"[1\\uc0\\u8211{}3]","plainCitation":"[1–3]","noteIndex":0},"citationItems":[{"id":65593,"uris":["http://zotero.org/users/2048679/items/CSEMW742"],"uri":["http://zotero.org/users/2048679/items/CSEMW742"],"itemData":{"id":65593,"type":"article-journal","container-title":"Seminars in Dialysis","DOI":"10.1111/sdi.12685","ISSN":"08940959","issue":"4","journalAbbreviation":"Semin Dial","language":"en","page":"406-414","source":"DOI.org (Crossref)","title":"Do current quality measures truly reflect the quality of dialysis?","volume":"31","author":[{"family":"Gupta","given":"Nupur"},{"family":"Wish","given":"Jay B."}],"issued":{"date-parts":[["2018",7]]}},"label":"page"},{"id":65594,"uris":["http://zotero.org/users/2048679/items/NU3DWQ8U"],"uri":["http://zotero.org/users/2048679/items/NU3DWQ8U"],"itemData":{"id":65594,"type":"article-journal","container-title":"Journal of the American Society of Nephrology","DOI":"10.1681/ASN.2016101079","ISSN":"1046-6673, 1533-3450","issue":"6","journalAbbreviation":"JASN","language":"en","page":"1697-1706","source":"DOI.org (Crossref)","title":"The ESRD Quality Incentive Program—Can We Bridge the Chasm?","volume":"28","author":[{"family":"Weiner","given":"Daniel"},{"family":"Watnick","given":"Suzanne"}],"issued":{"date-parts":[["2017",6]]}},"label":"page"},{"id":65671,"uris":["http://zotero.org/users/2048679/items/3JUPMUH4"],"uri":["http://zotero.org/users/2048679/items/3JUPMUH4"],"itemData":{"id":65671,"type":"article-journal","container-title":"Clinical Journal of the American Society of Nephrology","DOI":"10.2215/CJN.00510107","ISSN":"1555-9041, 1555-905X","issue":"5","journalAbbreviation":"CJASN","language":"en","page":"1087-1095","source":"DOI.org (Crossref)","title":"Rise of Pay for Performance: Implications for Care of People with Chronic Kidney Disease","title-short":"Rise of Pay for Performance","volume":"2","author":[{"family":"Desai","given":"Amar A."},{"family":"Garber","given":"Alan M."},{"family":"Chertow","given":"Glenn M."}],"issued":{"date-parts":[["2007",9]]}},"label":"page"}],"schema":"https://github.com/citation-style-language/schema/raw/master/csl-citation.json"}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szCs w:val="24"/>
        </w:rPr>
        <w:t>[1–3]</w:t>
      </w:r>
      <w:r w:rsidRPr="00CA0397">
        <w:rPr>
          <w:rFonts w:ascii="Calibri" w:eastAsia="Calibri" w:hAnsi="Calibri" w:cs="Arial"/>
        </w:rPr>
        <w:fldChar w:fldCharType="end"/>
      </w:r>
      <w:r w:rsidRPr="00CA0397">
        <w:rPr>
          <w:rFonts w:ascii="Calibri" w:eastAsia="Calibri" w:hAnsi="Calibri" w:cs="Arial"/>
        </w:rPr>
        <w:t>.</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For example, in the US, the End Stage Renal Disease Quality Incentive Program (ESRD QIP), the first ever mandatory federal pay for performance programme, was launched in 2012 as the result of an overall reform of payment models for renal care of Medicare patients, mandated by the Medicare Improvements for Patients and Providers Act (MIPPA) in 2008. The MIPPA introduced a bundled prospective payment system for outpatient dialysis services provided to Medicare beneficiaries, and legislated that payment would be linked to quality performance measures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kURXPDdP","properties":{"formattedCitation":"[1,2]","plainCitation":"[1,2]","noteIndex":0},"citationItems":[{"id":65593,"uris":["http://zotero.org/users/2048679/items/CSEMW742"],"uri":["http://zotero.org/users/2048679/items/CSEMW742"],"itemData":{"id":65593,"type":"article-journal","container-title":"Seminars in Dialysis","DOI":"10.1111/sdi.12685","ISSN":"08940959","issue":"4","journalAbbreviation":"Semin Dial","language":"en","page":"406-414","source":"DOI.org (Crossref)","title":"Do current quality measures truly reflect the quality of dialysis?","volume":"31","author":[{"family":"Gupta","given":"Nupur"},{"family":"Wish","given":"Jay B."}],"issued":{"date-parts":[["2018",7]]}},"label":"page"},{"id":65594,"uris":["http://zotero.org/users/2048679/items/NU3DWQ8U"],"uri":["http://zotero.org/users/2048679/items/NU3DWQ8U"],"itemData":{"id":65594,"type":"article-journal","container-title":"Journal of the American Society of Nephrology","DOI":"10.1681/ASN.2016101079","ISSN":"1046-6673, 1533-3450","issue":"6","journalAbbreviation":"JASN","language":"en","page":"1697-1706","source":"DOI.org (Crossref)","title":"The ESRD Quality Incentive Program—Can We Bridge the Chasm?","volume":"28","author":[{"family":"Weiner","given":"Daniel"},{"family":"Watnick","given":"Suzanne"}],"issued":{"date-parts":[["2017",6]]}},"label":"page"}],"schema":"https://github.com/citation-style-language/schema/raw/master/csl-citation.json"}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[1,2]</w:t>
      </w:r>
      <w:r w:rsidRPr="00CA0397">
        <w:rPr>
          <w:rFonts w:ascii="Calibri" w:eastAsia="Calibri" w:hAnsi="Calibri" w:cs="Arial"/>
        </w:rPr>
        <w:fldChar w:fldCharType="end"/>
      </w:r>
      <w:r w:rsidRPr="00CA0397">
        <w:rPr>
          <w:rFonts w:ascii="Calibri" w:eastAsia="Calibri" w:hAnsi="Calibri" w:cs="Arial"/>
        </w:rPr>
        <w:t xml:space="preserve">.  Within the Quality Incentive Program (QIP), dialysis facilities that do not meet certain standards are subject to a global Medicare payment reduction of up to 2%. The </w:t>
      </w:r>
      <w:proofErr w:type="spellStart"/>
      <w:r w:rsidRPr="00CA0397">
        <w:rPr>
          <w:rFonts w:ascii="Calibri" w:eastAsia="Calibri" w:hAnsi="Calibri" w:cs="Arial"/>
        </w:rPr>
        <w:t>Centers</w:t>
      </w:r>
      <w:proofErr w:type="spellEnd"/>
      <w:r w:rsidRPr="00CA0397">
        <w:rPr>
          <w:rFonts w:ascii="Calibri" w:eastAsia="Calibri" w:hAnsi="Calibri" w:cs="Arial"/>
        </w:rPr>
        <w:t xml:space="preserve"> for Medicare and Medicaid Services (CMS) constantly update and expand the quality metrics used to assess providers through an established process. For example, for payment year 2020, quality measures encompassed both effectiveness and safety measures, including measures such as standardized readmission and transfusion ratios, dialysis adequacy, hypercalcemia and vascular access measures, and reporting measures to incentivize facilities to report dialysis-event data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AlmDlTPz","properties":{"formattedCitation":"[4]","plainCitation":"[4]","noteIndex":0},"citationItems":[{"id":65668,"uris":["http://zotero.org/users/2048679/items/Q3KUA3MK"],"uri":["http://zotero.org/users/2048679/items/Q3KUA3MK"],"itemData":{"id":65668,"type":"webpage","title":"CMS.Org - Laws &amp; Regulations","URL":"https://www.cms.gov/Medicare/Quality-Initiatives-Patient-Assessment-Instruments/ESRDQIP/05_LawsandRegs","accessed":{"date-parts":[["2020",12,30]]}}}],"schema":"https://github.com/citation-style-language/schema/raw/master/csl-citation.json"}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[4]</w:t>
      </w:r>
      <w:r w:rsidRPr="00CA0397">
        <w:rPr>
          <w:rFonts w:ascii="Calibri" w:eastAsia="Calibri" w:hAnsi="Calibri" w:cs="Arial"/>
        </w:rPr>
        <w:fldChar w:fldCharType="end"/>
      </w:r>
      <w:r w:rsidRPr="00CA0397">
        <w:rPr>
          <w:rFonts w:ascii="Calibri" w:eastAsia="Calibri" w:hAnsi="Calibri" w:cs="Arial"/>
        </w:rPr>
        <w:t>.</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In addition to the QIP, the Comprehensive ESRD Care (CEC) Model, is a specialty-specific payment model launched in 2015, as a five years initiative by the </w:t>
      </w:r>
      <w:proofErr w:type="spellStart"/>
      <w:r w:rsidRPr="00CA0397">
        <w:rPr>
          <w:rFonts w:ascii="Calibri" w:eastAsia="Calibri" w:hAnsi="Calibri" w:cs="Arial"/>
        </w:rPr>
        <w:t>Center</w:t>
      </w:r>
      <w:proofErr w:type="spellEnd"/>
      <w:r w:rsidRPr="00CA0397">
        <w:rPr>
          <w:rFonts w:ascii="Calibri" w:eastAsia="Calibri" w:hAnsi="Calibri" w:cs="Arial"/>
        </w:rPr>
        <w:t xml:space="preserve"> for Medicare &amp; Medicaid Innovation, with the objective of improving care and reducing costs for Medicare beneficiaries with ESRD. Within the CEC, dialysis clinics, nephrologists and other providers join to create ESRD Seamless Care Organizations (ESCOs) and provide coordinated care to their matched ESRD beneficiaries. Like the accountable care organizations (ACOs) introduced by Patient Protection and Affordable Care Act, ESCOs are held accountable for the clinical and financial outcomes of their beneficiaries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UFX5Wkvh","properties":{"formattedCitation":"[5]","plainCitation":"[5]","noteIndex":0},"citationItems":[{"id":65596,"uris":["http://zotero.org/users/2048679/items/BXWPCUU5"],"uri":["http://zotero.org/users/2048679/items/BXWPCUU5"],"itemData":{"id":65596,"type":"article-journal","container-title":"JAMA","DOI":"10.1001/jama.2014.13109","ISSN":"0098-7484","issue":"16","journalAbbreviation":"JAMA","language":"en","page":"1635","source":"DOI.org (Crossref)","title":"The Pioneer Accountable Care Organization Model: Improving Quality and Lowering Costs","title-short":"The Pioneer Accountable Care Organization Model","volume":"312","author":[{"family":"Pham","given":"Hoangmai H."},{"family":"Cohen","given":"Melissa"},{"family":"Conway","given":"Patrick H."}],"issued":{"date-parts":[["2014",10,22]]}}}],"schema":"https://github.com/citation-style-language/schema/raw/master/csl-citation.json"}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[5]</w:t>
      </w:r>
      <w:r w:rsidRPr="00CA0397">
        <w:rPr>
          <w:rFonts w:ascii="Calibri" w:eastAsia="Calibri" w:hAnsi="Calibri" w:cs="Arial"/>
        </w:rPr>
        <w:fldChar w:fldCharType="end"/>
      </w:r>
      <w:r w:rsidRPr="00CA0397">
        <w:rPr>
          <w:rFonts w:ascii="Calibri" w:eastAsia="Calibri" w:hAnsi="Calibri" w:cs="Arial"/>
        </w:rPr>
        <w:t xml:space="preserve">. This model is currently undergoing an assessment to determine whether and how it could be implemented as a permanent programme. Finally, the ESRD treatment Choice (ETC) model has been proposed but delayed owing to the COVID-19 pandemic. This would provide financial incentives to providers to offer holistic kidney option education, appoint a care coordinator and would involve a monthly capitation payment, including adjustments based on increasing the share of home dialysis patients and kidney transplants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0jlKZ0dC","properties":{"formattedCitation":"[6]","plainCitation":"[6]","noteIndex":0},"citationItems":[{"id":65623,"uris":["http://zotero.org/users/2048679/items/NDU934XJ"],"uri":["http://zotero.org/users/2048679/items/NDU934XJ"],"itemData":{"id":65623,"type":"bill","authority":"The White House","title":"Executive Order on Advancing American Kidney Health","URL":"https://www.whitehouse.gov/presidential-actions/executive-order-advancing-american-kidney-health/","accessed":{"date-parts":[["2020",8,14]]},"issued":{"date-parts":[["2019"]]}}}],"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[6]</w:t>
      </w:r>
      <w:r w:rsidRPr="00CA0397">
        <w:rPr>
          <w:rFonts w:ascii="Calibri" w:eastAsia="Calibri" w:hAnsi="Calibri" w:cs="Arial"/>
        </w:rPr>
        <w:fldChar w:fldCharType="end"/>
      </w:r>
      <w:r w:rsidRPr="00CA0397">
        <w:rPr>
          <w:rFonts w:ascii="Calibri" w:eastAsia="Calibri" w:hAnsi="Calibri" w:cs="Arial"/>
        </w:rPr>
        <w:t>.</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One feature of pay-for-performance schemes is that they mostly relate to the use of currently accepted treatments and procedures. The ‘performance’ being assessed relates mostly to the provider’s level of </w:t>
      </w:r>
      <w:r w:rsidRPr="00CA0397">
        <w:rPr>
          <w:rFonts w:ascii="Calibri" w:eastAsia="Calibri" w:hAnsi="Calibri" w:cs="Arial"/>
        </w:rPr>
        <w:lastRenderedPageBreak/>
        <w:t xml:space="preserve">efficiency in providing current care. But what about situations where the choice is whether or not to adopt a </w:t>
      </w:r>
      <w:r w:rsidRPr="00CA0397">
        <w:rPr>
          <w:rFonts w:ascii="Calibri" w:eastAsia="Calibri" w:hAnsi="Calibri" w:cs="Arial"/>
          <w:i/>
          <w:iCs/>
        </w:rPr>
        <w:t xml:space="preserve">new </w:t>
      </w:r>
      <w:r w:rsidRPr="00CA0397">
        <w:rPr>
          <w:rFonts w:ascii="Calibri" w:eastAsia="Calibri" w:hAnsi="Calibri" w:cs="Arial"/>
        </w:rPr>
        <w:t xml:space="preserve">treatment or care model? This situation is common outside of renal care, for example in decisions on whether or not to use an expensive new drug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bFLR8XgA","properties":{"formattedCitation":"[7]","plainCitation":"[7]","noteIndex":0},"citationItems":[{"id":65489,"uris":["http://zotero.org/users/2048679/items/WJHCBAAX"],"uri":["http://zotero.org/users/2048679/items/WJHCBAAX"],"itemData":{"id":65489,"type":"article-journal","container-title":"Value in Health","DOI":"10.1016/j.jval.2019.12.008","ISSN":"10983015","issue":"4","journalAbbreviation":"Value in Health","language":"en","page":"425-433","source":"DOI.org (Crossref)","title":"Managed Entry Agreements: Policy Analysis From the European Perspective","title-short":"Managed Entry Agreements","volume":"23","author":[{"family":"Dabbous","given":"Monique"},{"family":"Chachoua","given":"Lylia"},{"family":"Caban","given":"Aleksandra"},{"family":"Toumi","given":"Mondher"}],"issued":{"date-parts":[["2020",4]]}}}],"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[7]</w:t>
      </w:r>
      <w:r w:rsidRPr="00CA0397">
        <w:rPr>
          <w:rFonts w:ascii="Calibri" w:eastAsia="Calibri" w:hAnsi="Calibri" w:cs="Arial"/>
        </w:rPr>
        <w:fldChar w:fldCharType="end"/>
      </w:r>
      <w:r w:rsidRPr="00CA0397">
        <w:rPr>
          <w:rFonts w:ascii="Calibri" w:eastAsia="Calibri" w:hAnsi="Calibri" w:cs="Arial"/>
        </w:rPr>
        <w:t xml:space="preserve">. The drug may increase survival, but that is often not known with certainty when it secures a licence. In these situations, a different type of performance-based agreement is used, called a </w:t>
      </w:r>
      <w:r w:rsidRPr="00CA0397">
        <w:rPr>
          <w:rFonts w:ascii="Calibri" w:eastAsia="Calibri" w:hAnsi="Calibri" w:cs="Arial"/>
          <w:i/>
          <w:iCs/>
        </w:rPr>
        <w:t xml:space="preserve">performance-based risk-sharing agreement (PBRSA) </w:t>
      </w:r>
      <w:r w:rsidRPr="00CA0397">
        <w:rPr>
          <w:rFonts w:ascii="Calibri" w:eastAsia="Calibri" w:hAnsi="Calibri" w:cs="Arial"/>
          <w:i/>
          <w:iCs/>
        </w:rPr>
        <w:fldChar w:fldCharType="begin"/>
      </w:r>
      <w:r w:rsidRPr="00CA0397">
        <w:rPr>
          <w:rFonts w:ascii="Calibri" w:eastAsia="Calibri" w:hAnsi="Calibri" w:cs="Arial"/>
          <w:i/>
          <w:iCs/>
        </w:rPr>
        <w:instrText xml:space="preserve"> ADDIN ZOTERO_ITEM CSL_CITATION {"citationID":"u3zYeIaQ","properties":{"formattedCitation":"[8]","plainCitation":"[8]","noteIndex":0},"citationItems":[{"id":65212,"uris":["http://zotero.org/users/2048679/items/A5A2URJY"],"uri":["http://zotero.org/users/2048679/items/A5A2URJY"],"itemData":{"id":65212,"type":"article-journal","container-title":"Value in Health","DOI":"10.1016/j.jval.2013.04.011","ISSN":"10983015","issue":"5","journalAbbreviation":"Value in Health","language":"en","page":"703-719","source":"DOI.org (Crossref)","title":"Performance-Based Risk-Sharing Arrangements—Good Practices for Design, Implementation, and Evaluation: Report of the ISPOR Good Practices for Performance-Based Risk-Sharing Arrangements Task Force","title-short":"Performance-Based Risk-Sharing Arrangements—Good Practices for Design, Implementation, and Evaluation","volume":"16","author":[{"family":"Garrison","given":"Louis P."},{"family":"Towse","given":"Adrian"},{"family":"Briggs","given":"Andrew"},{"family":"Pouvourville","given":"Gerard","non-dropping-particle":"de"},{"family":"Grueger","given":"Jens"},{"family":"Mohr","given":"Penny E."},{"family":"Severens","given":"J.L. (Hans)"},{"family":"Siviero","given":"Paolo"},{"family":"Sleeper","given":"Miguel"}],"issued":{"date-parts":[["2013",7]]}}}],"schema":"https://github.com/citation-style-language/schema/raw/master/csl-citation.json"} </w:instrText>
      </w:r>
      <w:r w:rsidRPr="00CA0397">
        <w:rPr>
          <w:rFonts w:ascii="Calibri" w:eastAsia="Calibri" w:hAnsi="Calibri" w:cs="Arial"/>
          <w:i/>
          <w:iCs/>
        </w:rPr>
        <w:fldChar w:fldCharType="separate"/>
      </w:r>
      <w:r w:rsidRPr="00CA0397">
        <w:rPr>
          <w:rFonts w:ascii="Calibri" w:eastAsia="Calibri" w:hAnsi="Calibri" w:cs="Calibri"/>
        </w:rPr>
        <w:t>[8]</w:t>
      </w:r>
      <w:r w:rsidRPr="00CA0397">
        <w:rPr>
          <w:rFonts w:ascii="Calibri" w:eastAsia="Calibri" w:hAnsi="Calibri" w:cs="Arial"/>
          <w:i/>
          <w:iCs/>
        </w:rPr>
        <w:fldChar w:fldCharType="end"/>
      </w:r>
      <w:r w:rsidRPr="00CA0397">
        <w:rPr>
          <w:rFonts w:ascii="Calibri" w:eastAsia="Calibri" w:hAnsi="Calibri" w:cs="Arial"/>
          <w:i/>
          <w:iCs/>
        </w:rPr>
        <w:t xml:space="preserve"> </w:t>
      </w:r>
      <w:r w:rsidRPr="00CA0397">
        <w:rPr>
          <w:rFonts w:ascii="Calibri" w:eastAsia="Calibri" w:hAnsi="Calibri" w:cs="Arial"/>
        </w:rPr>
        <w:t>Here, the parties to the agreement share the risk by entering into an interim arrangement to make the new treatment available, while basing the final level of coverage or payment on how well it performs in actual clinical use. (The distinction between the different types of performance-based agreements is illustrated in Figure 1.)</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FIGURE 1 Types of Performance-Based Agreements </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In the case of new pharmaceuticals, and some medical devices, PBRSA are typically between the payer and technology manufacturer. However, they may also be between the manufacturer and provider, if there is a possibility that the provider can bear the extra cost of adopting the new technology within the current payment (e.g., Diagnosis Related Group (DRG)).  For example, a provider might adopt an expensive new device if it could be shown that it increased the efficiency of providing care. PBRSAs are particularly important in facilitating the adoption of new treatments or models of care. A good example is the establishment of the (reformed) Cancer Drugs Fund in the United Kingdom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gW0Q0qAm","properties":{"formattedCitation":"[9]","plainCitation":"[9]","noteIndex":0},"citationItems":[{"id":65598,"uris":["http://zotero.org/users/2048679/items/APE4ZDYS"],"uri":["http://zotero.org/users/2048679/items/APE4ZDYS"],"itemData":{"id":65598,"type":"report","publisher":"NHS England","title":"Appraisal and Funding of Cancer Drugs from July 2016 (including the new Cancer Drugs Fund) - A new deal for patients, taxpayers and industry","URL":"https://www.england.nhs.uk/wp-content/uploads/2013/04/cdf-sop.pdf","author":[{"family":"NHS England Cancer Drugs Fund Team","given":""}],"issued":{"date-parts":[["2016"]]}}}],"schema":"https://github.com/citation-style-language/schema/raw/master/csl-citation.json"}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[9]</w:t>
      </w:r>
      <w:r w:rsidRPr="00CA0397">
        <w:rPr>
          <w:rFonts w:ascii="Calibri" w:eastAsia="Calibri" w:hAnsi="Calibri" w:cs="Arial"/>
        </w:rPr>
        <w:fldChar w:fldCharType="end"/>
      </w:r>
      <w:r w:rsidRPr="00CA0397">
        <w:rPr>
          <w:rFonts w:ascii="Calibri" w:eastAsia="Calibri" w:hAnsi="Calibri" w:cs="Arial"/>
        </w:rPr>
        <w:t>.</w:t>
      </w:r>
      <w:r w:rsidRPr="00CA0397">
        <w:rPr>
          <w:rFonts w:ascii="Calibri" w:eastAsia="Calibri" w:hAnsi="Calibri" w:cs="Arial"/>
          <w:vertAlign w:val="superscript"/>
        </w:rPr>
        <w:t xml:space="preserve"> </w:t>
      </w:r>
      <w:r w:rsidRPr="00CA0397">
        <w:rPr>
          <w:rFonts w:ascii="Calibri" w:eastAsia="Calibri" w:hAnsi="Calibri" w:cs="Arial"/>
        </w:rPr>
        <w:t>This has provided a way of making promising, but expensive, cancer drugs available to patients without exposing the payer to considerable financial risk. If the drugs on the scheme are not as effective as was originally thought, the payer has the option to limit their use, or to reduce their price.</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PBRSAs have been implemented in many areas of health care and the general challenges in the development and implementation of schemes have been discussed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MW7JVBG3","properties":{"formattedCitation":"[8,10\\uc0\\u8211{}12]","plainCitation":"[8,10–12]","noteIndex":0},"citationItems":[{"id":65212,"uris":["http://zotero.org/users/2048679/items/A5A2URJY"],"uri":["http://zotero.org/users/2048679/items/A5A2URJY"],"itemData":{"id":65212,"type":"article-journal","container-title":"Value in Health","DOI":"10.1016/j.jval.2013.04.011","ISSN":"10983015","issue":"5","journalAbbreviation":"Value in Health","language":"en","page":"703-719","source":"DOI.org (Crossref)","title":"Performance-Based Risk-Sharing Arrangements—Good Practices for Design, Implementation, and Evaluation: Report of the ISPOR Good Practices for Performance-Based Risk-Sharing Arrangements Task Force","title-short":"Performance-Based Risk-Sharing Arrangements—Good Practices for Design, Implementation, and Evaluation","volume":"16","author":[{"family":"Garrison","given":"Louis P."},{"family":"Towse","given":"Adrian"},{"family":"Briggs","given":"Andrew"},{"family":"Pouvourville","given":"Gerard","non-dropping-particle":"de"},{"family":"Grueger","given":"Jens"},{"family":"Mohr","given":"Penny E."},{"family":"Severens","given":"J.L. (Hans)"},{"family":"Siviero","given":"Paolo"},{"family":"Sleeper","given":"Miguel"}],"issued":{"date-parts":[["2013",7]]}},"label":"page"},{"id":65232,"uris":["http://zotero.org/users/2048679/items/4BN6UDZF"],"uri":["http://zotero.org/users/2048679/items/4BN6UDZF"],"itemData":{"id":65232,"type":"article-journal","container-title":"Health Policy and Technology","DOI":"10.1016/j.hlpt.2020.02.006","ISSN":"22118837","journalAbbreviation":"Health Policy and Technology","language":"en","page":"S2211883720300137","source":"DOI.org (Crossref)","title":"Challenges with coverage with evidence development schemes for medical devices: A systematic review","title-short":"Challenges with coverage with evidence development schemes for medical devices","author":[{"family":"Reckers-Droog","given":"Vivian"},{"family":"Federici","given":"Carlo"},{"family":"Brouwer","given":"Werner"},{"family":"Drummond","given":"Michael"}],"issued":{"date-parts":[["2020",2]]}},"label":"page"},{"id":65599,"uris":["http://zotero.org/users/2048679/items/5UCFC4DQ"],"uri":["http://zotero.org/users/2048679/items/5UCFC4DQ"],"itemData":{"id":65599,"type":"article-journal","container-title":"PharmacoEconomics","DOI":"10.2165/11530820-000000000-00000","ISSN":"1170-7690","issue":"2","journalAbbreviation":"PharmacoEconomics","language":"en","page":"113-142","source":"DOI.org (Crossref)","title":"Funding the Unfundable: Mechanisms for Managing Uncertainty in Decisions on the Introduction of New and Innovative Technologies into Healthcare Systems","title-short":"Funding the Unfundable","volume":"28","author":[{"family":"Stafinski","given":"Tania"},{"family":"McCabe","given":"Christopher J."},{"family":"Menon","given":"Devidas"}],"issued":{"date-parts":[["2010",2]]}},"label":"page"},{"id":65215,"uris":["http://zotero.org/users/2048679/items/PJNL7VI7"],"uri":["http://zotero.org/users/2048679/items/PJNL7VI7"],"itemData":{"id":65215,"type":"article-journal","container-title":"The European Journal of Health Economics","DOI":"10.1007/s10198-015-0683-z","ISSN":"1618-7598, 1618-7601","issue":"6","journalAbbreviation":"Eur J Health Econ","language":"en","page":"569-571","source":"DOI.org (Crossref)","title":"When do performance-based risk-sharing arrangements make sense?","volume":"16","author":[{"family":"Drummond","given":"Michael"}],"issued":{"date-parts":[["2015",7]]}}}],"schema":"https://github.com/citation-style-language/schema/raw/master/csl-citation.json"}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szCs w:val="24"/>
        </w:rPr>
        <w:t>[8,10–12]</w:t>
      </w:r>
      <w:r w:rsidRPr="00CA0397">
        <w:rPr>
          <w:rFonts w:ascii="Calibri" w:eastAsia="Calibri" w:hAnsi="Calibri" w:cs="Arial"/>
        </w:rPr>
        <w:fldChar w:fldCharType="end"/>
      </w:r>
      <w:r w:rsidRPr="00CA0397">
        <w:rPr>
          <w:rFonts w:ascii="Calibri" w:eastAsia="Calibri" w:hAnsi="Calibri" w:cs="Arial"/>
        </w:rPr>
        <w:t>. The purpose of this paper is to explore their potential in the field of renal care. This field is relevant given the high economic burden and the uncertainties surrounding the economic consequences of adopting new technologies in chronic diseases, where expenditure is continuous and ‘savings’ may be hard to realise. First, it reports the results of a literature review, conducted in order to identify any existing PBRSAs in the public domain and the opportunities and challenges of these agreements more generally. Secondly, two case studies are developed to analyse the applicability of risk-sharing agreements in terms of opportunities and barriers for implementation in renal care.</w:t>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rPr>
          <w:rFonts w:ascii="Calibri" w:eastAsia="Calibri" w:hAnsi="Calibri" w:cs="Arial"/>
          <w:b/>
          <w:sz w:val="28"/>
          <w:szCs w:val="28"/>
        </w:rPr>
      </w:pPr>
    </w:p>
    <w:p w:rsidR="00CA0397" w:rsidRPr="00CA0397" w:rsidRDefault="00CA0397" w:rsidP="00CA0397">
      <w:pPr>
        <w:spacing w:after="200" w:line="276" w:lineRule="auto"/>
        <w:outlineLvl w:val="1"/>
        <w:rPr>
          <w:rFonts w:ascii="Calibri" w:eastAsia="Calibri" w:hAnsi="Calibri" w:cs="Arial"/>
          <w:sz w:val="28"/>
          <w:szCs w:val="28"/>
        </w:rPr>
      </w:pPr>
      <w:r w:rsidRPr="00CA0397">
        <w:rPr>
          <w:rFonts w:ascii="Calibri" w:eastAsia="Calibri" w:hAnsi="Calibri" w:cs="Arial"/>
          <w:sz w:val="28"/>
          <w:szCs w:val="28"/>
        </w:rPr>
        <w:t>2. Methods</w:t>
      </w:r>
    </w:p>
    <w:p w:rsidR="00CA0397" w:rsidRPr="00CA0397" w:rsidRDefault="00CA0397" w:rsidP="00CA0397">
      <w:pPr>
        <w:spacing w:after="200" w:line="276" w:lineRule="auto"/>
        <w:rPr>
          <w:rFonts w:ascii="Calibri" w:eastAsia="Calibri" w:hAnsi="Calibri" w:cs="Arial"/>
          <w:lang w:val="en-US"/>
        </w:rPr>
      </w:pPr>
      <w:r w:rsidRPr="00CA0397">
        <w:rPr>
          <w:rFonts w:ascii="Calibri" w:eastAsia="Calibri" w:hAnsi="Calibri" w:cs="Arial"/>
        </w:rPr>
        <w:br/>
        <w:t xml:space="preserve">First, a scoping review of the available literature was conducted up until September 2018 using relevant items from the PRISMA checklist as guidance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zM1lU5b7","properties":{"unsorted":true,"formattedCitation":"[13,14]","plainCitation":"[13,14]","noteIndex":0},"citationItems":[{"id":65669,"uris":["http://zotero.org/users/2048679/items/T6EIBTSP"],"uri":["http://zotero.org/users/2048679/items/T6EIBTSP"],"itemData":{"id":65669,"type":"article-journal","container-title":"Annals of Internal Medicine","DOI":"10.7326/M18-0850","ISSN":"0003-4819","issue":"7","journalAbbreviation":"Ann Intern Med","language":"en","page":"467","source":"DOI.org (Crossref)","title":"PRISMA Extension for Scoping Reviews (PRISMA-ScR): Checklist and Explanation","title-short":"PRISMA Extension for Scoping Reviews (PRISMA-ScR)","volume":"169","author":[{"family":"Tricco","given":"Andrea C."},{"family":"Lillie","given":"Erin"},{"family":"Zarin","given":"Wasifa"},{"family":"O'Brien","given":"Kelly K."},{"family":"Colquhoun","given":"Heather"},{"family":"Levac","given":"Danielle"},{"family":"Moher","given":"David"},{"family":"Peters","given":"Micah D.J."},{"family":"Horsley","given":"Tanya"},{"family":"Weeks","given":"Laura"},{"family":"Hempel","given":"Susanne"},{"family":"Akl","given":"Elie A."},{"family":"Chang","given":"Christine"},{"family":"McGowan","given":"Jessie"},{"family":"Stewart","given":"Lesley"},{"family":"Hartling","given":"Lisa"},{"family":"Aldcroft","given":"Adrian"},{"family":"Wilson","given":"Michael G."},{"family":"Garritty","given":"Chantelle"},{"family":"Lewin","given":"Simon"},{"family":"Godfrey","given":"Christina M."},{"family":"Macdonald","given":"Marilyn T."},{"family":"Langlois","given":"Etienne V."},{"family":"Soares-Weiser","given":"Karla"},{"family":"Moriarty","given":"Jo"},{"family":"Clifford","given":"Tammy"},{"family":"Tunçalp","given":"Özge"},{"family":"Straus","given":"Sharon E."}],"issued":{"date-parts":[["2018",10,2]]}},"label":"page"},{"id":65600,"uris":["http://zotero.org/users/2048679/items/LTK565CJ"],"uri":["http://zotero.org/users/2048679/items/LTK565CJ"],"itemData":{"id":65600,"type":"article-journal","container-title":"BMJ","DOI":"10.1136/bmj.b2535","ISSN":"0959-8138, 1468-5833","issue":"jul21 1","journalAbbreviation":"BMJ","language":"en","page":"b2535-b2535","source":"DOI.org (Crossref)","title":"Preferred reporting items for systematic reviews and meta-analyses: the PRISMA statement","title-short":"Preferred reporting items for systematic reviews and meta-analyses","volume":"339","author":[{"family":"Moher","given":"D."},{"family":"Liberati","given":"A."},{"family":"Tetzlaff","given":"J."},{"family":"Altman","given":"D. G"},{"literal":"for the PRISMA Group"}],"issued":{"date-parts":[["2009",7,21]]}},"label":"page"}],"schema":"https://github.com/citation-style-language/schema/raw/master/csl-citation.json"}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[13,14]</w:t>
      </w:r>
      <w:r w:rsidRPr="00CA0397">
        <w:rPr>
          <w:rFonts w:ascii="Calibri" w:eastAsia="Calibri" w:hAnsi="Calibri" w:cs="Arial"/>
        </w:rPr>
        <w:fldChar w:fldCharType="end"/>
      </w:r>
      <w:r w:rsidRPr="00CA0397">
        <w:rPr>
          <w:rFonts w:ascii="Calibri" w:eastAsia="Calibri" w:hAnsi="Calibri" w:cs="Arial"/>
        </w:rPr>
        <w:t xml:space="preserve"> . The bibliographic databases searched were Ovid (including Medline), </w:t>
      </w:r>
      <w:proofErr w:type="spellStart"/>
      <w:r w:rsidRPr="00CA0397">
        <w:rPr>
          <w:rFonts w:ascii="Calibri" w:eastAsia="Calibri" w:hAnsi="Calibri" w:cs="Arial"/>
        </w:rPr>
        <w:t>Embase</w:t>
      </w:r>
      <w:proofErr w:type="spellEnd"/>
      <w:r w:rsidRPr="00CA0397">
        <w:rPr>
          <w:rFonts w:ascii="Calibri" w:eastAsia="Calibri" w:hAnsi="Calibri" w:cs="Arial"/>
        </w:rPr>
        <w:t xml:space="preserve"> and Web of Science. The eligibility criteria for inclusion were defined as follows: (</w:t>
      </w:r>
      <w:proofErr w:type="spellStart"/>
      <w:r w:rsidRPr="00CA0397">
        <w:rPr>
          <w:rFonts w:ascii="Calibri" w:eastAsia="Calibri" w:hAnsi="Calibri" w:cs="Arial"/>
        </w:rPr>
        <w:t>i</w:t>
      </w:r>
      <w:proofErr w:type="spellEnd"/>
      <w:r w:rsidRPr="00CA0397">
        <w:rPr>
          <w:rFonts w:ascii="Calibri" w:eastAsia="Calibri" w:hAnsi="Calibri" w:cs="Arial"/>
        </w:rPr>
        <w:t xml:space="preserve">) </w:t>
      </w:r>
      <w:r w:rsidRPr="00CA0397">
        <w:rPr>
          <w:rFonts w:ascii="Calibri" w:eastAsia="Calibri" w:hAnsi="Calibri" w:cs="Arial"/>
          <w:i/>
          <w:lang w:val="en-US"/>
        </w:rPr>
        <w:t>Condition/disease</w:t>
      </w:r>
      <w:r w:rsidRPr="00CA0397">
        <w:rPr>
          <w:rFonts w:ascii="Calibri" w:eastAsia="Calibri" w:hAnsi="Calibri" w:cs="Arial"/>
          <w:lang w:val="en-US"/>
        </w:rPr>
        <w:t xml:space="preserve">: any stage of chronic kidney disease (CKD) and related complications (ii) </w:t>
      </w:r>
      <w:r w:rsidRPr="00CA0397">
        <w:rPr>
          <w:rFonts w:ascii="Calibri" w:eastAsia="Calibri" w:hAnsi="Calibri" w:cs="Arial"/>
          <w:i/>
          <w:lang w:val="en-US"/>
        </w:rPr>
        <w:lastRenderedPageBreak/>
        <w:t>Scope</w:t>
      </w:r>
      <w:r w:rsidRPr="00CA0397">
        <w:rPr>
          <w:rFonts w:ascii="Calibri" w:eastAsia="Calibri" w:hAnsi="Calibri" w:cs="Arial"/>
          <w:lang w:val="en-US"/>
        </w:rPr>
        <w:t>: studies discussing main characteristics, challenges and/or opportunities of existing performance-</w:t>
      </w:r>
      <w:proofErr w:type="gramStart"/>
      <w:r w:rsidRPr="00CA0397">
        <w:rPr>
          <w:rFonts w:ascii="Calibri" w:eastAsia="Calibri" w:hAnsi="Calibri" w:cs="Arial"/>
          <w:lang w:val="en-US"/>
        </w:rPr>
        <w:t>based  risk</w:t>
      </w:r>
      <w:proofErr w:type="gramEnd"/>
      <w:r w:rsidRPr="00CA0397">
        <w:rPr>
          <w:rFonts w:ascii="Calibri" w:eastAsia="Calibri" w:hAnsi="Calibri" w:cs="Arial"/>
          <w:lang w:val="en-US"/>
        </w:rPr>
        <w:t xml:space="preserve">-sharing arrangements in renal care, or other schemes where payments for renal care are made conditional on the assessed performance of the technology. All types of studies, except for meeting abstracts, were included if published in English. Editorials were assessed on a case-by-case basis, to determine if they discussed relevant aspects of risk-sharing agreements. </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lang w:val="en-US"/>
        </w:rPr>
        <w:t>The full strategy used for identifying relevant records is reported in Appendix 1.</w:t>
      </w:r>
      <w:r w:rsidRPr="00CA0397">
        <w:rPr>
          <w:rFonts w:ascii="Calibri" w:eastAsia="Calibri" w:hAnsi="Calibri" w:cs="Arial"/>
        </w:rPr>
        <w:t xml:space="preserve">A search for “unpublished” or “grey” literature was also performed on Google using different combinations of the original search terms and the New York Academy of Medicine Grey Literature report. One reviewer performed the literature search, screened the records and extracted the data from the included studies. </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lang w:val="en-US"/>
        </w:rPr>
        <w:t xml:space="preserve">Since there is not always agreement on what constitutes a PBRSA, and these types of schemes are known under many different names, a broad search strategy was adopted encompassing all types of performance-based schemes, including pay-for-performance (P4P) schemes. Subsequently, the types of arrangements discussed in the identified records were classified by the authors as either PBRSAs or P4P arrangements. PBRSAs were identified using the 5 criteria proposed in the taxonomy by Garrison et al. </w:t>
      </w:r>
      <w:r w:rsidRPr="00CA0397">
        <w:rPr>
          <w:rFonts w:ascii="Calibri" w:eastAsia="Calibri" w:hAnsi="Calibri" w:cs="Arial"/>
          <w:lang w:val="en-US"/>
        </w:rPr>
        <w:fldChar w:fldCharType="begin"/>
      </w:r>
      <w:r w:rsidRPr="00CA0397">
        <w:rPr>
          <w:rFonts w:ascii="Calibri" w:eastAsia="Calibri" w:hAnsi="Calibri" w:cs="Arial"/>
          <w:lang w:val="en-US"/>
        </w:rPr>
        <w:instrText xml:space="preserve"> ADDIN ZOTERO_ITEM CSL_CITATION {"citationID":"7903U1vB","properties":{"formattedCitation":"[8]","plainCitation":"[8]","noteIndex":0},"citationItems":[{"id":65212,"uris":["http://zotero.org/users/2048679/items/A5A2URJY"],"uri":["http://zotero.org/users/2048679/items/A5A2URJY"],"itemData":{"id":65212,"type":"article-journal","container-title":"Value in Health","DOI":"10.1016/j.jval.2013.04.011","ISSN":"10983015","issue":"5","journalAbbreviation":"Value in Health","language":"en","page":"703-719","source":"DOI.org (Crossref)","title":"Performance-Based Risk-Sharing Arrangements—Good Practices for Design, Implementation, and Evaluation: Report of the ISPOR Good Practices for Performance-Based Risk-Sharing Arrangements Task Force","title-short":"Performance-Based Risk-Sharing Arrangements—Good Practices for Design, Implementation, and Evaluation","volume":"16","author":[{"family":"Garrison","given":"Louis P."},{"family":"Towse","given":"Adrian"},{"family":"Briggs","given":"Andrew"},{"family":"Pouvourville","given":"Gerard","non-dropping-particle":"de"},{"family":"Grueger","given":"Jens"},{"family":"Mohr","given":"Penny E."},{"family":"Severens","given":"J.L. (Hans)"},{"family":"Siviero","given":"Paolo"},{"family":"Sleeper","given":"Miguel"}],"issued":{"date-parts":[["2013",7]]}}}],"schema":"https://github.com/citation-style-language/schema/raw/master/csl-citation.json"} </w:instrText>
      </w:r>
      <w:r w:rsidRPr="00CA0397">
        <w:rPr>
          <w:rFonts w:ascii="Calibri" w:eastAsia="Calibri" w:hAnsi="Calibri" w:cs="Arial"/>
          <w:lang w:val="en-US"/>
        </w:rPr>
        <w:fldChar w:fldCharType="separate"/>
      </w:r>
      <w:r w:rsidRPr="00CA0397">
        <w:rPr>
          <w:rFonts w:ascii="Calibri" w:eastAsia="Calibri" w:hAnsi="Calibri" w:cs="Calibri"/>
        </w:rPr>
        <w:t>[8]</w:t>
      </w:r>
      <w:r w:rsidRPr="00CA0397">
        <w:rPr>
          <w:rFonts w:ascii="Calibri" w:eastAsia="Calibri" w:hAnsi="Calibri" w:cs="Arial"/>
          <w:lang w:val="en-US"/>
        </w:rPr>
        <w:fldChar w:fldCharType="end"/>
      </w:r>
      <w:r w:rsidRPr="00CA0397">
        <w:rPr>
          <w:rFonts w:ascii="Calibri" w:eastAsia="Calibri" w:hAnsi="Calibri" w:cs="Arial"/>
          <w:lang w:val="en-US"/>
        </w:rPr>
        <w:t xml:space="preserve"> (Box1), whereas P4P schemes were defined as </w:t>
      </w:r>
      <w:r w:rsidRPr="00CA0397">
        <w:rPr>
          <w:rFonts w:ascii="Calibri" w:eastAsia="Calibri" w:hAnsi="Calibri" w:cs="Arial"/>
        </w:rPr>
        <w:t xml:space="preserve">schemes whose main objective is to improve quality of care by tying reimbursement to metric-driven outcomes, best practices and/or patient satisfaction, rather than to reduce decision uncertainty on coverage or reimbursement of a specific new technology or service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wJH8DG1y","properties":{"formattedCitation":"[15,16]","plainCitation":"[15,16]","noteIndex":0},"citationItems":[{"id":65620,"uris":["http://zotero.org/users/2048679/items/NRE3M6F7"],"uri":["http://zotero.org/users/2048679/items/NRE3M6F7"],"itemData":{"id":65620,"type":"article-journal","container-title":"BMJ","DOI":"10.1136/bmj.39463.454815.94","ISSN":"0959-8138, 1468-5833","issue":"7639","journalAbbreviation":"BMJ","language":"en","page":"306-308","source":"DOI.org (Crossref)","title":"Payment for performance in health care","volume":"336","author":[{"family":"Mannion","given":"Russell"},{"family":"Davies","given":"Huw T O"}],"issued":{"date-parts":[["2008",2,9]]}},"label":"page"},{"id":65619,"uris":["http://zotero.org/users/2048679/items/DJYSQNA9"],"uri":["http://zotero.org/users/2048679/items/DJYSQNA9"],"itemData":{"id":65619,"type":"report","genre":"CRS reports for services","publisher":"Congressional Research Services (CRS)","title":"Pay-for-Performance in Health Care","author":[{"family":"Hahn","given":"jim"}],"issued":{"date-parts":[["2006"]]}},"label":"page"}],"schema":"https://github.com/citation-style-language/schema/raw/master/csl-citation.json"}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[15,16]</w:t>
      </w:r>
      <w:r w:rsidRPr="00CA0397">
        <w:rPr>
          <w:rFonts w:ascii="Calibri" w:eastAsia="Calibri" w:hAnsi="Calibri" w:cs="Arial"/>
        </w:rPr>
        <w:fldChar w:fldCharType="end"/>
      </w:r>
      <w:r w:rsidRPr="00CA0397">
        <w:rPr>
          <w:rFonts w:ascii="Calibri" w:eastAsia="Calibri" w:hAnsi="Calibri" w:cs="Arial"/>
        </w:rPr>
        <w:t xml:space="preserve">. </w:t>
      </w:r>
    </w:p>
    <w:p w:rsidR="00CA0397" w:rsidRPr="00CA0397" w:rsidRDefault="00CA0397" w:rsidP="00CA0397">
      <w:pPr>
        <w:spacing w:after="200" w:line="276" w:lineRule="auto"/>
        <w:rPr>
          <w:rFonts w:ascii="Calibri" w:eastAsia="Calibri" w:hAnsi="Calibri" w:cs="Arial"/>
          <w:lang w:val="en-US"/>
        </w:rPr>
      </w:pPr>
      <w:r w:rsidRPr="00CA0397">
        <w:rPr>
          <w:rFonts w:ascii="Calibri" w:eastAsia="Calibri" w:hAnsi="Calibri" w:cs="Arial"/>
        </w:rPr>
        <w:t xml:space="preserve">Box 1 </w:t>
      </w:r>
      <w:r w:rsidRPr="00CA0397">
        <w:rPr>
          <w:rFonts w:ascii="Calibri" w:eastAsia="Calibri" w:hAnsi="Calibri" w:cs="Arial"/>
          <w:lang w:val="en-US"/>
        </w:rPr>
        <w:t>Key Characteristics of PBRSAs</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lang w:val="en-US"/>
        </w:rPr>
        <w:t xml:space="preserve">Data from the identified studies were extracted according to a predefined extraction template, which included the target patient population (e.g. chronic kidney disease (CKD) stage 3 to 5, End-Stage Renal Disease patients); the name and description of any performance-based risk-sharing agreement included; and the country or setting where the scheme was implemented. In addition, information on the challenges or success factors for the schemes was collected including data on their desirability/appropriateness, design, implementation and evaluation of the outcomes obtained. </w:t>
      </w:r>
    </w:p>
    <w:p w:rsidR="00CA0397" w:rsidRPr="00CA0397" w:rsidRDefault="00CA0397" w:rsidP="00CA0397">
      <w:pPr>
        <w:spacing w:after="200" w:line="276" w:lineRule="auto"/>
        <w:rPr>
          <w:rFonts w:ascii="Calibri" w:eastAsia="Times New Roman" w:hAnsi="Calibri" w:cs="Times New Roman"/>
          <w:b/>
          <w:bCs/>
          <w:sz w:val="28"/>
        </w:rPr>
      </w:pPr>
      <w:r w:rsidRPr="00CA0397">
        <w:rPr>
          <w:rFonts w:ascii="Calibri" w:eastAsia="Calibri" w:hAnsi="Calibri" w:cs="Arial"/>
        </w:rPr>
        <w:t xml:space="preserve">Second, since the review only </w:t>
      </w:r>
      <w:proofErr w:type="gramStart"/>
      <w:r w:rsidRPr="00CA0397">
        <w:rPr>
          <w:rFonts w:ascii="Calibri" w:eastAsia="Calibri" w:hAnsi="Calibri" w:cs="Arial"/>
        </w:rPr>
        <w:t>identified  schemes</w:t>
      </w:r>
      <w:proofErr w:type="gramEnd"/>
      <w:r w:rsidRPr="00CA0397">
        <w:rPr>
          <w:rFonts w:ascii="Calibri" w:eastAsia="Calibri" w:hAnsi="Calibri" w:cs="Arial"/>
        </w:rPr>
        <w:t xml:space="preserve"> at the national level, two hypothetical case studies were developed reflecting different situations in which a PBRSA could be relevant locally: (</w:t>
      </w:r>
      <w:proofErr w:type="spellStart"/>
      <w:r w:rsidRPr="00CA0397">
        <w:rPr>
          <w:rFonts w:ascii="Calibri" w:eastAsia="Calibri" w:hAnsi="Calibri" w:cs="Arial"/>
        </w:rPr>
        <w:t>i</w:t>
      </w:r>
      <w:proofErr w:type="spellEnd"/>
      <w:r w:rsidRPr="00CA0397">
        <w:rPr>
          <w:rFonts w:ascii="Calibri" w:eastAsia="Calibri" w:hAnsi="Calibri" w:cs="Arial"/>
        </w:rPr>
        <w:t>) an agreement related to the adoption of a new technology or service (Water Quality Management); and (ii) an agreement related to the adoption of a new model of care (Integrated Chronic Kidney Disease Programme).</w:t>
      </w:r>
      <w:r w:rsidRPr="00CA0397">
        <w:rPr>
          <w:rFonts w:ascii="Calibri" w:eastAsia="Calibri" w:hAnsi="Calibri" w:cs="Arial"/>
          <w:b/>
          <w:sz w:val="28"/>
          <w:szCs w:val="28"/>
        </w:rPr>
        <w:t xml:space="preserve"> </w:t>
      </w:r>
      <w:r w:rsidRPr="00CA0397">
        <w:rPr>
          <w:rFonts w:ascii="Calibri" w:eastAsia="Calibri" w:hAnsi="Calibri" w:cs="Arial"/>
        </w:rPr>
        <w:t xml:space="preserve">In each case, the opportunities for a risk-sharing agreement and the key features of such an arrangement were discussed, including the outcome(s) to be monitored, the design for data collection, the likely time horizon for the agreement and the possible financial arrangements. </w:t>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outlineLvl w:val="1"/>
        <w:rPr>
          <w:rFonts w:ascii="Calibri" w:eastAsia="Calibri" w:hAnsi="Calibri" w:cs="Arial"/>
          <w:b/>
          <w:sz w:val="28"/>
          <w:szCs w:val="28"/>
        </w:rPr>
      </w:pPr>
      <w:r w:rsidRPr="00CA0397">
        <w:rPr>
          <w:rFonts w:ascii="Calibri" w:eastAsia="Calibri" w:hAnsi="Calibri" w:cs="Arial"/>
          <w:b/>
          <w:sz w:val="28"/>
          <w:szCs w:val="28"/>
        </w:rPr>
        <w:t>3. Results</w:t>
      </w:r>
    </w:p>
    <w:p w:rsidR="00CA0397" w:rsidRPr="00CA0397" w:rsidRDefault="00CA0397" w:rsidP="00CA0397">
      <w:pPr>
        <w:keepNext/>
        <w:keepLines/>
        <w:spacing w:before="200" w:after="0" w:line="276" w:lineRule="auto"/>
        <w:outlineLvl w:val="2"/>
        <w:rPr>
          <w:rFonts w:ascii="Calibri" w:eastAsia="Times New Roman" w:hAnsi="Calibri" w:cs="Times New Roman"/>
          <w:b/>
          <w:bCs/>
          <w:sz w:val="24"/>
        </w:rPr>
      </w:pPr>
      <w:r w:rsidRPr="00CA0397">
        <w:rPr>
          <w:rFonts w:ascii="Calibri" w:eastAsia="Times New Roman" w:hAnsi="Calibri" w:cs="Times New Roman"/>
          <w:b/>
          <w:bCs/>
          <w:sz w:val="24"/>
        </w:rPr>
        <w:t>3.1 Literature review</w:t>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lastRenderedPageBreak/>
        <w:t xml:space="preserve">In total, 1256 non-duplicate records were identified from the selected bibliographic sources, and 99 potentially relevant papers were retrieved for full-text analysis, after initial title and abstract screening. Of these, 42 records were discarded as they discussed schemes such as </w:t>
      </w:r>
      <w:r w:rsidRPr="00CA0397">
        <w:rPr>
          <w:rFonts w:ascii="Calibri" w:eastAsia="Calibri" w:hAnsi="Calibri" w:cs="Arial"/>
          <w:lang w:val="en-US"/>
        </w:rPr>
        <w:t xml:space="preserve">disease management or continuous quality improvements, </w:t>
      </w:r>
      <w:r w:rsidRPr="00CA0397">
        <w:rPr>
          <w:rFonts w:ascii="Calibri" w:eastAsia="Calibri" w:hAnsi="Calibri" w:cs="Arial"/>
        </w:rPr>
        <w:t xml:space="preserve">where data collection and performance monitoring were not linked to payment or reimbursement of the technologies or service concerned. Another 20 studies were excluded as they did not discuss any challenges or success factors of the schemes, and a further 19 studies were excluded for not meeting one or more of the other inclusion criteria. The flowchart (PRISMA diagram) of the study selection process is shown in Figure 2. Finally, 18 records met the inclusion criteria and were included in the review. Of these, 16 were classified as discussing P4P schemes, and 2 were classified as discussing PBRSAs. Details of all the records identified are given in Appendix 2. </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Figure 2 PRISMA Diagram</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The two papers</w:t>
      </w:r>
      <w:r w:rsidRPr="00CA0397" w:rsidDel="00AD47D6">
        <w:rPr>
          <w:rFonts w:ascii="Calibri" w:eastAsia="Calibri" w:hAnsi="Calibri" w:cs="Arial"/>
        </w:rPr>
        <w:t xml:space="preserve"> </w:t>
      </w:r>
      <w:r w:rsidRPr="00CA0397">
        <w:rPr>
          <w:rFonts w:ascii="Calibri" w:eastAsia="Calibri" w:hAnsi="Calibri" w:cs="Arial"/>
        </w:rPr>
        <w:t xml:space="preserve">addressing PBRSAs </w:t>
      </w:r>
      <w:r w:rsidRPr="00CA0397" w:rsidDel="00AD47D6">
        <w:rPr>
          <w:rFonts w:ascii="Calibri" w:eastAsia="Calibri" w:hAnsi="Calibri" w:cs="Arial"/>
        </w:rPr>
        <w:t xml:space="preserve"> </w:t>
      </w:r>
      <w:r w:rsidRPr="00CA0397">
        <w:rPr>
          <w:rFonts w:ascii="Calibri" w:eastAsia="Calibri" w:hAnsi="Calibri" w:cs="Arial"/>
        </w:rPr>
        <w:t xml:space="preserve">mainly </w:t>
      </w:r>
      <w:r w:rsidRPr="00CA0397" w:rsidDel="00AD47D6">
        <w:rPr>
          <w:rFonts w:ascii="Calibri" w:eastAsia="Calibri" w:hAnsi="Calibri" w:cs="Arial"/>
        </w:rPr>
        <w:t xml:space="preserve">discussed the potential of </w:t>
      </w:r>
      <w:r w:rsidRPr="00CA0397">
        <w:rPr>
          <w:rFonts w:ascii="Calibri" w:eastAsia="Calibri" w:hAnsi="Calibri" w:cs="Arial"/>
        </w:rPr>
        <w:t>these schemes</w:t>
      </w:r>
      <w:r w:rsidRPr="00CA0397" w:rsidDel="00AD47D6">
        <w:rPr>
          <w:rFonts w:ascii="Calibri" w:eastAsia="Calibri" w:hAnsi="Calibri" w:cs="Arial"/>
        </w:rPr>
        <w:t xml:space="preserve"> to overcome the specific challenges of collecting clinical evidence in nephrology and reducing uncertainty in decision making concerning the adoption of a specific technology or model of care</w:t>
      </w:r>
      <w:r w:rsidRPr="00CA0397">
        <w:rPr>
          <w:rFonts w:ascii="Calibri" w:eastAsia="Calibri" w:hAnsi="Calibri" w:cs="Arial"/>
        </w:rPr>
        <w:t xml:space="preserve">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9HeXQfVS","properties":{"formattedCitation":"[17,18]","plainCitation":"[17,18]","noteIndex":0},"citationItems":[{"id":65603,"uris":["http://zotero.org/users/2048679/items/PUU3Y7RX"],"uri":["http://zotero.org/users/2048679/items/PUU3Y7RX"],"itemData":{"id":65603,"type":"article-journal","container-title":"American Journal of Kidney Diseases","DOI":"10.1053/j.ajkd.2011.02.377","ISSN":"02726386","issue":"1","journalAbbreviation":"American Journal of Kidney Diseases","language":"en","page":"13-18","source":"DOI.org (Crossref)","title":"A Proposal for Improving Evidence Generation in Nephrology","volume":"58","author":[{"family":"Mendelssohn","given":"David C."},{"family":"Manns","given":"Braden J."}],"issued":{"date-parts":[["2011",7]]}},"label":"page"},{"id":65602,"uris":["http://zotero.org/users/2048679/items/3DXKMJX9"],"uri":["http://zotero.org/users/2048679/items/3DXKMJX9"],"itemData":{"id":65602,"type":"article-journal","container-title":"Seminars in Dialysis","DOI":"10.1111/j.1525-139X.2011.00970.x","ISSN":"08940959","issue":"5","language":"en","page":"556-559","source":"DOI.org (Crossref)","title":"Conditionally Funded Field Evaluations-A Solution to the Economic Barriers Limiting Evidence Generation in Dialysis?: FIELD EVALUATIONS IN DIALYSIS","title-short":"Conditionally Funded Field Evaluations-A Solution to the Economic Barriers Limiting Evidence Generation in Dialysis?","volume":"24","author":[{"family":"Mendelssohn","given":"David C."},{"family":"McFarlane","given":"Phil"}],"issued":{"date-parts":[["2011",9]]}},"label":"page"}],"schema":"https://github.com/citation-style-language/schema/raw/master/csl-citation.json"}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[17,18]</w:t>
      </w:r>
      <w:r w:rsidRPr="00CA0397">
        <w:rPr>
          <w:rFonts w:ascii="Calibri" w:eastAsia="Calibri" w:hAnsi="Calibri" w:cs="Arial"/>
        </w:rPr>
        <w:fldChar w:fldCharType="end"/>
      </w:r>
      <w:r w:rsidRPr="00CA0397" w:rsidDel="00AD47D6">
        <w:rPr>
          <w:rFonts w:ascii="Calibri" w:eastAsia="Calibri" w:hAnsi="Calibri" w:cs="Arial"/>
        </w:rPr>
        <w:t xml:space="preserve">. In both studies, the authors comment that a coverage with evidence development scheme, where coverage of a technology or service is made conditional on the collection of further clinical data, may be desirable from the perspectives of payers, manufacturers and patients. In fact, the rationale behind proposing PBRSAs in renal care resides in the fact that new treatments may have high potential, but there are both challenges and a lack of </w:t>
      </w:r>
      <w:r w:rsidRPr="00CA0397">
        <w:rPr>
          <w:rFonts w:ascii="Calibri" w:eastAsia="Calibri" w:hAnsi="Calibri" w:cs="Arial"/>
        </w:rPr>
        <w:t>encouragement f</w:t>
      </w:r>
      <w:r w:rsidRPr="00CA0397" w:rsidDel="00AD47D6">
        <w:rPr>
          <w:rFonts w:ascii="Calibri" w:eastAsia="Calibri" w:hAnsi="Calibri" w:cs="Arial"/>
        </w:rPr>
        <w:t xml:space="preserve">or manufacturers to conduct high quality studies such as RCTs, particularly those assessing hard clinical endpoints [7,8]. </w:t>
      </w:r>
      <w:r w:rsidRPr="00CA0397">
        <w:rPr>
          <w:rFonts w:ascii="Calibri" w:eastAsia="Calibri" w:hAnsi="Calibri" w:cs="Arial"/>
        </w:rPr>
        <w:t>The two papers are summarised in Box 2 below.</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Box 2 Structured summary of the papers discussing PBRSAs</w:t>
      </w:r>
    </w:p>
    <w:p w:rsidR="00CA0397" w:rsidRPr="00CA0397" w:rsidRDefault="00CA0397" w:rsidP="00CA0397">
      <w:pPr>
        <w:keepNext/>
        <w:keepLines/>
        <w:spacing w:before="200" w:after="0" w:line="276" w:lineRule="auto"/>
        <w:outlineLvl w:val="2"/>
        <w:rPr>
          <w:rFonts w:ascii="Calibri" w:eastAsia="Times New Roman" w:hAnsi="Calibri" w:cs="Times New Roman"/>
          <w:b/>
          <w:bCs/>
          <w:sz w:val="24"/>
        </w:rPr>
      </w:pPr>
      <w:r w:rsidRPr="00CA0397">
        <w:rPr>
          <w:rFonts w:ascii="Calibri" w:eastAsia="Times New Roman" w:hAnsi="Calibri" w:cs="Times New Roman"/>
          <w:b/>
          <w:bCs/>
          <w:sz w:val="24"/>
        </w:rPr>
        <w:t>3.2 Case studies</w:t>
      </w:r>
    </w:p>
    <w:p w:rsidR="00CA0397" w:rsidRPr="00CA0397" w:rsidRDefault="00CA0397" w:rsidP="00CA0397">
      <w:pPr>
        <w:spacing w:after="200" w:line="276" w:lineRule="auto"/>
        <w:rPr>
          <w:rFonts w:ascii="Calibri" w:eastAsia="Calibri" w:hAnsi="Calibri" w:cs="Arial"/>
          <w:szCs w:val="20"/>
        </w:rPr>
      </w:pPr>
      <w:r w:rsidRPr="00CA0397">
        <w:rPr>
          <w:rFonts w:ascii="Calibri" w:eastAsia="Calibri" w:hAnsi="Calibri" w:cs="Arial"/>
          <w:szCs w:val="20"/>
        </w:rPr>
        <w:t>The literature review outlined a number of the challenges in designing and conducting performance-based schemes in renal care. However, although 18 records in total were identified, only 2 of these discussed PBRSAs. All the schemes identified were national schemes, mainly aimed at improving clinical practice and case management by defining a set of financial incentives linked to certain pre-specified process and outcomes quality measures. No schemes at the local level were identified where the risk of residual uncertainties in the performance of potentially innovative technologies for renal care is shared between the manufacturer and the payer or healthcare provider. This may have been because such schemes do not exist in renal care, or because many of the details of schemes agreed between individual manufactures and providers are confidential, precluding publication. Therefore, we developed two hypothetical case studies based on situations in renal care for which we were aware that schemes existed, or were being planned. In selecting the cases we chose one relating to the introduction of a new technology and service and one relating to the adoption of a new care model.  The key characteristics of the two potential schemes are summarised in Table 1.</w:t>
      </w:r>
    </w:p>
    <w:p w:rsidR="00CA0397" w:rsidRPr="00CA0397" w:rsidRDefault="00CA0397" w:rsidP="00CA0397">
      <w:pPr>
        <w:spacing w:after="200" w:line="276" w:lineRule="auto"/>
        <w:rPr>
          <w:rFonts w:ascii="Calibri" w:eastAsia="Calibri" w:hAnsi="Calibri" w:cs="Arial"/>
          <w:szCs w:val="20"/>
        </w:rPr>
      </w:pPr>
      <w:r w:rsidRPr="00CA0397">
        <w:rPr>
          <w:rFonts w:ascii="Calibri" w:eastAsia="Calibri" w:hAnsi="Calibri" w:cs="Arial"/>
          <w:szCs w:val="20"/>
        </w:rPr>
        <w:t xml:space="preserve">TABLE 1 Key Characteristics of Potential PBRSA Schemes </w:t>
      </w:r>
    </w:p>
    <w:p w:rsidR="00CA0397" w:rsidRPr="00CA0397" w:rsidRDefault="00CA0397" w:rsidP="00CA0397">
      <w:pPr>
        <w:spacing w:after="200" w:line="276" w:lineRule="auto"/>
        <w:rPr>
          <w:rFonts w:ascii="Calibri" w:eastAsia="Calibri" w:hAnsi="Calibri" w:cs="Arial"/>
          <w:i/>
        </w:rPr>
      </w:pPr>
    </w:p>
    <w:p w:rsidR="00CA0397" w:rsidRPr="00CA0397" w:rsidRDefault="00CA0397" w:rsidP="00CA0397">
      <w:pPr>
        <w:spacing w:after="200" w:line="276" w:lineRule="auto"/>
        <w:rPr>
          <w:rFonts w:ascii="Calibri" w:eastAsia="Calibri" w:hAnsi="Calibri" w:cs="Arial"/>
          <w:i/>
        </w:rPr>
      </w:pPr>
      <w:r w:rsidRPr="00CA0397">
        <w:rPr>
          <w:rFonts w:ascii="Calibri" w:eastAsia="Calibri" w:hAnsi="Calibri" w:cs="Arial"/>
          <w:i/>
        </w:rPr>
        <w:t>Water quality management</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This is an example of an agreement between a technology manufacturer and dialysis provider concerning the adoption of a new service at the hospital or provider level. Patients undergoing conventional dialysis three times per week are exposed to 300-600 litres of water per week. Dissolved chemical contaminants, or bacterial and/or endotoxin contamination of the dialysis water and/or dialysate can threaten the health, or even the life, of a haemodialysis patient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ZQe5g33A","properties":{"formattedCitation":"[19]","plainCitation":"[19]","noteIndex":0},"citationItems":[{"id":65605,"uris":["http://zotero.org/users/2048679/items/B66LIDGN"],"uri":["http://zotero.org/users/2048679/items/B66LIDGN"],"itemData":{"id":65605,"type":"book","ISBN":"978-3-95853-111-6","language":"English","note":"OCLC: 940476188","source":"Open WorldCat","title":"Water and dialysis fluids: a quality management guide","title-short":"Water and dialysis fluids","author":[{"family":"Boccato","given":"Carlo"},{"family":"Evans","given":"D. W"},{"family":"Lucena","given":"Rui"},{"family":"Vienken","given":"Jörg"}],"issued":{"date-parts":[["2015"]]}}}],"schema":"https://github.com/citation-style-language/schema/raw/master/csl-citation.json"}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[19]</w:t>
      </w:r>
      <w:r w:rsidRPr="00CA0397">
        <w:rPr>
          <w:rFonts w:ascii="Calibri" w:eastAsia="Calibri" w:hAnsi="Calibri" w:cs="Arial"/>
        </w:rPr>
        <w:fldChar w:fldCharType="end"/>
      </w:r>
      <w:r w:rsidRPr="00CA0397">
        <w:rPr>
          <w:rFonts w:ascii="Calibri" w:eastAsia="Calibri" w:hAnsi="Calibri" w:cs="Arial"/>
        </w:rPr>
        <w:t xml:space="preserve">. The source of water used in HD consists basically of drinking water, purified by various techniques, whose composition and quality depend on the raw water’s parameters. The quality of the water can change from season to season, or even from day to day. Therefore, monitoring the quality of the water used for dialysis is a vital aspect of HD treatment. </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From the dialysis provider’s perspective, ensuring the quality of the water can be time consuming and, if the quality falls below the acceptable level, this can be disruptive to dialysis services. Therefore, there may be value in a service that guarantees and takes legal responsibility for water quality and assumes the risk of any adverse consequences of poor water quality, for example by a purification system that incorporates continuous monitoring of water quality, providing the provider with documentation, checking pre-treatment parameters on a daily basis (e.g. chlorine level). Since such a service would only be available at a cost, the dialysis provider would need reassurance that it was good value for money and, as long as that is uncertain, may be hesitant to contract for the service. </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The PBRSA could be informed by a health technology assessment undertaken at the hospital level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RYNjaYfD","properties":{"formattedCitation":"[20]","plainCitation":"[20]","noteIndex":0},"citationItems":[{"id":65606,"uris":["http://zotero.org/users/2048679/items/5DMYABPT"],"uri":["http://zotero.org/users/2048679/items/5DMYABPT"],"itemData":{"id":65606,"type":"book","title":"The AdHopHTA handbook: a handbook of hospital-based health technology assessment","URL":"www.adhophta.eu","author":[{"family":"AdoptHTA","given":""}],"issued":{"date-parts":[["2015"]]}}}],"schema":"https://github.com/citation-style-language/schema/raw/master/csl-citation.json"}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[20]</w:t>
      </w:r>
      <w:r w:rsidRPr="00CA0397">
        <w:rPr>
          <w:rFonts w:ascii="Calibri" w:eastAsia="Calibri" w:hAnsi="Calibri" w:cs="Arial"/>
        </w:rPr>
        <w:fldChar w:fldCharType="end"/>
      </w:r>
      <w:r w:rsidRPr="00CA0397">
        <w:rPr>
          <w:rFonts w:ascii="Calibri" w:eastAsia="Calibri" w:hAnsi="Calibri" w:cs="Arial"/>
        </w:rPr>
        <w:t xml:space="preserve">. In order to establish the PBRSA, information would be required on the cost of water testing procedures currently in place in the dialysis centre concerned. In several jurisdictions, testing algorithms have been specified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VvF8Yicd","properties":{"formattedCitation":"[21]","plainCitation":"[21]","noteIndex":0},"citationItems":[{"id":65607,"uris":["http://zotero.org/users/2048679/items/R7F45EE9"],"uri":["http://zotero.org/users/2048679/items/R7F45EE9"],"itemData":{"id":65607,"type":"report","event-place":"Vancouver","publisher":"British Columbia Provincial Renal Agency (BCPRA)","publisher-place":"Vancouver","title":"Dialysate Water System Microbiology &amp; Endotoxin Sampling","author":[{"family":"British Columbia Provincial Renal Agency (BCPRA) Hemodialysis Committee","given":""}],"issued":{"date-parts":[["2016"]]}}}],"schema":"https://github.com/citation-style-language/schema/raw/master/csl-citation.json"}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[21]</w:t>
      </w:r>
      <w:r w:rsidRPr="00CA0397">
        <w:rPr>
          <w:rFonts w:ascii="Calibri" w:eastAsia="Calibri" w:hAnsi="Calibri" w:cs="Arial"/>
        </w:rPr>
        <w:fldChar w:fldCharType="end"/>
      </w:r>
      <w:r w:rsidRPr="00CA0397">
        <w:rPr>
          <w:rFonts w:ascii="Calibri" w:eastAsia="Calibri" w:hAnsi="Calibri" w:cs="Arial"/>
        </w:rPr>
        <w:t>. In addition, data would be required on the probability of disruption and any consequences of problems with water quality.  The data on these events may be hard to obtain for a particular dialysis centre, given their likely low frequency of occurrence, so estimates may have to be made based on the literature, or on the broader experience of dialysis centres in the location concerned.</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In this case, the PBRSA would be between the manufacturer of the water testing system and the provider. There are a number of ways the financial aspects of the PBRSA could be constructed. One option would be a two-part tariff, the first part being a rental charge based on the cost of the water testing system that the service replaces. Then the second part could consist of a ‘bonus’ for ensuring water quality during the period of the agreement. Under this approach the water service provider would receive a financial penalty if water quality was not guaranteed.</w:t>
      </w:r>
    </w:p>
    <w:p w:rsidR="00CA0397" w:rsidRPr="00CA0397" w:rsidRDefault="00CA0397" w:rsidP="00CA0397">
      <w:pPr>
        <w:spacing w:after="200" w:line="276" w:lineRule="auto"/>
        <w:rPr>
          <w:rFonts w:ascii="Calibri" w:eastAsia="Calibri" w:hAnsi="Calibri" w:cs="Arial"/>
          <w:i/>
        </w:rPr>
      </w:pPr>
    </w:p>
    <w:p w:rsidR="00CA0397" w:rsidRPr="00CA0397" w:rsidRDefault="00CA0397" w:rsidP="00CA0397">
      <w:pPr>
        <w:spacing w:after="200" w:line="276" w:lineRule="auto"/>
        <w:rPr>
          <w:rFonts w:ascii="Calibri" w:eastAsia="Calibri" w:hAnsi="Calibri" w:cs="Arial"/>
          <w:i/>
        </w:rPr>
      </w:pPr>
      <w:r w:rsidRPr="00CA0397">
        <w:rPr>
          <w:rFonts w:ascii="Calibri" w:eastAsia="Calibri" w:hAnsi="Calibri" w:cs="Arial"/>
          <w:i/>
        </w:rPr>
        <w:t>Integrated Chronic Kidney Disease Programme</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lastRenderedPageBreak/>
        <w:t xml:space="preserve">The establishment of an Integrated Chronic Kidney Disease (ICKD) programme is an example of the adoption of a new care model. As patients progress through the different stages of chronic kidney disease, their quality of life is likely to decrease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9JedhCBr","properties":{"formattedCitation":"[22]","plainCitation":"[22]","noteIndex":0},"citationItems":[{"id":65608,"uris":["http://zotero.org/users/2048679/items/BYPHS2A9"],"uri":["http://zotero.org/users/2048679/items/BYPHS2A9"],"itemData":{"id":65608,"type":"article-journal","container-title":"PLOS ONE","DOI":"10.1371/journal.pone.0207960","ISSN":"1932-6203","issue":"11","journalAbbreviation":"PLoS ONE","language":"en","page":"e0207960","source":"DOI.org (Crossref)","title":"Chronic kidney disease, health-related quality of life and their associated economic burden among a nationally representative sample of community dwelling adults in England","volume":"13","author":[{"family":"Nguyen","given":"Nga T. Q."},{"family":"Cockwell","given":"Paul"},{"family":"Maxwell","given":"Alexander P."},{"family":"Griffin","given":"Matthew"},{"family":"O’Brien","given":"Timothy"},{"family":"O’Neill","given":"Ciaran"}],"editor":[{"family":"Bolignano","given":"Davide"}],"issued":{"date-parts":[["2018",11,26]]}}}],"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[22]</w:t>
      </w:r>
      <w:r w:rsidRPr="00CA0397">
        <w:rPr>
          <w:rFonts w:ascii="Calibri" w:eastAsia="Calibri" w:hAnsi="Calibri" w:cs="Arial"/>
        </w:rPr>
        <w:fldChar w:fldCharType="end"/>
      </w:r>
      <w:r w:rsidRPr="00CA0397">
        <w:rPr>
          <w:rFonts w:ascii="Calibri" w:eastAsia="Calibri" w:hAnsi="Calibri" w:cs="Arial"/>
        </w:rPr>
        <w:t xml:space="preserve"> and the cost of their care is likely to increase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psVtGa1W","properties":{"formattedCitation":"[23]","plainCitation":"[23]","noteIndex":0},"citationItems":[{"id":65610,"uris":["http://zotero.org/users/2048679/items/P46S3YWZ"],"uri":["http://zotero.org/users/2048679/items/P46S3YWZ"],"itemData":{"id":65610,"type":"article-journal","container-title":"Journal of Nephrology","DOI":"10.1007/s40620-016-0291-8","ISSN":"1121-8428, 1724-6059","issue":"2","journalAbbreviation":"J Nephrol","language":"en","page":"263-269","source":"DOI.org (Crossref)","title":"Healthcare costs of the progression of chronic kidney disease and different dialysis techniques estimated through administrative database analysis","volume":"30","author":[{"literal":"ReNe (Renal Lombardy Network)"},{"literal":"Additional contributors from ReNe Network"},{"family":"Roggeri","given":"Alessandro"},{"family":"Roggeri","given":"Daniela Paola"},{"family":"Zocchetti","given":"Carlo"},{"family":"Bersani","given":"Maurizio"},{"family":"Conte","given":"Ferruccio"}],"issued":{"date-parts":[["2017",4]]}}}],"schema":"https://github.com/citation-style-language/schema/raw/master/csl-citation.json"}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[23]</w:t>
      </w:r>
      <w:r w:rsidRPr="00CA0397">
        <w:rPr>
          <w:rFonts w:ascii="Calibri" w:eastAsia="Calibri" w:hAnsi="Calibri" w:cs="Arial"/>
        </w:rPr>
        <w:fldChar w:fldCharType="end"/>
      </w:r>
      <w:r w:rsidRPr="00CA0397">
        <w:rPr>
          <w:rFonts w:ascii="Calibri" w:eastAsia="Calibri" w:hAnsi="Calibri" w:cs="Arial"/>
        </w:rPr>
        <w:t xml:space="preserve">. This process may include more frequent hospitalizations, culminating in the need for renal replacement therapy (RRT). </w:t>
      </w:r>
      <w:proofErr w:type="gramStart"/>
      <w:r w:rsidRPr="00CA0397">
        <w:rPr>
          <w:rFonts w:ascii="Calibri" w:eastAsia="Calibri" w:hAnsi="Calibri" w:cs="Arial"/>
        </w:rPr>
        <w:t>Therefore</w:t>
      </w:r>
      <w:proofErr w:type="gramEnd"/>
      <w:r w:rsidRPr="00CA0397">
        <w:rPr>
          <w:rFonts w:ascii="Calibri" w:eastAsia="Calibri" w:hAnsi="Calibri" w:cs="Arial"/>
        </w:rPr>
        <w:t xml:space="preserve"> any intervention that has the potential to delay progression and to reduce complications of disease may be associated with considerable benefits in terms of improved health and, depending on the exact disease and treatment profile, resource savings. The objective of establishing an ICKD programme is to reduce hospitalization, delay progression and ease the transition to RRT by providing more integrated management of care, beginning in the earlier stages of disease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oZH2zaUD","properties":{"formattedCitation":"[24]","plainCitation":"[24]","noteIndex":0},"citationItems":[{"id":65611,"uris":["http://zotero.org/users/2048679/items/LIWNN75V"],"uri":["http://zotero.org/users/2048679/items/LIWNN75V"],"itemData":{"id":65611,"type":"article-journal","container-title":"Nephrology Dialysis Transplantation","DOI":"10.1093/ndt/gfw357","ISSN":"0931-0509, 1460-2385","issue":"suppl_2","language":"en","page":"ii91-ii98","source":"DOI.org (Crossref)","title":"Transition of care from pre-dialysis prelude to renal replacement therapy: the blueprints of emerging research in advanced chronic kidney disease","title-short":"Transition of care from pre-dialysis prelude to renal replacement therapy","volume":"32","author":[{"family":"Kalantar-Zadeh","given":"Kamyar"},{"family":"Kovesdy","given":"Csaba P."},{"family":"Streja","given":"Elani"},{"family":"Rhee","given":"Connie M."},{"family":"Soohoo","given":"Melissa"},{"family":"Chen","given":"Joline L.T."},{"family":"Molnar","given":"Miklos Z."},{"family":"Obi","given":"Yoshitsugu"},{"family":"Gillen","given":"Daniel"},{"family":"Nguyen","given":"Danh V."},{"family":"Norris","given":"Keith C."},{"family":"Sim","given":"John J."},{"family":"Jacobsen","given":"Steve S."}],"issued":{"date-parts":[["2017",4,1]]}}}],"schema":"https://github.com/citation-style-language/schema/raw/master/csl-citation.json"}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rPr>
        <w:t>[24]</w:t>
      </w:r>
      <w:r w:rsidRPr="00CA0397">
        <w:rPr>
          <w:rFonts w:ascii="Calibri" w:eastAsia="Calibri" w:hAnsi="Calibri" w:cs="Arial"/>
        </w:rPr>
        <w:fldChar w:fldCharType="end"/>
      </w:r>
      <w:r w:rsidRPr="00CA0397">
        <w:rPr>
          <w:rFonts w:ascii="Calibri" w:eastAsia="Calibri" w:hAnsi="Calibri" w:cs="Arial"/>
        </w:rPr>
        <w:t>. Specifically, an ICKD programme could have any or all of the following elements: (</w:t>
      </w:r>
      <w:proofErr w:type="spellStart"/>
      <w:r w:rsidRPr="00CA0397">
        <w:rPr>
          <w:rFonts w:ascii="Calibri" w:eastAsia="Calibri" w:hAnsi="Calibri" w:cs="Arial"/>
        </w:rPr>
        <w:t>i</w:t>
      </w:r>
      <w:proofErr w:type="spellEnd"/>
      <w:r w:rsidRPr="00CA0397">
        <w:rPr>
          <w:rFonts w:ascii="Calibri" w:eastAsia="Calibri" w:hAnsi="Calibri" w:cs="Arial"/>
        </w:rPr>
        <w:t xml:space="preserve">) disease detection and stratification of patients based on their risk of adverse events, to allocate resources efficiently; (ii) patient-centred care management, supported by a care manager to educate, coach and coordinate; and (iii) monitoring of vital parameters and patient-reported outcomes at home to avoid complications and foster compliance with therapy. Such a programme might be offered to patients when they enter CKD stage 3. </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However, such a programme would incur costs, including the appointment of a care manager, the resource implications of care and services prescribed under the programme, educating patients, and negotiations with existing staff about new methods of working, e.g. telemonitoring. Of course, depending on the effectiveness of the new model, these costs could potentially be offset by reductions in hospitalisations, delays in the transition to RRT and smoother transitions when a patient </w:t>
      </w:r>
      <w:proofErr w:type="gramStart"/>
      <w:r w:rsidRPr="00CA0397">
        <w:rPr>
          <w:rFonts w:ascii="Calibri" w:eastAsia="Calibri" w:hAnsi="Calibri" w:cs="Arial"/>
        </w:rPr>
        <w:t>is in need of</w:t>
      </w:r>
      <w:proofErr w:type="gramEnd"/>
      <w:r w:rsidRPr="00CA0397">
        <w:rPr>
          <w:rFonts w:ascii="Calibri" w:eastAsia="Calibri" w:hAnsi="Calibri" w:cs="Arial"/>
        </w:rPr>
        <w:t xml:space="preserve"> RRT. There is some evidence suggesting the existence of these benefits </w:t>
      </w:r>
      <w:r w:rsidRPr="00CA0397">
        <w:rPr>
          <w:rFonts w:ascii="Calibri" w:eastAsia="Calibri" w:hAnsi="Calibri" w:cs="Arial"/>
        </w:rPr>
        <w:fldChar w:fldCharType="begin"/>
      </w:r>
      <w:r w:rsidRPr="00CA0397">
        <w:rPr>
          <w:rFonts w:ascii="Calibri" w:eastAsia="Calibri" w:hAnsi="Calibri" w:cs="Arial"/>
        </w:rPr>
        <w:instrText xml:space="preserve"> ADDIN ZOTERO_ITEM CSL_CITATION {"citationID":"IZZiv1e8","properties":{"formattedCitation":"[25\\uc0\\u8211{}27]","plainCitation":"[25–27]","noteIndex":0},"citationItems":[{"id":65613,"uris":["http://zotero.org/users/2048679/items/8NPDPQYK"],"uri":["http://zotero.org/users/2048679/items/8NPDPQYK"],"itemData":{"id":65613,"type":"article-journal","container-title":"American Journal of Kidney Diseases","DOI":"10.1053/j.ajkd.2017.02.366","ISSN":"02726386","issue":"4","journalAbbreviation":"American Journal of Kidney Diseases","language":"en","page":"498-505","source":"DOI.org (Crossref)","title":"Augmented Nurse Care Management in CKD Stages 4 to 5: A Randomized Trial","title-short":"Augmented Nurse Care Management in CKD Stages 4 to 5","volume":"70","author":[{"family":"Fishbane","given":"Steven"},{"family":"Agoritsas","given":"Sofia"},{"family":"Bellucci","given":"Alessandro"},{"family":"Halinski","given":"Candice"},{"family":"Shah","given":"Hitesh H."},{"family":"Sakhiya","given":"Vipul"},{"family":"Balsam","given":"Leah"}],"issued":{"date-parts":[["2017",10]]}},"label":"page"},{"id":65616,"uris":["http://zotero.org/users/2048679/items/6CZJNFCS"],"uri":["http://zotero.org/users/2048679/items/6CZJNFCS"],"itemData":{"id":65616,"type":"article-journal","container-title":"Clinical Journal of the American Society of Nephrology","DOI":"10.2215/CJN.07180810","ISSN":"1555-9041, 1555-905X","issue":"6","journalAbbreviation":"CJASN","language":"en","page":"1248-1257","source":"DOI.org (Crossref)","title":"Cost-Effectiveness Analysis of a Randomized Trial Comparing Care Models for Chronic Kidney Disease","volume":"6","author":[{"family":"Hopkins","given":"Robert B."},{"family":"Garg","given":"Amit X."},{"family":"Levin","given":"Adeera"},{"family":"Molzahn","given":"Anita"},{"family":"Rigatto","given":"Claudio"},{"family":"Singer","given":"Joel"},{"family":"Soltys","given":"George"},{"family":"Soroka","given":"Steven"},{"family":"Parfrey","given":"Patrick S."},{"family":"Barrett","given":"Brendan J."},{"family":"Goeree","given":"Ron"}],"issued":{"date-parts":[["2011",6]]}},"label":"page"},{"id":65615,"uris":["http://zotero.org/users/2048679/items/L33VBD6J"],"uri":["http://zotero.org/users/2048679/items/L33VBD6J"],"itemData":{"id":65615,"type":"article-journal","container-title":"The American Journal of Medicine","DOI":"10.1016/j.amjmed.2014.07.042","ISSN":"00029343","issue":"1","journalAbbreviation":"The American Journal of Medicine","language":"en","page":"68-76","source":"DOI.org (Crossref)","title":"Multidisciplinary Care Program for Advanced Chronic Kidney Disease: Reduces Renal Replacement and Medical Costs","title-short":"Multidisciplinary Care Program for Advanced Chronic Kidney Disease","volume":"128","author":[{"family":"Chen","given":"Ping Min"},{"family":"Lai","given":"Tai Shuan"},{"family":"Chen","given":"Ping Yu"},{"family":"Lai","given":"Chun Fu"},{"family":"Yang","given":"Shao Yu"},{"family":"Wu","given":"VinCent"},{"family":"Chiang","given":"Chih Kang"},{"family":"Kao","given":"Tze Wah"},{"family":"Huang","given":"Jenq Wen"},{"family":"Chiang","given":"Wen Chih"},{"family":"Lin","given":"Shuei Liong"},{"family":"Hung","given":"Kuan Yu"},{"family":"Chen","given":"Yung Ming"},{"family":"Chu","given":"Tzong Shinn"},{"family":"Wu","given":"Ming Shiou"},{"family":"Wu","given":"Kwan Dun"},{"family":"Tsai","given":"Tun Jun"}],"issued":{"date-parts":[["2015",1]]}},"label":"page"}],"schema":"https://github.com/citation-style-language/schema/raw/master/csl-citation.json"} </w:instrText>
      </w:r>
      <w:r w:rsidRPr="00CA0397">
        <w:rPr>
          <w:rFonts w:ascii="Calibri" w:eastAsia="Calibri" w:hAnsi="Calibri" w:cs="Arial"/>
        </w:rPr>
        <w:fldChar w:fldCharType="separate"/>
      </w:r>
      <w:r w:rsidRPr="00CA0397">
        <w:rPr>
          <w:rFonts w:ascii="Calibri" w:eastAsia="Calibri" w:hAnsi="Calibri" w:cs="Calibri"/>
          <w:szCs w:val="24"/>
        </w:rPr>
        <w:t>[25–27]</w:t>
      </w:r>
      <w:r w:rsidRPr="00CA0397">
        <w:rPr>
          <w:rFonts w:ascii="Calibri" w:eastAsia="Calibri" w:hAnsi="Calibri" w:cs="Arial"/>
        </w:rPr>
        <w:fldChar w:fldCharType="end"/>
      </w:r>
      <w:r w:rsidRPr="00CA0397">
        <w:rPr>
          <w:rFonts w:ascii="Calibri" w:eastAsia="Calibri" w:hAnsi="Calibri" w:cs="Arial"/>
        </w:rPr>
        <w:t>, but dialysis providers may still be uncertain that they would be realised in their setting. Moreover, providers reimbursed through fee-for-service may not be sufficiently incentivized to implement this programme without a change in payment arrangements (e.g. to prevent income losses). Therefore, ICKD programmes could be candidates for a PBRSA, in order to gather evidence to convince both dialysis providers, patients, and payers.</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The design of the PBRSA could be based on a traditional prospective randomised controlled trial, with patients being assigned to the ICKD programme or not. However, given the time and cost of conducting an RCT, it is more likely that such a PBRSA would be based on a before/after study, whereby historical data on costs and outcomes would be gathered and compared with data gathered in a prospective study after the implementation of the ICKD programme. The ‘before’ cohort could be constructed using the records of patients reaching Stage 3 over the past 2-3 years and extracting data on the subsequent interventions received, hospitalisations incurred, time to RRT and successfully adhering to that RRT. The ‘after’ cohort could be constructed by following patients enrolled in the ICKD programme and collecting the same data prospectively, over the same </w:t>
      </w:r>
      <w:proofErr w:type="gramStart"/>
      <w:r w:rsidRPr="00CA0397">
        <w:rPr>
          <w:rFonts w:ascii="Calibri" w:eastAsia="Calibri" w:hAnsi="Calibri" w:cs="Arial"/>
        </w:rPr>
        <w:t>2-3 year</w:t>
      </w:r>
      <w:proofErr w:type="gramEnd"/>
      <w:r w:rsidRPr="00CA0397">
        <w:rPr>
          <w:rFonts w:ascii="Calibri" w:eastAsia="Calibri" w:hAnsi="Calibri" w:cs="Arial"/>
        </w:rPr>
        <w:t xml:space="preserve"> period. In addition, quality of life could be measured as the patient’s health state changed. Such a study design would pose challenges, in matching, or adjusting for differences in, the two cohorts and taking account of any other changes in service provision over time that might affect the comparison.</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As in the previous examples, the detailed financial aspects of the PBRSA would have to be negotiated and would depend on who is bearing any increased cost of the ICKD programme. Therefore, it would be </w:t>
      </w:r>
      <w:r w:rsidRPr="00CA0397">
        <w:rPr>
          <w:rFonts w:ascii="Calibri" w:eastAsia="Calibri" w:hAnsi="Calibri" w:cs="Arial"/>
        </w:rPr>
        <w:lastRenderedPageBreak/>
        <w:t>important to assess the costs and benefits from different perspectives, such as the payer, provider and patient. This is because costs and savings might accrue to different parties. For example, the provider may incur the costs of implementing the ICKD programme, but may not save costs if the hospitalisations fell on another budget. The analysis would help determine whether any financial transfers would be necessary to implement the ICKD programme on an on-going basis. Specifically, if the reduction in hospitalisations benefited the payer but not the provider adopting the CKD programme, it may be worthwhile for the payer increasing the level of reimbursement to the provider of the renal care to encourage that provider to implement the programme. This would also be the case if the payer could be convinced of the quality of life benefits of integrated care, through both delaying RRT and in easing the transition to RRT. Therefore, in this case the PBRSA would most likely be an agreement between the provider and the payer, with the payer providing temporary reimbursement and agreeing to increase the level of reimbursement permanently if it could be demonstrated that there were cost offsets, or improvements to the quality of care.</w:t>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rPr>
          <w:rFonts w:ascii="Calibri" w:eastAsia="Calibri" w:hAnsi="Calibri" w:cs="Arial"/>
          <w:b/>
          <w:sz w:val="28"/>
          <w:szCs w:val="28"/>
        </w:rPr>
      </w:pPr>
      <w:r w:rsidRPr="00CA0397">
        <w:rPr>
          <w:rFonts w:ascii="Calibri" w:eastAsia="Calibri" w:hAnsi="Calibri" w:cs="Arial"/>
          <w:b/>
          <w:sz w:val="28"/>
          <w:szCs w:val="28"/>
        </w:rPr>
        <w:t>4. Discussion</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Performance-based risk-sharing agreements can work to the advantage of patients, health care providers, payers, and technology manufacturers, particularly if they facilitate the introduction of technologies or systems of care that might not otherwise have been introduced [8]. However, they require careful design and implementation [12]. No performance-based risk-sharing arrangements (PBRSAs) were found in the renal care literature and only 2 papers discussed the potential for such schemes. This may be because many of these arrangements are agreed at the local level between health care providers and technologies manufacturers. They may also involve confidential elements and therefore the incentives to publicize them may be low.</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In order to illustrate the potential and challenges of PBRSAs we developed two hypothetical case studies. These illustrated a number of issues that have been discussed in the literature outside renal care. First, PBRSAs can potentially involve a number of key parties, including the technology manufacturer, health care provider, and patient. In order for these arrangements to be successful, the various parties need to work together to address the following challenges: defining the value proposition for the new technology or system of care, identifying the outcome(s) of interest, determining the study design, defining the data collection and monitoring arrangements, determining the actions following the conclusion of the scheme and financing the scheme. Table 2 indicates the roles and responsibilities of the various parties.</w:t>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TABLE 2 Roles and Responsibilities in PBRSAs (HERE)</w:t>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rPr>
          <w:rFonts w:ascii="Calibri" w:eastAsia="Calibri" w:hAnsi="Calibri" w:cs="Arial"/>
        </w:rPr>
        <w:sectPr w:rsidR="00CA0397" w:rsidRPr="00CA0397">
          <w:headerReference w:type="default" r:id="rId7"/>
          <w:footerReference w:type="default" r:id="rId8"/>
          <w:pgSz w:w="12240" w:h="15840"/>
          <w:pgMar w:top="1440" w:right="1440" w:bottom="1440" w:left="1440" w:header="708" w:footer="708" w:gutter="0"/>
          <w:cols w:space="708"/>
          <w:docGrid w:linePitch="360"/>
        </w:sectPr>
      </w:pPr>
      <w:r w:rsidRPr="00CA0397">
        <w:rPr>
          <w:rFonts w:ascii="Calibri" w:eastAsia="Calibri" w:hAnsi="Calibri" w:cs="Arial"/>
        </w:rPr>
        <w:lastRenderedPageBreak/>
        <w:t xml:space="preserve">There is no doubt that the design, conduct and implementation of PBRSAs in renal care pose a number of </w:t>
      </w:r>
      <w:proofErr w:type="gramStart"/>
      <w:r w:rsidRPr="00CA0397">
        <w:rPr>
          <w:rFonts w:ascii="Calibri" w:eastAsia="Calibri" w:hAnsi="Calibri" w:cs="Arial"/>
        </w:rPr>
        <w:t>challenges[</w:t>
      </w:r>
      <w:proofErr w:type="gramEnd"/>
      <w:r w:rsidRPr="00CA0397">
        <w:rPr>
          <w:rFonts w:ascii="Calibri" w:eastAsia="Calibri" w:hAnsi="Calibri" w:cs="Arial"/>
        </w:rPr>
        <w:t>10], but these have been overcome in other areas of health care [7]. Therefore, efforts should be made to overcome these challenges in renal care, so that more patients can benefit from technological advances and new models of care, while protecting the interests of payers, health care providers, technology manufacturers and patients. This will require more discussions between the three major parties in these agreements (payers, providers and technology manufacturers), about the potential benefits to be obtained and the incentives required to implement them.</w:t>
      </w:r>
    </w:p>
    <w:p w:rsidR="00CA0397" w:rsidRPr="00CA0397" w:rsidRDefault="00CA0397" w:rsidP="00CA0397">
      <w:pPr>
        <w:spacing w:after="200" w:line="276" w:lineRule="auto"/>
        <w:rPr>
          <w:rFonts w:ascii="Calibri" w:eastAsia="Calibri" w:hAnsi="Calibri" w:cs="Arial"/>
          <w:sz w:val="24"/>
          <w:szCs w:val="24"/>
        </w:rPr>
      </w:pPr>
    </w:p>
    <w:p w:rsidR="00CA0397" w:rsidRPr="00CA0397" w:rsidRDefault="00CA0397" w:rsidP="00CA0397">
      <w:pPr>
        <w:spacing w:after="200" w:line="276" w:lineRule="auto"/>
        <w:rPr>
          <w:rFonts w:ascii="Calibri" w:eastAsia="Calibri" w:hAnsi="Calibri" w:cs="Arial"/>
          <w:b/>
          <w:sz w:val="28"/>
          <w:szCs w:val="28"/>
        </w:rPr>
      </w:pPr>
      <w:r w:rsidRPr="00CA0397">
        <w:rPr>
          <w:rFonts w:ascii="Calibri" w:eastAsia="Calibri" w:hAnsi="Calibri" w:cs="Arial"/>
          <w:b/>
          <w:sz w:val="28"/>
          <w:szCs w:val="28"/>
        </w:rPr>
        <w:t>Expert opinion</w:t>
      </w:r>
    </w:p>
    <w:p w:rsidR="00CA0397" w:rsidRPr="00CA0397" w:rsidRDefault="00CA0397" w:rsidP="00CA0397">
      <w:pPr>
        <w:spacing w:after="200" w:line="276" w:lineRule="auto"/>
        <w:rPr>
          <w:rFonts w:ascii="Calibri" w:eastAsia="Calibri" w:hAnsi="Calibri" w:cs="Arial"/>
          <w:sz w:val="24"/>
          <w:szCs w:val="24"/>
        </w:rPr>
      </w:pPr>
      <w:r w:rsidRPr="00CA0397">
        <w:rPr>
          <w:rFonts w:ascii="Calibri" w:eastAsia="Calibri" w:hAnsi="Calibri" w:cs="Arial"/>
          <w:sz w:val="24"/>
          <w:szCs w:val="24"/>
        </w:rPr>
        <w:t>There is a growing interest in the use of performance-based risk-sharing agreements (PBRSAs) in all fields of health care. These agreements are particularly useful in situations where there is uncertainty about the effectiveness or cost-effectiveness of a new technology, treatment or care plan. Under these arrangements a new treatment can be funded on the condition that further data are collected to demonstrate the effectiveness or cost-effectiveness of the treatment concerned. The potential advantage of these arrangements is that patients can obtain early access to promising new treatments or technologies, because the risk to the provider or payer of health care is minimised, by making future payment or approval of the new intervention dependent of the results obtained in practice.</w:t>
      </w:r>
    </w:p>
    <w:p w:rsidR="00CA0397" w:rsidRPr="00CA0397" w:rsidRDefault="00CA0397" w:rsidP="00CA0397">
      <w:pPr>
        <w:spacing w:after="200" w:line="276" w:lineRule="auto"/>
        <w:rPr>
          <w:rFonts w:ascii="Calibri" w:eastAsia="Calibri" w:hAnsi="Calibri" w:cs="Arial"/>
          <w:sz w:val="24"/>
          <w:szCs w:val="24"/>
        </w:rPr>
      </w:pPr>
      <w:r w:rsidRPr="00CA0397">
        <w:rPr>
          <w:rFonts w:ascii="Calibri" w:eastAsia="Calibri" w:hAnsi="Calibri" w:cs="Arial"/>
          <w:sz w:val="24"/>
          <w:szCs w:val="24"/>
        </w:rPr>
        <w:t xml:space="preserve">However, although our review of the renal care literature found many examples of pay-for-performance schemes relating to improved performance in </w:t>
      </w:r>
      <w:r w:rsidRPr="00CA0397">
        <w:rPr>
          <w:rFonts w:ascii="Calibri" w:eastAsia="Calibri" w:hAnsi="Calibri" w:cs="Arial"/>
          <w:i/>
          <w:iCs/>
          <w:sz w:val="24"/>
          <w:szCs w:val="24"/>
        </w:rPr>
        <w:t>existing</w:t>
      </w:r>
      <w:r w:rsidRPr="00CA0397">
        <w:rPr>
          <w:rFonts w:ascii="Calibri" w:eastAsia="Calibri" w:hAnsi="Calibri" w:cs="Arial"/>
          <w:sz w:val="24"/>
          <w:szCs w:val="24"/>
        </w:rPr>
        <w:t xml:space="preserve"> care, but there was little discussion of PBRSAs relating to the introduction of </w:t>
      </w:r>
      <w:r w:rsidRPr="00CA0397">
        <w:rPr>
          <w:rFonts w:ascii="Calibri" w:eastAsia="Calibri" w:hAnsi="Calibri" w:cs="Arial"/>
          <w:i/>
          <w:iCs/>
          <w:sz w:val="24"/>
          <w:szCs w:val="24"/>
        </w:rPr>
        <w:t>new treatments or care plans</w:t>
      </w:r>
      <w:r w:rsidRPr="00CA0397">
        <w:rPr>
          <w:rFonts w:ascii="Calibri" w:eastAsia="Calibri" w:hAnsi="Calibri" w:cs="Arial"/>
          <w:sz w:val="24"/>
          <w:szCs w:val="24"/>
        </w:rPr>
        <w:t>. One potential reason for this could be that, unlike the PBRSAs concerning new medicines which typically involve the manufacturer and national payer, agreements in renal care also involve the provider. Local agreements between the manufacturer and provider are unlikely to be published in the literature. However, the issues in developing and implementing these schemes can be illustrated by hypothetical case studies. For example, as in the case of Water Quality Management, the arrangement could be between the manufacturer and provider alone and be agreed at the local level. Such agreements are unlikely to be published in the literature. Alternatively, in the case of an Integrated Chronic Kidney Disease Programme, the agreement could potentially involve all three parties, or be between the provider and payer. This complicates matters if a manufacturer has to convince a provider of the advantages of a new treatment or care plan, who then has to bear any additional cost of the new intervention unless the payer can be convinced to increase the payment bundle to fund it.</w:t>
      </w:r>
    </w:p>
    <w:p w:rsidR="00CA0397" w:rsidRPr="00CA0397" w:rsidRDefault="00CA0397" w:rsidP="00CA0397">
      <w:pPr>
        <w:spacing w:after="200" w:line="276" w:lineRule="auto"/>
        <w:rPr>
          <w:rFonts w:ascii="Calibri" w:eastAsia="Calibri" w:hAnsi="Calibri" w:cs="Arial"/>
          <w:sz w:val="24"/>
          <w:szCs w:val="24"/>
        </w:rPr>
      </w:pPr>
      <w:r w:rsidRPr="00CA0397">
        <w:rPr>
          <w:rFonts w:ascii="Calibri" w:eastAsia="Calibri" w:hAnsi="Calibri" w:cs="Arial"/>
          <w:sz w:val="24"/>
          <w:szCs w:val="24"/>
        </w:rPr>
        <w:t xml:space="preserve">This points to another possible reason why PBRSAs are less common in renal care than for medicines; the way new treatments of care plans are funded. In the case of a new medicine, if a </w:t>
      </w:r>
      <w:proofErr w:type="spellStart"/>
      <w:r w:rsidRPr="00CA0397">
        <w:rPr>
          <w:rFonts w:ascii="Calibri" w:eastAsia="Calibri" w:hAnsi="Calibri" w:cs="Arial"/>
          <w:sz w:val="24"/>
          <w:szCs w:val="24"/>
        </w:rPr>
        <w:t>payer</w:t>
      </w:r>
      <w:proofErr w:type="spellEnd"/>
      <w:r w:rsidRPr="00CA0397">
        <w:rPr>
          <w:rFonts w:ascii="Calibri" w:eastAsia="Calibri" w:hAnsi="Calibri" w:cs="Arial"/>
          <w:sz w:val="24"/>
          <w:szCs w:val="24"/>
        </w:rPr>
        <w:t>, being convinced of the additional benefit, feels that it should be made available to patients, an additional payment can be made to include it on the national or local formulary. However, in the case of new treatments or care plans in renal care, the increase in funding would have to be through a revision of the bundled payment to the provider. These payments are not easily increased to accommodate changes in the model of care, especially if it is not clear what proportion of the benefits of the new intervention go to the provider in terms of cost-offsets, or to patients in terms of improved patient care, which the payer may consider worth paying for.</w:t>
      </w:r>
    </w:p>
    <w:p w:rsidR="00CA0397" w:rsidRPr="00CA0397" w:rsidRDefault="00CA0397" w:rsidP="00CA0397">
      <w:pPr>
        <w:spacing w:after="200" w:line="276" w:lineRule="auto"/>
        <w:rPr>
          <w:rFonts w:ascii="Calibri" w:eastAsia="Calibri" w:hAnsi="Calibri" w:cs="Arial"/>
          <w:sz w:val="24"/>
          <w:szCs w:val="24"/>
        </w:rPr>
      </w:pPr>
      <w:r w:rsidRPr="00CA0397">
        <w:rPr>
          <w:rFonts w:ascii="Calibri" w:eastAsia="Calibri" w:hAnsi="Calibri" w:cs="Arial"/>
          <w:sz w:val="24"/>
          <w:szCs w:val="24"/>
        </w:rPr>
        <w:lastRenderedPageBreak/>
        <w:t xml:space="preserve">Therefore, </w:t>
      </w:r>
      <w:proofErr w:type="gramStart"/>
      <w:r w:rsidRPr="00CA0397">
        <w:rPr>
          <w:rFonts w:ascii="Calibri" w:eastAsia="Calibri" w:hAnsi="Calibri" w:cs="Arial"/>
          <w:sz w:val="24"/>
          <w:szCs w:val="24"/>
        </w:rPr>
        <w:t>In</w:t>
      </w:r>
      <w:proofErr w:type="gramEnd"/>
      <w:r w:rsidRPr="00CA0397">
        <w:rPr>
          <w:rFonts w:ascii="Calibri" w:eastAsia="Calibri" w:hAnsi="Calibri" w:cs="Arial"/>
          <w:sz w:val="24"/>
          <w:szCs w:val="24"/>
        </w:rPr>
        <w:t xml:space="preserve"> developing PBRSAs in renal care several complexities need to be addressed, including (</w:t>
      </w:r>
      <w:proofErr w:type="spellStart"/>
      <w:r w:rsidRPr="00CA0397">
        <w:rPr>
          <w:rFonts w:ascii="Calibri" w:eastAsia="Calibri" w:hAnsi="Calibri" w:cs="Arial"/>
          <w:sz w:val="24"/>
          <w:szCs w:val="24"/>
        </w:rPr>
        <w:t>i</w:t>
      </w:r>
      <w:proofErr w:type="spellEnd"/>
      <w:r w:rsidRPr="00CA0397">
        <w:rPr>
          <w:rFonts w:ascii="Calibri" w:eastAsia="Calibri" w:hAnsi="Calibri" w:cs="Arial"/>
          <w:sz w:val="24"/>
          <w:szCs w:val="24"/>
        </w:rPr>
        <w:t xml:space="preserve">) establishing the value proposition underlying the new treatment, technology or care plan (ii) identifying the outcomes, in costs and effects, that will be measured (iii) agreeing the arrangements for data collection and analysis (v) financing the study and (v) determining the roles and responsibilities of the various parties to the agreement. </w:t>
      </w:r>
    </w:p>
    <w:p w:rsidR="00CA0397" w:rsidRPr="00CA0397" w:rsidRDefault="00CA0397" w:rsidP="00CA0397">
      <w:pPr>
        <w:spacing w:after="200" w:line="276" w:lineRule="auto"/>
        <w:rPr>
          <w:rFonts w:ascii="Calibri" w:eastAsia="Calibri" w:hAnsi="Calibri" w:cs="Arial"/>
          <w:sz w:val="24"/>
          <w:szCs w:val="24"/>
        </w:rPr>
      </w:pPr>
      <w:r w:rsidRPr="00CA0397">
        <w:rPr>
          <w:rFonts w:ascii="Calibri" w:eastAsia="Calibri" w:hAnsi="Calibri" w:cs="Arial"/>
          <w:sz w:val="24"/>
          <w:szCs w:val="24"/>
        </w:rPr>
        <w:t>Despite the challenges, the potential benefits from establishing PBRSAs in renal care are considerable. Therefore, health care partners, providers and payers with an interest in these schemes should benefit from the findings of this research, with the hope that a number of such arrangements will be developed in the future. The major beneficiaries of such a collaboration will be patients, who would benefit from access to new technologies, treatments and services.</w:t>
      </w:r>
    </w:p>
    <w:p w:rsidR="00CA0397" w:rsidRPr="00CA0397" w:rsidRDefault="00CA0397" w:rsidP="00CA0397">
      <w:pPr>
        <w:spacing w:after="200" w:line="276" w:lineRule="auto"/>
        <w:rPr>
          <w:rFonts w:ascii="Calibri" w:eastAsia="Calibri" w:hAnsi="Calibri" w:cs="Arial"/>
          <w:sz w:val="24"/>
          <w:szCs w:val="24"/>
        </w:rPr>
      </w:pPr>
      <w:r w:rsidRPr="00CA0397">
        <w:rPr>
          <w:rFonts w:ascii="Calibri" w:eastAsia="Calibri" w:hAnsi="Calibri" w:cs="Arial"/>
          <w:sz w:val="24"/>
          <w:szCs w:val="24"/>
        </w:rPr>
        <w:t>Looking to the future, it might be possible to change the focus of some of the existing pay-for-performance schemes to encourage the adoption of new treatments of care plans if these have the potential to improve the quality of care. Some of the schemes could be designed as PBRSAs, where the bundled payment is increased on the condition that data are collected to establish whether health outcomes are improved, or cost offsets are generated. These data could then be used to determine the revised payment level at the end of the scheme. This would bring renal care more into alignment with other fields of health care, where ways are being found to make promising new treatment available, while sharing the financial risk between payers, providers and manufacturers.</w:t>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outlineLvl w:val="1"/>
        <w:rPr>
          <w:rFonts w:ascii="Calibri" w:eastAsia="Calibri" w:hAnsi="Calibri" w:cs="Arial"/>
          <w:b/>
          <w:sz w:val="28"/>
          <w:szCs w:val="28"/>
        </w:rPr>
      </w:pPr>
      <w:r w:rsidRPr="00CA0397">
        <w:rPr>
          <w:rFonts w:ascii="Calibri" w:eastAsia="Calibri" w:hAnsi="Calibri" w:cs="Arial"/>
          <w:b/>
          <w:sz w:val="28"/>
          <w:szCs w:val="28"/>
        </w:rPr>
        <w:t>References (*=</w:t>
      </w:r>
      <w:proofErr w:type="gramStart"/>
      <w:r w:rsidRPr="00CA0397">
        <w:rPr>
          <w:rFonts w:ascii="Calibri" w:eastAsia="Calibri" w:hAnsi="Calibri" w:cs="Arial"/>
          <w:b/>
          <w:sz w:val="28"/>
          <w:szCs w:val="28"/>
        </w:rPr>
        <w:t>important;*</w:t>
      </w:r>
      <w:proofErr w:type="gramEnd"/>
      <w:r w:rsidRPr="00CA0397">
        <w:rPr>
          <w:rFonts w:ascii="Calibri" w:eastAsia="Calibri" w:hAnsi="Calibri" w:cs="Arial"/>
          <w:b/>
          <w:sz w:val="28"/>
          <w:szCs w:val="28"/>
        </w:rPr>
        <w:t>*=of considerable importance)</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Arial"/>
        </w:rPr>
        <w:fldChar w:fldCharType="begin"/>
      </w:r>
      <w:r w:rsidRPr="00CA0397">
        <w:rPr>
          <w:rFonts w:ascii="Calibri" w:eastAsia="Calibri" w:hAnsi="Calibri" w:cs="Arial"/>
        </w:rPr>
        <w:instrText xml:space="preserve"> ADDIN ZOTERO_BIBL {"uncited":[],"omitted":[],"custom":[]} CSL_BIBLIOGRAPHY </w:instrText>
      </w:r>
      <w:r w:rsidRPr="00CA0397">
        <w:rPr>
          <w:rFonts w:ascii="Calibri" w:eastAsia="Calibri" w:hAnsi="Calibri" w:cs="Arial"/>
        </w:rPr>
        <w:fldChar w:fldCharType="separate"/>
      </w:r>
      <w:r w:rsidRPr="00CA0397">
        <w:rPr>
          <w:rFonts w:ascii="Calibri" w:eastAsia="Calibri" w:hAnsi="Calibri" w:cs="Calibri"/>
        </w:rPr>
        <w:t xml:space="preserve">[1] </w:t>
      </w:r>
      <w:r w:rsidRPr="00CA0397">
        <w:rPr>
          <w:rFonts w:ascii="Calibri" w:eastAsia="Calibri" w:hAnsi="Calibri" w:cs="Calibri"/>
        </w:rPr>
        <w:tab/>
        <w:t xml:space="preserve">Gupta N, Wish JB. Do current quality measures truly reflect the quality of dialysis? </w:t>
      </w:r>
      <w:proofErr w:type="spellStart"/>
      <w:r w:rsidRPr="00CA0397">
        <w:rPr>
          <w:rFonts w:ascii="Calibri" w:eastAsia="Calibri" w:hAnsi="Calibri" w:cs="Calibri"/>
        </w:rPr>
        <w:t>Semin</w:t>
      </w:r>
      <w:proofErr w:type="spellEnd"/>
      <w:r w:rsidRPr="00CA0397">
        <w:rPr>
          <w:rFonts w:ascii="Calibri" w:eastAsia="Calibri" w:hAnsi="Calibri" w:cs="Calibri"/>
        </w:rPr>
        <w:t xml:space="preserve"> Dial. </w:t>
      </w:r>
      <w:proofErr w:type="gramStart"/>
      <w:r w:rsidRPr="00CA0397">
        <w:rPr>
          <w:rFonts w:ascii="Calibri" w:eastAsia="Calibri" w:hAnsi="Calibri" w:cs="Calibri"/>
        </w:rPr>
        <w:t>2018;31:406</w:t>
      </w:r>
      <w:proofErr w:type="gramEnd"/>
      <w:r w:rsidRPr="00CA0397">
        <w:rPr>
          <w:rFonts w:ascii="Calibri" w:eastAsia="Calibri" w:hAnsi="Calibri" w:cs="Calibri"/>
        </w:rPr>
        <w:t>–414.</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[2] </w:t>
      </w:r>
      <w:r w:rsidRPr="00CA0397">
        <w:rPr>
          <w:rFonts w:ascii="Calibri" w:eastAsia="Calibri" w:hAnsi="Calibri" w:cs="Calibri"/>
        </w:rPr>
        <w:tab/>
        <w:t xml:space="preserve">Weiner D, </w:t>
      </w:r>
      <w:proofErr w:type="spellStart"/>
      <w:r w:rsidRPr="00CA0397">
        <w:rPr>
          <w:rFonts w:ascii="Calibri" w:eastAsia="Calibri" w:hAnsi="Calibri" w:cs="Calibri"/>
        </w:rPr>
        <w:t>Watnick</w:t>
      </w:r>
      <w:proofErr w:type="spellEnd"/>
      <w:r w:rsidRPr="00CA0397">
        <w:rPr>
          <w:rFonts w:ascii="Calibri" w:eastAsia="Calibri" w:hAnsi="Calibri" w:cs="Calibri"/>
        </w:rPr>
        <w:t xml:space="preserve"> S. The ESRD Quality Incentive Program—Can We Bridge the Chasm? J Am Soc </w:t>
      </w:r>
      <w:proofErr w:type="spellStart"/>
      <w:r w:rsidRPr="00CA0397">
        <w:rPr>
          <w:rFonts w:ascii="Calibri" w:eastAsia="Calibri" w:hAnsi="Calibri" w:cs="Calibri"/>
        </w:rPr>
        <w:t>Nephrol</w:t>
      </w:r>
      <w:proofErr w:type="spellEnd"/>
      <w:r w:rsidRPr="00CA0397">
        <w:rPr>
          <w:rFonts w:ascii="Calibri" w:eastAsia="Calibri" w:hAnsi="Calibri" w:cs="Calibri"/>
        </w:rPr>
        <w:t xml:space="preserve">. </w:t>
      </w:r>
      <w:proofErr w:type="gramStart"/>
      <w:r w:rsidRPr="00CA0397">
        <w:rPr>
          <w:rFonts w:ascii="Calibri" w:eastAsia="Calibri" w:hAnsi="Calibri" w:cs="Calibri"/>
        </w:rPr>
        <w:t>2017;28:1697</w:t>
      </w:r>
      <w:proofErr w:type="gramEnd"/>
      <w:r w:rsidRPr="00CA0397">
        <w:rPr>
          <w:rFonts w:ascii="Calibri" w:eastAsia="Calibri" w:hAnsi="Calibri" w:cs="Calibri"/>
        </w:rPr>
        <w:t>–1706.</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[3] </w:t>
      </w:r>
      <w:r w:rsidRPr="00CA0397">
        <w:rPr>
          <w:rFonts w:ascii="Calibri" w:eastAsia="Calibri" w:hAnsi="Calibri" w:cs="Calibri"/>
        </w:rPr>
        <w:tab/>
        <w:t xml:space="preserve">Desai AA, Garber AM, </w:t>
      </w:r>
      <w:proofErr w:type="spellStart"/>
      <w:r w:rsidRPr="00CA0397">
        <w:rPr>
          <w:rFonts w:ascii="Calibri" w:eastAsia="Calibri" w:hAnsi="Calibri" w:cs="Calibri"/>
        </w:rPr>
        <w:t>Chertow</w:t>
      </w:r>
      <w:proofErr w:type="spellEnd"/>
      <w:r w:rsidRPr="00CA0397">
        <w:rPr>
          <w:rFonts w:ascii="Calibri" w:eastAsia="Calibri" w:hAnsi="Calibri" w:cs="Calibri"/>
        </w:rPr>
        <w:t xml:space="preserve"> GM. Rise of Pay for Performance: Implications for Care of People with Chronic Kidney Disease. Clin J Am Soc </w:t>
      </w:r>
      <w:proofErr w:type="spellStart"/>
      <w:r w:rsidRPr="00CA0397">
        <w:rPr>
          <w:rFonts w:ascii="Calibri" w:eastAsia="Calibri" w:hAnsi="Calibri" w:cs="Calibri"/>
        </w:rPr>
        <w:t>Nephrol</w:t>
      </w:r>
      <w:proofErr w:type="spellEnd"/>
      <w:r w:rsidRPr="00CA0397">
        <w:rPr>
          <w:rFonts w:ascii="Calibri" w:eastAsia="Calibri" w:hAnsi="Calibri" w:cs="Calibri"/>
        </w:rPr>
        <w:t xml:space="preserve">. </w:t>
      </w:r>
      <w:proofErr w:type="gramStart"/>
      <w:r w:rsidRPr="00CA0397">
        <w:rPr>
          <w:rFonts w:ascii="Calibri" w:eastAsia="Calibri" w:hAnsi="Calibri" w:cs="Calibri"/>
        </w:rPr>
        <w:t>2007;2:1087</w:t>
      </w:r>
      <w:proofErr w:type="gramEnd"/>
      <w:r w:rsidRPr="00CA0397">
        <w:rPr>
          <w:rFonts w:ascii="Calibri" w:eastAsia="Calibri" w:hAnsi="Calibri" w:cs="Calibri"/>
        </w:rPr>
        <w:t>–1095.</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[4] </w:t>
      </w:r>
      <w:r w:rsidRPr="00CA0397">
        <w:rPr>
          <w:rFonts w:ascii="Calibri" w:eastAsia="Calibri" w:hAnsi="Calibri" w:cs="Calibri"/>
        </w:rPr>
        <w:tab/>
        <w:t>CMS.Org - Laws &amp; Regulations [Internet]. [cited 2020 Dec 30]. Available from: https://www.cms.gov/Medicare/Quality-Initiatives-Patient-Assessment-Instruments/ESRDQIP/05_LawsandRegs.</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[5] </w:t>
      </w:r>
      <w:r w:rsidRPr="00CA0397">
        <w:rPr>
          <w:rFonts w:ascii="Calibri" w:eastAsia="Calibri" w:hAnsi="Calibri" w:cs="Calibri"/>
        </w:rPr>
        <w:tab/>
        <w:t xml:space="preserve">Pham HH, Cohen M, Conway PH. The Pioneer Accountable Care Organization Model: Improving Quality and Lowering Costs. JAMA. </w:t>
      </w:r>
      <w:proofErr w:type="gramStart"/>
      <w:r w:rsidRPr="00CA0397">
        <w:rPr>
          <w:rFonts w:ascii="Calibri" w:eastAsia="Calibri" w:hAnsi="Calibri" w:cs="Calibri"/>
        </w:rPr>
        <w:t>2014;312:1635</w:t>
      </w:r>
      <w:proofErr w:type="gramEnd"/>
      <w:r w:rsidRPr="00CA0397">
        <w:rPr>
          <w:rFonts w:ascii="Calibri" w:eastAsia="Calibri" w:hAnsi="Calibri" w:cs="Calibri"/>
        </w:rPr>
        <w:t>.</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lastRenderedPageBreak/>
        <w:t xml:space="preserve">[6] </w:t>
      </w:r>
      <w:r w:rsidRPr="00CA0397">
        <w:rPr>
          <w:rFonts w:ascii="Calibri" w:eastAsia="Calibri" w:hAnsi="Calibri" w:cs="Calibri"/>
        </w:rPr>
        <w:tab/>
        <w:t>Executive Order on Advancing American Kidney Health [Internet]. 2019. Available from: https://www.whitehouse.gov/presidential-actions/executive-order-advancing-american-kidney-health/.</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[7] </w:t>
      </w:r>
      <w:r w:rsidRPr="00CA0397">
        <w:rPr>
          <w:rFonts w:ascii="Calibri" w:eastAsia="Calibri" w:hAnsi="Calibri" w:cs="Calibri"/>
        </w:rPr>
        <w:tab/>
      </w:r>
      <w:proofErr w:type="spellStart"/>
      <w:r w:rsidRPr="00CA0397">
        <w:rPr>
          <w:rFonts w:ascii="Calibri" w:eastAsia="Calibri" w:hAnsi="Calibri" w:cs="Calibri"/>
        </w:rPr>
        <w:t>Dabbous</w:t>
      </w:r>
      <w:proofErr w:type="spellEnd"/>
      <w:r w:rsidRPr="00CA0397">
        <w:rPr>
          <w:rFonts w:ascii="Calibri" w:eastAsia="Calibri" w:hAnsi="Calibri" w:cs="Calibri"/>
        </w:rPr>
        <w:t xml:space="preserve"> M, </w:t>
      </w:r>
      <w:proofErr w:type="spellStart"/>
      <w:r w:rsidRPr="00CA0397">
        <w:rPr>
          <w:rFonts w:ascii="Calibri" w:eastAsia="Calibri" w:hAnsi="Calibri" w:cs="Calibri"/>
        </w:rPr>
        <w:t>Chachoua</w:t>
      </w:r>
      <w:proofErr w:type="spellEnd"/>
      <w:r w:rsidRPr="00CA0397">
        <w:rPr>
          <w:rFonts w:ascii="Calibri" w:eastAsia="Calibri" w:hAnsi="Calibri" w:cs="Calibri"/>
        </w:rPr>
        <w:t xml:space="preserve"> L, </w:t>
      </w:r>
      <w:proofErr w:type="spellStart"/>
      <w:r w:rsidRPr="00CA0397">
        <w:rPr>
          <w:rFonts w:ascii="Calibri" w:eastAsia="Calibri" w:hAnsi="Calibri" w:cs="Calibri"/>
        </w:rPr>
        <w:t>Caban</w:t>
      </w:r>
      <w:proofErr w:type="spellEnd"/>
      <w:r w:rsidRPr="00CA0397">
        <w:rPr>
          <w:rFonts w:ascii="Calibri" w:eastAsia="Calibri" w:hAnsi="Calibri" w:cs="Calibri"/>
        </w:rPr>
        <w:t xml:space="preserve"> A, et al. Managed Entry Agreements: Policy Analysis </w:t>
      </w:r>
      <w:proofErr w:type="gramStart"/>
      <w:r w:rsidRPr="00CA0397">
        <w:rPr>
          <w:rFonts w:ascii="Calibri" w:eastAsia="Calibri" w:hAnsi="Calibri" w:cs="Calibri"/>
        </w:rPr>
        <w:t>From</w:t>
      </w:r>
      <w:proofErr w:type="gramEnd"/>
      <w:r w:rsidRPr="00CA0397">
        <w:rPr>
          <w:rFonts w:ascii="Calibri" w:eastAsia="Calibri" w:hAnsi="Calibri" w:cs="Calibri"/>
        </w:rPr>
        <w:t xml:space="preserve"> the European Perspective. Value Health. </w:t>
      </w:r>
      <w:proofErr w:type="gramStart"/>
      <w:r w:rsidRPr="00CA0397">
        <w:rPr>
          <w:rFonts w:ascii="Calibri" w:eastAsia="Calibri" w:hAnsi="Calibri" w:cs="Calibri"/>
        </w:rPr>
        <w:t>2020;23:425</w:t>
      </w:r>
      <w:proofErr w:type="gramEnd"/>
      <w:r w:rsidRPr="00CA0397">
        <w:rPr>
          <w:rFonts w:ascii="Calibri" w:eastAsia="Calibri" w:hAnsi="Calibri" w:cs="Calibri"/>
        </w:rPr>
        <w:t>–433.</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[8] </w:t>
      </w:r>
      <w:r w:rsidRPr="00CA0397">
        <w:rPr>
          <w:rFonts w:ascii="Calibri" w:eastAsia="Calibri" w:hAnsi="Calibri" w:cs="Calibri"/>
        </w:rPr>
        <w:tab/>
        <w:t xml:space="preserve">**Garrison LP, </w:t>
      </w:r>
      <w:proofErr w:type="spellStart"/>
      <w:r w:rsidRPr="00CA0397">
        <w:rPr>
          <w:rFonts w:ascii="Calibri" w:eastAsia="Calibri" w:hAnsi="Calibri" w:cs="Calibri"/>
        </w:rPr>
        <w:t>Towse</w:t>
      </w:r>
      <w:proofErr w:type="spellEnd"/>
      <w:r w:rsidRPr="00CA0397">
        <w:rPr>
          <w:rFonts w:ascii="Calibri" w:eastAsia="Calibri" w:hAnsi="Calibri" w:cs="Calibri"/>
        </w:rPr>
        <w:t xml:space="preserve"> A, Briggs A, et al. Performance-Based Risk-Sharing Arrangements—Good Practices for Design, Implementation, and Evaluation: Report of the ISPOR Good Practices for Performance-Based Risk-Sharing Arrangements Task Force. Value Health. </w:t>
      </w:r>
      <w:proofErr w:type="gramStart"/>
      <w:r w:rsidRPr="00CA0397">
        <w:rPr>
          <w:rFonts w:ascii="Calibri" w:eastAsia="Calibri" w:hAnsi="Calibri" w:cs="Calibri"/>
        </w:rPr>
        <w:t>2013;16:703</w:t>
      </w:r>
      <w:proofErr w:type="gramEnd"/>
      <w:r w:rsidRPr="00CA0397">
        <w:rPr>
          <w:rFonts w:ascii="Calibri" w:eastAsia="Calibri" w:hAnsi="Calibri" w:cs="Calibri"/>
        </w:rPr>
        <w:t>–719.</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ab/>
        <w:t xml:space="preserve">The seminal paper on issues with the development and implementation of PBRSAs in health </w:t>
      </w:r>
      <w:r w:rsidRPr="00CA0397">
        <w:rPr>
          <w:rFonts w:ascii="Calibri" w:eastAsia="Calibri" w:hAnsi="Calibri" w:cs="Arial"/>
        </w:rPr>
        <w:tab/>
        <w:t>care.</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[9] </w:t>
      </w:r>
      <w:r w:rsidRPr="00CA0397">
        <w:rPr>
          <w:rFonts w:ascii="Calibri" w:eastAsia="Calibri" w:hAnsi="Calibri" w:cs="Calibri"/>
        </w:rPr>
        <w:tab/>
        <w:t>NHS England Cancer Drugs Fund Team. Appraisal and Funding of Cancer Drugs from July 2016 (including the new Cancer Drugs Fund) - A new deal for patients, taxpayers and industry [Internet]. NHS England; 2016. Available from: https://www.england.nhs.uk/wp-content/uploads/2013/04/cdf-sop.pdf.</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[10] </w:t>
      </w:r>
      <w:r w:rsidRPr="00CA0397">
        <w:rPr>
          <w:rFonts w:ascii="Calibri" w:eastAsia="Calibri" w:hAnsi="Calibri" w:cs="Calibri"/>
        </w:rPr>
        <w:tab/>
        <w:t>**</w:t>
      </w:r>
      <w:proofErr w:type="spellStart"/>
      <w:r w:rsidRPr="00CA0397">
        <w:rPr>
          <w:rFonts w:ascii="Calibri" w:eastAsia="Calibri" w:hAnsi="Calibri" w:cs="Calibri"/>
        </w:rPr>
        <w:t>Reckers-Droog</w:t>
      </w:r>
      <w:proofErr w:type="spellEnd"/>
      <w:r w:rsidRPr="00CA0397">
        <w:rPr>
          <w:rFonts w:ascii="Calibri" w:eastAsia="Calibri" w:hAnsi="Calibri" w:cs="Calibri"/>
        </w:rPr>
        <w:t xml:space="preserve"> V, Federici C, Brouwer W, et al. Challenges with coverage with evidence development schemes for medical devices: A systematic review. Health Policy Technol. </w:t>
      </w:r>
      <w:proofErr w:type="gramStart"/>
      <w:r w:rsidRPr="00CA0397">
        <w:rPr>
          <w:rFonts w:ascii="Calibri" w:eastAsia="Calibri" w:hAnsi="Calibri" w:cs="Calibri"/>
        </w:rPr>
        <w:t>2020;S</w:t>
      </w:r>
      <w:proofErr w:type="gramEnd"/>
      <w:r w:rsidRPr="00CA0397">
        <w:rPr>
          <w:rFonts w:ascii="Calibri" w:eastAsia="Calibri" w:hAnsi="Calibri" w:cs="Calibri"/>
        </w:rPr>
        <w:t>2211883720300137.</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ab/>
        <w:t>The most recent review of the challenges of implementing these schemes.</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[11] </w:t>
      </w:r>
      <w:r w:rsidRPr="00CA0397">
        <w:rPr>
          <w:rFonts w:ascii="Calibri" w:eastAsia="Calibri" w:hAnsi="Calibri" w:cs="Calibri"/>
        </w:rPr>
        <w:tab/>
      </w:r>
      <w:proofErr w:type="spellStart"/>
      <w:r w:rsidRPr="00CA0397">
        <w:rPr>
          <w:rFonts w:ascii="Calibri" w:eastAsia="Calibri" w:hAnsi="Calibri" w:cs="Calibri"/>
        </w:rPr>
        <w:t>Stafinski</w:t>
      </w:r>
      <w:proofErr w:type="spellEnd"/>
      <w:r w:rsidRPr="00CA0397">
        <w:rPr>
          <w:rFonts w:ascii="Calibri" w:eastAsia="Calibri" w:hAnsi="Calibri" w:cs="Calibri"/>
        </w:rPr>
        <w:t xml:space="preserve"> T, McCabe CJ, Menon D. Funding the </w:t>
      </w:r>
      <w:proofErr w:type="spellStart"/>
      <w:r w:rsidRPr="00CA0397">
        <w:rPr>
          <w:rFonts w:ascii="Calibri" w:eastAsia="Calibri" w:hAnsi="Calibri" w:cs="Calibri"/>
        </w:rPr>
        <w:t>Unfundable</w:t>
      </w:r>
      <w:proofErr w:type="spellEnd"/>
      <w:r w:rsidRPr="00CA0397">
        <w:rPr>
          <w:rFonts w:ascii="Calibri" w:eastAsia="Calibri" w:hAnsi="Calibri" w:cs="Calibri"/>
        </w:rPr>
        <w:t xml:space="preserve">: Mechanisms for Managing Uncertainty in Decisions on the Introduction of New and Innovative Technologies into Healthcare Systems. </w:t>
      </w:r>
      <w:proofErr w:type="spellStart"/>
      <w:r w:rsidRPr="00CA0397">
        <w:rPr>
          <w:rFonts w:ascii="Calibri" w:eastAsia="Calibri" w:hAnsi="Calibri" w:cs="Calibri"/>
        </w:rPr>
        <w:t>PharmacoEconomics</w:t>
      </w:r>
      <w:proofErr w:type="spellEnd"/>
      <w:r w:rsidRPr="00CA0397">
        <w:rPr>
          <w:rFonts w:ascii="Calibri" w:eastAsia="Calibri" w:hAnsi="Calibri" w:cs="Calibri"/>
        </w:rPr>
        <w:t xml:space="preserve">. </w:t>
      </w:r>
      <w:proofErr w:type="gramStart"/>
      <w:r w:rsidRPr="00CA0397">
        <w:rPr>
          <w:rFonts w:ascii="Calibri" w:eastAsia="Calibri" w:hAnsi="Calibri" w:cs="Calibri"/>
        </w:rPr>
        <w:t>2010;28:113</w:t>
      </w:r>
      <w:proofErr w:type="gramEnd"/>
      <w:r w:rsidRPr="00CA0397">
        <w:rPr>
          <w:rFonts w:ascii="Calibri" w:eastAsia="Calibri" w:hAnsi="Calibri" w:cs="Calibri"/>
        </w:rPr>
        <w:t>–142.</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[12] </w:t>
      </w:r>
      <w:r w:rsidRPr="00CA0397">
        <w:rPr>
          <w:rFonts w:ascii="Calibri" w:eastAsia="Calibri" w:hAnsi="Calibri" w:cs="Calibri"/>
        </w:rPr>
        <w:tab/>
        <w:t xml:space="preserve">Drummond M. When do performance-based risk-sharing arrangements make sense? Eur J Health Econ. </w:t>
      </w:r>
      <w:proofErr w:type="gramStart"/>
      <w:r w:rsidRPr="00CA0397">
        <w:rPr>
          <w:rFonts w:ascii="Calibri" w:eastAsia="Calibri" w:hAnsi="Calibri" w:cs="Calibri"/>
        </w:rPr>
        <w:t>2015;16:569</w:t>
      </w:r>
      <w:proofErr w:type="gramEnd"/>
      <w:r w:rsidRPr="00CA0397">
        <w:rPr>
          <w:rFonts w:ascii="Calibri" w:eastAsia="Calibri" w:hAnsi="Calibri" w:cs="Calibri"/>
        </w:rPr>
        <w:t>–571.</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[13] </w:t>
      </w:r>
      <w:r w:rsidRPr="00CA0397">
        <w:rPr>
          <w:rFonts w:ascii="Calibri" w:eastAsia="Calibri" w:hAnsi="Calibri" w:cs="Calibri"/>
        </w:rPr>
        <w:tab/>
      </w:r>
      <w:proofErr w:type="spellStart"/>
      <w:r w:rsidRPr="00CA0397">
        <w:rPr>
          <w:rFonts w:ascii="Calibri" w:eastAsia="Calibri" w:hAnsi="Calibri" w:cs="Calibri"/>
        </w:rPr>
        <w:t>Tricco</w:t>
      </w:r>
      <w:proofErr w:type="spellEnd"/>
      <w:r w:rsidRPr="00CA0397">
        <w:rPr>
          <w:rFonts w:ascii="Calibri" w:eastAsia="Calibri" w:hAnsi="Calibri" w:cs="Calibri"/>
        </w:rPr>
        <w:t xml:space="preserve"> AC, Lillie E, </w:t>
      </w:r>
      <w:proofErr w:type="spellStart"/>
      <w:r w:rsidRPr="00CA0397">
        <w:rPr>
          <w:rFonts w:ascii="Calibri" w:eastAsia="Calibri" w:hAnsi="Calibri" w:cs="Calibri"/>
        </w:rPr>
        <w:t>Zarin</w:t>
      </w:r>
      <w:proofErr w:type="spellEnd"/>
      <w:r w:rsidRPr="00CA0397">
        <w:rPr>
          <w:rFonts w:ascii="Calibri" w:eastAsia="Calibri" w:hAnsi="Calibri" w:cs="Calibri"/>
        </w:rPr>
        <w:t xml:space="preserve"> W, et al. PRISMA Extension for Scoping Reviews (PRISMA-</w:t>
      </w:r>
      <w:proofErr w:type="spellStart"/>
      <w:r w:rsidRPr="00CA0397">
        <w:rPr>
          <w:rFonts w:ascii="Calibri" w:eastAsia="Calibri" w:hAnsi="Calibri" w:cs="Calibri"/>
        </w:rPr>
        <w:t>ScR</w:t>
      </w:r>
      <w:proofErr w:type="spellEnd"/>
      <w:r w:rsidRPr="00CA0397">
        <w:rPr>
          <w:rFonts w:ascii="Calibri" w:eastAsia="Calibri" w:hAnsi="Calibri" w:cs="Calibri"/>
        </w:rPr>
        <w:t xml:space="preserve">): Checklist and Explanation. Ann Intern Med. </w:t>
      </w:r>
      <w:proofErr w:type="gramStart"/>
      <w:r w:rsidRPr="00CA0397">
        <w:rPr>
          <w:rFonts w:ascii="Calibri" w:eastAsia="Calibri" w:hAnsi="Calibri" w:cs="Calibri"/>
        </w:rPr>
        <w:t>2018;169:467</w:t>
      </w:r>
      <w:proofErr w:type="gramEnd"/>
      <w:r w:rsidRPr="00CA0397">
        <w:rPr>
          <w:rFonts w:ascii="Calibri" w:eastAsia="Calibri" w:hAnsi="Calibri" w:cs="Calibri"/>
        </w:rPr>
        <w:t>.</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[14] </w:t>
      </w:r>
      <w:r w:rsidRPr="00CA0397">
        <w:rPr>
          <w:rFonts w:ascii="Calibri" w:eastAsia="Calibri" w:hAnsi="Calibri" w:cs="Calibri"/>
        </w:rPr>
        <w:tab/>
        <w:t xml:space="preserve">Moher D, </w:t>
      </w:r>
      <w:proofErr w:type="spellStart"/>
      <w:r w:rsidRPr="00CA0397">
        <w:rPr>
          <w:rFonts w:ascii="Calibri" w:eastAsia="Calibri" w:hAnsi="Calibri" w:cs="Calibri"/>
        </w:rPr>
        <w:t>Liberati</w:t>
      </w:r>
      <w:proofErr w:type="spellEnd"/>
      <w:r w:rsidRPr="00CA0397">
        <w:rPr>
          <w:rFonts w:ascii="Calibri" w:eastAsia="Calibri" w:hAnsi="Calibri" w:cs="Calibri"/>
        </w:rPr>
        <w:t xml:space="preserve"> A, </w:t>
      </w:r>
      <w:proofErr w:type="spellStart"/>
      <w:r w:rsidRPr="00CA0397">
        <w:rPr>
          <w:rFonts w:ascii="Calibri" w:eastAsia="Calibri" w:hAnsi="Calibri" w:cs="Calibri"/>
        </w:rPr>
        <w:t>Tetzlaff</w:t>
      </w:r>
      <w:proofErr w:type="spellEnd"/>
      <w:r w:rsidRPr="00CA0397">
        <w:rPr>
          <w:rFonts w:ascii="Calibri" w:eastAsia="Calibri" w:hAnsi="Calibri" w:cs="Calibri"/>
        </w:rPr>
        <w:t xml:space="preserve"> J, et al. Preferred reporting items for systematic reviews and meta-analyses: the PRISMA statement. BMJ. 2009;</w:t>
      </w:r>
      <w:proofErr w:type="gramStart"/>
      <w:r w:rsidRPr="00CA0397">
        <w:rPr>
          <w:rFonts w:ascii="Calibri" w:eastAsia="Calibri" w:hAnsi="Calibri" w:cs="Calibri"/>
        </w:rPr>
        <w:t>339:b</w:t>
      </w:r>
      <w:proofErr w:type="gramEnd"/>
      <w:r w:rsidRPr="00CA0397">
        <w:rPr>
          <w:rFonts w:ascii="Calibri" w:eastAsia="Calibri" w:hAnsi="Calibri" w:cs="Calibri"/>
        </w:rPr>
        <w:t>2535–b2535.</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[15] </w:t>
      </w:r>
      <w:r w:rsidRPr="00CA0397">
        <w:rPr>
          <w:rFonts w:ascii="Calibri" w:eastAsia="Calibri" w:hAnsi="Calibri" w:cs="Calibri"/>
        </w:rPr>
        <w:tab/>
        <w:t xml:space="preserve">Mannion R, Davies HTO. Payment for performance in health care. BMJ. </w:t>
      </w:r>
      <w:proofErr w:type="gramStart"/>
      <w:r w:rsidRPr="00CA0397">
        <w:rPr>
          <w:rFonts w:ascii="Calibri" w:eastAsia="Calibri" w:hAnsi="Calibri" w:cs="Calibri"/>
        </w:rPr>
        <w:t>2008;336:306</w:t>
      </w:r>
      <w:proofErr w:type="gramEnd"/>
      <w:r w:rsidRPr="00CA0397">
        <w:rPr>
          <w:rFonts w:ascii="Calibri" w:eastAsia="Calibri" w:hAnsi="Calibri" w:cs="Calibri"/>
        </w:rPr>
        <w:t>–308.</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[16] </w:t>
      </w:r>
      <w:r w:rsidRPr="00CA0397">
        <w:rPr>
          <w:rFonts w:ascii="Calibri" w:eastAsia="Calibri" w:hAnsi="Calibri" w:cs="Calibri"/>
        </w:rPr>
        <w:tab/>
      </w:r>
      <w:proofErr w:type="gramStart"/>
      <w:r w:rsidRPr="00CA0397">
        <w:rPr>
          <w:rFonts w:ascii="Calibri" w:eastAsia="Calibri" w:hAnsi="Calibri" w:cs="Calibri"/>
        </w:rPr>
        <w:t xml:space="preserve">Hahn  </w:t>
      </w:r>
      <w:proofErr w:type="spellStart"/>
      <w:r w:rsidRPr="00CA0397">
        <w:rPr>
          <w:rFonts w:ascii="Calibri" w:eastAsia="Calibri" w:hAnsi="Calibri" w:cs="Calibri"/>
        </w:rPr>
        <w:t>jim</w:t>
      </w:r>
      <w:proofErr w:type="spellEnd"/>
      <w:proofErr w:type="gramEnd"/>
      <w:r w:rsidRPr="00CA0397">
        <w:rPr>
          <w:rFonts w:ascii="Calibri" w:eastAsia="Calibri" w:hAnsi="Calibri" w:cs="Calibri"/>
        </w:rPr>
        <w:t>. Pay-for-Performance in Health Care. Congressional Research Services (CRS); 2006.</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[17] </w:t>
      </w:r>
      <w:r w:rsidRPr="00CA0397">
        <w:rPr>
          <w:rFonts w:ascii="Calibri" w:eastAsia="Calibri" w:hAnsi="Calibri" w:cs="Calibri"/>
        </w:rPr>
        <w:tab/>
        <w:t xml:space="preserve">*Mendelssohn DC, </w:t>
      </w:r>
      <w:proofErr w:type="spellStart"/>
      <w:r w:rsidRPr="00CA0397">
        <w:rPr>
          <w:rFonts w:ascii="Calibri" w:eastAsia="Calibri" w:hAnsi="Calibri" w:cs="Calibri"/>
        </w:rPr>
        <w:t>Manns</w:t>
      </w:r>
      <w:proofErr w:type="spellEnd"/>
      <w:r w:rsidRPr="00CA0397">
        <w:rPr>
          <w:rFonts w:ascii="Calibri" w:eastAsia="Calibri" w:hAnsi="Calibri" w:cs="Calibri"/>
        </w:rPr>
        <w:t xml:space="preserve"> BJ. A Proposal for Improving Evidence Generation in Nephrology. Am J Kidney Dis. </w:t>
      </w:r>
      <w:proofErr w:type="gramStart"/>
      <w:r w:rsidRPr="00CA0397">
        <w:rPr>
          <w:rFonts w:ascii="Calibri" w:eastAsia="Calibri" w:hAnsi="Calibri" w:cs="Calibri"/>
        </w:rPr>
        <w:t>2011;58:13</w:t>
      </w:r>
      <w:proofErr w:type="gramEnd"/>
      <w:r w:rsidRPr="00CA0397">
        <w:rPr>
          <w:rFonts w:ascii="Calibri" w:eastAsia="Calibri" w:hAnsi="Calibri" w:cs="Calibri"/>
        </w:rPr>
        <w:t>–18.</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ab/>
        <w:t>One of only two discussions of PBRSAs in renal care found in the literature.</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lastRenderedPageBreak/>
        <w:t xml:space="preserve">[18] </w:t>
      </w:r>
      <w:r w:rsidRPr="00CA0397">
        <w:rPr>
          <w:rFonts w:ascii="Calibri" w:eastAsia="Calibri" w:hAnsi="Calibri" w:cs="Calibri"/>
        </w:rPr>
        <w:tab/>
        <w:t xml:space="preserve">*Mendelssohn DC, McFarlane P. Conditionally Funded Field Evaluations-A Solution to the Economic Barriers Limiting Evidence Generation in </w:t>
      </w:r>
      <w:proofErr w:type="gramStart"/>
      <w:r w:rsidRPr="00CA0397">
        <w:rPr>
          <w:rFonts w:ascii="Calibri" w:eastAsia="Calibri" w:hAnsi="Calibri" w:cs="Calibri"/>
        </w:rPr>
        <w:t>Dialysis?:</w:t>
      </w:r>
      <w:proofErr w:type="gramEnd"/>
      <w:r w:rsidRPr="00CA0397">
        <w:rPr>
          <w:rFonts w:ascii="Calibri" w:eastAsia="Calibri" w:hAnsi="Calibri" w:cs="Calibri"/>
        </w:rPr>
        <w:t xml:space="preserve"> FIELD EVALUATIONS IN DIALYSIS. </w:t>
      </w:r>
      <w:proofErr w:type="spellStart"/>
      <w:r w:rsidRPr="00CA0397">
        <w:rPr>
          <w:rFonts w:ascii="Calibri" w:eastAsia="Calibri" w:hAnsi="Calibri" w:cs="Calibri"/>
        </w:rPr>
        <w:t>Semin</w:t>
      </w:r>
      <w:proofErr w:type="spellEnd"/>
      <w:r w:rsidRPr="00CA0397">
        <w:rPr>
          <w:rFonts w:ascii="Calibri" w:eastAsia="Calibri" w:hAnsi="Calibri" w:cs="Calibri"/>
        </w:rPr>
        <w:t xml:space="preserve"> Dial. </w:t>
      </w:r>
      <w:proofErr w:type="gramStart"/>
      <w:r w:rsidRPr="00CA0397">
        <w:rPr>
          <w:rFonts w:ascii="Calibri" w:eastAsia="Calibri" w:hAnsi="Calibri" w:cs="Calibri"/>
        </w:rPr>
        <w:t>2011;24:556</w:t>
      </w:r>
      <w:proofErr w:type="gramEnd"/>
      <w:r w:rsidRPr="00CA0397">
        <w:rPr>
          <w:rFonts w:ascii="Calibri" w:eastAsia="Calibri" w:hAnsi="Calibri" w:cs="Calibri"/>
        </w:rPr>
        <w:t>–559.</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ab/>
        <w:t>One of only two discussions of PBRSAs in renal care found in the literature.</w:t>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[19] </w:t>
      </w:r>
      <w:r w:rsidRPr="00CA0397">
        <w:rPr>
          <w:rFonts w:ascii="Calibri" w:eastAsia="Calibri" w:hAnsi="Calibri" w:cs="Calibri"/>
        </w:rPr>
        <w:tab/>
      </w:r>
      <w:proofErr w:type="spellStart"/>
      <w:r w:rsidRPr="00CA0397">
        <w:rPr>
          <w:rFonts w:ascii="Calibri" w:eastAsia="Calibri" w:hAnsi="Calibri" w:cs="Calibri"/>
        </w:rPr>
        <w:t>Boccato</w:t>
      </w:r>
      <w:proofErr w:type="spellEnd"/>
      <w:r w:rsidRPr="00CA0397">
        <w:rPr>
          <w:rFonts w:ascii="Calibri" w:eastAsia="Calibri" w:hAnsi="Calibri" w:cs="Calibri"/>
        </w:rPr>
        <w:t xml:space="preserve"> C, Evans DW, </w:t>
      </w:r>
      <w:proofErr w:type="spellStart"/>
      <w:r w:rsidRPr="00CA0397">
        <w:rPr>
          <w:rFonts w:ascii="Calibri" w:eastAsia="Calibri" w:hAnsi="Calibri" w:cs="Calibri"/>
        </w:rPr>
        <w:t>Lucena</w:t>
      </w:r>
      <w:proofErr w:type="spellEnd"/>
      <w:r w:rsidRPr="00CA0397">
        <w:rPr>
          <w:rFonts w:ascii="Calibri" w:eastAsia="Calibri" w:hAnsi="Calibri" w:cs="Calibri"/>
        </w:rPr>
        <w:t xml:space="preserve"> R, et al. Water and dialysis fluids: a quality management guide. 2015.</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[20] </w:t>
      </w:r>
      <w:r w:rsidRPr="00CA0397">
        <w:rPr>
          <w:rFonts w:ascii="Calibri" w:eastAsia="Calibri" w:hAnsi="Calibri" w:cs="Calibri"/>
        </w:rPr>
        <w:tab/>
      </w:r>
      <w:proofErr w:type="spellStart"/>
      <w:r w:rsidRPr="00CA0397">
        <w:rPr>
          <w:rFonts w:ascii="Calibri" w:eastAsia="Calibri" w:hAnsi="Calibri" w:cs="Calibri"/>
        </w:rPr>
        <w:t>AdoptHTA</w:t>
      </w:r>
      <w:proofErr w:type="spellEnd"/>
      <w:r w:rsidRPr="00CA0397">
        <w:rPr>
          <w:rFonts w:ascii="Calibri" w:eastAsia="Calibri" w:hAnsi="Calibri" w:cs="Calibri"/>
        </w:rPr>
        <w:t xml:space="preserve">. The </w:t>
      </w:r>
      <w:proofErr w:type="spellStart"/>
      <w:r w:rsidRPr="00CA0397">
        <w:rPr>
          <w:rFonts w:ascii="Calibri" w:eastAsia="Calibri" w:hAnsi="Calibri" w:cs="Calibri"/>
        </w:rPr>
        <w:t>AdHopHTA</w:t>
      </w:r>
      <w:proofErr w:type="spellEnd"/>
      <w:r w:rsidRPr="00CA0397">
        <w:rPr>
          <w:rFonts w:ascii="Calibri" w:eastAsia="Calibri" w:hAnsi="Calibri" w:cs="Calibri"/>
        </w:rPr>
        <w:t xml:space="preserve"> handbook: a handbook of hospital-based health technology assessment [Internet]. 2015. Available from: www.adhophta.eu.</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[21] </w:t>
      </w:r>
      <w:r w:rsidRPr="00CA0397">
        <w:rPr>
          <w:rFonts w:ascii="Calibri" w:eastAsia="Calibri" w:hAnsi="Calibri" w:cs="Calibri"/>
        </w:rPr>
        <w:tab/>
        <w:t xml:space="preserve">British Columbia Provincial Renal Agency (BCPRA) </w:t>
      </w:r>
      <w:proofErr w:type="spellStart"/>
      <w:r w:rsidRPr="00CA0397">
        <w:rPr>
          <w:rFonts w:ascii="Calibri" w:eastAsia="Calibri" w:hAnsi="Calibri" w:cs="Calibri"/>
        </w:rPr>
        <w:t>Hemodialysis</w:t>
      </w:r>
      <w:proofErr w:type="spellEnd"/>
      <w:r w:rsidRPr="00CA0397">
        <w:rPr>
          <w:rFonts w:ascii="Calibri" w:eastAsia="Calibri" w:hAnsi="Calibri" w:cs="Calibri"/>
        </w:rPr>
        <w:t xml:space="preserve"> Committee. Dialysate Water System Microbiology &amp; Endotoxin Sampling. Vancouver: British Columbia Provincial Renal Agency (BCPRA); 2016.</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[22] </w:t>
      </w:r>
      <w:r w:rsidRPr="00CA0397">
        <w:rPr>
          <w:rFonts w:ascii="Calibri" w:eastAsia="Calibri" w:hAnsi="Calibri" w:cs="Calibri"/>
        </w:rPr>
        <w:tab/>
        <w:t xml:space="preserve">Nguyen NTQ, </w:t>
      </w:r>
      <w:proofErr w:type="spellStart"/>
      <w:r w:rsidRPr="00CA0397">
        <w:rPr>
          <w:rFonts w:ascii="Calibri" w:eastAsia="Calibri" w:hAnsi="Calibri" w:cs="Calibri"/>
        </w:rPr>
        <w:t>Cockwell</w:t>
      </w:r>
      <w:proofErr w:type="spellEnd"/>
      <w:r w:rsidRPr="00CA0397">
        <w:rPr>
          <w:rFonts w:ascii="Calibri" w:eastAsia="Calibri" w:hAnsi="Calibri" w:cs="Calibri"/>
        </w:rPr>
        <w:t xml:space="preserve"> P, Maxwell AP, et al. Chronic kidney disease, health-related quality of life and their associated economic burden among a nationally representative sample of community dwelling adults in England. </w:t>
      </w:r>
      <w:proofErr w:type="spellStart"/>
      <w:r w:rsidRPr="00CA0397">
        <w:rPr>
          <w:rFonts w:ascii="Calibri" w:eastAsia="Calibri" w:hAnsi="Calibri" w:cs="Calibri"/>
        </w:rPr>
        <w:t>Bolignano</w:t>
      </w:r>
      <w:proofErr w:type="spellEnd"/>
      <w:r w:rsidRPr="00CA0397">
        <w:rPr>
          <w:rFonts w:ascii="Calibri" w:eastAsia="Calibri" w:hAnsi="Calibri" w:cs="Calibri"/>
        </w:rPr>
        <w:t xml:space="preserve"> D, editor. PLOS ONE. 2018;</w:t>
      </w:r>
      <w:proofErr w:type="gramStart"/>
      <w:r w:rsidRPr="00CA0397">
        <w:rPr>
          <w:rFonts w:ascii="Calibri" w:eastAsia="Calibri" w:hAnsi="Calibri" w:cs="Calibri"/>
        </w:rPr>
        <w:t>13:e</w:t>
      </w:r>
      <w:proofErr w:type="gramEnd"/>
      <w:r w:rsidRPr="00CA0397">
        <w:rPr>
          <w:rFonts w:ascii="Calibri" w:eastAsia="Calibri" w:hAnsi="Calibri" w:cs="Calibri"/>
        </w:rPr>
        <w:t>0207960.</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[23] </w:t>
      </w:r>
      <w:r w:rsidRPr="00CA0397">
        <w:rPr>
          <w:rFonts w:ascii="Calibri" w:eastAsia="Calibri" w:hAnsi="Calibri" w:cs="Calibri"/>
        </w:rPr>
        <w:tab/>
      </w:r>
      <w:proofErr w:type="spellStart"/>
      <w:r w:rsidRPr="00CA0397">
        <w:rPr>
          <w:rFonts w:ascii="Calibri" w:eastAsia="Calibri" w:hAnsi="Calibri" w:cs="Calibri"/>
        </w:rPr>
        <w:t>ReNe</w:t>
      </w:r>
      <w:proofErr w:type="spellEnd"/>
      <w:r w:rsidRPr="00CA0397">
        <w:rPr>
          <w:rFonts w:ascii="Calibri" w:eastAsia="Calibri" w:hAnsi="Calibri" w:cs="Calibri"/>
        </w:rPr>
        <w:t xml:space="preserve"> (Renal Lombardy Network), Additional contributors from </w:t>
      </w:r>
      <w:proofErr w:type="spellStart"/>
      <w:r w:rsidRPr="00CA0397">
        <w:rPr>
          <w:rFonts w:ascii="Calibri" w:eastAsia="Calibri" w:hAnsi="Calibri" w:cs="Calibri"/>
        </w:rPr>
        <w:t>ReNe</w:t>
      </w:r>
      <w:proofErr w:type="spellEnd"/>
      <w:r w:rsidRPr="00CA0397">
        <w:rPr>
          <w:rFonts w:ascii="Calibri" w:eastAsia="Calibri" w:hAnsi="Calibri" w:cs="Calibri"/>
        </w:rPr>
        <w:t xml:space="preserve"> Network, </w:t>
      </w:r>
      <w:proofErr w:type="spellStart"/>
      <w:r w:rsidRPr="00CA0397">
        <w:rPr>
          <w:rFonts w:ascii="Calibri" w:eastAsia="Calibri" w:hAnsi="Calibri" w:cs="Calibri"/>
        </w:rPr>
        <w:t>Roggeri</w:t>
      </w:r>
      <w:proofErr w:type="spellEnd"/>
      <w:r w:rsidRPr="00CA0397">
        <w:rPr>
          <w:rFonts w:ascii="Calibri" w:eastAsia="Calibri" w:hAnsi="Calibri" w:cs="Calibri"/>
        </w:rPr>
        <w:t xml:space="preserve"> A, et al. Healthcare costs of the progression of chronic kidney disease and different dialysis techniques estimated through administrative database analysis. J </w:t>
      </w:r>
      <w:proofErr w:type="spellStart"/>
      <w:r w:rsidRPr="00CA0397">
        <w:rPr>
          <w:rFonts w:ascii="Calibri" w:eastAsia="Calibri" w:hAnsi="Calibri" w:cs="Calibri"/>
        </w:rPr>
        <w:t>Nephrol</w:t>
      </w:r>
      <w:proofErr w:type="spellEnd"/>
      <w:r w:rsidRPr="00CA0397">
        <w:rPr>
          <w:rFonts w:ascii="Calibri" w:eastAsia="Calibri" w:hAnsi="Calibri" w:cs="Calibri"/>
        </w:rPr>
        <w:t xml:space="preserve">. </w:t>
      </w:r>
      <w:proofErr w:type="gramStart"/>
      <w:r w:rsidRPr="00CA0397">
        <w:rPr>
          <w:rFonts w:ascii="Calibri" w:eastAsia="Calibri" w:hAnsi="Calibri" w:cs="Calibri"/>
        </w:rPr>
        <w:t>2017;30:263</w:t>
      </w:r>
      <w:proofErr w:type="gramEnd"/>
      <w:r w:rsidRPr="00CA0397">
        <w:rPr>
          <w:rFonts w:ascii="Calibri" w:eastAsia="Calibri" w:hAnsi="Calibri" w:cs="Calibri"/>
        </w:rPr>
        <w:t>–269.</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[24] </w:t>
      </w:r>
      <w:r w:rsidRPr="00CA0397">
        <w:rPr>
          <w:rFonts w:ascii="Calibri" w:eastAsia="Calibri" w:hAnsi="Calibri" w:cs="Calibri"/>
        </w:rPr>
        <w:tab/>
      </w:r>
      <w:proofErr w:type="spellStart"/>
      <w:r w:rsidRPr="00CA0397">
        <w:rPr>
          <w:rFonts w:ascii="Calibri" w:eastAsia="Calibri" w:hAnsi="Calibri" w:cs="Calibri"/>
        </w:rPr>
        <w:t>Kalantar</w:t>
      </w:r>
      <w:proofErr w:type="spellEnd"/>
      <w:r w:rsidRPr="00CA0397">
        <w:rPr>
          <w:rFonts w:ascii="Calibri" w:eastAsia="Calibri" w:hAnsi="Calibri" w:cs="Calibri"/>
        </w:rPr>
        <w:t xml:space="preserve">-Zadeh K, </w:t>
      </w:r>
      <w:proofErr w:type="spellStart"/>
      <w:r w:rsidRPr="00CA0397">
        <w:rPr>
          <w:rFonts w:ascii="Calibri" w:eastAsia="Calibri" w:hAnsi="Calibri" w:cs="Calibri"/>
        </w:rPr>
        <w:t>Kovesdy</w:t>
      </w:r>
      <w:proofErr w:type="spellEnd"/>
      <w:r w:rsidRPr="00CA0397">
        <w:rPr>
          <w:rFonts w:ascii="Calibri" w:eastAsia="Calibri" w:hAnsi="Calibri" w:cs="Calibri"/>
        </w:rPr>
        <w:t xml:space="preserve"> CP, </w:t>
      </w:r>
      <w:proofErr w:type="spellStart"/>
      <w:r w:rsidRPr="00CA0397">
        <w:rPr>
          <w:rFonts w:ascii="Calibri" w:eastAsia="Calibri" w:hAnsi="Calibri" w:cs="Calibri"/>
        </w:rPr>
        <w:t>Streja</w:t>
      </w:r>
      <w:proofErr w:type="spellEnd"/>
      <w:r w:rsidRPr="00CA0397">
        <w:rPr>
          <w:rFonts w:ascii="Calibri" w:eastAsia="Calibri" w:hAnsi="Calibri" w:cs="Calibri"/>
        </w:rPr>
        <w:t xml:space="preserve"> E, et al. Transition of care from pre-dialysis prelude to renal replacement therapy: the blueprints of emerging research in advanced chronic kidney disease. </w:t>
      </w:r>
      <w:proofErr w:type="spellStart"/>
      <w:r w:rsidRPr="00CA0397">
        <w:rPr>
          <w:rFonts w:ascii="Calibri" w:eastAsia="Calibri" w:hAnsi="Calibri" w:cs="Calibri"/>
        </w:rPr>
        <w:t>Nephrol</w:t>
      </w:r>
      <w:proofErr w:type="spellEnd"/>
      <w:r w:rsidRPr="00CA0397">
        <w:rPr>
          <w:rFonts w:ascii="Calibri" w:eastAsia="Calibri" w:hAnsi="Calibri" w:cs="Calibri"/>
        </w:rPr>
        <w:t xml:space="preserve"> Dial Transplant. 2017;</w:t>
      </w:r>
      <w:proofErr w:type="gramStart"/>
      <w:r w:rsidRPr="00CA0397">
        <w:rPr>
          <w:rFonts w:ascii="Calibri" w:eastAsia="Calibri" w:hAnsi="Calibri" w:cs="Calibri"/>
        </w:rPr>
        <w:t>32:ii</w:t>
      </w:r>
      <w:proofErr w:type="gramEnd"/>
      <w:r w:rsidRPr="00CA0397">
        <w:rPr>
          <w:rFonts w:ascii="Calibri" w:eastAsia="Calibri" w:hAnsi="Calibri" w:cs="Calibri"/>
        </w:rPr>
        <w:t>91–ii98.</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[25] </w:t>
      </w:r>
      <w:r w:rsidRPr="00CA0397">
        <w:rPr>
          <w:rFonts w:ascii="Calibri" w:eastAsia="Calibri" w:hAnsi="Calibri" w:cs="Calibri"/>
        </w:rPr>
        <w:tab/>
      </w:r>
      <w:proofErr w:type="spellStart"/>
      <w:r w:rsidRPr="00CA0397">
        <w:rPr>
          <w:rFonts w:ascii="Calibri" w:eastAsia="Calibri" w:hAnsi="Calibri" w:cs="Calibri"/>
        </w:rPr>
        <w:t>Fishbane</w:t>
      </w:r>
      <w:proofErr w:type="spellEnd"/>
      <w:r w:rsidRPr="00CA0397">
        <w:rPr>
          <w:rFonts w:ascii="Calibri" w:eastAsia="Calibri" w:hAnsi="Calibri" w:cs="Calibri"/>
        </w:rPr>
        <w:t xml:space="preserve"> S, </w:t>
      </w:r>
      <w:proofErr w:type="spellStart"/>
      <w:r w:rsidRPr="00CA0397">
        <w:rPr>
          <w:rFonts w:ascii="Calibri" w:eastAsia="Calibri" w:hAnsi="Calibri" w:cs="Calibri"/>
        </w:rPr>
        <w:t>Agoritsas</w:t>
      </w:r>
      <w:proofErr w:type="spellEnd"/>
      <w:r w:rsidRPr="00CA0397">
        <w:rPr>
          <w:rFonts w:ascii="Calibri" w:eastAsia="Calibri" w:hAnsi="Calibri" w:cs="Calibri"/>
        </w:rPr>
        <w:t xml:space="preserve"> S, Bellucci A, et al. Augmented Nurse Care Management in CKD Stages 4 to 5: A Randomized Trial. Am J Kidney Dis. </w:t>
      </w:r>
      <w:proofErr w:type="gramStart"/>
      <w:r w:rsidRPr="00CA0397">
        <w:rPr>
          <w:rFonts w:ascii="Calibri" w:eastAsia="Calibri" w:hAnsi="Calibri" w:cs="Calibri"/>
        </w:rPr>
        <w:t>2017;70:498</w:t>
      </w:r>
      <w:proofErr w:type="gramEnd"/>
      <w:r w:rsidRPr="00CA0397">
        <w:rPr>
          <w:rFonts w:ascii="Calibri" w:eastAsia="Calibri" w:hAnsi="Calibri" w:cs="Calibri"/>
        </w:rPr>
        <w:t>–505.</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[26] </w:t>
      </w:r>
      <w:r w:rsidRPr="00CA0397">
        <w:rPr>
          <w:rFonts w:ascii="Calibri" w:eastAsia="Calibri" w:hAnsi="Calibri" w:cs="Calibri"/>
        </w:rPr>
        <w:tab/>
        <w:t xml:space="preserve">Hopkins RB, Garg AX, Levin A, et al. Cost-Effectiveness Analysis of a Randomized Trial Comparing Care Models for Chronic Kidney Disease. Clin J Am Soc </w:t>
      </w:r>
      <w:proofErr w:type="spellStart"/>
      <w:r w:rsidRPr="00CA0397">
        <w:rPr>
          <w:rFonts w:ascii="Calibri" w:eastAsia="Calibri" w:hAnsi="Calibri" w:cs="Calibri"/>
        </w:rPr>
        <w:t>Nephrol</w:t>
      </w:r>
      <w:proofErr w:type="spellEnd"/>
      <w:r w:rsidRPr="00CA0397">
        <w:rPr>
          <w:rFonts w:ascii="Calibri" w:eastAsia="Calibri" w:hAnsi="Calibri" w:cs="Calibri"/>
        </w:rPr>
        <w:t xml:space="preserve">. </w:t>
      </w:r>
      <w:proofErr w:type="gramStart"/>
      <w:r w:rsidRPr="00CA0397">
        <w:rPr>
          <w:rFonts w:ascii="Calibri" w:eastAsia="Calibri" w:hAnsi="Calibri" w:cs="Calibri"/>
        </w:rPr>
        <w:t>2011;6:1248</w:t>
      </w:r>
      <w:proofErr w:type="gramEnd"/>
      <w:r w:rsidRPr="00CA0397">
        <w:rPr>
          <w:rFonts w:ascii="Calibri" w:eastAsia="Calibri" w:hAnsi="Calibri" w:cs="Calibri"/>
        </w:rPr>
        <w:t>–1257.</w:t>
      </w:r>
    </w:p>
    <w:p w:rsidR="00CA0397" w:rsidRPr="00CA0397" w:rsidRDefault="00CA0397" w:rsidP="00CA0397">
      <w:pPr>
        <w:tabs>
          <w:tab w:val="left" w:pos="624"/>
        </w:tabs>
        <w:spacing w:after="240" w:line="240" w:lineRule="auto"/>
        <w:ind w:left="624" w:hanging="624"/>
        <w:rPr>
          <w:rFonts w:ascii="Calibri" w:eastAsia="Calibri" w:hAnsi="Calibri" w:cs="Calibri"/>
        </w:rPr>
      </w:pPr>
      <w:r w:rsidRPr="00CA0397">
        <w:rPr>
          <w:rFonts w:ascii="Calibri" w:eastAsia="Calibri" w:hAnsi="Calibri" w:cs="Calibri"/>
        </w:rPr>
        <w:t xml:space="preserve">[27] </w:t>
      </w:r>
      <w:r w:rsidRPr="00CA0397">
        <w:rPr>
          <w:rFonts w:ascii="Calibri" w:eastAsia="Calibri" w:hAnsi="Calibri" w:cs="Calibri"/>
        </w:rPr>
        <w:tab/>
        <w:t xml:space="preserve">Chen PM, Lai TS, Chen PY, et al. Multidisciplinary Care Program for Advanced Chronic Kidney Disease: Reduces Renal Replacement and Medical Costs. Am J Med. </w:t>
      </w:r>
      <w:proofErr w:type="gramStart"/>
      <w:r w:rsidRPr="00CA0397">
        <w:rPr>
          <w:rFonts w:ascii="Calibri" w:eastAsia="Calibri" w:hAnsi="Calibri" w:cs="Calibri"/>
        </w:rPr>
        <w:t>2015;128:68</w:t>
      </w:r>
      <w:proofErr w:type="gramEnd"/>
      <w:r w:rsidRPr="00CA0397">
        <w:rPr>
          <w:rFonts w:ascii="Calibri" w:eastAsia="Calibri" w:hAnsi="Calibri" w:cs="Calibri"/>
        </w:rPr>
        <w:t>–76.</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fldChar w:fldCharType="end"/>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 </w:t>
      </w:r>
    </w:p>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rPr>
          <w:rFonts w:ascii="Calibri" w:eastAsia="Calibri" w:hAnsi="Calibri" w:cs="Arial"/>
        </w:rPr>
      </w:pPr>
    </w:p>
    <w:p w:rsidR="00AB318E" w:rsidRDefault="00AB318E"/>
    <w:p w:rsidR="00CA0397" w:rsidRDefault="00CA0397"/>
    <w:p w:rsidR="00CA0397" w:rsidRPr="00CA0397" w:rsidRDefault="00CA0397" w:rsidP="00CA0397">
      <w:pPr>
        <w:spacing w:after="200" w:line="276" w:lineRule="auto"/>
        <w:rPr>
          <w:rFonts w:ascii="Calibri" w:eastAsia="Calibri" w:hAnsi="Calibri" w:cs="Arial"/>
          <w:lang w:val="en-US"/>
        </w:rPr>
      </w:pPr>
      <w:r w:rsidRPr="00CA0397">
        <w:rPr>
          <w:rFonts w:ascii="Calibri" w:eastAsia="Calibri" w:hAnsi="Calibri" w:cs="Arial"/>
          <w:lang w:val="en-US"/>
        </w:rPr>
        <w:lastRenderedPageBreak/>
        <w:t>Box 1 – Key Characteristics of PBRSAs</w:t>
      </w:r>
    </w:p>
    <w:tbl>
      <w:tblPr>
        <w:tblStyle w:val="TableGrid"/>
        <w:tblW w:w="0" w:type="auto"/>
        <w:tblLook w:val="04A0" w:firstRow="1" w:lastRow="0" w:firstColumn="1" w:lastColumn="0" w:noHBand="0" w:noVBand="1"/>
      </w:tblPr>
      <w:tblGrid>
        <w:gridCol w:w="9350"/>
      </w:tblGrid>
      <w:tr w:rsidR="00CA0397" w:rsidRPr="00CA0397" w:rsidTr="00CA0397">
        <w:tc>
          <w:tcPr>
            <w:tcW w:w="9350" w:type="dxa"/>
          </w:tcPr>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Key characteristics of PBRSAs</w:t>
            </w:r>
          </w:p>
        </w:tc>
      </w:tr>
      <w:tr w:rsidR="00CA0397" w:rsidRPr="00CA0397" w:rsidTr="00CA0397">
        <w:tc>
          <w:tcPr>
            <w:tcW w:w="9350" w:type="dxa"/>
          </w:tcPr>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1. There is a </w:t>
            </w:r>
            <w:proofErr w:type="spellStart"/>
            <w:r w:rsidRPr="00CA0397">
              <w:rPr>
                <w:rFonts w:ascii="Calibri" w:eastAsia="Calibri" w:hAnsi="Calibri" w:cs="Arial"/>
              </w:rPr>
              <w:t>programme</w:t>
            </w:r>
            <w:proofErr w:type="spellEnd"/>
            <w:r w:rsidRPr="00CA0397">
              <w:rPr>
                <w:rFonts w:ascii="Calibri" w:eastAsia="Calibri" w:hAnsi="Calibri" w:cs="Arial"/>
              </w:rPr>
              <w:t xml:space="preserve"> of data collection </w:t>
            </w:r>
            <w:proofErr w:type="gramStart"/>
            <w:r w:rsidRPr="00CA0397">
              <w:rPr>
                <w:rFonts w:ascii="Calibri" w:eastAsia="Calibri" w:hAnsi="Calibri" w:cs="Arial"/>
              </w:rPr>
              <w:t>agreed  between</w:t>
            </w:r>
            <w:proofErr w:type="gramEnd"/>
            <w:r w:rsidRPr="00CA0397">
              <w:rPr>
                <w:rFonts w:ascii="Calibri" w:eastAsia="Calibri" w:hAnsi="Calibri" w:cs="Arial"/>
              </w:rPr>
              <w:t xml:space="preserve"> the manufacturer (or the provider, in some instances) and the payer, with the objective of addressing existing uncertainties, e.g., on long term effectiveness, or cost-effectiveness. </w:t>
            </w:r>
          </w:p>
        </w:tc>
      </w:tr>
      <w:tr w:rsidR="00CA0397" w:rsidRPr="00CA0397" w:rsidTr="00CA0397">
        <w:tc>
          <w:tcPr>
            <w:tcW w:w="9350" w:type="dxa"/>
          </w:tcPr>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2. The data collection is linked to post-launch coverage decisions and is directed at informing payers, providers, and clinicians as decision makers. It is not intended as post-registration licensing requirements for further evidence.</w:t>
            </w:r>
          </w:p>
        </w:tc>
      </w:tr>
      <w:tr w:rsidR="00CA0397" w:rsidRPr="00CA0397" w:rsidTr="00CA0397">
        <w:tc>
          <w:tcPr>
            <w:tcW w:w="9350" w:type="dxa"/>
          </w:tcPr>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3. The price, reimbursement, and/or revenue for the treatment are linked to the outcome of this </w:t>
            </w:r>
            <w:proofErr w:type="spellStart"/>
            <w:r w:rsidRPr="00CA0397">
              <w:rPr>
                <w:rFonts w:ascii="Calibri" w:eastAsia="Calibri" w:hAnsi="Calibri" w:cs="Arial"/>
              </w:rPr>
              <w:t>programme</w:t>
            </w:r>
            <w:proofErr w:type="spellEnd"/>
            <w:r w:rsidRPr="00CA0397">
              <w:rPr>
                <w:rFonts w:ascii="Calibri" w:eastAsia="Calibri" w:hAnsi="Calibri" w:cs="Arial"/>
              </w:rPr>
              <w:t xml:space="preserve"> of data collection, either explicitly by a pre-agreed rule or implicitly through an option to renegotiate coverage, price, or revenue at a later date.</w:t>
            </w:r>
          </w:p>
        </w:tc>
      </w:tr>
      <w:tr w:rsidR="00CA0397" w:rsidRPr="00CA0397" w:rsidTr="00CA0397">
        <w:tc>
          <w:tcPr>
            <w:tcW w:w="9350" w:type="dxa"/>
          </w:tcPr>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 xml:space="preserve">4. The data collection is intended to address uncertainty about the treatment, including, for example, its efficacy or effectiveness in real-world practice; whether health care providers’ management of the patient will change the relative benefits and harms under conditions of usual care; or the size and value of cost-offsets, such as due to fewer hospital visits. </w:t>
            </w:r>
          </w:p>
        </w:tc>
      </w:tr>
      <w:tr w:rsidR="00CA0397" w:rsidRPr="00CA0397" w:rsidTr="00CA0397">
        <w:tc>
          <w:tcPr>
            <w:tcW w:w="9350" w:type="dxa"/>
          </w:tcPr>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5. These arrangements provide a different distribution of risk between the payer and the manufacturer than does the historical manufacturer-payer relationship.</w:t>
            </w:r>
          </w:p>
        </w:tc>
      </w:tr>
    </w:tbl>
    <w:p w:rsidR="00CA0397" w:rsidRPr="00CA0397" w:rsidRDefault="00CA0397" w:rsidP="00CA0397">
      <w:pPr>
        <w:spacing w:after="200" w:line="276" w:lineRule="auto"/>
        <w:rPr>
          <w:rFonts w:ascii="Calibri" w:eastAsia="Calibri" w:hAnsi="Calibri" w:cs="Arial"/>
          <w:i/>
          <w:iCs/>
          <w:lang w:val="en-US"/>
        </w:rPr>
      </w:pPr>
      <w:r w:rsidRPr="00CA0397">
        <w:rPr>
          <w:rFonts w:ascii="Calibri" w:eastAsia="Calibri" w:hAnsi="Calibri" w:cs="Arial"/>
          <w:i/>
          <w:iCs/>
          <w:lang w:val="en-US"/>
        </w:rPr>
        <w:t xml:space="preserve">Adapted by the authors from Garrison et al. (2013) </w:t>
      </w:r>
    </w:p>
    <w:p w:rsidR="00CA0397" w:rsidRPr="00CA0397" w:rsidRDefault="00CA0397" w:rsidP="00CA0397">
      <w:pPr>
        <w:spacing w:after="200" w:line="276" w:lineRule="auto"/>
        <w:rPr>
          <w:rFonts w:ascii="Calibri" w:eastAsia="Calibri" w:hAnsi="Calibri" w:cs="Arial"/>
        </w:rPr>
      </w:pPr>
    </w:p>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bookmarkStart w:id="0" w:name="_GoBack"/>
      <w:bookmarkEnd w:id="0"/>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Box 2 Structured summary of the papers discussing PBRSAs</w:t>
      </w:r>
    </w:p>
    <w:tbl>
      <w:tblPr>
        <w:tblStyle w:val="TableGrid"/>
        <w:tblW w:w="0" w:type="auto"/>
        <w:tblLook w:val="04A0" w:firstRow="1" w:lastRow="0" w:firstColumn="1" w:lastColumn="0" w:noHBand="0" w:noVBand="1"/>
      </w:tblPr>
      <w:tblGrid>
        <w:gridCol w:w="9350"/>
      </w:tblGrid>
      <w:tr w:rsidR="00CA0397" w:rsidRPr="00CA0397" w:rsidTr="00CA0397">
        <w:tc>
          <w:tcPr>
            <w:tcW w:w="9350" w:type="dxa"/>
          </w:tcPr>
          <w:p w:rsidR="00CA0397" w:rsidRPr="00CA0397" w:rsidRDefault="00CA0397" w:rsidP="00CA0397">
            <w:pPr>
              <w:spacing w:after="200" w:line="276" w:lineRule="auto"/>
              <w:rPr>
                <w:rFonts w:ascii="Calibri" w:eastAsia="Calibri" w:hAnsi="Calibri" w:cs="Arial"/>
                <w:b/>
                <w:bCs/>
              </w:rPr>
            </w:pPr>
            <w:r w:rsidRPr="00CA0397">
              <w:rPr>
                <w:rFonts w:ascii="Calibri" w:eastAsia="Calibri" w:hAnsi="Calibri" w:cs="Arial"/>
                <w:b/>
                <w:bCs/>
              </w:rPr>
              <w:t xml:space="preserve">Mendelssohn and </w:t>
            </w:r>
            <w:r w:rsidRPr="00CA0397">
              <w:rPr>
                <w:rFonts w:ascii="AdvPS" w:eastAsia="Times New Roman" w:hAnsi="AdvPS" w:cs="AdvPS"/>
                <w:b/>
                <w:bCs/>
                <w:color w:val="000000"/>
                <w:szCs w:val="24"/>
                <w:lang w:val="x-none"/>
              </w:rPr>
              <w:t>McFarlane</w:t>
            </w:r>
            <w:r w:rsidRPr="00CA0397">
              <w:rPr>
                <w:rFonts w:ascii="Calibri" w:eastAsia="Calibri" w:hAnsi="Calibri" w:cs="Arial"/>
                <w:b/>
                <w:bCs/>
              </w:rPr>
              <w:t xml:space="preserve">, 2011 </w:t>
            </w:r>
            <w:r w:rsidRPr="00CA0397">
              <w:rPr>
                <w:rFonts w:ascii="Calibri" w:eastAsia="Calibri" w:hAnsi="Calibri" w:cs="Arial"/>
                <w:b/>
                <w:bCs/>
              </w:rPr>
              <w:fldChar w:fldCharType="begin"/>
            </w:r>
            <w:r w:rsidRPr="00CA0397">
              <w:rPr>
                <w:rFonts w:ascii="Calibri" w:eastAsia="Calibri" w:hAnsi="Calibri" w:cs="Arial"/>
                <w:b/>
                <w:bCs/>
              </w:rPr>
              <w:instrText xml:space="preserve"> ADDIN ZOTERO_ITEM CSL_CITATION {"citationID":"UpGIAW6Q","properties":{"formattedCitation":"[13]","plainCitation":"[13]","noteIndex":0},"citationItems":[{"id":65602,"uris":["http://zotero.org/users/2048679/items/3DXKMJX9"],"uri":["http://zotero.org/users/2048679/items/3DXKMJX9"],"itemData":{"id":65602,"type":"article-journal","container-title":"Seminars in Dialysis","DOI":"10.1111/j.1525-139X.2011.00970.x","ISSN":"08940959","issue":"5","language":"en","page":"556-559","source":"DOI.org (Crossref)","title":"Conditionally Funded Field Evaluations-A Solution to the Economic Barriers Limiting Evidence Generation in Dialysis?: FIELD EVALUATIONS IN DIALYSIS","title-short":"Conditionally Funded Field Evaluations-A Solution to the Economic Barriers Limiting Evidence Generation in Dialysis?","volume":"24","author":[{"family":"Mendelssohn","given":"David C."},{"family":"McFarlane","given":"Phil"}],"issued":{"date-parts":[["2011",9]]}}}],"schema":"https://github.com/citation-style-language/schema/raw/master/csl-citation.json"} </w:instrText>
            </w:r>
            <w:r w:rsidRPr="00CA0397">
              <w:rPr>
                <w:rFonts w:ascii="Calibri" w:eastAsia="Calibri" w:hAnsi="Calibri" w:cs="Arial"/>
                <w:b/>
                <w:bCs/>
              </w:rPr>
              <w:fldChar w:fldCharType="separate"/>
            </w:r>
            <w:r w:rsidRPr="00CA0397">
              <w:rPr>
                <w:rFonts w:ascii="Calibri" w:eastAsia="Calibri" w:hAnsi="Calibri" w:cs="Calibri"/>
              </w:rPr>
              <w:t>[13]</w:t>
            </w:r>
            <w:r w:rsidRPr="00CA0397">
              <w:rPr>
                <w:rFonts w:ascii="Calibri" w:eastAsia="Calibri" w:hAnsi="Calibri" w:cs="Arial"/>
                <w:b/>
                <w:bCs/>
              </w:rPr>
              <w:fldChar w:fldCharType="end"/>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b/>
                <w:bCs/>
              </w:rPr>
              <w:t>Scope</w:t>
            </w:r>
            <w:r w:rsidRPr="00CA0397">
              <w:rPr>
                <w:rFonts w:ascii="Calibri" w:eastAsia="Calibri" w:hAnsi="Calibri" w:cs="Arial"/>
              </w:rPr>
              <w:t>: to discuss the economic barriers to high-quality evidence generation on the effectiveness and cost-effectiveness of innovations in dialysis</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b/>
                <w:bCs/>
              </w:rPr>
              <w:t>Main aspects discussed:</w:t>
            </w:r>
            <w:r w:rsidRPr="00CA0397">
              <w:rPr>
                <w:rFonts w:ascii="Calibri" w:eastAsia="Calibri" w:hAnsi="Calibri" w:cs="Arial"/>
              </w:rPr>
              <w:t xml:space="preserve"> There exist economic barriers that act as disincentives to innovation and evidence generation in nephrology. In the US, the cost of dialysis is considered close to the maximum willingness to pay of public funders, so new more expensive therapies would likely be considered not cost-effective, unless they are cost-neutral or even cost-saving. In addition, due to the high budget impact of dialysis, many jurisdictions would not be able to afford an increase in the prevalent dialysis population, which may result from even modest improvements in the mortality in this population. Lastly the ESRD market is considered too small to be appealing for companies unless prices are very high. A small market also acts as a disincentive for well-conducted large randomized clinical trials </w:t>
            </w:r>
            <w:proofErr w:type="gramStart"/>
            <w:r w:rsidRPr="00CA0397">
              <w:rPr>
                <w:rFonts w:ascii="Calibri" w:eastAsia="Calibri" w:hAnsi="Calibri" w:cs="Arial"/>
              </w:rPr>
              <w:t>( RCTs</w:t>
            </w:r>
            <w:proofErr w:type="gramEnd"/>
            <w:r w:rsidRPr="00CA0397">
              <w:rPr>
                <w:rFonts w:ascii="Calibri" w:eastAsia="Calibri" w:hAnsi="Calibri" w:cs="Arial"/>
              </w:rPr>
              <w:t xml:space="preserve">), as this would increase development costs and reduce the time between being granted public funding and patent expiration. At the same time, there are examples, such as </w:t>
            </w:r>
            <w:proofErr w:type="spellStart"/>
            <w:r w:rsidRPr="00CA0397">
              <w:rPr>
                <w:rFonts w:ascii="Calibri" w:eastAsia="Calibri" w:hAnsi="Calibri" w:cs="Arial"/>
              </w:rPr>
              <w:t>Erythropoetin</w:t>
            </w:r>
            <w:proofErr w:type="spellEnd"/>
            <w:r w:rsidRPr="00CA0397">
              <w:rPr>
                <w:rFonts w:ascii="Calibri" w:eastAsia="Calibri" w:hAnsi="Calibri" w:cs="Arial"/>
              </w:rPr>
              <w:t>-Stimulating Agents (ESA) where funding decisions have been taken based only on limited evidence, mainly from observational studies, with a level of evidence which was then considered (</w:t>
            </w:r>
            <w:r w:rsidRPr="00CA0397">
              <w:rPr>
                <w:rFonts w:ascii="Calibri" w:eastAsia="Calibri" w:hAnsi="Calibri" w:cs="Arial"/>
                <w:i/>
                <w:iCs/>
              </w:rPr>
              <w:t>ex-post</w:t>
            </w:r>
            <w:r w:rsidRPr="00CA0397">
              <w:rPr>
                <w:rFonts w:ascii="Calibri" w:eastAsia="Calibri" w:hAnsi="Calibri" w:cs="Arial"/>
              </w:rPr>
              <w:t>) to be too premature.</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b/>
                <w:bCs/>
              </w:rPr>
              <w:t>Role of PBRSAs</w:t>
            </w:r>
            <w:r w:rsidRPr="00CA0397">
              <w:rPr>
                <w:rFonts w:ascii="Calibri" w:eastAsia="Calibri" w:hAnsi="Calibri" w:cs="Arial"/>
              </w:rPr>
              <w:t>: For industry, PBRSAs offset some of the prohibitive costs and risks associated with</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rPr>
              <w:t>developing nephrology products and might make the nephrology research and ‘‘marketplace’’ more inviting. And for payers and governments, it offsets some of the cost and risk of allowing early (and possibly premature) access to promising therapies and delivers the evidence they need to make fair and informed coverage decisions.</w:t>
            </w:r>
          </w:p>
        </w:tc>
      </w:tr>
      <w:tr w:rsidR="00CA0397" w:rsidRPr="00CA0397" w:rsidTr="00CA0397">
        <w:tc>
          <w:tcPr>
            <w:tcW w:w="9350" w:type="dxa"/>
          </w:tcPr>
          <w:p w:rsidR="00CA0397" w:rsidRPr="00CA0397" w:rsidRDefault="00CA0397" w:rsidP="00CA0397">
            <w:pPr>
              <w:spacing w:after="200" w:line="276" w:lineRule="auto"/>
              <w:rPr>
                <w:rFonts w:ascii="Calibri" w:eastAsia="Calibri" w:hAnsi="Calibri" w:cs="Arial"/>
                <w:b/>
                <w:bCs/>
              </w:rPr>
            </w:pPr>
            <w:r w:rsidRPr="00CA0397">
              <w:rPr>
                <w:rFonts w:ascii="Calibri" w:eastAsia="Calibri" w:hAnsi="Calibri" w:cs="Arial"/>
                <w:b/>
                <w:bCs/>
              </w:rPr>
              <w:t xml:space="preserve">Mendelssohn and </w:t>
            </w:r>
            <w:proofErr w:type="spellStart"/>
            <w:r w:rsidRPr="00CA0397">
              <w:rPr>
                <w:rFonts w:ascii="Calibri" w:eastAsia="Calibri" w:hAnsi="Calibri" w:cs="Arial"/>
                <w:b/>
                <w:bCs/>
              </w:rPr>
              <w:t>Manns</w:t>
            </w:r>
            <w:proofErr w:type="spellEnd"/>
            <w:r w:rsidRPr="00CA0397">
              <w:rPr>
                <w:rFonts w:ascii="Calibri" w:eastAsia="Calibri" w:hAnsi="Calibri" w:cs="Arial"/>
                <w:b/>
                <w:bCs/>
              </w:rPr>
              <w:t xml:space="preserve">, 2011 </w:t>
            </w:r>
            <w:r w:rsidRPr="00CA0397">
              <w:rPr>
                <w:rFonts w:ascii="Calibri" w:eastAsia="Calibri" w:hAnsi="Calibri" w:cs="Arial"/>
                <w:b/>
                <w:bCs/>
              </w:rPr>
              <w:fldChar w:fldCharType="begin"/>
            </w:r>
            <w:r w:rsidRPr="00CA0397">
              <w:rPr>
                <w:rFonts w:ascii="Calibri" w:eastAsia="Calibri" w:hAnsi="Calibri" w:cs="Arial"/>
                <w:b/>
                <w:bCs/>
              </w:rPr>
              <w:instrText xml:space="preserve"> ADDIN ZOTERO_ITEM CSL_CITATION {"citationID":"fxNBzFzy","properties":{"formattedCitation":"[12]","plainCitation":"[12]","noteIndex":0},"citationItems":[{"id":65603,"uris":["http://zotero.org/users/2048679/items/PUU3Y7RX"],"uri":["http://zotero.org/users/2048679/items/PUU3Y7RX"],"itemData":{"id":65603,"type":"article-journal","container-title":"American Journal of Kidney Diseases","DOI":"10.1053/j.ajkd.2011.02.377","ISSN":"02726386","issue":"1","journalAbbreviation":"American Journal of Kidney Diseases","language":"en","page":"13-18","source":"DOI.org (Crossref)","title":"A Proposal for Improving Evidence Generation in Nephrology","volume":"58","author":[{"family":"Mendelssohn","given":"David C."},{"family":"Manns","given":"Braden J."}],"issued":{"date-parts":[["2011",7]]}}}],"schema":"https://github.com/citation-style-language/schema/raw/master/csl-citation.json"} </w:instrText>
            </w:r>
            <w:r w:rsidRPr="00CA0397">
              <w:rPr>
                <w:rFonts w:ascii="Calibri" w:eastAsia="Calibri" w:hAnsi="Calibri" w:cs="Arial"/>
                <w:b/>
                <w:bCs/>
              </w:rPr>
              <w:fldChar w:fldCharType="separate"/>
            </w:r>
            <w:r w:rsidRPr="00CA0397">
              <w:rPr>
                <w:rFonts w:ascii="Calibri" w:eastAsia="Calibri" w:hAnsi="Calibri" w:cs="Calibri"/>
              </w:rPr>
              <w:t>[12]</w:t>
            </w:r>
            <w:r w:rsidRPr="00CA0397">
              <w:rPr>
                <w:rFonts w:ascii="Calibri" w:eastAsia="Calibri" w:hAnsi="Calibri" w:cs="Arial"/>
                <w:b/>
                <w:bCs/>
              </w:rPr>
              <w:fldChar w:fldCharType="end"/>
            </w:r>
            <w:r w:rsidRPr="00CA0397">
              <w:rPr>
                <w:rFonts w:ascii="Calibri" w:eastAsia="Calibri" w:hAnsi="Calibri" w:cs="Arial"/>
                <w:b/>
                <w:bCs/>
              </w:rPr>
              <w:t xml:space="preserve"> </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b/>
                <w:bCs/>
              </w:rPr>
              <w:t>Scope</w:t>
            </w:r>
            <w:r w:rsidRPr="00CA0397">
              <w:rPr>
                <w:rFonts w:ascii="Calibri" w:eastAsia="Calibri" w:hAnsi="Calibri" w:cs="Arial"/>
              </w:rPr>
              <w:t>: to propose a framework for Improving Evidence Generation in Nephrology through a PBRSA</w:t>
            </w:r>
          </w:p>
          <w:p w:rsidR="00CA0397" w:rsidRPr="00CA0397" w:rsidRDefault="00CA0397" w:rsidP="00CA0397">
            <w:pPr>
              <w:spacing w:after="200" w:line="276" w:lineRule="auto"/>
              <w:rPr>
                <w:rFonts w:ascii="Calibri" w:eastAsia="Calibri" w:hAnsi="Calibri" w:cs="Arial"/>
              </w:rPr>
            </w:pPr>
            <w:r w:rsidRPr="00CA0397">
              <w:rPr>
                <w:rFonts w:ascii="Calibri" w:eastAsia="Calibri" w:hAnsi="Calibri" w:cs="Arial"/>
                <w:b/>
                <w:bCs/>
              </w:rPr>
              <w:t>Main aspects discussed:</w:t>
            </w:r>
            <w:r w:rsidRPr="00CA0397">
              <w:rPr>
                <w:rFonts w:ascii="Calibri" w:eastAsia="Calibri" w:hAnsi="Calibri" w:cs="Arial"/>
              </w:rPr>
              <w:t xml:space="preserve"> to date, very few RCTs are performed in nephrology. Clinical research in nephrology is challenging for different reasons: Hard-outcome research with survival as the primary outcome in this small population requires multi-center studies with high cost. Proven therapies for non-dialysis related risk factors such as for cardiovascular diseases, may have different effectiveness in dialysis patients and should be retested in this patient population. Lastly, there are only few completely validated surrogate outcomes whose use may reduce study size, complexity, duration and the overall costs of the required trials. Therefore, the difficulties and high costs of conducting RCTs in nephrology may make industry reluctant to engage in the development of new nephrology drugs and treatments. </w:t>
            </w:r>
          </w:p>
          <w:p w:rsidR="00CA0397" w:rsidRPr="00CA0397" w:rsidRDefault="00CA0397" w:rsidP="00CA0397">
            <w:pPr>
              <w:autoSpaceDE w:val="0"/>
              <w:autoSpaceDN w:val="0"/>
              <w:adjustRightInd w:val="0"/>
              <w:snapToGrid w:val="0"/>
              <w:spacing w:after="200" w:line="276" w:lineRule="auto"/>
              <w:rPr>
                <w:rFonts w:ascii="Calibri" w:eastAsia="Calibri" w:hAnsi="Calibri" w:cs="Arial"/>
              </w:rPr>
            </w:pPr>
            <w:r w:rsidRPr="00CA0397">
              <w:rPr>
                <w:rFonts w:ascii="Calibri" w:eastAsia="Calibri" w:hAnsi="Calibri" w:cs="Arial"/>
                <w:b/>
                <w:bCs/>
              </w:rPr>
              <w:lastRenderedPageBreak/>
              <w:t>Role of PBRSAs</w:t>
            </w:r>
            <w:r w:rsidRPr="00CA0397">
              <w:rPr>
                <w:rFonts w:ascii="Calibri" w:eastAsia="Calibri" w:hAnsi="Calibri" w:cs="Arial"/>
              </w:rPr>
              <w:t>: A novel framework based on conditionally funded evaluations may contribute to</w:t>
            </w:r>
            <w:r w:rsidRPr="00CA0397">
              <w:rPr>
                <w:rFonts w:ascii="Times" w:eastAsia="Times New Roman" w:hAnsi="Times" w:cs="Times"/>
                <w:color w:val="000000"/>
                <w:szCs w:val="24"/>
                <w:lang w:val="x-none"/>
              </w:rPr>
              <w:t xml:space="preserve"> stimulate renal research such that evidence-based practice</w:t>
            </w:r>
            <w:r w:rsidRPr="00CA0397">
              <w:rPr>
                <w:rFonts w:ascii="Times" w:eastAsia="Times New Roman" w:hAnsi="Times" w:cs="Times"/>
                <w:color w:val="000000"/>
                <w:szCs w:val="24"/>
              </w:rPr>
              <w:t xml:space="preserve"> </w:t>
            </w:r>
            <w:r w:rsidRPr="00CA0397">
              <w:rPr>
                <w:rFonts w:ascii="Times" w:eastAsia="Times New Roman" w:hAnsi="Times" w:cs="Times"/>
                <w:color w:val="000000"/>
                <w:szCs w:val="24"/>
                <w:lang w:val="x-none"/>
              </w:rPr>
              <w:t>in nephrology is enhanced</w:t>
            </w:r>
            <w:r w:rsidRPr="00CA0397">
              <w:rPr>
                <w:rFonts w:ascii="Times" w:eastAsia="Times New Roman" w:hAnsi="Times" w:cs="Times"/>
                <w:color w:val="000000"/>
                <w:szCs w:val="24"/>
              </w:rPr>
              <w:t xml:space="preserve">. It may also encourage potential industry partners and satisfy evidentiary need of payers. A framework is proposed through which to identify and assess eligible technologies to PBRSAs, conduct clinical studies and update decisions on reimbursement and prices at the end of the scheme. </w:t>
            </w:r>
          </w:p>
        </w:tc>
      </w:tr>
    </w:tbl>
    <w:p w:rsidR="00CA0397" w:rsidRPr="00CA0397" w:rsidRDefault="00CA0397" w:rsidP="00CA0397">
      <w:pPr>
        <w:spacing w:after="200" w:line="276" w:lineRule="auto"/>
        <w:rPr>
          <w:rFonts w:ascii="Calibri" w:eastAsia="Calibri" w:hAnsi="Calibri" w:cs="Arial"/>
        </w:rPr>
      </w:pPr>
    </w:p>
    <w:p w:rsidR="00CA0397" w:rsidRPr="00CA0397" w:rsidRDefault="00CA0397" w:rsidP="00CA0397">
      <w:pPr>
        <w:spacing w:after="200" w:line="276" w:lineRule="auto"/>
        <w:rPr>
          <w:rFonts w:ascii="Calibri" w:eastAsia="Calibri" w:hAnsi="Calibri" w:cs="Arial"/>
        </w:rPr>
      </w:pPr>
    </w:p>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r>
        <w:rPr>
          <w:noProof/>
        </w:rPr>
        <w:lastRenderedPageBreak/>
        <w:drawing>
          <wp:inline distT="0" distB="0" distL="0" distR="0" wp14:anchorId="29CC3506" wp14:editId="34DF339D">
            <wp:extent cx="5400675" cy="81634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7533" cy="8204046"/>
                    </a:xfrm>
                    <a:prstGeom prst="rect">
                      <a:avLst/>
                    </a:prstGeom>
                  </pic:spPr>
                </pic:pic>
              </a:graphicData>
            </a:graphic>
          </wp:inline>
        </w:drawing>
      </w: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lastRenderedPageBreak/>
        <w:t>Figure 2 PRISMA DIAGRAM</w:t>
      </w: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noProof/>
        </w:rPr>
        <mc:AlternateContent>
          <mc:Choice Requires="wpg">
            <w:drawing>
              <wp:anchor distT="0" distB="0" distL="114300" distR="114300" simplePos="0" relativeHeight="251659264" behindDoc="0" locked="0" layoutInCell="1" allowOverlap="1" wp14:anchorId="41EBF251" wp14:editId="13BBDFDA">
                <wp:simplePos x="0" y="0"/>
                <wp:positionH relativeFrom="column">
                  <wp:posOffset>23813</wp:posOffset>
                </wp:positionH>
                <wp:positionV relativeFrom="paragraph">
                  <wp:posOffset>8255</wp:posOffset>
                </wp:positionV>
                <wp:extent cx="6145972" cy="6062663"/>
                <wp:effectExtent l="0" t="0" r="26670" b="14605"/>
                <wp:wrapNone/>
                <wp:docPr id="2" name="Group 2"/>
                <wp:cNvGraphicFramePr/>
                <a:graphic xmlns:a="http://schemas.openxmlformats.org/drawingml/2006/main">
                  <a:graphicData uri="http://schemas.microsoft.com/office/word/2010/wordprocessingGroup">
                    <wpg:wgp>
                      <wpg:cNvGrpSpPr/>
                      <wpg:grpSpPr>
                        <a:xfrm>
                          <a:off x="0" y="0"/>
                          <a:ext cx="6145972" cy="6062663"/>
                          <a:chOff x="0" y="0"/>
                          <a:chExt cx="6145972" cy="6062663"/>
                        </a:xfrm>
                      </wpg:grpSpPr>
                      <wpg:grpSp>
                        <wpg:cNvPr id="3" name="Group 3"/>
                        <wpg:cNvGrpSpPr/>
                        <wpg:grpSpPr>
                          <a:xfrm>
                            <a:off x="0" y="0"/>
                            <a:ext cx="6145972" cy="4800600"/>
                            <a:chOff x="0" y="0"/>
                            <a:chExt cx="6145972" cy="4800600"/>
                          </a:xfrm>
                        </wpg:grpSpPr>
                        <wps:wsp>
                          <wps:cNvPr id="4" name="Rectangle 4"/>
                          <wps:cNvSpPr>
                            <a:spLocks noChangeArrowheads="1"/>
                          </wps:cNvSpPr>
                          <wps:spPr bwMode="auto">
                            <a:xfrm>
                              <a:off x="0" y="497"/>
                              <a:ext cx="2228850" cy="682625"/>
                            </a:xfrm>
                            <a:prstGeom prst="rect">
                              <a:avLst/>
                            </a:prstGeom>
                            <a:solidFill>
                              <a:srgbClr val="FFFFFF"/>
                            </a:solidFill>
                            <a:ln w="9525">
                              <a:solidFill>
                                <a:srgbClr val="000000"/>
                              </a:solidFill>
                              <a:miter lim="800000"/>
                              <a:headEnd/>
                              <a:tailEnd/>
                            </a:ln>
                          </wps:spPr>
                          <wps:txbx>
                            <w:txbxContent>
                              <w:p w:rsidR="00CA0397" w:rsidRPr="006358C2" w:rsidRDefault="00CA0397" w:rsidP="00CA0397">
                                <w:pPr>
                                  <w:jc w:val="center"/>
                                  <w:rPr>
                                    <w:rFonts w:ascii="Calibri" w:hAnsi="Calibri"/>
                                    <w:sz w:val="20"/>
                                    <w:lang w:val="en"/>
                                  </w:rPr>
                                </w:pPr>
                                <w:r w:rsidRPr="006358C2">
                                  <w:rPr>
                                    <w:rFonts w:ascii="Calibri" w:hAnsi="Calibri"/>
                                    <w:sz w:val="20"/>
                                  </w:rPr>
                                  <w:t>Records identified through database searching</w:t>
                                </w:r>
                                <w:r w:rsidRPr="006358C2">
                                  <w:rPr>
                                    <w:rFonts w:ascii="Calibri" w:hAnsi="Calibri"/>
                                    <w:sz w:val="20"/>
                                  </w:rPr>
                                  <w:br/>
                                  <w:t>(n = 1254)</w:t>
                                </w:r>
                              </w:p>
                            </w:txbxContent>
                          </wps:txbx>
                          <wps:bodyPr rot="0" vert="horz" wrap="square" lIns="91440" tIns="91440" rIns="91440" bIns="91440" anchor="t" anchorCtr="0" upright="1">
                            <a:noAutofit/>
                          </wps:bodyPr>
                        </wps:wsp>
                        <wps:wsp>
                          <wps:cNvPr id="5" name="Straight Arrow Connector 5"/>
                          <wps:cNvCnPr>
                            <a:cxnSpLocks noChangeShapeType="1"/>
                          </wps:cNvCnPr>
                          <wps:spPr bwMode="auto">
                            <a:xfrm>
                              <a:off x="1257797" y="683813"/>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ffectLst>
                                    <a:outerShdw dist="35921" dir="2700000" algn="ctr" rotWithShape="0">
                                      <a:srgbClr val="CCCCCC"/>
                                    </a:outerShdw>
                                  </a:effectLst>
                                </a14:hiddenEffects>
                              </a:ext>
                            </a:extLst>
                          </wps:spPr>
                          <wps:bodyPr/>
                        </wps:wsp>
                        <wps:wsp>
                          <wps:cNvPr id="6" name="Straight Arrow Connector 6"/>
                          <wps:cNvCnPr>
                            <a:cxnSpLocks noChangeShapeType="1"/>
                          </wps:cNvCnPr>
                          <wps:spPr bwMode="auto">
                            <a:xfrm>
                              <a:off x="3543797" y="683813"/>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ffectLst>
                                    <a:outerShdw dist="35921" dir="2700000" algn="ctr" rotWithShape="0">
                                      <a:srgbClr val="CCCCCC"/>
                                    </a:outerShdw>
                                  </a:effectLst>
                                </a14:hiddenEffects>
                              </a:ext>
                            </a:extLst>
                          </wps:spPr>
                          <wps:bodyPr/>
                        </wps:wsp>
                        <wps:wsp>
                          <wps:cNvPr id="7" name="Rectangle 7"/>
                          <wps:cNvSpPr>
                            <a:spLocks noChangeArrowheads="1"/>
                          </wps:cNvSpPr>
                          <wps:spPr bwMode="auto">
                            <a:xfrm>
                              <a:off x="2573821" y="0"/>
                              <a:ext cx="2228850" cy="685800"/>
                            </a:xfrm>
                            <a:prstGeom prst="rect">
                              <a:avLst/>
                            </a:prstGeom>
                            <a:solidFill>
                              <a:srgbClr val="FFFFFF"/>
                            </a:solidFill>
                            <a:ln w="9525">
                              <a:solidFill>
                                <a:srgbClr val="000000"/>
                              </a:solidFill>
                              <a:miter lim="800000"/>
                              <a:headEnd/>
                              <a:tailEnd/>
                            </a:ln>
                          </wps:spPr>
                          <wps:txbx>
                            <w:txbxContent>
                              <w:p w:rsidR="00CA0397" w:rsidRPr="006358C2" w:rsidRDefault="00CA0397" w:rsidP="00CA0397">
                                <w:pPr>
                                  <w:jc w:val="center"/>
                                  <w:rPr>
                                    <w:rFonts w:ascii="Calibri" w:hAnsi="Calibri"/>
                                    <w:sz w:val="20"/>
                                    <w:lang w:val="en"/>
                                  </w:rPr>
                                </w:pPr>
                                <w:r w:rsidRPr="006358C2">
                                  <w:rPr>
                                    <w:rFonts w:ascii="Calibri" w:hAnsi="Calibri"/>
                                    <w:sz w:val="20"/>
                                  </w:rPr>
                                  <w:t>Additional records identified through other sources</w:t>
                                </w:r>
                                <w:r w:rsidRPr="006358C2">
                                  <w:rPr>
                                    <w:rFonts w:ascii="Calibri" w:hAnsi="Calibri"/>
                                    <w:sz w:val="20"/>
                                  </w:rPr>
                                  <w:br/>
                                  <w:t xml:space="preserve">(n = </w:t>
                                </w:r>
                                <w:proofErr w:type="gramStart"/>
                                <w:r w:rsidRPr="006358C2">
                                  <w:rPr>
                                    <w:rFonts w:ascii="Calibri" w:hAnsi="Calibri"/>
                                    <w:sz w:val="20"/>
                                  </w:rPr>
                                  <w:t>2  )</w:t>
                                </w:r>
                                <w:proofErr w:type="gramEnd"/>
                              </w:p>
                            </w:txbxContent>
                          </wps:txbx>
                          <wps:bodyPr rot="0" vert="horz" wrap="square" lIns="91440" tIns="91440" rIns="91440" bIns="91440" anchor="t" anchorCtr="0" upright="1">
                            <a:noAutofit/>
                          </wps:bodyPr>
                        </wps:wsp>
                        <wps:wsp>
                          <wps:cNvPr id="8" name="Rectangle 8"/>
                          <wps:cNvSpPr>
                            <a:spLocks noChangeArrowheads="1"/>
                          </wps:cNvSpPr>
                          <wps:spPr bwMode="auto">
                            <a:xfrm>
                              <a:off x="1015834" y="1141013"/>
                              <a:ext cx="2771775" cy="571500"/>
                            </a:xfrm>
                            <a:prstGeom prst="rect">
                              <a:avLst/>
                            </a:prstGeom>
                            <a:solidFill>
                              <a:srgbClr val="FFFFFF"/>
                            </a:solidFill>
                            <a:ln w="9525">
                              <a:solidFill>
                                <a:srgbClr val="000000"/>
                              </a:solidFill>
                              <a:miter lim="800000"/>
                              <a:headEnd/>
                              <a:tailEnd/>
                            </a:ln>
                          </wps:spPr>
                          <wps:txbx>
                            <w:txbxContent>
                              <w:p w:rsidR="00CA0397" w:rsidRPr="006358C2" w:rsidRDefault="00CA0397" w:rsidP="00CA0397">
                                <w:pPr>
                                  <w:jc w:val="center"/>
                                  <w:rPr>
                                    <w:rFonts w:ascii="Calibri" w:hAnsi="Calibri"/>
                                    <w:sz w:val="20"/>
                                    <w:lang w:val="en"/>
                                  </w:rPr>
                                </w:pPr>
                                <w:r w:rsidRPr="006358C2">
                                  <w:rPr>
                                    <w:rFonts w:ascii="Calibri" w:hAnsi="Calibri"/>
                                    <w:sz w:val="20"/>
                                  </w:rPr>
                                  <w:t>Records after duplicates removed</w:t>
                                </w:r>
                                <w:r w:rsidRPr="006358C2">
                                  <w:rPr>
                                    <w:rFonts w:ascii="Calibri" w:hAnsi="Calibri"/>
                                    <w:sz w:val="20"/>
                                  </w:rPr>
                                  <w:br/>
                                  <w:t xml:space="preserve">(n </w:t>
                                </w:r>
                                <w:proofErr w:type="gramStart"/>
                                <w:r w:rsidRPr="006358C2">
                                  <w:rPr>
                                    <w:rFonts w:ascii="Calibri" w:hAnsi="Calibri"/>
                                    <w:sz w:val="20"/>
                                  </w:rPr>
                                  <w:t>=  1256</w:t>
                                </w:r>
                                <w:proofErr w:type="gramEnd"/>
                                <w:r w:rsidRPr="006358C2">
                                  <w:rPr>
                                    <w:rFonts w:ascii="Calibri" w:hAnsi="Calibri"/>
                                    <w:sz w:val="20"/>
                                  </w:rPr>
                                  <w:t xml:space="preserve"> )</w:t>
                                </w:r>
                              </w:p>
                            </w:txbxContent>
                          </wps:txbx>
                          <wps:bodyPr rot="0" vert="horz" wrap="square" lIns="91440" tIns="91440" rIns="91440" bIns="91440" anchor="t" anchorCtr="0" upright="1">
                            <a:noAutofit/>
                          </wps:bodyPr>
                        </wps:wsp>
                        <wps:wsp>
                          <wps:cNvPr id="9" name="Rectangle 9"/>
                          <wps:cNvSpPr>
                            <a:spLocks noChangeArrowheads="1"/>
                          </wps:cNvSpPr>
                          <wps:spPr bwMode="auto">
                            <a:xfrm>
                              <a:off x="1567180" y="2170706"/>
                              <a:ext cx="1670050" cy="571500"/>
                            </a:xfrm>
                            <a:prstGeom prst="rect">
                              <a:avLst/>
                            </a:prstGeom>
                            <a:solidFill>
                              <a:srgbClr val="FFFFFF"/>
                            </a:solidFill>
                            <a:ln w="9525">
                              <a:solidFill>
                                <a:srgbClr val="000000"/>
                              </a:solidFill>
                              <a:miter lim="800000"/>
                              <a:headEnd/>
                              <a:tailEnd/>
                            </a:ln>
                          </wps:spPr>
                          <wps:txbx>
                            <w:txbxContent>
                              <w:p w:rsidR="00CA0397" w:rsidRPr="006358C2" w:rsidRDefault="00CA0397" w:rsidP="00CA0397">
                                <w:pPr>
                                  <w:jc w:val="center"/>
                                  <w:rPr>
                                    <w:rFonts w:ascii="Calibri" w:hAnsi="Calibri"/>
                                    <w:sz w:val="20"/>
                                    <w:lang w:val="en"/>
                                  </w:rPr>
                                </w:pPr>
                                <w:r w:rsidRPr="006358C2">
                                  <w:rPr>
                                    <w:rFonts w:ascii="Calibri" w:hAnsi="Calibri"/>
                                    <w:sz w:val="20"/>
                                  </w:rPr>
                                  <w:t>Records screened</w:t>
                                </w:r>
                                <w:r w:rsidRPr="006358C2">
                                  <w:rPr>
                                    <w:rFonts w:ascii="Calibri" w:hAnsi="Calibri"/>
                                    <w:sz w:val="20"/>
                                  </w:rPr>
                                  <w:br/>
                                  <w:t xml:space="preserve">(n = </w:t>
                                </w:r>
                                <w:proofErr w:type="gramStart"/>
                                <w:r w:rsidRPr="006358C2">
                                  <w:rPr>
                                    <w:rFonts w:ascii="Calibri" w:hAnsi="Calibri"/>
                                    <w:sz w:val="20"/>
                                  </w:rPr>
                                  <w:t>1256  )</w:t>
                                </w:r>
                                <w:proofErr w:type="gramEnd"/>
                              </w:p>
                            </w:txbxContent>
                          </wps:txbx>
                          <wps:bodyPr rot="0" vert="horz" wrap="square" lIns="91440" tIns="91440" rIns="91440" bIns="91440" anchor="t" anchorCtr="0" upright="1">
                            <a:noAutofit/>
                          </wps:bodyPr>
                        </wps:wsp>
                        <wps:wsp>
                          <wps:cNvPr id="10" name="Rectangle 10"/>
                          <wps:cNvSpPr>
                            <a:spLocks noChangeArrowheads="1"/>
                          </wps:cNvSpPr>
                          <wps:spPr bwMode="auto">
                            <a:xfrm>
                              <a:off x="3908066" y="2139398"/>
                              <a:ext cx="2173108" cy="691764"/>
                            </a:xfrm>
                            <a:prstGeom prst="rect">
                              <a:avLst/>
                            </a:prstGeom>
                            <a:solidFill>
                              <a:srgbClr val="FFFFFF"/>
                            </a:solidFill>
                            <a:ln w="9525">
                              <a:solidFill>
                                <a:srgbClr val="000000"/>
                              </a:solidFill>
                              <a:miter lim="800000"/>
                              <a:headEnd/>
                              <a:tailEnd/>
                            </a:ln>
                          </wps:spPr>
                          <wps:txbx>
                            <w:txbxContent>
                              <w:p w:rsidR="00CA0397" w:rsidRPr="006358C2" w:rsidRDefault="00CA0397" w:rsidP="00CA0397">
                                <w:pPr>
                                  <w:jc w:val="center"/>
                                  <w:rPr>
                                    <w:rFonts w:ascii="Calibri" w:hAnsi="Calibri"/>
                                    <w:sz w:val="20"/>
                                    <w:lang w:val="en"/>
                                  </w:rPr>
                                </w:pPr>
                                <w:r w:rsidRPr="006358C2">
                                  <w:rPr>
                                    <w:rFonts w:ascii="Calibri" w:hAnsi="Calibri"/>
                                    <w:sz w:val="20"/>
                                  </w:rPr>
                                  <w:t>Records excluded</w:t>
                                </w:r>
                                <w:r>
                                  <w:rPr>
                                    <w:rFonts w:ascii="Calibri" w:hAnsi="Calibri"/>
                                    <w:sz w:val="20"/>
                                  </w:rPr>
                                  <w:t xml:space="preserve"> after title/abstract screening</w:t>
                                </w:r>
                                <w:r w:rsidRPr="006358C2">
                                  <w:rPr>
                                    <w:rFonts w:ascii="Calibri" w:hAnsi="Calibri"/>
                                    <w:sz w:val="20"/>
                                  </w:rPr>
                                  <w:br/>
                                  <w:t xml:space="preserve">(n = 1116 </w:t>
                                </w:r>
                                <w:proofErr w:type="gramStart"/>
                                <w:r w:rsidRPr="006358C2">
                                  <w:rPr>
                                    <w:rFonts w:ascii="Calibri" w:hAnsi="Calibri"/>
                                    <w:sz w:val="20"/>
                                  </w:rPr>
                                  <w:t xml:space="preserve">  )</w:t>
                                </w:r>
                                <w:proofErr w:type="gramEnd"/>
                              </w:p>
                            </w:txbxContent>
                          </wps:txbx>
                          <wps:bodyPr rot="0" vert="horz" wrap="square" lIns="91440" tIns="91440" rIns="91440" bIns="91440" anchor="t" anchorCtr="0" upright="1">
                            <a:noAutofit/>
                          </wps:bodyPr>
                        </wps:wsp>
                        <wps:wsp>
                          <wps:cNvPr id="11" name="Rectangle 11"/>
                          <wps:cNvSpPr>
                            <a:spLocks noChangeArrowheads="1"/>
                          </wps:cNvSpPr>
                          <wps:spPr bwMode="auto">
                            <a:xfrm>
                              <a:off x="1544127" y="3085106"/>
                              <a:ext cx="1714500" cy="685800"/>
                            </a:xfrm>
                            <a:prstGeom prst="rect">
                              <a:avLst/>
                            </a:prstGeom>
                            <a:solidFill>
                              <a:srgbClr val="FFFFFF"/>
                            </a:solidFill>
                            <a:ln w="9525">
                              <a:solidFill>
                                <a:srgbClr val="000000"/>
                              </a:solidFill>
                              <a:miter lim="800000"/>
                              <a:headEnd/>
                              <a:tailEnd/>
                            </a:ln>
                          </wps:spPr>
                          <wps:txbx>
                            <w:txbxContent>
                              <w:p w:rsidR="00CA0397" w:rsidRPr="006358C2" w:rsidRDefault="00CA0397" w:rsidP="00CA0397">
                                <w:pPr>
                                  <w:jc w:val="center"/>
                                  <w:rPr>
                                    <w:rFonts w:ascii="Calibri" w:hAnsi="Calibri"/>
                                    <w:sz w:val="20"/>
                                    <w:lang w:val="en"/>
                                  </w:rPr>
                                </w:pPr>
                                <w:r w:rsidRPr="006358C2">
                                  <w:rPr>
                                    <w:rFonts w:ascii="Calibri" w:hAnsi="Calibri"/>
                                    <w:sz w:val="20"/>
                                  </w:rPr>
                                  <w:t>Full-text articles assessed for eligibility</w:t>
                                </w:r>
                                <w:r w:rsidRPr="006358C2">
                                  <w:rPr>
                                    <w:rFonts w:ascii="Calibri" w:hAnsi="Calibri"/>
                                    <w:sz w:val="20"/>
                                  </w:rPr>
                                  <w:br/>
                                  <w:t xml:space="preserve">(n </w:t>
                                </w:r>
                                <w:proofErr w:type="gramStart"/>
                                <w:r w:rsidRPr="006358C2">
                                  <w:rPr>
                                    <w:rFonts w:ascii="Calibri" w:hAnsi="Calibri"/>
                                    <w:sz w:val="20"/>
                                  </w:rPr>
                                  <w:t>=  90</w:t>
                                </w:r>
                                <w:proofErr w:type="gramEnd"/>
                                <w:r w:rsidRPr="006358C2">
                                  <w:rPr>
                                    <w:rFonts w:ascii="Calibri" w:hAnsi="Calibri"/>
                                    <w:sz w:val="20"/>
                                  </w:rPr>
                                  <w:t xml:space="preserve"> )</w:t>
                                </w:r>
                              </w:p>
                            </w:txbxContent>
                          </wps:txbx>
                          <wps:bodyPr rot="0" vert="horz" wrap="square" lIns="91440" tIns="91440" rIns="91440" bIns="91440" anchor="t" anchorCtr="0" upright="1">
                            <a:noAutofit/>
                          </wps:bodyPr>
                        </wps:wsp>
                        <wps:wsp>
                          <wps:cNvPr id="12" name="Rectangle 12"/>
                          <wps:cNvSpPr>
                            <a:spLocks noChangeArrowheads="1"/>
                          </wps:cNvSpPr>
                          <wps:spPr bwMode="auto">
                            <a:xfrm>
                              <a:off x="3912042" y="3049823"/>
                              <a:ext cx="2233930" cy="1590758"/>
                            </a:xfrm>
                            <a:prstGeom prst="rect">
                              <a:avLst/>
                            </a:prstGeom>
                            <a:solidFill>
                              <a:srgbClr val="FFFFFF"/>
                            </a:solidFill>
                            <a:ln w="9525">
                              <a:solidFill>
                                <a:srgbClr val="000000"/>
                              </a:solidFill>
                              <a:miter lim="800000"/>
                              <a:headEnd/>
                              <a:tailEnd/>
                            </a:ln>
                          </wps:spPr>
                          <wps:txbx>
                            <w:txbxContent>
                              <w:p w:rsidR="00CA0397" w:rsidRPr="006358C2" w:rsidRDefault="00CA0397" w:rsidP="00CA0397">
                                <w:pPr>
                                  <w:rPr>
                                    <w:rFonts w:ascii="Calibri" w:hAnsi="Calibri"/>
                                    <w:sz w:val="20"/>
                                  </w:rPr>
                                </w:pPr>
                                <w:r w:rsidRPr="006358C2">
                                  <w:rPr>
                                    <w:rFonts w:ascii="Calibri" w:hAnsi="Calibri"/>
                                    <w:sz w:val="20"/>
                                  </w:rPr>
                                  <w:t>Full-text articles excluded:</w:t>
                                </w:r>
                              </w:p>
                              <w:p w:rsidR="00CA0397" w:rsidRPr="006358C2" w:rsidRDefault="00CA0397" w:rsidP="00CA0397">
                                <w:pPr>
                                  <w:spacing w:after="0"/>
                                  <w:rPr>
                                    <w:rFonts w:ascii="Calibri" w:hAnsi="Calibri"/>
                                    <w:sz w:val="20"/>
                                    <w:lang w:val="en"/>
                                  </w:rPr>
                                </w:pPr>
                                <w:r w:rsidRPr="006358C2">
                                  <w:rPr>
                                    <w:rFonts w:ascii="Calibri" w:hAnsi="Calibri"/>
                                    <w:sz w:val="20"/>
                                  </w:rPr>
                                  <w:t>- Not linked to reimbursement coverage decisions (n=42)</w:t>
                                </w:r>
                              </w:p>
                              <w:p w:rsidR="00CA0397" w:rsidRPr="006358C2" w:rsidRDefault="00CA0397" w:rsidP="00CA0397">
                                <w:pPr>
                                  <w:spacing w:after="0"/>
                                  <w:rPr>
                                    <w:rFonts w:ascii="Calibri" w:hAnsi="Calibri"/>
                                    <w:sz w:val="20"/>
                                    <w:lang w:val="en"/>
                                  </w:rPr>
                                </w:pPr>
                                <w:r w:rsidRPr="006358C2">
                                  <w:rPr>
                                    <w:rFonts w:ascii="Calibri" w:hAnsi="Calibri"/>
                                    <w:sz w:val="20"/>
                                    <w:lang w:val="en"/>
                                  </w:rPr>
                                  <w:t xml:space="preserve">- </w:t>
                                </w:r>
                                <w:r w:rsidRPr="006358C2">
                                  <w:rPr>
                                    <w:rFonts w:ascii="Calibri" w:hAnsi="Calibri"/>
                                    <w:sz w:val="20"/>
                                  </w:rPr>
                                  <w:t>Did not discuss challenges or success factors (n=20)</w:t>
                                </w:r>
                              </w:p>
                              <w:p w:rsidR="00CA0397" w:rsidRPr="006358C2" w:rsidRDefault="00CA0397" w:rsidP="00CA0397">
                                <w:pPr>
                                  <w:spacing w:after="0"/>
                                  <w:rPr>
                                    <w:rFonts w:ascii="Calibri" w:hAnsi="Calibri"/>
                                    <w:sz w:val="20"/>
                                    <w:lang w:val="en"/>
                                  </w:rPr>
                                </w:pPr>
                                <w:r w:rsidRPr="006358C2">
                                  <w:rPr>
                                    <w:rFonts w:ascii="Calibri" w:hAnsi="Calibri"/>
                                    <w:sz w:val="20"/>
                                    <w:lang w:val="en"/>
                                  </w:rPr>
                                  <w:t>- did not meet other inclusion criteria (n=19)</w:t>
                                </w:r>
                              </w:p>
                              <w:p w:rsidR="00CA0397" w:rsidRPr="006358C2" w:rsidRDefault="00CA0397" w:rsidP="00CA0397">
                                <w:pPr>
                                  <w:numPr>
                                    <w:ilvl w:val="0"/>
                                    <w:numId w:val="2"/>
                                  </w:numPr>
                                  <w:spacing w:after="0" w:line="240" w:lineRule="auto"/>
                                  <w:ind w:left="-284" w:firstLine="0"/>
                                  <w:jc w:val="center"/>
                                  <w:rPr>
                                    <w:rFonts w:ascii="Calibri" w:hAnsi="Calibri"/>
                                    <w:sz w:val="20"/>
                                    <w:lang w:val="en"/>
                                  </w:rPr>
                                </w:pPr>
                              </w:p>
                            </w:txbxContent>
                          </wps:txbx>
                          <wps:bodyPr rot="0" vert="horz" wrap="square" lIns="91440" tIns="91440" rIns="91440" bIns="91440" anchor="t" anchorCtr="0" upright="1">
                            <a:noAutofit/>
                          </wps:bodyPr>
                        </wps:wsp>
                        <wps:wsp>
                          <wps:cNvPr id="13" name="Rectangle 13"/>
                          <wps:cNvSpPr>
                            <a:spLocks noChangeArrowheads="1"/>
                          </wps:cNvSpPr>
                          <wps:spPr bwMode="auto">
                            <a:xfrm>
                              <a:off x="1544127" y="4114800"/>
                              <a:ext cx="1714500" cy="685800"/>
                            </a:xfrm>
                            <a:prstGeom prst="rect">
                              <a:avLst/>
                            </a:prstGeom>
                            <a:solidFill>
                              <a:srgbClr val="FFFFFF"/>
                            </a:solidFill>
                            <a:ln w="9525">
                              <a:solidFill>
                                <a:srgbClr val="000000"/>
                              </a:solidFill>
                              <a:miter lim="800000"/>
                              <a:headEnd/>
                              <a:tailEnd/>
                            </a:ln>
                          </wps:spPr>
                          <wps:txbx>
                            <w:txbxContent>
                              <w:p w:rsidR="00CA0397" w:rsidRPr="006358C2" w:rsidRDefault="00CA0397" w:rsidP="00CA0397">
                                <w:pPr>
                                  <w:jc w:val="center"/>
                                  <w:rPr>
                                    <w:rFonts w:ascii="Calibri" w:hAnsi="Calibri"/>
                                    <w:sz w:val="20"/>
                                    <w:lang w:val="en"/>
                                  </w:rPr>
                                </w:pPr>
                                <w:r w:rsidRPr="006358C2">
                                  <w:rPr>
                                    <w:rFonts w:ascii="Calibri" w:hAnsi="Calibri"/>
                                    <w:sz w:val="20"/>
                                  </w:rPr>
                                  <w:t>Studies included in qualitative synthesis</w:t>
                                </w:r>
                                <w:r w:rsidRPr="006358C2">
                                  <w:rPr>
                                    <w:rFonts w:ascii="Calibri" w:hAnsi="Calibri"/>
                                    <w:sz w:val="20"/>
                                  </w:rPr>
                                  <w:br/>
                                  <w:t>(n = 18)</w:t>
                                </w:r>
                              </w:p>
                            </w:txbxContent>
                          </wps:txbx>
                          <wps:bodyPr rot="0" vert="horz" wrap="square" lIns="91440" tIns="91440" rIns="91440" bIns="91440" anchor="t" anchorCtr="0" upright="1">
                            <a:noAutofit/>
                          </wps:bodyPr>
                        </wps:wsp>
                        <wps:wsp>
                          <wps:cNvPr id="14" name="Straight Arrow Connector 14"/>
                          <wps:cNvCnPr>
                            <a:cxnSpLocks noChangeShapeType="1"/>
                          </wps:cNvCnPr>
                          <wps:spPr bwMode="auto">
                            <a:xfrm>
                              <a:off x="2402785" y="1713506"/>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ffectLst>
                                    <a:outerShdw dist="35921" dir="2700000" algn="ctr" rotWithShape="0">
                                      <a:srgbClr val="CCCCCC"/>
                                    </a:outerShdw>
                                  </a:effectLst>
                                </a14:hiddenEffects>
                              </a:ext>
                            </a:extLst>
                          </wps:spPr>
                          <wps:bodyPr/>
                        </wps:wsp>
                        <wps:wsp>
                          <wps:cNvPr id="15" name="Straight Arrow Connector 15"/>
                          <wps:cNvCnPr>
                            <a:cxnSpLocks noChangeShapeType="1"/>
                          </wps:cNvCnPr>
                          <wps:spPr bwMode="auto">
                            <a:xfrm>
                              <a:off x="2402785" y="274320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ffectLst>
                                    <a:outerShdw dist="35921" dir="2700000" algn="ctr" rotWithShape="0">
                                      <a:srgbClr val="CCCCCC"/>
                                    </a:outerShdw>
                                  </a:effectLst>
                                </a14:hiddenEffects>
                              </a:ext>
                            </a:extLst>
                          </wps:spPr>
                          <wps:bodyPr/>
                        </wps:wsp>
                        <wps:wsp>
                          <wps:cNvPr id="16" name="Straight Arrow Connector 16"/>
                          <wps:cNvCnPr>
                            <a:cxnSpLocks noChangeShapeType="1"/>
                          </wps:cNvCnPr>
                          <wps:spPr bwMode="auto">
                            <a:xfrm>
                              <a:off x="2402785" y="3772894"/>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ffectLst>
                                    <a:outerShdw dist="35921" dir="2700000" algn="ctr" rotWithShape="0">
                                      <a:srgbClr val="CCCCCC"/>
                                    </a:outerShdw>
                                  </a:effectLst>
                                </a14:hiddenEffects>
                              </a:ext>
                            </a:extLst>
                          </wps:spPr>
                          <wps:bodyPr/>
                        </wps:wsp>
                        <wps:wsp>
                          <wps:cNvPr id="17" name="Straight Arrow Connector 17"/>
                          <wps:cNvCnPr>
                            <a:cxnSpLocks noChangeShapeType="1"/>
                          </wps:cNvCnPr>
                          <wps:spPr bwMode="auto">
                            <a:xfrm>
                              <a:off x="3224254" y="2439063"/>
                              <a:ext cx="683812" cy="1203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ffectLst>
                                    <a:outerShdw dist="35921" dir="2700000" algn="ctr" rotWithShape="0">
                                      <a:srgbClr val="CCCCCC"/>
                                    </a:outerShdw>
                                  </a:effectLst>
                                </a14:hiddenEffects>
                              </a:ext>
                            </a:extLst>
                          </wps:spPr>
                          <wps:bodyPr/>
                        </wps:wsp>
                        <wps:wsp>
                          <wps:cNvPr id="18" name="Straight Arrow Connector 18"/>
                          <wps:cNvCnPr>
                            <a:cxnSpLocks noChangeShapeType="1"/>
                          </wps:cNvCnPr>
                          <wps:spPr bwMode="auto">
                            <a:xfrm>
                              <a:off x="3258434" y="3407051"/>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ffectLst>
                                    <a:outerShdw dist="35921" dir="2700000" algn="ctr" rotWithShape="0">
                                      <a:srgbClr val="CCCCCC"/>
                                    </a:outerShdw>
                                  </a:effectLst>
                                </a14:hiddenEffects>
                              </a:ext>
                            </a:extLst>
                          </wps:spPr>
                          <wps:bodyPr/>
                        </wps:wsp>
                      </wpg:grpSp>
                      <wps:wsp>
                        <wps:cNvPr id="19" name="Rectangle 19"/>
                        <wps:cNvSpPr>
                          <a:spLocks noChangeArrowheads="1"/>
                        </wps:cNvSpPr>
                        <wps:spPr bwMode="auto">
                          <a:xfrm>
                            <a:off x="476250" y="5376863"/>
                            <a:ext cx="1714377" cy="685800"/>
                          </a:xfrm>
                          <a:prstGeom prst="rect">
                            <a:avLst/>
                          </a:prstGeom>
                          <a:solidFill>
                            <a:srgbClr val="FFFFFF"/>
                          </a:solidFill>
                          <a:ln w="9525">
                            <a:solidFill>
                              <a:srgbClr val="000000"/>
                            </a:solidFill>
                            <a:miter lim="800000"/>
                            <a:headEnd/>
                            <a:tailEnd/>
                          </a:ln>
                        </wps:spPr>
                        <wps:txbx>
                          <w:txbxContent>
                            <w:p w:rsidR="00CA0397" w:rsidRPr="006358C2" w:rsidRDefault="00CA0397" w:rsidP="00CA0397">
                              <w:pPr>
                                <w:jc w:val="center"/>
                                <w:rPr>
                                  <w:rFonts w:ascii="Calibri" w:hAnsi="Calibri"/>
                                  <w:sz w:val="20"/>
                                  <w:lang w:val="en"/>
                                </w:rPr>
                              </w:pPr>
                              <w:r>
                                <w:rPr>
                                  <w:rFonts w:ascii="Calibri" w:hAnsi="Calibri"/>
                                  <w:sz w:val="20"/>
                                </w:rPr>
                                <w:t>Studies on Pay-for-performance schemes</w:t>
                              </w:r>
                              <w:r w:rsidRPr="006358C2">
                                <w:rPr>
                                  <w:rFonts w:ascii="Calibri" w:hAnsi="Calibri"/>
                                  <w:sz w:val="20"/>
                                </w:rPr>
                                <w:br/>
                                <w:t>(n = 1</w:t>
                              </w:r>
                              <w:r>
                                <w:rPr>
                                  <w:rFonts w:ascii="Calibri" w:hAnsi="Calibri"/>
                                  <w:sz w:val="20"/>
                                </w:rPr>
                                <w:t>6</w:t>
                              </w:r>
                              <w:r w:rsidRPr="006358C2">
                                <w:rPr>
                                  <w:rFonts w:ascii="Calibri" w:hAnsi="Calibri"/>
                                  <w:sz w:val="20"/>
                                </w:rPr>
                                <w:t>)</w:t>
                              </w:r>
                            </w:p>
                          </w:txbxContent>
                        </wps:txbx>
                        <wps:bodyPr rot="0" vert="horz" wrap="square" lIns="91440" tIns="91440" rIns="91440" bIns="91440" anchor="t" anchorCtr="0" upright="1">
                          <a:noAutofit/>
                        </wps:bodyPr>
                      </wps:wsp>
                      <wps:wsp>
                        <wps:cNvPr id="20" name="Rectangle 20"/>
                        <wps:cNvSpPr>
                          <a:spLocks noChangeArrowheads="1"/>
                        </wps:cNvSpPr>
                        <wps:spPr bwMode="auto">
                          <a:xfrm>
                            <a:off x="2757487" y="5353050"/>
                            <a:ext cx="1714377" cy="685800"/>
                          </a:xfrm>
                          <a:prstGeom prst="rect">
                            <a:avLst/>
                          </a:prstGeom>
                          <a:solidFill>
                            <a:srgbClr val="FFFFFF"/>
                          </a:solidFill>
                          <a:ln w="9525">
                            <a:solidFill>
                              <a:srgbClr val="000000"/>
                            </a:solidFill>
                            <a:miter lim="800000"/>
                            <a:headEnd/>
                            <a:tailEnd/>
                          </a:ln>
                        </wps:spPr>
                        <wps:txbx>
                          <w:txbxContent>
                            <w:p w:rsidR="00CA0397" w:rsidRDefault="00CA0397" w:rsidP="00CA0397">
                              <w:pPr>
                                <w:spacing w:after="0" w:line="240" w:lineRule="auto"/>
                                <w:jc w:val="center"/>
                                <w:rPr>
                                  <w:rFonts w:ascii="Calibri" w:hAnsi="Calibri"/>
                                  <w:sz w:val="20"/>
                                </w:rPr>
                              </w:pPr>
                              <w:r>
                                <w:rPr>
                                  <w:rFonts w:ascii="Calibri" w:hAnsi="Calibri"/>
                                  <w:sz w:val="20"/>
                                </w:rPr>
                                <w:t xml:space="preserve">Studies on PBRSA </w:t>
                              </w:r>
                            </w:p>
                            <w:p w:rsidR="00CA0397" w:rsidRPr="006358C2" w:rsidRDefault="00CA0397" w:rsidP="00CA0397">
                              <w:pPr>
                                <w:spacing w:after="0" w:line="240" w:lineRule="auto"/>
                                <w:jc w:val="center"/>
                                <w:rPr>
                                  <w:rFonts w:ascii="Calibri" w:hAnsi="Calibri"/>
                                  <w:sz w:val="20"/>
                                  <w:lang w:val="en"/>
                                </w:rPr>
                              </w:pPr>
                              <w:r>
                                <w:rPr>
                                  <w:rFonts w:ascii="Calibri" w:hAnsi="Calibri"/>
                                  <w:sz w:val="20"/>
                                </w:rPr>
                                <w:t>schemes</w:t>
                              </w:r>
                              <w:r w:rsidRPr="006358C2">
                                <w:rPr>
                                  <w:rFonts w:ascii="Calibri" w:hAnsi="Calibri"/>
                                  <w:sz w:val="20"/>
                                </w:rPr>
                                <w:br/>
                                <w:t xml:space="preserve">(n = </w:t>
                              </w:r>
                              <w:r>
                                <w:rPr>
                                  <w:rFonts w:ascii="Calibri" w:hAnsi="Calibri"/>
                                  <w:sz w:val="20"/>
                                </w:rPr>
                                <w:t>2</w:t>
                              </w:r>
                              <w:r w:rsidRPr="006358C2">
                                <w:rPr>
                                  <w:rFonts w:ascii="Calibri" w:hAnsi="Calibri"/>
                                  <w:sz w:val="20"/>
                                </w:rPr>
                                <w:t>)</w:t>
                              </w:r>
                            </w:p>
                            <w:p w:rsidR="00CA0397" w:rsidRPr="006358C2" w:rsidRDefault="00CA0397" w:rsidP="00CA0397">
                              <w:pPr>
                                <w:jc w:val="center"/>
                                <w:rPr>
                                  <w:rFonts w:ascii="Calibri" w:hAnsi="Calibri"/>
                                  <w:sz w:val="20"/>
                                  <w:lang w:val="en"/>
                                </w:rPr>
                              </w:pPr>
                            </w:p>
                          </w:txbxContent>
                        </wps:txbx>
                        <wps:bodyPr rot="0" vert="horz" wrap="square" lIns="91440" tIns="91440" rIns="91440" bIns="91440" anchor="t" anchorCtr="0" upright="1">
                          <a:noAutofit/>
                        </wps:bodyPr>
                      </wps:wsp>
                    </wpg:wgp>
                  </a:graphicData>
                </a:graphic>
              </wp:anchor>
            </w:drawing>
          </mc:Choice>
          <mc:Fallback>
            <w:pict>
              <v:group w14:anchorId="41EBF251" id="Group 2" o:spid="_x0000_s1026" style="position:absolute;margin-left:1.9pt;margin-top:.65pt;width:483.95pt;height:477.4pt;z-index:251659264" coordsize="61459,6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">
                <v:group id="Group 3" o:spid="_x0000_s1027" style="position:absolute;width:61459;height:48006" coordsize="6145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top:4;width:22288;height:6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">
                    <v:textbox inset=",7.2pt,,7.2pt">
                      <w:txbxContent>
                        <w:p w:rsidR="00CA0397" w:rsidRPr="006358C2" w:rsidRDefault="00CA0397" w:rsidP="00CA0397">
                          <w:pPr>
                            <w:jc w:val="center"/>
                            <w:rPr>
                              <w:rFonts w:ascii="Calibri" w:hAnsi="Calibri"/>
                              <w:sz w:val="20"/>
                              <w:lang w:val="en"/>
                            </w:rPr>
                          </w:pPr>
                          <w:r w:rsidRPr="006358C2">
                            <w:rPr>
                              <w:rFonts w:ascii="Calibri" w:hAnsi="Calibri"/>
                              <w:sz w:val="20"/>
                            </w:rPr>
                            <w:t>Records identified through database searching</w:t>
                          </w:r>
                          <w:r w:rsidRPr="006358C2">
                            <w:rPr>
                              <w:rFonts w:ascii="Calibri" w:hAnsi="Calibri"/>
                              <w:sz w:val="20"/>
                            </w:rPr>
                            <w:br/>
                            <w:t>(n = 1254)</w:t>
                          </w: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left:12577;top:6838;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Straight Arrow Connector 6" o:spid="_x0000_s1030" type="#_x0000_t32" style="position:absolute;left:35437;top:6838;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rect id="Rectangle 7" o:spid="_x0000_s1031" style="position:absolute;left:25738;width:2228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">
                    <v:textbox inset=",7.2pt,,7.2pt">
                      <w:txbxContent>
                        <w:p w:rsidR="00CA0397" w:rsidRPr="006358C2" w:rsidRDefault="00CA0397" w:rsidP="00CA0397">
                          <w:pPr>
                            <w:jc w:val="center"/>
                            <w:rPr>
                              <w:rFonts w:ascii="Calibri" w:hAnsi="Calibri"/>
                              <w:sz w:val="20"/>
                              <w:lang w:val="en"/>
                            </w:rPr>
                          </w:pPr>
                          <w:r w:rsidRPr="006358C2">
                            <w:rPr>
                              <w:rFonts w:ascii="Calibri" w:hAnsi="Calibri"/>
                              <w:sz w:val="20"/>
                            </w:rPr>
                            <w:t>Additional records identified through other sources</w:t>
                          </w:r>
                          <w:r w:rsidRPr="006358C2">
                            <w:rPr>
                              <w:rFonts w:ascii="Calibri" w:hAnsi="Calibri"/>
                              <w:sz w:val="20"/>
                            </w:rPr>
                            <w:br/>
                            <w:t xml:space="preserve">(n = </w:t>
                          </w:r>
                          <w:proofErr w:type="gramStart"/>
                          <w:r w:rsidRPr="006358C2">
                            <w:rPr>
                              <w:rFonts w:ascii="Calibri" w:hAnsi="Calibri"/>
                              <w:sz w:val="20"/>
                            </w:rPr>
                            <w:t>2  )</w:t>
                          </w:r>
                          <w:proofErr w:type="gramEnd"/>
                        </w:p>
                      </w:txbxContent>
                    </v:textbox>
                  </v:rect>
                  <v:rect id="Rectangle 8" o:spid="_x0000_s1032" style="position:absolute;left:10158;top:11410;width:27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">
                    <v:textbox inset=",7.2pt,,7.2pt">
                      <w:txbxContent>
                        <w:p w:rsidR="00CA0397" w:rsidRPr="006358C2" w:rsidRDefault="00CA0397" w:rsidP="00CA0397">
                          <w:pPr>
                            <w:jc w:val="center"/>
                            <w:rPr>
                              <w:rFonts w:ascii="Calibri" w:hAnsi="Calibri"/>
                              <w:sz w:val="20"/>
                              <w:lang w:val="en"/>
                            </w:rPr>
                          </w:pPr>
                          <w:r w:rsidRPr="006358C2">
                            <w:rPr>
                              <w:rFonts w:ascii="Calibri" w:hAnsi="Calibri"/>
                              <w:sz w:val="20"/>
                            </w:rPr>
                            <w:t>Records after duplicates removed</w:t>
                          </w:r>
                          <w:r w:rsidRPr="006358C2">
                            <w:rPr>
                              <w:rFonts w:ascii="Calibri" w:hAnsi="Calibri"/>
                              <w:sz w:val="20"/>
                            </w:rPr>
                            <w:br/>
                            <w:t xml:space="preserve">(n </w:t>
                          </w:r>
                          <w:proofErr w:type="gramStart"/>
                          <w:r w:rsidRPr="006358C2">
                            <w:rPr>
                              <w:rFonts w:ascii="Calibri" w:hAnsi="Calibri"/>
                              <w:sz w:val="20"/>
                            </w:rPr>
                            <w:t>=  1256</w:t>
                          </w:r>
                          <w:proofErr w:type="gramEnd"/>
                          <w:r w:rsidRPr="006358C2">
                            <w:rPr>
                              <w:rFonts w:ascii="Calibri" w:hAnsi="Calibri"/>
                              <w:sz w:val="20"/>
                            </w:rPr>
                            <w:t xml:space="preserve"> )</w:t>
                          </w:r>
                        </w:p>
                      </w:txbxContent>
                    </v:textbox>
                  </v:rect>
                  <v:rect id="Rectangle 9" o:spid="_x0000_s1033" style="position:absolute;left:15671;top:21707;width:167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">
                    <v:textbox inset=",7.2pt,,7.2pt">
                      <w:txbxContent>
                        <w:p w:rsidR="00CA0397" w:rsidRPr="006358C2" w:rsidRDefault="00CA0397" w:rsidP="00CA0397">
                          <w:pPr>
                            <w:jc w:val="center"/>
                            <w:rPr>
                              <w:rFonts w:ascii="Calibri" w:hAnsi="Calibri"/>
                              <w:sz w:val="20"/>
                              <w:lang w:val="en"/>
                            </w:rPr>
                          </w:pPr>
                          <w:r w:rsidRPr="006358C2">
                            <w:rPr>
                              <w:rFonts w:ascii="Calibri" w:hAnsi="Calibri"/>
                              <w:sz w:val="20"/>
                            </w:rPr>
                            <w:t>Records screened</w:t>
                          </w:r>
                          <w:r w:rsidRPr="006358C2">
                            <w:rPr>
                              <w:rFonts w:ascii="Calibri" w:hAnsi="Calibri"/>
                              <w:sz w:val="20"/>
                            </w:rPr>
                            <w:br/>
                            <w:t xml:space="preserve">(n = </w:t>
                          </w:r>
                          <w:proofErr w:type="gramStart"/>
                          <w:r w:rsidRPr="006358C2">
                            <w:rPr>
                              <w:rFonts w:ascii="Calibri" w:hAnsi="Calibri"/>
                              <w:sz w:val="20"/>
                            </w:rPr>
                            <w:t>1256  )</w:t>
                          </w:r>
                          <w:proofErr w:type="gramEnd"/>
                        </w:p>
                      </w:txbxContent>
                    </v:textbox>
                  </v:rect>
                  <v:rect id="Rectangle 10" o:spid="_x0000_s1034" style="position:absolute;left:39080;top:21393;width:21731;height:6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U3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">
                    <v:textbox inset=",7.2pt,,7.2pt">
                      <w:txbxContent>
                        <w:p w:rsidR="00CA0397" w:rsidRPr="006358C2" w:rsidRDefault="00CA0397" w:rsidP="00CA0397">
                          <w:pPr>
                            <w:jc w:val="center"/>
                            <w:rPr>
                              <w:rFonts w:ascii="Calibri" w:hAnsi="Calibri"/>
                              <w:sz w:val="20"/>
                              <w:lang w:val="en"/>
                            </w:rPr>
                          </w:pPr>
                          <w:r w:rsidRPr="006358C2">
                            <w:rPr>
                              <w:rFonts w:ascii="Calibri" w:hAnsi="Calibri"/>
                              <w:sz w:val="20"/>
                            </w:rPr>
                            <w:t>Records excluded</w:t>
                          </w:r>
                          <w:r>
                            <w:rPr>
                              <w:rFonts w:ascii="Calibri" w:hAnsi="Calibri"/>
                              <w:sz w:val="20"/>
                            </w:rPr>
                            <w:t xml:space="preserve"> after title/abstract screening</w:t>
                          </w:r>
                          <w:r w:rsidRPr="006358C2">
                            <w:rPr>
                              <w:rFonts w:ascii="Calibri" w:hAnsi="Calibri"/>
                              <w:sz w:val="20"/>
                            </w:rPr>
                            <w:br/>
                            <w:t xml:space="preserve">(n = 1116 </w:t>
                          </w:r>
                          <w:proofErr w:type="gramStart"/>
                          <w:r w:rsidRPr="006358C2">
                            <w:rPr>
                              <w:rFonts w:ascii="Calibri" w:hAnsi="Calibri"/>
                              <w:sz w:val="20"/>
                            </w:rPr>
                            <w:t xml:space="preserve">  )</w:t>
                          </w:r>
                          <w:proofErr w:type="gramEnd"/>
                        </w:p>
                      </w:txbxContent>
                    </v:textbox>
                  </v:rect>
                  <v:rect id="Rectangle 11" o:spid="_x0000_s1035" style="position:absolute;left:15441;top:30851;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">
                    <v:textbox inset=",7.2pt,,7.2pt">
                      <w:txbxContent>
                        <w:p w:rsidR="00CA0397" w:rsidRPr="006358C2" w:rsidRDefault="00CA0397" w:rsidP="00CA0397">
                          <w:pPr>
                            <w:jc w:val="center"/>
                            <w:rPr>
                              <w:rFonts w:ascii="Calibri" w:hAnsi="Calibri"/>
                              <w:sz w:val="20"/>
                              <w:lang w:val="en"/>
                            </w:rPr>
                          </w:pPr>
                          <w:r w:rsidRPr="006358C2">
                            <w:rPr>
                              <w:rFonts w:ascii="Calibri" w:hAnsi="Calibri"/>
                              <w:sz w:val="20"/>
                            </w:rPr>
                            <w:t>Full-text articles assessed for eligibility</w:t>
                          </w:r>
                          <w:r w:rsidRPr="006358C2">
                            <w:rPr>
                              <w:rFonts w:ascii="Calibri" w:hAnsi="Calibri"/>
                              <w:sz w:val="20"/>
                            </w:rPr>
                            <w:br/>
                            <w:t xml:space="preserve">(n </w:t>
                          </w:r>
                          <w:proofErr w:type="gramStart"/>
                          <w:r w:rsidRPr="006358C2">
                            <w:rPr>
                              <w:rFonts w:ascii="Calibri" w:hAnsi="Calibri"/>
                              <w:sz w:val="20"/>
                            </w:rPr>
                            <w:t>=  90</w:t>
                          </w:r>
                          <w:proofErr w:type="gramEnd"/>
                          <w:r w:rsidRPr="006358C2">
                            <w:rPr>
                              <w:rFonts w:ascii="Calibri" w:hAnsi="Calibri"/>
                              <w:sz w:val="20"/>
                            </w:rPr>
                            <w:t xml:space="preserve"> )</w:t>
                          </w:r>
                        </w:p>
                      </w:txbxContent>
                    </v:textbox>
                  </v:rect>
                  <v:rect id="Rectangle 12" o:spid="_x0000_s1036" style="position:absolute;left:39120;top:30498;width:22339;height:1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v:textbox inset=",7.2pt,,7.2pt">
                      <w:txbxContent>
                        <w:p w:rsidR="00CA0397" w:rsidRPr="006358C2" w:rsidRDefault="00CA0397" w:rsidP="00CA0397">
                          <w:pPr>
                            <w:rPr>
                              <w:rFonts w:ascii="Calibri" w:hAnsi="Calibri"/>
                              <w:sz w:val="20"/>
                            </w:rPr>
                          </w:pPr>
                          <w:r w:rsidRPr="006358C2">
                            <w:rPr>
                              <w:rFonts w:ascii="Calibri" w:hAnsi="Calibri"/>
                              <w:sz w:val="20"/>
                            </w:rPr>
                            <w:t>Full-text articles excluded:</w:t>
                          </w:r>
                        </w:p>
                        <w:p w:rsidR="00CA0397" w:rsidRPr="006358C2" w:rsidRDefault="00CA0397" w:rsidP="00CA0397">
                          <w:pPr>
                            <w:spacing w:after="0"/>
                            <w:rPr>
                              <w:rFonts w:ascii="Calibri" w:hAnsi="Calibri"/>
                              <w:sz w:val="20"/>
                              <w:lang w:val="en"/>
                            </w:rPr>
                          </w:pPr>
                          <w:r w:rsidRPr="006358C2">
                            <w:rPr>
                              <w:rFonts w:ascii="Calibri" w:hAnsi="Calibri"/>
                              <w:sz w:val="20"/>
                            </w:rPr>
                            <w:t>- Not linked to reimbursement coverage decisions (n=42)</w:t>
                          </w:r>
                        </w:p>
                        <w:p w:rsidR="00CA0397" w:rsidRPr="006358C2" w:rsidRDefault="00CA0397" w:rsidP="00CA0397">
                          <w:pPr>
                            <w:spacing w:after="0"/>
                            <w:rPr>
                              <w:rFonts w:ascii="Calibri" w:hAnsi="Calibri"/>
                              <w:sz w:val="20"/>
                              <w:lang w:val="en"/>
                            </w:rPr>
                          </w:pPr>
                          <w:r w:rsidRPr="006358C2">
                            <w:rPr>
                              <w:rFonts w:ascii="Calibri" w:hAnsi="Calibri"/>
                              <w:sz w:val="20"/>
                              <w:lang w:val="en"/>
                            </w:rPr>
                            <w:t xml:space="preserve">- </w:t>
                          </w:r>
                          <w:r w:rsidRPr="006358C2">
                            <w:rPr>
                              <w:rFonts w:ascii="Calibri" w:hAnsi="Calibri"/>
                              <w:sz w:val="20"/>
                            </w:rPr>
                            <w:t>Did not discuss challenges or success factors (n=20)</w:t>
                          </w:r>
                        </w:p>
                        <w:p w:rsidR="00CA0397" w:rsidRPr="006358C2" w:rsidRDefault="00CA0397" w:rsidP="00CA0397">
                          <w:pPr>
                            <w:spacing w:after="0"/>
                            <w:rPr>
                              <w:rFonts w:ascii="Calibri" w:hAnsi="Calibri"/>
                              <w:sz w:val="20"/>
                              <w:lang w:val="en"/>
                            </w:rPr>
                          </w:pPr>
                          <w:r w:rsidRPr="006358C2">
                            <w:rPr>
                              <w:rFonts w:ascii="Calibri" w:hAnsi="Calibri"/>
                              <w:sz w:val="20"/>
                              <w:lang w:val="en"/>
                            </w:rPr>
                            <w:t>- did not meet other inclusion criteria (n=19)</w:t>
                          </w:r>
                        </w:p>
                        <w:p w:rsidR="00CA0397" w:rsidRPr="006358C2" w:rsidRDefault="00CA0397" w:rsidP="00CA0397">
                          <w:pPr>
                            <w:numPr>
                              <w:ilvl w:val="0"/>
                              <w:numId w:val="2"/>
                            </w:numPr>
                            <w:spacing w:after="0" w:line="240" w:lineRule="auto"/>
                            <w:ind w:left="-284" w:firstLine="0"/>
                            <w:jc w:val="center"/>
                            <w:rPr>
                              <w:rFonts w:ascii="Calibri" w:hAnsi="Calibri"/>
                              <w:sz w:val="20"/>
                              <w:lang w:val="en"/>
                            </w:rPr>
                          </w:pPr>
                        </w:p>
                      </w:txbxContent>
                    </v:textbox>
                  </v:rect>
                  <v:rect id="Rectangle 13" o:spid="_x0000_s1037" style="position:absolute;left:15441;top:41148;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">
                    <v:textbox inset=",7.2pt,,7.2pt">
                      <w:txbxContent>
                        <w:p w:rsidR="00CA0397" w:rsidRPr="006358C2" w:rsidRDefault="00CA0397" w:rsidP="00CA0397">
                          <w:pPr>
                            <w:jc w:val="center"/>
                            <w:rPr>
                              <w:rFonts w:ascii="Calibri" w:hAnsi="Calibri"/>
                              <w:sz w:val="20"/>
                              <w:lang w:val="en"/>
                            </w:rPr>
                          </w:pPr>
                          <w:r w:rsidRPr="006358C2">
                            <w:rPr>
                              <w:rFonts w:ascii="Calibri" w:hAnsi="Calibri"/>
                              <w:sz w:val="20"/>
                            </w:rPr>
                            <w:t>Studies included in qualitative synthesis</w:t>
                          </w:r>
                          <w:r w:rsidRPr="006358C2">
                            <w:rPr>
                              <w:rFonts w:ascii="Calibri" w:hAnsi="Calibri"/>
                              <w:sz w:val="20"/>
                            </w:rPr>
                            <w:br/>
                            <w:t>(n = 18)</w:t>
                          </w:r>
                        </w:p>
                      </w:txbxContent>
                    </v:textbox>
                  </v:rect>
                  <v:shape id="Straight Arrow Connector 14" o:spid="_x0000_s1038" type="#_x0000_t32" style="position:absolute;left:24027;top:1713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Straight Arrow Connector 15" o:spid="_x0000_s1039" type="#_x0000_t32" style="position:absolute;left:24027;top:27432;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Straight Arrow Connector 16" o:spid="_x0000_s1040" type="#_x0000_t32" style="position:absolute;left:24027;top:37728;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Straight Arrow Connector 17" o:spid="_x0000_s1041" type="#_x0000_t32" style="position:absolute;left:32242;top:24390;width:6838;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Straight Arrow Connector 18" o:spid="_x0000_s1042" type="#_x0000_t32" style="position:absolute;left:32584;top:34070;width:6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group>
                <v:rect id="Rectangle 19" o:spid="_x0000_s1043" style="position:absolute;left:4762;top:53768;width:17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">
                  <v:textbox inset=",7.2pt,,7.2pt">
                    <w:txbxContent>
                      <w:p w:rsidR="00CA0397" w:rsidRPr="006358C2" w:rsidRDefault="00CA0397" w:rsidP="00CA0397">
                        <w:pPr>
                          <w:jc w:val="center"/>
                          <w:rPr>
                            <w:rFonts w:ascii="Calibri" w:hAnsi="Calibri"/>
                            <w:sz w:val="20"/>
                            <w:lang w:val="en"/>
                          </w:rPr>
                        </w:pPr>
                        <w:r>
                          <w:rPr>
                            <w:rFonts w:ascii="Calibri" w:hAnsi="Calibri"/>
                            <w:sz w:val="20"/>
                          </w:rPr>
                          <w:t>Studies on Pay-for-performance schemes</w:t>
                        </w:r>
                        <w:r w:rsidRPr="006358C2">
                          <w:rPr>
                            <w:rFonts w:ascii="Calibri" w:hAnsi="Calibri"/>
                            <w:sz w:val="20"/>
                          </w:rPr>
                          <w:br/>
                          <w:t>(n = 1</w:t>
                        </w:r>
                        <w:r>
                          <w:rPr>
                            <w:rFonts w:ascii="Calibri" w:hAnsi="Calibri"/>
                            <w:sz w:val="20"/>
                          </w:rPr>
                          <w:t>6</w:t>
                        </w:r>
                        <w:r w:rsidRPr="006358C2">
                          <w:rPr>
                            <w:rFonts w:ascii="Calibri" w:hAnsi="Calibri"/>
                            <w:sz w:val="20"/>
                          </w:rPr>
                          <w:t>)</w:t>
                        </w:r>
                      </w:p>
                    </w:txbxContent>
                  </v:textbox>
                </v:rect>
                <v:rect id="Rectangle 20" o:spid="_x0000_s1044" style="position:absolute;left:27574;top:53530;width:17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">
                  <v:textbox inset=",7.2pt,,7.2pt">
                    <w:txbxContent>
                      <w:p w:rsidR="00CA0397" w:rsidRDefault="00CA0397" w:rsidP="00CA0397">
                        <w:pPr>
                          <w:spacing w:after="0" w:line="240" w:lineRule="auto"/>
                          <w:jc w:val="center"/>
                          <w:rPr>
                            <w:rFonts w:ascii="Calibri" w:hAnsi="Calibri"/>
                            <w:sz w:val="20"/>
                          </w:rPr>
                        </w:pPr>
                        <w:r>
                          <w:rPr>
                            <w:rFonts w:ascii="Calibri" w:hAnsi="Calibri"/>
                            <w:sz w:val="20"/>
                          </w:rPr>
                          <w:t xml:space="preserve">Studies on PBRSA </w:t>
                        </w:r>
                      </w:p>
                      <w:p w:rsidR="00CA0397" w:rsidRPr="006358C2" w:rsidRDefault="00CA0397" w:rsidP="00CA0397">
                        <w:pPr>
                          <w:spacing w:after="0" w:line="240" w:lineRule="auto"/>
                          <w:jc w:val="center"/>
                          <w:rPr>
                            <w:rFonts w:ascii="Calibri" w:hAnsi="Calibri"/>
                            <w:sz w:val="20"/>
                            <w:lang w:val="en"/>
                          </w:rPr>
                        </w:pPr>
                        <w:r>
                          <w:rPr>
                            <w:rFonts w:ascii="Calibri" w:hAnsi="Calibri"/>
                            <w:sz w:val="20"/>
                          </w:rPr>
                          <w:t>schemes</w:t>
                        </w:r>
                        <w:r w:rsidRPr="006358C2">
                          <w:rPr>
                            <w:rFonts w:ascii="Calibri" w:hAnsi="Calibri"/>
                            <w:sz w:val="20"/>
                          </w:rPr>
                          <w:br/>
                          <w:t xml:space="preserve">(n = </w:t>
                        </w:r>
                        <w:r>
                          <w:rPr>
                            <w:rFonts w:ascii="Calibri" w:hAnsi="Calibri"/>
                            <w:sz w:val="20"/>
                          </w:rPr>
                          <w:t>2</w:t>
                        </w:r>
                        <w:r w:rsidRPr="006358C2">
                          <w:rPr>
                            <w:rFonts w:ascii="Calibri" w:hAnsi="Calibri"/>
                            <w:sz w:val="20"/>
                          </w:rPr>
                          <w:t>)</w:t>
                        </w:r>
                      </w:p>
                      <w:p w:rsidR="00CA0397" w:rsidRPr="006358C2" w:rsidRDefault="00CA0397" w:rsidP="00CA0397">
                        <w:pPr>
                          <w:jc w:val="center"/>
                          <w:rPr>
                            <w:rFonts w:ascii="Calibri" w:hAnsi="Calibri"/>
                            <w:sz w:val="20"/>
                            <w:lang w:val="en"/>
                          </w:rPr>
                        </w:pPr>
                      </w:p>
                    </w:txbxContent>
                  </v:textbox>
                </v:rect>
              </v:group>
            </w:pict>
          </mc:Fallback>
        </mc:AlternateContent>
      </w:r>
    </w:p>
    <w:p w:rsidR="00CA0397" w:rsidRPr="00CA0397" w:rsidRDefault="00CA0397" w:rsidP="00CA0397">
      <w:pPr>
        <w:spacing w:after="200" w:line="276" w:lineRule="auto"/>
        <w:rPr>
          <w:rFonts w:ascii="Cambria" w:eastAsia="Cambria" w:hAnsi="Cambria" w:cs="Times New Roman"/>
        </w:rPr>
      </w:pPr>
    </w:p>
    <w:p w:rsidR="00CA0397" w:rsidRPr="00CA0397" w:rsidRDefault="00CA0397" w:rsidP="00CA0397">
      <w:pPr>
        <w:spacing w:after="200" w:line="276" w:lineRule="auto"/>
        <w:rPr>
          <w:rFonts w:ascii="Cambria" w:eastAsia="Cambria" w:hAnsi="Cambria" w:cs="Times New Roman"/>
        </w:rPr>
      </w:pPr>
      <w:r w:rsidRPr="00CA0397">
        <w:rPr>
          <w:rFonts w:ascii="Cambria" w:eastAsia="Cambria" w:hAnsi="Cambria" w:cs="Times New Roman"/>
          <w:noProof/>
        </w:rPr>
        <mc:AlternateContent>
          <mc:Choice Requires="wps">
            <w:drawing>
              <wp:anchor distT="0" distB="0" distL="114300" distR="114300" simplePos="0" relativeHeight="251662336" behindDoc="0" locked="0" layoutInCell="1" allowOverlap="1" wp14:anchorId="29875A2E" wp14:editId="489B6217">
                <wp:simplePos x="0" y="0"/>
                <wp:positionH relativeFrom="column">
                  <wp:posOffset>2477208</wp:posOffset>
                </wp:positionH>
                <wp:positionV relativeFrom="paragraph">
                  <wp:posOffset>4424675</wp:posOffset>
                </wp:positionV>
                <wp:extent cx="1190625" cy="304873"/>
                <wp:effectExtent l="0" t="0" r="66675" b="57150"/>
                <wp:wrapNone/>
                <wp:docPr id="21" name="Connector: Elbow 21"/>
                <wp:cNvGraphicFramePr/>
                <a:graphic xmlns:a="http://schemas.openxmlformats.org/drawingml/2006/main">
                  <a:graphicData uri="http://schemas.microsoft.com/office/word/2010/wordprocessingShape">
                    <wps:wsp>
                      <wps:cNvCnPr/>
                      <wps:spPr>
                        <a:xfrm>
                          <a:off x="0" y="0"/>
                          <a:ext cx="1190625" cy="304873"/>
                        </a:xfrm>
                        <a:prstGeom prst="bentConnector3">
                          <a:avLst>
                            <a:gd name="adj1" fmla="val 9980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5DBFD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95.05pt;margin-top:348.4pt;width:93.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" adj="21557">
                <v:stroke endarrow="block"/>
              </v:shape>
            </w:pict>
          </mc:Fallback>
        </mc:AlternateContent>
      </w:r>
      <w:r w:rsidRPr="00CA0397">
        <w:rPr>
          <w:rFonts w:ascii="Cambria" w:eastAsia="Cambria" w:hAnsi="Cambria" w:cs="Times New Roman"/>
          <w:noProof/>
        </w:rPr>
        <mc:AlternateContent>
          <mc:Choice Requires="wps">
            <w:drawing>
              <wp:anchor distT="0" distB="0" distL="114300" distR="114300" simplePos="0" relativeHeight="251661312" behindDoc="0" locked="0" layoutInCell="1" allowOverlap="1" wp14:anchorId="0C0EDBDC" wp14:editId="31152FAF">
                <wp:simplePos x="0" y="0"/>
                <wp:positionH relativeFrom="column">
                  <wp:posOffset>1385887</wp:posOffset>
                </wp:positionH>
                <wp:positionV relativeFrom="paragraph">
                  <wp:posOffset>4425950</wp:posOffset>
                </wp:positionV>
                <wp:extent cx="1118552" cy="328331"/>
                <wp:effectExtent l="76200" t="0" r="24765" b="52705"/>
                <wp:wrapNone/>
                <wp:docPr id="22" name="Connector: Elbow 22"/>
                <wp:cNvGraphicFramePr/>
                <a:graphic xmlns:a="http://schemas.openxmlformats.org/drawingml/2006/main">
                  <a:graphicData uri="http://schemas.microsoft.com/office/word/2010/wordprocessingShape">
                    <wps:wsp>
                      <wps:cNvCnPr/>
                      <wps:spPr>
                        <a:xfrm flipH="1">
                          <a:off x="0" y="0"/>
                          <a:ext cx="1118552" cy="328331"/>
                        </a:xfrm>
                        <a:prstGeom prst="bentConnector3">
                          <a:avLst>
                            <a:gd name="adj1" fmla="val 9980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37D8F9" id="Connector: Elbow 22" o:spid="_x0000_s1026" type="#_x0000_t34" style="position:absolute;margin-left:109.1pt;margin-top:348.5pt;width:88.05pt;height:25.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" adj="21557">
                <v:stroke endarrow="block"/>
              </v:shape>
            </w:pict>
          </mc:Fallback>
        </mc:AlternateContent>
      </w:r>
      <w:r w:rsidRPr="00CA0397">
        <w:rPr>
          <w:rFonts w:ascii="Cambria" w:eastAsia="Cambria" w:hAnsi="Cambria" w:cs="Times New Roman"/>
          <w:noProof/>
        </w:rPr>
        <mc:AlternateContent>
          <mc:Choice Requires="wps">
            <w:drawing>
              <wp:anchor distT="0" distB="0" distL="114300" distR="114300" simplePos="0" relativeHeight="251660288" behindDoc="0" locked="0" layoutInCell="1" allowOverlap="1" wp14:anchorId="14D31F39" wp14:editId="02618E99">
                <wp:simplePos x="0" y="0"/>
                <wp:positionH relativeFrom="column">
                  <wp:posOffset>2476500</wp:posOffset>
                </wp:positionH>
                <wp:positionV relativeFrom="paragraph">
                  <wp:posOffset>4178048</wp:posOffset>
                </wp:positionV>
                <wp:extent cx="0" cy="247902"/>
                <wp:effectExtent l="0" t="0" r="38100" b="19050"/>
                <wp:wrapNone/>
                <wp:docPr id="23" name="Straight Connector 23"/>
                <wp:cNvGraphicFramePr/>
                <a:graphic xmlns:a="http://schemas.openxmlformats.org/drawingml/2006/main">
                  <a:graphicData uri="http://schemas.microsoft.com/office/word/2010/wordprocessingShape">
                    <wps:wsp>
                      <wps:cNvCnPr/>
                      <wps:spPr>
                        <a:xfrm>
                          <a:off x="0" y="0"/>
                          <a:ext cx="0" cy="24790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F522FD" id="Straight Connector 2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329pt" to="1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"/>
            </w:pict>
          </mc:Fallback>
        </mc:AlternateContent>
      </w:r>
    </w:p>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CA0397" w:rsidRDefault="00CA0397"/>
    <w:p w:rsidR="00EB0982" w:rsidRDefault="00EB0982"/>
    <w:tbl>
      <w:tblPr>
        <w:tblStyle w:val="TableGrid1"/>
        <w:tblW w:w="10207" w:type="dxa"/>
        <w:tblInd w:w="-743" w:type="dxa"/>
        <w:tblLook w:val="04A0" w:firstRow="1" w:lastRow="0" w:firstColumn="1" w:lastColumn="0" w:noHBand="0" w:noVBand="1"/>
      </w:tblPr>
      <w:tblGrid>
        <w:gridCol w:w="2386"/>
        <w:gridCol w:w="1848"/>
        <w:gridCol w:w="1686"/>
        <w:gridCol w:w="1649"/>
        <w:gridCol w:w="2638"/>
      </w:tblGrid>
      <w:tr w:rsidR="00CA0397" w:rsidRPr="00CA0397" w:rsidTr="00CA0397">
        <w:tc>
          <w:tcPr>
            <w:tcW w:w="2386" w:type="dxa"/>
          </w:tcPr>
          <w:p w:rsidR="00CA0397" w:rsidRPr="00CA0397" w:rsidRDefault="00CA0397" w:rsidP="00CA0397">
            <w:pPr>
              <w:rPr>
                <w:rFonts w:ascii="Calibri" w:hAnsi="Calibri" w:cs="Times New Roman"/>
                <w:b/>
              </w:rPr>
            </w:pPr>
            <w:r w:rsidRPr="00CA0397">
              <w:rPr>
                <w:rFonts w:ascii="Calibri" w:hAnsi="Calibri" w:cs="Times New Roman"/>
                <w:b/>
              </w:rPr>
              <w:lastRenderedPageBreak/>
              <w:t>Technology or Model of Care</w:t>
            </w:r>
          </w:p>
        </w:tc>
        <w:tc>
          <w:tcPr>
            <w:tcW w:w="1848" w:type="dxa"/>
          </w:tcPr>
          <w:p w:rsidR="00CA0397" w:rsidRPr="00CA0397" w:rsidRDefault="00CA0397" w:rsidP="00CA0397">
            <w:pPr>
              <w:rPr>
                <w:rFonts w:ascii="Calibri" w:hAnsi="Calibri" w:cs="Times New Roman"/>
                <w:b/>
              </w:rPr>
            </w:pPr>
            <w:r w:rsidRPr="00CA0397">
              <w:rPr>
                <w:rFonts w:ascii="Calibri" w:hAnsi="Calibri" w:cs="Times New Roman"/>
                <w:b/>
              </w:rPr>
              <w:t>Value Proposition</w:t>
            </w:r>
          </w:p>
        </w:tc>
        <w:tc>
          <w:tcPr>
            <w:tcW w:w="1686" w:type="dxa"/>
          </w:tcPr>
          <w:p w:rsidR="00CA0397" w:rsidRPr="00CA0397" w:rsidRDefault="00CA0397" w:rsidP="00CA0397">
            <w:pPr>
              <w:rPr>
                <w:rFonts w:ascii="Calibri" w:hAnsi="Calibri" w:cs="Times New Roman"/>
                <w:b/>
              </w:rPr>
            </w:pPr>
            <w:r w:rsidRPr="00CA0397">
              <w:rPr>
                <w:rFonts w:ascii="Calibri" w:hAnsi="Calibri" w:cs="Times New Roman"/>
                <w:b/>
              </w:rPr>
              <w:t>Parties to the PBRSA</w:t>
            </w:r>
          </w:p>
        </w:tc>
        <w:tc>
          <w:tcPr>
            <w:tcW w:w="1649" w:type="dxa"/>
          </w:tcPr>
          <w:p w:rsidR="00CA0397" w:rsidRPr="00CA0397" w:rsidRDefault="00CA0397" w:rsidP="00CA0397">
            <w:pPr>
              <w:rPr>
                <w:rFonts w:ascii="Calibri" w:hAnsi="Calibri" w:cs="Times New Roman"/>
              </w:rPr>
            </w:pPr>
            <w:r w:rsidRPr="00CA0397">
              <w:rPr>
                <w:rFonts w:ascii="Calibri" w:hAnsi="Calibri" w:cs="Times New Roman"/>
                <w:b/>
              </w:rPr>
              <w:t>Possible Study Design for the PBRSA</w:t>
            </w:r>
          </w:p>
        </w:tc>
        <w:tc>
          <w:tcPr>
            <w:tcW w:w="2638" w:type="dxa"/>
          </w:tcPr>
          <w:p w:rsidR="00CA0397" w:rsidRPr="00CA0397" w:rsidRDefault="00CA0397" w:rsidP="00CA0397">
            <w:pPr>
              <w:rPr>
                <w:rFonts w:ascii="Calibri" w:hAnsi="Calibri" w:cs="Times New Roman"/>
                <w:b/>
              </w:rPr>
            </w:pPr>
            <w:r w:rsidRPr="00CA0397">
              <w:rPr>
                <w:rFonts w:ascii="Calibri" w:hAnsi="Calibri" w:cs="Times New Roman"/>
                <w:b/>
              </w:rPr>
              <w:t>Possible Financial Arrangements</w:t>
            </w:r>
          </w:p>
        </w:tc>
      </w:tr>
      <w:tr w:rsidR="00CA0397" w:rsidRPr="00CA0397" w:rsidTr="00CA0397">
        <w:tc>
          <w:tcPr>
            <w:tcW w:w="2386" w:type="dxa"/>
          </w:tcPr>
          <w:p w:rsidR="00CA0397" w:rsidRPr="00CA0397" w:rsidRDefault="00CA0397" w:rsidP="00CA0397">
            <w:pPr>
              <w:rPr>
                <w:rFonts w:ascii="Cambria" w:hAnsi="Cambria" w:cs="Times New Roman"/>
              </w:rPr>
            </w:pPr>
            <w:r w:rsidRPr="00CA0397">
              <w:rPr>
                <w:rFonts w:ascii="Cambria" w:hAnsi="Cambria" w:cs="Times New Roman"/>
              </w:rPr>
              <w:t>Water Testing System</w:t>
            </w:r>
          </w:p>
        </w:tc>
        <w:tc>
          <w:tcPr>
            <w:tcW w:w="1848" w:type="dxa"/>
          </w:tcPr>
          <w:p w:rsidR="00CA0397" w:rsidRPr="00CA0397" w:rsidRDefault="00CA0397" w:rsidP="00CA0397">
            <w:pPr>
              <w:rPr>
                <w:rFonts w:ascii="Cambria" w:hAnsi="Cambria" w:cs="Times New Roman"/>
              </w:rPr>
            </w:pPr>
            <w:r w:rsidRPr="00CA0397">
              <w:rPr>
                <w:rFonts w:ascii="Cambria" w:hAnsi="Cambria" w:cs="Times New Roman"/>
              </w:rPr>
              <w:t>Guaranteed water quality eliminates the need for regular water testing and reduces the probability of a disruption to dialysis services</w:t>
            </w:r>
          </w:p>
        </w:tc>
        <w:tc>
          <w:tcPr>
            <w:tcW w:w="1686" w:type="dxa"/>
          </w:tcPr>
          <w:p w:rsidR="00CA0397" w:rsidRPr="00CA0397" w:rsidRDefault="00CA0397" w:rsidP="00CA0397">
            <w:pPr>
              <w:rPr>
                <w:rFonts w:ascii="Cambria" w:hAnsi="Cambria" w:cs="Times New Roman"/>
              </w:rPr>
            </w:pPr>
            <w:r w:rsidRPr="00CA0397">
              <w:rPr>
                <w:rFonts w:ascii="Cambria" w:hAnsi="Cambria" w:cs="Times New Roman"/>
              </w:rPr>
              <w:t>Technology manufacturer and dialysis provider</w:t>
            </w:r>
          </w:p>
        </w:tc>
        <w:tc>
          <w:tcPr>
            <w:tcW w:w="1649" w:type="dxa"/>
          </w:tcPr>
          <w:p w:rsidR="00CA0397" w:rsidRPr="00CA0397" w:rsidRDefault="00CA0397" w:rsidP="00CA0397">
            <w:pPr>
              <w:rPr>
                <w:rFonts w:ascii="Cambria" w:hAnsi="Cambria" w:cs="Times New Roman"/>
              </w:rPr>
            </w:pPr>
            <w:r w:rsidRPr="00CA0397">
              <w:rPr>
                <w:rFonts w:ascii="Cambria" w:hAnsi="Cambria" w:cs="Times New Roman"/>
              </w:rPr>
              <w:t>Matched comparison of dialysis units with and without the testing system,</w:t>
            </w:r>
          </w:p>
          <w:p w:rsidR="00CA0397" w:rsidRPr="00CA0397" w:rsidRDefault="00CA0397" w:rsidP="00CA0397">
            <w:pPr>
              <w:rPr>
                <w:rFonts w:ascii="Cambria" w:hAnsi="Cambria" w:cs="Times New Roman"/>
              </w:rPr>
            </w:pPr>
            <w:r w:rsidRPr="00CA0397">
              <w:rPr>
                <w:rFonts w:ascii="Cambria" w:hAnsi="Cambria" w:cs="Times New Roman"/>
              </w:rPr>
              <w:t>or prospective study in a single unit with historical control</w:t>
            </w:r>
          </w:p>
        </w:tc>
        <w:tc>
          <w:tcPr>
            <w:tcW w:w="2638" w:type="dxa"/>
          </w:tcPr>
          <w:p w:rsidR="00CA0397" w:rsidRPr="00CA0397" w:rsidRDefault="00CA0397" w:rsidP="00CA0397">
            <w:pPr>
              <w:rPr>
                <w:rFonts w:ascii="Cambria" w:hAnsi="Cambria" w:cs="Times New Roman"/>
              </w:rPr>
            </w:pPr>
            <w:r w:rsidRPr="00CA0397">
              <w:rPr>
                <w:rFonts w:ascii="Cambria" w:hAnsi="Cambria" w:cs="Times New Roman"/>
              </w:rPr>
              <w:t>Annual payment plus annual bonus for maintaining water quality for the year</w:t>
            </w:r>
          </w:p>
        </w:tc>
      </w:tr>
      <w:tr w:rsidR="00CA0397" w:rsidRPr="00CA0397" w:rsidTr="00CA0397">
        <w:tc>
          <w:tcPr>
            <w:tcW w:w="2386" w:type="dxa"/>
          </w:tcPr>
          <w:p w:rsidR="00CA0397" w:rsidRPr="00CA0397" w:rsidRDefault="00CA0397" w:rsidP="00CA0397">
            <w:pPr>
              <w:rPr>
                <w:rFonts w:ascii="Cambria" w:hAnsi="Cambria" w:cs="Times New Roman"/>
              </w:rPr>
            </w:pPr>
            <w:r w:rsidRPr="00CA0397">
              <w:rPr>
                <w:rFonts w:ascii="Cambria" w:hAnsi="Cambria" w:cs="Times New Roman"/>
              </w:rPr>
              <w:t xml:space="preserve">Integrated Chronic Kidney Disease </w:t>
            </w:r>
            <w:proofErr w:type="spellStart"/>
            <w:r w:rsidRPr="00CA0397">
              <w:rPr>
                <w:rFonts w:ascii="Cambria" w:hAnsi="Cambria" w:cs="Times New Roman"/>
              </w:rPr>
              <w:t>Programme</w:t>
            </w:r>
            <w:proofErr w:type="spellEnd"/>
          </w:p>
        </w:tc>
        <w:tc>
          <w:tcPr>
            <w:tcW w:w="1848" w:type="dxa"/>
          </w:tcPr>
          <w:p w:rsidR="00CA0397" w:rsidRPr="00CA0397" w:rsidRDefault="00CA0397" w:rsidP="00CA0397">
            <w:pPr>
              <w:rPr>
                <w:rFonts w:ascii="Cambria" w:hAnsi="Cambria" w:cs="Times New Roman"/>
              </w:rPr>
            </w:pPr>
            <w:r w:rsidRPr="00CA0397">
              <w:rPr>
                <w:rFonts w:ascii="Cambria" w:hAnsi="Cambria" w:cs="Times New Roman"/>
              </w:rPr>
              <w:t>Coordinated, holistic care improves patient quality of life, reduces the frequency of hospitalizations and delays transition to renal replacement therapy</w:t>
            </w:r>
          </w:p>
        </w:tc>
        <w:tc>
          <w:tcPr>
            <w:tcW w:w="1686" w:type="dxa"/>
          </w:tcPr>
          <w:p w:rsidR="00CA0397" w:rsidRPr="00CA0397" w:rsidRDefault="00CA0397" w:rsidP="00CA0397">
            <w:pPr>
              <w:rPr>
                <w:rFonts w:ascii="Cambria" w:hAnsi="Cambria" w:cs="Times New Roman"/>
              </w:rPr>
            </w:pPr>
            <w:r w:rsidRPr="00CA0397">
              <w:rPr>
                <w:rFonts w:ascii="Cambria" w:hAnsi="Cambria" w:cs="Times New Roman"/>
              </w:rPr>
              <w:t>Dialysis provider and payer</w:t>
            </w:r>
          </w:p>
        </w:tc>
        <w:tc>
          <w:tcPr>
            <w:tcW w:w="1649" w:type="dxa"/>
          </w:tcPr>
          <w:p w:rsidR="00CA0397" w:rsidRPr="00CA0397" w:rsidRDefault="00CA0397" w:rsidP="00CA0397">
            <w:pPr>
              <w:rPr>
                <w:rFonts w:ascii="Cambria" w:hAnsi="Cambria" w:cs="Times New Roman"/>
              </w:rPr>
            </w:pPr>
            <w:r w:rsidRPr="00CA0397">
              <w:rPr>
                <w:rFonts w:ascii="Cambria" w:hAnsi="Cambria" w:cs="Times New Roman"/>
              </w:rPr>
              <w:t>Cluster randomized trial involving several dialysis units, or prospective study in a given unit with historical control</w:t>
            </w:r>
          </w:p>
        </w:tc>
        <w:tc>
          <w:tcPr>
            <w:tcW w:w="2638" w:type="dxa"/>
          </w:tcPr>
          <w:p w:rsidR="00CA0397" w:rsidRPr="00CA0397" w:rsidRDefault="00CA0397" w:rsidP="00CA0397">
            <w:pPr>
              <w:rPr>
                <w:rFonts w:ascii="Cambria" w:hAnsi="Cambria" w:cs="Times New Roman"/>
              </w:rPr>
            </w:pPr>
            <w:r w:rsidRPr="00CA0397">
              <w:rPr>
                <w:rFonts w:ascii="Cambria" w:hAnsi="Cambria" w:cs="Times New Roman"/>
              </w:rPr>
              <w:t xml:space="preserve">Annual payment for care based on the cost-effectiveness of the ICKD </w:t>
            </w:r>
            <w:proofErr w:type="spellStart"/>
            <w:r w:rsidRPr="00CA0397">
              <w:rPr>
                <w:rFonts w:ascii="Cambria" w:hAnsi="Cambria" w:cs="Times New Roman"/>
              </w:rPr>
              <w:t>programme</w:t>
            </w:r>
            <w:proofErr w:type="spellEnd"/>
          </w:p>
        </w:tc>
      </w:tr>
    </w:tbl>
    <w:p w:rsidR="00CA0397" w:rsidRPr="00CA0397" w:rsidRDefault="00CA0397" w:rsidP="00CA0397">
      <w:pPr>
        <w:spacing w:after="0" w:line="240" w:lineRule="auto"/>
        <w:rPr>
          <w:rFonts w:ascii="Cambria" w:eastAsia="MS Mincho" w:hAnsi="Cambria" w:cs="Times New Roman"/>
          <w:sz w:val="24"/>
          <w:szCs w:val="24"/>
          <w:lang w:val="en-US"/>
        </w:rPr>
      </w:pPr>
    </w:p>
    <w:p w:rsidR="00CA0397" w:rsidRPr="00CA0397" w:rsidRDefault="00CA0397" w:rsidP="00CA0397">
      <w:pPr>
        <w:spacing w:after="0" w:line="240" w:lineRule="auto"/>
        <w:rPr>
          <w:rFonts w:ascii="Cambria" w:eastAsia="MS Mincho" w:hAnsi="Cambria" w:cs="Times New Roman"/>
          <w:sz w:val="24"/>
          <w:szCs w:val="24"/>
          <w:lang w:val="en-US"/>
        </w:rPr>
      </w:pPr>
    </w:p>
    <w:p w:rsidR="00CA0397" w:rsidRPr="00CA0397" w:rsidRDefault="00CA0397" w:rsidP="00CA0397">
      <w:pPr>
        <w:spacing w:after="0" w:line="240" w:lineRule="auto"/>
        <w:rPr>
          <w:rFonts w:ascii="Cambria" w:eastAsia="MS Mincho" w:hAnsi="Cambria" w:cs="Times New Roman"/>
          <w:sz w:val="24"/>
          <w:szCs w:val="24"/>
          <w:lang w:val="en-US"/>
        </w:rPr>
      </w:pPr>
      <w:r w:rsidRPr="00CA0397">
        <w:rPr>
          <w:rFonts w:ascii="Cambria" w:eastAsia="MS Mincho" w:hAnsi="Cambria" w:cs="Times New Roman"/>
          <w:sz w:val="24"/>
          <w:szCs w:val="24"/>
          <w:lang w:val="en-US"/>
        </w:rPr>
        <w:t>Table 1 Key Characteristics of Potential Schemes</w:t>
      </w:r>
    </w:p>
    <w:p w:rsidR="00CA0397" w:rsidRDefault="00CA0397"/>
    <w:p w:rsidR="00CA0397" w:rsidRDefault="00CA0397"/>
    <w:p w:rsidR="00EB0982" w:rsidRDefault="00EB0982"/>
    <w:p w:rsidR="00EB0982" w:rsidRDefault="00EB0982"/>
    <w:p w:rsidR="00EB0982" w:rsidRDefault="00EB0982"/>
    <w:p w:rsidR="00EB0982" w:rsidRDefault="00EB0982"/>
    <w:p w:rsidR="00EB0982" w:rsidRDefault="00EB0982"/>
    <w:p w:rsidR="00EB0982" w:rsidRDefault="00EB0982" w:rsidP="00CA0397">
      <w:pPr>
        <w:spacing w:after="200" w:line="276" w:lineRule="auto"/>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lastRenderedPageBreak/>
        <w:t>Table 2 Roles and Responsibilities in PBRSAs</w:t>
      </w:r>
    </w:p>
    <w:p w:rsidR="00CA0397" w:rsidRPr="00CA0397" w:rsidRDefault="00CA0397" w:rsidP="00CA0397">
      <w:pPr>
        <w:spacing w:after="200" w:line="276" w:lineRule="auto"/>
        <w:rPr>
          <w:rFonts w:ascii="Cambria" w:eastAsia="Cambria" w:hAnsi="Cambria" w:cs="Times New Roman"/>
          <w:b/>
        </w:rPr>
      </w:pPr>
    </w:p>
    <w:tbl>
      <w:tblPr>
        <w:tblStyle w:val="TableGrid2"/>
        <w:tblW w:w="0" w:type="auto"/>
        <w:tblLook w:val="04A0" w:firstRow="1" w:lastRow="0" w:firstColumn="1" w:lastColumn="0" w:noHBand="0" w:noVBand="1"/>
      </w:tblPr>
      <w:tblGrid>
        <w:gridCol w:w="1703"/>
        <w:gridCol w:w="1703"/>
        <w:gridCol w:w="1703"/>
        <w:gridCol w:w="1703"/>
        <w:gridCol w:w="1704"/>
      </w:tblGrid>
      <w:tr w:rsidR="00CA0397" w:rsidRPr="00CA0397" w:rsidTr="00CA0397">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Role</w:t>
            </w:r>
          </w:p>
        </w:tc>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Manufacturer</w:t>
            </w:r>
          </w:p>
        </w:tc>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Provider</w:t>
            </w:r>
          </w:p>
        </w:tc>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Payer</w:t>
            </w:r>
          </w:p>
        </w:tc>
        <w:tc>
          <w:tcPr>
            <w:tcW w:w="1704"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Patient</w:t>
            </w:r>
          </w:p>
        </w:tc>
      </w:tr>
      <w:tr w:rsidR="00CA0397" w:rsidRPr="00CA0397" w:rsidTr="00CA0397">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Establishing value proposition</w:t>
            </w:r>
          </w:p>
        </w:tc>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w:t>
            </w: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3" w:type="dxa"/>
          </w:tcPr>
          <w:p w:rsidR="00CA0397" w:rsidRPr="00CA0397" w:rsidRDefault="00CA0397" w:rsidP="00CA0397">
            <w:pPr>
              <w:spacing w:after="200" w:line="276" w:lineRule="auto"/>
              <w:rPr>
                <w:rFonts w:ascii="Cambria" w:eastAsia="Cambria" w:hAnsi="Cambria" w:cs="Times New Roman"/>
                <w:b/>
              </w:rPr>
            </w:pPr>
          </w:p>
        </w:tc>
        <w:tc>
          <w:tcPr>
            <w:tcW w:w="1703" w:type="dxa"/>
          </w:tcPr>
          <w:p w:rsidR="00CA0397" w:rsidRPr="00CA0397" w:rsidRDefault="00CA0397" w:rsidP="00CA0397">
            <w:pPr>
              <w:spacing w:after="200" w:line="276" w:lineRule="auto"/>
              <w:rPr>
                <w:rFonts w:ascii="Cambria" w:eastAsia="Cambria" w:hAnsi="Cambria" w:cs="Times New Roman"/>
                <w:b/>
              </w:rPr>
            </w:pPr>
          </w:p>
        </w:tc>
        <w:tc>
          <w:tcPr>
            <w:tcW w:w="1704" w:type="dxa"/>
          </w:tcPr>
          <w:p w:rsidR="00CA0397" w:rsidRPr="00CA0397" w:rsidRDefault="00CA0397" w:rsidP="00CA0397">
            <w:pPr>
              <w:spacing w:after="200" w:line="276" w:lineRule="auto"/>
              <w:rPr>
                <w:rFonts w:ascii="Cambria" w:eastAsia="Cambria" w:hAnsi="Cambria" w:cs="Times New Roman"/>
                <w:b/>
              </w:rPr>
            </w:pPr>
          </w:p>
        </w:tc>
      </w:tr>
      <w:tr w:rsidR="00CA0397" w:rsidRPr="00CA0397" w:rsidTr="00CA0397">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Identifying Outcomes of interest</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4"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r>
      <w:tr w:rsidR="00CA0397" w:rsidRPr="00CA0397" w:rsidTr="00CA0397">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Determining</w:t>
            </w: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study design </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4" w:type="dxa"/>
          </w:tcPr>
          <w:p w:rsidR="00CA0397" w:rsidRPr="00CA0397" w:rsidRDefault="00CA0397" w:rsidP="00CA0397">
            <w:pPr>
              <w:spacing w:after="200" w:line="276" w:lineRule="auto"/>
              <w:rPr>
                <w:rFonts w:ascii="Cambria" w:eastAsia="Cambria" w:hAnsi="Cambria" w:cs="Times New Roman"/>
                <w:b/>
              </w:rPr>
            </w:pPr>
          </w:p>
        </w:tc>
      </w:tr>
      <w:tr w:rsidR="00CA0397" w:rsidRPr="00CA0397" w:rsidTr="00CA0397">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Defining data collection and monitoring</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4"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r>
      <w:tr w:rsidR="00CA0397" w:rsidRPr="00CA0397" w:rsidTr="00CA0397">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Determining actions following the scheme</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4" w:type="dxa"/>
          </w:tcPr>
          <w:p w:rsidR="00CA0397" w:rsidRPr="00CA0397" w:rsidRDefault="00CA0397" w:rsidP="00CA0397">
            <w:pPr>
              <w:spacing w:after="200" w:line="276" w:lineRule="auto"/>
              <w:rPr>
                <w:rFonts w:ascii="Cambria" w:eastAsia="Cambria" w:hAnsi="Cambria" w:cs="Times New Roman"/>
                <w:b/>
              </w:rPr>
            </w:pPr>
          </w:p>
        </w:tc>
      </w:tr>
      <w:tr w:rsidR="00CA0397" w:rsidRPr="00CA0397" w:rsidTr="00CA0397">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Financing the scheme</w:t>
            </w:r>
          </w:p>
        </w:tc>
        <w:tc>
          <w:tcPr>
            <w:tcW w:w="1703" w:type="dxa"/>
          </w:tcPr>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w:t>
            </w: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3" w:type="dxa"/>
          </w:tcPr>
          <w:p w:rsidR="00CA0397" w:rsidRPr="00CA0397" w:rsidRDefault="00CA0397" w:rsidP="00CA0397">
            <w:pPr>
              <w:spacing w:after="200" w:line="276" w:lineRule="auto"/>
              <w:rPr>
                <w:rFonts w:ascii="Cambria" w:eastAsia="Cambria" w:hAnsi="Cambria" w:cs="Times New Roman"/>
                <w:b/>
              </w:rPr>
            </w:pPr>
          </w:p>
          <w:p w:rsidR="00CA0397" w:rsidRPr="00CA0397" w:rsidRDefault="00CA0397" w:rsidP="00CA0397">
            <w:pPr>
              <w:spacing w:after="200" w:line="276" w:lineRule="auto"/>
              <w:rPr>
                <w:rFonts w:ascii="Cambria" w:eastAsia="Cambria" w:hAnsi="Cambria" w:cs="Times New Roman"/>
                <w:b/>
              </w:rPr>
            </w:pPr>
            <w:r w:rsidRPr="00CA0397">
              <w:rPr>
                <w:rFonts w:ascii="Cambria" w:eastAsia="Cambria" w:hAnsi="Cambria" w:cs="Times New Roman"/>
                <w:b/>
              </w:rPr>
              <w:t xml:space="preserve">          X</w:t>
            </w:r>
          </w:p>
        </w:tc>
        <w:tc>
          <w:tcPr>
            <w:tcW w:w="1704" w:type="dxa"/>
          </w:tcPr>
          <w:p w:rsidR="00CA0397" w:rsidRPr="00CA0397" w:rsidRDefault="00CA0397" w:rsidP="00CA0397">
            <w:pPr>
              <w:spacing w:after="200" w:line="276" w:lineRule="auto"/>
              <w:rPr>
                <w:rFonts w:ascii="Cambria" w:eastAsia="Cambria" w:hAnsi="Cambria" w:cs="Times New Roman"/>
                <w:b/>
              </w:rPr>
            </w:pPr>
          </w:p>
        </w:tc>
      </w:tr>
    </w:tbl>
    <w:p w:rsidR="00EB0982" w:rsidRDefault="00EB0982" w:rsidP="00CA0397">
      <w:pPr>
        <w:tabs>
          <w:tab w:val="right" w:pos="12960"/>
        </w:tabs>
        <w:spacing w:after="200" w:line="276" w:lineRule="auto"/>
        <w:rPr>
          <w:rFonts w:ascii="Cambria" w:eastAsia="Cambria" w:hAnsi="Cambria" w:cs="Times New Roman"/>
        </w:rPr>
      </w:pPr>
    </w:p>
    <w:p w:rsidR="00EB0982" w:rsidRDefault="00EB0982" w:rsidP="00CA0397">
      <w:pPr>
        <w:tabs>
          <w:tab w:val="right" w:pos="12960"/>
        </w:tabs>
        <w:spacing w:after="200" w:line="276" w:lineRule="auto"/>
        <w:rPr>
          <w:rFonts w:ascii="Cambria" w:eastAsia="Cambria" w:hAnsi="Cambria" w:cs="Times New Roman"/>
        </w:rPr>
      </w:pPr>
    </w:p>
    <w:p w:rsidR="00EB0982" w:rsidRDefault="00EB0982" w:rsidP="00CA0397">
      <w:pPr>
        <w:tabs>
          <w:tab w:val="right" w:pos="12960"/>
        </w:tabs>
        <w:spacing w:after="200" w:line="276" w:lineRule="auto"/>
        <w:rPr>
          <w:rFonts w:ascii="Cambria" w:eastAsia="Cambria" w:hAnsi="Cambria" w:cs="Times New Roman"/>
        </w:rPr>
      </w:pPr>
    </w:p>
    <w:p w:rsidR="00EB0982" w:rsidRDefault="00EB0982" w:rsidP="00CA0397">
      <w:pPr>
        <w:tabs>
          <w:tab w:val="right" w:pos="12960"/>
        </w:tabs>
        <w:spacing w:after="200" w:line="276" w:lineRule="auto"/>
        <w:rPr>
          <w:rFonts w:ascii="Cambria" w:eastAsia="Cambria" w:hAnsi="Cambria" w:cs="Times New Roman"/>
        </w:rPr>
      </w:pPr>
    </w:p>
    <w:p w:rsidR="00EB0982" w:rsidRDefault="00EB0982" w:rsidP="00CA0397">
      <w:pPr>
        <w:tabs>
          <w:tab w:val="right" w:pos="12960"/>
        </w:tabs>
        <w:spacing w:after="200" w:line="276" w:lineRule="auto"/>
        <w:rPr>
          <w:rFonts w:ascii="Cambria" w:eastAsia="Cambria" w:hAnsi="Cambria" w:cs="Times New Roman"/>
        </w:rPr>
      </w:pPr>
    </w:p>
    <w:p w:rsidR="00EB0982" w:rsidRDefault="00EB0982" w:rsidP="00CA0397">
      <w:pPr>
        <w:tabs>
          <w:tab w:val="right" w:pos="12960"/>
        </w:tabs>
        <w:spacing w:after="200" w:line="276" w:lineRule="auto"/>
        <w:rPr>
          <w:rFonts w:ascii="Cambria" w:eastAsia="Cambria" w:hAnsi="Cambria" w:cs="Times New Roman"/>
        </w:rPr>
      </w:pPr>
    </w:p>
    <w:p w:rsidR="00EB0982" w:rsidRDefault="00EB0982" w:rsidP="00CA0397">
      <w:pPr>
        <w:tabs>
          <w:tab w:val="right" w:pos="12960"/>
        </w:tabs>
        <w:spacing w:after="200" w:line="276" w:lineRule="auto"/>
        <w:rPr>
          <w:rFonts w:ascii="Cambria" w:eastAsia="Cambria" w:hAnsi="Cambria" w:cs="Times New Roman"/>
        </w:rPr>
      </w:pPr>
    </w:p>
    <w:p w:rsidR="00CA0397" w:rsidRPr="00CA0397" w:rsidRDefault="00CA0397" w:rsidP="00CA0397">
      <w:pPr>
        <w:tabs>
          <w:tab w:val="right" w:pos="12960"/>
        </w:tabs>
        <w:spacing w:after="200" w:line="276" w:lineRule="auto"/>
        <w:rPr>
          <w:rFonts w:ascii="Cambria" w:eastAsia="Cambria" w:hAnsi="Cambria" w:cs="Times New Roman"/>
          <w:b/>
        </w:rPr>
      </w:pPr>
      <w:r w:rsidRPr="00CA0397">
        <w:rPr>
          <w:rFonts w:ascii="Cambria" w:eastAsia="Cambria" w:hAnsi="Cambria" w:cs="Times New Roman"/>
        </w:rPr>
        <w:lastRenderedPageBreak/>
        <w:t>A</w:t>
      </w:r>
      <w:r w:rsidRPr="00CA0397">
        <w:rPr>
          <w:rFonts w:ascii="Cambria" w:eastAsia="Cambria" w:hAnsi="Cambria" w:cs="Times New Roman"/>
          <w:b/>
        </w:rPr>
        <w:t>ppendix 1 Search terms</w:t>
      </w:r>
    </w:p>
    <w:p w:rsidR="00CA0397" w:rsidRPr="00CA0397" w:rsidRDefault="00CA0397" w:rsidP="00CA0397">
      <w:pPr>
        <w:spacing w:after="200" w:line="276" w:lineRule="auto"/>
        <w:rPr>
          <w:rFonts w:ascii="Cambria" w:eastAsia="Cambria" w:hAnsi="Cambria" w:cs="Times New Roman"/>
          <w:b/>
        </w:rPr>
      </w:pPr>
    </w:p>
    <w:tbl>
      <w:tblPr>
        <w:tblW w:w="8639" w:type="dxa"/>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31"/>
        <w:gridCol w:w="8108"/>
      </w:tblGrid>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#12</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(#7 OR #11) AND #8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#11</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#10 OR #9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#10</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TS</w:t>
            </w:r>
            <w:proofErr w:type="gramStart"/>
            <w:r w:rsidRPr="00CA0397">
              <w:rPr>
                <w:rFonts w:ascii="Arial" w:eastAsia="Times New Roman" w:hAnsi="Arial" w:cs="Arial"/>
                <w:color w:val="333333"/>
                <w:sz w:val="21"/>
                <w:szCs w:val="21"/>
                <w:lang w:val="en-US" w:eastAsia="it-IT"/>
              </w:rPr>
              <w:t>=(</w:t>
            </w:r>
            <w:proofErr w:type="gramEnd"/>
            <w:r w:rsidRPr="00CA0397">
              <w:rPr>
                <w:rFonts w:ascii="Arial" w:eastAsia="Times New Roman" w:hAnsi="Arial" w:cs="Arial"/>
                <w:color w:val="333333"/>
                <w:sz w:val="21"/>
                <w:szCs w:val="21"/>
                <w:lang w:val="en-US" w:eastAsia="it-IT"/>
              </w:rPr>
              <w:t>quality NEAR/1 (compensation OR incentive) OR (quality NEAR/1 outcome NEAR/1 framework) OR (continuous NEAR/1 quality NEAR/1 improvement))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#9</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TS</w:t>
            </w:r>
            <w:proofErr w:type="gramStart"/>
            <w:r w:rsidRPr="00CA0397">
              <w:rPr>
                <w:rFonts w:ascii="Arial" w:eastAsia="Times New Roman" w:hAnsi="Arial" w:cs="Arial"/>
                <w:color w:val="333333"/>
                <w:sz w:val="21"/>
                <w:szCs w:val="21"/>
                <w:lang w:val="en-US" w:eastAsia="it-IT"/>
              </w:rPr>
              <w:t>=(</w:t>
            </w:r>
            <w:proofErr w:type="gramEnd"/>
            <w:r w:rsidRPr="00CA0397">
              <w:rPr>
                <w:rFonts w:ascii="Arial" w:eastAsia="Times New Roman" w:hAnsi="Arial" w:cs="Arial"/>
                <w:color w:val="333333"/>
                <w:sz w:val="21"/>
                <w:szCs w:val="21"/>
                <w:lang w:val="en-US" w:eastAsia="it-IT"/>
              </w:rPr>
              <w:t>(Disease NEAR/1 management) OR (integrated NEAR/1 care))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#8</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TS</w:t>
            </w:r>
            <w:proofErr w:type="gramStart"/>
            <w:r w:rsidRPr="00CA0397">
              <w:rPr>
                <w:rFonts w:ascii="Arial" w:eastAsia="Times New Roman" w:hAnsi="Arial" w:cs="Arial"/>
                <w:color w:val="333333"/>
                <w:sz w:val="21"/>
                <w:szCs w:val="21"/>
                <w:lang w:val="en-US" w:eastAsia="it-IT"/>
              </w:rPr>
              <w:t>=(</w:t>
            </w:r>
            <w:proofErr w:type="gramEnd"/>
            <w:r w:rsidRPr="00CA0397">
              <w:rPr>
                <w:rFonts w:ascii="Arial" w:eastAsia="Times New Roman" w:hAnsi="Arial" w:cs="Arial"/>
                <w:color w:val="333333"/>
                <w:sz w:val="21"/>
                <w:szCs w:val="21"/>
                <w:lang w:val="en-US" w:eastAsia="it-IT"/>
              </w:rPr>
              <w:t>dialysis OR h*</w:t>
            </w:r>
            <w:proofErr w:type="spellStart"/>
            <w:r w:rsidRPr="00CA0397">
              <w:rPr>
                <w:rFonts w:ascii="Arial" w:eastAsia="Times New Roman" w:hAnsi="Arial" w:cs="Arial"/>
                <w:color w:val="333333"/>
                <w:sz w:val="21"/>
                <w:szCs w:val="21"/>
                <w:lang w:val="en-US" w:eastAsia="it-IT"/>
              </w:rPr>
              <w:t>emodialysis</w:t>
            </w:r>
            <w:proofErr w:type="spellEnd"/>
            <w:r w:rsidRPr="00CA0397">
              <w:rPr>
                <w:rFonts w:ascii="Arial" w:eastAsia="Times New Roman" w:hAnsi="Arial" w:cs="Arial"/>
                <w:color w:val="333333"/>
                <w:sz w:val="21"/>
                <w:szCs w:val="21"/>
                <w:lang w:val="en-US" w:eastAsia="it-IT"/>
              </w:rPr>
              <w:t xml:space="preserve"> OR (renal AND care) OR (kidney AND failure) OR CKD OR (chronic NEAR/1 kidney) OR (renal NEAR/1 disease))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#7</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#6 OR #5 OR #4 OR #3 OR #2 OR #1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#6</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TS</w:t>
            </w:r>
            <w:proofErr w:type="gramStart"/>
            <w:r w:rsidRPr="00CA0397">
              <w:rPr>
                <w:rFonts w:ascii="Arial" w:eastAsia="Times New Roman" w:hAnsi="Arial" w:cs="Arial"/>
                <w:color w:val="333333"/>
                <w:sz w:val="21"/>
                <w:szCs w:val="21"/>
                <w:lang w:val="en-US" w:eastAsia="it-IT"/>
              </w:rPr>
              <w:t>=(</w:t>
            </w:r>
            <w:proofErr w:type="gramEnd"/>
            <w:r w:rsidRPr="00CA0397">
              <w:rPr>
                <w:rFonts w:ascii="Arial" w:eastAsia="Times New Roman" w:hAnsi="Arial" w:cs="Arial"/>
                <w:color w:val="333333"/>
                <w:sz w:val="21"/>
                <w:szCs w:val="21"/>
                <w:lang w:val="en-US" w:eastAsia="it-IT"/>
              </w:rPr>
              <w:t>pay* NEAR/1 (model OR system))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#5</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TS</w:t>
            </w:r>
            <w:proofErr w:type="gramStart"/>
            <w:r w:rsidRPr="00CA0397">
              <w:rPr>
                <w:rFonts w:ascii="Arial" w:eastAsia="Times New Roman" w:hAnsi="Arial" w:cs="Arial"/>
                <w:color w:val="333333"/>
                <w:sz w:val="21"/>
                <w:szCs w:val="21"/>
                <w:lang w:val="en-US" w:eastAsia="it-IT"/>
              </w:rPr>
              <w:t>=(</w:t>
            </w:r>
            <w:proofErr w:type="gramEnd"/>
            <w:r w:rsidRPr="00CA0397">
              <w:rPr>
                <w:rFonts w:ascii="Arial" w:eastAsia="Times New Roman" w:hAnsi="Arial" w:cs="Arial"/>
                <w:color w:val="333333"/>
                <w:sz w:val="21"/>
                <w:szCs w:val="21"/>
                <w:lang w:val="en-US" w:eastAsia="it-IT"/>
              </w:rPr>
              <w:t>pay* NEAR/2 Performance OR P4P)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#4</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TS</w:t>
            </w:r>
            <w:proofErr w:type="gramStart"/>
            <w:r w:rsidRPr="00CA0397">
              <w:rPr>
                <w:rFonts w:ascii="Arial" w:eastAsia="Times New Roman" w:hAnsi="Arial" w:cs="Arial"/>
                <w:color w:val="333333"/>
                <w:sz w:val="21"/>
                <w:szCs w:val="21"/>
                <w:lang w:val="en-US" w:eastAsia="it-IT"/>
              </w:rPr>
              <w:t>=(</w:t>
            </w:r>
            <w:proofErr w:type="gramEnd"/>
            <w:r w:rsidRPr="00CA0397">
              <w:rPr>
                <w:rFonts w:ascii="Arial" w:eastAsia="Times New Roman" w:hAnsi="Arial" w:cs="Arial"/>
                <w:color w:val="333333"/>
                <w:sz w:val="21"/>
                <w:szCs w:val="21"/>
                <w:lang w:val="en-US" w:eastAsia="it-IT"/>
              </w:rPr>
              <w:t>(performance OR outcome* OR value) NEAR/2 (based) NEAR/2 (contract* OR partnership* OR agreement* OR arrangement*))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#3</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TS</w:t>
            </w:r>
            <w:proofErr w:type="gramStart"/>
            <w:r w:rsidRPr="00CA0397">
              <w:rPr>
                <w:rFonts w:ascii="Arial" w:eastAsia="Times New Roman" w:hAnsi="Arial" w:cs="Arial"/>
                <w:color w:val="333333"/>
                <w:sz w:val="21"/>
                <w:szCs w:val="21"/>
                <w:lang w:val="en-US" w:eastAsia="it-IT"/>
              </w:rPr>
              <w:t>=(</w:t>
            </w:r>
            <w:proofErr w:type="gramEnd"/>
            <w:r w:rsidRPr="00CA0397">
              <w:rPr>
                <w:rFonts w:ascii="Arial" w:eastAsia="Times New Roman" w:hAnsi="Arial" w:cs="Arial"/>
                <w:color w:val="333333"/>
                <w:sz w:val="21"/>
                <w:szCs w:val="21"/>
                <w:lang w:val="en-US" w:eastAsia="it-IT"/>
              </w:rPr>
              <w:t>adaptive NEAR/1 (licensing OR reimbursement OR pathway*))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#2</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 xml:space="preserve">TS=(payment NEAR/1 result* OR ((risk OR cost*) NEAR/2 sharing AND (agreement* OR deal* OR scheme* OR contract* OR arrangement*)) OR (performance NEAR/1 based NEAR/1 risk NEAR/1 sharing NEAR/1 (agreement* OR deal* OR scheme* OR contract* OR arrangement*)) OR managed NEAR/1 agreement* OR ( money NEAR/1 back NEAR/1 </w:t>
            </w:r>
            <w:proofErr w:type="spellStart"/>
            <w:r w:rsidRPr="00CA0397">
              <w:rPr>
                <w:rFonts w:ascii="Arial" w:eastAsia="Times New Roman" w:hAnsi="Arial" w:cs="Arial"/>
                <w:color w:val="333333"/>
                <w:sz w:val="21"/>
                <w:szCs w:val="21"/>
                <w:lang w:val="en-US" w:eastAsia="it-IT"/>
              </w:rPr>
              <w:t>guarant</w:t>
            </w:r>
            <w:proofErr w:type="spellEnd"/>
            <w:r w:rsidRPr="00CA0397">
              <w:rPr>
                <w:rFonts w:ascii="Arial" w:eastAsia="Times New Roman" w:hAnsi="Arial" w:cs="Arial"/>
                <w:color w:val="333333"/>
                <w:sz w:val="21"/>
                <w:szCs w:val="21"/>
                <w:lang w:val="en-US" w:eastAsia="it-IT"/>
              </w:rPr>
              <w:t>*))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r w:rsidR="00CA0397" w:rsidRPr="00CA0397" w:rsidTr="00CA039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jc w:val="center"/>
              <w:rPr>
                <w:rFonts w:ascii="Arial" w:eastAsia="Times New Roman" w:hAnsi="Arial" w:cs="Arial"/>
                <w:color w:val="333333"/>
                <w:sz w:val="21"/>
                <w:szCs w:val="21"/>
                <w:lang w:eastAsia="it-IT"/>
              </w:rPr>
            </w:pPr>
            <w:r w:rsidRPr="00CA0397">
              <w:rPr>
                <w:rFonts w:ascii="Arial" w:eastAsia="Times New Roman" w:hAnsi="Arial" w:cs="Arial"/>
                <w:color w:val="333333"/>
                <w:sz w:val="21"/>
                <w:szCs w:val="21"/>
                <w:lang w:eastAsia="it-IT"/>
              </w:rPr>
              <w:t>#1</w:t>
            </w:r>
          </w:p>
        </w:tc>
        <w:tc>
          <w:tcPr>
            <w:tcW w:w="8108"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vAlign w:val="center"/>
            <w:hideMark/>
          </w:tcPr>
          <w:p w:rsidR="00CA0397" w:rsidRPr="00CA0397" w:rsidRDefault="00CA0397" w:rsidP="00CA0397">
            <w:pPr>
              <w:spacing w:after="0" w:line="240" w:lineRule="auto"/>
              <w:rPr>
                <w:rFonts w:ascii="Arial" w:eastAsia="Times New Roman" w:hAnsi="Arial" w:cs="Arial"/>
                <w:color w:val="333333"/>
                <w:sz w:val="21"/>
                <w:szCs w:val="21"/>
                <w:lang w:val="en-US" w:eastAsia="it-IT"/>
              </w:rPr>
            </w:pPr>
            <w:r w:rsidRPr="00CA0397">
              <w:rPr>
                <w:rFonts w:ascii="Arial" w:eastAsia="Times New Roman" w:hAnsi="Arial" w:cs="Arial"/>
                <w:color w:val="333333"/>
                <w:sz w:val="21"/>
                <w:szCs w:val="21"/>
                <w:lang w:val="en-US" w:eastAsia="it-IT"/>
              </w:rPr>
              <w:t>TS=((Coverage NEAR/1 evidence AND development) OR ((only OR accept) NEAR/1 research) OR (conditional NEAR/1 treatment NEAR/1 continuation) OR (conditional NEAR/1 coverage) OR (outcome* NEAR/1 guarantee*) OR (outcome* NEAR/1 based NEAR/2 (contracting OR agreement* OR arrangement* OR contract*)) OR (payment NEAR/1 result*) OR access NEAR/1 evidence) </w:t>
            </w:r>
            <w:r w:rsidRPr="00CA0397">
              <w:rPr>
                <w:rFonts w:ascii="Arial" w:eastAsia="Times New Roman" w:hAnsi="Arial" w:cs="Arial"/>
                <w:color w:val="333333"/>
                <w:sz w:val="21"/>
                <w:szCs w:val="21"/>
                <w:lang w:val="en-US" w:eastAsia="it-IT"/>
              </w:rPr>
              <w:br/>
            </w:r>
            <w:proofErr w:type="spellStart"/>
            <w:r w:rsidRPr="00CA0397">
              <w:rPr>
                <w:rFonts w:ascii="Arial" w:eastAsia="Times New Roman" w:hAnsi="Arial" w:cs="Arial"/>
                <w:i/>
                <w:iCs/>
                <w:color w:val="666666"/>
                <w:sz w:val="20"/>
                <w:szCs w:val="20"/>
                <w:lang w:val="en-US" w:eastAsia="it-IT"/>
              </w:rPr>
              <w:t>DocType</w:t>
            </w:r>
            <w:proofErr w:type="spellEnd"/>
            <w:r w:rsidRPr="00CA0397">
              <w:rPr>
                <w:rFonts w:ascii="Arial" w:eastAsia="Times New Roman" w:hAnsi="Arial" w:cs="Arial"/>
                <w:i/>
                <w:iCs/>
                <w:color w:val="666666"/>
                <w:sz w:val="20"/>
                <w:szCs w:val="20"/>
                <w:lang w:val="en-US" w:eastAsia="it-IT"/>
              </w:rPr>
              <w:t>=All document types; Language=All languages;</w:t>
            </w:r>
          </w:p>
        </w:tc>
      </w:tr>
    </w:tbl>
    <w:p w:rsidR="00CA0397" w:rsidRPr="00CA0397" w:rsidRDefault="00CA0397" w:rsidP="00CA0397">
      <w:pPr>
        <w:spacing w:after="200" w:line="276" w:lineRule="auto"/>
        <w:rPr>
          <w:rFonts w:ascii="Arial" w:eastAsia="Cambria" w:hAnsi="Arial" w:cs="Arial"/>
          <w:color w:val="222222"/>
          <w:sz w:val="21"/>
          <w:szCs w:val="21"/>
          <w:shd w:val="clear" w:color="auto" w:fill="FFFFFF"/>
          <w:lang w:val="en-US"/>
        </w:rPr>
      </w:pPr>
    </w:p>
    <w:p w:rsidR="00CA0397" w:rsidRPr="00CA0397" w:rsidRDefault="00CA0397" w:rsidP="00CA0397">
      <w:pPr>
        <w:spacing w:after="200" w:line="276" w:lineRule="auto"/>
        <w:rPr>
          <w:rFonts w:ascii="Cambria" w:eastAsia="Cambria" w:hAnsi="Cambria" w:cs="Times New Roman"/>
        </w:rPr>
      </w:pPr>
    </w:p>
    <w:p w:rsidR="00CA0397" w:rsidRPr="00CA0397" w:rsidRDefault="00CA0397" w:rsidP="00CA0397">
      <w:pPr>
        <w:spacing w:after="200" w:line="276" w:lineRule="auto"/>
        <w:rPr>
          <w:rFonts w:ascii="Cambria" w:eastAsia="Cambria" w:hAnsi="Cambria" w:cs="Times New Roman"/>
        </w:rPr>
      </w:pPr>
    </w:p>
    <w:p w:rsidR="00CA0397" w:rsidRPr="00CA0397" w:rsidRDefault="00CA0397" w:rsidP="00CA0397">
      <w:pPr>
        <w:spacing w:after="200" w:line="276" w:lineRule="auto"/>
        <w:rPr>
          <w:rFonts w:ascii="Cambria" w:eastAsia="Cambria" w:hAnsi="Cambria" w:cs="Times New Roman"/>
        </w:rPr>
      </w:pPr>
    </w:p>
    <w:p w:rsidR="00CA0397" w:rsidRPr="00CA0397" w:rsidRDefault="00CA0397" w:rsidP="00CA0397">
      <w:pPr>
        <w:spacing w:after="200" w:line="276" w:lineRule="auto"/>
        <w:rPr>
          <w:rFonts w:ascii="Cambria" w:eastAsia="Cambria" w:hAnsi="Cambria" w:cs="Times New Roman"/>
        </w:rPr>
      </w:pPr>
    </w:p>
    <w:p w:rsidR="00EB0982" w:rsidRDefault="00EB0982" w:rsidP="00CA0397">
      <w:pPr>
        <w:spacing w:after="0" w:line="240" w:lineRule="auto"/>
        <w:rPr>
          <w:sz w:val="24"/>
          <w:szCs w:val="24"/>
        </w:rPr>
        <w:sectPr w:rsidR="00EB0982" w:rsidSect="00CA0397">
          <w:pgSz w:w="12240" w:h="15840"/>
          <w:pgMar w:top="1440" w:right="1440" w:bottom="1440" w:left="1440" w:header="708" w:footer="708" w:gutter="0"/>
          <w:cols w:space="708"/>
          <w:docGrid w:linePitch="360"/>
        </w:sectPr>
      </w:pPr>
    </w:p>
    <w:p w:rsidR="00CA0397" w:rsidRPr="00CA0397" w:rsidRDefault="00CA0397" w:rsidP="00CA0397">
      <w:pPr>
        <w:spacing w:after="0" w:line="240" w:lineRule="auto"/>
        <w:rPr>
          <w:sz w:val="24"/>
          <w:szCs w:val="24"/>
        </w:rPr>
      </w:pPr>
      <w:r w:rsidRPr="00CA0397">
        <w:rPr>
          <w:sz w:val="24"/>
          <w:szCs w:val="24"/>
        </w:rPr>
        <w:lastRenderedPageBreak/>
        <w:t>Appendix 2 Details of the Performance-Based Schemes Identified in the Review</w:t>
      </w:r>
    </w:p>
    <w:p w:rsidR="00CA0397" w:rsidRPr="00CA0397" w:rsidRDefault="00CA0397" w:rsidP="00CA0397">
      <w:pPr>
        <w:spacing w:after="0" w:line="240" w:lineRule="auto"/>
        <w:rPr>
          <w:sz w:val="24"/>
          <w:szCs w:val="24"/>
        </w:rPr>
      </w:pPr>
    </w:p>
    <w:p w:rsidR="00CA0397" w:rsidRPr="00CA0397" w:rsidRDefault="00CA0397" w:rsidP="00CA0397">
      <w:pPr>
        <w:spacing w:after="0" w:line="240" w:lineRule="auto"/>
        <w:rPr>
          <w:sz w:val="24"/>
          <w:szCs w:val="24"/>
        </w:rPr>
      </w:pPr>
    </w:p>
    <w:p w:rsidR="00CA0397" w:rsidRPr="00CA0397" w:rsidRDefault="00CA0397" w:rsidP="00CA0397">
      <w:pPr>
        <w:spacing w:after="0" w:line="240" w:lineRule="auto"/>
        <w:rPr>
          <w:sz w:val="24"/>
          <w:szCs w:val="24"/>
        </w:rPr>
      </w:pPr>
    </w:p>
    <w:p w:rsidR="00CA0397" w:rsidRPr="00CA0397" w:rsidRDefault="00CA0397" w:rsidP="00CA0397">
      <w:pPr>
        <w:spacing w:after="0" w:line="240" w:lineRule="auto"/>
        <w:rPr>
          <w:sz w:val="24"/>
          <w:szCs w:val="24"/>
        </w:rPr>
      </w:pPr>
      <w:r w:rsidRPr="00CA0397">
        <w:rPr>
          <w:sz w:val="24"/>
          <w:szCs w:val="24"/>
        </w:rPr>
        <w:t xml:space="preserve">In the review, four countries were identified where P4P schemes have been implemented in renal care, namely the US, the UK, Australia (state of Queensland) and Taiwan. In the US, the ESRD Quality Incentive Program (QIP) was introduced in 2011 by the Medicare Improvements for Patients and Providers Act (MIPPA) together with a bundled prospective payment system for renal dialysis services provided to Medicare beneficiaries.  Within the QIP, dialysis facilities which do not meet certain standards in a particular year are subject to a global Medicare payment reduction of up to 2% in the ‘payment year’, which is 2 years after the year of </w:t>
      </w:r>
      <w:proofErr w:type="gramStart"/>
      <w:r w:rsidRPr="00CA0397">
        <w:rPr>
          <w:sz w:val="24"/>
          <w:szCs w:val="24"/>
        </w:rPr>
        <w:t>assessment  [</w:t>
      </w:r>
      <w:proofErr w:type="gramEnd"/>
      <w:r w:rsidRPr="00CA0397">
        <w:rPr>
          <w:sz w:val="24"/>
          <w:szCs w:val="24"/>
        </w:rPr>
        <w:t xml:space="preserve">9]. The </w:t>
      </w:r>
      <w:proofErr w:type="spellStart"/>
      <w:r w:rsidRPr="00CA0397">
        <w:rPr>
          <w:sz w:val="24"/>
          <w:szCs w:val="24"/>
        </w:rPr>
        <w:t>Centers</w:t>
      </w:r>
      <w:proofErr w:type="spellEnd"/>
      <w:r w:rsidRPr="00CA0397">
        <w:rPr>
          <w:sz w:val="24"/>
          <w:szCs w:val="24"/>
        </w:rPr>
        <w:t xml:space="preserve"> for Medicare and Medicaid Services (CMS) constantly update and expand the quality metrics used to assess providers through an established process. For example, for payment year 2020, quality measures encompassed both effectiveness and safety measures, including measures such as standardized readmission and transfusion ratios, dialysis adequacy, hypercalcemia and vascular access measures, and reporting measures to incentivize facilities to report dialysis-event data. There are 36 ESRD Seamless care Organisations (ESCOs) in the US participating in the Comprehensive ESRD Care Model, which is designed to identify, test and evaluate new ways to improve care for Medicare beneficiaries with end-stage renal disease</w:t>
      </w:r>
      <w:r w:rsidRPr="00CA0397">
        <w:rPr>
          <w:sz w:val="24"/>
          <w:szCs w:val="24"/>
          <w:vertAlign w:val="superscript"/>
        </w:rPr>
        <w:footnoteReference w:id="1"/>
      </w:r>
      <w:r w:rsidRPr="00CA0397">
        <w:rPr>
          <w:sz w:val="24"/>
          <w:szCs w:val="24"/>
        </w:rPr>
        <w:t xml:space="preserve">.  </w:t>
      </w:r>
    </w:p>
    <w:p w:rsidR="00CA0397" w:rsidRPr="00CA0397" w:rsidRDefault="00CA0397" w:rsidP="00CA0397">
      <w:pPr>
        <w:spacing w:after="0" w:line="240" w:lineRule="auto"/>
        <w:rPr>
          <w:sz w:val="24"/>
          <w:szCs w:val="24"/>
        </w:rPr>
      </w:pPr>
    </w:p>
    <w:p w:rsidR="00CA0397" w:rsidRPr="00CA0397" w:rsidRDefault="00CA0397" w:rsidP="00CA0397">
      <w:pPr>
        <w:spacing w:after="0" w:line="240" w:lineRule="auto"/>
        <w:rPr>
          <w:sz w:val="24"/>
          <w:szCs w:val="24"/>
        </w:rPr>
      </w:pPr>
      <w:r w:rsidRPr="00CA0397">
        <w:rPr>
          <w:sz w:val="24"/>
          <w:szCs w:val="24"/>
        </w:rPr>
        <w:t>In the UK, the Quality and Outcomes Framework (QOF), was introduced in 2004 as part of the General Medical Services Contract for primary care providers (PCPs). The QOF is a voluntary reward and incentive programme rewarding GP practices for delivering interventions and achieving patient outcomes using evidence-based indicators developed by the National Institute for Health and Care Excellence (NICE)</w:t>
      </w:r>
      <w:r w:rsidRPr="00CA0397">
        <w:rPr>
          <w:sz w:val="24"/>
          <w:szCs w:val="24"/>
          <w:vertAlign w:val="superscript"/>
        </w:rPr>
        <w:footnoteReference w:id="2"/>
      </w:r>
      <w:r w:rsidRPr="00CA0397">
        <w:rPr>
          <w:sz w:val="24"/>
          <w:szCs w:val="24"/>
        </w:rPr>
        <w:t xml:space="preserve"> . QOF indicators also include 4 quality and reporting measures for patients with chronic kidney disease (CKD), including incentives to establish the development of a register of patients with CKD (categories G3aA1 to G5A3 - previously stage 3-5); promote improved BP control, and treatment with renin-angiotensin system antagonists where appropriate [10]</w:t>
      </w:r>
      <w:r w:rsidRPr="00CA0397">
        <w:rPr>
          <w:sz w:val="24"/>
          <w:szCs w:val="24"/>
          <w:vertAlign w:val="superscript"/>
        </w:rPr>
        <w:footnoteReference w:id="3"/>
      </w:r>
      <w:r w:rsidRPr="00CA0397">
        <w:rPr>
          <w:sz w:val="24"/>
          <w:szCs w:val="24"/>
        </w:rPr>
        <w:t xml:space="preserve"> . Recently, the QOF has undergone a review process with the ultimate aims of determining future priorities of the scheme, and developing proposals for reform that may help to address these priorities</w:t>
      </w:r>
      <w:r w:rsidRPr="00CA0397">
        <w:rPr>
          <w:sz w:val="24"/>
          <w:szCs w:val="24"/>
          <w:vertAlign w:val="superscript"/>
        </w:rPr>
        <w:footnoteReference w:id="4"/>
      </w:r>
      <w:r w:rsidRPr="00CA0397">
        <w:rPr>
          <w:sz w:val="24"/>
          <w:szCs w:val="24"/>
        </w:rPr>
        <w:t xml:space="preserve"> . Future changes in the scheme have been announced including a revision of existing indicators.</w:t>
      </w:r>
    </w:p>
    <w:p w:rsidR="00CA0397" w:rsidRPr="00CA0397" w:rsidRDefault="00CA0397" w:rsidP="00CA0397">
      <w:pPr>
        <w:spacing w:after="0" w:line="240" w:lineRule="auto"/>
        <w:rPr>
          <w:sz w:val="24"/>
          <w:szCs w:val="24"/>
        </w:rPr>
      </w:pPr>
      <w:r w:rsidRPr="00CA0397">
        <w:rPr>
          <w:sz w:val="24"/>
          <w:szCs w:val="24"/>
        </w:rPr>
        <w:lastRenderedPageBreak/>
        <w:t xml:space="preserve">In the Australian state of Queensland, the Clinical Practice Improvement Payment Project (CPIP) was a P4P programme introduced by the health authority in 2008 and terminated in 2013 after the project underwent an external review. The programme awarded clinical units that achieve pre-specified process and outcomes targets including vascular access management with functional arteriovenous fistula, arteriovenous graft, or </w:t>
      </w:r>
      <w:proofErr w:type="spellStart"/>
      <w:r w:rsidRPr="00CA0397">
        <w:rPr>
          <w:sz w:val="24"/>
          <w:szCs w:val="24"/>
        </w:rPr>
        <w:t>Tenckhoff</w:t>
      </w:r>
      <w:proofErr w:type="spellEnd"/>
      <w:r w:rsidRPr="00CA0397">
        <w:rPr>
          <w:sz w:val="24"/>
          <w:szCs w:val="24"/>
        </w:rPr>
        <w:t xml:space="preserve"> catheter, and patients screening and treatment for dialysis or transplant-related infections. Notably, payments to individual </w:t>
      </w:r>
      <w:proofErr w:type="spellStart"/>
      <w:r w:rsidRPr="00CA0397">
        <w:rPr>
          <w:sz w:val="24"/>
          <w:szCs w:val="24"/>
        </w:rPr>
        <w:t>renal</w:t>
      </w:r>
      <w:proofErr w:type="spellEnd"/>
      <w:r w:rsidRPr="00CA0397">
        <w:rPr>
          <w:sz w:val="24"/>
          <w:szCs w:val="24"/>
        </w:rPr>
        <w:t xml:space="preserve"> units were to be used for investments in quality improvement, education, training and research.</w:t>
      </w:r>
    </w:p>
    <w:p w:rsidR="00CA0397" w:rsidRPr="00CA0397" w:rsidRDefault="00CA0397" w:rsidP="00CA0397">
      <w:pPr>
        <w:spacing w:after="0" w:line="240" w:lineRule="auto"/>
        <w:rPr>
          <w:sz w:val="24"/>
          <w:szCs w:val="24"/>
        </w:rPr>
      </w:pPr>
      <w:r w:rsidRPr="00CA0397">
        <w:rPr>
          <w:sz w:val="24"/>
          <w:szCs w:val="24"/>
        </w:rPr>
        <w:t xml:space="preserve">Finally, in Taiwan, a nationwide pre-ESRD P4P care programme was launched in 2006 to provide more comprehensive care to patients with advanced CKD through a multidisciplinary integrated care model [11].  Under the pre-ESRD P4P scheme, health care providers receive additional bonus payments for attaining a set of pre-specified process and outcome indicators related to patient enrolment, comprehensive patient education, annual evaluation, and 4 types of case management (CKD patients at stage 3b-4, CKD patients at stage 5, patients with proteinuria, and continuous case management for all CKD patients and those with proteinuria). Process indicators include the provision of physician care, nursing care, dietician services, and data management at patient enrolment, the provision of comprehensive education and dietician services at each follow-up visit, and the provision of annual physical examinations. In </w:t>
      </w:r>
      <w:proofErr w:type="gramStart"/>
      <w:r w:rsidRPr="00CA0397">
        <w:rPr>
          <w:sz w:val="24"/>
          <w:szCs w:val="24"/>
        </w:rPr>
        <w:t>addition</w:t>
      </w:r>
      <w:proofErr w:type="gramEnd"/>
      <w:r w:rsidRPr="00CA0397">
        <w:rPr>
          <w:sz w:val="24"/>
          <w:szCs w:val="24"/>
        </w:rPr>
        <w:t xml:space="preserve"> providers are encouraged to achieve minimal levels of quality indicator targets (e.g. blood pressure &lt; 130/80 mmHg, total cholesterol/triglyceride &lt; 200 mg/dL, serum albumin &gt; 3.5 g/dL, HbA1c &lt; 7.5%, and haematocrit &gt; 28%). Outcomes indicators, depending upon the health status of an enrolled patient with CKD, include reductions in the estimated values of glomerular filtration rate (eGFR), time to initiating dialysis or receiving kidney transplantation, use of erythropoietin, peritoneal dialysis, and outpatient dialysis, creation of vascular access before dialysis, and achievement of complete remission of proteinuria (UPCR &lt; 200 mg/g) [12]. </w:t>
      </w:r>
    </w:p>
    <w:p w:rsidR="00CA0397" w:rsidRPr="00CA0397" w:rsidRDefault="00CA0397" w:rsidP="00CA0397">
      <w:pPr>
        <w:spacing w:after="0" w:line="240" w:lineRule="auto"/>
        <w:rPr>
          <w:sz w:val="24"/>
          <w:szCs w:val="24"/>
        </w:rPr>
      </w:pPr>
      <w:r w:rsidRPr="00CA0397">
        <w:rPr>
          <w:sz w:val="24"/>
          <w:szCs w:val="24"/>
        </w:rPr>
        <w:t xml:space="preserve">Since the aim of the described schemes is to improve clinical practice by financially rewarding good performers (or by penalizing bad performers), a general concern reported in the identified studies was about whether the schemes would be able to achieve their objectives without resulting in distortions in care, or unintended negative consequences. For example, in the US QIP, a recurrent challenge referred to the possibility that, in the absence of an adequate case-mix adjustment mechanism, providers would game the scheme by “cherry-picking” healthier patients for whom the expected financial gains would be maximized. In addition, the appropriateness of the quality measures used to determine payment was another recurrent topic. Particularly, measures were required </w:t>
      </w:r>
      <w:proofErr w:type="spellStart"/>
      <w:r w:rsidRPr="00CA0397">
        <w:rPr>
          <w:sz w:val="24"/>
          <w:szCs w:val="24"/>
        </w:rPr>
        <w:t>i</w:t>
      </w:r>
      <w:proofErr w:type="spellEnd"/>
      <w:r w:rsidRPr="00CA0397">
        <w:rPr>
          <w:sz w:val="24"/>
          <w:szCs w:val="24"/>
        </w:rPr>
        <w:t xml:space="preserve">) to be underpinned by solid clinical evidence; ii) to be correlated with final health outcomes and to reflect patients preferences (e.g. survival, but also patients’ comfort, satisfaction with care and quality-of-life); iii) to be actionable by or directly attributable to the recipients of the financial incentives; iv) to be independent from other processes and not leading to unintended consequences; and v) to be easily measurable with the available data sources and data infrastructure. </w:t>
      </w:r>
    </w:p>
    <w:p w:rsidR="00CA0397" w:rsidRPr="00CA0397" w:rsidRDefault="00CA0397" w:rsidP="00CA0397">
      <w:pPr>
        <w:spacing w:after="0" w:line="240" w:lineRule="auto"/>
        <w:rPr>
          <w:sz w:val="24"/>
          <w:szCs w:val="24"/>
        </w:rPr>
      </w:pPr>
      <w:r w:rsidRPr="00CA0397">
        <w:rPr>
          <w:sz w:val="24"/>
          <w:szCs w:val="24"/>
        </w:rPr>
        <w:t xml:space="preserve">Further aspects concerning the design of the schemes related to the appropriate size of the incentives or penalties that would be required to prompt a change in clinical practice; the choice of the target recipient of the incentives, for example the individual </w:t>
      </w:r>
      <w:r w:rsidRPr="00CA0397">
        <w:rPr>
          <w:sz w:val="24"/>
          <w:szCs w:val="24"/>
        </w:rPr>
        <w:lastRenderedPageBreak/>
        <w:t>providers or facility/organization level; or the need for alignment of the incentives across the different specialties involved in the process of care beyond nephrologist and dialysis facilities (e.g., endocrinologists, cardiologists, vascular surgeons and participating caregivers including nurses, dieticians, social workers, and pharmacists) [13]</w:t>
      </w:r>
    </w:p>
    <w:p w:rsidR="00CA0397" w:rsidRPr="00CA0397" w:rsidRDefault="00CA0397" w:rsidP="00CA0397">
      <w:pPr>
        <w:spacing w:after="0" w:line="240" w:lineRule="auto"/>
        <w:rPr>
          <w:sz w:val="24"/>
          <w:szCs w:val="24"/>
        </w:rPr>
      </w:pPr>
      <w:r w:rsidRPr="00CA0397">
        <w:rPr>
          <w:sz w:val="24"/>
          <w:szCs w:val="24"/>
        </w:rPr>
        <w:t xml:space="preserve">For example, in ESRD care, clinical investigations are often hampered by the relatively low number of patients treated in individual dialysis units, resulting in the need for high-cost multi-centre studies to provide evidence on final clinical outcomes, such as survival [8]. In addition, the lack of validated surrogate outcomes predicting survival limits the possibility to decrease study size, complexity, duration, and therefore the high cost of the required clinical studies. </w:t>
      </w:r>
      <w:r w:rsidRPr="00CA0397">
        <w:rPr>
          <w:sz w:val="20"/>
          <w:szCs w:val="20"/>
        </w:rPr>
        <w:t>Lastly, ESRD patients are exposed to both traditional</w:t>
      </w:r>
      <w:r w:rsidRPr="00CA0397">
        <w:rPr>
          <w:sz w:val="24"/>
          <w:szCs w:val="24"/>
        </w:rPr>
        <w:t xml:space="preserve"> risk factors (e.g. cardiovascular risk) and non-traditional </w:t>
      </w:r>
      <w:proofErr w:type="spellStart"/>
      <w:r w:rsidRPr="00CA0397">
        <w:rPr>
          <w:sz w:val="24"/>
          <w:szCs w:val="24"/>
        </w:rPr>
        <w:t>uremia</w:t>
      </w:r>
      <w:proofErr w:type="spellEnd"/>
      <w:r w:rsidRPr="00CA0397">
        <w:rPr>
          <w:sz w:val="24"/>
          <w:szCs w:val="24"/>
        </w:rPr>
        <w:t xml:space="preserve"> or dialysis-related risk factors, so that single interventions that work very well in non-dialysis patients may not be effective in dialysis patients. This in turn requires that interventions that have been proven to be successful in the general population should generally be retested in dialysis patients.</w:t>
      </w:r>
    </w:p>
    <w:p w:rsidR="00CA0397" w:rsidRPr="00CA0397" w:rsidRDefault="00CA0397" w:rsidP="00CA0397">
      <w:pPr>
        <w:spacing w:after="0" w:line="240" w:lineRule="auto"/>
        <w:rPr>
          <w:sz w:val="24"/>
          <w:szCs w:val="24"/>
        </w:rPr>
      </w:pPr>
      <w:r w:rsidRPr="00CA0397">
        <w:rPr>
          <w:sz w:val="24"/>
          <w:szCs w:val="24"/>
        </w:rPr>
        <w:t>The 18 studies are summarised in Table A3.1.</w:t>
      </w:r>
    </w:p>
    <w:p w:rsidR="00CA0397" w:rsidRPr="00CA0397" w:rsidRDefault="00CA0397" w:rsidP="00CA0397">
      <w:pPr>
        <w:spacing w:after="0" w:line="240" w:lineRule="auto"/>
        <w:rPr>
          <w:sz w:val="24"/>
          <w:szCs w:val="24"/>
        </w:rPr>
      </w:pPr>
    </w:p>
    <w:p w:rsidR="00CA0397" w:rsidRPr="00CA0397" w:rsidRDefault="00CA0397" w:rsidP="00CA0397">
      <w:pPr>
        <w:spacing w:after="0" w:line="240" w:lineRule="auto"/>
        <w:rPr>
          <w:sz w:val="24"/>
          <w:szCs w:val="24"/>
        </w:rPr>
      </w:pPr>
    </w:p>
    <w:p w:rsidR="00CA0397" w:rsidRPr="00CA0397" w:rsidRDefault="00CA0397" w:rsidP="00CA0397">
      <w:pPr>
        <w:spacing w:after="0" w:line="240" w:lineRule="auto"/>
        <w:rPr>
          <w:sz w:val="24"/>
          <w:szCs w:val="24"/>
        </w:rPr>
      </w:pPr>
    </w:p>
    <w:p w:rsidR="00CA0397" w:rsidRPr="00CA0397" w:rsidRDefault="00CA0397" w:rsidP="00CA0397">
      <w:pPr>
        <w:spacing w:after="0" w:line="240" w:lineRule="auto"/>
        <w:rPr>
          <w:sz w:val="24"/>
          <w:szCs w:val="24"/>
        </w:rPr>
      </w:pPr>
    </w:p>
    <w:p w:rsidR="00CA0397" w:rsidRPr="00CA0397" w:rsidRDefault="00CA0397" w:rsidP="00CA0397">
      <w:pPr>
        <w:spacing w:after="0" w:line="240" w:lineRule="auto"/>
        <w:rPr>
          <w:b/>
          <w:sz w:val="24"/>
          <w:szCs w:val="24"/>
        </w:rPr>
      </w:pPr>
      <w:r w:rsidRPr="00CA0397">
        <w:rPr>
          <w:b/>
          <w:sz w:val="24"/>
          <w:szCs w:val="24"/>
        </w:rPr>
        <w:t>Table A2 .1</w:t>
      </w:r>
      <w:proofErr w:type="gramStart"/>
      <w:r w:rsidRPr="00CA0397">
        <w:rPr>
          <w:b/>
          <w:sz w:val="24"/>
          <w:szCs w:val="24"/>
        </w:rPr>
        <w:t>-  Details</w:t>
      </w:r>
      <w:proofErr w:type="gramEnd"/>
      <w:r w:rsidRPr="00CA0397">
        <w:rPr>
          <w:b/>
          <w:sz w:val="24"/>
          <w:szCs w:val="24"/>
        </w:rPr>
        <w:t xml:space="preserve"> of the schemes identified</w:t>
      </w:r>
    </w:p>
    <w:tbl>
      <w:tblPr>
        <w:tblStyle w:val="TableGrid"/>
        <w:tblW w:w="14800" w:type="dxa"/>
        <w:tblInd w:w="-601" w:type="dxa"/>
        <w:tblLayout w:type="fixed"/>
        <w:tblLook w:val="04A0" w:firstRow="1" w:lastRow="0" w:firstColumn="1" w:lastColumn="0" w:noHBand="0" w:noVBand="1"/>
      </w:tblPr>
      <w:tblGrid>
        <w:gridCol w:w="1843"/>
        <w:gridCol w:w="1163"/>
        <w:gridCol w:w="2013"/>
        <w:gridCol w:w="939"/>
        <w:gridCol w:w="1588"/>
        <w:gridCol w:w="7254"/>
      </w:tblGrid>
      <w:tr w:rsidR="00CA0397" w:rsidRPr="00CA0397" w:rsidTr="00CA0397">
        <w:trPr>
          <w:trHeight w:val="1140"/>
        </w:trPr>
        <w:tc>
          <w:tcPr>
            <w:tcW w:w="1843" w:type="dxa"/>
            <w:noWrap/>
            <w:hideMark/>
          </w:tcPr>
          <w:p w:rsidR="00CA0397" w:rsidRPr="00CA0397" w:rsidRDefault="00CA0397" w:rsidP="00CA0397">
            <w:pPr>
              <w:rPr>
                <w:b/>
                <w:sz w:val="20"/>
                <w:szCs w:val="20"/>
                <w:lang w:val="it-IT"/>
              </w:rPr>
            </w:pPr>
            <w:r w:rsidRPr="00CA0397">
              <w:rPr>
                <w:b/>
                <w:sz w:val="20"/>
                <w:szCs w:val="20"/>
              </w:rPr>
              <w:t>Study (year)</w:t>
            </w:r>
          </w:p>
        </w:tc>
        <w:tc>
          <w:tcPr>
            <w:tcW w:w="1163" w:type="dxa"/>
            <w:noWrap/>
            <w:hideMark/>
          </w:tcPr>
          <w:p w:rsidR="00CA0397" w:rsidRPr="00CA0397" w:rsidRDefault="00CA0397" w:rsidP="00CA0397">
            <w:pPr>
              <w:rPr>
                <w:b/>
                <w:sz w:val="20"/>
                <w:szCs w:val="20"/>
              </w:rPr>
            </w:pPr>
            <w:r w:rsidRPr="00CA0397">
              <w:rPr>
                <w:b/>
                <w:sz w:val="20"/>
                <w:szCs w:val="20"/>
              </w:rPr>
              <w:t>Target condition</w:t>
            </w:r>
          </w:p>
        </w:tc>
        <w:tc>
          <w:tcPr>
            <w:tcW w:w="2013" w:type="dxa"/>
            <w:noWrap/>
            <w:hideMark/>
          </w:tcPr>
          <w:p w:rsidR="00CA0397" w:rsidRPr="00CA0397" w:rsidRDefault="00CA0397" w:rsidP="00CA0397">
            <w:pPr>
              <w:rPr>
                <w:b/>
                <w:sz w:val="20"/>
                <w:szCs w:val="20"/>
              </w:rPr>
            </w:pPr>
            <w:proofErr w:type="spellStart"/>
            <w:r w:rsidRPr="00CA0397">
              <w:rPr>
                <w:b/>
                <w:sz w:val="20"/>
                <w:szCs w:val="20"/>
              </w:rPr>
              <w:t>Programme</w:t>
            </w:r>
            <w:proofErr w:type="spellEnd"/>
            <w:r w:rsidRPr="00CA0397">
              <w:rPr>
                <w:b/>
                <w:sz w:val="20"/>
                <w:szCs w:val="20"/>
              </w:rPr>
              <w:t xml:space="preserve"> name</w:t>
            </w:r>
          </w:p>
        </w:tc>
        <w:tc>
          <w:tcPr>
            <w:tcW w:w="939" w:type="dxa"/>
            <w:noWrap/>
            <w:hideMark/>
          </w:tcPr>
          <w:p w:rsidR="00CA0397" w:rsidRPr="00CA0397" w:rsidRDefault="00CA0397" w:rsidP="00CA0397">
            <w:pPr>
              <w:rPr>
                <w:b/>
                <w:sz w:val="20"/>
                <w:szCs w:val="20"/>
              </w:rPr>
            </w:pPr>
            <w:r w:rsidRPr="00CA0397">
              <w:rPr>
                <w:b/>
                <w:sz w:val="20"/>
                <w:szCs w:val="20"/>
              </w:rPr>
              <w:t>Country</w:t>
            </w:r>
          </w:p>
        </w:tc>
        <w:tc>
          <w:tcPr>
            <w:tcW w:w="1588" w:type="dxa"/>
            <w:noWrap/>
            <w:hideMark/>
          </w:tcPr>
          <w:p w:rsidR="00CA0397" w:rsidRPr="00CA0397" w:rsidRDefault="00CA0397" w:rsidP="00CA0397">
            <w:pPr>
              <w:rPr>
                <w:b/>
                <w:sz w:val="20"/>
                <w:szCs w:val="20"/>
              </w:rPr>
            </w:pPr>
            <w:r w:rsidRPr="00CA0397">
              <w:rPr>
                <w:b/>
                <w:sz w:val="20"/>
                <w:szCs w:val="20"/>
              </w:rPr>
              <w:t>Type of scheme</w:t>
            </w:r>
          </w:p>
        </w:tc>
        <w:tc>
          <w:tcPr>
            <w:tcW w:w="7254" w:type="dxa"/>
          </w:tcPr>
          <w:p w:rsidR="00CA0397" w:rsidRPr="00CA0397" w:rsidRDefault="00CA0397" w:rsidP="00CA0397">
            <w:pPr>
              <w:rPr>
                <w:b/>
                <w:sz w:val="20"/>
                <w:szCs w:val="20"/>
              </w:rPr>
            </w:pPr>
            <w:r w:rsidRPr="00CA0397">
              <w:rPr>
                <w:b/>
                <w:sz w:val="20"/>
                <w:szCs w:val="20"/>
              </w:rPr>
              <w:t>Issues with appropriateness/desirability, design, implementation and evaluation of the schemes</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t xml:space="preserve">Gupta and Wish (2018) </w:t>
            </w:r>
            <w:r w:rsidRPr="00CA0397">
              <w:rPr>
                <w:sz w:val="20"/>
                <w:szCs w:val="20"/>
              </w:rPr>
              <w:fldChar w:fldCharType="begin" w:fldLock="1"/>
            </w:r>
            <w:r w:rsidRPr="00CA0397">
              <w:rPr>
                <w:sz w:val="20"/>
                <w:szCs w:val="20"/>
              </w:rPr>
              <w:instrText>ADDIN CSL_CITATION { "citationItems" : [ { "id" : "ITEM-1", "itemData" : { "DOI" : "10.1111/sdi.12685", "ISSN" : "1525139X", "abstract" : "The US End Stage Renal Disease (ESRD) Program, which came into existence in 1973, was initially envisioned to provide needed financial coverage for about 50 000 patients through Medicare. Over the past 45 years the evolution of the ESRD program has been quite different, and it now serves over one half million dialysis and transplant patients. The Medicare Improvements for Patients and Providers Act (MIPPA) of 2008 Section 153(c) requires the Centers for Medicare and Medicaid Services (CMS) to develop and implement quality measures for dialysis patients as part of the ESRD Quality Incentive Program (QIP) beginning in payment year (PY) 2012. The annual ESRD Prospective Payment System (PPS) rulemaking process allows CMS to create ESRD QIP rules that specify the measures, scoring methods, and payment reduction ranges applicable to the respective PY. CMS assesses each facility's performance and calculates a score for each measure, according to the method detailed for that PY. Scores for each measure are combined to create the Total Performance Score (TPS) for each facility. If a facility's TPS does not meet or exceed the performance standards established during the earlier comparison period, the facility will incur a payment reduction of up to 2% for the entire PY. The QIP program has evolved over the several years since its inception. There have been deletions and additions of various measures. CMS uses additional measures in its Dialysis Facility Compare (DFC) website which is available to the public and forms the basis of the 5-star rating system for dialysis facilities. The evidence underlying inclusion many of these measures in the QIP and DFC remains an area of debate. In this review, we discuss the evolution of these measures and their appropriateness. We recommend that some of the current QIP and DFC measures should not be used for public reporting and/or payment as unintended consequences may occur. Nonetheless, all the current QIP and DFC measures and others are suitable for internal quality review.", "author" : [ { "dropping-particle" : "", "family" : "Gupta", "given" : "Nupur", "non-dropping-particle" : "", "parse-names" : false, "suffix" : "" }, { "dropping-particle" : "", "family" : "Wish", "given" : "Jay B.", "non-dropping-particle" : "", "parse-names" : false, "suffix" : "" } ], "container-title" : "Seminars in Dialysis", "id" : "ITEM-1", "issue" : "4", "issued" : { "date-parts" : [ [ "2018" ] ] }, "page" : "406-414", "title" : "Do current quality measures truly reflect the quality of dialysis?", "type" : "article-journal", "volume" : "31" }, "uris" : [ "http://www.mendeley.com/documents/?uuid=e044e6a1-e468-450b-aaf1-470e4de435c9" ] } ], "mendeley" : { "formattedCitation" : "[1]", "plainTextFormattedCitation" : "[1]", "previouslyFormattedCitation" : "[1]" }, "properties" : {  }, "schema" : "https://github.com/citation-style-language/schema/raw/master/csl-citation.json" }</w:instrText>
            </w:r>
            <w:r w:rsidRPr="00CA0397">
              <w:rPr>
                <w:sz w:val="20"/>
                <w:szCs w:val="20"/>
              </w:rPr>
              <w:fldChar w:fldCharType="separate"/>
            </w:r>
            <w:r w:rsidRPr="00CA0397">
              <w:rPr>
                <w:noProof/>
                <w:sz w:val="20"/>
                <w:szCs w:val="20"/>
              </w:rPr>
              <w:t>[1]</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ESRD QIP</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b/>
                <w:sz w:val="20"/>
                <w:szCs w:val="20"/>
              </w:rPr>
            </w:pPr>
            <w:r w:rsidRPr="00CA0397">
              <w:rPr>
                <w:b/>
                <w:sz w:val="20"/>
                <w:szCs w:val="20"/>
              </w:rPr>
              <w:t xml:space="preserve">Appropriateness/desirability of the scheme: </w:t>
            </w:r>
            <w:r w:rsidRPr="00CA0397">
              <w:rPr>
                <w:sz w:val="20"/>
                <w:szCs w:val="20"/>
              </w:rPr>
              <w:t>Inappropriately vetted or case-mix adjusted quality measures may lead to cherry picking and providers trying to "game" the scheme.</w:t>
            </w:r>
            <w:r w:rsidRPr="00CA0397">
              <w:rPr>
                <w:b/>
                <w:sz w:val="20"/>
                <w:szCs w:val="20"/>
              </w:rPr>
              <w:t xml:space="preserve"> </w:t>
            </w:r>
          </w:p>
          <w:p w:rsidR="00CA0397" w:rsidRPr="00CA0397" w:rsidRDefault="00CA0397" w:rsidP="00CA0397">
            <w:pPr>
              <w:rPr>
                <w:b/>
                <w:sz w:val="20"/>
                <w:szCs w:val="20"/>
              </w:rPr>
            </w:pPr>
            <w:r w:rsidRPr="00CA0397">
              <w:rPr>
                <w:b/>
                <w:sz w:val="20"/>
                <w:szCs w:val="20"/>
              </w:rPr>
              <w:t xml:space="preserve">Design of the scheme: </w:t>
            </w:r>
            <w:r w:rsidRPr="00CA0397">
              <w:rPr>
                <w:sz w:val="20"/>
                <w:szCs w:val="20"/>
              </w:rPr>
              <w:t>Quality measures may be inadequate because: 1) there is a lack of evidence of their correlation with final health outcomes; 2) they do not reflect what patients care the most; 3) they are not actionable by or directly attributable to providers; 4) are not appropriately case-mix adjusted to avoid cherry picking</w:t>
            </w:r>
          </w:p>
        </w:tc>
      </w:tr>
      <w:tr w:rsidR="00CA0397" w:rsidRPr="00CA0397" w:rsidTr="00CA0397">
        <w:trPr>
          <w:trHeight w:val="567"/>
        </w:trPr>
        <w:tc>
          <w:tcPr>
            <w:tcW w:w="1843" w:type="dxa"/>
            <w:noWrap/>
            <w:hideMark/>
          </w:tcPr>
          <w:p w:rsidR="00CA0397" w:rsidRPr="00CA0397" w:rsidRDefault="00CA0397" w:rsidP="00CA0397">
            <w:pPr>
              <w:rPr>
                <w:sz w:val="20"/>
                <w:szCs w:val="20"/>
              </w:rPr>
            </w:pPr>
            <w:proofErr w:type="spellStart"/>
            <w:r w:rsidRPr="00CA0397">
              <w:rPr>
                <w:sz w:val="20"/>
                <w:szCs w:val="20"/>
              </w:rPr>
              <w:t>Haarsager</w:t>
            </w:r>
            <w:proofErr w:type="spellEnd"/>
            <w:r w:rsidRPr="00CA0397">
              <w:rPr>
                <w:sz w:val="20"/>
                <w:szCs w:val="20"/>
              </w:rPr>
              <w:t xml:space="preserve"> et al.  (2018) </w:t>
            </w:r>
            <w:r w:rsidRPr="00CA0397">
              <w:rPr>
                <w:sz w:val="20"/>
                <w:szCs w:val="20"/>
              </w:rPr>
              <w:fldChar w:fldCharType="begin" w:fldLock="1"/>
            </w:r>
            <w:r w:rsidRPr="00CA0397">
              <w:rPr>
                <w:sz w:val="20"/>
                <w:szCs w:val="20"/>
              </w:rPr>
              <w:instrText>ADDIN CSL_CITATION { "citationItems" : [ { "id" : "ITEM-1", "itemData" : { "DOI" : "10.1111/nep.13037", "ISSN" : "14401797", "abstract" : "Aim: Commencement of haemodialysis with an arteriovenous fistula (AVF) or arteriovenous graft (AVG) is associated with improved survival compared with commencement with a central venous catheter. In 2011-2012, Queensland Health made incentive payments to renal units for early referred patients who commenced peritoneal dialysis (PD), or haemodialysis with an AVF/AVG. The aim of this study was to determine if pay for performance improved clinical care.; Methods: All patients who commenced dialysis in Australia between 2009 and 2014 and were registered with the Australia and New Zealand Dialysis and Transplant Registry (ANZDATA) were included. A multivariable regression model was used to compare rates of commencing dialysis with a PD catheter or permanent AVF/AVG during the pay-for-performance period (2011-2012) with periods prior (2009-2010) and after (2013-2014).; Results: A total of 10 858 early referred patients commenced dialysis during the study period, including 2058 in Queensland. In Queensland, PD as first modality increased with time (P &lt; 0.001) but there was no change in AVF/AVG rate at first haemodialysis (P = 0.5). In a multivariate model using the pay-for-performance period as reference, the odds ratio for commencement with PD or haemodialysis with an AVF/AVG in Queensland was 1.02 (95% CI 0.81-1.29) in 2009-2010 and 1.28 (95% CI 1.01-1.61) in 2013-2014. There was no change for the rest of Australia (0.97 95% CI 0.87-1.09 in 2009-2010 and 1.00 95% CI 0.90-1.11 in 2013-14).; Conclusion: Pay for performance did not improve rates of commencement of dialysis with PD or an AVF/AVG during the payment period. A lag effect on clinical care may explain the improvement in later years.; \u00a9 2017 Asian Pacific Society of Nephrology.", "author" : [ { "dropping-particle" : "", "family" : "Haarsager", "given" : "Jennie", "non-dropping-particle" : "", "parse-names" : false, "suffix" : "" }, { "dropping-particle" : "", "family" : "Krishnasamy", "given" : "Rathika", "non-dropping-particle" : "", "parse-names" : false, "suffix" : "" }, { "dropping-particle" : "", "family" : "Gray", "given" : "Nicholas A.", "non-dropping-particle" : "", "parse-names" : false, "suffix" : "" } ], "container-title" : "Nephrology", "id" : "ITEM-1", "issue" : "5", "issued" : { "date-parts" : [ [ "2018" ] ] }, "page" : "469-475", "title" : "Impact of pay for performance on access at first dialysis in Queensland", "type" : "article-journal", "volume" : "23" }, "uris" : [ "http://www.mendeley.com/documents/?uuid=f523309c-3fd1-4421-8c7b-ad3ba178a6ff" ] } ], "mendeley" : { "formattedCitation" : "[2]", "plainTextFormattedCitation" : "[2]", "previouslyFormattedCitation" : "[2]" }, "properties" : {  }, "schema" : "https://github.com/citation-style-language/schema/raw/master/csl-citation.json" }</w:instrText>
            </w:r>
            <w:r w:rsidRPr="00CA0397">
              <w:rPr>
                <w:sz w:val="20"/>
                <w:szCs w:val="20"/>
              </w:rPr>
              <w:fldChar w:fldCharType="separate"/>
            </w:r>
            <w:r w:rsidRPr="00CA0397">
              <w:rPr>
                <w:noProof/>
                <w:sz w:val="20"/>
                <w:szCs w:val="20"/>
              </w:rPr>
              <w:t>[2]</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 xml:space="preserve">Queensland’s Clinical Practice Improvement Payment Project (CPIP) </w:t>
            </w:r>
          </w:p>
        </w:tc>
        <w:tc>
          <w:tcPr>
            <w:tcW w:w="939" w:type="dxa"/>
            <w:noWrap/>
            <w:hideMark/>
          </w:tcPr>
          <w:p w:rsidR="00CA0397" w:rsidRPr="00CA0397" w:rsidRDefault="00CA0397" w:rsidP="00CA0397">
            <w:pPr>
              <w:rPr>
                <w:sz w:val="20"/>
                <w:szCs w:val="20"/>
              </w:rPr>
            </w:pPr>
            <w:r w:rsidRPr="00CA0397">
              <w:rPr>
                <w:sz w:val="20"/>
                <w:szCs w:val="20"/>
              </w:rPr>
              <w:t>Australia</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Evaluation of the scheme:</w:t>
            </w:r>
            <w:r w:rsidRPr="00CA0397">
              <w:rPr>
                <w:sz w:val="20"/>
                <w:szCs w:val="20"/>
              </w:rPr>
              <w:t xml:space="preserve"> A number of confounders make attribution of effect of schemes challenging, including other </w:t>
            </w:r>
            <w:proofErr w:type="spellStart"/>
            <w:r w:rsidRPr="00CA0397">
              <w:rPr>
                <w:sz w:val="20"/>
                <w:szCs w:val="20"/>
              </w:rPr>
              <w:t>programmes</w:t>
            </w:r>
            <w:proofErr w:type="spellEnd"/>
            <w:r w:rsidRPr="00CA0397">
              <w:rPr>
                <w:sz w:val="20"/>
                <w:szCs w:val="20"/>
              </w:rPr>
              <w:t xml:space="preserve"> and plans affecting the quality measures used.</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lastRenderedPageBreak/>
              <w:t xml:space="preserve">Ryan and Rodgers (2018) </w:t>
            </w:r>
            <w:r w:rsidRPr="00CA0397">
              <w:rPr>
                <w:sz w:val="20"/>
                <w:szCs w:val="20"/>
              </w:rPr>
              <w:fldChar w:fldCharType="begin" w:fldLock="1"/>
            </w:r>
            <w:r w:rsidRPr="00CA0397">
              <w:rPr>
                <w:sz w:val="20"/>
                <w:szCs w:val="20"/>
              </w:rPr>
              <w:instrText>ADDIN CSL_CITATION { "citationItems" : [ { "id" : "ITEM-1", "itemData" : { "DOI" : "10.1089/jpm.2017.0496", "ISSN" : "1096-6218", "abstract" : "\u00a9 2018, Mary Ann Liebert, Inc. Background: Healthcare payment is rapidly evolving to reward value by measuring and paying for quality and spending performance. Rewarding value for the care of seriously ill patients presents unique challenges. Objective: To evaluate the state of current efforts to measure and reward value for the care of seriously ill patients. Design: We performed a PubMed search of articles related to (1) measures of spending for people with serious illness and (2) linking spending and quality measures and rewarding performance for the care of people with serious illness. We limited our search to U.S.-based studies published in English between January 1, 1960, and March 31, 2017. We supplemented this search by identifying public programs and other known initiatives that linked quality and spending for the seriously ill and extracted key program element s. Results: Our search related to linking spending and quality measures and rewarding performance for the care of people with serious illness yielded 277 articles. We identified three current public programs that currently link measures of quality and spending-or are likely to within the next few years-the Oncology Care Model; the Comprehensive End-Stage Renal Disease Model; and Home Health Value-Based Purchasing. Models that link quality and spending consist of four core components: (1) measuring quality, (2) measuring spending, (3) the payment adjustment model, and (4) the linking/incentive model. We found that current efforts to reward value for seriously ill patients are targeted for specific patient populations, do not broadly encourage the use of palliative care, and have not closely aligned quality and spending measures related to palliative care. Conclusions: We develop recommendations for policymakers and stakeholders about how measures of spending and quality can be balanced in value-based payment programs.", "author" : [ { "dropping-particle" : "", "family" : "Ryan", "given" : "Andrew M.", "non-dropping-particle" : "", "parse-names" : false, "suffix" : "" }, { "dropping-particle" : "", "family" : "Rodgers", "given" : "Phillip E.", "non-dropping-particle" : "", "parse-names" : false, "suffix" : "" } ], "container-title" : "Journal of Palliative Medicine", "id" : "ITEM-1", "issue" : "S2", "issued" : { "date-parts" : [ [ "2017" ] ] }, "page" : "S-74-S-80", "title" : "Linking Quality and Spending to Measure Value for People with Serious Illness", "type" : "article-journal", "volume" : "21" }, "uris" : [ "http://www.mendeley.com/documents/?uuid=d7ee3e78-2c15-4a5d-8fb9-b912dc084048" ] } ], "mendeley" : { "formattedCitation" : "[3]", "plainTextFormattedCitation" : "[3]", "previouslyFormattedCitation" : "[3]" }, "properties" : {  }, "schema" : "https://github.com/citation-style-language/schema/raw/master/csl-citation.json" }</w:instrText>
            </w:r>
            <w:r w:rsidRPr="00CA0397">
              <w:rPr>
                <w:sz w:val="20"/>
                <w:szCs w:val="20"/>
              </w:rPr>
              <w:fldChar w:fldCharType="separate"/>
            </w:r>
            <w:r w:rsidRPr="00CA0397">
              <w:rPr>
                <w:noProof/>
                <w:sz w:val="20"/>
                <w:szCs w:val="20"/>
              </w:rPr>
              <w:t>[3]</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Comprehensive ERSD Care Model</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 xml:space="preserve">Design of the scheme: </w:t>
            </w:r>
            <w:r w:rsidRPr="00CA0397">
              <w:rPr>
                <w:sz w:val="20"/>
                <w:szCs w:val="20"/>
              </w:rPr>
              <w:t>1) The period of accountability for each patient eligible to the scheme must be defined. This requires a pre-defined starting point (e.g. a prognosis of less than one year) and an ending point (the death of the patients, or his/her withdrawal from the scheme), and can be defined both prospectively or retrospectively; 2) Serious illness care (including ESRD care) may be oriented toward increasing patients’ comfort, satisfaction with care, quality-of-life, and quality of death, rather than solely on prolonging life.  This orientation often requires novel data, including patient registries and surveys of patients and caregivers; 3) Measures should be chosen based on their reliability, validity, clinical relevance, and feasibility to collect; 4) different mechanisms to link spending and quality indicators exist: unconditional, conditional, quality hurdle and cost hurdle models are mentioned.</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t xml:space="preserve">Hsieh et al.  (2017) </w:t>
            </w:r>
            <w:r w:rsidRPr="00CA0397">
              <w:rPr>
                <w:sz w:val="20"/>
                <w:szCs w:val="20"/>
              </w:rPr>
              <w:fldChar w:fldCharType="begin" w:fldLock="1"/>
            </w:r>
            <w:r w:rsidRPr="00CA0397">
              <w:rPr>
                <w:sz w:val="20"/>
                <w:szCs w:val="20"/>
              </w:rPr>
              <w:instrText>ADDIN CSL_CITATION { "citationItems" : [ { "id" : "ITEM-1", "itemData" : { "DOI" : "10.1093/ndt/gfw372", "ISSN" : "14602385", "abstract" : "\u00a9 The Author 2016. Published by Oxford University Press on behalf of ERA-EDTA. All rights reserved. Background: The National Health Insurance Administration in Taiwan initiated a nationwide pre-end-stage renal disease (ESRD) pay-for-performance (P4P) programme at the end of 2006 to improve quality of care for chronic kidney disease (CKD) patients. This study aimed to examine this programme's effect on patients' clinical outcomes and its cost-effectiveness among advanced CKD patients. Methods: We conducted a longitudinal observational matched cohort study using two nationwide population-based datasets. The major outcomes of interests were incidence of dialysis, allcause mortality, direct medical costs, life years (LYs) and incremental cost-effectiveness ratio comparing matched P4P and non-P4P advanced CKD patients. Competing-risk analysis, general linear regression and bootstrapping statistical methods were used for the analysis. Results: Subdistribution hazard ratio (95% confidence intervals) for advanced CKD patients enrolled in the P4P programme, compared with those who did not enrol, were 0.845 (0.779- 0.916) for incidence of dialysis and 0.792 (0.673-0.932) for allcause mortality. LYs for P4P and non-P4P patients who initiated dialysis were 2.83 and 2.74, respectively. The adjusted incremental CKD-related costs and other-cause-related costs were NT$114 704 (US$3823) and NT$32 420 (US$1080) for P4P and non-P4P patients who initiated dialysis, respectively, and NT$-3434 (US$114) and NT$45 836 (US$1572) for P4P and non-P4P patients who did not initiate dialysis, respectively, during the 3-year follow-up period. Conclusions: P4P patients had lower risks of both incidence of dialysis initiation and death. In addition, our empirical findings suggest that the P4P pre-ESRD programme in Taiwan provided a long-term cost-effective use of resources and cost savings for advanced CKD patients.", "author" : [ { "dropping-particle" : "", "family" : "Hsieh", "given" : "Hui Min", "non-dropping-particle" : "", "parse-names" : false, "suffix" : "" }, { "dropping-particle" : "", "family" : "Lin", "given" : "Ming Yen", "non-dropping-particle" : "", "parse-names" : false, "suffix" : "" }, { "dropping-particle" : "", "family" : "Chiu", "given" : "Yi Wen", "non-dropping-particle" : "", "parse-names" : false, "suffix" : "" }, { "dropping-particle" : "", "family" : "Wu", "given" : "Ping Hsun", "non-dropping-particle" : "", "parse-names" : false, "suffix" : "" }, { "dropping-particle" : "", "family" : "Cheng", "given" : "Li Jeng", "non-dropping-particle" : "", "parse-names" : false, "suffix" : "" }, { "dropping-particle" : "", "family" : "Jian", "given" : "Feng Shiuan", "non-dropping-particle" : "", "parse-names" : false, "suffix" : "" }, { "dropping-particle" : "", "family" : "Hsu", "given" : "Chih Cheng", "non-dropping-particle" : "", "parse-names" : false, "suffix" : "" }, { "dropping-particle" : "", "family" : "Hwang", "given" : "Shang Jyh", "non-dropping-particle" : "", "parse-names" : false, "suffix" : "" } ], "container-title" : "Nephrology Dialysis Transplantation", "id" : "ITEM-1", "issue" : "7", "issued" : { "date-parts" : [ [ "2017" ] ] }, "page" : "1184-1194", "title" : "Economic evaluation of a pre-ESRD pay-for-performance programme in advanced chronic kidney disease patients", "type" : "article-journal", "volume" : "32" }, "uris" : [ "http://www.mendeley.com/documents/?uuid=59cb9ef3-a364-4f0e-a3cb-981dbf93f8f5" ] } ], "mendeley" : { "formattedCitation" : "[4]", "plainTextFormattedCitation" : "[4]", "previouslyFormattedCitation" : "[4]" }, "properties" : {  }, "schema" : "https://github.com/citation-style-language/schema/raw/master/csl-citation.json" }</w:instrText>
            </w:r>
            <w:r w:rsidRPr="00CA0397">
              <w:rPr>
                <w:sz w:val="20"/>
                <w:szCs w:val="20"/>
              </w:rPr>
              <w:fldChar w:fldCharType="separate"/>
            </w:r>
            <w:r w:rsidRPr="00CA0397">
              <w:rPr>
                <w:noProof/>
                <w:sz w:val="20"/>
                <w:szCs w:val="20"/>
              </w:rPr>
              <w:t>[4]</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CKD stage 3-5</w:t>
            </w:r>
          </w:p>
        </w:tc>
        <w:tc>
          <w:tcPr>
            <w:tcW w:w="2013" w:type="dxa"/>
            <w:noWrap/>
            <w:hideMark/>
          </w:tcPr>
          <w:p w:rsidR="00CA0397" w:rsidRPr="00CA0397" w:rsidRDefault="00CA0397" w:rsidP="00CA0397">
            <w:pPr>
              <w:rPr>
                <w:sz w:val="20"/>
                <w:szCs w:val="20"/>
              </w:rPr>
            </w:pPr>
            <w:r w:rsidRPr="00CA0397">
              <w:rPr>
                <w:sz w:val="20"/>
                <w:szCs w:val="20"/>
              </w:rPr>
              <w:t>Taiwan pre-ESRD P4P program</w:t>
            </w:r>
          </w:p>
        </w:tc>
        <w:tc>
          <w:tcPr>
            <w:tcW w:w="939" w:type="dxa"/>
            <w:noWrap/>
            <w:hideMark/>
          </w:tcPr>
          <w:p w:rsidR="00CA0397" w:rsidRPr="00CA0397" w:rsidRDefault="00CA0397" w:rsidP="00CA0397">
            <w:pPr>
              <w:rPr>
                <w:sz w:val="20"/>
                <w:szCs w:val="20"/>
              </w:rPr>
            </w:pPr>
            <w:r w:rsidRPr="00CA0397">
              <w:rPr>
                <w:sz w:val="20"/>
                <w:szCs w:val="20"/>
              </w:rPr>
              <w:t>Taiwan</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b/>
                <w:sz w:val="20"/>
                <w:szCs w:val="20"/>
              </w:rPr>
            </w:pPr>
            <w:r w:rsidRPr="00CA0397">
              <w:rPr>
                <w:b/>
                <w:sz w:val="20"/>
                <w:szCs w:val="20"/>
              </w:rPr>
              <w:t xml:space="preserve">Design of the scheme: </w:t>
            </w:r>
            <w:r w:rsidRPr="00CA0397">
              <w:rPr>
                <w:sz w:val="20"/>
                <w:szCs w:val="20"/>
              </w:rPr>
              <w:t>Success factors that explain positive impact of the scheme may be: the requirement for physician to adhere to international guidelines (K-DOQI), with links to quality incentives; the multidisciplinary of the team in the program (physicians, nutritionists, nurses, case managers and pharmacists) that guarantee immediate integrated care services; frequent nephrology visits for the patients enrolled.</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t xml:space="preserve">Weiner and </w:t>
            </w:r>
            <w:proofErr w:type="spellStart"/>
            <w:r w:rsidRPr="00CA0397">
              <w:rPr>
                <w:sz w:val="20"/>
                <w:szCs w:val="20"/>
              </w:rPr>
              <w:t>Watnik</w:t>
            </w:r>
            <w:proofErr w:type="spellEnd"/>
            <w:r w:rsidRPr="00CA0397">
              <w:rPr>
                <w:sz w:val="20"/>
                <w:szCs w:val="20"/>
              </w:rPr>
              <w:t xml:space="preserve"> (2017) </w:t>
            </w:r>
            <w:r w:rsidRPr="00CA0397">
              <w:rPr>
                <w:sz w:val="20"/>
                <w:szCs w:val="20"/>
              </w:rPr>
              <w:fldChar w:fldCharType="begin" w:fldLock="1"/>
            </w:r>
            <w:r w:rsidRPr="00CA0397">
              <w:rPr>
                <w:sz w:val="20"/>
                <w:szCs w:val="20"/>
              </w:rPr>
              <w:instrText>ADDIN CSL_CITATION { "citationItems" : [ { "id" : "ITEM-1", "itemData" : { "DOI" : "10.1681/asn.2016101079", "ISSN" : "1046-6673", "abstract" : "The ESRD Quality Incentive Program (QIP) is the first mandatory federal pay for performance program launched on January 1, 2012. The QIP is tied to the ESRD prospective payment system and mandated by the Medicare Improvements for Patients and Providers Act of 2008, which directed the Centers for Medicare and Medicaid Services to expand the payment bundle for renal dialysis services and legislated that payment be tied to quality measures. The QIP links 2% of the payment that a dialysis facility receives for Medicare patients on dialysis to the facility's performance on quality of care measures. Quality measures are evaluated annually for inclusion on the basis of importance, validity, and performance gap. Other quality assessment programs overlap with the QIP; all have substantial effects on provision of care as clinicians, patients, regulators, and dialysis organizations scramble to keep up with the frequent release of wide-ranging regulations. In this review, we provide an overview of quality assessment and quality measures, focusing on the ESRD QIP, its effect on care, and its potential future directions. We conclude that a patient-centered, individualized, and parsimonious approach to quality assessment needs to be maintained to allow the nephrology community to further bridge the quality chasm in dialysis care.", "author" : [ { "dropping-particle" : "", "family" : "Weiner", "given" : "Daniel", "non-dropping-particle" : "", "parse-names" : false, "suffix" : "" }, { "dropping-particle" : "", "family" : "Watnick", "given" : "Suzanne", "non-dropping-particle" : "", "parse-names" : false, "suffix" : "" } ], "container-title" : "Journal of the American Society of Nephrology", "id" : "ITEM-1", "issue" : "6", "issued" : { "date-parts" : [ [ "2017" ] ] }, "page" : "1697-1706", "title" : "The ESRD Quality Incentive Program\u2014Can We Bridge the Chasm?", "type" : "article-journal", "volume" : "28" }, "uris" : [ "http://www.mendeley.com/documents/?uuid=c78baae5-bb09-40e5-9325-a93b39c0bbe0" ] } ], "mendeley" : { "formattedCitation" : "[5]", "plainTextFormattedCitation" : "[5]", "previouslyFormattedCitation" : "[5]" }, "properties" : {  }, "schema" : "https://github.com/citation-style-language/schema/raw/master/csl-citation.json" }</w:instrText>
            </w:r>
            <w:r w:rsidRPr="00CA0397">
              <w:rPr>
                <w:sz w:val="20"/>
                <w:szCs w:val="20"/>
              </w:rPr>
              <w:fldChar w:fldCharType="separate"/>
            </w:r>
            <w:r w:rsidRPr="00CA0397">
              <w:rPr>
                <w:noProof/>
                <w:sz w:val="20"/>
                <w:szCs w:val="20"/>
              </w:rPr>
              <w:t>[5]</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ESRD QIP</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Design of the scheme:</w:t>
            </w:r>
            <w:r w:rsidRPr="00CA0397">
              <w:rPr>
                <w:sz w:val="20"/>
                <w:szCs w:val="20"/>
              </w:rPr>
              <w:t xml:space="preserve"> Critical features remain in creating quality measures that are patient-centered and reflect health-related quality of life, end of life and advance care planning, and patient engagement in their medical care. Many of the measures included in the QIP are not supported by enough evidence, The QIP is devoid of patient-centered measures (although with some late improvements). Improved survey incorporating patient preferences and patient-relevant symptoms may provide more patient-centered information. </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t xml:space="preserve">Lin et al. (2017) </w:t>
            </w:r>
            <w:r w:rsidRPr="00CA0397">
              <w:rPr>
                <w:sz w:val="20"/>
                <w:szCs w:val="20"/>
              </w:rPr>
              <w:fldChar w:fldCharType="begin" w:fldLock="1"/>
            </w:r>
            <w:r w:rsidRPr="00CA0397">
              <w:rPr>
                <w:sz w:val="20"/>
                <w:szCs w:val="20"/>
              </w:rPr>
              <w:instrText>ADDIN CSL_CITATION { "citationItems" : [ { "id" : "ITEM-1", "itemData" : { "DOI" : "10.1681/asn.2017040407", "ISSN" : "1046-6673", "abstract" : "Copyright \u00a9 2017 by the American Society of Nephrology. In response to rising Medicare costs, Congress passed the Medicare Access and Children's Health Insurance Program Reauthorization Act in 2015. The law fundamentally changes the way that health care providers are reimbursed by implementing a pay for performance system that rewards providers for high-value health care. As of the beginning of 2017, providers will be evaluated on quality and in later years, cost as well. High-quality, cost-efficient providers will receive bonuses in reimbursement, and low-quality, expensive providers will be penalized financially. The Centers for Medicare and Medicaid Services will evaluate provider costs through episodes of care, which are currently in deve lopment, and alternative payment models. Although dialysis-specific alternative payment models have already been implemented, current models do not address the transition of patients from CKD to ESRD, a particularly vulnerable time for patients. Nephrology providers have an opportunity to develop cost-efficient ways to care for patients during these transitions. Efforts like these, if successful, will help ensure that Medicare remains solvent in coming years.", "author" : [ { "dropping-particle" : "", "family" : "Lin", "given" : "Eugene", "non-dropping-particle" : "", "parse-names" : false, "suffix" : "" }, { "dropping-particle" : "", "family" : "MaCurdy", "given" : "Thomas", "non-dropping-particle" : "", "parse-names" : false, "suffix" : "" }, { "dropping-particle" : "", "family" : "Bhattacharya", "given" : "Jay", "non-dropping-particle" : "", "parse-names" : false, "suffix" : "" } ], "container-title" : "Journal of the American Society of Nephrology", "id" : "ITEM-1", "issue" : "9", "issued" : { "date-parts" : [ [ "2017" ] ] }, "page" : "2590-2596", "title" : "The Medicare Access and CHIP Reauthorization Act: Implications for Nephrology", "type" : "article-journal", "volume" : "28" }, "uris" : [ "http://www.mendeley.com/documents/?uuid=4210325b-53e5-422a-b052-c1b2b15a6842" ] } ], "mendeley" : { "formattedCitation" : "[6]", "plainTextFormattedCitation" : "[6]", "previouslyFormattedCitation" : "[6]" }, "properties" : {  }, "schema" : "https://github.com/citation-style-language/schema/raw/master/csl-citation.json" }</w:instrText>
            </w:r>
            <w:r w:rsidRPr="00CA0397">
              <w:rPr>
                <w:sz w:val="20"/>
                <w:szCs w:val="20"/>
              </w:rPr>
              <w:fldChar w:fldCharType="separate"/>
            </w:r>
            <w:r w:rsidRPr="00CA0397">
              <w:rPr>
                <w:noProof/>
                <w:sz w:val="20"/>
                <w:szCs w:val="20"/>
              </w:rPr>
              <w:t>[6]</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CKD (not specified)</w:t>
            </w:r>
          </w:p>
        </w:tc>
        <w:tc>
          <w:tcPr>
            <w:tcW w:w="2013" w:type="dxa"/>
            <w:noWrap/>
            <w:hideMark/>
          </w:tcPr>
          <w:p w:rsidR="00CA0397" w:rsidRPr="00CA0397" w:rsidRDefault="00CA0397" w:rsidP="00CA0397">
            <w:pPr>
              <w:rPr>
                <w:sz w:val="20"/>
                <w:szCs w:val="20"/>
              </w:rPr>
            </w:pPr>
            <w:r w:rsidRPr="00CA0397">
              <w:rPr>
                <w:sz w:val="20"/>
                <w:szCs w:val="20"/>
              </w:rPr>
              <w:t xml:space="preserve">P4P </w:t>
            </w:r>
            <w:proofErr w:type="spellStart"/>
            <w:r w:rsidRPr="00CA0397">
              <w:rPr>
                <w:sz w:val="20"/>
                <w:szCs w:val="20"/>
              </w:rPr>
              <w:t>programme</w:t>
            </w:r>
            <w:proofErr w:type="spellEnd"/>
            <w:r w:rsidRPr="00CA0397">
              <w:rPr>
                <w:sz w:val="20"/>
                <w:szCs w:val="20"/>
              </w:rPr>
              <w:t xml:space="preserve"> introduced by the Medicare Access and Children’s Health Insurance Program Reauthorization Act (MACRA) </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 xml:space="preserve">Design of the scheme: </w:t>
            </w:r>
            <w:r w:rsidRPr="00CA0397">
              <w:rPr>
                <w:sz w:val="20"/>
                <w:szCs w:val="20"/>
              </w:rPr>
              <w:t xml:space="preserve">Practices are free to choose which metrics to be evaluated on. Only a few of the metrics available are specific to nephrology, Therefore, poorly performing nephrologist may not be noticed as the practice scores are built using quality </w:t>
            </w:r>
            <w:proofErr w:type="gramStart"/>
            <w:r w:rsidRPr="00CA0397">
              <w:rPr>
                <w:sz w:val="20"/>
                <w:szCs w:val="20"/>
              </w:rPr>
              <w:t>metrics  from</w:t>
            </w:r>
            <w:proofErr w:type="gramEnd"/>
            <w:r w:rsidRPr="00CA0397">
              <w:rPr>
                <w:sz w:val="20"/>
                <w:szCs w:val="20"/>
              </w:rPr>
              <w:t xml:space="preserve"> better performing specialties; a good balance between quality and costs is needed to avoid patients undertreatment (if costs control prevails) or exorbitant bills (if quality metrics prevail).</w:t>
            </w:r>
          </w:p>
          <w:p w:rsidR="00CA0397" w:rsidRPr="00CA0397" w:rsidRDefault="00CA0397" w:rsidP="00CA0397">
            <w:pPr>
              <w:rPr>
                <w:b/>
                <w:sz w:val="20"/>
                <w:szCs w:val="20"/>
              </w:rPr>
            </w:pPr>
            <w:r w:rsidRPr="00CA0397">
              <w:rPr>
                <w:b/>
                <w:sz w:val="20"/>
                <w:szCs w:val="20"/>
              </w:rPr>
              <w:t xml:space="preserve">Evaluation of the scheme: </w:t>
            </w:r>
            <w:r w:rsidRPr="00CA0397">
              <w:rPr>
                <w:sz w:val="20"/>
                <w:szCs w:val="20"/>
              </w:rPr>
              <w:t>Metrics are risk adjusted, however, statistical models cannot completely eliminate normal fluctuations in costs and quality. Providers with small populations could be penalized even if they are high-performer, due to few outliers (CMS exempt providers with low patient or payment volume, but medium size providers may be affected). Many providers may consolidate to mitigate risk exposure, and in large and medium population areas, small private practice nephrology might become financially untenable.</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lastRenderedPageBreak/>
              <w:t xml:space="preserve">Saunders et al.  (2017) </w:t>
            </w:r>
            <w:r w:rsidRPr="00CA0397">
              <w:rPr>
                <w:sz w:val="20"/>
                <w:szCs w:val="20"/>
              </w:rPr>
              <w:fldChar w:fldCharType="begin" w:fldLock="1"/>
            </w:r>
            <w:r w:rsidRPr="00CA0397">
              <w:rPr>
                <w:sz w:val="20"/>
                <w:szCs w:val="20"/>
              </w:rPr>
              <w:instrText>ADDIN CSL_CITATION { "citationItems" : [ { "id" : "ITEM-1", "itemData" : { "DOI" : "10.1186/s12913-017-2764-4", "ISSN" : "14726963", "abstract" : "We examined the association of dialysis facility characteristics with payment reductions and change in clinical performance measures during the first year of the United States Centers for Medicare &amp; Medicaid Services (CMS) End Stage Renal Disease Quality Incentive Plan (ESRD QIP) to determine its potential impact on quality and disparities in dialysis care. We linked the 2012 ESRD QIP Facility Performance File to the 2007\u20132011 American Community Survey by zip code and dichotomized the QIP total performance scores\u2014derived from percent of patients with urea reduction rate &gt; 65, hemoglobin &lt; 10 g/dL, and hemoglobin &gt; 12 g/dL\u2014as \u2018any\u2019 versus \u2018no\u2019 payment reduction. We characterized associations between payment reduction and dialysis facility characteristics and neighborhood demographics, and examined changes in facility outcomes between 2007 and 2010. In multivariable analysis, facilities with any payment reduction were more likely to have longer operation (OR 1.03 per year), a medium or large number of stations (OR 1.31 and OR 1.42, respectively), and a larger proportion of African Americans (OR 1.25, highest versus lowest quartile), all p &lt; 0.05. Most improvement in clinical performance was due to reduced overtreatment of anemia, a decline in the percentage of patients with hemoglobin \u2265 12 g/dL; for-profits and facilities in African American neighborhoods had the greatest reduction. In the first year of CMS pay-for-performance, most clinical improvement was due to reduced overtreatment of anemia. Facilities in African American neighborhoods were more likely to receive a payment reduction, despite their large decline in anemia overtreatment.", "author" : [ { "dropping-particle" : "", "family" : "Saunders", "given" : "Milda R.", "non-dropping-particle" : "", "parse-names" : false, "suffix" : "" }, { "dropping-particle" : "", "family" : "Lee", "given" : "Haena", "non-dropping-particle" : "", "parse-names" : false, "suffix" : "" }, { "dropping-particle" : "", "family" : "Chin", "given" : "Marshall H.", "non-dropping-particle" : "", "parse-names" : false, "suffix" : "" } ], "container-title" : "BMC health services research", "id" : "ITEM-1", "issue" : "1", "issued" : { "date-parts" : [ [ "2017" ] ] }, "page" : "816", "title" : "Early winners and losers in dialysis center pay-for-performance", "type" : "article-journal", "volume" : "17" }, "uris" : [ "http://www.mendeley.com/documents/?uuid=843cfcda-54e6-4606-aecb-2c622a70dd89" ] } ], "mendeley" : { "formattedCitation" : "[7]", "plainTextFormattedCitation" : "[7]", "previouslyFormattedCitation" : "[7]" }, "properties" : {  }, "schema" : "https://github.com/citation-style-language/schema/raw/master/csl-citation.json" }</w:instrText>
            </w:r>
            <w:r w:rsidRPr="00CA0397">
              <w:rPr>
                <w:sz w:val="20"/>
                <w:szCs w:val="20"/>
              </w:rPr>
              <w:fldChar w:fldCharType="separate"/>
            </w:r>
            <w:r w:rsidRPr="00CA0397">
              <w:rPr>
                <w:noProof/>
                <w:sz w:val="20"/>
                <w:szCs w:val="20"/>
              </w:rPr>
              <w:t>[7]</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ESRD QIP</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 xml:space="preserve">Design of the scheme: </w:t>
            </w:r>
            <w:r w:rsidRPr="00CA0397">
              <w:rPr>
                <w:sz w:val="20"/>
                <w:szCs w:val="20"/>
              </w:rPr>
              <w:t>ESRD QIP rewards absolute performance rather than relative improvement. Thus, facilities in deprived neighborhood may receive a low performance score even if they had the greatest improvement compared to the previous year.</w:t>
            </w:r>
          </w:p>
          <w:p w:rsidR="00CA0397" w:rsidRPr="00CA0397" w:rsidRDefault="00CA0397" w:rsidP="00CA0397">
            <w:pPr>
              <w:rPr>
                <w:b/>
                <w:sz w:val="20"/>
                <w:szCs w:val="20"/>
              </w:rPr>
            </w:pPr>
            <w:r w:rsidRPr="00CA0397">
              <w:rPr>
                <w:b/>
                <w:sz w:val="20"/>
                <w:szCs w:val="20"/>
              </w:rPr>
              <w:t>Evaluation of the scheme:</w:t>
            </w:r>
            <w:r w:rsidRPr="00CA0397">
              <w:rPr>
                <w:sz w:val="20"/>
                <w:szCs w:val="20"/>
              </w:rPr>
              <w:t xml:space="preserve"> other clinical and regulatory forces make difficult to estimate the effects of the </w:t>
            </w:r>
            <w:proofErr w:type="spellStart"/>
            <w:r w:rsidRPr="00CA0397">
              <w:rPr>
                <w:sz w:val="20"/>
                <w:szCs w:val="20"/>
              </w:rPr>
              <w:t>programme</w:t>
            </w:r>
            <w:proofErr w:type="spellEnd"/>
            <w:r w:rsidRPr="00CA0397">
              <w:rPr>
                <w:sz w:val="20"/>
                <w:szCs w:val="20"/>
              </w:rPr>
              <w:t xml:space="preserve"> (e.g. change in clinical guidelines).</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t xml:space="preserve">Diamond and Howard (2016) </w:t>
            </w:r>
            <w:r w:rsidRPr="00CA0397">
              <w:rPr>
                <w:sz w:val="20"/>
                <w:szCs w:val="20"/>
              </w:rPr>
              <w:fldChar w:fldCharType="begin" w:fldLock="1"/>
            </w:r>
            <w:r w:rsidRPr="00CA0397">
              <w:rPr>
                <w:sz w:val="20"/>
                <w:szCs w:val="20"/>
              </w:rPr>
              <w:instrText>ADDIN CSL_CITATION { "citationItems" : [ { "id" : "ITEM-1", "itemData" : { "DOI" : "10.1053/j.ackd.2016.11.007", "ISSN" : "15485609", "abstract" : "This article describes the current state of facilitating the integration of evidence into practice to support initiatives focused on patients with ESRD. We will use the Centers for Medicare and Medicaid Services (CMS) ESRD Quality Incentive Program (QIP) as an example, including a description of the health information infrastructure needed to support the translation of evidence into practice and some of the challenges encountered. The process from the generation of evidence to integration of this evidence into practice includes policy development leading to clinical practice guidelines, clinical performance measures, and clinical decision support tools. The ESRD QIP is the most mature program outside the hospital initiatives in the CMS Quality Payment Program and currently contains 16 measures. ESRD data to support these measures are aggregated at the dialysis facility level and reported through the CMS Consolidated Renal Operations in a Web-enabled Network (CROWNWeb) and the Centers for Disease Control and Prevention using the National Healthcare Safety Network. We review these measures and the health information infrastructure used to report the data, focusing on the inherent strengths and weaknesses of the ESRD QIP along with opportunities for improvement of the program.", "author" : [ { "dropping-particle" : "", "family" : "Diamond", "given" : "Louis H.", "non-dropping-particle" : "", "parse-names" : false, "suffix" : "" }, { "dropping-particle" : "", "family" : "Howard", "given" : "Andrew D.", "non-dropping-particle" : "", "parse-names" : false, "suffix" : "" } ], "container-title" : "Advances in Chronic Kidney Disease", "id" : "ITEM-1", "issue" : "6", "issued" : { "date-parts" : [ [ "2016" ] ] }, "page" : "377-384", "title" : "The ESRD Quality Incentive Program: The Current Limitations of Evidence and Data to Develop Measures, Drive Improvement, and Incentivize Outcomes", "type" : "article", "volume" : "23" }, "uris" : [ "http://www.mendeley.com/documents/?uuid=16b449ea-9a97-4d20-aafe-49bbdd9d9962" ] } ], "mendeley" : { "formattedCitation" : "[8]", "plainTextFormattedCitation" : "[8]", "previouslyFormattedCitation" : "[8]" }, "properties" : {  }, "schema" : "https://github.com/citation-style-language/schema/raw/master/csl-citation.json" }</w:instrText>
            </w:r>
            <w:r w:rsidRPr="00CA0397">
              <w:rPr>
                <w:sz w:val="20"/>
                <w:szCs w:val="20"/>
              </w:rPr>
              <w:fldChar w:fldCharType="separate"/>
            </w:r>
            <w:r w:rsidRPr="00CA0397">
              <w:rPr>
                <w:noProof/>
                <w:sz w:val="20"/>
                <w:szCs w:val="20"/>
              </w:rPr>
              <w:t>[8]</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ESRD QIP</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 xml:space="preserve">Design of the scheme: </w:t>
            </w:r>
            <w:r w:rsidRPr="00CA0397">
              <w:rPr>
                <w:sz w:val="20"/>
                <w:szCs w:val="20"/>
              </w:rPr>
              <w:t xml:space="preserve">The majority of metrics in current use in the QIP are not evidence based. Four characteristics for quality metrics are required: 1) the care process results in improved outcomes, 2) the measures </w:t>
            </w:r>
            <w:proofErr w:type="gramStart"/>
            <w:r w:rsidRPr="00CA0397">
              <w:rPr>
                <w:sz w:val="20"/>
                <w:szCs w:val="20"/>
              </w:rPr>
              <w:t>captures</w:t>
            </w:r>
            <w:proofErr w:type="gramEnd"/>
            <w:r w:rsidRPr="00CA0397">
              <w:rPr>
                <w:sz w:val="20"/>
                <w:szCs w:val="20"/>
              </w:rPr>
              <w:t xml:space="preserve"> provision of these processes, 3) the measure is independent from other processes and 4) the measure will not lead to unintended consequences. None of the actual measures of the QIP meet these criteria.</w:t>
            </w:r>
          </w:p>
          <w:p w:rsidR="00CA0397" w:rsidRPr="00CA0397" w:rsidRDefault="00CA0397" w:rsidP="00CA0397">
            <w:pPr>
              <w:rPr>
                <w:sz w:val="20"/>
                <w:szCs w:val="20"/>
              </w:rPr>
            </w:pPr>
            <w:r w:rsidRPr="00CA0397">
              <w:rPr>
                <w:b/>
                <w:sz w:val="20"/>
                <w:szCs w:val="20"/>
              </w:rPr>
              <w:t>Evaluation of the scheme:</w:t>
            </w:r>
            <w:r w:rsidRPr="00CA0397">
              <w:rPr>
                <w:sz w:val="20"/>
                <w:szCs w:val="20"/>
              </w:rPr>
              <w:t xml:space="preserve"> dialysis facilities load  the data that are used for quality measures manually into the data platform (</w:t>
            </w:r>
            <w:proofErr w:type="spellStart"/>
            <w:r w:rsidRPr="00CA0397">
              <w:rPr>
                <w:sz w:val="20"/>
                <w:szCs w:val="20"/>
              </w:rPr>
              <w:t>CROWNWeb</w:t>
            </w:r>
            <w:proofErr w:type="spellEnd"/>
            <w:r w:rsidRPr="00CA0397">
              <w:rPr>
                <w:sz w:val="20"/>
                <w:szCs w:val="20"/>
              </w:rPr>
              <w:t xml:space="preserve">), </w:t>
            </w:r>
            <w:proofErr w:type="spellStart"/>
            <w:r w:rsidRPr="00CA0397">
              <w:rPr>
                <w:sz w:val="20"/>
                <w:szCs w:val="20"/>
              </w:rPr>
              <w:t>favouring</w:t>
            </w:r>
            <w:proofErr w:type="spellEnd"/>
            <w:r w:rsidRPr="00CA0397">
              <w:rPr>
                <w:sz w:val="20"/>
                <w:szCs w:val="20"/>
              </w:rPr>
              <w:t xml:space="preserve"> data entering errors; congestion of </w:t>
            </w:r>
            <w:proofErr w:type="spellStart"/>
            <w:r w:rsidRPr="00CA0397">
              <w:rPr>
                <w:sz w:val="20"/>
                <w:szCs w:val="20"/>
              </w:rPr>
              <w:t>CROWNWeb</w:t>
            </w:r>
            <w:proofErr w:type="spellEnd"/>
            <w:r w:rsidRPr="00CA0397">
              <w:rPr>
                <w:sz w:val="20"/>
                <w:szCs w:val="20"/>
              </w:rPr>
              <w:t xml:space="preserve"> has been another issue, given the amount of data entered daily; there is high frequency of missing data and the pattern of different organizations, and end-users interpreting business rules differently (e.g. starting and ending point of a measure), resulting in inconsistent and frequently inaccurate data; there is a lack of reports for users to run and use </w:t>
            </w:r>
            <w:proofErr w:type="spellStart"/>
            <w:r w:rsidRPr="00CA0397">
              <w:rPr>
                <w:sz w:val="20"/>
                <w:szCs w:val="20"/>
              </w:rPr>
              <w:t>CROWNWeb</w:t>
            </w:r>
            <w:proofErr w:type="spellEnd"/>
            <w:r w:rsidRPr="00CA0397">
              <w:rPr>
                <w:sz w:val="20"/>
                <w:szCs w:val="20"/>
              </w:rPr>
              <w:t>; Administrative claims data is a second source for quality measures, however, since they go through in depth audit and adjudication phases, there is generally a  delay in getting a full data set for purposes of calculating measures of dialysis facility performance, making this data source challenging to use for rapid cycle quality improvement; another source of data is the CDC-NHSN on infections and infections-related events. Again, variability of input is an issue, especially due to the high dialysis facility staff turnover rates leading to signiﬁcant variability in data entry.</w:t>
            </w:r>
          </w:p>
        </w:tc>
      </w:tr>
      <w:tr w:rsidR="00CA0397" w:rsidRPr="00CA0397" w:rsidTr="00CA0397">
        <w:trPr>
          <w:trHeight w:val="567"/>
        </w:trPr>
        <w:tc>
          <w:tcPr>
            <w:tcW w:w="1843" w:type="dxa"/>
            <w:noWrap/>
            <w:hideMark/>
          </w:tcPr>
          <w:p w:rsidR="00CA0397" w:rsidRPr="00CA0397" w:rsidRDefault="00CA0397" w:rsidP="00CA0397">
            <w:pPr>
              <w:rPr>
                <w:sz w:val="20"/>
                <w:szCs w:val="20"/>
              </w:rPr>
            </w:pPr>
            <w:proofErr w:type="spellStart"/>
            <w:r w:rsidRPr="00CA0397">
              <w:rPr>
                <w:sz w:val="20"/>
                <w:szCs w:val="20"/>
              </w:rPr>
              <w:t>Kliger</w:t>
            </w:r>
            <w:proofErr w:type="spellEnd"/>
            <w:r w:rsidRPr="00CA0397">
              <w:rPr>
                <w:sz w:val="20"/>
                <w:szCs w:val="20"/>
              </w:rPr>
              <w:t xml:space="preserve"> (2016) </w:t>
            </w:r>
            <w:r w:rsidRPr="00CA0397">
              <w:rPr>
                <w:sz w:val="20"/>
                <w:szCs w:val="20"/>
              </w:rPr>
              <w:fldChar w:fldCharType="begin" w:fldLock="1"/>
            </w:r>
            <w:r w:rsidRPr="00CA0397">
              <w:rPr>
                <w:sz w:val="20"/>
                <w:szCs w:val="20"/>
              </w:rPr>
              <w:instrText>ADDIN CSL_CITATION { "citationItems" : [ { "id" : "ITEM-1", "itemData" : { "DOI" : "10.2215/CJN.06010615", "ISSN" : "1555905X", "abstract" : "Recent federal legislation establishes a merit-based incentive payment system for physicians, with a scorecard for each professional. The Centers for Medicare and Medicaid Services evaluate quality of care with clinical performance measures and have used these metrics for public reporting and payment to dialysis facilities. Similar metrics may be used for the future merit-based incentive payment system. In nephrology, most clinical performance measures measure processes and intermediate outcomes of care. These metrics were developed from population studies of best practice and do not identify opportunities for individualizing care on the basis of patient characteristics and individual goals of treatment. The In-Center Hemodialysis (ICH) Consumer Assessment of Healthcare Providers and Systems (CAHPS) survey examines patients' perception of care and has entered the arena to evaluate quality of care. A balanced scorecard of quality performance should include three elements: population-based best clinical practice, patient perceptions, and individually crafted patient goals of care.", "author" : [ { "dropping-particle" : "", "family" : "Kliger", "given" : "Alan S.", "non-dropping-particle" : "", "parse-names" : false, "suffix" : "" } ], "container-title" : "Clinical Journal of the American Society of Nephrology", "id" : "ITEM-1", "issue" : "2", "issued" : { "date-parts" : [ [ "2016" ] ] }, "page" : "363-368", "title" : "Quality measures for dialysis: Time for a balanced scorecard", "type" : "article-journal", "volume" : "11" }, "uris" : [ "http://www.mendeley.com/documents/?uuid=46618d8a-d8e7-47af-b69a-95e704d31194" ] } ], "mendeley" : { "formattedCitation" : "[9]", "plainTextFormattedCitation" : "[9]", "previouslyFormattedCitation" : "[9]" }, "properties" : {  }, "schema" : "https://github.com/citation-style-language/schema/raw/master/csl-citation.json" }</w:instrText>
            </w:r>
            <w:r w:rsidRPr="00CA0397">
              <w:rPr>
                <w:sz w:val="20"/>
                <w:szCs w:val="20"/>
              </w:rPr>
              <w:fldChar w:fldCharType="separate"/>
            </w:r>
            <w:r w:rsidRPr="00CA0397">
              <w:rPr>
                <w:noProof/>
                <w:sz w:val="20"/>
                <w:szCs w:val="20"/>
              </w:rPr>
              <w:t>[9]</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ESRD QIP</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 xml:space="preserve">Design of the scheme: </w:t>
            </w:r>
            <w:r w:rsidRPr="00CA0397">
              <w:rPr>
                <w:sz w:val="20"/>
                <w:szCs w:val="20"/>
              </w:rPr>
              <w:t>The current measures included in nephrology Clinical Performance Measures (CPMs) identiﬁes several desired intermediate outcome and process measures, but some challenges are outlined: measures could be unreliable because of poor correlation with truly important clinical outcomes; measures of the patient experience and quality of life are still missing. In fact, although the In-Center Hemodialysis (ICH) Consumer Assessment of Healthcare Providers and Systems (CAHPS) has been included among performance indicators,  they have only measured use of the ICH CAPHS tool, and not actual patient responses; lastly individual patients may have different preferences and goals for therapy  which may not be aligned to the population-based clinical process and outcome improvements underlying actual CPMs (e.g. patients who come to dialysis as part of a palliative care plan have different goals than patients seeking life-prolonging treatment).</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lastRenderedPageBreak/>
              <w:t xml:space="preserve">Moss and Davison (2015) </w:t>
            </w:r>
            <w:r w:rsidRPr="00CA0397">
              <w:rPr>
                <w:sz w:val="20"/>
                <w:szCs w:val="20"/>
              </w:rPr>
              <w:fldChar w:fldCharType="begin" w:fldLock="1"/>
            </w:r>
            <w:r w:rsidRPr="00CA0397">
              <w:rPr>
                <w:sz w:val="20"/>
                <w:szCs w:val="20"/>
              </w:rPr>
              <w:instrText>ADDIN CSL_CITATION { "citationItems" : [ { "id" : "ITEM-1", "itemData" : { "DOI" : "10.2215/CJN.07410714", "ISSN" : "1555905X", "abstract" : "For over 20 years, the quality of medical care of the Medicare ESRD\\nProgram has been a concern. The Centers for Medicare and Medicaid\\nServices have implemented the ESRD Quality Incentive Program, which uses\\nthe principles of value-based purchasing; dialysis providers are paid\\nfor performance on predefined quality measures, with a goal of improving\\npatient outcomes and the quality of patient care. The ESRD Quality\\nIncentive Program measures have been criticized, because they are\\nlargely disease oriented and use easy-to-obtain laboratory-based\\nindicators, such as Kt/V and hemoglobin, that do not reflect outcomes\\nthat are most important to patients and have had a minimal effect on\\nsurvival or quality of life. A key goal of improving quality of care is\\nto enhance quality of life, a patient-important quality measure that\\nmatters more to many patients than even survival. None of the ESRD\\nQuality Incentive Program measures assess patient-reported quality of\\nlife. As outlined in the National Quality Strategy, the Centers for\\nMedicare and Medicaid Services are holding providers accountable in six\\npriority domains, in which quality measures have been and are being\\ndeveloped for value-based purchasing. Three measures-patient experience\\nand engagement, clinical care, and care coordination-are particularly\\nrelevant to quality care in the ESRD Program; the 2014 ESRD Quality\\nIncentive Program includes six measures, none of which provide data from\\na patient-centered perspective. Value-based purchasing is a well\\nintentioned step to improve care of patients on dialysis. However, the\\nCenters for Medicare and Medicaid Services need to implement significant\\nchange in what is measured for the ESRD Quality Incentive Program to be\\npatient centered and aligned with patients' values, preferences, and\\nneeds. This paper provides examples of potential quality measures for\\npatient experience and engagement, clinical care, and care coordination,\\nwhich if implemented, would be much more likely to enhance quality of\\nlife for patients with ESRD than present ESRD Quality Incentive Program\\nmeasures.", "author" : [ { "dropping-particle" : "", "family" : "Moss", "given" : "Alvin H.", "non-dropping-particle" : "", "parse-names" : false, "suffix" : "" }, { "dropping-particle" : "", "family" : "Davison", "given" : "Sara N.", "non-dropping-particle" : "", "parse-names" : false, "suffix" : "" } ], "container-title" : "Clinical Journal of the American Society of Nephrology", "id" : "ITEM-1", "issue" : "5", "issued" : { "date-parts" : [ [ "2015" ] ] }, "page" : "888-893", "title" : "How the ESRD quality incentive program could potentially improve quality of life for patients on dialysis", "type" : "article-journal", "volume" : "10" }, "uris" : [ "http://www.mendeley.com/documents/?uuid=1a974d1f-8b86-4c40-b635-95f1eeb0e10f" ] } ], "mendeley" : { "formattedCitation" : "[10]", "plainTextFormattedCitation" : "[10]", "previouslyFormattedCitation" : "[10]" }, "properties" : {  }, "schema" : "https://github.com/citation-style-language/schema/raw/master/csl-citation.json" }</w:instrText>
            </w:r>
            <w:r w:rsidRPr="00CA0397">
              <w:rPr>
                <w:sz w:val="20"/>
                <w:szCs w:val="20"/>
              </w:rPr>
              <w:fldChar w:fldCharType="separate"/>
            </w:r>
            <w:r w:rsidRPr="00CA0397">
              <w:rPr>
                <w:noProof/>
                <w:sz w:val="20"/>
                <w:szCs w:val="20"/>
              </w:rPr>
              <w:t>[10]</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ESRD QIP</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Design of the scheme:</w:t>
            </w:r>
            <w:r w:rsidRPr="00CA0397">
              <w:rPr>
                <w:sz w:val="20"/>
                <w:szCs w:val="20"/>
              </w:rPr>
              <w:t xml:space="preserve"> QIP measures have been criticized, because they are largely disease oriented and use easy-to-obtain laboratory-based indicators, such as </w:t>
            </w:r>
            <w:proofErr w:type="spellStart"/>
            <w:r w:rsidRPr="00CA0397">
              <w:rPr>
                <w:sz w:val="20"/>
                <w:szCs w:val="20"/>
              </w:rPr>
              <w:t>Kt</w:t>
            </w:r>
            <w:proofErr w:type="spellEnd"/>
            <w:r w:rsidRPr="00CA0397">
              <w:rPr>
                <w:sz w:val="20"/>
                <w:szCs w:val="20"/>
              </w:rPr>
              <w:t xml:space="preserve">/V and hemoglobin, that do not reflect outcomes that are most important to patients and have had a minimal effect on survival or quality of life. Whereas none of the actual or proposed measures assess patient-reported quality of life; among the measures included in the CMS National Quality Strategy, three measures—patient experience and engagement, clinical care, and care coordination—are particularly relevant to quality care in the ESRD Program. However, in the 2014 ESRD </w:t>
            </w:r>
            <w:proofErr w:type="gramStart"/>
            <w:r w:rsidRPr="00CA0397">
              <w:rPr>
                <w:sz w:val="20"/>
                <w:szCs w:val="20"/>
              </w:rPr>
              <w:t>QIP,  none</w:t>
            </w:r>
            <w:proofErr w:type="gramEnd"/>
            <w:r w:rsidRPr="00CA0397">
              <w:rPr>
                <w:sz w:val="20"/>
                <w:szCs w:val="20"/>
              </w:rPr>
              <w:t xml:space="preserve"> of the 6 measures included provide data from a patient-centered perspective.</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t xml:space="preserve">Saunders and Chin (2013) </w:t>
            </w:r>
            <w:r w:rsidRPr="00CA0397">
              <w:rPr>
                <w:sz w:val="20"/>
                <w:szCs w:val="20"/>
              </w:rPr>
              <w:fldChar w:fldCharType="begin" w:fldLock="1"/>
            </w:r>
            <w:r w:rsidRPr="00CA0397">
              <w:rPr>
                <w:sz w:val="20"/>
                <w:szCs w:val="20"/>
              </w:rPr>
              <w:instrText>ADDIN CSL_CITATION { "citationItems" : [ { "id" : "ITEM-1", "itemData" : { "DOI" : "10.1097/MLR.0b013e318287d720", "ISSN" : "00257079", "abstract" : "BACKGROUND: We examined whether dialysis facility characteristics, neighborhood demographics, and region are associated with Centers for Medicare and Medicaid Services (CMS) dialysis facility quality measures in order to determine the most important targets for intervention. METHODS: We linked US census data to the CMS Dialysis Compare File which contains information for facility outcomes for all CMS-certified dialysis facilities in 2007 (n=5616). We then used linear and logistic regression to characterize the association between dialysis facility quality-worse than expected patient survival, and the proportion of individuals in a facility achieving dialysis adequacy (urea reduction rate &gt;65) or target hemoglobin (10&lt;Hgb&lt;12 g/dL)-and dialysis facility characteristics, neighborhood demographics, and region. RESULTS: Only an increasing proportion of African Americans in the neighborhood is consistently associated with worse dialysis facility outcomes, even after controlling for neighborhood poverty. Facilities with the highest proportion of African Americans in the neighborhood had worse patient survival [odds ratio (OR) 4.6; 95% confidence interval (CI), 2.8-7.6], were less likely to have adequate dialysis (\u03b2-1.4; 95% CI,-2.3 to-0.6), and achieve targeted hemoglobin (\u03b2-3.1; 95% CI,-4.7 to-1.6) compared to those with the lowest proportion. No other predictor-facility, neighborhood, or region-was consistently associated with dialysis facility quality. CONCLUSIONS: The proportion of African Americans in the dialysis facility neighborhood is strongly and consistently associated with lower facility quality. Quality improvement efforts are particularly needed for dialysis facilities in minority communities. Copyright \u00a9 2012 by Lippincott Williams &amp;Wilkins.", "author" : [ { "dropping-particle" : "", "family" : "Saunders", "given" : "Milda R.", "non-dropping-particle" : "", "parse-names" : false, "suffix" : "" }, { "dropping-particle" : "", "family" : "Chin", "given" : "Marshall H.", "non-dropping-particle" : "", "parse-names" : false, "suffix" : "" } ], "container-title" : "Medical Care", "id" : "ITEM-1", "issue" : "5", "issued" : { "date-parts" : [ [ "2013" ] ] }, "page" : "413-417", "title" : "Variation in dialysis quality measures by facility, neighborhood, and region", "type" : "article-journal", "volume" : "51" }, "uris" : [ "http://www.mendeley.com/documents/?uuid=d647b296-0752-4e82-a94d-6f6e8abc7a4a" ] } ], "mendeley" : { "formattedCitation" : "[11]", "plainTextFormattedCitation" : "[11]", "previouslyFormattedCitation" : "[11]" }, "properties" : {  }, "schema" : "https://github.com/citation-style-language/schema/raw/master/csl-citation.json" }</w:instrText>
            </w:r>
            <w:r w:rsidRPr="00CA0397">
              <w:rPr>
                <w:sz w:val="20"/>
                <w:szCs w:val="20"/>
              </w:rPr>
              <w:fldChar w:fldCharType="separate"/>
            </w:r>
            <w:r w:rsidRPr="00CA0397">
              <w:rPr>
                <w:noProof/>
                <w:sz w:val="20"/>
                <w:szCs w:val="20"/>
              </w:rPr>
              <w:t>[11]</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ESRD QIP</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 xml:space="preserve">Appropriateness/desirability of the scheme: </w:t>
            </w:r>
            <w:r w:rsidRPr="00CA0397">
              <w:rPr>
                <w:sz w:val="20"/>
                <w:szCs w:val="20"/>
              </w:rPr>
              <w:t>P4P might be ineffective in improving quality of care or, worse, have unintended negative consequences.</w:t>
            </w:r>
          </w:p>
          <w:p w:rsidR="00CA0397" w:rsidRPr="00CA0397" w:rsidRDefault="00CA0397" w:rsidP="00CA0397">
            <w:pPr>
              <w:rPr>
                <w:sz w:val="20"/>
                <w:szCs w:val="20"/>
              </w:rPr>
            </w:pPr>
            <w:r w:rsidRPr="00CA0397">
              <w:rPr>
                <w:b/>
                <w:sz w:val="20"/>
                <w:szCs w:val="20"/>
              </w:rPr>
              <w:t xml:space="preserve">Design of the scheme: </w:t>
            </w:r>
            <w:r w:rsidRPr="00CA0397">
              <w:rPr>
                <w:sz w:val="20"/>
                <w:szCs w:val="20"/>
              </w:rPr>
              <w:t xml:space="preserve">The money at risk could be not sufficient to encourage dialysis facilities to improve quality; P4P could also increase ethnic and socioeconomic disparities because of </w:t>
            </w:r>
            <w:proofErr w:type="gramStart"/>
            <w:r w:rsidRPr="00CA0397">
              <w:rPr>
                <w:sz w:val="20"/>
                <w:szCs w:val="20"/>
              </w:rPr>
              <w:t>patients</w:t>
            </w:r>
            <w:proofErr w:type="gramEnd"/>
            <w:r w:rsidRPr="00CA0397">
              <w:rPr>
                <w:sz w:val="20"/>
                <w:szCs w:val="20"/>
              </w:rPr>
              <w:t xml:space="preserve"> self-selection and "cherry picking" from dialysis facilities</w:t>
            </w:r>
          </w:p>
          <w:p w:rsidR="00CA0397" w:rsidRPr="00CA0397" w:rsidRDefault="00CA0397" w:rsidP="00CA0397">
            <w:pPr>
              <w:rPr>
                <w:sz w:val="20"/>
                <w:szCs w:val="20"/>
              </w:rPr>
            </w:pPr>
            <w:r w:rsidRPr="00CA0397">
              <w:rPr>
                <w:b/>
                <w:sz w:val="20"/>
                <w:szCs w:val="20"/>
              </w:rPr>
              <w:t xml:space="preserve">Evaluation of the scheme: </w:t>
            </w:r>
            <w:r w:rsidRPr="00CA0397">
              <w:rPr>
                <w:sz w:val="20"/>
                <w:szCs w:val="20"/>
              </w:rPr>
              <w:t>It is not clear whether the reported improvement in anemia overtreatment (reduced % of patients on ESAs with Hgb &gt;</w:t>
            </w:r>
            <w:r w:rsidRPr="00CA0397">
              <w:rPr>
                <w:sz w:val="20"/>
                <w:szCs w:val="20"/>
              </w:rPr>
              <w:br/>
              <w:t>12 g/dL) was  mainly a consequence   of the concomitant incentives of P4P, anticipation of bundled payment for ESAs, and mounting clinical evidence of the potential harms of ESAs; the likelihood of a facility receiving any payment reduction increased as proportion of African Americans in the neighborhood increased, even after controlling for neighborhood poverty.</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t xml:space="preserve">Karunaratne et al.  (2013) </w:t>
            </w:r>
            <w:r w:rsidRPr="00CA0397">
              <w:rPr>
                <w:sz w:val="20"/>
                <w:szCs w:val="20"/>
              </w:rPr>
              <w:fldChar w:fldCharType="begin" w:fldLock="1"/>
            </w:r>
            <w:r w:rsidRPr="00CA0397">
              <w:rPr>
                <w:sz w:val="20"/>
                <w:szCs w:val="20"/>
              </w:rPr>
              <w:instrText>ADDIN CSL_CITATION { "citationItems" : [ { "id" : "ITEM-1", "itemData" : { "DOI" : "10.1093/ndt/gft093", "ISSN" : "09310509", "abstract" : "BACKGROUND: The implementation of national estimated glomerular filatration rate reporting and the inclusion of renal-specific indicators in a primary care pay for performance (P4P) system since April 2006 has promoted identification and better management of risk factors related to chronic kidney disease (CKD). In the UK, the P4P framework is known as the Quality and Outcomes Framework (QOF). One of the key targets for intervention in primary care was hypertension. It is clear that hypertension is a major predictor of development and progression of CKD; thus, targeting better blood pressure control is likely to have a positive impact on outcomes in CKD. The aim of this study was to evaluate the effectiveness of renal indicators outlined in P4P on the management of hypertension in primary care. To estimate the cost implications of the resulting changes in prescribing patterns of antihypertensive medication following introduction of such indicators. METHODS: We performed a prospective cohort study using a large primary care database. This cohort was taken from a database collated as part of a clinical decision support system used to assist the management of CKD in primary care. We investigated a total population of 90 250 individuals on general practitioner (GP) registers with a valid serum creatinine estimation in the 6-year study period. A total of 10 040 patients had confirmed stage 3-5 CKD in the 2 years pre-QOF and formed the study cohort. Patients were studied over three time periods, pre-QOF (1 April 2004 to 31 March 2006), 2 years post-QOF (1 April 2006 to 31 March 2008) and finally the two subsequent years (1 April 2008 to 31 March 2010). The mean systolic and diastolic blood pressures (BP) together with antihypertensive medication were analysed over the three time periods. Cost calculation was based on 2009 British National Formulary list prices for antihypertensives. RESULTS: The mean age of the cohort at the start of the study period was 64.8 years, 55% were female. In those patients with stage 3-5 CKD 83.9% were hypertensive, defined by a pre-P4P BP of &gt;140/85 or currently taking antihypertensive medication. The proportion of patients with CKD 3-5 attaining the BP target of 145/80 increased from 41.5% in the pre-QOF period to 50.0% in the post-QOF period. This increase was even more marked for those with hypertension in the pre-QOF period (28.8-45.1%). In the hypertensive patients, mean BP fell from 146/79 mmHg to 140/76 in the first 2 years \u2026", "author" : [ { "dropping-particle" : "", "family" : "Karunaratne", "given" : "Kushan", "non-dropping-particle" : "", "parse-names" : false, "suffix" : "" }, { "dropping-particle" : "", "family" : "Stevens", "given" : "Paul", "non-dropping-particle" : "", "parse-names" : false, "suffix" : "" }, { "dropping-particle" : "", "family" : "Irving", "given" : "Jean", "non-dropping-particle" : "", "parse-names" : false, "suffix" : "" }, { "dropping-particle" : "", "family" : "Hobbs", "given" : "Helen", "non-dropping-particle" : "", "parse-names" : false, "suffix" : "" }, { "dropping-particle" : "", "family" : "Kilbride", "given" : "Hannah", "non-dropping-particle" : "", "parse-names" : false, "suffix" : "" }, { "dropping-particle" : "", "family" : "Kingston", "given" : "Richard", "non-dropping-particle" : "", "parse-names" : false, "suffix" : "" }, { "dropping-particle" : "", "family" : "Farmer", "given" : "Chris", "non-dropping-particle" : "", "parse-names" : false, "suffix" : "" } ], "container-title" : "Nephrology Dialysis Transplantation", "id" : "ITEM-1", "issue" : "8", "issued" : { "date-parts" : [ [ "2013" ] ] }, "page" : "2107-2116", "title" : "The impact of pay for performance on the control of blood pressure in people with chronic kidney disease stage 3-5", "type" : "article-journal", "volume" : "28" }, "uris" : [ "http://www.mendeley.com/documents/?uuid=ac8d7c06-12ab-46ca-9671-15295b8c1bd4" ] } ], "mendeley" : { "formattedCitation" : "[12]", "plainTextFormattedCitation" : "[12]", "previouslyFormattedCitation" : "[12]" }, "properties" : {  }, "schema" : "https://github.com/citation-style-language/schema/raw/master/csl-citation.json" }</w:instrText>
            </w:r>
            <w:r w:rsidRPr="00CA0397">
              <w:rPr>
                <w:sz w:val="20"/>
                <w:szCs w:val="20"/>
              </w:rPr>
              <w:fldChar w:fldCharType="separate"/>
            </w:r>
            <w:r w:rsidRPr="00CA0397">
              <w:rPr>
                <w:noProof/>
                <w:sz w:val="20"/>
                <w:szCs w:val="20"/>
              </w:rPr>
              <w:t>[12]</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CKD stage 3-5</w:t>
            </w:r>
          </w:p>
        </w:tc>
        <w:tc>
          <w:tcPr>
            <w:tcW w:w="2013" w:type="dxa"/>
            <w:noWrap/>
            <w:hideMark/>
          </w:tcPr>
          <w:p w:rsidR="00CA0397" w:rsidRPr="00CA0397" w:rsidRDefault="00CA0397" w:rsidP="00CA0397">
            <w:pPr>
              <w:rPr>
                <w:sz w:val="20"/>
                <w:szCs w:val="20"/>
              </w:rPr>
            </w:pPr>
            <w:r w:rsidRPr="00CA0397">
              <w:rPr>
                <w:sz w:val="20"/>
                <w:szCs w:val="20"/>
              </w:rPr>
              <w:t>Quality and Outcomes Framework (QOF)</w:t>
            </w:r>
          </w:p>
        </w:tc>
        <w:tc>
          <w:tcPr>
            <w:tcW w:w="939" w:type="dxa"/>
            <w:noWrap/>
            <w:hideMark/>
          </w:tcPr>
          <w:p w:rsidR="00CA0397" w:rsidRPr="00CA0397" w:rsidRDefault="00CA0397" w:rsidP="00CA0397">
            <w:pPr>
              <w:rPr>
                <w:sz w:val="20"/>
                <w:szCs w:val="20"/>
              </w:rPr>
            </w:pPr>
            <w:r w:rsidRPr="00CA0397">
              <w:rPr>
                <w:sz w:val="20"/>
                <w:szCs w:val="20"/>
              </w:rPr>
              <w:t>UK</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b/>
                <w:sz w:val="20"/>
                <w:szCs w:val="20"/>
              </w:rPr>
            </w:pPr>
            <w:r w:rsidRPr="00CA0397">
              <w:rPr>
                <w:b/>
                <w:sz w:val="20"/>
                <w:szCs w:val="20"/>
              </w:rPr>
              <w:t xml:space="preserve">Design of the scheme: </w:t>
            </w:r>
            <w:r w:rsidRPr="00CA0397">
              <w:rPr>
                <w:sz w:val="20"/>
                <w:szCs w:val="20"/>
              </w:rPr>
              <w:t>Linking blood pressure targets (BP) to payments in the QOF may distort the recording of BP and lead to an over-representation of BP just below target when compared with just above target.</w:t>
            </w:r>
          </w:p>
        </w:tc>
      </w:tr>
      <w:tr w:rsidR="00CA0397" w:rsidRPr="00CA0397" w:rsidTr="00CA0397">
        <w:trPr>
          <w:trHeight w:val="567"/>
        </w:trPr>
        <w:tc>
          <w:tcPr>
            <w:tcW w:w="1843" w:type="dxa"/>
            <w:noWrap/>
            <w:hideMark/>
          </w:tcPr>
          <w:p w:rsidR="00CA0397" w:rsidRPr="00CA0397" w:rsidRDefault="00CA0397" w:rsidP="00CA0397">
            <w:pPr>
              <w:rPr>
                <w:sz w:val="20"/>
                <w:szCs w:val="20"/>
              </w:rPr>
            </w:pPr>
            <w:proofErr w:type="spellStart"/>
            <w:r w:rsidRPr="00CA0397">
              <w:rPr>
                <w:sz w:val="20"/>
                <w:szCs w:val="20"/>
              </w:rPr>
              <w:t>Fishbane</w:t>
            </w:r>
            <w:proofErr w:type="spellEnd"/>
            <w:r w:rsidRPr="00CA0397">
              <w:rPr>
                <w:sz w:val="20"/>
                <w:szCs w:val="20"/>
              </w:rPr>
              <w:t xml:space="preserve"> et al. (2012) </w:t>
            </w:r>
            <w:r w:rsidRPr="00CA0397">
              <w:rPr>
                <w:sz w:val="20"/>
                <w:szCs w:val="20"/>
              </w:rPr>
              <w:fldChar w:fldCharType="begin" w:fldLock="1"/>
            </w:r>
            <w:r w:rsidRPr="00CA0397">
              <w:rPr>
                <w:sz w:val="20"/>
                <w:szCs w:val="20"/>
              </w:rPr>
              <w:instrText>ADDIN CSL_CITATION { "citationItems" : [ { "id" : "ITEM-1", "itemData" : { "DOI" : "10.1038/ki.2012.138", "ISSN" : "15231755", "abstract" : "Monitoring the quality of dialysis care has long been a component of the Medicare ESRD program. As part of the 2008 Medicare Improvements for Patients and Providers Act (MIPPA), Congress mandated the Quality Incentive Program (QIP), which linked measures of care quality to payments. The legislation embraced the idea that this linkage of federal money to performance would encourage the purchase of greater value. The first 2 program years for the QIP use a simple scoring methodology and a limited scope of quality metrics. For payment year 2014 (performance period calendar year 2012), the program changes substantially, with an expanded number of quality measures and a more complex scoring methodology. In this article, we describe the program structure, quality measures, scoring system, and financial impact. \u00a9 2012 International Society of Nephrology.", "author" : [ { "dropping-particle" : "", "family" : "Fishbane", "given" : "Steven", "non-dropping-particle" : "", "parse-names" : false, "suffix" : "" }, { "dropping-particle" : "", "family" : "Miller", "given" : "Ilene", "non-dropping-particle" : "", "parse-names" : false, "suffix" : "" }, { "dropping-particle" : "", "family" : "Wagner", "given" : "John D.", "non-dropping-particle" : "", "parse-names" : false, "suffix" : "" }, { "dropping-particle" : "", "family" : "Masani", "given" : "Naveed N.", "non-dropping-particle" : "", "parse-names" : false, "suffix" : "" } ], "container-title" : "Kidney International", "id" : "ITEM-1", "issue" : "12", "issued" : { "date-parts" : [ [ "2012" ] ] }, "page" : "1167-1171", "title" : "Changes to the end-stage renal disease quality incentive program", "type" : "article-journal", "volume" : "81" }, "uris" : [ "http://www.mendeley.com/documents/?uuid=daae6b58-33a0-48dd-b34a-4accae568d1c" ] } ], "mendeley" : { "formattedCitation" : "[13]", "plainTextFormattedCitation" : "[13]", "previouslyFormattedCitation" : "[13]" }, "properties" : {  }, "schema" : "https://github.com/citation-style-language/schema/raw/master/csl-citation.json" }</w:instrText>
            </w:r>
            <w:r w:rsidRPr="00CA0397">
              <w:rPr>
                <w:sz w:val="20"/>
                <w:szCs w:val="20"/>
              </w:rPr>
              <w:fldChar w:fldCharType="separate"/>
            </w:r>
            <w:r w:rsidRPr="00CA0397">
              <w:rPr>
                <w:noProof/>
                <w:sz w:val="20"/>
                <w:szCs w:val="20"/>
              </w:rPr>
              <w:t>[13]</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ESRD QIP</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b/>
                <w:sz w:val="20"/>
                <w:szCs w:val="20"/>
              </w:rPr>
            </w:pPr>
            <w:r w:rsidRPr="00CA0397">
              <w:rPr>
                <w:b/>
                <w:sz w:val="20"/>
                <w:szCs w:val="20"/>
              </w:rPr>
              <w:t xml:space="preserve">Design of the scheme: </w:t>
            </w:r>
            <w:r w:rsidRPr="00CA0397">
              <w:rPr>
                <w:sz w:val="20"/>
                <w:szCs w:val="20"/>
              </w:rPr>
              <w:t>Measures should address a process for which there is evidence showing a link with improved clinical outcomes; measures should capture whether evidence-based care has been delivered; they should measure a process as close as possible to the outcomes of interest and should have minimal or unintended consequences. All three quality measures used for QIP in 2013 (patients with Hgb &gt;12 g/dl; patients with urea reduction ratio - URR of ≥65% and type of Vascular Access) violate at least one of these principles. Also, for URR, levels of achievement are already very high so that the measure can't really differentiate between providers nor incentivize performance.</w:t>
            </w:r>
          </w:p>
        </w:tc>
      </w:tr>
      <w:tr w:rsidR="00CA0397" w:rsidRPr="00CA0397" w:rsidTr="00CA0397">
        <w:trPr>
          <w:trHeight w:val="567"/>
        </w:trPr>
        <w:tc>
          <w:tcPr>
            <w:tcW w:w="1843" w:type="dxa"/>
            <w:noWrap/>
            <w:hideMark/>
          </w:tcPr>
          <w:p w:rsidR="00CA0397" w:rsidRPr="00CA0397" w:rsidRDefault="00CA0397" w:rsidP="00CA0397">
            <w:pPr>
              <w:rPr>
                <w:sz w:val="20"/>
                <w:szCs w:val="20"/>
              </w:rPr>
            </w:pPr>
            <w:proofErr w:type="spellStart"/>
            <w:r w:rsidRPr="00CA0397">
              <w:rPr>
                <w:sz w:val="20"/>
                <w:szCs w:val="20"/>
              </w:rPr>
              <w:t>Mendelshon</w:t>
            </w:r>
            <w:proofErr w:type="spellEnd"/>
            <w:r w:rsidRPr="00CA0397">
              <w:rPr>
                <w:sz w:val="20"/>
                <w:szCs w:val="20"/>
              </w:rPr>
              <w:t xml:space="preserve"> and McFarlane (2011) </w:t>
            </w:r>
            <w:r w:rsidRPr="00CA0397">
              <w:rPr>
                <w:sz w:val="20"/>
                <w:szCs w:val="20"/>
              </w:rPr>
              <w:fldChar w:fldCharType="begin" w:fldLock="1"/>
            </w:r>
            <w:r w:rsidRPr="00CA0397">
              <w:rPr>
                <w:sz w:val="20"/>
                <w:szCs w:val="20"/>
              </w:rPr>
              <w:instrText>ADDIN CSL_CITATION { "citationItems" : [ { "id" : "ITEM-1", "itemData" : { "DOI" : "10.1111/j.1525-139X.2011.00970.x", "ISSN" : "08940959", "abstract" : "Evaluation of new therapies after licensing is usually a binary decision by payers; to fund or not to fund. In the real world, many therapies fall into a gray zone of incomplete evaluation. Many clinical and economic issues in nephrology have combined to create a long list of such promising but incompletely evaluated therapies. This article focuses on the economic challenges that limit evidence generation in nephrology. Conditionally funded field evaluations such as coverage with evidence development can allow both earlier access to new treatments and rigorous evaluation. The authors propose that field evaluations will stimulate an environment that promotes pivotal renal care advances. Certainly, the evidence challenge faced by nephrology requires urgent discussions on creating conditions that catalyze and accelerate innovation, and improve patient outcomes. \u00a9 2011 Wiley Periodicals, Inc.", "author" : [ { "dropping-particle" : "", "family" : "Mendelssohn", "given" : "David C.", "non-dropping-particle" : "", "parse-names" : false, "suffix" : "" }, { "dropping-particle" : "", "family" : "Mcfarlane", "given" : "Phil", "non-dropping-particle" : "", "parse-names" : false, "suffix" : "" } ], "container-title" : "Seminars in Dialysis", "id" : "ITEM-1", "issue" : "5", "issued" : { "date-parts" : [ [ "2011" ] ] }, "page" : "556-559", "title" : "Conditionally Funded Field Evaluations-A Solution to the Economic Barriers Limiting Evidence Generation in Dialysis?", "type" : "article-journal", "volume" : "24" }, "uris" : [ "http://www.mendeley.com/documents/?uuid=047924ac-c6f5-47b4-bb8b-9cdb36377fef" ] } ], "mendeley" : { "formattedCitation" : "[14]", "plainTextFormattedCitation" : "[14]", "previouslyFormattedCitation" : "[14]" }, "properties" : {  }, "schema" : "https://github.com/citation-style-language/schema/raw/master/csl-citation.json" }</w:instrText>
            </w:r>
            <w:r w:rsidRPr="00CA0397">
              <w:rPr>
                <w:sz w:val="20"/>
                <w:szCs w:val="20"/>
              </w:rPr>
              <w:fldChar w:fldCharType="separate"/>
            </w:r>
            <w:r w:rsidRPr="00CA0397">
              <w:rPr>
                <w:noProof/>
                <w:sz w:val="20"/>
                <w:szCs w:val="20"/>
              </w:rPr>
              <w:t>[14]</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NA</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Coverage with evidence development (CED)</w:t>
            </w:r>
          </w:p>
        </w:tc>
        <w:tc>
          <w:tcPr>
            <w:tcW w:w="7254" w:type="dxa"/>
          </w:tcPr>
          <w:p w:rsidR="00CA0397" w:rsidRPr="00CA0397" w:rsidRDefault="00CA0397" w:rsidP="00CA0397">
            <w:pPr>
              <w:rPr>
                <w:b/>
                <w:sz w:val="20"/>
                <w:szCs w:val="20"/>
              </w:rPr>
            </w:pPr>
            <w:r w:rsidRPr="00CA0397">
              <w:rPr>
                <w:b/>
                <w:sz w:val="20"/>
                <w:szCs w:val="20"/>
              </w:rPr>
              <w:t>Appropriateness/desirability of the scheme: C</w:t>
            </w:r>
            <w:r w:rsidRPr="00CA0397">
              <w:rPr>
                <w:sz w:val="20"/>
                <w:szCs w:val="20"/>
              </w:rPr>
              <w:t xml:space="preserve">ED may be desirable from the perspectives of payers, manufacturers and patients, because in renal care new drugs and technologies have often high potential, but there are challenges and lack of </w:t>
            </w:r>
            <w:r w:rsidRPr="00CA0397">
              <w:rPr>
                <w:sz w:val="20"/>
                <w:szCs w:val="20"/>
              </w:rPr>
              <w:lastRenderedPageBreak/>
              <w:t xml:space="preserve">incentives for manufacturers in conducting clinical evaluation studies. </w:t>
            </w:r>
            <w:r w:rsidRPr="00CA0397">
              <w:t xml:space="preserve">For industry, CED offsets some of the prohibitive costs and risks associated with developing nephrology products and might make the nephrology research and ‘‘marketplace’’ more inviting. And for payers and governments, it offsets some of the cost and risk of allowing early (and possibly premature) access to promising therapies, and delivers the evidence they need to make fair and informed coverage decisions. </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lastRenderedPageBreak/>
              <w:t xml:space="preserve">Mendelssohn and </w:t>
            </w:r>
            <w:proofErr w:type="spellStart"/>
            <w:r w:rsidRPr="00CA0397">
              <w:rPr>
                <w:sz w:val="20"/>
                <w:szCs w:val="20"/>
              </w:rPr>
              <w:t>Manns</w:t>
            </w:r>
            <w:proofErr w:type="spellEnd"/>
            <w:r w:rsidRPr="00CA0397">
              <w:rPr>
                <w:sz w:val="20"/>
                <w:szCs w:val="20"/>
              </w:rPr>
              <w:t xml:space="preserve"> (2011) </w:t>
            </w:r>
            <w:r w:rsidRPr="00CA0397">
              <w:rPr>
                <w:sz w:val="20"/>
                <w:szCs w:val="20"/>
              </w:rPr>
              <w:fldChar w:fldCharType="begin" w:fldLock="1"/>
            </w:r>
            <w:r w:rsidRPr="00CA0397">
              <w:rPr>
                <w:sz w:val="20"/>
                <w:szCs w:val="20"/>
              </w:rPr>
              <w:instrText>ADDIN CSL_CITATION { "citationItems" : [ { "id" : "ITEM-1", "itemData" : { "DOI" : "10.1053/j.ajkd.2011.02.377", "ISSN" : "02726386", "abstract" : "The existing framework for the evaluation and reimbursement of new drugs and other treatments in nephrology does not appear to be providing the optimal incentives to advance science and improve outcomes for patients with end-stage renal disease. This article examines reasons for this malalignment and how the field of nephrology is affected, then proceeds to show that alternative evaluation paradigms are being developed by the health technology assessment community. These alternative evaluative frameworks are complementary to traditional evidence-based medicine and comparative evaluative research and may be worthy of adaptation by those interested in seeing more pivotal kidney research (both quantity and quality) and more efficient evaluation of new therapies for patients with chronic kidney failure treated using long-term dialysis therapy. \u00a9 2011 National Kidney Foundation, Inc.", "author" : [ { "dropping-particle" : "", "family" : "Mendelssohn", "given" : "David C.", "non-dropping-particle" : "", "parse-names" : false, "suffix" : "" }, { "dropping-particle" : "", "family" : "Manns", "given" : "Braden J.", "non-dropping-particle" : "", "parse-names" : false, "suffix" : "" } ], "container-title" : "American Journal of Kidney Diseases", "id" : "ITEM-1", "issue" : "1", "issued" : { "date-parts" : [ [ "2011" ] ] }, "page" : "13-18", "title" : "A proposal for improving evidence generation in nephrology", "type" : "article-journal", "volume" : "58" }, "uris" : [ "http://www.mendeley.com/documents/?uuid=386f1d73-331a-4952-a9fa-7278b3831bd2" ] } ], "mendeley" : { "formattedCitation" : "[15]", "plainTextFormattedCitation" : "[15]", "previouslyFormattedCitation" : "[15]" }, "properties" : {  }, "schema" : "https://github.com/citation-style-language/schema/raw/master/csl-citation.json" }</w:instrText>
            </w:r>
            <w:r w:rsidRPr="00CA0397">
              <w:rPr>
                <w:sz w:val="20"/>
                <w:szCs w:val="20"/>
              </w:rPr>
              <w:fldChar w:fldCharType="separate"/>
            </w:r>
            <w:r w:rsidRPr="00CA0397">
              <w:rPr>
                <w:noProof/>
                <w:sz w:val="20"/>
                <w:szCs w:val="20"/>
              </w:rPr>
              <w:t>[15]</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NA</w:t>
            </w:r>
          </w:p>
        </w:tc>
        <w:tc>
          <w:tcPr>
            <w:tcW w:w="2013" w:type="dxa"/>
            <w:noWrap/>
            <w:hideMark/>
          </w:tcPr>
          <w:p w:rsidR="00CA0397" w:rsidRPr="00CA0397" w:rsidRDefault="00CA0397" w:rsidP="00CA0397">
            <w:pPr>
              <w:rPr>
                <w:sz w:val="20"/>
                <w:szCs w:val="20"/>
              </w:rPr>
            </w:pPr>
            <w:r w:rsidRPr="00CA0397">
              <w:rPr>
                <w:sz w:val="20"/>
                <w:szCs w:val="20"/>
              </w:rPr>
              <w:t>NA</w:t>
            </w:r>
          </w:p>
        </w:tc>
        <w:tc>
          <w:tcPr>
            <w:tcW w:w="939" w:type="dxa"/>
            <w:noWrap/>
            <w:hideMark/>
          </w:tcPr>
          <w:p w:rsidR="00CA0397" w:rsidRPr="00CA0397" w:rsidRDefault="00CA0397" w:rsidP="00CA0397">
            <w:pPr>
              <w:rPr>
                <w:sz w:val="20"/>
                <w:szCs w:val="20"/>
              </w:rPr>
            </w:pPr>
            <w:r w:rsidRPr="00CA0397">
              <w:rPr>
                <w:sz w:val="20"/>
                <w:szCs w:val="20"/>
              </w:rPr>
              <w:t>NA</w:t>
            </w:r>
          </w:p>
        </w:tc>
        <w:tc>
          <w:tcPr>
            <w:tcW w:w="1588" w:type="dxa"/>
            <w:noWrap/>
            <w:hideMark/>
          </w:tcPr>
          <w:p w:rsidR="00CA0397" w:rsidRPr="00CA0397" w:rsidRDefault="00CA0397" w:rsidP="00CA0397">
            <w:pPr>
              <w:rPr>
                <w:sz w:val="20"/>
                <w:szCs w:val="20"/>
              </w:rPr>
            </w:pPr>
            <w:r w:rsidRPr="00CA0397">
              <w:rPr>
                <w:sz w:val="20"/>
                <w:szCs w:val="20"/>
              </w:rPr>
              <w:t>Coverage with evidence development</w:t>
            </w:r>
          </w:p>
        </w:tc>
        <w:tc>
          <w:tcPr>
            <w:tcW w:w="7254" w:type="dxa"/>
          </w:tcPr>
          <w:p w:rsidR="00CA0397" w:rsidRPr="00CA0397" w:rsidRDefault="00CA0397" w:rsidP="00CA0397">
            <w:pPr>
              <w:rPr>
                <w:sz w:val="20"/>
                <w:szCs w:val="20"/>
              </w:rPr>
            </w:pPr>
            <w:r w:rsidRPr="00CA0397">
              <w:rPr>
                <w:b/>
                <w:sz w:val="20"/>
                <w:szCs w:val="20"/>
              </w:rPr>
              <w:t xml:space="preserve">Appropriateness/ desirability of the scheme: </w:t>
            </w:r>
            <w:r w:rsidRPr="00CA0397">
              <w:rPr>
                <w:sz w:val="20"/>
                <w:szCs w:val="20"/>
              </w:rPr>
              <w:t>Clinical research in nephrology is challenging for several reasons: 1) given the low prevalence of ESRD patients, hard-outcome research with survival as the primary outcome in this small population requires multicenter studies with high cost; since cardiovascular mortality is the major cause of deaths in ESRD patients, much attention has been focused in identifying and modifying risk factors for cardiovascular diseases; 3) Therapies that works well in non-dialysis patients have not been effective in dialysis patients, hence, interventions tested in the general population should be re-tested in dialysis patients; 4) there are no completely validated surrogate outcomes that can substitute for survival outcomes in ESRD to decrease study size, complexity, duration, and the high cost of the required trials.</w:t>
            </w:r>
          </w:p>
          <w:p w:rsidR="00CA0397" w:rsidRPr="00CA0397" w:rsidRDefault="00CA0397" w:rsidP="00CA0397">
            <w:pPr>
              <w:rPr>
                <w:sz w:val="20"/>
                <w:szCs w:val="20"/>
              </w:rPr>
            </w:pPr>
            <w:r w:rsidRPr="00CA0397">
              <w:rPr>
                <w:b/>
                <w:sz w:val="20"/>
                <w:szCs w:val="20"/>
              </w:rPr>
              <w:t xml:space="preserve">Design of the scheme:  </w:t>
            </w:r>
            <w:r w:rsidRPr="00CA0397">
              <w:rPr>
                <w:sz w:val="20"/>
                <w:szCs w:val="20"/>
              </w:rPr>
              <w:t>nephrology has many very rich observational databases, which can be used for hypothesis generation and guidance on care processes.</w:t>
            </w:r>
          </w:p>
          <w:p w:rsidR="00CA0397" w:rsidRPr="00CA0397" w:rsidRDefault="00CA0397" w:rsidP="00CA0397">
            <w:pPr>
              <w:rPr>
                <w:sz w:val="20"/>
                <w:szCs w:val="20"/>
              </w:rPr>
            </w:pPr>
            <w:r w:rsidRPr="00CA0397">
              <w:rPr>
                <w:b/>
                <w:sz w:val="20"/>
                <w:szCs w:val="20"/>
              </w:rPr>
              <w:t xml:space="preserve">Implementation of the scheme: </w:t>
            </w:r>
            <w:r w:rsidRPr="00CA0397">
              <w:rPr>
                <w:sz w:val="20"/>
                <w:szCs w:val="20"/>
              </w:rPr>
              <w:t>nephrologists and/or patients might opt in for a CED scheme, but then not really promote the trials</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t xml:space="preserve">Parker (2011) </w:t>
            </w:r>
            <w:r w:rsidRPr="00CA0397">
              <w:rPr>
                <w:sz w:val="20"/>
                <w:szCs w:val="20"/>
              </w:rPr>
              <w:fldChar w:fldCharType="begin" w:fldLock="1"/>
            </w:r>
            <w:r w:rsidRPr="00CA0397">
              <w:rPr>
                <w:sz w:val="20"/>
                <w:szCs w:val="20"/>
              </w:rPr>
              <w:instrText>ADDIN CSL_CITATION { "citationItems" : [ { "id" : "ITEM-1", "itemData" : { "ISSN" : "1525-139X", "abstract" : "In poorly designed pay-for-performance schemes in which case mix adjustments are not adequate, self-interest could lead nephrologists toward cherry picking dialysis patients. Cherry picking, however, is morally problematic. First, it may manifest itself as a subtle form of covert rationing which threatens to undermine patient trust. Second, it involves shifting the burden of caring for sicker (and less financially attractive) patients to other nephrologists and dialysis units that do not practice cherry picking, creating injustices in the health care system. Finally, it treats patients as mere means through which nephrologists achieve reimbursement instead of as persons possessing dignity and deserving of respect.", "author" : [ { "dropping-particle" : "", "family" : "Parker", "given" : "J Clint", "non-dropping-particle" : "", "parse-names" : false, "suffix" : "" } ], "container-title" : "Seminars in dialysis", "id" : "ITEM-1", "issue" : "1", "issued" : { "date-parts" : [ [ "2011" ] ] }, "page" : "5-8", "title" : "Cherry picking in ESRD: an ethical challenge in the era of pay for performance.", "type" : "article-journal", "volume" : "24" }, "uris" : [ "http://www.mendeley.com/documents/?uuid=bbb386e8-22aa-49ec-ba42-149c29c70bee" ] } ], "mendeley" : { "formattedCitation" : "[16]", "plainTextFormattedCitation" : "[16]", "previouslyFormattedCitation" : "[16]" }, "properties" : {  }, "schema" : "https://github.com/citation-style-language/schema/raw/master/csl-citation.json" }</w:instrText>
            </w:r>
            <w:r w:rsidRPr="00CA0397">
              <w:rPr>
                <w:sz w:val="20"/>
                <w:szCs w:val="20"/>
              </w:rPr>
              <w:fldChar w:fldCharType="separate"/>
            </w:r>
            <w:r w:rsidRPr="00CA0397">
              <w:rPr>
                <w:noProof/>
                <w:sz w:val="20"/>
                <w:szCs w:val="20"/>
              </w:rPr>
              <w:t>[16]</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ESRD QIP</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 xml:space="preserve">Appropriateness/desirability of the scheme: </w:t>
            </w:r>
            <w:r w:rsidRPr="00CA0397">
              <w:rPr>
                <w:sz w:val="20"/>
                <w:szCs w:val="20"/>
              </w:rPr>
              <w:t>In poorly designed pay-for-performance schemes in ESRD in which case mix adjustments are not adequate, rational self-interest could lead nephrologists toward cherry picking dialysis patients. This carries more consequences and distortions on the distribution of rewards across physicians.</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t xml:space="preserve">Himmelfarb and </w:t>
            </w:r>
            <w:proofErr w:type="spellStart"/>
            <w:r w:rsidRPr="00CA0397">
              <w:rPr>
                <w:sz w:val="20"/>
                <w:szCs w:val="20"/>
              </w:rPr>
              <w:t>Kliger</w:t>
            </w:r>
            <w:proofErr w:type="spellEnd"/>
            <w:r w:rsidRPr="00CA0397">
              <w:rPr>
                <w:sz w:val="20"/>
                <w:szCs w:val="20"/>
              </w:rPr>
              <w:t xml:space="preserve"> (2007) </w:t>
            </w:r>
            <w:r w:rsidRPr="00CA0397">
              <w:rPr>
                <w:sz w:val="20"/>
                <w:szCs w:val="20"/>
              </w:rPr>
              <w:fldChar w:fldCharType="begin" w:fldLock="1"/>
            </w:r>
            <w:r w:rsidRPr="00CA0397">
              <w:rPr>
                <w:sz w:val="20"/>
                <w:szCs w:val="20"/>
              </w:rPr>
              <w:instrText>ADDIN CSL_CITATION { "citationItems" : [ { "id" : "ITEM-1", "itemData" : { "DOI" : "10.1146/annurev.med.58.061705.151442", "ISSN" : "0066-4219", "abstract" : "During the past 35 years, there has been a geometric expansion of the population of patients receiving chronic dialysis therapy in the United States. As the size and associated costs of the dialysis population have grown, there has been a consistent and evolving emphasis on measuring and improving the quality of dialysis care. These efforts, aided by robust data collection vehicles, have translated into defined clinical performance measures; nevertheless, morbidity and mortality rates remain high for the dialysis population. Recently, attention has focused on whether improved outcomes could be obtained by paying physicians and dialysis providers on the basis of quality metrics. The feasibility, value, pitfalls, and appropriate quality metrics in a \"payment-for-quality\" program for dialysis care are currently under vigorous discussion.", "author" : [ { "dropping-particle" : "", "family" : "Himmelfarb", "given" : "Jonathan", "non-dropping-particle" : "", "parse-names" : false, "suffix" : "" }, { "dropping-particle" : "", "family" : "Kliger", "given" : "Alan S.", "non-dropping-particle" : "", "parse-names" : false, "suffix" : "" } ], "container-title" : "Annual Review of Medicine", "id" : "ITEM-1", "issue" : "1", "issued" : { "date-parts" : [ [ "2007" ] ] }, "page" : "387-399", "title" : "End-Stage Renal Disease Measures of Quality", "type" : "article-journal", "volume" : "58" }, "uris" : [ "http://www.mendeley.com/documents/?uuid=544f4662-0b97-4dba-bf50-9f14478fc99f" ] } ], "mendeley" : { "formattedCitation" : "[17]", "plainTextFormattedCitation" : "[17]", "previouslyFormattedCitation" : "[17]" }, "properties" : {  }, "schema" : "https://github.com/citation-style-language/schema/raw/master/csl-citation.json" }</w:instrText>
            </w:r>
            <w:r w:rsidRPr="00CA0397">
              <w:rPr>
                <w:sz w:val="20"/>
                <w:szCs w:val="20"/>
              </w:rPr>
              <w:fldChar w:fldCharType="separate"/>
            </w:r>
            <w:r w:rsidRPr="00CA0397">
              <w:rPr>
                <w:noProof/>
                <w:sz w:val="20"/>
                <w:szCs w:val="20"/>
              </w:rPr>
              <w:t>[17]</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General discussion (previous to ERSD QIP)</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 xml:space="preserve">Appropriateness/desirability of the scheme: </w:t>
            </w:r>
            <w:r w:rsidRPr="00CA0397">
              <w:rPr>
                <w:sz w:val="20"/>
                <w:szCs w:val="20"/>
              </w:rPr>
              <w:t>Evidence that payment-for performance strategies improve health care outcomes is sparse</w:t>
            </w:r>
          </w:p>
          <w:p w:rsidR="00CA0397" w:rsidRPr="00CA0397" w:rsidRDefault="00CA0397" w:rsidP="00CA0397">
            <w:pPr>
              <w:rPr>
                <w:sz w:val="20"/>
                <w:szCs w:val="20"/>
              </w:rPr>
            </w:pPr>
            <w:r w:rsidRPr="00CA0397">
              <w:rPr>
                <w:b/>
                <w:sz w:val="20"/>
                <w:szCs w:val="20"/>
              </w:rPr>
              <w:t xml:space="preserve">Design of the scheme: </w:t>
            </w:r>
            <w:r w:rsidRPr="00CA0397">
              <w:rPr>
                <w:sz w:val="20"/>
                <w:szCs w:val="20"/>
              </w:rPr>
              <w:t xml:space="preserve">To be feasible, a P4P </w:t>
            </w:r>
            <w:proofErr w:type="spellStart"/>
            <w:r w:rsidRPr="00CA0397">
              <w:rPr>
                <w:sz w:val="20"/>
                <w:szCs w:val="20"/>
              </w:rPr>
              <w:t>programme</w:t>
            </w:r>
            <w:proofErr w:type="spellEnd"/>
            <w:r w:rsidRPr="00CA0397">
              <w:rPr>
                <w:sz w:val="20"/>
                <w:szCs w:val="20"/>
              </w:rPr>
              <w:t xml:space="preserve"> must contain the following elements: 1) robust epidemiological data; 2) robust data collection vehicles; 3) available evidence-based clinical practice guidelines (CPGs) to develop payment incentives; 4) a culture of payment for quality in dialysis facilities. in the US, epidemiological data is provided by the Dialysis Outcomes Practice Pattern Study and large dialysis organizations. Data collection is allowed through the Standardized Information Management System (a national information infrastructure that electronically links all 18 ESRD Networks with the CMS). Evidence based CPGs are provided by the National Kidney Foundation guidelines. </w:t>
            </w:r>
            <w:proofErr w:type="gramStart"/>
            <w:r w:rsidRPr="00CA0397">
              <w:rPr>
                <w:sz w:val="20"/>
                <w:szCs w:val="20"/>
              </w:rPr>
              <w:t>Finally</w:t>
            </w:r>
            <w:proofErr w:type="gramEnd"/>
            <w:r w:rsidRPr="00CA0397">
              <w:rPr>
                <w:sz w:val="20"/>
                <w:szCs w:val="20"/>
              </w:rPr>
              <w:t xml:space="preserve"> culture of payment for </w:t>
            </w:r>
            <w:r w:rsidRPr="00CA0397">
              <w:rPr>
                <w:sz w:val="20"/>
                <w:szCs w:val="20"/>
              </w:rPr>
              <w:lastRenderedPageBreak/>
              <w:t xml:space="preserve">quality already exists in dialysis facilities linking payments of medical directors to outcomes measures. </w:t>
            </w:r>
            <w:r w:rsidRPr="00CA0397">
              <w:rPr>
                <w:sz w:val="20"/>
                <w:szCs w:val="20"/>
              </w:rPr>
              <w:br/>
              <w:t xml:space="preserve">However, critical aspects are outlined:  evidence used in the CPGs comes mainly from epidemiological studies rather than RCTs so that there is a risk for biased results.  There is no evidence on what is the best P4P design (e.g. same small set of quality measures or </w:t>
            </w:r>
            <w:proofErr w:type="gramStart"/>
            <w:r w:rsidRPr="00CA0397">
              <w:rPr>
                <w:sz w:val="20"/>
                <w:szCs w:val="20"/>
              </w:rPr>
              <w:t>rotating  measures</w:t>
            </w:r>
            <w:proofErr w:type="gramEnd"/>
            <w:r w:rsidRPr="00CA0397">
              <w:rPr>
                <w:sz w:val="20"/>
                <w:szCs w:val="20"/>
              </w:rPr>
              <w:t>?) and whether P4P schemes ultimately improve health outcomes</w:t>
            </w:r>
          </w:p>
          <w:p w:rsidR="00CA0397" w:rsidRPr="00CA0397" w:rsidRDefault="00CA0397" w:rsidP="00CA0397">
            <w:pPr>
              <w:rPr>
                <w:sz w:val="20"/>
                <w:szCs w:val="20"/>
              </w:rPr>
            </w:pPr>
            <w:r w:rsidRPr="00CA0397">
              <w:rPr>
                <w:b/>
                <w:sz w:val="20"/>
                <w:szCs w:val="20"/>
              </w:rPr>
              <w:t xml:space="preserve">Implementation of the scheme: </w:t>
            </w:r>
            <w:r w:rsidRPr="00CA0397">
              <w:rPr>
                <w:sz w:val="20"/>
                <w:szCs w:val="20"/>
              </w:rPr>
              <w:t xml:space="preserve">Individual nephrologists often take care of &lt;60 patients and this challenges the capability to reliably assess individual performances (the same applies to small dialysis </w:t>
            </w:r>
            <w:proofErr w:type="spellStart"/>
            <w:r w:rsidRPr="00CA0397">
              <w:rPr>
                <w:sz w:val="20"/>
                <w:szCs w:val="20"/>
              </w:rPr>
              <w:t>centres</w:t>
            </w:r>
            <w:proofErr w:type="spellEnd"/>
            <w:r w:rsidRPr="00CA0397">
              <w:rPr>
                <w:sz w:val="20"/>
                <w:szCs w:val="20"/>
              </w:rPr>
              <w:t xml:space="preserve">). Cherry picking is another challenge with small numbers that need to be addressed. This is generally guarded against by case-mix adjusting, but Medicare’s current approach to case-mix adjustment is clearly inadequate. In </w:t>
            </w:r>
            <w:proofErr w:type="gramStart"/>
            <w:r w:rsidRPr="00CA0397">
              <w:rPr>
                <w:sz w:val="20"/>
                <w:szCs w:val="20"/>
              </w:rPr>
              <w:t>addition</w:t>
            </w:r>
            <w:proofErr w:type="gramEnd"/>
            <w:r w:rsidRPr="00CA0397">
              <w:rPr>
                <w:sz w:val="20"/>
                <w:szCs w:val="20"/>
              </w:rPr>
              <w:t xml:space="preserve"> frequent and timely feedback on performance to physicians and providers are required, but the CMS to date has not been able to digest and report information in a sufficiently timely fashion. Computer systems required for data collection are often unavailable in individual physician offices or group practices. A reduction in payment for economically marginal facilities that are not meeting quality targets might lead to unit closure in already underserved communities, thereby leaving patients with less overall access to dialysis care.</w:t>
            </w:r>
          </w:p>
          <w:p w:rsidR="00CA0397" w:rsidRPr="00CA0397" w:rsidRDefault="00CA0397" w:rsidP="00CA0397">
            <w:pPr>
              <w:rPr>
                <w:sz w:val="20"/>
                <w:szCs w:val="20"/>
              </w:rPr>
            </w:pPr>
            <w:r w:rsidRPr="00CA0397">
              <w:rPr>
                <w:b/>
                <w:sz w:val="20"/>
                <w:szCs w:val="20"/>
              </w:rPr>
              <w:t xml:space="preserve">Evaluation of the scheme: </w:t>
            </w:r>
            <w:r w:rsidRPr="00CA0397">
              <w:rPr>
                <w:sz w:val="20"/>
                <w:szCs w:val="20"/>
              </w:rPr>
              <w:t xml:space="preserve">In the dialysis population, despite the identification of a number of </w:t>
            </w:r>
            <w:proofErr w:type="gramStart"/>
            <w:r w:rsidRPr="00CA0397">
              <w:rPr>
                <w:sz w:val="20"/>
                <w:szCs w:val="20"/>
              </w:rPr>
              <w:t>laboratory</w:t>
            </w:r>
            <w:proofErr w:type="gramEnd"/>
            <w:r w:rsidRPr="00CA0397">
              <w:rPr>
                <w:sz w:val="20"/>
                <w:szCs w:val="20"/>
              </w:rPr>
              <w:t>, demographic, and morbidity-associated data predictors of patient outcomes, unknown and unmeasured variables account for the bulk of patient outcomes. Facility-specific data also suggest that incomplete case-mix adjustment may account for much of the observed difference in facility-specific outcomes.</w:t>
            </w:r>
          </w:p>
        </w:tc>
      </w:tr>
      <w:tr w:rsidR="00CA0397" w:rsidRPr="00CA0397" w:rsidTr="00CA0397">
        <w:trPr>
          <w:trHeight w:val="567"/>
        </w:trPr>
        <w:tc>
          <w:tcPr>
            <w:tcW w:w="1843" w:type="dxa"/>
            <w:noWrap/>
            <w:hideMark/>
          </w:tcPr>
          <w:p w:rsidR="00CA0397" w:rsidRPr="00CA0397" w:rsidRDefault="00CA0397" w:rsidP="00CA0397">
            <w:pPr>
              <w:rPr>
                <w:sz w:val="20"/>
                <w:szCs w:val="20"/>
              </w:rPr>
            </w:pPr>
            <w:r w:rsidRPr="00CA0397">
              <w:rPr>
                <w:sz w:val="20"/>
                <w:szCs w:val="20"/>
              </w:rPr>
              <w:lastRenderedPageBreak/>
              <w:t xml:space="preserve">Desai et al.  (2007) </w:t>
            </w:r>
            <w:r w:rsidRPr="00CA0397">
              <w:rPr>
                <w:sz w:val="20"/>
                <w:szCs w:val="20"/>
              </w:rPr>
              <w:fldChar w:fldCharType="begin" w:fldLock="1"/>
            </w:r>
            <w:r w:rsidRPr="00CA0397">
              <w:rPr>
                <w:sz w:val="20"/>
                <w:szCs w:val="20"/>
              </w:rPr>
              <w:instrText>ADDIN CSL_CITATION { "citationItems" : [ { "id" : "ITEM-1", "itemData" : { "DOI" : "10.2215/CJN.00510107", "ISSN" : "15559041", "abstract" : "Many health care providers and policy makers believe that health care financing systems fail to reward high-quality care. In recent years, federal and private payers have begun to promote pay for performance, or value-based purchasing, initiatives to raise the quality of care. This report describes conceptual issues in the design and implementation of pay for performance for chronic kidney disease and ESRD care. It also considers the implications of recent ESRD payment policy changes on the broader goals of pay for performance. Congressionally mandated bundle payment demonstration for dialysis, newly implemented case-mix adjustment of the composite rate, and G codes for the monthly capitation payment are important opportunities to understand facility and provider behavior with particular attention to patient selection and treatment practices. Well-designed payment systems will reward quality care for patients while maintaining appropriate accountability and fairness for health care providers.", "author" : [ { "dropping-particle" : "", "family" : "Desai", "given" : "Amar A.", "non-dropping-particle" : "", "parse-names" : false, "suffix" : "" }, { "dropping-particle" : "", "family" : "Garber", "given" : "Alan M.", "non-dropping-particle" : "", "parse-names" : false, "suffix" : "" }, { "dropping-particle" : "", "family" : "Chertow", "given" : "Glenn M.", "non-dropping-particle" : "", "parse-names" : false, "suffix" : "" } ], "container-title" : "Clinical Journal of the American Society of Nephrology", "id" : "ITEM-1", "issue" : "5", "issued" : { "date-parts" : [ [ "2007" ] ] }, "page" : "1087-1095", "title" : "Rise of pay for performance: Implications for care of people with chronic kidney disease", "type" : "article-journal", "volume" : "2" }, "uris" : [ "http://www.mendeley.com/documents/?uuid=25960fab-3ab5-4865-b3a1-e8acb6e9807f" ] } ], "mendeley" : { "formattedCitation" : "[18]", "plainTextFormattedCitation" : "[18]", "previouslyFormattedCitation" : "[18]" }, "properties" : {  }, "schema" : "https://github.com/citation-style-language/schema/raw/master/csl-citation.json" }</w:instrText>
            </w:r>
            <w:r w:rsidRPr="00CA0397">
              <w:rPr>
                <w:sz w:val="20"/>
                <w:szCs w:val="20"/>
              </w:rPr>
              <w:fldChar w:fldCharType="separate"/>
            </w:r>
            <w:r w:rsidRPr="00CA0397">
              <w:rPr>
                <w:noProof/>
                <w:sz w:val="20"/>
                <w:szCs w:val="20"/>
              </w:rPr>
              <w:t>[18]</w:t>
            </w:r>
            <w:r w:rsidRPr="00CA0397">
              <w:rPr>
                <w:sz w:val="20"/>
                <w:szCs w:val="20"/>
              </w:rPr>
              <w:fldChar w:fldCharType="end"/>
            </w:r>
          </w:p>
        </w:tc>
        <w:tc>
          <w:tcPr>
            <w:tcW w:w="1163" w:type="dxa"/>
            <w:noWrap/>
            <w:hideMark/>
          </w:tcPr>
          <w:p w:rsidR="00CA0397" w:rsidRPr="00CA0397" w:rsidRDefault="00CA0397" w:rsidP="00CA0397">
            <w:pPr>
              <w:rPr>
                <w:sz w:val="20"/>
                <w:szCs w:val="20"/>
              </w:rPr>
            </w:pPr>
            <w:r w:rsidRPr="00CA0397">
              <w:rPr>
                <w:sz w:val="20"/>
                <w:szCs w:val="20"/>
              </w:rPr>
              <w:t>ESRD</w:t>
            </w:r>
          </w:p>
        </w:tc>
        <w:tc>
          <w:tcPr>
            <w:tcW w:w="2013" w:type="dxa"/>
            <w:noWrap/>
            <w:hideMark/>
          </w:tcPr>
          <w:p w:rsidR="00CA0397" w:rsidRPr="00CA0397" w:rsidRDefault="00CA0397" w:rsidP="00CA0397">
            <w:pPr>
              <w:rPr>
                <w:sz w:val="20"/>
                <w:szCs w:val="20"/>
              </w:rPr>
            </w:pPr>
            <w:r w:rsidRPr="00CA0397">
              <w:rPr>
                <w:sz w:val="20"/>
                <w:szCs w:val="20"/>
              </w:rPr>
              <w:t>Not specified</w:t>
            </w:r>
          </w:p>
        </w:tc>
        <w:tc>
          <w:tcPr>
            <w:tcW w:w="939" w:type="dxa"/>
            <w:noWrap/>
            <w:hideMark/>
          </w:tcPr>
          <w:p w:rsidR="00CA0397" w:rsidRPr="00CA0397" w:rsidRDefault="00CA0397" w:rsidP="00CA0397">
            <w:pPr>
              <w:rPr>
                <w:sz w:val="20"/>
                <w:szCs w:val="20"/>
              </w:rPr>
            </w:pPr>
            <w:r w:rsidRPr="00CA0397">
              <w:rPr>
                <w:sz w:val="20"/>
                <w:szCs w:val="20"/>
              </w:rPr>
              <w:t>US</w:t>
            </w:r>
          </w:p>
        </w:tc>
        <w:tc>
          <w:tcPr>
            <w:tcW w:w="1588" w:type="dxa"/>
            <w:noWrap/>
            <w:hideMark/>
          </w:tcPr>
          <w:p w:rsidR="00CA0397" w:rsidRPr="00CA0397" w:rsidRDefault="00CA0397" w:rsidP="00CA0397">
            <w:pPr>
              <w:rPr>
                <w:sz w:val="20"/>
                <w:szCs w:val="20"/>
              </w:rPr>
            </w:pPr>
            <w:r w:rsidRPr="00CA0397">
              <w:rPr>
                <w:sz w:val="20"/>
                <w:szCs w:val="20"/>
              </w:rPr>
              <w:t xml:space="preserve">Pay for Performance </w:t>
            </w:r>
          </w:p>
        </w:tc>
        <w:tc>
          <w:tcPr>
            <w:tcW w:w="7254" w:type="dxa"/>
          </w:tcPr>
          <w:p w:rsidR="00CA0397" w:rsidRPr="00CA0397" w:rsidRDefault="00CA0397" w:rsidP="00CA0397">
            <w:pPr>
              <w:rPr>
                <w:sz w:val="20"/>
                <w:szCs w:val="20"/>
              </w:rPr>
            </w:pPr>
            <w:r w:rsidRPr="00CA0397">
              <w:rPr>
                <w:b/>
                <w:sz w:val="20"/>
                <w:szCs w:val="20"/>
              </w:rPr>
              <w:t xml:space="preserve">Appropriateness/desirability of the scheme: </w:t>
            </w:r>
            <w:r w:rsidRPr="00CA0397">
              <w:rPr>
                <w:sz w:val="20"/>
                <w:szCs w:val="20"/>
              </w:rPr>
              <w:t xml:space="preserve">Incentives systems need to be perceived as fair: paying too much for some patients, paying too little for others, or penalizing providers for the poor care of others—may result in “cherry picking” </w:t>
            </w:r>
            <w:proofErr w:type="spellStart"/>
            <w:r w:rsidRPr="00CA0397">
              <w:rPr>
                <w:sz w:val="20"/>
                <w:szCs w:val="20"/>
              </w:rPr>
              <w:t>behaviour</w:t>
            </w:r>
            <w:proofErr w:type="spellEnd"/>
            <w:r w:rsidRPr="00CA0397">
              <w:rPr>
                <w:sz w:val="20"/>
                <w:szCs w:val="20"/>
              </w:rPr>
              <w:t xml:space="preserve"> by providers and facilities.</w:t>
            </w:r>
          </w:p>
          <w:p w:rsidR="00CA0397" w:rsidRPr="00CA0397" w:rsidRDefault="00CA0397" w:rsidP="00CA0397">
            <w:pPr>
              <w:rPr>
                <w:sz w:val="20"/>
                <w:szCs w:val="20"/>
              </w:rPr>
            </w:pPr>
            <w:r w:rsidRPr="00CA0397">
              <w:rPr>
                <w:b/>
                <w:sz w:val="20"/>
                <w:szCs w:val="20"/>
              </w:rPr>
              <w:t xml:space="preserve">Design of the scheme: </w:t>
            </w:r>
            <w:r w:rsidRPr="00CA0397">
              <w:rPr>
                <w:sz w:val="20"/>
                <w:szCs w:val="20"/>
              </w:rPr>
              <w:t xml:space="preserve">Schemes need to incentivize adoption and use of data-infrastructures linking renal care facilities to the ESRD network and CMS; Financial incentives need to be appropriately sized to prompt change in clinical practice; also choosing the target recipient of the incentive, i.e. whether individual providers or facility/organization level is important to stimulate structural changes in </w:t>
            </w:r>
            <w:proofErr w:type="spellStart"/>
            <w:r w:rsidRPr="00CA0397">
              <w:rPr>
                <w:sz w:val="20"/>
                <w:szCs w:val="20"/>
              </w:rPr>
              <w:t>che</w:t>
            </w:r>
            <w:proofErr w:type="spellEnd"/>
            <w:r w:rsidRPr="00CA0397">
              <w:rPr>
                <w:sz w:val="20"/>
                <w:szCs w:val="20"/>
              </w:rPr>
              <w:t xml:space="preserve"> care delivery process and align incentives for all providers involved (dialysis facilities, nephrologists, and other practitioners); incentives may be designed in order to promote an integrated process of care from early stages of CKD to ESRD and dialysis: P4P programs that target nephrologists or dialysis facilities and ignore other physicians (e.g., endocrinologists, cardiologists, vascular surgeons) and participating </w:t>
            </w:r>
            <w:r w:rsidRPr="00CA0397">
              <w:rPr>
                <w:sz w:val="20"/>
                <w:szCs w:val="20"/>
              </w:rPr>
              <w:lastRenderedPageBreak/>
              <w:t>caregivers including nurses, dieticians, social workers, and pharmacists may fail to align incentives adequately across the spectrum of care.</w:t>
            </w:r>
          </w:p>
          <w:p w:rsidR="00CA0397" w:rsidRPr="00CA0397" w:rsidRDefault="00CA0397" w:rsidP="00CA0397">
            <w:pPr>
              <w:rPr>
                <w:sz w:val="20"/>
                <w:szCs w:val="20"/>
              </w:rPr>
            </w:pPr>
            <w:r w:rsidRPr="00CA0397">
              <w:rPr>
                <w:b/>
                <w:sz w:val="20"/>
                <w:szCs w:val="20"/>
              </w:rPr>
              <w:t xml:space="preserve">Evaluation of the scheme: </w:t>
            </w:r>
            <w:r w:rsidRPr="00CA0397">
              <w:rPr>
                <w:sz w:val="20"/>
                <w:szCs w:val="20"/>
              </w:rPr>
              <w:t xml:space="preserve">Clinical relevance of quality targets is important. For example, facility-level mortality continues to vary significantly despite improvements in dialysis adequacy and </w:t>
            </w:r>
            <w:proofErr w:type="spellStart"/>
            <w:r w:rsidRPr="00CA0397">
              <w:rPr>
                <w:sz w:val="20"/>
                <w:szCs w:val="20"/>
              </w:rPr>
              <w:t>anaemia</w:t>
            </w:r>
            <w:proofErr w:type="spellEnd"/>
            <w:r w:rsidRPr="00CA0397">
              <w:rPr>
                <w:sz w:val="20"/>
                <w:szCs w:val="20"/>
              </w:rPr>
              <w:t xml:space="preserve"> process measures; Accountability of the identified measures is also an issue: for example, many areas of ESRD care are multidisciplinary in nature and therefore, it is difficult to assign accountability (e.g., failed vascular access).</w:t>
            </w:r>
          </w:p>
        </w:tc>
      </w:tr>
    </w:tbl>
    <w:p w:rsidR="00CA0397" w:rsidRPr="00CA0397" w:rsidRDefault="00CA0397" w:rsidP="00CA0397">
      <w:pPr>
        <w:spacing w:after="0" w:line="240" w:lineRule="auto"/>
        <w:rPr>
          <w:b/>
          <w:sz w:val="24"/>
          <w:szCs w:val="24"/>
        </w:rPr>
        <w:sectPr w:rsidR="00CA0397" w:rsidRPr="00CA0397" w:rsidSect="00EB0982">
          <w:pgSz w:w="15840" w:h="12240" w:orient="landscape" w:code="1"/>
          <w:pgMar w:top="1440" w:right="1440" w:bottom="1440" w:left="1440" w:header="709" w:footer="709" w:gutter="0"/>
          <w:cols w:space="708"/>
          <w:docGrid w:linePitch="360"/>
        </w:sectPr>
      </w:pPr>
    </w:p>
    <w:p w:rsidR="00CA0397" w:rsidRPr="00CA0397" w:rsidRDefault="00CA0397" w:rsidP="00CA0397">
      <w:pPr>
        <w:spacing w:after="0" w:line="240" w:lineRule="auto"/>
        <w:rPr>
          <w:b/>
          <w:sz w:val="24"/>
          <w:szCs w:val="24"/>
        </w:rPr>
      </w:pPr>
      <w:r w:rsidRPr="00CA0397">
        <w:rPr>
          <w:b/>
          <w:sz w:val="24"/>
          <w:szCs w:val="24"/>
        </w:rPr>
        <w:lastRenderedPageBreak/>
        <w:t>References for the Schemes Summarizes in Table 1</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b/>
          <w:sz w:val="24"/>
          <w:szCs w:val="24"/>
        </w:rPr>
        <w:fldChar w:fldCharType="begin" w:fldLock="1"/>
      </w:r>
      <w:r w:rsidRPr="00CA0397">
        <w:rPr>
          <w:b/>
          <w:sz w:val="24"/>
          <w:szCs w:val="24"/>
        </w:rPr>
        <w:instrText xml:space="preserve">ADDIN Mendeley Bibliography CSL_BIBLIOGRAPHY </w:instrText>
      </w:r>
      <w:r w:rsidRPr="00CA0397">
        <w:rPr>
          <w:b/>
          <w:sz w:val="24"/>
          <w:szCs w:val="24"/>
        </w:rPr>
        <w:fldChar w:fldCharType="separate"/>
      </w:r>
      <w:r w:rsidRPr="00CA0397">
        <w:rPr>
          <w:rFonts w:ascii="Calibri" w:hAnsi="Calibri" w:cs="Calibri"/>
          <w:noProof/>
          <w:sz w:val="24"/>
          <w:szCs w:val="24"/>
        </w:rPr>
        <w:t>1.          Gupta N, Wish JB. Do current quality measures truly reflect the quality of dialysis? Semin Dial. 2018;31: 406–414. doi:10.1111/sdi.12685</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2. </w:t>
      </w:r>
      <w:r w:rsidRPr="00CA0397">
        <w:rPr>
          <w:rFonts w:ascii="Calibri" w:hAnsi="Calibri" w:cs="Calibri"/>
          <w:noProof/>
          <w:sz w:val="24"/>
          <w:szCs w:val="24"/>
        </w:rPr>
        <w:tab/>
        <w:t>Haarsager J, Krishnasamy R, Gray NA. Impact of pay for performance on access at first dialysis in Queensland. Nephrology. 2018;23: 469–475. doi:10.1111/nep.13037</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3. </w:t>
      </w:r>
      <w:r w:rsidRPr="00CA0397">
        <w:rPr>
          <w:rFonts w:ascii="Calibri" w:hAnsi="Calibri" w:cs="Calibri"/>
          <w:noProof/>
          <w:sz w:val="24"/>
          <w:szCs w:val="24"/>
        </w:rPr>
        <w:tab/>
        <w:t>Ryan AM, Rodgers PE. Linking Quality and Spending to Measure Value for People with Serious Illness. J Palliat Med. 2017;21: S-74-S-80. doi:10.1089/jpm.2017.0496</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4. </w:t>
      </w:r>
      <w:r w:rsidRPr="00CA0397">
        <w:rPr>
          <w:rFonts w:ascii="Calibri" w:hAnsi="Calibri" w:cs="Calibri"/>
          <w:noProof/>
          <w:sz w:val="24"/>
          <w:szCs w:val="24"/>
        </w:rPr>
        <w:tab/>
        <w:t>Hsieh HM, Lin MY, Chiu YW, Wu PH, Cheng LJ, Jian FS, et al. Economic evaluation of a pre-ESRD pay-for-performance programme in advanced chronic kidney disease patients. Nephrol Dial Transplant. 2017;32: 1184–1194. doi:10.1093/ndt/gfw372</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5. </w:t>
      </w:r>
      <w:r w:rsidRPr="00CA0397">
        <w:rPr>
          <w:rFonts w:ascii="Calibri" w:hAnsi="Calibri" w:cs="Calibri"/>
          <w:noProof/>
          <w:sz w:val="24"/>
          <w:szCs w:val="24"/>
        </w:rPr>
        <w:tab/>
        <w:t>Weiner D, Watnick S. The ESRD Quality Incentive Program—Can We Bridge the Chasm? J Am Soc Nephrol. 2017;28: 1697–1706. doi:10.1681/asn.2016101079</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6. </w:t>
      </w:r>
      <w:r w:rsidRPr="00CA0397">
        <w:rPr>
          <w:rFonts w:ascii="Calibri" w:hAnsi="Calibri" w:cs="Calibri"/>
          <w:noProof/>
          <w:sz w:val="24"/>
          <w:szCs w:val="24"/>
        </w:rPr>
        <w:tab/>
        <w:t>Lin E, MaCurdy T, Bhattacharya J. The Medicare Access and CHIP Reauthorization Act: Implications for Nephrology. J Am Soc Nephrol. 2017;28: 2590–2596. doi:10.1681/asn.2017040407</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7. </w:t>
      </w:r>
      <w:r w:rsidRPr="00CA0397">
        <w:rPr>
          <w:rFonts w:ascii="Calibri" w:hAnsi="Calibri" w:cs="Calibri"/>
          <w:noProof/>
          <w:sz w:val="24"/>
          <w:szCs w:val="24"/>
        </w:rPr>
        <w:tab/>
        <w:t>Saunders MR, Lee H, Chin MH. Early winners and losers in dialysis center pay-for-performance. BMC Health Serv Res. 2017;17: 816. doi:10.1186/s12913-017-2764-4</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8. </w:t>
      </w:r>
      <w:r w:rsidRPr="00CA0397">
        <w:rPr>
          <w:rFonts w:ascii="Calibri" w:hAnsi="Calibri" w:cs="Calibri"/>
          <w:noProof/>
          <w:sz w:val="24"/>
          <w:szCs w:val="24"/>
        </w:rPr>
        <w:tab/>
        <w:t>Diamond LH, Howard AD. The ESRD Quality Incentive Program: The Current Limitations of Evidence and Data to Develop Measures, Drive Improvement, and Incentivize Outcomes. Advances in Chronic Kidney Disease. 2016. pp. 377–384. doi:10.1053/j.ackd.2016.11.007</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9. </w:t>
      </w:r>
      <w:r w:rsidRPr="00CA0397">
        <w:rPr>
          <w:rFonts w:ascii="Calibri" w:hAnsi="Calibri" w:cs="Calibri"/>
          <w:noProof/>
          <w:sz w:val="24"/>
          <w:szCs w:val="24"/>
        </w:rPr>
        <w:tab/>
        <w:t>Kliger AS. Quality measures for dialysis: Time for a balanced scorecard. Clin J Am Soc Nephrol. 2016;11: 363–368. doi:10.2215/CJN.06010615</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10. </w:t>
      </w:r>
      <w:r w:rsidRPr="00CA0397">
        <w:rPr>
          <w:rFonts w:ascii="Calibri" w:hAnsi="Calibri" w:cs="Calibri"/>
          <w:noProof/>
          <w:sz w:val="24"/>
          <w:szCs w:val="24"/>
        </w:rPr>
        <w:tab/>
        <w:t>Moss AH, Davison SN. How the ESRD quality incentive program could potentially improve quality of life for patients on dialysis. Clin J Am Soc Nephrol. 2015;10: 888–893. doi:10.2215/CJN.07410714</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11. </w:t>
      </w:r>
      <w:r w:rsidRPr="00CA0397">
        <w:rPr>
          <w:rFonts w:ascii="Calibri" w:hAnsi="Calibri" w:cs="Calibri"/>
          <w:noProof/>
          <w:sz w:val="24"/>
          <w:szCs w:val="24"/>
        </w:rPr>
        <w:tab/>
        <w:t>Saunders MR, Chin MH. Variation in dialysis quality measures by facility, neighborhood, and region. Med Care. 2013;51: 413–417. doi:10.1097/MLR.0b013e318287d720</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12. </w:t>
      </w:r>
      <w:r w:rsidRPr="00CA0397">
        <w:rPr>
          <w:rFonts w:ascii="Calibri" w:hAnsi="Calibri" w:cs="Calibri"/>
          <w:noProof/>
          <w:sz w:val="24"/>
          <w:szCs w:val="24"/>
        </w:rPr>
        <w:tab/>
        <w:t>Karunaratne K, Stevens P, Irving J, Hobbs H, Kilbride H, Kingston R, et al. The impact of pay for performance on the control of blood pressure in people with chronic kidney disease stage 3-5. Nephrol Dial Transplant. 2013;28: 2107–2116. doi:10.1093/ndt/gft093</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13. </w:t>
      </w:r>
      <w:r w:rsidRPr="00CA0397">
        <w:rPr>
          <w:rFonts w:ascii="Calibri" w:hAnsi="Calibri" w:cs="Calibri"/>
          <w:noProof/>
          <w:sz w:val="24"/>
          <w:szCs w:val="24"/>
        </w:rPr>
        <w:tab/>
        <w:t>Fishbane S, Miller I, Wagner JD, Masani NN. Changes to the end-stage renal disease quality incentive program. Kidney Int. 2012;81: 1167–1171. doi:10.1038/ki.2012.138</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lang w:val="de-DE"/>
        </w:rPr>
      </w:pPr>
      <w:r w:rsidRPr="00CA0397">
        <w:rPr>
          <w:rFonts w:ascii="Calibri" w:hAnsi="Calibri" w:cs="Calibri"/>
          <w:noProof/>
          <w:sz w:val="24"/>
          <w:szCs w:val="24"/>
        </w:rPr>
        <w:t xml:space="preserve">14. </w:t>
      </w:r>
      <w:r w:rsidRPr="00CA0397">
        <w:rPr>
          <w:rFonts w:ascii="Calibri" w:hAnsi="Calibri" w:cs="Calibri"/>
          <w:noProof/>
          <w:sz w:val="24"/>
          <w:szCs w:val="24"/>
        </w:rPr>
        <w:tab/>
        <w:t xml:space="preserve">Mendelssohn DC, Mcfarlane P. Conditionally Funded Field Evaluations-A Solution to the Economic Barriers Limiting Evidence Generation in Dialysis? </w:t>
      </w:r>
      <w:r w:rsidRPr="00CA0397">
        <w:rPr>
          <w:rFonts w:ascii="Calibri" w:hAnsi="Calibri" w:cs="Calibri"/>
          <w:noProof/>
          <w:sz w:val="24"/>
          <w:szCs w:val="24"/>
          <w:lang w:val="de-DE"/>
        </w:rPr>
        <w:t>Semin Dial. 2011;24: 556–559. doi:10.1111/j.1525-139X.2011.00970.x</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lang w:val="de-DE"/>
        </w:rPr>
        <w:t xml:space="preserve">15. </w:t>
      </w:r>
      <w:r w:rsidRPr="00CA0397">
        <w:rPr>
          <w:rFonts w:ascii="Calibri" w:hAnsi="Calibri" w:cs="Calibri"/>
          <w:noProof/>
          <w:sz w:val="24"/>
          <w:szCs w:val="24"/>
          <w:lang w:val="de-DE"/>
        </w:rPr>
        <w:tab/>
        <w:t xml:space="preserve">Mendelssohn DC, Manns BJ. </w:t>
      </w:r>
      <w:r w:rsidRPr="00CA0397">
        <w:rPr>
          <w:rFonts w:ascii="Calibri" w:hAnsi="Calibri" w:cs="Calibri"/>
          <w:noProof/>
          <w:sz w:val="24"/>
          <w:szCs w:val="24"/>
        </w:rPr>
        <w:t>A proposal for improving evidence generation in nephrology. Am J Kidney Dis. 2011;58: 13–18. doi:10.1053/j.ajkd.2011.02.377</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lang w:val="fr-FR"/>
        </w:rPr>
      </w:pPr>
      <w:r w:rsidRPr="00CA0397">
        <w:rPr>
          <w:rFonts w:ascii="Calibri" w:hAnsi="Calibri" w:cs="Calibri"/>
          <w:noProof/>
          <w:sz w:val="24"/>
          <w:szCs w:val="24"/>
        </w:rPr>
        <w:t xml:space="preserve">16. </w:t>
      </w:r>
      <w:r w:rsidRPr="00CA0397">
        <w:rPr>
          <w:rFonts w:ascii="Calibri" w:hAnsi="Calibri" w:cs="Calibri"/>
          <w:noProof/>
          <w:sz w:val="24"/>
          <w:szCs w:val="24"/>
        </w:rPr>
        <w:tab/>
        <w:t xml:space="preserve">Parker JC. Cherry picking in ESRD: an ethical challenge in the era of pay for performance. </w:t>
      </w:r>
      <w:r w:rsidRPr="00CA0397">
        <w:rPr>
          <w:rFonts w:ascii="Calibri" w:hAnsi="Calibri" w:cs="Calibri"/>
          <w:noProof/>
          <w:sz w:val="24"/>
          <w:szCs w:val="24"/>
          <w:lang w:val="fr-FR"/>
        </w:rPr>
        <w:t>Semin Dial. 2011;24: 5–8. Available: http://ovidsp.ovid.com/ovidweb.cgi?T=JS&amp;PAGE=reference&amp;D=med5&amp;NEWS=N&amp;AN=21323998</w:t>
      </w:r>
    </w:p>
    <w:p w:rsidR="00CA0397" w:rsidRPr="00CA0397" w:rsidRDefault="00CA0397" w:rsidP="00CA0397">
      <w:pPr>
        <w:widowControl w:val="0"/>
        <w:autoSpaceDE w:val="0"/>
        <w:autoSpaceDN w:val="0"/>
        <w:adjustRightInd w:val="0"/>
        <w:spacing w:after="0" w:line="240" w:lineRule="auto"/>
        <w:ind w:left="640" w:hanging="640"/>
        <w:rPr>
          <w:rFonts w:ascii="Calibri" w:hAnsi="Calibri" w:cs="Calibri"/>
          <w:noProof/>
          <w:sz w:val="24"/>
          <w:szCs w:val="24"/>
        </w:rPr>
      </w:pPr>
      <w:r w:rsidRPr="00CA0397">
        <w:rPr>
          <w:rFonts w:ascii="Calibri" w:hAnsi="Calibri" w:cs="Calibri"/>
          <w:noProof/>
          <w:sz w:val="24"/>
          <w:szCs w:val="24"/>
        </w:rPr>
        <w:t xml:space="preserve">17. </w:t>
      </w:r>
      <w:r w:rsidRPr="00CA0397">
        <w:rPr>
          <w:rFonts w:ascii="Calibri" w:hAnsi="Calibri" w:cs="Calibri"/>
          <w:noProof/>
          <w:sz w:val="24"/>
          <w:szCs w:val="24"/>
        </w:rPr>
        <w:tab/>
        <w:t>Himmelfarb J, Kliger AS. End-Stage Renal Disease Measures of Quality. Annu Rev Med. 2007;58: 387–399. doi:10.1146/annurev.med.58.061705.151442</w:t>
      </w:r>
    </w:p>
    <w:p w:rsidR="00CA0397" w:rsidRPr="00CA0397" w:rsidRDefault="00CA0397" w:rsidP="00CA0397">
      <w:pPr>
        <w:widowControl w:val="0"/>
        <w:autoSpaceDE w:val="0"/>
        <w:autoSpaceDN w:val="0"/>
        <w:adjustRightInd w:val="0"/>
        <w:spacing w:after="0" w:line="240" w:lineRule="auto"/>
        <w:ind w:left="640" w:hanging="640"/>
        <w:rPr>
          <w:b/>
          <w:sz w:val="24"/>
          <w:szCs w:val="24"/>
        </w:rPr>
      </w:pPr>
      <w:r w:rsidRPr="00CA0397">
        <w:rPr>
          <w:rFonts w:ascii="Calibri" w:hAnsi="Calibri" w:cs="Calibri"/>
          <w:noProof/>
          <w:sz w:val="24"/>
          <w:szCs w:val="24"/>
        </w:rPr>
        <w:lastRenderedPageBreak/>
        <w:t xml:space="preserve">18. </w:t>
      </w:r>
      <w:r w:rsidRPr="00CA0397">
        <w:rPr>
          <w:rFonts w:ascii="Calibri" w:hAnsi="Calibri" w:cs="Calibri"/>
          <w:noProof/>
          <w:sz w:val="24"/>
          <w:szCs w:val="24"/>
        </w:rPr>
        <w:tab/>
        <w:t>Desai AA, Garber AM, Chertow GM. Rise of pay for performance: Implications for care of people with chronic kidney disease. Clin J Am Soc Nephrol. 2007;2: 1087–1095. doi:10.2215/CJN.00510107</w:t>
      </w:r>
      <w:r w:rsidRPr="00CA0397">
        <w:rPr>
          <w:rFonts w:ascii="Calibri" w:hAnsi="Calibri" w:cs="Calibri"/>
          <w:noProof/>
          <w:sz w:val="24"/>
          <w:szCs w:val="24"/>
        </w:rPr>
        <w:tab/>
      </w:r>
      <w:r w:rsidRPr="00CA0397">
        <w:rPr>
          <w:b/>
          <w:sz w:val="24"/>
          <w:szCs w:val="24"/>
        </w:rPr>
        <w:fldChar w:fldCharType="end"/>
      </w:r>
    </w:p>
    <w:p w:rsidR="00CA0397" w:rsidRPr="00CA0397" w:rsidRDefault="00CA0397" w:rsidP="00CA0397">
      <w:pPr>
        <w:spacing w:after="0" w:line="240" w:lineRule="auto"/>
        <w:rPr>
          <w:sz w:val="24"/>
          <w:szCs w:val="24"/>
        </w:rPr>
      </w:pPr>
    </w:p>
    <w:p w:rsidR="00CA0397" w:rsidRPr="00CA0397" w:rsidRDefault="00CA0397" w:rsidP="00CA0397">
      <w:pPr>
        <w:spacing w:after="0" w:line="240" w:lineRule="auto"/>
        <w:rPr>
          <w:sz w:val="24"/>
          <w:szCs w:val="24"/>
        </w:rPr>
      </w:pPr>
    </w:p>
    <w:p w:rsidR="00CA0397" w:rsidRDefault="00CA0397"/>
    <w:sectPr w:rsidR="00CA0397" w:rsidSect="00EB0982">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397" w:rsidRDefault="00CA0397" w:rsidP="00CA0397">
      <w:pPr>
        <w:spacing w:after="0" w:line="240" w:lineRule="auto"/>
      </w:pPr>
      <w:r>
        <w:separator/>
      </w:r>
    </w:p>
  </w:endnote>
  <w:endnote w:type="continuationSeparator" w:id="0">
    <w:p w:rsidR="00CA0397" w:rsidRDefault="00CA0397" w:rsidP="00CA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dvPS">
    <w:altName w:val="Calibri"/>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7" w:rsidRDefault="00CA0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397" w:rsidRDefault="00CA0397" w:rsidP="00CA0397">
      <w:pPr>
        <w:spacing w:after="0" w:line="240" w:lineRule="auto"/>
      </w:pPr>
      <w:r>
        <w:separator/>
      </w:r>
    </w:p>
  </w:footnote>
  <w:footnote w:type="continuationSeparator" w:id="0">
    <w:p w:rsidR="00CA0397" w:rsidRDefault="00CA0397" w:rsidP="00CA0397">
      <w:pPr>
        <w:spacing w:after="0" w:line="240" w:lineRule="auto"/>
      </w:pPr>
      <w:r>
        <w:continuationSeparator/>
      </w:r>
    </w:p>
  </w:footnote>
  <w:footnote w:id="1">
    <w:p w:rsidR="00CA0397" w:rsidRPr="00A4156E" w:rsidRDefault="00CA0397" w:rsidP="00CA0397">
      <w:pPr>
        <w:pStyle w:val="FootnoteText"/>
      </w:pPr>
      <w:r>
        <w:rPr>
          <w:rStyle w:val="FootnoteReference"/>
        </w:rPr>
        <w:footnoteRef/>
      </w:r>
      <w:r>
        <w:t xml:space="preserve"> </w:t>
      </w:r>
      <w:hyperlink r:id="rId1" w:history="1">
        <w:r w:rsidRPr="00533DB8">
          <w:t>https://www.govinfo.gov/content/pkg/FR-2016-11-04/pdf/2016-26152.pdf</w:t>
        </w:r>
      </w:hyperlink>
      <w:r>
        <w:t xml:space="preserve"> and </w:t>
      </w:r>
      <w:hyperlink r:id="rId2" w:history="1">
        <w:r w:rsidRPr="00533DB8">
          <w:t>https://www.cms.gov/Medicare/Quality-Initiatives-Patient-Assessment-Instruments/ESRDQIP/Downloads/PY-2020-Final-Rule-NPC-v10.pdf</w:t>
        </w:r>
      </w:hyperlink>
      <w:r>
        <w:t xml:space="preserve">]; </w:t>
      </w:r>
      <w:r w:rsidRPr="00C3657C">
        <w:t>https://innovation.cms.gov/initiatives/comprehensive-esrd-care/</w:t>
      </w:r>
    </w:p>
  </w:footnote>
  <w:footnote w:id="2">
    <w:p w:rsidR="00CA0397" w:rsidRPr="00A4156E" w:rsidRDefault="00CA0397" w:rsidP="00CA0397">
      <w:pPr>
        <w:pStyle w:val="FootnoteText"/>
      </w:pPr>
      <w:r>
        <w:rPr>
          <w:rStyle w:val="FootnoteReference"/>
        </w:rPr>
        <w:footnoteRef/>
      </w:r>
      <w:r>
        <w:t xml:space="preserve"> </w:t>
      </w:r>
      <w:r w:rsidRPr="00EB44C2">
        <w:t>https://www.ncbi.nlm.nih.gov/pmc/articles/PMC5647921/pdf/bjgpnov-2017-67-664-e775.pdf</w:t>
      </w:r>
    </w:p>
  </w:footnote>
  <w:footnote w:id="3">
    <w:p w:rsidR="00CA0397" w:rsidRPr="00A4156E" w:rsidRDefault="00CA0397" w:rsidP="00CA0397">
      <w:pPr>
        <w:pStyle w:val="FootnoteText"/>
      </w:pPr>
      <w:r>
        <w:rPr>
          <w:rStyle w:val="FootnoteReference"/>
        </w:rPr>
        <w:footnoteRef/>
      </w:r>
      <w:r>
        <w:t xml:space="preserve"> </w:t>
      </w:r>
      <w:hyperlink r:id="rId3" w:history="1">
        <w:r w:rsidRPr="00EB44C2">
          <w:t>https://www.nice.org.uk/standards-and-indicators/qofindicators</w:t>
        </w:r>
      </w:hyperlink>
    </w:p>
  </w:footnote>
  <w:footnote w:id="4">
    <w:p w:rsidR="00CA0397" w:rsidRPr="00A4156E" w:rsidRDefault="00CA0397" w:rsidP="00CA0397">
      <w:pPr>
        <w:pStyle w:val="FootnoteText"/>
      </w:pPr>
      <w:r>
        <w:rPr>
          <w:rStyle w:val="FootnoteReference"/>
        </w:rPr>
        <w:footnoteRef/>
      </w:r>
      <w:r>
        <w:t xml:space="preserve"> </w:t>
      </w:r>
      <w:hyperlink r:id="rId4" w:history="1">
        <w:r w:rsidRPr="005C7B9B">
          <w:rPr>
            <w:rStyle w:val="Hyperlink"/>
          </w:rPr>
          <w:t>https://www.england.nhs.uk/wp-content/uploads/2018/07/quality-outcome-framework-report-of-the-review.pdf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7" w:rsidRDefault="00CA0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335AB"/>
    <w:multiLevelType w:val="hybridMultilevel"/>
    <w:tmpl w:val="254C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43351"/>
    <w:multiLevelType w:val="hybridMultilevel"/>
    <w:tmpl w:val="0F1016AC"/>
    <w:lvl w:ilvl="0" w:tplc="E306210C">
      <w:start w:val="109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97"/>
    <w:rsid w:val="00AB318E"/>
    <w:rsid w:val="00CA0397"/>
    <w:rsid w:val="00EB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B1F6"/>
  <w15:chartTrackingRefBased/>
  <w15:docId w15:val="{74D8B20A-A291-4027-BD8F-CAE39332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CA0397"/>
  </w:style>
  <w:style w:type="paragraph" w:styleId="Header">
    <w:name w:val="header"/>
    <w:basedOn w:val="Normal"/>
    <w:link w:val="HeaderChar"/>
    <w:uiPriority w:val="99"/>
    <w:semiHidden/>
    <w:unhideWhenUsed/>
    <w:rsid w:val="00CA03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0397"/>
  </w:style>
  <w:style w:type="paragraph" w:styleId="Footer">
    <w:name w:val="footer"/>
    <w:basedOn w:val="Normal"/>
    <w:link w:val="FooterChar"/>
    <w:uiPriority w:val="99"/>
    <w:semiHidden/>
    <w:unhideWhenUsed/>
    <w:rsid w:val="00CA03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0397"/>
  </w:style>
  <w:style w:type="table" w:styleId="TableGrid">
    <w:name w:val="Table Grid"/>
    <w:basedOn w:val="TableNormal"/>
    <w:uiPriority w:val="59"/>
    <w:rsid w:val="00CA03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039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03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397"/>
    <w:rPr>
      <w:color w:val="0563C1" w:themeColor="hyperlink"/>
      <w:u w:val="single"/>
    </w:rPr>
  </w:style>
  <w:style w:type="paragraph" w:styleId="FootnoteText">
    <w:name w:val="footnote text"/>
    <w:basedOn w:val="Normal"/>
    <w:link w:val="FootnoteTextChar"/>
    <w:uiPriority w:val="99"/>
    <w:semiHidden/>
    <w:unhideWhenUsed/>
    <w:rsid w:val="00CA03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397"/>
    <w:rPr>
      <w:sz w:val="20"/>
      <w:szCs w:val="20"/>
    </w:rPr>
  </w:style>
  <w:style w:type="character" w:styleId="FootnoteReference">
    <w:name w:val="footnote reference"/>
    <w:basedOn w:val="DefaultParagraphFont"/>
    <w:uiPriority w:val="99"/>
    <w:semiHidden/>
    <w:unhideWhenUsed/>
    <w:rsid w:val="00CA0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standards-and-indicators/qofindicators" TargetMode="External"/><Relationship Id="rId2" Type="http://schemas.openxmlformats.org/officeDocument/2006/relationships/hyperlink" Target="https://www.cms.gov/Medicare/Quality-Initiatives-Patient-Assessment-Instruments/ESRDQIP/Downloads/PY-2020-Final-Rule-NPC-v10.pdf" TargetMode="External"/><Relationship Id="rId1" Type="http://schemas.openxmlformats.org/officeDocument/2006/relationships/hyperlink" Target="https://www.govinfo.gov/content/pkg/FR-2016-11-04/pdf/2016-26152.pdf" TargetMode="External"/><Relationship Id="rId4" Type="http://schemas.openxmlformats.org/officeDocument/2006/relationships/hyperlink" Target="https://www.england.nhs.uk/wp-content/uploads/2018/07/quality-outcome-framework-report-of-the-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22650</Words>
  <Characters>129111</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Glover</dc:creator>
  <cp:keywords/>
  <dc:description/>
  <cp:lastModifiedBy>Tim Glover</cp:lastModifiedBy>
  <cp:revision>1</cp:revision>
  <dcterms:created xsi:type="dcterms:W3CDTF">2021-03-12T10:27:00Z</dcterms:created>
  <dcterms:modified xsi:type="dcterms:W3CDTF">2021-03-12T10:44:00Z</dcterms:modified>
</cp:coreProperties>
</file>