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B68B9" w:rsidRPr="00AC0AC9" w:rsidRDefault="005B68B9" w:rsidP="000C02C9">
      <w:pPr>
        <w:pStyle w:val="BATitle"/>
      </w:pPr>
      <w:bookmarkStart w:id="0" w:name="_GoBack"/>
      <w:bookmarkEnd w:id="0"/>
      <w:r w:rsidRPr="00AC0AC9">
        <w:t>Direct Observation of the Microscopic Reverse of the Ubiquitous Concerted Metalation Deprotonation Step in C–H Bond Activation Catalysis</w:t>
      </w:r>
    </w:p>
    <w:p w:rsidR="005B68B9" w:rsidRPr="00AC0AC9" w:rsidRDefault="005B68B9" w:rsidP="000C02C9">
      <w:pPr>
        <w:pStyle w:val="BCAuthorAddress"/>
        <w:rPr>
          <w:kern w:val="26"/>
          <w:sz w:val="24"/>
        </w:rPr>
      </w:pPr>
      <w:r w:rsidRPr="00AC0AC9">
        <w:rPr>
          <w:kern w:val="26"/>
          <w:sz w:val="24"/>
        </w:rPr>
        <w:t>L. Anders Hammarback,</w:t>
      </w:r>
      <w:r w:rsidRPr="00AC0AC9">
        <w:rPr>
          <w:kern w:val="26"/>
          <w:sz w:val="24"/>
          <w:vertAlign w:val="superscript"/>
        </w:rPr>
        <w:t>1</w:t>
      </w:r>
      <w:r w:rsidRPr="00AC0AC9">
        <w:rPr>
          <w:kern w:val="26"/>
          <w:sz w:val="24"/>
        </w:rPr>
        <w:t xml:space="preserve"> Benjamin J. Aucott,</w:t>
      </w:r>
      <w:r w:rsidRPr="00AC0AC9">
        <w:rPr>
          <w:kern w:val="26"/>
          <w:sz w:val="24"/>
          <w:vertAlign w:val="superscript"/>
        </w:rPr>
        <w:t>1</w:t>
      </w:r>
      <w:r w:rsidRPr="00AC0AC9">
        <w:rPr>
          <w:kern w:val="26"/>
          <w:sz w:val="24"/>
        </w:rPr>
        <w:t xml:space="preserve"> Joshua T. W. Bray,</w:t>
      </w:r>
      <w:r w:rsidRPr="00AC0AC9">
        <w:rPr>
          <w:kern w:val="26"/>
          <w:sz w:val="24"/>
          <w:vertAlign w:val="superscript"/>
        </w:rPr>
        <w:t>1</w:t>
      </w:r>
      <w:r w:rsidRPr="00AC0AC9">
        <w:rPr>
          <w:kern w:val="26"/>
          <w:sz w:val="24"/>
        </w:rPr>
        <w:t xml:space="preserve"> Ian P. Clark,</w:t>
      </w:r>
      <w:r w:rsidRPr="00AC0AC9">
        <w:rPr>
          <w:kern w:val="26"/>
          <w:sz w:val="24"/>
          <w:vertAlign w:val="superscript"/>
        </w:rPr>
        <w:t>2</w:t>
      </w:r>
      <w:r w:rsidRPr="00AC0AC9">
        <w:rPr>
          <w:kern w:val="26"/>
          <w:sz w:val="24"/>
        </w:rPr>
        <w:t xml:space="preserve"> Michael Towrie,</w:t>
      </w:r>
      <w:r w:rsidRPr="00AC0AC9">
        <w:rPr>
          <w:kern w:val="26"/>
          <w:sz w:val="24"/>
          <w:vertAlign w:val="superscript"/>
        </w:rPr>
        <w:t>2</w:t>
      </w:r>
      <w:r w:rsidRPr="00AC0AC9">
        <w:rPr>
          <w:kern w:val="26"/>
          <w:sz w:val="24"/>
        </w:rPr>
        <w:t xml:space="preserve"> Alan Robinson,</w:t>
      </w:r>
      <w:r w:rsidRPr="00AC0AC9">
        <w:rPr>
          <w:kern w:val="26"/>
          <w:sz w:val="24"/>
          <w:vertAlign w:val="superscript"/>
        </w:rPr>
        <w:t>3</w:t>
      </w:r>
      <w:r w:rsidRPr="00AC0AC9">
        <w:rPr>
          <w:kern w:val="26"/>
          <w:sz w:val="24"/>
        </w:rPr>
        <w:t xml:space="preserve"> Ian J. S. Fairlamb</w:t>
      </w:r>
      <w:r w:rsidRPr="00AC0AC9">
        <w:rPr>
          <w:kern w:val="26"/>
          <w:sz w:val="24"/>
          <w:vertAlign w:val="superscript"/>
        </w:rPr>
        <w:t>*,1</w:t>
      </w:r>
      <w:r w:rsidRPr="00AC0AC9">
        <w:rPr>
          <w:kern w:val="26"/>
          <w:sz w:val="24"/>
        </w:rPr>
        <w:t xml:space="preserve"> and Jason M. Lynam</w:t>
      </w:r>
      <w:r w:rsidRPr="00AC0AC9">
        <w:rPr>
          <w:kern w:val="26"/>
          <w:sz w:val="24"/>
          <w:vertAlign w:val="superscript"/>
        </w:rPr>
        <w:t>*,1</w:t>
      </w:r>
    </w:p>
    <w:p w:rsidR="005B68B9" w:rsidRPr="00AC0AC9" w:rsidRDefault="005B68B9" w:rsidP="0013593A">
      <w:pPr>
        <w:pStyle w:val="BGKeywords"/>
        <w:rPr>
          <w:i w:val="0"/>
        </w:rPr>
      </w:pPr>
      <w:r w:rsidRPr="00AC0AC9">
        <w:rPr>
          <w:i w:val="0"/>
          <w:vertAlign w:val="superscript"/>
        </w:rPr>
        <w:t>1</w:t>
      </w:r>
      <w:r w:rsidRPr="00AC0AC9">
        <w:rPr>
          <w:i w:val="0"/>
        </w:rPr>
        <w:t xml:space="preserve"> Department of Chemistry, University of York, Heslington, York, YO10 5DD, UK ian.fairlamb@york.ac.uk, jason.lynam@york.ac.uk </w:t>
      </w:r>
      <w:r w:rsidRPr="00AC0AC9">
        <w:rPr>
          <w:i w:val="0"/>
          <w:vertAlign w:val="superscript"/>
        </w:rPr>
        <w:t>2</w:t>
      </w:r>
      <w:r w:rsidRPr="00AC0AC9">
        <w:rPr>
          <w:i w:val="0"/>
        </w:rPr>
        <w:t xml:space="preserve"> Central Laser Facility, STFC Rutherford Appleton Laboratory, Harwell Science and Innovation Campus, </w:t>
      </w:r>
      <w:proofErr w:type="spellStart"/>
      <w:r w:rsidRPr="00AC0AC9">
        <w:rPr>
          <w:i w:val="0"/>
        </w:rPr>
        <w:t>Didcot</w:t>
      </w:r>
      <w:proofErr w:type="spellEnd"/>
      <w:r w:rsidRPr="00AC0AC9">
        <w:rPr>
          <w:i w:val="0"/>
        </w:rPr>
        <w:t xml:space="preserve">, </w:t>
      </w:r>
      <w:proofErr w:type="spellStart"/>
      <w:r w:rsidRPr="00AC0AC9">
        <w:rPr>
          <w:i w:val="0"/>
        </w:rPr>
        <w:t>Oxfordshire</w:t>
      </w:r>
      <w:proofErr w:type="spellEnd"/>
      <w:r w:rsidRPr="00AC0AC9">
        <w:rPr>
          <w:i w:val="0"/>
        </w:rPr>
        <w:t xml:space="preserve">, OX11 0QX, UK. </w:t>
      </w:r>
      <w:r w:rsidRPr="00AC0AC9">
        <w:rPr>
          <w:i w:val="0"/>
          <w:vertAlign w:val="superscript"/>
        </w:rPr>
        <w:t>3</w:t>
      </w:r>
      <w:r w:rsidRPr="00AC0AC9">
        <w:rPr>
          <w:i w:val="0"/>
        </w:rPr>
        <w:t xml:space="preserve"> Syngenta Crop Protection AG, </w:t>
      </w:r>
      <w:proofErr w:type="spellStart"/>
      <w:r w:rsidRPr="00AC0AC9">
        <w:rPr>
          <w:i w:val="0"/>
        </w:rPr>
        <w:t>Münchwilen</w:t>
      </w:r>
      <w:proofErr w:type="spellEnd"/>
      <w:r w:rsidRPr="00AC0AC9">
        <w:rPr>
          <w:i w:val="0"/>
        </w:rPr>
        <w:t xml:space="preserve">, </w:t>
      </w:r>
      <w:proofErr w:type="spellStart"/>
      <w:r w:rsidRPr="00AC0AC9">
        <w:rPr>
          <w:i w:val="0"/>
        </w:rPr>
        <w:t>Breitenloh</w:t>
      </w:r>
      <w:proofErr w:type="spellEnd"/>
      <w:r w:rsidRPr="00AC0AC9">
        <w:rPr>
          <w:i w:val="0"/>
        </w:rPr>
        <w:t xml:space="preserve"> 5, 433, Switzerland.</w:t>
      </w:r>
    </w:p>
    <w:p w:rsidR="005B68B9" w:rsidRPr="00AC0AC9" w:rsidRDefault="005B68B9" w:rsidP="00D22E70">
      <w:pPr>
        <w:pStyle w:val="BDAbstract"/>
      </w:pPr>
      <w:r w:rsidRPr="00AC0AC9">
        <w:rPr>
          <w:rStyle w:val="BDAbstractTitleChar"/>
        </w:rPr>
        <w:t>ABSTRACT:</w:t>
      </w:r>
      <w:r w:rsidRPr="00AC0AC9">
        <w:t xml:space="preserve"> The ability of carboxylate groups to promote the direct functionalization of C–H bonds in organic compounds is unquestionably one of the most important discoveries in modern chemical synthesis. Extensive computational studies have indicated that this process proceeds through the deprotonation of a metal-coordinated C–H bond by the basic carboxylate, yet experimental validation of these predicted mechanistic pathways is limited and fraught with difficulty, mainly as rapid proton transfer is frequently obscured in ensemble measures in multi-step reactions (</w:t>
      </w:r>
      <w:proofErr w:type="gramStart"/>
      <w:r w:rsidRPr="00AC0AC9">
        <w:rPr>
          <w:i/>
          <w:iCs/>
        </w:rPr>
        <w:t>i.e.</w:t>
      </w:r>
      <w:proofErr w:type="gramEnd"/>
      <w:r w:rsidRPr="00AC0AC9">
        <w:t xml:space="preserve"> a catalytic cycle consisting of several steps). In this paper, we describe a strategy to experimentally observe the microscopic reverse of the key C–H bond activation step underpinning functionalization processes (</w:t>
      </w:r>
      <w:r w:rsidRPr="00AC0AC9">
        <w:rPr>
          <w:i/>
          <w:iCs/>
        </w:rPr>
        <w:t>viz</w:t>
      </w:r>
      <w:r w:rsidRPr="00AC0AC9">
        <w:t>. M–C bond protonation). This has been achieved by utilizing photochemical activation of the thermally robust precursor [Mn(</w:t>
      </w:r>
      <w:proofErr w:type="spellStart"/>
      <w:r w:rsidRPr="00AC0AC9">
        <w:t>ppy</w:t>
      </w:r>
      <w:proofErr w:type="spellEnd"/>
      <w:r w:rsidRPr="00AC0AC9">
        <w:t>)(CO)</w:t>
      </w:r>
      <w:r w:rsidRPr="00AC0AC9">
        <w:rPr>
          <w:vertAlign w:val="subscript"/>
        </w:rPr>
        <w:t>4</w:t>
      </w:r>
      <w:r w:rsidRPr="00AC0AC9">
        <w:t>] (</w:t>
      </w:r>
      <w:proofErr w:type="spellStart"/>
      <w:r w:rsidRPr="00AC0AC9">
        <w:t>ppy</w:t>
      </w:r>
      <w:proofErr w:type="spellEnd"/>
      <w:r w:rsidRPr="00AC0AC9">
        <w:t xml:space="preserve"> = </w:t>
      </w:r>
      <w:proofErr w:type="spellStart"/>
      <w:r w:rsidRPr="00AC0AC9">
        <w:t>metallated</w:t>
      </w:r>
      <w:proofErr w:type="spellEnd"/>
      <w:r w:rsidRPr="00AC0AC9">
        <w:t xml:space="preserve"> 2-phenylpyridine) in neat acetic acid.  Time-resolved infrared spectroscopy on the ps–ms timescale allows direct observation of the states involved in the proton transfer from the acetic acid to the </w:t>
      </w:r>
      <w:proofErr w:type="spellStart"/>
      <w:r w:rsidRPr="00AC0AC9">
        <w:t>cyclometallated</w:t>
      </w:r>
      <w:proofErr w:type="spellEnd"/>
      <w:r w:rsidRPr="00AC0AC9">
        <w:t xml:space="preserve"> ligand providing direct experimental evidence for the computationally predicted reaction pathways. The power of this approach to probe the mechanistic pathways in transition metal-catalyzed reactions is demonstrated through experiments performed in toluene solution in the presence of PhC</w:t>
      </w:r>
      <w:r w:rsidRPr="00AC0AC9">
        <w:rPr>
          <w:vertAlign w:val="subscript"/>
        </w:rPr>
        <w:t>2</w:t>
      </w:r>
      <w:r w:rsidRPr="00AC0AC9">
        <w:t xml:space="preserve">H and </w:t>
      </w:r>
      <w:proofErr w:type="spellStart"/>
      <w:r w:rsidRPr="00AC0AC9">
        <w:t>HOAc</w:t>
      </w:r>
      <w:proofErr w:type="spellEnd"/>
      <w:r w:rsidRPr="00AC0AC9">
        <w:t xml:space="preserve">. These allowed for the observation of sequential displacement of the metal-bound solvent by the alkyne, C–C bond formation though insertion in the Mn–C bond and a slower protonation step by </w:t>
      </w:r>
      <w:proofErr w:type="spellStart"/>
      <w:r w:rsidRPr="00AC0AC9">
        <w:t>HOAc</w:t>
      </w:r>
      <w:proofErr w:type="spellEnd"/>
      <w:r w:rsidRPr="00AC0AC9">
        <w:t xml:space="preserve"> to generate the product of a Mn(I)-catalyzed C–H bond functionalization reaction.</w:t>
      </w:r>
      <w:r w:rsidRPr="00AC0AC9">
        <w:rPr>
          <w:b/>
          <w:bCs/>
        </w:rPr>
        <w:t xml:space="preserve"> </w:t>
      </w:r>
    </w:p>
    <w:p w:rsidR="005B68B9" w:rsidRPr="00AC0AC9" w:rsidRDefault="005B68B9" w:rsidP="008E2126">
      <w:pPr>
        <w:pStyle w:val="TESectionHeading"/>
        <w:sectPr w:rsidR="005B68B9" w:rsidRPr="00AC0AC9" w:rsidSect="005B68B9">
          <w:footerReference w:type="even" r:id="rId5"/>
          <w:footerReference w:type="default" r:id="rId6"/>
          <w:pgSz w:w="12240" w:h="15840"/>
          <w:pgMar w:top="720" w:right="1094" w:bottom="720" w:left="1094" w:header="720" w:footer="720" w:gutter="0"/>
          <w:cols w:space="461"/>
        </w:sectPr>
      </w:pPr>
    </w:p>
    <w:p w:rsidR="005B68B9" w:rsidRPr="00AC0AC9" w:rsidRDefault="005B68B9" w:rsidP="008E2126">
      <w:pPr>
        <w:pStyle w:val="TESectionHeading"/>
      </w:pPr>
      <w:r w:rsidRPr="00AC0AC9">
        <w:t>Introduction</w:t>
      </w:r>
    </w:p>
    <w:p w:rsidR="005B68B9" w:rsidRPr="00AC0AC9" w:rsidRDefault="005B68B9" w:rsidP="008E2126">
      <w:pPr>
        <w:pStyle w:val="TAMainText"/>
      </w:pPr>
      <w:r w:rsidRPr="00AC0AC9">
        <w:t>The selective chemical functionalization of carbon–hydrogen bonds in complex organic molecules is one of the most important breakthroughs in modern synthetic chemistry.</w:t>
      </w:r>
      <w:r w:rsidRPr="00AC0AC9">
        <w:rPr>
          <w:noProof/>
          <w:vertAlign w:val="superscript"/>
        </w:rPr>
        <w:t>1</w:t>
      </w:r>
      <w:r w:rsidRPr="00AC0AC9">
        <w:t xml:space="preserve"> Transforming the C–H moiety from a structural unit to a functional group has enabled the development of step- and atom-efficient synthetic chemistry on previously inert substrates. One of the key factors underpinning these synthetic developments has been the use of carboxylate additives to facilitate the metal-mediated activation of carbon-hydrogen bonds.</w:t>
      </w:r>
      <w:r w:rsidRPr="00AC0AC9">
        <w:rPr>
          <w:noProof/>
          <w:vertAlign w:val="superscript"/>
        </w:rPr>
        <w:t>2</w:t>
      </w:r>
      <w:r w:rsidRPr="00AC0AC9">
        <w:t xml:space="preserve"> In pioneering studies, </w:t>
      </w:r>
      <w:proofErr w:type="spellStart"/>
      <w:r w:rsidRPr="00AC0AC9">
        <w:t>Fagnou</w:t>
      </w:r>
      <w:proofErr w:type="spellEnd"/>
      <w:r w:rsidRPr="00AC0AC9">
        <w:t xml:space="preserve"> demonstrated how carboxylate salts may both enhance reactivity and control the selectivity of palladium-catalyzed C–H bond functionalization reactions, Fig 1a.</w:t>
      </w:r>
      <w:r w:rsidRPr="00AC0AC9">
        <w:rPr>
          <w:noProof/>
          <w:vertAlign w:val="superscript"/>
        </w:rPr>
        <w:t>3-4</w:t>
      </w:r>
      <w:r w:rsidRPr="00AC0AC9">
        <w:t xml:space="preserve"> Following on from these findings, the use of carboxylate salts to promote C–H bond functionalization reactions are now legion,</w:t>
      </w:r>
      <w:r w:rsidRPr="00AC0AC9">
        <w:rPr>
          <w:noProof/>
          <w:vertAlign w:val="superscript"/>
        </w:rPr>
        <w:t>2, 5</w:t>
      </w:r>
      <w:r w:rsidRPr="00AC0AC9">
        <w:t xml:space="preserve"> being able to active sp</w:t>
      </w:r>
      <w:r w:rsidRPr="00AC0AC9">
        <w:rPr>
          <w:vertAlign w:val="superscript"/>
        </w:rPr>
        <w:t>2</w:t>
      </w:r>
      <w:r w:rsidRPr="00AC0AC9">
        <w:t>- and sp</w:t>
      </w:r>
      <w:r w:rsidRPr="00AC0AC9">
        <w:rPr>
          <w:vertAlign w:val="superscript"/>
        </w:rPr>
        <w:t>3</w:t>
      </w:r>
      <w:r w:rsidRPr="00AC0AC9">
        <w:t xml:space="preserve"> C–H bonds by a range of metal systems, including those based on 3d-elements.</w:t>
      </w:r>
      <w:r w:rsidRPr="00AC0AC9">
        <w:rPr>
          <w:noProof/>
          <w:vertAlign w:val="superscript"/>
        </w:rPr>
        <w:t>6</w:t>
      </w:r>
      <w:r w:rsidRPr="00AC0AC9">
        <w:t xml:space="preserve"> Many catalyst systems are either inefficient or ineffective in the absence of these additives and selected examples where this is the case are shown in Figure 1b-d.</w:t>
      </w:r>
      <w:r w:rsidRPr="00AC0AC9">
        <w:rPr>
          <w:noProof/>
          <w:vertAlign w:val="superscript"/>
        </w:rPr>
        <w:t>7-9</w:t>
      </w:r>
    </w:p>
    <w:p w:rsidR="005B68B9" w:rsidRPr="00AC0AC9" w:rsidRDefault="005B68B9" w:rsidP="008E2126">
      <w:pPr>
        <w:pStyle w:val="TAMainText"/>
      </w:pPr>
      <w:r w:rsidRPr="00AC0AC9">
        <w:t>An important corollary to these findings is that carboxylic acids may have a similarly advantageous role in metal-catalyzed C–H bond functionalization (Fig 1e-f).</w:t>
      </w:r>
      <w:r w:rsidRPr="00AC0AC9">
        <w:rPr>
          <w:noProof/>
          <w:vertAlign w:val="superscript"/>
        </w:rPr>
        <w:t>10-11</w:t>
      </w:r>
      <w:r w:rsidRPr="00AC0AC9">
        <w:t xml:space="preserve"> The subtle interplay between the acid- and base-promoted facets of </w:t>
      </w:r>
      <w:r w:rsidRPr="00AC0AC9">
        <w:t>carboxylate/carboxylic acid chemistry is highlighted by the two manganese-catalyzed reactions illustrated in Fig 1g and Fig 1h, which differ only in the substrate oxidation-level. In the alkyne case, Fig 1g, acetic acid (</w:t>
      </w:r>
      <w:proofErr w:type="spellStart"/>
      <w:r w:rsidRPr="00AC0AC9">
        <w:t>HOAc</w:t>
      </w:r>
      <w:proofErr w:type="spellEnd"/>
      <w:r w:rsidRPr="00AC0AC9">
        <w:t>) gave the greatest yield of the desired product,</w:t>
      </w:r>
      <w:r w:rsidRPr="00AC0AC9">
        <w:rPr>
          <w:noProof/>
          <w:vertAlign w:val="superscript"/>
        </w:rPr>
        <w:t>12</w:t>
      </w:r>
      <w:r w:rsidRPr="00AC0AC9">
        <w:t xml:space="preserve"> whereas </w:t>
      </w:r>
      <w:proofErr w:type="spellStart"/>
      <w:r w:rsidRPr="00AC0AC9">
        <w:t>NaOAc</w:t>
      </w:r>
      <w:proofErr w:type="spellEnd"/>
      <w:r w:rsidRPr="00AC0AC9">
        <w:t xml:space="preserve"> altered the reaction pathway to deliver an alternative product. Curiously, in the alkene example, Fig 1h, </w:t>
      </w:r>
      <w:proofErr w:type="spellStart"/>
      <w:r w:rsidRPr="00AC0AC9">
        <w:t>NaOAc</w:t>
      </w:r>
      <w:proofErr w:type="spellEnd"/>
      <w:r w:rsidRPr="00AC0AC9">
        <w:t xml:space="preserve"> gave the expected product in excellent yield.</w:t>
      </w:r>
      <w:r w:rsidRPr="00AC0AC9">
        <w:rPr>
          <w:noProof/>
          <w:vertAlign w:val="superscript"/>
        </w:rPr>
        <w:t>13</w:t>
      </w:r>
    </w:p>
    <w:p w:rsidR="005B68B9" w:rsidRPr="00AC0AC9" w:rsidRDefault="005B68B9" w:rsidP="008E2126">
      <w:pPr>
        <w:pStyle w:val="TAMainText"/>
      </w:pPr>
      <w:r w:rsidRPr="00AC0AC9">
        <w:t>The current mechanistic hypothesis which underpins the remarkable role of carboxylate salts in catalysis is supported mostly by computational chemistry.</w:t>
      </w:r>
      <w:r w:rsidRPr="00AC0AC9">
        <w:rPr>
          <w:noProof/>
          <w:vertAlign w:val="superscript"/>
        </w:rPr>
        <w:t>5</w:t>
      </w:r>
      <w:r w:rsidRPr="00AC0AC9">
        <w:t xml:space="preserve"> Thus, coordination of a C–H bond in the substrate to an electrophilic metal center results in a decrease in its </w:t>
      </w:r>
      <w:proofErr w:type="spellStart"/>
      <w:r w:rsidRPr="00AC0AC9">
        <w:t>pK</w:t>
      </w:r>
      <w:r w:rsidRPr="00AC0AC9">
        <w:rPr>
          <w:vertAlign w:val="subscript"/>
        </w:rPr>
        <w:t>a</w:t>
      </w:r>
      <w:proofErr w:type="spellEnd"/>
      <w:r w:rsidRPr="00AC0AC9">
        <w:t xml:space="preserve"> to such a point that deprotonation in either an intra- or inter-molecular fashion by a carboxylate group becomes feasible (Fig. 2a-c). This process is referred to as concerted metalation deprotonation (CMD) or </w:t>
      </w:r>
      <w:proofErr w:type="spellStart"/>
      <w:r w:rsidRPr="00AC0AC9">
        <w:t>ambiphilic</w:t>
      </w:r>
      <w:proofErr w:type="spellEnd"/>
      <w:r w:rsidRPr="00AC0AC9">
        <w:t xml:space="preserve"> metal-ligand activation (AMLA), hereafter CMD,</w:t>
      </w:r>
      <w:r w:rsidRPr="00AC0AC9">
        <w:rPr>
          <w:noProof/>
          <w:vertAlign w:val="superscript"/>
        </w:rPr>
        <w:t>10-11</w:t>
      </w:r>
      <w:r w:rsidRPr="00AC0AC9">
        <w:t xml:space="preserve"> although related terms such as base-assisted internal electrophilic substitution</w:t>
      </w:r>
      <w:r w:rsidRPr="00AC0AC9">
        <w:rPr>
          <w:noProof/>
          <w:vertAlign w:val="superscript"/>
        </w:rPr>
        <w:t>14</w:t>
      </w:r>
      <w:r w:rsidRPr="00AC0AC9">
        <w:t xml:space="preserve"> (BIES) or eCMD</w:t>
      </w:r>
      <w:r w:rsidRPr="00AC0AC9">
        <w:rPr>
          <w:noProof/>
          <w:vertAlign w:val="superscript"/>
        </w:rPr>
        <w:t>15</w:t>
      </w:r>
      <w:r w:rsidRPr="00AC0AC9">
        <w:t xml:space="preserve"> (electrophilic CMD) are also employed in cases in which the dominant process is believed to be electrophilic in nature.</w:t>
      </w:r>
      <w:r w:rsidRPr="00AC0AC9">
        <w:rPr>
          <w:noProof/>
          <w:vertAlign w:val="superscript"/>
        </w:rPr>
        <w:t>16</w:t>
      </w:r>
      <w:r w:rsidRPr="00AC0AC9">
        <w:t xml:space="preserve"> </w:t>
      </w:r>
    </w:p>
    <w:p w:rsidR="005B68B9" w:rsidRPr="00AC0AC9" w:rsidRDefault="005B68B9" w:rsidP="008E2126">
      <w:pPr>
        <w:pStyle w:val="TAMainText"/>
        <w:sectPr w:rsidR="005B68B9" w:rsidRPr="00AC0AC9" w:rsidSect="005B68B9">
          <w:type w:val="continuous"/>
          <w:pgSz w:w="12240" w:h="15840"/>
          <w:pgMar w:top="720" w:right="1094" w:bottom="720" w:left="1094" w:header="720" w:footer="720" w:gutter="0"/>
          <w:cols w:num="2" w:space="461"/>
        </w:sectPr>
      </w:pPr>
    </w:p>
    <w:p w:rsidR="005B68B9" w:rsidRPr="00AC0AC9" w:rsidRDefault="00BF00AC" w:rsidP="008E2126">
      <w:pPr>
        <w:pStyle w:val="TAMainText"/>
      </w:pPr>
      <w:r w:rsidRPr="004E26BE">
        <w:rPr>
          <w:noProof/>
        </w:rPr>
        <w:object w:dxaOrig="16116" w:dyaOrig="9193" w14:anchorId="6E45E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6.65pt;height:276.65pt;mso-width-percent:0;mso-height-percent:0;mso-width-percent:0;mso-height-percent:0" o:ole="">
            <v:imagedata r:id="rId7" o:title=""/>
          </v:shape>
          <o:OLEObject Type="Embed" ProgID="ChemDraw.Document.6.0" ShapeID="_x0000_i1025" DrawAspect="Content" ObjectID="_1667996332" r:id="rId8"/>
        </w:object>
      </w:r>
    </w:p>
    <w:p w:rsidR="005B68B9" w:rsidRPr="00AC0AC9" w:rsidRDefault="005B68B9" w:rsidP="0055029F">
      <w:pPr>
        <w:pStyle w:val="VAFigureCaption"/>
      </w:pPr>
      <w:r w:rsidRPr="00AC0AC9">
        <w:rPr>
          <w:b/>
          <w:bCs/>
        </w:rPr>
        <w:t>Figure 1</w:t>
      </w:r>
      <w:r w:rsidRPr="00AC0AC9">
        <w:t xml:space="preserve"> Frontier-leading examples of base- and acid-promoted C–H bond functionalization reactions in chemical synthesis.</w:t>
      </w:r>
    </w:p>
    <w:p w:rsidR="005B68B9" w:rsidRPr="00AC0AC9" w:rsidRDefault="005B68B9" w:rsidP="0055029F">
      <w:pPr>
        <w:pStyle w:val="VAFigureCaption"/>
        <w:sectPr w:rsidR="005B68B9" w:rsidRPr="00AC0AC9" w:rsidSect="00CA6E36">
          <w:pgSz w:w="12240" w:h="15840"/>
          <w:pgMar w:top="720" w:right="1094" w:bottom="720" w:left="1094" w:header="720" w:footer="720" w:gutter="0"/>
          <w:cols w:space="461"/>
        </w:sectPr>
      </w:pPr>
    </w:p>
    <w:p w:rsidR="005B68B9" w:rsidRPr="00AC0AC9" w:rsidRDefault="005B68B9" w:rsidP="00C746A6">
      <w:pPr>
        <w:pStyle w:val="TAMainText"/>
        <w:ind w:firstLine="0"/>
      </w:pPr>
      <w:r w:rsidRPr="00AC0AC9">
        <w:t xml:space="preserve">Carboxylic acid-enhanced reactions may be rationalized through the promotion of the microscopic reverse of this process </w:t>
      </w:r>
      <w:r w:rsidRPr="00AC0AC9">
        <w:rPr>
          <w:i/>
          <w:iCs/>
        </w:rPr>
        <w:t xml:space="preserve">viz. </w:t>
      </w:r>
      <w:r w:rsidRPr="00AC0AC9">
        <w:t>the protonation of an M–C bond which aids product liberation. For example, Jones has exploited this effect by demonstrating that the addition of acids enables a thermodynamic distribution of products to be obtained in a CMD reaction.</w:t>
      </w:r>
      <w:r w:rsidRPr="00AC0AC9">
        <w:rPr>
          <w:noProof/>
          <w:vertAlign w:val="superscript"/>
        </w:rPr>
        <w:t>17</w:t>
      </w:r>
      <w:r w:rsidRPr="00AC0AC9">
        <w:t xml:space="preserve"> The presence of the acid presumably enhances M–C </w:t>
      </w:r>
      <w:proofErr w:type="spellStart"/>
      <w:r w:rsidRPr="00AC0AC9">
        <w:t>protonylsis</w:t>
      </w:r>
      <w:proofErr w:type="spellEnd"/>
      <w:r w:rsidRPr="00AC0AC9">
        <w:t xml:space="preserve"> (the reverse of CMD) ensuring that the metalation step is readily reversible.</w:t>
      </w:r>
    </w:p>
    <w:p w:rsidR="005B68B9" w:rsidRPr="00AC0AC9" w:rsidRDefault="005B68B9" w:rsidP="008E2126">
      <w:pPr>
        <w:pStyle w:val="TAMainText"/>
      </w:pPr>
      <w:r w:rsidRPr="00AC0AC9">
        <w:t xml:space="preserve">However, understanding the proton-shuttling events within the coordination sphere of transition metals which lead to C–H bond activation (or M–C </w:t>
      </w:r>
      <w:proofErr w:type="spellStart"/>
      <w:r w:rsidRPr="00AC0AC9">
        <w:t>protonlysis</w:t>
      </w:r>
      <w:proofErr w:type="spellEnd"/>
      <w:r w:rsidRPr="00AC0AC9">
        <w:t>) is fraught with difficultly (experimentally) as they are frequently predicted to have low barriers and other steps, such as the change in binding mode of carboxylate ligand may entail that mechanistic insight is lost in ensemble measurements.</w:t>
      </w:r>
      <w:r w:rsidRPr="00AC0AC9">
        <w:rPr>
          <w:noProof/>
          <w:vertAlign w:val="superscript"/>
        </w:rPr>
        <w:t>5, 18</w:t>
      </w:r>
      <w:r w:rsidRPr="00AC0AC9">
        <w:t xml:space="preserve"> In some cases large kinetic isotope effects (KIE) indicate that C–H bond cleavage may be rate-controlling although this can be strongly substrate dependent</w:t>
      </w:r>
      <w:r w:rsidRPr="00AC0AC9">
        <w:rPr>
          <w:noProof/>
          <w:vertAlign w:val="superscript"/>
        </w:rPr>
        <w:t>19</w:t>
      </w:r>
      <w:r w:rsidRPr="00AC0AC9">
        <w:t xml:space="preserve"> and the lack of KIE does not imply that the reverse is true.</w:t>
      </w:r>
      <w:r w:rsidRPr="00AC0AC9">
        <w:rPr>
          <w:noProof/>
          <w:vertAlign w:val="superscript"/>
        </w:rPr>
        <w:t>20</w:t>
      </w:r>
      <w:r w:rsidRPr="00AC0AC9">
        <w:t xml:space="preserve"> Also, there is a complex balance of kinetic and thermodynamic effects which control the selectivity of C–H bond activation and subsequent reactivity.</w:t>
      </w:r>
      <w:r w:rsidRPr="00AC0AC9">
        <w:rPr>
          <w:noProof/>
          <w:vertAlign w:val="superscript"/>
        </w:rPr>
        <w:t>21-22</w:t>
      </w:r>
    </w:p>
    <w:p w:rsidR="005B68B9" w:rsidRPr="00AC0AC9" w:rsidRDefault="005B68B9" w:rsidP="008E2126">
      <w:pPr>
        <w:pStyle w:val="TAMainText"/>
      </w:pPr>
      <w:r w:rsidRPr="00AC0AC9">
        <w:t>The direct experimental observation of the states involved in the CMD process would represent a significant advance in the mechanistic understanding of C–H bond functionalization reactions. In addition to providing important validation of the predictions from computational chemistry, an evaluation of the factors controlling the proton shuttling events within the coordination sphere of metal complexes would ensure that future synthetic methods are built upon firm mechanistic foundations.</w:t>
      </w:r>
    </w:p>
    <w:p w:rsidR="005B68B9" w:rsidRPr="00AC0AC9" w:rsidRDefault="005B68B9" w:rsidP="008E2126">
      <w:pPr>
        <w:pStyle w:val="TAMainText"/>
      </w:pPr>
      <w:r w:rsidRPr="00AC0AC9">
        <w:t xml:space="preserve">An experiment was devised to observe the microscopic reverse of CMD, </w:t>
      </w:r>
      <w:r w:rsidRPr="00AC0AC9">
        <w:rPr>
          <w:i/>
          <w:iCs/>
        </w:rPr>
        <w:t>viz.</w:t>
      </w:r>
      <w:r w:rsidRPr="00AC0AC9">
        <w:t xml:space="preserve"> the protonation of a metal-carbon bond by a carboxylic acid. Our previous work has shown that photochemical activation of thermally robust [Mn(</w:t>
      </w:r>
      <w:proofErr w:type="spellStart"/>
      <w:r w:rsidRPr="00AC0AC9">
        <w:t>ppy</w:t>
      </w:r>
      <w:proofErr w:type="spellEnd"/>
      <w:r w:rsidRPr="00AC0AC9">
        <w:t>)(CO)</w:t>
      </w:r>
      <w:r w:rsidRPr="00AC0AC9">
        <w:rPr>
          <w:vertAlign w:val="subscript"/>
        </w:rPr>
        <w:t>4</w:t>
      </w:r>
      <w:r w:rsidRPr="00AC0AC9">
        <w:t xml:space="preserve">], </w:t>
      </w:r>
      <w:r w:rsidRPr="00AC0AC9">
        <w:rPr>
          <w:b/>
          <w:bCs/>
        </w:rPr>
        <w:t>1</w:t>
      </w:r>
      <w:r w:rsidRPr="00AC0AC9">
        <w:t>, can be used to observe key states in the C–C bond formation reaction (</w:t>
      </w:r>
      <w:r w:rsidRPr="00AC0AC9">
        <w:rPr>
          <w:b/>
          <w:bCs/>
        </w:rPr>
        <w:t>A</w:t>
      </w:r>
      <w:r w:rsidRPr="00AC0AC9">
        <w:t xml:space="preserve">, </w:t>
      </w:r>
      <w:r w:rsidRPr="00AC0AC9">
        <w:rPr>
          <w:b/>
          <w:bCs/>
        </w:rPr>
        <w:t>B</w:t>
      </w:r>
      <w:r w:rsidRPr="00AC0AC9">
        <w:t xml:space="preserve"> and </w:t>
      </w:r>
      <w:r w:rsidRPr="00AC0AC9">
        <w:rPr>
          <w:b/>
          <w:bCs/>
        </w:rPr>
        <w:t>C</w:t>
      </w:r>
      <w:r w:rsidRPr="00AC0AC9">
        <w:t>, Fig 2d) which underpin Mn-catalyzed C–H bond functionalization reactions.</w:t>
      </w:r>
      <w:r w:rsidRPr="00AC0AC9">
        <w:rPr>
          <w:noProof/>
          <w:vertAlign w:val="superscript"/>
        </w:rPr>
        <w:t>23</w:t>
      </w:r>
      <w:r w:rsidRPr="00AC0AC9">
        <w:t xml:space="preserve"> It was envisaged that irradiation of </w:t>
      </w:r>
      <w:r w:rsidRPr="00AC0AC9">
        <w:rPr>
          <w:b/>
          <w:bCs/>
        </w:rPr>
        <w:t>1</w:t>
      </w:r>
      <w:r w:rsidRPr="00AC0AC9">
        <w:t xml:space="preserve"> in the presence of </w:t>
      </w:r>
      <w:proofErr w:type="spellStart"/>
      <w:r w:rsidRPr="00AC0AC9">
        <w:t>HOAc</w:t>
      </w:r>
      <w:proofErr w:type="spellEnd"/>
      <w:r w:rsidRPr="00AC0AC9">
        <w:t xml:space="preserve"> would lead to ultra-fast dissociation of a CO ligand</w:t>
      </w:r>
      <w:r w:rsidRPr="00AC0AC9">
        <w:rPr>
          <w:noProof/>
          <w:vertAlign w:val="superscript"/>
        </w:rPr>
        <w:t>24-26</w:t>
      </w:r>
      <w:r w:rsidRPr="00AC0AC9">
        <w:t xml:space="preserve"> followed by coordination of the acid to the metal (Fig. 2e). The subsequent changes to the coordination environment of the metal could be monitored by observing the changes to the intensity and position of the MC</w:t>
      </w:r>
      <w:r w:rsidRPr="00AC0AC9">
        <w:rPr>
          <w:rFonts w:eastAsia="Arial Unicode MS" w:cs="Arial Unicode MS"/>
        </w:rPr>
        <w:t>≡</w:t>
      </w:r>
      <w:r w:rsidRPr="00AC0AC9">
        <w:t>O bands in the time-resolved infra-red spectra of the reaction mixture. We now report the successful implementation of this strategy and the first observation of the microscopic reverse of the CMD mechanism. Furthermore, we exploit the potential of the time-resolved multiple-probe (TR</w:t>
      </w:r>
      <w:r w:rsidRPr="00AC0AC9">
        <w:rPr>
          <w:vertAlign w:val="superscript"/>
        </w:rPr>
        <w:t>M</w:t>
      </w:r>
      <w:r w:rsidRPr="00AC0AC9">
        <w:t>PS) spectroscopy</w:t>
      </w:r>
      <w:r w:rsidRPr="00AC0AC9">
        <w:rPr>
          <w:noProof/>
          <w:vertAlign w:val="superscript"/>
        </w:rPr>
        <w:t>27</w:t>
      </w:r>
      <w:r w:rsidRPr="00AC0AC9">
        <w:t xml:space="preserve"> method to show the importance of metal-carbon bond protonation in manganese-catalyzed C–H bond functionalization reactions.</w:t>
      </w:r>
    </w:p>
    <w:p w:rsidR="005B68B9" w:rsidRPr="00AC0AC9" w:rsidRDefault="005B68B9" w:rsidP="008E2126">
      <w:pPr>
        <w:pStyle w:val="TESectionHeading"/>
      </w:pPr>
      <w:r w:rsidRPr="00AC0AC9">
        <w:t>Results and Discussion</w:t>
      </w:r>
    </w:p>
    <w:p w:rsidR="005B68B9" w:rsidRPr="00AC0AC9" w:rsidRDefault="005B68B9" w:rsidP="008E2126">
      <w:pPr>
        <w:pStyle w:val="TAMainText"/>
        <w:rPr>
          <w:b/>
          <w:bCs/>
        </w:rPr>
      </w:pPr>
      <w:r w:rsidRPr="00AC0AC9">
        <w:t>The viability of the proposed intramolecular proton-shuttling reactions within the coordination sphere of Mn(I) was validated using Density Functional Theory (DFT) methods (Figure 2d). These studies demonstrated the states invoked in related computational studies on the CMD process were feasible in this case.</w:t>
      </w:r>
      <w:r w:rsidRPr="00AC0AC9">
        <w:rPr>
          <w:noProof/>
          <w:vertAlign w:val="superscript"/>
        </w:rPr>
        <w:t>5, 21-22</w:t>
      </w:r>
      <w:r w:rsidRPr="00AC0AC9">
        <w:t xml:space="preserve"> Complex </w:t>
      </w:r>
      <w:r w:rsidRPr="00AC0AC9">
        <w:rPr>
          <w:b/>
          <w:bCs/>
        </w:rPr>
        <w:t>D</w:t>
      </w:r>
      <w:r w:rsidRPr="00AC0AC9">
        <w:t xml:space="preserve">, in which the </w:t>
      </w:r>
      <w:proofErr w:type="spellStart"/>
      <w:r w:rsidRPr="00AC0AC9">
        <w:t>HOAc</w:t>
      </w:r>
      <w:proofErr w:type="spellEnd"/>
      <w:r w:rsidRPr="00AC0AC9">
        <w:t xml:space="preserve"> is bound to the metal center in a </w:t>
      </w:r>
      <w:r w:rsidRPr="00AC0AC9">
        <w:rPr>
          <w:rFonts w:ascii="Symbol" w:hAnsi="Symbol"/>
        </w:rPr>
        <w:t></w:t>
      </w:r>
      <w:r w:rsidRPr="00AC0AC9">
        <w:rPr>
          <w:vertAlign w:val="superscript"/>
        </w:rPr>
        <w:t>1</w:t>
      </w:r>
      <w:r w:rsidRPr="00AC0AC9">
        <w:t xml:space="preserve">(O)-fashion at the site previously occupied by the photochemically liberated CO, was taken as the reference state for the DFT calculations. The protonation event was predicted to proceed through the formation of </w:t>
      </w:r>
      <w:r w:rsidRPr="00AC0AC9">
        <w:rPr>
          <w:b/>
          <w:bCs/>
        </w:rPr>
        <w:t>E</w:t>
      </w:r>
      <w:r w:rsidRPr="00AC0AC9">
        <w:t xml:space="preserve"> (</w:t>
      </w:r>
      <w:r w:rsidRPr="00AC0AC9">
        <w:rPr>
          <w:rFonts w:cstheme="minorHAnsi"/>
        </w:rPr>
        <w:t>−</w:t>
      </w:r>
      <w:r w:rsidRPr="00AC0AC9">
        <w:t>24 kJ mol</w:t>
      </w:r>
      <w:r w:rsidRPr="00AC0AC9">
        <w:rPr>
          <w:vertAlign w:val="superscript"/>
        </w:rPr>
        <w:t>-1</w:t>
      </w:r>
      <w:r w:rsidRPr="00AC0AC9">
        <w:t>) in which the O</w:t>
      </w:r>
      <w:r w:rsidRPr="00AC0AC9">
        <w:rPr>
          <w:rFonts w:cstheme="minorHAnsi"/>
        </w:rPr>
        <w:t>–</w:t>
      </w:r>
      <w:r w:rsidRPr="00AC0AC9">
        <w:t>H proton shows a weak interaction with the metal-bound carbon atom of the 2-phenylpyridyl ligand – similar structures have been predicted to be key states in the calculations conducted on an eclectic array of reactions involving CMD steps.</w:t>
      </w:r>
      <w:r w:rsidRPr="00AC0AC9">
        <w:rPr>
          <w:noProof/>
          <w:vertAlign w:val="superscript"/>
        </w:rPr>
        <w:t>28</w:t>
      </w:r>
      <w:r w:rsidRPr="00AC0AC9">
        <w:t xml:space="preserve"> As shown by a Dynamic Reaction Coordinate (DRC) analysis, protonation through </w:t>
      </w:r>
      <w:r w:rsidRPr="00AC0AC9">
        <w:rPr>
          <w:b/>
          <w:bCs/>
        </w:rPr>
        <w:t>TS</w:t>
      </w:r>
      <w:r w:rsidRPr="00AC0AC9">
        <w:rPr>
          <w:b/>
          <w:bCs/>
          <w:vertAlign w:val="subscript"/>
        </w:rPr>
        <w:t>EF</w:t>
      </w:r>
      <w:r w:rsidRPr="00AC0AC9">
        <w:t xml:space="preserve"> (</w:t>
      </w:r>
      <w:r w:rsidRPr="00AC0AC9">
        <w:rPr>
          <w:rFonts w:ascii="Arial" w:hAnsi="Arial" w:cs="Arial"/>
        </w:rPr>
        <w:t>−</w:t>
      </w:r>
      <w:r w:rsidRPr="00AC0AC9">
        <w:t>10 kJ mol</w:t>
      </w:r>
      <w:r w:rsidRPr="00AC0AC9">
        <w:rPr>
          <w:vertAlign w:val="superscript"/>
        </w:rPr>
        <w:t>-1</w:t>
      </w:r>
      <w:r w:rsidRPr="00AC0AC9">
        <w:t xml:space="preserve">) gives </w:t>
      </w:r>
      <w:r w:rsidRPr="00AC0AC9">
        <w:rPr>
          <w:b/>
          <w:bCs/>
        </w:rPr>
        <w:t xml:space="preserve">F </w:t>
      </w:r>
      <w:r w:rsidRPr="00AC0AC9">
        <w:t>(</w:t>
      </w:r>
      <w:r w:rsidRPr="00AC0AC9">
        <w:rPr>
          <w:rFonts w:ascii="Arial" w:hAnsi="Arial" w:cs="Arial"/>
        </w:rPr>
        <w:t>−</w:t>
      </w:r>
      <w:r w:rsidRPr="00AC0AC9">
        <w:t>44 kJ mol</w:t>
      </w:r>
      <w:r w:rsidRPr="00AC0AC9">
        <w:rPr>
          <w:vertAlign w:val="superscript"/>
        </w:rPr>
        <w:t>-1</w:t>
      </w:r>
      <w:r w:rsidRPr="00AC0AC9">
        <w:t>), which contains a C</w:t>
      </w:r>
      <w:r w:rsidRPr="00AC0AC9">
        <w:rPr>
          <w:rFonts w:cstheme="minorHAnsi"/>
        </w:rPr>
        <w:t>–</w:t>
      </w:r>
      <w:r w:rsidRPr="00AC0AC9">
        <w:t xml:space="preserve">H </w:t>
      </w:r>
    </w:p>
    <w:p w:rsidR="005B68B9" w:rsidRPr="00AC0AC9" w:rsidRDefault="005B68B9" w:rsidP="000C02C9">
      <w:pPr>
        <w:pStyle w:val="VCSchemeTitle"/>
      </w:pPr>
      <w:r w:rsidRPr="00AC0AC9">
        <w:rPr>
          <w:noProof/>
        </w:rPr>
        <w:lastRenderedPageBreak/>
        <w:drawing>
          <wp:inline distT="0" distB="0" distL="0" distR="0" wp14:anchorId="1CEAC373" wp14:editId="1D34D476">
            <wp:extent cx="3044825" cy="558292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44825" cy="5582920"/>
                    </a:xfrm>
                    <a:prstGeom prst="rect">
                      <a:avLst/>
                    </a:prstGeom>
                  </pic:spPr>
                </pic:pic>
              </a:graphicData>
            </a:graphic>
          </wp:inline>
        </w:drawing>
      </w:r>
    </w:p>
    <w:p w:rsidR="005B68B9" w:rsidRPr="00AC0AC9" w:rsidRDefault="005B68B9" w:rsidP="000C02C9">
      <w:pPr>
        <w:pStyle w:val="VAFigureCaption"/>
      </w:pPr>
      <w:r w:rsidRPr="00AC0AC9">
        <w:rPr>
          <w:b/>
          <w:bCs/>
        </w:rPr>
        <w:t>Figure 2</w:t>
      </w:r>
      <w:r w:rsidRPr="00AC0AC9">
        <w:t xml:space="preserve"> (a)-(c) mechanistic proposals that underpin carboxylate-assisted C–H bond activation (d) previous work allowing direct observation of C–C bond formation (e) the principal results from this study allowing direct observation of proton transfer (f) DFT-calculated intramolecular protonation pathway. Energies are Free Energies at 298 K in kJ mol</w:t>
      </w:r>
      <w:r w:rsidRPr="00AC0AC9">
        <w:rPr>
          <w:vertAlign w:val="superscript"/>
        </w:rPr>
        <w:t>-1</w:t>
      </w:r>
      <w:r w:rsidRPr="00AC0AC9">
        <w:t xml:space="preserve"> at the D3-pbe0/def2-TZVPP//bp86/SV(P) level with COSMO solvation in </w:t>
      </w:r>
      <w:proofErr w:type="spellStart"/>
      <w:r w:rsidRPr="00AC0AC9">
        <w:t>HOAc</w:t>
      </w:r>
      <w:proofErr w:type="spellEnd"/>
      <w:r w:rsidRPr="00AC0AC9">
        <w:t xml:space="preserve">. (g) comparison of transition state structures related to </w:t>
      </w:r>
      <w:r w:rsidRPr="00AC0AC9">
        <w:rPr>
          <w:b/>
          <w:bCs/>
        </w:rPr>
        <w:t>TS</w:t>
      </w:r>
      <w:r w:rsidRPr="00AC0AC9">
        <w:rPr>
          <w:b/>
          <w:bCs/>
          <w:vertAlign w:val="subscript"/>
        </w:rPr>
        <w:t>EF</w:t>
      </w:r>
      <w:r w:rsidRPr="00AC0AC9">
        <w:t xml:space="preserve"> for a range of metal systems.</w:t>
      </w:r>
      <w:r w:rsidRPr="00AC0AC9">
        <w:rPr>
          <w:noProof/>
          <w:vertAlign w:val="superscript"/>
        </w:rPr>
        <w:t>5, 29</w:t>
      </w:r>
    </w:p>
    <w:p w:rsidR="005B68B9" w:rsidRPr="00AC0AC9" w:rsidRDefault="005A7044" w:rsidP="00F25AF7">
      <w:pPr>
        <w:pStyle w:val="TAMainText"/>
        <w:ind w:firstLine="0"/>
      </w:pPr>
      <w:r w:rsidRPr="00AC0AC9">
        <w:t xml:space="preserve">agostic interaction and a </w:t>
      </w:r>
      <w:r w:rsidRPr="00AC0AC9">
        <w:rPr>
          <w:rFonts w:ascii="Symbol" w:hAnsi="Symbol"/>
        </w:rPr>
        <w:t></w:t>
      </w:r>
      <w:r w:rsidRPr="00AC0AC9">
        <w:rPr>
          <w:vertAlign w:val="superscript"/>
        </w:rPr>
        <w:t>1</w:t>
      </w:r>
      <w:r w:rsidRPr="00AC0AC9">
        <w:t xml:space="preserve">-acetate ligand. A lower energy isomer </w:t>
      </w:r>
      <w:r w:rsidRPr="00AC0AC9">
        <w:rPr>
          <w:b/>
          <w:bCs/>
        </w:rPr>
        <w:t>G</w:t>
      </w:r>
      <w:r w:rsidRPr="00AC0AC9">
        <w:t xml:space="preserve"> (</w:t>
      </w:r>
      <w:r w:rsidRPr="00AC0AC9">
        <w:rPr>
          <w:rFonts w:ascii="Arial" w:hAnsi="Arial" w:cs="Arial"/>
        </w:rPr>
        <w:t>−</w:t>
      </w:r>
      <w:r w:rsidRPr="00AC0AC9">
        <w:t>70 kJ mol</w:t>
      </w:r>
      <w:r w:rsidRPr="00AC0AC9">
        <w:rPr>
          <w:vertAlign w:val="superscript"/>
        </w:rPr>
        <w:t>-1</w:t>
      </w:r>
      <w:r w:rsidRPr="00AC0AC9">
        <w:t xml:space="preserve">) with a </w:t>
      </w:r>
      <w:r w:rsidRPr="00AC0AC9">
        <w:rPr>
          <w:rFonts w:ascii="Symbol" w:hAnsi="Symbol"/>
        </w:rPr>
        <w:t></w:t>
      </w:r>
      <w:r w:rsidRPr="00AC0AC9">
        <w:rPr>
          <w:vertAlign w:val="superscript"/>
        </w:rPr>
        <w:t>2</w:t>
      </w:r>
      <w:r w:rsidRPr="00AC0AC9">
        <w:t xml:space="preserve">-acetate ligand was located, formed through a change in the binding </w:t>
      </w:r>
      <w:r w:rsidR="005B68B9" w:rsidRPr="00AC0AC9">
        <w:t>mode (</w:t>
      </w:r>
      <w:r w:rsidR="005B68B9" w:rsidRPr="00AC0AC9">
        <w:rPr>
          <w:rFonts w:ascii="Symbol" w:hAnsi="Symbol"/>
        </w:rPr>
        <w:t></w:t>
      </w:r>
      <w:r w:rsidR="005B68B9" w:rsidRPr="00AC0AC9">
        <w:rPr>
          <w:vertAlign w:val="superscript"/>
        </w:rPr>
        <w:t>1</w:t>
      </w:r>
      <w:r w:rsidR="005B68B9" w:rsidRPr="00AC0AC9">
        <w:t>-</w:t>
      </w:r>
      <w:r w:rsidR="005B68B9" w:rsidRPr="00AC0AC9">
        <w:rPr>
          <w:rFonts w:ascii="Symbol" w:hAnsi="Symbol"/>
        </w:rPr>
        <w:t></w:t>
      </w:r>
      <w:r w:rsidR="005B68B9" w:rsidRPr="00AC0AC9">
        <w:rPr>
          <w:vertAlign w:val="superscript"/>
        </w:rPr>
        <w:t>2</w:t>
      </w:r>
      <w:r w:rsidR="005B68B9" w:rsidRPr="00AC0AC9">
        <w:t xml:space="preserve">) of the acetate ligand in </w:t>
      </w:r>
      <w:r w:rsidR="005B68B9" w:rsidRPr="00AC0AC9">
        <w:rPr>
          <w:b/>
          <w:bCs/>
        </w:rPr>
        <w:t>TS</w:t>
      </w:r>
      <w:r w:rsidR="005B68B9" w:rsidRPr="00AC0AC9">
        <w:rPr>
          <w:b/>
          <w:bCs/>
          <w:vertAlign w:val="subscript"/>
        </w:rPr>
        <w:t>FG</w:t>
      </w:r>
      <w:r w:rsidR="005B68B9" w:rsidRPr="00AC0AC9">
        <w:rPr>
          <w:b/>
          <w:bCs/>
        </w:rPr>
        <w:t xml:space="preserve"> </w:t>
      </w:r>
      <w:r w:rsidR="005B68B9" w:rsidRPr="00AC0AC9">
        <w:t>(</w:t>
      </w:r>
      <w:r w:rsidR="005B68B9" w:rsidRPr="00AC0AC9">
        <w:rPr>
          <w:rFonts w:ascii="Arial" w:hAnsi="Arial" w:cs="Arial"/>
        </w:rPr>
        <w:t>−</w:t>
      </w:r>
      <w:r w:rsidR="005B68B9" w:rsidRPr="00AC0AC9">
        <w:t>40 kJ mol</w:t>
      </w:r>
      <w:r w:rsidR="005B68B9" w:rsidRPr="00AC0AC9">
        <w:rPr>
          <w:vertAlign w:val="superscript"/>
        </w:rPr>
        <w:t>-1</w:t>
      </w:r>
      <w:r w:rsidR="005B68B9" w:rsidRPr="00AC0AC9">
        <w:t>).</w:t>
      </w:r>
      <w:r w:rsidR="005B68B9" w:rsidRPr="00AC0AC9">
        <w:rPr>
          <w:b/>
          <w:bCs/>
        </w:rPr>
        <w:t xml:space="preserve"> </w:t>
      </w:r>
      <w:r w:rsidR="005B68B9" w:rsidRPr="00AC0AC9">
        <w:t>The forward pathway (</w:t>
      </w:r>
      <w:r w:rsidR="005B68B9" w:rsidRPr="00AC0AC9">
        <w:rPr>
          <w:b/>
          <w:bCs/>
        </w:rPr>
        <w:t>D</w:t>
      </w:r>
      <w:r w:rsidR="005B68B9" w:rsidRPr="00AC0AC9">
        <w:rPr>
          <w:rFonts w:cstheme="minorHAnsi"/>
        </w:rPr>
        <w:t xml:space="preserve"> </w:t>
      </w:r>
      <w:r w:rsidR="005B68B9" w:rsidRPr="00AC0AC9">
        <w:rPr>
          <w:rFonts w:eastAsia="Arial Unicode MS" w:cstheme="minorHAnsi"/>
        </w:rPr>
        <w:t>→</w:t>
      </w:r>
      <w:r w:rsidR="005B68B9" w:rsidRPr="00AC0AC9">
        <w:rPr>
          <w:rFonts w:cstheme="minorHAnsi"/>
        </w:rPr>
        <w:t xml:space="preserve"> </w:t>
      </w:r>
      <w:r w:rsidR="005B68B9" w:rsidRPr="00AC0AC9">
        <w:rPr>
          <w:b/>
          <w:bCs/>
        </w:rPr>
        <w:t>G</w:t>
      </w:r>
      <w:r w:rsidR="005B68B9" w:rsidRPr="00AC0AC9">
        <w:t>) corresponds to the intramolecular protonation of the 2-phenylpyridyl ligand, whereas the microscopic reverse (</w:t>
      </w:r>
      <w:r w:rsidR="005B68B9" w:rsidRPr="00AC0AC9">
        <w:rPr>
          <w:b/>
          <w:bCs/>
        </w:rPr>
        <w:t>G</w:t>
      </w:r>
      <w:r w:rsidR="005B68B9" w:rsidRPr="00AC0AC9">
        <w:rPr>
          <w:rFonts w:cstheme="minorHAnsi"/>
        </w:rPr>
        <w:t xml:space="preserve"> </w:t>
      </w:r>
      <w:r w:rsidR="005B68B9" w:rsidRPr="00AC0AC9">
        <w:rPr>
          <w:rFonts w:eastAsia="Arial Unicode MS" w:cstheme="minorHAnsi"/>
        </w:rPr>
        <w:t>→</w:t>
      </w:r>
      <w:r w:rsidR="005B68B9" w:rsidRPr="00AC0AC9">
        <w:rPr>
          <w:rFonts w:cstheme="minorHAnsi"/>
        </w:rPr>
        <w:t xml:space="preserve"> </w:t>
      </w:r>
      <w:r w:rsidR="005B68B9" w:rsidRPr="00AC0AC9">
        <w:rPr>
          <w:b/>
          <w:bCs/>
        </w:rPr>
        <w:t>D</w:t>
      </w:r>
      <w:r w:rsidR="005B68B9" w:rsidRPr="00AC0AC9">
        <w:t xml:space="preserve">) represents the C–H bond activation event within a CMD pathway. As </w:t>
      </w:r>
      <w:r w:rsidR="005B68B9" w:rsidRPr="00AC0AC9">
        <w:rPr>
          <w:b/>
          <w:bCs/>
        </w:rPr>
        <w:t>G</w:t>
      </w:r>
      <w:r w:rsidR="005B68B9" w:rsidRPr="00AC0AC9">
        <w:t xml:space="preserve"> is the lowest energy calculated state it will not be possible to observe the intermediates in the (endergonic) CMD pathway, whereas, monitoring the nature of the proton-transfer events from </w:t>
      </w:r>
      <w:r w:rsidR="005B68B9" w:rsidRPr="00AC0AC9">
        <w:rPr>
          <w:b/>
          <w:bCs/>
        </w:rPr>
        <w:t>D</w:t>
      </w:r>
      <w:r w:rsidR="005B68B9" w:rsidRPr="00AC0AC9">
        <w:t xml:space="preserve"> is viable. Bond metrics within the key transition state for hydrogen transfer for a number of common metal systems which exploit the CMD mechanism are presented </w:t>
      </w:r>
      <w:r w:rsidR="005B68B9" w:rsidRPr="00AC0AC9">
        <w:t xml:space="preserve">in Fig 2g. Analysis of these data indicate than the </w:t>
      </w:r>
      <w:r w:rsidR="005B68B9" w:rsidRPr="00AC0AC9">
        <w:rPr>
          <w:b/>
          <w:bCs/>
        </w:rPr>
        <w:t>TS</w:t>
      </w:r>
      <w:r w:rsidR="005B68B9" w:rsidRPr="00AC0AC9">
        <w:rPr>
          <w:b/>
          <w:bCs/>
          <w:vertAlign w:val="subscript"/>
        </w:rPr>
        <w:t>EF</w:t>
      </w:r>
      <w:r w:rsidR="005B68B9" w:rsidRPr="00AC0AC9">
        <w:t xml:space="preserve"> is typical of Rh-, Co- and Pd-based systems, with the hydrogen atom essentially equidistant between the oxygen </w:t>
      </w:r>
      <w:r w:rsidR="005B68B9" w:rsidRPr="00AC0AC9">
        <w:br/>
      </w:r>
      <w:r w:rsidR="005B68B9" w:rsidRPr="00AC0AC9">
        <w:rPr>
          <w:b/>
          <w:bCs/>
          <w:noProof/>
        </w:rPr>
        <w:drawing>
          <wp:inline distT="0" distB="0" distL="0" distR="0" wp14:anchorId="6D4714BA" wp14:editId="798D1ECC">
            <wp:extent cx="3044825" cy="488632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4825" cy="4886325"/>
                    </a:xfrm>
                    <a:prstGeom prst="rect">
                      <a:avLst/>
                    </a:prstGeom>
                  </pic:spPr>
                </pic:pic>
              </a:graphicData>
            </a:graphic>
          </wp:inline>
        </w:drawing>
      </w:r>
      <w:r w:rsidR="005B68B9" w:rsidRPr="00AC0AC9">
        <w:rPr>
          <w:b/>
          <w:bCs/>
        </w:rPr>
        <w:t xml:space="preserve"> Figure 3 </w:t>
      </w:r>
      <w:r w:rsidR="005B68B9" w:rsidRPr="00AC0AC9">
        <w:t xml:space="preserve">(a) Reaction scheme showing products formed on irradiation of </w:t>
      </w:r>
      <w:r w:rsidR="005B68B9" w:rsidRPr="00AC0AC9">
        <w:rPr>
          <w:b/>
          <w:bCs/>
        </w:rPr>
        <w:t>1</w:t>
      </w:r>
      <w:r w:rsidR="005B68B9" w:rsidRPr="00AC0AC9">
        <w:t xml:space="preserve"> in neat </w:t>
      </w:r>
      <w:proofErr w:type="spellStart"/>
      <w:r w:rsidR="005B68B9" w:rsidRPr="00AC0AC9">
        <w:t>HOAc</w:t>
      </w:r>
      <w:proofErr w:type="spellEnd"/>
      <w:r w:rsidR="005B68B9" w:rsidRPr="00AC0AC9">
        <w:t xml:space="preserve"> with experimental and scaled calculated (in parenthesis) IR bands, </w:t>
      </w:r>
      <w:proofErr w:type="spellStart"/>
      <w:r w:rsidR="005B68B9" w:rsidRPr="00AC0AC9">
        <w:t>br</w:t>
      </w:r>
      <w:proofErr w:type="spellEnd"/>
      <w:r w:rsidR="005B68B9" w:rsidRPr="00AC0AC9">
        <w:t xml:space="preserve"> = broad, </w:t>
      </w:r>
      <w:proofErr w:type="spellStart"/>
      <w:r w:rsidR="005B68B9" w:rsidRPr="00AC0AC9">
        <w:t>sh</w:t>
      </w:r>
      <w:proofErr w:type="spellEnd"/>
      <w:r w:rsidR="005B68B9" w:rsidRPr="00AC0AC9">
        <w:t xml:space="preserve"> = shoulder. The scaled predicted bands for </w:t>
      </w:r>
      <w:r w:rsidR="005B68B9" w:rsidRPr="00AC0AC9">
        <w:rPr>
          <w:b/>
          <w:bCs/>
        </w:rPr>
        <w:t xml:space="preserve">F </w:t>
      </w:r>
      <w:r w:rsidR="005B68B9" w:rsidRPr="00AC0AC9">
        <w:t>are 1925, 1942 and 2031 cm</w:t>
      </w:r>
      <w:r w:rsidR="005B68B9" w:rsidRPr="00AC0AC9">
        <w:rPr>
          <w:vertAlign w:val="superscript"/>
        </w:rPr>
        <w:t>-1</w:t>
      </w:r>
      <w:r w:rsidR="005B68B9" w:rsidRPr="00AC0AC9">
        <w:t xml:space="preserve">.  (b) Bottom ground state IR spectrum of </w:t>
      </w:r>
      <w:r w:rsidR="005B68B9" w:rsidRPr="00AC0AC9">
        <w:rPr>
          <w:b/>
          <w:bCs/>
        </w:rPr>
        <w:t>1</w:t>
      </w:r>
      <w:r w:rsidR="005B68B9" w:rsidRPr="00AC0AC9">
        <w:t xml:space="preserve"> in toluene solution, above TRIR data for </w:t>
      </w:r>
      <w:r w:rsidR="005B68B9" w:rsidRPr="00AC0AC9">
        <w:rPr>
          <w:b/>
          <w:bCs/>
        </w:rPr>
        <w:t>1</w:t>
      </w:r>
      <w:r w:rsidR="005B68B9" w:rsidRPr="00AC0AC9">
        <w:t xml:space="preserve"> in </w:t>
      </w:r>
      <w:proofErr w:type="spellStart"/>
      <w:r w:rsidR="005B68B9" w:rsidRPr="00AC0AC9">
        <w:t>HOAc</w:t>
      </w:r>
      <w:proofErr w:type="spellEnd"/>
      <w:r w:rsidR="005B68B9" w:rsidRPr="00AC0AC9">
        <w:t xml:space="preserve"> recorded at various pump-probe delays. (c) Bottom ground state IR spectrum of </w:t>
      </w:r>
      <w:r w:rsidR="005B68B9" w:rsidRPr="00AC0AC9">
        <w:rPr>
          <w:b/>
          <w:bCs/>
        </w:rPr>
        <w:t>1</w:t>
      </w:r>
      <w:r w:rsidR="005B68B9" w:rsidRPr="00AC0AC9">
        <w:t xml:space="preserve"> in toluene solution, above TRIR data for </w:t>
      </w:r>
      <w:r w:rsidR="005B68B9" w:rsidRPr="00AC0AC9">
        <w:rPr>
          <w:b/>
          <w:bCs/>
        </w:rPr>
        <w:t>1</w:t>
      </w:r>
      <w:r w:rsidR="005B68B9" w:rsidRPr="00AC0AC9">
        <w:t xml:space="preserve"> in </w:t>
      </w:r>
      <w:r w:rsidR="005B68B9" w:rsidRPr="00AC0AC9">
        <w:rPr>
          <w:rFonts w:cstheme="minorHAnsi"/>
          <w:i/>
        </w:rPr>
        <w:t>n</w:t>
      </w:r>
      <w:r w:rsidR="005B68B9" w:rsidRPr="00AC0AC9">
        <w:rPr>
          <w:rFonts w:cstheme="minorHAnsi"/>
        </w:rPr>
        <w:t>-PrCO</w:t>
      </w:r>
      <w:r w:rsidR="005B68B9" w:rsidRPr="00AC0AC9">
        <w:rPr>
          <w:rFonts w:cstheme="minorHAnsi"/>
          <w:vertAlign w:val="subscript"/>
        </w:rPr>
        <w:t>2</w:t>
      </w:r>
      <w:r w:rsidR="005B68B9" w:rsidRPr="00AC0AC9">
        <w:rPr>
          <w:rFonts w:cstheme="minorHAnsi"/>
        </w:rPr>
        <w:t>H</w:t>
      </w:r>
      <w:r w:rsidR="005B68B9" w:rsidRPr="00AC0AC9">
        <w:t xml:space="preserve"> recorded at various pump-probe delays. (d) kinetic data showing the formation of </w:t>
      </w:r>
      <w:r w:rsidR="005B68B9" w:rsidRPr="00AC0AC9">
        <w:rPr>
          <w:b/>
          <w:bCs/>
        </w:rPr>
        <w:t>G</w:t>
      </w:r>
      <w:r w:rsidR="005B68B9" w:rsidRPr="00AC0AC9">
        <w:t xml:space="preserve"> in the presence of </w:t>
      </w:r>
      <w:proofErr w:type="spellStart"/>
      <w:r w:rsidR="005B68B9" w:rsidRPr="00AC0AC9">
        <w:t>HOAc</w:t>
      </w:r>
      <w:proofErr w:type="spellEnd"/>
      <w:r w:rsidR="005B68B9" w:rsidRPr="00AC0AC9">
        <w:t xml:space="preserve"> and </w:t>
      </w:r>
      <w:proofErr w:type="spellStart"/>
      <w:r w:rsidR="005B68B9" w:rsidRPr="00AC0AC9">
        <w:t>DOAc</w:t>
      </w:r>
      <w:proofErr w:type="spellEnd"/>
      <w:r w:rsidR="005B68B9" w:rsidRPr="00AC0AC9">
        <w:t xml:space="preserve"> the dashed lines show a fit to a mono-exponential growth function. (e) expansion of the TRIR for </w:t>
      </w:r>
      <w:r w:rsidR="005B68B9" w:rsidRPr="00AC0AC9">
        <w:rPr>
          <w:b/>
          <w:bCs/>
        </w:rPr>
        <w:t>1</w:t>
      </w:r>
      <w:r w:rsidR="005B68B9" w:rsidRPr="00AC0AC9">
        <w:t xml:space="preserve"> in </w:t>
      </w:r>
      <w:r w:rsidR="005B68B9" w:rsidRPr="00AC0AC9">
        <w:rPr>
          <w:rFonts w:cstheme="minorHAnsi"/>
          <w:i/>
        </w:rPr>
        <w:t>n</w:t>
      </w:r>
      <w:r w:rsidR="005B68B9" w:rsidRPr="00AC0AC9">
        <w:rPr>
          <w:rFonts w:cstheme="minorHAnsi"/>
        </w:rPr>
        <w:t>-PrCO</w:t>
      </w:r>
      <w:r w:rsidR="005B68B9" w:rsidRPr="00AC0AC9">
        <w:rPr>
          <w:rFonts w:cstheme="minorHAnsi"/>
          <w:vertAlign w:val="subscript"/>
        </w:rPr>
        <w:t>2</w:t>
      </w:r>
      <w:r w:rsidR="005B68B9" w:rsidRPr="00AC0AC9">
        <w:rPr>
          <w:rFonts w:cstheme="minorHAnsi"/>
        </w:rPr>
        <w:t>H</w:t>
      </w:r>
      <w:r w:rsidR="005B68B9" w:rsidRPr="00AC0AC9">
        <w:t xml:space="preserve"> recorded at various pump-probe delays showing the interplay between species </w:t>
      </w:r>
      <w:r w:rsidR="005B68B9" w:rsidRPr="00AC0AC9">
        <w:rPr>
          <w:b/>
          <w:bCs/>
        </w:rPr>
        <w:t>D</w:t>
      </w:r>
      <w:r w:rsidR="005B68B9" w:rsidRPr="00AC0AC9">
        <w:t xml:space="preserve">, </w:t>
      </w:r>
      <w:r w:rsidR="005B68B9" w:rsidRPr="00AC0AC9">
        <w:rPr>
          <w:b/>
          <w:bCs/>
        </w:rPr>
        <w:t>E</w:t>
      </w:r>
      <w:r w:rsidR="005B68B9" w:rsidRPr="00AC0AC9">
        <w:t xml:space="preserve">, </w:t>
      </w:r>
      <w:r w:rsidR="005B68B9" w:rsidRPr="00AC0AC9">
        <w:rPr>
          <w:b/>
          <w:bCs/>
        </w:rPr>
        <w:t>H</w:t>
      </w:r>
      <w:r w:rsidR="005B68B9" w:rsidRPr="00AC0AC9">
        <w:t xml:space="preserve"> and </w:t>
      </w:r>
      <w:r w:rsidR="005B68B9" w:rsidRPr="00AC0AC9">
        <w:rPr>
          <w:b/>
          <w:bCs/>
        </w:rPr>
        <w:t>G</w:t>
      </w:r>
      <w:r w:rsidR="005B68B9" w:rsidRPr="00AC0AC9">
        <w:t xml:space="preserve">. The small changes in the band position for </w:t>
      </w:r>
      <w:r w:rsidR="005B68B9" w:rsidRPr="00AC0AC9">
        <w:rPr>
          <w:b/>
          <w:bCs/>
        </w:rPr>
        <w:t>D</w:t>
      </w:r>
      <w:r w:rsidR="005B68B9" w:rsidRPr="00AC0AC9">
        <w:t xml:space="preserve"> are due to overlap with the ground state bleach for </w:t>
      </w:r>
      <w:r w:rsidR="005B68B9" w:rsidRPr="00AC0AC9">
        <w:rPr>
          <w:b/>
          <w:bCs/>
        </w:rPr>
        <w:t>1</w:t>
      </w:r>
      <w:r w:rsidR="005B68B9" w:rsidRPr="00AC0AC9">
        <w:t xml:space="preserve">. </w:t>
      </w:r>
    </w:p>
    <w:p w:rsidR="005B68B9" w:rsidRPr="00AC0AC9" w:rsidRDefault="005B68B9" w:rsidP="00AA75D0">
      <w:pPr>
        <w:pStyle w:val="TAMainText"/>
        <w:ind w:firstLine="0"/>
        <w:rPr>
          <w:rStyle w:val="TAMainTextChar"/>
        </w:rPr>
      </w:pPr>
      <w:r w:rsidRPr="00AC0AC9">
        <w:t>of the acetate and carbon of organic ligand, as opposed to the “early” transition state found in the Ru-system with a much shorter C–H bond distance. This, taken with the established effects of acetate/acid additives in Mn-catalyzed reactions</w:t>
      </w:r>
      <w:r w:rsidRPr="00AC0AC9">
        <w:rPr>
          <w:noProof/>
          <w:vertAlign w:val="superscript"/>
        </w:rPr>
        <w:t>12</w:t>
      </w:r>
      <w:r w:rsidRPr="00AC0AC9">
        <w:rPr>
          <w:vertAlign w:val="superscript"/>
        </w:rPr>
        <w:t xml:space="preserve">, </w:t>
      </w:r>
      <w:r w:rsidRPr="00AC0AC9">
        <w:rPr>
          <w:noProof/>
          <w:vertAlign w:val="superscript"/>
        </w:rPr>
        <w:t>13</w:t>
      </w:r>
      <w:r w:rsidRPr="00AC0AC9">
        <w:t xml:space="preserve"> indicates that this is a representative system to study the CMD process.</w:t>
      </w:r>
    </w:p>
    <w:p w:rsidR="005B68B9" w:rsidRPr="00AC0AC9" w:rsidRDefault="005B68B9" w:rsidP="00F25AF7">
      <w:pPr>
        <w:pStyle w:val="TAMainText"/>
        <w:ind w:firstLine="0"/>
      </w:pPr>
      <w:r w:rsidRPr="00AC0AC9">
        <w:rPr>
          <w:rStyle w:val="TAMainTextChar"/>
        </w:rPr>
        <w:t>Having established the viability of the proposed intra-molecular proton-shutting pathway, the process was explored experimentally. [Mn(</w:t>
      </w:r>
      <w:proofErr w:type="spellStart"/>
      <w:r w:rsidRPr="00AC0AC9">
        <w:rPr>
          <w:rStyle w:val="TAMainTextChar"/>
        </w:rPr>
        <w:t>ppy</w:t>
      </w:r>
      <w:proofErr w:type="spellEnd"/>
      <w:r w:rsidRPr="00AC0AC9">
        <w:rPr>
          <w:rStyle w:val="TAMainTextChar"/>
        </w:rPr>
        <w:t>)(CO)</w:t>
      </w:r>
      <w:r w:rsidRPr="00AC0AC9">
        <w:rPr>
          <w:rStyle w:val="TAMainTextChar"/>
          <w:vertAlign w:val="subscript"/>
        </w:rPr>
        <w:t>4</w:t>
      </w:r>
      <w:r w:rsidRPr="00AC0AC9">
        <w:rPr>
          <w:rStyle w:val="TAMainTextChar"/>
        </w:rPr>
        <w:t xml:space="preserve">], </w:t>
      </w:r>
      <w:r w:rsidRPr="00AC0AC9">
        <w:rPr>
          <w:rStyle w:val="TAMainTextChar"/>
          <w:b/>
          <w:bCs/>
        </w:rPr>
        <w:t>1</w:t>
      </w:r>
      <w:r w:rsidRPr="00AC0AC9">
        <w:rPr>
          <w:rStyle w:val="TAMainTextChar"/>
        </w:rPr>
        <w:t xml:space="preserve">, was dissolved in neat </w:t>
      </w:r>
    </w:p>
    <w:p w:rsidR="005B68B9" w:rsidRPr="00AC0AC9" w:rsidRDefault="005B68B9" w:rsidP="008E2126">
      <w:pPr>
        <w:pStyle w:val="TAMainText"/>
        <w:sectPr w:rsidR="005B68B9" w:rsidRPr="00AC0AC9" w:rsidSect="00CA6E36">
          <w:type w:val="continuous"/>
          <w:pgSz w:w="12240" w:h="15840"/>
          <w:pgMar w:top="720" w:right="1094" w:bottom="720" w:left="1094" w:header="720" w:footer="720" w:gutter="0"/>
          <w:cols w:num="2" w:space="461"/>
        </w:sectPr>
      </w:pPr>
    </w:p>
    <w:p w:rsidR="005B68B9" w:rsidRPr="00AC0AC9" w:rsidRDefault="005B68B9" w:rsidP="00AA75D0">
      <w:pPr>
        <w:pStyle w:val="VDTableTitle"/>
      </w:pPr>
      <w:r w:rsidRPr="00AC0AC9">
        <w:rPr>
          <w:bCs/>
        </w:rPr>
        <w:lastRenderedPageBreak/>
        <w:t>Table 1.</w:t>
      </w:r>
      <w:r w:rsidRPr="00AC0AC9">
        <w:t xml:space="preserve"> </w:t>
      </w:r>
      <w:r w:rsidRPr="00AC0AC9">
        <w:rPr>
          <w:b w:val="0"/>
          <w:bCs/>
        </w:rPr>
        <w:t xml:space="preserve">Rate constants and kinetic isotope effects for the photolysis of complexes </w:t>
      </w:r>
      <w:r w:rsidRPr="00AC0AC9">
        <w:t>1</w:t>
      </w:r>
      <w:r w:rsidRPr="00AC0AC9">
        <w:rPr>
          <w:b w:val="0"/>
          <w:bCs/>
        </w:rPr>
        <w:t xml:space="preserve"> - </w:t>
      </w:r>
      <w:r w:rsidRPr="00AC0AC9">
        <w:t>5</w:t>
      </w:r>
      <w:r w:rsidRPr="00AC0AC9">
        <w:rPr>
          <w:b w:val="0"/>
          <w:bCs/>
        </w:rPr>
        <w:t xml:space="preserve"> in neat </w:t>
      </w:r>
      <w:proofErr w:type="spellStart"/>
      <w:r w:rsidRPr="00AC0AC9">
        <w:rPr>
          <w:b w:val="0"/>
          <w:bCs/>
        </w:rPr>
        <w:t>HOAc</w:t>
      </w:r>
      <w:proofErr w:type="spellEnd"/>
      <w:r w:rsidRPr="00AC0AC9">
        <w:rPr>
          <w:b w:val="0"/>
          <w:bCs/>
        </w:rPr>
        <w:t xml:space="preserve">. The rate constants refer to the processes in Figure 3. In some instances, </w:t>
      </w:r>
      <w:r w:rsidRPr="00AC0AC9">
        <w:rPr>
          <w:b w:val="0"/>
          <w:bCs/>
          <w:i/>
          <w:iCs/>
        </w:rPr>
        <w:t>k</w:t>
      </w:r>
      <w:r w:rsidRPr="00AC0AC9">
        <w:rPr>
          <w:b w:val="0"/>
          <w:bCs/>
          <w:i/>
          <w:iCs/>
          <w:vertAlign w:val="subscript"/>
        </w:rPr>
        <w:t>1</w:t>
      </w:r>
      <w:r w:rsidRPr="00AC0AC9">
        <w:rPr>
          <w:b w:val="0"/>
          <w:bCs/>
        </w:rPr>
        <w:t xml:space="preserve"> and </w:t>
      </w:r>
      <w:r w:rsidRPr="00AC0AC9">
        <w:rPr>
          <w:b w:val="0"/>
          <w:bCs/>
          <w:i/>
          <w:iCs/>
        </w:rPr>
        <w:t>k</w:t>
      </w:r>
      <w:r w:rsidRPr="00AC0AC9">
        <w:rPr>
          <w:b w:val="0"/>
          <w:bCs/>
          <w:i/>
          <w:iCs/>
          <w:vertAlign w:val="subscript"/>
        </w:rPr>
        <w:t>2</w:t>
      </w:r>
      <w:r w:rsidRPr="00AC0AC9">
        <w:rPr>
          <w:b w:val="0"/>
          <w:bCs/>
        </w:rPr>
        <w:t xml:space="preserve"> could not be determined due to overlapping bands. </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8"/>
        <w:gridCol w:w="1126"/>
        <w:gridCol w:w="1276"/>
        <w:gridCol w:w="1985"/>
        <w:gridCol w:w="1842"/>
        <w:gridCol w:w="1843"/>
        <w:gridCol w:w="1134"/>
      </w:tblGrid>
      <w:tr w:rsidR="005B68B9" w:rsidRPr="00AC0AC9" w:rsidTr="00B37D47">
        <w:trPr>
          <w:gridBefore w:val="1"/>
          <w:wBefore w:w="8" w:type="dxa"/>
        </w:trPr>
        <w:tc>
          <w:tcPr>
            <w:tcW w:w="1126" w:type="dxa"/>
            <w:vAlign w:val="center"/>
          </w:tcPr>
          <w:p w:rsidR="005B68B9" w:rsidRPr="00AC0AC9" w:rsidRDefault="005B68B9" w:rsidP="00AA75D0">
            <w:pPr>
              <w:pStyle w:val="TCTableBody"/>
              <w:rPr>
                <w:u w:val="single"/>
              </w:rPr>
            </w:pPr>
            <w:r w:rsidRPr="00AC0AC9">
              <w:t>Precursor</w:t>
            </w:r>
          </w:p>
        </w:tc>
        <w:tc>
          <w:tcPr>
            <w:tcW w:w="1276" w:type="dxa"/>
            <w:vAlign w:val="center"/>
          </w:tcPr>
          <w:p w:rsidR="005B68B9" w:rsidRPr="00AC0AC9" w:rsidRDefault="005B68B9" w:rsidP="00AA75D0">
            <w:pPr>
              <w:pStyle w:val="TCTableBody"/>
            </w:pPr>
            <w:r w:rsidRPr="00AC0AC9">
              <w:t>Acid</w:t>
            </w:r>
          </w:p>
        </w:tc>
        <w:tc>
          <w:tcPr>
            <w:tcW w:w="1985" w:type="dxa"/>
            <w:vAlign w:val="center"/>
          </w:tcPr>
          <w:p w:rsidR="005B68B9" w:rsidRPr="00AC0AC9" w:rsidRDefault="005B68B9" w:rsidP="00AA75D0">
            <w:pPr>
              <w:pStyle w:val="TCTableBody"/>
            </w:pPr>
            <w:r w:rsidRPr="00AC0AC9">
              <w:rPr>
                <w:i/>
              </w:rPr>
              <w:t>k</w:t>
            </w:r>
            <w:r w:rsidRPr="00AC0AC9">
              <w:rPr>
                <w:i/>
                <w:vertAlign w:val="subscript"/>
              </w:rPr>
              <w:t>1</w:t>
            </w:r>
            <w:r w:rsidRPr="00AC0AC9">
              <w:rPr>
                <w:vertAlign w:val="subscript"/>
              </w:rPr>
              <w:t xml:space="preserve"> </w:t>
            </w:r>
            <w:r w:rsidRPr="00AC0AC9">
              <w:t>/ s</w:t>
            </w:r>
            <w:r w:rsidRPr="00AC0AC9">
              <w:rPr>
                <w:vertAlign w:val="superscript"/>
              </w:rPr>
              <w:t>-1</w:t>
            </w:r>
          </w:p>
        </w:tc>
        <w:tc>
          <w:tcPr>
            <w:tcW w:w="1842" w:type="dxa"/>
            <w:vAlign w:val="center"/>
          </w:tcPr>
          <w:p w:rsidR="005B68B9" w:rsidRPr="00AC0AC9" w:rsidRDefault="005B68B9" w:rsidP="00AA75D0">
            <w:pPr>
              <w:pStyle w:val="TCTableBody"/>
            </w:pPr>
            <w:r w:rsidRPr="00AC0AC9">
              <w:rPr>
                <w:i/>
              </w:rPr>
              <w:t>k</w:t>
            </w:r>
            <w:r w:rsidRPr="00AC0AC9">
              <w:rPr>
                <w:i/>
                <w:vertAlign w:val="subscript"/>
              </w:rPr>
              <w:t>2</w:t>
            </w:r>
            <w:r w:rsidRPr="00AC0AC9">
              <w:rPr>
                <w:vertAlign w:val="subscript"/>
              </w:rPr>
              <w:t xml:space="preserve"> </w:t>
            </w:r>
            <w:r w:rsidRPr="00AC0AC9">
              <w:t>/ s</w:t>
            </w:r>
            <w:r w:rsidRPr="00AC0AC9">
              <w:rPr>
                <w:vertAlign w:val="superscript"/>
              </w:rPr>
              <w:t>-1</w:t>
            </w:r>
          </w:p>
        </w:tc>
        <w:tc>
          <w:tcPr>
            <w:tcW w:w="1843" w:type="dxa"/>
            <w:vAlign w:val="center"/>
          </w:tcPr>
          <w:p w:rsidR="005B68B9" w:rsidRPr="00AC0AC9" w:rsidRDefault="005B68B9" w:rsidP="00AA75D0">
            <w:pPr>
              <w:pStyle w:val="TCTableBody"/>
            </w:pPr>
            <w:r w:rsidRPr="00AC0AC9">
              <w:rPr>
                <w:i/>
              </w:rPr>
              <w:t>k</w:t>
            </w:r>
            <w:r w:rsidRPr="00AC0AC9">
              <w:rPr>
                <w:i/>
                <w:vertAlign w:val="subscript"/>
              </w:rPr>
              <w:t>3</w:t>
            </w:r>
            <w:r w:rsidRPr="00AC0AC9">
              <w:t xml:space="preserve"> / s</w:t>
            </w:r>
            <w:r w:rsidRPr="00AC0AC9">
              <w:rPr>
                <w:vertAlign w:val="superscript"/>
              </w:rPr>
              <w:t>-1</w:t>
            </w:r>
          </w:p>
        </w:tc>
        <w:tc>
          <w:tcPr>
            <w:tcW w:w="1134" w:type="dxa"/>
            <w:vAlign w:val="center"/>
          </w:tcPr>
          <w:p w:rsidR="005B68B9" w:rsidRPr="00AC0AC9" w:rsidRDefault="005B68B9" w:rsidP="00AA75D0">
            <w:pPr>
              <w:pStyle w:val="TCTableBody"/>
            </w:pPr>
            <w:r w:rsidRPr="00AC0AC9">
              <w:t xml:space="preserve">KIE for </w:t>
            </w:r>
            <w:r w:rsidRPr="00AC0AC9">
              <w:rPr>
                <w:i/>
                <w:iCs/>
              </w:rPr>
              <w:t>k</w:t>
            </w:r>
            <w:r w:rsidRPr="00AC0AC9">
              <w:rPr>
                <w:i/>
                <w:iCs/>
                <w:vertAlign w:val="subscript"/>
              </w:rPr>
              <w:t>3</w:t>
            </w:r>
          </w:p>
        </w:tc>
      </w:tr>
      <w:tr w:rsidR="005B68B9" w:rsidRPr="00AC0AC9" w:rsidTr="00B37D47">
        <w:trPr>
          <w:gridBefore w:val="1"/>
          <w:wBefore w:w="8" w:type="dxa"/>
        </w:trPr>
        <w:tc>
          <w:tcPr>
            <w:tcW w:w="1126" w:type="dxa"/>
            <w:vAlign w:val="center"/>
          </w:tcPr>
          <w:p w:rsidR="005B68B9" w:rsidRPr="00AC0AC9" w:rsidRDefault="005B68B9" w:rsidP="00AA75D0">
            <w:pPr>
              <w:pStyle w:val="TCTableBody"/>
              <w:rPr>
                <w:b/>
                <w:bCs/>
              </w:rPr>
            </w:pPr>
            <w:r w:rsidRPr="00AC0AC9">
              <w:rPr>
                <w:b/>
                <w:bCs/>
              </w:rPr>
              <w:t>1</w:t>
            </w:r>
          </w:p>
        </w:tc>
        <w:tc>
          <w:tcPr>
            <w:tcW w:w="1276" w:type="dxa"/>
            <w:vAlign w:val="center"/>
          </w:tcPr>
          <w:p w:rsidR="005B68B9" w:rsidRPr="00AC0AC9" w:rsidRDefault="005B68B9" w:rsidP="00AA75D0">
            <w:pPr>
              <w:pStyle w:val="TCTableBody"/>
            </w:pPr>
            <w:r w:rsidRPr="00AC0AC9">
              <w:t>MeCO</w:t>
            </w:r>
            <w:r w:rsidRPr="00AC0AC9">
              <w:rPr>
                <w:vertAlign w:val="subscript"/>
              </w:rPr>
              <w:t>2</w:t>
            </w:r>
            <w:r w:rsidRPr="00AC0AC9">
              <w:t>H</w:t>
            </w:r>
          </w:p>
        </w:tc>
        <w:tc>
          <w:tcPr>
            <w:tcW w:w="1985" w:type="dxa"/>
            <w:vAlign w:val="center"/>
          </w:tcPr>
          <w:p w:rsidR="005B68B9" w:rsidRPr="00AC0AC9" w:rsidRDefault="005B68B9" w:rsidP="00AA75D0">
            <w:pPr>
              <w:pStyle w:val="TCTableBody"/>
            </w:pPr>
            <w:r w:rsidRPr="00AC0AC9">
              <w:t>(5.61 ± 0.39) × 10</w:t>
            </w:r>
            <w:r w:rsidRPr="00AC0AC9">
              <w:rPr>
                <w:vertAlign w:val="superscript"/>
              </w:rPr>
              <w:t>10</w:t>
            </w:r>
          </w:p>
        </w:tc>
        <w:tc>
          <w:tcPr>
            <w:tcW w:w="1842" w:type="dxa"/>
            <w:vAlign w:val="center"/>
          </w:tcPr>
          <w:p w:rsidR="005B68B9" w:rsidRPr="00AC0AC9" w:rsidRDefault="005B68B9" w:rsidP="00AA75D0">
            <w:pPr>
              <w:pStyle w:val="TCTableBody"/>
            </w:pPr>
            <w:r w:rsidRPr="00AC0AC9">
              <w:t>-</w:t>
            </w:r>
          </w:p>
        </w:tc>
        <w:tc>
          <w:tcPr>
            <w:tcW w:w="1843" w:type="dxa"/>
            <w:vAlign w:val="center"/>
          </w:tcPr>
          <w:p w:rsidR="005B68B9" w:rsidRPr="00AC0AC9" w:rsidRDefault="005B68B9" w:rsidP="00AA75D0">
            <w:pPr>
              <w:pStyle w:val="TCTableBody"/>
            </w:pPr>
            <w:r w:rsidRPr="00AC0AC9">
              <w:t>(1.27 ± 0.11) × 10</w:t>
            </w:r>
            <w:r w:rsidRPr="00AC0AC9">
              <w:rPr>
                <w:vertAlign w:val="superscript"/>
              </w:rPr>
              <w:t>8</w:t>
            </w:r>
          </w:p>
        </w:tc>
        <w:tc>
          <w:tcPr>
            <w:tcW w:w="1134" w:type="dxa"/>
            <w:vAlign w:val="center"/>
          </w:tcPr>
          <w:p w:rsidR="005B68B9" w:rsidRPr="00AC0AC9" w:rsidRDefault="005B68B9" w:rsidP="00AA75D0">
            <w:pPr>
              <w:pStyle w:val="TCTableBody"/>
            </w:pPr>
            <w:r w:rsidRPr="00AC0AC9">
              <w:t>(5.8 ± 1.0)</w:t>
            </w:r>
          </w:p>
        </w:tc>
      </w:tr>
      <w:tr w:rsidR="005B68B9" w:rsidRPr="00AC0AC9" w:rsidTr="00B37D47">
        <w:trPr>
          <w:gridBefore w:val="1"/>
          <w:wBefore w:w="8" w:type="dxa"/>
        </w:trPr>
        <w:tc>
          <w:tcPr>
            <w:tcW w:w="1126" w:type="dxa"/>
            <w:vAlign w:val="center"/>
          </w:tcPr>
          <w:p w:rsidR="005B68B9" w:rsidRPr="00AC0AC9" w:rsidRDefault="005B68B9" w:rsidP="00AA75D0">
            <w:pPr>
              <w:pStyle w:val="TCTableBody"/>
              <w:rPr>
                <w:b/>
                <w:bCs/>
              </w:rPr>
            </w:pPr>
            <w:r w:rsidRPr="00AC0AC9">
              <w:rPr>
                <w:b/>
                <w:bCs/>
              </w:rPr>
              <w:t>2</w:t>
            </w:r>
          </w:p>
        </w:tc>
        <w:tc>
          <w:tcPr>
            <w:tcW w:w="1276" w:type="dxa"/>
            <w:vAlign w:val="center"/>
          </w:tcPr>
          <w:p w:rsidR="005B68B9" w:rsidRPr="00AC0AC9" w:rsidRDefault="005B68B9" w:rsidP="00AA75D0">
            <w:pPr>
              <w:pStyle w:val="TCTableBody"/>
            </w:pPr>
            <w:r w:rsidRPr="00AC0AC9">
              <w:t>MeCO</w:t>
            </w:r>
            <w:r w:rsidRPr="00AC0AC9">
              <w:rPr>
                <w:vertAlign w:val="subscript"/>
              </w:rPr>
              <w:t>2</w:t>
            </w:r>
            <w:r w:rsidRPr="00AC0AC9">
              <w:t>H</w:t>
            </w:r>
          </w:p>
        </w:tc>
        <w:tc>
          <w:tcPr>
            <w:tcW w:w="1985" w:type="dxa"/>
            <w:vAlign w:val="center"/>
          </w:tcPr>
          <w:p w:rsidR="005B68B9" w:rsidRPr="00AC0AC9" w:rsidRDefault="005B68B9" w:rsidP="00AA75D0">
            <w:pPr>
              <w:pStyle w:val="TCTableBody"/>
            </w:pPr>
            <w:r w:rsidRPr="00AC0AC9">
              <w:t>(</w:t>
            </w:r>
            <w:r w:rsidRPr="00AC0AC9">
              <w:rPr>
                <w:szCs w:val="22"/>
              </w:rPr>
              <w:t>6.68 ± 0.57</w:t>
            </w:r>
            <w:r w:rsidRPr="00AC0AC9">
              <w:t>) × 10</w:t>
            </w:r>
            <w:r w:rsidRPr="00AC0AC9">
              <w:rPr>
                <w:vertAlign w:val="superscript"/>
              </w:rPr>
              <w:t>10</w:t>
            </w:r>
          </w:p>
        </w:tc>
        <w:tc>
          <w:tcPr>
            <w:tcW w:w="1842" w:type="dxa"/>
            <w:vAlign w:val="center"/>
          </w:tcPr>
          <w:p w:rsidR="005B68B9" w:rsidRPr="00AC0AC9" w:rsidRDefault="005B68B9" w:rsidP="00AA75D0">
            <w:pPr>
              <w:pStyle w:val="TCTableBody"/>
            </w:pPr>
            <w:r w:rsidRPr="00AC0AC9">
              <w:t>(7.34 ± 2.21) × 10</w:t>
            </w:r>
            <w:r w:rsidRPr="00AC0AC9">
              <w:rPr>
                <w:vertAlign w:val="superscript"/>
              </w:rPr>
              <w:t>8</w:t>
            </w:r>
          </w:p>
        </w:tc>
        <w:tc>
          <w:tcPr>
            <w:tcW w:w="1843" w:type="dxa"/>
            <w:vAlign w:val="center"/>
          </w:tcPr>
          <w:p w:rsidR="005B68B9" w:rsidRPr="00AC0AC9" w:rsidRDefault="005B68B9" w:rsidP="00AA75D0">
            <w:pPr>
              <w:pStyle w:val="TCTableBody"/>
            </w:pPr>
            <w:r w:rsidRPr="00AC0AC9">
              <w:t>(1.61 ± 0.43) × 10</w:t>
            </w:r>
            <w:r w:rsidRPr="00AC0AC9">
              <w:rPr>
                <w:vertAlign w:val="superscript"/>
              </w:rPr>
              <w:t>7</w:t>
            </w:r>
          </w:p>
        </w:tc>
        <w:tc>
          <w:tcPr>
            <w:tcW w:w="1134" w:type="dxa"/>
            <w:vAlign w:val="center"/>
          </w:tcPr>
          <w:p w:rsidR="005B68B9" w:rsidRPr="00AC0AC9" w:rsidRDefault="005B68B9" w:rsidP="00AA75D0">
            <w:pPr>
              <w:pStyle w:val="TCTableBody"/>
            </w:pPr>
            <w:r w:rsidRPr="00AC0AC9">
              <w:t>(8.7 ± 2.7)</w:t>
            </w:r>
          </w:p>
        </w:tc>
      </w:tr>
      <w:tr w:rsidR="005B68B9" w:rsidRPr="00AC0AC9" w:rsidTr="00B37D47">
        <w:trPr>
          <w:gridBefore w:val="1"/>
          <w:wBefore w:w="8" w:type="dxa"/>
        </w:trPr>
        <w:tc>
          <w:tcPr>
            <w:tcW w:w="1126" w:type="dxa"/>
            <w:vAlign w:val="center"/>
          </w:tcPr>
          <w:p w:rsidR="005B68B9" w:rsidRPr="00AC0AC9" w:rsidRDefault="005B68B9" w:rsidP="00AA75D0">
            <w:pPr>
              <w:pStyle w:val="TCTableBody"/>
              <w:rPr>
                <w:b/>
                <w:bCs/>
              </w:rPr>
            </w:pPr>
            <w:r w:rsidRPr="00AC0AC9">
              <w:rPr>
                <w:b/>
                <w:bCs/>
              </w:rPr>
              <w:t>3</w:t>
            </w:r>
          </w:p>
        </w:tc>
        <w:tc>
          <w:tcPr>
            <w:tcW w:w="1276" w:type="dxa"/>
            <w:vAlign w:val="center"/>
          </w:tcPr>
          <w:p w:rsidR="005B68B9" w:rsidRPr="00AC0AC9" w:rsidRDefault="005B68B9" w:rsidP="00AA75D0">
            <w:pPr>
              <w:pStyle w:val="TCTableBody"/>
            </w:pPr>
            <w:r w:rsidRPr="00AC0AC9">
              <w:t>MeCO</w:t>
            </w:r>
            <w:r w:rsidRPr="00AC0AC9">
              <w:rPr>
                <w:vertAlign w:val="subscript"/>
              </w:rPr>
              <w:t>2</w:t>
            </w:r>
            <w:r w:rsidRPr="00AC0AC9">
              <w:t>H</w:t>
            </w:r>
          </w:p>
        </w:tc>
        <w:tc>
          <w:tcPr>
            <w:tcW w:w="1985" w:type="dxa"/>
            <w:vAlign w:val="center"/>
          </w:tcPr>
          <w:p w:rsidR="005B68B9" w:rsidRPr="00AC0AC9" w:rsidRDefault="005B68B9" w:rsidP="00AA75D0">
            <w:pPr>
              <w:pStyle w:val="TCTableBody"/>
            </w:pPr>
            <w:r w:rsidRPr="00AC0AC9">
              <w:t>(6.15 ± 0.63) × 10</w:t>
            </w:r>
            <w:r w:rsidRPr="00AC0AC9">
              <w:rPr>
                <w:vertAlign w:val="superscript"/>
              </w:rPr>
              <w:t>10</w:t>
            </w:r>
          </w:p>
        </w:tc>
        <w:tc>
          <w:tcPr>
            <w:tcW w:w="1842" w:type="dxa"/>
            <w:vAlign w:val="center"/>
          </w:tcPr>
          <w:p w:rsidR="005B68B9" w:rsidRPr="00AC0AC9" w:rsidRDefault="005B68B9" w:rsidP="00AA75D0">
            <w:pPr>
              <w:pStyle w:val="TCTableBody"/>
            </w:pPr>
            <w:r w:rsidRPr="00AC0AC9">
              <w:t>-</w:t>
            </w:r>
          </w:p>
        </w:tc>
        <w:tc>
          <w:tcPr>
            <w:tcW w:w="1843" w:type="dxa"/>
            <w:vAlign w:val="center"/>
          </w:tcPr>
          <w:p w:rsidR="005B68B9" w:rsidRPr="00AC0AC9" w:rsidRDefault="005B68B9" w:rsidP="00AA75D0">
            <w:pPr>
              <w:pStyle w:val="TCTableBody"/>
            </w:pPr>
            <w:r w:rsidRPr="00AC0AC9">
              <w:t>(2.77 ± 0.35) × 10</w:t>
            </w:r>
            <w:r w:rsidRPr="00AC0AC9">
              <w:rPr>
                <w:vertAlign w:val="superscript"/>
              </w:rPr>
              <w:t>8</w:t>
            </w:r>
          </w:p>
        </w:tc>
        <w:tc>
          <w:tcPr>
            <w:tcW w:w="1134" w:type="dxa"/>
            <w:vAlign w:val="center"/>
          </w:tcPr>
          <w:p w:rsidR="005B68B9" w:rsidRPr="00AC0AC9" w:rsidRDefault="005B68B9" w:rsidP="00AA75D0">
            <w:pPr>
              <w:pStyle w:val="TCTableBody"/>
            </w:pPr>
            <w:r w:rsidRPr="00AC0AC9">
              <w:t>(4.1 ± 0.7)</w:t>
            </w:r>
          </w:p>
        </w:tc>
      </w:tr>
      <w:tr w:rsidR="005B68B9" w:rsidRPr="00AC0AC9" w:rsidTr="00B37D47">
        <w:trPr>
          <w:gridBefore w:val="1"/>
          <w:wBefore w:w="8" w:type="dxa"/>
        </w:trPr>
        <w:tc>
          <w:tcPr>
            <w:tcW w:w="1126" w:type="dxa"/>
            <w:vAlign w:val="center"/>
          </w:tcPr>
          <w:p w:rsidR="005B68B9" w:rsidRPr="00AC0AC9" w:rsidRDefault="005B68B9" w:rsidP="00AA75D0">
            <w:pPr>
              <w:pStyle w:val="TCTableBody"/>
              <w:rPr>
                <w:b/>
                <w:bCs/>
              </w:rPr>
            </w:pPr>
            <w:r w:rsidRPr="00AC0AC9">
              <w:rPr>
                <w:b/>
                <w:bCs/>
              </w:rPr>
              <w:t>4</w:t>
            </w:r>
          </w:p>
        </w:tc>
        <w:tc>
          <w:tcPr>
            <w:tcW w:w="1276" w:type="dxa"/>
            <w:vAlign w:val="center"/>
          </w:tcPr>
          <w:p w:rsidR="005B68B9" w:rsidRPr="00AC0AC9" w:rsidRDefault="005B68B9" w:rsidP="00AA75D0">
            <w:pPr>
              <w:pStyle w:val="TCTableBody"/>
            </w:pPr>
            <w:r w:rsidRPr="00AC0AC9">
              <w:t>MeCO</w:t>
            </w:r>
            <w:r w:rsidRPr="00AC0AC9">
              <w:rPr>
                <w:vertAlign w:val="subscript"/>
              </w:rPr>
              <w:t>2</w:t>
            </w:r>
            <w:r w:rsidRPr="00AC0AC9">
              <w:t>H</w:t>
            </w:r>
          </w:p>
        </w:tc>
        <w:tc>
          <w:tcPr>
            <w:tcW w:w="1985" w:type="dxa"/>
            <w:vAlign w:val="center"/>
          </w:tcPr>
          <w:p w:rsidR="005B68B9" w:rsidRPr="00AC0AC9" w:rsidRDefault="005B68B9" w:rsidP="00AA75D0">
            <w:pPr>
              <w:pStyle w:val="TCTableBody"/>
            </w:pPr>
            <w:r w:rsidRPr="00AC0AC9">
              <w:t>-</w:t>
            </w:r>
          </w:p>
        </w:tc>
        <w:tc>
          <w:tcPr>
            <w:tcW w:w="1842" w:type="dxa"/>
            <w:vAlign w:val="center"/>
          </w:tcPr>
          <w:p w:rsidR="005B68B9" w:rsidRPr="00AC0AC9" w:rsidRDefault="005B68B9" w:rsidP="00AA75D0">
            <w:pPr>
              <w:pStyle w:val="TCTableBody"/>
            </w:pPr>
            <w:r w:rsidRPr="00AC0AC9">
              <w:t>-</w:t>
            </w:r>
          </w:p>
        </w:tc>
        <w:tc>
          <w:tcPr>
            <w:tcW w:w="1843" w:type="dxa"/>
            <w:vAlign w:val="center"/>
          </w:tcPr>
          <w:p w:rsidR="005B68B9" w:rsidRPr="00AC0AC9" w:rsidRDefault="005B68B9" w:rsidP="00AA75D0">
            <w:pPr>
              <w:pStyle w:val="TCTableBody"/>
            </w:pPr>
            <w:r w:rsidRPr="00AC0AC9">
              <w:t>(4.80 ± 0.69) × 10</w:t>
            </w:r>
            <w:r w:rsidRPr="00AC0AC9">
              <w:rPr>
                <w:vertAlign w:val="superscript"/>
              </w:rPr>
              <w:t>6</w:t>
            </w:r>
          </w:p>
        </w:tc>
        <w:tc>
          <w:tcPr>
            <w:tcW w:w="1134" w:type="dxa"/>
            <w:vAlign w:val="center"/>
          </w:tcPr>
          <w:p w:rsidR="005B68B9" w:rsidRPr="00AC0AC9" w:rsidRDefault="005B68B9" w:rsidP="00AA75D0">
            <w:pPr>
              <w:pStyle w:val="TCTableBody"/>
            </w:pPr>
            <w:r w:rsidRPr="00AC0AC9">
              <w:t>(4.1 ± 0.7)</w:t>
            </w:r>
          </w:p>
        </w:tc>
      </w:tr>
      <w:tr w:rsidR="005B68B9" w:rsidRPr="00AC0AC9" w:rsidTr="00B37D47">
        <w:trPr>
          <w:gridBefore w:val="1"/>
          <w:wBefore w:w="8" w:type="dxa"/>
        </w:trPr>
        <w:tc>
          <w:tcPr>
            <w:tcW w:w="1126" w:type="dxa"/>
            <w:vAlign w:val="center"/>
          </w:tcPr>
          <w:p w:rsidR="005B68B9" w:rsidRPr="00AC0AC9" w:rsidRDefault="005B68B9" w:rsidP="00AA75D0">
            <w:pPr>
              <w:pStyle w:val="TCTableBody"/>
              <w:rPr>
                <w:b/>
                <w:bCs/>
              </w:rPr>
            </w:pPr>
            <w:r w:rsidRPr="00AC0AC9">
              <w:rPr>
                <w:b/>
                <w:bCs/>
              </w:rPr>
              <w:t>5</w:t>
            </w:r>
          </w:p>
        </w:tc>
        <w:tc>
          <w:tcPr>
            <w:tcW w:w="1276" w:type="dxa"/>
            <w:vAlign w:val="center"/>
          </w:tcPr>
          <w:p w:rsidR="005B68B9" w:rsidRPr="00AC0AC9" w:rsidRDefault="005B68B9" w:rsidP="00AA75D0">
            <w:pPr>
              <w:pStyle w:val="TCTableBody"/>
            </w:pPr>
            <w:r w:rsidRPr="00AC0AC9">
              <w:t>MeCO</w:t>
            </w:r>
            <w:r w:rsidRPr="00AC0AC9">
              <w:rPr>
                <w:vertAlign w:val="subscript"/>
              </w:rPr>
              <w:t>2</w:t>
            </w:r>
            <w:r w:rsidRPr="00AC0AC9">
              <w:t>H</w:t>
            </w:r>
          </w:p>
        </w:tc>
        <w:tc>
          <w:tcPr>
            <w:tcW w:w="1985" w:type="dxa"/>
            <w:vAlign w:val="center"/>
          </w:tcPr>
          <w:p w:rsidR="005B68B9" w:rsidRPr="00AC0AC9" w:rsidRDefault="005B68B9" w:rsidP="00AA75D0">
            <w:pPr>
              <w:pStyle w:val="TCTableBody"/>
            </w:pPr>
            <w:r w:rsidRPr="00AC0AC9">
              <w:t>-</w:t>
            </w:r>
          </w:p>
        </w:tc>
        <w:tc>
          <w:tcPr>
            <w:tcW w:w="1842" w:type="dxa"/>
            <w:vAlign w:val="center"/>
          </w:tcPr>
          <w:p w:rsidR="005B68B9" w:rsidRPr="00AC0AC9" w:rsidRDefault="005B68B9" w:rsidP="00AA75D0">
            <w:pPr>
              <w:pStyle w:val="TCTableBody"/>
            </w:pPr>
            <w:r w:rsidRPr="00AC0AC9">
              <w:t>-</w:t>
            </w:r>
          </w:p>
        </w:tc>
        <w:tc>
          <w:tcPr>
            <w:tcW w:w="1843" w:type="dxa"/>
            <w:vAlign w:val="center"/>
          </w:tcPr>
          <w:p w:rsidR="005B68B9" w:rsidRPr="00AC0AC9" w:rsidRDefault="005B68B9" w:rsidP="00AA75D0">
            <w:pPr>
              <w:pStyle w:val="TCTableBody"/>
            </w:pPr>
            <w:r w:rsidRPr="00AC0AC9">
              <w:t>(3.43 ± 0.61) × 10</w:t>
            </w:r>
            <w:r w:rsidRPr="00AC0AC9">
              <w:rPr>
                <w:vertAlign w:val="superscript"/>
              </w:rPr>
              <w:t>6</w:t>
            </w:r>
          </w:p>
        </w:tc>
        <w:tc>
          <w:tcPr>
            <w:tcW w:w="1134" w:type="dxa"/>
            <w:vAlign w:val="center"/>
          </w:tcPr>
          <w:p w:rsidR="005B68B9" w:rsidRPr="00AC0AC9" w:rsidRDefault="005B68B9" w:rsidP="00AA75D0">
            <w:pPr>
              <w:pStyle w:val="TCTableBody"/>
            </w:pPr>
            <w:r w:rsidRPr="00AC0AC9">
              <w:t>(5.6 ± 1.6)</w:t>
            </w:r>
          </w:p>
        </w:tc>
      </w:tr>
      <w:tr w:rsidR="005B68B9" w:rsidRPr="00AC0AC9" w:rsidTr="00B37D47">
        <w:trPr>
          <w:gridBefore w:val="1"/>
          <w:wBefore w:w="8" w:type="dxa"/>
        </w:trPr>
        <w:tc>
          <w:tcPr>
            <w:tcW w:w="1126" w:type="dxa"/>
            <w:vAlign w:val="center"/>
          </w:tcPr>
          <w:p w:rsidR="005B68B9" w:rsidRPr="00AC0AC9" w:rsidRDefault="005B68B9" w:rsidP="00AA75D0">
            <w:pPr>
              <w:pStyle w:val="TCTableBody"/>
              <w:rPr>
                <w:b/>
                <w:bCs/>
              </w:rPr>
            </w:pPr>
            <w:r w:rsidRPr="00AC0AC9">
              <w:rPr>
                <w:b/>
                <w:bCs/>
              </w:rPr>
              <w:t>1</w:t>
            </w:r>
          </w:p>
        </w:tc>
        <w:tc>
          <w:tcPr>
            <w:tcW w:w="1276" w:type="dxa"/>
            <w:vAlign w:val="center"/>
          </w:tcPr>
          <w:p w:rsidR="005B68B9" w:rsidRPr="00AC0AC9" w:rsidRDefault="005B68B9" w:rsidP="00AA75D0">
            <w:pPr>
              <w:pStyle w:val="TCTableBody"/>
            </w:pPr>
            <w:r w:rsidRPr="00AC0AC9">
              <w:t>EtCO</w:t>
            </w:r>
            <w:r w:rsidRPr="00AC0AC9">
              <w:rPr>
                <w:vertAlign w:val="subscript"/>
              </w:rPr>
              <w:t>2</w:t>
            </w:r>
            <w:r w:rsidRPr="00AC0AC9">
              <w:t>H</w:t>
            </w:r>
          </w:p>
        </w:tc>
        <w:tc>
          <w:tcPr>
            <w:tcW w:w="1985" w:type="dxa"/>
            <w:vAlign w:val="center"/>
          </w:tcPr>
          <w:p w:rsidR="005B68B9" w:rsidRPr="00AC0AC9" w:rsidRDefault="005B68B9" w:rsidP="00AA75D0">
            <w:pPr>
              <w:pStyle w:val="TCTableBody"/>
            </w:pPr>
            <w:r w:rsidRPr="00AC0AC9">
              <w:t>(4.93 ± 1.64) × 10</w:t>
            </w:r>
            <w:r w:rsidRPr="00AC0AC9">
              <w:rPr>
                <w:vertAlign w:val="superscript"/>
              </w:rPr>
              <w:t>10</w:t>
            </w:r>
          </w:p>
        </w:tc>
        <w:tc>
          <w:tcPr>
            <w:tcW w:w="1842" w:type="dxa"/>
            <w:vAlign w:val="center"/>
          </w:tcPr>
          <w:p w:rsidR="005B68B9" w:rsidRPr="00AC0AC9" w:rsidRDefault="005B68B9" w:rsidP="00AA75D0">
            <w:pPr>
              <w:pStyle w:val="TCTableBody"/>
            </w:pPr>
            <w:r w:rsidRPr="00AC0AC9">
              <w:t>(3.58 ± 0.97) × 10</w:t>
            </w:r>
            <w:r w:rsidRPr="00AC0AC9">
              <w:rPr>
                <w:vertAlign w:val="superscript"/>
              </w:rPr>
              <w:t>9</w:t>
            </w:r>
          </w:p>
        </w:tc>
        <w:tc>
          <w:tcPr>
            <w:tcW w:w="1843" w:type="dxa"/>
            <w:vAlign w:val="center"/>
          </w:tcPr>
          <w:p w:rsidR="005B68B9" w:rsidRPr="00AC0AC9" w:rsidRDefault="005B68B9" w:rsidP="00AA75D0">
            <w:pPr>
              <w:pStyle w:val="TCTableBody"/>
            </w:pPr>
            <w:r w:rsidRPr="00AC0AC9">
              <w:t>(2.48 ± 0.47) × 10</w:t>
            </w:r>
            <w:r w:rsidRPr="00AC0AC9">
              <w:rPr>
                <w:vertAlign w:val="superscript"/>
              </w:rPr>
              <w:t>8</w:t>
            </w:r>
          </w:p>
        </w:tc>
        <w:tc>
          <w:tcPr>
            <w:tcW w:w="1134" w:type="dxa"/>
            <w:vAlign w:val="center"/>
          </w:tcPr>
          <w:p w:rsidR="005B68B9" w:rsidRPr="00AC0AC9" w:rsidRDefault="005B68B9" w:rsidP="00AA75D0">
            <w:pPr>
              <w:pStyle w:val="TCTableBody"/>
            </w:pPr>
            <w:r w:rsidRPr="00AC0AC9">
              <w:t>-</w:t>
            </w:r>
          </w:p>
        </w:tc>
      </w:tr>
      <w:tr w:rsidR="005B68B9" w:rsidRPr="00AC0AC9" w:rsidTr="00B37D47">
        <w:trPr>
          <w:gridBefore w:val="1"/>
          <w:wBefore w:w="8" w:type="dxa"/>
        </w:trPr>
        <w:tc>
          <w:tcPr>
            <w:tcW w:w="1126" w:type="dxa"/>
            <w:vAlign w:val="center"/>
          </w:tcPr>
          <w:p w:rsidR="005B68B9" w:rsidRPr="00AC0AC9" w:rsidRDefault="005B68B9" w:rsidP="00AA75D0">
            <w:pPr>
              <w:pStyle w:val="TCTableBody"/>
              <w:rPr>
                <w:b/>
                <w:bCs/>
              </w:rPr>
            </w:pPr>
            <w:r w:rsidRPr="00AC0AC9">
              <w:rPr>
                <w:b/>
                <w:bCs/>
              </w:rPr>
              <w:t>1</w:t>
            </w:r>
          </w:p>
        </w:tc>
        <w:tc>
          <w:tcPr>
            <w:tcW w:w="1276" w:type="dxa"/>
            <w:vAlign w:val="center"/>
          </w:tcPr>
          <w:p w:rsidR="005B68B9" w:rsidRPr="00AC0AC9" w:rsidRDefault="005B68B9" w:rsidP="00AA75D0">
            <w:pPr>
              <w:pStyle w:val="TCTableBody"/>
            </w:pPr>
            <w:r w:rsidRPr="00AC0AC9">
              <w:rPr>
                <w:i/>
              </w:rPr>
              <w:t>n</w:t>
            </w:r>
            <w:r w:rsidRPr="00AC0AC9">
              <w:t>-PrCO</w:t>
            </w:r>
            <w:r w:rsidRPr="00AC0AC9">
              <w:rPr>
                <w:vertAlign w:val="subscript"/>
              </w:rPr>
              <w:t>2</w:t>
            </w:r>
            <w:r w:rsidRPr="00AC0AC9">
              <w:t>H</w:t>
            </w:r>
          </w:p>
        </w:tc>
        <w:tc>
          <w:tcPr>
            <w:tcW w:w="1985" w:type="dxa"/>
            <w:vAlign w:val="center"/>
          </w:tcPr>
          <w:p w:rsidR="005B68B9" w:rsidRPr="00AC0AC9" w:rsidRDefault="005B68B9" w:rsidP="00AA75D0">
            <w:pPr>
              <w:pStyle w:val="TCTableBody"/>
            </w:pPr>
            <w:r w:rsidRPr="00AC0AC9">
              <w:t>(2.09 ± 0.10) × 10</w:t>
            </w:r>
            <w:r w:rsidRPr="00AC0AC9">
              <w:rPr>
                <w:vertAlign w:val="superscript"/>
              </w:rPr>
              <w:t>10</w:t>
            </w:r>
          </w:p>
        </w:tc>
        <w:tc>
          <w:tcPr>
            <w:tcW w:w="1842" w:type="dxa"/>
            <w:vAlign w:val="center"/>
          </w:tcPr>
          <w:p w:rsidR="005B68B9" w:rsidRPr="00AC0AC9" w:rsidRDefault="005B68B9" w:rsidP="00AA75D0">
            <w:pPr>
              <w:pStyle w:val="TCTableBody"/>
            </w:pPr>
            <w:r w:rsidRPr="00AC0AC9">
              <w:t>(1.64 ± 0.82) × 10</w:t>
            </w:r>
            <w:r w:rsidRPr="00AC0AC9">
              <w:rPr>
                <w:vertAlign w:val="superscript"/>
              </w:rPr>
              <w:t>9</w:t>
            </w:r>
          </w:p>
        </w:tc>
        <w:tc>
          <w:tcPr>
            <w:tcW w:w="1843" w:type="dxa"/>
            <w:vAlign w:val="center"/>
          </w:tcPr>
          <w:p w:rsidR="005B68B9" w:rsidRPr="00AC0AC9" w:rsidRDefault="005B68B9" w:rsidP="00AA75D0">
            <w:pPr>
              <w:pStyle w:val="TCTableBody"/>
            </w:pPr>
            <w:r w:rsidRPr="00AC0AC9">
              <w:t>(3.12 ± 0.57) × 10</w:t>
            </w:r>
            <w:r w:rsidRPr="00AC0AC9">
              <w:rPr>
                <w:vertAlign w:val="superscript"/>
              </w:rPr>
              <w:t>8</w:t>
            </w:r>
          </w:p>
        </w:tc>
        <w:tc>
          <w:tcPr>
            <w:tcW w:w="1134" w:type="dxa"/>
            <w:vAlign w:val="center"/>
          </w:tcPr>
          <w:p w:rsidR="005B68B9" w:rsidRPr="00AC0AC9" w:rsidRDefault="005B68B9" w:rsidP="00AA75D0">
            <w:pPr>
              <w:pStyle w:val="TCTableBody"/>
            </w:pPr>
            <w:r w:rsidRPr="00AC0AC9">
              <w:t>-</w:t>
            </w:r>
          </w:p>
        </w:tc>
      </w:tr>
      <w:tr w:rsidR="005B68B9" w:rsidRPr="00AC0AC9" w:rsidTr="00B37D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14" w:type="dxa"/>
            <w:gridSpan w:val="7"/>
          </w:tcPr>
          <w:p w:rsidR="005B68B9" w:rsidRPr="00AC0AC9" w:rsidRDefault="005B68B9" w:rsidP="00AA75D0">
            <w:pPr>
              <w:pStyle w:val="TCTableBody"/>
            </w:pPr>
            <w:r w:rsidRPr="00AC0AC9">
              <w:rPr>
                <w:noProof/>
              </w:rPr>
              <w:drawing>
                <wp:inline distT="0" distB="0" distL="0" distR="0" wp14:anchorId="2FAFEF32" wp14:editId="0B781FFE">
                  <wp:extent cx="3546000" cy="72000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6000" cy="720000"/>
                          </a:xfrm>
                          <a:prstGeom prst="rect">
                            <a:avLst/>
                          </a:prstGeom>
                        </pic:spPr>
                      </pic:pic>
                    </a:graphicData>
                  </a:graphic>
                </wp:inline>
              </w:drawing>
            </w:r>
          </w:p>
        </w:tc>
      </w:tr>
    </w:tbl>
    <w:p w:rsidR="005B68B9" w:rsidRPr="00AC0AC9" w:rsidRDefault="005B68B9" w:rsidP="008E2126">
      <w:pPr>
        <w:pStyle w:val="TAMainText"/>
      </w:pPr>
    </w:p>
    <w:p w:rsidR="005B68B9" w:rsidRPr="00AC0AC9" w:rsidRDefault="005B68B9" w:rsidP="00AA75D0">
      <w:pPr>
        <w:pStyle w:val="TAMainText"/>
        <w:ind w:firstLine="0"/>
        <w:sectPr w:rsidR="005B68B9" w:rsidRPr="00AC0AC9" w:rsidSect="00AA75D0">
          <w:pgSz w:w="12240" w:h="15840"/>
          <w:pgMar w:top="720" w:right="1094" w:bottom="720" w:left="1094" w:header="720" w:footer="720" w:gutter="0"/>
          <w:cols w:space="461"/>
        </w:sectPr>
      </w:pPr>
    </w:p>
    <w:p w:rsidR="005B68B9" w:rsidRPr="00AC0AC9" w:rsidRDefault="005A7044" w:rsidP="008F7FBE">
      <w:pPr>
        <w:pStyle w:val="TAMainText"/>
        <w:ind w:firstLine="0"/>
      </w:pPr>
      <w:proofErr w:type="spellStart"/>
      <w:r w:rsidRPr="00AC0AC9">
        <w:rPr>
          <w:rStyle w:val="TAMainTextChar"/>
        </w:rPr>
        <w:t>HOAc</w:t>
      </w:r>
      <w:proofErr w:type="spellEnd"/>
      <w:r w:rsidRPr="00AC0AC9">
        <w:rPr>
          <w:rStyle w:val="TAMainTextChar"/>
        </w:rPr>
        <w:t xml:space="preserve"> and the subsequent light-initiated (</w:t>
      </w:r>
      <w:r w:rsidRPr="00AC0AC9">
        <w:rPr>
          <w:rStyle w:val="TAMainTextChar"/>
          <w:rFonts w:ascii="Symbol" w:hAnsi="Symbol"/>
        </w:rPr>
        <w:t></w:t>
      </w:r>
      <w:r w:rsidRPr="00AC0AC9">
        <w:rPr>
          <w:rStyle w:val="TAMainTextChar"/>
        </w:rPr>
        <w:t xml:space="preserve"> = 355 nm) reaction studied using time-resolved multiple probe spectroscopy (TR</w:t>
      </w:r>
      <w:r w:rsidRPr="00AC0AC9">
        <w:rPr>
          <w:rStyle w:val="TAMainTextChar"/>
          <w:vertAlign w:val="superscript"/>
        </w:rPr>
        <w:t>M</w:t>
      </w:r>
      <w:r w:rsidRPr="00AC0AC9">
        <w:rPr>
          <w:rStyle w:val="TAMainTextChar"/>
        </w:rPr>
        <w:t xml:space="preserve">PS) with pump-probe delays between 1 ps – 800 </w:t>
      </w:r>
      <w:r w:rsidRPr="00AC0AC9">
        <w:rPr>
          <w:rStyle w:val="TAMainTextChar"/>
          <w:rFonts w:ascii="Symbol" w:hAnsi="Symbol"/>
        </w:rPr>
        <w:t></w:t>
      </w:r>
      <w:r w:rsidRPr="00AC0AC9">
        <w:rPr>
          <w:rStyle w:val="TAMainTextChar"/>
        </w:rPr>
        <w:t xml:space="preserve">s and detection in the </w:t>
      </w:r>
      <w:r w:rsidR="005B68B9" w:rsidRPr="00AC0AC9">
        <w:rPr>
          <w:rStyle w:val="TAMainTextChar"/>
        </w:rPr>
        <w:t>region 1850 – 2100 cm</w:t>
      </w:r>
      <w:r w:rsidR="005B68B9" w:rsidRPr="00AC0AC9">
        <w:rPr>
          <w:rStyle w:val="TAMainTextChar"/>
          <w:vertAlign w:val="superscript"/>
        </w:rPr>
        <w:t>-1</w:t>
      </w:r>
      <w:r w:rsidR="005B68B9" w:rsidRPr="00AC0AC9">
        <w:rPr>
          <w:rStyle w:val="TAMainTextChar"/>
        </w:rPr>
        <w:t xml:space="preserve">. The resulting data are shown in Figure 3b as difference spectra, the negative peaks corresponding to the ground state spectrum of </w:t>
      </w:r>
      <w:r w:rsidR="005B68B9" w:rsidRPr="00AC0AC9">
        <w:rPr>
          <w:rStyle w:val="TAMainTextChar"/>
          <w:b/>
          <w:bCs/>
        </w:rPr>
        <w:t>1</w:t>
      </w:r>
      <w:r w:rsidR="005B68B9" w:rsidRPr="00AC0AC9">
        <w:rPr>
          <w:rStyle w:val="TAMainTextChar"/>
        </w:rPr>
        <w:t>, which characterizes its consumption on photolysis. The photoproducts (characterized by positive peaks in the difference spectra) showed sharp features at ca. 2010 cm</w:t>
      </w:r>
      <w:r w:rsidR="005B68B9" w:rsidRPr="00AC0AC9">
        <w:rPr>
          <w:rStyle w:val="TAMainTextChar"/>
          <w:vertAlign w:val="superscript"/>
        </w:rPr>
        <w:t>-1</w:t>
      </w:r>
      <w:r w:rsidR="005B68B9" w:rsidRPr="00AC0AC9">
        <w:rPr>
          <w:rStyle w:val="TAMainTextChar"/>
        </w:rPr>
        <w:t xml:space="preserve"> and broader bands at 1900 cm</w:t>
      </w:r>
      <w:r w:rsidR="005B68B9" w:rsidRPr="00AC0AC9">
        <w:rPr>
          <w:rStyle w:val="TAMainTextChar"/>
          <w:vertAlign w:val="superscript"/>
        </w:rPr>
        <w:t>-1</w:t>
      </w:r>
      <w:r w:rsidR="005B68B9" w:rsidRPr="00AC0AC9">
        <w:rPr>
          <w:rStyle w:val="TAMainTextChar"/>
        </w:rPr>
        <w:t>,consistent with</w:t>
      </w:r>
      <w:r w:rsidR="005B68B9" w:rsidRPr="00AC0AC9">
        <w:t xml:space="preserve"> the light-induced loss of a CO ligand from </w:t>
      </w:r>
      <w:r w:rsidR="005B68B9" w:rsidRPr="00AC0AC9">
        <w:rPr>
          <w:b/>
          <w:bCs/>
        </w:rPr>
        <w:t>1</w:t>
      </w:r>
      <w:r w:rsidR="005B68B9" w:rsidRPr="00AC0AC9">
        <w:t xml:space="preserve"> and formation of complexes with general structure </w:t>
      </w:r>
      <w:r w:rsidR="005B68B9" w:rsidRPr="00AC0AC9">
        <w:rPr>
          <w:i/>
          <w:iCs/>
        </w:rPr>
        <w:t>fac</w:t>
      </w:r>
      <w:r w:rsidR="005B68B9" w:rsidRPr="00AC0AC9">
        <w:t>-[Mn(</w:t>
      </w:r>
      <w:proofErr w:type="spellStart"/>
      <w:r w:rsidR="005B68B9" w:rsidRPr="00AC0AC9">
        <w:t>ppy</w:t>
      </w:r>
      <w:proofErr w:type="spellEnd"/>
      <w:r w:rsidR="005B68B9" w:rsidRPr="00AC0AC9">
        <w:t>)(CO)</w:t>
      </w:r>
      <w:r w:rsidR="005B68B9" w:rsidRPr="00AC0AC9">
        <w:rPr>
          <w:vertAlign w:val="subscript"/>
        </w:rPr>
        <w:t>3</w:t>
      </w:r>
      <w:r w:rsidR="005B68B9" w:rsidRPr="00AC0AC9">
        <w:t>S] (S = solvent).</w:t>
      </w:r>
      <w:r w:rsidR="005B68B9" w:rsidRPr="00AC0AC9">
        <w:rPr>
          <w:noProof/>
          <w:vertAlign w:val="superscript"/>
        </w:rPr>
        <w:t>26</w:t>
      </w:r>
      <w:r w:rsidR="005B68B9" w:rsidRPr="00AC0AC9">
        <w:t xml:space="preserve"> At short pump-probe delays (&lt; 10 ps) the spectra are broad which we assign as an initial unselective binding event to form species such as </w:t>
      </w:r>
      <w:r w:rsidR="005B68B9" w:rsidRPr="00AC0AC9">
        <w:rPr>
          <w:b/>
          <w:bCs/>
        </w:rPr>
        <w:t xml:space="preserve">H </w:t>
      </w:r>
      <w:r w:rsidR="005B68B9" w:rsidRPr="00AC0AC9">
        <w:t xml:space="preserve">(Figure 3a), the frequency of the bands being typical for a C–H bound sigma complex, such as that found in </w:t>
      </w:r>
      <w:r w:rsidR="005B68B9" w:rsidRPr="00AC0AC9">
        <w:rPr>
          <w:i/>
          <w:iCs/>
        </w:rPr>
        <w:t>fac</w:t>
      </w:r>
      <w:r w:rsidR="005B68B9" w:rsidRPr="00AC0AC9">
        <w:t>-[Mn(</w:t>
      </w:r>
      <w:proofErr w:type="spellStart"/>
      <w:r w:rsidR="005B68B9" w:rsidRPr="00AC0AC9">
        <w:t>ppy</w:t>
      </w:r>
      <w:proofErr w:type="spellEnd"/>
      <w:r w:rsidR="005B68B9" w:rsidRPr="00AC0AC9">
        <w:t>)(CO)</w:t>
      </w:r>
      <w:r w:rsidR="005B68B9" w:rsidRPr="00AC0AC9">
        <w:rPr>
          <w:vertAlign w:val="subscript"/>
        </w:rPr>
        <w:t>3</w:t>
      </w:r>
      <w:r w:rsidR="005B68B9" w:rsidRPr="00AC0AC9">
        <w:t>(</w:t>
      </w:r>
      <w:r w:rsidR="005B68B9" w:rsidRPr="00AC0AC9">
        <w:rPr>
          <w:rFonts w:ascii="Symbol" w:hAnsi="Symbol"/>
        </w:rPr>
        <w:t></w:t>
      </w:r>
      <w:r w:rsidR="005B68B9" w:rsidRPr="00AC0AC9">
        <w:rPr>
          <w:vertAlign w:val="superscript"/>
        </w:rPr>
        <w:t>2</w:t>
      </w:r>
      <w:r w:rsidR="005B68B9" w:rsidRPr="00AC0AC9">
        <w:t>{C</w:t>
      </w:r>
      <w:r w:rsidR="005B68B9" w:rsidRPr="00AC0AC9">
        <w:rPr>
          <w:rFonts w:cstheme="minorHAnsi"/>
        </w:rPr>
        <w:t>–</w:t>
      </w:r>
      <w:r w:rsidR="005B68B9" w:rsidRPr="00AC0AC9">
        <w:t>H}-heptane)].</w:t>
      </w:r>
      <w:r w:rsidR="005B68B9" w:rsidRPr="00AC0AC9">
        <w:rPr>
          <w:noProof/>
          <w:vertAlign w:val="superscript"/>
        </w:rPr>
        <w:t>26</w:t>
      </w:r>
      <w:r w:rsidR="005B68B9" w:rsidRPr="00AC0AC9">
        <w:t xml:space="preserve"> Over the course of 50 ps, the spectra sharpened to display two bands at 1901 and 2005 cm</w:t>
      </w:r>
      <w:r w:rsidR="005B68B9" w:rsidRPr="00AC0AC9">
        <w:rPr>
          <w:vertAlign w:val="superscript"/>
        </w:rPr>
        <w:t>-1</w:t>
      </w:r>
      <w:r w:rsidR="005B68B9" w:rsidRPr="00AC0AC9">
        <w:t xml:space="preserve">. These features are essentially identical to those observed for </w:t>
      </w:r>
      <w:r w:rsidR="005B68B9" w:rsidRPr="00AC0AC9">
        <w:rPr>
          <w:i/>
          <w:iCs/>
        </w:rPr>
        <w:t>fac</w:t>
      </w:r>
      <w:r w:rsidR="005B68B9" w:rsidRPr="00AC0AC9">
        <w:t>-[Mn(</w:t>
      </w:r>
      <w:proofErr w:type="spellStart"/>
      <w:r w:rsidR="005B68B9" w:rsidRPr="00AC0AC9">
        <w:t>ppy</w:t>
      </w:r>
      <w:proofErr w:type="spellEnd"/>
      <w:r w:rsidR="005B68B9" w:rsidRPr="00AC0AC9">
        <w:t>)(CO)</w:t>
      </w:r>
      <w:r w:rsidR="005B68B9" w:rsidRPr="00AC0AC9">
        <w:rPr>
          <w:vertAlign w:val="subscript"/>
        </w:rPr>
        <w:t>3</w:t>
      </w:r>
      <w:r w:rsidR="005B68B9" w:rsidRPr="00AC0AC9">
        <w:t>(</w:t>
      </w:r>
      <w:r w:rsidR="005B68B9" w:rsidRPr="00AC0AC9">
        <w:rPr>
          <w:rFonts w:ascii="Symbol" w:hAnsi="Symbol"/>
        </w:rPr>
        <w:t></w:t>
      </w:r>
      <w:r w:rsidR="005B68B9" w:rsidRPr="00AC0AC9">
        <w:rPr>
          <w:vertAlign w:val="superscript"/>
        </w:rPr>
        <w:t>1</w:t>
      </w:r>
      <w:r w:rsidR="005B68B9" w:rsidRPr="00AC0AC9">
        <w:t>{O}-</w:t>
      </w:r>
      <w:proofErr w:type="spellStart"/>
      <w:r w:rsidR="005B68B9" w:rsidRPr="00AC0AC9">
        <w:t>ethylacetate</w:t>
      </w:r>
      <w:proofErr w:type="spellEnd"/>
      <w:r w:rsidR="005B68B9" w:rsidRPr="00AC0AC9">
        <w:t xml:space="preserve">)] and hence the species responsible for these bands was assigned to structure </w:t>
      </w:r>
      <w:r w:rsidR="005B68B9" w:rsidRPr="00AC0AC9">
        <w:rPr>
          <w:b/>
          <w:bCs/>
        </w:rPr>
        <w:t>D</w:t>
      </w:r>
      <w:r w:rsidR="005B68B9" w:rsidRPr="00AC0AC9">
        <w:t xml:space="preserve">. The formation of </w:t>
      </w:r>
      <w:r w:rsidR="005B68B9" w:rsidRPr="00AC0AC9">
        <w:rPr>
          <w:b/>
          <w:bCs/>
        </w:rPr>
        <w:t>D</w:t>
      </w:r>
      <w:r w:rsidR="005B68B9" w:rsidRPr="00AC0AC9">
        <w:t xml:space="preserve"> corresponds to an isomerization (at least in-part) from a C–H sigma-bound to a </w:t>
      </w:r>
      <w:r w:rsidR="005B68B9" w:rsidRPr="00AC0AC9">
        <w:rPr>
          <w:rFonts w:ascii="Symbol" w:hAnsi="Symbol"/>
        </w:rPr>
        <w:t></w:t>
      </w:r>
      <w:r w:rsidR="005B68B9" w:rsidRPr="00AC0AC9">
        <w:rPr>
          <w:vertAlign w:val="superscript"/>
        </w:rPr>
        <w:t>1</w:t>
      </w:r>
      <w:r w:rsidR="005B68B9" w:rsidRPr="00AC0AC9">
        <w:t xml:space="preserve">{O}-bound </w:t>
      </w:r>
      <w:proofErr w:type="spellStart"/>
      <w:r w:rsidR="005B68B9" w:rsidRPr="00AC0AC9">
        <w:t>HOAc</w:t>
      </w:r>
      <w:proofErr w:type="spellEnd"/>
      <w:r w:rsidR="005B68B9" w:rsidRPr="00AC0AC9">
        <w:t xml:space="preserve"> ligand on an ultra-fast timescale, </w:t>
      </w:r>
      <w:r w:rsidR="005B68B9" w:rsidRPr="00AC0AC9">
        <w:rPr>
          <w:i/>
          <w:iCs/>
        </w:rPr>
        <w:t>k</w:t>
      </w:r>
      <w:r w:rsidR="005B68B9" w:rsidRPr="00AC0AC9">
        <w:rPr>
          <w:i/>
          <w:iCs/>
          <w:vertAlign w:val="subscript"/>
        </w:rPr>
        <w:t>1</w:t>
      </w:r>
      <w:r w:rsidR="005B68B9" w:rsidRPr="00AC0AC9">
        <w:t xml:space="preserve"> = (5.16 ± 0.73) × 10</w:t>
      </w:r>
      <w:r w:rsidR="005B68B9" w:rsidRPr="00AC0AC9">
        <w:rPr>
          <w:vertAlign w:val="superscript"/>
        </w:rPr>
        <w:t>10</w:t>
      </w:r>
      <w:r w:rsidR="005B68B9" w:rsidRPr="00AC0AC9">
        <w:t xml:space="preserve"> s</w:t>
      </w:r>
      <w:r w:rsidR="005B68B9" w:rsidRPr="00AC0AC9">
        <w:rPr>
          <w:vertAlign w:val="superscript"/>
        </w:rPr>
        <w:t>-1</w:t>
      </w:r>
      <w:r w:rsidR="005B68B9" w:rsidRPr="00AC0AC9">
        <w:t xml:space="preserve">. Given the broad nature of the spectra recorded at short pump-probe delays (&lt; 20 ps) then we cannot exclude that the initial binding of </w:t>
      </w:r>
      <w:proofErr w:type="spellStart"/>
      <w:r w:rsidR="005B68B9" w:rsidRPr="00AC0AC9">
        <w:t>HOAc</w:t>
      </w:r>
      <w:proofErr w:type="spellEnd"/>
      <w:r w:rsidR="005B68B9" w:rsidRPr="00AC0AC9">
        <w:t xml:space="preserve"> is stochastic in nature and some </w:t>
      </w:r>
      <w:r w:rsidR="005B68B9" w:rsidRPr="00AC0AC9">
        <w:rPr>
          <w:b/>
          <w:bCs/>
        </w:rPr>
        <w:t>D</w:t>
      </w:r>
      <w:r w:rsidR="005B68B9" w:rsidRPr="00AC0AC9">
        <w:t xml:space="preserve"> is also present and/or binding through the –OH group occurs. Spectra recorded with a pump-probe delay of 500 ps provided evidence for the formation of a third photoproduct with a </w:t>
      </w:r>
      <w:proofErr w:type="spellStart"/>
      <w:r w:rsidR="005B68B9" w:rsidRPr="00AC0AC9">
        <w:t>MnC</w:t>
      </w:r>
      <w:proofErr w:type="spellEnd"/>
      <w:r w:rsidR="005B68B9" w:rsidRPr="00AC0AC9">
        <w:sym w:font="Symbol" w:char="F0BA"/>
      </w:r>
      <w:r w:rsidR="005B68B9" w:rsidRPr="00AC0AC9">
        <w:t>O symmetric stretching band at 2011 cm</w:t>
      </w:r>
      <w:r w:rsidR="005B68B9" w:rsidRPr="00AC0AC9">
        <w:rPr>
          <w:vertAlign w:val="superscript"/>
        </w:rPr>
        <w:t>-1</w:t>
      </w:r>
      <w:r w:rsidR="005B68B9" w:rsidRPr="00AC0AC9">
        <w:t>; a shoulder on the broad peak centered at ca. 1900 cm</w:t>
      </w:r>
      <w:r w:rsidR="005B68B9" w:rsidRPr="00AC0AC9">
        <w:rPr>
          <w:vertAlign w:val="superscript"/>
        </w:rPr>
        <w:t>-1</w:t>
      </w:r>
      <w:r w:rsidR="005B68B9" w:rsidRPr="00AC0AC9">
        <w:t xml:space="preserve"> was also observed at 1886 cm</w:t>
      </w:r>
      <w:r w:rsidR="005B68B9" w:rsidRPr="00AC0AC9">
        <w:rPr>
          <w:vertAlign w:val="superscript"/>
        </w:rPr>
        <w:t>-1</w:t>
      </w:r>
      <w:r w:rsidR="005B68B9" w:rsidRPr="00AC0AC9">
        <w:t xml:space="preserve">. These bands were assigned to </w:t>
      </w:r>
      <w:r w:rsidR="005B68B9" w:rsidRPr="00AC0AC9">
        <w:rPr>
          <w:b/>
          <w:bCs/>
        </w:rPr>
        <w:t>E</w:t>
      </w:r>
      <w:r w:rsidR="005B68B9" w:rsidRPr="00AC0AC9">
        <w:t xml:space="preserve"> (</w:t>
      </w:r>
      <w:r w:rsidR="005B68B9" w:rsidRPr="00AC0AC9">
        <w:rPr>
          <w:i/>
          <w:iCs/>
        </w:rPr>
        <w:t>q.v.</w:t>
      </w:r>
      <w:r w:rsidR="005B68B9" w:rsidRPr="00AC0AC9">
        <w:t xml:space="preserve">) in which the </w:t>
      </w:r>
      <w:proofErr w:type="spellStart"/>
      <w:r w:rsidR="005B68B9" w:rsidRPr="00AC0AC9">
        <w:t>HOAc</w:t>
      </w:r>
      <w:proofErr w:type="spellEnd"/>
      <w:r w:rsidR="005B68B9" w:rsidRPr="00AC0AC9">
        <w:t xml:space="preserve"> ligand has engaged in hydrogen bonding to the metal-bound carbon atom of the 2-phenylpyridine. The barrier for the conversion of </w:t>
      </w:r>
      <w:r w:rsidR="005B68B9" w:rsidRPr="00AC0AC9">
        <w:rPr>
          <w:b/>
          <w:bCs/>
        </w:rPr>
        <w:t>D</w:t>
      </w:r>
      <w:r w:rsidR="005B68B9" w:rsidRPr="00AC0AC9">
        <w:t xml:space="preserve"> to </w:t>
      </w:r>
      <w:r w:rsidR="005B68B9" w:rsidRPr="00AC0AC9">
        <w:rPr>
          <w:b/>
          <w:bCs/>
        </w:rPr>
        <w:t>E</w:t>
      </w:r>
      <w:r w:rsidR="005B68B9" w:rsidRPr="00AC0AC9">
        <w:t xml:space="preserve"> corresponds to the cleavage of hydrogen bonding found between the coordinated acetic acid and solvent molecules, and formation of the new intramolecular interaction.</w:t>
      </w:r>
      <w:r w:rsidR="005B68B9" w:rsidRPr="00AC0AC9">
        <w:rPr>
          <w:noProof/>
          <w:vertAlign w:val="superscript"/>
        </w:rPr>
        <w:t>30</w:t>
      </w:r>
    </w:p>
    <w:p w:rsidR="005B68B9" w:rsidRPr="00AC0AC9" w:rsidRDefault="005B68B9" w:rsidP="00C746A6">
      <w:pPr>
        <w:pStyle w:val="TAMainText"/>
      </w:pPr>
      <w:r w:rsidRPr="00AC0AC9">
        <w:t xml:space="preserve">Over the course of 500 ns, the bands for species </w:t>
      </w:r>
      <w:r w:rsidRPr="00AC0AC9">
        <w:rPr>
          <w:b/>
          <w:bCs/>
        </w:rPr>
        <w:t>D</w:t>
      </w:r>
      <w:r w:rsidRPr="00AC0AC9">
        <w:t xml:space="preserve"> and </w:t>
      </w:r>
      <w:r w:rsidRPr="00AC0AC9">
        <w:rPr>
          <w:b/>
          <w:bCs/>
        </w:rPr>
        <w:t>E</w:t>
      </w:r>
      <w:r w:rsidRPr="00AC0AC9">
        <w:t xml:space="preserve"> decrease in intensity, being replaced by a single photoproduct (peaks at 1925, 1948 and 2040 cm</w:t>
      </w:r>
      <w:r w:rsidRPr="00AC0AC9">
        <w:rPr>
          <w:vertAlign w:val="superscript"/>
        </w:rPr>
        <w:t>-1</w:t>
      </w:r>
      <w:r w:rsidRPr="00AC0AC9">
        <w:t>)</w:t>
      </w:r>
      <w:r w:rsidRPr="00AC0AC9">
        <w:rPr>
          <w:vertAlign w:val="superscript"/>
        </w:rPr>
        <w:t xml:space="preserve"> </w:t>
      </w:r>
      <w:r w:rsidRPr="00AC0AC9">
        <w:t>that persisted for the remainder of the experiment.</w:t>
      </w:r>
      <w:r w:rsidRPr="00AC0AC9">
        <w:rPr>
          <w:noProof/>
          <w:vertAlign w:val="superscript"/>
        </w:rPr>
        <w:t>31</w:t>
      </w:r>
      <w:r w:rsidRPr="00AC0AC9">
        <w:t xml:space="preserve"> Repeating the experiment with </w:t>
      </w:r>
      <w:proofErr w:type="spellStart"/>
      <w:r w:rsidRPr="00AC0AC9">
        <w:t>DOAc</w:t>
      </w:r>
      <w:proofErr w:type="spellEnd"/>
      <w:r w:rsidRPr="00AC0AC9">
        <w:t xml:space="preserve"> confirmed that the step (</w:t>
      </w:r>
      <w:r w:rsidRPr="00AC0AC9">
        <w:rPr>
          <w:b/>
          <w:bCs/>
        </w:rPr>
        <w:t>E</w:t>
      </w:r>
      <w:r w:rsidRPr="00AC0AC9">
        <w:t xml:space="preserve"> </w:t>
      </w:r>
      <w:r w:rsidRPr="00AC0AC9">
        <w:rPr>
          <w:rFonts w:eastAsia="Arial Unicode MS" w:cstheme="minorHAnsi"/>
        </w:rPr>
        <w:t>→</w:t>
      </w:r>
      <w:r w:rsidRPr="00AC0AC9">
        <w:t xml:space="preserve"> </w:t>
      </w:r>
      <w:r w:rsidRPr="00AC0AC9">
        <w:rPr>
          <w:b/>
          <w:bCs/>
        </w:rPr>
        <w:t>G</w:t>
      </w:r>
      <w:r w:rsidRPr="00AC0AC9">
        <w:t xml:space="preserve">) had a significant kinetic isotope effect (KIE) of (5.8 </w:t>
      </w:r>
      <w:r w:rsidRPr="00AC0AC9">
        <w:rPr>
          <w:rFonts w:ascii="Calibri" w:hAnsi="Calibri" w:cs="Calibri"/>
        </w:rPr>
        <w:t>±</w:t>
      </w:r>
      <w:r w:rsidRPr="00AC0AC9">
        <w:t xml:space="preserve"> 1.0),</w:t>
      </w:r>
      <w:r w:rsidRPr="00AC0AC9">
        <w:rPr>
          <w:noProof/>
          <w:vertAlign w:val="superscript"/>
        </w:rPr>
        <w:t>32</w:t>
      </w:r>
      <w:r w:rsidRPr="00AC0AC9">
        <w:t xml:space="preserve"> (Figure 3d) a value consistent with this step involving O–H bond cleavage. The large kinetic isotope effect and spectroscopic shift in the stretching bands to higher energy when compared to </w:t>
      </w:r>
      <w:r w:rsidRPr="00AC0AC9">
        <w:rPr>
          <w:b/>
          <w:bCs/>
        </w:rPr>
        <w:t>E</w:t>
      </w:r>
      <w:r w:rsidRPr="00AC0AC9">
        <w:t xml:space="preserve"> is consistent with the new species being either </w:t>
      </w:r>
      <w:r w:rsidRPr="00AC0AC9">
        <w:rPr>
          <w:b/>
          <w:bCs/>
        </w:rPr>
        <w:t>F</w:t>
      </w:r>
      <w:r w:rsidRPr="00AC0AC9">
        <w:t xml:space="preserve"> or </w:t>
      </w:r>
      <w:r w:rsidRPr="00AC0AC9">
        <w:rPr>
          <w:b/>
          <w:bCs/>
        </w:rPr>
        <w:t>G</w:t>
      </w:r>
      <w:r w:rsidRPr="00AC0AC9">
        <w:t xml:space="preserve"> which contain </w:t>
      </w:r>
      <w:r w:rsidRPr="00AC0AC9">
        <w:rPr>
          <w:rFonts w:ascii="Symbol" w:hAnsi="Symbol"/>
        </w:rPr>
        <w:t></w:t>
      </w:r>
      <w:r w:rsidRPr="00AC0AC9">
        <w:rPr>
          <w:vertAlign w:val="superscript"/>
        </w:rPr>
        <w:t>1</w:t>
      </w:r>
      <w:r w:rsidRPr="00AC0AC9">
        <w:t xml:space="preserve"> and </w:t>
      </w:r>
      <w:r w:rsidRPr="00AC0AC9">
        <w:rPr>
          <w:rFonts w:ascii="Symbol" w:hAnsi="Symbol"/>
        </w:rPr>
        <w:t></w:t>
      </w:r>
      <w:r w:rsidRPr="00AC0AC9">
        <w:rPr>
          <w:vertAlign w:val="superscript"/>
        </w:rPr>
        <w:t>2</w:t>
      </w:r>
      <w:r w:rsidRPr="00AC0AC9">
        <w:t xml:space="preserve">-OAc ligands respectively, as (1): the formation of both </w:t>
      </w:r>
      <w:r w:rsidRPr="00AC0AC9">
        <w:rPr>
          <w:b/>
          <w:bCs/>
        </w:rPr>
        <w:t>F</w:t>
      </w:r>
      <w:r w:rsidRPr="00AC0AC9">
        <w:t xml:space="preserve"> and </w:t>
      </w:r>
      <w:r w:rsidRPr="00AC0AC9">
        <w:rPr>
          <w:b/>
          <w:bCs/>
        </w:rPr>
        <w:t>G</w:t>
      </w:r>
      <w:r w:rsidRPr="00AC0AC9">
        <w:t xml:space="preserve"> requires O–H bond cleavage; and, (2) the shift in the position of the M–CO stretching band is mirrored in the calculated vibrational modes by DFT (Figure 3). However, </w:t>
      </w:r>
      <w:r w:rsidRPr="00AC0AC9">
        <w:rPr>
          <w:b/>
          <w:bCs/>
        </w:rPr>
        <w:t>F</w:t>
      </w:r>
      <w:r w:rsidRPr="00AC0AC9">
        <w:t xml:space="preserve"> (-44 kJ mol</w:t>
      </w:r>
      <w:r w:rsidRPr="00AC0AC9">
        <w:rPr>
          <w:vertAlign w:val="superscript"/>
        </w:rPr>
        <w:t>-1</w:t>
      </w:r>
      <w:r w:rsidRPr="00AC0AC9">
        <w:t xml:space="preserve">) is predicted to have a very short lifetime as it sits in a shallow energy minimum with the transition state connecting it to </w:t>
      </w:r>
      <w:r w:rsidRPr="00AC0AC9">
        <w:rPr>
          <w:b/>
          <w:bCs/>
        </w:rPr>
        <w:t>G</w:t>
      </w:r>
      <w:r w:rsidRPr="00AC0AC9">
        <w:t xml:space="preserve"> (</w:t>
      </w:r>
      <w:r w:rsidRPr="00AC0AC9">
        <w:rPr>
          <w:b/>
          <w:bCs/>
        </w:rPr>
        <w:t>TS</w:t>
      </w:r>
      <w:r w:rsidRPr="00AC0AC9">
        <w:rPr>
          <w:b/>
          <w:bCs/>
          <w:vertAlign w:val="subscript"/>
        </w:rPr>
        <w:t>FG</w:t>
      </w:r>
      <w:r w:rsidRPr="00AC0AC9">
        <w:t>) at low energy (-40 kJ mol</w:t>
      </w:r>
      <w:r w:rsidRPr="00AC0AC9">
        <w:rPr>
          <w:vertAlign w:val="superscript"/>
        </w:rPr>
        <w:t>-1</w:t>
      </w:r>
      <w:r w:rsidRPr="00AC0AC9">
        <w:t xml:space="preserve">). The long-lived species was therefore assigned to structure </w:t>
      </w:r>
      <w:r w:rsidRPr="00AC0AC9">
        <w:rPr>
          <w:b/>
          <w:bCs/>
        </w:rPr>
        <w:t>G</w:t>
      </w:r>
      <w:r w:rsidRPr="00AC0AC9">
        <w:t xml:space="preserve"> which is the lowest energy point on the calculated potential energy surface (by DFT). An experiment performed at half-concentration of </w:t>
      </w:r>
      <w:r w:rsidRPr="00AC0AC9">
        <w:rPr>
          <w:b/>
          <w:bCs/>
        </w:rPr>
        <w:t>1</w:t>
      </w:r>
      <w:r w:rsidRPr="00AC0AC9">
        <w:t xml:space="preserve"> did not affect the observed rate constants, implying that all steps were unimolecular in manganese(I).</w:t>
      </w:r>
    </w:p>
    <w:p w:rsidR="005B68B9" w:rsidRPr="00AC0AC9" w:rsidRDefault="005B68B9" w:rsidP="002333CA">
      <w:pPr>
        <w:pStyle w:val="TAMainText"/>
      </w:pPr>
      <w:r w:rsidRPr="00AC0AC9">
        <w:t xml:space="preserve">In order to gain further support for the assignment of </w:t>
      </w:r>
      <w:r w:rsidRPr="00AC0AC9">
        <w:rPr>
          <w:b/>
          <w:bCs/>
        </w:rPr>
        <w:t>E</w:t>
      </w:r>
      <w:r w:rsidRPr="00AC0AC9">
        <w:t>,</w:t>
      </w:r>
      <w:r w:rsidRPr="00AC0AC9">
        <w:rPr>
          <w:b/>
          <w:bCs/>
        </w:rPr>
        <w:t xml:space="preserve"> </w:t>
      </w:r>
      <w:r w:rsidRPr="00AC0AC9">
        <w:t xml:space="preserve">and insight into the factors affecting the proton transfer, the interaction between </w:t>
      </w:r>
      <w:r w:rsidRPr="00AC0AC9">
        <w:rPr>
          <w:b/>
          <w:bCs/>
        </w:rPr>
        <w:t>1</w:t>
      </w:r>
      <w:r w:rsidRPr="00AC0AC9">
        <w:t xml:space="preserve"> and EtCO</w:t>
      </w:r>
      <w:r w:rsidRPr="00AC0AC9">
        <w:rPr>
          <w:vertAlign w:val="subscript"/>
        </w:rPr>
        <w:t>2</w:t>
      </w:r>
      <w:r w:rsidRPr="00AC0AC9">
        <w:t xml:space="preserve">H and </w:t>
      </w:r>
      <w:r w:rsidRPr="00AC0AC9">
        <w:rPr>
          <w:i/>
          <w:iCs/>
        </w:rPr>
        <w:t>n</w:t>
      </w:r>
      <w:r w:rsidRPr="00AC0AC9">
        <w:t>-PrCO</w:t>
      </w:r>
      <w:r w:rsidRPr="00AC0AC9">
        <w:rPr>
          <w:vertAlign w:val="subscript"/>
        </w:rPr>
        <w:t>2</w:t>
      </w:r>
      <w:r w:rsidRPr="00AC0AC9">
        <w:t>H was explored.</w:t>
      </w:r>
      <w:r w:rsidRPr="00AC0AC9">
        <w:rPr>
          <w:b/>
          <w:bCs/>
        </w:rPr>
        <w:t xml:space="preserve"> </w:t>
      </w:r>
      <w:r w:rsidRPr="00AC0AC9">
        <w:t xml:space="preserve">Photolysis of </w:t>
      </w:r>
      <w:r w:rsidRPr="00AC0AC9">
        <w:rPr>
          <w:b/>
          <w:bCs/>
        </w:rPr>
        <w:t>1</w:t>
      </w:r>
      <w:r w:rsidRPr="00AC0AC9">
        <w:t xml:space="preserve"> in the presence of either EtCO</w:t>
      </w:r>
      <w:r w:rsidRPr="00AC0AC9">
        <w:rPr>
          <w:vertAlign w:val="subscript"/>
        </w:rPr>
        <w:t>2</w:t>
      </w:r>
      <w:r w:rsidRPr="00AC0AC9">
        <w:t xml:space="preserve">H or </w:t>
      </w:r>
      <w:r w:rsidRPr="00AC0AC9">
        <w:rPr>
          <w:rFonts w:cstheme="minorHAnsi"/>
          <w:i/>
        </w:rPr>
        <w:t>n</w:t>
      </w:r>
      <w:r w:rsidRPr="00AC0AC9">
        <w:rPr>
          <w:rFonts w:cstheme="minorHAnsi"/>
        </w:rPr>
        <w:t>-PrCO</w:t>
      </w:r>
      <w:r w:rsidRPr="00AC0AC9">
        <w:rPr>
          <w:rFonts w:cstheme="minorHAnsi"/>
          <w:vertAlign w:val="subscript"/>
        </w:rPr>
        <w:t>2</w:t>
      </w:r>
      <w:r w:rsidRPr="00AC0AC9">
        <w:rPr>
          <w:rFonts w:cstheme="minorHAnsi"/>
        </w:rPr>
        <w:t>H</w:t>
      </w:r>
      <w:r w:rsidRPr="00AC0AC9">
        <w:t xml:space="preserve"> gave essentially identical results. The spectra for </w:t>
      </w:r>
      <w:r w:rsidRPr="00AC0AC9">
        <w:rPr>
          <w:b/>
          <w:bCs/>
        </w:rPr>
        <w:t>1</w:t>
      </w:r>
      <w:r w:rsidRPr="00AC0AC9">
        <w:t xml:space="preserve"> in </w:t>
      </w:r>
      <w:r w:rsidRPr="00AC0AC9">
        <w:rPr>
          <w:rFonts w:cstheme="minorHAnsi"/>
          <w:i/>
        </w:rPr>
        <w:t>n</w:t>
      </w:r>
      <w:r w:rsidRPr="00AC0AC9">
        <w:rPr>
          <w:rFonts w:cstheme="minorHAnsi"/>
        </w:rPr>
        <w:t>-PrCO</w:t>
      </w:r>
      <w:r w:rsidRPr="00AC0AC9">
        <w:rPr>
          <w:rFonts w:cstheme="minorHAnsi"/>
          <w:vertAlign w:val="subscript"/>
        </w:rPr>
        <w:t>2</w:t>
      </w:r>
      <w:r w:rsidRPr="00AC0AC9">
        <w:rPr>
          <w:rFonts w:cstheme="minorHAnsi"/>
        </w:rPr>
        <w:t>H</w:t>
      </w:r>
      <w:r w:rsidRPr="00AC0AC9">
        <w:t xml:space="preserve"> (Figure 3c and 3e) displayed analogous features to the experiment performed in </w:t>
      </w:r>
      <w:proofErr w:type="spellStart"/>
      <w:r w:rsidRPr="00AC0AC9">
        <w:t>HOAc</w:t>
      </w:r>
      <w:proofErr w:type="spellEnd"/>
      <w:r w:rsidRPr="00AC0AC9">
        <w:t xml:space="preserve">. It was now possible to effectively discern the sequential growth and decay of </w:t>
      </w:r>
      <w:r w:rsidRPr="00AC0AC9">
        <w:rPr>
          <w:b/>
          <w:bCs/>
        </w:rPr>
        <w:t>D</w:t>
      </w:r>
      <w:r w:rsidRPr="00AC0AC9">
        <w:t xml:space="preserve"> and </w:t>
      </w:r>
      <w:r w:rsidRPr="00AC0AC9">
        <w:rPr>
          <w:b/>
          <w:bCs/>
        </w:rPr>
        <w:t>E</w:t>
      </w:r>
      <w:r w:rsidRPr="00AC0AC9">
        <w:t>. The shift of the MC</w:t>
      </w:r>
      <w:r w:rsidRPr="00AC0AC9">
        <w:rPr>
          <w:rFonts w:eastAsia="Arial Unicode MS" w:cs="Arial Unicode MS"/>
        </w:rPr>
        <w:t>≡</w:t>
      </w:r>
      <w:r w:rsidRPr="00AC0AC9">
        <w:t xml:space="preserve">O bands of </w:t>
      </w:r>
      <w:r w:rsidRPr="00AC0AC9">
        <w:rPr>
          <w:b/>
          <w:bCs/>
        </w:rPr>
        <w:t>E</w:t>
      </w:r>
      <w:r w:rsidRPr="00AC0AC9">
        <w:t xml:space="preserve"> to higher energy to be observed, consistent with the changes predicted by the DFT calculations. Analysis of these spectra indicated that </w:t>
      </w:r>
      <w:r w:rsidRPr="00AC0AC9">
        <w:rPr>
          <w:i/>
          <w:iCs/>
        </w:rPr>
        <w:t>k</w:t>
      </w:r>
      <w:r w:rsidRPr="00AC0AC9">
        <w:rPr>
          <w:i/>
          <w:iCs/>
          <w:vertAlign w:val="subscript"/>
        </w:rPr>
        <w:t>2</w:t>
      </w:r>
      <w:r w:rsidRPr="00AC0AC9">
        <w:rPr>
          <w:i/>
          <w:iCs/>
        </w:rPr>
        <w:t xml:space="preserve"> </w:t>
      </w:r>
      <w:r w:rsidRPr="00AC0AC9">
        <w:t xml:space="preserve">was much faster than the formation of </w:t>
      </w:r>
      <w:r w:rsidRPr="00AC0AC9">
        <w:rPr>
          <w:i/>
          <w:iCs/>
        </w:rPr>
        <w:t>k</w:t>
      </w:r>
      <w:r w:rsidRPr="00AC0AC9">
        <w:rPr>
          <w:i/>
          <w:iCs/>
          <w:vertAlign w:val="subscript"/>
        </w:rPr>
        <w:t>3</w:t>
      </w:r>
      <w:r w:rsidRPr="00AC0AC9">
        <w:t xml:space="preserve">, supporting the approach that the latter rate constant could be approximated by fitting the rate of growth of </w:t>
      </w:r>
      <w:r w:rsidRPr="00AC0AC9">
        <w:rPr>
          <w:b/>
          <w:bCs/>
        </w:rPr>
        <w:t>G</w:t>
      </w:r>
      <w:r w:rsidRPr="00AC0AC9">
        <w:t xml:space="preserve"> to a </w:t>
      </w:r>
      <w:proofErr w:type="spellStart"/>
      <w:r w:rsidRPr="00AC0AC9">
        <w:t>monoexponential</w:t>
      </w:r>
      <w:proofErr w:type="spellEnd"/>
      <w:r w:rsidRPr="00AC0AC9">
        <w:t xml:space="preserve"> function. In the case of both EtCO</w:t>
      </w:r>
      <w:r w:rsidRPr="00AC0AC9">
        <w:rPr>
          <w:vertAlign w:val="subscript"/>
        </w:rPr>
        <w:t>2</w:t>
      </w:r>
      <w:r w:rsidRPr="00AC0AC9">
        <w:t xml:space="preserve">H or </w:t>
      </w:r>
      <w:r w:rsidRPr="00AC0AC9">
        <w:rPr>
          <w:rFonts w:cstheme="minorHAnsi"/>
          <w:i/>
        </w:rPr>
        <w:t>n</w:t>
      </w:r>
      <w:r w:rsidRPr="00AC0AC9">
        <w:rPr>
          <w:rFonts w:cstheme="minorHAnsi"/>
        </w:rPr>
        <w:t>-PrCO</w:t>
      </w:r>
      <w:r w:rsidRPr="00AC0AC9">
        <w:rPr>
          <w:rFonts w:cstheme="minorHAnsi"/>
          <w:vertAlign w:val="subscript"/>
        </w:rPr>
        <w:t>2</w:t>
      </w:r>
      <w:r w:rsidRPr="00AC0AC9">
        <w:rPr>
          <w:rFonts w:cstheme="minorHAnsi"/>
        </w:rPr>
        <w:t>H</w:t>
      </w:r>
      <w:r w:rsidRPr="00AC0AC9">
        <w:t xml:space="preserve"> the rate constant of protonation (</w:t>
      </w:r>
      <w:r w:rsidRPr="00AC0AC9">
        <w:rPr>
          <w:i/>
          <w:iCs/>
        </w:rPr>
        <w:t>k</w:t>
      </w:r>
      <w:r w:rsidRPr="00AC0AC9">
        <w:rPr>
          <w:i/>
          <w:iCs/>
          <w:vertAlign w:val="subscript"/>
        </w:rPr>
        <w:t>3</w:t>
      </w:r>
      <w:r w:rsidRPr="00AC0AC9">
        <w:t xml:space="preserve">) was greater (Table 1) than for </w:t>
      </w:r>
      <w:proofErr w:type="spellStart"/>
      <w:r w:rsidRPr="00AC0AC9">
        <w:t>HOAc</w:t>
      </w:r>
      <w:proofErr w:type="spellEnd"/>
      <w:r w:rsidRPr="00AC0AC9">
        <w:t xml:space="preserve">. </w:t>
      </w:r>
    </w:p>
    <w:p w:rsidR="005B68B9" w:rsidRPr="00AC0AC9" w:rsidRDefault="005B68B9" w:rsidP="00DF06FA">
      <w:pPr>
        <w:pStyle w:val="TAMainText"/>
        <w:rPr>
          <w:rFonts w:cstheme="minorHAnsi"/>
        </w:rPr>
      </w:pPr>
      <w:r w:rsidRPr="00AC0AC9">
        <w:t xml:space="preserve">Performing the experiment with complexes </w:t>
      </w:r>
      <w:r w:rsidRPr="00AC0AC9">
        <w:rPr>
          <w:b/>
          <w:bCs/>
        </w:rPr>
        <w:t>2</w:t>
      </w:r>
      <w:r w:rsidRPr="00AC0AC9">
        <w:t>-</w:t>
      </w:r>
      <w:r w:rsidRPr="00AC0AC9">
        <w:rPr>
          <w:b/>
          <w:bCs/>
        </w:rPr>
        <w:t>5</w:t>
      </w:r>
      <w:r w:rsidRPr="00AC0AC9">
        <w:t xml:space="preserve"> (Table 1), which contain different </w:t>
      </w:r>
      <w:proofErr w:type="spellStart"/>
      <w:r w:rsidRPr="00AC0AC9">
        <w:t>cyclomanganated</w:t>
      </w:r>
      <w:proofErr w:type="spellEnd"/>
      <w:r w:rsidRPr="00AC0AC9">
        <w:t xml:space="preserve"> ligands gave similar outcomes, supporting the over-arching conclusions. Both the KIE and rate of formation of the respective species </w:t>
      </w:r>
      <w:r w:rsidRPr="00AC0AC9">
        <w:rPr>
          <w:b/>
          <w:bCs/>
        </w:rPr>
        <w:t>G</w:t>
      </w:r>
      <w:r w:rsidRPr="00AC0AC9">
        <w:t xml:space="preserve"> </w:t>
      </w:r>
      <w:r w:rsidRPr="00AC0AC9">
        <w:rPr>
          <w:rFonts w:cstheme="minorHAnsi"/>
        </w:rPr>
        <w:t xml:space="preserve">showed a marked dependence on the nature of the </w:t>
      </w:r>
      <w:proofErr w:type="spellStart"/>
      <w:r w:rsidRPr="00AC0AC9">
        <w:rPr>
          <w:rFonts w:cstheme="minorHAnsi"/>
        </w:rPr>
        <w:t>cyclomanganated</w:t>
      </w:r>
      <w:proofErr w:type="spellEnd"/>
      <w:r w:rsidRPr="00AC0AC9">
        <w:rPr>
          <w:rFonts w:cstheme="minorHAnsi"/>
        </w:rPr>
        <w:t xml:space="preserve"> ligand. Indole-substituted complex </w:t>
      </w:r>
      <w:r w:rsidRPr="00AC0AC9">
        <w:rPr>
          <w:rFonts w:cstheme="minorHAnsi"/>
          <w:b/>
          <w:bCs/>
        </w:rPr>
        <w:t>2</w:t>
      </w:r>
      <w:r w:rsidRPr="00AC0AC9">
        <w:rPr>
          <w:rFonts w:cstheme="minorHAnsi"/>
        </w:rPr>
        <w:t xml:space="preserve"> exhibited the largest KIE (8.7 ± 2.7) and evidence for the sequential process </w:t>
      </w:r>
      <w:r w:rsidRPr="00AC0AC9">
        <w:rPr>
          <w:rFonts w:cstheme="minorHAnsi"/>
          <w:b/>
          <w:bCs/>
        </w:rPr>
        <w:t xml:space="preserve">H </w:t>
      </w:r>
      <w:r w:rsidRPr="00AC0AC9">
        <w:rPr>
          <w:rFonts w:eastAsia="Arial Unicode MS" w:cstheme="minorHAnsi"/>
        </w:rPr>
        <w:t xml:space="preserve">→ </w:t>
      </w:r>
      <w:r w:rsidRPr="00AC0AC9">
        <w:rPr>
          <w:rFonts w:cstheme="minorHAnsi"/>
          <w:b/>
          <w:bCs/>
        </w:rPr>
        <w:t xml:space="preserve">D </w:t>
      </w:r>
      <w:r w:rsidRPr="00AC0AC9">
        <w:rPr>
          <w:rFonts w:eastAsia="Arial Unicode MS" w:cstheme="minorHAnsi"/>
        </w:rPr>
        <w:t xml:space="preserve">→ </w:t>
      </w:r>
      <w:r w:rsidRPr="00AC0AC9">
        <w:rPr>
          <w:rFonts w:cstheme="minorHAnsi"/>
        </w:rPr>
        <w:br w:type="page"/>
      </w:r>
    </w:p>
    <w:p w:rsidR="005B68B9" w:rsidRPr="00AC0AC9" w:rsidRDefault="005B68B9" w:rsidP="00F25AF7">
      <w:pPr>
        <w:jc w:val="center"/>
      </w:pPr>
      <w:r w:rsidRPr="00AC0AC9">
        <w:rPr>
          <w:noProof/>
        </w:rPr>
        <w:lastRenderedPageBreak/>
        <w:drawing>
          <wp:inline distT="0" distB="0" distL="0" distR="0" wp14:anchorId="2D796DCC" wp14:editId="2675E75B">
            <wp:extent cx="3044825" cy="568388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4825" cy="5683885"/>
                    </a:xfrm>
                    <a:prstGeom prst="rect">
                      <a:avLst/>
                    </a:prstGeom>
                  </pic:spPr>
                </pic:pic>
              </a:graphicData>
            </a:graphic>
          </wp:inline>
        </w:drawing>
      </w:r>
    </w:p>
    <w:p w:rsidR="005B68B9" w:rsidRPr="00AC0AC9" w:rsidRDefault="005B68B9" w:rsidP="00F25AF7">
      <w:pPr>
        <w:pStyle w:val="VAFigureCaption"/>
        <w:rPr>
          <w:b/>
          <w:bCs/>
        </w:rPr>
      </w:pPr>
      <w:r w:rsidRPr="00AC0AC9">
        <w:rPr>
          <w:b/>
          <w:bCs/>
        </w:rPr>
        <w:t xml:space="preserve">Figure 4 </w:t>
      </w:r>
      <w:r w:rsidRPr="00AC0AC9">
        <w:t xml:space="preserve">(a) Reaction scheme showing products formed on irradiation of </w:t>
      </w:r>
      <w:r w:rsidRPr="00AC0AC9">
        <w:rPr>
          <w:b/>
          <w:bCs/>
        </w:rPr>
        <w:t>1</w:t>
      </w:r>
      <w:r w:rsidRPr="00AC0AC9">
        <w:t xml:space="preserve"> in a toluene solution of </w:t>
      </w:r>
      <w:proofErr w:type="spellStart"/>
      <w:r w:rsidRPr="00AC0AC9">
        <w:t>HOAc</w:t>
      </w:r>
      <w:proofErr w:type="spellEnd"/>
      <w:r w:rsidRPr="00AC0AC9">
        <w:t>, [</w:t>
      </w:r>
      <w:proofErr w:type="spellStart"/>
      <w:r w:rsidRPr="00AC0AC9">
        <w:t>HOAc</w:t>
      </w:r>
      <w:proofErr w:type="spellEnd"/>
      <w:r w:rsidRPr="00AC0AC9">
        <w:t>] = 0.791 mol dm</w:t>
      </w:r>
      <w:r w:rsidRPr="00AC0AC9">
        <w:rPr>
          <w:vertAlign w:val="superscript"/>
        </w:rPr>
        <w:t>-3</w:t>
      </w:r>
      <w:r w:rsidRPr="00AC0AC9">
        <w:t xml:space="preserve">. (b) Bottom ground state IR spectrum of </w:t>
      </w:r>
      <w:r w:rsidRPr="00AC0AC9">
        <w:rPr>
          <w:b/>
          <w:bCs/>
        </w:rPr>
        <w:t>1</w:t>
      </w:r>
      <w:r w:rsidRPr="00AC0AC9">
        <w:t xml:space="preserve"> in toluene solution, above TRIR data of </w:t>
      </w:r>
      <w:r w:rsidRPr="00AC0AC9">
        <w:rPr>
          <w:b/>
          <w:bCs/>
        </w:rPr>
        <w:t>1</w:t>
      </w:r>
      <w:r w:rsidRPr="00AC0AC9">
        <w:t xml:space="preserve"> in a toluene solution of </w:t>
      </w:r>
      <w:proofErr w:type="spellStart"/>
      <w:r w:rsidRPr="00AC0AC9">
        <w:t>HOAc</w:t>
      </w:r>
      <w:proofErr w:type="spellEnd"/>
      <w:r w:rsidRPr="00AC0AC9">
        <w:t xml:space="preserve"> recorded at various pump-probe delays. (c) pseudo-first order analysis for the formation of </w:t>
      </w:r>
      <w:r w:rsidRPr="00AC0AC9">
        <w:rPr>
          <w:b/>
          <w:bCs/>
        </w:rPr>
        <w:t>G</w:t>
      </w:r>
      <w:r w:rsidRPr="00AC0AC9">
        <w:t xml:space="preserve"> at different </w:t>
      </w:r>
      <w:proofErr w:type="spellStart"/>
      <w:r w:rsidRPr="00AC0AC9">
        <w:t>HOAc</w:t>
      </w:r>
      <w:proofErr w:type="spellEnd"/>
      <w:r w:rsidRPr="00AC0AC9">
        <w:t xml:space="preserve"> concentrations. (d) Spectra of </w:t>
      </w:r>
      <w:r w:rsidRPr="00AC0AC9">
        <w:rPr>
          <w:b/>
          <w:bCs/>
        </w:rPr>
        <w:t>1</w:t>
      </w:r>
      <w:r w:rsidRPr="00AC0AC9">
        <w:t xml:space="preserve"> in toluene solution, toluene and </w:t>
      </w:r>
      <w:proofErr w:type="spellStart"/>
      <w:r w:rsidRPr="00AC0AC9">
        <w:t>HOAc</w:t>
      </w:r>
      <w:proofErr w:type="spellEnd"/>
      <w:r w:rsidRPr="00AC0AC9">
        <w:t xml:space="preserve"> in toluene and TRIR spectra recorded in the region between 1400-1750 cm</w:t>
      </w:r>
      <w:r w:rsidRPr="00AC0AC9">
        <w:rPr>
          <w:vertAlign w:val="superscript"/>
        </w:rPr>
        <w:t>-1</w:t>
      </w:r>
      <w:r w:rsidRPr="00AC0AC9">
        <w:t xml:space="preserve">. The region demarked by the dashed lines in the TRIR spectra has been omitted due to the presence of strong bands due to the solvent. The arrow in the spectrum with a pump-probe delay of 500 ns highlights the loss of </w:t>
      </w:r>
      <w:proofErr w:type="spellStart"/>
      <w:r w:rsidRPr="00AC0AC9">
        <w:t>HOAc</w:t>
      </w:r>
      <w:proofErr w:type="spellEnd"/>
      <w:r w:rsidRPr="00AC0AC9">
        <w:t>.</w:t>
      </w:r>
    </w:p>
    <w:p w:rsidR="005B68B9" w:rsidRPr="00AC0AC9" w:rsidRDefault="005A7044" w:rsidP="00DF06FA">
      <w:pPr>
        <w:pStyle w:val="TAMainText"/>
        <w:ind w:firstLine="0"/>
      </w:pPr>
      <w:r w:rsidRPr="00AC0AC9">
        <w:rPr>
          <w:rFonts w:cstheme="minorHAnsi"/>
          <w:b/>
          <w:bCs/>
        </w:rPr>
        <w:t xml:space="preserve">E </w:t>
      </w:r>
      <w:r w:rsidRPr="00AC0AC9">
        <w:rPr>
          <w:rFonts w:eastAsia="Arial Unicode MS" w:cstheme="minorHAnsi"/>
        </w:rPr>
        <w:t>→</w:t>
      </w:r>
      <w:r w:rsidRPr="00AC0AC9">
        <w:rPr>
          <w:rFonts w:cstheme="minorHAnsi"/>
          <w:b/>
          <w:bCs/>
        </w:rPr>
        <w:t>G</w:t>
      </w:r>
      <w:r w:rsidRPr="00AC0AC9">
        <w:rPr>
          <w:rFonts w:cstheme="minorHAnsi"/>
        </w:rPr>
        <w:t xml:space="preserve"> was again obtained (Figure S8). In the case of complex </w:t>
      </w:r>
      <w:r w:rsidRPr="00AC0AC9">
        <w:rPr>
          <w:rFonts w:cstheme="minorHAnsi"/>
          <w:b/>
          <w:bCs/>
        </w:rPr>
        <w:t>3</w:t>
      </w:r>
      <w:r w:rsidRPr="00AC0AC9">
        <w:rPr>
          <w:rFonts w:cstheme="minorHAnsi"/>
        </w:rPr>
        <w:t xml:space="preserve">, </w:t>
      </w:r>
      <w:r w:rsidRPr="00AC0AC9">
        <w:rPr>
          <w:rFonts w:cstheme="minorHAnsi"/>
          <w:b/>
          <w:bCs/>
        </w:rPr>
        <w:t>4</w:t>
      </w:r>
      <w:r w:rsidRPr="00AC0AC9">
        <w:rPr>
          <w:rFonts w:cstheme="minorHAnsi"/>
        </w:rPr>
        <w:t xml:space="preserve"> and </w:t>
      </w:r>
      <w:r w:rsidRPr="00AC0AC9">
        <w:rPr>
          <w:rFonts w:cstheme="minorHAnsi"/>
          <w:b/>
          <w:bCs/>
        </w:rPr>
        <w:t>5</w:t>
      </w:r>
      <w:r w:rsidRPr="00AC0AC9">
        <w:rPr>
          <w:rFonts w:cstheme="minorHAnsi"/>
        </w:rPr>
        <w:t xml:space="preserve"> clear evidence for the formation of </w:t>
      </w:r>
      <w:r w:rsidRPr="00AC0AC9">
        <w:rPr>
          <w:rFonts w:cstheme="minorHAnsi"/>
          <w:b/>
          <w:bCs/>
        </w:rPr>
        <w:t>G</w:t>
      </w:r>
      <w:r w:rsidRPr="00AC0AC9">
        <w:rPr>
          <w:rFonts w:cstheme="minorHAnsi"/>
        </w:rPr>
        <w:t xml:space="preserve"> was obtained, but due to the presence of overlapping bands definitive assignments </w:t>
      </w:r>
      <w:r w:rsidR="005B68B9" w:rsidRPr="00AC0AC9">
        <w:rPr>
          <w:rFonts w:cstheme="minorHAnsi"/>
        </w:rPr>
        <w:t xml:space="preserve">for </w:t>
      </w:r>
      <w:r w:rsidR="005B68B9" w:rsidRPr="00AC0AC9">
        <w:rPr>
          <w:rFonts w:cstheme="minorHAnsi"/>
          <w:b/>
          <w:bCs/>
        </w:rPr>
        <w:t>D</w:t>
      </w:r>
      <w:r w:rsidR="005B68B9" w:rsidRPr="00AC0AC9">
        <w:rPr>
          <w:rFonts w:cstheme="minorHAnsi"/>
        </w:rPr>
        <w:t xml:space="preserve"> and </w:t>
      </w:r>
      <w:r w:rsidR="005B68B9" w:rsidRPr="00AC0AC9">
        <w:rPr>
          <w:rFonts w:cstheme="minorHAnsi"/>
          <w:b/>
          <w:bCs/>
        </w:rPr>
        <w:t>E</w:t>
      </w:r>
      <w:r w:rsidR="005B68B9" w:rsidRPr="00AC0AC9">
        <w:rPr>
          <w:rFonts w:cstheme="minorHAnsi"/>
        </w:rPr>
        <w:t xml:space="preserve"> could not be made (see ESI for details). However, give that in all other cases the </w:t>
      </w:r>
      <w:r w:rsidR="005B68B9" w:rsidRPr="00AC0AC9">
        <w:rPr>
          <w:rFonts w:cstheme="minorHAnsi"/>
          <w:i/>
          <w:iCs/>
        </w:rPr>
        <w:t>k</w:t>
      </w:r>
      <w:r w:rsidR="005B68B9" w:rsidRPr="00AC0AC9">
        <w:rPr>
          <w:rFonts w:cstheme="minorHAnsi"/>
          <w:i/>
          <w:iCs/>
          <w:vertAlign w:val="subscript"/>
        </w:rPr>
        <w:t>2</w:t>
      </w:r>
      <w:r w:rsidR="005B68B9" w:rsidRPr="00AC0AC9">
        <w:rPr>
          <w:rFonts w:cstheme="minorHAnsi"/>
        </w:rPr>
        <w:t xml:space="preserve"> &gt;&gt; </w:t>
      </w:r>
      <w:r w:rsidR="005B68B9" w:rsidRPr="00AC0AC9">
        <w:rPr>
          <w:rFonts w:cstheme="minorHAnsi"/>
          <w:i/>
          <w:iCs/>
        </w:rPr>
        <w:t>k</w:t>
      </w:r>
      <w:r w:rsidR="005B68B9" w:rsidRPr="00AC0AC9">
        <w:rPr>
          <w:rFonts w:cstheme="minorHAnsi"/>
          <w:i/>
          <w:iCs/>
          <w:vertAlign w:val="subscript"/>
        </w:rPr>
        <w:t>3</w:t>
      </w:r>
      <w:r w:rsidR="005B68B9" w:rsidRPr="00AC0AC9">
        <w:rPr>
          <w:rFonts w:cstheme="minorHAnsi"/>
        </w:rPr>
        <w:t xml:space="preserve"> it is proposed that the rate of formation of </w:t>
      </w:r>
      <w:r w:rsidR="005B68B9" w:rsidRPr="00AC0AC9">
        <w:rPr>
          <w:rFonts w:cstheme="minorHAnsi"/>
          <w:b/>
          <w:bCs/>
        </w:rPr>
        <w:t>G</w:t>
      </w:r>
      <w:r w:rsidR="005B68B9" w:rsidRPr="00AC0AC9">
        <w:rPr>
          <w:rFonts w:cstheme="minorHAnsi"/>
        </w:rPr>
        <w:t xml:space="preserve"> in these systems approximates to </w:t>
      </w:r>
      <w:r w:rsidR="005B68B9" w:rsidRPr="00AC0AC9">
        <w:rPr>
          <w:rFonts w:cstheme="minorHAnsi"/>
          <w:i/>
          <w:iCs/>
        </w:rPr>
        <w:t>k</w:t>
      </w:r>
      <w:r w:rsidR="005B68B9" w:rsidRPr="00AC0AC9">
        <w:rPr>
          <w:rFonts w:cstheme="minorHAnsi"/>
          <w:i/>
          <w:iCs/>
          <w:vertAlign w:val="subscript"/>
        </w:rPr>
        <w:t>3</w:t>
      </w:r>
      <w:r w:rsidR="005B68B9" w:rsidRPr="00AC0AC9">
        <w:rPr>
          <w:rFonts w:cstheme="minorHAnsi"/>
        </w:rPr>
        <w:t>, providing direct insight into the protonation event.</w:t>
      </w:r>
    </w:p>
    <w:p w:rsidR="005B68B9" w:rsidRPr="00AC0AC9" w:rsidRDefault="005B68B9" w:rsidP="00584602">
      <w:pPr>
        <w:pStyle w:val="TAMainText"/>
      </w:pPr>
      <w:r w:rsidRPr="00AC0AC9">
        <w:t xml:space="preserve">In order to further investigate the nature of the interaction between </w:t>
      </w:r>
      <w:r w:rsidRPr="00AC0AC9">
        <w:rPr>
          <w:b/>
          <w:bCs/>
        </w:rPr>
        <w:t>1</w:t>
      </w:r>
      <w:r w:rsidRPr="00AC0AC9">
        <w:t xml:space="preserve"> and </w:t>
      </w:r>
      <w:proofErr w:type="spellStart"/>
      <w:r w:rsidRPr="00AC0AC9">
        <w:t>HOAc</w:t>
      </w:r>
      <w:proofErr w:type="spellEnd"/>
      <w:r w:rsidRPr="00AC0AC9">
        <w:t xml:space="preserve"> under more catalytically relevant </w:t>
      </w:r>
      <w:r w:rsidRPr="00AC0AC9">
        <w:t xml:space="preserve">conditions, an experiment was conducted in toluene at a range of different acetic acid concentrations. At short pump-probe delays (Figure 4b) the toluene </w:t>
      </w:r>
      <w:proofErr w:type="gramStart"/>
      <w:r w:rsidRPr="00AC0AC9">
        <w:t>adduct</w:t>
      </w:r>
      <w:proofErr w:type="gramEnd"/>
      <w:r w:rsidRPr="00AC0AC9">
        <w:t>, [Mn(</w:t>
      </w:r>
      <w:proofErr w:type="spellStart"/>
      <w:r w:rsidRPr="00AC0AC9">
        <w:t>ppy</w:t>
      </w:r>
      <w:proofErr w:type="spellEnd"/>
      <w:r w:rsidRPr="00AC0AC9">
        <w:t>)(CO)</w:t>
      </w:r>
      <w:r w:rsidRPr="00AC0AC9">
        <w:rPr>
          <w:vertAlign w:val="subscript"/>
        </w:rPr>
        <w:t>3</w:t>
      </w:r>
      <w:r w:rsidRPr="00AC0AC9">
        <w:t>(</w:t>
      </w:r>
      <w:r w:rsidRPr="00AC0AC9">
        <w:rPr>
          <w:rFonts w:ascii="Symbol" w:hAnsi="Symbol"/>
        </w:rPr>
        <w:t></w:t>
      </w:r>
      <w:r w:rsidRPr="00AC0AC9">
        <w:rPr>
          <w:vertAlign w:val="superscript"/>
        </w:rPr>
        <w:t>2</w:t>
      </w:r>
      <w:r w:rsidRPr="00AC0AC9">
        <w:t xml:space="preserve">-toluene)] </w:t>
      </w:r>
      <w:r w:rsidRPr="00AC0AC9">
        <w:rPr>
          <w:b/>
          <w:bCs/>
        </w:rPr>
        <w:t>I</w:t>
      </w:r>
      <w:r w:rsidRPr="00AC0AC9">
        <w:t>, was formed, which was identified by comparison with an identical experiment performed in the absence of HOAc.</w:t>
      </w:r>
      <w:r w:rsidRPr="00AC0AC9">
        <w:rPr>
          <w:noProof/>
          <w:vertAlign w:val="superscript"/>
        </w:rPr>
        <w:t>23</w:t>
      </w:r>
      <w:r w:rsidRPr="00AC0AC9">
        <w:t xml:space="preserve"> Over the course of </w:t>
      </w:r>
      <w:r w:rsidRPr="00AC0AC9">
        <w:rPr>
          <w:i/>
          <w:iCs/>
        </w:rPr>
        <w:t>ca</w:t>
      </w:r>
      <w:r w:rsidRPr="00AC0AC9">
        <w:t xml:space="preserve"> 100 ns the </w:t>
      </w:r>
      <w:proofErr w:type="spellStart"/>
      <w:r w:rsidRPr="00AC0AC9">
        <w:t>MnC</w:t>
      </w:r>
      <w:proofErr w:type="spellEnd"/>
      <w:r w:rsidRPr="00AC0AC9">
        <w:sym w:font="Symbol" w:char="F0BA"/>
      </w:r>
      <w:r w:rsidRPr="00AC0AC9">
        <w:t xml:space="preserve">O bands for </w:t>
      </w:r>
      <w:r w:rsidRPr="00AC0AC9">
        <w:rPr>
          <w:b/>
          <w:bCs/>
        </w:rPr>
        <w:t>I</w:t>
      </w:r>
      <w:r w:rsidRPr="00AC0AC9">
        <w:t xml:space="preserve"> decreased in intensity to form </w:t>
      </w:r>
      <w:r w:rsidRPr="00AC0AC9">
        <w:rPr>
          <w:b/>
          <w:bCs/>
        </w:rPr>
        <w:t>G</w:t>
      </w:r>
      <w:r w:rsidRPr="00AC0AC9">
        <w:t xml:space="preserve">. Analysis using pseudo-first order kinetics demonstrated that the second order rate constant for this transformation, </w:t>
      </w:r>
      <w:r w:rsidRPr="00AC0AC9">
        <w:rPr>
          <w:i/>
          <w:iCs/>
        </w:rPr>
        <w:t>k</w:t>
      </w:r>
      <w:r w:rsidRPr="00AC0AC9">
        <w:rPr>
          <w:i/>
          <w:iCs/>
          <w:vertAlign w:val="subscript"/>
        </w:rPr>
        <w:t>4</w:t>
      </w:r>
      <w:r w:rsidRPr="00AC0AC9">
        <w:t>, was (1.62 ± 0.42) × 10</w:t>
      </w:r>
      <w:r w:rsidRPr="00AC0AC9">
        <w:rPr>
          <w:vertAlign w:val="superscript"/>
        </w:rPr>
        <w:t>7</w:t>
      </w:r>
      <w:r w:rsidRPr="00AC0AC9">
        <w:t xml:space="preserve"> mol</w:t>
      </w:r>
      <w:r w:rsidRPr="00AC0AC9">
        <w:rPr>
          <w:vertAlign w:val="superscript"/>
        </w:rPr>
        <w:t>-1</w:t>
      </w:r>
      <w:r w:rsidRPr="00AC0AC9">
        <w:t xml:space="preserve"> dm</w:t>
      </w:r>
      <w:r w:rsidRPr="00AC0AC9">
        <w:rPr>
          <w:vertAlign w:val="superscript"/>
        </w:rPr>
        <w:t>3</w:t>
      </w:r>
      <w:r w:rsidRPr="00AC0AC9">
        <w:t xml:space="preserve"> s</w:t>
      </w:r>
      <w:r w:rsidRPr="00AC0AC9">
        <w:rPr>
          <w:vertAlign w:val="superscript"/>
        </w:rPr>
        <w:t>-1</w:t>
      </w:r>
      <w:r w:rsidRPr="00AC0AC9">
        <w:t xml:space="preserve"> (Figure 4c). Experiments performed with </w:t>
      </w:r>
      <w:proofErr w:type="spellStart"/>
      <w:r w:rsidRPr="00AC0AC9">
        <w:t>HOAc</w:t>
      </w:r>
      <w:proofErr w:type="spellEnd"/>
      <w:r w:rsidRPr="00AC0AC9">
        <w:t xml:space="preserve"> and </w:t>
      </w:r>
      <w:proofErr w:type="spellStart"/>
      <w:r w:rsidRPr="00AC0AC9">
        <w:t>DOAc</w:t>
      </w:r>
      <w:proofErr w:type="spellEnd"/>
      <w:r w:rsidRPr="00AC0AC9">
        <w:t xml:space="preserve"> at the highest concentration of acid used revealed a KIE of (1.41 ± 0.19) in the observed pseudo first order rate constants. This is consistent with the rate of proton transfer being fast compared to the substitution of toluene, even in the presence of high concentrations of </w:t>
      </w:r>
      <w:proofErr w:type="spellStart"/>
      <w:r w:rsidRPr="00AC0AC9">
        <w:t>HOAc</w:t>
      </w:r>
      <w:proofErr w:type="spellEnd"/>
      <w:r w:rsidRPr="00AC0AC9">
        <w:t xml:space="preserve"> when the rate of this process is faster, and highlights how the intricacies of multistep processes can be obscured in ensemble measurements. </w:t>
      </w:r>
    </w:p>
    <w:p w:rsidR="005B68B9" w:rsidRPr="00AC0AC9" w:rsidRDefault="005B68B9" w:rsidP="00584602">
      <w:pPr>
        <w:pStyle w:val="TAMainText"/>
      </w:pPr>
      <w:r w:rsidRPr="00AC0AC9">
        <w:t>Analysis of the region 1400 – 1850 cm</w:t>
      </w:r>
      <w:r w:rsidRPr="00AC0AC9">
        <w:rPr>
          <w:vertAlign w:val="superscript"/>
        </w:rPr>
        <w:t>-1</w:t>
      </w:r>
      <w:r w:rsidRPr="00AC0AC9">
        <w:t xml:space="preserve"> (Fig. 4d) demonstrated that a new ground state bleach band for </w:t>
      </w:r>
      <w:proofErr w:type="spellStart"/>
      <w:r w:rsidRPr="00AC0AC9">
        <w:t>HOAc</w:t>
      </w:r>
      <w:proofErr w:type="spellEnd"/>
      <w:r w:rsidRPr="00AC0AC9">
        <w:t xml:space="preserve"> was present at 1714 cm</w:t>
      </w:r>
      <w:r w:rsidRPr="00AC0AC9">
        <w:rPr>
          <w:vertAlign w:val="superscript"/>
        </w:rPr>
        <w:t>-1</w:t>
      </w:r>
      <w:r w:rsidRPr="00AC0AC9">
        <w:t xml:space="preserve">. The intensity of this bleach increased with the formation of the bands for </w:t>
      </w:r>
      <w:r w:rsidRPr="00AC0AC9">
        <w:rPr>
          <w:b/>
          <w:bCs/>
        </w:rPr>
        <w:t>G</w:t>
      </w:r>
      <w:r w:rsidRPr="00AC0AC9">
        <w:t xml:space="preserve"> in the </w:t>
      </w:r>
      <w:proofErr w:type="spellStart"/>
      <w:r w:rsidRPr="00AC0AC9">
        <w:t>MnC</w:t>
      </w:r>
      <w:proofErr w:type="spellEnd"/>
      <w:r w:rsidRPr="00AC0AC9">
        <w:sym w:font="Symbol" w:char="F0BA"/>
      </w:r>
      <w:r w:rsidRPr="00AC0AC9">
        <w:t xml:space="preserve">O region, consistent with the substitution of a coordinated toluene ligand by </w:t>
      </w:r>
      <w:proofErr w:type="spellStart"/>
      <w:r w:rsidRPr="00AC0AC9">
        <w:t>HOAc</w:t>
      </w:r>
      <w:proofErr w:type="spellEnd"/>
      <w:r w:rsidRPr="00AC0AC9">
        <w:t>. A new stretching band at 1470 cm</w:t>
      </w:r>
      <w:r w:rsidRPr="00AC0AC9">
        <w:rPr>
          <w:vertAlign w:val="superscript"/>
        </w:rPr>
        <w:t>-1</w:t>
      </w:r>
      <w:r w:rsidRPr="00AC0AC9">
        <w:t xml:space="preserve">, which again formed with the </w:t>
      </w:r>
      <w:proofErr w:type="spellStart"/>
      <w:r w:rsidRPr="00AC0AC9">
        <w:t>MnC</w:t>
      </w:r>
      <w:proofErr w:type="spellEnd"/>
      <w:r w:rsidRPr="00AC0AC9">
        <w:sym w:font="Symbol" w:char="F0BA"/>
      </w:r>
      <w:r w:rsidRPr="00AC0AC9">
        <w:t xml:space="preserve">O modes for </w:t>
      </w:r>
      <w:r w:rsidRPr="00AC0AC9">
        <w:rPr>
          <w:b/>
          <w:bCs/>
        </w:rPr>
        <w:t>G</w:t>
      </w:r>
      <w:r w:rsidRPr="00AC0AC9">
        <w:t xml:space="preserve">, was tentatively assigned to the C–O symmetric stretching mode of the </w:t>
      </w:r>
      <w:r w:rsidRPr="00AC0AC9">
        <w:rPr>
          <w:rFonts w:ascii="Symbol" w:hAnsi="Symbol"/>
        </w:rPr>
        <w:t></w:t>
      </w:r>
      <w:r w:rsidRPr="00AC0AC9">
        <w:rPr>
          <w:vertAlign w:val="superscript"/>
        </w:rPr>
        <w:t>2</w:t>
      </w:r>
      <w:r w:rsidRPr="00AC0AC9">
        <w:t>-OAc coordinated ligand.</w:t>
      </w:r>
      <w:r w:rsidRPr="00AC0AC9">
        <w:rPr>
          <w:noProof/>
          <w:vertAlign w:val="superscript"/>
        </w:rPr>
        <w:t>33-34</w:t>
      </w:r>
      <w:r w:rsidRPr="00AC0AC9">
        <w:t xml:space="preserve"> A number of weaker negative features were observed for the vibrational modes of the </w:t>
      </w:r>
      <w:proofErr w:type="spellStart"/>
      <w:r w:rsidRPr="00AC0AC9">
        <w:t>metalated</w:t>
      </w:r>
      <w:proofErr w:type="spellEnd"/>
      <w:r w:rsidRPr="00AC0AC9">
        <w:t xml:space="preserve"> 2-phenylpyridine ligand, which is consistent with the consumption of </w:t>
      </w:r>
      <w:r w:rsidRPr="00AC0AC9">
        <w:rPr>
          <w:b/>
          <w:bCs/>
        </w:rPr>
        <w:t>1</w:t>
      </w:r>
      <w:r w:rsidRPr="00AC0AC9">
        <w:t xml:space="preserve"> on photolysis. Evidence for a new ligand-based mode in I was observed at 1600 cm</w:t>
      </w:r>
      <w:r w:rsidRPr="00AC0AC9">
        <w:rPr>
          <w:vertAlign w:val="superscript"/>
        </w:rPr>
        <w:t>-1</w:t>
      </w:r>
      <w:r w:rsidRPr="00AC0AC9">
        <w:t xml:space="preserve"> (green circle, Figure 4d) however the absence of additional strong transient peaks for </w:t>
      </w:r>
    </w:p>
    <w:p w:rsidR="005B68B9" w:rsidRPr="00AC0AC9" w:rsidRDefault="005B68B9" w:rsidP="0055029F">
      <w:pPr>
        <w:pStyle w:val="VAFigureCaption"/>
      </w:pPr>
      <w:r w:rsidRPr="00AC0AC9">
        <w:rPr>
          <w:b/>
          <w:bCs/>
          <w:noProof/>
        </w:rPr>
        <w:drawing>
          <wp:inline distT="0" distB="0" distL="0" distR="0" wp14:anchorId="79384E0F" wp14:editId="580744ED">
            <wp:extent cx="3044825" cy="326517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4825" cy="3265170"/>
                    </a:xfrm>
                    <a:prstGeom prst="rect">
                      <a:avLst/>
                    </a:prstGeom>
                  </pic:spPr>
                </pic:pic>
              </a:graphicData>
            </a:graphic>
          </wp:inline>
        </w:drawing>
      </w:r>
      <w:r w:rsidRPr="00AC0AC9">
        <w:rPr>
          <w:b/>
          <w:bCs/>
        </w:rPr>
        <w:t xml:space="preserve"> Figure 5 </w:t>
      </w:r>
      <w:r w:rsidRPr="00AC0AC9">
        <w:t xml:space="preserve">(a) Reaction scheme showing products formed on irradiation of </w:t>
      </w:r>
      <w:r w:rsidRPr="00AC0AC9">
        <w:rPr>
          <w:b/>
          <w:bCs/>
        </w:rPr>
        <w:t>1</w:t>
      </w:r>
      <w:r w:rsidRPr="00AC0AC9">
        <w:t xml:space="preserve"> in a toluene solution of PhC</w:t>
      </w:r>
      <w:r w:rsidRPr="00AC0AC9">
        <w:rPr>
          <w:vertAlign w:val="subscript"/>
        </w:rPr>
        <w:t>2</w:t>
      </w:r>
      <w:r w:rsidRPr="00AC0AC9">
        <w:t xml:space="preserve">H and </w:t>
      </w:r>
      <w:proofErr w:type="spellStart"/>
      <w:r w:rsidRPr="00AC0AC9">
        <w:t>HOAc</w:t>
      </w:r>
      <w:proofErr w:type="spellEnd"/>
      <w:r w:rsidRPr="00AC0AC9">
        <w:t xml:space="preserve">. (b) Bottom ground state IR spectrum of </w:t>
      </w:r>
      <w:r w:rsidRPr="00AC0AC9">
        <w:rPr>
          <w:b/>
          <w:bCs/>
        </w:rPr>
        <w:t>1</w:t>
      </w:r>
      <w:r w:rsidRPr="00AC0AC9">
        <w:t xml:space="preserve"> in toluene solution, above TRIR data of </w:t>
      </w:r>
      <w:r w:rsidRPr="00AC0AC9">
        <w:rPr>
          <w:b/>
          <w:bCs/>
        </w:rPr>
        <w:t>1</w:t>
      </w:r>
      <w:r w:rsidRPr="00AC0AC9">
        <w:t xml:space="preserve"> in a toluene solution of PhC</w:t>
      </w:r>
      <w:r w:rsidRPr="00AC0AC9">
        <w:rPr>
          <w:vertAlign w:val="subscript"/>
        </w:rPr>
        <w:t>2</w:t>
      </w:r>
      <w:r w:rsidRPr="00AC0AC9">
        <w:t xml:space="preserve">H and </w:t>
      </w:r>
      <w:proofErr w:type="spellStart"/>
      <w:r w:rsidRPr="00AC0AC9">
        <w:t>HOAc</w:t>
      </w:r>
      <w:proofErr w:type="spellEnd"/>
      <w:r w:rsidRPr="00AC0AC9">
        <w:t xml:space="preserve"> recorded at various pump-probe delays. (c) kinetic data showing the conversion of </w:t>
      </w:r>
      <w:r w:rsidRPr="00AC0AC9">
        <w:rPr>
          <w:b/>
          <w:bCs/>
        </w:rPr>
        <w:t>C</w:t>
      </w:r>
      <w:r w:rsidRPr="00AC0AC9">
        <w:t xml:space="preserve"> into </w:t>
      </w:r>
      <w:r w:rsidRPr="00AC0AC9">
        <w:rPr>
          <w:b/>
          <w:bCs/>
        </w:rPr>
        <w:t>J</w:t>
      </w:r>
      <w:r w:rsidRPr="00AC0AC9">
        <w:t>.</w:t>
      </w:r>
    </w:p>
    <w:p w:rsidR="005A7044" w:rsidRPr="00AC0AC9" w:rsidRDefault="005A7044" w:rsidP="008E2126">
      <w:pPr>
        <w:pStyle w:val="TAMainText"/>
      </w:pPr>
    </w:p>
    <w:p w:rsidR="005A7044" w:rsidRPr="00AC0AC9" w:rsidRDefault="005A7044" w:rsidP="005A7044">
      <w:pPr>
        <w:pStyle w:val="TAMainText"/>
        <w:ind w:firstLine="0"/>
      </w:pPr>
      <w:r w:rsidRPr="00AC0AC9">
        <w:lastRenderedPageBreak/>
        <w:t xml:space="preserve">the </w:t>
      </w:r>
      <w:proofErr w:type="spellStart"/>
      <w:r w:rsidRPr="00AC0AC9">
        <w:t>ppy</w:t>
      </w:r>
      <w:proofErr w:type="spellEnd"/>
      <w:r w:rsidRPr="00AC0AC9">
        <w:t xml:space="preserve"> ligand, particularly at longer pump-probe delays, precluded employing these modes in a diagnostic fashion.</w:t>
      </w:r>
    </w:p>
    <w:p w:rsidR="005B68B9" w:rsidRPr="00AC0AC9" w:rsidRDefault="005B68B9" w:rsidP="008E2126">
      <w:pPr>
        <w:pStyle w:val="TAMainText"/>
      </w:pPr>
      <w:r w:rsidRPr="00AC0AC9">
        <w:t>One of the most significant applications of CMD is promoting the formal insertion of unsaturated substrates (</w:t>
      </w:r>
      <w:proofErr w:type="gramStart"/>
      <w:r w:rsidRPr="00AC0AC9">
        <w:t>e.g.</w:t>
      </w:r>
      <w:proofErr w:type="gramEnd"/>
      <w:r w:rsidRPr="00AC0AC9">
        <w:t xml:space="preserve"> alkenes and alkynes) into C–H bonds. The carboxylate additive promotes metalation of the substrate to give metallacycles, such as </w:t>
      </w:r>
      <w:r w:rsidRPr="00AC0AC9">
        <w:rPr>
          <w:b/>
          <w:bCs/>
        </w:rPr>
        <w:t>1</w:t>
      </w:r>
      <w:r w:rsidRPr="00AC0AC9">
        <w:t xml:space="preserve">: the unsaturated substrate then inserts into the M–C bond (corresponding to steps </w:t>
      </w:r>
      <w:r w:rsidRPr="00AC0AC9">
        <w:rPr>
          <w:b/>
          <w:bCs/>
        </w:rPr>
        <w:t>A</w:t>
      </w:r>
      <w:r w:rsidRPr="00AC0AC9">
        <w:t xml:space="preserve"> </w:t>
      </w:r>
      <w:r w:rsidRPr="00AC0AC9">
        <w:rPr>
          <w:rFonts w:ascii="Arial Unicode MS" w:eastAsia="Arial Unicode MS" w:hAnsi="Arial Unicode MS" w:cs="Arial Unicode MS" w:hint="eastAsia"/>
        </w:rPr>
        <w:t>→</w:t>
      </w:r>
      <w:r w:rsidRPr="00AC0AC9">
        <w:t xml:space="preserve"> </w:t>
      </w:r>
      <w:r w:rsidRPr="00AC0AC9">
        <w:rPr>
          <w:b/>
          <w:bCs/>
        </w:rPr>
        <w:t>C</w:t>
      </w:r>
      <w:r w:rsidRPr="00AC0AC9">
        <w:t xml:space="preserve"> in Fig 2d) and protonation of the M–C bond releases the product. This mechanistic process is thought to underpin a host of Mn-,</w:t>
      </w:r>
      <w:r w:rsidRPr="00AC0AC9">
        <w:rPr>
          <w:noProof/>
          <w:vertAlign w:val="superscript"/>
        </w:rPr>
        <w:t>35-36</w:t>
      </w:r>
      <w:r w:rsidRPr="00AC0AC9">
        <w:t xml:space="preserve"> Rh-,</w:t>
      </w:r>
      <w:r w:rsidRPr="00AC0AC9">
        <w:rPr>
          <w:noProof/>
          <w:vertAlign w:val="superscript"/>
        </w:rPr>
        <w:t>20, 37-40</w:t>
      </w:r>
      <w:r w:rsidRPr="00AC0AC9">
        <w:t xml:space="preserve"> Ru-</w:t>
      </w:r>
      <w:r w:rsidRPr="00AC0AC9">
        <w:rPr>
          <w:noProof/>
          <w:vertAlign w:val="superscript"/>
        </w:rPr>
        <w:t>41-44</w:t>
      </w:r>
      <w:r w:rsidRPr="00AC0AC9">
        <w:t xml:space="preserve"> and Co-catalysed</w:t>
      </w:r>
      <w:r w:rsidRPr="00AC0AC9">
        <w:rPr>
          <w:noProof/>
          <w:vertAlign w:val="superscript"/>
        </w:rPr>
        <w:t>45-47</w:t>
      </w:r>
      <w:r w:rsidRPr="00AC0AC9">
        <w:t xml:space="preserve"> reactions. In addition, acidic additives play a positive role in promoting Mn-catalyzed C–H bond functionalization reactions,</w:t>
      </w:r>
      <w:r w:rsidRPr="00AC0AC9">
        <w:rPr>
          <w:noProof/>
          <w:vertAlign w:val="superscript"/>
        </w:rPr>
        <w:t>12, 35, 48</w:t>
      </w:r>
      <w:r w:rsidRPr="00AC0AC9">
        <w:t xml:space="preserve"> and we have recently demonstrated that water, 2-phenylpyridine and terminal alkynes can liberate the product from the metal </w:t>
      </w:r>
      <w:r w:rsidRPr="00AC0AC9">
        <w:rPr>
          <w:i/>
          <w:iCs/>
        </w:rPr>
        <w:t>via</w:t>
      </w:r>
      <w:r w:rsidRPr="00AC0AC9">
        <w:t xml:space="preserve"> Mn–C bond </w:t>
      </w:r>
      <w:proofErr w:type="spellStart"/>
      <w:r w:rsidRPr="00AC0AC9">
        <w:t>protonolysis</w:t>
      </w:r>
      <w:proofErr w:type="spellEnd"/>
      <w:r w:rsidRPr="00AC0AC9">
        <w:t xml:space="preserve"> and this step has a profound effect on long-term catalyst stability.</w:t>
      </w:r>
      <w:r w:rsidRPr="00AC0AC9">
        <w:rPr>
          <w:noProof/>
          <w:vertAlign w:val="superscript"/>
        </w:rPr>
        <w:t>49</w:t>
      </w:r>
      <w:r w:rsidRPr="00AC0AC9">
        <w:t xml:space="preserve"> Carboxylic acid additives may also be used to alter the outcome of a reaction, presumably by promoting Mn–C protonyolsis.</w:t>
      </w:r>
      <w:r w:rsidRPr="00AC0AC9">
        <w:rPr>
          <w:noProof/>
          <w:vertAlign w:val="superscript"/>
        </w:rPr>
        <w:t>50</w:t>
      </w:r>
    </w:p>
    <w:p w:rsidR="005B68B9" w:rsidRPr="00AC0AC9" w:rsidRDefault="005B68B9" w:rsidP="008E2126">
      <w:pPr>
        <w:pStyle w:val="TAMainText"/>
      </w:pPr>
      <w:r w:rsidRPr="00AC0AC9">
        <w:t xml:space="preserve">The observation of the intramolecular proton-shutting reactions, along with our previous observations of complexes </w:t>
      </w:r>
      <w:r w:rsidRPr="00AC0AC9">
        <w:rPr>
          <w:b/>
          <w:bCs/>
        </w:rPr>
        <w:t>A</w:t>
      </w:r>
      <w:r w:rsidRPr="00AC0AC9">
        <w:t xml:space="preserve">, </w:t>
      </w:r>
      <w:r w:rsidRPr="00AC0AC9">
        <w:rPr>
          <w:b/>
          <w:bCs/>
        </w:rPr>
        <w:t>B</w:t>
      </w:r>
      <w:r w:rsidRPr="00AC0AC9">
        <w:t xml:space="preserve"> and </w:t>
      </w:r>
      <w:r w:rsidRPr="00AC0AC9">
        <w:rPr>
          <w:b/>
          <w:bCs/>
        </w:rPr>
        <w:t>C</w:t>
      </w:r>
      <w:r w:rsidRPr="00AC0AC9">
        <w:t xml:space="preserve">, related to alkyne insertion offered a unique opportunity to probe these mechanistic aspects. Experiments were devised to observe the stepwise C–C bond formation through insertion of the alkyne into the M-C bond in metallacycle </w:t>
      </w:r>
      <w:r w:rsidRPr="00AC0AC9">
        <w:rPr>
          <w:b/>
          <w:bCs/>
        </w:rPr>
        <w:t>1</w:t>
      </w:r>
      <w:r w:rsidRPr="00AC0AC9">
        <w:t xml:space="preserve">, followed by Mn–C </w:t>
      </w:r>
      <w:proofErr w:type="spellStart"/>
      <w:r w:rsidRPr="00AC0AC9">
        <w:t>protonlysis</w:t>
      </w:r>
      <w:proofErr w:type="spellEnd"/>
      <w:r w:rsidRPr="00AC0AC9">
        <w:t xml:space="preserve">, mirroring the mechanistic processes underpinning these coupling reactions and, specifically, product liberation by acid additives. A toluene solution of </w:t>
      </w:r>
      <w:r w:rsidRPr="00AC0AC9">
        <w:rPr>
          <w:b/>
          <w:bCs/>
        </w:rPr>
        <w:t>1</w:t>
      </w:r>
      <w:r w:rsidRPr="00AC0AC9">
        <w:t xml:space="preserve">, </w:t>
      </w:r>
      <w:proofErr w:type="spellStart"/>
      <w:r w:rsidRPr="00AC0AC9">
        <w:t>HOAc</w:t>
      </w:r>
      <w:proofErr w:type="spellEnd"/>
      <w:r w:rsidRPr="00AC0AC9">
        <w:t xml:space="preserve"> and PhC</w:t>
      </w:r>
      <w:r w:rsidRPr="00AC0AC9">
        <w:rPr>
          <w:vertAlign w:val="subscript"/>
        </w:rPr>
        <w:t>2</w:t>
      </w:r>
      <w:r w:rsidRPr="00AC0AC9">
        <w:t>H was irradiated and, given that acids additives are normally used in sub-stoichiometric amounts, PhC</w:t>
      </w:r>
      <w:r w:rsidRPr="00AC0AC9">
        <w:rPr>
          <w:vertAlign w:val="subscript"/>
        </w:rPr>
        <w:t>2</w:t>
      </w:r>
      <w:r w:rsidRPr="00AC0AC9">
        <w:t>H was in a large excess. The resulting spectra (Figure 5b) demonstrated the remarkable temporal flexibility of TR</w:t>
      </w:r>
      <w:r w:rsidRPr="00AC0AC9">
        <w:rPr>
          <w:vertAlign w:val="superscript"/>
        </w:rPr>
        <w:t>M</w:t>
      </w:r>
      <w:r w:rsidRPr="00AC0AC9">
        <w:t xml:space="preserve">PS which permits the observation of multiple reaction steps over a wide temporal range. The initial photoproduct was the toluene complex </w:t>
      </w:r>
      <w:r w:rsidRPr="00AC0AC9">
        <w:rPr>
          <w:b/>
          <w:bCs/>
        </w:rPr>
        <w:t xml:space="preserve">I </w:t>
      </w:r>
      <w:r w:rsidRPr="00AC0AC9">
        <w:t>which was observed at the shortest pump-probe delays. As the solvent is the greatest component of the reaction mixture it is statistically most likely to bind to the vacant coordination site generated on CO-loss. Substitution of the solvent by PhC</w:t>
      </w:r>
      <w:r w:rsidRPr="00AC0AC9">
        <w:rPr>
          <w:vertAlign w:val="subscript"/>
        </w:rPr>
        <w:t>2</w:t>
      </w:r>
      <w:r w:rsidRPr="00AC0AC9">
        <w:t xml:space="preserve">H occurs to give the previously characterized </w:t>
      </w:r>
      <w:r w:rsidRPr="00AC0AC9">
        <w:rPr>
          <w:rFonts w:ascii="Symbol" w:hAnsi="Symbol"/>
        </w:rPr>
        <w:t></w:t>
      </w:r>
      <w:r w:rsidRPr="00AC0AC9">
        <w:rPr>
          <w:vertAlign w:val="superscript"/>
        </w:rPr>
        <w:t>2</w:t>
      </w:r>
      <w:r w:rsidRPr="00AC0AC9">
        <w:t xml:space="preserve">-alkyne complex </w:t>
      </w:r>
      <w:r w:rsidRPr="00AC0AC9">
        <w:rPr>
          <w:b/>
          <w:bCs/>
        </w:rPr>
        <w:t>B</w:t>
      </w:r>
      <w:r w:rsidRPr="00AC0AC9">
        <w:t xml:space="preserve"> which undergoes C–C bond formation </w:t>
      </w:r>
      <w:r w:rsidRPr="00AC0AC9">
        <w:rPr>
          <w:i/>
        </w:rPr>
        <w:t>via</w:t>
      </w:r>
      <w:r w:rsidRPr="00AC0AC9">
        <w:t xml:space="preserve"> the formal insertion of the alkyne into the Mn–C bond to give metallacycle </w:t>
      </w:r>
      <w:r w:rsidRPr="00AC0AC9">
        <w:rPr>
          <w:b/>
          <w:bCs/>
        </w:rPr>
        <w:t>C</w:t>
      </w:r>
      <w:r w:rsidRPr="00AC0AC9">
        <w:t>.</w:t>
      </w:r>
      <w:r w:rsidRPr="00AC0AC9">
        <w:rPr>
          <w:noProof/>
          <w:vertAlign w:val="superscript"/>
        </w:rPr>
        <w:t>23</w:t>
      </w:r>
      <w:r w:rsidRPr="00AC0AC9">
        <w:t xml:space="preserve"> This process was unaltered by the presence of the </w:t>
      </w:r>
      <w:proofErr w:type="spellStart"/>
      <w:r w:rsidRPr="00AC0AC9">
        <w:t>HOAc</w:t>
      </w:r>
      <w:proofErr w:type="spellEnd"/>
      <w:r w:rsidRPr="00AC0AC9">
        <w:t xml:space="preserve"> additive at the concentrations examined and presumably the alkyne (rather than the acid) initially displaces the toluene due to it being present in excess.</w:t>
      </w:r>
    </w:p>
    <w:p w:rsidR="005A7044" w:rsidRPr="00AC0AC9" w:rsidRDefault="005A7044" w:rsidP="005A7044">
      <w:pPr>
        <w:pStyle w:val="TAMainText"/>
      </w:pPr>
      <w:r w:rsidRPr="00AC0AC9">
        <w:t xml:space="preserve">Over the course of several 100 </w:t>
      </w:r>
      <w:r w:rsidRPr="00AC0AC9">
        <w:rPr>
          <w:rFonts w:ascii="Symbol" w:hAnsi="Symbol"/>
        </w:rPr>
        <w:t></w:t>
      </w:r>
      <w:r w:rsidRPr="00AC0AC9">
        <w:t xml:space="preserve">s, the </w:t>
      </w:r>
      <w:proofErr w:type="spellStart"/>
      <w:r w:rsidRPr="00AC0AC9">
        <w:t>MnC</w:t>
      </w:r>
      <w:proofErr w:type="spellEnd"/>
      <w:r w:rsidRPr="00AC0AC9">
        <w:sym w:font="Symbol" w:char="F0BA"/>
      </w:r>
      <w:r w:rsidRPr="00AC0AC9">
        <w:t>O</w:t>
      </w:r>
      <w:r w:rsidRPr="00AC0AC9" w:rsidDel="00AD2927">
        <w:t xml:space="preserve"> </w:t>
      </w:r>
      <w:r w:rsidRPr="00AC0AC9">
        <w:t xml:space="preserve">stretching bands due to </w:t>
      </w:r>
      <w:r w:rsidRPr="00AC0AC9">
        <w:rPr>
          <w:b/>
          <w:bCs/>
        </w:rPr>
        <w:t>C</w:t>
      </w:r>
      <w:r w:rsidRPr="00AC0AC9">
        <w:t xml:space="preserve"> decreased in intensity to be replaced by peaks at 1909, 1936 and 2039 cm</w:t>
      </w:r>
      <w:r w:rsidRPr="00AC0AC9">
        <w:rPr>
          <w:vertAlign w:val="superscript"/>
        </w:rPr>
        <w:t>-1</w:t>
      </w:r>
      <w:r w:rsidRPr="00AC0AC9">
        <w:t xml:space="preserve"> which were assigned to </w:t>
      </w:r>
      <w:r w:rsidRPr="00AC0AC9">
        <w:rPr>
          <w:b/>
          <w:bCs/>
        </w:rPr>
        <w:t>J</w:t>
      </w:r>
      <w:r w:rsidRPr="00AC0AC9">
        <w:t xml:space="preserve"> (Figure 5a) on the basis of its similar spectroscopic signature to </w:t>
      </w:r>
      <w:r w:rsidRPr="00AC0AC9">
        <w:rPr>
          <w:b/>
          <w:bCs/>
        </w:rPr>
        <w:t>G</w:t>
      </w:r>
      <w:r w:rsidRPr="00AC0AC9">
        <w:t xml:space="preserve">. The formation of </w:t>
      </w:r>
      <w:r w:rsidRPr="00AC0AC9">
        <w:rPr>
          <w:b/>
          <w:bCs/>
        </w:rPr>
        <w:t>J</w:t>
      </w:r>
      <w:r w:rsidRPr="00AC0AC9">
        <w:t xml:space="preserve"> corresponds to the </w:t>
      </w:r>
      <w:proofErr w:type="spellStart"/>
      <w:r w:rsidRPr="00AC0AC9">
        <w:t>protonolysis</w:t>
      </w:r>
      <w:proofErr w:type="spellEnd"/>
      <w:r w:rsidRPr="00AC0AC9">
        <w:t xml:space="preserve"> of the Mn–C bond in metallacycle </w:t>
      </w:r>
      <w:r w:rsidRPr="00AC0AC9">
        <w:rPr>
          <w:b/>
          <w:bCs/>
        </w:rPr>
        <w:t>C</w:t>
      </w:r>
      <w:r w:rsidRPr="00AC0AC9">
        <w:t xml:space="preserve"> to give a complex with a </w:t>
      </w:r>
      <w:r w:rsidRPr="00AC0AC9">
        <w:rPr>
          <w:rFonts w:ascii="Symbol" w:hAnsi="Symbol"/>
        </w:rPr>
        <w:t></w:t>
      </w:r>
      <w:r w:rsidRPr="00AC0AC9">
        <w:rPr>
          <w:vertAlign w:val="superscript"/>
        </w:rPr>
        <w:t>2</w:t>
      </w:r>
      <w:r w:rsidRPr="00AC0AC9">
        <w:t xml:space="preserve">-acetate and the product of the Mn-catalyzed alkenylation reaction bound to the Mn through the pyridine moiety. Performing the experiment under a range of alkyne and acid concentrations (Figure 6) demonstrated that the rate of the conversion of </w:t>
      </w:r>
      <w:r w:rsidRPr="00AC0AC9">
        <w:rPr>
          <w:b/>
          <w:bCs/>
        </w:rPr>
        <w:t>C</w:t>
      </w:r>
      <w:r w:rsidRPr="00AC0AC9">
        <w:t xml:space="preserve"> </w:t>
      </w:r>
      <w:r w:rsidRPr="00AC0AC9">
        <w:rPr>
          <w:rFonts w:eastAsia="Arial Unicode MS" w:cstheme="minorHAnsi"/>
        </w:rPr>
        <w:t>→</w:t>
      </w:r>
      <w:r w:rsidRPr="00AC0AC9">
        <w:t xml:space="preserve"> </w:t>
      </w:r>
      <w:r w:rsidRPr="00AC0AC9">
        <w:rPr>
          <w:b/>
          <w:bCs/>
        </w:rPr>
        <w:t>G</w:t>
      </w:r>
      <w:r w:rsidRPr="00AC0AC9">
        <w:t xml:space="preserve"> showed little dependence on alkyne concentration, but was first order in acetic acid </w:t>
      </w:r>
      <w:r w:rsidRPr="00AC0AC9">
        <w:rPr>
          <w:i/>
        </w:rPr>
        <w:t>k</w:t>
      </w:r>
      <w:r w:rsidRPr="00AC0AC9">
        <w:rPr>
          <w:i/>
          <w:vertAlign w:val="subscript"/>
        </w:rPr>
        <w:t>5</w:t>
      </w:r>
      <w:r w:rsidRPr="00AC0AC9">
        <w:t xml:space="preserve"> = (1.47 ± 0.32) × 10</w:t>
      </w:r>
      <w:r w:rsidRPr="00AC0AC9">
        <w:rPr>
          <w:vertAlign w:val="superscript"/>
        </w:rPr>
        <w:t>5</w:t>
      </w:r>
      <w:r w:rsidRPr="00AC0AC9">
        <w:t xml:space="preserve"> mol</w:t>
      </w:r>
      <w:r w:rsidRPr="00AC0AC9">
        <w:rPr>
          <w:vertAlign w:val="superscript"/>
        </w:rPr>
        <w:t>-1</w:t>
      </w:r>
      <w:r w:rsidRPr="00AC0AC9">
        <w:t xml:space="preserve"> dm</w:t>
      </w:r>
      <w:r w:rsidRPr="00AC0AC9">
        <w:rPr>
          <w:vertAlign w:val="superscript"/>
        </w:rPr>
        <w:t>3</w:t>
      </w:r>
      <w:r w:rsidRPr="00AC0AC9">
        <w:t xml:space="preserve"> s</w:t>
      </w:r>
      <w:r w:rsidRPr="00AC0AC9">
        <w:rPr>
          <w:vertAlign w:val="superscript"/>
        </w:rPr>
        <w:t>-1</w:t>
      </w:r>
      <w:r w:rsidRPr="00AC0AC9">
        <w:t xml:space="preserve">. </w:t>
      </w:r>
    </w:p>
    <w:p w:rsidR="005A7044" w:rsidRPr="00AC0AC9" w:rsidRDefault="005A7044" w:rsidP="008E2126">
      <w:pPr>
        <w:pStyle w:val="TAMainText"/>
      </w:pPr>
    </w:p>
    <w:p w:rsidR="005B68B9" w:rsidRPr="00AC0AC9" w:rsidRDefault="005B68B9" w:rsidP="00207779">
      <w:pPr>
        <w:pStyle w:val="VAFigureCaption"/>
      </w:pPr>
      <w:r w:rsidRPr="00AC0AC9">
        <w:rPr>
          <w:b/>
          <w:bCs/>
          <w:noProof/>
        </w:rPr>
        <w:drawing>
          <wp:inline distT="0" distB="0" distL="0" distR="0" wp14:anchorId="706F7E98" wp14:editId="00587C91">
            <wp:extent cx="2940050" cy="205184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ariable HOAc and PhC2H from ln rates.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316" cy="2057610"/>
                    </a:xfrm>
                    <a:prstGeom prst="rect">
                      <a:avLst/>
                    </a:prstGeom>
                  </pic:spPr>
                </pic:pic>
              </a:graphicData>
            </a:graphic>
          </wp:inline>
        </w:drawing>
      </w:r>
      <w:r w:rsidRPr="00AC0AC9">
        <w:rPr>
          <w:b/>
          <w:bCs/>
        </w:rPr>
        <w:t xml:space="preserve">Figure 6 </w:t>
      </w:r>
      <w:r w:rsidRPr="00AC0AC9">
        <w:t xml:space="preserve">Pseudo first-order kinetic analysis for the formation of </w:t>
      </w:r>
      <w:r w:rsidRPr="00AC0AC9">
        <w:rPr>
          <w:b/>
          <w:bCs/>
        </w:rPr>
        <w:t>J</w:t>
      </w:r>
      <w:r w:rsidRPr="00AC0AC9">
        <w:t>. Open squares, experiments performed at constant [PhC</w:t>
      </w:r>
      <w:r w:rsidRPr="00AC0AC9">
        <w:rPr>
          <w:vertAlign w:val="subscript"/>
        </w:rPr>
        <w:t>2</w:t>
      </w:r>
      <w:r w:rsidRPr="00AC0AC9">
        <w:t>H] (1.365 mol dm</w:t>
      </w:r>
      <w:r w:rsidRPr="00AC0AC9">
        <w:rPr>
          <w:vertAlign w:val="superscript"/>
        </w:rPr>
        <w:t>-3</w:t>
      </w:r>
      <w:r w:rsidRPr="00AC0AC9">
        <w:t>) and variable [</w:t>
      </w:r>
      <w:proofErr w:type="spellStart"/>
      <w:r w:rsidRPr="00AC0AC9">
        <w:t>HOAc</w:t>
      </w:r>
      <w:proofErr w:type="spellEnd"/>
      <w:r w:rsidRPr="00AC0AC9">
        <w:t>] (top axis), open circles, experiments performed at constant [</w:t>
      </w:r>
      <w:proofErr w:type="spellStart"/>
      <w:r w:rsidRPr="00AC0AC9">
        <w:t>HOAc</w:t>
      </w:r>
      <w:proofErr w:type="spellEnd"/>
      <w:r w:rsidRPr="00AC0AC9">
        <w:t>] (6.25 × 10</w:t>
      </w:r>
      <w:r w:rsidRPr="00AC0AC9">
        <w:rPr>
          <w:vertAlign w:val="superscript"/>
        </w:rPr>
        <w:t>-3</w:t>
      </w:r>
      <w:r w:rsidRPr="00AC0AC9">
        <w:t xml:space="preserve"> mol dm</w:t>
      </w:r>
      <w:r w:rsidRPr="00AC0AC9">
        <w:rPr>
          <w:vertAlign w:val="superscript"/>
        </w:rPr>
        <w:t>-3</w:t>
      </w:r>
      <w:r w:rsidRPr="00AC0AC9">
        <w:t>) and variable [PhC</w:t>
      </w:r>
      <w:r w:rsidRPr="00AC0AC9">
        <w:rPr>
          <w:vertAlign w:val="subscript"/>
        </w:rPr>
        <w:t>2</w:t>
      </w:r>
      <w:r w:rsidRPr="00AC0AC9">
        <w:t>H] (bottom axis).</w:t>
      </w:r>
    </w:p>
    <w:p w:rsidR="005B68B9" w:rsidRPr="00AC0AC9" w:rsidRDefault="005B68B9" w:rsidP="007220DF">
      <w:pPr>
        <w:pStyle w:val="TAMainText"/>
      </w:pPr>
      <w:r w:rsidRPr="00AC0AC9">
        <w:t xml:space="preserve">These data correspond to the observation of a solvent adduct </w:t>
      </w:r>
      <w:r w:rsidRPr="00AC0AC9">
        <w:rPr>
          <w:b/>
          <w:bCs/>
        </w:rPr>
        <w:t>I</w:t>
      </w:r>
      <w:r w:rsidRPr="00AC0AC9">
        <w:t>, followed by sequential toluene substitution by substrate (</w:t>
      </w:r>
      <w:r w:rsidRPr="00AC0AC9">
        <w:rPr>
          <w:b/>
          <w:bCs/>
        </w:rPr>
        <w:t>I</w:t>
      </w:r>
      <w:r w:rsidRPr="00AC0AC9">
        <w:t xml:space="preserve"> </w:t>
      </w:r>
      <w:r w:rsidRPr="00AC0AC9">
        <w:rPr>
          <w:rFonts w:eastAsia="Arial Unicode MS" w:cstheme="minorHAnsi"/>
        </w:rPr>
        <w:t>→</w:t>
      </w:r>
      <w:r w:rsidRPr="00AC0AC9">
        <w:t xml:space="preserve"> </w:t>
      </w:r>
      <w:r w:rsidRPr="00AC0AC9">
        <w:rPr>
          <w:b/>
          <w:bCs/>
        </w:rPr>
        <w:t>B</w:t>
      </w:r>
      <w:r w:rsidRPr="00AC0AC9">
        <w:t>), C</w:t>
      </w:r>
      <w:r w:rsidRPr="00AC0AC9">
        <w:rPr>
          <w:rFonts w:cstheme="minorHAnsi"/>
        </w:rPr>
        <w:t>–</w:t>
      </w:r>
      <w:r w:rsidRPr="00AC0AC9">
        <w:t>C bond formation (</w:t>
      </w:r>
      <w:r w:rsidRPr="00AC0AC9">
        <w:rPr>
          <w:b/>
          <w:bCs/>
        </w:rPr>
        <w:t>B</w:t>
      </w:r>
      <w:r w:rsidRPr="00AC0AC9">
        <w:t xml:space="preserve"> </w:t>
      </w:r>
      <w:r w:rsidRPr="00AC0AC9">
        <w:rPr>
          <w:rFonts w:eastAsia="Arial Unicode MS" w:cstheme="minorHAnsi"/>
        </w:rPr>
        <w:t>→</w:t>
      </w:r>
      <w:r w:rsidRPr="00AC0AC9">
        <w:t xml:space="preserve"> </w:t>
      </w:r>
      <w:r w:rsidRPr="00AC0AC9">
        <w:rPr>
          <w:b/>
          <w:bCs/>
        </w:rPr>
        <w:t>C</w:t>
      </w:r>
      <w:r w:rsidRPr="00AC0AC9">
        <w:t>) and protonation of the Mn</w:t>
      </w:r>
      <w:r w:rsidRPr="00AC0AC9">
        <w:rPr>
          <w:rFonts w:cstheme="minorHAnsi"/>
        </w:rPr>
        <w:t>–</w:t>
      </w:r>
      <w:r w:rsidRPr="00AC0AC9">
        <w:t>C bond (</w:t>
      </w:r>
      <w:r w:rsidRPr="00AC0AC9">
        <w:rPr>
          <w:b/>
          <w:bCs/>
        </w:rPr>
        <w:t>C</w:t>
      </w:r>
      <w:r w:rsidRPr="00AC0AC9">
        <w:t xml:space="preserve"> </w:t>
      </w:r>
      <w:r w:rsidRPr="00AC0AC9">
        <w:rPr>
          <w:rFonts w:eastAsia="Arial Unicode MS" w:cstheme="minorHAnsi"/>
        </w:rPr>
        <w:t>→</w:t>
      </w:r>
      <w:r w:rsidRPr="00AC0AC9">
        <w:t xml:space="preserve"> </w:t>
      </w:r>
      <w:r w:rsidRPr="00AC0AC9">
        <w:rPr>
          <w:b/>
          <w:bCs/>
        </w:rPr>
        <w:t>J</w:t>
      </w:r>
      <w:r w:rsidRPr="00AC0AC9">
        <w:t>) to give a complex containing the coordinated product of the Mn-catalyzed C</w:t>
      </w:r>
      <w:r w:rsidRPr="00AC0AC9">
        <w:rPr>
          <w:rFonts w:cstheme="minorHAnsi"/>
        </w:rPr>
        <w:t>–</w:t>
      </w:r>
      <w:r w:rsidRPr="00AC0AC9">
        <w:t xml:space="preserve">H bond functionalization reaction. The data therefore provide direct evidence for the mechanistic pathways that underpin the positive effect of acetic acid in Mn-catalyzed C–H bond formation reactions. </w:t>
      </w:r>
    </w:p>
    <w:p w:rsidR="005B68B9" w:rsidRPr="00AC0AC9" w:rsidRDefault="005B68B9" w:rsidP="00CA6E36">
      <w:pPr>
        <w:pStyle w:val="TESectionHeading"/>
      </w:pPr>
      <w:r w:rsidRPr="00AC0AC9">
        <w:t>Conclusions</w:t>
      </w:r>
    </w:p>
    <w:p w:rsidR="005B68B9" w:rsidRPr="00AC0AC9" w:rsidRDefault="005B68B9" w:rsidP="008E2126">
      <w:pPr>
        <w:pStyle w:val="TAMainText"/>
        <w:rPr>
          <w:rFonts w:cstheme="minorHAnsi"/>
        </w:rPr>
      </w:pPr>
      <w:r w:rsidRPr="00AC0AC9">
        <w:t xml:space="preserve">The TRIR data obtained from the photolysis of </w:t>
      </w:r>
      <w:r w:rsidRPr="00AC0AC9">
        <w:rPr>
          <w:b/>
          <w:bCs/>
        </w:rPr>
        <w:t>1</w:t>
      </w:r>
      <w:r w:rsidRPr="00AC0AC9">
        <w:t xml:space="preserve"> in neat </w:t>
      </w:r>
      <w:proofErr w:type="spellStart"/>
      <w:r w:rsidRPr="00AC0AC9">
        <w:t>HOAc</w:t>
      </w:r>
      <w:proofErr w:type="spellEnd"/>
      <w:r w:rsidRPr="00AC0AC9">
        <w:t xml:space="preserve"> provide direct and compelling experimental evidence for all the key states predicted in the CMD mechanism (for C–H bond activation), including the presence of the important intermediate, </w:t>
      </w:r>
      <w:r w:rsidRPr="00AC0AC9">
        <w:rPr>
          <w:b/>
          <w:bCs/>
        </w:rPr>
        <w:t>E</w:t>
      </w:r>
      <w:r w:rsidRPr="00AC0AC9">
        <w:t xml:space="preserve">, in which there is a hydrogen bond between the acetic acid and </w:t>
      </w:r>
      <w:proofErr w:type="spellStart"/>
      <w:r w:rsidRPr="00AC0AC9">
        <w:t>cyclometallated</w:t>
      </w:r>
      <w:proofErr w:type="spellEnd"/>
      <w:r w:rsidRPr="00AC0AC9">
        <w:t xml:space="preserve"> ligand. Furthermore, the methodology presented demonstrates the power of using a photochemically activated metal precursor to study such a process. Following initial departure of a CO ligand, coordination to the manganese(I) occurs in a statistical fashion, hence toluene present in vast excess predominates coordination to the metal center. As the rate of substitution of toluene by </w:t>
      </w:r>
      <w:proofErr w:type="spellStart"/>
      <w:r w:rsidRPr="00AC0AC9">
        <w:t>HOAc</w:t>
      </w:r>
      <w:proofErr w:type="spellEnd"/>
      <w:r w:rsidRPr="00AC0AC9">
        <w:t xml:space="preserve"> is slow compared to the rate of intramolecular protonation, the mechanistic insight into the elementary steps of proton transfer is lost. This approach reveled that the KIE for the proton transfer in neat </w:t>
      </w:r>
      <w:proofErr w:type="spellStart"/>
      <w:r w:rsidRPr="00AC0AC9">
        <w:t>HOAc</w:t>
      </w:r>
      <w:proofErr w:type="spellEnd"/>
      <w:r w:rsidRPr="00AC0AC9">
        <w:t xml:space="preserve"> was </w:t>
      </w:r>
      <w:r w:rsidRPr="00AC0AC9">
        <w:rPr>
          <w:rFonts w:cstheme="minorHAnsi"/>
        </w:rPr>
        <w:t>(5.8 ± 1.0) whereas in toluene solution (with [</w:t>
      </w:r>
      <w:proofErr w:type="spellStart"/>
      <w:r w:rsidRPr="00AC0AC9">
        <w:rPr>
          <w:rFonts w:cstheme="minorHAnsi"/>
        </w:rPr>
        <w:t>HOAc</w:t>
      </w:r>
      <w:proofErr w:type="spellEnd"/>
      <w:r w:rsidRPr="00AC0AC9">
        <w:rPr>
          <w:rFonts w:cstheme="minorHAnsi"/>
        </w:rPr>
        <w:t>] = 0.395 mol dm</w:t>
      </w:r>
      <w:r w:rsidRPr="00AC0AC9">
        <w:rPr>
          <w:rFonts w:cstheme="minorHAnsi"/>
          <w:vertAlign w:val="superscript"/>
        </w:rPr>
        <w:t>-3</w:t>
      </w:r>
      <w:r w:rsidRPr="00AC0AC9">
        <w:rPr>
          <w:rFonts w:cstheme="minorHAnsi"/>
        </w:rPr>
        <w:t xml:space="preserve">) it was found to be </w:t>
      </w:r>
      <w:r w:rsidRPr="00AC0AC9">
        <w:t xml:space="preserve">of (1.41 ± 0.19) illustrating how mechanistic detail is lost in the ensemble measurement. </w:t>
      </w:r>
      <w:proofErr w:type="spellStart"/>
      <w:r w:rsidRPr="00AC0AC9">
        <w:t>Djukic</w:t>
      </w:r>
      <w:proofErr w:type="spellEnd"/>
      <w:r w:rsidRPr="00AC0AC9">
        <w:t xml:space="preserve"> and co-workers have recently shown that the KIE for a multistep cobalt-promoted cyclometallation reaction was (1.4 ± 0.1) and analysis of their computation results using the simplified </w:t>
      </w:r>
      <w:proofErr w:type="spellStart"/>
      <w:r w:rsidRPr="00AC0AC9">
        <w:t>Bigeleisen</w:t>
      </w:r>
      <w:proofErr w:type="spellEnd"/>
      <w:r w:rsidRPr="00AC0AC9">
        <w:t xml:space="preserve"> equation predicted a KIE for the proton transfer step of 7.1.</w:t>
      </w:r>
      <w:r w:rsidRPr="00AC0AC9">
        <w:rPr>
          <w:noProof/>
          <w:vertAlign w:val="superscript"/>
        </w:rPr>
        <w:t>29</w:t>
      </w:r>
      <w:r w:rsidRPr="00AC0AC9">
        <w:t xml:space="preserve"> Our results provide direct experimental support for these findings.</w:t>
      </w:r>
      <w:r w:rsidRPr="00AC0AC9">
        <w:rPr>
          <w:rFonts w:cstheme="minorHAnsi"/>
        </w:rPr>
        <w:t xml:space="preserve"> </w:t>
      </w:r>
    </w:p>
    <w:p w:rsidR="005B68B9" w:rsidRPr="00AC0AC9" w:rsidRDefault="005B68B9" w:rsidP="008E2126">
      <w:pPr>
        <w:pStyle w:val="TAMainText"/>
      </w:pPr>
      <w:r w:rsidRPr="00AC0AC9">
        <w:t>By combining experiments in neat substrates, which in essence reveals the details of such fast molecular processes, with those in solution that mimic catalytic conditions, TRIR can be used to provide mechanistic insight into sequential reaction steps occurring over many orders of magnitude in time, information and insight that is typically lost in ensemble measurements so common to mechanistic studies.</w:t>
      </w:r>
    </w:p>
    <w:p w:rsidR="005B68B9" w:rsidRPr="00AC0AC9" w:rsidRDefault="005B68B9" w:rsidP="008E2126">
      <w:pPr>
        <w:pStyle w:val="TESectionHeading"/>
      </w:pPr>
      <w:r w:rsidRPr="00AC0AC9">
        <w:lastRenderedPageBreak/>
        <w:t xml:space="preserve">Experimental </w:t>
      </w:r>
    </w:p>
    <w:p w:rsidR="005B68B9" w:rsidRPr="00AC0AC9" w:rsidRDefault="005B68B9" w:rsidP="002820A1">
      <w:pPr>
        <w:pStyle w:val="TAMainText"/>
      </w:pPr>
      <w:r w:rsidRPr="00AC0AC9">
        <w:t xml:space="preserve">Complexes </w:t>
      </w:r>
      <w:r w:rsidRPr="00AC0AC9">
        <w:rPr>
          <w:b/>
          <w:bCs/>
        </w:rPr>
        <w:t>1</w:t>
      </w:r>
      <w:r w:rsidRPr="00AC0AC9">
        <w:t xml:space="preserve">, </w:t>
      </w:r>
      <w:r w:rsidRPr="00AC0AC9">
        <w:rPr>
          <w:b/>
          <w:bCs/>
        </w:rPr>
        <w:t>2</w:t>
      </w:r>
      <w:r w:rsidRPr="00AC0AC9">
        <w:t xml:space="preserve">, </w:t>
      </w:r>
      <w:r w:rsidRPr="00AC0AC9">
        <w:rPr>
          <w:b/>
          <w:bCs/>
        </w:rPr>
        <w:t>3</w:t>
      </w:r>
      <w:r w:rsidRPr="00AC0AC9">
        <w:t xml:space="preserve">, </w:t>
      </w:r>
      <w:r w:rsidRPr="00AC0AC9">
        <w:rPr>
          <w:b/>
          <w:bCs/>
        </w:rPr>
        <w:t>4</w:t>
      </w:r>
      <w:r w:rsidRPr="00AC0AC9">
        <w:t xml:space="preserve"> and </w:t>
      </w:r>
      <w:r w:rsidRPr="00AC0AC9">
        <w:rPr>
          <w:b/>
          <w:bCs/>
        </w:rPr>
        <w:t>5</w:t>
      </w:r>
      <w:r w:rsidRPr="00AC0AC9">
        <w:t xml:space="preserve"> were prepared as described previously.</w:t>
      </w:r>
      <w:r w:rsidRPr="00AC0AC9">
        <w:rPr>
          <w:noProof/>
          <w:vertAlign w:val="superscript"/>
        </w:rPr>
        <w:t>51</w:t>
      </w:r>
      <w:r w:rsidRPr="00AC0AC9">
        <w:rPr>
          <w:vertAlign w:val="superscript"/>
        </w:rPr>
        <w:t>,</w:t>
      </w:r>
      <w:r w:rsidRPr="00AC0AC9">
        <w:rPr>
          <w:noProof/>
          <w:vertAlign w:val="superscript"/>
        </w:rPr>
        <w:t>23</w:t>
      </w:r>
      <w:r w:rsidRPr="00AC0AC9">
        <w:t xml:space="preserve"> Toluene (anhydrous, 99.8%), phenyl acetylene (98 %), acetic acid (</w:t>
      </w:r>
      <w:proofErr w:type="spellStart"/>
      <w:r w:rsidRPr="00AC0AC9">
        <w:t>puriss</w:t>
      </w:r>
      <w:proofErr w:type="spellEnd"/>
      <w:r w:rsidRPr="00AC0AC9">
        <w:t xml:space="preserve">.) were purchased from Sigma Aldrich. </w:t>
      </w:r>
    </w:p>
    <w:p w:rsidR="005B68B9" w:rsidRPr="00AC0AC9" w:rsidRDefault="005B68B9" w:rsidP="0032526C">
      <w:pPr>
        <w:pStyle w:val="TAMainText"/>
      </w:pPr>
      <w:r w:rsidRPr="00AC0AC9">
        <w:t xml:space="preserve">Time-resolved infra-red spectra were recorded on the </w:t>
      </w:r>
      <w:proofErr w:type="spellStart"/>
      <w:r w:rsidRPr="00AC0AC9">
        <w:t>LIFEtime</w:t>
      </w:r>
      <w:proofErr w:type="spellEnd"/>
      <w:r w:rsidRPr="00AC0AC9">
        <w:t xml:space="preserve"> instrument in the ULTRA facility at the Rutherford Appleton Laboratories.</w:t>
      </w:r>
      <w:r w:rsidRPr="00AC0AC9">
        <w:rPr>
          <w:noProof/>
          <w:vertAlign w:val="superscript"/>
        </w:rPr>
        <w:t>52</w:t>
      </w:r>
      <w:r w:rsidRPr="00AC0AC9">
        <w:t xml:space="preserve"> The pump source was the output of a </w:t>
      </w:r>
      <w:proofErr w:type="spellStart"/>
      <w:proofErr w:type="gramStart"/>
      <w:r w:rsidRPr="00AC0AC9">
        <w:t>Yb:KGW</w:t>
      </w:r>
      <w:proofErr w:type="spellEnd"/>
      <w:proofErr w:type="gramEnd"/>
      <w:r w:rsidRPr="00AC0AC9">
        <w:t xml:space="preserve"> amplifier providing 15W, 260 fs pulses at 1030 nm with a 100 kHz repetition rate (Pharos) that is divided down to 1 kHz.. This was used to drive a BBO-based 515 nm pumped optical parametric amplifier (OPA) to deliver pulses at 355 nm. The pump beam was collimated, travelled over a computer programmable 0 - 16 ns optical delay (1200 mm long, double pass), and focused onto the sample. The pump energy at the sample was attenuated down to 500 </w:t>
      </w:r>
      <w:proofErr w:type="spellStart"/>
      <w:r w:rsidRPr="00AC0AC9">
        <w:t>nJ</w:t>
      </w:r>
      <w:proofErr w:type="spellEnd"/>
      <w:r w:rsidRPr="00AC0AC9">
        <w:t xml:space="preserve"> and focused down to a 120 </w:t>
      </w:r>
      <w:proofErr w:type="spellStart"/>
      <w:r w:rsidRPr="00AC0AC9">
        <w:t>μm</w:t>
      </w:r>
      <w:proofErr w:type="spellEnd"/>
      <w:r w:rsidRPr="00AC0AC9">
        <w:t xml:space="preserve"> diameter spot. The probe source was the output of a </w:t>
      </w:r>
      <w:proofErr w:type="spellStart"/>
      <w:proofErr w:type="gramStart"/>
      <w:r w:rsidRPr="00AC0AC9">
        <w:t>Yb:KGW</w:t>
      </w:r>
      <w:proofErr w:type="spellEnd"/>
      <w:proofErr w:type="gramEnd"/>
      <w:r w:rsidRPr="00AC0AC9">
        <w:t xml:space="preserve"> amplifier providing 6 W, 180 fs pulses at 1030 nm with a 100 kHz repetition rate (Pharos). This drove two 3 W BBO/KTA based OPAs. The two Pharos sources share a common 80 MHz oscillator to allow for pump-probe delay steps of 12.5 ns. The probe beam was split to provide probe and reference pulses. To go beyond pump-probe delays of 12.5 ns, subsequent seed pulses were selected from the 80 MHz oscillator. Data were collected using pump-probe delays ranging from 1 ps to 988.5 </w:t>
      </w:r>
      <w:proofErr w:type="spellStart"/>
      <w:r w:rsidRPr="00AC0AC9">
        <w:t>μs</w:t>
      </w:r>
      <w:proofErr w:type="spellEnd"/>
      <w:r w:rsidRPr="00AC0AC9">
        <w:t xml:space="preserve">. The probe beams were collimated, synchronized by a fixed optical delay, and focused by a gold parabolic mirror onto the sample. The three beams were overlapped on the sample using a 50 </w:t>
      </w:r>
      <w:proofErr w:type="spellStart"/>
      <w:r w:rsidRPr="00AC0AC9">
        <w:t>μm</w:t>
      </w:r>
      <w:proofErr w:type="spellEnd"/>
      <w:r w:rsidRPr="00AC0AC9">
        <w:t xml:space="preserve"> pinhole. The probe beams were measured by two separate spectrometers and 128-element detectors. To cover the full spectroscopic window required, data from different detector positions were combined to generate the required spectra. The probe window in experiments performed in </w:t>
      </w:r>
      <w:proofErr w:type="spellStart"/>
      <w:r w:rsidRPr="00AC0AC9">
        <w:t>DOAc</w:t>
      </w:r>
      <w:proofErr w:type="spellEnd"/>
      <w:r w:rsidRPr="00AC0AC9">
        <w:t xml:space="preserve"> was limited to 1875 – 1975 cm</w:t>
      </w:r>
      <w:r w:rsidRPr="00AC0AC9">
        <w:rPr>
          <w:vertAlign w:val="superscript"/>
        </w:rPr>
        <w:t>-1</w:t>
      </w:r>
      <w:r w:rsidRPr="00AC0AC9">
        <w:t xml:space="preserve"> due to the strong absorbance by the D-O stretching mode between 2000 and 2600 cm</w:t>
      </w:r>
      <w:r w:rsidRPr="00AC0AC9">
        <w:rPr>
          <w:vertAlign w:val="superscript"/>
        </w:rPr>
        <w:t>-1</w:t>
      </w:r>
      <w:r w:rsidRPr="00AC0AC9">
        <w:t>.</w:t>
      </w:r>
      <w:r w:rsidRPr="00AC0AC9">
        <w:rPr>
          <w:noProof/>
          <w:vertAlign w:val="superscript"/>
        </w:rPr>
        <w:t>53</w:t>
      </w:r>
    </w:p>
    <w:p w:rsidR="005B68B9" w:rsidRPr="00AC0AC9" w:rsidRDefault="005B68B9" w:rsidP="002820A1">
      <w:pPr>
        <w:pStyle w:val="TAMainText"/>
      </w:pPr>
      <w:r w:rsidRPr="00AC0AC9">
        <w:t xml:space="preserve">Solutions of the manganese complexes were prepared in acetic acid (typically 14 mg of </w:t>
      </w:r>
      <w:r w:rsidRPr="00AC0AC9">
        <w:rPr>
          <w:b/>
          <w:bCs/>
        </w:rPr>
        <w:t>1</w:t>
      </w:r>
      <w:r w:rsidRPr="00AC0AC9">
        <w:t xml:space="preserve"> in 25 ml acetic acid) in a thick-walled Duran flask from which light was excluded by covering in aluminum foil. The solution was then flowed (peristaltic pump) through a Harrick cell fitted with a 100 </w:t>
      </w:r>
      <w:r w:rsidRPr="00AC0AC9">
        <w:rPr>
          <w:rFonts w:ascii="Symbol" w:hAnsi="Symbol"/>
        </w:rPr>
        <w:t></w:t>
      </w:r>
      <w:r w:rsidRPr="00AC0AC9">
        <w:t xml:space="preserve">m Teflon spacer. To ensure that the photoproducts were not themselves irradiated, data were acquired while continuously flowing and </w:t>
      </w:r>
      <w:proofErr w:type="spellStart"/>
      <w:r w:rsidRPr="00AC0AC9">
        <w:t>rastering</w:t>
      </w:r>
      <w:proofErr w:type="spellEnd"/>
      <w:r w:rsidRPr="00AC0AC9">
        <w:t xml:space="preserve"> the sample. The samples used for concentration-dependent experiments were prepared by dilatation from stock solutions prepared using volumetric flasks and run in a randomized order. Typically, 10 ml of a stock solution of </w:t>
      </w:r>
      <w:r w:rsidRPr="00AC0AC9">
        <w:rPr>
          <w:b/>
          <w:bCs/>
        </w:rPr>
        <w:t>1</w:t>
      </w:r>
      <w:r w:rsidRPr="00AC0AC9">
        <w:t xml:space="preserve"> (121.4 mg in 100 ml of toluene) and the appropriate amount of a </w:t>
      </w:r>
      <w:proofErr w:type="spellStart"/>
      <w:r w:rsidRPr="00AC0AC9">
        <w:t>HOAc</w:t>
      </w:r>
      <w:proofErr w:type="spellEnd"/>
      <w:r w:rsidRPr="00AC0AC9">
        <w:t xml:space="preserve"> stock solution (2.3738 g in 25 ml toluene) were mixed and then diluted to a volume of 20 ml. This was then transferred to a Duran flask for the TRIR experiment. </w:t>
      </w:r>
    </w:p>
    <w:p w:rsidR="005B68B9" w:rsidRPr="00AC0AC9" w:rsidRDefault="005B68B9" w:rsidP="002820A1">
      <w:pPr>
        <w:pStyle w:val="TAMainText"/>
      </w:pPr>
      <w:r w:rsidRPr="00AC0AC9">
        <w:t>Data were initially visualized in the ULTRA View version 2 software,</w:t>
      </w:r>
      <w:r w:rsidRPr="00AC0AC9">
        <w:rPr>
          <w:noProof/>
          <w:vertAlign w:val="superscript"/>
        </w:rPr>
        <w:t>54</w:t>
      </w:r>
      <w:r w:rsidRPr="00AC0AC9">
        <w:rPr>
          <w:vertAlign w:val="superscript"/>
        </w:rPr>
        <w:t xml:space="preserve"> </w:t>
      </w:r>
      <w:r w:rsidRPr="00AC0AC9">
        <w:t>where baseline-correction was undertaken. The resulting spectra were then exported as comma-separated variable files into Origin2019.</w:t>
      </w:r>
      <w:r w:rsidRPr="00AC0AC9">
        <w:rPr>
          <w:noProof/>
          <w:vertAlign w:val="superscript"/>
        </w:rPr>
        <w:t>55</w:t>
      </w:r>
      <w:r w:rsidRPr="00AC0AC9">
        <w:rPr>
          <w:vertAlign w:val="superscript"/>
        </w:rPr>
        <w:t xml:space="preserve"> </w:t>
      </w:r>
      <w:r w:rsidRPr="00AC0AC9">
        <w:t xml:space="preserve">The spectra were calibrated against samples of polystyrene (200 </w:t>
      </w:r>
      <w:r w:rsidRPr="00AC0AC9">
        <w:rPr>
          <w:rFonts w:ascii="Symbol" w:hAnsi="Symbol"/>
        </w:rPr>
        <w:t></w:t>
      </w:r>
      <w:r w:rsidRPr="00AC0AC9">
        <w:t xml:space="preserve">m thick) and 1,4-dioxane. Kinetic analysis was performed by fitting to the </w:t>
      </w:r>
      <w:proofErr w:type="spellStart"/>
      <w:r w:rsidRPr="00AC0AC9">
        <w:rPr>
          <w:i/>
          <w:iCs/>
        </w:rPr>
        <w:t>expgro</w:t>
      </w:r>
      <w:proofErr w:type="spellEnd"/>
      <w:r w:rsidRPr="00AC0AC9">
        <w:t xml:space="preserve">, </w:t>
      </w:r>
      <w:proofErr w:type="spellStart"/>
      <w:r w:rsidRPr="00AC0AC9">
        <w:rPr>
          <w:i/>
          <w:iCs/>
        </w:rPr>
        <w:t>expdec</w:t>
      </w:r>
      <w:proofErr w:type="spellEnd"/>
      <w:r w:rsidRPr="00AC0AC9">
        <w:t xml:space="preserve"> or </w:t>
      </w:r>
      <w:proofErr w:type="spellStart"/>
      <w:r w:rsidRPr="00AC0AC9">
        <w:rPr>
          <w:i/>
          <w:iCs/>
        </w:rPr>
        <w:t>expgrodec</w:t>
      </w:r>
      <w:proofErr w:type="spellEnd"/>
      <w:r w:rsidRPr="00AC0AC9">
        <w:t xml:space="preserve"> functions in Origin2019. All quoted errors are 95 % confidence limits.</w:t>
      </w:r>
    </w:p>
    <w:p w:rsidR="005B68B9" w:rsidRPr="00AC0AC9" w:rsidRDefault="005B68B9" w:rsidP="008E2126">
      <w:pPr>
        <w:pStyle w:val="TESectionHeading"/>
      </w:pPr>
      <w:r w:rsidRPr="00AC0AC9">
        <w:t>Acknowledgements</w:t>
      </w:r>
    </w:p>
    <w:p w:rsidR="005B68B9" w:rsidRPr="00AC0AC9" w:rsidRDefault="005B68B9" w:rsidP="000C02C9">
      <w:pPr>
        <w:pStyle w:val="TAMainText"/>
      </w:pPr>
      <w:r w:rsidRPr="00AC0AC9">
        <w:t xml:space="preserve">We are grateful to the EPSRC (studentship to B.J.A., EP/ M506680/1 and an </w:t>
      </w:r>
      <w:proofErr w:type="spellStart"/>
      <w:r w:rsidRPr="00AC0AC9">
        <w:t>iCASE</w:t>
      </w:r>
      <w:proofErr w:type="spellEnd"/>
      <w:r w:rsidRPr="00AC0AC9">
        <w:t xml:space="preserve"> award with Syngenta, EP/ N509413/1 studentship to L. A. H. and for the computational equipment used in this study, grants EP/H011455/1 and EP/ K031589/1) and the STFC (access to the ULTRA facility) for funding. We thank Professors Robin Perutz and Andrew Weller for insightful comments on this manuscript.</w:t>
      </w:r>
    </w:p>
    <w:p w:rsidR="005B68B9" w:rsidRPr="00AC0AC9" w:rsidRDefault="005B68B9" w:rsidP="00AA75D0">
      <w:pPr>
        <w:pStyle w:val="TDAckTitle"/>
      </w:pPr>
      <w:r w:rsidRPr="00AC0AC9">
        <w:t>REFERENCES</w:t>
      </w:r>
    </w:p>
    <w:p w:rsidR="005A7044" w:rsidRPr="00AC0AC9" w:rsidRDefault="005A7044" w:rsidP="005A7044">
      <w:pPr>
        <w:pStyle w:val="TFReferencesSection"/>
        <w:rPr>
          <w:noProof/>
        </w:rPr>
      </w:pPr>
      <w:r w:rsidRPr="00AC0AC9">
        <w:rPr>
          <w:noProof/>
        </w:rPr>
        <w:t>1.</w:t>
      </w:r>
      <w:r w:rsidRPr="00AC0AC9">
        <w:rPr>
          <w:noProof/>
        </w:rPr>
        <w:tab/>
        <w:t xml:space="preserve">Wencel-Delord, J.; Glorius, F., C-H bond activation enables the rapid construction and late-stage diversification of functional molecules. </w:t>
      </w:r>
      <w:r w:rsidRPr="00AC0AC9">
        <w:rPr>
          <w:i/>
          <w:noProof/>
        </w:rPr>
        <w:t xml:space="preserve">Nat Chem </w:t>
      </w:r>
      <w:r w:rsidRPr="00AC0AC9">
        <w:rPr>
          <w:b/>
          <w:noProof/>
        </w:rPr>
        <w:t>2013</w:t>
      </w:r>
      <w:r w:rsidRPr="00AC0AC9">
        <w:rPr>
          <w:noProof/>
        </w:rPr>
        <w:t xml:space="preserve">, </w:t>
      </w:r>
      <w:r w:rsidRPr="00AC0AC9">
        <w:rPr>
          <w:i/>
          <w:noProof/>
        </w:rPr>
        <w:t>5</w:t>
      </w:r>
      <w:r w:rsidRPr="00AC0AC9">
        <w:rPr>
          <w:noProof/>
        </w:rPr>
        <w:t>, 369-375.</w:t>
      </w:r>
    </w:p>
    <w:p w:rsidR="005A7044" w:rsidRPr="00AC0AC9" w:rsidRDefault="005A7044" w:rsidP="005A7044">
      <w:pPr>
        <w:pStyle w:val="TFReferencesSection"/>
        <w:rPr>
          <w:noProof/>
        </w:rPr>
      </w:pPr>
      <w:r w:rsidRPr="00AC0AC9">
        <w:rPr>
          <w:noProof/>
        </w:rPr>
        <w:t>2.</w:t>
      </w:r>
      <w:r w:rsidRPr="00AC0AC9">
        <w:rPr>
          <w:noProof/>
        </w:rPr>
        <w:tab/>
        <w:t xml:space="preserve">Ackermann, L., Carboxylate-Assisted Transition-Metal-Catalyzed C−H Bond Functionalizations: Mechanism and Scope. </w:t>
      </w:r>
      <w:r w:rsidRPr="00AC0AC9">
        <w:rPr>
          <w:i/>
          <w:noProof/>
        </w:rPr>
        <w:t xml:space="preserve">Chem. Rev. </w:t>
      </w:r>
      <w:r w:rsidRPr="00AC0AC9">
        <w:rPr>
          <w:b/>
          <w:noProof/>
        </w:rPr>
        <w:t>2011</w:t>
      </w:r>
      <w:r w:rsidRPr="00AC0AC9">
        <w:rPr>
          <w:noProof/>
        </w:rPr>
        <w:t xml:space="preserve">, </w:t>
      </w:r>
      <w:r w:rsidRPr="00AC0AC9">
        <w:rPr>
          <w:i/>
          <w:noProof/>
        </w:rPr>
        <w:t>111</w:t>
      </w:r>
      <w:r w:rsidRPr="00AC0AC9">
        <w:rPr>
          <w:noProof/>
        </w:rPr>
        <w:t>, 1315-1345.</w:t>
      </w:r>
    </w:p>
    <w:p w:rsidR="005A7044" w:rsidRPr="00AC0AC9" w:rsidRDefault="005A7044" w:rsidP="005A7044">
      <w:pPr>
        <w:pStyle w:val="TFReferencesSection"/>
        <w:rPr>
          <w:noProof/>
        </w:rPr>
      </w:pPr>
      <w:r w:rsidRPr="00AC0AC9">
        <w:rPr>
          <w:noProof/>
        </w:rPr>
        <w:t>3.</w:t>
      </w:r>
      <w:r w:rsidRPr="00AC0AC9">
        <w:rPr>
          <w:noProof/>
        </w:rPr>
        <w:tab/>
        <w:t xml:space="preserve">Stuart, D. R.; Fagnou, K., The Catalytic Cross-Coupling of Unactivated Arenes. </w:t>
      </w:r>
      <w:r w:rsidRPr="00AC0AC9">
        <w:rPr>
          <w:i/>
          <w:noProof/>
        </w:rPr>
        <w:t xml:space="preserve">Science </w:t>
      </w:r>
      <w:r w:rsidRPr="00AC0AC9">
        <w:rPr>
          <w:b/>
          <w:noProof/>
        </w:rPr>
        <w:t>2007</w:t>
      </w:r>
      <w:r w:rsidRPr="00AC0AC9">
        <w:rPr>
          <w:noProof/>
        </w:rPr>
        <w:t xml:space="preserve">, </w:t>
      </w:r>
      <w:r w:rsidRPr="00AC0AC9">
        <w:rPr>
          <w:i/>
          <w:noProof/>
        </w:rPr>
        <w:t>316</w:t>
      </w:r>
      <w:r w:rsidRPr="00AC0AC9">
        <w:rPr>
          <w:noProof/>
        </w:rPr>
        <w:t>, 1172-1175.</w:t>
      </w:r>
    </w:p>
    <w:p w:rsidR="005A7044" w:rsidRPr="00AC0AC9" w:rsidRDefault="005A7044" w:rsidP="005A7044">
      <w:pPr>
        <w:pStyle w:val="TFReferencesSection"/>
        <w:rPr>
          <w:noProof/>
        </w:rPr>
      </w:pPr>
      <w:r w:rsidRPr="00AC0AC9">
        <w:rPr>
          <w:noProof/>
        </w:rPr>
        <w:t>4.</w:t>
      </w:r>
      <w:r w:rsidRPr="00AC0AC9">
        <w:rPr>
          <w:noProof/>
        </w:rPr>
        <w:tab/>
        <w:t xml:space="preserve">David, L.; Keith, F., Overview of the Mechanistic Work on the Concerted Metallation–Deprotonation Pathway. </w:t>
      </w:r>
      <w:r w:rsidRPr="00AC0AC9">
        <w:rPr>
          <w:i/>
          <w:noProof/>
        </w:rPr>
        <w:t xml:space="preserve">Chem. Lett. </w:t>
      </w:r>
      <w:r w:rsidRPr="00AC0AC9">
        <w:rPr>
          <w:b/>
          <w:noProof/>
        </w:rPr>
        <w:t>2010</w:t>
      </w:r>
      <w:r w:rsidRPr="00AC0AC9">
        <w:rPr>
          <w:noProof/>
        </w:rPr>
        <w:t xml:space="preserve">, </w:t>
      </w:r>
      <w:r w:rsidRPr="00AC0AC9">
        <w:rPr>
          <w:i/>
          <w:noProof/>
        </w:rPr>
        <w:t>39</w:t>
      </w:r>
      <w:r w:rsidRPr="00AC0AC9">
        <w:rPr>
          <w:noProof/>
        </w:rPr>
        <w:t>, 1118-1126.</w:t>
      </w:r>
    </w:p>
    <w:p w:rsidR="005A7044" w:rsidRPr="00AC0AC9" w:rsidRDefault="005A7044" w:rsidP="005A7044">
      <w:pPr>
        <w:pStyle w:val="TFReferencesSection"/>
        <w:rPr>
          <w:noProof/>
        </w:rPr>
      </w:pPr>
      <w:r w:rsidRPr="00AC0AC9">
        <w:rPr>
          <w:noProof/>
        </w:rPr>
        <w:t>5.</w:t>
      </w:r>
      <w:r w:rsidRPr="00AC0AC9">
        <w:rPr>
          <w:noProof/>
        </w:rPr>
        <w:tab/>
        <w:t xml:space="preserve">Davies, D. L.; Macgregor, S. A.; McMullin, C. L., Computational Studies of Carboxylate-Assisted C–H Activation and Functionalization at Group 8–10 Transition Metal Centers. </w:t>
      </w:r>
      <w:r w:rsidRPr="00AC0AC9">
        <w:rPr>
          <w:i/>
          <w:noProof/>
        </w:rPr>
        <w:t xml:space="preserve">Chem. Rev. </w:t>
      </w:r>
      <w:r w:rsidRPr="00AC0AC9">
        <w:rPr>
          <w:b/>
          <w:noProof/>
        </w:rPr>
        <w:t>2017</w:t>
      </w:r>
      <w:r w:rsidRPr="00AC0AC9">
        <w:rPr>
          <w:noProof/>
        </w:rPr>
        <w:t xml:space="preserve">, </w:t>
      </w:r>
      <w:r w:rsidRPr="00AC0AC9">
        <w:rPr>
          <w:i/>
          <w:noProof/>
        </w:rPr>
        <w:t>117</w:t>
      </w:r>
      <w:r w:rsidRPr="00AC0AC9">
        <w:rPr>
          <w:noProof/>
        </w:rPr>
        <w:t>, 8649-8709.</w:t>
      </w:r>
    </w:p>
    <w:p w:rsidR="005A7044" w:rsidRPr="00AC0AC9" w:rsidRDefault="005A7044" w:rsidP="005A7044">
      <w:pPr>
        <w:pStyle w:val="TFReferencesSection"/>
        <w:rPr>
          <w:noProof/>
        </w:rPr>
      </w:pPr>
      <w:r w:rsidRPr="00AC0AC9">
        <w:rPr>
          <w:noProof/>
        </w:rPr>
        <w:t>6.</w:t>
      </w:r>
      <w:r w:rsidRPr="00AC0AC9">
        <w:rPr>
          <w:noProof/>
        </w:rPr>
        <w:tab/>
        <w:t xml:space="preserve">Gandeepan, P.; Müller, T.; Zell, D.; Cera, G.; Warratz, S.; Ackermann, L., 3d Transition Metals for C–H Activation. </w:t>
      </w:r>
      <w:r w:rsidRPr="00AC0AC9">
        <w:rPr>
          <w:i/>
          <w:noProof/>
        </w:rPr>
        <w:t xml:space="preserve">Chem. Rev. </w:t>
      </w:r>
      <w:r w:rsidRPr="00AC0AC9">
        <w:rPr>
          <w:b/>
          <w:noProof/>
        </w:rPr>
        <w:t>2019</w:t>
      </w:r>
      <w:r w:rsidRPr="00AC0AC9">
        <w:rPr>
          <w:noProof/>
        </w:rPr>
        <w:t xml:space="preserve">, </w:t>
      </w:r>
      <w:r w:rsidRPr="00AC0AC9">
        <w:rPr>
          <w:i/>
          <w:noProof/>
        </w:rPr>
        <w:t>119</w:t>
      </w:r>
      <w:r w:rsidRPr="00AC0AC9">
        <w:rPr>
          <w:noProof/>
        </w:rPr>
        <w:t>, 2192-2452.</w:t>
      </w:r>
    </w:p>
    <w:p w:rsidR="005A7044" w:rsidRPr="00AC0AC9" w:rsidRDefault="005A7044" w:rsidP="005A7044">
      <w:pPr>
        <w:pStyle w:val="TFReferencesSection"/>
        <w:rPr>
          <w:noProof/>
        </w:rPr>
      </w:pPr>
      <w:r w:rsidRPr="00AC0AC9">
        <w:rPr>
          <w:noProof/>
        </w:rPr>
        <w:t>7.</w:t>
      </w:r>
      <w:r w:rsidRPr="00AC0AC9">
        <w:rPr>
          <w:noProof/>
        </w:rPr>
        <w:tab/>
        <w:t xml:space="preserve">Simonetti, M.; Cannas, D. M.; Just-Baringo, X.; Vitorica-Yrezabal, I. J.; Larrosa, I., Cyclometallated ruthenium catalyst enables late-stage directed arylation of pharmaceuticals. </w:t>
      </w:r>
      <w:r w:rsidRPr="00AC0AC9">
        <w:rPr>
          <w:i/>
          <w:noProof/>
        </w:rPr>
        <w:t xml:space="preserve">Nat. Chem. </w:t>
      </w:r>
      <w:r w:rsidRPr="00AC0AC9">
        <w:rPr>
          <w:b/>
          <w:noProof/>
        </w:rPr>
        <w:t>2018</w:t>
      </w:r>
      <w:r w:rsidRPr="00AC0AC9">
        <w:rPr>
          <w:noProof/>
        </w:rPr>
        <w:t xml:space="preserve">, </w:t>
      </w:r>
      <w:r w:rsidRPr="00AC0AC9">
        <w:rPr>
          <w:i/>
          <w:noProof/>
        </w:rPr>
        <w:t>10</w:t>
      </w:r>
      <w:r w:rsidRPr="00AC0AC9">
        <w:rPr>
          <w:noProof/>
        </w:rPr>
        <w:t>, 724-731.</w:t>
      </w:r>
    </w:p>
    <w:p w:rsidR="005A7044" w:rsidRPr="00AC0AC9" w:rsidRDefault="005A7044" w:rsidP="005A7044">
      <w:pPr>
        <w:pStyle w:val="TFReferencesSection"/>
        <w:rPr>
          <w:noProof/>
        </w:rPr>
      </w:pPr>
      <w:r w:rsidRPr="00AC0AC9">
        <w:rPr>
          <w:noProof/>
        </w:rPr>
        <w:t>8.</w:t>
      </w:r>
      <w:r w:rsidRPr="00AC0AC9">
        <w:rPr>
          <w:noProof/>
        </w:rPr>
        <w:tab/>
        <w:t xml:space="preserve">Simonetti, M.; Kuniyil, R.; Macgregor, S. A.; Larrosa, I., Benzoate Cyclometalation Enables Oxidative Addition of Haloarenes at a Ru(II) Center. </w:t>
      </w:r>
      <w:r w:rsidRPr="00AC0AC9">
        <w:rPr>
          <w:i/>
          <w:noProof/>
        </w:rPr>
        <w:t xml:space="preserve">J. Am. Chem. Soc. </w:t>
      </w:r>
      <w:r w:rsidRPr="00AC0AC9">
        <w:rPr>
          <w:b/>
          <w:noProof/>
        </w:rPr>
        <w:t>2018</w:t>
      </w:r>
      <w:r w:rsidRPr="00AC0AC9">
        <w:rPr>
          <w:noProof/>
        </w:rPr>
        <w:t xml:space="preserve">, </w:t>
      </w:r>
      <w:r w:rsidRPr="00AC0AC9">
        <w:rPr>
          <w:i/>
          <w:noProof/>
        </w:rPr>
        <w:t>140</w:t>
      </w:r>
      <w:r w:rsidRPr="00AC0AC9">
        <w:rPr>
          <w:noProof/>
        </w:rPr>
        <w:t>, 11836-11847.</w:t>
      </w:r>
    </w:p>
    <w:p w:rsidR="005A7044" w:rsidRPr="00AC0AC9" w:rsidRDefault="005A7044" w:rsidP="005A7044">
      <w:pPr>
        <w:pStyle w:val="TFReferencesSection"/>
        <w:rPr>
          <w:noProof/>
        </w:rPr>
      </w:pPr>
      <w:r w:rsidRPr="00AC0AC9">
        <w:rPr>
          <w:noProof/>
        </w:rPr>
        <w:t>9.</w:t>
      </w:r>
      <w:r w:rsidRPr="00AC0AC9">
        <w:rPr>
          <w:noProof/>
        </w:rPr>
        <w:tab/>
        <w:t xml:space="preserve">Sauermann, N.; Meyer, T. H.; Tian, C.; Ackermann, L., Electrochemical Cobalt-Catalyzed C–H Oxygenation at Room Temperature. </w:t>
      </w:r>
      <w:r w:rsidRPr="00AC0AC9">
        <w:rPr>
          <w:i/>
          <w:noProof/>
        </w:rPr>
        <w:t xml:space="preserve">J. Am. Chem. Soc. </w:t>
      </w:r>
      <w:r w:rsidRPr="00AC0AC9">
        <w:rPr>
          <w:b/>
          <w:noProof/>
        </w:rPr>
        <w:t>2017</w:t>
      </w:r>
      <w:r w:rsidRPr="00AC0AC9">
        <w:rPr>
          <w:noProof/>
        </w:rPr>
        <w:t xml:space="preserve">, </w:t>
      </w:r>
      <w:r w:rsidRPr="00AC0AC9">
        <w:rPr>
          <w:i/>
          <w:noProof/>
        </w:rPr>
        <w:t>139</w:t>
      </w:r>
      <w:r w:rsidRPr="00AC0AC9">
        <w:rPr>
          <w:noProof/>
        </w:rPr>
        <w:t>, 18452-18455.</w:t>
      </w:r>
    </w:p>
    <w:p w:rsidR="005A7044" w:rsidRPr="00AC0AC9" w:rsidRDefault="005A7044" w:rsidP="005A7044">
      <w:pPr>
        <w:pStyle w:val="TFReferencesSection"/>
        <w:rPr>
          <w:noProof/>
        </w:rPr>
      </w:pPr>
      <w:r w:rsidRPr="00AC0AC9">
        <w:rPr>
          <w:noProof/>
        </w:rPr>
        <w:t>10.</w:t>
      </w:r>
      <w:r w:rsidRPr="00AC0AC9">
        <w:rPr>
          <w:noProof/>
        </w:rPr>
        <w:tab/>
        <w:t xml:space="preserve">Zhang, J.; Shrestha, R.; Hartwig, J. F.; Zhao, P., A decarboxylative approach for regioselective hydroarylation of alkynes. </w:t>
      </w:r>
      <w:r w:rsidRPr="00AC0AC9">
        <w:rPr>
          <w:i/>
          <w:noProof/>
        </w:rPr>
        <w:t xml:space="preserve">Nat. Chem. </w:t>
      </w:r>
      <w:r w:rsidRPr="00AC0AC9">
        <w:rPr>
          <w:b/>
          <w:noProof/>
        </w:rPr>
        <w:t>2016</w:t>
      </w:r>
      <w:r w:rsidRPr="00AC0AC9">
        <w:rPr>
          <w:noProof/>
        </w:rPr>
        <w:t xml:space="preserve">, </w:t>
      </w:r>
      <w:r w:rsidRPr="00AC0AC9">
        <w:rPr>
          <w:i/>
          <w:noProof/>
        </w:rPr>
        <w:t>8</w:t>
      </w:r>
      <w:r w:rsidRPr="00AC0AC9">
        <w:rPr>
          <w:noProof/>
        </w:rPr>
        <w:t>, 1144-1151.</w:t>
      </w:r>
    </w:p>
    <w:p w:rsidR="005A7044" w:rsidRPr="00AC0AC9" w:rsidRDefault="005A7044" w:rsidP="005A7044">
      <w:pPr>
        <w:pStyle w:val="TFReferencesSection"/>
        <w:rPr>
          <w:noProof/>
        </w:rPr>
      </w:pPr>
      <w:r w:rsidRPr="00AC0AC9">
        <w:rPr>
          <w:noProof/>
        </w:rPr>
        <w:t>11.</w:t>
      </w:r>
      <w:r w:rsidRPr="00AC0AC9">
        <w:rPr>
          <w:noProof/>
        </w:rPr>
        <w:tab/>
        <w:t>Lafrance, M.; Gorelsky, S. I.; Fagnou, K., High-Yielding Palladium-Catalyzed Intramolecular Alkane Arylation:</w:t>
      </w:r>
      <w:r w:rsidRPr="00AC0AC9">
        <w:rPr>
          <w:rFonts w:ascii="Times New Roman" w:hAnsi="Times New Roman"/>
          <w:noProof/>
        </w:rPr>
        <w:t> </w:t>
      </w:r>
      <w:r w:rsidRPr="00AC0AC9">
        <w:rPr>
          <w:noProof/>
        </w:rPr>
        <w:t xml:space="preserve"> Reaction Development and Mechanistic Studies. </w:t>
      </w:r>
      <w:r w:rsidRPr="00AC0AC9">
        <w:rPr>
          <w:i/>
          <w:noProof/>
        </w:rPr>
        <w:t xml:space="preserve">J. Am. Chem. Soc. </w:t>
      </w:r>
      <w:r w:rsidRPr="00AC0AC9">
        <w:rPr>
          <w:b/>
          <w:noProof/>
        </w:rPr>
        <w:t>2007</w:t>
      </w:r>
      <w:r w:rsidRPr="00AC0AC9">
        <w:rPr>
          <w:noProof/>
        </w:rPr>
        <w:t xml:space="preserve">, </w:t>
      </w:r>
      <w:r w:rsidRPr="00AC0AC9">
        <w:rPr>
          <w:i/>
          <w:noProof/>
        </w:rPr>
        <w:t>129</w:t>
      </w:r>
      <w:r w:rsidRPr="00AC0AC9">
        <w:rPr>
          <w:noProof/>
        </w:rPr>
        <w:t>, 14570-14571.</w:t>
      </w:r>
    </w:p>
    <w:p w:rsidR="005A7044" w:rsidRPr="00AC0AC9" w:rsidRDefault="005A7044" w:rsidP="005A7044">
      <w:pPr>
        <w:pStyle w:val="TFReferencesSection"/>
        <w:rPr>
          <w:noProof/>
        </w:rPr>
      </w:pPr>
      <w:r w:rsidRPr="00AC0AC9">
        <w:rPr>
          <w:noProof/>
        </w:rPr>
        <w:t>12.</w:t>
      </w:r>
      <w:r w:rsidRPr="00AC0AC9">
        <w:rPr>
          <w:noProof/>
        </w:rPr>
        <w:tab/>
        <w:t xml:space="preserve">Wang, H.; Pesciaioli, F.; Oliveira, J. C. A.; Warratz, S.; Ackermann, L., Synergistic Manganese(I) C-H Activation Catalysis in Continuous Flow: Chemoselective Hydroarylation. </w:t>
      </w:r>
      <w:r w:rsidRPr="00AC0AC9">
        <w:rPr>
          <w:i/>
          <w:noProof/>
        </w:rPr>
        <w:t xml:space="preserve">Angew. Chem. Int. Ed. </w:t>
      </w:r>
      <w:r w:rsidRPr="00AC0AC9">
        <w:rPr>
          <w:b/>
          <w:noProof/>
        </w:rPr>
        <w:t>2017</w:t>
      </w:r>
      <w:r w:rsidRPr="00AC0AC9">
        <w:rPr>
          <w:noProof/>
        </w:rPr>
        <w:t xml:space="preserve">, </w:t>
      </w:r>
      <w:r w:rsidRPr="00AC0AC9">
        <w:rPr>
          <w:i/>
          <w:noProof/>
        </w:rPr>
        <w:t>56</w:t>
      </w:r>
      <w:r w:rsidRPr="00AC0AC9">
        <w:rPr>
          <w:noProof/>
        </w:rPr>
        <w:t>, 15063-15067.</w:t>
      </w:r>
    </w:p>
    <w:p w:rsidR="005A7044" w:rsidRPr="00AC0AC9" w:rsidRDefault="005A7044" w:rsidP="005A7044">
      <w:pPr>
        <w:pStyle w:val="TFReferencesSection"/>
        <w:rPr>
          <w:noProof/>
        </w:rPr>
      </w:pPr>
      <w:r w:rsidRPr="00AC0AC9">
        <w:rPr>
          <w:noProof/>
        </w:rPr>
        <w:t>13.</w:t>
      </w:r>
      <w:r w:rsidRPr="00AC0AC9">
        <w:rPr>
          <w:noProof/>
        </w:rPr>
        <w:tab/>
        <w:t xml:space="preserve">Wang, H.; Lorion, M. M.; Ackermann, L., Air-Stable Manganese(I)-Catalyzed C-H Activation for Decarboxylative C-H/C-O Cleavages in Water. </w:t>
      </w:r>
      <w:r w:rsidRPr="00AC0AC9">
        <w:rPr>
          <w:i/>
          <w:noProof/>
        </w:rPr>
        <w:t xml:space="preserve">Angew. Chem. Int. Ed. </w:t>
      </w:r>
      <w:r w:rsidRPr="00AC0AC9">
        <w:rPr>
          <w:b/>
          <w:noProof/>
        </w:rPr>
        <w:t>2017</w:t>
      </w:r>
      <w:r w:rsidRPr="00AC0AC9">
        <w:rPr>
          <w:noProof/>
        </w:rPr>
        <w:t xml:space="preserve">, </w:t>
      </w:r>
      <w:r w:rsidRPr="00AC0AC9">
        <w:rPr>
          <w:i/>
          <w:noProof/>
        </w:rPr>
        <w:t>56</w:t>
      </w:r>
      <w:r w:rsidRPr="00AC0AC9">
        <w:rPr>
          <w:noProof/>
        </w:rPr>
        <w:t>, 6339-6342.</w:t>
      </w:r>
    </w:p>
    <w:p w:rsidR="005A7044" w:rsidRPr="00AC0AC9" w:rsidRDefault="005A7044" w:rsidP="005A7044">
      <w:pPr>
        <w:pStyle w:val="TFReferencesSection"/>
        <w:rPr>
          <w:noProof/>
        </w:rPr>
      </w:pPr>
      <w:r w:rsidRPr="00AC0AC9">
        <w:rPr>
          <w:noProof/>
        </w:rPr>
        <w:t>14.</w:t>
      </w:r>
      <w:r w:rsidRPr="00AC0AC9">
        <w:rPr>
          <w:noProof/>
        </w:rPr>
        <w:tab/>
        <w:t xml:space="preserve">Rogge, T.; Oliveira, J. C. A.; Kuniyil, R.; Hu, L.; Ackermann, L., Reactivity-Controlling Factors in Carboxylate-Assisted C–H Activation under 4d and 3d Transition Metal Catalysis. </w:t>
      </w:r>
      <w:r w:rsidRPr="00AC0AC9">
        <w:rPr>
          <w:i/>
          <w:noProof/>
        </w:rPr>
        <w:t xml:space="preserve">ACS Catalysis </w:t>
      </w:r>
      <w:r w:rsidRPr="00AC0AC9">
        <w:rPr>
          <w:b/>
          <w:noProof/>
        </w:rPr>
        <w:t>2020</w:t>
      </w:r>
      <w:r w:rsidRPr="00AC0AC9">
        <w:rPr>
          <w:noProof/>
        </w:rPr>
        <w:t xml:space="preserve">, </w:t>
      </w:r>
      <w:r w:rsidRPr="00AC0AC9">
        <w:rPr>
          <w:i/>
          <w:noProof/>
        </w:rPr>
        <w:t>10</w:t>
      </w:r>
      <w:r w:rsidRPr="00AC0AC9">
        <w:rPr>
          <w:noProof/>
        </w:rPr>
        <w:t>, 10551-10558.</w:t>
      </w:r>
    </w:p>
    <w:p w:rsidR="005A7044" w:rsidRPr="00AC0AC9" w:rsidRDefault="005A7044" w:rsidP="005A7044">
      <w:pPr>
        <w:pStyle w:val="TFReferencesSection"/>
        <w:rPr>
          <w:noProof/>
        </w:rPr>
      </w:pPr>
      <w:r w:rsidRPr="00AC0AC9">
        <w:rPr>
          <w:noProof/>
        </w:rPr>
        <w:t>15.</w:t>
      </w:r>
      <w:r w:rsidRPr="00AC0AC9">
        <w:rPr>
          <w:noProof/>
        </w:rPr>
        <w:tab/>
        <w:t xml:space="preserve">Wang, L.; Carrow, B. P., Oligothiophene Synthesis by a General C–H Activation Mechanism: Electrophilic Concerted Metalation–Deprotonation (eCMD). </w:t>
      </w:r>
      <w:r w:rsidRPr="00AC0AC9">
        <w:rPr>
          <w:i/>
          <w:noProof/>
        </w:rPr>
        <w:t xml:space="preserve">ACS Catalysis </w:t>
      </w:r>
      <w:r w:rsidRPr="00AC0AC9">
        <w:rPr>
          <w:b/>
          <w:noProof/>
        </w:rPr>
        <w:t>2019</w:t>
      </w:r>
      <w:r w:rsidRPr="00AC0AC9">
        <w:rPr>
          <w:noProof/>
        </w:rPr>
        <w:t xml:space="preserve">, </w:t>
      </w:r>
      <w:r w:rsidRPr="00AC0AC9">
        <w:rPr>
          <w:i/>
          <w:noProof/>
        </w:rPr>
        <w:t>9</w:t>
      </w:r>
      <w:r w:rsidRPr="00AC0AC9">
        <w:rPr>
          <w:noProof/>
        </w:rPr>
        <w:t>, 6821-6836.</w:t>
      </w:r>
    </w:p>
    <w:p w:rsidR="005A7044" w:rsidRPr="00AC0AC9" w:rsidRDefault="005A7044" w:rsidP="005A7044">
      <w:pPr>
        <w:pStyle w:val="TFReferencesSection"/>
        <w:rPr>
          <w:noProof/>
        </w:rPr>
      </w:pPr>
      <w:r w:rsidRPr="00AC0AC9">
        <w:rPr>
          <w:noProof/>
        </w:rPr>
        <w:t>16.</w:t>
      </w:r>
      <w:r w:rsidRPr="00AC0AC9">
        <w:rPr>
          <w:noProof/>
        </w:rPr>
        <w:tab/>
        <w:t xml:space="preserve">Naksomboon, K.; Poater, J.; Bickelhaupt, F. M.; Fernández-Ibáñez, M. Á., para-Selective C–H Olefination of Aniline Derivatives via Pd/S,O-Ligand Catalysis. </w:t>
      </w:r>
      <w:r w:rsidRPr="00AC0AC9">
        <w:rPr>
          <w:i/>
          <w:noProof/>
        </w:rPr>
        <w:t xml:space="preserve">J. Am. Chem. Soc. </w:t>
      </w:r>
      <w:r w:rsidRPr="00AC0AC9">
        <w:rPr>
          <w:b/>
          <w:noProof/>
        </w:rPr>
        <w:t>2019</w:t>
      </w:r>
      <w:r w:rsidRPr="00AC0AC9">
        <w:rPr>
          <w:noProof/>
        </w:rPr>
        <w:t xml:space="preserve">, </w:t>
      </w:r>
      <w:r w:rsidRPr="00AC0AC9">
        <w:rPr>
          <w:i/>
          <w:noProof/>
        </w:rPr>
        <w:t>141</w:t>
      </w:r>
      <w:r w:rsidRPr="00AC0AC9">
        <w:rPr>
          <w:noProof/>
        </w:rPr>
        <w:t>, 6719-6725.</w:t>
      </w:r>
    </w:p>
    <w:p w:rsidR="005A7044" w:rsidRPr="00AC0AC9" w:rsidRDefault="005A7044" w:rsidP="005A7044">
      <w:pPr>
        <w:pStyle w:val="TFReferencesSection"/>
        <w:rPr>
          <w:noProof/>
        </w:rPr>
      </w:pPr>
      <w:r w:rsidRPr="00AC0AC9">
        <w:rPr>
          <w:noProof/>
        </w:rPr>
        <w:t>17.</w:t>
      </w:r>
      <w:r w:rsidRPr="00AC0AC9">
        <w:rPr>
          <w:noProof/>
        </w:rPr>
        <w:tab/>
        <w:t xml:space="preserve">VanderWeide, A. I.; Brennessel, W. W.; Jones, W. D., Reversible Concerted Metalation–Deprotonation C–H Bond Activation by [Cp*RhCl2]2. </w:t>
      </w:r>
      <w:r w:rsidRPr="00AC0AC9">
        <w:rPr>
          <w:i/>
          <w:noProof/>
        </w:rPr>
        <w:t xml:space="preserve">J. Org. Chem. </w:t>
      </w:r>
      <w:r w:rsidRPr="00AC0AC9">
        <w:rPr>
          <w:b/>
          <w:noProof/>
        </w:rPr>
        <w:t>2019</w:t>
      </w:r>
      <w:r w:rsidRPr="00AC0AC9">
        <w:rPr>
          <w:noProof/>
        </w:rPr>
        <w:t xml:space="preserve">, </w:t>
      </w:r>
      <w:r w:rsidRPr="00AC0AC9">
        <w:rPr>
          <w:i/>
          <w:noProof/>
        </w:rPr>
        <w:t>84</w:t>
      </w:r>
      <w:r w:rsidRPr="00AC0AC9">
        <w:rPr>
          <w:noProof/>
        </w:rPr>
        <w:t>, 12960-12965.</w:t>
      </w:r>
    </w:p>
    <w:p w:rsidR="005A7044" w:rsidRPr="00AC0AC9" w:rsidRDefault="005A7044" w:rsidP="005A7044">
      <w:pPr>
        <w:pStyle w:val="TFReferencesSection"/>
        <w:rPr>
          <w:noProof/>
        </w:rPr>
      </w:pPr>
      <w:r w:rsidRPr="00AC0AC9">
        <w:rPr>
          <w:noProof/>
        </w:rPr>
        <w:t>18.</w:t>
      </w:r>
      <w:r w:rsidRPr="00AC0AC9">
        <w:rPr>
          <w:noProof/>
        </w:rPr>
        <w:tab/>
        <w:t xml:space="preserve">Boutadla, Y.; Davies, D. L.; Macgregor, S. A.; Poblador-Bahamonde, A. I., Mechanisms of C–H bond activation: rich synergy between computation and experiment. </w:t>
      </w:r>
      <w:r w:rsidRPr="00AC0AC9">
        <w:rPr>
          <w:i/>
          <w:noProof/>
        </w:rPr>
        <w:t xml:space="preserve">Dalton Trans. </w:t>
      </w:r>
      <w:r w:rsidRPr="00AC0AC9">
        <w:rPr>
          <w:b/>
          <w:noProof/>
        </w:rPr>
        <w:t>2009</w:t>
      </w:r>
      <w:r w:rsidRPr="00AC0AC9">
        <w:rPr>
          <w:noProof/>
        </w:rPr>
        <w:t>, 5820-5831.</w:t>
      </w:r>
    </w:p>
    <w:p w:rsidR="005A7044" w:rsidRPr="00AC0AC9" w:rsidRDefault="005A7044" w:rsidP="005A7044">
      <w:pPr>
        <w:pStyle w:val="TFReferencesSection"/>
        <w:rPr>
          <w:noProof/>
        </w:rPr>
      </w:pPr>
      <w:r w:rsidRPr="00AC0AC9">
        <w:rPr>
          <w:noProof/>
        </w:rPr>
        <w:lastRenderedPageBreak/>
        <w:t>19.</w:t>
      </w:r>
      <w:r w:rsidRPr="00AC0AC9">
        <w:rPr>
          <w:noProof/>
        </w:rPr>
        <w:tab/>
        <w:t xml:space="preserve">Guimond, N.; Gorelsky, S. I.; Fagnou, K., Rhodium(III)-Catalyzed Heterocycle Synthesis Using an Internal Oxidant: Improved Reactivity and Mechanistic Studies. </w:t>
      </w:r>
      <w:r w:rsidRPr="00AC0AC9">
        <w:rPr>
          <w:i/>
          <w:noProof/>
        </w:rPr>
        <w:t xml:space="preserve">J. Am. Chem. Soc. </w:t>
      </w:r>
      <w:r w:rsidRPr="00AC0AC9">
        <w:rPr>
          <w:b/>
          <w:noProof/>
        </w:rPr>
        <w:t>2011</w:t>
      </w:r>
      <w:r w:rsidRPr="00AC0AC9">
        <w:rPr>
          <w:noProof/>
        </w:rPr>
        <w:t xml:space="preserve">, </w:t>
      </w:r>
      <w:r w:rsidRPr="00AC0AC9">
        <w:rPr>
          <w:i/>
          <w:noProof/>
        </w:rPr>
        <w:t>133</w:t>
      </w:r>
      <w:r w:rsidRPr="00AC0AC9">
        <w:rPr>
          <w:noProof/>
        </w:rPr>
        <w:t>, 6449-6457.</w:t>
      </w:r>
    </w:p>
    <w:p w:rsidR="005A7044" w:rsidRPr="00AC0AC9" w:rsidRDefault="005A7044" w:rsidP="005A7044">
      <w:pPr>
        <w:pStyle w:val="TFReferencesSection"/>
        <w:rPr>
          <w:noProof/>
        </w:rPr>
      </w:pPr>
      <w:r w:rsidRPr="00AC0AC9">
        <w:rPr>
          <w:noProof/>
        </w:rPr>
        <w:t>20.</w:t>
      </w:r>
      <w:r w:rsidRPr="00AC0AC9">
        <w:rPr>
          <w:noProof/>
        </w:rPr>
        <w:tab/>
        <w:t xml:space="preserve">Algarra, A. G.; Cross, W. B.; Davies, D. L.; Khamker, Q.; Macgregor, S. A.; McMullin, C. L.; Singh, K., Combined Experimental and Computational Investigations of Rhodium- and Ruthenium-Catalyzed C–H Functionalization of Pyrazoles with Alkynes. </w:t>
      </w:r>
      <w:r w:rsidRPr="00AC0AC9">
        <w:rPr>
          <w:i/>
          <w:noProof/>
        </w:rPr>
        <w:t xml:space="preserve">J. Org. Chem. </w:t>
      </w:r>
      <w:r w:rsidRPr="00AC0AC9">
        <w:rPr>
          <w:b/>
          <w:noProof/>
        </w:rPr>
        <w:t>2014</w:t>
      </w:r>
      <w:r w:rsidRPr="00AC0AC9">
        <w:rPr>
          <w:noProof/>
        </w:rPr>
        <w:t xml:space="preserve">, </w:t>
      </w:r>
      <w:r w:rsidRPr="00AC0AC9">
        <w:rPr>
          <w:i/>
          <w:noProof/>
        </w:rPr>
        <w:t>79</w:t>
      </w:r>
      <w:r w:rsidRPr="00AC0AC9">
        <w:rPr>
          <w:noProof/>
        </w:rPr>
        <w:t>, 1954-1970.</w:t>
      </w:r>
    </w:p>
    <w:p w:rsidR="005A7044" w:rsidRPr="00AC0AC9" w:rsidRDefault="005A7044" w:rsidP="005A7044">
      <w:pPr>
        <w:pStyle w:val="TFReferencesSection"/>
        <w:rPr>
          <w:noProof/>
        </w:rPr>
      </w:pPr>
      <w:r w:rsidRPr="00AC0AC9">
        <w:rPr>
          <w:noProof/>
        </w:rPr>
        <w:t>21.</w:t>
      </w:r>
      <w:r w:rsidRPr="00AC0AC9">
        <w:rPr>
          <w:noProof/>
        </w:rPr>
        <w:tab/>
        <w:t xml:space="preserve">Alharis, R. A.; McMullin, C. L.; Davies, D. L.; Singh, K.; Macgregor, S. A., Understanding electronic effects on carboxylate-assisted C–H activation at ruthenium: the importance of kinetic and thermodynamic control. </w:t>
      </w:r>
      <w:r w:rsidRPr="00AC0AC9">
        <w:rPr>
          <w:i/>
          <w:noProof/>
        </w:rPr>
        <w:t xml:space="preserve">Faraday Discuss. </w:t>
      </w:r>
      <w:r w:rsidRPr="00AC0AC9">
        <w:rPr>
          <w:b/>
          <w:noProof/>
        </w:rPr>
        <w:t>2019</w:t>
      </w:r>
      <w:r w:rsidRPr="00AC0AC9">
        <w:rPr>
          <w:noProof/>
        </w:rPr>
        <w:t xml:space="preserve">, </w:t>
      </w:r>
      <w:r w:rsidRPr="00AC0AC9">
        <w:rPr>
          <w:i/>
          <w:noProof/>
        </w:rPr>
        <w:t>220</w:t>
      </w:r>
      <w:r w:rsidRPr="00AC0AC9">
        <w:rPr>
          <w:noProof/>
        </w:rPr>
        <w:t>, 386-403.</w:t>
      </w:r>
    </w:p>
    <w:p w:rsidR="005A7044" w:rsidRPr="00AC0AC9" w:rsidRDefault="005A7044" w:rsidP="005A7044">
      <w:pPr>
        <w:pStyle w:val="TFReferencesSection"/>
        <w:rPr>
          <w:noProof/>
        </w:rPr>
      </w:pPr>
      <w:r w:rsidRPr="00AC0AC9">
        <w:rPr>
          <w:noProof/>
        </w:rPr>
        <w:t>22.</w:t>
      </w:r>
      <w:r w:rsidRPr="00AC0AC9">
        <w:rPr>
          <w:noProof/>
        </w:rPr>
        <w:tab/>
        <w:t xml:space="preserve">Alharis, R. A.; McMullin, C. L.; Davies, D. L.; Singh, K.; Macgregor, S. A., The Importance of Kinetic and Thermodynamic Control when Assessing Mechanisms of Carboxylate-Assisted C–H Activation. </w:t>
      </w:r>
      <w:r w:rsidRPr="00AC0AC9">
        <w:rPr>
          <w:i/>
          <w:noProof/>
        </w:rPr>
        <w:t xml:space="preserve">J. Am. Chem. Soc. </w:t>
      </w:r>
      <w:r w:rsidRPr="00AC0AC9">
        <w:rPr>
          <w:b/>
          <w:noProof/>
        </w:rPr>
        <w:t>2019</w:t>
      </w:r>
      <w:r w:rsidRPr="00AC0AC9">
        <w:rPr>
          <w:noProof/>
        </w:rPr>
        <w:t xml:space="preserve">, </w:t>
      </w:r>
      <w:r w:rsidRPr="00AC0AC9">
        <w:rPr>
          <w:i/>
          <w:noProof/>
        </w:rPr>
        <w:t>141</w:t>
      </w:r>
      <w:r w:rsidRPr="00AC0AC9">
        <w:rPr>
          <w:noProof/>
        </w:rPr>
        <w:t>, 8896-8906.</w:t>
      </w:r>
    </w:p>
    <w:p w:rsidR="005A7044" w:rsidRPr="00AC0AC9" w:rsidRDefault="005A7044" w:rsidP="005A7044">
      <w:pPr>
        <w:pStyle w:val="TFReferencesSection"/>
        <w:rPr>
          <w:noProof/>
        </w:rPr>
      </w:pPr>
      <w:r w:rsidRPr="00AC0AC9">
        <w:rPr>
          <w:noProof/>
        </w:rPr>
        <w:t>23.</w:t>
      </w:r>
      <w:r w:rsidRPr="00AC0AC9">
        <w:rPr>
          <w:noProof/>
        </w:rPr>
        <w:tab/>
        <w:t xml:space="preserve">Hammarback, L. A.; Clark, I. P.; Sazanovich, I. V.; Towrie, M.; Robinson, A.; Clarke, F.; Meyer, S.; Fairlamb, I. J. S.; Lynam, J. M., Mapping out the key carbon–carbon bond-forming steps in Mn-catalysed C–H functionalization. </w:t>
      </w:r>
      <w:r w:rsidRPr="00AC0AC9">
        <w:rPr>
          <w:i/>
          <w:noProof/>
        </w:rPr>
        <w:t xml:space="preserve">Nat. Catal. </w:t>
      </w:r>
      <w:r w:rsidRPr="00AC0AC9">
        <w:rPr>
          <w:b/>
          <w:noProof/>
        </w:rPr>
        <w:t>2018</w:t>
      </w:r>
      <w:r w:rsidRPr="00AC0AC9">
        <w:rPr>
          <w:noProof/>
        </w:rPr>
        <w:t xml:space="preserve">, </w:t>
      </w:r>
      <w:r w:rsidRPr="00AC0AC9">
        <w:rPr>
          <w:i/>
          <w:noProof/>
        </w:rPr>
        <w:t>1</w:t>
      </w:r>
      <w:r w:rsidRPr="00AC0AC9">
        <w:rPr>
          <w:noProof/>
        </w:rPr>
        <w:t>, 830-840.</w:t>
      </w:r>
    </w:p>
    <w:p w:rsidR="005A7044" w:rsidRPr="00AC0AC9" w:rsidRDefault="005A7044" w:rsidP="005A7044">
      <w:pPr>
        <w:pStyle w:val="TFReferencesSection"/>
        <w:rPr>
          <w:noProof/>
        </w:rPr>
      </w:pPr>
      <w:r w:rsidRPr="00AC0AC9">
        <w:rPr>
          <w:noProof/>
        </w:rPr>
        <w:t>24.</w:t>
      </w:r>
      <w:r w:rsidRPr="00AC0AC9">
        <w:rPr>
          <w:noProof/>
        </w:rPr>
        <w:tab/>
        <w:t xml:space="preserve">Eastwood, J. B.; Hammarback, L. A.; McRobie, M. T.; Clark, I. P.; Towrie, M.; Fairlamb, I. J. S.; Lynam, J. M., Time-resolved infra-red spectroscopy reveals competitive water and dinitrogen coordination to a manganese(I) carbonyl complex. </w:t>
      </w:r>
      <w:r w:rsidRPr="00AC0AC9">
        <w:rPr>
          <w:i/>
          <w:noProof/>
        </w:rPr>
        <w:t xml:space="preserve">Dalton Trans. </w:t>
      </w:r>
      <w:r w:rsidRPr="00AC0AC9">
        <w:rPr>
          <w:b/>
          <w:noProof/>
        </w:rPr>
        <w:t>2020</w:t>
      </w:r>
      <w:r w:rsidRPr="00AC0AC9">
        <w:rPr>
          <w:noProof/>
        </w:rPr>
        <w:t xml:space="preserve">, </w:t>
      </w:r>
      <w:r w:rsidRPr="00AC0AC9">
        <w:rPr>
          <w:i/>
          <w:noProof/>
        </w:rPr>
        <w:t>49</w:t>
      </w:r>
      <w:r w:rsidRPr="00AC0AC9">
        <w:rPr>
          <w:noProof/>
        </w:rPr>
        <w:t>, 5463-5470.</w:t>
      </w:r>
    </w:p>
    <w:p w:rsidR="005A7044" w:rsidRPr="00AC0AC9" w:rsidRDefault="005A7044" w:rsidP="005A7044">
      <w:pPr>
        <w:pStyle w:val="TFReferencesSection"/>
        <w:rPr>
          <w:noProof/>
        </w:rPr>
      </w:pPr>
      <w:r w:rsidRPr="00AC0AC9">
        <w:rPr>
          <w:noProof/>
        </w:rPr>
        <w:t>25.</w:t>
      </w:r>
      <w:r w:rsidRPr="00AC0AC9">
        <w:rPr>
          <w:noProof/>
        </w:rPr>
        <w:tab/>
        <w:t xml:space="preserve">Aucott, B. J.; Eastwood, J. B.; Anders Hammarback, L.; Clark, I. P.; Sazanovich, I. V.; Towrie, M.; Fairlamb, I. J. S.; Lynam, J. M., Insight into the mechanism of CO-release from trypto-CORM using ultra-fast spectroscopy and computational chemistry. </w:t>
      </w:r>
      <w:r w:rsidRPr="00AC0AC9">
        <w:rPr>
          <w:i/>
          <w:noProof/>
        </w:rPr>
        <w:t xml:space="preserve">Dalton Trans. </w:t>
      </w:r>
      <w:r w:rsidRPr="00AC0AC9">
        <w:rPr>
          <w:b/>
          <w:noProof/>
        </w:rPr>
        <w:t>2019</w:t>
      </w:r>
      <w:r w:rsidRPr="00AC0AC9">
        <w:rPr>
          <w:noProof/>
        </w:rPr>
        <w:t xml:space="preserve">, </w:t>
      </w:r>
      <w:r w:rsidRPr="00AC0AC9">
        <w:rPr>
          <w:i/>
          <w:noProof/>
        </w:rPr>
        <w:t>48</w:t>
      </w:r>
      <w:r w:rsidRPr="00AC0AC9">
        <w:rPr>
          <w:noProof/>
        </w:rPr>
        <w:t>, 16426-16436.</w:t>
      </w:r>
    </w:p>
    <w:p w:rsidR="005A7044" w:rsidRPr="00AC0AC9" w:rsidRDefault="005A7044" w:rsidP="005A7044">
      <w:pPr>
        <w:pStyle w:val="TFReferencesSection"/>
        <w:rPr>
          <w:noProof/>
        </w:rPr>
      </w:pPr>
      <w:r w:rsidRPr="00AC0AC9">
        <w:rPr>
          <w:noProof/>
        </w:rPr>
        <w:t>26.</w:t>
      </w:r>
      <w:r w:rsidRPr="00AC0AC9">
        <w:rPr>
          <w:noProof/>
        </w:rPr>
        <w:tab/>
        <w:t xml:space="preserve">Aucott, B. J.; Duhme-Klair, A.-K.; Moulton, B. E.; Clark, I. P.; Sazanovich, I. V.; Towrie, M.; Hammarback, L. A.; Fairlamb, I. J. S.; Lynam, J. M., Manganese Carbonyl Compounds Reveal Ultrafast Metal–Solvent Interactions. </w:t>
      </w:r>
      <w:r w:rsidRPr="00AC0AC9">
        <w:rPr>
          <w:i/>
          <w:noProof/>
        </w:rPr>
        <w:t xml:space="preserve">Organometallics </w:t>
      </w:r>
      <w:r w:rsidRPr="00AC0AC9">
        <w:rPr>
          <w:b/>
          <w:noProof/>
        </w:rPr>
        <w:t>2019</w:t>
      </w:r>
      <w:r w:rsidRPr="00AC0AC9">
        <w:rPr>
          <w:noProof/>
        </w:rPr>
        <w:t xml:space="preserve">, </w:t>
      </w:r>
      <w:r w:rsidRPr="00AC0AC9">
        <w:rPr>
          <w:i/>
          <w:noProof/>
        </w:rPr>
        <w:t>38</w:t>
      </w:r>
      <w:r w:rsidRPr="00AC0AC9">
        <w:rPr>
          <w:noProof/>
        </w:rPr>
        <w:t>, 2391-2401.</w:t>
      </w:r>
    </w:p>
    <w:p w:rsidR="005A7044" w:rsidRPr="00AC0AC9" w:rsidRDefault="005A7044" w:rsidP="005A7044">
      <w:pPr>
        <w:pStyle w:val="TFReferencesSection"/>
        <w:rPr>
          <w:noProof/>
        </w:rPr>
      </w:pPr>
      <w:r w:rsidRPr="00AC0AC9">
        <w:rPr>
          <w:noProof/>
        </w:rPr>
        <w:t>27.</w:t>
      </w:r>
      <w:r w:rsidRPr="00AC0AC9">
        <w:rPr>
          <w:noProof/>
        </w:rPr>
        <w:tab/>
        <w:t xml:space="preserve">Greetham, G. M.; Sole, D.; Clark, I. P.; Parker, A. W.; Pollard, M. R.; Towrie, M., Time-resolved multiple probe spectroscopy. </w:t>
      </w:r>
      <w:r w:rsidRPr="00AC0AC9">
        <w:rPr>
          <w:i/>
          <w:noProof/>
        </w:rPr>
        <w:t xml:space="preserve">Rev. Sci. Instrum. </w:t>
      </w:r>
      <w:r w:rsidRPr="00AC0AC9">
        <w:rPr>
          <w:b/>
          <w:noProof/>
        </w:rPr>
        <w:t>2012</w:t>
      </w:r>
      <w:r w:rsidRPr="00AC0AC9">
        <w:rPr>
          <w:noProof/>
        </w:rPr>
        <w:t xml:space="preserve">, </w:t>
      </w:r>
      <w:r w:rsidRPr="00AC0AC9">
        <w:rPr>
          <w:i/>
          <w:noProof/>
        </w:rPr>
        <w:t>83</w:t>
      </w:r>
      <w:r w:rsidRPr="00AC0AC9">
        <w:rPr>
          <w:noProof/>
        </w:rPr>
        <w:t>, 103107.</w:t>
      </w:r>
    </w:p>
    <w:p w:rsidR="005A7044" w:rsidRPr="00AC0AC9" w:rsidRDefault="005A7044" w:rsidP="005A7044">
      <w:pPr>
        <w:pStyle w:val="TFReferencesSection"/>
        <w:rPr>
          <w:noProof/>
        </w:rPr>
      </w:pPr>
      <w:r w:rsidRPr="00AC0AC9">
        <w:rPr>
          <w:noProof/>
        </w:rPr>
        <w:t>28.</w:t>
      </w:r>
      <w:r w:rsidRPr="00AC0AC9">
        <w:rPr>
          <w:noProof/>
        </w:rPr>
        <w:tab/>
        <w:t>We are grateful for a reviewer for highlighting that a species analogous to E is possible with the HOAc ligand hydrogen bonding to the nitrogen of the ppy ligand. Our calculations place this state, E', at -3 kJ mol-1 and therefore it is not predicted to play a role.</w:t>
      </w:r>
    </w:p>
    <w:p w:rsidR="005A7044" w:rsidRPr="00AC0AC9" w:rsidRDefault="005A7044" w:rsidP="005A7044">
      <w:pPr>
        <w:pStyle w:val="TFReferencesSection"/>
        <w:rPr>
          <w:noProof/>
        </w:rPr>
      </w:pPr>
      <w:r w:rsidRPr="00AC0AC9">
        <w:rPr>
          <w:noProof/>
        </w:rPr>
        <w:t>29.</w:t>
      </w:r>
      <w:r w:rsidRPr="00AC0AC9">
        <w:rPr>
          <w:noProof/>
        </w:rPr>
        <w:tab/>
        <w:t xml:space="preserve">Wu, F.; Deraedt, C.; Cornaton, Y.; Contreras-Garcia, J.; Boucher, M.; Karmazin, L.; Bailly, C.; Djukic, J.-P., Making Base-Assisted C–H Bond Activation by Cp*Co(III) Effective: A Noncovalent Interaction-Inclusive Theoretical Insight and Experimental Validation. </w:t>
      </w:r>
      <w:r w:rsidRPr="00AC0AC9">
        <w:rPr>
          <w:i/>
          <w:noProof/>
        </w:rPr>
        <w:t xml:space="preserve">Organometallics </w:t>
      </w:r>
      <w:r w:rsidRPr="00AC0AC9">
        <w:rPr>
          <w:b/>
          <w:noProof/>
        </w:rPr>
        <w:t>2020</w:t>
      </w:r>
      <w:r w:rsidRPr="00AC0AC9">
        <w:rPr>
          <w:noProof/>
        </w:rPr>
        <w:t xml:space="preserve">, </w:t>
      </w:r>
      <w:r w:rsidRPr="00AC0AC9">
        <w:rPr>
          <w:i/>
          <w:noProof/>
        </w:rPr>
        <w:t>39</w:t>
      </w:r>
      <w:r w:rsidRPr="00AC0AC9">
        <w:rPr>
          <w:noProof/>
        </w:rPr>
        <w:t>, 2609-2629.</w:t>
      </w:r>
    </w:p>
    <w:p w:rsidR="005A7044" w:rsidRPr="00AC0AC9" w:rsidRDefault="005A7044" w:rsidP="005A7044">
      <w:pPr>
        <w:pStyle w:val="TFReferencesSection"/>
        <w:rPr>
          <w:noProof/>
        </w:rPr>
      </w:pPr>
      <w:r w:rsidRPr="00AC0AC9">
        <w:rPr>
          <w:noProof/>
        </w:rPr>
        <w:t>30.</w:t>
      </w:r>
      <w:r w:rsidRPr="00AC0AC9">
        <w:rPr>
          <w:noProof/>
        </w:rPr>
        <w:tab/>
        <w:t xml:space="preserve">It should be noted that modelling inter-molecular hydrogen bonding between the coordinated and solvent acetic acid using Density Functional Theory is problematic. One consequence is that the relative energy of D may be overestimated when compared to E. </w:t>
      </w:r>
    </w:p>
    <w:p w:rsidR="005A7044" w:rsidRPr="00AC0AC9" w:rsidRDefault="005A7044" w:rsidP="005A7044">
      <w:pPr>
        <w:pStyle w:val="TFReferencesSection"/>
        <w:rPr>
          <w:noProof/>
        </w:rPr>
      </w:pPr>
      <w:r w:rsidRPr="00AC0AC9">
        <w:rPr>
          <w:noProof/>
        </w:rPr>
        <w:t>31.</w:t>
      </w:r>
      <w:r w:rsidRPr="00AC0AC9">
        <w:rPr>
          <w:noProof/>
        </w:rPr>
        <w:tab/>
        <w:t>Due to overlap with the bleach band for 1, the two lower energy peaks do not correspond to the band positions for the two vibrational modes.</w:t>
      </w:r>
    </w:p>
    <w:p w:rsidR="005A7044" w:rsidRPr="00AC0AC9" w:rsidRDefault="005A7044" w:rsidP="005A7044">
      <w:pPr>
        <w:pStyle w:val="TFReferencesSection"/>
        <w:rPr>
          <w:noProof/>
        </w:rPr>
      </w:pPr>
      <w:r w:rsidRPr="00AC0AC9">
        <w:rPr>
          <w:noProof/>
        </w:rPr>
        <w:t>32.</w:t>
      </w:r>
      <w:r w:rsidRPr="00AC0AC9">
        <w:rPr>
          <w:noProof/>
        </w:rPr>
        <w:tab/>
        <w:t xml:space="preserve">Due to overlap with the O–D mode in neat DOAc, no spectra could be acquired in the reaction at ca 2000 cm-1. Therefore the KIE in k2 could not be determined. However, given that this step is faster than k3, then it would require a KIE of &gt; 10 in this step alone to influence any subsequence changes in k3 as a consequence of a consecutive reaction process.  </w:t>
      </w:r>
    </w:p>
    <w:p w:rsidR="005A7044" w:rsidRPr="00AC0AC9" w:rsidRDefault="005A7044" w:rsidP="005A7044">
      <w:pPr>
        <w:pStyle w:val="TFReferencesSection"/>
        <w:rPr>
          <w:noProof/>
        </w:rPr>
      </w:pPr>
      <w:r w:rsidRPr="00AC0AC9">
        <w:rPr>
          <w:noProof/>
        </w:rPr>
        <w:t>33.</w:t>
      </w:r>
      <w:r w:rsidRPr="00AC0AC9">
        <w:rPr>
          <w:noProof/>
        </w:rPr>
        <w:tab/>
        <w:t xml:space="preserve">Robinson, S. D.; Uttley, M. F., Complexes of the platinum metals. Part II. Carboxylato(triphenylphosphine) derivatives of ruthenium, osmium, rhodium, and iridium. </w:t>
      </w:r>
      <w:r w:rsidRPr="00AC0AC9">
        <w:rPr>
          <w:i/>
          <w:noProof/>
        </w:rPr>
        <w:t xml:space="preserve">J. Chem. Soc., Dalton Trans. </w:t>
      </w:r>
      <w:r w:rsidRPr="00AC0AC9">
        <w:rPr>
          <w:b/>
          <w:noProof/>
        </w:rPr>
        <w:t>1973</w:t>
      </w:r>
      <w:r w:rsidRPr="00AC0AC9">
        <w:rPr>
          <w:noProof/>
        </w:rPr>
        <w:t>, 1912-1920.</w:t>
      </w:r>
    </w:p>
    <w:p w:rsidR="005A7044" w:rsidRPr="00AC0AC9" w:rsidRDefault="005A7044" w:rsidP="005A7044">
      <w:pPr>
        <w:pStyle w:val="TFReferencesSection"/>
        <w:rPr>
          <w:noProof/>
        </w:rPr>
      </w:pPr>
      <w:r w:rsidRPr="00AC0AC9">
        <w:rPr>
          <w:noProof/>
        </w:rPr>
        <w:t>34.</w:t>
      </w:r>
      <w:r w:rsidRPr="00AC0AC9">
        <w:rPr>
          <w:noProof/>
        </w:rPr>
        <w:tab/>
        <w:t xml:space="preserve">Welby, C. E.; Eschemann, T. O.; Unsworth, C. A.; Smith, E. J.; Thatcher, R. J.; Whitwood, A. C.; Lynam, J. M.; Welby, C. E.; Eschemann, T. O.; Unsworth, C. A.; Smith, E. J.; Thatcher, R. J.; Whitwood, A. C.; Lynam, J. M., Ruthenium acetate complexes as versatile probes of metal-ligand interactions. </w:t>
      </w:r>
      <w:r w:rsidRPr="00AC0AC9">
        <w:rPr>
          <w:i/>
          <w:noProof/>
        </w:rPr>
        <w:t xml:space="preserve">Eur. J. Inorg. Chem. </w:t>
      </w:r>
      <w:r w:rsidRPr="00AC0AC9">
        <w:rPr>
          <w:b/>
          <w:noProof/>
        </w:rPr>
        <w:t>2012</w:t>
      </w:r>
      <w:r w:rsidRPr="00AC0AC9">
        <w:rPr>
          <w:noProof/>
        </w:rPr>
        <w:t>, 1493-1506.</w:t>
      </w:r>
    </w:p>
    <w:p w:rsidR="005A7044" w:rsidRPr="00AC0AC9" w:rsidRDefault="005A7044" w:rsidP="005A7044">
      <w:pPr>
        <w:pStyle w:val="TFReferencesSection"/>
        <w:rPr>
          <w:noProof/>
        </w:rPr>
      </w:pPr>
      <w:r w:rsidRPr="00AC0AC9">
        <w:rPr>
          <w:noProof/>
        </w:rPr>
        <w:t>35.</w:t>
      </w:r>
      <w:r w:rsidRPr="00AC0AC9">
        <w:rPr>
          <w:noProof/>
        </w:rPr>
        <w:tab/>
        <w:t xml:space="preserve">Hu, Y.; Zhou, B.; Wang, C., Inert C–H Bond Transformations Enabled by Organometallic Manganese Catalysis. </w:t>
      </w:r>
      <w:r w:rsidRPr="00AC0AC9">
        <w:rPr>
          <w:i/>
          <w:noProof/>
        </w:rPr>
        <w:t xml:space="preserve">Acc. Chem. Res. </w:t>
      </w:r>
      <w:r w:rsidRPr="00AC0AC9">
        <w:rPr>
          <w:b/>
          <w:noProof/>
        </w:rPr>
        <w:t>2018</w:t>
      </w:r>
      <w:r w:rsidRPr="00AC0AC9">
        <w:rPr>
          <w:noProof/>
        </w:rPr>
        <w:t xml:space="preserve">, </w:t>
      </w:r>
      <w:r w:rsidRPr="00AC0AC9">
        <w:rPr>
          <w:i/>
          <w:noProof/>
        </w:rPr>
        <w:t>51</w:t>
      </w:r>
      <w:r w:rsidRPr="00AC0AC9">
        <w:rPr>
          <w:noProof/>
        </w:rPr>
        <w:t>, 816-827.</w:t>
      </w:r>
    </w:p>
    <w:p w:rsidR="005A7044" w:rsidRPr="00AC0AC9" w:rsidRDefault="005A7044" w:rsidP="005A7044">
      <w:pPr>
        <w:pStyle w:val="TFReferencesSection"/>
        <w:rPr>
          <w:noProof/>
        </w:rPr>
      </w:pPr>
      <w:r w:rsidRPr="00AC0AC9">
        <w:rPr>
          <w:noProof/>
        </w:rPr>
        <w:t>36.</w:t>
      </w:r>
      <w:r w:rsidRPr="00AC0AC9">
        <w:rPr>
          <w:noProof/>
        </w:rPr>
        <w:tab/>
        <w:t xml:space="preserve">Liu, W.; Ackermann, L., Manganese-Catalyzed C-H Activation. </w:t>
      </w:r>
      <w:r w:rsidRPr="00AC0AC9">
        <w:rPr>
          <w:i/>
          <w:noProof/>
        </w:rPr>
        <w:t xml:space="preserve">ACS Catalysis </w:t>
      </w:r>
      <w:r w:rsidRPr="00AC0AC9">
        <w:rPr>
          <w:b/>
          <w:noProof/>
        </w:rPr>
        <w:t>2016</w:t>
      </w:r>
      <w:r w:rsidRPr="00AC0AC9">
        <w:rPr>
          <w:noProof/>
        </w:rPr>
        <w:t xml:space="preserve">, </w:t>
      </w:r>
      <w:r w:rsidRPr="00AC0AC9">
        <w:rPr>
          <w:i/>
          <w:noProof/>
        </w:rPr>
        <w:t>6</w:t>
      </w:r>
      <w:r w:rsidRPr="00AC0AC9">
        <w:rPr>
          <w:noProof/>
        </w:rPr>
        <w:t>, 3743-3752.</w:t>
      </w:r>
    </w:p>
    <w:p w:rsidR="005A7044" w:rsidRPr="00AC0AC9" w:rsidRDefault="005A7044" w:rsidP="005A7044">
      <w:pPr>
        <w:pStyle w:val="TFReferencesSection"/>
        <w:rPr>
          <w:noProof/>
        </w:rPr>
      </w:pPr>
      <w:r w:rsidRPr="00AC0AC9">
        <w:rPr>
          <w:noProof/>
        </w:rPr>
        <w:t>37.</w:t>
      </w:r>
      <w:r w:rsidRPr="00AC0AC9">
        <w:rPr>
          <w:noProof/>
        </w:rPr>
        <w:tab/>
        <w:t xml:space="preserve">Fukutani, T.; Umeda, N.; Hirano, K.; Satoh, T.; Miura, M., Rhodium-catalyzed oxidative coupling of aromatic imines with internal alkynes via regioselective C–H bond cleavage. </w:t>
      </w:r>
      <w:r w:rsidRPr="00AC0AC9">
        <w:rPr>
          <w:i/>
          <w:noProof/>
        </w:rPr>
        <w:t xml:space="preserve">Chem. Commun. </w:t>
      </w:r>
      <w:r w:rsidRPr="00AC0AC9">
        <w:rPr>
          <w:b/>
          <w:noProof/>
        </w:rPr>
        <w:t>2009</w:t>
      </w:r>
      <w:r w:rsidRPr="00AC0AC9">
        <w:rPr>
          <w:noProof/>
        </w:rPr>
        <w:t>, 5141-5143.</w:t>
      </w:r>
    </w:p>
    <w:p w:rsidR="005A7044" w:rsidRPr="00AC0AC9" w:rsidRDefault="005A7044" w:rsidP="005A7044">
      <w:pPr>
        <w:pStyle w:val="TFReferencesSection"/>
        <w:rPr>
          <w:noProof/>
        </w:rPr>
      </w:pPr>
      <w:r w:rsidRPr="00AC0AC9">
        <w:rPr>
          <w:noProof/>
        </w:rPr>
        <w:t>38.</w:t>
      </w:r>
      <w:r w:rsidRPr="00AC0AC9">
        <w:rPr>
          <w:noProof/>
        </w:rPr>
        <w:tab/>
        <w:t xml:space="preserve">Piou, T.; Rovis, T., Electronic and Steric Tuning of a Prototypical Piano Stool Complex: Rh(III) Catalysis for C–H Functionalization. </w:t>
      </w:r>
      <w:r w:rsidRPr="00AC0AC9">
        <w:rPr>
          <w:i/>
          <w:noProof/>
        </w:rPr>
        <w:t xml:space="preserve">Acc. Chem. Res. </w:t>
      </w:r>
      <w:r w:rsidRPr="00AC0AC9">
        <w:rPr>
          <w:b/>
          <w:noProof/>
        </w:rPr>
        <w:t>2018</w:t>
      </w:r>
      <w:r w:rsidRPr="00AC0AC9">
        <w:rPr>
          <w:noProof/>
        </w:rPr>
        <w:t xml:space="preserve">, </w:t>
      </w:r>
      <w:r w:rsidRPr="00AC0AC9">
        <w:rPr>
          <w:i/>
          <w:noProof/>
        </w:rPr>
        <w:t>51</w:t>
      </w:r>
      <w:r w:rsidRPr="00AC0AC9">
        <w:rPr>
          <w:noProof/>
        </w:rPr>
        <w:t>, 170-180.</w:t>
      </w:r>
    </w:p>
    <w:p w:rsidR="005A7044" w:rsidRPr="00AC0AC9" w:rsidRDefault="005A7044" w:rsidP="005A7044">
      <w:pPr>
        <w:pStyle w:val="TFReferencesSection"/>
        <w:rPr>
          <w:noProof/>
        </w:rPr>
      </w:pPr>
      <w:r w:rsidRPr="00AC0AC9">
        <w:rPr>
          <w:noProof/>
        </w:rPr>
        <w:t>39.</w:t>
      </w:r>
      <w:r w:rsidRPr="00AC0AC9">
        <w:rPr>
          <w:noProof/>
        </w:rPr>
        <w:tab/>
        <w:t xml:space="preserve">Guimond, N.; Fagnou, K., Isoquinoline Synthesis via Rhodium-Catalyzed Oxidative Cross-Coupling/Cyclization of Aryl Aldimines and Alkynes. </w:t>
      </w:r>
      <w:r w:rsidRPr="00AC0AC9">
        <w:rPr>
          <w:i/>
          <w:noProof/>
        </w:rPr>
        <w:t xml:space="preserve">J. Am. Chem. Soc. </w:t>
      </w:r>
      <w:r w:rsidRPr="00AC0AC9">
        <w:rPr>
          <w:b/>
          <w:noProof/>
        </w:rPr>
        <w:t>2009</w:t>
      </w:r>
      <w:r w:rsidRPr="00AC0AC9">
        <w:rPr>
          <w:noProof/>
        </w:rPr>
        <w:t xml:space="preserve">, </w:t>
      </w:r>
      <w:r w:rsidRPr="00AC0AC9">
        <w:rPr>
          <w:i/>
          <w:noProof/>
        </w:rPr>
        <w:t>131</w:t>
      </w:r>
      <w:r w:rsidRPr="00AC0AC9">
        <w:rPr>
          <w:noProof/>
        </w:rPr>
        <w:t>, 12050-12051.</w:t>
      </w:r>
    </w:p>
    <w:p w:rsidR="005A7044" w:rsidRPr="00AC0AC9" w:rsidRDefault="005A7044" w:rsidP="005A7044">
      <w:pPr>
        <w:pStyle w:val="TFReferencesSection"/>
        <w:rPr>
          <w:noProof/>
        </w:rPr>
      </w:pPr>
      <w:r w:rsidRPr="00AC0AC9">
        <w:rPr>
          <w:noProof/>
        </w:rPr>
        <w:t>40.</w:t>
      </w:r>
      <w:r w:rsidRPr="00AC0AC9">
        <w:rPr>
          <w:noProof/>
        </w:rPr>
        <w:tab/>
        <w:t xml:space="preserve">Stuart, D. R.; Bertrand-Laperle, M.; Burgess, K. M. N.; Fagnou, K., Indole Synthesis via Rhodium Catalyzed Oxidative Coupling of Acetanilides and Internal Alkynes. </w:t>
      </w:r>
      <w:r w:rsidRPr="00AC0AC9">
        <w:rPr>
          <w:i/>
          <w:noProof/>
        </w:rPr>
        <w:t xml:space="preserve">J. Am. Chem. Soc. </w:t>
      </w:r>
      <w:r w:rsidRPr="00AC0AC9">
        <w:rPr>
          <w:b/>
          <w:noProof/>
        </w:rPr>
        <w:t>2008</w:t>
      </w:r>
      <w:r w:rsidRPr="00AC0AC9">
        <w:rPr>
          <w:noProof/>
        </w:rPr>
        <w:t xml:space="preserve">, </w:t>
      </w:r>
      <w:r w:rsidRPr="00AC0AC9">
        <w:rPr>
          <w:i/>
          <w:noProof/>
        </w:rPr>
        <w:t>130</w:t>
      </w:r>
      <w:r w:rsidRPr="00AC0AC9">
        <w:rPr>
          <w:noProof/>
        </w:rPr>
        <w:t>, 16474-16475.</w:t>
      </w:r>
    </w:p>
    <w:p w:rsidR="005A7044" w:rsidRPr="00AC0AC9" w:rsidRDefault="005A7044" w:rsidP="005A7044">
      <w:pPr>
        <w:pStyle w:val="TFReferencesSection"/>
        <w:rPr>
          <w:noProof/>
        </w:rPr>
      </w:pPr>
      <w:r w:rsidRPr="00AC0AC9">
        <w:rPr>
          <w:noProof/>
        </w:rPr>
        <w:t>41.</w:t>
      </w:r>
      <w:r w:rsidRPr="00AC0AC9">
        <w:rPr>
          <w:noProof/>
        </w:rPr>
        <w:tab/>
        <w:t xml:space="preserve">Schischko, A.; Kaplaneris, N.; Rogge, T.; Sirvinskaite, G.; Son, J.; Ackermann, L., Late-stage peptide C–H alkylation for bioorthogonal C–H activation featuring solid phase peptide synthesis. </w:t>
      </w:r>
      <w:r w:rsidRPr="00AC0AC9">
        <w:rPr>
          <w:i/>
          <w:noProof/>
        </w:rPr>
        <w:t xml:space="preserve">Nature Communications </w:t>
      </w:r>
      <w:r w:rsidRPr="00AC0AC9">
        <w:rPr>
          <w:b/>
          <w:noProof/>
        </w:rPr>
        <w:t>2019</w:t>
      </w:r>
      <w:r w:rsidRPr="00AC0AC9">
        <w:rPr>
          <w:noProof/>
        </w:rPr>
        <w:t xml:space="preserve">, </w:t>
      </w:r>
      <w:r w:rsidRPr="00AC0AC9">
        <w:rPr>
          <w:i/>
          <w:noProof/>
        </w:rPr>
        <w:t>10</w:t>
      </w:r>
      <w:r w:rsidRPr="00AC0AC9">
        <w:rPr>
          <w:noProof/>
        </w:rPr>
        <w:t>, 3553.</w:t>
      </w:r>
    </w:p>
    <w:p w:rsidR="005A7044" w:rsidRPr="00AC0AC9" w:rsidRDefault="005A7044" w:rsidP="005A7044">
      <w:pPr>
        <w:pStyle w:val="TFReferencesSection"/>
        <w:rPr>
          <w:noProof/>
        </w:rPr>
      </w:pPr>
      <w:r w:rsidRPr="00AC0AC9">
        <w:rPr>
          <w:noProof/>
        </w:rPr>
        <w:t>42.</w:t>
      </w:r>
      <w:r w:rsidRPr="00AC0AC9">
        <w:rPr>
          <w:noProof/>
        </w:rPr>
        <w:tab/>
        <w:t xml:space="preserve">Schinkel, M.; Marek, I.; Ackermann, L., Carboxylate-Assisted Ruthenium(II)-Catalyzed Hydroarylations of Unactivated Alkenes through C–H Cleavage. </w:t>
      </w:r>
      <w:r w:rsidRPr="00AC0AC9">
        <w:rPr>
          <w:i/>
          <w:noProof/>
        </w:rPr>
        <w:t xml:space="preserve">Angew. Chem. Int. Ed. </w:t>
      </w:r>
      <w:r w:rsidRPr="00AC0AC9">
        <w:rPr>
          <w:b/>
          <w:noProof/>
        </w:rPr>
        <w:t>2013</w:t>
      </w:r>
      <w:r w:rsidRPr="00AC0AC9">
        <w:rPr>
          <w:noProof/>
        </w:rPr>
        <w:t xml:space="preserve">, </w:t>
      </w:r>
      <w:r w:rsidRPr="00AC0AC9">
        <w:rPr>
          <w:i/>
          <w:noProof/>
        </w:rPr>
        <w:t>52</w:t>
      </w:r>
      <w:r w:rsidRPr="00AC0AC9">
        <w:rPr>
          <w:noProof/>
        </w:rPr>
        <w:t>, 3977-3980.</w:t>
      </w:r>
    </w:p>
    <w:p w:rsidR="005A7044" w:rsidRPr="00AC0AC9" w:rsidRDefault="005A7044" w:rsidP="005A7044">
      <w:pPr>
        <w:pStyle w:val="TFReferencesSection"/>
        <w:rPr>
          <w:noProof/>
        </w:rPr>
      </w:pPr>
      <w:r w:rsidRPr="00AC0AC9">
        <w:rPr>
          <w:noProof/>
        </w:rPr>
        <w:t>43.</w:t>
      </w:r>
      <w:r w:rsidRPr="00AC0AC9">
        <w:rPr>
          <w:noProof/>
        </w:rPr>
        <w:tab/>
        <w:t xml:space="preserve">Shan, C.; Zhu, L.; Qu, L.-B.; Bai, R.; Lan, Y., Mechanistic view of Ru-catalyzed C–H bond activation and functionalization: computational advances. </w:t>
      </w:r>
      <w:r w:rsidRPr="00AC0AC9">
        <w:rPr>
          <w:i/>
          <w:noProof/>
        </w:rPr>
        <w:t xml:space="preserve">Chem. Soc. Rev. </w:t>
      </w:r>
      <w:r w:rsidRPr="00AC0AC9">
        <w:rPr>
          <w:b/>
          <w:noProof/>
        </w:rPr>
        <w:t>2018</w:t>
      </w:r>
      <w:r w:rsidRPr="00AC0AC9">
        <w:rPr>
          <w:noProof/>
        </w:rPr>
        <w:t xml:space="preserve">, </w:t>
      </w:r>
      <w:r w:rsidRPr="00AC0AC9">
        <w:rPr>
          <w:i/>
          <w:noProof/>
        </w:rPr>
        <w:t>47</w:t>
      </w:r>
      <w:r w:rsidRPr="00AC0AC9">
        <w:rPr>
          <w:noProof/>
        </w:rPr>
        <w:t>, 7552-7576.</w:t>
      </w:r>
    </w:p>
    <w:p w:rsidR="005A7044" w:rsidRPr="00AC0AC9" w:rsidRDefault="005A7044" w:rsidP="005A7044">
      <w:pPr>
        <w:pStyle w:val="TFReferencesSection"/>
        <w:rPr>
          <w:noProof/>
        </w:rPr>
      </w:pPr>
      <w:r w:rsidRPr="00AC0AC9">
        <w:rPr>
          <w:noProof/>
        </w:rPr>
        <w:t>44.</w:t>
      </w:r>
      <w:r w:rsidRPr="00AC0AC9">
        <w:rPr>
          <w:noProof/>
        </w:rPr>
        <w:tab/>
        <w:t xml:space="preserve">Arockiam, P. B.; Bruneau, C.; Dixneuf, P. H., Ruthenium(II)-Catalyzed C–H Bond Activation and Functionalization. </w:t>
      </w:r>
      <w:r w:rsidRPr="00AC0AC9">
        <w:rPr>
          <w:i/>
          <w:noProof/>
        </w:rPr>
        <w:t xml:space="preserve">Chem. Rev. </w:t>
      </w:r>
      <w:r w:rsidRPr="00AC0AC9">
        <w:rPr>
          <w:b/>
          <w:noProof/>
        </w:rPr>
        <w:t>2012</w:t>
      </w:r>
      <w:r w:rsidRPr="00AC0AC9">
        <w:rPr>
          <w:noProof/>
        </w:rPr>
        <w:t xml:space="preserve">, </w:t>
      </w:r>
      <w:r w:rsidRPr="00AC0AC9">
        <w:rPr>
          <w:i/>
          <w:noProof/>
        </w:rPr>
        <w:t>112</w:t>
      </w:r>
      <w:r w:rsidRPr="00AC0AC9">
        <w:rPr>
          <w:noProof/>
        </w:rPr>
        <w:t>, 5879-5918.</w:t>
      </w:r>
    </w:p>
    <w:p w:rsidR="005A7044" w:rsidRPr="00AC0AC9" w:rsidRDefault="005A7044" w:rsidP="005A7044">
      <w:pPr>
        <w:pStyle w:val="TFReferencesSection"/>
        <w:rPr>
          <w:noProof/>
        </w:rPr>
      </w:pPr>
      <w:r w:rsidRPr="00AC0AC9">
        <w:rPr>
          <w:noProof/>
        </w:rPr>
        <w:t>45.</w:t>
      </w:r>
      <w:r w:rsidRPr="00AC0AC9">
        <w:rPr>
          <w:noProof/>
        </w:rPr>
        <w:tab/>
        <w:t xml:space="preserve">Moselage, M.; Li, J.; Ackermann, L., Cobalt-Catalyzed C–H Activation. </w:t>
      </w:r>
      <w:r w:rsidRPr="00AC0AC9">
        <w:rPr>
          <w:i/>
          <w:noProof/>
        </w:rPr>
        <w:t xml:space="preserve">ACS Catalysis </w:t>
      </w:r>
      <w:r w:rsidRPr="00AC0AC9">
        <w:rPr>
          <w:b/>
          <w:noProof/>
        </w:rPr>
        <w:t>2016</w:t>
      </w:r>
      <w:r w:rsidRPr="00AC0AC9">
        <w:rPr>
          <w:noProof/>
        </w:rPr>
        <w:t xml:space="preserve">, </w:t>
      </w:r>
      <w:r w:rsidRPr="00AC0AC9">
        <w:rPr>
          <w:i/>
          <w:noProof/>
        </w:rPr>
        <w:t>6</w:t>
      </w:r>
      <w:r w:rsidRPr="00AC0AC9">
        <w:rPr>
          <w:noProof/>
        </w:rPr>
        <w:t>, 498-525.</w:t>
      </w:r>
    </w:p>
    <w:p w:rsidR="005A7044" w:rsidRPr="00AC0AC9" w:rsidRDefault="005A7044" w:rsidP="005A7044">
      <w:pPr>
        <w:pStyle w:val="TFReferencesSection"/>
        <w:rPr>
          <w:noProof/>
        </w:rPr>
      </w:pPr>
      <w:r w:rsidRPr="00AC0AC9">
        <w:rPr>
          <w:noProof/>
        </w:rPr>
        <w:t>46.</w:t>
      </w:r>
      <w:r w:rsidRPr="00AC0AC9">
        <w:rPr>
          <w:noProof/>
        </w:rPr>
        <w:tab/>
        <w:t xml:space="preserve">Sanjosé-Orduna, J.; Benet-Buchholz, J.; Pérez-Temprano, M. H., Unravelling Molecular Aspects of the Migratory Insertion Step in Cp*CoIII Metallacyclic Systems. </w:t>
      </w:r>
      <w:r w:rsidRPr="00AC0AC9">
        <w:rPr>
          <w:i/>
          <w:noProof/>
        </w:rPr>
        <w:t xml:space="preserve">Inorg. Chem. </w:t>
      </w:r>
      <w:r w:rsidRPr="00AC0AC9">
        <w:rPr>
          <w:b/>
          <w:noProof/>
        </w:rPr>
        <w:t>2019</w:t>
      </w:r>
      <w:r w:rsidRPr="00AC0AC9">
        <w:rPr>
          <w:noProof/>
        </w:rPr>
        <w:t xml:space="preserve">, </w:t>
      </w:r>
      <w:r w:rsidRPr="00AC0AC9">
        <w:rPr>
          <w:i/>
          <w:noProof/>
        </w:rPr>
        <w:t>58</w:t>
      </w:r>
      <w:r w:rsidRPr="00AC0AC9">
        <w:rPr>
          <w:noProof/>
        </w:rPr>
        <w:t>, 10569-10577.</w:t>
      </w:r>
    </w:p>
    <w:p w:rsidR="005A7044" w:rsidRPr="00AC0AC9" w:rsidRDefault="005A7044" w:rsidP="005A7044">
      <w:pPr>
        <w:pStyle w:val="TFReferencesSection"/>
        <w:rPr>
          <w:noProof/>
        </w:rPr>
      </w:pPr>
      <w:r w:rsidRPr="00AC0AC9">
        <w:rPr>
          <w:noProof/>
        </w:rPr>
        <w:t>47.</w:t>
      </w:r>
      <w:r w:rsidRPr="00AC0AC9">
        <w:rPr>
          <w:noProof/>
        </w:rPr>
        <w:tab/>
        <w:t xml:space="preserve">Martínez de Salinas, S.; Sanjosé-Orduna, J.; Odena, C.; Barranco, S.; Benet-Buchholz, J.; Pérez-Temprano, M. H., Weakly Coordinated Cobaltacycles: Trapping Catalytically Competent Intermediates in Cp*CoIII Catalysis. </w:t>
      </w:r>
      <w:r w:rsidRPr="00AC0AC9">
        <w:rPr>
          <w:i/>
          <w:noProof/>
        </w:rPr>
        <w:t xml:space="preserve">Angew. Chem. Int. Ed. </w:t>
      </w:r>
      <w:r w:rsidRPr="00AC0AC9">
        <w:rPr>
          <w:b/>
          <w:noProof/>
        </w:rPr>
        <w:t>2020</w:t>
      </w:r>
      <w:r w:rsidRPr="00AC0AC9">
        <w:rPr>
          <w:noProof/>
        </w:rPr>
        <w:t xml:space="preserve">, </w:t>
      </w:r>
      <w:r w:rsidRPr="00AC0AC9">
        <w:rPr>
          <w:i/>
          <w:noProof/>
        </w:rPr>
        <w:t>59</w:t>
      </w:r>
      <w:r w:rsidRPr="00AC0AC9">
        <w:rPr>
          <w:noProof/>
        </w:rPr>
        <w:t>, 6239-6243.</w:t>
      </w:r>
    </w:p>
    <w:p w:rsidR="005A7044" w:rsidRPr="00AC0AC9" w:rsidRDefault="005A7044" w:rsidP="005A7044">
      <w:pPr>
        <w:pStyle w:val="TFReferencesSection"/>
        <w:rPr>
          <w:noProof/>
        </w:rPr>
      </w:pPr>
      <w:r w:rsidRPr="00AC0AC9">
        <w:rPr>
          <w:noProof/>
        </w:rPr>
        <w:t>48.</w:t>
      </w:r>
      <w:r w:rsidRPr="00AC0AC9">
        <w:rPr>
          <w:noProof/>
        </w:rPr>
        <w:tab/>
        <w:t xml:space="preserve">Shi, L.; Zhong, X.; She, H.; Lei, Z.; Li, F., Manganese catalyzed C-H functionalization of indoles with alkynes to synthesize bis/trisubstituted indolylalkenes and carbazoles: the acid is the key to control selectivity. </w:t>
      </w:r>
      <w:r w:rsidRPr="00AC0AC9">
        <w:rPr>
          <w:i/>
          <w:noProof/>
        </w:rPr>
        <w:t xml:space="preserve">Chem. Commun. </w:t>
      </w:r>
      <w:r w:rsidRPr="00AC0AC9">
        <w:rPr>
          <w:b/>
          <w:noProof/>
        </w:rPr>
        <w:t>2015</w:t>
      </w:r>
      <w:r w:rsidRPr="00AC0AC9">
        <w:rPr>
          <w:noProof/>
        </w:rPr>
        <w:t>, 7136-7139.</w:t>
      </w:r>
    </w:p>
    <w:p w:rsidR="005A7044" w:rsidRPr="00AC0AC9" w:rsidRDefault="005A7044" w:rsidP="005A7044">
      <w:pPr>
        <w:pStyle w:val="TFReferencesSection"/>
        <w:rPr>
          <w:noProof/>
        </w:rPr>
      </w:pPr>
      <w:r w:rsidRPr="00AC0AC9">
        <w:rPr>
          <w:noProof/>
        </w:rPr>
        <w:t>49.</w:t>
      </w:r>
      <w:r w:rsidRPr="00AC0AC9">
        <w:rPr>
          <w:noProof/>
        </w:rPr>
        <w:tab/>
        <w:t xml:space="preserve">Hammarback, L. A.; Robinson, A.; Lynam, J. M.; Fairlamb, I. J. S., Mechanistic Insight into Catalytic Redox-Neutral C–H Bond Activation Involving Manganese(I) Carbonyls: Catalyst Activation, Turnover, and Deactivation Pathways Reveal an Intricate Network of Steps. </w:t>
      </w:r>
      <w:r w:rsidRPr="00AC0AC9">
        <w:rPr>
          <w:i/>
          <w:noProof/>
        </w:rPr>
        <w:t xml:space="preserve">J. Am. Chem. Soc. </w:t>
      </w:r>
      <w:r w:rsidRPr="00AC0AC9">
        <w:rPr>
          <w:b/>
          <w:noProof/>
        </w:rPr>
        <w:t>2019</w:t>
      </w:r>
      <w:r w:rsidRPr="00AC0AC9">
        <w:rPr>
          <w:noProof/>
        </w:rPr>
        <w:t xml:space="preserve">, </w:t>
      </w:r>
      <w:r w:rsidRPr="00AC0AC9">
        <w:rPr>
          <w:i/>
          <w:noProof/>
        </w:rPr>
        <w:t>141</w:t>
      </w:r>
      <w:r w:rsidRPr="00AC0AC9">
        <w:rPr>
          <w:noProof/>
        </w:rPr>
        <w:t>, 2316-2328.</w:t>
      </w:r>
    </w:p>
    <w:p w:rsidR="005A7044" w:rsidRPr="00AC0AC9" w:rsidRDefault="005A7044" w:rsidP="005A7044">
      <w:pPr>
        <w:pStyle w:val="TFReferencesSection"/>
        <w:rPr>
          <w:noProof/>
        </w:rPr>
      </w:pPr>
      <w:r w:rsidRPr="00AC0AC9">
        <w:rPr>
          <w:noProof/>
        </w:rPr>
        <w:t>50.</w:t>
      </w:r>
      <w:r w:rsidRPr="00AC0AC9">
        <w:rPr>
          <w:noProof/>
        </w:rPr>
        <w:tab/>
        <w:t xml:space="preserve">Hammarback, L. A.; Robinson, A.; Lynam, J. M.; Fairlamb, I. J. S., Delineating the critical role of acid additives in Mn-catalysed C–H bond functionalisation processes. </w:t>
      </w:r>
      <w:r w:rsidRPr="00AC0AC9">
        <w:rPr>
          <w:i/>
          <w:noProof/>
        </w:rPr>
        <w:t xml:space="preserve">Chem. Commun. </w:t>
      </w:r>
      <w:r w:rsidRPr="00AC0AC9">
        <w:rPr>
          <w:b/>
          <w:noProof/>
        </w:rPr>
        <w:t>2019</w:t>
      </w:r>
      <w:r w:rsidRPr="00AC0AC9">
        <w:rPr>
          <w:noProof/>
        </w:rPr>
        <w:t xml:space="preserve">, </w:t>
      </w:r>
      <w:r w:rsidRPr="00AC0AC9">
        <w:rPr>
          <w:i/>
          <w:noProof/>
        </w:rPr>
        <w:t>55</w:t>
      </w:r>
      <w:r w:rsidRPr="00AC0AC9">
        <w:rPr>
          <w:noProof/>
        </w:rPr>
        <w:t>, 3211-3214.</w:t>
      </w:r>
    </w:p>
    <w:p w:rsidR="005A7044" w:rsidRPr="00AC0AC9" w:rsidRDefault="005A7044" w:rsidP="005A7044">
      <w:pPr>
        <w:pStyle w:val="TFReferencesSection"/>
        <w:rPr>
          <w:noProof/>
        </w:rPr>
      </w:pPr>
      <w:r w:rsidRPr="00AC0AC9">
        <w:rPr>
          <w:noProof/>
        </w:rPr>
        <w:t>51.</w:t>
      </w:r>
      <w:r w:rsidRPr="00AC0AC9">
        <w:rPr>
          <w:noProof/>
        </w:rPr>
        <w:tab/>
        <w:t xml:space="preserve">He, R.; Huang, Z.-T.; Zheng, Q.-Y.; Wang, C., Manganese-Catalyzed Dehydrogenative [4+2] Annulation of NH Imines and Alkynes by CH/NH Activation. </w:t>
      </w:r>
      <w:r w:rsidRPr="00AC0AC9">
        <w:rPr>
          <w:i/>
          <w:noProof/>
        </w:rPr>
        <w:t xml:space="preserve">Angew. Chem. Int. Ed. </w:t>
      </w:r>
      <w:r w:rsidRPr="00AC0AC9">
        <w:rPr>
          <w:b/>
          <w:noProof/>
        </w:rPr>
        <w:t>2014</w:t>
      </w:r>
      <w:r w:rsidRPr="00AC0AC9">
        <w:rPr>
          <w:noProof/>
        </w:rPr>
        <w:t xml:space="preserve">, </w:t>
      </w:r>
      <w:r w:rsidRPr="00AC0AC9">
        <w:rPr>
          <w:i/>
          <w:noProof/>
        </w:rPr>
        <w:t>53</w:t>
      </w:r>
      <w:r w:rsidRPr="00AC0AC9">
        <w:rPr>
          <w:noProof/>
        </w:rPr>
        <w:t>, 4950-4953.</w:t>
      </w:r>
    </w:p>
    <w:p w:rsidR="005A7044" w:rsidRPr="00AC0AC9" w:rsidRDefault="005A7044" w:rsidP="005A7044">
      <w:pPr>
        <w:pStyle w:val="TFReferencesSection"/>
        <w:rPr>
          <w:noProof/>
        </w:rPr>
      </w:pPr>
      <w:r w:rsidRPr="00AC0AC9">
        <w:rPr>
          <w:noProof/>
        </w:rPr>
        <w:t>52.</w:t>
      </w:r>
      <w:r w:rsidRPr="00AC0AC9">
        <w:rPr>
          <w:noProof/>
        </w:rPr>
        <w:tab/>
        <w:t xml:space="preserve">Greetham, G. M.; Donaldson, P. M.; Nation, C.; Sazanovich, I. V.; Clark, I. P.; Shaw, D. J.; Parker, A. W.; Towrie, M., A 100 kHz time-resolved multiple-probe femtosecond to second infrared absorption spectrometer. </w:t>
      </w:r>
      <w:r w:rsidRPr="00AC0AC9">
        <w:rPr>
          <w:i/>
          <w:noProof/>
        </w:rPr>
        <w:t xml:space="preserve">Appl. Spectrosc. </w:t>
      </w:r>
      <w:r w:rsidRPr="00AC0AC9">
        <w:rPr>
          <w:b/>
          <w:noProof/>
        </w:rPr>
        <w:t>2016</w:t>
      </w:r>
      <w:r w:rsidRPr="00AC0AC9">
        <w:rPr>
          <w:noProof/>
        </w:rPr>
        <w:t xml:space="preserve">, </w:t>
      </w:r>
      <w:r w:rsidRPr="00AC0AC9">
        <w:rPr>
          <w:i/>
          <w:noProof/>
        </w:rPr>
        <w:t>70</w:t>
      </w:r>
      <w:r w:rsidRPr="00AC0AC9">
        <w:rPr>
          <w:noProof/>
        </w:rPr>
        <w:t>, 645-653.</w:t>
      </w:r>
    </w:p>
    <w:p w:rsidR="005A7044" w:rsidRPr="00AC0AC9" w:rsidRDefault="005A7044" w:rsidP="005A7044">
      <w:pPr>
        <w:pStyle w:val="TFReferencesSection"/>
        <w:rPr>
          <w:noProof/>
        </w:rPr>
      </w:pPr>
      <w:r w:rsidRPr="00AC0AC9">
        <w:rPr>
          <w:noProof/>
        </w:rPr>
        <w:t>53.</w:t>
      </w:r>
      <w:r w:rsidRPr="00AC0AC9">
        <w:rPr>
          <w:noProof/>
        </w:rPr>
        <w:tab/>
        <w:t xml:space="preserve">Flakus, H. T.; Hachuła, B., Effect of the resonance of the C–H and O–H bond stretching vibrations on the IR spectra of the hydrogen bond in formic and acetic acid. </w:t>
      </w:r>
      <w:r w:rsidRPr="00AC0AC9">
        <w:rPr>
          <w:i/>
          <w:noProof/>
        </w:rPr>
        <w:t xml:space="preserve">Spectrochimica Acta Part A: Molecular and Biomolecular Spectroscopy </w:t>
      </w:r>
      <w:r w:rsidRPr="00AC0AC9">
        <w:rPr>
          <w:b/>
          <w:noProof/>
        </w:rPr>
        <w:t>2011</w:t>
      </w:r>
      <w:r w:rsidRPr="00AC0AC9">
        <w:rPr>
          <w:noProof/>
        </w:rPr>
        <w:t xml:space="preserve">, </w:t>
      </w:r>
      <w:r w:rsidRPr="00AC0AC9">
        <w:rPr>
          <w:i/>
          <w:noProof/>
        </w:rPr>
        <w:t>79</w:t>
      </w:r>
      <w:r w:rsidRPr="00AC0AC9">
        <w:rPr>
          <w:noProof/>
        </w:rPr>
        <w:t>, 1276-1284.</w:t>
      </w:r>
    </w:p>
    <w:p w:rsidR="005A7044" w:rsidRPr="00AC0AC9" w:rsidRDefault="005A7044" w:rsidP="005A7044">
      <w:pPr>
        <w:pStyle w:val="TFReferencesSection"/>
        <w:rPr>
          <w:noProof/>
        </w:rPr>
      </w:pPr>
      <w:r w:rsidRPr="00AC0AC9">
        <w:rPr>
          <w:noProof/>
        </w:rPr>
        <w:t>54.</w:t>
      </w:r>
      <w:r w:rsidRPr="00AC0AC9">
        <w:rPr>
          <w:noProof/>
        </w:rPr>
        <w:tab/>
        <w:t xml:space="preserve">Pollard, M. R.; Greetham, G. M. </w:t>
      </w:r>
      <w:r w:rsidRPr="00AC0AC9">
        <w:rPr>
          <w:i/>
          <w:noProof/>
        </w:rPr>
        <w:t>ULTRA View Data Analysis</w:t>
      </w:r>
      <w:r w:rsidRPr="00AC0AC9">
        <w:rPr>
          <w:noProof/>
        </w:rPr>
        <w:t>, 2; STFC: 2012.</w:t>
      </w:r>
    </w:p>
    <w:p w:rsidR="005A7044" w:rsidRPr="00AC0AC9" w:rsidRDefault="005A7044" w:rsidP="005A7044">
      <w:pPr>
        <w:pStyle w:val="TFReferencesSection"/>
        <w:rPr>
          <w:noProof/>
        </w:rPr>
      </w:pPr>
      <w:r w:rsidRPr="00AC0AC9">
        <w:rPr>
          <w:noProof/>
        </w:rPr>
        <w:lastRenderedPageBreak/>
        <w:t>55.</w:t>
      </w:r>
      <w:r w:rsidRPr="00AC0AC9">
        <w:rPr>
          <w:noProof/>
        </w:rPr>
        <w:tab/>
      </w:r>
      <w:r w:rsidRPr="00AC0AC9">
        <w:rPr>
          <w:i/>
          <w:noProof/>
        </w:rPr>
        <w:t>OriginPro</w:t>
      </w:r>
      <w:r w:rsidRPr="00AC0AC9">
        <w:rPr>
          <w:noProof/>
        </w:rPr>
        <w:t>, 2019; OriginLab Corporation: Northampton, MA, USA.</w:t>
      </w:r>
    </w:p>
    <w:p w:rsidR="005B68B9" w:rsidRPr="00AC0AC9" w:rsidRDefault="005B68B9" w:rsidP="000C02C9">
      <w:pPr>
        <w:pStyle w:val="TAMainText"/>
      </w:pPr>
      <w:r w:rsidRPr="00AC0AC9">
        <w:br w:type="page"/>
      </w:r>
    </w:p>
    <w:p w:rsidR="005B68B9" w:rsidRPr="00AC0AC9" w:rsidRDefault="005B68B9" w:rsidP="000C02C9">
      <w:pPr>
        <w:pStyle w:val="SNSynopsisTOC"/>
        <w:sectPr w:rsidR="005B68B9" w:rsidRPr="00AC0AC9" w:rsidSect="00AA75D0">
          <w:type w:val="continuous"/>
          <w:pgSz w:w="12240" w:h="15840"/>
          <w:pgMar w:top="720" w:right="1094" w:bottom="720" w:left="1094" w:header="720" w:footer="720" w:gutter="0"/>
          <w:cols w:num="2" w:space="461"/>
        </w:sectPr>
      </w:pPr>
    </w:p>
    <w:p w:rsidR="005B68B9" w:rsidRPr="00AC0AC9" w:rsidRDefault="005B68B9" w:rsidP="000C02C9">
      <w:pPr>
        <w:pBdr>
          <w:bottom w:val="single" w:sz="4" w:space="1" w:color="auto"/>
        </w:pBdr>
        <w:spacing w:after="240"/>
        <w:jc w:val="center"/>
        <w:rPr>
          <w:rFonts w:ascii="Arno Pro" w:hAnsi="Arno Pro"/>
        </w:rPr>
      </w:pPr>
      <w:r w:rsidRPr="00AC0AC9">
        <w:rPr>
          <w:rFonts w:ascii="Arno Pro" w:hAnsi="Arno Pro"/>
        </w:rPr>
        <w:lastRenderedPageBreak/>
        <w:t>Table of Contents Artwork</w:t>
      </w:r>
    </w:p>
    <w:p w:rsidR="005B68B9" w:rsidRDefault="005B68B9" w:rsidP="000C02C9">
      <w:pPr>
        <w:pBdr>
          <w:bottom w:val="single" w:sz="4" w:space="1" w:color="auto"/>
        </w:pBdr>
        <w:spacing w:after="240"/>
        <w:jc w:val="center"/>
        <w:rPr>
          <w:rFonts w:ascii="Arno Pro" w:hAnsi="Arno Pro"/>
        </w:rPr>
      </w:pPr>
      <w:r w:rsidRPr="00AC0AC9">
        <w:rPr>
          <w:b/>
          <w:bCs/>
          <w:noProof/>
        </w:rPr>
        <w:drawing>
          <wp:inline distT="0" distB="0" distL="0" distR="0" wp14:anchorId="26EBE1AF" wp14:editId="423DCE17">
            <wp:extent cx="32385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of Contents Graphic.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8500" cy="1828800"/>
                    </a:xfrm>
                    <a:prstGeom prst="rect">
                      <a:avLst/>
                    </a:prstGeom>
                  </pic:spPr>
                </pic:pic>
              </a:graphicData>
            </a:graphic>
          </wp:inline>
        </w:drawing>
      </w:r>
    </w:p>
    <w:p w:rsidR="005B68B9" w:rsidRDefault="005B68B9">
      <w:pPr>
        <w:spacing w:after="0"/>
        <w:jc w:val="left"/>
        <w:rPr>
          <w:rFonts w:ascii="Arno Pro" w:hAnsi="Arno Pro"/>
        </w:rPr>
      </w:pPr>
      <w:r>
        <w:rPr>
          <w:rFonts w:ascii="Arno Pro" w:hAnsi="Arno Pro"/>
        </w:rPr>
        <w:br w:type="page"/>
      </w:r>
    </w:p>
    <w:p w:rsidR="005B68B9" w:rsidRDefault="005B68B9" w:rsidP="000C02C9">
      <w:pPr>
        <w:pBdr>
          <w:bottom w:val="single" w:sz="4" w:space="1" w:color="auto"/>
        </w:pBdr>
        <w:spacing w:after="240"/>
        <w:jc w:val="center"/>
        <w:rPr>
          <w:rFonts w:ascii="Arno Pro" w:hAnsi="Arno Pro"/>
        </w:rPr>
      </w:pPr>
    </w:p>
    <w:p w:rsidR="005B68B9" w:rsidRPr="00C45E7B" w:rsidRDefault="005B68B9" w:rsidP="000C02C9">
      <w:pPr>
        <w:pBdr>
          <w:bottom w:val="single" w:sz="4" w:space="1" w:color="auto"/>
        </w:pBdr>
        <w:spacing w:after="240"/>
        <w:jc w:val="center"/>
        <w:rPr>
          <w:rFonts w:ascii="Arno Pro" w:hAnsi="Arno Pro"/>
        </w:rPr>
      </w:pPr>
    </w:p>
    <w:p w:rsidR="005112A9" w:rsidRDefault="00BF00AC"/>
    <w:sectPr w:rsidR="005112A9" w:rsidSect="000C02C9">
      <w:headerReference w:type="even" r:id="rId16"/>
      <w:footerReference w:type="even" r:id="rId17"/>
      <w:footerReference w:type="default" r:id="rId18"/>
      <w:type w:val="continuous"/>
      <w:pgSz w:w="12240" w:h="15840"/>
      <w:pgMar w:top="720" w:right="1094" w:bottom="720" w:left="1094" w:header="0" w:footer="0" w:gutter="0"/>
      <w:cols w:space="47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㛀䃄删"/>
    <w:panose1 w:val="00000500000000020000"/>
    <w:charset w:val="00"/>
    <w:family w:val="auto"/>
    <w:pitch w:val="variable"/>
    <w:sig w:usb0="E00002FF" w:usb1="5000205A" w:usb2="00000000" w:usb3="00000000" w:csb0="0000019F" w:csb1="00000000"/>
  </w:font>
  <w:font w:name="Myriad Pro Light">
    <w:altName w:val="Corbel"/>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613F" w:rsidRDefault="00BF00AC">
    <w:pPr>
      <w:framePr w:wrap="around" w:vAnchor="text" w:hAnchor="margin" w:xAlign="right" w:y="1"/>
      <w:rPr>
        <w:rStyle w:val="PageNumber"/>
      </w:rPr>
    </w:pPr>
    <w:r>
      <w:rPr>
        <w:rStyle w:val="PageNumber"/>
      </w:rPr>
      <w:t xml:space="preserve">PAGE  </w:t>
    </w:r>
    <w:r>
      <w:rPr>
        <w:rStyle w:val="PageNumber"/>
        <w:noProof/>
      </w:rPr>
      <w:t>2</w:t>
    </w:r>
  </w:p>
  <w:p w:rsidR="0056613F" w:rsidRDefault="00BF00A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613F" w:rsidRDefault="00BF00AC">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613F" w:rsidRDefault="00BF0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6613F" w:rsidRDefault="00BF00AC">
    <w:pPr>
      <w:pStyle w:val="Footer"/>
      <w:ind w:right="360"/>
    </w:pPr>
  </w:p>
  <w:p w:rsidR="0056613F" w:rsidRDefault="00BF00A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613F" w:rsidRDefault="00BF00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56613F" w:rsidRDefault="00BF00AC">
    <w:pPr>
      <w:pStyle w:val="Footer"/>
      <w:ind w:right="360"/>
    </w:pPr>
  </w:p>
  <w:p w:rsidR="0056613F" w:rsidRDefault="00BF00AC"/>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6613F" w:rsidRDefault="00BF00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FA6422"/>
    <w:multiLevelType w:val="multilevel"/>
    <w:tmpl w:val="698445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48A7957"/>
    <w:multiLevelType w:val="multilevel"/>
    <w:tmpl w:val="BFF6FC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15:restartNumberingAfterBreak="0">
    <w:nsid w:val="560416BC"/>
    <w:multiLevelType w:val="multilevel"/>
    <w:tmpl w:val="D1183A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3698"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1"/>
  </w:num>
  <w:num w:numId="12">
    <w:abstractNumId w:val="8"/>
  </w:num>
  <w:num w:numId="13">
    <w:abstractNumId w:val="0"/>
  </w:num>
  <w:num w:numId="14">
    <w:abstractNumId w:val="6"/>
  </w:num>
  <w:num w:numId="15">
    <w:abstractNumId w:val="4"/>
  </w:num>
  <w:num w:numId="16">
    <w:abstractNumId w:val="7"/>
  </w:num>
  <w:num w:numId="17">
    <w:abstractNumId w:val="5"/>
  </w:num>
  <w:num w:numId="18">
    <w:abstractNumId w:val="3"/>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5B68B9"/>
    <w:rsid w:val="00000881"/>
    <w:rsid w:val="000011C4"/>
    <w:rsid w:val="000015CA"/>
    <w:rsid w:val="00006E0B"/>
    <w:rsid w:val="00016FEC"/>
    <w:rsid w:val="00022F18"/>
    <w:rsid w:val="000269FC"/>
    <w:rsid w:val="00037D9F"/>
    <w:rsid w:val="00041C3C"/>
    <w:rsid w:val="000421C4"/>
    <w:rsid w:val="0005089B"/>
    <w:rsid w:val="00061F35"/>
    <w:rsid w:val="0006535D"/>
    <w:rsid w:val="00081B4F"/>
    <w:rsid w:val="00084E2F"/>
    <w:rsid w:val="00084E46"/>
    <w:rsid w:val="000969DC"/>
    <w:rsid w:val="000B14D1"/>
    <w:rsid w:val="000C1A3E"/>
    <w:rsid w:val="000C6948"/>
    <w:rsid w:val="000E0CC8"/>
    <w:rsid w:val="000F29B6"/>
    <w:rsid w:val="000F6E1B"/>
    <w:rsid w:val="001056DE"/>
    <w:rsid w:val="001071EF"/>
    <w:rsid w:val="00115A15"/>
    <w:rsid w:val="00123485"/>
    <w:rsid w:val="00124A08"/>
    <w:rsid w:val="00130768"/>
    <w:rsid w:val="001310F9"/>
    <w:rsid w:val="001404CD"/>
    <w:rsid w:val="0014498A"/>
    <w:rsid w:val="00145331"/>
    <w:rsid w:val="00164082"/>
    <w:rsid w:val="00165212"/>
    <w:rsid w:val="00172165"/>
    <w:rsid w:val="00172917"/>
    <w:rsid w:val="00175B4C"/>
    <w:rsid w:val="00184484"/>
    <w:rsid w:val="00190D90"/>
    <w:rsid w:val="00191DD7"/>
    <w:rsid w:val="00192215"/>
    <w:rsid w:val="00196329"/>
    <w:rsid w:val="001A1236"/>
    <w:rsid w:val="001A224F"/>
    <w:rsid w:val="001A4CD9"/>
    <w:rsid w:val="001B2F66"/>
    <w:rsid w:val="001B3676"/>
    <w:rsid w:val="001C5C14"/>
    <w:rsid w:val="001C6082"/>
    <w:rsid w:val="001E3134"/>
    <w:rsid w:val="001E5A2C"/>
    <w:rsid w:val="001F6F17"/>
    <w:rsid w:val="001F70D8"/>
    <w:rsid w:val="001F7A9E"/>
    <w:rsid w:val="00206FF3"/>
    <w:rsid w:val="002074E3"/>
    <w:rsid w:val="00213977"/>
    <w:rsid w:val="00220759"/>
    <w:rsid w:val="0022634C"/>
    <w:rsid w:val="00234189"/>
    <w:rsid w:val="0023455D"/>
    <w:rsid w:val="00235F13"/>
    <w:rsid w:val="00256D6B"/>
    <w:rsid w:val="002634DE"/>
    <w:rsid w:val="00264AA7"/>
    <w:rsid w:val="00272024"/>
    <w:rsid w:val="00272E37"/>
    <w:rsid w:val="00292799"/>
    <w:rsid w:val="002A33CA"/>
    <w:rsid w:val="002B15D8"/>
    <w:rsid w:val="002B202B"/>
    <w:rsid w:val="002B443B"/>
    <w:rsid w:val="002B6BFB"/>
    <w:rsid w:val="002C3F4F"/>
    <w:rsid w:val="002C6780"/>
    <w:rsid w:val="002C6DE4"/>
    <w:rsid w:val="002D318A"/>
    <w:rsid w:val="002D64A2"/>
    <w:rsid w:val="002E2E57"/>
    <w:rsid w:val="002E5ED6"/>
    <w:rsid w:val="002E6FE0"/>
    <w:rsid w:val="002F2B73"/>
    <w:rsid w:val="002F71E1"/>
    <w:rsid w:val="0030054E"/>
    <w:rsid w:val="00302FBB"/>
    <w:rsid w:val="00303362"/>
    <w:rsid w:val="003149E4"/>
    <w:rsid w:val="0032068C"/>
    <w:rsid w:val="003231C0"/>
    <w:rsid w:val="003233F7"/>
    <w:rsid w:val="00332933"/>
    <w:rsid w:val="00334BE8"/>
    <w:rsid w:val="003411D4"/>
    <w:rsid w:val="00343DA9"/>
    <w:rsid w:val="003461BB"/>
    <w:rsid w:val="00346A31"/>
    <w:rsid w:val="00351D3D"/>
    <w:rsid w:val="00352B4A"/>
    <w:rsid w:val="00356889"/>
    <w:rsid w:val="00362B6F"/>
    <w:rsid w:val="00364110"/>
    <w:rsid w:val="003737E6"/>
    <w:rsid w:val="00377AE3"/>
    <w:rsid w:val="003805E9"/>
    <w:rsid w:val="00381CE8"/>
    <w:rsid w:val="00382D86"/>
    <w:rsid w:val="00390711"/>
    <w:rsid w:val="00391390"/>
    <w:rsid w:val="003935C9"/>
    <w:rsid w:val="00395374"/>
    <w:rsid w:val="003974A4"/>
    <w:rsid w:val="003A3795"/>
    <w:rsid w:val="003A6EE4"/>
    <w:rsid w:val="003A70ED"/>
    <w:rsid w:val="003B015D"/>
    <w:rsid w:val="003B622E"/>
    <w:rsid w:val="003B79A8"/>
    <w:rsid w:val="003C5088"/>
    <w:rsid w:val="003D0139"/>
    <w:rsid w:val="003F664F"/>
    <w:rsid w:val="003F74DF"/>
    <w:rsid w:val="00412A54"/>
    <w:rsid w:val="00415B7C"/>
    <w:rsid w:val="0041736F"/>
    <w:rsid w:val="00432C43"/>
    <w:rsid w:val="004363CD"/>
    <w:rsid w:val="00441D79"/>
    <w:rsid w:val="00442772"/>
    <w:rsid w:val="00442905"/>
    <w:rsid w:val="0044290B"/>
    <w:rsid w:val="004501D1"/>
    <w:rsid w:val="00450416"/>
    <w:rsid w:val="004561FE"/>
    <w:rsid w:val="00456970"/>
    <w:rsid w:val="0047115F"/>
    <w:rsid w:val="0047640F"/>
    <w:rsid w:val="004806FA"/>
    <w:rsid w:val="00484843"/>
    <w:rsid w:val="004B1A7E"/>
    <w:rsid w:val="004B37BF"/>
    <w:rsid w:val="004E15B8"/>
    <w:rsid w:val="004E7592"/>
    <w:rsid w:val="005062C6"/>
    <w:rsid w:val="005151C7"/>
    <w:rsid w:val="005178F9"/>
    <w:rsid w:val="005216E9"/>
    <w:rsid w:val="00523246"/>
    <w:rsid w:val="00545578"/>
    <w:rsid w:val="00554CFA"/>
    <w:rsid w:val="00563EC4"/>
    <w:rsid w:val="005675A4"/>
    <w:rsid w:val="00572D28"/>
    <w:rsid w:val="0057703E"/>
    <w:rsid w:val="0058429C"/>
    <w:rsid w:val="0059005F"/>
    <w:rsid w:val="00591B33"/>
    <w:rsid w:val="0059233C"/>
    <w:rsid w:val="005A3899"/>
    <w:rsid w:val="005A7044"/>
    <w:rsid w:val="005B1B09"/>
    <w:rsid w:val="005B68B9"/>
    <w:rsid w:val="005C4011"/>
    <w:rsid w:val="005C6AEC"/>
    <w:rsid w:val="005D0579"/>
    <w:rsid w:val="005D7C74"/>
    <w:rsid w:val="005E0434"/>
    <w:rsid w:val="005F26D0"/>
    <w:rsid w:val="005F29A6"/>
    <w:rsid w:val="005F58A7"/>
    <w:rsid w:val="00612292"/>
    <w:rsid w:val="00615FDB"/>
    <w:rsid w:val="00620E65"/>
    <w:rsid w:val="006232FF"/>
    <w:rsid w:val="00630798"/>
    <w:rsid w:val="0063700C"/>
    <w:rsid w:val="00657C69"/>
    <w:rsid w:val="00662CD8"/>
    <w:rsid w:val="00663ACF"/>
    <w:rsid w:val="00677463"/>
    <w:rsid w:val="00682043"/>
    <w:rsid w:val="00694636"/>
    <w:rsid w:val="006A0C6A"/>
    <w:rsid w:val="006A7BE9"/>
    <w:rsid w:val="006B01E6"/>
    <w:rsid w:val="006B5D8A"/>
    <w:rsid w:val="006B66EF"/>
    <w:rsid w:val="006C42B8"/>
    <w:rsid w:val="006D6BA3"/>
    <w:rsid w:val="006D7DF6"/>
    <w:rsid w:val="00710A8C"/>
    <w:rsid w:val="007128ED"/>
    <w:rsid w:val="00721F66"/>
    <w:rsid w:val="007303B8"/>
    <w:rsid w:val="007352D9"/>
    <w:rsid w:val="00735FC5"/>
    <w:rsid w:val="00744FF8"/>
    <w:rsid w:val="0074712C"/>
    <w:rsid w:val="00747D29"/>
    <w:rsid w:val="007503CC"/>
    <w:rsid w:val="00752EBC"/>
    <w:rsid w:val="00760091"/>
    <w:rsid w:val="007630B9"/>
    <w:rsid w:val="007713FA"/>
    <w:rsid w:val="007715EB"/>
    <w:rsid w:val="0077265F"/>
    <w:rsid w:val="00777036"/>
    <w:rsid w:val="007829A0"/>
    <w:rsid w:val="007938FD"/>
    <w:rsid w:val="007A4863"/>
    <w:rsid w:val="007B5513"/>
    <w:rsid w:val="007B5FF2"/>
    <w:rsid w:val="007C090A"/>
    <w:rsid w:val="007E65E7"/>
    <w:rsid w:val="007F0884"/>
    <w:rsid w:val="008103AC"/>
    <w:rsid w:val="0082595D"/>
    <w:rsid w:val="00841E07"/>
    <w:rsid w:val="0085096D"/>
    <w:rsid w:val="0086497A"/>
    <w:rsid w:val="00865790"/>
    <w:rsid w:val="008710DA"/>
    <w:rsid w:val="00874A08"/>
    <w:rsid w:val="0087677B"/>
    <w:rsid w:val="00882D10"/>
    <w:rsid w:val="00883ACF"/>
    <w:rsid w:val="00885ABA"/>
    <w:rsid w:val="008945B4"/>
    <w:rsid w:val="008955F9"/>
    <w:rsid w:val="008B671A"/>
    <w:rsid w:val="008D63AE"/>
    <w:rsid w:val="008D6876"/>
    <w:rsid w:val="008E4D56"/>
    <w:rsid w:val="00905799"/>
    <w:rsid w:val="0090742E"/>
    <w:rsid w:val="0092480C"/>
    <w:rsid w:val="009301FB"/>
    <w:rsid w:val="00933A6E"/>
    <w:rsid w:val="0093407C"/>
    <w:rsid w:val="0096137C"/>
    <w:rsid w:val="009734C5"/>
    <w:rsid w:val="009737D8"/>
    <w:rsid w:val="009738AA"/>
    <w:rsid w:val="009748D0"/>
    <w:rsid w:val="00976FC4"/>
    <w:rsid w:val="00985747"/>
    <w:rsid w:val="00986ED5"/>
    <w:rsid w:val="00992898"/>
    <w:rsid w:val="00994899"/>
    <w:rsid w:val="0099599C"/>
    <w:rsid w:val="009A6813"/>
    <w:rsid w:val="009B0F57"/>
    <w:rsid w:val="009B347E"/>
    <w:rsid w:val="009B6E74"/>
    <w:rsid w:val="009C60A0"/>
    <w:rsid w:val="009D0F57"/>
    <w:rsid w:val="009D3C03"/>
    <w:rsid w:val="009E2E79"/>
    <w:rsid w:val="009E52AC"/>
    <w:rsid w:val="009E5BC6"/>
    <w:rsid w:val="009F060D"/>
    <w:rsid w:val="00A25398"/>
    <w:rsid w:val="00A263B1"/>
    <w:rsid w:val="00A27619"/>
    <w:rsid w:val="00A27944"/>
    <w:rsid w:val="00A355A8"/>
    <w:rsid w:val="00A3676F"/>
    <w:rsid w:val="00A36CCE"/>
    <w:rsid w:val="00A4394F"/>
    <w:rsid w:val="00A455BA"/>
    <w:rsid w:val="00A470DA"/>
    <w:rsid w:val="00A55EBE"/>
    <w:rsid w:val="00A657C4"/>
    <w:rsid w:val="00A7426D"/>
    <w:rsid w:val="00A77A47"/>
    <w:rsid w:val="00A84795"/>
    <w:rsid w:val="00A9189D"/>
    <w:rsid w:val="00A92326"/>
    <w:rsid w:val="00A92A77"/>
    <w:rsid w:val="00AA128F"/>
    <w:rsid w:val="00AA22CC"/>
    <w:rsid w:val="00AA4EA5"/>
    <w:rsid w:val="00AA61A8"/>
    <w:rsid w:val="00AA7112"/>
    <w:rsid w:val="00AA7CB0"/>
    <w:rsid w:val="00AB2D7E"/>
    <w:rsid w:val="00AC0AC9"/>
    <w:rsid w:val="00AC0F29"/>
    <w:rsid w:val="00AC30F2"/>
    <w:rsid w:val="00AC3A5E"/>
    <w:rsid w:val="00AD0838"/>
    <w:rsid w:val="00AE09C1"/>
    <w:rsid w:val="00AF2EFA"/>
    <w:rsid w:val="00B060CD"/>
    <w:rsid w:val="00B155C2"/>
    <w:rsid w:val="00B325C7"/>
    <w:rsid w:val="00B42113"/>
    <w:rsid w:val="00B4553A"/>
    <w:rsid w:val="00B506AE"/>
    <w:rsid w:val="00B56315"/>
    <w:rsid w:val="00B5769B"/>
    <w:rsid w:val="00B615E9"/>
    <w:rsid w:val="00B6464E"/>
    <w:rsid w:val="00B66B12"/>
    <w:rsid w:val="00B70A76"/>
    <w:rsid w:val="00B774A2"/>
    <w:rsid w:val="00BD0AA7"/>
    <w:rsid w:val="00BD5A19"/>
    <w:rsid w:val="00BE0397"/>
    <w:rsid w:val="00BE3068"/>
    <w:rsid w:val="00BE4B4D"/>
    <w:rsid w:val="00BE6B3D"/>
    <w:rsid w:val="00BF00AC"/>
    <w:rsid w:val="00BF6E5F"/>
    <w:rsid w:val="00C01406"/>
    <w:rsid w:val="00C03B22"/>
    <w:rsid w:val="00C05A97"/>
    <w:rsid w:val="00C05DEB"/>
    <w:rsid w:val="00C10AEE"/>
    <w:rsid w:val="00C157F1"/>
    <w:rsid w:val="00C255CC"/>
    <w:rsid w:val="00C2590A"/>
    <w:rsid w:val="00C25E83"/>
    <w:rsid w:val="00C30A42"/>
    <w:rsid w:val="00C32471"/>
    <w:rsid w:val="00C338E9"/>
    <w:rsid w:val="00C407E9"/>
    <w:rsid w:val="00C41BA8"/>
    <w:rsid w:val="00C43188"/>
    <w:rsid w:val="00C62632"/>
    <w:rsid w:val="00C70FAB"/>
    <w:rsid w:val="00C7427B"/>
    <w:rsid w:val="00C75558"/>
    <w:rsid w:val="00C8063F"/>
    <w:rsid w:val="00C86201"/>
    <w:rsid w:val="00C879C3"/>
    <w:rsid w:val="00C947C4"/>
    <w:rsid w:val="00CA0448"/>
    <w:rsid w:val="00CA0DC5"/>
    <w:rsid w:val="00CB312C"/>
    <w:rsid w:val="00CB4626"/>
    <w:rsid w:val="00CB48F1"/>
    <w:rsid w:val="00CC24CD"/>
    <w:rsid w:val="00CC25F7"/>
    <w:rsid w:val="00CC3AD2"/>
    <w:rsid w:val="00CD36D8"/>
    <w:rsid w:val="00CD4AA1"/>
    <w:rsid w:val="00CE6443"/>
    <w:rsid w:val="00CE7371"/>
    <w:rsid w:val="00CF310A"/>
    <w:rsid w:val="00CF3166"/>
    <w:rsid w:val="00D22173"/>
    <w:rsid w:val="00D23469"/>
    <w:rsid w:val="00D264F8"/>
    <w:rsid w:val="00D34462"/>
    <w:rsid w:val="00D40FBA"/>
    <w:rsid w:val="00D47BFC"/>
    <w:rsid w:val="00D50119"/>
    <w:rsid w:val="00D52F1E"/>
    <w:rsid w:val="00D661F0"/>
    <w:rsid w:val="00D814F8"/>
    <w:rsid w:val="00D8176A"/>
    <w:rsid w:val="00D81DF5"/>
    <w:rsid w:val="00D84B78"/>
    <w:rsid w:val="00D8604C"/>
    <w:rsid w:val="00D9151F"/>
    <w:rsid w:val="00D924AD"/>
    <w:rsid w:val="00D9390D"/>
    <w:rsid w:val="00DA49C2"/>
    <w:rsid w:val="00DB0C9D"/>
    <w:rsid w:val="00DB2367"/>
    <w:rsid w:val="00DC0EDE"/>
    <w:rsid w:val="00DD7C4A"/>
    <w:rsid w:val="00DE50A7"/>
    <w:rsid w:val="00DE5740"/>
    <w:rsid w:val="00DF6B2F"/>
    <w:rsid w:val="00E24A55"/>
    <w:rsid w:val="00E2696A"/>
    <w:rsid w:val="00E31928"/>
    <w:rsid w:val="00E34062"/>
    <w:rsid w:val="00E34748"/>
    <w:rsid w:val="00E3535B"/>
    <w:rsid w:val="00E368FB"/>
    <w:rsid w:val="00E4671F"/>
    <w:rsid w:val="00E46A51"/>
    <w:rsid w:val="00E7715B"/>
    <w:rsid w:val="00E82EAD"/>
    <w:rsid w:val="00E83EA8"/>
    <w:rsid w:val="00E840F8"/>
    <w:rsid w:val="00E85B0B"/>
    <w:rsid w:val="00E9074A"/>
    <w:rsid w:val="00EA002E"/>
    <w:rsid w:val="00EA6836"/>
    <w:rsid w:val="00EB0858"/>
    <w:rsid w:val="00EB13BC"/>
    <w:rsid w:val="00EB4A74"/>
    <w:rsid w:val="00EB6B35"/>
    <w:rsid w:val="00EB6E2D"/>
    <w:rsid w:val="00EC0194"/>
    <w:rsid w:val="00ED2673"/>
    <w:rsid w:val="00EE372D"/>
    <w:rsid w:val="00EF1BBE"/>
    <w:rsid w:val="00EF3571"/>
    <w:rsid w:val="00F008BB"/>
    <w:rsid w:val="00F05876"/>
    <w:rsid w:val="00F0777C"/>
    <w:rsid w:val="00F14810"/>
    <w:rsid w:val="00F21766"/>
    <w:rsid w:val="00F24719"/>
    <w:rsid w:val="00F2611A"/>
    <w:rsid w:val="00F2789C"/>
    <w:rsid w:val="00F27C71"/>
    <w:rsid w:val="00F4384F"/>
    <w:rsid w:val="00F45605"/>
    <w:rsid w:val="00F47531"/>
    <w:rsid w:val="00F54985"/>
    <w:rsid w:val="00F64D40"/>
    <w:rsid w:val="00F723C4"/>
    <w:rsid w:val="00F74FBA"/>
    <w:rsid w:val="00F776D5"/>
    <w:rsid w:val="00F90D16"/>
    <w:rsid w:val="00F90FF5"/>
    <w:rsid w:val="00F971B6"/>
    <w:rsid w:val="00FA11D5"/>
    <w:rsid w:val="00FB0FE7"/>
    <w:rsid w:val="00FC3488"/>
    <w:rsid w:val="00FC4B31"/>
    <w:rsid w:val="00FC688C"/>
    <w:rsid w:val="00FC6AD6"/>
    <w:rsid w:val="00FD0CC5"/>
    <w:rsid w:val="00FD2D1D"/>
    <w:rsid w:val="00FF148B"/>
    <w:rsid w:val="00FF14B1"/>
    <w:rsid w:val="00FF5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A7EE0"/>
  <w15:chartTrackingRefBased/>
  <w15:docId w15:val="{B5237726-C33A-3843-8B12-B7764F222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68B9"/>
    <w:pPr>
      <w:spacing w:after="200"/>
      <w:jc w:val="both"/>
    </w:pPr>
    <w:rPr>
      <w:rFonts w:ascii="Times" w:eastAsia="Times New Roman" w:hAnsi="Times" w:cs="Times New Roman"/>
      <w:szCs w:val="20"/>
      <w:lang w:val="en-US"/>
    </w:rPr>
  </w:style>
  <w:style w:type="paragraph" w:styleId="Heading1">
    <w:name w:val="heading 1"/>
    <w:basedOn w:val="Normal"/>
    <w:next w:val="Normal"/>
    <w:link w:val="Heading1Char"/>
    <w:qFormat/>
    <w:rsid w:val="005B68B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5B68B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link w:val="Heading3Char"/>
    <w:qFormat/>
    <w:rsid w:val="005B68B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rsid w:val="005B68B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B68B9"/>
  </w:style>
  <w:style w:type="character" w:customStyle="1" w:styleId="Heading2Char">
    <w:name w:val="Heading 2 Char"/>
    <w:basedOn w:val="DefaultParagraphFont"/>
    <w:link w:val="Heading2"/>
    <w:rsid w:val="00F008BB"/>
    <w:rPr>
      <w:rFonts w:ascii="Myriad Pro Light" w:eastAsia="Times New Roman" w:hAnsi="Myriad Pro Light" w:cs="Arial"/>
      <w:b/>
      <w:bCs/>
      <w:iCs/>
      <w:sz w:val="20"/>
      <w:szCs w:val="28"/>
      <w:lang w:val="en-US"/>
    </w:rPr>
  </w:style>
  <w:style w:type="character" w:customStyle="1" w:styleId="Heading2Char1">
    <w:name w:val="Heading 2 Char1"/>
    <w:aliases w:val="Heading 2 Char Char,Heading 2 Char1 Char Char,Heading 2 Char Char Char Char,Heading 2 Char1 Char Char Char Char,Heading 2 Char Char Char Char Char Char,Heading 2 Char Char1 Char Char"/>
    <w:basedOn w:val="DefaultParagraphFont"/>
    <w:uiPriority w:val="9"/>
    <w:locked/>
    <w:rsid w:val="00352B4A"/>
    <w:rPr>
      <w:rFonts w:cs="Arial"/>
      <w:color w:val="000000"/>
      <w:kern w:val="28"/>
      <w:sz w:val="22"/>
      <w:szCs w:val="22"/>
    </w:rPr>
  </w:style>
  <w:style w:type="character" w:customStyle="1" w:styleId="Heading3Char">
    <w:name w:val="Heading 3 Char"/>
    <w:basedOn w:val="DefaultParagraphFont"/>
    <w:link w:val="Heading3"/>
    <w:rsid w:val="00663ACF"/>
    <w:rPr>
      <w:rFonts w:ascii="Myriad Pro Light" w:eastAsia="Times New Roman" w:hAnsi="Myriad Pro Light" w:cs="Arial"/>
      <w:b/>
      <w:bCs/>
      <w:sz w:val="20"/>
      <w:szCs w:val="26"/>
      <w:lang w:val="en-US"/>
    </w:rPr>
  </w:style>
  <w:style w:type="character" w:customStyle="1" w:styleId="Heading1Char">
    <w:name w:val="Heading 1 Char"/>
    <w:basedOn w:val="DefaultParagraphFont"/>
    <w:link w:val="Heading1"/>
    <w:rsid w:val="00F008BB"/>
    <w:rPr>
      <w:rFonts w:ascii="Myriad Pro Light" w:eastAsia="Times New Roman" w:hAnsi="Myriad Pro Light" w:cs="Arial"/>
      <w:b/>
      <w:bCs/>
      <w:kern w:val="32"/>
      <w:sz w:val="22"/>
      <w:szCs w:val="32"/>
      <w:lang w:val="en-US"/>
    </w:rPr>
  </w:style>
  <w:style w:type="paragraph" w:customStyle="1" w:styleId="Text">
    <w:name w:val="Text"/>
    <w:basedOn w:val="Heading1"/>
    <w:link w:val="TextChar"/>
    <w:autoRedefine/>
    <w:qFormat/>
    <w:rsid w:val="005B68B9"/>
    <w:pPr>
      <w:spacing w:before="0" w:after="0" w:line="480" w:lineRule="auto"/>
      <w:ind w:left="0" w:firstLine="0"/>
    </w:pPr>
    <w:rPr>
      <w:rFonts w:ascii="Arial" w:eastAsiaTheme="minorHAnsi" w:hAnsi="Arial" w:cstheme="minorBidi"/>
      <w:b w:val="0"/>
      <w:bCs w:val="0"/>
      <w:kern w:val="28"/>
      <w:szCs w:val="22"/>
      <w:lang w:val="en-GB"/>
    </w:rPr>
  </w:style>
  <w:style w:type="character" w:customStyle="1" w:styleId="TextChar">
    <w:name w:val="Text Char"/>
    <w:basedOn w:val="DefaultParagraphFont"/>
    <w:link w:val="Text"/>
    <w:rsid w:val="005B68B9"/>
    <w:rPr>
      <w:rFonts w:ascii="Arial" w:hAnsi="Arial"/>
      <w:kern w:val="28"/>
      <w:sz w:val="22"/>
      <w:szCs w:val="22"/>
    </w:rPr>
  </w:style>
  <w:style w:type="paragraph" w:customStyle="1" w:styleId="08ArticleText">
    <w:name w:val="08 Article Text"/>
    <w:basedOn w:val="Normal"/>
    <w:link w:val="08ArticleTextChar"/>
    <w:rsid w:val="00C03B22"/>
    <w:pPr>
      <w:tabs>
        <w:tab w:val="left" w:pos="284"/>
      </w:tabs>
      <w:spacing w:line="240" w:lineRule="exact"/>
    </w:pPr>
    <w:rPr>
      <w:rFonts w:ascii="Times New Roman" w:eastAsia="Calibri" w:hAnsi="Times New Roman"/>
      <w:w w:val="108"/>
      <w:sz w:val="18"/>
      <w:szCs w:val="18"/>
    </w:rPr>
  </w:style>
  <w:style w:type="character" w:customStyle="1" w:styleId="08ArticleTextChar">
    <w:name w:val="08 Article Text Char"/>
    <w:link w:val="08ArticleText"/>
    <w:rsid w:val="00C03B22"/>
    <w:rPr>
      <w:rFonts w:ascii="Times New Roman" w:eastAsia="Calibri" w:hAnsi="Times New Roman" w:cs="Times New Roman"/>
      <w:w w:val="108"/>
      <w:sz w:val="18"/>
      <w:szCs w:val="18"/>
    </w:rPr>
  </w:style>
  <w:style w:type="character" w:styleId="FollowedHyperlink">
    <w:name w:val="FollowedHyperlink"/>
    <w:rsid w:val="005B68B9"/>
    <w:rPr>
      <w:color w:val="800080"/>
      <w:u w:val="single"/>
    </w:rPr>
  </w:style>
  <w:style w:type="paragraph" w:styleId="BodyText">
    <w:name w:val="Body Text"/>
    <w:basedOn w:val="Normal"/>
    <w:link w:val="BodyTextChar"/>
    <w:rsid w:val="005B68B9"/>
    <w:pPr>
      <w:jc w:val="center"/>
    </w:pPr>
    <w:rPr>
      <w:b/>
      <w:sz w:val="40"/>
    </w:rPr>
  </w:style>
  <w:style w:type="character" w:customStyle="1" w:styleId="BodyTextChar">
    <w:name w:val="Body Text Char"/>
    <w:basedOn w:val="DefaultParagraphFont"/>
    <w:link w:val="BodyText"/>
    <w:rsid w:val="005B68B9"/>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5B68B9"/>
  </w:style>
  <w:style w:type="character" w:customStyle="1" w:styleId="FootnoteTextChar">
    <w:name w:val="Footnote Text Char"/>
    <w:basedOn w:val="DefaultParagraphFont"/>
    <w:link w:val="FootnoteText"/>
    <w:semiHidden/>
    <w:rsid w:val="005B68B9"/>
    <w:rPr>
      <w:rFonts w:ascii="Times" w:eastAsia="Times New Roman" w:hAnsi="Times" w:cs="Times New Roman"/>
      <w:szCs w:val="20"/>
      <w:lang w:val="en-US"/>
    </w:rPr>
  </w:style>
  <w:style w:type="paragraph" w:customStyle="1" w:styleId="TFReferencesSection">
    <w:name w:val="TF_References_Section"/>
    <w:basedOn w:val="Normal"/>
    <w:next w:val="Normal"/>
    <w:autoRedefine/>
    <w:rsid w:val="005B68B9"/>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5B68B9"/>
    <w:pPr>
      <w:spacing w:after="60"/>
      <w:ind w:firstLine="426"/>
    </w:pPr>
    <w:rPr>
      <w:rFonts w:ascii="Arno Pro" w:hAnsi="Arno Pro"/>
      <w:kern w:val="21"/>
      <w:sz w:val="19"/>
    </w:rPr>
  </w:style>
  <w:style w:type="paragraph" w:customStyle="1" w:styleId="BATitle">
    <w:name w:val="BA_Title"/>
    <w:basedOn w:val="Normal"/>
    <w:next w:val="BBAuthorName"/>
    <w:autoRedefine/>
    <w:rsid w:val="005B68B9"/>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5B68B9"/>
    <w:pPr>
      <w:spacing w:after="180"/>
      <w:jc w:val="left"/>
    </w:pPr>
    <w:rPr>
      <w:rFonts w:ascii="Arno Pro" w:hAnsi="Arno Pro"/>
      <w:kern w:val="26"/>
    </w:rPr>
  </w:style>
  <w:style w:type="paragraph" w:customStyle="1" w:styleId="BCAuthorAddress">
    <w:name w:val="BC_Author_Address"/>
    <w:basedOn w:val="Normal"/>
    <w:next w:val="BIEmailAddress"/>
    <w:autoRedefine/>
    <w:rsid w:val="005B68B9"/>
    <w:pPr>
      <w:spacing w:after="60"/>
      <w:jc w:val="left"/>
    </w:pPr>
    <w:rPr>
      <w:rFonts w:ascii="Arno Pro" w:hAnsi="Arno Pro"/>
      <w:kern w:val="22"/>
      <w:sz w:val="20"/>
    </w:rPr>
  </w:style>
  <w:style w:type="paragraph" w:customStyle="1" w:styleId="BIEmailAddress">
    <w:name w:val="BI_Email_Address"/>
    <w:basedOn w:val="Normal"/>
    <w:next w:val="AIReceivedDate"/>
    <w:autoRedefine/>
    <w:rsid w:val="005B68B9"/>
    <w:pPr>
      <w:spacing w:after="100"/>
      <w:jc w:val="left"/>
    </w:pPr>
    <w:rPr>
      <w:rFonts w:ascii="Arno Pro" w:hAnsi="Arno Pro"/>
      <w:sz w:val="18"/>
    </w:rPr>
  </w:style>
  <w:style w:type="paragraph" w:customStyle="1" w:styleId="AIReceivedDate">
    <w:name w:val="AI_Received_Date"/>
    <w:basedOn w:val="Normal"/>
    <w:next w:val="Normal"/>
    <w:autoRedefine/>
    <w:rsid w:val="005B68B9"/>
    <w:pPr>
      <w:spacing w:after="100"/>
      <w:jc w:val="left"/>
    </w:pPr>
    <w:rPr>
      <w:rFonts w:ascii="Arno Pro" w:hAnsi="Arno Pro"/>
      <w:sz w:val="18"/>
    </w:rPr>
  </w:style>
  <w:style w:type="paragraph" w:customStyle="1" w:styleId="BDAbstract">
    <w:name w:val="BD_Abstract"/>
    <w:basedOn w:val="Normal"/>
    <w:next w:val="TAMainText"/>
    <w:link w:val="BDAbstractChar"/>
    <w:autoRedefine/>
    <w:rsid w:val="005B68B9"/>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5B68B9"/>
    <w:pPr>
      <w:spacing w:after="0"/>
    </w:pPr>
    <w:rPr>
      <w:rFonts w:ascii="Arno Pro" w:hAnsi="Arno Pro"/>
      <w:kern w:val="20"/>
      <w:sz w:val="18"/>
    </w:rPr>
  </w:style>
  <w:style w:type="paragraph" w:customStyle="1" w:styleId="TESupportingInformation">
    <w:name w:val="TE_Supporting_Information"/>
    <w:basedOn w:val="Normal"/>
    <w:next w:val="Normal"/>
    <w:autoRedefine/>
    <w:rsid w:val="005B68B9"/>
    <w:pPr>
      <w:spacing w:after="0"/>
    </w:pPr>
    <w:rPr>
      <w:rFonts w:ascii="Arno Pro" w:hAnsi="Arno Pro"/>
      <w:kern w:val="20"/>
      <w:sz w:val="18"/>
    </w:rPr>
  </w:style>
  <w:style w:type="paragraph" w:customStyle="1" w:styleId="VCSchemeTitle">
    <w:name w:val="VC_Scheme_Title"/>
    <w:basedOn w:val="Normal"/>
    <w:next w:val="Normal"/>
    <w:autoRedefine/>
    <w:rsid w:val="005B68B9"/>
    <w:pPr>
      <w:spacing w:after="180"/>
    </w:pPr>
    <w:rPr>
      <w:rFonts w:ascii="Arno Pro" w:hAnsi="Arno Pro"/>
      <w:b/>
      <w:kern w:val="21"/>
      <w:sz w:val="19"/>
    </w:rPr>
  </w:style>
  <w:style w:type="paragraph" w:customStyle="1" w:styleId="VDTableTitle">
    <w:name w:val="VD_Table_Title"/>
    <w:basedOn w:val="Normal"/>
    <w:next w:val="Normal"/>
    <w:autoRedefine/>
    <w:rsid w:val="005B68B9"/>
    <w:pPr>
      <w:spacing w:after="180"/>
    </w:pPr>
    <w:rPr>
      <w:rFonts w:ascii="Arno Pro" w:hAnsi="Arno Pro"/>
      <w:b/>
      <w:kern w:val="21"/>
      <w:sz w:val="19"/>
      <w:szCs w:val="19"/>
    </w:rPr>
  </w:style>
  <w:style w:type="paragraph" w:customStyle="1" w:styleId="VAFigureCaption">
    <w:name w:val="VA_Figure_Caption"/>
    <w:basedOn w:val="Normal"/>
    <w:next w:val="Normal"/>
    <w:autoRedefine/>
    <w:rsid w:val="005B68B9"/>
    <w:pPr>
      <w:spacing w:before="200" w:after="120"/>
    </w:pPr>
    <w:rPr>
      <w:rFonts w:ascii="Arno Pro" w:hAnsi="Arno Pro"/>
      <w:kern w:val="20"/>
      <w:sz w:val="18"/>
    </w:rPr>
  </w:style>
  <w:style w:type="paragraph" w:customStyle="1" w:styleId="VBChartTitle">
    <w:name w:val="VB_Chart_Title"/>
    <w:basedOn w:val="Normal"/>
    <w:next w:val="Normal"/>
    <w:autoRedefine/>
    <w:rsid w:val="005B68B9"/>
    <w:pPr>
      <w:spacing w:after="180"/>
    </w:pPr>
    <w:rPr>
      <w:rFonts w:ascii="Arno Pro" w:hAnsi="Arno Pro"/>
      <w:b/>
      <w:kern w:val="21"/>
      <w:sz w:val="19"/>
    </w:rPr>
  </w:style>
  <w:style w:type="paragraph" w:customStyle="1" w:styleId="FETableFootnote">
    <w:name w:val="FE_Table_Footnote"/>
    <w:basedOn w:val="Normal"/>
    <w:next w:val="Normal"/>
    <w:autoRedefine/>
    <w:rsid w:val="005B68B9"/>
    <w:pPr>
      <w:spacing w:before="60" w:after="120"/>
      <w:ind w:firstLine="187"/>
    </w:pPr>
    <w:rPr>
      <w:rFonts w:ascii="Arno Pro" w:hAnsi="Arno Pro"/>
      <w:sz w:val="18"/>
    </w:rPr>
  </w:style>
  <w:style w:type="paragraph" w:customStyle="1" w:styleId="FCChartFootnote">
    <w:name w:val="FC_Chart_Footnote"/>
    <w:basedOn w:val="Normal"/>
    <w:next w:val="Normal"/>
    <w:autoRedefine/>
    <w:rsid w:val="005B68B9"/>
    <w:pPr>
      <w:spacing w:before="60" w:after="120"/>
      <w:ind w:firstLine="187"/>
    </w:pPr>
    <w:rPr>
      <w:rFonts w:ascii="Arno Pro" w:hAnsi="Arno Pro"/>
      <w:sz w:val="18"/>
    </w:rPr>
  </w:style>
  <w:style w:type="paragraph" w:customStyle="1" w:styleId="FDSchemeFootnote">
    <w:name w:val="FD_Scheme_Footnote"/>
    <w:basedOn w:val="Normal"/>
    <w:next w:val="Normal"/>
    <w:autoRedefine/>
    <w:rsid w:val="005B68B9"/>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5B68B9"/>
    <w:pPr>
      <w:spacing w:before="20" w:after="60"/>
      <w:jc w:val="center"/>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5B68B9"/>
    <w:pPr>
      <w:spacing w:after="0"/>
      <w:jc w:val="left"/>
    </w:pPr>
    <w:rPr>
      <w:rFonts w:ascii="Arno Pro" w:hAnsi="Arno Pro"/>
      <w:kern w:val="20"/>
      <w:sz w:val="18"/>
    </w:rPr>
  </w:style>
  <w:style w:type="paragraph" w:customStyle="1" w:styleId="BEAuthorBiography">
    <w:name w:val="BE_Author_Biography"/>
    <w:basedOn w:val="Normal"/>
    <w:autoRedefine/>
    <w:rsid w:val="005B68B9"/>
    <w:rPr>
      <w:rFonts w:ascii="Arno Pro" w:hAnsi="Arno Pro"/>
      <w:sz w:val="22"/>
    </w:rPr>
  </w:style>
  <w:style w:type="paragraph" w:customStyle="1" w:styleId="StyleBIEmailAddress95pt">
    <w:name w:val="Style BI_Email_Address + 9.5 pt"/>
    <w:basedOn w:val="BIEmailAddress"/>
    <w:rsid w:val="005B68B9"/>
    <w:pPr>
      <w:spacing w:after="60"/>
    </w:pPr>
    <w:rPr>
      <w:sz w:val="19"/>
    </w:rPr>
  </w:style>
  <w:style w:type="paragraph" w:customStyle="1" w:styleId="SNSynopsisTOC">
    <w:name w:val="SN_Synopsis_TOC"/>
    <w:basedOn w:val="Normal"/>
    <w:next w:val="Normal"/>
    <w:autoRedefine/>
    <w:rsid w:val="005B68B9"/>
    <w:pPr>
      <w:spacing w:after="60"/>
    </w:pPr>
    <w:rPr>
      <w:rFonts w:ascii="Arno Pro" w:hAnsi="Arno Pro"/>
      <w:kern w:val="22"/>
      <w:sz w:val="20"/>
    </w:rPr>
  </w:style>
  <w:style w:type="character" w:styleId="Hyperlink">
    <w:name w:val="Hyperlink"/>
    <w:rsid w:val="005B68B9"/>
    <w:rPr>
      <w:color w:val="0000FF"/>
      <w:u w:val="single"/>
    </w:rPr>
  </w:style>
  <w:style w:type="paragraph" w:styleId="Footer">
    <w:name w:val="footer"/>
    <w:basedOn w:val="Normal"/>
    <w:link w:val="FooterChar"/>
    <w:rsid w:val="005B68B9"/>
    <w:pPr>
      <w:tabs>
        <w:tab w:val="center" w:pos="4320"/>
        <w:tab w:val="right" w:pos="8640"/>
      </w:tabs>
    </w:pPr>
  </w:style>
  <w:style w:type="character" w:customStyle="1" w:styleId="FooterChar">
    <w:name w:val="Footer Char"/>
    <w:basedOn w:val="DefaultParagraphFont"/>
    <w:link w:val="Footer"/>
    <w:rsid w:val="005B68B9"/>
    <w:rPr>
      <w:rFonts w:ascii="Times" w:eastAsia="Times New Roman" w:hAnsi="Times" w:cs="Times New Roman"/>
      <w:szCs w:val="20"/>
      <w:lang w:val="en-US"/>
    </w:rPr>
  </w:style>
  <w:style w:type="paragraph" w:customStyle="1" w:styleId="BGKeywords">
    <w:name w:val="BG_Keywords"/>
    <w:basedOn w:val="Normal"/>
    <w:next w:val="BHBriefs"/>
    <w:autoRedefine/>
    <w:rsid w:val="005B68B9"/>
    <w:pPr>
      <w:spacing w:after="220"/>
      <w:jc w:val="left"/>
    </w:pPr>
    <w:rPr>
      <w:rFonts w:ascii="Arno Pro" w:hAnsi="Arno Pro"/>
      <w:i/>
      <w:kern w:val="22"/>
      <w:sz w:val="20"/>
    </w:rPr>
  </w:style>
  <w:style w:type="paragraph" w:customStyle="1" w:styleId="BHBriefs">
    <w:name w:val="BH_Briefs"/>
    <w:basedOn w:val="Normal"/>
    <w:next w:val="BDAbstract"/>
    <w:autoRedefine/>
    <w:rsid w:val="005B68B9"/>
    <w:pPr>
      <w:spacing w:before="180" w:after="60"/>
      <w:jc w:val="left"/>
    </w:pPr>
    <w:rPr>
      <w:rFonts w:ascii="Arno Pro" w:hAnsi="Arno Pro"/>
      <w:kern w:val="22"/>
      <w:sz w:val="20"/>
    </w:rPr>
  </w:style>
  <w:style w:type="character" w:styleId="PageNumber">
    <w:name w:val="page number"/>
    <w:basedOn w:val="DefaultParagraphFont"/>
    <w:rsid w:val="005B68B9"/>
  </w:style>
  <w:style w:type="paragraph" w:styleId="BalloonText">
    <w:name w:val="Balloon Text"/>
    <w:basedOn w:val="Normal"/>
    <w:link w:val="BalloonTextChar"/>
    <w:semiHidden/>
    <w:rsid w:val="005B68B9"/>
    <w:rPr>
      <w:rFonts w:ascii="Tahoma" w:hAnsi="Tahoma" w:cs="Tahoma"/>
      <w:sz w:val="16"/>
      <w:szCs w:val="16"/>
    </w:rPr>
  </w:style>
  <w:style w:type="character" w:customStyle="1" w:styleId="BalloonTextChar">
    <w:name w:val="Balloon Text Char"/>
    <w:basedOn w:val="DefaultParagraphFont"/>
    <w:link w:val="BalloonText"/>
    <w:semiHidden/>
    <w:rsid w:val="005B68B9"/>
    <w:rPr>
      <w:rFonts w:ascii="Tahoma" w:eastAsia="Times New Roman" w:hAnsi="Tahoma" w:cs="Tahoma"/>
      <w:sz w:val="16"/>
      <w:szCs w:val="16"/>
      <w:lang w:val="en-US"/>
    </w:rPr>
  </w:style>
  <w:style w:type="character" w:styleId="EndnoteReference">
    <w:name w:val="endnote reference"/>
    <w:semiHidden/>
    <w:rsid w:val="005B68B9"/>
    <w:rPr>
      <w:rFonts w:ascii="Times" w:hAnsi="Times"/>
      <w:sz w:val="18"/>
      <w:vertAlign w:val="superscript"/>
    </w:rPr>
  </w:style>
  <w:style w:type="paragraph" w:customStyle="1" w:styleId="StyleTCTableBodyBold">
    <w:name w:val="Style TC_Table_Body + Bold"/>
    <w:basedOn w:val="TCTableBody"/>
    <w:link w:val="StyleTCTableBodyBoldChar"/>
    <w:rsid w:val="005B68B9"/>
    <w:rPr>
      <w:b/>
      <w:bCs/>
      <w:kern w:val="22"/>
      <w:sz w:val="15"/>
    </w:rPr>
  </w:style>
  <w:style w:type="character" w:customStyle="1" w:styleId="StyleFACorrespondingAuthorFootnote7ptChar">
    <w:name w:val="Style FA_Corresponding_Author_Footnote + 7 pt Char"/>
    <w:link w:val="StyleFACorrespondingAuthorFootnote7pt"/>
    <w:rsid w:val="005B68B9"/>
    <w:rPr>
      <w:rFonts w:ascii="Arno Pro" w:eastAsia="Times New Roman" w:hAnsi="Arno Pro" w:cs="Times New Roman"/>
      <w:kern w:val="20"/>
      <w:sz w:val="18"/>
      <w:szCs w:val="20"/>
      <w:lang w:val="en-US"/>
    </w:rPr>
  </w:style>
  <w:style w:type="paragraph" w:customStyle="1" w:styleId="BDAbstractTitle">
    <w:name w:val="BD_Abstract_Title"/>
    <w:basedOn w:val="BDAbstract"/>
    <w:link w:val="BDAbstractTitleChar"/>
    <w:rsid w:val="005B68B9"/>
    <w:rPr>
      <w:b/>
    </w:rPr>
  </w:style>
  <w:style w:type="character" w:customStyle="1" w:styleId="BDAbstractChar">
    <w:name w:val="BD_Abstract Char"/>
    <w:link w:val="BDAbstract"/>
    <w:rsid w:val="005B68B9"/>
    <w:rPr>
      <w:rFonts w:ascii="Arno Pro" w:eastAsia="Times New Roman" w:hAnsi="Arno Pro" w:cs="Times New Roman"/>
      <w:kern w:val="21"/>
      <w:sz w:val="19"/>
      <w:szCs w:val="20"/>
      <w:lang w:val="en-US"/>
    </w:rPr>
  </w:style>
  <w:style w:type="character" w:customStyle="1" w:styleId="BDAbstractTitleChar">
    <w:name w:val="BD_Abstract_Title Char"/>
    <w:link w:val="BDAbstractTitle"/>
    <w:rsid w:val="005B68B9"/>
    <w:rPr>
      <w:rFonts w:ascii="Arno Pro" w:eastAsia="Times New Roman" w:hAnsi="Arno Pro" w:cs="Times New Roman"/>
      <w:b/>
      <w:kern w:val="21"/>
      <w:sz w:val="19"/>
      <w:szCs w:val="20"/>
      <w:lang w:val="en-US"/>
    </w:rPr>
  </w:style>
  <w:style w:type="paragraph" w:customStyle="1" w:styleId="TDAckTitle">
    <w:name w:val="TD_Ack_Title"/>
    <w:basedOn w:val="TDAcknowledgments"/>
    <w:link w:val="TDAckTitleChar"/>
    <w:rsid w:val="005B68B9"/>
    <w:pPr>
      <w:spacing w:before="180" w:after="60"/>
    </w:pPr>
    <w:rPr>
      <w:rFonts w:ascii="Myriad Pro Light" w:hAnsi="Myriad Pro Light"/>
      <w:b/>
      <w:kern w:val="23"/>
      <w:sz w:val="21"/>
    </w:rPr>
  </w:style>
  <w:style w:type="character" w:customStyle="1" w:styleId="TDAcknowledgmentsChar">
    <w:name w:val="TD_Acknowledgments Char"/>
    <w:link w:val="TDAcknowledgments"/>
    <w:rsid w:val="005B68B9"/>
    <w:rPr>
      <w:rFonts w:ascii="Arno Pro" w:eastAsia="Times New Roman" w:hAnsi="Arno Pro" w:cs="Times New Roman"/>
      <w:kern w:val="20"/>
      <w:sz w:val="18"/>
      <w:szCs w:val="20"/>
      <w:lang w:val="en-US"/>
    </w:rPr>
  </w:style>
  <w:style w:type="character" w:customStyle="1" w:styleId="TDAckTitleChar">
    <w:name w:val="TD_Ack_Title Char"/>
    <w:link w:val="TDAckTitle"/>
    <w:rsid w:val="005B68B9"/>
    <w:rPr>
      <w:rFonts w:ascii="Myriad Pro Light" w:eastAsia="Times New Roman" w:hAnsi="Myriad Pro Light" w:cs="Times New Roman"/>
      <w:b/>
      <w:kern w:val="23"/>
      <w:sz w:val="21"/>
      <w:szCs w:val="20"/>
      <w:lang w:val="en-US"/>
    </w:rPr>
  </w:style>
  <w:style w:type="paragraph" w:customStyle="1" w:styleId="TESupportingInfoTitle">
    <w:name w:val="TE_Supporting_Info_Title"/>
    <w:basedOn w:val="TESupportingInformation"/>
    <w:autoRedefine/>
    <w:rsid w:val="005B68B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5B68B9"/>
  </w:style>
  <w:style w:type="paragraph" w:customStyle="1" w:styleId="FAAuthorInfoSubtitle">
    <w:name w:val="FA_Author_Info_Subtitle"/>
    <w:basedOn w:val="Normal"/>
    <w:link w:val="FAAuthorInfoSubtitleChar"/>
    <w:autoRedefine/>
    <w:rsid w:val="005B68B9"/>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5B68B9"/>
    <w:rPr>
      <w:rFonts w:ascii="Myriad Pro Light" w:eastAsia="Times New Roman" w:hAnsi="Myriad Pro Light" w:cs="Times New Roman"/>
      <w:b/>
      <w:kern w:val="21"/>
      <w:sz w:val="19"/>
      <w:szCs w:val="14"/>
      <w:lang w:val="en-US"/>
    </w:rPr>
  </w:style>
  <w:style w:type="character" w:customStyle="1" w:styleId="TCTableBodyChar">
    <w:name w:val="TC_Table_Body Char"/>
    <w:link w:val="TCTableBody"/>
    <w:rsid w:val="005B68B9"/>
    <w:rPr>
      <w:rFonts w:ascii="Arno Pro" w:eastAsia="Times New Roman" w:hAnsi="Arno Pro" w:cs="Times New Roman"/>
      <w:kern w:val="20"/>
      <w:sz w:val="18"/>
      <w:szCs w:val="20"/>
      <w:lang w:val="en-US"/>
    </w:rPr>
  </w:style>
  <w:style w:type="character" w:customStyle="1" w:styleId="StyleTCTableBodyBoldChar">
    <w:name w:val="Style TC_Table_Body + Bold Char"/>
    <w:link w:val="StyleTCTableBodyBold"/>
    <w:rsid w:val="005B68B9"/>
    <w:rPr>
      <w:rFonts w:ascii="Arno Pro" w:eastAsia="Times New Roman" w:hAnsi="Arno Pro" w:cs="Times New Roman"/>
      <w:b/>
      <w:bCs/>
      <w:kern w:val="22"/>
      <w:sz w:val="15"/>
      <w:szCs w:val="20"/>
      <w:lang w:val="en-US"/>
    </w:rPr>
  </w:style>
  <w:style w:type="paragraph" w:customStyle="1" w:styleId="TFExperimentalSection">
    <w:name w:val="TF_Experimental_Section"/>
    <w:basedOn w:val="TFReferencesSection"/>
    <w:qFormat/>
    <w:rsid w:val="005B68B9"/>
  </w:style>
  <w:style w:type="paragraph" w:customStyle="1" w:styleId="TESectionHeading">
    <w:name w:val="TE_Section_Heading"/>
    <w:basedOn w:val="TESupportingInfoTitle"/>
    <w:qFormat/>
    <w:rsid w:val="005B68B9"/>
  </w:style>
  <w:style w:type="character" w:styleId="UnresolvedMention">
    <w:name w:val="Unresolved Mention"/>
    <w:basedOn w:val="DefaultParagraphFont"/>
    <w:uiPriority w:val="99"/>
    <w:semiHidden/>
    <w:unhideWhenUsed/>
    <w:rsid w:val="005B68B9"/>
    <w:rPr>
      <w:color w:val="605E5C"/>
      <w:shd w:val="clear" w:color="auto" w:fill="E1DFDD"/>
    </w:rPr>
  </w:style>
  <w:style w:type="paragraph" w:customStyle="1" w:styleId="EndNoteBibliographyTitle">
    <w:name w:val="EndNote Bibliography Title"/>
    <w:basedOn w:val="Normal"/>
    <w:link w:val="EndNoteBibliographyTitleChar"/>
    <w:rsid w:val="005B68B9"/>
    <w:pPr>
      <w:spacing w:after="0"/>
      <w:jc w:val="center"/>
    </w:pPr>
    <w:rPr>
      <w:rFonts w:cs="Times"/>
      <w:kern w:val="21"/>
      <w:sz w:val="19"/>
    </w:rPr>
  </w:style>
  <w:style w:type="character" w:customStyle="1" w:styleId="TAMainTextChar">
    <w:name w:val="TA_Main_Text Char"/>
    <w:basedOn w:val="DefaultParagraphFont"/>
    <w:link w:val="TAMainText"/>
    <w:rsid w:val="005B68B9"/>
    <w:rPr>
      <w:rFonts w:ascii="Arno Pro" w:eastAsia="Times New Roman" w:hAnsi="Arno Pro" w:cs="Times New Roman"/>
      <w:kern w:val="21"/>
      <w:sz w:val="19"/>
      <w:szCs w:val="20"/>
      <w:lang w:val="en-US"/>
    </w:rPr>
  </w:style>
  <w:style w:type="character" w:customStyle="1" w:styleId="EndNoteBibliographyTitleChar">
    <w:name w:val="EndNote Bibliography Title Char"/>
    <w:basedOn w:val="TAMainTextChar"/>
    <w:link w:val="EndNoteBibliographyTitle"/>
    <w:rsid w:val="005B68B9"/>
    <w:rPr>
      <w:rFonts w:ascii="Times" w:eastAsia="Times New Roman" w:hAnsi="Times" w:cs="Times"/>
      <w:kern w:val="21"/>
      <w:sz w:val="19"/>
      <w:szCs w:val="20"/>
      <w:lang w:val="en-US"/>
    </w:rPr>
  </w:style>
  <w:style w:type="paragraph" w:customStyle="1" w:styleId="EndNoteBibliography">
    <w:name w:val="EndNote Bibliography"/>
    <w:basedOn w:val="Normal"/>
    <w:link w:val="EndNoteBibliographyChar"/>
    <w:rsid w:val="005B68B9"/>
    <w:pPr>
      <w:jc w:val="center"/>
    </w:pPr>
    <w:rPr>
      <w:rFonts w:cs="Times"/>
      <w:kern w:val="21"/>
      <w:sz w:val="19"/>
    </w:rPr>
  </w:style>
  <w:style w:type="character" w:customStyle="1" w:styleId="EndNoteBibliographyChar">
    <w:name w:val="EndNote Bibliography Char"/>
    <w:basedOn w:val="TAMainTextChar"/>
    <w:link w:val="EndNoteBibliography"/>
    <w:rsid w:val="005B68B9"/>
    <w:rPr>
      <w:rFonts w:ascii="Times" w:eastAsia="Times New Roman" w:hAnsi="Times" w:cs="Times"/>
      <w:kern w:val="21"/>
      <w:sz w:val="19"/>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emf"/><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4.emf"/><Relationship Id="rId5" Type="http://schemas.openxmlformats.org/officeDocument/2006/relationships/footer" Target="footer1.xml"/><Relationship Id="rId15" Type="http://schemas.openxmlformats.org/officeDocument/2006/relationships/image" Target="media/image8.tif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6631</Words>
  <Characters>35678</Characters>
  <Application>Microsoft Office Word</Application>
  <DocSecurity>0</DocSecurity>
  <Lines>699</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Lynam</dc:creator>
  <cp:keywords/>
  <dc:description/>
  <cp:lastModifiedBy>Jason Lynam</cp:lastModifiedBy>
  <cp:revision>2</cp:revision>
  <dcterms:created xsi:type="dcterms:W3CDTF">2020-11-27T15:32:00Z</dcterms:created>
  <dcterms:modified xsi:type="dcterms:W3CDTF">2020-11-27T15:32:00Z</dcterms:modified>
</cp:coreProperties>
</file>