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24153" w14:textId="70BED3C7" w:rsidR="00883E13" w:rsidRPr="002A68EC" w:rsidRDefault="0056076C" w:rsidP="002A68EC">
      <w:pPr>
        <w:pStyle w:val="Heading1"/>
        <w:spacing w:before="0" w:beforeAutospacing="0" w:after="120" w:afterAutospacing="0"/>
        <w:jc w:val="both"/>
        <w:rPr>
          <w:sz w:val="24"/>
          <w:szCs w:val="24"/>
          <w:u w:val="single"/>
        </w:rPr>
      </w:pPr>
      <w:r w:rsidRPr="002A68EC">
        <w:rPr>
          <w:sz w:val="24"/>
          <w:szCs w:val="24"/>
        </w:rPr>
        <w:t xml:space="preserve">BETWEEN THE DEVIL AND THE DEEP BLUE SEA: </w:t>
      </w:r>
      <w:r w:rsidR="0005754A">
        <w:rPr>
          <w:sz w:val="24"/>
          <w:szCs w:val="24"/>
        </w:rPr>
        <w:t>VULNERABLE</w:t>
      </w:r>
      <w:r w:rsidR="008D2FAF">
        <w:rPr>
          <w:sz w:val="24"/>
          <w:szCs w:val="24"/>
        </w:rPr>
        <w:t xml:space="preserve"> EU CITIZENS </w:t>
      </w:r>
      <w:r w:rsidR="0005754A">
        <w:rPr>
          <w:sz w:val="24"/>
          <w:szCs w:val="24"/>
        </w:rPr>
        <w:t xml:space="preserve">CAST ADRIFT </w:t>
      </w:r>
      <w:r w:rsidR="008D2FAF">
        <w:rPr>
          <w:sz w:val="24"/>
          <w:szCs w:val="24"/>
        </w:rPr>
        <w:t>IN THE UK</w:t>
      </w:r>
      <w:r w:rsidRPr="002A68EC">
        <w:rPr>
          <w:sz w:val="24"/>
          <w:szCs w:val="24"/>
        </w:rPr>
        <w:t xml:space="preserve"> </w:t>
      </w:r>
    </w:p>
    <w:p w14:paraId="79C469BC" w14:textId="77777777" w:rsidR="00883E13" w:rsidRPr="002A68EC" w:rsidRDefault="00883E13" w:rsidP="002A68EC">
      <w:pPr>
        <w:shd w:val="clear" w:color="auto" w:fill="FFFFFF"/>
        <w:spacing w:after="120"/>
        <w:ind w:right="-52"/>
        <w:jc w:val="both"/>
        <w:rPr>
          <w:rFonts w:cs="Calibri"/>
          <w:u w:val="single"/>
        </w:rPr>
      </w:pPr>
    </w:p>
    <w:p w14:paraId="76BD6ACB" w14:textId="27B68671" w:rsidR="007230BD" w:rsidRPr="002A68EC" w:rsidRDefault="00F47031" w:rsidP="002A68EC">
      <w:pPr>
        <w:shd w:val="clear" w:color="auto" w:fill="FFFFFF"/>
        <w:spacing w:after="120"/>
        <w:ind w:right="-52"/>
        <w:jc w:val="both"/>
        <w:rPr>
          <w:rFonts w:cs="Arial"/>
        </w:rPr>
      </w:pPr>
      <w:r w:rsidRPr="002A68EC">
        <w:rPr>
          <w:rFonts w:cs="Arial"/>
        </w:rPr>
        <w:t>CHARLOTTE O’BRIEN* </w:t>
      </w:r>
    </w:p>
    <w:p w14:paraId="40F26DC5" w14:textId="77777777" w:rsidR="00857C2E" w:rsidRPr="002A68EC" w:rsidRDefault="00857C2E" w:rsidP="002A68EC">
      <w:pPr>
        <w:shd w:val="clear" w:color="auto" w:fill="FFFFFF"/>
        <w:spacing w:after="120"/>
        <w:ind w:right="-52"/>
        <w:jc w:val="both"/>
        <w:rPr>
          <w:rFonts w:cs="Arial"/>
          <w:b/>
        </w:rPr>
      </w:pPr>
    </w:p>
    <w:p w14:paraId="33EC3E7B" w14:textId="46DA54C2" w:rsidR="0064598F" w:rsidRPr="002A68EC" w:rsidRDefault="0064598F" w:rsidP="002A68EC">
      <w:pPr>
        <w:shd w:val="clear" w:color="auto" w:fill="FFFFFF"/>
        <w:spacing w:after="120"/>
        <w:ind w:right="-52"/>
        <w:jc w:val="both"/>
        <w:rPr>
          <w:rFonts w:cs="Arial"/>
          <w:b/>
        </w:rPr>
      </w:pPr>
      <w:r w:rsidRPr="002A68EC">
        <w:rPr>
          <w:rFonts w:cs="Arial"/>
          <w:b/>
        </w:rPr>
        <w:t>Abstract</w:t>
      </w:r>
    </w:p>
    <w:p w14:paraId="10E5F601" w14:textId="22A3FEF4" w:rsidR="00127448" w:rsidRPr="002A68EC" w:rsidRDefault="007230BD" w:rsidP="002A68EC">
      <w:pPr>
        <w:shd w:val="clear" w:color="auto" w:fill="FFFFFF"/>
        <w:spacing w:after="120"/>
        <w:ind w:right="-52"/>
        <w:jc w:val="both"/>
        <w:rPr>
          <w:rFonts w:cs="Arial"/>
          <w:i/>
        </w:rPr>
      </w:pPr>
      <w:r w:rsidRPr="002A68EC">
        <w:rPr>
          <w:rFonts w:cs="Arial"/>
          <w:i/>
        </w:rPr>
        <w:t>Both the UK government and the EU negotiating team have let down vast numbers of EU citizens in the UK</w:t>
      </w:r>
      <w:r w:rsidR="0064598F" w:rsidRPr="002A68EC">
        <w:rPr>
          <w:rFonts w:cs="Arial"/>
          <w:i/>
        </w:rPr>
        <w:t xml:space="preserve">. </w:t>
      </w:r>
      <w:r w:rsidR="00166A12" w:rsidRPr="002A68EC">
        <w:rPr>
          <w:rFonts w:cs="Arial"/>
          <w:i/>
        </w:rPr>
        <w:t>Th</w:t>
      </w:r>
      <w:r w:rsidR="0005754A">
        <w:rPr>
          <w:rFonts w:cs="Arial"/>
          <w:i/>
        </w:rPr>
        <w:t xml:space="preserve">e creation of continuing EU responsibilities in a newly ex-Member State, for EU citizens who exercised their EU free movement rights before withdrawal, is an unprecedented challenge. </w:t>
      </w:r>
      <w:r w:rsidR="00267011" w:rsidRPr="002A68EC">
        <w:rPr>
          <w:rFonts w:cs="Arial"/>
          <w:i/>
        </w:rPr>
        <w:t>This</w:t>
      </w:r>
      <w:r w:rsidR="00E9692F" w:rsidRPr="002A68EC">
        <w:rPr>
          <w:rFonts w:cs="Arial"/>
          <w:i/>
        </w:rPr>
        <w:t xml:space="preserve"> piece </w:t>
      </w:r>
      <w:r w:rsidR="00FD0DA5" w:rsidRPr="002A68EC">
        <w:rPr>
          <w:rFonts w:cs="Arial"/>
          <w:i/>
        </w:rPr>
        <w:t>explores f</w:t>
      </w:r>
      <w:r w:rsidR="006C3CAC" w:rsidRPr="002A68EC">
        <w:rPr>
          <w:rFonts w:cs="Arial"/>
          <w:i/>
        </w:rPr>
        <w:t>our</w:t>
      </w:r>
      <w:r w:rsidR="00267011" w:rsidRPr="002A68EC">
        <w:rPr>
          <w:rFonts w:cs="Arial"/>
          <w:i/>
        </w:rPr>
        <w:t xml:space="preserve"> growing threats</w:t>
      </w:r>
      <w:r w:rsidR="0005754A">
        <w:rPr>
          <w:rFonts w:cs="Arial"/>
          <w:i/>
        </w:rPr>
        <w:t xml:space="preserve"> to their rights.</w:t>
      </w:r>
      <w:r w:rsidR="00747996" w:rsidRPr="002A68EC">
        <w:rPr>
          <w:rFonts w:cs="Arial"/>
          <w:i/>
        </w:rPr>
        <w:t xml:space="preserve"> (1)</w:t>
      </w:r>
      <w:r w:rsidR="0064598F" w:rsidRPr="002A68EC">
        <w:rPr>
          <w:rFonts w:cs="Arial"/>
          <w:i/>
        </w:rPr>
        <w:t xml:space="preserve"> </w:t>
      </w:r>
      <w:r w:rsidR="00D249B3" w:rsidRPr="002A68EC">
        <w:rPr>
          <w:rFonts w:cs="Arial"/>
          <w:i/>
        </w:rPr>
        <w:t>T</w:t>
      </w:r>
      <w:r w:rsidRPr="002A68EC">
        <w:rPr>
          <w:rFonts w:cs="Arial"/>
          <w:i/>
        </w:rPr>
        <w:t xml:space="preserve">he </w:t>
      </w:r>
      <w:r w:rsidR="00747996" w:rsidRPr="002A68EC">
        <w:rPr>
          <w:rFonts w:cs="Arial"/>
          <w:i/>
        </w:rPr>
        <w:t>conditions laid down in Directive 2004/38 loom large in the Withdrawal Agreement</w:t>
      </w:r>
      <w:r w:rsidR="00D249B3" w:rsidRPr="002A68EC">
        <w:rPr>
          <w:rFonts w:cs="Arial"/>
          <w:i/>
        </w:rPr>
        <w:t xml:space="preserve">, </w:t>
      </w:r>
      <w:r w:rsidRPr="002A68EC">
        <w:rPr>
          <w:rFonts w:cs="Arial"/>
          <w:i/>
        </w:rPr>
        <w:t xml:space="preserve">disproportionately </w:t>
      </w:r>
      <w:r w:rsidR="00747996" w:rsidRPr="002A68EC">
        <w:rPr>
          <w:rFonts w:cs="Arial"/>
          <w:i/>
        </w:rPr>
        <w:t>disentitl</w:t>
      </w:r>
      <w:r w:rsidR="00D249B3" w:rsidRPr="002A68EC">
        <w:rPr>
          <w:rFonts w:cs="Arial"/>
          <w:i/>
        </w:rPr>
        <w:t>ing</w:t>
      </w:r>
      <w:r w:rsidR="00747996" w:rsidRPr="002A68EC">
        <w:rPr>
          <w:rFonts w:cs="Arial"/>
          <w:i/>
        </w:rPr>
        <w:t xml:space="preserve"> women and children from a right to stay in their homes</w:t>
      </w:r>
      <w:r w:rsidRPr="002A68EC">
        <w:rPr>
          <w:rFonts w:cs="Arial"/>
          <w:i/>
        </w:rPr>
        <w:t>.</w:t>
      </w:r>
      <w:r w:rsidR="00747996" w:rsidRPr="002A68EC">
        <w:rPr>
          <w:rFonts w:cs="Arial"/>
          <w:i/>
        </w:rPr>
        <w:t xml:space="preserve"> (2) </w:t>
      </w:r>
      <w:r w:rsidR="00D249B3" w:rsidRPr="002A68EC">
        <w:rPr>
          <w:rFonts w:cs="Arial"/>
          <w:i/>
        </w:rPr>
        <w:t>The</w:t>
      </w:r>
      <w:r w:rsidR="00267011" w:rsidRPr="002A68EC">
        <w:rPr>
          <w:rFonts w:cs="Arial"/>
          <w:i/>
        </w:rPr>
        <w:t xml:space="preserve"> Withdrawal Agreement contains a dramatic departure from standard practice in EU law; </w:t>
      </w:r>
      <w:r w:rsidR="00525A52" w:rsidRPr="002A68EC">
        <w:rPr>
          <w:rFonts w:cs="Arial"/>
          <w:i/>
        </w:rPr>
        <w:t xml:space="preserve">allowing the UK and Member States to make </w:t>
      </w:r>
      <w:r w:rsidR="0064598F" w:rsidRPr="002A68EC">
        <w:rPr>
          <w:rFonts w:cs="Arial"/>
          <w:i/>
        </w:rPr>
        <w:t xml:space="preserve">registration </w:t>
      </w:r>
      <w:r w:rsidRPr="002A68EC">
        <w:rPr>
          <w:rFonts w:cs="Arial"/>
          <w:i/>
        </w:rPr>
        <w:t>constitutive, not declaratory, of the right to stay</w:t>
      </w:r>
      <w:r w:rsidR="00525A52" w:rsidRPr="002A68EC">
        <w:rPr>
          <w:rFonts w:cs="Arial"/>
          <w:i/>
        </w:rPr>
        <w:t>. I</w:t>
      </w:r>
      <w:r w:rsidR="00267011" w:rsidRPr="002A68EC">
        <w:rPr>
          <w:rFonts w:cs="Arial"/>
          <w:i/>
        </w:rPr>
        <w:t xml:space="preserve">t will </w:t>
      </w:r>
      <w:r w:rsidRPr="002A68EC">
        <w:rPr>
          <w:rFonts w:cs="Arial"/>
          <w:i/>
        </w:rPr>
        <w:t xml:space="preserve">transform thousands into unauthorised migrants </w:t>
      </w:r>
      <w:r w:rsidR="006807F2" w:rsidRPr="002A68EC">
        <w:rPr>
          <w:rFonts w:cs="Arial"/>
          <w:i/>
        </w:rPr>
        <w:t>overnight</w:t>
      </w:r>
      <w:r w:rsidR="00747996" w:rsidRPr="002A68EC">
        <w:rPr>
          <w:rFonts w:cs="Arial"/>
          <w:i/>
        </w:rPr>
        <w:t>. (3)</w:t>
      </w:r>
      <w:r w:rsidRPr="002A68EC">
        <w:rPr>
          <w:rFonts w:cs="Arial"/>
          <w:i/>
        </w:rPr>
        <w:t xml:space="preserve"> </w:t>
      </w:r>
      <w:r w:rsidR="007C39D9" w:rsidRPr="002A68EC">
        <w:rPr>
          <w:rFonts w:cs="Arial"/>
          <w:i/>
        </w:rPr>
        <w:t>T</w:t>
      </w:r>
      <w:r w:rsidR="00747996" w:rsidRPr="002A68EC">
        <w:rPr>
          <w:rFonts w:cs="Arial"/>
          <w:i/>
        </w:rPr>
        <w:t xml:space="preserve">he </w:t>
      </w:r>
      <w:r w:rsidR="007C39D9" w:rsidRPr="002A68EC">
        <w:rPr>
          <w:rFonts w:cs="Arial"/>
          <w:i/>
        </w:rPr>
        <w:t>UK’s new</w:t>
      </w:r>
      <w:r w:rsidR="00747996" w:rsidRPr="002A68EC">
        <w:rPr>
          <w:rFonts w:cs="Arial"/>
          <w:i/>
        </w:rPr>
        <w:t xml:space="preserve"> </w:t>
      </w:r>
      <w:r w:rsidR="007C39D9" w:rsidRPr="002A68EC">
        <w:rPr>
          <w:rFonts w:cs="Arial"/>
          <w:i/>
        </w:rPr>
        <w:t xml:space="preserve">EU </w:t>
      </w:r>
      <w:r w:rsidR="00747996" w:rsidRPr="002A68EC">
        <w:rPr>
          <w:rFonts w:cs="Arial"/>
          <w:i/>
        </w:rPr>
        <w:t>Settled Status</w:t>
      </w:r>
      <w:r w:rsidR="007C39D9" w:rsidRPr="002A68EC">
        <w:rPr>
          <w:rFonts w:cs="Arial"/>
          <w:i/>
        </w:rPr>
        <w:t xml:space="preserve"> is </w:t>
      </w:r>
      <w:r w:rsidR="00267011" w:rsidRPr="002A68EC">
        <w:rPr>
          <w:rFonts w:cs="Arial"/>
          <w:i/>
        </w:rPr>
        <w:t xml:space="preserve">fraught with risks of administrative injustice, </w:t>
      </w:r>
      <w:r w:rsidR="006C3CAC" w:rsidRPr="002A68EC">
        <w:rPr>
          <w:rFonts w:cs="Arial"/>
          <w:i/>
        </w:rPr>
        <w:t>which affect the vulnerable most.</w:t>
      </w:r>
      <w:r w:rsidR="00747996" w:rsidRPr="002A68EC">
        <w:rPr>
          <w:rFonts w:cs="Arial"/>
          <w:i/>
        </w:rPr>
        <w:t xml:space="preserve"> (4) </w:t>
      </w:r>
      <w:r w:rsidR="00267011" w:rsidRPr="002A68EC">
        <w:rPr>
          <w:rFonts w:cs="Arial"/>
          <w:i/>
        </w:rPr>
        <w:t>T</w:t>
      </w:r>
      <w:r w:rsidR="00747996" w:rsidRPr="002A68EC">
        <w:rPr>
          <w:rFonts w:cs="Arial"/>
          <w:i/>
        </w:rPr>
        <w:t xml:space="preserve">he </w:t>
      </w:r>
      <w:r w:rsidR="0064598F" w:rsidRPr="002A68EC">
        <w:rPr>
          <w:rFonts w:cs="Arial"/>
          <w:i/>
        </w:rPr>
        <w:t>UK’s</w:t>
      </w:r>
      <w:r w:rsidR="0005754A">
        <w:rPr>
          <w:rFonts w:cs="Arial"/>
          <w:i/>
        </w:rPr>
        <w:t xml:space="preserve"> attempt to</w:t>
      </w:r>
      <w:r w:rsidR="0064598F" w:rsidRPr="002A68EC">
        <w:rPr>
          <w:rFonts w:cs="Arial"/>
          <w:i/>
        </w:rPr>
        <w:t xml:space="preserve"> </w:t>
      </w:r>
      <w:r w:rsidR="00267011" w:rsidRPr="002A68EC">
        <w:rPr>
          <w:rFonts w:cs="Arial"/>
          <w:i/>
        </w:rPr>
        <w:t>separat</w:t>
      </w:r>
      <w:r w:rsidR="0005754A">
        <w:rPr>
          <w:rFonts w:cs="Arial"/>
          <w:i/>
        </w:rPr>
        <w:t>e</w:t>
      </w:r>
      <w:r w:rsidR="00267011" w:rsidRPr="002A68EC">
        <w:rPr>
          <w:rFonts w:cs="Arial"/>
          <w:i/>
        </w:rPr>
        <w:t xml:space="preserve"> we</w:t>
      </w:r>
      <w:r w:rsidR="0064598F" w:rsidRPr="002A68EC">
        <w:rPr>
          <w:rFonts w:cs="Arial"/>
          <w:i/>
        </w:rPr>
        <w:t xml:space="preserve">lfare rights </w:t>
      </w:r>
      <w:r w:rsidR="00267011" w:rsidRPr="002A68EC">
        <w:rPr>
          <w:rFonts w:cs="Arial"/>
          <w:i/>
        </w:rPr>
        <w:t>from</w:t>
      </w:r>
      <w:r w:rsidR="0064598F" w:rsidRPr="002A68EC">
        <w:rPr>
          <w:rFonts w:cs="Arial"/>
          <w:i/>
        </w:rPr>
        <w:t xml:space="preserve"> ‘pre-settled status’ </w:t>
      </w:r>
      <w:r w:rsidR="00267011" w:rsidRPr="002A68EC">
        <w:rPr>
          <w:rFonts w:cs="Arial"/>
          <w:i/>
        </w:rPr>
        <w:t>means that the problematic right to reside construct has not gone away – and is more consequential than ever</w:t>
      </w:r>
      <w:r w:rsidR="00747996" w:rsidRPr="002A68EC">
        <w:rPr>
          <w:rFonts w:cs="Arial"/>
          <w:i/>
          <w:iCs/>
        </w:rPr>
        <w:t xml:space="preserve">. </w:t>
      </w:r>
      <w:r w:rsidRPr="002A68EC">
        <w:rPr>
          <w:rFonts w:cs="Arial"/>
          <w:i/>
        </w:rPr>
        <w:t xml:space="preserve">In short, </w:t>
      </w:r>
      <w:r w:rsidR="00CB6537" w:rsidRPr="002A68EC">
        <w:rPr>
          <w:rFonts w:cs="Arial"/>
          <w:i/>
        </w:rPr>
        <w:t xml:space="preserve">vulnerable EU citizens emerge in this process not so much as bargaining chips as collateral damage, with the UK government displaying a considerable appetite for, and the EU tolerating, a </w:t>
      </w:r>
      <w:r w:rsidRPr="002A68EC">
        <w:rPr>
          <w:rFonts w:cs="Arial"/>
          <w:i/>
        </w:rPr>
        <w:t>real risk of large</w:t>
      </w:r>
      <w:r w:rsidR="00AD27F6" w:rsidRPr="002A68EC">
        <w:rPr>
          <w:rFonts w:cs="Arial"/>
          <w:i/>
        </w:rPr>
        <w:t>-</w:t>
      </w:r>
      <w:r w:rsidRPr="002A68EC">
        <w:rPr>
          <w:rFonts w:cs="Arial"/>
          <w:i/>
        </w:rPr>
        <w:t>scale disentitlement.  </w:t>
      </w:r>
    </w:p>
    <w:p w14:paraId="7232E1B2" w14:textId="6CD313F7" w:rsidR="007230BD" w:rsidRPr="002A68EC" w:rsidRDefault="007230BD" w:rsidP="002A68EC">
      <w:pPr>
        <w:shd w:val="clear" w:color="auto" w:fill="FFFFFF"/>
        <w:spacing w:after="120"/>
        <w:ind w:right="-52"/>
        <w:jc w:val="both"/>
        <w:rPr>
          <w:rFonts w:cs="Calibri"/>
        </w:rPr>
      </w:pPr>
      <w:r w:rsidRPr="002A68EC">
        <w:rPr>
          <w:rFonts w:cs="Calibri"/>
          <w:lang w:val="en-US"/>
        </w:rPr>
        <w:t>  </w:t>
      </w:r>
    </w:p>
    <w:p w14:paraId="2509557D" w14:textId="5086C3C9" w:rsidR="007230BD" w:rsidRPr="002A68EC" w:rsidRDefault="00F47031" w:rsidP="002A68EC">
      <w:pPr>
        <w:pStyle w:val="Heading2"/>
        <w:spacing w:before="0" w:after="120"/>
        <w:jc w:val="both"/>
        <w:rPr>
          <w:rFonts w:ascii="Times New Roman" w:hAnsi="Times New Roman" w:cs="Times New Roman"/>
          <w:b/>
          <w:bCs/>
          <w:color w:val="auto"/>
          <w:sz w:val="24"/>
          <w:szCs w:val="24"/>
          <w:lang w:val="en-US"/>
        </w:rPr>
      </w:pPr>
      <w:r w:rsidRPr="002A68EC">
        <w:rPr>
          <w:rFonts w:ascii="Times New Roman" w:hAnsi="Times New Roman" w:cs="Times New Roman"/>
          <w:b/>
          <w:bCs/>
          <w:color w:val="auto"/>
          <w:sz w:val="24"/>
          <w:szCs w:val="24"/>
          <w:lang w:val="en-US"/>
        </w:rPr>
        <w:t xml:space="preserve">1. </w:t>
      </w:r>
      <w:r w:rsidR="0064598F" w:rsidRPr="002A68EC">
        <w:rPr>
          <w:rFonts w:ascii="Times New Roman" w:hAnsi="Times New Roman" w:cs="Times New Roman"/>
          <w:b/>
          <w:bCs/>
          <w:color w:val="auto"/>
          <w:sz w:val="24"/>
          <w:szCs w:val="24"/>
          <w:lang w:val="en-US"/>
        </w:rPr>
        <w:t>Introduction</w:t>
      </w:r>
    </w:p>
    <w:p w14:paraId="37DE7CC9" w14:textId="100372D1" w:rsidR="00E918EB" w:rsidRPr="002A68EC" w:rsidRDefault="00567B66" w:rsidP="002A68EC">
      <w:pPr>
        <w:shd w:val="clear" w:color="auto" w:fill="FFFFFF"/>
        <w:spacing w:after="120"/>
        <w:ind w:right="-52"/>
        <w:jc w:val="both"/>
        <w:rPr>
          <w:rFonts w:cs="Calibri"/>
          <w:lang w:val="en-US"/>
        </w:rPr>
      </w:pPr>
      <w:r w:rsidRPr="002A68EC">
        <w:rPr>
          <w:rFonts w:cs="Calibri"/>
          <w:lang w:val="en-US"/>
        </w:rPr>
        <w:t>Four</w:t>
      </w:r>
      <w:r w:rsidR="00E918EB" w:rsidRPr="002A68EC">
        <w:rPr>
          <w:rFonts w:cs="Calibri"/>
          <w:lang w:val="en-US"/>
        </w:rPr>
        <w:t xml:space="preserve"> years on from the referendum in which the UK electorate voted to leave the European Union, the upheaval and disruption inflicted upon EU citizens in the UK </w:t>
      </w:r>
      <w:r w:rsidR="00747996" w:rsidRPr="002A68EC">
        <w:rPr>
          <w:rFonts w:cs="Calibri"/>
          <w:lang w:val="en-US"/>
        </w:rPr>
        <w:t>(</w:t>
      </w:r>
      <w:r w:rsidR="00E918EB" w:rsidRPr="002A68EC">
        <w:rPr>
          <w:rFonts w:cs="Calibri"/>
          <w:lang w:val="en-US"/>
        </w:rPr>
        <w:t>and UK citizens in the EU 27</w:t>
      </w:r>
      <w:r w:rsidR="00747996" w:rsidRPr="002A68EC">
        <w:rPr>
          <w:rFonts w:cs="Calibri"/>
          <w:lang w:val="en-US"/>
        </w:rPr>
        <w:t>)</w:t>
      </w:r>
      <w:r w:rsidR="0064598F" w:rsidRPr="002A68EC">
        <w:rPr>
          <w:rStyle w:val="FootnoteReference"/>
          <w:rFonts w:cs="Calibri"/>
          <w:lang w:val="en-US"/>
        </w:rPr>
        <w:footnoteReference w:id="1"/>
      </w:r>
      <w:r w:rsidR="00E918EB" w:rsidRPr="002A68EC">
        <w:rPr>
          <w:rFonts w:cs="Calibri"/>
          <w:lang w:val="en-US"/>
        </w:rPr>
        <w:t xml:space="preserve"> shows little sign of abating. In spite of reassuring rhetoric and warm words,</w:t>
      </w:r>
      <w:r w:rsidR="00430BB7" w:rsidRPr="002A68EC">
        <w:rPr>
          <w:rStyle w:val="FootnoteReference"/>
          <w:rFonts w:cs="Calibri"/>
          <w:lang w:val="en-US"/>
        </w:rPr>
        <w:footnoteReference w:id="2"/>
      </w:r>
      <w:r w:rsidR="00E918EB" w:rsidRPr="002A68EC">
        <w:rPr>
          <w:rFonts w:cs="Calibri"/>
          <w:lang w:val="en-US"/>
        </w:rPr>
        <w:t xml:space="preserve"> there was a conspicuous failure to offer immediate, unilateral guarantees.</w:t>
      </w:r>
      <w:r w:rsidR="00430BB7" w:rsidRPr="002A68EC">
        <w:rPr>
          <w:rStyle w:val="FootnoteReference"/>
          <w:rFonts w:cs="Calibri"/>
          <w:lang w:val="en-US"/>
        </w:rPr>
        <w:footnoteReference w:id="3"/>
      </w:r>
      <w:r w:rsidR="00E918EB" w:rsidRPr="002A68EC">
        <w:rPr>
          <w:rFonts w:cs="Calibri"/>
          <w:lang w:val="en-US"/>
        </w:rPr>
        <w:t xml:space="preserve"> The </w:t>
      </w:r>
      <w:r w:rsidR="0052225C">
        <w:rPr>
          <w:rFonts w:cs="Calibri"/>
          <w:lang w:val="en-US"/>
        </w:rPr>
        <w:t>plans</w:t>
      </w:r>
      <w:r w:rsidR="00E918EB" w:rsidRPr="002A68EC">
        <w:rPr>
          <w:rFonts w:cs="Calibri"/>
          <w:lang w:val="en-US"/>
        </w:rPr>
        <w:t xml:space="preserve"> </w:t>
      </w:r>
      <w:r w:rsidR="0064598F" w:rsidRPr="002A68EC">
        <w:rPr>
          <w:rFonts w:cs="Calibri"/>
          <w:lang w:val="en-US"/>
        </w:rPr>
        <w:t>were</w:t>
      </w:r>
      <w:r w:rsidR="00E918EB" w:rsidRPr="002A68EC">
        <w:rPr>
          <w:rFonts w:cs="Calibri"/>
          <w:lang w:val="en-US"/>
        </w:rPr>
        <w:t xml:space="preserve"> </w:t>
      </w:r>
      <w:r w:rsidR="00502DFE" w:rsidRPr="002A68EC">
        <w:rPr>
          <w:rFonts w:cs="Calibri"/>
          <w:lang w:val="en-US"/>
        </w:rPr>
        <w:t>eked out over a lengthy period of time</w:t>
      </w:r>
      <w:bookmarkStart w:id="0" w:name="_Ref15558532"/>
      <w:r w:rsidR="00430BB7" w:rsidRPr="002A68EC">
        <w:rPr>
          <w:rStyle w:val="FootnoteReference"/>
          <w:rFonts w:cs="Calibri"/>
          <w:lang w:val="en-US"/>
        </w:rPr>
        <w:footnoteReference w:id="4"/>
      </w:r>
      <w:bookmarkEnd w:id="0"/>
      <w:r w:rsidR="00502DFE" w:rsidRPr="002A68EC">
        <w:rPr>
          <w:rFonts w:cs="Calibri"/>
          <w:lang w:val="en-US"/>
        </w:rPr>
        <w:t xml:space="preserve"> and the </w:t>
      </w:r>
      <w:r w:rsidR="0052225C">
        <w:rPr>
          <w:rFonts w:cs="Calibri"/>
          <w:lang w:val="en-US"/>
        </w:rPr>
        <w:t>resulting regimes are</w:t>
      </w:r>
      <w:r w:rsidR="00502DFE" w:rsidRPr="002A68EC">
        <w:rPr>
          <w:rFonts w:cs="Calibri"/>
          <w:lang w:val="en-US"/>
        </w:rPr>
        <w:t xml:space="preserve"> riddled with substantive gaps and </w:t>
      </w:r>
      <w:r w:rsidR="00502DFE" w:rsidRPr="002A68EC">
        <w:rPr>
          <w:rFonts w:cs="Calibri"/>
          <w:lang w:val="en-US"/>
        </w:rPr>
        <w:lastRenderedPageBreak/>
        <w:t xml:space="preserve">procedural pitfalls, meaning that </w:t>
      </w:r>
      <w:r w:rsidR="00597E12" w:rsidRPr="002A68EC">
        <w:rPr>
          <w:rFonts w:cs="Calibri"/>
          <w:lang w:val="en-US"/>
        </w:rPr>
        <w:t>thousands of</w:t>
      </w:r>
      <w:r w:rsidR="00502DFE" w:rsidRPr="002A68EC">
        <w:rPr>
          <w:rFonts w:cs="Calibri"/>
          <w:lang w:val="en-US"/>
        </w:rPr>
        <w:t xml:space="preserve"> EU citizens are set to become wholly disentitled and expected to leave their homes.  </w:t>
      </w:r>
    </w:p>
    <w:p w14:paraId="1C3B83CA" w14:textId="204A0E76" w:rsidR="00525A52" w:rsidRPr="002A68EC" w:rsidRDefault="00525A52" w:rsidP="002A68EC">
      <w:pPr>
        <w:shd w:val="clear" w:color="auto" w:fill="FFFFFF"/>
        <w:spacing w:after="120"/>
        <w:ind w:right="-52"/>
        <w:jc w:val="both"/>
        <w:rPr>
          <w:rFonts w:cs="Calibri"/>
          <w:lang w:val="en-US"/>
        </w:rPr>
      </w:pPr>
      <w:r w:rsidRPr="002A68EC">
        <w:rPr>
          <w:rFonts w:cs="Calibri"/>
          <w:lang w:val="en-US"/>
        </w:rPr>
        <w:t>Some of t</w:t>
      </w:r>
      <w:r w:rsidR="004E6093" w:rsidRPr="002A68EC">
        <w:rPr>
          <w:rFonts w:cs="Calibri"/>
          <w:lang w:val="en-US"/>
        </w:rPr>
        <w:t xml:space="preserve">he gaps in </w:t>
      </w:r>
      <w:r w:rsidRPr="002A68EC">
        <w:rPr>
          <w:rFonts w:cs="Calibri"/>
          <w:lang w:val="en-US"/>
        </w:rPr>
        <w:t xml:space="preserve">the </w:t>
      </w:r>
      <w:r w:rsidR="004E6093" w:rsidRPr="002A68EC">
        <w:rPr>
          <w:rFonts w:cs="Calibri"/>
          <w:lang w:val="en-US"/>
        </w:rPr>
        <w:t xml:space="preserve">coverage </w:t>
      </w:r>
      <w:r w:rsidRPr="002A68EC">
        <w:rPr>
          <w:rFonts w:cs="Calibri"/>
          <w:lang w:val="en-US"/>
        </w:rPr>
        <w:t xml:space="preserve">are </w:t>
      </w:r>
      <w:r w:rsidR="00982ED5" w:rsidRPr="002A68EC">
        <w:rPr>
          <w:rFonts w:cs="Calibri"/>
          <w:lang w:val="en-US"/>
        </w:rPr>
        <w:t>more damaging</w:t>
      </w:r>
      <w:r w:rsidRPr="002A68EC">
        <w:rPr>
          <w:rFonts w:cs="Calibri"/>
          <w:lang w:val="en-US"/>
        </w:rPr>
        <w:t xml:space="preserve"> versions of the </w:t>
      </w:r>
      <w:r w:rsidR="00982ED5" w:rsidRPr="002A68EC">
        <w:rPr>
          <w:rFonts w:cs="Calibri"/>
          <w:lang w:val="en-US"/>
        </w:rPr>
        <w:t>holes</w:t>
      </w:r>
      <w:r w:rsidRPr="002A68EC">
        <w:rPr>
          <w:rFonts w:cs="Calibri"/>
          <w:lang w:val="en-US"/>
        </w:rPr>
        <w:t xml:space="preserve"> already perforat</w:t>
      </w:r>
      <w:r w:rsidR="00982ED5" w:rsidRPr="002A68EC">
        <w:rPr>
          <w:rFonts w:cs="Calibri"/>
          <w:lang w:val="en-US"/>
        </w:rPr>
        <w:t>ing</w:t>
      </w:r>
      <w:r w:rsidRPr="002A68EC">
        <w:rPr>
          <w:rFonts w:cs="Calibri"/>
          <w:lang w:val="en-US"/>
        </w:rPr>
        <w:t xml:space="preserve"> the status of</w:t>
      </w:r>
      <w:r w:rsidR="004E6093" w:rsidRPr="002A68EC">
        <w:rPr>
          <w:rFonts w:cs="Calibri"/>
          <w:lang w:val="en-US"/>
        </w:rPr>
        <w:t xml:space="preserve"> EU citizenship.</w:t>
      </w:r>
      <w:r w:rsidRPr="002A68EC">
        <w:rPr>
          <w:rFonts w:cs="Calibri"/>
          <w:lang w:val="en-US"/>
        </w:rPr>
        <w:t xml:space="preserve"> </w:t>
      </w:r>
      <w:r w:rsidR="00CC3FD1" w:rsidRPr="002A68EC">
        <w:rPr>
          <w:rFonts w:cs="Calibri"/>
          <w:lang w:val="en-US"/>
        </w:rPr>
        <w:t>By magnifying the continuing tolerance for the residen</w:t>
      </w:r>
      <w:r w:rsidR="00960C1D">
        <w:rPr>
          <w:rFonts w:cs="Calibri"/>
          <w:lang w:val="en-US"/>
        </w:rPr>
        <w:t>ce</w:t>
      </w:r>
      <w:r w:rsidR="00CC3FD1" w:rsidRPr="002A68EC">
        <w:rPr>
          <w:rFonts w:cs="Calibri"/>
          <w:lang w:val="en-US"/>
        </w:rPr>
        <w:t xml:space="preserve"> insecurity experienced by mobile EU citizens, </w:t>
      </w:r>
      <w:r w:rsidRPr="002A68EC">
        <w:rPr>
          <w:rFonts w:cs="Calibri"/>
          <w:lang w:val="en-US"/>
        </w:rPr>
        <w:t xml:space="preserve">Brexit pushes us to ask ourselves uncomfortable questions about the extent to which equal treatment for EU </w:t>
      </w:r>
      <w:r w:rsidRPr="002A68EC">
        <w:rPr>
          <w:rFonts w:cs="Calibri"/>
          <w:iCs/>
          <w:lang w:val="en-US"/>
        </w:rPr>
        <w:t>citizens</w:t>
      </w:r>
      <w:r w:rsidRPr="002A68EC">
        <w:rPr>
          <w:rFonts w:cs="Calibri"/>
          <w:lang w:val="en-US"/>
        </w:rPr>
        <w:t xml:space="preserve"> is meaningfully protected in EU law</w:t>
      </w:r>
      <w:r w:rsidR="00982ED5" w:rsidRPr="002A68EC">
        <w:rPr>
          <w:rFonts w:cs="Calibri"/>
          <w:lang w:val="en-US"/>
        </w:rPr>
        <w:t>, so we can then ask</w:t>
      </w:r>
      <w:r w:rsidR="00CC3FD1" w:rsidRPr="002A68EC">
        <w:rPr>
          <w:rFonts w:cs="Calibri"/>
          <w:lang w:val="en-US"/>
        </w:rPr>
        <w:t xml:space="preserve"> </w:t>
      </w:r>
      <w:r w:rsidRPr="002A68EC">
        <w:rPr>
          <w:rFonts w:cs="Calibri"/>
          <w:lang w:val="en-US"/>
        </w:rPr>
        <w:t>what EU citizenship means for those who are still EU citizens, but working and living in a former Member State</w:t>
      </w:r>
      <w:r w:rsidR="00CC3FD1" w:rsidRPr="002A68EC">
        <w:rPr>
          <w:rFonts w:cs="Calibri"/>
          <w:lang w:val="en-US"/>
        </w:rPr>
        <w:t xml:space="preserve">. To what extent can or should the effects of EU citizenship survive, ensured by the EU outside of its territory, and respected by a State that had previously signed up to it but has since withdrawn?  </w:t>
      </w:r>
      <w:r w:rsidRPr="002A68EC">
        <w:rPr>
          <w:rFonts w:cs="Calibri"/>
          <w:lang w:val="en-US"/>
        </w:rPr>
        <w:t xml:space="preserve"> </w:t>
      </w:r>
    </w:p>
    <w:p w14:paraId="0250B7F4" w14:textId="5564E6E3" w:rsidR="007864BF" w:rsidRPr="002A68EC" w:rsidRDefault="00BA31CD" w:rsidP="002A68EC">
      <w:pPr>
        <w:shd w:val="clear" w:color="auto" w:fill="FFFFFF"/>
        <w:spacing w:after="120"/>
        <w:ind w:right="-52"/>
        <w:jc w:val="both"/>
        <w:rPr>
          <w:rFonts w:cs="Calibri"/>
          <w:lang w:val="en-US"/>
        </w:rPr>
      </w:pPr>
      <w:r w:rsidRPr="002A68EC">
        <w:rPr>
          <w:rFonts w:cs="Calibri"/>
          <w:lang w:val="en-US"/>
        </w:rPr>
        <w:t xml:space="preserve">There are two main sets of </w:t>
      </w:r>
      <w:r w:rsidR="0052225C">
        <w:rPr>
          <w:rFonts w:cs="Calibri"/>
          <w:lang w:val="en-US"/>
        </w:rPr>
        <w:t>provisions</w:t>
      </w:r>
      <w:r w:rsidRPr="002A68EC">
        <w:rPr>
          <w:rFonts w:cs="Calibri"/>
          <w:lang w:val="en-US"/>
        </w:rPr>
        <w:t xml:space="preserve"> to examine; the Withdrawal Agreement</w:t>
      </w:r>
      <w:r w:rsidR="00067EAF" w:rsidRPr="002A68EC">
        <w:rPr>
          <w:rFonts w:cs="Calibri"/>
          <w:lang w:val="en-US"/>
        </w:rPr>
        <w:t xml:space="preserve"> </w:t>
      </w:r>
      <w:r w:rsidRPr="002A68EC">
        <w:rPr>
          <w:rFonts w:cs="Calibri"/>
          <w:lang w:val="en-US"/>
        </w:rPr>
        <w:t>betwe</w:t>
      </w:r>
      <w:r w:rsidR="002740DC" w:rsidRPr="002A68EC">
        <w:rPr>
          <w:rFonts w:cs="Calibri"/>
          <w:lang w:val="en-US"/>
        </w:rPr>
        <w:t xml:space="preserve">en </w:t>
      </w:r>
      <w:r w:rsidRPr="002A68EC">
        <w:rPr>
          <w:rFonts w:cs="Calibri"/>
          <w:lang w:val="en-US"/>
        </w:rPr>
        <w:t>the EU and the UK,</w:t>
      </w:r>
      <w:bookmarkStart w:id="1" w:name="_Ref15309681"/>
      <w:r w:rsidR="0096565D" w:rsidRPr="002A68EC">
        <w:rPr>
          <w:rStyle w:val="FootnoteReference"/>
          <w:rFonts w:cs="Calibri"/>
          <w:lang w:val="en-US"/>
        </w:rPr>
        <w:footnoteReference w:id="5"/>
      </w:r>
      <w:bookmarkEnd w:id="1"/>
      <w:r w:rsidRPr="002A68EC">
        <w:rPr>
          <w:rFonts w:cs="Calibri"/>
          <w:lang w:val="en-US"/>
        </w:rPr>
        <w:t xml:space="preserve"> and the UK’s Settled Status </w:t>
      </w:r>
      <w:r w:rsidR="0064598F" w:rsidRPr="002A68EC">
        <w:rPr>
          <w:rFonts w:cs="Calibri"/>
          <w:lang w:val="en-US"/>
        </w:rPr>
        <w:t>s</w:t>
      </w:r>
      <w:r w:rsidRPr="002A68EC">
        <w:rPr>
          <w:rFonts w:cs="Calibri"/>
          <w:lang w:val="en-US"/>
        </w:rPr>
        <w:t>cheme.</w:t>
      </w:r>
      <w:bookmarkStart w:id="2" w:name="_Ref15461576"/>
      <w:r w:rsidR="00EE78EA" w:rsidRPr="002A68EC">
        <w:rPr>
          <w:rStyle w:val="FootnoteReference"/>
          <w:rFonts w:cs="Calibri"/>
          <w:lang w:val="en-US"/>
        </w:rPr>
        <w:footnoteReference w:id="6"/>
      </w:r>
      <w:bookmarkEnd w:id="2"/>
      <w:r w:rsidRPr="002A68EC">
        <w:rPr>
          <w:rFonts w:cs="Calibri"/>
          <w:lang w:val="en-US"/>
        </w:rPr>
        <w:t xml:space="preserve"> Th</w:t>
      </w:r>
      <w:r w:rsidR="002740DC" w:rsidRPr="002A68EC">
        <w:rPr>
          <w:rFonts w:cs="Calibri"/>
          <w:lang w:val="en-US"/>
        </w:rPr>
        <w:t>e</w:t>
      </w:r>
      <w:r w:rsidRPr="002A68EC">
        <w:rPr>
          <w:rFonts w:cs="Calibri"/>
          <w:lang w:val="en-US"/>
        </w:rPr>
        <w:t xml:space="preserve"> </w:t>
      </w:r>
      <w:r w:rsidR="00982ED5" w:rsidRPr="002A68EC">
        <w:rPr>
          <w:rFonts w:cs="Calibri"/>
          <w:lang w:val="en-US"/>
        </w:rPr>
        <w:t>next</w:t>
      </w:r>
      <w:r w:rsidR="002740DC" w:rsidRPr="002A68EC">
        <w:rPr>
          <w:rFonts w:cs="Calibri"/>
          <w:lang w:val="en-US"/>
        </w:rPr>
        <w:t xml:space="preserve"> section of this paper analyses</w:t>
      </w:r>
      <w:r w:rsidRPr="002A68EC">
        <w:rPr>
          <w:rFonts w:cs="Calibri"/>
          <w:lang w:val="en-US"/>
        </w:rPr>
        <w:t xml:space="preserve"> the</w:t>
      </w:r>
      <w:r w:rsidR="002740DC" w:rsidRPr="002A68EC">
        <w:rPr>
          <w:rFonts w:cs="Calibri"/>
          <w:lang w:val="en-US"/>
        </w:rPr>
        <w:t xml:space="preserve"> gaps in the </w:t>
      </w:r>
      <w:r w:rsidRPr="002A68EC">
        <w:rPr>
          <w:rFonts w:cs="Calibri"/>
          <w:lang w:val="en-US"/>
        </w:rPr>
        <w:t>Agreement</w:t>
      </w:r>
      <w:r w:rsidR="00E02811" w:rsidRPr="002A68EC">
        <w:rPr>
          <w:rFonts w:cs="Calibri"/>
          <w:lang w:val="en-US"/>
        </w:rPr>
        <w:t xml:space="preserve">, which came into effect </w:t>
      </w:r>
      <w:r w:rsidR="00982ED5" w:rsidRPr="002A68EC">
        <w:rPr>
          <w:rFonts w:cs="Calibri"/>
          <w:lang w:val="en-US"/>
        </w:rPr>
        <w:t>at the end of January 2020</w:t>
      </w:r>
      <w:r w:rsidRPr="002A68EC">
        <w:rPr>
          <w:rFonts w:cs="Calibri"/>
          <w:lang w:val="en-US"/>
        </w:rPr>
        <w:t>.</w:t>
      </w:r>
      <w:r w:rsidR="00982ED5" w:rsidRPr="002A68EC">
        <w:rPr>
          <w:rStyle w:val="FootnoteReference"/>
          <w:rFonts w:cs="Calibri"/>
          <w:lang w:val="en-US"/>
        </w:rPr>
        <w:footnoteReference w:id="7"/>
      </w:r>
      <w:r w:rsidRPr="002A68EC">
        <w:rPr>
          <w:rFonts w:cs="Calibri"/>
          <w:lang w:val="en-US"/>
        </w:rPr>
        <w:t xml:space="preserve"> </w:t>
      </w:r>
      <w:r w:rsidR="00E02811" w:rsidRPr="002A68EC">
        <w:rPr>
          <w:rFonts w:cs="Calibri"/>
          <w:lang w:val="en-US"/>
        </w:rPr>
        <w:t>It</w:t>
      </w:r>
      <w:r w:rsidRPr="002A68EC">
        <w:rPr>
          <w:rFonts w:cs="Calibri"/>
          <w:lang w:val="en-US"/>
        </w:rPr>
        <w:t xml:space="preserve"> forms an important blueprint for how the EU constructs</w:t>
      </w:r>
      <w:r w:rsidR="00597E12" w:rsidRPr="002A68EC">
        <w:rPr>
          <w:rFonts w:cs="Calibri"/>
          <w:lang w:val="en-US"/>
        </w:rPr>
        <w:t xml:space="preserve"> </w:t>
      </w:r>
      <w:r w:rsidRPr="002A68EC">
        <w:rPr>
          <w:rFonts w:cs="Calibri"/>
          <w:lang w:val="en-US"/>
        </w:rPr>
        <w:t>obligations to EU citizens</w:t>
      </w:r>
      <w:r w:rsidR="00E02811" w:rsidRPr="002A68EC">
        <w:rPr>
          <w:rFonts w:cs="Calibri"/>
          <w:lang w:val="en-US"/>
        </w:rPr>
        <w:t xml:space="preserve"> in former EU territory</w:t>
      </w:r>
      <w:r w:rsidRPr="002A68EC">
        <w:rPr>
          <w:rFonts w:cs="Calibri"/>
          <w:lang w:val="en-US"/>
        </w:rPr>
        <w:t xml:space="preserve">. It </w:t>
      </w:r>
      <w:r w:rsidR="00597E12" w:rsidRPr="002A68EC">
        <w:rPr>
          <w:rFonts w:cs="Calibri"/>
          <w:lang w:val="en-US"/>
        </w:rPr>
        <w:t>reveals</w:t>
      </w:r>
      <w:r w:rsidRPr="002A68EC">
        <w:rPr>
          <w:rFonts w:cs="Calibri"/>
          <w:lang w:val="en-US"/>
        </w:rPr>
        <w:t xml:space="preserve"> underpinning assumptions about the limits of the personal scope of EU law</w:t>
      </w:r>
      <w:r w:rsidR="00982ED5" w:rsidRPr="002A68EC">
        <w:rPr>
          <w:rFonts w:cs="Calibri"/>
          <w:lang w:val="en-US"/>
        </w:rPr>
        <w:t>, by</w:t>
      </w:r>
      <w:r w:rsidRPr="002A68EC">
        <w:rPr>
          <w:rFonts w:cs="Calibri"/>
          <w:lang w:val="en-US"/>
        </w:rPr>
        <w:t xml:space="preserve"> </w:t>
      </w:r>
      <w:r w:rsidR="007864BF" w:rsidRPr="002A68EC">
        <w:rPr>
          <w:rFonts w:cs="Calibri"/>
          <w:lang w:val="en-US"/>
        </w:rPr>
        <w:t>c</w:t>
      </w:r>
      <w:r w:rsidR="006C0056" w:rsidRPr="002A68EC">
        <w:rPr>
          <w:rFonts w:cs="Calibri"/>
          <w:lang w:val="en-US"/>
        </w:rPr>
        <w:t>leav</w:t>
      </w:r>
      <w:r w:rsidR="00982ED5" w:rsidRPr="002A68EC">
        <w:rPr>
          <w:rFonts w:cs="Calibri"/>
          <w:lang w:val="en-US"/>
        </w:rPr>
        <w:t>ing</w:t>
      </w:r>
      <w:r w:rsidR="006C0056" w:rsidRPr="002A68EC">
        <w:rPr>
          <w:rFonts w:cs="Calibri"/>
          <w:lang w:val="en-US"/>
        </w:rPr>
        <w:t xml:space="preserve"> closely to the conditions laid down in Article</w:t>
      </w:r>
      <w:r w:rsidR="007864BF" w:rsidRPr="002A68EC">
        <w:rPr>
          <w:rFonts w:cs="Calibri"/>
          <w:lang w:val="en-US"/>
        </w:rPr>
        <w:t>s</w:t>
      </w:r>
      <w:r w:rsidR="006C0056" w:rsidRPr="002A68EC">
        <w:rPr>
          <w:rFonts w:cs="Calibri"/>
          <w:lang w:val="en-US"/>
        </w:rPr>
        <w:t xml:space="preserve"> 7</w:t>
      </w:r>
      <w:r w:rsidR="007864BF" w:rsidRPr="002A68EC">
        <w:rPr>
          <w:rFonts w:cs="Calibri"/>
          <w:lang w:val="en-US"/>
        </w:rPr>
        <w:t xml:space="preserve"> and 16</w:t>
      </w:r>
      <w:r w:rsidR="006C0056" w:rsidRPr="002A68EC">
        <w:rPr>
          <w:rFonts w:cs="Calibri"/>
          <w:lang w:val="en-US"/>
        </w:rPr>
        <w:t xml:space="preserve"> of Directive</w:t>
      </w:r>
      <w:r w:rsidR="007864BF" w:rsidRPr="002A68EC">
        <w:rPr>
          <w:rFonts w:cs="Calibri"/>
          <w:lang w:val="en-US"/>
        </w:rPr>
        <w:t xml:space="preserve"> 2004/38</w:t>
      </w:r>
      <w:r w:rsidR="006C0056" w:rsidRPr="002A68EC">
        <w:rPr>
          <w:rFonts w:cs="Calibri"/>
          <w:lang w:val="en-US"/>
        </w:rPr>
        <w:t>.</w:t>
      </w:r>
      <w:r w:rsidR="00EE78EA" w:rsidRPr="002A68EC">
        <w:rPr>
          <w:rStyle w:val="FootnoteReference"/>
          <w:rFonts w:cs="Calibri"/>
          <w:lang w:val="en-US"/>
        </w:rPr>
        <w:footnoteReference w:id="8"/>
      </w:r>
      <w:r w:rsidR="006C0056" w:rsidRPr="002A68EC">
        <w:rPr>
          <w:rFonts w:cs="Calibri"/>
          <w:lang w:val="en-US"/>
        </w:rPr>
        <w:t xml:space="preserve"> But these conditions have systematically disadvantaged vulnerable workers, and people whose employment history has been made up of a series of short term, or casual, low paid work, or whose history has been punctuated by periods of incapacity for work due to disability, or by care responsibilities – disproportionately disadvantaging women.</w:t>
      </w:r>
      <w:bookmarkStart w:id="3" w:name="_Ref15313420"/>
      <w:r w:rsidR="00EE78EA" w:rsidRPr="002A68EC">
        <w:rPr>
          <w:rStyle w:val="FootnoteReference"/>
          <w:rFonts w:cs="Calibri"/>
          <w:lang w:val="en-US"/>
        </w:rPr>
        <w:footnoteReference w:id="9"/>
      </w:r>
      <w:bookmarkEnd w:id="3"/>
      <w:r w:rsidR="006C0056" w:rsidRPr="002A68EC">
        <w:rPr>
          <w:rFonts w:cs="Calibri"/>
          <w:lang w:val="en-US"/>
        </w:rPr>
        <w:t xml:space="preserve"> And the </w:t>
      </w:r>
      <w:r w:rsidR="00982ED5" w:rsidRPr="002A68EC">
        <w:rPr>
          <w:rFonts w:cs="Calibri"/>
          <w:lang w:val="en-US"/>
        </w:rPr>
        <w:t>d</w:t>
      </w:r>
      <w:r w:rsidR="006C0056" w:rsidRPr="002A68EC">
        <w:rPr>
          <w:rFonts w:cs="Calibri"/>
          <w:lang w:val="en-US"/>
        </w:rPr>
        <w:t xml:space="preserve">irective by default prevents children from asserting a right to reside in their own right – at best all they can claim is a parasitic right as a family member. </w:t>
      </w:r>
      <w:r w:rsidR="000D2A6F" w:rsidRPr="002A68EC">
        <w:rPr>
          <w:rFonts w:cs="Calibri"/>
          <w:lang w:val="en-US"/>
        </w:rPr>
        <w:t xml:space="preserve">The </w:t>
      </w:r>
      <w:r w:rsidR="006C0056" w:rsidRPr="002A68EC">
        <w:rPr>
          <w:rFonts w:cs="Calibri"/>
          <w:lang w:val="en-US"/>
        </w:rPr>
        <w:t xml:space="preserve">Withdrawal Agreement amplifies </w:t>
      </w:r>
      <w:r w:rsidR="000D2A6F" w:rsidRPr="002A68EC">
        <w:rPr>
          <w:rFonts w:cs="Calibri"/>
          <w:lang w:val="en-US"/>
        </w:rPr>
        <w:t xml:space="preserve">and adds to existing </w:t>
      </w:r>
      <w:r w:rsidR="006C0056" w:rsidRPr="002A68EC">
        <w:rPr>
          <w:rFonts w:cs="Calibri"/>
          <w:lang w:val="en-US"/>
        </w:rPr>
        <w:t>discriminatory disadvantages</w:t>
      </w:r>
      <w:r w:rsidR="000D2A6F" w:rsidRPr="002A68EC">
        <w:rPr>
          <w:rFonts w:cs="Calibri"/>
          <w:lang w:val="en-US"/>
        </w:rPr>
        <w:t xml:space="preserve"> in the free movement framework</w:t>
      </w:r>
      <w:r w:rsidR="006C0056" w:rsidRPr="002A68EC">
        <w:rPr>
          <w:rFonts w:cs="Calibri"/>
          <w:lang w:val="en-US"/>
        </w:rPr>
        <w:t xml:space="preserve">, </w:t>
      </w:r>
      <w:r w:rsidR="000D2A6F" w:rsidRPr="002A68EC">
        <w:rPr>
          <w:rFonts w:cs="Calibri"/>
          <w:lang w:val="en-US"/>
        </w:rPr>
        <w:t>and simply excludes</w:t>
      </w:r>
      <w:r w:rsidR="00154395" w:rsidRPr="002A68EC">
        <w:rPr>
          <w:rFonts w:cs="Calibri"/>
          <w:lang w:val="en-US"/>
        </w:rPr>
        <w:t xml:space="preserve"> the most vulnerable</w:t>
      </w:r>
      <w:r w:rsidR="00682BEA" w:rsidRPr="002A68EC">
        <w:rPr>
          <w:rFonts w:cs="Calibri"/>
          <w:lang w:val="en-US"/>
        </w:rPr>
        <w:t xml:space="preserve"> EU nationals. </w:t>
      </w:r>
    </w:p>
    <w:p w14:paraId="72215E92" w14:textId="6D838CDA" w:rsidR="007230BD" w:rsidRPr="002A68EC" w:rsidRDefault="007864BF" w:rsidP="002A68EC">
      <w:pPr>
        <w:shd w:val="clear" w:color="auto" w:fill="FFFFFF"/>
        <w:spacing w:after="120"/>
        <w:ind w:right="-52"/>
        <w:jc w:val="both"/>
        <w:rPr>
          <w:rFonts w:cs="Calibri"/>
          <w:lang w:val="en-US"/>
        </w:rPr>
      </w:pPr>
      <w:r w:rsidRPr="002A68EC">
        <w:rPr>
          <w:rFonts w:cs="Calibri"/>
          <w:lang w:val="en-US"/>
        </w:rPr>
        <w:t xml:space="preserve">The </w:t>
      </w:r>
      <w:r w:rsidR="00B7492B" w:rsidRPr="002A68EC">
        <w:rPr>
          <w:rFonts w:cs="Calibri"/>
          <w:lang w:val="en-US"/>
        </w:rPr>
        <w:t xml:space="preserve">unfortunate swerve in the context of EU law, represented by the </w:t>
      </w:r>
      <w:r w:rsidR="00982ED5" w:rsidRPr="002A68EC">
        <w:rPr>
          <w:rFonts w:cs="Calibri"/>
          <w:lang w:val="en-US"/>
        </w:rPr>
        <w:t>option</w:t>
      </w:r>
      <w:r w:rsidR="00B7492B" w:rsidRPr="002A68EC">
        <w:rPr>
          <w:rFonts w:cs="Calibri"/>
          <w:lang w:val="en-US"/>
        </w:rPr>
        <w:t xml:space="preserve"> in the </w:t>
      </w:r>
      <w:r w:rsidR="002740DC" w:rsidRPr="002A68EC">
        <w:rPr>
          <w:rFonts w:cs="Calibri"/>
          <w:lang w:val="en-US"/>
        </w:rPr>
        <w:t xml:space="preserve">Withdrawal Agreement </w:t>
      </w:r>
      <w:r w:rsidR="00982ED5" w:rsidRPr="002A68EC">
        <w:rPr>
          <w:rFonts w:cs="Calibri"/>
          <w:lang w:val="en-US"/>
        </w:rPr>
        <w:t>(</w:t>
      </w:r>
      <w:r w:rsidR="00B7492B" w:rsidRPr="002A68EC">
        <w:rPr>
          <w:rFonts w:cs="Calibri"/>
          <w:lang w:val="en-US"/>
        </w:rPr>
        <w:t xml:space="preserve">and the </w:t>
      </w:r>
      <w:r w:rsidR="00982ED5" w:rsidRPr="002A68EC">
        <w:rPr>
          <w:rFonts w:cs="Calibri"/>
          <w:lang w:val="en-US"/>
        </w:rPr>
        <w:t xml:space="preserve">decision in the </w:t>
      </w:r>
      <w:r w:rsidR="00B7492B" w:rsidRPr="002A68EC">
        <w:rPr>
          <w:rFonts w:cs="Calibri"/>
          <w:lang w:val="en-US"/>
        </w:rPr>
        <w:t xml:space="preserve">UK’s </w:t>
      </w:r>
      <w:r w:rsidR="006B5B56">
        <w:rPr>
          <w:rFonts w:cs="Calibri"/>
          <w:lang w:val="en-US"/>
        </w:rPr>
        <w:t xml:space="preserve">EU </w:t>
      </w:r>
      <w:r w:rsidR="00B7492B" w:rsidRPr="002A68EC">
        <w:rPr>
          <w:rFonts w:cs="Calibri"/>
          <w:lang w:val="en-US"/>
        </w:rPr>
        <w:t>Settled Status scheme</w:t>
      </w:r>
      <w:r w:rsidR="00982ED5" w:rsidRPr="002A68EC">
        <w:rPr>
          <w:rFonts w:cs="Calibri"/>
          <w:lang w:val="en-US"/>
        </w:rPr>
        <w:t>)</w:t>
      </w:r>
      <w:r w:rsidR="00B7492B" w:rsidRPr="002A68EC">
        <w:rPr>
          <w:rFonts w:cs="Calibri"/>
          <w:lang w:val="en-US"/>
        </w:rPr>
        <w:t xml:space="preserve"> </w:t>
      </w:r>
      <w:r w:rsidRPr="002A68EC">
        <w:rPr>
          <w:rFonts w:cs="Calibri"/>
          <w:lang w:val="en-US"/>
        </w:rPr>
        <w:t>to make</w:t>
      </w:r>
      <w:r w:rsidR="00D80C4B" w:rsidRPr="002A68EC">
        <w:rPr>
          <w:rFonts w:cs="Calibri"/>
          <w:lang w:val="en-US"/>
        </w:rPr>
        <w:t xml:space="preserve"> </w:t>
      </w:r>
      <w:r w:rsidRPr="002A68EC">
        <w:rPr>
          <w:rFonts w:cs="Calibri"/>
          <w:lang w:val="en-US"/>
        </w:rPr>
        <w:t>r</w:t>
      </w:r>
      <w:r w:rsidR="00D80C4B" w:rsidRPr="002A68EC">
        <w:rPr>
          <w:rFonts w:cs="Calibri"/>
          <w:lang w:val="en-US"/>
        </w:rPr>
        <w:t>egistration itself constitutive</w:t>
      </w:r>
      <w:r w:rsidR="00371B10" w:rsidRPr="002A68EC">
        <w:rPr>
          <w:rFonts w:cs="Calibri"/>
          <w:lang w:val="en-US"/>
        </w:rPr>
        <w:t>, rather than declaratory,</w:t>
      </w:r>
      <w:r w:rsidR="00D80C4B" w:rsidRPr="002A68EC">
        <w:rPr>
          <w:rFonts w:cs="Calibri"/>
          <w:lang w:val="en-US"/>
        </w:rPr>
        <w:t xml:space="preserve"> of the right</w:t>
      </w:r>
      <w:r w:rsidR="002740DC" w:rsidRPr="002A68EC">
        <w:rPr>
          <w:rFonts w:cs="Calibri"/>
          <w:lang w:val="en-US"/>
        </w:rPr>
        <w:t xml:space="preserve"> to stay in the UK</w:t>
      </w:r>
      <w:r w:rsidR="00B7492B" w:rsidRPr="002A68EC">
        <w:rPr>
          <w:rFonts w:cs="Calibri"/>
          <w:lang w:val="en-US"/>
        </w:rPr>
        <w:t xml:space="preserve"> is </w:t>
      </w:r>
      <w:r w:rsidR="002740DC" w:rsidRPr="002A68EC">
        <w:rPr>
          <w:rFonts w:cs="Calibri"/>
          <w:lang w:val="en-US"/>
        </w:rPr>
        <w:t xml:space="preserve">examined in the </w:t>
      </w:r>
      <w:r w:rsidRPr="002A68EC">
        <w:rPr>
          <w:rFonts w:cs="Calibri"/>
          <w:lang w:val="en-US"/>
        </w:rPr>
        <w:t>third</w:t>
      </w:r>
      <w:r w:rsidR="002740DC" w:rsidRPr="002A68EC">
        <w:rPr>
          <w:rFonts w:cs="Calibri"/>
          <w:lang w:val="en-US"/>
        </w:rPr>
        <w:t xml:space="preserve"> section</w:t>
      </w:r>
      <w:r w:rsidR="00B7492B" w:rsidRPr="002A68EC">
        <w:rPr>
          <w:rFonts w:cs="Calibri"/>
          <w:lang w:val="en-US"/>
        </w:rPr>
        <w:t>. T</w:t>
      </w:r>
      <w:r w:rsidR="00371B10" w:rsidRPr="002A68EC">
        <w:rPr>
          <w:rFonts w:cs="Calibri"/>
          <w:lang w:val="en-US"/>
        </w:rPr>
        <w:t>hose who fail to register by the deadline</w:t>
      </w:r>
      <w:r w:rsidR="00D278A5" w:rsidRPr="002A68EC">
        <w:rPr>
          <w:rStyle w:val="FootnoteReference"/>
          <w:rFonts w:cs="Calibri"/>
          <w:lang w:val="en-US"/>
        </w:rPr>
        <w:footnoteReference w:id="10"/>
      </w:r>
      <w:r w:rsidR="00371B10" w:rsidRPr="002A68EC">
        <w:rPr>
          <w:rFonts w:cs="Calibri"/>
          <w:lang w:val="en-US"/>
        </w:rPr>
        <w:t xml:space="preserve"> will automatically and irreversibly lose their </w:t>
      </w:r>
      <w:r w:rsidR="00960C1D">
        <w:rPr>
          <w:rFonts w:cs="Calibri"/>
          <w:lang w:val="en-US"/>
        </w:rPr>
        <w:t xml:space="preserve">(EU law based) </w:t>
      </w:r>
      <w:r w:rsidR="00371B10" w:rsidRPr="002A68EC">
        <w:rPr>
          <w:rFonts w:cs="Calibri"/>
          <w:lang w:val="en-US"/>
        </w:rPr>
        <w:t>entitlement to stay in the UK, and accrued periods of residence and/or work will be negated</w:t>
      </w:r>
      <w:r w:rsidRPr="002A68EC">
        <w:rPr>
          <w:rFonts w:cs="Calibri"/>
          <w:lang w:val="en-US"/>
        </w:rPr>
        <w:t>, disproportionately impacting upon the disadvantaged and vulnerable.</w:t>
      </w:r>
      <w:r w:rsidR="00371B10" w:rsidRPr="002A68EC">
        <w:rPr>
          <w:rFonts w:cs="Calibri"/>
          <w:lang w:val="en-US"/>
        </w:rPr>
        <w:t xml:space="preserve"> The people most likely to fall through the gaps include those who do not even know about the scheme, or do not realise that they need to register; those who would have difficulty amassing the required evidence; and those who do not have sufficient IT access or literacy.    </w:t>
      </w:r>
      <w:r w:rsidR="00D80C4B" w:rsidRPr="002A68EC">
        <w:rPr>
          <w:rFonts w:cs="Calibri"/>
          <w:lang w:val="en-US"/>
        </w:rPr>
        <w:t xml:space="preserve"> </w:t>
      </w:r>
      <w:r w:rsidR="00133920" w:rsidRPr="002A68EC">
        <w:rPr>
          <w:rFonts w:cs="Calibri"/>
          <w:lang w:val="en-US"/>
        </w:rPr>
        <w:t xml:space="preserve"> </w:t>
      </w:r>
      <w:r w:rsidR="006C0056" w:rsidRPr="002A68EC">
        <w:rPr>
          <w:rFonts w:cs="Calibri"/>
          <w:lang w:val="en-US"/>
        </w:rPr>
        <w:t xml:space="preserve"> </w:t>
      </w:r>
      <w:r w:rsidR="007230BD" w:rsidRPr="002A68EC">
        <w:rPr>
          <w:rFonts w:cs="Calibri"/>
          <w:lang w:val="en-US"/>
        </w:rPr>
        <w:t> </w:t>
      </w:r>
    </w:p>
    <w:p w14:paraId="340F901D" w14:textId="63AE646A" w:rsidR="00E81D3A" w:rsidRPr="002A68EC" w:rsidRDefault="002740DC" w:rsidP="002A68EC">
      <w:pPr>
        <w:shd w:val="clear" w:color="auto" w:fill="FFFFFF"/>
        <w:spacing w:after="120"/>
        <w:ind w:right="-52"/>
        <w:jc w:val="both"/>
        <w:rPr>
          <w:rFonts w:cs="Calibri"/>
          <w:lang w:val="en-US"/>
        </w:rPr>
      </w:pPr>
      <w:r w:rsidRPr="002A68EC">
        <w:rPr>
          <w:rFonts w:cs="Calibri"/>
          <w:lang w:val="en-US"/>
        </w:rPr>
        <w:lastRenderedPageBreak/>
        <w:t>The</w:t>
      </w:r>
      <w:r w:rsidR="0048603F" w:rsidRPr="002A68EC">
        <w:rPr>
          <w:rFonts w:cs="Calibri"/>
          <w:lang w:val="en-US"/>
        </w:rPr>
        <w:t>se problems are heightened, especially for vulnerable citizens, the fourth section argues, by risks</w:t>
      </w:r>
      <w:r w:rsidRPr="002A68EC">
        <w:rPr>
          <w:rFonts w:cs="Calibri"/>
          <w:lang w:val="en-US"/>
        </w:rPr>
        <w:t xml:space="preserve"> of administrative injustice </w:t>
      </w:r>
      <w:r w:rsidR="00DC142C" w:rsidRPr="002A68EC">
        <w:rPr>
          <w:rFonts w:cs="Calibri"/>
          <w:lang w:val="en-US"/>
        </w:rPr>
        <w:t>built into the UK’s</w:t>
      </w:r>
      <w:r w:rsidR="006B5B56">
        <w:rPr>
          <w:rFonts w:cs="Calibri"/>
          <w:lang w:val="en-US"/>
        </w:rPr>
        <w:t xml:space="preserve"> EU</w:t>
      </w:r>
      <w:r w:rsidR="00DC142C" w:rsidRPr="002A68EC">
        <w:rPr>
          <w:rFonts w:cs="Calibri"/>
          <w:lang w:val="en-US"/>
        </w:rPr>
        <w:t xml:space="preserve"> </w:t>
      </w:r>
      <w:r w:rsidRPr="002A68EC">
        <w:rPr>
          <w:rFonts w:cs="Calibri"/>
          <w:lang w:val="en-US"/>
        </w:rPr>
        <w:t>settled status scheme</w:t>
      </w:r>
      <w:r w:rsidR="00E81D3A" w:rsidRPr="002A68EC">
        <w:rPr>
          <w:rFonts w:cs="Calibri"/>
          <w:lang w:val="en-US"/>
        </w:rPr>
        <w:t xml:space="preserve">. But the considerable differences between the UK’s scheme and the Agreement means it is not clear whether and to what extent EU citizens will have the support of the EU in challenging adverse decisions. The question of enforcement is especially pressing in light of concerns about the accuracy of decision-making so far, especially the risk of </w:t>
      </w:r>
      <w:r w:rsidR="00371B10" w:rsidRPr="002A68EC">
        <w:rPr>
          <w:rFonts w:cs="Calibri"/>
          <w:lang w:val="en-US"/>
        </w:rPr>
        <w:t>misclassification as ‘pre-settled</w:t>
      </w:r>
      <w:r w:rsidR="00E81D3A" w:rsidRPr="002A68EC">
        <w:rPr>
          <w:rFonts w:cs="Calibri"/>
          <w:lang w:val="en-US"/>
        </w:rPr>
        <w:t>.</w:t>
      </w:r>
      <w:r w:rsidR="00371B10" w:rsidRPr="002A68EC">
        <w:rPr>
          <w:rFonts w:cs="Calibri"/>
          <w:lang w:val="en-US"/>
        </w:rPr>
        <w:t>’</w:t>
      </w:r>
      <w:r w:rsidR="00E81D3A" w:rsidRPr="002A68EC">
        <w:rPr>
          <w:rFonts w:cs="Calibri"/>
          <w:lang w:val="en-US"/>
        </w:rPr>
        <w:t xml:space="preserve"> </w:t>
      </w:r>
      <w:r w:rsidR="00925632" w:rsidRPr="002A68EC">
        <w:rPr>
          <w:rFonts w:cs="Calibri"/>
          <w:lang w:val="en-US"/>
        </w:rPr>
        <w:t xml:space="preserve">But it is important to get it right. </w:t>
      </w:r>
      <w:r w:rsidR="00304B5B" w:rsidRPr="002A68EC">
        <w:rPr>
          <w:rFonts w:cs="Calibri"/>
          <w:lang w:val="en-US"/>
        </w:rPr>
        <w:t>Under the UK scheme, EU citizens who have not yet been resident for five years but otherwise meet the eligibility criteria are entitled to pre-settled status. Section five</w:t>
      </w:r>
      <w:r w:rsidR="00925632" w:rsidRPr="002A68EC">
        <w:rPr>
          <w:rFonts w:cs="Calibri"/>
          <w:lang w:val="en-US"/>
        </w:rPr>
        <w:t xml:space="preserve"> explores the </w:t>
      </w:r>
      <w:r w:rsidR="00F44E69" w:rsidRPr="002A68EC">
        <w:rPr>
          <w:rFonts w:cs="Calibri"/>
          <w:lang w:val="en-US"/>
        </w:rPr>
        <w:t>n</w:t>
      </w:r>
      <w:r w:rsidR="007864BF" w:rsidRPr="002A68EC">
        <w:rPr>
          <w:rFonts w:cs="Calibri"/>
          <w:lang w:val="en-US"/>
        </w:rPr>
        <w:t xml:space="preserve">ew UK rules </w:t>
      </w:r>
      <w:r w:rsidR="00F44E69" w:rsidRPr="002A68EC">
        <w:rPr>
          <w:rFonts w:cs="Calibri"/>
          <w:lang w:val="en-US"/>
        </w:rPr>
        <w:t xml:space="preserve">that exclude </w:t>
      </w:r>
      <w:r w:rsidR="007864BF" w:rsidRPr="002A68EC">
        <w:rPr>
          <w:rFonts w:cs="Calibri"/>
          <w:lang w:val="en-US"/>
        </w:rPr>
        <w:t xml:space="preserve">pre-settled status </w:t>
      </w:r>
      <w:r w:rsidR="00F44E69" w:rsidRPr="002A68EC">
        <w:rPr>
          <w:rFonts w:cs="Calibri"/>
          <w:lang w:val="en-US"/>
        </w:rPr>
        <w:t xml:space="preserve">from the list of rights to reside that create entitlement to </w:t>
      </w:r>
      <w:r w:rsidR="007864BF" w:rsidRPr="002A68EC">
        <w:rPr>
          <w:rFonts w:cs="Calibri"/>
          <w:lang w:val="en-US"/>
        </w:rPr>
        <w:t>benefits.</w:t>
      </w:r>
      <w:bookmarkStart w:id="4" w:name="_Ref15463789"/>
      <w:r w:rsidR="00D278A5" w:rsidRPr="002A68EC">
        <w:rPr>
          <w:rStyle w:val="FootnoteReference"/>
          <w:rFonts w:cs="Calibri"/>
          <w:lang w:val="en-US"/>
        </w:rPr>
        <w:footnoteReference w:id="11"/>
      </w:r>
      <w:bookmarkEnd w:id="4"/>
      <w:r w:rsidR="007864BF" w:rsidRPr="002A68EC">
        <w:rPr>
          <w:rFonts w:cs="Calibri"/>
          <w:lang w:val="en-US"/>
        </w:rPr>
        <w:t xml:space="preserve"> This </w:t>
      </w:r>
      <w:r w:rsidR="00E81D3A" w:rsidRPr="002A68EC">
        <w:rPr>
          <w:rFonts w:cs="Calibri"/>
          <w:lang w:val="en-US"/>
        </w:rPr>
        <w:t xml:space="preserve">exclusion raises thorny questions about the content of EU citizenship law (is </w:t>
      </w:r>
      <w:r w:rsidR="00267011" w:rsidRPr="002A68EC">
        <w:rPr>
          <w:rFonts w:cs="Arial"/>
          <w:i/>
          <w:iCs/>
        </w:rPr>
        <w:t>Trojani</w:t>
      </w:r>
      <w:bookmarkStart w:id="5" w:name="_Ref15464082"/>
      <w:r w:rsidR="00267011" w:rsidRPr="002A68EC">
        <w:rPr>
          <w:rStyle w:val="FootnoteReference"/>
          <w:rFonts w:cs="Arial"/>
        </w:rPr>
        <w:footnoteReference w:id="12"/>
      </w:r>
      <w:bookmarkEnd w:id="5"/>
      <w:r w:rsidR="00267011" w:rsidRPr="002A68EC">
        <w:rPr>
          <w:rFonts w:cs="Arial"/>
          <w:i/>
          <w:iCs/>
        </w:rPr>
        <w:t xml:space="preserve"> </w:t>
      </w:r>
      <w:r w:rsidR="007864BF" w:rsidRPr="002A68EC">
        <w:rPr>
          <w:rFonts w:cs="Calibri"/>
          <w:iCs/>
          <w:lang w:val="en-US"/>
        </w:rPr>
        <w:t>still good law</w:t>
      </w:r>
      <w:r w:rsidR="00E81D3A" w:rsidRPr="002A68EC">
        <w:rPr>
          <w:rFonts w:cs="Calibri"/>
          <w:iCs/>
          <w:lang w:val="en-US"/>
        </w:rPr>
        <w:t>?)</w:t>
      </w:r>
      <w:r w:rsidR="00925632" w:rsidRPr="002A68EC">
        <w:rPr>
          <w:rFonts w:cs="Calibri"/>
          <w:lang w:val="en-US"/>
        </w:rPr>
        <w:t xml:space="preserve">, and </w:t>
      </w:r>
      <w:r w:rsidR="00E81D3A" w:rsidRPr="002A68EC">
        <w:rPr>
          <w:rFonts w:cs="Calibri"/>
          <w:lang w:val="en-US"/>
        </w:rPr>
        <w:t>of its reach. This section argues that it is possible for EU citizenship rights to have traction in the question of the rights attaching to pre</w:t>
      </w:r>
      <w:r w:rsidR="002D6459" w:rsidRPr="002A68EC">
        <w:rPr>
          <w:rFonts w:cs="Calibri"/>
          <w:lang w:val="en-US"/>
        </w:rPr>
        <w:t>-</w:t>
      </w:r>
      <w:r w:rsidR="00E81D3A" w:rsidRPr="002A68EC">
        <w:rPr>
          <w:rFonts w:cs="Calibri"/>
          <w:lang w:val="en-US"/>
        </w:rPr>
        <w:t xml:space="preserve">settled status – possibly even beyond the end of the transition period. </w:t>
      </w:r>
    </w:p>
    <w:p w14:paraId="5CB01E6B" w14:textId="1A622139" w:rsidR="00EA0253" w:rsidRPr="002A68EC" w:rsidRDefault="007613E7" w:rsidP="002A68EC">
      <w:pPr>
        <w:shd w:val="clear" w:color="auto" w:fill="FFFFFF"/>
        <w:spacing w:after="120"/>
        <w:ind w:right="-52"/>
        <w:jc w:val="both"/>
        <w:rPr>
          <w:rFonts w:cs="Calibri"/>
          <w:lang w:val="en-US"/>
        </w:rPr>
      </w:pPr>
      <w:r w:rsidRPr="002A68EC">
        <w:rPr>
          <w:rFonts w:cs="Calibri"/>
          <w:lang w:val="en-US"/>
        </w:rPr>
        <w:t xml:space="preserve">The </w:t>
      </w:r>
      <w:r w:rsidR="0052225C">
        <w:rPr>
          <w:rFonts w:cs="Calibri"/>
          <w:lang w:val="en-US"/>
        </w:rPr>
        <w:t xml:space="preserve">means to </w:t>
      </w:r>
      <w:r w:rsidRPr="002A68EC">
        <w:rPr>
          <w:rFonts w:cs="Calibri"/>
          <w:lang w:val="en-US"/>
        </w:rPr>
        <w:t>secur</w:t>
      </w:r>
      <w:r w:rsidR="0052225C">
        <w:rPr>
          <w:rFonts w:cs="Calibri"/>
          <w:lang w:val="en-US"/>
        </w:rPr>
        <w:t>e</w:t>
      </w:r>
      <w:r w:rsidRPr="002A68EC">
        <w:rPr>
          <w:rFonts w:cs="Calibri"/>
          <w:lang w:val="en-US"/>
        </w:rPr>
        <w:t xml:space="preserve"> EU citizens’ rights in the UK </w:t>
      </w:r>
      <w:r w:rsidR="008D5A2A" w:rsidRPr="002A68EC">
        <w:rPr>
          <w:rFonts w:cs="Calibri"/>
          <w:lang w:val="en-US"/>
        </w:rPr>
        <w:t xml:space="preserve">raises huge questions about the limits and legal reach of EU citizenship for still-EU citizens in former-Union territory. </w:t>
      </w:r>
      <w:r w:rsidR="00593203" w:rsidRPr="002A68EC">
        <w:rPr>
          <w:rFonts w:cs="Calibri"/>
          <w:lang w:val="en-US"/>
        </w:rPr>
        <w:t xml:space="preserve">Together, the </w:t>
      </w:r>
      <w:r w:rsidR="008D5A2A" w:rsidRPr="002A68EC">
        <w:rPr>
          <w:rFonts w:cs="Calibri"/>
          <w:lang w:val="en-US"/>
        </w:rPr>
        <w:t>risks to the</w:t>
      </w:r>
      <w:r w:rsidR="00593203" w:rsidRPr="002A68EC">
        <w:rPr>
          <w:rFonts w:cs="Calibri"/>
          <w:lang w:val="en-US"/>
        </w:rPr>
        <w:t xml:space="preserve"> rights of EU nationals in the UK </w:t>
      </w:r>
      <w:r w:rsidR="00192925" w:rsidRPr="002A68EC">
        <w:rPr>
          <w:rFonts w:cs="Calibri"/>
          <w:lang w:val="en-US"/>
        </w:rPr>
        <w:t xml:space="preserve">tell a </w:t>
      </w:r>
      <w:r w:rsidR="008D5A2A" w:rsidRPr="002A68EC">
        <w:rPr>
          <w:rFonts w:cs="Calibri"/>
          <w:lang w:val="en-US"/>
        </w:rPr>
        <w:t>worrying</w:t>
      </w:r>
      <w:r w:rsidR="00192925" w:rsidRPr="002A68EC">
        <w:rPr>
          <w:rFonts w:cs="Calibri"/>
          <w:lang w:val="en-US"/>
        </w:rPr>
        <w:t xml:space="preserve"> tale</w:t>
      </w:r>
      <w:r w:rsidR="00593203" w:rsidRPr="002A68EC">
        <w:rPr>
          <w:rFonts w:cs="Calibri"/>
          <w:lang w:val="en-US"/>
        </w:rPr>
        <w:t xml:space="preserve">, </w:t>
      </w:r>
      <w:r w:rsidR="008D5A2A" w:rsidRPr="002A68EC">
        <w:rPr>
          <w:rFonts w:cs="Calibri"/>
          <w:lang w:val="en-US"/>
        </w:rPr>
        <w:t xml:space="preserve">by which the UK government has agitated to be allowed to restrict rights, and the EU </w:t>
      </w:r>
      <w:r w:rsidR="00FC10B4" w:rsidRPr="002A68EC">
        <w:rPr>
          <w:rFonts w:cs="Calibri"/>
          <w:lang w:val="en-US"/>
        </w:rPr>
        <w:t>has tolerated those demands. We</w:t>
      </w:r>
      <w:r w:rsidR="00593203" w:rsidRPr="002A68EC">
        <w:rPr>
          <w:rFonts w:cs="Calibri"/>
          <w:lang w:val="en-US"/>
        </w:rPr>
        <w:t xml:space="preserve"> are hurtling towards large</w:t>
      </w:r>
      <w:r w:rsidR="00574285" w:rsidRPr="002A68EC">
        <w:rPr>
          <w:rFonts w:cs="Calibri"/>
          <w:lang w:val="en-US"/>
        </w:rPr>
        <w:t>-</w:t>
      </w:r>
      <w:r w:rsidR="00593203" w:rsidRPr="002A68EC">
        <w:rPr>
          <w:rFonts w:cs="Calibri"/>
          <w:lang w:val="en-US"/>
        </w:rPr>
        <w:t xml:space="preserve">scale disentitlement, in which even a right to ‘permanent residence’ </w:t>
      </w:r>
      <w:r w:rsidR="00A40AD1">
        <w:rPr>
          <w:rFonts w:cs="Calibri"/>
          <w:lang w:val="en-US"/>
        </w:rPr>
        <w:t xml:space="preserve">under (pre-existing) EU law </w:t>
      </w:r>
      <w:r w:rsidR="00593203" w:rsidRPr="002A68EC">
        <w:rPr>
          <w:rFonts w:cs="Calibri"/>
          <w:lang w:val="en-US"/>
        </w:rPr>
        <w:t>is no longer any such thin</w:t>
      </w:r>
      <w:r w:rsidR="00FC10B4" w:rsidRPr="002A68EC">
        <w:rPr>
          <w:rFonts w:cs="Calibri"/>
          <w:lang w:val="en-US"/>
        </w:rPr>
        <w:t>g. And this is not part of a negotiation strategy – it is not risk-taking brinkmanship, treating EU nationals as bargaining chips. Rather, it appears to be an end in itself</w:t>
      </w:r>
      <w:r w:rsidR="00A40AD1">
        <w:rPr>
          <w:rFonts w:cs="Calibri"/>
          <w:lang w:val="en-US"/>
        </w:rPr>
        <w:t xml:space="preserve"> for the UK government</w:t>
      </w:r>
      <w:r w:rsidR="00FC10B4" w:rsidRPr="002A68EC">
        <w:rPr>
          <w:rFonts w:cs="Calibri"/>
          <w:lang w:val="en-US"/>
        </w:rPr>
        <w:t>; unnecessary disadvantage for the sake of it</w:t>
      </w:r>
      <w:r w:rsidR="001759A3" w:rsidRPr="002A68EC">
        <w:rPr>
          <w:rFonts w:cs="Calibri"/>
          <w:lang w:val="en-US"/>
        </w:rPr>
        <w:t>,</w:t>
      </w:r>
      <w:r w:rsidR="00CA5773">
        <w:rPr>
          <w:rFonts w:cs="Calibri"/>
          <w:lang w:val="en-US"/>
        </w:rPr>
        <w:t xml:space="preserve"> while the EU side has been remarkably sanguine about</w:t>
      </w:r>
      <w:r w:rsidR="001759A3" w:rsidRPr="002A68EC">
        <w:rPr>
          <w:rFonts w:cs="Calibri"/>
          <w:lang w:val="en-US"/>
        </w:rPr>
        <w:t xml:space="preserve"> </w:t>
      </w:r>
      <w:r w:rsidR="00CA5773">
        <w:rPr>
          <w:rFonts w:cs="Calibri"/>
          <w:lang w:val="en-US"/>
        </w:rPr>
        <w:t xml:space="preserve">the UK </w:t>
      </w:r>
      <w:r w:rsidR="001759A3" w:rsidRPr="002A68EC">
        <w:rPr>
          <w:rFonts w:cs="Calibri"/>
          <w:lang w:val="en-US"/>
        </w:rPr>
        <w:t>undermining the “underlying logic</w:t>
      </w:r>
      <w:bookmarkStart w:id="6" w:name="_Ref15468193"/>
      <w:r w:rsidR="001759A3" w:rsidRPr="002A68EC">
        <w:rPr>
          <w:rFonts w:cs="Calibri"/>
          <w:lang w:val="en-US"/>
        </w:rPr>
        <w:t>”</w:t>
      </w:r>
      <w:bookmarkStart w:id="7" w:name="_Ref54785591"/>
      <w:r w:rsidR="001759A3" w:rsidRPr="002A68EC">
        <w:rPr>
          <w:rStyle w:val="FootnoteReference"/>
          <w:rFonts w:cs="Calibri"/>
          <w:lang w:val="en-US"/>
        </w:rPr>
        <w:footnoteReference w:id="13"/>
      </w:r>
      <w:bookmarkEnd w:id="6"/>
      <w:bookmarkEnd w:id="7"/>
      <w:r w:rsidR="001759A3" w:rsidRPr="002A68EC">
        <w:rPr>
          <w:rFonts w:cs="Calibri"/>
          <w:lang w:val="en-US"/>
        </w:rPr>
        <w:t xml:space="preserve"> of the free movement regime</w:t>
      </w:r>
      <w:r w:rsidR="00CA5773">
        <w:rPr>
          <w:rFonts w:cs="Calibri"/>
          <w:lang w:val="en-US"/>
        </w:rPr>
        <w:t xml:space="preserve"> with</w:t>
      </w:r>
      <w:r w:rsidR="00F24425" w:rsidRPr="002A68EC">
        <w:rPr>
          <w:rFonts w:cs="Calibri"/>
          <w:lang w:val="en-US"/>
        </w:rPr>
        <w:t xml:space="preserve"> </w:t>
      </w:r>
      <w:r w:rsidR="00CA5773">
        <w:rPr>
          <w:rFonts w:cs="Calibri"/>
          <w:lang w:val="en-US"/>
        </w:rPr>
        <w:t xml:space="preserve">rules that </w:t>
      </w:r>
      <w:r w:rsidR="00F24425" w:rsidRPr="002A68EC">
        <w:rPr>
          <w:rFonts w:cs="Calibri"/>
          <w:lang w:val="en-US"/>
        </w:rPr>
        <w:t>mak</w:t>
      </w:r>
      <w:r w:rsidR="00CA5773">
        <w:rPr>
          <w:rFonts w:cs="Calibri"/>
          <w:lang w:val="en-US"/>
        </w:rPr>
        <w:t>e</w:t>
      </w:r>
      <w:r w:rsidR="00F24425" w:rsidRPr="002A68EC">
        <w:rPr>
          <w:rFonts w:cs="Calibri"/>
          <w:lang w:val="en-US"/>
        </w:rPr>
        <w:t xml:space="preserve"> vulnerable EU citizens collateral damage, thrown under the (infamous) Brexit bus.</w:t>
      </w:r>
      <w:r w:rsidR="00F24425" w:rsidRPr="002A68EC">
        <w:rPr>
          <w:rStyle w:val="FootnoteReference"/>
          <w:rFonts w:cs="Calibri"/>
          <w:lang w:val="en-US"/>
        </w:rPr>
        <w:footnoteReference w:id="14"/>
      </w:r>
      <w:r w:rsidR="00F24425" w:rsidRPr="002A68EC">
        <w:rPr>
          <w:rFonts w:cs="Calibri"/>
          <w:lang w:val="en-US"/>
        </w:rPr>
        <w:t xml:space="preserve"> </w:t>
      </w:r>
    </w:p>
    <w:p w14:paraId="380DF8F3" w14:textId="77777777" w:rsidR="007613E7" w:rsidRPr="002A68EC" w:rsidRDefault="007613E7" w:rsidP="002A68EC">
      <w:pPr>
        <w:shd w:val="clear" w:color="auto" w:fill="FFFFFF"/>
        <w:spacing w:after="120"/>
        <w:ind w:right="-52"/>
        <w:jc w:val="both"/>
        <w:rPr>
          <w:rFonts w:cs="Calibri"/>
          <w:lang w:val="en-US"/>
        </w:rPr>
      </w:pPr>
    </w:p>
    <w:p w14:paraId="0D318B91" w14:textId="66F7F9A3" w:rsidR="00475D27" w:rsidRPr="002A68EC" w:rsidRDefault="00F47031" w:rsidP="002A68EC">
      <w:pPr>
        <w:pStyle w:val="Heading2"/>
        <w:spacing w:before="0" w:after="120"/>
        <w:jc w:val="both"/>
        <w:rPr>
          <w:rFonts w:ascii="Times New Roman" w:hAnsi="Times New Roman"/>
          <w:color w:val="auto"/>
          <w:sz w:val="24"/>
          <w:lang w:val="en-US"/>
        </w:rPr>
      </w:pPr>
      <w:r w:rsidRPr="002A68EC">
        <w:rPr>
          <w:rFonts w:ascii="Times New Roman" w:hAnsi="Times New Roman"/>
          <w:color w:val="auto"/>
          <w:sz w:val="24"/>
          <w:lang w:val="en-US"/>
        </w:rPr>
        <w:t xml:space="preserve">2. </w:t>
      </w:r>
      <w:r w:rsidR="00E00181" w:rsidRPr="002A68EC">
        <w:rPr>
          <w:rFonts w:ascii="Times New Roman" w:hAnsi="Times New Roman"/>
          <w:b/>
          <w:bCs/>
          <w:color w:val="auto"/>
          <w:sz w:val="24"/>
          <w:lang w:val="en-US"/>
        </w:rPr>
        <w:t xml:space="preserve">The </w:t>
      </w:r>
      <w:r w:rsidR="00FF6D82" w:rsidRPr="002A68EC">
        <w:rPr>
          <w:rFonts w:ascii="Times New Roman" w:hAnsi="Times New Roman"/>
          <w:b/>
          <w:bCs/>
          <w:color w:val="auto"/>
          <w:sz w:val="24"/>
          <w:lang w:val="en-US"/>
        </w:rPr>
        <w:t xml:space="preserve">Withdrawal Agreement </w:t>
      </w:r>
      <w:r w:rsidR="00583916" w:rsidRPr="002A68EC">
        <w:rPr>
          <w:rFonts w:ascii="Times New Roman" w:hAnsi="Times New Roman"/>
          <w:b/>
          <w:bCs/>
          <w:color w:val="auto"/>
          <w:sz w:val="24"/>
          <w:lang w:val="en-US"/>
        </w:rPr>
        <w:t>abandon</w:t>
      </w:r>
      <w:r w:rsidR="00FF6D82" w:rsidRPr="002A68EC">
        <w:rPr>
          <w:rFonts w:ascii="Times New Roman" w:hAnsi="Times New Roman"/>
          <w:b/>
          <w:bCs/>
          <w:color w:val="auto"/>
          <w:sz w:val="24"/>
          <w:lang w:val="en-US"/>
        </w:rPr>
        <w:t>s</w:t>
      </w:r>
      <w:r w:rsidR="00583916" w:rsidRPr="002A68EC">
        <w:rPr>
          <w:rFonts w:ascii="Times New Roman" w:hAnsi="Times New Roman"/>
          <w:b/>
          <w:bCs/>
          <w:color w:val="auto"/>
          <w:sz w:val="24"/>
          <w:lang w:val="en-US"/>
        </w:rPr>
        <w:t xml:space="preserve"> vulnerable EU citizens</w:t>
      </w:r>
      <w:r w:rsidR="00583916" w:rsidRPr="002A68EC">
        <w:rPr>
          <w:rFonts w:ascii="Times New Roman" w:hAnsi="Times New Roman"/>
          <w:color w:val="auto"/>
          <w:sz w:val="24"/>
          <w:lang w:val="en-US"/>
        </w:rPr>
        <w:t xml:space="preserve"> </w:t>
      </w:r>
    </w:p>
    <w:p w14:paraId="6139E7B5" w14:textId="7F25A936" w:rsidR="006E5E28" w:rsidRPr="002A68EC" w:rsidRDefault="006C2FC9" w:rsidP="002A68EC">
      <w:pPr>
        <w:shd w:val="clear" w:color="auto" w:fill="FFFFFF"/>
        <w:spacing w:after="120"/>
        <w:ind w:right="-52"/>
        <w:jc w:val="both"/>
        <w:rPr>
          <w:rFonts w:cs="Calibri"/>
          <w:lang w:val="en-US"/>
        </w:rPr>
      </w:pPr>
      <w:r w:rsidRPr="002A68EC">
        <w:rPr>
          <w:rFonts w:cs="Calibri"/>
          <w:lang w:val="en-US"/>
        </w:rPr>
        <w:t>The citizens’ rights provisions</w:t>
      </w:r>
      <w:r w:rsidR="00DE5251" w:rsidRPr="002A68EC">
        <w:rPr>
          <w:rStyle w:val="FootnoteReference"/>
          <w:rFonts w:cs="Calibri"/>
          <w:lang w:val="en-US"/>
        </w:rPr>
        <w:footnoteReference w:id="15"/>
      </w:r>
      <w:r w:rsidRPr="002A68EC">
        <w:rPr>
          <w:rFonts w:cs="Calibri"/>
          <w:lang w:val="en-US"/>
        </w:rPr>
        <w:t xml:space="preserve"> proved to be among the least controversial aspects of the Withdrawal Agreement – agreement was reached relatively swiftly; the provisions in the March 2018 draft</w:t>
      </w:r>
      <w:r w:rsidR="0092124D" w:rsidRPr="002A68EC">
        <w:rPr>
          <w:rStyle w:val="FootnoteReference"/>
          <w:rFonts w:cs="Calibri"/>
          <w:lang w:val="en-US"/>
        </w:rPr>
        <w:footnoteReference w:id="16"/>
      </w:r>
      <w:r w:rsidRPr="002A68EC">
        <w:rPr>
          <w:rFonts w:cs="Calibri"/>
          <w:lang w:val="en-US"/>
        </w:rPr>
        <w:t xml:space="preserve"> were largely reproduced in the text that was </w:t>
      </w:r>
      <w:r w:rsidR="0092124D" w:rsidRPr="002A68EC">
        <w:rPr>
          <w:rFonts w:cs="Calibri"/>
          <w:lang w:val="en-US"/>
        </w:rPr>
        <w:t>approv</w:t>
      </w:r>
      <w:r w:rsidRPr="002A68EC">
        <w:rPr>
          <w:rFonts w:cs="Calibri"/>
          <w:lang w:val="en-US"/>
        </w:rPr>
        <w:t>ed by the EU 27 in November 2018</w:t>
      </w:r>
      <w:r w:rsidR="00FE3DFF" w:rsidRPr="002A68EC">
        <w:rPr>
          <w:rFonts w:cs="Calibri"/>
          <w:lang w:val="en-US"/>
        </w:rPr>
        <w:t>,</w:t>
      </w:r>
      <w:r w:rsidR="0092124D" w:rsidRPr="002A68EC">
        <w:rPr>
          <w:rStyle w:val="FootnoteReference"/>
          <w:rFonts w:cs="Calibri"/>
          <w:lang w:val="en-US"/>
        </w:rPr>
        <w:footnoteReference w:id="17"/>
      </w:r>
      <w:r w:rsidR="00FE3DFF" w:rsidRPr="002A68EC">
        <w:rPr>
          <w:rFonts w:cs="Calibri"/>
          <w:lang w:val="en-US"/>
        </w:rPr>
        <w:t xml:space="preserve"> and again in the version agreed in October 2019, which came into force on 1 February 2020</w:t>
      </w:r>
      <w:r w:rsidR="006B446F" w:rsidRPr="002A68EC">
        <w:rPr>
          <w:rFonts w:cs="Calibri"/>
          <w:lang w:val="en-US"/>
        </w:rPr>
        <w:t>.</w:t>
      </w:r>
      <w:r w:rsidR="00C70A3C" w:rsidRPr="002A68EC">
        <w:rPr>
          <w:rStyle w:val="FootnoteReference"/>
          <w:rFonts w:cs="Calibri"/>
          <w:lang w:val="en-US"/>
        </w:rPr>
        <w:footnoteReference w:id="18"/>
      </w:r>
      <w:r w:rsidR="00C70A3C" w:rsidRPr="002A68EC">
        <w:rPr>
          <w:rFonts w:cs="Calibri"/>
          <w:lang w:val="en-US"/>
        </w:rPr>
        <w:t xml:space="preserve"> </w:t>
      </w:r>
      <w:r w:rsidR="00C960F0" w:rsidRPr="002A68EC">
        <w:rPr>
          <w:rFonts w:cs="Calibri"/>
          <w:lang w:val="en-US"/>
        </w:rPr>
        <w:t xml:space="preserve">Somewhat startlingly, EU citizenship means very little with regard to the those the agreement seeks to protect. </w:t>
      </w:r>
      <w:r w:rsidR="00DE5251" w:rsidRPr="002A68EC">
        <w:rPr>
          <w:rFonts w:cs="Calibri"/>
          <w:lang w:val="en-US"/>
        </w:rPr>
        <w:t xml:space="preserve"> </w:t>
      </w:r>
    </w:p>
    <w:p w14:paraId="12487B1A" w14:textId="77777777" w:rsidR="00C960F0" w:rsidRPr="002A68EC" w:rsidRDefault="00C960F0" w:rsidP="002A68EC">
      <w:pPr>
        <w:shd w:val="clear" w:color="auto" w:fill="FFFFFF"/>
        <w:spacing w:after="120"/>
        <w:ind w:right="-52"/>
        <w:jc w:val="both"/>
        <w:rPr>
          <w:rFonts w:cs="Calibri"/>
          <w:lang w:val="en-US"/>
        </w:rPr>
      </w:pPr>
    </w:p>
    <w:p w14:paraId="0A734F6B" w14:textId="02558544" w:rsidR="00C960F0" w:rsidRPr="002A68EC" w:rsidRDefault="00C960F0" w:rsidP="002A68EC">
      <w:pPr>
        <w:pStyle w:val="Heading3"/>
        <w:spacing w:before="0" w:after="120"/>
        <w:jc w:val="both"/>
        <w:rPr>
          <w:rFonts w:ascii="Times New Roman" w:hAnsi="Times New Roman"/>
          <w:color w:val="auto"/>
          <w:lang w:val="en-US"/>
        </w:rPr>
      </w:pPr>
      <w:r w:rsidRPr="002A68EC">
        <w:rPr>
          <w:rFonts w:ascii="Times New Roman" w:hAnsi="Times New Roman"/>
          <w:color w:val="auto"/>
          <w:lang w:val="en-US"/>
        </w:rPr>
        <w:t xml:space="preserve">2.1 </w:t>
      </w:r>
      <w:r w:rsidRPr="002A68EC">
        <w:rPr>
          <w:rFonts w:ascii="Times New Roman" w:hAnsi="Times New Roman"/>
          <w:color w:val="auto"/>
          <w:lang w:val="en-US"/>
        </w:rPr>
        <w:tab/>
      </w:r>
      <w:r w:rsidRPr="002A68EC">
        <w:rPr>
          <w:rFonts w:ascii="Times New Roman" w:hAnsi="Times New Roman"/>
          <w:i/>
          <w:iCs/>
          <w:color w:val="auto"/>
          <w:lang w:val="en-US"/>
        </w:rPr>
        <w:t>Swathes of EU citizens not covered by the Withdrawal Agreement</w:t>
      </w:r>
    </w:p>
    <w:p w14:paraId="2FD0CBE4" w14:textId="5DF596C5" w:rsidR="00CC7249" w:rsidRPr="003520F4" w:rsidRDefault="00C70A3C" w:rsidP="002A68EC">
      <w:pPr>
        <w:shd w:val="clear" w:color="auto" w:fill="FFFFFF"/>
        <w:spacing w:after="120"/>
        <w:ind w:right="-52"/>
        <w:jc w:val="both"/>
        <w:rPr>
          <w:rFonts w:cs="Calibri"/>
        </w:rPr>
      </w:pPr>
      <w:r w:rsidRPr="002A68EC">
        <w:rPr>
          <w:rFonts w:cs="Calibri"/>
          <w:lang w:val="en-US"/>
        </w:rPr>
        <w:t>The agreement covers EU citizens who ‘exercised their right to reside’ in the UK, (and UK citizens who exercised that right in the EU), before the end of transition, and continue to reside there thereafter.</w:t>
      </w:r>
      <w:r w:rsidRPr="002A68EC">
        <w:rPr>
          <w:rStyle w:val="FootnoteReference"/>
          <w:rFonts w:cs="Calibri"/>
          <w:lang w:val="en-US"/>
        </w:rPr>
        <w:footnoteReference w:id="19"/>
      </w:r>
      <w:r w:rsidRPr="002A68EC">
        <w:rPr>
          <w:rFonts w:cs="Calibri"/>
          <w:lang w:val="en-US"/>
        </w:rPr>
        <w:t xml:space="preserve"> It also covers UK/EU frontier workers,</w:t>
      </w:r>
      <w:r w:rsidRPr="002A68EC">
        <w:rPr>
          <w:rStyle w:val="FootnoteReference"/>
          <w:rFonts w:cs="Calibri"/>
          <w:lang w:val="en-US"/>
        </w:rPr>
        <w:footnoteReference w:id="20"/>
      </w:r>
      <w:r w:rsidRPr="002A68EC">
        <w:rPr>
          <w:rFonts w:cs="Calibri"/>
          <w:lang w:val="en-US"/>
        </w:rPr>
        <w:t xml:space="preserve"> and family members of covered residents/workers under certain conditions</w:t>
      </w:r>
      <w:r w:rsidRPr="002A68EC">
        <w:rPr>
          <w:rStyle w:val="FootnoteReference"/>
          <w:rFonts w:cs="Calibri"/>
          <w:lang w:val="en-US"/>
        </w:rPr>
        <w:footnoteReference w:id="21"/>
      </w:r>
      <w:r w:rsidRPr="002A68EC">
        <w:rPr>
          <w:rFonts w:cs="Calibri"/>
          <w:lang w:val="en-US"/>
        </w:rPr>
        <w:t xml:space="preserve"> – including children born or adopted in the future.</w:t>
      </w:r>
      <w:r w:rsidRPr="002A68EC">
        <w:rPr>
          <w:rStyle w:val="FootnoteReference"/>
          <w:rFonts w:cs="Calibri"/>
          <w:lang w:val="en-US"/>
        </w:rPr>
        <w:footnoteReference w:id="22"/>
      </w:r>
      <w:r w:rsidRPr="002A68EC">
        <w:rPr>
          <w:rFonts w:cs="Calibri"/>
          <w:lang w:val="en-US"/>
        </w:rPr>
        <w:t xml:space="preserve"> </w:t>
      </w:r>
      <w:r w:rsidR="006E5E28" w:rsidRPr="002A68EC">
        <w:rPr>
          <w:rFonts w:cs="Calibri"/>
          <w:lang w:val="en-US"/>
        </w:rPr>
        <w:t>Part II of the agreement address</w:t>
      </w:r>
      <w:r w:rsidR="00857980" w:rsidRPr="002A68EC">
        <w:rPr>
          <w:rFonts w:cs="Calibri"/>
          <w:lang w:val="en-US"/>
        </w:rPr>
        <w:t>es</w:t>
      </w:r>
      <w:r w:rsidR="006E5E28" w:rsidRPr="002A68EC">
        <w:rPr>
          <w:rFonts w:cs="Calibri"/>
          <w:lang w:val="en-US"/>
        </w:rPr>
        <w:t xml:space="preserve"> citizens’ rights, with Title II of that part providing for ‘rights and obligations’</w:t>
      </w:r>
      <w:r w:rsidR="001A2C4E" w:rsidRPr="002A68EC">
        <w:rPr>
          <w:rFonts w:cs="Calibri"/>
          <w:lang w:val="en-US"/>
        </w:rPr>
        <w:t>, and Title III providing for continued coverage under the social security coordination framework</w:t>
      </w:r>
      <w:r w:rsidR="006E5E28" w:rsidRPr="002A68EC">
        <w:rPr>
          <w:rFonts w:cs="Calibri"/>
          <w:lang w:val="en-US"/>
        </w:rPr>
        <w:t xml:space="preserve">. </w:t>
      </w:r>
      <w:r w:rsidRPr="002A68EC">
        <w:rPr>
          <w:rFonts w:cs="Calibri"/>
          <w:lang w:val="en-US"/>
        </w:rPr>
        <w:t xml:space="preserve">Article 13 provides for the continued enjoyment of residence rights for EU nationals, EU national family members, and third country national family members, </w:t>
      </w:r>
      <w:r w:rsidR="006B446F" w:rsidRPr="002A68EC">
        <w:rPr>
          <w:rFonts w:cs="Calibri"/>
          <w:lang w:val="en-US"/>
        </w:rPr>
        <w:t>and</w:t>
      </w:r>
      <w:r w:rsidR="00EB4B9A" w:rsidRPr="002A68EC">
        <w:rPr>
          <w:rFonts w:cs="Calibri"/>
          <w:lang w:val="en-US"/>
        </w:rPr>
        <w:t xml:space="preserve"> makes clear from the outset that the new regime is constructed around the </w:t>
      </w:r>
      <w:r w:rsidR="00EB4B9A" w:rsidRPr="002A68EC">
        <w:rPr>
          <w:rFonts w:cs="Calibri"/>
          <w:i/>
          <w:iCs/>
          <w:lang w:val="en-US"/>
        </w:rPr>
        <w:t>limitations</w:t>
      </w:r>
      <w:r w:rsidR="00EB4B9A" w:rsidRPr="002A68EC">
        <w:rPr>
          <w:rFonts w:cs="Calibri"/>
          <w:lang w:val="en-US"/>
        </w:rPr>
        <w:t xml:space="preserve"> </w:t>
      </w:r>
      <w:r w:rsidR="00EB4B9A" w:rsidRPr="002A68EC">
        <w:rPr>
          <w:rFonts w:cs="Calibri"/>
          <w:i/>
          <w:iCs/>
          <w:lang w:val="en-US"/>
        </w:rPr>
        <w:t xml:space="preserve">and conditions </w:t>
      </w:r>
      <w:r w:rsidR="00EB4B9A" w:rsidRPr="002A68EC">
        <w:rPr>
          <w:rFonts w:cs="Calibri"/>
          <w:lang w:val="en-US"/>
        </w:rPr>
        <w:t xml:space="preserve">in </w:t>
      </w:r>
      <w:r w:rsidR="006B446F" w:rsidRPr="002A68EC">
        <w:rPr>
          <w:rFonts w:cs="Calibri"/>
          <w:lang w:val="en-US"/>
        </w:rPr>
        <w:t>Directive 2004/38.</w:t>
      </w:r>
      <w:r w:rsidR="006B446F" w:rsidRPr="002A68EC">
        <w:rPr>
          <w:rStyle w:val="FootnoteReference"/>
          <w:rFonts w:cs="Calibri"/>
          <w:lang w:val="en-US"/>
        </w:rPr>
        <w:footnoteReference w:id="23"/>
      </w:r>
      <w:r w:rsidR="00EB4B9A" w:rsidRPr="002A68EC">
        <w:rPr>
          <w:rFonts w:cs="Calibri"/>
          <w:lang w:val="en-US"/>
        </w:rPr>
        <w:t xml:space="preserve"> </w:t>
      </w:r>
      <w:r w:rsidR="006B446F" w:rsidRPr="002A68EC">
        <w:rPr>
          <w:rFonts w:cs="Calibri"/>
          <w:lang w:val="en-US"/>
        </w:rPr>
        <w:t>M</w:t>
      </w:r>
      <w:r w:rsidR="00EB4B9A" w:rsidRPr="002A68EC">
        <w:rPr>
          <w:rFonts w:cs="Calibri"/>
          <w:lang w:val="en-US"/>
        </w:rPr>
        <w:t>ere residence is not enough</w:t>
      </w:r>
      <w:r w:rsidR="006B446F" w:rsidRPr="002A68EC">
        <w:rPr>
          <w:rFonts w:cs="Calibri"/>
          <w:lang w:val="en-US"/>
        </w:rPr>
        <w:t xml:space="preserve">; </w:t>
      </w:r>
      <w:r w:rsidR="00EB4B9A" w:rsidRPr="002A68EC">
        <w:rPr>
          <w:rFonts w:cs="Calibri"/>
          <w:lang w:val="en-US"/>
        </w:rPr>
        <w:t>an EU national must show they fall within a qualified category – which in the UK, thanks to restrictive approaches taken to other categories such as self</w:t>
      </w:r>
      <w:r w:rsidR="00BC03D3" w:rsidRPr="002A68EC">
        <w:rPr>
          <w:rFonts w:cs="Calibri"/>
          <w:lang w:val="en-US"/>
        </w:rPr>
        <w:t>-</w:t>
      </w:r>
      <w:r w:rsidR="00EB4B9A" w:rsidRPr="002A68EC">
        <w:rPr>
          <w:rFonts w:cs="Calibri"/>
          <w:lang w:val="en-US"/>
        </w:rPr>
        <w:t>sufficiency, typically means being in work, or the family member of a worker.</w:t>
      </w:r>
      <w:r w:rsidR="007139F8" w:rsidRPr="002A68EC">
        <w:rPr>
          <w:rStyle w:val="FootnoteReference"/>
          <w:rFonts w:cs="Calibri"/>
          <w:lang w:val="en-US"/>
        </w:rPr>
        <w:footnoteReference w:id="24"/>
      </w:r>
      <w:r w:rsidR="00EB4B9A" w:rsidRPr="002A68EC">
        <w:rPr>
          <w:rFonts w:cs="Calibri"/>
          <w:lang w:val="en-US"/>
        </w:rPr>
        <w:t xml:space="preserve"> </w:t>
      </w:r>
      <w:r w:rsidR="00CC7249" w:rsidRPr="002A68EC">
        <w:rPr>
          <w:rFonts w:cs="Calibri"/>
          <w:lang w:val="en-US"/>
        </w:rPr>
        <w:t>Article 24</w:t>
      </w:r>
      <w:r w:rsidR="006E2624">
        <w:rPr>
          <w:rStyle w:val="FootnoteReference"/>
          <w:rFonts w:cs="Calibri"/>
          <w:lang w:val="en-US"/>
        </w:rPr>
        <w:footnoteReference w:id="25"/>
      </w:r>
      <w:r w:rsidR="00CC7249" w:rsidRPr="002A68EC">
        <w:rPr>
          <w:rFonts w:cs="Calibri"/>
          <w:lang w:val="en-US"/>
        </w:rPr>
        <w:t xml:space="preserve"> appear</w:t>
      </w:r>
      <w:r w:rsidR="006E2624">
        <w:rPr>
          <w:rFonts w:cs="Calibri"/>
          <w:lang w:val="en-US"/>
        </w:rPr>
        <w:t>s</w:t>
      </w:r>
      <w:r w:rsidR="00CC7249" w:rsidRPr="002A68EC">
        <w:rPr>
          <w:rFonts w:cs="Calibri"/>
          <w:lang w:val="en-US"/>
        </w:rPr>
        <w:t xml:space="preserve"> to reproduce part of a right to reside that falls outside of the Directive – the right to reside for primary carer of the descendant of an EU migrant worker based on Article 10 of Regulation 492/2011</w:t>
      </w:r>
      <w:r w:rsidR="003520F4">
        <w:rPr>
          <w:rFonts w:cs="Calibri"/>
          <w:lang w:val="en-US"/>
        </w:rPr>
        <w:t xml:space="preserve">, giving effect to the primary carer right found in </w:t>
      </w:r>
      <w:r w:rsidR="003520F4">
        <w:rPr>
          <w:rFonts w:cs="Calibri"/>
          <w:i/>
          <w:iCs/>
          <w:lang w:val="en-US"/>
        </w:rPr>
        <w:t>Baumbast</w:t>
      </w:r>
      <w:r w:rsidR="00CC7249" w:rsidRPr="002A68EC">
        <w:rPr>
          <w:rFonts w:cs="Calibri"/>
          <w:lang w:val="en-US"/>
        </w:rPr>
        <w:t>.</w:t>
      </w:r>
      <w:r w:rsidR="003520F4">
        <w:rPr>
          <w:rStyle w:val="FootnoteReference"/>
          <w:rFonts w:cs="Calibri"/>
          <w:lang w:val="en-US"/>
        </w:rPr>
        <w:footnoteReference w:id="26"/>
      </w:r>
      <w:r w:rsidR="00CC7249" w:rsidRPr="002A68EC">
        <w:rPr>
          <w:rFonts w:cs="Calibri"/>
          <w:lang w:val="en-US"/>
        </w:rPr>
        <w:t xml:space="preserve"> </w:t>
      </w:r>
      <w:r w:rsidR="003520F4">
        <w:rPr>
          <w:rFonts w:cs="Calibri"/>
          <w:lang w:val="en-US"/>
        </w:rPr>
        <w:t xml:space="preserve">This right was explicitly extended to create a right to equal treatment, and so to benefits, </w:t>
      </w:r>
      <w:r w:rsidR="003520F4">
        <w:rPr>
          <w:rFonts w:cs="Calibri"/>
        </w:rPr>
        <w:t xml:space="preserve">in </w:t>
      </w:r>
      <w:r w:rsidR="003520F4" w:rsidRPr="002A68EC">
        <w:rPr>
          <w:rFonts w:cs="Calibri"/>
          <w:i/>
          <w:iCs/>
          <w:lang w:val="en-US"/>
        </w:rPr>
        <w:t>Ibrahim</w:t>
      </w:r>
      <w:r w:rsidR="003520F4">
        <w:rPr>
          <w:rFonts w:cs="Calibri"/>
          <w:i/>
          <w:iCs/>
          <w:lang w:val="en-US"/>
        </w:rPr>
        <w:t>.</w:t>
      </w:r>
      <w:r w:rsidR="003520F4" w:rsidRPr="002A68EC">
        <w:rPr>
          <w:rStyle w:val="FootnoteReference"/>
          <w:rFonts w:cs="Calibri"/>
          <w:lang w:val="en-US"/>
        </w:rPr>
        <w:footnoteReference w:id="27"/>
      </w:r>
      <w:r w:rsidR="003520F4">
        <w:rPr>
          <w:rFonts w:cs="Calibri"/>
          <w:lang w:val="en-US"/>
        </w:rPr>
        <w:t xml:space="preserve"> The Withdrawal Agreement nods to </w:t>
      </w:r>
      <w:r w:rsidR="003520F4">
        <w:rPr>
          <w:rFonts w:cs="Calibri"/>
          <w:i/>
          <w:iCs/>
          <w:lang w:val="en-US"/>
        </w:rPr>
        <w:t>Ibrahim</w:t>
      </w:r>
      <w:r w:rsidR="003520F4">
        <w:rPr>
          <w:rFonts w:cs="Calibri"/>
          <w:lang w:val="en-US"/>
        </w:rPr>
        <w:t xml:space="preserve">, by providing that </w:t>
      </w:r>
      <w:r w:rsidR="00CC7249" w:rsidRPr="002A68EC">
        <w:rPr>
          <w:rFonts w:cs="Calibri"/>
          <w:lang w:val="en-US"/>
        </w:rPr>
        <w:t>the right shall continue to exist where the migrant worker parent ‘</w:t>
      </w:r>
      <w:r w:rsidR="00CC7249" w:rsidRPr="002A68EC">
        <w:rPr>
          <w:rFonts w:cs="Calibri"/>
        </w:rPr>
        <w:t>has ceased to reside in the host State’</w:t>
      </w:r>
      <w:r w:rsidR="003520F4">
        <w:rPr>
          <w:rFonts w:cs="Calibri"/>
        </w:rPr>
        <w:t xml:space="preserve"> – so where the working EU national parent moves, leaving the child and their carer behind. But this does not on its face encompass the </w:t>
      </w:r>
      <w:r w:rsidR="00CC7249" w:rsidRPr="002A68EC">
        <w:rPr>
          <w:rFonts w:cs="Calibri"/>
          <w:i/>
          <w:iCs/>
        </w:rPr>
        <w:t>Teixeira</w:t>
      </w:r>
      <w:r w:rsidR="007139F8" w:rsidRPr="002A68EC">
        <w:rPr>
          <w:rStyle w:val="FootnoteReference"/>
          <w:rFonts w:cs="Calibri"/>
        </w:rPr>
        <w:footnoteReference w:id="28"/>
      </w:r>
      <w:r w:rsidR="00CC7249" w:rsidRPr="002A68EC">
        <w:rPr>
          <w:rFonts w:cs="Calibri"/>
        </w:rPr>
        <w:t xml:space="preserve"> situation where the wor</w:t>
      </w:r>
      <w:r w:rsidR="003520F4">
        <w:rPr>
          <w:rFonts w:cs="Calibri"/>
        </w:rPr>
        <w:t xml:space="preserve">king parent stays in the host State (ie the UK), but </w:t>
      </w:r>
      <w:r w:rsidR="003520F4" w:rsidRPr="003520F4">
        <w:rPr>
          <w:rFonts w:cs="Calibri"/>
          <w:i/>
          <w:iCs/>
        </w:rPr>
        <w:t>ceases to work</w:t>
      </w:r>
      <w:r w:rsidR="003520F4">
        <w:rPr>
          <w:rFonts w:cs="Calibri"/>
        </w:rPr>
        <w:t xml:space="preserve">, </w:t>
      </w:r>
      <w:r w:rsidR="00CC7249" w:rsidRPr="002A68EC">
        <w:rPr>
          <w:rFonts w:cs="Calibri"/>
        </w:rPr>
        <w:t>perhaps due to childcaring complications (or labour market fluctuations affected by Covid 19)</w:t>
      </w:r>
      <w:r w:rsidR="00CC7249" w:rsidRPr="002A68EC">
        <w:rPr>
          <w:rStyle w:val="FootnoteReference"/>
          <w:rFonts w:cs="Calibri"/>
        </w:rPr>
        <w:footnoteReference w:id="29"/>
      </w:r>
      <w:r w:rsidR="00CC7249" w:rsidRPr="002A68EC">
        <w:rPr>
          <w:rFonts w:cs="Calibri"/>
        </w:rPr>
        <w:t xml:space="preserve"> </w:t>
      </w:r>
      <w:r w:rsidR="003520F4">
        <w:rPr>
          <w:rFonts w:cs="Calibri"/>
        </w:rPr>
        <w:t xml:space="preserve">and becomes the primary carer. </w:t>
      </w:r>
    </w:p>
    <w:p w14:paraId="5577AC72" w14:textId="1D200E96" w:rsidR="005211C4" w:rsidRPr="002A68EC" w:rsidRDefault="00CC7249" w:rsidP="002A68EC">
      <w:pPr>
        <w:spacing w:after="120"/>
        <w:jc w:val="both"/>
      </w:pPr>
      <w:r w:rsidRPr="002A68EC">
        <w:rPr>
          <w:rFonts w:cs="Calibri"/>
          <w:lang w:val="en-US"/>
        </w:rPr>
        <w:t xml:space="preserve">For primary carers who are covered, </w:t>
      </w:r>
      <w:r w:rsidR="00301476" w:rsidRPr="002A68EC">
        <w:rPr>
          <w:rFonts w:cs="Calibri"/>
          <w:lang w:val="en-US"/>
        </w:rPr>
        <w:t>there is some ambiguity over accessing</w:t>
      </w:r>
      <w:r w:rsidRPr="002A68EC">
        <w:rPr>
          <w:rFonts w:cs="Calibri"/>
          <w:lang w:val="en-US"/>
        </w:rPr>
        <w:t xml:space="preserve"> secure,</w:t>
      </w:r>
      <w:r w:rsidR="001A2C4E" w:rsidRPr="002A68EC">
        <w:rPr>
          <w:rFonts w:cs="Calibri"/>
          <w:lang w:val="en-US"/>
        </w:rPr>
        <w:t xml:space="preserve"> </w:t>
      </w:r>
      <w:r w:rsidRPr="002A68EC">
        <w:rPr>
          <w:rFonts w:cs="Calibri"/>
          <w:lang w:val="en-US"/>
        </w:rPr>
        <w:t xml:space="preserve">permanent residence rights. The CJEU found in </w:t>
      </w:r>
      <w:r w:rsidRPr="002A68EC">
        <w:rPr>
          <w:rFonts w:cs="Calibri"/>
          <w:i/>
          <w:iCs/>
          <w:lang w:val="en-US"/>
        </w:rPr>
        <w:t>Alarape</w:t>
      </w:r>
      <w:r w:rsidR="007139F8" w:rsidRPr="002A68EC">
        <w:rPr>
          <w:rStyle w:val="FootnoteReference"/>
          <w:rFonts w:cs="Calibri"/>
          <w:lang w:val="en-US"/>
        </w:rPr>
        <w:footnoteReference w:id="30"/>
      </w:r>
      <w:r w:rsidRPr="002A68EC">
        <w:rPr>
          <w:rFonts w:cs="Calibri"/>
          <w:lang w:val="en-US"/>
        </w:rPr>
        <w:t xml:space="preserve"> that residence under </w:t>
      </w:r>
      <w:r w:rsidRPr="002A68EC">
        <w:rPr>
          <w:rFonts w:cs="Calibri"/>
          <w:i/>
          <w:iCs/>
          <w:lang w:val="en-US"/>
        </w:rPr>
        <w:t xml:space="preserve">Teixeira/Ibrahim </w:t>
      </w:r>
      <w:r w:rsidRPr="002A68EC">
        <w:rPr>
          <w:rFonts w:cs="Calibri"/>
          <w:lang w:val="en-US"/>
        </w:rPr>
        <w:t xml:space="preserve">rights does not count towards the five years of lawful residence required for permanent residence – only residence in accordance with the conditions of Directive 2004/38 counts. </w:t>
      </w:r>
      <w:r w:rsidR="00EB4B9A" w:rsidRPr="002A68EC">
        <w:rPr>
          <w:rFonts w:cs="Calibri"/>
          <w:lang w:val="en-US"/>
        </w:rPr>
        <w:t xml:space="preserve">The </w:t>
      </w:r>
      <w:r w:rsidR="007139F8" w:rsidRPr="002A68EC">
        <w:rPr>
          <w:rFonts w:cs="Calibri"/>
          <w:lang w:val="en-US"/>
        </w:rPr>
        <w:t>W</w:t>
      </w:r>
      <w:r w:rsidRPr="002A68EC">
        <w:rPr>
          <w:rFonts w:cs="Calibri"/>
          <w:lang w:val="en-US"/>
        </w:rPr>
        <w:t xml:space="preserve">ithdrawal </w:t>
      </w:r>
      <w:r w:rsidR="007139F8" w:rsidRPr="002A68EC">
        <w:rPr>
          <w:rFonts w:cs="Calibri"/>
          <w:lang w:val="en-US"/>
        </w:rPr>
        <w:t>A</w:t>
      </w:r>
      <w:r w:rsidR="00EB4B9A" w:rsidRPr="002A68EC">
        <w:rPr>
          <w:rFonts w:cs="Calibri"/>
          <w:lang w:val="en-US"/>
        </w:rPr>
        <w:t>greement reproduces the concept of permanent residence in Article 15</w:t>
      </w:r>
      <w:r w:rsidR="00301476" w:rsidRPr="002A68EC">
        <w:rPr>
          <w:rFonts w:cs="Calibri"/>
          <w:lang w:val="en-US"/>
        </w:rPr>
        <w:t>, and appears only to require residence be ‘</w:t>
      </w:r>
      <w:r w:rsidR="00301476" w:rsidRPr="002A68EC">
        <w:rPr>
          <w:rFonts w:cs="Calibri"/>
        </w:rPr>
        <w:t>in accordance with Union law for a continuous period of 5 years’,</w:t>
      </w:r>
      <w:r w:rsidR="00301476" w:rsidRPr="002A68EC">
        <w:rPr>
          <w:rStyle w:val="FootnoteReference"/>
          <w:rFonts w:cs="Calibri"/>
        </w:rPr>
        <w:footnoteReference w:id="31"/>
      </w:r>
      <w:r w:rsidR="00301476" w:rsidRPr="002A68EC">
        <w:rPr>
          <w:rFonts w:cs="Calibri"/>
        </w:rPr>
        <w:t xml:space="preserve"> which </w:t>
      </w:r>
      <w:r w:rsidR="00301476" w:rsidRPr="002A68EC">
        <w:rPr>
          <w:rFonts w:cs="Calibri"/>
        </w:rPr>
        <w:lastRenderedPageBreak/>
        <w:t>Spaventa</w:t>
      </w:r>
      <w:r w:rsidR="008414DF" w:rsidRPr="002A68EC">
        <w:rPr>
          <w:rStyle w:val="FootnoteReference"/>
          <w:rFonts w:cs="Calibri"/>
        </w:rPr>
        <w:footnoteReference w:id="32"/>
      </w:r>
      <w:r w:rsidR="00301476" w:rsidRPr="002A68EC">
        <w:rPr>
          <w:rFonts w:cs="Calibri"/>
        </w:rPr>
        <w:t xml:space="preserve"> and Peers</w:t>
      </w:r>
      <w:r w:rsidR="008414DF" w:rsidRPr="002A68EC">
        <w:rPr>
          <w:rStyle w:val="FootnoteReference"/>
          <w:rFonts w:cs="Calibri"/>
        </w:rPr>
        <w:footnoteReference w:id="33"/>
      </w:r>
      <w:r w:rsidR="00301476" w:rsidRPr="002A68EC">
        <w:rPr>
          <w:rFonts w:cs="Calibri"/>
        </w:rPr>
        <w:t xml:space="preserve"> have both argued means that other forms of lawful residence (such as </w:t>
      </w:r>
      <w:r w:rsidR="00301476" w:rsidRPr="002A68EC">
        <w:rPr>
          <w:rFonts w:cs="Calibri"/>
          <w:i/>
          <w:iCs/>
        </w:rPr>
        <w:t xml:space="preserve">Ibrahim </w:t>
      </w:r>
      <w:r w:rsidR="00301476" w:rsidRPr="002A68EC">
        <w:rPr>
          <w:rFonts w:cs="Calibri"/>
        </w:rPr>
        <w:t>based residence) should count towards it. However, the same provision state</w:t>
      </w:r>
      <w:r w:rsidR="006B446F" w:rsidRPr="002A68EC">
        <w:rPr>
          <w:rFonts w:cs="Calibri"/>
        </w:rPr>
        <w:t>s</w:t>
      </w:r>
      <w:r w:rsidR="00301476" w:rsidRPr="002A68EC">
        <w:rPr>
          <w:rFonts w:cs="Calibri"/>
        </w:rPr>
        <w:t xml:space="preserve"> that the right to permanent residence is ‘under the conditions set out in Articles 16, 17 and 18 of Directive 2004/38/EC’,</w:t>
      </w:r>
      <w:r w:rsidR="008414DF" w:rsidRPr="002A68EC">
        <w:rPr>
          <w:rFonts w:cs="Calibri"/>
        </w:rPr>
        <w:t xml:space="preserve"> which might be an attempt to codify the </w:t>
      </w:r>
      <w:r w:rsidR="008414DF" w:rsidRPr="002A68EC">
        <w:rPr>
          <w:rFonts w:cs="Calibri"/>
          <w:i/>
          <w:iCs/>
        </w:rPr>
        <w:t>Alarape</w:t>
      </w:r>
      <w:r w:rsidR="008414DF" w:rsidRPr="002A68EC">
        <w:rPr>
          <w:rFonts w:cs="Calibri"/>
        </w:rPr>
        <w:t xml:space="preserve"> principle. </w:t>
      </w:r>
      <w:r w:rsidR="00B249B4" w:rsidRPr="002A68EC">
        <w:rPr>
          <w:rFonts w:cs="Calibri"/>
        </w:rPr>
        <w:t>It is also worth noting that the following article refers to those ‘</w:t>
      </w:r>
      <w:r w:rsidR="00B249B4" w:rsidRPr="002A68EC">
        <w:rPr>
          <w:shd w:val="clear" w:color="auto" w:fill="FFFFFF"/>
        </w:rPr>
        <w:t xml:space="preserve">who before the end of the transition period resided legally in the host State </w:t>
      </w:r>
      <w:r w:rsidR="00B249B4" w:rsidRPr="002A68EC">
        <w:rPr>
          <w:i/>
          <w:iCs/>
          <w:shd w:val="clear" w:color="auto" w:fill="FFFFFF"/>
        </w:rPr>
        <w:t>in accordance with the conditions of Article 7 of Directive 2004/38/EC</w:t>
      </w:r>
      <w:r w:rsidR="00B249B4" w:rsidRPr="002A68EC">
        <w:rPr>
          <w:shd w:val="clear" w:color="auto" w:fill="FFFFFF"/>
        </w:rPr>
        <w:t xml:space="preserve"> for a period of less than 5 years</w:t>
      </w:r>
      <w:r w:rsidR="006B446F" w:rsidRPr="002A68EC">
        <w:rPr>
          <w:shd w:val="clear" w:color="auto" w:fill="FFFFFF"/>
        </w:rPr>
        <w:t>,</w:t>
      </w:r>
      <w:r w:rsidR="00B249B4" w:rsidRPr="002A68EC">
        <w:rPr>
          <w:shd w:val="clear" w:color="auto" w:fill="FFFFFF"/>
        </w:rPr>
        <w:t xml:space="preserve">’ </w:t>
      </w:r>
      <w:r w:rsidR="006B446F" w:rsidRPr="002A68EC">
        <w:rPr>
          <w:shd w:val="clear" w:color="auto" w:fill="FFFFFF"/>
        </w:rPr>
        <w:t>which may give</w:t>
      </w:r>
      <w:r w:rsidR="005211C4" w:rsidRPr="002A68EC">
        <w:rPr>
          <w:shd w:val="clear" w:color="auto" w:fill="FFFFFF"/>
        </w:rPr>
        <w:t xml:space="preserve"> us a clue as to how Article 15 is meant to be understood.  </w:t>
      </w:r>
      <w:r w:rsidR="007139F8" w:rsidRPr="002A68EC">
        <w:rPr>
          <w:rFonts w:cs="Calibri"/>
        </w:rPr>
        <w:t>This</w:t>
      </w:r>
      <w:r w:rsidR="00301476" w:rsidRPr="002A68EC">
        <w:rPr>
          <w:rFonts w:cs="Calibri"/>
        </w:rPr>
        <w:t xml:space="preserve"> seems likely to be source of dispute at some point. </w:t>
      </w:r>
    </w:p>
    <w:p w14:paraId="1418E22D" w14:textId="192FA00D" w:rsidR="001A2C4E" w:rsidRPr="002A68EC" w:rsidRDefault="008414DF" w:rsidP="002A68EC">
      <w:pPr>
        <w:spacing w:after="120"/>
        <w:jc w:val="both"/>
        <w:rPr>
          <w:rFonts w:cs="Calibri"/>
        </w:rPr>
      </w:pPr>
      <w:r w:rsidRPr="002A68EC">
        <w:rPr>
          <w:rFonts w:cs="Calibri"/>
          <w:lang w:val="en-US"/>
        </w:rPr>
        <w:t>When</w:t>
      </w:r>
      <w:r w:rsidR="00EB4B9A" w:rsidRPr="002A68EC">
        <w:rPr>
          <w:rFonts w:cs="Calibri"/>
          <w:lang w:val="en-US"/>
        </w:rPr>
        <w:t xml:space="preserve"> an EU national has exercised their right to reside in accordance with </w:t>
      </w:r>
      <w:r w:rsidRPr="002A68EC">
        <w:rPr>
          <w:rFonts w:cs="Calibri"/>
          <w:lang w:val="en-US"/>
        </w:rPr>
        <w:t xml:space="preserve">Union law/under the conditions of </w:t>
      </w:r>
      <w:r w:rsidR="00EB4B9A" w:rsidRPr="002A68EC">
        <w:rPr>
          <w:rFonts w:cs="Calibri"/>
          <w:lang w:val="en-US"/>
        </w:rPr>
        <w:t>Directive 2004/38 for a continuous period of five years</w:t>
      </w:r>
      <w:r w:rsidR="00CC7249" w:rsidRPr="002A68EC">
        <w:rPr>
          <w:rFonts w:cs="Calibri"/>
          <w:lang w:val="en-US"/>
        </w:rPr>
        <w:t xml:space="preserve"> in the UK</w:t>
      </w:r>
      <w:r w:rsidR="00EB4B9A" w:rsidRPr="002A68EC">
        <w:rPr>
          <w:rFonts w:cs="Calibri"/>
          <w:lang w:val="en-US"/>
        </w:rPr>
        <w:t xml:space="preserve">, they should be entitled to </w:t>
      </w:r>
      <w:r w:rsidR="00B02DA1" w:rsidRPr="002A68EC">
        <w:rPr>
          <w:rFonts w:cs="Calibri"/>
          <w:lang w:val="en-US"/>
        </w:rPr>
        <w:t xml:space="preserve">WA </w:t>
      </w:r>
      <w:r w:rsidR="00EB4B9A" w:rsidRPr="002A68EC">
        <w:rPr>
          <w:rFonts w:cs="Calibri"/>
          <w:lang w:val="en-US"/>
        </w:rPr>
        <w:t>permanent residence</w:t>
      </w:r>
      <w:r w:rsidR="00B02DA1" w:rsidRPr="002A68EC">
        <w:rPr>
          <w:rFonts w:cs="Calibri"/>
          <w:lang w:val="en-US"/>
        </w:rPr>
        <w:t xml:space="preserve">. </w:t>
      </w:r>
      <w:r w:rsidR="009B4085" w:rsidRPr="002A68EC">
        <w:rPr>
          <w:rFonts w:cs="Calibri"/>
          <w:lang w:val="en-US"/>
        </w:rPr>
        <w:t xml:space="preserve">While the </w:t>
      </w:r>
      <w:r w:rsidR="007139F8" w:rsidRPr="002A68EC">
        <w:rPr>
          <w:rFonts w:cs="Calibri"/>
          <w:lang w:val="en-US"/>
        </w:rPr>
        <w:t>A</w:t>
      </w:r>
      <w:r w:rsidR="009B4085" w:rsidRPr="002A68EC">
        <w:rPr>
          <w:rFonts w:cs="Calibri"/>
          <w:lang w:val="en-US"/>
        </w:rPr>
        <w:t>greement implies th</w:t>
      </w:r>
      <w:r w:rsidR="00B02DA1" w:rsidRPr="002A68EC">
        <w:rPr>
          <w:rFonts w:cs="Calibri"/>
          <w:lang w:val="en-US"/>
        </w:rPr>
        <w:t xml:space="preserve">at those who have got EU permanent residence </w:t>
      </w:r>
      <w:r w:rsidR="009B4085" w:rsidRPr="002A68EC">
        <w:rPr>
          <w:rFonts w:cs="Calibri"/>
          <w:lang w:val="en-US"/>
        </w:rPr>
        <w:t xml:space="preserve">should be </w:t>
      </w:r>
      <w:r w:rsidR="00B02DA1" w:rsidRPr="002A68EC">
        <w:rPr>
          <w:rFonts w:cs="Calibri"/>
          <w:lang w:val="en-US"/>
        </w:rPr>
        <w:t xml:space="preserve">able to, </w:t>
      </w:r>
      <w:r w:rsidR="009B4085" w:rsidRPr="002A68EC">
        <w:rPr>
          <w:rFonts w:cs="Calibri"/>
          <w:lang w:val="en-US"/>
        </w:rPr>
        <w:t>relatively automatic</w:t>
      </w:r>
      <w:r w:rsidR="00B02DA1" w:rsidRPr="002A68EC">
        <w:rPr>
          <w:rFonts w:cs="Calibri"/>
          <w:lang w:val="en-US"/>
        </w:rPr>
        <w:t>ally, swap this for WA permanent residence</w:t>
      </w:r>
      <w:r w:rsidR="009B4085" w:rsidRPr="002A68EC">
        <w:rPr>
          <w:rFonts w:cs="Calibri"/>
          <w:lang w:val="en-US"/>
        </w:rPr>
        <w:t xml:space="preserve"> (they have a </w:t>
      </w:r>
      <w:r w:rsidR="006B446F" w:rsidRPr="002A68EC">
        <w:rPr>
          <w:rFonts w:cs="Calibri"/>
          <w:lang w:val="en-US"/>
        </w:rPr>
        <w:t>“</w:t>
      </w:r>
      <w:r w:rsidR="009B4085" w:rsidRPr="002A68EC">
        <w:rPr>
          <w:rFonts w:cs="Calibri"/>
        </w:rPr>
        <w:t>right to exchange that document… for a new residence document</w:t>
      </w:r>
      <w:r w:rsidR="006B446F" w:rsidRPr="002A68EC">
        <w:rPr>
          <w:rFonts w:cs="Calibri"/>
        </w:rPr>
        <w:t>”</w:t>
      </w:r>
      <w:r w:rsidR="009B4085" w:rsidRPr="002A68EC">
        <w:rPr>
          <w:rFonts w:cs="Calibri"/>
        </w:rPr>
        <w:t xml:space="preserve">), in reality by requiring </w:t>
      </w:r>
      <w:r w:rsidR="006B446F" w:rsidRPr="002A68EC">
        <w:rPr>
          <w:rFonts w:cs="Calibri"/>
        </w:rPr>
        <w:t>“</w:t>
      </w:r>
      <w:r w:rsidR="009B4085" w:rsidRPr="002A68EC">
        <w:rPr>
          <w:rFonts w:cs="Calibri"/>
        </w:rPr>
        <w:t>verification of their identity, a criminality and security check… and confirmation of their ongoing residence</w:t>
      </w:r>
      <w:r w:rsidR="006B446F" w:rsidRPr="002A68EC">
        <w:rPr>
          <w:rFonts w:cs="Calibri"/>
        </w:rPr>
        <w:t>”</w:t>
      </w:r>
      <w:r w:rsidR="009B4085" w:rsidRPr="002A68EC">
        <w:rPr>
          <w:rFonts w:cs="Calibri"/>
        </w:rPr>
        <w:t>,</w:t>
      </w:r>
      <w:r w:rsidR="006B446F" w:rsidRPr="002A68EC">
        <w:rPr>
          <w:rStyle w:val="FootnoteReference"/>
          <w:rFonts w:cs="Calibri"/>
        </w:rPr>
        <w:footnoteReference w:id="34"/>
      </w:r>
      <w:r w:rsidR="009B4085" w:rsidRPr="002A68EC">
        <w:rPr>
          <w:rFonts w:cs="Calibri"/>
        </w:rPr>
        <w:t xml:space="preserve"> this is another application process. </w:t>
      </w:r>
      <w:r w:rsidRPr="002A68EC">
        <w:rPr>
          <w:rFonts w:cs="Calibri"/>
        </w:rPr>
        <w:t xml:space="preserve">Once an EU citizen can show that they are entitled to a </w:t>
      </w:r>
      <w:r w:rsidR="00B02DA1" w:rsidRPr="002A68EC">
        <w:rPr>
          <w:rFonts w:cs="Calibri"/>
        </w:rPr>
        <w:t xml:space="preserve">(temporary or permanent) </w:t>
      </w:r>
      <w:r w:rsidRPr="002A68EC">
        <w:rPr>
          <w:rFonts w:cs="Calibri"/>
        </w:rPr>
        <w:t>right to reside under the agreement, then a series of rights and entitlements follow. These include a right to equal treatment,</w:t>
      </w:r>
      <w:r w:rsidRPr="002A68EC">
        <w:rPr>
          <w:rStyle w:val="FootnoteReference"/>
          <w:rFonts w:cs="Calibri"/>
        </w:rPr>
        <w:footnoteReference w:id="35"/>
      </w:r>
      <w:r w:rsidRPr="002A68EC">
        <w:rPr>
          <w:rFonts w:cs="Calibri"/>
        </w:rPr>
        <w:t xml:space="preserve"> and the rights of workers contained in Article 45 TFEU and Regulation 492/2011.</w:t>
      </w:r>
      <w:r w:rsidRPr="002A68EC">
        <w:rPr>
          <w:rStyle w:val="FootnoteReference"/>
          <w:rFonts w:cs="Calibri"/>
        </w:rPr>
        <w:footnoteReference w:id="36"/>
      </w:r>
      <w:r w:rsidRPr="002A68EC">
        <w:rPr>
          <w:rFonts w:cs="Calibri"/>
        </w:rPr>
        <w:t xml:space="preserve"> </w:t>
      </w:r>
    </w:p>
    <w:p w14:paraId="31D83A12" w14:textId="4F38A50C" w:rsidR="00C960F0" w:rsidRPr="002A68EC" w:rsidRDefault="00C960F0" w:rsidP="002A68EC">
      <w:pPr>
        <w:spacing w:after="120"/>
        <w:jc w:val="both"/>
      </w:pPr>
    </w:p>
    <w:p w14:paraId="4B209566" w14:textId="66A28DF1" w:rsidR="00C960F0" w:rsidRPr="002A68EC" w:rsidRDefault="0062062A" w:rsidP="002A68EC">
      <w:pPr>
        <w:pStyle w:val="Heading3"/>
        <w:spacing w:before="0" w:after="120"/>
        <w:jc w:val="both"/>
        <w:rPr>
          <w:rFonts w:ascii="Times New Roman" w:hAnsi="Times New Roman"/>
          <w:color w:val="auto"/>
        </w:rPr>
      </w:pPr>
      <w:r w:rsidRPr="002A68EC">
        <w:rPr>
          <w:rFonts w:ascii="Times New Roman" w:hAnsi="Times New Roman"/>
          <w:color w:val="auto"/>
        </w:rPr>
        <w:t>2</w:t>
      </w:r>
      <w:r w:rsidR="00C960F0" w:rsidRPr="002A68EC">
        <w:rPr>
          <w:rFonts w:ascii="Times New Roman" w:hAnsi="Times New Roman"/>
          <w:color w:val="auto"/>
        </w:rPr>
        <w:t>.2</w:t>
      </w:r>
      <w:r w:rsidR="00C960F0" w:rsidRPr="002A68EC">
        <w:rPr>
          <w:rFonts w:ascii="Times New Roman" w:hAnsi="Times New Roman"/>
          <w:color w:val="auto"/>
        </w:rPr>
        <w:tab/>
      </w:r>
      <w:r w:rsidR="00C960F0" w:rsidRPr="002A68EC">
        <w:rPr>
          <w:rFonts w:ascii="Times New Roman" w:hAnsi="Times New Roman"/>
          <w:i/>
          <w:iCs/>
          <w:color w:val="auto"/>
        </w:rPr>
        <w:t>Not business as usual: Directive 2004/38 is an inappropriate yardstick</w:t>
      </w:r>
    </w:p>
    <w:p w14:paraId="55755583" w14:textId="3E461C65" w:rsidR="001D30E2" w:rsidRDefault="008414DF" w:rsidP="002A68EC">
      <w:pPr>
        <w:spacing w:after="120"/>
        <w:jc w:val="both"/>
      </w:pPr>
      <w:r w:rsidRPr="002A68EC">
        <w:t>The thinking behind the agreement’s provisions seems to be to offer continuity – that applying broadly the same rules as pre-Brexit to citizens who had already exercised their free movement rights, they should not suffer too much by way of loss of rights.</w:t>
      </w:r>
      <w:r w:rsidRPr="002A68EC">
        <w:rPr>
          <w:rStyle w:val="FootnoteReference"/>
        </w:rPr>
        <w:footnoteReference w:id="37"/>
      </w:r>
      <w:r w:rsidRPr="002A68EC">
        <w:t xml:space="preserve"> </w:t>
      </w:r>
      <w:r w:rsidR="00D05C34" w:rsidRPr="002A68EC">
        <w:t xml:space="preserve">The problem with this approach is that </w:t>
      </w:r>
      <w:r w:rsidR="001D30E2">
        <w:t xml:space="preserve">we are moving to a completely new regime, and the rights at issue are not the same. A loss of </w:t>
      </w:r>
      <w:r w:rsidR="00A70A01">
        <w:t xml:space="preserve">a Directive 2004/38 right to reside is really a loss of equal treatment rights, not, typically, a loss of residence rights. And even then, it is </w:t>
      </w:r>
      <w:r w:rsidR="001D30E2">
        <w:t>meant to be temporary</w:t>
      </w:r>
      <w:r w:rsidR="00A70A01">
        <w:t xml:space="preserve">; </w:t>
      </w:r>
      <w:r w:rsidR="001D30E2">
        <w:t xml:space="preserve">the </w:t>
      </w:r>
      <w:r w:rsidR="00A70A01">
        <w:t xml:space="preserve">EU national may usually continue to reside </w:t>
      </w:r>
      <w:r w:rsidR="00A70A01">
        <w:rPr>
          <w:i/>
          <w:iCs/>
        </w:rPr>
        <w:t xml:space="preserve">qua </w:t>
      </w:r>
      <w:r w:rsidR="00A70A01">
        <w:t xml:space="preserve">EU citizen, and the suspended equal treatment </w:t>
      </w:r>
      <w:r w:rsidR="001D30E2">
        <w:t xml:space="preserve">right is reignited once </w:t>
      </w:r>
      <w:r w:rsidR="00A70A01">
        <w:t>they</w:t>
      </w:r>
      <w:r w:rsidR="001D30E2">
        <w:t xml:space="preserve"> can bring their circumstances into line with the provisions. But in the context of withdrawal, </w:t>
      </w:r>
      <w:r w:rsidR="00A70A01">
        <w:t xml:space="preserve">there is no provision for residence rights beyond those in Article 13, and so failing to meet the conditions of the Directive could result in a </w:t>
      </w:r>
      <w:r w:rsidR="00A70A01" w:rsidRPr="00A70A01">
        <w:rPr>
          <w:i/>
          <w:iCs/>
        </w:rPr>
        <w:t>permanent</w:t>
      </w:r>
      <w:r w:rsidR="00A70A01">
        <w:t xml:space="preserve"> loss of not only equal treatment rights, but rights to live in the State that has become their home. </w:t>
      </w:r>
    </w:p>
    <w:p w14:paraId="536B31B2" w14:textId="77777777" w:rsidR="00216006" w:rsidRDefault="00216006" w:rsidP="002A68EC">
      <w:pPr>
        <w:spacing w:after="120"/>
        <w:jc w:val="both"/>
      </w:pPr>
      <w:r>
        <w:t>The limitations in Directive 2004/38 are</w:t>
      </w:r>
      <w:r w:rsidR="001D30E2">
        <w:t xml:space="preserve"> underpinned with the basic (not to say unproblematic) presumption that EU nationals </w:t>
      </w:r>
      <w:r>
        <w:t xml:space="preserve">who are not entitled to social assistance in the host state </w:t>
      </w:r>
      <w:r w:rsidR="001D30E2">
        <w:t xml:space="preserve">can ‘fall back’ on the protection </w:t>
      </w:r>
      <w:r>
        <w:t xml:space="preserve">of </w:t>
      </w:r>
      <w:r w:rsidR="001D30E2">
        <w:t xml:space="preserve">their home Member State. For example, a woman who cannot work while her young child has extra support needs, may temporarily return to family in her home state, with the option of returning to the host State once she is in a position to again exercise her EU free movement rights (ie resume work). This logic does not hold good in the context of </w:t>
      </w:r>
      <w:r>
        <w:t xml:space="preserve">withdrawal. If an EU national does seek to temporarily decamp to their home State, </w:t>
      </w:r>
      <w:r>
        <w:lastRenderedPageBreak/>
        <w:t xml:space="preserve">and find that they fall foul of the continuity of residence requirements in the Directive for the purposes of permanent residence, then they may be permanently forfeiting their right to live and work in the UK. </w:t>
      </w:r>
    </w:p>
    <w:p w14:paraId="17415D32" w14:textId="430797C1" w:rsidR="005B3AF7" w:rsidRPr="002A68EC" w:rsidRDefault="001D30E2" w:rsidP="00216006">
      <w:pPr>
        <w:spacing w:after="120"/>
        <w:jc w:val="both"/>
      </w:pPr>
      <w:r>
        <w:t xml:space="preserve">Transplanting the conditions of the Directive from one set of rights in one legal framework, to another, is not as logical as it might seem on its face and will result in more severe consequences. </w:t>
      </w:r>
      <w:r w:rsidR="00216006">
        <w:t xml:space="preserve">And the </w:t>
      </w:r>
      <w:r w:rsidR="00D05C34" w:rsidRPr="002A68EC">
        <w:t>significant and problematic gaps</w:t>
      </w:r>
      <w:r w:rsidR="00216006">
        <w:t xml:space="preserve"> in the Directive, which have disproportionate impacts upon vulnerable EU nationals already, will make the residence rights of those individuals particularly perilous in a withdrawal context. </w:t>
      </w:r>
      <w:r w:rsidR="003E7F86" w:rsidRPr="002A68EC">
        <w:t>D</w:t>
      </w:r>
      <w:r w:rsidR="00B80B8D" w:rsidRPr="002A68EC">
        <w:t xml:space="preserve">isproportionately female social security risks </w:t>
      </w:r>
      <w:r w:rsidR="003E7F86" w:rsidRPr="002A68EC">
        <w:t xml:space="preserve">are ignored </w:t>
      </w:r>
      <w:r w:rsidR="00B80B8D" w:rsidRPr="002A68EC">
        <w:t>in the list of conditions during which worker status will be retained – illness and unemployment are covered, but temporary interruptions due to periods of care or domestic abuse are not.</w:t>
      </w:r>
      <w:bookmarkStart w:id="8" w:name="_Ref54781294"/>
      <w:r w:rsidR="00EF3548" w:rsidRPr="002A68EC">
        <w:rPr>
          <w:rStyle w:val="FootnoteReference"/>
        </w:rPr>
        <w:footnoteReference w:id="38"/>
      </w:r>
      <w:bookmarkEnd w:id="8"/>
      <w:r w:rsidR="00B80B8D" w:rsidRPr="002A68EC">
        <w:t xml:space="preserve"> Moreover, children receive no direct protection</w:t>
      </w:r>
      <w:r w:rsidR="00216006">
        <w:t xml:space="preserve"> in the Directive</w:t>
      </w:r>
      <w:r w:rsidR="00B80B8D" w:rsidRPr="002A68EC">
        <w:t xml:space="preserve">, </w:t>
      </w:r>
      <w:r w:rsidR="00570118">
        <w:t>so</w:t>
      </w:r>
      <w:r w:rsidR="00B80B8D" w:rsidRPr="002A68EC">
        <w:t xml:space="preserve"> </w:t>
      </w:r>
      <w:r w:rsidR="00570118">
        <w:t>(unless they are in the fortunate position of having sufficient resources,</w:t>
      </w:r>
      <w:r w:rsidR="00570118">
        <w:rPr>
          <w:rStyle w:val="FootnoteReference"/>
        </w:rPr>
        <w:footnoteReference w:id="39"/>
      </w:r>
      <w:r w:rsidR="00570118">
        <w:t xml:space="preserve"> and assuming we do not expect children to be in work) are</w:t>
      </w:r>
      <w:r w:rsidR="00B80B8D" w:rsidRPr="002A68EC">
        <w:t xml:space="preserve"> unable to assert a right to reside</w:t>
      </w:r>
      <w:r w:rsidR="00216006">
        <w:t xml:space="preserve"> that entails equal treatment entitlements</w:t>
      </w:r>
      <w:r w:rsidR="00B80B8D" w:rsidRPr="002A68EC">
        <w:t xml:space="preserve"> in their own right</w:t>
      </w:r>
      <w:r w:rsidR="00570118">
        <w:t xml:space="preserve">. Thus as family members, </w:t>
      </w:r>
      <w:r w:rsidR="00B80B8D" w:rsidRPr="002A68EC">
        <w:t>their rights</w:t>
      </w:r>
      <w:r w:rsidR="00570118">
        <w:t xml:space="preserve"> to access support in a host state are</w:t>
      </w:r>
      <w:r w:rsidR="00B80B8D" w:rsidRPr="002A68EC">
        <w:t xml:space="preserve"> entirely </w:t>
      </w:r>
      <w:r w:rsidR="003E7F86" w:rsidRPr="002A68EC">
        <w:t xml:space="preserve">dependent </w:t>
      </w:r>
      <w:r w:rsidR="00B80B8D" w:rsidRPr="002A68EC">
        <w:t>upon the employment, migratory and relationship choices and misfortunes of their parents –</w:t>
      </w:r>
      <w:r w:rsidR="003E7F86" w:rsidRPr="002A68EC">
        <w:t xml:space="preserve"> particularly </w:t>
      </w:r>
      <w:r w:rsidR="00B80B8D" w:rsidRPr="002A68EC">
        <w:t>disadvantag</w:t>
      </w:r>
      <w:r w:rsidR="003E7F86" w:rsidRPr="002A68EC">
        <w:t>ing</w:t>
      </w:r>
      <w:r w:rsidR="00B80B8D" w:rsidRPr="002A68EC">
        <w:t xml:space="preserve"> children in care and/or who have become estranged from their parents. Further, the Directive makes an assumption that there are bright lines between economic activity and inactivity. </w:t>
      </w:r>
      <w:r w:rsidR="005217DD" w:rsidRPr="002A68EC">
        <w:t>In reality, there is no such bright line; many people in low paid, insecure work move in and out of work, while many people performing substantial part-time economic activities may find themselves defined by domestic rules as ‘not workers’ (an example being the way in which the Minimum Earnings Threshold has been used in the UK).</w:t>
      </w:r>
      <w:r w:rsidR="005217DD" w:rsidRPr="002A68EC">
        <w:rPr>
          <w:rStyle w:val="FootnoteReference"/>
        </w:rPr>
        <w:footnoteReference w:id="40"/>
      </w:r>
      <w:r w:rsidR="005217DD" w:rsidRPr="002A68EC">
        <w:t xml:space="preserve"> Atypical or vulnerable workers – people whose hours and pay go up and down, because of being on zero hours contracts, or having a series of short, fixed term appointments - and disabled workers who may also move in and out of periods of economic activity, with varying hours, are all at risk of falling through the gaps. This creates right to reside</w:t>
      </w:r>
      <w:r w:rsidR="005A5B24" w:rsidRPr="002A68EC">
        <w:t xml:space="preserve"> gaps</w:t>
      </w:r>
      <w:r w:rsidR="005217DD" w:rsidRPr="002A68EC">
        <w:t xml:space="preserve">, </w:t>
      </w:r>
      <w:r w:rsidR="005A5B24" w:rsidRPr="002A68EC">
        <w:t>preventing</w:t>
      </w:r>
      <w:r w:rsidR="005217DD" w:rsidRPr="002A68EC">
        <w:t xml:space="preserve"> the accrual of permanent residence rights</w:t>
      </w:r>
      <w:r w:rsidR="005B3AF7" w:rsidRPr="002A68EC">
        <w:t>, and these people will find it hardest to assert a right to reside under the WA in the first place, and then to continue to demonstrate that they are exercising it until such a time when they can evidence entitlement to permanent residence. Dougan notes that those with</w:t>
      </w:r>
      <w:r w:rsidR="00B02DA1" w:rsidRPr="002A68EC">
        <w:t xml:space="preserve"> </w:t>
      </w:r>
      <w:r w:rsidR="00AD411D" w:rsidRPr="002A68EC">
        <w:t>“’</w:t>
      </w:r>
      <w:r w:rsidR="00B02DA1" w:rsidRPr="002A68EC">
        <w:t>non-linear</w:t>
      </w:r>
      <w:r w:rsidR="00AD411D" w:rsidRPr="002A68EC">
        <w:t>’</w:t>
      </w:r>
      <w:r w:rsidR="00B02DA1" w:rsidRPr="002A68EC">
        <w:t xml:space="preserve"> or </w:t>
      </w:r>
      <w:r w:rsidR="00AD411D" w:rsidRPr="002A68EC">
        <w:t>‘</w:t>
      </w:r>
      <w:r w:rsidR="00B02DA1" w:rsidRPr="002A68EC">
        <w:t>non-standard</w:t>
      </w:r>
      <w:r w:rsidR="00AD411D" w:rsidRPr="002A68EC">
        <w:t>’</w:t>
      </w:r>
      <w:r w:rsidR="00B02DA1" w:rsidRPr="002A68EC">
        <w:t xml:space="preserve"> migration experiences (such as insecure or irregular work, careers breaks due to care responsibilities, and vulnerable children in social care)</w:t>
      </w:r>
      <w:r w:rsidR="00AD411D" w:rsidRPr="002A68EC">
        <w:t>”</w:t>
      </w:r>
      <w:r w:rsidR="005B3AF7" w:rsidRPr="002A68EC">
        <w:t xml:space="preserve"> and also those </w:t>
      </w:r>
      <w:r w:rsidR="00AD411D" w:rsidRPr="002A68EC">
        <w:t>“</w:t>
      </w:r>
      <w:r w:rsidR="00B02DA1" w:rsidRPr="002A68EC">
        <w:t>resident outside the strict scope of Union law yet without any objection by their host country</w:t>
      </w:r>
      <w:r w:rsidR="00AD411D" w:rsidRPr="002A68EC">
        <w:t>”</w:t>
      </w:r>
      <w:r w:rsidR="0099730B" w:rsidRPr="002A68EC">
        <w:rPr>
          <w:rStyle w:val="FootnoteReference"/>
        </w:rPr>
        <w:footnoteReference w:id="41"/>
      </w:r>
      <w:r w:rsidR="005B3AF7" w:rsidRPr="002A68EC">
        <w:t xml:space="preserve"> might face serious consequences if the agreement is taken at face value; indeed, they are simply outside of the agreement, cut adrift from any continuing EU protection – even though they may well have been model EU citizens, contributing to the objectives of the internal market. </w:t>
      </w:r>
    </w:p>
    <w:p w14:paraId="71B09977" w14:textId="2DAB9FD4" w:rsidR="00C960F0" w:rsidRPr="002A68EC" w:rsidRDefault="003E7F86" w:rsidP="002A68EC">
      <w:pPr>
        <w:spacing w:after="120"/>
        <w:ind w:right="-52"/>
        <w:jc w:val="both"/>
      </w:pPr>
      <w:r w:rsidRPr="002A68EC">
        <w:t>T</w:t>
      </w:r>
      <w:r w:rsidR="00B80B8D" w:rsidRPr="002A68EC">
        <w:t xml:space="preserve">he Directive is an imperfect tool for deciding who does and does not get access to equal treatment in the context of welfare benefits. </w:t>
      </w:r>
      <w:r w:rsidR="005A3DD8" w:rsidRPr="002A68EC">
        <w:t xml:space="preserve">But it is a manifestly inappropriate tool for deciding who gets to stay in the country </w:t>
      </w:r>
      <w:r w:rsidRPr="002A68EC">
        <w:t>they call</w:t>
      </w:r>
      <w:r w:rsidR="005A3DD8" w:rsidRPr="002A68EC">
        <w:t xml:space="preserve"> home</w:t>
      </w:r>
      <w:r w:rsidR="00BB2FEA" w:rsidRPr="002A68EC">
        <w:t xml:space="preserve">. </w:t>
      </w:r>
      <w:r w:rsidR="00AA5257" w:rsidRPr="002A68EC">
        <w:t xml:space="preserve">Adopting this framework </w:t>
      </w:r>
      <w:r w:rsidRPr="002A68EC">
        <w:t>means</w:t>
      </w:r>
      <w:r w:rsidR="00AA5257" w:rsidRPr="002A68EC">
        <w:t xml:space="preserve"> that swathes of EU citizens will not be covered, and thus offered no residen</w:t>
      </w:r>
      <w:r w:rsidR="00570118">
        <w:t>ce</w:t>
      </w:r>
      <w:r w:rsidR="00AA5257" w:rsidRPr="002A68EC">
        <w:t xml:space="preserve"> security – even though many of </w:t>
      </w:r>
      <w:r w:rsidR="00AA5257" w:rsidRPr="002A68EC">
        <w:lastRenderedPageBreak/>
        <w:t xml:space="preserve">them may be long term residents, and may have substantial work histories, but who simply fail, due to evidential barriers, or repeated re-startings of the five-year clock, to fall within the rigid confines of the Directive. </w:t>
      </w:r>
      <w:r w:rsidR="009E34D1" w:rsidRPr="002A68EC">
        <w:t>The normal application of the Directive – the context of claiming benefits within an EU Member State – is</w:t>
      </w:r>
      <w:r w:rsidR="0099730B" w:rsidRPr="002A68EC">
        <w:t xml:space="preserve"> to some extent </w:t>
      </w:r>
      <w:r w:rsidR="009E34D1" w:rsidRPr="002A68EC">
        <w:t xml:space="preserve">mediated by </w:t>
      </w:r>
      <w:r w:rsidR="003228A4" w:rsidRPr="002A68EC">
        <w:t>EU citizenship</w:t>
      </w:r>
      <w:r w:rsidR="009E34D1" w:rsidRPr="002A68EC">
        <w:t>. A</w:t>
      </w:r>
      <w:r w:rsidR="003228A4" w:rsidRPr="002A68EC">
        <w:t xml:space="preserve">s a </w:t>
      </w:r>
      <w:r w:rsidR="00D9199C" w:rsidRPr="002A68EC">
        <w:t>“</w:t>
      </w:r>
      <w:r w:rsidR="003228A4" w:rsidRPr="002A68EC">
        <w:t>fundamental status</w:t>
      </w:r>
      <w:r w:rsidR="00D9199C" w:rsidRPr="002A68EC">
        <w:t>”</w:t>
      </w:r>
      <w:r w:rsidR="003228A4" w:rsidRPr="002A68EC">
        <w:t xml:space="preserve"> </w:t>
      </w:r>
      <w:r w:rsidR="009E34D1" w:rsidRPr="002A68EC">
        <w:t>it</w:t>
      </w:r>
      <w:r w:rsidR="003228A4" w:rsidRPr="002A68EC">
        <w:t xml:space="preserve"> requires nationals of a host Member State to recognise </w:t>
      </w:r>
      <w:r w:rsidR="00D9199C" w:rsidRPr="002A68EC">
        <w:t>“</w:t>
      </w:r>
      <w:r w:rsidR="003228A4" w:rsidRPr="002A68EC">
        <w:t>a certain degree of financial solidarity</w:t>
      </w:r>
      <w:r w:rsidR="00D9199C" w:rsidRPr="002A68EC">
        <w:t>”</w:t>
      </w:r>
      <w:r w:rsidR="003228A4" w:rsidRPr="002A68EC">
        <w:t xml:space="preserve"> with nationals of other Member States.</w:t>
      </w:r>
      <w:bookmarkStart w:id="9" w:name="_Ref54790458"/>
      <w:r w:rsidR="003228A4" w:rsidRPr="002A68EC">
        <w:rPr>
          <w:rStyle w:val="FootnoteReference"/>
        </w:rPr>
        <w:footnoteReference w:id="42"/>
      </w:r>
      <w:bookmarkEnd w:id="9"/>
      <w:r w:rsidR="003228A4" w:rsidRPr="002A68EC">
        <w:t xml:space="preserve"> This rather limited form of solidarity is mainly expressed through having regard to proportionality when applying the limitations and conditions attached to free movement.</w:t>
      </w:r>
      <w:bookmarkStart w:id="10" w:name="_Ref16173071"/>
      <w:r w:rsidR="003228A4" w:rsidRPr="002A68EC">
        <w:rPr>
          <w:rStyle w:val="FootnoteReference"/>
        </w:rPr>
        <w:footnoteReference w:id="43"/>
      </w:r>
      <w:bookmarkEnd w:id="10"/>
      <w:r w:rsidR="003228A4" w:rsidRPr="002A68EC">
        <w:t xml:space="preserve"> </w:t>
      </w:r>
      <w:r w:rsidR="00EF3548" w:rsidRPr="002A68EC">
        <w:t>But</w:t>
      </w:r>
      <w:r w:rsidR="003228A4" w:rsidRPr="002A68EC">
        <w:t xml:space="preserve"> this muted nod to EU citizenship has become more subdued in recent years</w:t>
      </w:r>
      <w:r w:rsidR="00AD411D" w:rsidRPr="002A68EC">
        <w:t xml:space="preserve">, especially in the UK, </w:t>
      </w:r>
      <w:r w:rsidR="00654BA7" w:rsidRPr="002A68EC">
        <w:t xml:space="preserve">which does not bode well for </w:t>
      </w:r>
      <w:r w:rsidR="00AD411D" w:rsidRPr="002A68EC">
        <w:t xml:space="preserve">the minimal proportionality requirement in the Agreement </w:t>
      </w:r>
      <w:r w:rsidR="00654BA7" w:rsidRPr="002A68EC">
        <w:t>having</w:t>
      </w:r>
      <w:r w:rsidR="00AD411D" w:rsidRPr="002A68EC">
        <w:t xml:space="preserve"> any purchase at all</w:t>
      </w:r>
      <w:r w:rsidR="009E34D1" w:rsidRPr="002A68EC">
        <w:t xml:space="preserve">. </w:t>
      </w:r>
    </w:p>
    <w:p w14:paraId="537242BE" w14:textId="77777777" w:rsidR="00C960F0" w:rsidRPr="002A68EC" w:rsidRDefault="00C960F0" w:rsidP="002A68EC">
      <w:pPr>
        <w:spacing w:after="120"/>
        <w:ind w:right="-52"/>
        <w:jc w:val="both"/>
      </w:pPr>
    </w:p>
    <w:p w14:paraId="3CCEBDCA" w14:textId="26D862B3" w:rsidR="00C960F0" w:rsidRPr="002A68EC" w:rsidRDefault="00FD16EB" w:rsidP="002A68EC">
      <w:pPr>
        <w:pStyle w:val="Heading3"/>
        <w:spacing w:before="0" w:after="120"/>
        <w:jc w:val="both"/>
        <w:rPr>
          <w:rFonts w:ascii="Times New Roman" w:hAnsi="Times New Roman"/>
          <w:i/>
          <w:iCs/>
          <w:color w:val="auto"/>
        </w:rPr>
      </w:pPr>
      <w:r w:rsidRPr="002A68EC">
        <w:rPr>
          <w:rFonts w:ascii="Times New Roman" w:hAnsi="Times New Roman"/>
          <w:color w:val="auto"/>
        </w:rPr>
        <w:t>2</w:t>
      </w:r>
      <w:r w:rsidR="00C960F0" w:rsidRPr="002A68EC">
        <w:rPr>
          <w:rFonts w:ascii="Times New Roman" w:hAnsi="Times New Roman"/>
          <w:color w:val="auto"/>
        </w:rPr>
        <w:t xml:space="preserve">.3 </w:t>
      </w:r>
      <w:r w:rsidR="00E00181" w:rsidRPr="002A68EC">
        <w:rPr>
          <w:rFonts w:ascii="Times New Roman" w:hAnsi="Times New Roman"/>
          <w:color w:val="auto"/>
        </w:rPr>
        <w:tab/>
      </w:r>
      <w:r w:rsidR="00AD411D" w:rsidRPr="002A68EC">
        <w:rPr>
          <w:rFonts w:ascii="Times New Roman" w:hAnsi="Times New Roman"/>
          <w:i/>
          <w:iCs/>
          <w:color w:val="auto"/>
        </w:rPr>
        <w:t xml:space="preserve">Turning a weak proportionality duty into a minimal one </w:t>
      </w:r>
    </w:p>
    <w:p w14:paraId="36BB2438" w14:textId="1890C002" w:rsidR="00B471FC" w:rsidRPr="00B471FC" w:rsidRDefault="00C960F0" w:rsidP="00B471FC">
      <w:pPr>
        <w:spacing w:after="120"/>
        <w:ind w:right="-52"/>
        <w:jc w:val="both"/>
      </w:pPr>
      <w:r w:rsidRPr="002A68EC">
        <w:t xml:space="preserve">In the context of free movement </w:t>
      </w:r>
      <w:r w:rsidR="00480ECE" w:rsidRPr="002A68EC">
        <w:t>of EU citizens</w:t>
      </w:r>
      <w:r w:rsidRPr="002A68EC">
        <w:t>, t</w:t>
      </w:r>
      <w:r w:rsidR="003228A4" w:rsidRPr="002A68EC">
        <w:t>he ECJ has backed away from the use of proportionality</w:t>
      </w:r>
      <w:r w:rsidR="00654BA7" w:rsidRPr="002A68EC">
        <w:t>,</w:t>
      </w:r>
      <w:r w:rsidR="009E34D1" w:rsidRPr="002A68EC">
        <w:t xml:space="preserve"> </w:t>
      </w:r>
      <w:r w:rsidR="003228A4" w:rsidRPr="002A68EC">
        <w:t>finding that certain parts of the Directive are to be treated as inherently proportionate and so screened from that aspect of judicial review</w:t>
      </w:r>
      <w:r w:rsidR="004965C7" w:rsidRPr="002A68EC">
        <w:t>,</w:t>
      </w:r>
      <w:r w:rsidR="004965C7" w:rsidRPr="002A68EC">
        <w:rPr>
          <w:rStyle w:val="FootnoteReference"/>
        </w:rPr>
        <w:footnoteReference w:id="44"/>
      </w:r>
      <w:r w:rsidR="004965C7" w:rsidRPr="002A68EC">
        <w:t xml:space="preserve"> and </w:t>
      </w:r>
      <w:r w:rsidR="004911BA" w:rsidRPr="002A68EC">
        <w:t>did not even mention proportionality when it found t</w:t>
      </w:r>
      <w:r w:rsidR="004965C7" w:rsidRPr="002A68EC">
        <w:t xml:space="preserve">hat </w:t>
      </w:r>
      <w:r w:rsidR="003228A4" w:rsidRPr="002A68EC">
        <w:t xml:space="preserve">UK rules </w:t>
      </w:r>
      <w:r w:rsidR="004911BA" w:rsidRPr="002A68EC">
        <w:t>which, in the words of the Commission,</w:t>
      </w:r>
      <w:r w:rsidR="003228A4" w:rsidRPr="002A68EC">
        <w:t xml:space="preserve"> </w:t>
      </w:r>
      <w:r w:rsidR="0012410B" w:rsidRPr="002A68EC">
        <w:t>“</w:t>
      </w:r>
      <w:r w:rsidR="003228A4" w:rsidRPr="002A68EC">
        <w:t>systematically and ineluctably</w:t>
      </w:r>
      <w:r w:rsidR="0012410B" w:rsidRPr="002A68EC">
        <w:t>”</w:t>
      </w:r>
      <w:r w:rsidR="003228A4" w:rsidRPr="002A68EC">
        <w:t xml:space="preserve"> exclude categories of people from having a right to reside</w:t>
      </w:r>
      <w:r w:rsidR="004965C7" w:rsidRPr="002A68EC">
        <w:t xml:space="preserve"> </w:t>
      </w:r>
      <w:r w:rsidR="009E34D1" w:rsidRPr="002A68EC">
        <w:t>a</w:t>
      </w:r>
      <w:r w:rsidR="004965C7" w:rsidRPr="002A68EC">
        <w:t xml:space="preserve">re </w:t>
      </w:r>
      <w:r w:rsidR="004911BA" w:rsidRPr="002A68EC">
        <w:t xml:space="preserve">nevertheless </w:t>
      </w:r>
      <w:r w:rsidR="004965C7" w:rsidRPr="002A68EC">
        <w:t>lawful.</w:t>
      </w:r>
      <w:bookmarkStart w:id="11" w:name="_Ref15467663"/>
      <w:r w:rsidR="004965C7" w:rsidRPr="002A68EC">
        <w:rPr>
          <w:rStyle w:val="FootnoteReference"/>
        </w:rPr>
        <w:footnoteReference w:id="45"/>
      </w:r>
      <w:bookmarkEnd w:id="11"/>
      <w:r w:rsidR="004965C7" w:rsidRPr="002A68EC">
        <w:t xml:space="preserve"> </w:t>
      </w:r>
      <w:r w:rsidR="005A5B24" w:rsidRPr="002A68EC">
        <w:t xml:space="preserve">Proportionality has had even less traction in domestic courts in the UK, with judges finding that it helps </w:t>
      </w:r>
      <w:r w:rsidR="004965C7" w:rsidRPr="002A68EC">
        <w:t>almost no-one</w:t>
      </w:r>
      <w:r w:rsidR="008B2260" w:rsidRPr="002A68EC">
        <w:t xml:space="preserve">, </w:t>
      </w:r>
      <w:r w:rsidR="005A5B24" w:rsidRPr="002A68EC">
        <w:t>other than</w:t>
      </w:r>
      <w:r w:rsidR="008B2260" w:rsidRPr="002A68EC">
        <w:t xml:space="preserve"> in exceptional circumstances,</w:t>
      </w:r>
      <w:bookmarkStart w:id="12" w:name="_Ref15467105"/>
      <w:r w:rsidR="008B2260" w:rsidRPr="002A68EC">
        <w:rPr>
          <w:rStyle w:val="FootnoteReference"/>
        </w:rPr>
        <w:footnoteReference w:id="46"/>
      </w:r>
      <w:bookmarkEnd w:id="12"/>
      <w:r w:rsidR="008B2260" w:rsidRPr="002A68EC">
        <w:t xml:space="preserve"> </w:t>
      </w:r>
      <w:r w:rsidR="005217DD" w:rsidRPr="002A68EC">
        <w:t xml:space="preserve">and/or </w:t>
      </w:r>
      <w:r w:rsidR="008B2260" w:rsidRPr="002A68EC">
        <w:t>where a claimant almost meets the conditions of the Directive, but just technically misses out.</w:t>
      </w:r>
      <w:r w:rsidR="008B2260" w:rsidRPr="002A68EC">
        <w:rPr>
          <w:rStyle w:val="FootnoteReference"/>
        </w:rPr>
        <w:footnoteReference w:id="47"/>
      </w:r>
      <w:r w:rsidR="008B2260" w:rsidRPr="002A68EC">
        <w:t xml:space="preserve"> </w:t>
      </w:r>
      <w:r w:rsidR="006C2E82" w:rsidRPr="002A68EC">
        <w:t xml:space="preserve">As </w:t>
      </w:r>
      <w:r w:rsidR="003228A4" w:rsidRPr="002A68EC">
        <w:t xml:space="preserve">children are </w:t>
      </w:r>
      <w:r w:rsidR="006C2E82" w:rsidRPr="002A68EC">
        <w:t>not covered</w:t>
      </w:r>
      <w:r w:rsidR="00570118">
        <w:t xml:space="preserve"> in the Directive,</w:t>
      </w:r>
      <w:r w:rsidR="006C2E82" w:rsidRPr="002A68EC">
        <w:t xml:space="preserve"> unless they can be attached to someone who does fall within the Directive’s categories, they are </w:t>
      </w:r>
      <w:r w:rsidR="003228A4" w:rsidRPr="002A68EC">
        <w:t xml:space="preserve">meant to fall through the gap. An example of how this works in practice is the UK case </w:t>
      </w:r>
      <w:r w:rsidR="00DD1BF2">
        <w:t xml:space="preserve">of </w:t>
      </w:r>
      <w:r w:rsidR="00DD1BF2">
        <w:rPr>
          <w:i/>
          <w:iCs/>
        </w:rPr>
        <w:t>Sequeira-Batalha</w:t>
      </w:r>
      <w:r w:rsidR="00570118">
        <w:rPr>
          <w:rStyle w:val="Hyperlink"/>
          <w:i/>
          <w:color w:val="auto"/>
          <w:u w:val="none"/>
        </w:rPr>
        <w:t>.</w:t>
      </w:r>
      <w:r w:rsidR="00EF3548" w:rsidRPr="002A68EC">
        <w:rPr>
          <w:rStyle w:val="FootnoteReference"/>
        </w:rPr>
        <w:footnoteReference w:id="48"/>
      </w:r>
      <w:r w:rsidR="003228A4" w:rsidRPr="002A68EC">
        <w:rPr>
          <w:i/>
        </w:rPr>
        <w:t xml:space="preserve"> </w:t>
      </w:r>
      <w:r w:rsidR="003228A4" w:rsidRPr="002A68EC">
        <w:t xml:space="preserve"> In that case, a Portuguese child was born in the UK and lived in the UK all of her life. At the age of sixteen, she was abandoned by her mother, who went to a third country. </w:t>
      </w:r>
      <w:r w:rsidR="00B471FC">
        <w:t xml:space="preserve">As no evidence was presented as to her mothers’ activities while in the UK, Patsy </w:t>
      </w:r>
      <w:r w:rsidR="00B471FC" w:rsidRPr="00B471FC">
        <w:t>Sequeira-Batalha</w:t>
      </w:r>
      <w:r w:rsidR="00B471FC">
        <w:t xml:space="preserve"> a</w:t>
      </w:r>
      <w:r w:rsidR="00B471FC" w:rsidRPr="002A68EC">
        <w:t xml:space="preserve">t the age of seventeen – still a child – </w:t>
      </w:r>
      <w:r w:rsidR="003228A4" w:rsidRPr="002A68EC">
        <w:t>was found not to have a right to reside in the UK</w:t>
      </w:r>
      <w:r w:rsidR="00B471FC">
        <w:t xml:space="preserve"> under Directive 2004/38. Her actual residence could be tolerated, as an EU citizen, but she was not entitled to equal treatment and was refused Income Support</w:t>
      </w:r>
      <w:r w:rsidR="003228A4" w:rsidRPr="002A68EC">
        <w:t xml:space="preserve">. </w:t>
      </w:r>
      <w:r w:rsidR="00E9015A" w:rsidRPr="002A68EC">
        <w:t xml:space="preserve">This, </w:t>
      </w:r>
      <w:r w:rsidR="001C3D97" w:rsidRPr="002A68EC">
        <w:t>the UK tribunal found</w:t>
      </w:r>
      <w:r w:rsidR="00E9015A" w:rsidRPr="002A68EC">
        <w:t xml:space="preserve">, was a substantial gap in the Directive, but </w:t>
      </w:r>
      <w:r w:rsidR="006C2E82" w:rsidRPr="002A68EC">
        <w:t>a</w:t>
      </w:r>
      <w:r w:rsidR="00E9015A" w:rsidRPr="002A68EC">
        <w:t xml:space="preserve"> deliberate</w:t>
      </w:r>
      <w:r w:rsidR="006C2E82" w:rsidRPr="002A68EC">
        <w:t xml:space="preserve"> one</w:t>
      </w:r>
      <w:r w:rsidR="00B471FC">
        <w:t>; it was</w:t>
      </w:r>
      <w:r w:rsidR="00B471FC" w:rsidRPr="00B471FC">
        <w:t xml:space="preserve"> </w:t>
      </w:r>
      <w:r w:rsidR="00B471FC">
        <w:t>‘</w:t>
      </w:r>
      <w:r w:rsidR="00B471FC" w:rsidRPr="00B471FC">
        <w:t>not a case in which the conditions for a category are so close to be being met that it would be disproportionate to insist on strict compliance</w:t>
      </w:r>
      <w:r w:rsidR="00B471FC">
        <w:t>’.</w:t>
      </w:r>
      <w:r w:rsidR="00B471FC">
        <w:rPr>
          <w:rStyle w:val="FootnoteReference"/>
        </w:rPr>
        <w:footnoteReference w:id="49"/>
      </w:r>
    </w:p>
    <w:p w14:paraId="207D60E7" w14:textId="77777777" w:rsidR="00FD1450" w:rsidRDefault="003228A4" w:rsidP="00FD1450">
      <w:pPr>
        <w:spacing w:after="120"/>
        <w:jc w:val="both"/>
        <w:rPr>
          <w:rFonts w:cs="Calibri"/>
          <w:lang w:val="en-US"/>
        </w:rPr>
      </w:pPr>
      <w:r w:rsidRPr="002A68EC">
        <w:t xml:space="preserve">Women </w:t>
      </w:r>
      <w:r w:rsidR="003A440F" w:rsidRPr="002A68EC">
        <w:t>who</w:t>
      </w:r>
      <w:r w:rsidRPr="002A68EC">
        <w:t xml:space="preserve"> fall through the gaps</w:t>
      </w:r>
      <w:r w:rsidR="003A440F" w:rsidRPr="002A68EC">
        <w:t xml:space="preserve"> are similarly not helped by proportionality</w:t>
      </w:r>
      <w:r w:rsidRPr="002A68EC">
        <w:t xml:space="preserve">. </w:t>
      </w:r>
      <w:r w:rsidR="003A440F" w:rsidRPr="002A68EC">
        <w:t>P</w:t>
      </w:r>
      <w:r w:rsidRPr="002A68EC">
        <w:t>eriods of care – for children, and for disabled and older relatives</w:t>
      </w:r>
      <w:r w:rsidR="00C47083" w:rsidRPr="002A68EC">
        <w:t>,</w:t>
      </w:r>
      <w:r w:rsidRPr="002A68EC">
        <w:t xml:space="preserve"> </w:t>
      </w:r>
      <w:r w:rsidR="003A440F" w:rsidRPr="002A68EC">
        <w:t>can cause</w:t>
      </w:r>
      <w:r w:rsidRPr="002A68EC">
        <w:t xml:space="preserve"> their five year ‘clock’ </w:t>
      </w:r>
      <w:r w:rsidR="003A440F" w:rsidRPr="002A68EC">
        <w:t xml:space="preserve">to </w:t>
      </w:r>
      <w:r w:rsidRPr="002A68EC">
        <w:t xml:space="preserve">get constantly restarted, so that after substantial periods of time, permanent residence remains persistently out of reach. Women </w:t>
      </w:r>
      <w:r w:rsidR="00E9015A" w:rsidRPr="002A68EC">
        <w:t>who experience domestic abuse can also face difficulties founding a claim</w:t>
      </w:r>
      <w:r w:rsidR="00C47083" w:rsidRPr="002A68EC">
        <w:t>;</w:t>
      </w:r>
      <w:r w:rsidR="00E9015A" w:rsidRPr="002A68EC">
        <w:t xml:space="preserve"> </w:t>
      </w:r>
      <w:r w:rsidRPr="002A68EC">
        <w:t>if they have to be relocated, that can involve an interruption in their work. If they are not married to their abuser</w:t>
      </w:r>
      <w:r w:rsidR="00FD1450">
        <w:t xml:space="preserve"> then their right to reside as a family member is not automatic in the first place. EU law requires Member States to ‘facilitate entry and residence’ </w:t>
      </w:r>
      <w:r w:rsidR="00FD1450">
        <w:lastRenderedPageBreak/>
        <w:t xml:space="preserve">for a ‘partner </w:t>
      </w:r>
      <w:r w:rsidR="00FD1450" w:rsidRPr="00FD1450">
        <w:t>with whom the Union citizen has a durable relationship, duly attested</w:t>
      </w:r>
      <w:r w:rsidR="00FD1450">
        <w:t>’</w:t>
      </w:r>
      <w:r w:rsidR="00FD1450" w:rsidRPr="00FD1450">
        <w:t>.</w:t>
      </w:r>
      <w:r w:rsidR="00FD1450">
        <w:rPr>
          <w:rStyle w:val="FootnoteReference"/>
        </w:rPr>
        <w:footnoteReference w:id="50"/>
      </w:r>
      <w:r w:rsidR="00FD1450">
        <w:t xml:space="preserve"> Pre-Brexit UK law provides for residence rights as an ‘extended family member’ for a partner ‘</w:t>
      </w:r>
      <w:r w:rsidR="00FD1450" w:rsidRPr="00FD1450">
        <w:t>in a durable relationship with, an EEA national</w:t>
      </w:r>
      <w:r w:rsidR="00FD1450">
        <w:t>’ where they are ‘</w:t>
      </w:r>
      <w:r w:rsidR="00FD1450" w:rsidRPr="00FD1450">
        <w:t>able to prove this to the decision maker</w:t>
      </w:r>
      <w:r w:rsidR="00FD1450">
        <w:t>’</w:t>
      </w:r>
      <w:r w:rsidR="00FD1450" w:rsidRPr="00FD1450">
        <w:t>.</w:t>
      </w:r>
      <w:r w:rsidR="00FD1450">
        <w:rPr>
          <w:rStyle w:val="FootnoteReference"/>
        </w:rPr>
        <w:footnoteReference w:id="51"/>
      </w:r>
      <w:r w:rsidR="00FD1450">
        <w:t xml:space="preserve"> If they have been able to assert residence rights as a ‘durable partner’, they stand to lose these on separation (unlike separated spouses, who continue to have family member status and a right to reside). So leaving an </w:t>
      </w:r>
      <w:r w:rsidRPr="002A68EC">
        <w:t>abuser</w:t>
      </w:r>
      <w:r w:rsidR="00FD1450">
        <w:t xml:space="preserve"> becomes an even more perilous decision</w:t>
      </w:r>
      <w:r w:rsidRPr="002A68EC">
        <w:t>.</w:t>
      </w:r>
      <w:r w:rsidR="00E9015A" w:rsidRPr="002A68EC">
        <w:rPr>
          <w:rStyle w:val="FootnoteReference"/>
        </w:rPr>
        <w:footnoteReference w:id="52"/>
      </w:r>
      <w:r w:rsidRPr="002A68EC">
        <w:t xml:space="preserve"> </w:t>
      </w:r>
      <w:r w:rsidR="00FF6D82" w:rsidRPr="002A68EC">
        <w:t xml:space="preserve">Time and again, the UK government, and UK frontline decision makers, </w:t>
      </w:r>
      <w:r w:rsidR="00846D6D" w:rsidRPr="002A68EC">
        <w:t>view</w:t>
      </w:r>
      <w:r w:rsidR="00FF6D82" w:rsidRPr="002A68EC">
        <w:t xml:space="preserve"> the cases of vulnerable EU citizens claiming support </w:t>
      </w:r>
      <w:r w:rsidR="00846D6D" w:rsidRPr="002A68EC">
        <w:t>through restriction-tinted lenses</w:t>
      </w:r>
      <w:r w:rsidR="00FF6D82" w:rsidRPr="002A68EC">
        <w:t xml:space="preserve">, </w:t>
      </w:r>
      <w:r w:rsidR="00846D6D" w:rsidRPr="002A68EC">
        <w:t xml:space="preserve">construing </w:t>
      </w:r>
      <w:r w:rsidR="00FF6D82" w:rsidRPr="002A68EC">
        <w:t xml:space="preserve">EU law </w:t>
      </w:r>
      <w:r w:rsidR="00846D6D" w:rsidRPr="002A68EC">
        <w:t>as conferring maximum scope for refusal.</w:t>
      </w:r>
      <w:r w:rsidR="000B069A" w:rsidRPr="002A68EC">
        <w:rPr>
          <w:rStyle w:val="FootnoteReference"/>
        </w:rPr>
        <w:footnoteReference w:id="53"/>
      </w:r>
      <w:r w:rsidR="00846D6D" w:rsidRPr="002A68EC">
        <w:t xml:space="preserve"> And</w:t>
      </w:r>
      <w:r w:rsidR="00FF6D82" w:rsidRPr="002A68EC">
        <w:t xml:space="preserve"> UK courts </w:t>
      </w:r>
      <w:r w:rsidR="00846D6D" w:rsidRPr="002A68EC">
        <w:t xml:space="preserve">are not always assiduous in asking the </w:t>
      </w:r>
      <w:r w:rsidR="004911BA" w:rsidRPr="002A68EC">
        <w:t>ECJ</w:t>
      </w:r>
      <w:r w:rsidR="00846D6D" w:rsidRPr="002A68EC">
        <w:t xml:space="preserve">’s take on the legitimacy of </w:t>
      </w:r>
      <w:r w:rsidR="000B069A" w:rsidRPr="002A68EC">
        <w:t>restrictive measures.</w:t>
      </w:r>
      <w:r w:rsidR="000B069A" w:rsidRPr="002A68EC">
        <w:rPr>
          <w:rStyle w:val="FootnoteReference"/>
        </w:rPr>
        <w:footnoteReference w:id="54"/>
      </w:r>
      <w:r w:rsidR="000B069A" w:rsidRPr="002A68EC">
        <w:t xml:space="preserve"> So in placing much of the responsibility for upholding the rights of its EU residents upon the UK – especially as </w:t>
      </w:r>
      <w:r w:rsidR="004911BA" w:rsidRPr="002A68EC">
        <w:t>CJEU</w:t>
      </w:r>
      <w:r w:rsidR="00654BA7" w:rsidRPr="002A68EC">
        <w:t xml:space="preserve"> </w:t>
      </w:r>
      <w:r w:rsidR="000B069A" w:rsidRPr="002A68EC">
        <w:t>jurisdiction runs out eight years after the end of transition</w:t>
      </w:r>
      <w:r w:rsidR="00654BA7" w:rsidRPr="002A68EC">
        <w:rPr>
          <w:rStyle w:val="FootnoteReference"/>
        </w:rPr>
        <w:footnoteReference w:id="55"/>
      </w:r>
      <w:r w:rsidR="000B069A" w:rsidRPr="002A68EC">
        <w:t xml:space="preserve"> – the Withdrawal Agreement would need to create strong, clear, positive duties where the EU expects the UK authorities to exercise discretion in favour of EU citizens. But it does not do this. </w:t>
      </w:r>
      <w:r w:rsidR="001B1729" w:rsidRPr="002A68EC">
        <w:t xml:space="preserve">Eight years continued CJEU jurisdiction might sound like a long time, but </w:t>
      </w:r>
      <w:r w:rsidR="001B1729" w:rsidRPr="002A68EC">
        <w:rPr>
          <w:rFonts w:cs="Calibri"/>
          <w:lang w:val="en-US"/>
        </w:rPr>
        <w:t xml:space="preserve">those covered by the Agreement are entitled to the benefits in Part Two of that agreement, for their lifetime. In the context, in particular, of social security coordination, the pension rights of those within the scope of the </w:t>
      </w:r>
      <w:r w:rsidR="00067EAF" w:rsidRPr="002A68EC">
        <w:rPr>
          <w:rFonts w:cs="Calibri"/>
          <w:lang w:val="en-US"/>
        </w:rPr>
        <w:t>Agreement</w:t>
      </w:r>
      <w:r w:rsidR="001B1729" w:rsidRPr="002A68EC">
        <w:rPr>
          <w:rFonts w:cs="Calibri"/>
          <w:lang w:val="en-US"/>
        </w:rPr>
        <w:t xml:space="preserve"> may not crystallise for decades. </w:t>
      </w:r>
    </w:p>
    <w:p w14:paraId="41D968B4" w14:textId="02FE4684" w:rsidR="00163E49" w:rsidRPr="002A68EC" w:rsidRDefault="003228A4" w:rsidP="00FD1450">
      <w:pPr>
        <w:spacing w:after="120"/>
        <w:jc w:val="both"/>
      </w:pPr>
      <w:r w:rsidRPr="002A68EC">
        <w:t xml:space="preserve">The Agreement </w:t>
      </w:r>
      <w:r w:rsidR="00EE7E15" w:rsidRPr="002A68EC">
        <w:t>pushes</w:t>
      </w:r>
      <w:r w:rsidR="006C2E82" w:rsidRPr="002A68EC">
        <w:t xml:space="preserve"> proportionality further into the side-lines. </w:t>
      </w:r>
      <w:r w:rsidR="00163E49" w:rsidRPr="002A68EC">
        <w:t xml:space="preserve">The </w:t>
      </w:r>
      <w:r w:rsidR="00A154A8">
        <w:t>obligation at Article 3(4) WA to interpret Union law and concepts ‘</w:t>
      </w:r>
      <w:r w:rsidR="00A154A8" w:rsidRPr="00A154A8">
        <w:t>in accordance with the methods and general principles of Union law</w:t>
      </w:r>
      <w:r w:rsidR="00A154A8">
        <w:t xml:space="preserve"> is rather too vague to be a realistic means of asserting the principle of proportionality, given that UK courts, even when the UK was an EU Member State, veered away from proportionality. The </w:t>
      </w:r>
      <w:r w:rsidR="00163E49" w:rsidRPr="002A68EC">
        <w:t xml:space="preserve">only </w:t>
      </w:r>
      <w:r w:rsidR="00A154A8">
        <w:t xml:space="preserve">specific </w:t>
      </w:r>
      <w:r w:rsidR="00163E49" w:rsidRPr="002A68EC">
        <w:t>mention of proportionality in the context of citizens’ rights is in the context of appeals</w:t>
      </w:r>
      <w:r w:rsidR="005E5962" w:rsidRPr="002A68EC">
        <w:t xml:space="preserve"> of decisions ‘refusing to grant the residence status’</w:t>
      </w:r>
      <w:r w:rsidR="00EF3548" w:rsidRPr="002A68EC">
        <w:t>;</w:t>
      </w:r>
      <w:r w:rsidR="00163E49" w:rsidRPr="002A68EC">
        <w:t xml:space="preserve"> there should be judicial and administrative redress procedures, for reviewing questions of law and fact, and </w:t>
      </w:r>
      <w:r w:rsidR="0087736D" w:rsidRPr="002A68EC">
        <w:t>“</w:t>
      </w:r>
      <w:r w:rsidR="00EC14CB" w:rsidRPr="002A68EC">
        <w:t>[s]</w:t>
      </w:r>
      <w:r w:rsidR="00163E49" w:rsidRPr="002A68EC">
        <w:t>uch redress procedures shall ensure that the decision is not disproportionate</w:t>
      </w:r>
      <w:r w:rsidR="0087736D" w:rsidRPr="002A68EC">
        <w:t>”</w:t>
      </w:r>
      <w:r w:rsidR="00163E49" w:rsidRPr="002A68EC">
        <w:t>.</w:t>
      </w:r>
      <w:r w:rsidR="00163E49" w:rsidRPr="002A68EC">
        <w:rPr>
          <w:rStyle w:val="FootnoteReference"/>
        </w:rPr>
        <w:footnoteReference w:id="56"/>
      </w:r>
      <w:r w:rsidR="00163E49" w:rsidRPr="002A68EC">
        <w:t xml:space="preserve"> </w:t>
      </w:r>
      <w:r w:rsidR="00EC14CB" w:rsidRPr="002A68EC">
        <w:t xml:space="preserve">But </w:t>
      </w:r>
      <w:r w:rsidR="001C3D97" w:rsidRPr="002A68EC">
        <w:t>this is a rather muted requirement. On</w:t>
      </w:r>
      <w:r w:rsidR="00EC14CB" w:rsidRPr="002A68EC">
        <w:t xml:space="preserve">ly a small minority of claims </w:t>
      </w:r>
      <w:r w:rsidR="006C2E82" w:rsidRPr="002A68EC">
        <w:t>would reach an appeal stage</w:t>
      </w:r>
      <w:r w:rsidR="00EC14CB" w:rsidRPr="002A68EC">
        <w:t xml:space="preserve">, and the absence of any mention of a positive proportionality duty (as opposed to a negative check for disproportionality) built in as part of the </w:t>
      </w:r>
      <w:r w:rsidR="00EC14CB" w:rsidRPr="002A68EC">
        <w:rPr>
          <w:i/>
          <w:iCs/>
        </w:rPr>
        <w:t>original</w:t>
      </w:r>
      <w:r w:rsidR="00EC14CB" w:rsidRPr="002A68EC">
        <w:t xml:space="preserve"> decision-making process, or any detail as to what should be considered in a proportionality review, means this passing mention is unlikely to carry much weight. </w:t>
      </w:r>
      <w:r w:rsidR="005E5962" w:rsidRPr="002A68EC">
        <w:t xml:space="preserve">Moreover, the statement </w:t>
      </w:r>
      <w:r w:rsidR="004911BA" w:rsidRPr="002A68EC">
        <w:t>“</w:t>
      </w:r>
      <w:r w:rsidR="005E5962" w:rsidRPr="002A68EC">
        <w:t>refusing to grant the residence status</w:t>
      </w:r>
      <w:r w:rsidR="004911BA" w:rsidRPr="002A68EC">
        <w:t>”</w:t>
      </w:r>
      <w:r w:rsidR="005E5962" w:rsidRPr="002A68EC">
        <w:t xml:space="preserve"> </w:t>
      </w:r>
      <w:r w:rsidR="004911BA" w:rsidRPr="002A68EC">
        <w:t>might be</w:t>
      </w:r>
      <w:r w:rsidR="005E5962" w:rsidRPr="002A68EC">
        <w:t xml:space="preserve"> interpreted as only applying to outright refusals – rather than to challenges of grants of the wrong status (pre-settled instead of settled). </w:t>
      </w:r>
    </w:p>
    <w:p w14:paraId="6B88B177" w14:textId="3FB436C0" w:rsidR="00AB70B5" w:rsidRPr="002A68EC" w:rsidRDefault="009A1DC4" w:rsidP="002A68EC">
      <w:pPr>
        <w:spacing w:after="120"/>
        <w:jc w:val="both"/>
      </w:pPr>
      <w:r w:rsidRPr="002A68EC">
        <w:t>In response to a letter from</w:t>
      </w:r>
      <w:r w:rsidR="00B93E74" w:rsidRPr="002A68EC">
        <w:t xml:space="preserve"> </w:t>
      </w:r>
      <w:r w:rsidR="0087736D" w:rsidRPr="002A68EC">
        <w:t xml:space="preserve">three </w:t>
      </w:r>
      <w:r w:rsidR="00DA6330" w:rsidRPr="002A68EC">
        <w:t xml:space="preserve">(then) </w:t>
      </w:r>
      <w:r w:rsidR="00B93E74" w:rsidRPr="002A68EC">
        <w:t>MEPs</w:t>
      </w:r>
      <w:r w:rsidRPr="002A68EC">
        <w:t xml:space="preserve"> </w:t>
      </w:r>
      <w:r w:rsidR="0087736D" w:rsidRPr="002A68EC">
        <w:t>(</w:t>
      </w:r>
      <w:r w:rsidR="00B93E74" w:rsidRPr="002A68EC">
        <w:t>Jill Evans, Jean Lambert and Alyn Smith</w:t>
      </w:r>
      <w:r w:rsidR="0087736D" w:rsidRPr="002A68EC">
        <w:t>)</w:t>
      </w:r>
      <w:r w:rsidR="00B93E74" w:rsidRPr="002A68EC">
        <w:t xml:space="preserve">, </w:t>
      </w:r>
      <w:r w:rsidRPr="002A68EC">
        <w:t xml:space="preserve">raising concerns about the people who are left out of the scope of the Withdrawal Agreement, the EU’s chief negotiator stated that it reflected a </w:t>
      </w:r>
      <w:r w:rsidR="0087736D" w:rsidRPr="002A68EC">
        <w:t>“</w:t>
      </w:r>
      <w:r w:rsidRPr="002A68EC">
        <w:t>choice of relying on known Union law concepts and provisions</w:t>
      </w:r>
      <w:r w:rsidR="0087736D" w:rsidRPr="002A68EC">
        <w:t>”</w:t>
      </w:r>
      <w:r w:rsidRPr="002A68EC">
        <w:t>,</w:t>
      </w:r>
      <w:r w:rsidR="001B4AB6" w:rsidRPr="002A68EC">
        <w:t xml:space="preserve"> </w:t>
      </w:r>
      <w:r w:rsidRPr="002A68EC">
        <w:t xml:space="preserve">to allow provisions to be </w:t>
      </w:r>
      <w:r w:rsidR="0087736D" w:rsidRPr="002A68EC">
        <w:t>“</w:t>
      </w:r>
      <w:r w:rsidRPr="002A68EC">
        <w:t>interpreted in conformity with the relevant case law of the Court of Justice of the European Union</w:t>
      </w:r>
      <w:r w:rsidR="0087736D" w:rsidRPr="002A68EC">
        <w:t>”</w:t>
      </w:r>
      <w:r w:rsidRPr="002A68EC">
        <w:t>.</w:t>
      </w:r>
      <w:r w:rsidRPr="002A68EC">
        <w:rPr>
          <w:rStyle w:val="FootnoteReference"/>
        </w:rPr>
        <w:footnoteReference w:id="57"/>
      </w:r>
      <w:r w:rsidR="00516D89" w:rsidRPr="002A68EC">
        <w:t xml:space="preserve"> </w:t>
      </w:r>
      <w:r w:rsidR="005D4D4C" w:rsidRPr="002A68EC">
        <w:t xml:space="preserve">But, </w:t>
      </w:r>
      <w:r w:rsidR="004911BA" w:rsidRPr="002A68EC">
        <w:t>even in light of</w:t>
      </w:r>
      <w:r w:rsidR="00516D89" w:rsidRPr="002A68EC">
        <w:t xml:space="preserve"> the </w:t>
      </w:r>
      <w:r w:rsidR="005D4D4C" w:rsidRPr="002A68EC">
        <w:t xml:space="preserve">restrictive turn in ECJ case law, proportionality and Union citizenship have played significant roles in the development of equal treatment rights. They are very much </w:t>
      </w:r>
      <w:r w:rsidR="004911BA" w:rsidRPr="002A68EC">
        <w:t>“</w:t>
      </w:r>
      <w:r w:rsidR="005D4D4C" w:rsidRPr="002A68EC">
        <w:t>known Union law concepts</w:t>
      </w:r>
      <w:r w:rsidR="004911BA" w:rsidRPr="002A68EC">
        <w:t>”</w:t>
      </w:r>
      <w:r w:rsidR="005D4D4C" w:rsidRPr="002A68EC">
        <w:t xml:space="preserve">, and arguably could have had greater prominence in </w:t>
      </w:r>
      <w:r w:rsidR="004911BA" w:rsidRPr="002A68EC">
        <w:t xml:space="preserve">the agreement to </w:t>
      </w:r>
      <w:r w:rsidR="005D4D4C" w:rsidRPr="002A68EC">
        <w:t>ensur</w:t>
      </w:r>
      <w:r w:rsidR="004911BA" w:rsidRPr="002A68EC">
        <w:t>e</w:t>
      </w:r>
      <w:r w:rsidR="005D4D4C" w:rsidRPr="002A68EC">
        <w:t xml:space="preserve"> that a substantial </w:t>
      </w:r>
      <w:r w:rsidR="005D4D4C" w:rsidRPr="002A68EC">
        <w:lastRenderedPageBreak/>
        <w:t xml:space="preserve">fraction of the EU population in the UK is not irreversibly stripped of rights to live in the UK. </w:t>
      </w:r>
      <w:r w:rsidR="0001452D" w:rsidRPr="002A68EC">
        <w:t xml:space="preserve">Ignoring them </w:t>
      </w:r>
      <w:r w:rsidR="00E80EA6" w:rsidRPr="002A68EC">
        <w:t>reinforces the</w:t>
      </w:r>
      <w:r w:rsidR="00DE4459" w:rsidRPr="002A68EC">
        <w:t xml:space="preserve"> false bright</w:t>
      </w:r>
      <w:r w:rsidR="00E80EA6" w:rsidRPr="002A68EC">
        <w:t xml:space="preserve"> </w:t>
      </w:r>
      <w:r w:rsidR="00DE4459" w:rsidRPr="002A68EC">
        <w:t>line between economic activity and inactivity</w:t>
      </w:r>
      <w:r w:rsidR="00E80EA6" w:rsidRPr="002A68EC">
        <w:t xml:space="preserve">, and is </w:t>
      </w:r>
      <w:r w:rsidR="00DE4459" w:rsidRPr="002A68EC">
        <w:t xml:space="preserve">deeply blinkered to the lived realties of the people it excludes. </w:t>
      </w:r>
      <w:r w:rsidR="00EB628E" w:rsidRPr="002A68EC">
        <w:t>The tolerance of large</w:t>
      </w:r>
      <w:r w:rsidR="0087736D" w:rsidRPr="002A68EC">
        <w:t>-</w:t>
      </w:r>
      <w:r w:rsidR="00EB628E" w:rsidRPr="002A68EC">
        <w:t xml:space="preserve">scale disentitlement of vulnerable EU nationals is also evident in the way the right to stay is conceived. </w:t>
      </w:r>
      <w:r w:rsidR="0087736D" w:rsidRPr="002A68EC">
        <w:t>As explored in the next section, both</w:t>
      </w:r>
      <w:r w:rsidR="00EB628E" w:rsidRPr="002A68EC">
        <w:t xml:space="preserve"> the Withdrawal Agreement and the UK</w:t>
      </w:r>
      <w:r w:rsidR="006B5B56">
        <w:t>’s EU</w:t>
      </w:r>
      <w:r w:rsidR="00EB628E" w:rsidRPr="002A68EC">
        <w:t xml:space="preserve"> Settled Status scheme make</w:t>
      </w:r>
      <w:r w:rsidR="00AB70B5" w:rsidRPr="002A68EC">
        <w:t xml:space="preserve"> registration constitutive of the right to stay in the UK</w:t>
      </w:r>
      <w:r w:rsidR="00EB628E" w:rsidRPr="002A68EC">
        <w:t xml:space="preserve"> – a factor that makes disentitlement, especially of vulnerable EU nationals, inevitable</w:t>
      </w:r>
      <w:r w:rsidR="0087736D" w:rsidRPr="002A68EC">
        <w:t xml:space="preserve">. </w:t>
      </w:r>
      <w:r w:rsidR="00AB70B5" w:rsidRPr="002A68EC">
        <w:t xml:space="preserve">    </w:t>
      </w:r>
    </w:p>
    <w:p w14:paraId="00B78C19" w14:textId="1C864CC3" w:rsidR="00163E49" w:rsidRPr="002A68EC" w:rsidRDefault="00163E49" w:rsidP="002A68EC">
      <w:pPr>
        <w:spacing w:after="120"/>
        <w:ind w:right="-52"/>
        <w:jc w:val="both"/>
      </w:pPr>
    </w:p>
    <w:p w14:paraId="05B28AE2" w14:textId="0807A706" w:rsidR="00475D27" w:rsidRPr="002A68EC" w:rsidRDefault="00F47031" w:rsidP="002A68EC">
      <w:pPr>
        <w:pStyle w:val="Heading2"/>
        <w:spacing w:before="0" w:after="120"/>
        <w:jc w:val="both"/>
        <w:rPr>
          <w:rFonts w:ascii="Times New Roman" w:hAnsi="Times New Roman"/>
          <w:color w:val="auto"/>
          <w:sz w:val="24"/>
          <w:lang w:val="en-US"/>
        </w:rPr>
      </w:pPr>
      <w:r w:rsidRPr="002A68EC">
        <w:rPr>
          <w:rFonts w:ascii="Times New Roman" w:hAnsi="Times New Roman"/>
          <w:color w:val="auto"/>
          <w:sz w:val="24"/>
          <w:lang w:val="en-US"/>
        </w:rPr>
        <w:t xml:space="preserve">3. </w:t>
      </w:r>
      <w:r w:rsidR="00C03C28" w:rsidRPr="002A68EC">
        <w:rPr>
          <w:rFonts w:ascii="Times New Roman" w:hAnsi="Times New Roman"/>
          <w:b/>
          <w:bCs/>
          <w:color w:val="auto"/>
          <w:sz w:val="24"/>
          <w:lang w:val="en-US"/>
        </w:rPr>
        <w:t xml:space="preserve">Making registration constitutive of residence rights </w:t>
      </w:r>
      <w:r w:rsidR="00AD706A" w:rsidRPr="002A68EC">
        <w:rPr>
          <w:rFonts w:ascii="Times New Roman" w:hAnsi="Times New Roman"/>
          <w:b/>
          <w:bCs/>
          <w:color w:val="auto"/>
          <w:sz w:val="24"/>
          <w:lang w:val="en-US"/>
        </w:rPr>
        <w:t>creates a rupture in</w:t>
      </w:r>
      <w:r w:rsidR="00C03C28" w:rsidRPr="002A68EC">
        <w:rPr>
          <w:rFonts w:ascii="Times New Roman" w:hAnsi="Times New Roman"/>
          <w:b/>
          <w:bCs/>
          <w:color w:val="auto"/>
          <w:sz w:val="24"/>
          <w:lang w:val="en-US"/>
        </w:rPr>
        <w:t xml:space="preserve"> Union citizenship</w:t>
      </w:r>
    </w:p>
    <w:p w14:paraId="22ECC4F9" w14:textId="10475983" w:rsidR="00F4259E" w:rsidRPr="002A68EC" w:rsidRDefault="00DE4459" w:rsidP="002A68EC">
      <w:pPr>
        <w:shd w:val="clear" w:color="auto" w:fill="FFFFFF"/>
        <w:spacing w:after="120"/>
        <w:ind w:right="-52"/>
        <w:jc w:val="both"/>
        <w:rPr>
          <w:szCs w:val="27"/>
        </w:rPr>
      </w:pPr>
      <w:r w:rsidRPr="002A68EC">
        <w:t>Disentitling swathes of EU citizens from the right to stay in the country that has become their home in which they have formed families and become integrated through work, friends, neighbours and communities, in some cases, over decades</w:t>
      </w:r>
      <w:r w:rsidR="00FA05C3" w:rsidRPr="002A68EC">
        <w:t>,</w:t>
      </w:r>
      <w:r w:rsidRPr="002A68EC">
        <w:t xml:space="preserve"> on the basis of not conforming at a given moment to the categories of favoured EU migrant in Directive 2004/38</w:t>
      </w:r>
      <w:r w:rsidR="00CE3809" w:rsidRPr="002A68EC">
        <w:t>,</w:t>
      </w:r>
      <w:r w:rsidRPr="002A68EC">
        <w:t xml:space="preserve"> </w:t>
      </w:r>
      <w:r w:rsidR="00F4259E" w:rsidRPr="002A68EC">
        <w:t xml:space="preserve">is disproportionate. To quote the ECJ in </w:t>
      </w:r>
      <w:r w:rsidR="00F4259E" w:rsidRPr="002A68EC">
        <w:rPr>
          <w:i/>
          <w:iCs/>
        </w:rPr>
        <w:t>D’Hoop</w:t>
      </w:r>
      <w:r w:rsidR="00F4259E" w:rsidRPr="002A68EC">
        <w:t xml:space="preserve">, it </w:t>
      </w:r>
      <w:r w:rsidR="00CE3809" w:rsidRPr="002A68EC">
        <w:t>“</w:t>
      </w:r>
      <w:r w:rsidR="00F4259E" w:rsidRPr="002A68EC">
        <w:t>unduly favours an element which is not necessarily representative of the real and effective degree of connection between the applicant</w:t>
      </w:r>
      <w:r w:rsidR="00CE3809" w:rsidRPr="002A68EC">
        <w:t>”</w:t>
      </w:r>
      <w:r w:rsidR="00F4259E" w:rsidRPr="002A68EC">
        <w:t xml:space="preserve"> and the UK, </w:t>
      </w:r>
      <w:r w:rsidR="00CE3809" w:rsidRPr="002A68EC">
        <w:t>“</w:t>
      </w:r>
      <w:r w:rsidR="00F4259E" w:rsidRPr="002A68EC">
        <w:t>to the exclusion of all other representative elements</w:t>
      </w:r>
      <w:r w:rsidR="00CE3809" w:rsidRPr="002A68EC">
        <w:t>”</w:t>
      </w:r>
      <w:r w:rsidR="00F4259E" w:rsidRPr="002A68EC">
        <w:t>.</w:t>
      </w:r>
      <w:bookmarkStart w:id="13" w:name="_Ref54785296"/>
      <w:r w:rsidR="00F4259E" w:rsidRPr="002A68EC">
        <w:rPr>
          <w:rStyle w:val="FootnoteReference"/>
        </w:rPr>
        <w:footnoteReference w:id="58"/>
      </w:r>
      <w:bookmarkEnd w:id="13"/>
      <w:r w:rsidR="00F4259E" w:rsidRPr="002A68EC">
        <w:t xml:space="preserve"> </w:t>
      </w:r>
      <w:r w:rsidR="00F61110" w:rsidRPr="002A68EC">
        <w:t>But i</w:t>
      </w:r>
      <w:r w:rsidRPr="002A68EC">
        <w:rPr>
          <w:szCs w:val="27"/>
        </w:rPr>
        <w:t xml:space="preserve">n drawing up the Withdrawal Agreement, both negotiating sides have </w:t>
      </w:r>
      <w:r w:rsidR="00F4259E" w:rsidRPr="002A68EC">
        <w:rPr>
          <w:szCs w:val="27"/>
        </w:rPr>
        <w:t xml:space="preserve">allowed for that element – status at the point of the deadline – to become determinative. </w:t>
      </w:r>
    </w:p>
    <w:p w14:paraId="5126FC83" w14:textId="77777777" w:rsidR="00E65BBE" w:rsidRPr="002A68EC" w:rsidRDefault="00E65BBE" w:rsidP="002A68EC">
      <w:pPr>
        <w:shd w:val="clear" w:color="auto" w:fill="FFFFFF"/>
        <w:spacing w:after="120"/>
        <w:ind w:right="-52"/>
        <w:jc w:val="both"/>
        <w:rPr>
          <w:szCs w:val="27"/>
        </w:rPr>
      </w:pPr>
    </w:p>
    <w:p w14:paraId="4CB40E8B" w14:textId="71DB32F4" w:rsidR="00E65BBE" w:rsidRPr="002A68EC" w:rsidRDefault="00E65BBE" w:rsidP="002A68EC">
      <w:pPr>
        <w:pStyle w:val="Heading3"/>
        <w:spacing w:before="0" w:after="120"/>
        <w:jc w:val="both"/>
        <w:rPr>
          <w:rFonts w:ascii="Times New Roman" w:hAnsi="Times New Roman"/>
          <w:i/>
          <w:iCs/>
          <w:color w:val="auto"/>
        </w:rPr>
      </w:pPr>
      <w:r w:rsidRPr="002A68EC">
        <w:rPr>
          <w:rFonts w:ascii="Times New Roman" w:hAnsi="Times New Roman"/>
          <w:color w:val="auto"/>
        </w:rPr>
        <w:t>3</w:t>
      </w:r>
      <w:r w:rsidR="00FD16EB" w:rsidRPr="002A68EC">
        <w:rPr>
          <w:rFonts w:ascii="Times New Roman" w:hAnsi="Times New Roman"/>
          <w:color w:val="auto"/>
        </w:rPr>
        <w:t>.</w:t>
      </w:r>
      <w:r w:rsidRPr="002A68EC">
        <w:rPr>
          <w:rFonts w:ascii="Times New Roman" w:hAnsi="Times New Roman"/>
          <w:color w:val="auto"/>
        </w:rPr>
        <w:t xml:space="preserve">1 </w:t>
      </w:r>
      <w:r w:rsidRPr="002A68EC">
        <w:rPr>
          <w:rFonts w:ascii="Times New Roman" w:hAnsi="Times New Roman"/>
          <w:color w:val="auto"/>
        </w:rPr>
        <w:tab/>
      </w:r>
      <w:r w:rsidRPr="002A68EC">
        <w:rPr>
          <w:rFonts w:ascii="Times New Roman" w:hAnsi="Times New Roman"/>
          <w:i/>
          <w:iCs/>
          <w:color w:val="auto"/>
        </w:rPr>
        <w:t>A hard deadline is damaging– especially in the UK</w:t>
      </w:r>
    </w:p>
    <w:p w14:paraId="0A9D9D91" w14:textId="14931DB5" w:rsidR="00ED50B9" w:rsidRDefault="00ED50B9" w:rsidP="00ED50B9">
      <w:pPr>
        <w:spacing w:after="120"/>
        <w:jc w:val="both"/>
        <w:rPr>
          <w:szCs w:val="27"/>
        </w:rPr>
      </w:pPr>
      <w:r>
        <w:rPr>
          <w:szCs w:val="27"/>
        </w:rPr>
        <w:t xml:space="preserve">In EU law, residence rights are typically vested in the meeting of key conditions, and any certification or registration – ie compliance with administrative formalities – can only be declaratory, not constitutive of the right. In other words, the underlying right to reside cannot be lost just because of failing to register as required by a host State. </w:t>
      </w:r>
      <w:r w:rsidRPr="002A68EC">
        <w:rPr>
          <w:szCs w:val="27"/>
          <w:shd w:val="clear" w:color="auto" w:fill="FFFFFF"/>
        </w:rPr>
        <w:t xml:space="preserve">In </w:t>
      </w:r>
      <w:r w:rsidRPr="002A68EC">
        <w:rPr>
          <w:i/>
          <w:iCs/>
          <w:szCs w:val="27"/>
          <w:shd w:val="clear" w:color="auto" w:fill="FFFFFF"/>
        </w:rPr>
        <w:t>Royer</w:t>
      </w:r>
      <w:r w:rsidRPr="002A68EC">
        <w:rPr>
          <w:szCs w:val="27"/>
          <w:shd w:val="clear" w:color="auto" w:fill="FFFFFF"/>
        </w:rPr>
        <w:t>,</w:t>
      </w:r>
      <w:bookmarkStart w:id="14" w:name="_Ref54785520"/>
      <w:r w:rsidRPr="002A68EC">
        <w:rPr>
          <w:rStyle w:val="FootnoteReference"/>
          <w:szCs w:val="27"/>
          <w:shd w:val="clear" w:color="auto" w:fill="FFFFFF"/>
        </w:rPr>
        <w:footnoteReference w:id="59"/>
      </w:r>
      <w:bookmarkEnd w:id="14"/>
      <w:r w:rsidRPr="002A68EC">
        <w:rPr>
          <w:szCs w:val="27"/>
          <w:shd w:val="clear" w:color="auto" w:fill="FFFFFF"/>
        </w:rPr>
        <w:t xml:space="preserve"> the ECJ confirmed that the right to move and reside in other Member States was conferred directly by the Treaty, independently of any permit, and the ‘mere failure’ of an EU national to comply with the formalities on entry and residence (in that case, acquisition of a residence permit), was not grounds for expulsion – ie for loss of residence rights.  </w:t>
      </w:r>
    </w:p>
    <w:p w14:paraId="2414C260" w14:textId="7DA03451" w:rsidR="00DE4459" w:rsidRPr="002A68EC" w:rsidRDefault="00ED50B9" w:rsidP="002A68EC">
      <w:pPr>
        <w:shd w:val="clear" w:color="auto" w:fill="FFFFFF"/>
        <w:spacing w:after="120"/>
        <w:ind w:right="-52"/>
        <w:jc w:val="both"/>
      </w:pPr>
      <w:r>
        <w:rPr>
          <w:szCs w:val="27"/>
        </w:rPr>
        <w:t>In a pivotal d</w:t>
      </w:r>
      <w:r w:rsidR="00744DCA" w:rsidRPr="002A68EC">
        <w:rPr>
          <w:szCs w:val="27"/>
        </w:rPr>
        <w:t>epart</w:t>
      </w:r>
      <w:r>
        <w:rPr>
          <w:szCs w:val="27"/>
        </w:rPr>
        <w:t>ure</w:t>
      </w:r>
      <w:r w:rsidR="00744DCA" w:rsidRPr="002A68EC">
        <w:rPr>
          <w:szCs w:val="27"/>
        </w:rPr>
        <w:t xml:space="preserve"> from </w:t>
      </w:r>
      <w:r w:rsidR="00F4259E" w:rsidRPr="002A68EC">
        <w:rPr>
          <w:szCs w:val="27"/>
        </w:rPr>
        <w:t>the custom of EU law</w:t>
      </w:r>
      <w:r w:rsidR="00744DCA" w:rsidRPr="002A68EC">
        <w:rPr>
          <w:szCs w:val="27"/>
        </w:rPr>
        <w:t xml:space="preserve">, </w:t>
      </w:r>
      <w:r w:rsidR="00F4259E" w:rsidRPr="002A68EC">
        <w:rPr>
          <w:szCs w:val="27"/>
        </w:rPr>
        <w:t xml:space="preserve">the </w:t>
      </w:r>
      <w:r>
        <w:rPr>
          <w:szCs w:val="27"/>
        </w:rPr>
        <w:t xml:space="preserve">withdrawal </w:t>
      </w:r>
      <w:r w:rsidR="00F4259E" w:rsidRPr="002A68EC">
        <w:rPr>
          <w:szCs w:val="27"/>
        </w:rPr>
        <w:t xml:space="preserve">agreement creates a hard deadline, and permits States to </w:t>
      </w:r>
      <w:r w:rsidR="00744DCA" w:rsidRPr="002A68EC">
        <w:rPr>
          <w:szCs w:val="27"/>
        </w:rPr>
        <w:t xml:space="preserve">make the registration process </w:t>
      </w:r>
      <w:r w:rsidR="00744DCA" w:rsidRPr="002A68EC">
        <w:rPr>
          <w:rFonts w:cs="Calibri"/>
          <w:lang w:val="en-US"/>
        </w:rPr>
        <w:t>constitutive of the right.</w:t>
      </w:r>
      <w:r w:rsidR="00744DCA" w:rsidRPr="002A68EC">
        <w:rPr>
          <w:szCs w:val="27"/>
        </w:rPr>
        <w:t xml:space="preserve"> </w:t>
      </w:r>
      <w:r w:rsidR="00F4259E" w:rsidRPr="002A68EC">
        <w:rPr>
          <w:szCs w:val="27"/>
        </w:rPr>
        <w:t>This appears to have been at the insistence of the UK government;</w:t>
      </w:r>
      <w:bookmarkStart w:id="15" w:name="_Ref54789589"/>
      <w:r w:rsidR="00F4259E" w:rsidRPr="002A68EC">
        <w:rPr>
          <w:rStyle w:val="FootnoteReference"/>
          <w:szCs w:val="27"/>
        </w:rPr>
        <w:footnoteReference w:id="60"/>
      </w:r>
      <w:bookmarkEnd w:id="15"/>
      <w:r w:rsidR="00F4259E" w:rsidRPr="002A68EC">
        <w:rPr>
          <w:szCs w:val="27"/>
        </w:rPr>
        <w:t xml:space="preserve"> having agreed</w:t>
      </w:r>
      <w:r w:rsidR="002D6459" w:rsidRPr="002A68EC">
        <w:rPr>
          <w:szCs w:val="27"/>
        </w:rPr>
        <w:t xml:space="preserve">, </w:t>
      </w:r>
      <w:r w:rsidR="00F4259E" w:rsidRPr="002A68EC">
        <w:rPr>
          <w:szCs w:val="27"/>
        </w:rPr>
        <w:t xml:space="preserve">Michel Barnier, lead EU negotiator, </w:t>
      </w:r>
      <w:r w:rsidR="002D6459" w:rsidRPr="002A68EC">
        <w:rPr>
          <w:szCs w:val="27"/>
        </w:rPr>
        <w:t>seems to now have concerns</w:t>
      </w:r>
      <w:r w:rsidR="00F4259E" w:rsidRPr="002A68EC">
        <w:rPr>
          <w:szCs w:val="27"/>
        </w:rPr>
        <w:t xml:space="preserve"> about what this concession could mean.</w:t>
      </w:r>
      <w:r w:rsidR="00F4259E" w:rsidRPr="002A68EC">
        <w:rPr>
          <w:rStyle w:val="FootnoteReference"/>
          <w:szCs w:val="27"/>
        </w:rPr>
        <w:footnoteReference w:id="61"/>
      </w:r>
      <w:r w:rsidR="00F4259E" w:rsidRPr="002A68EC">
        <w:rPr>
          <w:szCs w:val="27"/>
        </w:rPr>
        <w:t xml:space="preserve">  </w:t>
      </w:r>
      <w:r w:rsidR="009976C3" w:rsidRPr="002A68EC">
        <w:rPr>
          <w:rFonts w:cs="Calibri"/>
          <w:lang w:val="en-US"/>
        </w:rPr>
        <w:t xml:space="preserve">Article 18(1) </w:t>
      </w:r>
      <w:r w:rsidR="00CD6235" w:rsidRPr="002A68EC">
        <w:rPr>
          <w:rFonts w:cs="Calibri"/>
          <w:lang w:val="en-US"/>
        </w:rPr>
        <w:t>allows States to require</w:t>
      </w:r>
      <w:r w:rsidR="009976C3" w:rsidRPr="002A68EC">
        <w:rPr>
          <w:rFonts w:cs="Calibri"/>
          <w:lang w:val="en-US"/>
        </w:rPr>
        <w:t xml:space="preserve"> registration by a set deadline, (which must </w:t>
      </w:r>
      <w:r w:rsidR="002D6459" w:rsidRPr="002A68EC">
        <w:rPr>
          <w:rFonts w:cs="Calibri"/>
          <w:lang w:val="en-US"/>
        </w:rPr>
        <w:t>“</w:t>
      </w:r>
      <w:r w:rsidR="009976C3" w:rsidRPr="002A68EC">
        <w:t>not be less than 6 months from the end of the transition period</w:t>
      </w:r>
      <w:r w:rsidR="002D6459" w:rsidRPr="002A68EC">
        <w:t>”</w:t>
      </w:r>
      <w:r w:rsidR="009976C3" w:rsidRPr="002A68EC">
        <w:t>),</w:t>
      </w:r>
      <w:r w:rsidR="009976C3" w:rsidRPr="002A68EC">
        <w:rPr>
          <w:rFonts w:cs="Calibri"/>
          <w:lang w:val="en-US"/>
        </w:rPr>
        <w:t xml:space="preserve"> for retaining a right to </w:t>
      </w:r>
      <w:r w:rsidR="00CD6235" w:rsidRPr="002A68EC">
        <w:rPr>
          <w:rFonts w:cs="Calibri"/>
          <w:lang w:val="en-US"/>
        </w:rPr>
        <w:t>reside</w:t>
      </w:r>
      <w:r w:rsidR="009976C3" w:rsidRPr="002A68EC">
        <w:rPr>
          <w:rFonts w:cs="Calibri"/>
          <w:lang w:val="en-US"/>
        </w:rPr>
        <w:t xml:space="preserve">. The Agreement also provides for case-by-case consideration of applications where the deadline </w:t>
      </w:r>
      <w:r w:rsidR="00FA05C3" w:rsidRPr="002A68EC">
        <w:rPr>
          <w:rFonts w:cs="Calibri"/>
          <w:lang w:val="en-US"/>
        </w:rPr>
        <w:t>“</w:t>
      </w:r>
      <w:r w:rsidR="009976C3" w:rsidRPr="002A68EC">
        <w:t>is not respected by the persons concerned</w:t>
      </w:r>
      <w:r w:rsidR="00FA05C3" w:rsidRPr="002A68EC">
        <w:t>”</w:t>
      </w:r>
      <w:r w:rsidR="009976C3" w:rsidRPr="002A68EC">
        <w:t xml:space="preserve">, so long as the application is submitted </w:t>
      </w:r>
      <w:r w:rsidR="00FA05C3" w:rsidRPr="002A68EC">
        <w:t>“</w:t>
      </w:r>
      <w:r w:rsidR="009976C3" w:rsidRPr="002A68EC">
        <w:t>within a reasonable further period of time if there are reasonable grounds for the failure to respect the deadline</w:t>
      </w:r>
      <w:r w:rsidR="00FA05C3" w:rsidRPr="002A68EC">
        <w:t>”</w:t>
      </w:r>
      <w:r w:rsidR="00CD6235" w:rsidRPr="002A68EC">
        <w:t>,</w:t>
      </w:r>
      <w:r w:rsidR="009976C3" w:rsidRPr="002A68EC">
        <w:rPr>
          <w:rStyle w:val="FootnoteReference"/>
        </w:rPr>
        <w:footnoteReference w:id="62"/>
      </w:r>
      <w:r w:rsidR="00CD6235" w:rsidRPr="002A68EC">
        <w:t xml:space="preserve"> which seems to offer a route for exceptional late applications – without it being </w:t>
      </w:r>
      <w:r w:rsidR="00CD6235" w:rsidRPr="002A68EC">
        <w:lastRenderedPageBreak/>
        <w:t xml:space="preserve">clear what constitutes a </w:t>
      </w:r>
      <w:r w:rsidR="002D6459" w:rsidRPr="002A68EC">
        <w:t>“</w:t>
      </w:r>
      <w:r w:rsidR="00CD6235" w:rsidRPr="002A68EC">
        <w:t>reasonable ground</w:t>
      </w:r>
      <w:r w:rsidR="002D6459" w:rsidRPr="002A68EC">
        <w:t>”</w:t>
      </w:r>
      <w:r w:rsidR="00CD6235" w:rsidRPr="002A68EC">
        <w:t xml:space="preserve"> and does not offer much to those </w:t>
      </w:r>
      <w:r w:rsidR="00560C8F" w:rsidRPr="002A68EC">
        <w:t xml:space="preserve">deemed to </w:t>
      </w:r>
      <w:r w:rsidR="00CD6235" w:rsidRPr="002A68EC">
        <w:t xml:space="preserve">apply </w:t>
      </w:r>
      <w:r w:rsidR="00CD6235" w:rsidRPr="002A68EC">
        <w:rPr>
          <w:i/>
          <w:iCs/>
        </w:rPr>
        <w:t>too</w:t>
      </w:r>
      <w:r w:rsidR="00CD6235" w:rsidRPr="002A68EC">
        <w:t xml:space="preserve"> late. </w:t>
      </w:r>
      <w:r w:rsidR="00744DCA" w:rsidRPr="002A68EC">
        <w:rPr>
          <w:rFonts w:cs="Calibri"/>
          <w:lang w:val="en-US"/>
        </w:rPr>
        <w:t xml:space="preserve">This turns the deadline </w:t>
      </w:r>
      <w:r w:rsidR="00560C8F" w:rsidRPr="002A68EC">
        <w:rPr>
          <w:rFonts w:cs="Calibri"/>
          <w:lang w:val="en-US"/>
        </w:rPr>
        <w:t xml:space="preserve">for non-exceptional cases </w:t>
      </w:r>
      <w:r w:rsidR="00744DCA" w:rsidRPr="002A68EC">
        <w:rPr>
          <w:rFonts w:cs="Calibri"/>
          <w:lang w:val="en-US"/>
        </w:rPr>
        <w:t xml:space="preserve">into a cliff-edge, with the prospect of unregistered EU nationals </w:t>
      </w:r>
      <w:r w:rsidR="00CD6235" w:rsidRPr="002A68EC">
        <w:rPr>
          <w:rFonts w:cs="Calibri"/>
          <w:lang w:val="en-US"/>
        </w:rPr>
        <w:t xml:space="preserve">permanently </w:t>
      </w:r>
      <w:r w:rsidR="00744DCA" w:rsidRPr="002A68EC">
        <w:rPr>
          <w:rFonts w:cs="Calibri"/>
          <w:lang w:val="en-US"/>
        </w:rPr>
        <w:t xml:space="preserve">losing their rights to stay, with accrued rights negated overnight. </w:t>
      </w:r>
    </w:p>
    <w:p w14:paraId="33AC8CFA" w14:textId="3B153FED" w:rsidR="00FD16EB" w:rsidRPr="002A68EC" w:rsidRDefault="00C306D2" w:rsidP="000972CF">
      <w:pPr>
        <w:spacing w:after="120"/>
        <w:jc w:val="both"/>
      </w:pPr>
      <w:r w:rsidRPr="002A68EC">
        <w:rPr>
          <w:rFonts w:cs="Calibri"/>
          <w:lang w:val="en-US"/>
        </w:rPr>
        <w:t xml:space="preserve">The </w:t>
      </w:r>
      <w:r w:rsidR="00744DCA" w:rsidRPr="002A68EC">
        <w:rPr>
          <w:rFonts w:cs="Calibri"/>
          <w:lang w:val="en-US"/>
        </w:rPr>
        <w:t>UK</w:t>
      </w:r>
      <w:r w:rsidR="00156818">
        <w:rPr>
          <w:rFonts w:cs="Calibri"/>
          <w:lang w:val="en-US"/>
        </w:rPr>
        <w:t>’s EU</w:t>
      </w:r>
      <w:r w:rsidR="00744DCA" w:rsidRPr="002A68EC">
        <w:rPr>
          <w:rFonts w:cs="Calibri"/>
          <w:lang w:val="en-US"/>
        </w:rPr>
        <w:t xml:space="preserve"> Settled Status scheme </w:t>
      </w:r>
      <w:r w:rsidR="00CD6235" w:rsidRPr="002A68EC">
        <w:rPr>
          <w:rFonts w:cs="Calibri"/>
          <w:lang w:val="en-US"/>
        </w:rPr>
        <w:t>is a</w:t>
      </w:r>
      <w:r w:rsidR="00744DCA" w:rsidRPr="002A68EC">
        <w:rPr>
          <w:rFonts w:cs="Calibri"/>
          <w:lang w:val="en-US"/>
        </w:rPr>
        <w:t xml:space="preserve"> constitutive </w:t>
      </w:r>
      <w:r w:rsidR="00FA05C3" w:rsidRPr="002A68EC">
        <w:rPr>
          <w:rFonts w:cs="Calibri"/>
          <w:lang w:val="en-US"/>
        </w:rPr>
        <w:t>regime</w:t>
      </w:r>
      <w:r w:rsidR="00744DCA" w:rsidRPr="002A68EC">
        <w:rPr>
          <w:rFonts w:cs="Calibri"/>
          <w:lang w:val="en-US"/>
        </w:rPr>
        <w:t xml:space="preserve">. </w:t>
      </w:r>
      <w:r w:rsidR="00033DDE" w:rsidRPr="002A68EC">
        <w:rPr>
          <w:rFonts w:cs="Calibri"/>
          <w:lang w:val="en-US"/>
        </w:rPr>
        <w:t>The Home Office intend the eligibility criteria for the UK</w:t>
      </w:r>
      <w:r w:rsidR="00156818">
        <w:rPr>
          <w:rFonts w:cs="Calibri"/>
          <w:lang w:val="en-US"/>
        </w:rPr>
        <w:t>’s EU</w:t>
      </w:r>
      <w:r w:rsidR="00033DDE" w:rsidRPr="002A68EC">
        <w:rPr>
          <w:rFonts w:cs="Calibri"/>
          <w:lang w:val="en-US"/>
        </w:rPr>
        <w:t xml:space="preserve"> Settled Status scheme to be “more generous” than the Withdrawal Agreement;</w:t>
      </w:r>
      <w:r w:rsidR="00033DDE" w:rsidRPr="002A68EC">
        <w:rPr>
          <w:rStyle w:val="FootnoteReference"/>
          <w:rFonts w:cs="Calibri"/>
          <w:lang w:val="en-US"/>
        </w:rPr>
        <w:footnoteReference w:id="63"/>
      </w:r>
      <w:r w:rsidR="00033DDE" w:rsidRPr="002A68EC">
        <w:rPr>
          <w:rFonts w:cs="Calibri"/>
          <w:lang w:val="en-US"/>
        </w:rPr>
        <w:t xml:space="preserve"> </w:t>
      </w:r>
      <w:r w:rsidR="00AF4CEB" w:rsidRPr="002A68EC">
        <w:rPr>
          <w:rFonts w:cs="Calibri"/>
          <w:lang w:val="en-US"/>
        </w:rPr>
        <w:t>only</w:t>
      </w:r>
      <w:r w:rsidR="00033DDE" w:rsidRPr="002A68EC">
        <w:rPr>
          <w:rFonts w:cs="Calibri"/>
          <w:lang w:val="en-US"/>
        </w:rPr>
        <w:t xml:space="preserve"> evidence of </w:t>
      </w:r>
      <w:r w:rsidR="00033DDE" w:rsidRPr="002A68EC">
        <w:rPr>
          <w:rFonts w:cs="Calibri"/>
          <w:i/>
          <w:iCs/>
          <w:lang w:val="en-US"/>
        </w:rPr>
        <w:t>residence</w:t>
      </w:r>
      <w:r w:rsidR="00033DDE" w:rsidRPr="002A68EC">
        <w:rPr>
          <w:rFonts w:cs="Calibri"/>
          <w:lang w:val="en-US"/>
        </w:rPr>
        <w:t xml:space="preserve"> for five years </w:t>
      </w:r>
      <w:r w:rsidR="00AF4CEB" w:rsidRPr="002A68EC">
        <w:rPr>
          <w:rFonts w:cs="Calibri"/>
          <w:lang w:val="en-US"/>
        </w:rPr>
        <w:t>is required for</w:t>
      </w:r>
      <w:r w:rsidR="00033DDE" w:rsidRPr="002A68EC">
        <w:rPr>
          <w:rFonts w:cs="Calibri"/>
          <w:lang w:val="en-US"/>
        </w:rPr>
        <w:t xml:space="preserve"> settled status</w:t>
      </w:r>
      <w:r w:rsidR="00AF4CEB" w:rsidRPr="002A68EC">
        <w:rPr>
          <w:rFonts w:cs="Calibri"/>
          <w:lang w:val="en-US"/>
        </w:rPr>
        <w:t>, not evidence of having been exercising a right to reside. T</w:t>
      </w:r>
      <w:r w:rsidR="00033DDE" w:rsidRPr="002A68EC">
        <w:rPr>
          <w:rFonts w:cs="Calibri"/>
          <w:lang w:val="en-US"/>
        </w:rPr>
        <w:t xml:space="preserve">hose resident before </w:t>
      </w:r>
      <w:r w:rsidR="002D6459" w:rsidRPr="002A68EC">
        <w:rPr>
          <w:rFonts w:cs="Calibri"/>
          <w:lang w:val="en-US"/>
        </w:rPr>
        <w:t>the end of the transition period,</w:t>
      </w:r>
      <w:r w:rsidR="00033DDE" w:rsidRPr="002A68EC">
        <w:rPr>
          <w:rFonts w:cs="Calibri"/>
          <w:lang w:val="en-US"/>
        </w:rPr>
        <w:t xml:space="preserve"> but for a period of time less than five years will be entitled to ‘pre-settled’ status for a period of five years</w:t>
      </w:r>
      <w:r w:rsidR="00AF4CEB" w:rsidRPr="002A68EC">
        <w:rPr>
          <w:rFonts w:cs="Calibri"/>
          <w:lang w:val="en-US"/>
        </w:rPr>
        <w:t xml:space="preserve">, again, regardless of whether or not they are exercising a right to reside. </w:t>
      </w:r>
      <w:r w:rsidRPr="002A68EC">
        <w:rPr>
          <w:rFonts w:cs="Calibri"/>
          <w:lang w:val="en-US"/>
        </w:rPr>
        <w:t>Appendix EU</w:t>
      </w:r>
      <w:r w:rsidR="00744DCA" w:rsidRPr="002A68EC">
        <w:rPr>
          <w:rFonts w:cs="Calibri"/>
          <w:lang w:val="en-US"/>
        </w:rPr>
        <w:t>, containing the new rules,</w:t>
      </w:r>
      <w:r w:rsidRPr="002A68EC">
        <w:rPr>
          <w:rFonts w:cs="Calibri"/>
          <w:lang w:val="en-US"/>
        </w:rPr>
        <w:t xml:space="preserve"> do</w:t>
      </w:r>
      <w:r w:rsidR="00744DCA" w:rsidRPr="002A68EC">
        <w:rPr>
          <w:rFonts w:cs="Calibri"/>
          <w:lang w:val="en-US"/>
        </w:rPr>
        <w:t>es</w:t>
      </w:r>
      <w:r w:rsidRPr="002A68EC">
        <w:rPr>
          <w:rFonts w:cs="Calibri"/>
          <w:lang w:val="en-US"/>
        </w:rPr>
        <w:t xml:space="preserve"> not address what happens after the deadline, or the question of late applications. The Home Office Statement of Intent in June 2018 did suggest that late applications would be considered with </w:t>
      </w:r>
      <w:r w:rsidR="00FA05C3" w:rsidRPr="002A68EC">
        <w:rPr>
          <w:rFonts w:cs="Calibri"/>
          <w:lang w:val="en-US"/>
        </w:rPr>
        <w:t>“</w:t>
      </w:r>
      <w:r w:rsidRPr="002A68EC">
        <w:rPr>
          <w:rFonts w:cs="Calibri"/>
          <w:lang w:val="en-US"/>
        </w:rPr>
        <w:t>good reason</w:t>
      </w:r>
      <w:r w:rsidR="00FA05C3" w:rsidRPr="002A68EC">
        <w:rPr>
          <w:rFonts w:cs="Calibri"/>
          <w:lang w:val="en-US"/>
        </w:rPr>
        <w:t>”</w:t>
      </w:r>
      <w:r w:rsidRPr="002A68EC">
        <w:rPr>
          <w:rFonts w:cs="Calibri"/>
          <w:lang w:val="en-US"/>
        </w:rPr>
        <w:t xml:space="preserve">, but </w:t>
      </w:r>
      <w:r w:rsidR="007852FD" w:rsidRPr="002A68EC">
        <w:rPr>
          <w:rFonts w:cs="Calibri"/>
          <w:lang w:val="en-US"/>
        </w:rPr>
        <w:t>did not indicate what would</w:t>
      </w:r>
      <w:r w:rsidRPr="002A68EC">
        <w:rPr>
          <w:rFonts w:cs="Calibri"/>
          <w:lang w:val="en-US"/>
        </w:rPr>
        <w:t xml:space="preserve"> constitute a good reason, or how exceptional it would be</w:t>
      </w:r>
      <w:r w:rsidR="00111666" w:rsidRPr="002A68EC">
        <w:rPr>
          <w:rFonts w:cs="Calibri"/>
          <w:lang w:val="en-US"/>
        </w:rPr>
        <w:t xml:space="preserve"> </w:t>
      </w:r>
      <w:r w:rsidR="00111666" w:rsidRPr="002A68EC">
        <w:t>(general UK immigration law is not very liberal on this point).</w:t>
      </w:r>
      <w:r w:rsidR="00111666" w:rsidRPr="002A68EC">
        <w:rPr>
          <w:rStyle w:val="FootnoteReference"/>
        </w:rPr>
        <w:footnoteReference w:id="64"/>
      </w:r>
      <w:r w:rsidR="00111666" w:rsidRPr="002A68EC">
        <w:t xml:space="preserve"> </w:t>
      </w:r>
      <w:r w:rsidR="008F12B4" w:rsidRPr="002A68EC">
        <w:rPr>
          <w:rFonts w:cs="Calibri"/>
          <w:lang w:val="en-US"/>
        </w:rPr>
        <w:t>T</w:t>
      </w:r>
      <w:r w:rsidR="003A1B86" w:rsidRPr="002A68EC">
        <w:rPr>
          <w:rFonts w:cs="Calibri"/>
          <w:lang w:val="en-US"/>
        </w:rPr>
        <w:t xml:space="preserve">he Home Affairs Committee </w:t>
      </w:r>
      <w:r w:rsidR="00111666" w:rsidRPr="002A68EC">
        <w:rPr>
          <w:rFonts w:cs="Calibri"/>
          <w:lang w:val="en-US"/>
        </w:rPr>
        <w:t>has</w:t>
      </w:r>
      <w:r w:rsidR="003A1B86" w:rsidRPr="002A68EC">
        <w:t xml:space="preserve"> noted with concern that </w:t>
      </w:r>
      <w:r w:rsidR="008F12B4" w:rsidRPr="002A68EC">
        <w:t>“</w:t>
      </w:r>
      <w:r w:rsidR="003A1B86" w:rsidRPr="002A68EC">
        <w:t xml:space="preserve">this prospective system remains unconfirmed and vague: the Home Secretary told us that the Home Office has </w:t>
      </w:r>
      <w:r w:rsidR="008F12B4" w:rsidRPr="002A68EC">
        <w:t>‘</w:t>
      </w:r>
      <w:r w:rsidR="003A1B86" w:rsidRPr="002A68EC">
        <w:t>not developed what would exactly happen beyond the deadline</w:t>
      </w:r>
      <w:r w:rsidR="00D438C8" w:rsidRPr="002A68EC">
        <w:t>”’</w:t>
      </w:r>
      <w:r w:rsidR="008F12B4" w:rsidRPr="002A68EC">
        <w:t>.</w:t>
      </w:r>
      <w:r w:rsidR="003A1B86" w:rsidRPr="002A68EC">
        <w:rPr>
          <w:rStyle w:val="FootnoteReference"/>
        </w:rPr>
        <w:footnoteReference w:id="65"/>
      </w:r>
      <w:r w:rsidR="00D9487B" w:rsidRPr="002A68EC">
        <w:t xml:space="preserve"> </w:t>
      </w:r>
      <w:r w:rsidR="00623397" w:rsidRPr="002A68EC">
        <w:t>T</w:t>
      </w:r>
      <w:r w:rsidR="00CD6235" w:rsidRPr="002A68EC">
        <w:t>hose who do not apply in time will be subject to domestic immigration rules – and without having secured some other status, will become unauthorised (or ‘illegal’) migrants, subject to the hostile environment</w:t>
      </w:r>
      <w:r w:rsidR="00623397" w:rsidRPr="002A68EC">
        <w:t xml:space="preserve"> and possible removal</w:t>
      </w:r>
      <w:r w:rsidR="00CD6235" w:rsidRPr="002A68EC">
        <w:t>.</w:t>
      </w:r>
      <w:r w:rsidR="00CD6235" w:rsidRPr="002A68EC">
        <w:rPr>
          <w:rStyle w:val="FootnoteReference"/>
        </w:rPr>
        <w:footnoteReference w:id="66"/>
      </w:r>
      <w:r w:rsidR="00CD6235" w:rsidRPr="002A68EC">
        <w:t xml:space="preserve"> </w:t>
      </w:r>
      <w:r w:rsidR="00FD16EB" w:rsidRPr="002A68EC">
        <w:rPr>
          <w:szCs w:val="22"/>
        </w:rPr>
        <w:t xml:space="preserve">Failure to register in time wipes out entitlement to the status, regardless of the period of time spent in, or degree of integration into, the UK. The (then) Home Secretary </w:t>
      </w:r>
      <w:r w:rsidR="00FD16EB" w:rsidRPr="002A68EC">
        <w:t>stated in 2019 that failure to register before the deadline “would be against the immigration rules”.</w:t>
      </w:r>
      <w:bookmarkStart w:id="16" w:name="_Ref15411019"/>
      <w:r w:rsidR="00FD16EB" w:rsidRPr="002A68EC">
        <w:rPr>
          <w:rStyle w:val="FootnoteReference"/>
        </w:rPr>
        <w:footnoteReference w:id="67"/>
      </w:r>
      <w:bookmarkEnd w:id="16"/>
      <w:r w:rsidR="00FD16EB" w:rsidRPr="002A68EC">
        <w:t xml:space="preserve"> </w:t>
      </w:r>
      <w:r w:rsidR="000972CF">
        <w:t xml:space="preserve">The effects of the UK’s hostile environment would create a sudden and seismic shift in rights and status for non-registered EU </w:t>
      </w:r>
      <w:r w:rsidR="000972CF">
        <w:lastRenderedPageBreak/>
        <w:t>nationals</w:t>
      </w:r>
      <w:bookmarkStart w:id="17" w:name="_Ref15411113"/>
      <w:r w:rsidR="000972CF">
        <w:t>, who would be committing criminal activities by working or driving on public roads,</w:t>
      </w:r>
      <w:r w:rsidR="00FD16EB" w:rsidRPr="002A68EC">
        <w:rPr>
          <w:rStyle w:val="FootnoteReference"/>
        </w:rPr>
        <w:footnoteReference w:id="68"/>
      </w:r>
      <w:bookmarkEnd w:id="17"/>
      <w:r w:rsidR="00FD16EB" w:rsidRPr="002A68EC">
        <w:t xml:space="preserve"> </w:t>
      </w:r>
      <w:r w:rsidR="000972CF">
        <w:t>and</w:t>
      </w:r>
      <w:r w:rsidR="00FD16EB" w:rsidRPr="002A68EC">
        <w:t xml:space="preserve"> mak</w:t>
      </w:r>
      <w:r w:rsidR="000972CF">
        <w:t>ing</w:t>
      </w:r>
      <w:r w:rsidR="00FD16EB" w:rsidRPr="002A68EC">
        <w:t xml:space="preserve"> criminals of people around them – for example employers and landlords.</w:t>
      </w:r>
      <w:r w:rsidR="00FD16EB" w:rsidRPr="002A68EC">
        <w:rPr>
          <w:rStyle w:val="FootnoteReference"/>
        </w:rPr>
        <w:footnoteReference w:id="69"/>
      </w:r>
      <w:r w:rsidR="00FD16EB" w:rsidRPr="002A68EC">
        <w:t xml:space="preserve"> </w:t>
      </w:r>
    </w:p>
    <w:p w14:paraId="7DA9204B" w14:textId="721383F4" w:rsidR="00FD16EB" w:rsidRPr="002A68EC" w:rsidRDefault="00FD16EB" w:rsidP="002A68EC">
      <w:pPr>
        <w:spacing w:after="120"/>
        <w:jc w:val="both"/>
        <w:rPr>
          <w:szCs w:val="27"/>
          <w:shd w:val="clear" w:color="auto" w:fill="FFFFFF"/>
        </w:rPr>
      </w:pPr>
      <w:r w:rsidRPr="002A68EC">
        <w:rPr>
          <w:szCs w:val="22"/>
        </w:rPr>
        <w:t xml:space="preserve">This web of criminal liability spins out from the constitutive scheme. A hard deadline creates cliff edges, and will </w:t>
      </w:r>
      <w:r w:rsidR="00AC0187" w:rsidRPr="002A68EC">
        <w:rPr>
          <w:szCs w:val="22"/>
        </w:rPr>
        <w:t>create thousands of</w:t>
      </w:r>
      <w:r w:rsidRPr="002A68EC">
        <w:rPr>
          <w:szCs w:val="22"/>
        </w:rPr>
        <w:t xml:space="preserve"> unauthorised migrants </w:t>
      </w:r>
      <w:r w:rsidR="00AC0187" w:rsidRPr="002A68EC">
        <w:rPr>
          <w:szCs w:val="22"/>
        </w:rPr>
        <w:t>and</w:t>
      </w:r>
      <w:r w:rsidRPr="002A68EC">
        <w:rPr>
          <w:szCs w:val="22"/>
        </w:rPr>
        <w:t xml:space="preserve"> even criminals. A declaratory scheme, in contrast, would mean that a person’s entitlement to the status resided in their meeting the substantive conditions; what is important is having the requisite years of residence pre-Brexit, not having applied for the status at a given moment. This has hitherto been the standard approach to residence rights guaranteed by the EU. The rights associated with permanent residence, for example, may not be made conditional upon possessing the relevant document.</w:t>
      </w:r>
      <w:r w:rsidRPr="002A68EC">
        <w:rPr>
          <w:rStyle w:val="FootnoteReference"/>
          <w:szCs w:val="22"/>
        </w:rPr>
        <w:footnoteReference w:id="70"/>
      </w:r>
      <w:r w:rsidRPr="002A68EC">
        <w:rPr>
          <w:szCs w:val="22"/>
        </w:rPr>
        <w:t xml:space="preserve"> EU migrants not yet entitled to permanent residence can be required to register within a set time frame</w:t>
      </w:r>
      <w:r w:rsidRPr="002A68EC">
        <w:rPr>
          <w:rStyle w:val="FootnoteReference"/>
          <w:szCs w:val="22"/>
        </w:rPr>
        <w:footnoteReference w:id="71"/>
      </w:r>
      <w:r w:rsidRPr="002A68EC">
        <w:rPr>
          <w:szCs w:val="22"/>
        </w:rPr>
        <w:t xml:space="preserve"> when residing in a host Member State for longer than three months and failure to comply may “</w:t>
      </w:r>
      <w:r w:rsidRPr="002A68EC">
        <w:rPr>
          <w:szCs w:val="27"/>
          <w:shd w:val="clear" w:color="auto" w:fill="FFFFFF"/>
        </w:rPr>
        <w:t>render the person concerned liable to proportionate and non-discriminatory sanctions”.</w:t>
      </w:r>
      <w:r w:rsidRPr="002A68EC">
        <w:rPr>
          <w:rStyle w:val="FootnoteReference"/>
          <w:szCs w:val="27"/>
          <w:shd w:val="clear" w:color="auto" w:fill="FFFFFF"/>
        </w:rPr>
        <w:footnoteReference w:id="72"/>
      </w:r>
      <w:r w:rsidRPr="002A68EC">
        <w:rPr>
          <w:szCs w:val="27"/>
          <w:shd w:val="clear" w:color="auto" w:fill="FFFFFF"/>
        </w:rPr>
        <w:t xml:space="preserve"> </w:t>
      </w:r>
      <w:r w:rsidR="00FD60C1" w:rsidRPr="002A68EC">
        <w:rPr>
          <w:szCs w:val="27"/>
          <w:shd w:val="clear" w:color="auto" w:fill="FFFFFF"/>
        </w:rPr>
        <w:t xml:space="preserve">Revocation of the </w:t>
      </w:r>
      <w:r w:rsidRPr="002A68EC">
        <w:rPr>
          <w:szCs w:val="27"/>
          <w:shd w:val="clear" w:color="auto" w:fill="FFFFFF"/>
        </w:rPr>
        <w:t xml:space="preserve">right to reside would undoubtedly be considered a disproportionate (and probably discriminatory) sanction. </w:t>
      </w:r>
    </w:p>
    <w:p w14:paraId="34BC7F8C" w14:textId="77777777" w:rsidR="00FD16EB" w:rsidRPr="002A68EC" w:rsidRDefault="00FD16EB" w:rsidP="002A68EC">
      <w:pPr>
        <w:spacing w:after="120"/>
        <w:jc w:val="both"/>
        <w:rPr>
          <w:rFonts w:cs="Calibri"/>
        </w:rPr>
      </w:pPr>
    </w:p>
    <w:p w14:paraId="4FA95451" w14:textId="11D80D6D" w:rsidR="00FD16EB" w:rsidRPr="002A68EC" w:rsidRDefault="00FD16EB" w:rsidP="002A68EC">
      <w:pPr>
        <w:pStyle w:val="Heading3"/>
        <w:spacing w:before="0" w:after="120"/>
        <w:jc w:val="both"/>
        <w:rPr>
          <w:rFonts w:ascii="Times New Roman" w:hAnsi="Times New Roman"/>
          <w:i/>
          <w:iCs/>
          <w:color w:val="auto"/>
        </w:rPr>
      </w:pPr>
      <w:r w:rsidRPr="002A68EC">
        <w:rPr>
          <w:rFonts w:ascii="Times New Roman" w:hAnsi="Times New Roman"/>
          <w:color w:val="auto"/>
        </w:rPr>
        <w:t xml:space="preserve">3.2 </w:t>
      </w:r>
      <w:r w:rsidRPr="002A68EC">
        <w:rPr>
          <w:rFonts w:ascii="Times New Roman" w:hAnsi="Times New Roman"/>
          <w:i/>
          <w:iCs/>
          <w:color w:val="auto"/>
        </w:rPr>
        <w:t>A hard deadline will have catastrophic effects on the most vulnerable</w:t>
      </w:r>
    </w:p>
    <w:p w14:paraId="70DC9705" w14:textId="204B5748" w:rsidR="009D0827" w:rsidRPr="002A68EC" w:rsidRDefault="003A1B86" w:rsidP="002A68EC">
      <w:pPr>
        <w:spacing w:after="120"/>
        <w:jc w:val="both"/>
      </w:pPr>
      <w:r w:rsidRPr="002A68EC">
        <w:rPr>
          <w:rFonts w:cs="Calibri"/>
        </w:rPr>
        <w:t>S</w:t>
      </w:r>
      <w:r w:rsidR="000266C2" w:rsidRPr="002A68EC">
        <w:rPr>
          <w:rFonts w:cs="Calibri"/>
        </w:rPr>
        <w:t xml:space="preserve">ubstantial groups of people </w:t>
      </w:r>
      <w:r w:rsidRPr="002A68EC">
        <w:rPr>
          <w:rFonts w:cs="Calibri"/>
        </w:rPr>
        <w:t xml:space="preserve">are </w:t>
      </w:r>
      <w:r w:rsidR="000266C2" w:rsidRPr="002A68EC">
        <w:rPr>
          <w:rFonts w:cs="Calibri"/>
        </w:rPr>
        <w:t xml:space="preserve">at risk of failing to register, as </w:t>
      </w:r>
      <w:r w:rsidR="007C6101" w:rsidRPr="002A68EC">
        <w:rPr>
          <w:rFonts w:cs="Calibri"/>
        </w:rPr>
        <w:t>highlighted by a range of researchers and NGOs.</w:t>
      </w:r>
      <w:bookmarkStart w:id="18" w:name="_Ref15409291"/>
      <w:r w:rsidR="000266C2" w:rsidRPr="002A68EC">
        <w:rPr>
          <w:rStyle w:val="FootnoteReference"/>
          <w:rFonts w:cs="Calibri"/>
        </w:rPr>
        <w:footnoteReference w:id="73"/>
      </w:r>
      <w:bookmarkEnd w:id="18"/>
      <w:r w:rsidR="000266C2" w:rsidRPr="002A68EC">
        <w:rPr>
          <w:rFonts w:cs="Calibri"/>
        </w:rPr>
        <w:t xml:space="preserve"> </w:t>
      </w:r>
      <w:r w:rsidR="009D0827" w:rsidRPr="002A68EC">
        <w:rPr>
          <w:rFonts w:cs="Minion Pro"/>
          <w:szCs w:val="23"/>
        </w:rPr>
        <w:t>The House of Lords EU Justice sub-committee has raised concerns about awareness, especially among vulnerable and harder-to-reach groups.</w:t>
      </w:r>
      <w:r w:rsidR="009D0827" w:rsidRPr="002A68EC">
        <w:rPr>
          <w:rStyle w:val="FootnoteReference"/>
          <w:rFonts w:cs="Minion Pro"/>
          <w:szCs w:val="23"/>
        </w:rPr>
        <w:footnoteReference w:id="74"/>
      </w:r>
      <w:r w:rsidR="009D0827" w:rsidRPr="002A68EC">
        <w:rPr>
          <w:rFonts w:cs="Minion Pro"/>
          <w:szCs w:val="23"/>
        </w:rPr>
        <w:t xml:space="preserve"> </w:t>
      </w:r>
      <w:r w:rsidR="007C6101" w:rsidRPr="002A68EC">
        <w:rPr>
          <w:rFonts w:cs="Calibri"/>
        </w:rPr>
        <w:t xml:space="preserve">The risks are, in many cases, gendered, and children are particularly susceptible to </w:t>
      </w:r>
      <w:r w:rsidR="000266C2" w:rsidRPr="002A68EC">
        <w:rPr>
          <w:rFonts w:cs="Calibri"/>
        </w:rPr>
        <w:t xml:space="preserve"> falling through the gaps.</w:t>
      </w:r>
      <w:bookmarkStart w:id="19" w:name="_Ref15328334"/>
      <w:r w:rsidR="00CD030B" w:rsidRPr="002A68EC">
        <w:rPr>
          <w:rStyle w:val="FootnoteReference"/>
          <w:rFonts w:cs="Calibri"/>
        </w:rPr>
        <w:footnoteReference w:id="75"/>
      </w:r>
      <w:bookmarkEnd w:id="19"/>
      <w:r w:rsidR="000266C2" w:rsidRPr="002A68EC">
        <w:rPr>
          <w:rFonts w:cs="Calibri"/>
        </w:rPr>
        <w:t xml:space="preserve"> The UK government’s belief is that </w:t>
      </w:r>
      <w:r w:rsidR="008F12B4" w:rsidRPr="002A68EC">
        <w:rPr>
          <w:rFonts w:cs="Calibri"/>
        </w:rPr>
        <w:t>“</w:t>
      </w:r>
      <w:r w:rsidR="000266C2" w:rsidRPr="002A68EC">
        <w:rPr>
          <w:rFonts w:cs="Calibri"/>
        </w:rPr>
        <w:t>no-one will be left behind</w:t>
      </w:r>
      <w:r w:rsidR="008F12B4" w:rsidRPr="002A68EC">
        <w:rPr>
          <w:rFonts w:cs="Calibri"/>
        </w:rPr>
        <w:t>”</w:t>
      </w:r>
      <w:r w:rsidR="000266C2" w:rsidRPr="002A68EC">
        <w:rPr>
          <w:rFonts w:cs="Calibri"/>
        </w:rPr>
        <w:t>.</w:t>
      </w:r>
      <w:bookmarkStart w:id="20" w:name="_Ref15408460"/>
      <w:r w:rsidR="000266C2" w:rsidRPr="002A68EC">
        <w:rPr>
          <w:rStyle w:val="FootnoteReference"/>
          <w:rFonts w:cs="Calibri"/>
        </w:rPr>
        <w:footnoteReference w:id="76"/>
      </w:r>
      <w:bookmarkEnd w:id="20"/>
      <w:r w:rsidR="000266C2" w:rsidRPr="002A68EC">
        <w:rPr>
          <w:rFonts w:cs="Calibri"/>
        </w:rPr>
        <w:t xml:space="preserve"> </w:t>
      </w:r>
      <w:r w:rsidR="007C6101" w:rsidRPr="002A68EC">
        <w:rPr>
          <w:rFonts w:cs="Calibri"/>
        </w:rPr>
        <w:t xml:space="preserve">But </w:t>
      </w:r>
      <w:r w:rsidR="000266C2" w:rsidRPr="002A68EC">
        <w:rPr>
          <w:rFonts w:cs="Calibri"/>
        </w:rPr>
        <w:t>some amount of non-</w:t>
      </w:r>
      <w:r w:rsidR="000266C2" w:rsidRPr="002A68EC">
        <w:rPr>
          <w:rFonts w:cs="Calibri"/>
        </w:rPr>
        <w:lastRenderedPageBreak/>
        <w:t>registration is inevitable.  C</w:t>
      </w:r>
      <w:r w:rsidR="007C6101" w:rsidRPr="002A68EC">
        <w:rPr>
          <w:rFonts w:cs="Calibri"/>
        </w:rPr>
        <w:t xml:space="preserve">orum </w:t>
      </w:r>
      <w:r w:rsidR="000266C2" w:rsidRPr="002A68EC">
        <w:rPr>
          <w:rFonts w:cs="Calibri"/>
        </w:rPr>
        <w:t>C</w:t>
      </w:r>
      <w:r w:rsidR="007C6101" w:rsidRPr="002A68EC">
        <w:rPr>
          <w:rFonts w:cs="Calibri"/>
        </w:rPr>
        <w:t xml:space="preserve">hildren’s </w:t>
      </w:r>
      <w:r w:rsidR="000266C2" w:rsidRPr="002A68EC">
        <w:rPr>
          <w:rFonts w:cs="Calibri"/>
        </w:rPr>
        <w:t>L</w:t>
      </w:r>
      <w:r w:rsidR="007C6101" w:rsidRPr="002A68EC">
        <w:rPr>
          <w:rFonts w:cs="Calibri"/>
        </w:rPr>
        <w:t xml:space="preserve">egal </w:t>
      </w:r>
      <w:r w:rsidR="000266C2" w:rsidRPr="002A68EC">
        <w:rPr>
          <w:rFonts w:cs="Calibri"/>
        </w:rPr>
        <w:t>C</w:t>
      </w:r>
      <w:r w:rsidR="007C6101" w:rsidRPr="002A68EC">
        <w:rPr>
          <w:rFonts w:cs="Calibri"/>
        </w:rPr>
        <w:t>entre</w:t>
      </w:r>
      <w:r w:rsidR="008F675E" w:rsidRPr="002A68EC">
        <w:rPr>
          <w:rFonts w:cs="Calibri"/>
        </w:rPr>
        <w:t>, a UK charity,</w:t>
      </w:r>
      <w:r w:rsidR="000266C2" w:rsidRPr="002A68EC">
        <w:rPr>
          <w:rFonts w:cs="Calibri"/>
        </w:rPr>
        <w:t xml:space="preserve"> </w:t>
      </w:r>
      <w:r w:rsidR="000266C2" w:rsidRPr="002A68EC">
        <w:rPr>
          <w:szCs w:val="23"/>
        </w:rPr>
        <w:t>ha</w:t>
      </w:r>
      <w:r w:rsidR="008F675E" w:rsidRPr="002A68EC">
        <w:rPr>
          <w:szCs w:val="23"/>
        </w:rPr>
        <w:t>s</w:t>
      </w:r>
      <w:r w:rsidR="000266C2" w:rsidRPr="002A68EC">
        <w:rPr>
          <w:szCs w:val="23"/>
        </w:rPr>
        <w:t xml:space="preserve"> raise</w:t>
      </w:r>
      <w:r w:rsidR="007418B1" w:rsidRPr="002A68EC">
        <w:rPr>
          <w:szCs w:val="23"/>
        </w:rPr>
        <w:t>d</w:t>
      </w:r>
      <w:r w:rsidR="000266C2" w:rsidRPr="002A68EC">
        <w:rPr>
          <w:szCs w:val="23"/>
        </w:rPr>
        <w:t xml:space="preserve"> concerns that tens of thousands of EU national children could become undocumented migrants, </w:t>
      </w:r>
      <w:r w:rsidR="007C6101" w:rsidRPr="002A68EC">
        <w:rPr>
          <w:szCs w:val="23"/>
        </w:rPr>
        <w:t>noting</w:t>
      </w:r>
      <w:r w:rsidR="000266C2" w:rsidRPr="002A68EC">
        <w:rPr>
          <w:szCs w:val="22"/>
        </w:rPr>
        <w:t xml:space="preserve"> that one in three local authorities in England do not even know how many children in their care may be directly affected by Brexit</w:t>
      </w:r>
      <w:r w:rsidR="007C6101" w:rsidRPr="002A68EC">
        <w:rPr>
          <w:szCs w:val="22"/>
        </w:rPr>
        <w:t>.</w:t>
      </w:r>
      <w:r w:rsidR="000266C2" w:rsidRPr="002A68EC">
        <w:rPr>
          <w:rStyle w:val="FootnoteReference"/>
          <w:szCs w:val="22"/>
        </w:rPr>
        <w:footnoteReference w:id="77"/>
      </w:r>
      <w:r w:rsidR="000266C2" w:rsidRPr="002A68EC">
        <w:rPr>
          <w:szCs w:val="22"/>
        </w:rPr>
        <w:t xml:space="preserve"> </w:t>
      </w:r>
      <w:r w:rsidR="00171959" w:rsidRPr="002A68EC">
        <w:rPr>
          <w:szCs w:val="22"/>
        </w:rPr>
        <w:t>At the other end of the age</w:t>
      </w:r>
      <w:r w:rsidR="00111666" w:rsidRPr="002A68EC">
        <w:rPr>
          <w:szCs w:val="22"/>
        </w:rPr>
        <w:t>-</w:t>
      </w:r>
      <w:r w:rsidR="00171959" w:rsidRPr="002A68EC">
        <w:rPr>
          <w:szCs w:val="22"/>
        </w:rPr>
        <w:t xml:space="preserve">spectrum, </w:t>
      </w:r>
      <w:r w:rsidR="00171959" w:rsidRPr="002A68EC">
        <w:t>older migrants, especially those in care homes, or with dementia might not understand that they need to apply even if they are aware of the scheme.</w:t>
      </w:r>
      <w:r w:rsidR="008F675E" w:rsidRPr="002A68EC">
        <w:rPr>
          <w:rStyle w:val="FootnoteReference"/>
        </w:rPr>
        <w:footnoteReference w:id="78"/>
      </w:r>
      <w:r w:rsidR="00171959" w:rsidRPr="002A68EC">
        <w:t xml:space="preserve"> </w:t>
      </w:r>
    </w:p>
    <w:p w14:paraId="1A4390C7" w14:textId="75AE98DE" w:rsidR="00111666" w:rsidRPr="002A68EC" w:rsidRDefault="008327E4" w:rsidP="002A68EC">
      <w:pPr>
        <w:spacing w:after="120"/>
        <w:jc w:val="both"/>
        <w:rPr>
          <w:rFonts w:cs="Minion Pro"/>
          <w:szCs w:val="23"/>
        </w:rPr>
      </w:pPr>
      <w:r w:rsidRPr="002A68EC">
        <w:t>Long term residents may also mistakenly believe that they have an enduring right of residence; an inspection of the second pilot of the Settled Status scheme found that “a large proportion of people” do not understand that they need to apply.</w:t>
      </w:r>
      <w:r w:rsidRPr="002A68EC">
        <w:rPr>
          <w:rStyle w:val="FootnoteReference"/>
        </w:rPr>
        <w:footnoteReference w:id="79"/>
      </w:r>
      <w:r w:rsidRPr="002A68EC">
        <w:t xml:space="preserve"> In particular, the spike in applications for Permanent Residence since the referendum</w:t>
      </w:r>
      <w:r w:rsidRPr="002A68EC">
        <w:rPr>
          <w:rStyle w:val="FootnoteReference"/>
        </w:rPr>
        <w:footnoteReference w:id="80"/>
      </w:r>
      <w:r w:rsidRPr="002A68EC">
        <w:t xml:space="preserve"> suggests many EU nationals may believe that it gives them residen</w:t>
      </w:r>
      <w:r w:rsidR="00B76DA2">
        <w:t>ce</w:t>
      </w:r>
      <w:r w:rsidRPr="002A68EC">
        <w:t xml:space="preserve"> security, not realising that it will shortly mean nothing in the UK. Moreover, data suggests that a significant minority of applicants are mistaken about their current status, with some thinking they already have indefinite leave to remain</w:t>
      </w:r>
      <w:r w:rsidRPr="002A68EC">
        <w:rPr>
          <w:rFonts w:cs="Frutiger LT Std 45 Light"/>
          <w:szCs w:val="20"/>
          <w:lang w:val="en-US"/>
        </w:rPr>
        <w:t>.</w:t>
      </w:r>
      <w:r w:rsidRPr="002A68EC">
        <w:rPr>
          <w:rStyle w:val="FootnoteReference"/>
          <w:rFonts w:cs="Frutiger LT Std 45 Light"/>
          <w:szCs w:val="20"/>
          <w:lang w:val="en-US"/>
        </w:rPr>
        <w:footnoteReference w:id="81"/>
      </w:r>
      <w:r w:rsidRPr="002A68EC">
        <w:rPr>
          <w:rFonts w:cs="Frutiger LT Std 45 Light"/>
          <w:szCs w:val="20"/>
          <w:lang w:val="en-US"/>
        </w:rPr>
        <w:t xml:space="preserve"> It is also not uncommon for migrants to mistakenly believe that </w:t>
      </w:r>
      <w:r w:rsidRPr="002A68EC">
        <w:rPr>
          <w:rFonts w:cs="Frutiger LT Std 45 Light"/>
          <w:szCs w:val="22"/>
        </w:rPr>
        <w:t xml:space="preserve">their children are British, so would not need to apply. The Migration Observatory </w:t>
      </w:r>
      <w:r w:rsidR="005813B8" w:rsidRPr="002A68EC">
        <w:rPr>
          <w:rFonts w:cs="Frutiger LT Std 45 Light"/>
          <w:szCs w:val="22"/>
        </w:rPr>
        <w:t>estimates</w:t>
      </w:r>
      <w:r w:rsidRPr="002A68EC">
        <w:rPr>
          <w:rFonts w:cs="Frutiger LT Std 45 Light"/>
          <w:szCs w:val="22"/>
        </w:rPr>
        <w:t xml:space="preserve"> that around </w:t>
      </w:r>
      <w:r w:rsidRPr="002A68EC">
        <w:rPr>
          <w:rFonts w:cs="Frutiger LT Std 45 Light"/>
          <w:szCs w:val="20"/>
          <w:lang w:val="en-US"/>
        </w:rPr>
        <w:t>239,000 UK-born children are reported to be UK citizens by their parents, “but available data suggest that tens of thousands of these children may not be”.</w:t>
      </w:r>
      <w:r w:rsidRPr="002A68EC">
        <w:rPr>
          <w:rStyle w:val="FootnoteReference"/>
          <w:rFonts w:cs="Frutiger LT Std 45 Light"/>
          <w:szCs w:val="20"/>
          <w:lang w:val="en-US"/>
        </w:rPr>
        <w:footnoteReference w:id="82"/>
      </w:r>
      <w:r w:rsidR="00747286" w:rsidRPr="002A68EC">
        <w:rPr>
          <w:rFonts w:cs="Frutiger LT Std 45 Light"/>
          <w:szCs w:val="20"/>
          <w:lang w:val="en-US"/>
        </w:rPr>
        <w:t xml:space="preserve"> </w:t>
      </w:r>
      <w:r w:rsidR="004820C4" w:rsidRPr="002A68EC">
        <w:rPr>
          <w:rFonts w:cs="Minion Pro"/>
          <w:szCs w:val="23"/>
        </w:rPr>
        <w:t>Roma migrants</w:t>
      </w:r>
      <w:r w:rsidR="00F91376" w:rsidRPr="002A68EC">
        <w:rPr>
          <w:rFonts w:cs="Minion Pro"/>
          <w:szCs w:val="23"/>
        </w:rPr>
        <w:t xml:space="preserve"> </w:t>
      </w:r>
      <w:r w:rsidR="004820C4" w:rsidRPr="002A68EC">
        <w:rPr>
          <w:rFonts w:cs="Minion Pro"/>
          <w:szCs w:val="23"/>
        </w:rPr>
        <w:t xml:space="preserve">are at an increased risk of non-registration – in part due to </w:t>
      </w:r>
      <w:r w:rsidR="005813B8" w:rsidRPr="002A68EC">
        <w:rPr>
          <w:rFonts w:cs="Minion Pro"/>
          <w:szCs w:val="23"/>
        </w:rPr>
        <w:t>“</w:t>
      </w:r>
      <w:r w:rsidR="004820C4" w:rsidRPr="002A68EC">
        <w:rPr>
          <w:rFonts w:cs="Minion Pro"/>
          <w:szCs w:val="23"/>
        </w:rPr>
        <w:t>l</w:t>
      </w:r>
      <w:r w:rsidR="004820C4" w:rsidRPr="002A68EC">
        <w:t>imited English, low literacy, a limited and closed network of friends/colleagues/relatives</w:t>
      </w:r>
      <w:r w:rsidR="005813B8" w:rsidRPr="002A68EC">
        <w:t>”</w:t>
      </w:r>
      <w:r w:rsidR="00171959" w:rsidRPr="002A68EC">
        <w:t>.</w:t>
      </w:r>
      <w:bookmarkStart w:id="21" w:name="_Ref54783292"/>
      <w:r w:rsidR="004820C4" w:rsidRPr="002A68EC">
        <w:rPr>
          <w:rStyle w:val="FootnoteReference"/>
        </w:rPr>
        <w:footnoteReference w:id="83"/>
      </w:r>
      <w:bookmarkEnd w:id="21"/>
      <w:r w:rsidR="00171959" w:rsidRPr="002A68EC">
        <w:t xml:space="preserve"> </w:t>
      </w:r>
      <w:r w:rsidR="00B549C5" w:rsidRPr="002A68EC">
        <w:rPr>
          <w:rFonts w:cs="Minion Pro"/>
          <w:szCs w:val="23"/>
        </w:rPr>
        <w:t xml:space="preserve">Awareness remains a problem even late on </w:t>
      </w:r>
      <w:r w:rsidR="00171959" w:rsidRPr="002A68EC">
        <w:rPr>
          <w:rFonts w:cs="Minion Pro"/>
          <w:szCs w:val="23"/>
        </w:rPr>
        <w:t>i</w:t>
      </w:r>
      <w:r w:rsidR="00B549C5" w:rsidRPr="002A68EC">
        <w:rPr>
          <w:rFonts w:cs="Minion Pro"/>
          <w:szCs w:val="23"/>
        </w:rPr>
        <w:t>n the process - a</w:t>
      </w:r>
      <w:r w:rsidR="007C6101" w:rsidRPr="002A68EC">
        <w:rPr>
          <w:rFonts w:cs="Minion Pro"/>
          <w:szCs w:val="23"/>
        </w:rPr>
        <w:t xml:space="preserve"> study</w:t>
      </w:r>
      <w:r w:rsidR="00B549C5" w:rsidRPr="002A68EC">
        <w:rPr>
          <w:rFonts w:cs="Minion Pro"/>
          <w:szCs w:val="23"/>
        </w:rPr>
        <w:t xml:space="preserve"> comprising interviews with </w:t>
      </w:r>
      <w:r w:rsidR="00B549C5" w:rsidRPr="002A68EC">
        <w:t xml:space="preserve">90 mostly lower-skilled EU migrants in the fenlands, conducted in 2020, found that </w:t>
      </w:r>
      <w:r w:rsidR="005813B8" w:rsidRPr="002A68EC">
        <w:t>“</w:t>
      </w:r>
      <w:r w:rsidR="00B549C5" w:rsidRPr="002A68EC">
        <w:t>barely half of interviewees were aware of the EU Settlement Scheme</w:t>
      </w:r>
      <w:r w:rsidR="005813B8" w:rsidRPr="002A68EC">
        <w:t>”</w:t>
      </w:r>
      <w:r w:rsidR="00B549C5" w:rsidRPr="002A68EC">
        <w:t>.</w:t>
      </w:r>
      <w:r w:rsidR="00B549C5" w:rsidRPr="002A68EC">
        <w:rPr>
          <w:rStyle w:val="FootnoteReference"/>
        </w:rPr>
        <w:footnoteReference w:id="84"/>
      </w:r>
      <w:r w:rsidR="007C6101" w:rsidRPr="002A68EC">
        <w:rPr>
          <w:rFonts w:cs="Minion Pro"/>
          <w:szCs w:val="23"/>
        </w:rPr>
        <w:t xml:space="preserve"> </w:t>
      </w:r>
      <w:r w:rsidR="002D1131" w:rsidRPr="002A68EC">
        <w:rPr>
          <w:rFonts w:cs="Minion Pro"/>
          <w:szCs w:val="23"/>
        </w:rPr>
        <w:t xml:space="preserve"> </w:t>
      </w:r>
    </w:p>
    <w:p w14:paraId="3AA6DB5A" w14:textId="45957C1A" w:rsidR="003C6A72" w:rsidRPr="002A68EC" w:rsidRDefault="00861C18" w:rsidP="002A68EC">
      <w:pPr>
        <w:spacing w:after="120"/>
        <w:jc w:val="both"/>
        <w:rPr>
          <w:szCs w:val="23"/>
        </w:rPr>
      </w:pPr>
      <w:r w:rsidRPr="002A68EC">
        <w:rPr>
          <w:szCs w:val="23"/>
        </w:rPr>
        <w:t>The</w:t>
      </w:r>
      <w:r w:rsidR="00C8607D" w:rsidRPr="002A68EC">
        <w:rPr>
          <w:szCs w:val="23"/>
        </w:rPr>
        <w:t xml:space="preserve"> complete transformation of the rights of EU nationals in the UK</w:t>
      </w:r>
      <w:r w:rsidR="003A1B86" w:rsidRPr="002A68EC">
        <w:rPr>
          <w:szCs w:val="23"/>
        </w:rPr>
        <w:t xml:space="preserve"> should</w:t>
      </w:r>
      <w:r w:rsidR="00C8607D" w:rsidRPr="002A68EC">
        <w:rPr>
          <w:szCs w:val="23"/>
        </w:rPr>
        <w:t xml:space="preserve"> create strong, positive duties </w:t>
      </w:r>
      <w:r w:rsidR="009D0827" w:rsidRPr="002A68EC">
        <w:rPr>
          <w:szCs w:val="23"/>
        </w:rPr>
        <w:t xml:space="preserve">to inform and support those affected. </w:t>
      </w:r>
      <w:r w:rsidR="00C8607D" w:rsidRPr="002A68EC">
        <w:rPr>
          <w:szCs w:val="23"/>
        </w:rPr>
        <w:t>In the context of supposedly ‘permanent’</w:t>
      </w:r>
      <w:r w:rsidR="008F12B4" w:rsidRPr="002A68EC">
        <w:rPr>
          <w:szCs w:val="23"/>
        </w:rPr>
        <w:t xml:space="preserve"> rights</w:t>
      </w:r>
      <w:r w:rsidR="00C8607D" w:rsidRPr="002A68EC">
        <w:rPr>
          <w:szCs w:val="23"/>
        </w:rPr>
        <w:t xml:space="preserve"> being stripped away, </w:t>
      </w:r>
      <w:r w:rsidR="005813B8" w:rsidRPr="002A68EC">
        <w:rPr>
          <w:szCs w:val="23"/>
        </w:rPr>
        <w:t>there</w:t>
      </w:r>
      <w:r w:rsidR="00C8607D" w:rsidRPr="002A68EC">
        <w:rPr>
          <w:szCs w:val="23"/>
        </w:rPr>
        <w:t xml:space="preserve"> must be </w:t>
      </w:r>
      <w:r w:rsidR="00C8607D" w:rsidRPr="002A68EC">
        <w:rPr>
          <w:i/>
          <w:iCs/>
          <w:szCs w:val="23"/>
        </w:rPr>
        <w:t>proactive</w:t>
      </w:r>
      <w:r w:rsidR="00C8607D" w:rsidRPr="002A68EC">
        <w:rPr>
          <w:szCs w:val="23"/>
        </w:rPr>
        <w:t xml:space="preserve"> measures in place to protect those in positions of dependence (such as children, the elderly, those with reduced capacity), those with limited social contact, and those with limited technological, or language, literacy. </w:t>
      </w:r>
      <w:r w:rsidR="009D0827" w:rsidRPr="002A68EC">
        <w:rPr>
          <w:szCs w:val="23"/>
        </w:rPr>
        <w:t>The UK government has</w:t>
      </w:r>
      <w:r w:rsidR="0009336A" w:rsidRPr="002A68EC">
        <w:rPr>
          <w:szCs w:val="23"/>
        </w:rPr>
        <w:t xml:space="preserve"> </w:t>
      </w:r>
      <w:r w:rsidR="009D0827" w:rsidRPr="002A68EC">
        <w:rPr>
          <w:szCs w:val="23"/>
        </w:rPr>
        <w:t xml:space="preserve">granted </w:t>
      </w:r>
      <w:r w:rsidR="0009336A" w:rsidRPr="002A68EC">
        <w:rPr>
          <w:szCs w:val="23"/>
        </w:rPr>
        <w:t xml:space="preserve">funding to a range of civil society organisations </w:t>
      </w:r>
      <w:r w:rsidR="009D0827" w:rsidRPr="002A68EC">
        <w:rPr>
          <w:szCs w:val="23"/>
        </w:rPr>
        <w:t>supporting vulnerable individuals to make their applications</w:t>
      </w:r>
      <w:r w:rsidR="0009336A" w:rsidRPr="002A68EC">
        <w:rPr>
          <w:szCs w:val="22"/>
        </w:rPr>
        <w:t>.</w:t>
      </w:r>
      <w:bookmarkStart w:id="22" w:name="_Ref15458444"/>
      <w:r w:rsidR="006361A6" w:rsidRPr="002A68EC">
        <w:rPr>
          <w:rStyle w:val="FootnoteReference"/>
          <w:szCs w:val="22"/>
        </w:rPr>
        <w:footnoteReference w:id="85"/>
      </w:r>
      <w:bookmarkEnd w:id="22"/>
      <w:r w:rsidR="0009336A" w:rsidRPr="002A68EC">
        <w:rPr>
          <w:szCs w:val="22"/>
        </w:rPr>
        <w:t xml:space="preserve"> </w:t>
      </w:r>
      <w:r w:rsidR="009D0827" w:rsidRPr="002A68EC">
        <w:rPr>
          <w:szCs w:val="22"/>
        </w:rPr>
        <w:t>S</w:t>
      </w:r>
      <w:r w:rsidR="0009336A" w:rsidRPr="002A68EC">
        <w:rPr>
          <w:szCs w:val="22"/>
        </w:rPr>
        <w:t xml:space="preserve">uch extra support </w:t>
      </w:r>
      <w:r w:rsidR="009D0827" w:rsidRPr="002A68EC">
        <w:rPr>
          <w:szCs w:val="22"/>
        </w:rPr>
        <w:t>is</w:t>
      </w:r>
      <w:r w:rsidR="0009336A" w:rsidRPr="002A68EC">
        <w:rPr>
          <w:szCs w:val="22"/>
        </w:rPr>
        <w:t xml:space="preserve"> doubtless valuable, </w:t>
      </w:r>
      <w:r w:rsidR="009D0827" w:rsidRPr="002A68EC">
        <w:rPr>
          <w:szCs w:val="22"/>
        </w:rPr>
        <w:t xml:space="preserve">but </w:t>
      </w:r>
      <w:r w:rsidR="0009336A" w:rsidRPr="002A68EC">
        <w:rPr>
          <w:szCs w:val="22"/>
        </w:rPr>
        <w:t xml:space="preserve">there is </w:t>
      </w:r>
      <w:r w:rsidR="0009336A" w:rsidRPr="002A68EC">
        <w:rPr>
          <w:szCs w:val="22"/>
        </w:rPr>
        <w:lastRenderedPageBreak/>
        <w:t xml:space="preserve">a risk that </w:t>
      </w:r>
      <w:r w:rsidR="009D0827" w:rsidRPr="002A68EC">
        <w:rPr>
          <w:szCs w:val="22"/>
        </w:rPr>
        <w:t>the Home Office</w:t>
      </w:r>
      <w:r w:rsidR="0009336A" w:rsidRPr="002A68EC">
        <w:rPr>
          <w:szCs w:val="22"/>
        </w:rPr>
        <w:t xml:space="preserve"> </w:t>
      </w:r>
      <w:r w:rsidR="009D0827" w:rsidRPr="002A68EC">
        <w:rPr>
          <w:szCs w:val="22"/>
        </w:rPr>
        <w:t xml:space="preserve">is </w:t>
      </w:r>
      <w:r w:rsidR="007B3CA0" w:rsidRPr="002A68EC">
        <w:rPr>
          <w:szCs w:val="22"/>
        </w:rPr>
        <w:t>outsourc</w:t>
      </w:r>
      <w:r w:rsidR="009D0827" w:rsidRPr="002A68EC">
        <w:rPr>
          <w:szCs w:val="22"/>
        </w:rPr>
        <w:t>ing its</w:t>
      </w:r>
      <w:r w:rsidR="003A1B86" w:rsidRPr="002A68EC">
        <w:rPr>
          <w:szCs w:val="22"/>
        </w:rPr>
        <w:t xml:space="preserve"> </w:t>
      </w:r>
      <w:r w:rsidR="0009336A" w:rsidRPr="002A68EC">
        <w:rPr>
          <w:szCs w:val="22"/>
        </w:rPr>
        <w:t>responsibilit</w:t>
      </w:r>
      <w:r w:rsidR="003A1B86" w:rsidRPr="002A68EC">
        <w:rPr>
          <w:szCs w:val="22"/>
        </w:rPr>
        <w:t>y</w:t>
      </w:r>
      <w:r w:rsidR="0009336A" w:rsidRPr="002A68EC">
        <w:rPr>
          <w:szCs w:val="22"/>
        </w:rPr>
        <w:t xml:space="preserve">, and </w:t>
      </w:r>
      <w:r w:rsidR="009D0827" w:rsidRPr="002A68EC">
        <w:rPr>
          <w:szCs w:val="22"/>
        </w:rPr>
        <w:t>does little to pick up the</w:t>
      </w:r>
      <w:r w:rsidR="0009336A" w:rsidRPr="002A68EC">
        <w:rPr>
          <w:szCs w:val="22"/>
        </w:rPr>
        <w:t xml:space="preserve"> vulnerable migrants </w:t>
      </w:r>
      <w:r w:rsidR="009D0827" w:rsidRPr="002A68EC">
        <w:rPr>
          <w:szCs w:val="22"/>
        </w:rPr>
        <w:t>who do</w:t>
      </w:r>
      <w:r w:rsidR="0009336A" w:rsidRPr="002A68EC">
        <w:rPr>
          <w:szCs w:val="22"/>
        </w:rPr>
        <w:t xml:space="preserve"> not </w:t>
      </w:r>
      <w:r w:rsidR="008F12B4" w:rsidRPr="002A68EC">
        <w:rPr>
          <w:szCs w:val="22"/>
        </w:rPr>
        <w:t>encounter those</w:t>
      </w:r>
      <w:r w:rsidR="0009336A" w:rsidRPr="002A68EC">
        <w:rPr>
          <w:szCs w:val="22"/>
        </w:rPr>
        <w:t xml:space="preserve"> specific </w:t>
      </w:r>
      <w:r w:rsidR="003A1B86" w:rsidRPr="002A68EC">
        <w:rPr>
          <w:szCs w:val="22"/>
        </w:rPr>
        <w:t>organisations</w:t>
      </w:r>
      <w:r w:rsidR="0009336A" w:rsidRPr="002A68EC">
        <w:rPr>
          <w:szCs w:val="22"/>
        </w:rPr>
        <w:t xml:space="preserve">. </w:t>
      </w:r>
      <w:r w:rsidR="009D0827" w:rsidRPr="002A68EC">
        <w:rPr>
          <w:szCs w:val="22"/>
        </w:rPr>
        <w:t>T</w:t>
      </w:r>
      <w:r w:rsidR="002549F7" w:rsidRPr="002A68EC">
        <w:rPr>
          <w:szCs w:val="22"/>
        </w:rPr>
        <w:t xml:space="preserve">he </w:t>
      </w:r>
      <w:r w:rsidR="002549F7" w:rsidRPr="002A68EC">
        <w:t xml:space="preserve">Independent Chief Inspector of Borders and Immigration, </w:t>
      </w:r>
      <w:r w:rsidR="002549F7" w:rsidRPr="002A68EC">
        <w:rPr>
          <w:szCs w:val="22"/>
        </w:rPr>
        <w:t>David</w:t>
      </w:r>
      <w:r w:rsidR="00A5112A" w:rsidRPr="002A68EC">
        <w:rPr>
          <w:szCs w:val="22"/>
        </w:rPr>
        <w:t xml:space="preserve"> Bolt</w:t>
      </w:r>
      <w:r w:rsidR="002549F7" w:rsidRPr="002A68EC">
        <w:rPr>
          <w:szCs w:val="22"/>
        </w:rPr>
        <w:t>,</w:t>
      </w:r>
      <w:r w:rsidR="00A5112A" w:rsidRPr="002A68EC">
        <w:rPr>
          <w:szCs w:val="22"/>
        </w:rPr>
        <w:t xml:space="preserve"> noted that the organisations involved believed that the </w:t>
      </w:r>
      <w:r w:rsidR="003E1CB3" w:rsidRPr="002A68EC">
        <w:rPr>
          <w:szCs w:val="22"/>
        </w:rPr>
        <w:t>“</w:t>
      </w:r>
      <w:r w:rsidR="00A5112A" w:rsidRPr="002A68EC">
        <w:t>Home Office was significantly underestimating the practical challenges with the process, as well as other obstacles, that vulnerable applicants were likely to face</w:t>
      </w:r>
      <w:r w:rsidR="003E1CB3" w:rsidRPr="002A68EC">
        <w:t>”</w:t>
      </w:r>
      <w:r w:rsidR="003A1B86" w:rsidRPr="002A68EC">
        <w:t>.</w:t>
      </w:r>
      <w:bookmarkStart w:id="23" w:name="_Ref15408967"/>
      <w:r w:rsidR="002549F7" w:rsidRPr="002A68EC">
        <w:rPr>
          <w:rStyle w:val="FootnoteReference"/>
        </w:rPr>
        <w:footnoteReference w:id="86"/>
      </w:r>
      <w:bookmarkEnd w:id="23"/>
      <w:r w:rsidR="003A1B86" w:rsidRPr="002A68EC">
        <w:t xml:space="preserve"> </w:t>
      </w:r>
      <w:r w:rsidR="00A5112A" w:rsidRPr="002A68EC">
        <w:t xml:space="preserve">Bolt went on to recommend that the Home Office make explicit that it was not seeking to delegate its responsibilities to NGOs, but instead to be </w:t>
      </w:r>
      <w:r w:rsidR="003E1CB3" w:rsidRPr="002A68EC">
        <w:t>“</w:t>
      </w:r>
      <w:r w:rsidR="00A5112A" w:rsidRPr="002A68EC">
        <w:t xml:space="preserve">clear </w:t>
      </w:r>
      <w:r w:rsidR="009D0827" w:rsidRPr="002A68EC">
        <w:t>[that]</w:t>
      </w:r>
      <w:r w:rsidR="00A5112A" w:rsidRPr="002A68EC">
        <w:t>… it recognises and accepts that it remains responsible for ensuring the EU Settlement Scheme meets the needs of everyone who is eligible.</w:t>
      </w:r>
      <w:r w:rsidR="003E1CB3" w:rsidRPr="002A68EC">
        <w:t>”</w:t>
      </w:r>
      <w:r w:rsidR="002549F7" w:rsidRPr="002A68EC">
        <w:rPr>
          <w:rStyle w:val="FootnoteReference"/>
        </w:rPr>
        <w:footnoteReference w:id="87"/>
      </w:r>
      <w:r w:rsidR="00A5112A" w:rsidRPr="002A68EC">
        <w:t xml:space="preserve"> </w:t>
      </w:r>
    </w:p>
    <w:p w14:paraId="156E8EDB" w14:textId="00D68473" w:rsidR="00171959" w:rsidRPr="002A68EC" w:rsidRDefault="00171959" w:rsidP="002A68EC">
      <w:pPr>
        <w:spacing w:after="120"/>
        <w:jc w:val="both"/>
        <w:rPr>
          <w:rFonts w:cs="Minion Pro"/>
          <w:szCs w:val="23"/>
        </w:rPr>
      </w:pPr>
      <w:r w:rsidRPr="002A68EC">
        <w:rPr>
          <w:rFonts w:cs="Frutiger LT Std 45 Light"/>
          <w:szCs w:val="22"/>
        </w:rPr>
        <w:t xml:space="preserve">It is not just awareness of the scheme that creates a barrier to registration; vulnerable groups may find it harder to amass the evidence of residence required, so find applying difficult, or face rejections/requests for further evidence, or misclassification as ‘pre-settled’, rather than settled. Migrants may have difficulty providing documentation as a result of </w:t>
      </w:r>
      <w:r w:rsidRPr="002A68EC">
        <w:t>rough sleeping and/or cash in hand employment,</w:t>
      </w:r>
      <w:r w:rsidRPr="002A68EC">
        <w:rPr>
          <w:rStyle w:val="FootnoteReference"/>
        </w:rPr>
        <w:footnoteReference w:id="88"/>
      </w:r>
      <w:r w:rsidRPr="002A68EC">
        <w:rPr>
          <w:rFonts w:cs="Frutiger LT Std 45 Light"/>
          <w:szCs w:val="22"/>
        </w:rPr>
        <w:t xml:space="preserve"> while children in care may have little access to documents to evidence a status claim. </w:t>
      </w:r>
      <w:r w:rsidRPr="002A68EC">
        <w:t xml:space="preserve">Roma children are also </w:t>
      </w:r>
      <w:r w:rsidR="005813B8" w:rsidRPr="002A68EC">
        <w:t>“</w:t>
      </w:r>
      <w:r w:rsidRPr="002A68EC">
        <w:t>more likely to experience interruptions in their education than other EU migrant children, making it difficult to prove continuity of residence through school records</w:t>
      </w:r>
      <w:r w:rsidR="005813B8" w:rsidRPr="002A68EC">
        <w:t>”</w:t>
      </w:r>
      <w:r w:rsidRPr="002A68EC">
        <w:t>.</w:t>
      </w:r>
      <w:r w:rsidRPr="002A68EC">
        <w:rPr>
          <w:rStyle w:val="FootnoteReference"/>
        </w:rPr>
        <w:footnoteReference w:id="89"/>
      </w:r>
      <w:r w:rsidRPr="002A68EC">
        <w:t xml:space="preserve"> </w:t>
      </w:r>
    </w:p>
    <w:p w14:paraId="6CBADCFD" w14:textId="77777777" w:rsidR="00FD16EB" w:rsidRPr="002A68EC" w:rsidRDefault="00FD16EB" w:rsidP="002A68EC">
      <w:pPr>
        <w:shd w:val="clear" w:color="auto" w:fill="FFFFFF"/>
        <w:spacing w:after="120"/>
        <w:jc w:val="both"/>
        <w:rPr>
          <w:szCs w:val="22"/>
        </w:rPr>
      </w:pPr>
    </w:p>
    <w:p w14:paraId="63190F32" w14:textId="3A2D8B13" w:rsidR="00FD16EB" w:rsidRPr="002A68EC" w:rsidRDefault="00FD16EB" w:rsidP="002A68EC">
      <w:pPr>
        <w:pStyle w:val="Heading3"/>
        <w:spacing w:before="0" w:after="120"/>
        <w:jc w:val="both"/>
        <w:rPr>
          <w:rFonts w:ascii="Times New Roman" w:hAnsi="Times New Roman"/>
          <w:i/>
          <w:iCs/>
          <w:color w:val="auto"/>
        </w:rPr>
      </w:pPr>
      <w:r w:rsidRPr="002A68EC">
        <w:rPr>
          <w:rFonts w:ascii="Times New Roman" w:hAnsi="Times New Roman"/>
          <w:color w:val="auto"/>
        </w:rPr>
        <w:t xml:space="preserve">3.3 </w:t>
      </w:r>
      <w:r w:rsidRPr="002A68EC">
        <w:rPr>
          <w:rFonts w:ascii="Times New Roman" w:hAnsi="Times New Roman"/>
          <w:i/>
          <w:iCs/>
          <w:color w:val="auto"/>
        </w:rPr>
        <w:t>Constitutive rights create a dramatic rift in the framework of free movement and Union citizenship</w:t>
      </w:r>
    </w:p>
    <w:p w14:paraId="33C64969" w14:textId="15C23A8A" w:rsidR="00DF5680" w:rsidRPr="002A68EC" w:rsidRDefault="00A6322C" w:rsidP="002A68EC">
      <w:pPr>
        <w:shd w:val="clear" w:color="auto" w:fill="FFFFFF"/>
        <w:spacing w:after="120"/>
        <w:jc w:val="both"/>
        <w:rPr>
          <w:szCs w:val="22"/>
        </w:rPr>
      </w:pPr>
      <w:r w:rsidRPr="002A68EC">
        <w:rPr>
          <w:szCs w:val="22"/>
        </w:rPr>
        <w:t xml:space="preserve">As the emphasis in EU law is </w:t>
      </w:r>
      <w:r w:rsidR="00DE4459" w:rsidRPr="002A68EC">
        <w:rPr>
          <w:szCs w:val="22"/>
        </w:rPr>
        <w:t xml:space="preserve">usually </w:t>
      </w:r>
      <w:r w:rsidRPr="002A68EC">
        <w:rPr>
          <w:szCs w:val="22"/>
        </w:rPr>
        <w:t>upon underlying eligibility</w:t>
      </w:r>
      <w:r w:rsidR="000C335C" w:rsidRPr="002A68EC">
        <w:rPr>
          <w:szCs w:val="22"/>
        </w:rPr>
        <w:t>, t</w:t>
      </w:r>
      <w:r w:rsidRPr="002A68EC">
        <w:rPr>
          <w:szCs w:val="22"/>
        </w:rPr>
        <w:t>he</w:t>
      </w:r>
      <w:r w:rsidR="000C335C" w:rsidRPr="002A68EC">
        <w:rPr>
          <w:szCs w:val="22"/>
        </w:rPr>
        <w:t xml:space="preserve"> </w:t>
      </w:r>
      <w:r w:rsidRPr="002A68EC">
        <w:rPr>
          <w:szCs w:val="22"/>
        </w:rPr>
        <w:t>shift towards constitutive formalities</w:t>
      </w:r>
      <w:r w:rsidR="000C335C" w:rsidRPr="002A68EC">
        <w:rPr>
          <w:szCs w:val="22"/>
        </w:rPr>
        <w:t xml:space="preserve"> </w:t>
      </w:r>
      <w:r w:rsidRPr="002A68EC">
        <w:rPr>
          <w:szCs w:val="22"/>
        </w:rPr>
        <w:t xml:space="preserve">in the Withdrawal Agreement is </w:t>
      </w:r>
      <w:r w:rsidR="00042C12" w:rsidRPr="002A68EC">
        <w:rPr>
          <w:szCs w:val="22"/>
        </w:rPr>
        <w:t xml:space="preserve">striking. </w:t>
      </w:r>
      <w:r w:rsidR="00FD16EB" w:rsidRPr="002A68EC">
        <w:rPr>
          <w:szCs w:val="22"/>
        </w:rPr>
        <w:t>By</w:t>
      </w:r>
      <w:r w:rsidR="00042C12" w:rsidRPr="002A68EC">
        <w:rPr>
          <w:szCs w:val="22"/>
        </w:rPr>
        <w:t xml:space="preserve"> allow</w:t>
      </w:r>
      <w:r w:rsidR="00FD16EB" w:rsidRPr="002A68EC">
        <w:rPr>
          <w:szCs w:val="22"/>
        </w:rPr>
        <w:t>ing</w:t>
      </w:r>
      <w:r w:rsidR="00042C12" w:rsidRPr="002A68EC">
        <w:rPr>
          <w:szCs w:val="22"/>
        </w:rPr>
        <w:t xml:space="preserve"> the creation of a hard deadline, t</w:t>
      </w:r>
      <w:r w:rsidR="00042C12" w:rsidRPr="002A68EC">
        <w:t>he Withdrawal Agreement introduces a new element of residen</w:t>
      </w:r>
      <w:r w:rsidR="00960C1D">
        <w:t>ce</w:t>
      </w:r>
      <w:r w:rsidR="00042C12" w:rsidRPr="002A68EC">
        <w:t xml:space="preserve"> insecurity into the free movement framework, which</w:t>
      </w:r>
      <w:r w:rsidR="00517C5A" w:rsidRPr="002A68EC">
        <w:rPr>
          <w:szCs w:val="22"/>
        </w:rPr>
        <w:t xml:space="preserve"> </w:t>
      </w:r>
      <w:r w:rsidR="00042C12" w:rsidRPr="002A68EC">
        <w:rPr>
          <w:szCs w:val="22"/>
        </w:rPr>
        <w:t>normally</w:t>
      </w:r>
      <w:r w:rsidR="00517C5A" w:rsidRPr="002A68EC">
        <w:rPr>
          <w:szCs w:val="22"/>
        </w:rPr>
        <w:t xml:space="preserve"> seeks to prevent those who have exercised free movement rights suffering disproportionate disadvantages,</w:t>
      </w:r>
      <w:r w:rsidR="00042C12" w:rsidRPr="002A68EC">
        <w:rPr>
          <w:rStyle w:val="FootnoteReference"/>
          <w:szCs w:val="22"/>
        </w:rPr>
        <w:footnoteReference w:id="90"/>
      </w:r>
      <w:r w:rsidR="00517C5A" w:rsidRPr="002A68EC">
        <w:rPr>
          <w:szCs w:val="22"/>
        </w:rPr>
        <w:t xml:space="preserve"> </w:t>
      </w:r>
      <w:r w:rsidR="00042C12" w:rsidRPr="002A68EC">
        <w:rPr>
          <w:szCs w:val="22"/>
        </w:rPr>
        <w:t xml:space="preserve">to </w:t>
      </w:r>
      <w:r w:rsidR="00517C5A" w:rsidRPr="002A68EC">
        <w:rPr>
          <w:szCs w:val="22"/>
        </w:rPr>
        <w:t>make free movement less perilous in the face of unexpected events,</w:t>
      </w:r>
      <w:r w:rsidR="00042C12" w:rsidRPr="002A68EC">
        <w:rPr>
          <w:rStyle w:val="FootnoteReference"/>
          <w:szCs w:val="22"/>
        </w:rPr>
        <w:footnoteReference w:id="91"/>
      </w:r>
      <w:r w:rsidR="00517C5A" w:rsidRPr="002A68EC">
        <w:rPr>
          <w:szCs w:val="22"/>
        </w:rPr>
        <w:t xml:space="preserve"> to give effect to rights earned through (primarily economic) integration,</w:t>
      </w:r>
      <w:r w:rsidR="00042C12" w:rsidRPr="002A68EC">
        <w:rPr>
          <w:rStyle w:val="FootnoteReference"/>
          <w:szCs w:val="22"/>
        </w:rPr>
        <w:footnoteReference w:id="92"/>
      </w:r>
      <w:r w:rsidR="00517C5A" w:rsidRPr="002A68EC">
        <w:rPr>
          <w:szCs w:val="22"/>
        </w:rPr>
        <w:t xml:space="preserve"> and to recognise the spirit and purpose of free movement law, rather than subordinate it to administrative formalities.</w:t>
      </w:r>
      <w:r w:rsidR="00042C12" w:rsidRPr="002A68EC">
        <w:rPr>
          <w:rStyle w:val="FootnoteReference"/>
          <w:szCs w:val="22"/>
        </w:rPr>
        <w:footnoteReference w:id="93"/>
      </w:r>
      <w:r w:rsidR="00517C5A" w:rsidRPr="002A68EC">
        <w:rPr>
          <w:szCs w:val="22"/>
        </w:rPr>
        <w:t xml:space="preserve"> </w:t>
      </w:r>
      <w:r w:rsidR="008F2195" w:rsidRPr="002A68EC">
        <w:rPr>
          <w:szCs w:val="22"/>
        </w:rPr>
        <w:t>For</w:t>
      </w:r>
      <w:r w:rsidR="00517C5A" w:rsidRPr="002A68EC">
        <w:rPr>
          <w:szCs w:val="22"/>
        </w:rPr>
        <w:t xml:space="preserve"> example </w:t>
      </w:r>
      <w:r w:rsidR="008F2195" w:rsidRPr="002A68EC">
        <w:rPr>
          <w:szCs w:val="22"/>
        </w:rPr>
        <w:t>in</w:t>
      </w:r>
      <w:r w:rsidR="00517C5A" w:rsidRPr="002A68EC">
        <w:rPr>
          <w:szCs w:val="22"/>
        </w:rPr>
        <w:t xml:space="preserve"> </w:t>
      </w:r>
      <w:r w:rsidR="00517C5A" w:rsidRPr="002A68EC">
        <w:rPr>
          <w:i/>
          <w:iCs/>
          <w:szCs w:val="22"/>
        </w:rPr>
        <w:t xml:space="preserve">Lounes </w:t>
      </w:r>
      <w:r w:rsidR="00517C5A" w:rsidRPr="002A68EC">
        <w:rPr>
          <w:szCs w:val="22"/>
        </w:rPr>
        <w:t xml:space="preserve">the </w:t>
      </w:r>
      <w:r w:rsidR="008F2195" w:rsidRPr="002A68EC">
        <w:rPr>
          <w:szCs w:val="22"/>
        </w:rPr>
        <w:t xml:space="preserve">ECJ found that </w:t>
      </w:r>
      <w:r w:rsidR="00517C5A" w:rsidRPr="002A68EC">
        <w:rPr>
          <w:szCs w:val="22"/>
        </w:rPr>
        <w:lastRenderedPageBreak/>
        <w:t xml:space="preserve">someone </w:t>
      </w:r>
      <w:r w:rsidR="008F2195" w:rsidRPr="002A68EC">
        <w:rPr>
          <w:szCs w:val="22"/>
        </w:rPr>
        <w:t xml:space="preserve">who </w:t>
      </w:r>
      <w:r w:rsidR="00517C5A" w:rsidRPr="002A68EC">
        <w:rPr>
          <w:szCs w:val="22"/>
        </w:rPr>
        <w:t xml:space="preserve">ceased to be a migrant worker, because they acquired the nationality of the host state should not </w:t>
      </w:r>
      <w:r w:rsidR="008F2195" w:rsidRPr="002A68EC">
        <w:rPr>
          <w:szCs w:val="22"/>
        </w:rPr>
        <w:t>lose</w:t>
      </w:r>
      <w:r w:rsidR="00517C5A" w:rsidRPr="002A68EC">
        <w:rPr>
          <w:szCs w:val="22"/>
        </w:rPr>
        <w:t xml:space="preserve"> the rights of a</w:t>
      </w:r>
      <w:r w:rsidR="00DF5680" w:rsidRPr="002A68EC">
        <w:rPr>
          <w:szCs w:val="22"/>
        </w:rPr>
        <w:t xml:space="preserve"> non-national EU citizen, otherwise </w:t>
      </w:r>
      <w:r w:rsidR="008F2195" w:rsidRPr="002A68EC">
        <w:rPr>
          <w:szCs w:val="22"/>
        </w:rPr>
        <w:t>“</w:t>
      </w:r>
      <w:r w:rsidR="00DF5680" w:rsidRPr="002A68EC">
        <w:rPr>
          <w:szCs w:val="22"/>
        </w:rPr>
        <w:t>the effectiveness of Article 21(1) TFEU would be undermined</w:t>
      </w:r>
      <w:r w:rsidR="008F2195" w:rsidRPr="002A68EC">
        <w:rPr>
          <w:szCs w:val="22"/>
        </w:rPr>
        <w:t>.”</w:t>
      </w:r>
      <w:r w:rsidR="00DF5680" w:rsidRPr="002A68EC">
        <w:rPr>
          <w:rStyle w:val="FootnoteReference"/>
          <w:szCs w:val="22"/>
        </w:rPr>
        <w:footnoteReference w:id="94"/>
      </w:r>
      <w:r w:rsidR="00DF5680" w:rsidRPr="002A68EC">
        <w:rPr>
          <w:szCs w:val="22"/>
        </w:rPr>
        <w:t xml:space="preserve"> Even though the worker no longer fitted within the letter of Directive 2004/38, which provides for detailed family member rights, the directive </w:t>
      </w:r>
      <w:r w:rsidR="008F2195" w:rsidRPr="002A68EC">
        <w:rPr>
          <w:szCs w:val="22"/>
        </w:rPr>
        <w:t>“</w:t>
      </w:r>
      <w:r w:rsidR="00DF5680" w:rsidRPr="002A68EC">
        <w:rPr>
          <w:szCs w:val="22"/>
        </w:rPr>
        <w:t>must be applied, by analogy</w:t>
      </w:r>
      <w:r w:rsidR="008F2195" w:rsidRPr="002A68EC">
        <w:rPr>
          <w:szCs w:val="22"/>
        </w:rPr>
        <w:t>”</w:t>
      </w:r>
      <w:r w:rsidR="00DF5680" w:rsidRPr="002A68EC">
        <w:rPr>
          <w:szCs w:val="22"/>
        </w:rPr>
        <w:t xml:space="preserve"> to the applicant’s situation,</w:t>
      </w:r>
      <w:r w:rsidR="00DF5680" w:rsidRPr="002A68EC">
        <w:rPr>
          <w:rStyle w:val="FootnoteReference"/>
          <w:szCs w:val="22"/>
        </w:rPr>
        <w:footnoteReference w:id="95"/>
      </w:r>
      <w:r w:rsidR="00DF5680" w:rsidRPr="002A68EC">
        <w:rPr>
          <w:szCs w:val="22"/>
        </w:rPr>
        <w:t xml:space="preserve"> to avoid reducing Union citizens’ rights </w:t>
      </w:r>
      <w:r w:rsidR="008F2195" w:rsidRPr="002A68EC">
        <w:rPr>
          <w:szCs w:val="22"/>
        </w:rPr>
        <w:t>“</w:t>
      </w:r>
      <w:r w:rsidR="00DF5680" w:rsidRPr="002A68EC">
        <w:rPr>
          <w:szCs w:val="22"/>
        </w:rPr>
        <w:t>in line with their increasing degree of integration in the society of that Member State.</w:t>
      </w:r>
      <w:r w:rsidR="008F2195" w:rsidRPr="002A68EC">
        <w:rPr>
          <w:szCs w:val="22"/>
        </w:rPr>
        <w:t>”</w:t>
      </w:r>
      <w:r w:rsidR="00DF5680" w:rsidRPr="002A68EC">
        <w:rPr>
          <w:szCs w:val="22"/>
        </w:rPr>
        <w:t xml:space="preserve"> A focus on the spirit of free movement law, and the ethos of EU citizenship, would be considerably at odds with a scheme in which years or decades of integration </w:t>
      </w:r>
      <w:r w:rsidR="00CC4DE7" w:rsidRPr="002A68EC">
        <w:rPr>
          <w:szCs w:val="22"/>
        </w:rPr>
        <w:t xml:space="preserve">of EU citizens into a then-EU Member State </w:t>
      </w:r>
      <w:r w:rsidR="00DF5680" w:rsidRPr="002A68EC">
        <w:rPr>
          <w:szCs w:val="22"/>
        </w:rPr>
        <w:t xml:space="preserve">could be eradicated as a result of failing to register for a </w:t>
      </w:r>
      <w:r w:rsidR="008F2195" w:rsidRPr="002A68EC">
        <w:rPr>
          <w:szCs w:val="22"/>
        </w:rPr>
        <w:t>residence</w:t>
      </w:r>
      <w:r w:rsidR="00DF5680" w:rsidRPr="002A68EC">
        <w:rPr>
          <w:szCs w:val="22"/>
        </w:rPr>
        <w:t xml:space="preserve"> status by a certain date. </w:t>
      </w:r>
      <w:r w:rsidR="00733929" w:rsidRPr="002A68EC">
        <w:rPr>
          <w:szCs w:val="22"/>
        </w:rPr>
        <w:t>This is an outcome that the EU negotiating team should have strongly resisted, and their failure to do so create</w:t>
      </w:r>
      <w:r w:rsidR="00EE6749" w:rsidRPr="002A68EC">
        <w:rPr>
          <w:szCs w:val="22"/>
        </w:rPr>
        <w:t>s</w:t>
      </w:r>
      <w:r w:rsidR="00733929" w:rsidRPr="002A68EC">
        <w:rPr>
          <w:szCs w:val="22"/>
        </w:rPr>
        <w:t xml:space="preserve"> a startling </w:t>
      </w:r>
      <w:r w:rsidR="00CC4DE7" w:rsidRPr="002A68EC">
        <w:rPr>
          <w:szCs w:val="22"/>
        </w:rPr>
        <w:t xml:space="preserve">fissure in the construct of Union Citizenship. </w:t>
      </w:r>
      <w:r w:rsidR="00733929" w:rsidRPr="002A68EC">
        <w:rPr>
          <w:szCs w:val="22"/>
        </w:rPr>
        <w:t xml:space="preserve"> </w:t>
      </w:r>
    </w:p>
    <w:p w14:paraId="02D487F8" w14:textId="28AF328F" w:rsidR="00DB25B2" w:rsidRPr="002A68EC" w:rsidRDefault="00247DD4" w:rsidP="002A68EC">
      <w:pPr>
        <w:shd w:val="clear" w:color="auto" w:fill="FFFFFF"/>
        <w:spacing w:after="120"/>
        <w:jc w:val="both"/>
      </w:pPr>
      <w:r w:rsidRPr="002A68EC">
        <w:t xml:space="preserve">Member States </w:t>
      </w:r>
      <w:r w:rsidR="003A1B86" w:rsidRPr="002A68EC">
        <w:t xml:space="preserve">must ensure that they respect the principles of EU law when instigating measures relating to the withdrawal of </w:t>
      </w:r>
      <w:r w:rsidR="00C05543" w:rsidRPr="002A68EC">
        <w:rPr>
          <w:i/>
          <w:iCs/>
        </w:rPr>
        <w:t>national</w:t>
      </w:r>
      <w:r w:rsidR="00C05543" w:rsidRPr="002A68EC">
        <w:t xml:space="preserve"> </w:t>
      </w:r>
      <w:r w:rsidR="003A1B86" w:rsidRPr="002A68EC">
        <w:t>citizenship</w:t>
      </w:r>
      <w:r w:rsidR="00AD706A" w:rsidRPr="002A68EC">
        <w:t>;</w:t>
      </w:r>
      <w:r w:rsidR="00042C12" w:rsidRPr="002A68EC">
        <w:rPr>
          <w:rStyle w:val="FootnoteReference"/>
        </w:rPr>
        <w:footnoteReference w:id="96"/>
      </w:r>
      <w:r w:rsidR="00042C12" w:rsidRPr="002A68EC">
        <w:t xml:space="preserve"> </w:t>
      </w:r>
      <w:r w:rsidR="00AD706A" w:rsidRPr="002A68EC">
        <w:t xml:space="preserve">it might not be such a stretch to expect that when Member States themselves </w:t>
      </w:r>
      <w:r w:rsidR="00C05543" w:rsidRPr="002A68EC">
        <w:t xml:space="preserve">exercise a national prerogative to </w:t>
      </w:r>
      <w:r w:rsidR="00AD706A" w:rsidRPr="002A68EC">
        <w:t xml:space="preserve">withdraw membership, their treatment of EU citizens already resident in their territory still respects EU legal principles. It seems odd for a </w:t>
      </w:r>
      <w:r w:rsidR="003265D0" w:rsidRPr="002A68EC">
        <w:t xml:space="preserve">withdrawal agreement </w:t>
      </w:r>
      <w:r w:rsidR="00AD706A" w:rsidRPr="002A68EC">
        <w:t>that offers</w:t>
      </w:r>
      <w:r w:rsidR="003265D0" w:rsidRPr="002A68EC">
        <w:t xml:space="preserve"> </w:t>
      </w:r>
      <w:r w:rsidR="008F12B4" w:rsidRPr="002A68EC">
        <w:t>“</w:t>
      </w:r>
      <w:r w:rsidR="003265D0" w:rsidRPr="002A68EC">
        <w:t>lifelong protection</w:t>
      </w:r>
      <w:r w:rsidR="008F12B4" w:rsidRPr="002A68EC">
        <w:t>”</w:t>
      </w:r>
      <w:r w:rsidR="003265D0" w:rsidRPr="002A68EC">
        <w:t xml:space="preserve"> of (already exercised) residence rights</w:t>
      </w:r>
      <w:r w:rsidR="00E23CF8" w:rsidRPr="002A68EC">
        <w:rPr>
          <w:rStyle w:val="FootnoteReference"/>
        </w:rPr>
        <w:footnoteReference w:id="97"/>
      </w:r>
      <w:r w:rsidR="00AD706A" w:rsidRPr="002A68EC">
        <w:t xml:space="preserve"> to disregard underlying entitlement.</w:t>
      </w:r>
      <w:r w:rsidR="003265D0" w:rsidRPr="002A68EC">
        <w:t xml:space="preserve"> </w:t>
      </w:r>
      <w:r w:rsidR="003B545D" w:rsidRPr="002A68EC">
        <w:rPr>
          <w:szCs w:val="22"/>
        </w:rPr>
        <w:t xml:space="preserve">Even those who qualify for a right to stay in the UK, but fall short of the required five years of continuous work for permanent residence, </w:t>
      </w:r>
      <w:r w:rsidR="003A1B86" w:rsidRPr="002A68EC">
        <w:rPr>
          <w:szCs w:val="22"/>
        </w:rPr>
        <w:t>will cease to be protected by the Agreement i</w:t>
      </w:r>
      <w:r w:rsidR="003B545D" w:rsidRPr="002A68EC">
        <w:rPr>
          <w:szCs w:val="22"/>
        </w:rPr>
        <w:t xml:space="preserve">f </w:t>
      </w:r>
      <w:r w:rsidR="00C05543" w:rsidRPr="002A68EC">
        <w:rPr>
          <w:szCs w:val="22"/>
        </w:rPr>
        <w:t>before they reach the five year benchmark</w:t>
      </w:r>
      <w:r w:rsidR="003B545D" w:rsidRPr="002A68EC">
        <w:rPr>
          <w:szCs w:val="22"/>
        </w:rPr>
        <w:t xml:space="preserve"> their work status oscillates</w:t>
      </w:r>
      <w:r w:rsidR="003A1B86" w:rsidRPr="002A68EC">
        <w:rPr>
          <w:szCs w:val="22"/>
        </w:rPr>
        <w:t>. T</w:t>
      </w:r>
      <w:r w:rsidR="003B545D" w:rsidRPr="002A68EC">
        <w:rPr>
          <w:szCs w:val="22"/>
        </w:rPr>
        <w:t xml:space="preserve">he moment they dip out of the scope of Directive 2004/38, they </w:t>
      </w:r>
      <w:r w:rsidR="003A1B86" w:rsidRPr="002A68EC">
        <w:rPr>
          <w:szCs w:val="22"/>
        </w:rPr>
        <w:t>fall outside of the scope of the Agreement</w:t>
      </w:r>
      <w:r w:rsidR="009B3999" w:rsidRPr="002A68EC">
        <w:rPr>
          <w:szCs w:val="22"/>
        </w:rPr>
        <w:t xml:space="preserve">. </w:t>
      </w:r>
    </w:p>
    <w:p w14:paraId="0AAFABAC" w14:textId="084F6C9E" w:rsidR="003A1B86" w:rsidRPr="002A68EC" w:rsidRDefault="00FA78A9" w:rsidP="002A68EC">
      <w:pPr>
        <w:pStyle w:val="Default"/>
        <w:spacing w:after="120"/>
        <w:jc w:val="both"/>
        <w:rPr>
          <w:rFonts w:ascii="Times New Roman" w:hAnsi="Times New Roman"/>
          <w:color w:val="auto"/>
          <w:szCs w:val="22"/>
        </w:rPr>
      </w:pPr>
      <w:r w:rsidRPr="002A68EC">
        <w:rPr>
          <w:rFonts w:ascii="Times New Roman" w:hAnsi="Times New Roman"/>
          <w:color w:val="auto"/>
          <w:szCs w:val="22"/>
        </w:rPr>
        <w:t>Not only do the perilous consequences of the constitutive regime and the gaps in the coverage of EU citizens covered in section 2, affect the vulnerable most acutely; there are a number of tripwires and pitfalls in the UK</w:t>
      </w:r>
      <w:r w:rsidR="006B5B56">
        <w:rPr>
          <w:rFonts w:ascii="Times New Roman" w:hAnsi="Times New Roman"/>
          <w:color w:val="auto"/>
          <w:szCs w:val="22"/>
        </w:rPr>
        <w:t>’s</w:t>
      </w:r>
      <w:r w:rsidRPr="002A68EC">
        <w:rPr>
          <w:rFonts w:ascii="Times New Roman" w:hAnsi="Times New Roman"/>
          <w:color w:val="auto"/>
          <w:szCs w:val="22"/>
        </w:rPr>
        <w:t xml:space="preserve"> </w:t>
      </w:r>
      <w:r w:rsidR="00156818">
        <w:rPr>
          <w:rFonts w:ascii="Times New Roman" w:hAnsi="Times New Roman"/>
          <w:color w:val="auto"/>
          <w:szCs w:val="22"/>
        </w:rPr>
        <w:t xml:space="preserve">EU </w:t>
      </w:r>
      <w:r w:rsidRPr="002A68EC">
        <w:rPr>
          <w:rFonts w:ascii="Times New Roman" w:hAnsi="Times New Roman"/>
          <w:color w:val="auto"/>
          <w:szCs w:val="22"/>
        </w:rPr>
        <w:t xml:space="preserve">Settled Status scheme that make it even more likely that the vulnerable fall through those gaps, or over the cliff edge deadline. </w:t>
      </w:r>
      <w:r w:rsidR="000015A7" w:rsidRPr="002A68EC">
        <w:rPr>
          <w:rFonts w:ascii="Times New Roman" w:hAnsi="Times New Roman"/>
          <w:color w:val="auto"/>
          <w:szCs w:val="22"/>
        </w:rPr>
        <w:t xml:space="preserve">The next section looks at </w:t>
      </w:r>
      <w:r w:rsidRPr="002A68EC">
        <w:rPr>
          <w:rFonts w:ascii="Times New Roman" w:hAnsi="Times New Roman"/>
          <w:color w:val="auto"/>
          <w:szCs w:val="22"/>
        </w:rPr>
        <w:t>difficulty of challenging the ways the UK</w:t>
      </w:r>
      <w:r w:rsidR="006B5B56">
        <w:rPr>
          <w:rFonts w:ascii="Times New Roman" w:hAnsi="Times New Roman"/>
          <w:color w:val="auto"/>
          <w:szCs w:val="22"/>
        </w:rPr>
        <w:t>’s</w:t>
      </w:r>
      <w:r w:rsidRPr="002A68EC">
        <w:rPr>
          <w:rFonts w:ascii="Times New Roman" w:hAnsi="Times New Roman"/>
          <w:color w:val="auto"/>
          <w:szCs w:val="22"/>
        </w:rPr>
        <w:t xml:space="preserve"> </w:t>
      </w:r>
      <w:r w:rsidR="00156818">
        <w:rPr>
          <w:rFonts w:ascii="Times New Roman" w:hAnsi="Times New Roman"/>
          <w:color w:val="auto"/>
          <w:szCs w:val="22"/>
        </w:rPr>
        <w:t xml:space="preserve">EU </w:t>
      </w:r>
      <w:r w:rsidRPr="002A68EC">
        <w:rPr>
          <w:rFonts w:ascii="Times New Roman" w:hAnsi="Times New Roman"/>
          <w:color w:val="auto"/>
          <w:szCs w:val="22"/>
        </w:rPr>
        <w:t>Settled Status scheme courts risks of administrative injustice</w:t>
      </w:r>
      <w:r w:rsidR="002E00FA" w:rsidRPr="002A68EC">
        <w:rPr>
          <w:rFonts w:ascii="Times New Roman" w:hAnsi="Times New Roman"/>
          <w:color w:val="auto"/>
          <w:szCs w:val="22"/>
        </w:rPr>
        <w:t>, thanks to</w:t>
      </w:r>
      <w:r w:rsidRPr="002A68EC">
        <w:rPr>
          <w:rFonts w:ascii="Times New Roman" w:hAnsi="Times New Roman"/>
          <w:color w:val="auto"/>
          <w:szCs w:val="22"/>
        </w:rPr>
        <w:t xml:space="preserve"> problems arising from dual regimes and mixed routes of enforcement</w:t>
      </w:r>
      <w:r w:rsidR="002E00FA" w:rsidRPr="002A68EC">
        <w:rPr>
          <w:rFonts w:ascii="Times New Roman" w:hAnsi="Times New Roman"/>
          <w:color w:val="auto"/>
          <w:szCs w:val="22"/>
        </w:rPr>
        <w:t xml:space="preserve">. </w:t>
      </w:r>
      <w:r w:rsidRPr="002A68EC">
        <w:rPr>
          <w:rFonts w:ascii="Times New Roman" w:hAnsi="Times New Roman"/>
          <w:color w:val="auto"/>
          <w:szCs w:val="22"/>
        </w:rPr>
        <w:t xml:space="preserve"> </w:t>
      </w:r>
      <w:r w:rsidR="002E00FA" w:rsidRPr="002A68EC">
        <w:rPr>
          <w:rFonts w:ascii="Times New Roman" w:hAnsi="Times New Roman"/>
          <w:color w:val="auto"/>
          <w:szCs w:val="22"/>
        </w:rPr>
        <w:t xml:space="preserve">It highlights problems that emerge from </w:t>
      </w:r>
      <w:r w:rsidR="000015A7" w:rsidRPr="002A68EC">
        <w:rPr>
          <w:rFonts w:ascii="Times New Roman" w:hAnsi="Times New Roman"/>
          <w:color w:val="auto"/>
          <w:szCs w:val="22"/>
        </w:rPr>
        <w:t>automated and opaque decision-making</w:t>
      </w:r>
      <w:r w:rsidR="00597E12" w:rsidRPr="002A68EC">
        <w:rPr>
          <w:rFonts w:ascii="Times New Roman" w:hAnsi="Times New Roman"/>
          <w:color w:val="auto"/>
          <w:szCs w:val="22"/>
        </w:rPr>
        <w:t>, and the inevitability of decision-maker confusion</w:t>
      </w:r>
      <w:r w:rsidRPr="002A68EC">
        <w:rPr>
          <w:rFonts w:ascii="Times New Roman" w:hAnsi="Times New Roman"/>
          <w:color w:val="auto"/>
          <w:szCs w:val="22"/>
        </w:rPr>
        <w:t>, noting the dire results that could ensue from (mis)classification as pre-settled</w:t>
      </w:r>
      <w:r w:rsidR="00597E12" w:rsidRPr="002A68EC">
        <w:rPr>
          <w:rFonts w:ascii="Times New Roman" w:hAnsi="Times New Roman"/>
          <w:color w:val="auto"/>
          <w:szCs w:val="22"/>
        </w:rPr>
        <w:t xml:space="preserve">. </w:t>
      </w:r>
      <w:r w:rsidR="007F158B" w:rsidRPr="002A68EC">
        <w:rPr>
          <w:rFonts w:ascii="Times New Roman" w:hAnsi="Times New Roman"/>
          <w:color w:val="auto"/>
          <w:szCs w:val="22"/>
        </w:rPr>
        <w:t xml:space="preserve"> </w:t>
      </w:r>
    </w:p>
    <w:p w14:paraId="561A8063" w14:textId="77777777" w:rsidR="003A1B86" w:rsidRPr="002A68EC" w:rsidRDefault="003A1B86" w:rsidP="002A68EC">
      <w:pPr>
        <w:pStyle w:val="Default"/>
        <w:spacing w:after="120"/>
        <w:jc w:val="both"/>
        <w:rPr>
          <w:rFonts w:ascii="Times New Roman" w:hAnsi="Times New Roman"/>
          <w:color w:val="auto"/>
          <w:szCs w:val="22"/>
        </w:rPr>
      </w:pPr>
    </w:p>
    <w:p w14:paraId="35DCAD1F" w14:textId="07DD16D5" w:rsidR="002977BC" w:rsidRPr="002A68EC" w:rsidRDefault="00F47031" w:rsidP="002A68EC">
      <w:pPr>
        <w:pStyle w:val="Heading2"/>
        <w:spacing w:before="0" w:after="120"/>
        <w:jc w:val="both"/>
        <w:rPr>
          <w:rFonts w:ascii="Times New Roman" w:hAnsi="Times New Roman"/>
          <w:b/>
          <w:bCs/>
          <w:color w:val="auto"/>
          <w:sz w:val="24"/>
        </w:rPr>
      </w:pPr>
      <w:r w:rsidRPr="002A68EC">
        <w:rPr>
          <w:rFonts w:ascii="Times New Roman" w:hAnsi="Times New Roman"/>
          <w:color w:val="auto"/>
          <w:sz w:val="24"/>
        </w:rPr>
        <w:t xml:space="preserve">4. </w:t>
      </w:r>
      <w:r w:rsidR="00685AB6" w:rsidRPr="002A68EC">
        <w:rPr>
          <w:rFonts w:ascii="Times New Roman" w:hAnsi="Times New Roman"/>
          <w:b/>
          <w:bCs/>
          <w:color w:val="auto"/>
          <w:sz w:val="24"/>
        </w:rPr>
        <w:t xml:space="preserve">The </w:t>
      </w:r>
      <w:r w:rsidR="00583916" w:rsidRPr="002A68EC">
        <w:rPr>
          <w:rFonts w:ascii="Times New Roman" w:hAnsi="Times New Roman"/>
          <w:b/>
          <w:bCs/>
          <w:color w:val="auto"/>
          <w:sz w:val="24"/>
        </w:rPr>
        <w:t>devil in the detail</w:t>
      </w:r>
      <w:r w:rsidR="00FF6D82" w:rsidRPr="002A68EC">
        <w:rPr>
          <w:rFonts w:ascii="Times New Roman" w:hAnsi="Times New Roman"/>
          <w:b/>
          <w:bCs/>
          <w:color w:val="auto"/>
          <w:sz w:val="24"/>
        </w:rPr>
        <w:t>: risks of injustice in the UK scheme</w:t>
      </w:r>
      <w:r w:rsidR="00D571A7" w:rsidRPr="002A68EC">
        <w:rPr>
          <w:rFonts w:ascii="Times New Roman" w:hAnsi="Times New Roman"/>
          <w:b/>
          <w:bCs/>
          <w:color w:val="auto"/>
          <w:sz w:val="24"/>
        </w:rPr>
        <w:t xml:space="preserve"> </w:t>
      </w:r>
    </w:p>
    <w:p w14:paraId="78B8BC9F" w14:textId="383C01B3" w:rsidR="00572FC2" w:rsidRPr="002A68EC" w:rsidRDefault="00A10351" w:rsidP="002A68EC">
      <w:pPr>
        <w:spacing w:after="120"/>
        <w:jc w:val="both"/>
        <w:rPr>
          <w:szCs w:val="22"/>
        </w:rPr>
      </w:pPr>
      <w:r w:rsidRPr="002A68EC">
        <w:rPr>
          <w:szCs w:val="22"/>
        </w:rPr>
        <w:t xml:space="preserve">As noted above, the UK government has adopted the position that the EUSS scheme is ‘more generous’ than the Withdrawal Agreement, because it only requires evidence of residence. On the face of it, that is true. But, predictably, it is not quite so simple as that. </w:t>
      </w:r>
      <w:r w:rsidR="00A154A8">
        <w:rPr>
          <w:szCs w:val="22"/>
        </w:rPr>
        <w:t>I</w:t>
      </w:r>
      <w:r w:rsidRPr="002A68EC">
        <w:rPr>
          <w:szCs w:val="22"/>
        </w:rPr>
        <w:t xml:space="preserve">n creating a scheme that operates quite differently to the rights outlined in the Withdrawal Agreement, the UK </w:t>
      </w:r>
      <w:r w:rsidR="00436E0B">
        <w:rPr>
          <w:szCs w:val="22"/>
        </w:rPr>
        <w:t xml:space="preserve">has </w:t>
      </w:r>
      <w:r w:rsidRPr="002A68EC">
        <w:rPr>
          <w:szCs w:val="22"/>
        </w:rPr>
        <w:t>rather obscure</w:t>
      </w:r>
      <w:r w:rsidR="00436E0B">
        <w:rPr>
          <w:szCs w:val="22"/>
        </w:rPr>
        <w:t>d</w:t>
      </w:r>
      <w:r w:rsidRPr="002A68EC">
        <w:rPr>
          <w:szCs w:val="22"/>
        </w:rPr>
        <w:t xml:space="preserve"> the different lines of challenge and enforcement. </w:t>
      </w:r>
    </w:p>
    <w:p w14:paraId="5C383572" w14:textId="77777777" w:rsidR="00572FC2" w:rsidRPr="002A68EC" w:rsidRDefault="00572FC2" w:rsidP="002A68EC">
      <w:pPr>
        <w:spacing w:after="120"/>
        <w:jc w:val="both"/>
        <w:rPr>
          <w:szCs w:val="22"/>
        </w:rPr>
      </w:pPr>
    </w:p>
    <w:p w14:paraId="5A090FE5" w14:textId="293E7F22" w:rsidR="00572FC2" w:rsidRPr="002A68EC" w:rsidRDefault="00572FC2" w:rsidP="002A68EC">
      <w:pPr>
        <w:pStyle w:val="Heading3"/>
        <w:spacing w:before="0" w:after="120"/>
        <w:jc w:val="both"/>
        <w:rPr>
          <w:rFonts w:ascii="Times New Roman" w:hAnsi="Times New Roman"/>
          <w:color w:val="auto"/>
        </w:rPr>
      </w:pPr>
      <w:r w:rsidRPr="002A68EC">
        <w:rPr>
          <w:rFonts w:ascii="Times New Roman" w:hAnsi="Times New Roman"/>
          <w:color w:val="auto"/>
        </w:rPr>
        <w:t xml:space="preserve">4.1 </w:t>
      </w:r>
      <w:r w:rsidRPr="002A68EC">
        <w:rPr>
          <w:rFonts w:ascii="Times New Roman" w:hAnsi="Times New Roman"/>
          <w:i/>
          <w:iCs/>
          <w:color w:val="auto"/>
        </w:rPr>
        <w:t>When do the schemes coincide? Blurred enforcement mechanisms</w:t>
      </w:r>
    </w:p>
    <w:p w14:paraId="4E65EA55" w14:textId="6AAA6E95" w:rsidR="004165B2" w:rsidRPr="002A68EC" w:rsidRDefault="00A10351" w:rsidP="002A68EC">
      <w:pPr>
        <w:spacing w:after="120"/>
        <w:jc w:val="both"/>
      </w:pPr>
      <w:r w:rsidRPr="002A68EC">
        <w:t xml:space="preserve">EU level monitoring and enforcement </w:t>
      </w:r>
      <w:r w:rsidR="004165B2" w:rsidRPr="002A68EC">
        <w:t>will</w:t>
      </w:r>
      <w:r w:rsidRPr="002A68EC">
        <w:t xml:space="preserve"> only extend to those within the scope, asserting the rights in the material scope, of the Withdrawal Agreement</w:t>
      </w:r>
      <w:r w:rsidR="004165B2" w:rsidRPr="002A68EC">
        <w:t xml:space="preserve">. But it is not clear whether having a </w:t>
      </w:r>
      <w:r w:rsidR="004165B2" w:rsidRPr="002A68EC">
        <w:lastRenderedPageBreak/>
        <w:t>(digital) document as mentioned in Article 18 WA is enough to bring someone in the scope of the W</w:t>
      </w:r>
      <w:r w:rsidR="008F44AE" w:rsidRPr="002A68EC">
        <w:t>ithdrawal Agreement</w:t>
      </w:r>
      <w:r w:rsidR="004165B2" w:rsidRPr="002A68EC">
        <w:t xml:space="preserve">, or whether individuals must nevertheless also demonstrate that they fall within the scope </w:t>
      </w:r>
      <w:r w:rsidR="008F44AE" w:rsidRPr="002A68EC">
        <w:t xml:space="preserve">of Article 13 </w:t>
      </w:r>
      <w:r w:rsidR="004165B2" w:rsidRPr="002A68EC">
        <w:t xml:space="preserve">WA. </w:t>
      </w:r>
      <w:r w:rsidR="004E0B9A" w:rsidRPr="002A68EC">
        <w:t xml:space="preserve">EU law, as discussed above, does not customarily treat documents as decisive, instead looking to whether the substantive conditions are met. But </w:t>
      </w:r>
      <w:r w:rsidR="008F44AE" w:rsidRPr="002A68EC">
        <w:t xml:space="preserve">if EU authorities insisted on </w:t>
      </w:r>
      <w:r w:rsidR="004E0B9A" w:rsidRPr="002A68EC">
        <w:t>looking behind a</w:t>
      </w:r>
      <w:r w:rsidR="008F44AE" w:rsidRPr="002A68EC">
        <w:t>n EUSS</w:t>
      </w:r>
      <w:r w:rsidR="004E0B9A" w:rsidRPr="002A68EC">
        <w:t xml:space="preserve"> document, to see whether the </w:t>
      </w:r>
      <w:r w:rsidR="004E0B9A" w:rsidRPr="002A68EC">
        <w:rPr>
          <w:i/>
          <w:iCs/>
        </w:rPr>
        <w:t>WA</w:t>
      </w:r>
      <w:r w:rsidR="004E0B9A" w:rsidRPr="002A68EC">
        <w:t xml:space="preserve"> conditions are met – </w:t>
      </w:r>
      <w:r w:rsidR="008F44AE" w:rsidRPr="002A68EC">
        <w:t xml:space="preserve">this </w:t>
      </w:r>
      <w:r w:rsidR="004E0B9A" w:rsidRPr="002A68EC">
        <w:t xml:space="preserve">would leave EU nationals subject to the worst of both worlds; </w:t>
      </w:r>
      <w:r w:rsidR="008F44AE" w:rsidRPr="002A68EC">
        <w:t xml:space="preserve">with </w:t>
      </w:r>
      <w:r w:rsidR="004E0B9A" w:rsidRPr="002A68EC">
        <w:t xml:space="preserve"> registration being treated as constitutive, when it means thousands being left without residence rights, but then having it treated as declaratory in order that people are excluded from the protection of the </w:t>
      </w:r>
      <w:r w:rsidR="008F44AE" w:rsidRPr="002A68EC">
        <w:t>Agreement</w:t>
      </w:r>
      <w:r w:rsidR="00D836BC" w:rsidRPr="002A68EC">
        <w:t xml:space="preserve">. Insofar as the </w:t>
      </w:r>
      <w:r w:rsidR="008F44AE" w:rsidRPr="002A68EC">
        <w:t>Agreement</w:t>
      </w:r>
      <w:r w:rsidR="00D836BC" w:rsidRPr="002A68EC">
        <w:t xml:space="preserve"> permits the UK to adopt a constitutive approach, the EU, as a matter of legal rationality, legitimate expectations, and administrative pragmatism, </w:t>
      </w:r>
      <w:r w:rsidR="008F44AE" w:rsidRPr="002A68EC">
        <w:t>should</w:t>
      </w:r>
      <w:r w:rsidR="00D836BC" w:rsidRPr="002A68EC">
        <w:t xml:space="preserve"> be required to consider the awards of pre/settled status as conferring the equivalent status under the </w:t>
      </w:r>
      <w:r w:rsidR="008F44AE" w:rsidRPr="002A68EC">
        <w:t>Agreement</w:t>
      </w:r>
      <w:r w:rsidR="00D836BC" w:rsidRPr="002A68EC">
        <w:t xml:space="preserve">.  </w:t>
      </w:r>
      <w:r w:rsidR="004E0B9A" w:rsidRPr="002A68EC">
        <w:t xml:space="preserve"> </w:t>
      </w:r>
    </w:p>
    <w:p w14:paraId="5D418C23" w14:textId="77C6EE70" w:rsidR="00A10351" w:rsidRPr="002A68EC" w:rsidRDefault="0031440C" w:rsidP="002A68EC">
      <w:pPr>
        <w:spacing w:after="120"/>
        <w:jc w:val="both"/>
      </w:pPr>
      <w:r w:rsidRPr="002A68EC">
        <w:t>Even if we consider that EUSS registration brings an individual within the scope of the A</w:t>
      </w:r>
      <w:r w:rsidR="008F44AE" w:rsidRPr="002A68EC">
        <w:t>greement</w:t>
      </w:r>
      <w:r w:rsidRPr="002A68EC">
        <w:t xml:space="preserve">, it is not clear if and how </w:t>
      </w:r>
      <w:r w:rsidR="008F44AE" w:rsidRPr="002A68EC">
        <w:t>this</w:t>
      </w:r>
      <w:r w:rsidRPr="002A68EC">
        <w:t xml:space="preserve"> would assist in cases of misclassification as pre-settled instead of settled. </w:t>
      </w:r>
      <w:r w:rsidR="00417193" w:rsidRPr="002A68EC">
        <w:t>In those cases, while the EU</w:t>
      </w:r>
      <w:r w:rsidR="00EC4FE1" w:rsidRPr="002A68EC">
        <w:t xml:space="preserve"> authorities</w:t>
      </w:r>
      <w:r w:rsidR="00417193" w:rsidRPr="002A68EC">
        <w:t xml:space="preserve"> may accept the award of pre-settled status as being equivalent to having a right to reside under Article 13(1), it semes unlikely that an applicant would derive support from the </w:t>
      </w:r>
      <w:r w:rsidR="008F44AE" w:rsidRPr="002A68EC">
        <w:t>Agreement</w:t>
      </w:r>
      <w:r w:rsidR="00417193" w:rsidRPr="002A68EC">
        <w:t xml:space="preserve"> in requesting settled status, equivalent to permanent residence under Article 15(1) WA, unless they could show that they met the conditions laid down therein – that is, having been exercising a right to reside in accordance with Union law for at least five years. </w:t>
      </w:r>
    </w:p>
    <w:p w14:paraId="36A9EFD6" w14:textId="491036D5" w:rsidR="00A10351" w:rsidRPr="002A68EC" w:rsidRDefault="00A10351" w:rsidP="002A68EC">
      <w:pPr>
        <w:spacing w:after="120"/>
        <w:jc w:val="both"/>
      </w:pPr>
      <w:r w:rsidRPr="002A68EC">
        <w:t>But at what level, and by whom, is the differentiating between individuals who might be entitled to supra-national protection to be done? How much evidence gathering will be required before access to, e.g. a CJEU preliminary reference, is countenanced? And further down the line, the issue of protection could get murkier still. While those entitled to settled status are in theory awarded a secure status with equal treatment rights, for life</w:t>
      </w:r>
      <w:r w:rsidR="00417193" w:rsidRPr="002A68EC">
        <w:t>,</w:t>
      </w:r>
      <w:r w:rsidRPr="002A68EC">
        <w:t xml:space="preserve"> so long as they do not forfeit the status by e.g. leaving the UK for longer than the permitted break in residence, in practice, their rights are contingent upon the will (and whims) of the UK government. We have already seen some tinkering around the edges of settled status</w:t>
      </w:r>
      <w:r w:rsidR="004278CB">
        <w:t>,</w:t>
      </w:r>
      <w:r w:rsidRPr="002A68EC">
        <w:t xml:space="preserve"> </w:t>
      </w:r>
      <w:r w:rsidR="00C305B2" w:rsidRPr="002A68EC">
        <w:t>which gives some cause to wonder whether the status will be as secure as we have been led to believe.</w:t>
      </w:r>
      <w:r w:rsidR="00C305B2" w:rsidRPr="002A68EC">
        <w:rPr>
          <w:rStyle w:val="FootnoteReference"/>
        </w:rPr>
        <w:footnoteReference w:id="98"/>
      </w:r>
      <w:r w:rsidR="00C305B2" w:rsidRPr="002A68EC">
        <w:t xml:space="preserve"> But if an individual wants to challenge a change in their status or rights imposed in some years’ time, even while the CJEU still has jurisdiction, </w:t>
      </w:r>
      <w:r w:rsidR="00DD7DDF">
        <w:t>will</w:t>
      </w:r>
      <w:r w:rsidR="009E1BF7">
        <w:t xml:space="preserve"> it be enough to show that they fell within the scope of the UK scheme, or will</w:t>
      </w:r>
      <w:r w:rsidR="00DD7DDF">
        <w:t xml:space="preserve"> </w:t>
      </w:r>
      <w:r w:rsidR="00C305B2" w:rsidRPr="002A68EC">
        <w:t xml:space="preserve">such a challenge only have EU input if that person can retrospectively amass the evidence required to show that they fell within the scope of the </w:t>
      </w:r>
      <w:r w:rsidR="00C305B2" w:rsidRPr="00DD7DDF">
        <w:rPr>
          <w:i/>
          <w:iCs/>
        </w:rPr>
        <w:t>Agreement</w:t>
      </w:r>
      <w:r w:rsidR="009E1BF7">
        <w:t>?</w:t>
      </w:r>
      <w:r w:rsidR="00C305B2" w:rsidRPr="002A68EC">
        <w:t xml:space="preserve"> As experiences in pre-Brexit benefit claims cases show</w:t>
      </w:r>
      <w:r w:rsidR="009E1BF7">
        <w:t>,</w:t>
      </w:r>
      <w:r w:rsidR="00C305B2" w:rsidRPr="002A68EC">
        <w:t xml:space="preserve"> demonstrating a right to reside can be especially tough for migrants on the margins. It would be even more so, several years on from the material time, and after they had already been told they did not need to keep evidence of work etc. </w:t>
      </w:r>
    </w:p>
    <w:p w14:paraId="6FA75F35" w14:textId="77777777" w:rsidR="00BC03AB" w:rsidRPr="002A68EC" w:rsidRDefault="00BC03AB" w:rsidP="002A68EC">
      <w:pPr>
        <w:spacing w:after="120"/>
        <w:jc w:val="both"/>
        <w:rPr>
          <w:szCs w:val="22"/>
        </w:rPr>
      </w:pPr>
    </w:p>
    <w:p w14:paraId="2A5CFAA2" w14:textId="05E6504C" w:rsidR="00BC03AB" w:rsidRPr="002A68EC" w:rsidRDefault="00F95C96" w:rsidP="002A68EC">
      <w:pPr>
        <w:pStyle w:val="Heading3"/>
        <w:spacing w:before="0" w:after="120"/>
        <w:jc w:val="both"/>
        <w:rPr>
          <w:rFonts w:ascii="Times New Roman" w:hAnsi="Times New Roman"/>
          <w:i/>
          <w:iCs/>
          <w:color w:val="auto"/>
        </w:rPr>
      </w:pPr>
      <w:r w:rsidRPr="002A68EC">
        <w:rPr>
          <w:rFonts w:ascii="Times New Roman" w:hAnsi="Times New Roman"/>
          <w:color w:val="auto"/>
        </w:rPr>
        <w:t xml:space="preserve">4.2 </w:t>
      </w:r>
      <w:r w:rsidRPr="002A68EC">
        <w:rPr>
          <w:rFonts w:ascii="Times New Roman" w:hAnsi="Times New Roman"/>
          <w:i/>
          <w:iCs/>
          <w:color w:val="auto"/>
        </w:rPr>
        <w:t>The EUSS: complex, opaque, and screened from EU scrutiny</w:t>
      </w:r>
    </w:p>
    <w:p w14:paraId="181C2BBF" w14:textId="3C5FFCFD" w:rsidR="00AE2B64" w:rsidRPr="002A68EC" w:rsidRDefault="00C305B2" w:rsidP="002A68EC">
      <w:pPr>
        <w:spacing w:after="120"/>
        <w:jc w:val="both"/>
        <w:rPr>
          <w:szCs w:val="22"/>
        </w:rPr>
      </w:pPr>
      <w:r w:rsidRPr="002A68EC">
        <w:rPr>
          <w:szCs w:val="22"/>
        </w:rPr>
        <w:t xml:space="preserve">Coming back to the immediate problem of getting settled status before the deadline, there is a risk that the dual-but-different set of protections might in effect insulate erroneous decision making within the UK from supra-national scrutiny, and it is a system that raises a host of accountability problems. </w:t>
      </w:r>
      <w:r w:rsidR="00E24E56" w:rsidRPr="002A68EC">
        <w:rPr>
          <w:szCs w:val="22"/>
        </w:rPr>
        <w:t xml:space="preserve">The </w:t>
      </w:r>
      <w:r w:rsidR="00655BF1" w:rsidRPr="002A68EC">
        <w:rPr>
          <w:szCs w:val="22"/>
        </w:rPr>
        <w:t xml:space="preserve">Settled Status scheme is replete with risks of error, while the lack </w:t>
      </w:r>
      <w:r w:rsidR="00655BF1" w:rsidRPr="002A68EC">
        <w:rPr>
          <w:szCs w:val="22"/>
        </w:rPr>
        <w:lastRenderedPageBreak/>
        <w:t>of transparency about the highly</w:t>
      </w:r>
      <w:r w:rsidR="00C960F0" w:rsidRPr="002A68EC">
        <w:rPr>
          <w:szCs w:val="22"/>
        </w:rPr>
        <w:t xml:space="preserve"> </w:t>
      </w:r>
      <w:r w:rsidR="00655BF1" w:rsidRPr="002A68EC">
        <w:rPr>
          <w:szCs w:val="22"/>
        </w:rPr>
        <w:t>automated decision-making process makes it hard to identify and challenge wrong decisions.</w:t>
      </w:r>
      <w:r w:rsidR="005868FE" w:rsidRPr="002A68EC">
        <w:rPr>
          <w:szCs w:val="22"/>
        </w:rPr>
        <w:t xml:space="preserve"> </w:t>
      </w:r>
      <w:r w:rsidR="007640D6" w:rsidRPr="002A68EC">
        <w:rPr>
          <w:szCs w:val="22"/>
        </w:rPr>
        <w:t>The system uses an Application Programming Interface (API) to process the data submitted, and also sweeps DWP</w:t>
      </w:r>
      <w:r w:rsidR="00875920" w:rsidRPr="002A68EC">
        <w:rPr>
          <w:rStyle w:val="FootnoteReference"/>
          <w:szCs w:val="22"/>
        </w:rPr>
        <w:footnoteReference w:id="99"/>
      </w:r>
      <w:r w:rsidR="007640D6" w:rsidRPr="002A68EC">
        <w:rPr>
          <w:szCs w:val="22"/>
        </w:rPr>
        <w:t xml:space="preserve"> and HMRC</w:t>
      </w:r>
      <w:r w:rsidR="007640D6" w:rsidRPr="002A68EC">
        <w:rPr>
          <w:rStyle w:val="FootnoteReference"/>
          <w:szCs w:val="22"/>
        </w:rPr>
        <w:footnoteReference w:id="100"/>
      </w:r>
      <w:r w:rsidR="007640D6" w:rsidRPr="002A68EC">
        <w:rPr>
          <w:szCs w:val="22"/>
        </w:rPr>
        <w:t xml:space="preserve"> records, in order to churn out a decision quickly. </w:t>
      </w:r>
      <w:r w:rsidR="007640D6" w:rsidRPr="002A68EC">
        <w:rPr>
          <w:szCs w:val="27"/>
          <w:shd w:val="clear" w:color="auto" w:fill="FFFFFF"/>
        </w:rPr>
        <w:t>W</w:t>
      </w:r>
      <w:r w:rsidR="008F3C2C" w:rsidRPr="002A68EC">
        <w:rPr>
          <w:szCs w:val="27"/>
          <w:shd w:val="clear" w:color="auto" w:fill="FFFFFF"/>
        </w:rPr>
        <w:t xml:space="preserve">ithout meaningful information about the processes of decision making, it becomes impossible for </w:t>
      </w:r>
      <w:r w:rsidR="00C960F0" w:rsidRPr="002A68EC">
        <w:rPr>
          <w:szCs w:val="27"/>
          <w:shd w:val="clear" w:color="auto" w:fill="FFFFFF"/>
        </w:rPr>
        <w:t>applicants</w:t>
      </w:r>
      <w:r w:rsidR="00F95C96" w:rsidRPr="002A68EC">
        <w:rPr>
          <w:szCs w:val="27"/>
          <w:shd w:val="clear" w:color="auto" w:fill="FFFFFF"/>
        </w:rPr>
        <w:t xml:space="preserve">, or for supranational authorities seeking to enforce the withdrawal agreement, </w:t>
      </w:r>
      <w:r w:rsidR="008F3C2C" w:rsidRPr="002A68EC">
        <w:rPr>
          <w:szCs w:val="27"/>
          <w:shd w:val="clear" w:color="auto" w:fill="FFFFFF"/>
        </w:rPr>
        <w:t xml:space="preserve">to verify </w:t>
      </w:r>
      <w:r w:rsidR="007640D6" w:rsidRPr="002A68EC">
        <w:rPr>
          <w:szCs w:val="27"/>
          <w:shd w:val="clear" w:color="auto" w:fill="FFFFFF"/>
        </w:rPr>
        <w:t xml:space="preserve">the quality of data </w:t>
      </w:r>
      <w:r w:rsidR="008F3C2C" w:rsidRPr="002A68EC">
        <w:rPr>
          <w:szCs w:val="27"/>
          <w:shd w:val="clear" w:color="auto" w:fill="FFFFFF"/>
        </w:rPr>
        <w:t xml:space="preserve">and challenge the outcome. </w:t>
      </w:r>
      <w:r w:rsidR="00B63810" w:rsidRPr="002A68EC">
        <w:rPr>
          <w:szCs w:val="27"/>
          <w:shd w:val="clear" w:color="auto" w:fill="FFFFFF"/>
        </w:rPr>
        <w:t xml:space="preserve">Cobbe has noted the particular </w:t>
      </w:r>
      <w:r w:rsidR="007525CC" w:rsidRPr="002A68EC">
        <w:rPr>
          <w:szCs w:val="27"/>
          <w:shd w:val="clear" w:color="auto" w:fill="FFFFFF"/>
        </w:rPr>
        <w:t xml:space="preserve">transparency </w:t>
      </w:r>
      <w:r w:rsidR="00B63810" w:rsidRPr="002A68EC">
        <w:rPr>
          <w:szCs w:val="27"/>
          <w:shd w:val="clear" w:color="auto" w:fill="FFFFFF"/>
        </w:rPr>
        <w:t xml:space="preserve">challenges in a public law context posed by </w:t>
      </w:r>
      <w:r w:rsidR="007525CC" w:rsidRPr="002A68EC">
        <w:rPr>
          <w:szCs w:val="27"/>
          <w:shd w:val="clear" w:color="auto" w:fill="FFFFFF"/>
        </w:rPr>
        <w:t xml:space="preserve">automated decision-making </w:t>
      </w:r>
      <w:r w:rsidR="00B63810" w:rsidRPr="002A68EC">
        <w:rPr>
          <w:szCs w:val="27"/>
          <w:shd w:val="clear" w:color="auto" w:fill="FFFFFF"/>
        </w:rPr>
        <w:t>– a problem termed “algorithmic opacity”.</w:t>
      </w:r>
      <w:r w:rsidR="00B63810" w:rsidRPr="002A68EC">
        <w:rPr>
          <w:rStyle w:val="FootnoteReference"/>
          <w:szCs w:val="27"/>
          <w:shd w:val="clear" w:color="auto" w:fill="FFFFFF"/>
        </w:rPr>
        <w:footnoteReference w:id="101"/>
      </w:r>
      <w:r w:rsidR="00B63810" w:rsidRPr="002A68EC">
        <w:rPr>
          <w:szCs w:val="27"/>
          <w:shd w:val="clear" w:color="auto" w:fill="FFFFFF"/>
        </w:rPr>
        <w:t xml:space="preserve"> </w:t>
      </w:r>
      <w:r w:rsidR="00875920" w:rsidRPr="002A68EC">
        <w:rPr>
          <w:szCs w:val="27"/>
          <w:shd w:val="clear" w:color="auto" w:fill="FFFFFF"/>
        </w:rPr>
        <w:t xml:space="preserve">The </w:t>
      </w:r>
      <w:r w:rsidR="00875920" w:rsidRPr="002A68EC">
        <w:t>Immigration Law Practitioners’ Association</w:t>
      </w:r>
      <w:r w:rsidR="00C07266" w:rsidRPr="002A68EC">
        <w:rPr>
          <w:szCs w:val="27"/>
          <w:shd w:val="clear" w:color="auto" w:fill="FFFFFF"/>
        </w:rPr>
        <w:t xml:space="preserve"> has also noted that in general </w:t>
      </w:r>
      <w:r w:rsidR="00B63810" w:rsidRPr="002A68EC">
        <w:rPr>
          <w:szCs w:val="27"/>
          <w:shd w:val="clear" w:color="auto" w:fill="FFFFFF"/>
        </w:rPr>
        <w:t>“</w:t>
      </w:r>
      <w:r w:rsidR="00C07266" w:rsidRPr="002A68EC">
        <w:t>DWP data quality is low</w:t>
      </w:r>
      <w:r w:rsidR="00B63810" w:rsidRPr="002A68EC">
        <w:t>”</w:t>
      </w:r>
      <w:r w:rsidR="00C07266" w:rsidRPr="002A68EC">
        <w:t xml:space="preserve">, resulting in </w:t>
      </w:r>
      <w:r w:rsidR="00B63810" w:rsidRPr="002A68EC">
        <w:t>“</w:t>
      </w:r>
      <w:r w:rsidR="00C07266" w:rsidRPr="002A68EC">
        <w:t>inconsistent</w:t>
      </w:r>
      <w:r w:rsidR="00B63810" w:rsidRPr="002A68EC">
        <w:t>”</w:t>
      </w:r>
      <w:r w:rsidR="00C07266" w:rsidRPr="002A68EC">
        <w:t xml:space="preserve"> data matching</w:t>
      </w:r>
      <w:r w:rsidR="007640D6" w:rsidRPr="002A68EC">
        <w:t>,</w:t>
      </w:r>
      <w:r w:rsidR="00875920" w:rsidRPr="002A68EC">
        <w:rPr>
          <w:rStyle w:val="FootnoteReference"/>
        </w:rPr>
        <w:footnoteReference w:id="102"/>
      </w:r>
      <w:r w:rsidR="007640D6" w:rsidRPr="002A68EC">
        <w:t xml:space="preserve"> but applicants are unlikely to be able to identify where the error has occurre</w:t>
      </w:r>
      <w:r w:rsidR="00A52673" w:rsidRPr="002A68EC">
        <w:t>d</w:t>
      </w:r>
      <w:r w:rsidR="00AE2B64" w:rsidRPr="002A68EC">
        <w:t>.</w:t>
      </w:r>
      <w:r w:rsidR="00AE2B64" w:rsidRPr="002A68EC">
        <w:rPr>
          <w:rStyle w:val="FootnoteReference"/>
        </w:rPr>
        <w:footnoteReference w:id="103"/>
      </w:r>
    </w:p>
    <w:p w14:paraId="5473B80D" w14:textId="6085B0CE" w:rsidR="005636DA" w:rsidRPr="002A68EC" w:rsidRDefault="005636DA" w:rsidP="002A68EC">
      <w:pPr>
        <w:shd w:val="clear" w:color="auto" w:fill="FFFFFF"/>
        <w:spacing w:after="120"/>
        <w:ind w:right="-52"/>
        <w:jc w:val="both"/>
      </w:pPr>
      <w:r w:rsidRPr="002A68EC">
        <w:t>Applicants may find it difficult to navigate the digital application platform – especially those with complex circumstances and evidence. While work per se is not necessary for settled status, the evidence considered relevant to demonstrating residence does lean towards work history and HMRC footprint.</w:t>
      </w:r>
      <w:r w:rsidRPr="002A68EC">
        <w:rPr>
          <w:rStyle w:val="FootnoteReference"/>
        </w:rPr>
        <w:footnoteReference w:id="104"/>
      </w:r>
      <w:r w:rsidRPr="002A68EC">
        <w:t xml:space="preserve"> People who have a choppy work history – perhaps having been in a long series of short term or casual contracts – may find it difficult to amass the documentation to cover all of the 60 months in a five year period. Where they can amass those documents, they then face the document limits imposed on the online portal – a 10 document limit – with a 6MB limit each, so they cannot even scan everything into large files to be uploaded.</w:t>
      </w:r>
      <w:r w:rsidR="00AF3AFA" w:rsidRPr="002A68EC">
        <w:rPr>
          <w:rStyle w:val="FootnoteReference"/>
        </w:rPr>
        <w:footnoteReference w:id="105"/>
      </w:r>
      <w:r w:rsidRPr="002A68EC">
        <w:t xml:space="preserve"> While caseworkers can </w:t>
      </w:r>
      <w:r w:rsidR="005E24A9" w:rsidRPr="002A68EC">
        <w:t xml:space="preserve">get involved and invite further evidence after an initial application, </w:t>
      </w:r>
      <w:r w:rsidR="00AF3AFA" w:rsidRPr="002A68EC">
        <w:t xml:space="preserve">there is still a risk of automatic refusal, while the difficulty in knowing what to upload creates a barrier to application in itself. </w:t>
      </w:r>
      <w:r w:rsidR="00246076" w:rsidRPr="002A68EC">
        <w:t>Some may have their applications deemed ‘invalid’ for, e.g. using the incorrect route, or because their proof of identity is not provided or accepted. Concerns have been raised over whether applicants will understand this outcome, and realise their application has not even been considered.</w:t>
      </w:r>
      <w:r w:rsidR="00246076" w:rsidRPr="002A68EC">
        <w:rPr>
          <w:rStyle w:val="FootnoteReference"/>
        </w:rPr>
        <w:footnoteReference w:id="106"/>
      </w:r>
      <w:r w:rsidR="00246076" w:rsidRPr="002A68EC">
        <w:t xml:space="preserve"> </w:t>
      </w:r>
    </w:p>
    <w:p w14:paraId="5F4BF78F" w14:textId="0AEC3B23" w:rsidR="00A60C55" w:rsidRPr="002A68EC" w:rsidRDefault="00604F77" w:rsidP="002A68EC">
      <w:pPr>
        <w:shd w:val="clear" w:color="auto" w:fill="FFFFFF"/>
        <w:spacing w:after="120"/>
        <w:ind w:right="-52"/>
        <w:jc w:val="both"/>
      </w:pPr>
      <w:r w:rsidRPr="002A68EC">
        <w:t>It is not just automation that creates a risk of error</w:t>
      </w:r>
      <w:r w:rsidR="007640D6" w:rsidRPr="002A68EC">
        <w:t xml:space="preserve"> – </w:t>
      </w:r>
      <w:r w:rsidR="00A52673" w:rsidRPr="002A68EC">
        <w:t xml:space="preserve">human </w:t>
      </w:r>
      <w:r w:rsidR="007640D6" w:rsidRPr="002A68EC">
        <w:t>decision</w:t>
      </w:r>
      <w:r w:rsidR="00A52673" w:rsidRPr="002A68EC">
        <w:t>-</w:t>
      </w:r>
      <w:r w:rsidRPr="002A68EC">
        <w:t xml:space="preserve">makers are fallible too, especially in circumstances where they are under enormous time pressure, face a substantially increased workload, and are coping with significant changes in rules and policy. </w:t>
      </w:r>
      <w:r w:rsidR="007525CC" w:rsidRPr="002A68EC">
        <w:t>D</w:t>
      </w:r>
      <w:r w:rsidR="00960C81" w:rsidRPr="002A68EC">
        <w:t xml:space="preserve">uring periods </w:t>
      </w:r>
      <w:r w:rsidR="00960C81" w:rsidRPr="002A68EC">
        <w:lastRenderedPageBreak/>
        <w:t>of legal transition, the risks of administrative injustice become more acute.</w:t>
      </w:r>
      <w:r w:rsidR="007640D6" w:rsidRPr="002A68EC">
        <w:rPr>
          <w:rStyle w:val="FootnoteReference"/>
        </w:rPr>
        <w:footnoteReference w:id="107"/>
      </w:r>
      <w:r w:rsidR="00960C81" w:rsidRPr="002A68EC">
        <w:t xml:space="preserve"> </w:t>
      </w:r>
      <w:r w:rsidR="007640D6" w:rsidRPr="002A68EC">
        <w:t>D</w:t>
      </w:r>
      <w:r w:rsidR="00960C81" w:rsidRPr="002A68EC">
        <w:t>ecision maker confusion</w:t>
      </w:r>
      <w:r w:rsidR="007640D6" w:rsidRPr="002A68EC">
        <w:t xml:space="preserve"> is heightened</w:t>
      </w:r>
      <w:r w:rsidR="00960C81" w:rsidRPr="002A68EC">
        <w:t xml:space="preserve">, and the </w:t>
      </w:r>
      <w:r w:rsidR="006E5395" w:rsidRPr="002A68EC">
        <w:t>complex rules are often accompanied with reams of decision maker guidance</w:t>
      </w:r>
      <w:r w:rsidR="007640D6" w:rsidRPr="002A68EC">
        <w:t>,</w:t>
      </w:r>
      <w:r w:rsidR="006E5395" w:rsidRPr="002A68EC">
        <w:t xml:space="preserve"> produced at speed, </w:t>
      </w:r>
      <w:r w:rsidR="007640D6" w:rsidRPr="002A68EC">
        <w:t>without</w:t>
      </w:r>
      <w:r w:rsidR="006E5395" w:rsidRPr="002A68EC">
        <w:t xml:space="preserve"> parliamentary scrutiny</w:t>
      </w:r>
      <w:r w:rsidR="007640D6" w:rsidRPr="002A68EC">
        <w:t xml:space="preserve">, </w:t>
      </w:r>
      <w:r w:rsidR="006E5395" w:rsidRPr="002A68EC">
        <w:t xml:space="preserve">and susceptible to inaccuracy. </w:t>
      </w:r>
      <w:r w:rsidR="007525CC" w:rsidRPr="002A68EC">
        <w:t>But this hastily compiled</w:t>
      </w:r>
      <w:r w:rsidR="006E5395" w:rsidRPr="002A68EC">
        <w:t xml:space="preserve"> guidance effectively </w:t>
      </w:r>
      <w:r w:rsidR="007525CC" w:rsidRPr="002A68EC">
        <w:t>displaces</w:t>
      </w:r>
      <w:r w:rsidR="006E5395" w:rsidRPr="002A68EC">
        <w:t xml:space="preserve"> the law when dealing with decision makers who announce that they </w:t>
      </w:r>
      <w:r w:rsidR="008F12B4" w:rsidRPr="002A68EC">
        <w:t>“</w:t>
      </w:r>
      <w:r w:rsidR="006E5395" w:rsidRPr="002A68EC">
        <w:t>do not look at the law – just the guidance</w:t>
      </w:r>
      <w:r w:rsidR="008F12B4" w:rsidRPr="002A68EC">
        <w:t>”</w:t>
      </w:r>
      <w:r w:rsidR="006E5395" w:rsidRPr="002A68EC">
        <w:t>.</w:t>
      </w:r>
      <w:r w:rsidR="008C746C" w:rsidRPr="002A68EC">
        <w:rPr>
          <w:rStyle w:val="FootnoteReference"/>
        </w:rPr>
        <w:footnoteReference w:id="108"/>
      </w:r>
      <w:r w:rsidR="006E5395" w:rsidRPr="002A68EC">
        <w:t xml:space="preserve"> Brexit</w:t>
      </w:r>
      <w:r w:rsidR="007640D6" w:rsidRPr="002A68EC">
        <w:t xml:space="preserve"> </w:t>
      </w:r>
      <w:r w:rsidR="006E5395" w:rsidRPr="002A68EC">
        <w:t>is a mammoth legal transition</w:t>
      </w:r>
      <w:r w:rsidR="007640D6" w:rsidRPr="002A68EC">
        <w:t>, and these problems are not going to become less pressing.</w:t>
      </w:r>
      <w:r w:rsidR="006E5395" w:rsidRPr="002A68EC">
        <w:t xml:space="preserve"> </w:t>
      </w:r>
      <w:r w:rsidR="007640D6" w:rsidRPr="002A68EC">
        <w:t>The</w:t>
      </w:r>
      <w:r w:rsidR="006E5395" w:rsidRPr="002A68EC">
        <w:t xml:space="preserve"> schemes completely erase existing residence rights, while creating new ones and instituting a mandatory application scheme for </w:t>
      </w:r>
      <w:r w:rsidR="009E1BF7">
        <w:t>millions of</w:t>
      </w:r>
      <w:r w:rsidR="006E5395" w:rsidRPr="002A68EC">
        <w:t xml:space="preserve"> EU nationals resident in the UK. </w:t>
      </w:r>
      <w:r w:rsidR="008C746C" w:rsidRPr="002A68EC">
        <w:t>When we factor in the transformation of rights of newly arrived EU migrants,</w:t>
      </w:r>
      <w:r w:rsidR="007525CC" w:rsidRPr="002A68EC">
        <w:rPr>
          <w:rStyle w:val="FootnoteReference"/>
        </w:rPr>
        <w:footnoteReference w:id="109"/>
      </w:r>
      <w:r w:rsidR="008C746C" w:rsidRPr="002A68EC">
        <w:t xml:space="preserve"> the various constellations of complexity come into sharper focus still. There will be multiple </w:t>
      </w:r>
      <w:r w:rsidR="007640D6" w:rsidRPr="002A68EC">
        <w:t xml:space="preserve">overlapping </w:t>
      </w:r>
      <w:r w:rsidR="008C746C" w:rsidRPr="002A68EC">
        <w:t>immigration regimes</w:t>
      </w:r>
      <w:r w:rsidR="007640D6" w:rsidRPr="002A68EC">
        <w:t xml:space="preserve"> </w:t>
      </w:r>
      <w:r w:rsidR="008C746C" w:rsidRPr="002A68EC">
        <w:t xml:space="preserve">each carrying different entitlements, and requiring different forms of evidence, and conferring different rights upon family members. There will be people under the ‘old’ regime who have not yet registered; people who have registered, and are then </w:t>
      </w:r>
      <w:r w:rsidR="008F12B4" w:rsidRPr="002A68EC">
        <w:t>divid</w:t>
      </w:r>
      <w:r w:rsidR="008C746C" w:rsidRPr="002A68EC">
        <w:t>ed into settled</w:t>
      </w:r>
      <w:r w:rsidR="007640D6" w:rsidRPr="002A68EC">
        <w:t xml:space="preserve"> or </w:t>
      </w:r>
      <w:r w:rsidR="008C746C" w:rsidRPr="002A68EC">
        <w:t xml:space="preserve">pre-settled; people </w:t>
      </w:r>
      <w:r w:rsidR="007525CC" w:rsidRPr="002A68EC">
        <w:t xml:space="preserve">with different rights during the ‘grace’ period depending on whether or not they have </w:t>
      </w:r>
      <w:r w:rsidR="00794956" w:rsidRPr="002A68EC">
        <w:t>registered</w:t>
      </w:r>
      <w:r w:rsidR="007640D6" w:rsidRPr="002A68EC">
        <w:t>;</w:t>
      </w:r>
      <w:r w:rsidR="00794956" w:rsidRPr="002A68EC">
        <w:rPr>
          <w:rStyle w:val="FootnoteReference"/>
        </w:rPr>
        <w:footnoteReference w:id="110"/>
      </w:r>
      <w:r w:rsidR="007640D6" w:rsidRPr="002A68EC">
        <w:t xml:space="preserve"> </w:t>
      </w:r>
      <w:r w:rsidR="008C746C" w:rsidRPr="002A68EC">
        <w:t xml:space="preserve">and people who arrive </w:t>
      </w:r>
      <w:r w:rsidR="009E1BF7">
        <w:t>post-</w:t>
      </w:r>
      <w:r w:rsidR="008C746C" w:rsidRPr="002A68EC">
        <w:t>transition and are subject to the new immigration regime, provided for in the Immigration and Social Security Coordination Bill,</w:t>
      </w:r>
      <w:r w:rsidR="00910396" w:rsidRPr="002A68EC">
        <w:rPr>
          <w:rStyle w:val="FootnoteReference"/>
        </w:rPr>
        <w:footnoteReference w:id="111"/>
      </w:r>
      <w:r w:rsidR="008C746C" w:rsidRPr="002A68EC">
        <w:t xml:space="preserve"> which will be starkly different.</w:t>
      </w:r>
      <w:r w:rsidR="00910396" w:rsidRPr="002A68EC">
        <w:rPr>
          <w:rStyle w:val="FootnoteReference"/>
        </w:rPr>
        <w:footnoteReference w:id="112"/>
      </w:r>
      <w:r w:rsidR="008C746C" w:rsidRPr="002A68EC">
        <w:t xml:space="preserve"> </w:t>
      </w:r>
    </w:p>
    <w:p w14:paraId="404AF87C" w14:textId="77777777" w:rsidR="00A60C55" w:rsidRPr="002A68EC" w:rsidRDefault="00A60C55" w:rsidP="002A68EC">
      <w:pPr>
        <w:shd w:val="clear" w:color="auto" w:fill="FFFFFF"/>
        <w:spacing w:after="120"/>
        <w:ind w:right="-52"/>
        <w:jc w:val="both"/>
      </w:pPr>
    </w:p>
    <w:p w14:paraId="15F6C3A6" w14:textId="00651107" w:rsidR="00665DFA" w:rsidRPr="002A68EC" w:rsidRDefault="00665DFA" w:rsidP="002A68EC">
      <w:pPr>
        <w:pStyle w:val="Heading3"/>
        <w:spacing w:before="0" w:after="120"/>
        <w:jc w:val="both"/>
        <w:rPr>
          <w:rFonts w:ascii="Times New Roman" w:hAnsi="Times New Roman" w:cs="Times New Roman (Headings CS)"/>
          <w:color w:val="auto"/>
        </w:rPr>
      </w:pPr>
      <w:r w:rsidRPr="002A68EC">
        <w:rPr>
          <w:rFonts w:ascii="Times New Roman" w:hAnsi="Times New Roman" w:cs="Times New Roman (Headings CS)"/>
          <w:color w:val="auto"/>
        </w:rPr>
        <w:t xml:space="preserve">4.3 </w:t>
      </w:r>
      <w:r w:rsidRPr="002A68EC">
        <w:rPr>
          <w:rFonts w:ascii="Times New Roman" w:hAnsi="Times New Roman" w:cs="Times New Roman (Headings CS)"/>
          <w:i/>
          <w:iCs/>
          <w:color w:val="auto"/>
        </w:rPr>
        <w:t>A disaster waiting to happen: refusals, delays and misclassifications</w:t>
      </w:r>
      <w:r w:rsidRPr="002A68EC">
        <w:rPr>
          <w:rFonts w:ascii="Times New Roman" w:hAnsi="Times New Roman" w:cs="Times New Roman (Headings CS)"/>
          <w:color w:val="auto"/>
        </w:rPr>
        <w:t xml:space="preserve"> </w:t>
      </w:r>
    </w:p>
    <w:p w14:paraId="178915CF" w14:textId="67E51B42" w:rsidR="00E577FF" w:rsidRPr="00E577FF" w:rsidRDefault="007F6031" w:rsidP="00E577FF">
      <w:pPr>
        <w:spacing w:after="120"/>
        <w:jc w:val="both"/>
      </w:pPr>
      <w:r w:rsidRPr="002A68EC">
        <w:t>Refusals of status are on the increase</w:t>
      </w:r>
      <w:r w:rsidR="00D175E7" w:rsidRPr="002A68EC">
        <w:t xml:space="preserve">; </w:t>
      </w:r>
      <w:r w:rsidRPr="002A68EC">
        <w:t>having been at a very low level to start with,</w:t>
      </w:r>
      <w:r w:rsidR="00D175E7" w:rsidRPr="002A68EC">
        <w:rPr>
          <w:rStyle w:val="FootnoteReference"/>
        </w:rPr>
        <w:footnoteReference w:id="113"/>
      </w:r>
      <w:r w:rsidR="00D175E7" w:rsidRPr="002A68EC">
        <w:t xml:space="preserve"> as of September 2020 there had been 16 600 refusals (and no information available on following up those cases).</w:t>
      </w:r>
      <w:r w:rsidRPr="002A68EC">
        <w:t xml:space="preserve"> </w:t>
      </w:r>
      <w:r w:rsidR="00246076" w:rsidRPr="002A68EC">
        <w:t>There are is also a mounting backlog of delayed decisions</w:t>
      </w:r>
      <w:r w:rsidR="00246076" w:rsidRPr="002A68EC">
        <w:rPr>
          <w:rStyle w:val="FootnoteReference"/>
        </w:rPr>
        <w:footnoteReference w:id="114"/>
      </w:r>
      <w:r w:rsidR="00246076" w:rsidRPr="002A68EC">
        <w:t xml:space="preserve"> – which, as well as creating a significant problem in itself for applicants,</w:t>
      </w:r>
      <w:r w:rsidR="00246076" w:rsidRPr="002A68EC">
        <w:rPr>
          <w:rStyle w:val="FootnoteReference"/>
        </w:rPr>
        <w:footnoteReference w:id="115"/>
      </w:r>
      <w:r w:rsidR="00246076" w:rsidRPr="002A68EC">
        <w:t xml:space="preserve"> may indicate cases that are missing evidence and might eventually result in a refusal. </w:t>
      </w:r>
      <w:r w:rsidR="00723399">
        <w:t xml:space="preserve">One group of applicants facing </w:t>
      </w:r>
      <w:r w:rsidR="00D175E7" w:rsidRPr="002A68EC">
        <w:t xml:space="preserve">starkly higher refusal rates </w:t>
      </w:r>
      <w:r w:rsidR="00723399">
        <w:t xml:space="preserve">is that of </w:t>
      </w:r>
      <w:r w:rsidR="00723399">
        <w:rPr>
          <w:i/>
          <w:iCs/>
        </w:rPr>
        <w:t>Zambrano</w:t>
      </w:r>
      <w:r w:rsidR="00723399">
        <w:t xml:space="preserve"> carers – relying on the </w:t>
      </w:r>
      <w:r w:rsidR="00723399">
        <w:rPr>
          <w:i/>
          <w:iCs/>
        </w:rPr>
        <w:t>Zambrano</w:t>
      </w:r>
      <w:r w:rsidR="00723399" w:rsidRPr="00723399">
        <w:rPr>
          <w:rStyle w:val="FootnoteReference"/>
        </w:rPr>
        <w:footnoteReference w:id="116"/>
      </w:r>
      <w:r w:rsidR="00723399" w:rsidRPr="00723399">
        <w:t xml:space="preserve"> </w:t>
      </w:r>
      <w:r w:rsidR="00723399">
        <w:t xml:space="preserve">case in which it was found that non-mobile children in the Member State of their nationality, had a right rooted in their EU citizenship not to be de facto expelled from the EU, through a refusal to grant a residence right to their third country national parent. As this is a right granted to own-nationals in their home state, and UK nationals will cease to have EU citizenship by virtue of UK </w:t>
      </w:r>
      <w:r w:rsidR="00723399">
        <w:lastRenderedPageBreak/>
        <w:t xml:space="preserve">nationality, </w:t>
      </w:r>
      <w:r w:rsidR="00723399">
        <w:rPr>
          <w:i/>
          <w:iCs/>
        </w:rPr>
        <w:t>Zambrano</w:t>
      </w:r>
      <w:r w:rsidR="00723399">
        <w:t xml:space="preserve"> rights fall outside of the scope of the Withdrawal Agreement. However, the UK government has decided to extend the settled status scheme to Zambrano carers (resident before the end of transition). But</w:t>
      </w:r>
      <w:r w:rsidR="00D175E7" w:rsidRPr="002A68EC">
        <w:t xml:space="preserve"> as of June 2020 there was a 61% refusal rate for </w:t>
      </w:r>
      <w:r w:rsidR="00D175E7" w:rsidRPr="002A68EC">
        <w:rPr>
          <w:i/>
          <w:iCs/>
        </w:rPr>
        <w:t>Zambrano</w:t>
      </w:r>
      <w:r w:rsidR="00D175E7" w:rsidRPr="002A68EC">
        <w:t xml:space="preserve"> applications to the scheme,</w:t>
      </w:r>
      <w:r w:rsidR="00B8219D" w:rsidRPr="002A68EC">
        <w:rPr>
          <w:rStyle w:val="FootnoteReference"/>
        </w:rPr>
        <w:footnoteReference w:id="117"/>
      </w:r>
      <w:r w:rsidR="00D175E7" w:rsidRPr="002A68EC">
        <w:t xml:space="preserve"> compared to less than 1% for claims based on other derivative rights, and an overall refusal rate of 0.09% (0.4% by September). </w:t>
      </w:r>
      <w:r w:rsidR="00723399">
        <w:t xml:space="preserve">This is likely influenced by the </w:t>
      </w:r>
      <w:r w:rsidR="00D316BD">
        <w:t xml:space="preserve">guidance, which draws upon the UK’s </w:t>
      </w:r>
      <w:r w:rsidR="002F0A3A">
        <w:t xml:space="preserve">established, </w:t>
      </w:r>
      <w:r w:rsidR="00D316BD">
        <w:t xml:space="preserve">highly restrictive approach </w:t>
      </w:r>
      <w:r w:rsidR="002F0A3A">
        <w:t xml:space="preserve">(even while an EU member state) </w:t>
      </w:r>
      <w:r w:rsidR="00D316BD">
        <w:t xml:space="preserve">to defining </w:t>
      </w:r>
      <w:r w:rsidR="00D316BD">
        <w:rPr>
          <w:i/>
          <w:iCs/>
        </w:rPr>
        <w:t>Zambrano</w:t>
      </w:r>
      <w:r w:rsidR="00D316BD">
        <w:t xml:space="preserve"> carers. </w:t>
      </w:r>
      <w:r w:rsidR="00D03914">
        <w:t xml:space="preserve">The guidance states that </w:t>
      </w:r>
      <w:r w:rsidR="005C7E34">
        <w:t xml:space="preserve">an EUSS applicant cannot be a </w:t>
      </w:r>
      <w:r w:rsidR="005C7E34">
        <w:rPr>
          <w:i/>
          <w:iCs/>
        </w:rPr>
        <w:t xml:space="preserve">Zambrano </w:t>
      </w:r>
      <w:r w:rsidR="005C7E34">
        <w:t>carer where they have not previously made a separate application to reside based on Article 8 ECHR, under different immigration rules, but where there would have been a realistic prospect of success of an Article 8 claim.</w:t>
      </w:r>
      <w:bookmarkStart w:id="24" w:name="_Ref60825184"/>
      <w:r w:rsidR="005C7E34">
        <w:rPr>
          <w:rStyle w:val="FootnoteReference"/>
        </w:rPr>
        <w:footnoteReference w:id="118"/>
      </w:r>
      <w:bookmarkEnd w:id="24"/>
      <w:r w:rsidR="005C7E34">
        <w:t xml:space="preserve"> (The pre-EUSS guidance required decision makers to refuse a </w:t>
      </w:r>
      <w:r w:rsidR="005C7E34">
        <w:rPr>
          <w:i/>
          <w:iCs/>
        </w:rPr>
        <w:t xml:space="preserve">Zambrano </w:t>
      </w:r>
      <w:r w:rsidR="005C7E34">
        <w:t>right to reside where no Article 8 claim had been made, if that avenue was available).</w:t>
      </w:r>
      <w:r w:rsidR="005C7E34">
        <w:rPr>
          <w:rStyle w:val="FootnoteReference"/>
        </w:rPr>
        <w:footnoteReference w:id="119"/>
      </w:r>
      <w:r w:rsidR="005C7E34">
        <w:t xml:space="preserve"> Moreover, the guidance states that an application to the EUSS as a Zambrano carer must be refused if there are suitable ‘alternative care’ arrangements for the British citizen child. While paying lip service to the ECJ finding that </w:t>
      </w:r>
      <w:r w:rsidR="005C7E34">
        <w:rPr>
          <w:i/>
          <w:iCs/>
        </w:rPr>
        <w:t>Zambrano</w:t>
      </w:r>
      <w:r w:rsidR="005C7E34">
        <w:t xml:space="preserve"> status decisions must take the best interests of the child into account, before summarily transferring primary carership</w:t>
      </w:r>
      <w:r w:rsidR="00E577FF">
        <w:t>, the guidance nevertheless continues to insist that neither a ‘</w:t>
      </w:r>
      <w:r w:rsidR="00E577FF" w:rsidRPr="00E577FF">
        <w:t>lack of financial resources</w:t>
      </w:r>
      <w:r w:rsidR="00E577FF">
        <w:t>’ nor a ‘</w:t>
      </w:r>
      <w:r w:rsidR="00E577FF" w:rsidRPr="00E577FF">
        <w:t>lack of willingness to assume caring responsibilities</w:t>
      </w:r>
      <w:r w:rsidR="00E577FF">
        <w:t>’ would</w:t>
      </w:r>
      <w:r w:rsidR="00E577FF" w:rsidRPr="00E577FF">
        <w:t xml:space="preserve"> </w:t>
      </w:r>
      <w:r w:rsidR="00E577FF">
        <w:t>‘</w:t>
      </w:r>
      <w:r w:rsidR="00E577FF" w:rsidRPr="00E577FF">
        <w:t>be a sufficient basis for a person to claim they are (or were) unable to care for the child</w:t>
      </w:r>
      <w:r w:rsidR="00E577FF">
        <w:t>’</w:t>
      </w:r>
      <w:r w:rsidR="00E577FF" w:rsidRPr="00E577FF">
        <w:t>.</w:t>
      </w:r>
      <w:r w:rsidR="00E577FF">
        <w:rPr>
          <w:rStyle w:val="FootnoteReference"/>
        </w:rPr>
        <w:footnoteReference w:id="120"/>
      </w:r>
    </w:p>
    <w:p w14:paraId="3D3F9DC9" w14:textId="39BDFF7F" w:rsidR="00604F77" w:rsidRPr="002A68EC" w:rsidRDefault="0076699F" w:rsidP="002A68EC">
      <w:pPr>
        <w:spacing w:after="120"/>
        <w:jc w:val="both"/>
      </w:pPr>
      <w:r w:rsidRPr="002A68EC">
        <w:t xml:space="preserve">As well as refusal, </w:t>
      </w:r>
      <w:r w:rsidR="00CE6727" w:rsidRPr="002A68EC">
        <w:t>there may be decisions misclassifying applicants as pre-settled instead of</w:t>
      </w:r>
      <w:r w:rsidRPr="002A68EC">
        <w:t xml:space="preserve"> settled. As of September 2020, 42% (over 1.4 million) of applications resulted in pre-settled status.</w:t>
      </w:r>
      <w:r w:rsidR="00DD7DDF">
        <w:t xml:space="preserve"> </w:t>
      </w:r>
      <w:r w:rsidR="00F67019" w:rsidRPr="002A68EC">
        <w:t xml:space="preserve">Judicial appeal rights </w:t>
      </w:r>
      <w:r w:rsidR="00723399">
        <w:t xml:space="preserve">were only </w:t>
      </w:r>
      <w:r w:rsidR="00F67019" w:rsidRPr="002A68EC">
        <w:t>introduced</w:t>
      </w:r>
      <w:r w:rsidR="00723399">
        <w:t xml:space="preserve"> in 2020</w:t>
      </w:r>
      <w:r w:rsidR="00F67019" w:rsidRPr="002A68EC">
        <w:t>,</w:t>
      </w:r>
      <w:r w:rsidR="00F67019" w:rsidRPr="002A68EC">
        <w:rPr>
          <w:rStyle w:val="FootnoteReference"/>
        </w:rPr>
        <w:footnoteReference w:id="121"/>
      </w:r>
      <w:r w:rsidR="00F67019" w:rsidRPr="002A68EC">
        <w:t xml:space="preserve"> but as figures on that route are not yet available, </w:t>
      </w:r>
      <w:r w:rsidR="00D175E7" w:rsidRPr="002A68EC">
        <w:t xml:space="preserve">the most </w:t>
      </w:r>
      <w:r w:rsidR="00F67019" w:rsidRPr="002A68EC">
        <w:t>useful data</w:t>
      </w:r>
      <w:r w:rsidR="00D175E7" w:rsidRPr="002A68EC">
        <w:t xml:space="preserve"> we have </w:t>
      </w:r>
      <w:r w:rsidR="00F67019" w:rsidRPr="002A68EC">
        <w:t xml:space="preserve">on erroneous decision-making </w:t>
      </w:r>
      <w:r w:rsidR="00D175E7" w:rsidRPr="002A68EC">
        <w:t>relate to administrative review requested of settled status decisions</w:t>
      </w:r>
      <w:r w:rsidR="00F67019" w:rsidRPr="002A68EC">
        <w:t xml:space="preserve"> – administrative review having been possible since the start of the scheme</w:t>
      </w:r>
      <w:r w:rsidR="00D175E7" w:rsidRPr="002A68EC">
        <w:t>.</w:t>
      </w:r>
      <w:r w:rsidRPr="002A68EC">
        <w:t xml:space="preserve"> The Public Law Project found that in September 2019 that the application rate for administrative review of EUSS decisions was unusually low, (there had been review requests for only 0.05% of decisions that might be eligible for review – ie granting pre-settled status or ‘other outcomes’) combined with an exceptionally high success rate – 89.5% of applications for review resulted in the overturning of the challenged decision. As Tomlinson and Welsh note, this success rate </w:t>
      </w:r>
      <w:r w:rsidR="00F67019" w:rsidRPr="002A68EC">
        <w:t>“</w:t>
      </w:r>
      <w:r w:rsidRPr="002A68EC">
        <w:t>is drastically higher than other Home Office administrative reviews, which were recorded in 2015/16 as 8%, falling to 3.4% in 2016/17</w:t>
      </w:r>
      <w:r w:rsidR="00F67019" w:rsidRPr="002A68EC">
        <w:t>”</w:t>
      </w:r>
      <w:r w:rsidRPr="002A68EC">
        <w:t>.</w:t>
      </w:r>
      <w:r w:rsidRPr="002A68EC">
        <w:rPr>
          <w:rStyle w:val="FootnoteReference"/>
        </w:rPr>
        <w:footnoteReference w:id="122"/>
      </w:r>
      <w:r w:rsidRPr="002A68EC">
        <w:t xml:space="preserve">  </w:t>
      </w:r>
      <w:r w:rsidR="00604F77" w:rsidRPr="002A68EC">
        <w:t>The combination of a very low review</w:t>
      </w:r>
      <w:r w:rsidR="00A57CFD" w:rsidRPr="002A68EC">
        <w:t>-</w:t>
      </w:r>
      <w:r w:rsidR="00604F77" w:rsidRPr="002A68EC">
        <w:t xml:space="preserve">request rate, combined with a very high success rate should set administrative justice alarm bells ringing; it suggests that a large number of people are misclassified who do not challenge the original classification. </w:t>
      </w:r>
      <w:r w:rsidR="001029E3" w:rsidRPr="002A68EC">
        <w:t>This could be for a number of reasons – lack of awareness of how the original decision was reached</w:t>
      </w:r>
      <w:r w:rsidR="007640D6" w:rsidRPr="002A68EC">
        <w:t xml:space="preserve"> and </w:t>
      </w:r>
      <w:r w:rsidR="001029E3" w:rsidRPr="002A68EC">
        <w:t xml:space="preserve">of what </w:t>
      </w:r>
      <w:r w:rsidR="001029E3" w:rsidRPr="002A68EC">
        <w:lastRenderedPageBreak/>
        <w:t>evidence was/was not considered</w:t>
      </w:r>
      <w:r w:rsidR="008F12B4" w:rsidRPr="002A68EC">
        <w:t xml:space="preserve">, or </w:t>
      </w:r>
      <w:r w:rsidR="001029E3" w:rsidRPr="002A68EC">
        <w:t>difficulties adducing the necessary evidence</w:t>
      </w:r>
      <w:r w:rsidR="007640D6" w:rsidRPr="002A68EC">
        <w:t xml:space="preserve">. </w:t>
      </w:r>
      <w:r w:rsidRPr="002A68EC">
        <w:t>And</w:t>
      </w:r>
      <w:r w:rsidR="001029E3" w:rsidRPr="002A68EC">
        <w:t xml:space="preserve"> </w:t>
      </w:r>
      <w:r w:rsidR="007640D6" w:rsidRPr="002A68EC">
        <w:t>there is likely a</w:t>
      </w:r>
      <w:r w:rsidR="001029E3" w:rsidRPr="002A68EC">
        <w:t xml:space="preserve"> low understanding of the importance of getting settled, rather than pre-settled status – applicants may</w:t>
      </w:r>
      <w:r w:rsidR="008F12B4" w:rsidRPr="002A68EC">
        <w:t xml:space="preserve"> not</w:t>
      </w:r>
      <w:r w:rsidR="001029E3" w:rsidRPr="002A68EC">
        <w:t xml:space="preserve"> think it </w:t>
      </w:r>
      <w:r w:rsidR="008F12B4" w:rsidRPr="002A68EC">
        <w:t>makes</w:t>
      </w:r>
      <w:r w:rsidR="001029E3" w:rsidRPr="002A68EC">
        <w:t xml:space="preserve"> much difference.</w:t>
      </w:r>
    </w:p>
    <w:p w14:paraId="290F7003" w14:textId="0F80AE72" w:rsidR="001029E3" w:rsidRPr="002A68EC" w:rsidRDefault="001029E3" w:rsidP="002A68EC">
      <w:pPr>
        <w:spacing w:after="120"/>
        <w:jc w:val="both"/>
      </w:pPr>
      <w:r w:rsidRPr="002A68EC">
        <w:t>But the c</w:t>
      </w:r>
      <w:r w:rsidR="00F648AA" w:rsidRPr="002A68EC">
        <w:t>orrect classification is important</w:t>
      </w:r>
      <w:r w:rsidR="00B403E7" w:rsidRPr="002A68EC">
        <w:t>, not least due to t</w:t>
      </w:r>
      <w:r w:rsidR="00F648AA" w:rsidRPr="002A68EC">
        <w:t>he insecurity of pre-settled status</w:t>
      </w:r>
      <w:r w:rsidR="007640D6" w:rsidRPr="002A68EC">
        <w:t>. I</w:t>
      </w:r>
      <w:r w:rsidR="0024158B" w:rsidRPr="002A68EC">
        <w:t xml:space="preserve">t is valid for five years, after which it is expected that applicants will re-apply for settled status. </w:t>
      </w:r>
      <w:r w:rsidR="00D368DD" w:rsidRPr="002A68EC">
        <w:t>Th</w:t>
      </w:r>
      <w:r w:rsidR="0024158B" w:rsidRPr="002A68EC">
        <w:t xml:space="preserve">e government has not </w:t>
      </w:r>
      <w:r w:rsidR="00AF3AFA" w:rsidRPr="002A68EC">
        <w:t xml:space="preserve">yet </w:t>
      </w:r>
      <w:r w:rsidR="0024158B" w:rsidRPr="002A68EC">
        <w:t xml:space="preserve">produced any details about the process </w:t>
      </w:r>
      <w:r w:rsidR="007640D6" w:rsidRPr="002A68EC">
        <w:t>but has</w:t>
      </w:r>
      <w:r w:rsidR="0024158B" w:rsidRPr="002A68EC">
        <w:t xml:space="preserve"> rejected </w:t>
      </w:r>
      <w:r w:rsidR="007640D6" w:rsidRPr="002A68EC">
        <w:t>the possibility of automatic transition</w:t>
      </w:r>
      <w:r w:rsidR="0024158B" w:rsidRPr="002A68EC">
        <w:t>.</w:t>
      </w:r>
      <w:r w:rsidR="00126F75" w:rsidRPr="002A68EC">
        <w:rPr>
          <w:rStyle w:val="FootnoteReference"/>
        </w:rPr>
        <w:footnoteReference w:id="123"/>
      </w:r>
      <w:r w:rsidR="0024158B" w:rsidRPr="002A68EC">
        <w:t xml:space="preserve"> </w:t>
      </w:r>
      <w:r w:rsidR="007640D6" w:rsidRPr="002A68EC">
        <w:t>This</w:t>
      </w:r>
      <w:r w:rsidR="0024158B" w:rsidRPr="002A68EC">
        <w:t xml:space="preserve"> creates another point of friction</w:t>
      </w:r>
      <w:r w:rsidR="007640D6" w:rsidRPr="002A68EC">
        <w:t xml:space="preserve">, and </w:t>
      </w:r>
      <w:r w:rsidR="0024158B" w:rsidRPr="002A68EC">
        <w:t xml:space="preserve">another opportunity for the vulnerable to fall through the gaps. The risk </w:t>
      </w:r>
      <w:r w:rsidR="007640D6" w:rsidRPr="002A68EC">
        <w:t xml:space="preserve">that </w:t>
      </w:r>
      <w:r w:rsidR="0024158B" w:rsidRPr="002A68EC">
        <w:t xml:space="preserve">a second deadline </w:t>
      </w:r>
      <w:r w:rsidR="007640D6" w:rsidRPr="002A68EC">
        <w:t xml:space="preserve">will be </w:t>
      </w:r>
      <w:r w:rsidR="0024158B" w:rsidRPr="002A68EC">
        <w:t xml:space="preserve">missed </w:t>
      </w:r>
      <w:r w:rsidR="007640D6" w:rsidRPr="002A68EC">
        <w:t>is</w:t>
      </w:r>
      <w:r w:rsidR="0024158B" w:rsidRPr="002A68EC">
        <w:t xml:space="preserve"> substantial – people might not understand the need to re-apply; they might forget; or the circumstances of relevant individuals might change. For example, someone might lose capacity</w:t>
      </w:r>
      <w:r w:rsidR="00E11EC1" w:rsidRPr="002A68EC">
        <w:t xml:space="preserve">, and their carers be unaware of the pending new deadline. Or children whose care arrangements change might become dependent upon people who do not know that they only have a temporary registration. </w:t>
      </w:r>
      <w:r w:rsidR="007640D6" w:rsidRPr="002A68EC">
        <w:t>And each</w:t>
      </w:r>
      <w:r w:rsidR="00E11EC1" w:rsidRPr="002A68EC">
        <w:t xml:space="preserve"> applicant will have a different new deadline depending on when their pre-settled status was granted, so it will not be possible to have a high</w:t>
      </w:r>
      <w:r w:rsidR="00EE18B5" w:rsidRPr="002A68EC">
        <w:t>-</w:t>
      </w:r>
      <w:r w:rsidR="00E11EC1" w:rsidRPr="002A68EC">
        <w:t>profile campaign concentrated around a specific single date.</w:t>
      </w:r>
      <w:r w:rsidR="007640D6" w:rsidRPr="002A68EC">
        <w:t xml:space="preserve"> T</w:t>
      </w:r>
      <w:r w:rsidR="009A1D13" w:rsidRPr="002A68EC">
        <w:t xml:space="preserve">he cliff edge </w:t>
      </w:r>
      <w:r w:rsidR="007640D6" w:rsidRPr="002A68EC">
        <w:t xml:space="preserve">will fragment </w:t>
      </w:r>
      <w:r w:rsidR="009A1D13" w:rsidRPr="002A68EC">
        <w:t xml:space="preserve">into multiple </w:t>
      </w:r>
      <w:r w:rsidR="00B42CA1" w:rsidRPr="002A68EC">
        <w:t xml:space="preserve">personalised </w:t>
      </w:r>
      <w:r w:rsidR="009A1D13" w:rsidRPr="002A68EC">
        <w:t xml:space="preserve">cliff edges. There are no </w:t>
      </w:r>
      <w:r w:rsidR="007640D6" w:rsidRPr="002A68EC">
        <w:t xml:space="preserve">current </w:t>
      </w:r>
      <w:r w:rsidR="009A1D13" w:rsidRPr="002A68EC">
        <w:t>plans to provide for an exten</w:t>
      </w:r>
      <w:r w:rsidR="007640D6" w:rsidRPr="002A68EC">
        <w:t>sion of</w:t>
      </w:r>
      <w:r w:rsidR="009A1D13" w:rsidRPr="002A68EC">
        <w:t xml:space="preserve"> </w:t>
      </w:r>
      <w:r w:rsidR="007640D6" w:rsidRPr="002A68EC">
        <w:t>pre-settled</w:t>
      </w:r>
      <w:r w:rsidR="009A1D13" w:rsidRPr="002A68EC">
        <w:t xml:space="preserve"> status</w:t>
      </w:r>
      <w:r w:rsidR="007640D6" w:rsidRPr="002A68EC">
        <w:t xml:space="preserve">, so </w:t>
      </w:r>
      <w:r w:rsidR="009A1D13" w:rsidRPr="002A68EC">
        <w:t xml:space="preserve">people </w:t>
      </w:r>
      <w:r w:rsidR="007640D6" w:rsidRPr="002A68EC">
        <w:t>may well</w:t>
      </w:r>
      <w:r w:rsidR="009A1D13" w:rsidRPr="002A68EC">
        <w:t xml:space="preserve"> face the same evidential obstacles </w:t>
      </w:r>
      <w:r w:rsidR="007640D6" w:rsidRPr="002A68EC">
        <w:t>as</w:t>
      </w:r>
      <w:r w:rsidR="009A1D13" w:rsidRPr="002A68EC">
        <w:t xml:space="preserve"> they did the first time round</w:t>
      </w:r>
      <w:r w:rsidR="007640D6" w:rsidRPr="002A68EC">
        <w:t xml:space="preserve"> </w:t>
      </w:r>
      <w:r w:rsidR="009A1D13" w:rsidRPr="002A68EC">
        <w:t>–</w:t>
      </w:r>
      <w:r w:rsidR="007640D6" w:rsidRPr="002A68EC">
        <w:t xml:space="preserve"> but </w:t>
      </w:r>
      <w:r w:rsidR="00B403E7" w:rsidRPr="002A68EC">
        <w:t xml:space="preserve">this time </w:t>
      </w:r>
      <w:r w:rsidR="008624D8" w:rsidRPr="002A68EC">
        <w:t>face an</w:t>
      </w:r>
      <w:r w:rsidR="007640D6" w:rsidRPr="002A68EC">
        <w:t xml:space="preserve"> all-or-nothing</w:t>
      </w:r>
      <w:r w:rsidR="008624D8" w:rsidRPr="002A68EC">
        <w:t xml:space="preserve"> decision</w:t>
      </w:r>
      <w:r w:rsidR="007640D6" w:rsidRPr="002A68EC">
        <w:t xml:space="preserve">; </w:t>
      </w:r>
      <w:r w:rsidR="009A1D13" w:rsidRPr="002A68EC">
        <w:t xml:space="preserve">settled status or </w:t>
      </w:r>
      <w:r w:rsidR="00B403E7" w:rsidRPr="002A68EC">
        <w:t>bust</w:t>
      </w:r>
      <w:r w:rsidR="009A1D13" w:rsidRPr="002A68EC">
        <w:t xml:space="preserve">.  </w:t>
      </w:r>
    </w:p>
    <w:p w14:paraId="7CA1879C" w14:textId="070C1924" w:rsidR="00FB1ECA" w:rsidRPr="002A68EC" w:rsidRDefault="001B07BC" w:rsidP="002A68EC">
      <w:pPr>
        <w:spacing w:after="120"/>
        <w:jc w:val="both"/>
      </w:pPr>
      <w:r w:rsidRPr="002A68EC">
        <w:t xml:space="preserve">The </w:t>
      </w:r>
      <w:r w:rsidR="00336991" w:rsidRPr="002A68EC">
        <w:t>risk and result</w:t>
      </w:r>
      <w:r w:rsidRPr="002A68EC">
        <w:t xml:space="preserve"> </w:t>
      </w:r>
      <w:r w:rsidR="00336991" w:rsidRPr="002A68EC">
        <w:t xml:space="preserve">of </w:t>
      </w:r>
      <w:r w:rsidRPr="002A68EC">
        <w:t>error</w:t>
      </w:r>
      <w:r w:rsidR="00336991" w:rsidRPr="002A68EC">
        <w:t xml:space="preserve"> will be disproportionately borne by vulnerable applicants. They may be more susceptible to misclassification as pre-settled, and less likely to challenge that decision (or </w:t>
      </w:r>
      <w:r w:rsidR="006B2F9E">
        <w:t>reapply</w:t>
      </w:r>
      <w:r w:rsidR="00336991" w:rsidRPr="002A68EC">
        <w:t xml:space="preserve">). </w:t>
      </w:r>
      <w:r w:rsidR="00765CAE" w:rsidRPr="002A68EC">
        <w:t>And it is not at all clear whether</w:t>
      </w:r>
      <w:r w:rsidR="006B2F9E">
        <w:t xml:space="preserve"> </w:t>
      </w:r>
      <w:r w:rsidR="00765CAE" w:rsidRPr="002A68EC">
        <w:t xml:space="preserve">those individuals </w:t>
      </w:r>
      <w:r w:rsidR="006B2F9E">
        <w:t xml:space="preserve">will </w:t>
      </w:r>
      <w:r w:rsidR="00765CAE" w:rsidRPr="002A68EC">
        <w:t xml:space="preserve">derive </w:t>
      </w:r>
      <w:r w:rsidR="006B2F9E">
        <w:t xml:space="preserve">any </w:t>
      </w:r>
      <w:r w:rsidR="00765CAE" w:rsidRPr="002A68EC">
        <w:t>protection</w:t>
      </w:r>
      <w:r w:rsidR="006B2F9E">
        <w:t xml:space="preserve"> </w:t>
      </w:r>
      <w:r w:rsidR="00765CAE" w:rsidRPr="002A68EC">
        <w:t xml:space="preserve">from the Withdrawal Agreement. As well as </w:t>
      </w:r>
      <w:r w:rsidR="00A73B21" w:rsidRPr="002A68EC">
        <w:t xml:space="preserve">entailing </w:t>
      </w:r>
      <w:r w:rsidR="003E4E9D" w:rsidRPr="002A68EC">
        <w:t>disastrous</w:t>
      </w:r>
      <w:r w:rsidR="00A73B21" w:rsidRPr="002A68EC">
        <w:t>-but-delayed</w:t>
      </w:r>
      <w:r w:rsidR="003E4E9D" w:rsidRPr="002A68EC">
        <w:t xml:space="preserve"> consequences </w:t>
      </w:r>
      <w:r w:rsidR="00A73B21" w:rsidRPr="002A68EC">
        <w:t xml:space="preserve">for residence rights, pre-settled status </w:t>
      </w:r>
      <w:r w:rsidR="003E4E9D" w:rsidRPr="002A68EC">
        <w:t xml:space="preserve">creates immediate disadvantages, as </w:t>
      </w:r>
      <w:r w:rsidR="00A73B21" w:rsidRPr="002A68EC">
        <w:t>it is excluded</w:t>
      </w:r>
      <w:r w:rsidR="007640D6" w:rsidRPr="002A68EC">
        <w:t xml:space="preserve"> from the </w:t>
      </w:r>
      <w:r w:rsidR="008D764D" w:rsidRPr="002A68EC">
        <w:t xml:space="preserve">UK’s </w:t>
      </w:r>
      <w:r w:rsidR="00A73B21" w:rsidRPr="002A68EC">
        <w:t xml:space="preserve">list of </w:t>
      </w:r>
      <w:r w:rsidR="007640D6" w:rsidRPr="002A68EC">
        <w:t>right</w:t>
      </w:r>
      <w:r w:rsidR="00A73B21" w:rsidRPr="002A68EC">
        <w:t>s</w:t>
      </w:r>
      <w:r w:rsidR="007640D6" w:rsidRPr="002A68EC">
        <w:t xml:space="preserve"> to reside that confer equal access to benefits.</w:t>
      </w:r>
      <w:r w:rsidR="003E4E9D" w:rsidRPr="002A68EC">
        <w:rPr>
          <w:rStyle w:val="FootnoteReference"/>
        </w:rPr>
        <w:footnoteReference w:id="124"/>
      </w:r>
      <w:r w:rsidR="001029E3" w:rsidRPr="002A68EC">
        <w:t xml:space="preserve"> </w:t>
      </w:r>
      <w:r w:rsidR="00A73B21" w:rsidRPr="002A68EC">
        <w:t xml:space="preserve">Making such access conditional on </w:t>
      </w:r>
      <w:r w:rsidR="00A73B21" w:rsidRPr="002A68EC">
        <w:rPr>
          <w:i/>
          <w:iCs/>
        </w:rPr>
        <w:t xml:space="preserve">also </w:t>
      </w:r>
      <w:r w:rsidR="00A73B21" w:rsidRPr="002A68EC">
        <w:t>exercising a right to reside under the Immigration (European Economic Area) Regulations 2016</w:t>
      </w:r>
      <w:r w:rsidR="001029E3" w:rsidRPr="002A68EC">
        <w:t xml:space="preserve"> echoes the conditional residence rights in the Withdrawal Agreement, based on Article 7 of Directive 2004/38</w:t>
      </w:r>
      <w:r w:rsidR="00A73B21" w:rsidRPr="002A68EC">
        <w:t xml:space="preserve">. But </w:t>
      </w:r>
      <w:r w:rsidR="006D49E2" w:rsidRPr="002A68EC">
        <w:t xml:space="preserve">there is a significant difference between the schemes; the UK Scheme creates a free-standing, temporary, right to reside that </w:t>
      </w:r>
      <w:r w:rsidR="006D49E2" w:rsidRPr="002A68EC">
        <w:rPr>
          <w:i/>
          <w:iCs/>
        </w:rPr>
        <w:t>is not conditioned</w:t>
      </w:r>
      <w:r w:rsidR="008D764D" w:rsidRPr="002A68EC">
        <w:rPr>
          <w:i/>
          <w:iCs/>
        </w:rPr>
        <w:t>, even implicitly,</w:t>
      </w:r>
      <w:r w:rsidR="006D49E2" w:rsidRPr="002A68EC">
        <w:rPr>
          <w:i/>
          <w:iCs/>
        </w:rPr>
        <w:t xml:space="preserve"> by</w:t>
      </w:r>
      <w:r w:rsidR="008D764D" w:rsidRPr="002A68EC">
        <w:rPr>
          <w:i/>
          <w:iCs/>
        </w:rPr>
        <w:t xml:space="preserve"> Article 7.</w:t>
      </w:r>
      <w:r w:rsidR="006D49E2" w:rsidRPr="002A68EC">
        <w:t xml:space="preserve"> </w:t>
      </w:r>
      <w:r w:rsidR="00FB1ECA" w:rsidRPr="002A68EC">
        <w:t>This poses some</w:t>
      </w:r>
      <w:r w:rsidR="00A73B21" w:rsidRPr="002A68EC">
        <w:t xml:space="preserve"> </w:t>
      </w:r>
      <w:r w:rsidR="00FB1ECA" w:rsidRPr="002A68EC">
        <w:t>compelling</w:t>
      </w:r>
      <w:r w:rsidR="00A73B21" w:rsidRPr="002A68EC">
        <w:t xml:space="preserve"> questions</w:t>
      </w:r>
      <w:r w:rsidR="00FB1ECA" w:rsidRPr="002A68EC">
        <w:t xml:space="preserve"> on EU and Brexit law: in spite of the </w:t>
      </w:r>
      <w:r w:rsidR="00FB1ECA" w:rsidRPr="002A68EC">
        <w:rPr>
          <w:i/>
          <w:iCs/>
        </w:rPr>
        <w:t>Dano</w:t>
      </w:r>
      <w:r w:rsidR="00FB1ECA" w:rsidRPr="002A68EC">
        <w:rPr>
          <w:rStyle w:val="FootnoteReference"/>
        </w:rPr>
        <w:footnoteReference w:id="125"/>
      </w:r>
      <w:r w:rsidR="00FB1ECA" w:rsidRPr="002A68EC">
        <w:t xml:space="preserve"> caselaw, does</w:t>
      </w:r>
      <w:r w:rsidR="006D49E2" w:rsidRPr="002A68EC">
        <w:t xml:space="preserve"> </w:t>
      </w:r>
      <w:r w:rsidR="006D49E2" w:rsidRPr="002A68EC">
        <w:rPr>
          <w:i/>
          <w:iCs/>
        </w:rPr>
        <w:t>Trojani</w:t>
      </w:r>
      <w:r w:rsidR="006D49E2" w:rsidRPr="002A68EC">
        <w:t xml:space="preserve"> remain good law</w:t>
      </w:r>
      <w:r w:rsidR="00FB1ECA" w:rsidRPr="002A68EC">
        <w:t xml:space="preserve">? Can </w:t>
      </w:r>
      <w:r w:rsidR="006D49E2" w:rsidRPr="002A68EC">
        <w:t xml:space="preserve">a </w:t>
      </w:r>
      <w:r w:rsidR="00C75787" w:rsidRPr="002A68EC">
        <w:t xml:space="preserve">free-standing </w:t>
      </w:r>
      <w:r w:rsidR="00FB1ECA" w:rsidRPr="002A68EC">
        <w:t xml:space="preserve">domestic </w:t>
      </w:r>
      <w:r w:rsidR="006D49E2" w:rsidRPr="002A68EC">
        <w:t xml:space="preserve">right to reside </w:t>
      </w:r>
      <w:r w:rsidR="00FB1ECA" w:rsidRPr="002A68EC">
        <w:t>create</w:t>
      </w:r>
      <w:r w:rsidR="006D49E2" w:rsidRPr="002A68EC">
        <w:t xml:space="preserve"> non-discrimination rights in Article 18 TFEU</w:t>
      </w:r>
      <w:r w:rsidR="00FB1ECA" w:rsidRPr="002A68EC">
        <w:t>?</w:t>
      </w:r>
      <w:r w:rsidR="00A73B21" w:rsidRPr="002A68EC">
        <w:t xml:space="preserve"> And, </w:t>
      </w:r>
      <w:r w:rsidR="00FB1ECA" w:rsidRPr="002A68EC">
        <w:t>if so, can</w:t>
      </w:r>
      <w:r w:rsidR="00A73B21" w:rsidRPr="002A68EC">
        <w:t xml:space="preserve"> EU law can in effect be used</w:t>
      </w:r>
      <w:r w:rsidR="00FB1ECA" w:rsidRPr="002A68EC">
        <w:t xml:space="preserve"> to assert an equal treatment right of those reliant on a domestic construct – pre-settled status – notwithstanding claimants </w:t>
      </w:r>
      <w:r w:rsidR="00FB1ECA" w:rsidRPr="002A68EC">
        <w:rPr>
          <w:i/>
          <w:iCs/>
        </w:rPr>
        <w:t>not</w:t>
      </w:r>
      <w:r w:rsidR="00FB1ECA" w:rsidRPr="002A68EC">
        <w:t xml:space="preserve"> being contained in the withdrawal agreement? </w:t>
      </w:r>
      <w:r w:rsidR="006B2F9E">
        <w:t xml:space="preserve">The Court of Appeal of England and Wales have, in quite a dramatic turn of events, found that it </w:t>
      </w:r>
      <w:r w:rsidR="006B2F9E" w:rsidRPr="006B2F9E">
        <w:rPr>
          <w:i/>
          <w:iCs/>
        </w:rPr>
        <w:t>can</w:t>
      </w:r>
      <w:r w:rsidR="006B2F9E">
        <w:t xml:space="preserve"> – though this judgment is likely to be appealed to the UK Supreme Court. If the judgment holds good, this raises the question as to whether</w:t>
      </w:r>
      <w:r w:rsidR="00FB1ECA" w:rsidRPr="002A68EC">
        <w:t xml:space="preserve"> such rights </w:t>
      </w:r>
      <w:r w:rsidR="006B2F9E">
        <w:t>subsist now the transition period has ended</w:t>
      </w:r>
      <w:r w:rsidR="00FB1ECA" w:rsidRPr="002A68EC">
        <w:t>, as a result of the non-discrimination provision in the Agreement</w:t>
      </w:r>
      <w:r w:rsidR="006B2F9E">
        <w:t xml:space="preserve">. </w:t>
      </w:r>
    </w:p>
    <w:p w14:paraId="46905442" w14:textId="77777777" w:rsidR="006D49E2" w:rsidRPr="002A68EC" w:rsidRDefault="006D49E2" w:rsidP="002A68EC">
      <w:pPr>
        <w:spacing w:after="120"/>
        <w:jc w:val="both"/>
      </w:pPr>
    </w:p>
    <w:p w14:paraId="477CF8EB" w14:textId="0E9B88E6" w:rsidR="001029E3" w:rsidRPr="002A68EC" w:rsidRDefault="00F47031" w:rsidP="002A68EC">
      <w:pPr>
        <w:pStyle w:val="Heading2"/>
        <w:spacing w:before="0" w:after="120"/>
        <w:jc w:val="both"/>
        <w:rPr>
          <w:rFonts w:ascii="Times New Roman" w:hAnsi="Times New Roman"/>
          <w:b/>
          <w:bCs/>
          <w:color w:val="auto"/>
          <w:sz w:val="24"/>
        </w:rPr>
      </w:pPr>
      <w:r w:rsidRPr="002A68EC">
        <w:rPr>
          <w:rFonts w:ascii="Times New Roman" w:hAnsi="Times New Roman"/>
          <w:color w:val="auto"/>
          <w:sz w:val="24"/>
        </w:rPr>
        <w:t xml:space="preserve">5. </w:t>
      </w:r>
      <w:r w:rsidR="006D49E2" w:rsidRPr="002A68EC">
        <w:rPr>
          <w:rFonts w:ascii="Times New Roman" w:hAnsi="Times New Roman"/>
          <w:b/>
          <w:bCs/>
          <w:color w:val="auto"/>
          <w:sz w:val="24"/>
        </w:rPr>
        <w:t>Pre-settled status</w:t>
      </w:r>
      <w:r w:rsidR="00907BB3">
        <w:rPr>
          <w:rFonts w:ascii="Times New Roman" w:hAnsi="Times New Roman"/>
          <w:b/>
          <w:bCs/>
          <w:color w:val="auto"/>
          <w:sz w:val="24"/>
        </w:rPr>
        <w:t xml:space="preserve"> and the </w:t>
      </w:r>
      <w:r w:rsidR="00907BB3">
        <w:rPr>
          <w:rFonts w:ascii="Times New Roman" w:hAnsi="Times New Roman"/>
          <w:b/>
          <w:bCs/>
          <w:i/>
          <w:iCs/>
          <w:color w:val="auto"/>
          <w:sz w:val="24"/>
        </w:rPr>
        <w:t>Fratila</w:t>
      </w:r>
      <w:r w:rsidR="00907BB3">
        <w:rPr>
          <w:rFonts w:ascii="Times New Roman" w:hAnsi="Times New Roman"/>
          <w:b/>
          <w:bCs/>
          <w:color w:val="auto"/>
          <w:sz w:val="24"/>
        </w:rPr>
        <w:t xml:space="preserve"> challenge</w:t>
      </w:r>
      <w:r w:rsidR="006D49E2" w:rsidRPr="002A68EC">
        <w:rPr>
          <w:rFonts w:ascii="Times New Roman" w:hAnsi="Times New Roman"/>
          <w:b/>
          <w:bCs/>
          <w:color w:val="auto"/>
          <w:sz w:val="24"/>
        </w:rPr>
        <w:t xml:space="preserve">: </w:t>
      </w:r>
      <w:r w:rsidR="008855E7" w:rsidRPr="002A68EC">
        <w:rPr>
          <w:rFonts w:ascii="Times New Roman" w:hAnsi="Times New Roman"/>
          <w:b/>
          <w:bCs/>
          <w:color w:val="auto"/>
          <w:sz w:val="24"/>
        </w:rPr>
        <w:t>can EU law intervene in the rights under the EUSS?</w:t>
      </w:r>
    </w:p>
    <w:p w14:paraId="5C78BC4B" w14:textId="06CA23D9" w:rsidR="008D29EF" w:rsidRPr="002A68EC" w:rsidRDefault="00BD5D81" w:rsidP="002A68EC">
      <w:pPr>
        <w:spacing w:after="120"/>
        <w:ind w:right="-52"/>
        <w:jc w:val="both"/>
        <w:rPr>
          <w:szCs w:val="27"/>
        </w:rPr>
      </w:pPr>
      <w:r w:rsidRPr="002A68EC">
        <w:rPr>
          <w:szCs w:val="27"/>
        </w:rPr>
        <w:t>The risk</w:t>
      </w:r>
      <w:r w:rsidR="00C70949" w:rsidRPr="002A68EC">
        <w:rPr>
          <w:szCs w:val="27"/>
        </w:rPr>
        <w:t>s</w:t>
      </w:r>
      <w:r w:rsidRPr="002A68EC">
        <w:rPr>
          <w:szCs w:val="27"/>
        </w:rPr>
        <w:t xml:space="preserve"> of misclassification </w:t>
      </w:r>
      <w:r w:rsidR="00C70949" w:rsidRPr="002A68EC">
        <w:rPr>
          <w:szCs w:val="27"/>
        </w:rPr>
        <w:t>as pre-settled, discussed in section 4, are all the more serious as</w:t>
      </w:r>
      <w:r w:rsidRPr="002A68EC">
        <w:rPr>
          <w:szCs w:val="27"/>
        </w:rPr>
        <w:t xml:space="preserve"> pre-settled status </w:t>
      </w:r>
      <w:r w:rsidR="00C70949" w:rsidRPr="002A68EC">
        <w:rPr>
          <w:szCs w:val="27"/>
        </w:rPr>
        <w:t xml:space="preserve">is excluded </w:t>
      </w:r>
      <w:r w:rsidRPr="002A68EC">
        <w:rPr>
          <w:szCs w:val="27"/>
        </w:rPr>
        <w:t xml:space="preserve">from </w:t>
      </w:r>
      <w:r w:rsidR="00D46F0A" w:rsidRPr="002A68EC">
        <w:rPr>
          <w:szCs w:val="27"/>
        </w:rPr>
        <w:t>the UK’s</w:t>
      </w:r>
      <w:r w:rsidRPr="002A68EC">
        <w:rPr>
          <w:szCs w:val="27"/>
        </w:rPr>
        <w:t xml:space="preserve"> list of relevant rights to reside for claiming benefits. </w:t>
      </w:r>
      <w:r w:rsidRPr="002A68EC">
        <w:rPr>
          <w:szCs w:val="27"/>
        </w:rPr>
        <w:lastRenderedPageBreak/>
        <w:t xml:space="preserve">This </w:t>
      </w:r>
      <w:r w:rsidR="00D46F0A" w:rsidRPr="002A68EC">
        <w:rPr>
          <w:szCs w:val="27"/>
        </w:rPr>
        <w:t xml:space="preserve">exclusion </w:t>
      </w:r>
      <w:r w:rsidRPr="002A68EC">
        <w:rPr>
          <w:szCs w:val="27"/>
        </w:rPr>
        <w:t>is problematic, in part because of the decisions critiqued in sections 2 and 3. The Withdrawal Agreement g</w:t>
      </w:r>
      <w:r w:rsidR="00C70949" w:rsidRPr="002A68EC">
        <w:rPr>
          <w:szCs w:val="27"/>
        </w:rPr>
        <w:t>a</w:t>
      </w:r>
      <w:r w:rsidRPr="002A68EC">
        <w:rPr>
          <w:szCs w:val="27"/>
        </w:rPr>
        <w:t xml:space="preserve">ve </w:t>
      </w:r>
      <w:r w:rsidR="00C70949" w:rsidRPr="002A68EC">
        <w:rPr>
          <w:szCs w:val="27"/>
        </w:rPr>
        <w:t>parties the</w:t>
      </w:r>
      <w:r w:rsidRPr="002A68EC">
        <w:rPr>
          <w:szCs w:val="27"/>
        </w:rPr>
        <w:t xml:space="preserve"> option to make a right of residence conditional upon meeting the criteria in Directive 2004/38, but (probably for reasons of administrative expedience, and to avoid the political fall-out and cost of mass disentitlement), the UK did not take up that option, and created an unconditional right to reside. Moreover, as discussed in section 3, the UK could have opted for a declaratory system, whereby having the status was not determinative of rights, but meeting substantive conditions was. But it did not do so – instead it pushed to be allowed to create a constitutive regime</w:t>
      </w:r>
      <w:r w:rsidR="00C70949" w:rsidRPr="002A68EC">
        <w:rPr>
          <w:szCs w:val="27"/>
        </w:rPr>
        <w:t xml:space="preserve"> (to the detriment of vulnerable EU citizens)</w:t>
      </w:r>
      <w:r w:rsidRPr="002A68EC">
        <w:rPr>
          <w:szCs w:val="27"/>
        </w:rPr>
        <w:t xml:space="preserve">. In light of these choices, it is now faced with the </w:t>
      </w:r>
      <w:r w:rsidR="00AD5234" w:rsidRPr="002A68EC">
        <w:rPr>
          <w:szCs w:val="27"/>
        </w:rPr>
        <w:t>question of what duties Member States</w:t>
      </w:r>
      <w:r w:rsidR="00C330A6" w:rsidRPr="002A68EC">
        <w:rPr>
          <w:szCs w:val="27"/>
        </w:rPr>
        <w:t>, or former Member States</w:t>
      </w:r>
      <w:r w:rsidRPr="002A68EC">
        <w:rPr>
          <w:szCs w:val="27"/>
        </w:rPr>
        <w:t>,</w:t>
      </w:r>
      <w:r w:rsidR="00C330A6" w:rsidRPr="002A68EC">
        <w:rPr>
          <w:szCs w:val="27"/>
        </w:rPr>
        <w:t xml:space="preserve"> </w:t>
      </w:r>
      <w:r w:rsidR="00AD5234" w:rsidRPr="002A68EC">
        <w:rPr>
          <w:szCs w:val="27"/>
        </w:rPr>
        <w:t>owe to EU nationals to whom they have extended a</w:t>
      </w:r>
      <w:r w:rsidR="00D46F0A" w:rsidRPr="002A68EC">
        <w:rPr>
          <w:szCs w:val="27"/>
        </w:rPr>
        <w:t xml:space="preserve">n unconditional, constitutive, </w:t>
      </w:r>
      <w:r w:rsidR="007640D6" w:rsidRPr="002A68EC">
        <w:rPr>
          <w:szCs w:val="27"/>
        </w:rPr>
        <w:t>domestic</w:t>
      </w:r>
      <w:r w:rsidR="00AD5234" w:rsidRPr="002A68EC">
        <w:rPr>
          <w:szCs w:val="27"/>
        </w:rPr>
        <w:t xml:space="preserve"> right to reside</w:t>
      </w:r>
      <w:r w:rsidRPr="002A68EC">
        <w:rPr>
          <w:szCs w:val="27"/>
        </w:rPr>
        <w:t>.</w:t>
      </w:r>
    </w:p>
    <w:p w14:paraId="1A01C40C" w14:textId="77777777" w:rsidR="00294EC1" w:rsidRPr="002A68EC" w:rsidRDefault="00294EC1" w:rsidP="002A68EC">
      <w:pPr>
        <w:spacing w:after="120"/>
        <w:ind w:right="-52"/>
        <w:jc w:val="both"/>
        <w:rPr>
          <w:szCs w:val="27"/>
        </w:rPr>
      </w:pPr>
    </w:p>
    <w:p w14:paraId="0EEE588E" w14:textId="2525DB32" w:rsidR="00294EC1" w:rsidRPr="002A68EC" w:rsidRDefault="00294EC1" w:rsidP="002A68EC">
      <w:pPr>
        <w:pStyle w:val="Heading3"/>
        <w:spacing w:before="0" w:after="120"/>
        <w:jc w:val="both"/>
        <w:rPr>
          <w:rFonts w:ascii="Times New Roman" w:hAnsi="Times New Roman"/>
          <w:i/>
          <w:iCs/>
          <w:color w:val="auto"/>
        </w:rPr>
      </w:pPr>
      <w:r w:rsidRPr="002A68EC">
        <w:rPr>
          <w:rFonts w:ascii="Times New Roman" w:hAnsi="Times New Roman"/>
          <w:color w:val="auto"/>
        </w:rPr>
        <w:t xml:space="preserve">5.1 </w:t>
      </w:r>
      <w:r w:rsidRPr="002A68EC">
        <w:rPr>
          <w:rFonts w:ascii="Times New Roman" w:hAnsi="Times New Roman"/>
          <w:color w:val="auto"/>
        </w:rPr>
        <w:tab/>
      </w:r>
      <w:r w:rsidRPr="002A68EC">
        <w:rPr>
          <w:rFonts w:ascii="Times New Roman" w:hAnsi="Times New Roman"/>
          <w:i/>
          <w:iCs/>
          <w:color w:val="auto"/>
        </w:rPr>
        <w:t xml:space="preserve">Is Trojani still good law? </w:t>
      </w:r>
    </w:p>
    <w:p w14:paraId="4417A0DE" w14:textId="658B7596" w:rsidR="00294EC1" w:rsidRPr="002A68EC" w:rsidRDefault="00294EC1" w:rsidP="002A68EC">
      <w:pPr>
        <w:spacing w:after="120"/>
        <w:ind w:right="-52"/>
        <w:jc w:val="both"/>
        <w:rPr>
          <w:szCs w:val="27"/>
        </w:rPr>
      </w:pPr>
      <w:r w:rsidRPr="002A68EC">
        <w:rPr>
          <w:szCs w:val="27"/>
        </w:rPr>
        <w:t xml:space="preserve">The </w:t>
      </w:r>
      <w:r w:rsidR="00234977">
        <w:rPr>
          <w:szCs w:val="27"/>
        </w:rPr>
        <w:t>ECJ</w:t>
      </w:r>
      <w:r w:rsidRPr="002A68EC">
        <w:rPr>
          <w:szCs w:val="27"/>
        </w:rPr>
        <w:t xml:space="preserve"> in </w:t>
      </w:r>
      <w:r w:rsidRPr="002A68EC">
        <w:rPr>
          <w:i/>
          <w:iCs/>
          <w:szCs w:val="27"/>
        </w:rPr>
        <w:t xml:space="preserve">Trojani </w:t>
      </w:r>
      <w:r w:rsidRPr="002A68EC">
        <w:rPr>
          <w:szCs w:val="27"/>
        </w:rPr>
        <w:t xml:space="preserve">found that once an EU </w:t>
      </w:r>
      <w:r w:rsidR="005C1922" w:rsidRPr="002A68EC">
        <w:rPr>
          <w:szCs w:val="27"/>
        </w:rPr>
        <w:t>citizen</w:t>
      </w:r>
      <w:r w:rsidRPr="002A68EC">
        <w:rPr>
          <w:szCs w:val="27"/>
        </w:rPr>
        <w:t xml:space="preserve"> had a legal right to reside in another Member State, they were entitled to rely upon “the </w:t>
      </w:r>
      <w:r w:rsidRPr="002A68EC">
        <w:rPr>
          <w:i/>
          <w:szCs w:val="27"/>
        </w:rPr>
        <w:t>fundamental principle</w:t>
      </w:r>
      <w:r w:rsidRPr="002A68EC">
        <w:rPr>
          <w:szCs w:val="27"/>
        </w:rPr>
        <w:t xml:space="preserve"> of equal treatment”.</w:t>
      </w:r>
      <w:r w:rsidRPr="002A68EC">
        <w:rPr>
          <w:rStyle w:val="FootnoteReference"/>
          <w:szCs w:val="27"/>
        </w:rPr>
        <w:footnoteReference w:id="126"/>
      </w:r>
      <w:r w:rsidRPr="002A68EC">
        <w:rPr>
          <w:szCs w:val="27"/>
        </w:rPr>
        <w:t xml:space="preserve"> Member States are entitled to protect their public finances from claims from EU nationals deemed economically inactive, but the proper route, on this logic, is to deny or withdraw the right to reside if the EU citizen bec</w:t>
      </w:r>
      <w:r w:rsidR="00BD44BC" w:rsidRPr="002A68EC">
        <w:rPr>
          <w:szCs w:val="27"/>
        </w:rPr>
        <w:t>o</w:t>
      </w:r>
      <w:r w:rsidRPr="002A68EC">
        <w:rPr>
          <w:szCs w:val="27"/>
        </w:rPr>
        <w:t>me</w:t>
      </w:r>
      <w:r w:rsidR="00BD44BC" w:rsidRPr="002A68EC">
        <w:rPr>
          <w:szCs w:val="27"/>
        </w:rPr>
        <w:t>s</w:t>
      </w:r>
      <w:r w:rsidRPr="002A68EC">
        <w:rPr>
          <w:szCs w:val="27"/>
        </w:rPr>
        <w:t xml:space="preserve"> an unreasonable burden.</w:t>
      </w:r>
      <w:r w:rsidRPr="002A68EC">
        <w:rPr>
          <w:rStyle w:val="FootnoteReference"/>
          <w:szCs w:val="27"/>
        </w:rPr>
        <w:footnoteReference w:id="127"/>
      </w:r>
      <w:r w:rsidRPr="002A68EC">
        <w:rPr>
          <w:szCs w:val="27"/>
        </w:rPr>
        <w:t xml:space="preserve"> But so long as they have that right, a fundamental entitlement to equal treatment cannot be waived. </w:t>
      </w:r>
      <w:r w:rsidRPr="002A68EC">
        <w:rPr>
          <w:rFonts w:cs="Arial"/>
          <w:szCs w:val="21"/>
          <w:shd w:val="clear" w:color="auto" w:fill="FFFFFF"/>
        </w:rPr>
        <w:t xml:space="preserve">The </w:t>
      </w:r>
      <w:r w:rsidRPr="002A68EC">
        <w:rPr>
          <w:rFonts w:cs="Arial"/>
          <w:iCs/>
          <w:szCs w:val="21"/>
          <w:shd w:val="clear" w:color="auto" w:fill="FFFFFF"/>
        </w:rPr>
        <w:t>exercise of a right to reside</w:t>
      </w:r>
      <w:r w:rsidRPr="002A68EC">
        <w:rPr>
          <w:rFonts w:cs="Arial"/>
          <w:szCs w:val="21"/>
          <w:shd w:val="clear" w:color="auto" w:fill="FFFFFF"/>
        </w:rPr>
        <w:t xml:space="preserve"> just based on Article 18 EC – now Article 21 TFEU – could be made subject to conditions and limitations. But, “once it is ascertained that a person… is in possession of a residence permit, he may rely on Article 12 EC [now Article 18 TFEU] in order to be granted a social assistance benefit such as the minimax.”</w:t>
      </w:r>
      <w:r w:rsidRPr="002A68EC">
        <w:rPr>
          <w:rStyle w:val="FootnoteReference"/>
          <w:rFonts w:cs="Arial"/>
          <w:szCs w:val="21"/>
          <w:shd w:val="clear" w:color="auto" w:fill="FFFFFF"/>
        </w:rPr>
        <w:footnoteReference w:id="128"/>
      </w:r>
      <w:r w:rsidRPr="002A68EC">
        <w:rPr>
          <w:szCs w:val="27"/>
        </w:rPr>
        <w:t xml:space="preserve"> </w:t>
      </w:r>
    </w:p>
    <w:p w14:paraId="072D1E2F" w14:textId="77777777" w:rsidR="008D50CE" w:rsidRPr="002A68EC" w:rsidRDefault="00AD5234" w:rsidP="002A68EC">
      <w:pPr>
        <w:spacing w:after="120"/>
        <w:ind w:right="-52"/>
        <w:jc w:val="both"/>
        <w:rPr>
          <w:szCs w:val="27"/>
        </w:rPr>
      </w:pPr>
      <w:r w:rsidRPr="002A68EC">
        <w:rPr>
          <w:szCs w:val="27"/>
        </w:rPr>
        <w:t xml:space="preserve">The </w:t>
      </w:r>
      <w:r w:rsidR="00045450" w:rsidRPr="002A68EC">
        <w:rPr>
          <w:szCs w:val="27"/>
        </w:rPr>
        <w:t>reasoning in</w:t>
      </w:r>
      <w:r w:rsidRPr="002A68EC">
        <w:rPr>
          <w:szCs w:val="27"/>
        </w:rPr>
        <w:t xml:space="preserve"> </w:t>
      </w:r>
      <w:r w:rsidRPr="002A68EC">
        <w:rPr>
          <w:i/>
          <w:iCs/>
          <w:szCs w:val="27"/>
        </w:rPr>
        <w:t>Trojani</w:t>
      </w:r>
      <w:r w:rsidRPr="002A68EC">
        <w:rPr>
          <w:szCs w:val="27"/>
        </w:rPr>
        <w:t xml:space="preserve"> would imply that someone who has been granted a domestic right to reside – </w:t>
      </w:r>
      <w:r w:rsidR="008D29EF" w:rsidRPr="002A68EC">
        <w:rPr>
          <w:szCs w:val="27"/>
        </w:rPr>
        <w:t xml:space="preserve">such as </w:t>
      </w:r>
      <w:r w:rsidRPr="002A68EC">
        <w:rPr>
          <w:szCs w:val="27"/>
        </w:rPr>
        <w:t xml:space="preserve">pre-settled status – is entitled to equal treatment rights under Article 18 TFEU. However, the UK government has rushed through secondary legislation </w:t>
      </w:r>
      <w:r w:rsidR="008D50CE" w:rsidRPr="002A68EC">
        <w:rPr>
          <w:szCs w:val="27"/>
        </w:rPr>
        <w:t>to discount</w:t>
      </w:r>
      <w:r w:rsidRPr="002A68EC">
        <w:rPr>
          <w:szCs w:val="27"/>
        </w:rPr>
        <w:t xml:space="preserve"> this specific type of right to reside </w:t>
      </w:r>
      <w:r w:rsidR="008D50CE" w:rsidRPr="002A68EC">
        <w:rPr>
          <w:szCs w:val="27"/>
        </w:rPr>
        <w:t>from the list of rights creating</w:t>
      </w:r>
      <w:r w:rsidRPr="002A68EC">
        <w:rPr>
          <w:szCs w:val="27"/>
        </w:rPr>
        <w:t xml:space="preserve"> entitlement to benefits</w:t>
      </w:r>
      <w:r w:rsidR="008D50CE" w:rsidRPr="002A68EC">
        <w:rPr>
          <w:szCs w:val="27"/>
        </w:rPr>
        <w:t>; p</w:t>
      </w:r>
      <w:r w:rsidR="00C82CC4" w:rsidRPr="002A68EC">
        <w:rPr>
          <w:szCs w:val="27"/>
        </w:rPr>
        <w:t xml:space="preserve">eople with pre-settled status must also show that they </w:t>
      </w:r>
      <w:r w:rsidR="008D50CE" w:rsidRPr="002A68EC">
        <w:rPr>
          <w:szCs w:val="27"/>
        </w:rPr>
        <w:t xml:space="preserve">also </w:t>
      </w:r>
      <w:r w:rsidR="00C82CC4" w:rsidRPr="002A68EC">
        <w:rPr>
          <w:szCs w:val="27"/>
        </w:rPr>
        <w:t xml:space="preserve">meet the conditions under </w:t>
      </w:r>
      <w:r w:rsidR="00777462" w:rsidRPr="002A68EC">
        <w:rPr>
          <w:szCs w:val="27"/>
        </w:rPr>
        <w:t xml:space="preserve">the Immigration (EEA) Regulations 2016 (which implement </w:t>
      </w:r>
      <w:r w:rsidR="00C82CC4" w:rsidRPr="002A68EC">
        <w:rPr>
          <w:szCs w:val="27"/>
        </w:rPr>
        <w:t>Directive 2004/38</w:t>
      </w:r>
      <w:r w:rsidR="00777462" w:rsidRPr="002A68EC">
        <w:rPr>
          <w:szCs w:val="27"/>
        </w:rPr>
        <w:t>)</w:t>
      </w:r>
      <w:r w:rsidR="00746190" w:rsidRPr="002A68EC">
        <w:rPr>
          <w:szCs w:val="27"/>
        </w:rPr>
        <w:t xml:space="preserve"> to claim benefits</w:t>
      </w:r>
      <w:r w:rsidR="00C82CC4" w:rsidRPr="002A68EC">
        <w:rPr>
          <w:szCs w:val="27"/>
        </w:rPr>
        <w:t xml:space="preserve">. </w:t>
      </w:r>
    </w:p>
    <w:p w14:paraId="53C7C3C6" w14:textId="3DE846EF" w:rsidR="00045450" w:rsidRPr="002A68EC" w:rsidRDefault="008D50CE" w:rsidP="002A68EC">
      <w:pPr>
        <w:spacing w:after="120"/>
        <w:ind w:right="-52"/>
        <w:jc w:val="both"/>
        <w:rPr>
          <w:szCs w:val="27"/>
        </w:rPr>
      </w:pPr>
      <w:r w:rsidRPr="002A68EC">
        <w:rPr>
          <w:szCs w:val="27"/>
        </w:rPr>
        <w:t>Wh</w:t>
      </w:r>
      <w:r w:rsidR="00AD5234" w:rsidRPr="002A68EC">
        <w:rPr>
          <w:szCs w:val="27"/>
        </w:rPr>
        <w:t>ile there has been a noted regressive turn in citizenship case law in recent years</w:t>
      </w:r>
      <w:r w:rsidR="00913C47" w:rsidRPr="002A68EC">
        <w:rPr>
          <w:szCs w:val="27"/>
        </w:rPr>
        <w:t>,</w:t>
      </w:r>
      <w:r w:rsidR="00086DF4" w:rsidRPr="002A68EC">
        <w:rPr>
          <w:rStyle w:val="FootnoteReference"/>
          <w:szCs w:val="27"/>
        </w:rPr>
        <w:footnoteReference w:id="129"/>
      </w:r>
      <w:r w:rsidR="00AD5234" w:rsidRPr="002A68EC">
        <w:rPr>
          <w:szCs w:val="27"/>
        </w:rPr>
        <w:t xml:space="preserve"> putting conditions before freedoms, and elevating the limitations of Directive 2004/38 to the status of general principle of restriction through which other free movement law</w:t>
      </w:r>
      <w:r w:rsidR="00746190" w:rsidRPr="002A68EC">
        <w:rPr>
          <w:szCs w:val="27"/>
        </w:rPr>
        <w:t>s</w:t>
      </w:r>
      <w:r w:rsidR="00AD5234" w:rsidRPr="002A68EC">
        <w:rPr>
          <w:szCs w:val="27"/>
        </w:rPr>
        <w:t xml:space="preserve"> should be read,</w:t>
      </w:r>
      <w:r w:rsidR="00BB144B" w:rsidRPr="002A68EC">
        <w:rPr>
          <w:rStyle w:val="FootnoteReference"/>
          <w:szCs w:val="27"/>
        </w:rPr>
        <w:footnoteReference w:id="130"/>
      </w:r>
      <w:r w:rsidR="00AD5234" w:rsidRPr="002A68EC">
        <w:rPr>
          <w:szCs w:val="27"/>
        </w:rPr>
        <w:t xml:space="preserve"> there has been no explicit reversal of </w:t>
      </w:r>
      <w:r w:rsidR="00AD5234" w:rsidRPr="002A68EC">
        <w:rPr>
          <w:i/>
          <w:iCs/>
          <w:szCs w:val="27"/>
        </w:rPr>
        <w:t>Trojani</w:t>
      </w:r>
      <w:r w:rsidR="00AD5234" w:rsidRPr="002A68EC">
        <w:rPr>
          <w:szCs w:val="27"/>
        </w:rPr>
        <w:t xml:space="preserve">. </w:t>
      </w:r>
      <w:r w:rsidR="00C82CC4" w:rsidRPr="002A68EC">
        <w:rPr>
          <w:szCs w:val="27"/>
        </w:rPr>
        <w:t>Rather, what we see, is an acknowledgement that where a right to reside is conditional on, or pre-supposes</w:t>
      </w:r>
      <w:r w:rsidR="00C82CC4" w:rsidRPr="002A68EC">
        <w:rPr>
          <w:i/>
          <w:iCs/>
          <w:szCs w:val="27"/>
        </w:rPr>
        <w:t>, meeting the conditions of the Directiv</w:t>
      </w:r>
      <w:r w:rsidR="00C82CC4" w:rsidRPr="002A68EC">
        <w:rPr>
          <w:szCs w:val="27"/>
        </w:rPr>
        <w:t xml:space="preserve">e, then </w:t>
      </w:r>
      <w:r w:rsidR="00C82CC4" w:rsidRPr="002A68EC">
        <w:rPr>
          <w:szCs w:val="27"/>
        </w:rPr>
        <w:lastRenderedPageBreak/>
        <w:t>Member States are entitled to require that those conditions are met in fact before a claimant has benefit entitlement. But pre-settled status is a right to reside in itself</w:t>
      </w:r>
      <w:r w:rsidR="00746190" w:rsidRPr="002A68EC">
        <w:rPr>
          <w:szCs w:val="27"/>
        </w:rPr>
        <w:t>.</w:t>
      </w:r>
    </w:p>
    <w:p w14:paraId="22003F00" w14:textId="1AA7181C" w:rsidR="00382EC8" w:rsidRPr="002A68EC" w:rsidRDefault="00FF7D1B" w:rsidP="002A68EC">
      <w:pPr>
        <w:spacing w:after="120"/>
        <w:ind w:right="-52"/>
        <w:jc w:val="both"/>
        <w:rPr>
          <w:szCs w:val="27"/>
        </w:rPr>
      </w:pPr>
      <w:r w:rsidRPr="002A68EC">
        <w:rPr>
          <w:szCs w:val="27"/>
        </w:rPr>
        <w:t xml:space="preserve">It is common ground that but for the new regulations introduced in 2019, persons with pre-settled status would have had an entitlement to equal access to welfare in the UK. The explanatory note attached to the </w:t>
      </w:r>
      <w:r w:rsidR="00C84609" w:rsidRPr="002A68EC">
        <w:rPr>
          <w:szCs w:val="27"/>
        </w:rPr>
        <w:t xml:space="preserve">Social Security (Income-related Benefits) (Updating and Amendment) (EU Exit) Regulations 2019 </w:t>
      </w:r>
      <w:r w:rsidRPr="002A68EC">
        <w:rPr>
          <w:szCs w:val="27"/>
        </w:rPr>
        <w:t>states</w:t>
      </w:r>
      <w:r w:rsidR="00253E34" w:rsidRPr="002A68EC">
        <w:rPr>
          <w:szCs w:val="27"/>
        </w:rPr>
        <w:t xml:space="preserve"> that the regulations “</w:t>
      </w:r>
      <w:r w:rsidRPr="002A68EC">
        <w:rPr>
          <w:szCs w:val="27"/>
        </w:rPr>
        <w:t>reflect that a new right to reside has been created for nationals of European Economic Area states</w:t>
      </w:r>
      <w:r w:rsidR="00253E34" w:rsidRPr="002A68EC">
        <w:rPr>
          <w:szCs w:val="27"/>
        </w:rPr>
        <w:t>” that their effect “</w:t>
      </w:r>
      <w:r w:rsidRPr="002A68EC">
        <w:rPr>
          <w:szCs w:val="27"/>
        </w:rPr>
        <w:t>is that this new right to reside is not a relevant right to reside for the purposes of establishing habitual residence</w:t>
      </w:r>
      <w:r w:rsidR="00253E34" w:rsidRPr="002A68EC">
        <w:rPr>
          <w:szCs w:val="27"/>
        </w:rPr>
        <w:t>”</w:t>
      </w:r>
      <w:r w:rsidRPr="002A68EC">
        <w:rPr>
          <w:szCs w:val="27"/>
        </w:rPr>
        <w:t>.</w:t>
      </w:r>
      <w:r w:rsidRPr="002A68EC">
        <w:rPr>
          <w:rStyle w:val="FootnoteReference"/>
          <w:szCs w:val="27"/>
        </w:rPr>
        <w:footnoteReference w:id="131"/>
      </w:r>
      <w:r w:rsidR="00230BF7">
        <w:rPr>
          <w:szCs w:val="27"/>
        </w:rPr>
        <w:t xml:space="preserve"> </w:t>
      </w:r>
      <w:r w:rsidR="00692FBD" w:rsidRPr="002A68EC">
        <w:rPr>
          <w:szCs w:val="27"/>
        </w:rPr>
        <w:t xml:space="preserve">The regulations excluding pre-settled status from the list of relevant rights to reside </w:t>
      </w:r>
      <w:r w:rsidR="00234977">
        <w:rPr>
          <w:szCs w:val="27"/>
        </w:rPr>
        <w:t xml:space="preserve">were </w:t>
      </w:r>
      <w:r w:rsidR="00692FBD" w:rsidRPr="002A68EC">
        <w:rPr>
          <w:szCs w:val="27"/>
        </w:rPr>
        <w:t>challenged unsuccessfully in the High Court of England and Wales,</w:t>
      </w:r>
      <w:bookmarkStart w:id="25" w:name="_Ref54789944"/>
      <w:r w:rsidR="00692FBD" w:rsidRPr="002A68EC">
        <w:rPr>
          <w:rStyle w:val="FootnoteReference"/>
          <w:szCs w:val="27"/>
        </w:rPr>
        <w:footnoteReference w:id="132"/>
      </w:r>
      <w:bookmarkEnd w:id="25"/>
      <w:r w:rsidR="00692FBD" w:rsidRPr="002A68EC">
        <w:rPr>
          <w:szCs w:val="27"/>
        </w:rPr>
        <w:t xml:space="preserve"> </w:t>
      </w:r>
      <w:r w:rsidR="00234977">
        <w:rPr>
          <w:szCs w:val="27"/>
        </w:rPr>
        <w:t xml:space="preserve">but the Court of Appeal granted the appeal in a majority judgment (2:1) – finding that </w:t>
      </w:r>
      <w:r w:rsidR="00234977">
        <w:rPr>
          <w:i/>
          <w:iCs/>
          <w:szCs w:val="27"/>
        </w:rPr>
        <w:t>Trojani</w:t>
      </w:r>
      <w:r w:rsidR="00234977">
        <w:rPr>
          <w:szCs w:val="27"/>
        </w:rPr>
        <w:t xml:space="preserve"> does indeed apply, and that the regulations in question were unlawfully discriminatory.</w:t>
      </w:r>
      <w:bookmarkStart w:id="26" w:name="_Ref60826824"/>
      <w:r w:rsidR="00A02F4F">
        <w:rPr>
          <w:rStyle w:val="FootnoteReference"/>
          <w:szCs w:val="27"/>
        </w:rPr>
        <w:footnoteReference w:id="133"/>
      </w:r>
      <w:bookmarkEnd w:id="26"/>
      <w:r w:rsidR="00A02F4F">
        <w:rPr>
          <w:szCs w:val="27"/>
        </w:rPr>
        <w:t xml:space="preserve"> </w:t>
      </w:r>
      <w:r w:rsidR="00692FBD" w:rsidRPr="002A68EC">
        <w:rPr>
          <w:szCs w:val="27"/>
        </w:rPr>
        <w:t xml:space="preserve">The Secretary of State resisted the claim that </w:t>
      </w:r>
      <w:r w:rsidR="001903F3" w:rsidRPr="002A68EC">
        <w:rPr>
          <w:szCs w:val="27"/>
        </w:rPr>
        <w:t>individuals with pre-settled status have a right to rely on Article 18 TFEU,</w:t>
      </w:r>
      <w:r w:rsidR="008D50CE" w:rsidRPr="002A68EC">
        <w:rPr>
          <w:szCs w:val="27"/>
        </w:rPr>
        <w:t xml:space="preserve"> inferring from </w:t>
      </w:r>
      <w:r w:rsidR="001903F3" w:rsidRPr="002A68EC">
        <w:rPr>
          <w:szCs w:val="27"/>
        </w:rPr>
        <w:t xml:space="preserve"> </w:t>
      </w:r>
      <w:r w:rsidR="001903F3" w:rsidRPr="002A68EC">
        <w:rPr>
          <w:i/>
          <w:iCs/>
          <w:szCs w:val="27"/>
        </w:rPr>
        <w:t xml:space="preserve">Dano </w:t>
      </w:r>
      <w:r w:rsidR="001903F3" w:rsidRPr="002A68EC">
        <w:rPr>
          <w:szCs w:val="27"/>
        </w:rPr>
        <w:t xml:space="preserve">and </w:t>
      </w:r>
      <w:r w:rsidR="001903F3" w:rsidRPr="002A68EC">
        <w:rPr>
          <w:i/>
          <w:iCs/>
          <w:szCs w:val="27"/>
        </w:rPr>
        <w:t>Alimanovic</w:t>
      </w:r>
      <w:bookmarkStart w:id="27" w:name="_Ref54789984"/>
      <w:r w:rsidR="00A00CF4" w:rsidRPr="002A68EC">
        <w:rPr>
          <w:rStyle w:val="FootnoteReference"/>
          <w:szCs w:val="27"/>
        </w:rPr>
        <w:footnoteReference w:id="134"/>
      </w:r>
      <w:bookmarkEnd w:id="27"/>
      <w:r w:rsidR="001903F3" w:rsidRPr="002A68EC">
        <w:rPr>
          <w:szCs w:val="27"/>
        </w:rPr>
        <w:t xml:space="preserve"> that </w:t>
      </w:r>
      <w:r w:rsidR="008D50CE" w:rsidRPr="002A68EC">
        <w:rPr>
          <w:szCs w:val="27"/>
        </w:rPr>
        <w:t>“</w:t>
      </w:r>
      <w:r w:rsidR="00A02F4F" w:rsidRPr="00A02F4F">
        <w:rPr>
          <w:i/>
          <w:iCs/>
          <w:szCs w:val="27"/>
        </w:rPr>
        <w:t>Martinez-Sala, Grzelczyk </w:t>
      </w:r>
      <w:r w:rsidR="00A02F4F" w:rsidRPr="00A02F4F">
        <w:rPr>
          <w:szCs w:val="27"/>
        </w:rPr>
        <w:t>and</w:t>
      </w:r>
      <w:r w:rsidR="00A02F4F" w:rsidRPr="00A02F4F">
        <w:rPr>
          <w:i/>
          <w:iCs/>
          <w:szCs w:val="27"/>
        </w:rPr>
        <w:t> Trojani </w:t>
      </w:r>
      <w:r w:rsidR="00A02F4F" w:rsidRPr="00A02F4F">
        <w:rPr>
          <w:szCs w:val="27"/>
        </w:rPr>
        <w:t>all precede the enactment of the CRD and should no longer be seen as good law in the EU field</w:t>
      </w:r>
      <w:r w:rsidR="00A02F4F">
        <w:rPr>
          <w:szCs w:val="27"/>
        </w:rPr>
        <w:t>.</w:t>
      </w:r>
      <w:r w:rsidR="008D50CE" w:rsidRPr="002A68EC">
        <w:rPr>
          <w:szCs w:val="27"/>
        </w:rPr>
        <w:t>”</w:t>
      </w:r>
      <w:r w:rsidR="001903F3" w:rsidRPr="002A68EC">
        <w:rPr>
          <w:rStyle w:val="FootnoteReference"/>
          <w:szCs w:val="27"/>
        </w:rPr>
        <w:footnoteReference w:id="135"/>
      </w:r>
      <w:r w:rsidR="001903F3" w:rsidRPr="002A68EC">
        <w:rPr>
          <w:szCs w:val="27"/>
        </w:rPr>
        <w:t> </w:t>
      </w:r>
      <w:r w:rsidR="00382EC8" w:rsidRPr="002A68EC">
        <w:rPr>
          <w:szCs w:val="27"/>
        </w:rPr>
        <w:t>Some academic commen</w:t>
      </w:r>
      <w:r w:rsidR="002F049E" w:rsidRPr="002A68EC">
        <w:rPr>
          <w:szCs w:val="27"/>
        </w:rPr>
        <w:t>t</w:t>
      </w:r>
      <w:r w:rsidR="00382EC8" w:rsidRPr="002A68EC">
        <w:rPr>
          <w:szCs w:val="27"/>
        </w:rPr>
        <w:t>ary appear</w:t>
      </w:r>
      <w:r w:rsidR="008D50CE" w:rsidRPr="002A68EC">
        <w:rPr>
          <w:szCs w:val="27"/>
        </w:rPr>
        <w:t>s</w:t>
      </w:r>
      <w:r w:rsidR="00382EC8" w:rsidRPr="002A68EC">
        <w:rPr>
          <w:szCs w:val="27"/>
        </w:rPr>
        <w:t xml:space="preserve"> to accord with the Secretary of State’s approach; Jesse and Carter for example suggest that Directive 2004/38 </w:t>
      </w:r>
      <w:r w:rsidR="008D50CE" w:rsidRPr="002A68EC">
        <w:rPr>
          <w:szCs w:val="27"/>
        </w:rPr>
        <w:t>“</w:t>
      </w:r>
      <w:r w:rsidR="00382EC8" w:rsidRPr="002A68EC">
        <w:rPr>
          <w:szCs w:val="27"/>
        </w:rPr>
        <w:t>has been interpreted to create a closed system for the definition of legal residence whereby, with very limited exceptions, only residence that is considered lawful under the Directive itself will be accepted by the Court</w:t>
      </w:r>
      <w:r w:rsidR="008D50CE" w:rsidRPr="002A68EC">
        <w:rPr>
          <w:szCs w:val="27"/>
        </w:rPr>
        <w:t>”</w:t>
      </w:r>
      <w:r w:rsidR="00382EC8" w:rsidRPr="002A68EC">
        <w:rPr>
          <w:szCs w:val="27"/>
        </w:rPr>
        <w:t>.</w:t>
      </w:r>
      <w:r w:rsidR="00F50EAC" w:rsidRPr="002A68EC">
        <w:rPr>
          <w:rStyle w:val="FootnoteReference"/>
          <w:szCs w:val="27"/>
        </w:rPr>
        <w:footnoteReference w:id="136"/>
      </w:r>
      <w:r w:rsidR="00382EC8" w:rsidRPr="002A68EC">
        <w:rPr>
          <w:szCs w:val="27"/>
        </w:rPr>
        <w:t> </w:t>
      </w:r>
    </w:p>
    <w:p w14:paraId="061E78D9" w14:textId="77777777" w:rsidR="003A5A12" w:rsidRDefault="00917EDE" w:rsidP="002A68EC">
      <w:pPr>
        <w:spacing w:after="120"/>
        <w:jc w:val="both"/>
        <w:rPr>
          <w:szCs w:val="27"/>
        </w:rPr>
      </w:pPr>
      <w:r w:rsidRPr="002A68EC">
        <w:rPr>
          <w:szCs w:val="27"/>
        </w:rPr>
        <w:t xml:space="preserve">However, </w:t>
      </w:r>
      <w:r w:rsidR="00A02F4F">
        <w:rPr>
          <w:szCs w:val="27"/>
        </w:rPr>
        <w:t>the Court of Appeal disagreed, finding that “</w:t>
      </w:r>
      <w:bookmarkStart w:id="28" w:name="para72"/>
      <w:r w:rsidR="00A02F4F">
        <w:rPr>
          <w:szCs w:val="27"/>
        </w:rPr>
        <w:t>f</w:t>
      </w:r>
      <w:r w:rsidR="00A02F4F" w:rsidRPr="00A02F4F">
        <w:rPr>
          <w:szCs w:val="27"/>
        </w:rPr>
        <w:t>ar from </w:t>
      </w:r>
      <w:r w:rsidR="00A02F4F" w:rsidRPr="00A02F4F">
        <w:rPr>
          <w:i/>
          <w:iCs/>
          <w:szCs w:val="27"/>
        </w:rPr>
        <w:t>Trojani</w:t>
      </w:r>
      <w:r w:rsidR="00A02F4F" w:rsidRPr="00A02F4F">
        <w:rPr>
          <w:szCs w:val="27"/>
        </w:rPr>
        <w:t> no longer remaining good law, the CJEU has again expressly adopted the same reasoning</w:t>
      </w:r>
      <w:bookmarkEnd w:id="28"/>
      <w:r w:rsidR="00A02F4F">
        <w:rPr>
          <w:szCs w:val="27"/>
        </w:rPr>
        <w:t>”</w:t>
      </w:r>
      <w:r w:rsidR="00A02F4F" w:rsidRPr="00A02F4F">
        <w:rPr>
          <w:rStyle w:val="FootnoteReference"/>
          <w:szCs w:val="27"/>
        </w:rPr>
        <w:footnoteReference w:id="137"/>
      </w:r>
      <w:r w:rsidR="00A02F4F" w:rsidRPr="00A02F4F">
        <w:rPr>
          <w:szCs w:val="27"/>
        </w:rPr>
        <w:t xml:space="preserve"> </w:t>
      </w:r>
      <w:r w:rsidR="00A02F4F">
        <w:rPr>
          <w:szCs w:val="27"/>
        </w:rPr>
        <w:t xml:space="preserve">(in </w:t>
      </w:r>
      <w:r w:rsidR="00A02F4F">
        <w:rPr>
          <w:i/>
          <w:iCs/>
          <w:szCs w:val="27"/>
        </w:rPr>
        <w:t>Jobcenter Krefeld</w:t>
      </w:r>
      <w:r w:rsidR="00A02F4F">
        <w:rPr>
          <w:szCs w:val="27"/>
        </w:rPr>
        <w:t>)</w:t>
      </w:r>
      <w:r w:rsidR="00A02F4F">
        <w:rPr>
          <w:i/>
          <w:iCs/>
          <w:szCs w:val="27"/>
        </w:rPr>
        <w:t>.</w:t>
      </w:r>
      <w:r w:rsidR="00A02F4F" w:rsidRPr="00A02F4F">
        <w:rPr>
          <w:rStyle w:val="FootnoteReference"/>
          <w:szCs w:val="27"/>
        </w:rPr>
        <w:footnoteReference w:id="138"/>
      </w:r>
      <w:r w:rsidR="00A02F4F" w:rsidRPr="00A02F4F">
        <w:rPr>
          <w:szCs w:val="27"/>
        </w:rPr>
        <w:t xml:space="preserve"> </w:t>
      </w:r>
      <w:r w:rsidR="00A02F4F">
        <w:rPr>
          <w:szCs w:val="27"/>
        </w:rPr>
        <w:t xml:space="preserve">The </w:t>
      </w:r>
      <w:r w:rsidR="008231B1" w:rsidRPr="002A68EC">
        <w:rPr>
          <w:szCs w:val="27"/>
        </w:rPr>
        <w:t>crucial difference</w:t>
      </w:r>
      <w:r w:rsidR="00A02F4F">
        <w:rPr>
          <w:szCs w:val="27"/>
        </w:rPr>
        <w:t>, in the eyes of the court, was that</w:t>
      </w:r>
      <w:r w:rsidR="008231B1" w:rsidRPr="002A68EC">
        <w:rPr>
          <w:szCs w:val="27"/>
        </w:rPr>
        <w:t xml:space="preserve"> cases in which the </w:t>
      </w:r>
      <w:r w:rsidR="008D50CE" w:rsidRPr="002A68EC">
        <w:rPr>
          <w:szCs w:val="27"/>
        </w:rPr>
        <w:t>ECJ</w:t>
      </w:r>
      <w:r w:rsidR="008231B1" w:rsidRPr="002A68EC">
        <w:rPr>
          <w:szCs w:val="27"/>
        </w:rPr>
        <w:t xml:space="preserve"> appears to have been more restrictive on citizens’ rights</w:t>
      </w:r>
      <w:r w:rsidR="00A02F4F">
        <w:rPr>
          <w:szCs w:val="27"/>
        </w:rPr>
        <w:t xml:space="preserve"> </w:t>
      </w:r>
      <w:r w:rsidR="008231B1" w:rsidRPr="002A68EC">
        <w:rPr>
          <w:szCs w:val="27"/>
        </w:rPr>
        <w:t xml:space="preserve">all relate to cases in which the right to reside asserted was based on </w:t>
      </w:r>
      <w:r w:rsidR="00FA1714" w:rsidRPr="002A68EC">
        <w:rPr>
          <w:szCs w:val="27"/>
        </w:rPr>
        <w:t>Directive 2004/38.</w:t>
      </w:r>
      <w:r w:rsidR="00A02F4F">
        <w:rPr>
          <w:szCs w:val="27"/>
        </w:rPr>
        <w:t xml:space="preserve"> </w:t>
      </w:r>
      <w:r w:rsidR="00A02F4F" w:rsidRPr="002A68EC">
        <w:rPr>
          <w:szCs w:val="27"/>
        </w:rPr>
        <w:t xml:space="preserve">Rights to reside other than those in the Directive have to be taken into account, and can confer equal treatment rights. In </w:t>
      </w:r>
      <w:r w:rsidR="00A02F4F" w:rsidRPr="002A68EC">
        <w:rPr>
          <w:i/>
          <w:iCs/>
          <w:szCs w:val="27"/>
        </w:rPr>
        <w:t>Teixeira</w:t>
      </w:r>
      <w:bookmarkStart w:id="29" w:name="_Ref15467871"/>
      <w:r w:rsidR="00A02F4F" w:rsidRPr="002A68EC">
        <w:rPr>
          <w:rStyle w:val="FootnoteReference"/>
          <w:szCs w:val="27"/>
        </w:rPr>
        <w:footnoteReference w:id="139"/>
      </w:r>
      <w:bookmarkEnd w:id="29"/>
      <w:r w:rsidR="00A02F4F" w:rsidRPr="002A68EC">
        <w:rPr>
          <w:i/>
          <w:iCs/>
          <w:szCs w:val="27"/>
        </w:rPr>
        <w:t xml:space="preserve"> </w:t>
      </w:r>
      <w:r w:rsidR="00A02F4F" w:rsidRPr="002A68EC">
        <w:rPr>
          <w:szCs w:val="27"/>
        </w:rPr>
        <w:t xml:space="preserve">and </w:t>
      </w:r>
      <w:r w:rsidR="00A02F4F" w:rsidRPr="002A68EC">
        <w:rPr>
          <w:i/>
          <w:iCs/>
          <w:szCs w:val="27"/>
        </w:rPr>
        <w:t>Ibrahim</w:t>
      </w:r>
      <w:r w:rsidR="00A02F4F" w:rsidRPr="002A68EC">
        <w:rPr>
          <w:szCs w:val="27"/>
        </w:rPr>
        <w:t>,</w:t>
      </w:r>
      <w:r w:rsidR="00A02F4F" w:rsidRPr="002A68EC">
        <w:rPr>
          <w:rStyle w:val="FootnoteReference"/>
          <w:szCs w:val="27"/>
        </w:rPr>
        <w:footnoteReference w:id="140"/>
      </w:r>
      <w:r w:rsidR="00A02F4F" w:rsidRPr="002A68EC">
        <w:rPr>
          <w:szCs w:val="27"/>
        </w:rPr>
        <w:t xml:space="preserve"> it was found that the </w:t>
      </w:r>
      <w:r w:rsidR="00A02F4F" w:rsidRPr="002A68EC">
        <w:rPr>
          <w:i/>
          <w:iCs/>
          <w:szCs w:val="27"/>
        </w:rPr>
        <w:t>Baumbast</w:t>
      </w:r>
      <w:r w:rsidR="00A02F4F" w:rsidRPr="002A68EC">
        <w:rPr>
          <w:szCs w:val="27"/>
        </w:rPr>
        <w:t xml:space="preserve"> derivative right to reside awarded to the primary carer of the child of a EU national worker/former worker, did not presume self-sufficiency of the carer as “</w:t>
      </w:r>
      <w:r w:rsidR="00A02F4F" w:rsidRPr="002A68EC">
        <w:rPr>
          <w:rFonts w:cs="Arial"/>
          <w:szCs w:val="22"/>
          <w:shd w:val="clear" w:color="auto" w:fill="FFFFFF"/>
        </w:rPr>
        <w:t>the Court did not base its reasoning even implicitly on such a condition”.</w:t>
      </w:r>
      <w:r w:rsidR="00A02F4F" w:rsidRPr="002A68EC">
        <w:rPr>
          <w:rStyle w:val="FootnoteReference"/>
          <w:rFonts w:cs="Arial"/>
          <w:szCs w:val="22"/>
          <w:shd w:val="clear" w:color="auto" w:fill="FFFFFF"/>
        </w:rPr>
        <w:footnoteReference w:id="141"/>
      </w:r>
      <w:r w:rsidR="00A02F4F" w:rsidRPr="002A68EC">
        <w:rPr>
          <w:rFonts w:cs="Arial"/>
          <w:szCs w:val="22"/>
          <w:shd w:val="clear" w:color="auto" w:fill="FFFFFF"/>
        </w:rPr>
        <w:t xml:space="preserve"> </w:t>
      </w:r>
      <w:r w:rsidR="00A02F4F">
        <w:rPr>
          <w:szCs w:val="27"/>
        </w:rPr>
        <w:t xml:space="preserve">In </w:t>
      </w:r>
      <w:r w:rsidR="00A02F4F" w:rsidRPr="002A68EC">
        <w:rPr>
          <w:i/>
          <w:iCs/>
          <w:szCs w:val="27"/>
        </w:rPr>
        <w:t>Jobcenter Krefeld</w:t>
      </w:r>
      <w:r w:rsidR="00A02F4F" w:rsidRPr="002A68EC">
        <w:rPr>
          <w:szCs w:val="27"/>
        </w:rPr>
        <w:t xml:space="preserve">, the CJEU rejected attempts to curb welfare eligibility of </w:t>
      </w:r>
      <w:r w:rsidR="00A02F4F" w:rsidRPr="002A68EC">
        <w:rPr>
          <w:i/>
          <w:iCs/>
          <w:szCs w:val="27"/>
        </w:rPr>
        <w:t xml:space="preserve">Teixeira/Ibrahim </w:t>
      </w:r>
      <w:r w:rsidR="00A02F4F" w:rsidRPr="002A68EC">
        <w:rPr>
          <w:szCs w:val="27"/>
        </w:rPr>
        <w:t xml:space="preserve"> carers, affirms that rights to reside can exist outside of Directive 2004/38, and moreover, that rights which fall outside of the scope of the Directive are not subject to the conditions and limitations imposed by that Directive.  The derogation from equal treatment in Article 24(2) “is only applicable to persons falling within this paragraph 1, namely to citizens of the Union who are staying in the territory of the host Member State ‘by virtue of [the said] directive’.”</w:t>
      </w:r>
      <w:r w:rsidR="00A02F4F" w:rsidRPr="002A68EC">
        <w:rPr>
          <w:rStyle w:val="FootnoteReference"/>
          <w:szCs w:val="27"/>
        </w:rPr>
        <w:footnoteReference w:id="142"/>
      </w:r>
      <w:r w:rsidR="00A02F4F" w:rsidRPr="002A68EC">
        <w:rPr>
          <w:szCs w:val="27"/>
        </w:rPr>
        <w:t xml:space="preserve"> </w:t>
      </w:r>
      <w:r w:rsidR="003A5A12">
        <w:rPr>
          <w:szCs w:val="27"/>
        </w:rPr>
        <w:t xml:space="preserve">While </w:t>
      </w:r>
      <w:r w:rsidR="003A5A12">
        <w:rPr>
          <w:i/>
          <w:iCs/>
          <w:szCs w:val="27"/>
        </w:rPr>
        <w:t xml:space="preserve">Krefeld </w:t>
      </w:r>
      <w:r w:rsidR="003A5A12">
        <w:rPr>
          <w:szCs w:val="27"/>
        </w:rPr>
        <w:t xml:space="preserve">itself, concerning jobseeking </w:t>
      </w:r>
      <w:r w:rsidR="003A5A12">
        <w:rPr>
          <w:i/>
          <w:iCs/>
          <w:szCs w:val="27"/>
        </w:rPr>
        <w:t xml:space="preserve">Teixeira </w:t>
      </w:r>
      <w:r w:rsidR="003A5A12">
        <w:rPr>
          <w:szCs w:val="27"/>
        </w:rPr>
        <w:t xml:space="preserve">carers, may only apply to a fraction of the </w:t>
      </w:r>
      <w:r w:rsidR="003A5A12">
        <w:rPr>
          <w:szCs w:val="27"/>
        </w:rPr>
        <w:lastRenderedPageBreak/>
        <w:t xml:space="preserve">cohort under discussion (vulnerable EU nationals in in the UK), it confirms an overarching, applicable principle – as recognised by the Court of Appeal. </w:t>
      </w:r>
      <w:r w:rsidR="00A02F4F" w:rsidRPr="002A68EC">
        <w:rPr>
          <w:szCs w:val="27"/>
        </w:rPr>
        <w:t xml:space="preserve">The possession of a right to reside that did not come within the scope of Directive 2004/38 </w:t>
      </w:r>
      <w:r w:rsidR="003A5A12">
        <w:rPr>
          <w:szCs w:val="27"/>
        </w:rPr>
        <w:t>separates a</w:t>
      </w:r>
      <w:r w:rsidR="00A02F4F" w:rsidRPr="002A68EC">
        <w:rPr>
          <w:szCs w:val="27"/>
        </w:rPr>
        <w:t xml:space="preserve"> case </w:t>
      </w:r>
      <w:r w:rsidR="00230BF7">
        <w:rPr>
          <w:szCs w:val="27"/>
        </w:rPr>
        <w:t>from</w:t>
      </w:r>
      <w:r w:rsidR="00A02F4F" w:rsidRPr="002A68EC">
        <w:rPr>
          <w:szCs w:val="27"/>
        </w:rPr>
        <w:t xml:space="preserve"> the </w:t>
      </w:r>
      <w:r w:rsidR="00A02F4F" w:rsidRPr="002A68EC">
        <w:rPr>
          <w:i/>
          <w:iCs/>
          <w:szCs w:val="27"/>
        </w:rPr>
        <w:t>Dano</w:t>
      </w:r>
      <w:r w:rsidR="00A02F4F" w:rsidRPr="002A68EC">
        <w:rPr>
          <w:szCs w:val="27"/>
        </w:rPr>
        <w:t xml:space="preserve"> line of caselaw</w:t>
      </w:r>
      <w:r w:rsidR="003A5A12">
        <w:rPr>
          <w:szCs w:val="27"/>
        </w:rPr>
        <w:t>.</w:t>
      </w:r>
      <w:r w:rsidR="00A02F4F" w:rsidRPr="002A68EC">
        <w:rPr>
          <w:rStyle w:val="FootnoteReference"/>
          <w:szCs w:val="27"/>
        </w:rPr>
        <w:footnoteReference w:id="143"/>
      </w:r>
      <w:r w:rsidR="00230BF7">
        <w:rPr>
          <w:szCs w:val="27"/>
        </w:rPr>
        <w:t xml:space="preserve"> </w:t>
      </w:r>
    </w:p>
    <w:p w14:paraId="7C1F32DC" w14:textId="088A482E" w:rsidR="006D0806" w:rsidRDefault="005852C8" w:rsidP="002A68EC">
      <w:pPr>
        <w:spacing w:after="120"/>
        <w:jc w:val="both"/>
        <w:rPr>
          <w:szCs w:val="27"/>
        </w:rPr>
      </w:pPr>
      <w:r w:rsidRPr="002A68EC">
        <w:rPr>
          <w:szCs w:val="27"/>
        </w:rPr>
        <w:t xml:space="preserve">In </w:t>
      </w:r>
      <w:r w:rsidR="008231B1" w:rsidRPr="002A68EC">
        <w:rPr>
          <w:i/>
          <w:iCs/>
          <w:szCs w:val="27"/>
        </w:rPr>
        <w:t>Brey</w:t>
      </w:r>
      <w:r w:rsidR="008231B1" w:rsidRPr="002A68EC">
        <w:rPr>
          <w:rStyle w:val="FootnoteReference"/>
          <w:szCs w:val="27"/>
        </w:rPr>
        <w:footnoteReference w:id="144"/>
      </w:r>
      <w:r w:rsidR="008231B1" w:rsidRPr="002A68EC">
        <w:rPr>
          <w:szCs w:val="27"/>
        </w:rPr>
        <w:t xml:space="preserve"> the </w:t>
      </w:r>
      <w:r w:rsidR="00230BF7">
        <w:rPr>
          <w:szCs w:val="27"/>
        </w:rPr>
        <w:t>finding that</w:t>
      </w:r>
      <w:r w:rsidR="008231B1" w:rsidRPr="002A68EC">
        <w:rPr>
          <w:szCs w:val="27"/>
        </w:rPr>
        <w:t xml:space="preserve"> the granting of benefits </w:t>
      </w:r>
      <w:r w:rsidR="00230BF7">
        <w:rPr>
          <w:szCs w:val="27"/>
        </w:rPr>
        <w:t>could be</w:t>
      </w:r>
      <w:r w:rsidR="008231B1" w:rsidRPr="002A68EC">
        <w:rPr>
          <w:szCs w:val="27"/>
        </w:rPr>
        <w:t xml:space="preserve"> made conditional upon meeting the requirements of Directive 2004/38</w:t>
      </w:r>
      <w:r w:rsidR="00230BF7">
        <w:rPr>
          <w:szCs w:val="27"/>
        </w:rPr>
        <w:t xml:space="preserve">, was couched </w:t>
      </w:r>
      <w:r w:rsidR="008231B1" w:rsidRPr="002A68EC">
        <w:rPr>
          <w:szCs w:val="27"/>
        </w:rPr>
        <w:t>in terms of “</w:t>
      </w:r>
      <w:r w:rsidR="008231B1" w:rsidRPr="002A68EC">
        <w:rPr>
          <w:i/>
          <w:iCs/>
          <w:szCs w:val="27"/>
        </w:rPr>
        <w:t>meeting the necessary requirements for obtaining a legal right of residence</w:t>
      </w:r>
      <w:r w:rsidR="008231B1" w:rsidRPr="002A68EC">
        <w:rPr>
          <w:szCs w:val="27"/>
        </w:rPr>
        <w:t xml:space="preserve"> in the host Member State”.</w:t>
      </w:r>
      <w:r w:rsidR="008231B1" w:rsidRPr="002A68EC">
        <w:rPr>
          <w:rStyle w:val="FootnoteReference"/>
          <w:szCs w:val="27"/>
        </w:rPr>
        <w:footnoteReference w:id="145"/>
      </w:r>
      <w:r w:rsidR="008231B1" w:rsidRPr="002A68EC">
        <w:rPr>
          <w:szCs w:val="27"/>
        </w:rPr>
        <w:t xml:space="preserve"> </w:t>
      </w:r>
      <w:r w:rsidR="00230BF7">
        <w:rPr>
          <w:szCs w:val="27"/>
        </w:rPr>
        <w:t>I</w:t>
      </w:r>
      <w:r w:rsidR="00CC4150" w:rsidRPr="002A68EC">
        <w:rPr>
          <w:szCs w:val="27"/>
        </w:rPr>
        <w:t xml:space="preserve">n </w:t>
      </w:r>
      <w:r w:rsidR="00CC4150" w:rsidRPr="002A68EC">
        <w:rPr>
          <w:i/>
          <w:iCs/>
          <w:szCs w:val="27"/>
        </w:rPr>
        <w:t>Commission v UK</w:t>
      </w:r>
      <w:r w:rsidR="00CC4150" w:rsidRPr="002A68EC">
        <w:rPr>
          <w:rStyle w:val="FootnoteReference"/>
          <w:szCs w:val="27"/>
        </w:rPr>
        <w:footnoteReference w:id="146"/>
      </w:r>
      <w:r w:rsidR="00CC4150" w:rsidRPr="002A68EC">
        <w:rPr>
          <w:szCs w:val="27"/>
        </w:rPr>
        <w:t xml:space="preserve"> </w:t>
      </w:r>
      <w:r w:rsidR="00230BF7">
        <w:rPr>
          <w:szCs w:val="27"/>
        </w:rPr>
        <w:t>t</w:t>
      </w:r>
      <w:r w:rsidR="00CC4150" w:rsidRPr="002A68EC">
        <w:rPr>
          <w:szCs w:val="27"/>
        </w:rPr>
        <w:t xml:space="preserve">he </w:t>
      </w:r>
      <w:r w:rsidR="00A00CF4" w:rsidRPr="002A68EC">
        <w:rPr>
          <w:szCs w:val="27"/>
        </w:rPr>
        <w:t xml:space="preserve">ECJ </w:t>
      </w:r>
      <w:r w:rsidR="00230BF7">
        <w:rPr>
          <w:szCs w:val="27"/>
        </w:rPr>
        <w:t xml:space="preserve">stated </w:t>
      </w:r>
      <w:r w:rsidR="00A00CF4" w:rsidRPr="002A68EC">
        <w:rPr>
          <w:szCs w:val="27"/>
        </w:rPr>
        <w:t>t</w:t>
      </w:r>
      <w:r w:rsidR="00CC4150" w:rsidRPr="002A68EC">
        <w:rPr>
          <w:szCs w:val="27"/>
        </w:rPr>
        <w:t>wice that benefit claiming EU nationals could be required to “</w:t>
      </w:r>
      <w:r w:rsidR="00CC4150" w:rsidRPr="002A68EC">
        <w:rPr>
          <w:szCs w:val="27"/>
          <w:shd w:val="clear" w:color="auto" w:fill="FFFFFF"/>
        </w:rPr>
        <w:t xml:space="preserve">fulfil the </w:t>
      </w:r>
      <w:r w:rsidR="00CC4150" w:rsidRPr="002A68EC">
        <w:rPr>
          <w:i/>
          <w:iCs/>
          <w:szCs w:val="27"/>
          <w:shd w:val="clear" w:color="auto" w:fill="FFFFFF"/>
        </w:rPr>
        <w:t>conditions for possessing a right to reside lawfully</w:t>
      </w:r>
      <w:r w:rsidR="00CC4150" w:rsidRPr="002A68EC">
        <w:rPr>
          <w:szCs w:val="27"/>
          <w:shd w:val="clear" w:color="auto" w:fill="FFFFFF"/>
        </w:rPr>
        <w:t xml:space="preserve"> in the host Member State”.</w:t>
      </w:r>
      <w:r w:rsidR="00CC4150" w:rsidRPr="002A68EC">
        <w:rPr>
          <w:rStyle w:val="FootnoteReference"/>
          <w:szCs w:val="27"/>
          <w:shd w:val="clear" w:color="auto" w:fill="FFFFFF"/>
        </w:rPr>
        <w:footnoteReference w:id="147"/>
      </w:r>
      <w:r w:rsidR="00230BF7">
        <w:rPr>
          <w:szCs w:val="27"/>
          <w:shd w:val="clear" w:color="auto" w:fill="FFFFFF"/>
        </w:rPr>
        <w:t xml:space="preserve"> While the </w:t>
      </w:r>
      <w:r w:rsidR="003A5A12">
        <w:rPr>
          <w:szCs w:val="27"/>
          <w:shd w:val="clear" w:color="auto" w:fill="FFFFFF"/>
        </w:rPr>
        <w:t xml:space="preserve">applicant in </w:t>
      </w:r>
      <w:r w:rsidR="008231B1" w:rsidRPr="002A68EC">
        <w:rPr>
          <w:i/>
          <w:iCs/>
          <w:szCs w:val="27"/>
        </w:rPr>
        <w:t>Dano</w:t>
      </w:r>
      <w:r w:rsidR="008231B1" w:rsidRPr="002A68EC">
        <w:rPr>
          <w:rStyle w:val="FootnoteReference"/>
          <w:szCs w:val="27"/>
        </w:rPr>
        <w:footnoteReference w:id="148"/>
      </w:r>
      <w:r w:rsidR="003A5A12">
        <w:rPr>
          <w:i/>
          <w:iCs/>
          <w:szCs w:val="27"/>
        </w:rPr>
        <w:t xml:space="preserve"> </w:t>
      </w:r>
      <w:r w:rsidR="003A5A12">
        <w:rPr>
          <w:szCs w:val="27"/>
        </w:rPr>
        <w:t xml:space="preserve">possessed a </w:t>
      </w:r>
      <w:r w:rsidR="008231B1" w:rsidRPr="002A68EC">
        <w:rPr>
          <w:szCs w:val="27"/>
        </w:rPr>
        <w:t>“residence certificate of unlimited duration”</w:t>
      </w:r>
      <w:r w:rsidR="003A5A12">
        <w:rPr>
          <w:szCs w:val="27"/>
        </w:rPr>
        <w:t>, yet was still required</w:t>
      </w:r>
      <w:r w:rsidR="008231B1" w:rsidRPr="002A68EC">
        <w:rPr>
          <w:szCs w:val="27"/>
        </w:rPr>
        <w:t xml:space="preserve"> to comply with the conditions of Directive 2004/38 to access a special non-contributory benefit</w:t>
      </w:r>
      <w:r w:rsidR="003A5A12">
        <w:rPr>
          <w:szCs w:val="27"/>
        </w:rPr>
        <w:t>,</w:t>
      </w:r>
      <w:r w:rsidR="008231B1" w:rsidRPr="002A68EC">
        <w:rPr>
          <w:rStyle w:val="FootnoteReference"/>
          <w:szCs w:val="27"/>
        </w:rPr>
        <w:footnoteReference w:id="149"/>
      </w:r>
      <w:r w:rsidR="008231B1" w:rsidRPr="002A68EC">
        <w:rPr>
          <w:szCs w:val="27"/>
        </w:rPr>
        <w:t xml:space="preserve"> </w:t>
      </w:r>
      <w:r w:rsidR="00230BF7">
        <w:rPr>
          <w:szCs w:val="27"/>
        </w:rPr>
        <w:t xml:space="preserve">that </w:t>
      </w:r>
      <w:r w:rsidR="008231B1" w:rsidRPr="002A68EC">
        <w:rPr>
          <w:szCs w:val="27"/>
        </w:rPr>
        <w:t xml:space="preserve">certificate, </w:t>
      </w:r>
      <w:r w:rsidR="003A5A12">
        <w:rPr>
          <w:szCs w:val="27"/>
        </w:rPr>
        <w:t>(</w:t>
      </w:r>
      <w:r w:rsidR="008231B1" w:rsidRPr="002A68EC">
        <w:rPr>
          <w:szCs w:val="27"/>
        </w:rPr>
        <w:t>which no longer exists</w:t>
      </w:r>
      <w:r w:rsidR="003A5A12">
        <w:rPr>
          <w:szCs w:val="27"/>
        </w:rPr>
        <w:t>)</w:t>
      </w:r>
      <w:r w:rsidR="008231B1" w:rsidRPr="002A68EC">
        <w:rPr>
          <w:szCs w:val="27"/>
        </w:rPr>
        <w:t xml:space="preserve">, was not a residence permit and was only </w:t>
      </w:r>
      <w:r w:rsidR="008231B1" w:rsidRPr="002A68EC">
        <w:rPr>
          <w:iCs/>
          <w:szCs w:val="27"/>
        </w:rPr>
        <w:t>declaratory</w:t>
      </w:r>
      <w:r w:rsidR="008231B1" w:rsidRPr="002A68EC">
        <w:rPr>
          <w:szCs w:val="27"/>
        </w:rPr>
        <w:t xml:space="preserve"> of a person’s rights to exercise EU free movement rights.</w:t>
      </w:r>
      <w:r w:rsidR="008231B1" w:rsidRPr="002A68EC">
        <w:rPr>
          <w:rStyle w:val="FootnoteReference"/>
          <w:szCs w:val="27"/>
        </w:rPr>
        <w:footnoteReference w:id="150"/>
      </w:r>
      <w:r w:rsidR="00DF35FE" w:rsidRPr="002A68EC">
        <w:rPr>
          <w:szCs w:val="27"/>
        </w:rPr>
        <w:t xml:space="preserve"> The</w:t>
      </w:r>
      <w:r w:rsidR="00230BF7">
        <w:rPr>
          <w:szCs w:val="27"/>
        </w:rPr>
        <w:t xml:space="preserve"> High Court </w:t>
      </w:r>
      <w:r w:rsidR="00DF35FE" w:rsidRPr="002A68EC">
        <w:rPr>
          <w:szCs w:val="27"/>
        </w:rPr>
        <w:t xml:space="preserve">judge in </w:t>
      </w:r>
      <w:r w:rsidR="00DF35FE" w:rsidRPr="002A68EC">
        <w:rPr>
          <w:i/>
          <w:iCs/>
          <w:szCs w:val="27"/>
        </w:rPr>
        <w:t>Fratila</w:t>
      </w:r>
      <w:r w:rsidR="00DF35FE" w:rsidRPr="002A68EC">
        <w:rPr>
          <w:szCs w:val="27"/>
        </w:rPr>
        <w:t xml:space="preserve"> noted that written observations from the German government confirmed that the certificate in question </w:t>
      </w:r>
      <w:r w:rsidR="008231B1" w:rsidRPr="002A68EC">
        <w:rPr>
          <w:szCs w:val="27"/>
        </w:rPr>
        <w:t>did not confer a right to reside</w:t>
      </w:r>
      <w:r w:rsidR="00DF35FE" w:rsidRPr="002A68EC">
        <w:rPr>
          <w:szCs w:val="27"/>
        </w:rPr>
        <w:t xml:space="preserve">, and added that it </w:t>
      </w:r>
      <w:r w:rsidR="0050770A" w:rsidRPr="002A68EC">
        <w:rPr>
          <w:szCs w:val="27"/>
        </w:rPr>
        <w:t>“</w:t>
      </w:r>
      <w:r w:rsidR="00DF35FE" w:rsidRPr="002A68EC">
        <w:rPr>
          <w:szCs w:val="27"/>
        </w:rPr>
        <w:t>only serves to explain why on the facts of that case, there was no scope for any free-standing Article 18 TFEU argument</w:t>
      </w:r>
      <w:r w:rsidR="0050770A" w:rsidRPr="002A68EC">
        <w:rPr>
          <w:szCs w:val="27"/>
        </w:rPr>
        <w:t>”</w:t>
      </w:r>
      <w:r w:rsidR="00DF35FE" w:rsidRPr="002A68EC">
        <w:rPr>
          <w:szCs w:val="27"/>
        </w:rPr>
        <w:t>.</w:t>
      </w:r>
      <w:r w:rsidR="00CC4150" w:rsidRPr="002A68EC">
        <w:rPr>
          <w:rStyle w:val="FootnoteReference"/>
          <w:szCs w:val="27"/>
        </w:rPr>
        <w:footnoteReference w:id="151"/>
      </w:r>
      <w:r w:rsidR="00F50EAC" w:rsidRPr="002A68EC">
        <w:rPr>
          <w:szCs w:val="27"/>
        </w:rPr>
        <w:t xml:space="preserve"> </w:t>
      </w:r>
      <w:r w:rsidR="00CC4150" w:rsidRPr="002A68EC">
        <w:rPr>
          <w:szCs w:val="27"/>
        </w:rPr>
        <w:t>In contrast, pre</w:t>
      </w:r>
      <w:r w:rsidR="00B4145B" w:rsidRPr="002A68EC">
        <w:rPr>
          <w:szCs w:val="27"/>
        </w:rPr>
        <w:t>-</w:t>
      </w:r>
      <w:r w:rsidR="00CC4150" w:rsidRPr="002A68EC">
        <w:rPr>
          <w:szCs w:val="27"/>
        </w:rPr>
        <w:t xml:space="preserve">settled status </w:t>
      </w:r>
      <w:bookmarkStart w:id="30" w:name="para23"/>
      <w:r w:rsidR="0050770A" w:rsidRPr="002A68EC">
        <w:rPr>
          <w:szCs w:val="27"/>
        </w:rPr>
        <w:t>“</w:t>
      </w:r>
      <w:r w:rsidR="00CC4150" w:rsidRPr="002A68EC">
        <w:rPr>
          <w:szCs w:val="27"/>
        </w:rPr>
        <w:t>exists apart from anything available under the Citizens' Rights Directive</w:t>
      </w:r>
      <w:r w:rsidR="0050770A" w:rsidRPr="002A68EC">
        <w:rPr>
          <w:szCs w:val="27"/>
        </w:rPr>
        <w:t>”</w:t>
      </w:r>
      <w:r w:rsidR="00CC4150" w:rsidRPr="002A68EC">
        <w:rPr>
          <w:szCs w:val="27"/>
        </w:rPr>
        <w:t xml:space="preserve"> and </w:t>
      </w:r>
      <w:r w:rsidR="0050770A" w:rsidRPr="002A68EC">
        <w:rPr>
          <w:szCs w:val="27"/>
        </w:rPr>
        <w:t>“</w:t>
      </w:r>
      <w:r w:rsidR="00CC4150" w:rsidRPr="002A68EC">
        <w:rPr>
          <w:szCs w:val="27"/>
        </w:rPr>
        <w:t>has a distinct legal basis</w:t>
      </w:r>
      <w:r w:rsidR="0050770A" w:rsidRPr="002A68EC">
        <w:rPr>
          <w:szCs w:val="27"/>
        </w:rPr>
        <w:t>”</w:t>
      </w:r>
      <w:r w:rsidR="00CC4150" w:rsidRPr="002A68EC">
        <w:rPr>
          <w:szCs w:val="27"/>
        </w:rPr>
        <w:t>.</w:t>
      </w:r>
      <w:r w:rsidR="00CC4150" w:rsidRPr="002A68EC">
        <w:rPr>
          <w:rStyle w:val="FootnoteReference"/>
          <w:szCs w:val="27"/>
        </w:rPr>
        <w:footnoteReference w:id="152"/>
      </w:r>
      <w:r w:rsidR="00CC4150" w:rsidRPr="002A68EC">
        <w:rPr>
          <w:szCs w:val="27"/>
        </w:rPr>
        <w:t> </w:t>
      </w:r>
      <w:bookmarkEnd w:id="30"/>
    </w:p>
    <w:p w14:paraId="37C30D9C" w14:textId="63684207" w:rsidR="00513F33" w:rsidRPr="003A5A12" w:rsidRDefault="00513F33" w:rsidP="002A68EC">
      <w:pPr>
        <w:spacing w:after="120"/>
        <w:jc w:val="both"/>
        <w:rPr>
          <w:i/>
          <w:iCs/>
          <w:szCs w:val="27"/>
          <w:shd w:val="clear" w:color="auto" w:fill="FFFFFF"/>
        </w:rPr>
      </w:pPr>
      <w:r>
        <w:rPr>
          <w:szCs w:val="27"/>
          <w:shd w:val="clear" w:color="auto" w:fill="FFFFFF"/>
        </w:rPr>
        <w:t xml:space="preserve">Of course, while this is helpful for claims arising under </w:t>
      </w:r>
      <w:r>
        <w:rPr>
          <w:i/>
          <w:iCs/>
          <w:szCs w:val="27"/>
          <w:shd w:val="clear" w:color="auto" w:fill="FFFFFF"/>
        </w:rPr>
        <w:t>Fratila</w:t>
      </w:r>
      <w:r>
        <w:rPr>
          <w:szCs w:val="27"/>
          <w:shd w:val="clear" w:color="auto" w:fill="FFFFFF"/>
        </w:rPr>
        <w:t>, this creates a further bifurcation in the schemes of residence rights and enforcement, seeding future complications and problems. An argument that a right of residence falls outside of Directive 2004/38 (and indeed is a domestic right) is double edged; it appears to take that individual outside of the scope of the permanent residence provisions of the Withdrawal Agreement,</w:t>
      </w:r>
      <w:r>
        <w:rPr>
          <w:rStyle w:val="FootnoteReference"/>
          <w:szCs w:val="27"/>
          <w:shd w:val="clear" w:color="auto" w:fill="FFFFFF"/>
        </w:rPr>
        <w:footnoteReference w:id="153"/>
      </w:r>
      <w:r>
        <w:rPr>
          <w:szCs w:val="27"/>
          <w:shd w:val="clear" w:color="auto" w:fill="FFFFFF"/>
        </w:rPr>
        <w:t xml:space="preserve"> and potentially excludes them from EU level redress when it comes to later disputes. The immediate question, however, is whether the UK can exclude those falling within the scope of Article 18 TFEU from benefits. </w:t>
      </w:r>
    </w:p>
    <w:p w14:paraId="6D770808" w14:textId="0A7C0BC0" w:rsidR="00230BF7" w:rsidRDefault="00230BF7" w:rsidP="002A68EC">
      <w:pPr>
        <w:spacing w:after="120"/>
        <w:jc w:val="both"/>
        <w:rPr>
          <w:szCs w:val="27"/>
        </w:rPr>
      </w:pPr>
    </w:p>
    <w:p w14:paraId="241F2951" w14:textId="148453E6" w:rsidR="00294EC1" w:rsidRPr="002A68EC" w:rsidRDefault="00294EC1" w:rsidP="002A68EC">
      <w:pPr>
        <w:pStyle w:val="Heading3"/>
        <w:spacing w:before="0" w:after="120"/>
        <w:jc w:val="both"/>
        <w:rPr>
          <w:rFonts w:ascii="Times New Roman" w:hAnsi="Times New Roman"/>
          <w:color w:val="auto"/>
        </w:rPr>
      </w:pPr>
      <w:r w:rsidRPr="002A68EC">
        <w:rPr>
          <w:rFonts w:ascii="Times New Roman" w:hAnsi="Times New Roman"/>
          <w:color w:val="auto"/>
        </w:rPr>
        <w:t xml:space="preserve">5.2 </w:t>
      </w:r>
      <w:r w:rsidRPr="002A68EC">
        <w:rPr>
          <w:rFonts w:ascii="Times New Roman" w:hAnsi="Times New Roman"/>
          <w:color w:val="auto"/>
        </w:rPr>
        <w:tab/>
      </w:r>
      <w:r w:rsidRPr="002A68EC">
        <w:rPr>
          <w:rFonts w:ascii="Times New Roman" w:hAnsi="Times New Roman"/>
          <w:i/>
          <w:iCs/>
          <w:color w:val="auto"/>
        </w:rPr>
        <w:t xml:space="preserve">The right to reside test: </w:t>
      </w:r>
      <w:r w:rsidR="00DF6C2F">
        <w:rPr>
          <w:rFonts w:ascii="Times New Roman" w:hAnsi="Times New Roman"/>
          <w:i/>
          <w:iCs/>
          <w:color w:val="auto"/>
        </w:rPr>
        <w:t>reaching the limits of</w:t>
      </w:r>
      <w:r w:rsidRPr="002A68EC">
        <w:rPr>
          <w:rFonts w:ascii="Times New Roman" w:hAnsi="Times New Roman"/>
          <w:i/>
          <w:iCs/>
          <w:color w:val="auto"/>
        </w:rPr>
        <w:t xml:space="preserve"> the legal fiction of ‘indirect’ discrimination</w:t>
      </w:r>
    </w:p>
    <w:p w14:paraId="2D4FA616" w14:textId="77777777" w:rsidR="00DF6C2F" w:rsidRDefault="00DF6C2F" w:rsidP="002A68EC">
      <w:pPr>
        <w:spacing w:after="120"/>
        <w:jc w:val="both"/>
        <w:rPr>
          <w:szCs w:val="27"/>
        </w:rPr>
      </w:pPr>
    </w:p>
    <w:p w14:paraId="44FA1AEA" w14:textId="132C80A3" w:rsidR="002E561B" w:rsidRPr="002A68EC" w:rsidRDefault="00DC2F09" w:rsidP="002A68EC">
      <w:pPr>
        <w:spacing w:after="120"/>
        <w:jc w:val="both"/>
        <w:rPr>
          <w:vanish/>
        </w:rPr>
      </w:pPr>
      <w:r w:rsidRPr="002A68EC">
        <w:rPr>
          <w:szCs w:val="27"/>
        </w:rPr>
        <w:t xml:space="preserve">For the purposes of claims relating to the period before the end of transition, the High Court </w:t>
      </w:r>
      <w:r w:rsidR="003A5A12">
        <w:rPr>
          <w:szCs w:val="27"/>
        </w:rPr>
        <w:t xml:space="preserve">and the Court of Appeal </w:t>
      </w:r>
      <w:r w:rsidRPr="002A68EC">
        <w:rPr>
          <w:szCs w:val="27"/>
        </w:rPr>
        <w:t>ha</w:t>
      </w:r>
      <w:r w:rsidR="003A5A12">
        <w:rPr>
          <w:szCs w:val="27"/>
        </w:rPr>
        <w:t>ve both</w:t>
      </w:r>
      <w:r w:rsidRPr="002A68EC">
        <w:rPr>
          <w:szCs w:val="27"/>
        </w:rPr>
        <w:t xml:space="preserve"> accepted that Article 18 TFEU applies and that pre</w:t>
      </w:r>
      <w:r w:rsidR="002D6459" w:rsidRPr="002A68EC">
        <w:rPr>
          <w:szCs w:val="27"/>
        </w:rPr>
        <w:t>-</w:t>
      </w:r>
      <w:r w:rsidRPr="002A68EC">
        <w:rPr>
          <w:szCs w:val="27"/>
        </w:rPr>
        <w:t xml:space="preserve">settled </w:t>
      </w:r>
      <w:r w:rsidRPr="002A68EC">
        <w:rPr>
          <w:szCs w:val="27"/>
        </w:rPr>
        <w:lastRenderedPageBreak/>
        <w:t xml:space="preserve">status gives rise to an equal treatment claim. </w:t>
      </w:r>
      <w:r w:rsidR="003A5A12">
        <w:rPr>
          <w:szCs w:val="27"/>
        </w:rPr>
        <w:t xml:space="preserve">This leads to the </w:t>
      </w:r>
      <w:r w:rsidRPr="002A68EC">
        <w:rPr>
          <w:szCs w:val="27"/>
        </w:rPr>
        <w:t>question of whether the discrimination faced was direct or indirect, and if the latter, whether it was justified.</w:t>
      </w:r>
    </w:p>
    <w:p w14:paraId="25997F37" w14:textId="77777777" w:rsidR="003A5A12" w:rsidRDefault="00062313" w:rsidP="002A68EC">
      <w:pPr>
        <w:spacing w:after="120"/>
        <w:jc w:val="both"/>
        <w:rPr>
          <w:szCs w:val="27"/>
          <w:shd w:val="clear" w:color="auto" w:fill="FFFFFF"/>
        </w:rPr>
      </w:pPr>
      <w:r w:rsidRPr="002A68EC">
        <w:rPr>
          <w:szCs w:val="27"/>
          <w:shd w:val="clear" w:color="auto" w:fill="FFFFFF"/>
        </w:rPr>
        <w:t xml:space="preserve"> </w:t>
      </w:r>
    </w:p>
    <w:p w14:paraId="59753399" w14:textId="4491B331" w:rsidR="005728DD" w:rsidRDefault="005728DD" w:rsidP="005728DD">
      <w:pPr>
        <w:spacing w:after="120"/>
        <w:jc w:val="both"/>
        <w:rPr>
          <w:szCs w:val="27"/>
          <w:shd w:val="clear" w:color="auto" w:fill="FFFFFF"/>
        </w:rPr>
      </w:pPr>
      <w:r>
        <w:rPr>
          <w:szCs w:val="27"/>
          <w:shd w:val="clear" w:color="auto" w:fill="FFFFFF"/>
        </w:rPr>
        <w:t xml:space="preserve">Without challenging the </w:t>
      </w:r>
      <w:r w:rsidR="00BB144B" w:rsidRPr="002A68EC">
        <w:rPr>
          <w:szCs w:val="27"/>
          <w:shd w:val="clear" w:color="auto" w:fill="FFFFFF"/>
        </w:rPr>
        <w:t>legal fiction</w:t>
      </w:r>
      <w:r w:rsidR="00062313" w:rsidRPr="002A68EC">
        <w:rPr>
          <w:szCs w:val="27"/>
          <w:shd w:val="clear" w:color="auto" w:fill="FFFFFF"/>
        </w:rPr>
        <w:t xml:space="preserve"> </w:t>
      </w:r>
      <w:r>
        <w:rPr>
          <w:szCs w:val="27"/>
          <w:shd w:val="clear" w:color="auto" w:fill="FFFFFF"/>
        </w:rPr>
        <w:t xml:space="preserve">(in UK and EU law) </w:t>
      </w:r>
      <w:r w:rsidR="00BB144B" w:rsidRPr="002A68EC">
        <w:rPr>
          <w:szCs w:val="27"/>
          <w:shd w:val="clear" w:color="auto" w:fill="FFFFFF"/>
        </w:rPr>
        <w:t xml:space="preserve">that the UK’s right to reside test is </w:t>
      </w:r>
      <w:r w:rsidR="00BB144B" w:rsidRPr="002A68EC">
        <w:rPr>
          <w:i/>
          <w:iCs/>
          <w:szCs w:val="27"/>
          <w:shd w:val="clear" w:color="auto" w:fill="FFFFFF"/>
        </w:rPr>
        <w:t>indirect</w:t>
      </w:r>
      <w:r w:rsidR="00BB144B" w:rsidRPr="002A68EC">
        <w:rPr>
          <w:szCs w:val="27"/>
          <w:shd w:val="clear" w:color="auto" w:fill="FFFFFF"/>
        </w:rPr>
        <w:t xml:space="preserve"> rather than direct discrimination</w:t>
      </w:r>
      <w:r>
        <w:rPr>
          <w:szCs w:val="27"/>
          <w:shd w:val="clear" w:color="auto" w:fill="FFFFFF"/>
        </w:rPr>
        <w:t xml:space="preserve">, the Court of Appeal have found that that logic can only stretch so far: requiring a right to reside is permissible, and justifiable, but distinguishing between different types of right to reside, solely to the detriment of EU nationals, is not. </w:t>
      </w:r>
    </w:p>
    <w:p w14:paraId="7855E49C" w14:textId="4BB8A6F6" w:rsidR="005728DD" w:rsidRPr="005728DD" w:rsidRDefault="00BB144B" w:rsidP="005728DD">
      <w:pPr>
        <w:spacing w:after="120"/>
        <w:jc w:val="both"/>
        <w:rPr>
          <w:szCs w:val="27"/>
        </w:rPr>
      </w:pPr>
      <w:r w:rsidRPr="002A68EC">
        <w:rPr>
          <w:szCs w:val="27"/>
          <w:shd w:val="clear" w:color="auto" w:fill="FFFFFF"/>
        </w:rPr>
        <w:t xml:space="preserve">Time and again, UK courts have </w:t>
      </w:r>
      <w:r w:rsidR="00FE46F4" w:rsidRPr="002A68EC">
        <w:rPr>
          <w:szCs w:val="27"/>
          <w:shd w:val="clear" w:color="auto" w:fill="FFFFFF"/>
        </w:rPr>
        <w:t xml:space="preserve">treated </w:t>
      </w:r>
      <w:r w:rsidRPr="002A68EC">
        <w:rPr>
          <w:szCs w:val="27"/>
          <w:shd w:val="clear" w:color="auto" w:fill="FFFFFF"/>
        </w:rPr>
        <w:t xml:space="preserve">the test </w:t>
      </w:r>
      <w:r w:rsidR="00FE46F4" w:rsidRPr="002A68EC">
        <w:rPr>
          <w:szCs w:val="27"/>
          <w:shd w:val="clear" w:color="auto" w:fill="FFFFFF"/>
        </w:rPr>
        <w:t>as</w:t>
      </w:r>
      <w:r w:rsidRPr="002A68EC">
        <w:rPr>
          <w:szCs w:val="27"/>
          <w:shd w:val="clear" w:color="auto" w:fill="FFFFFF"/>
        </w:rPr>
        <w:t xml:space="preserve"> not discriminat</w:t>
      </w:r>
      <w:r w:rsidR="00FE46F4" w:rsidRPr="002A68EC">
        <w:rPr>
          <w:szCs w:val="27"/>
          <w:shd w:val="clear" w:color="auto" w:fill="FFFFFF"/>
        </w:rPr>
        <w:t>ing</w:t>
      </w:r>
      <w:r w:rsidRPr="002A68EC">
        <w:rPr>
          <w:szCs w:val="27"/>
          <w:shd w:val="clear" w:color="auto" w:fill="FFFFFF"/>
        </w:rPr>
        <w:t xml:space="preserve"> directly against EU nationals</w:t>
      </w:r>
      <w:r w:rsidR="005728DD">
        <w:rPr>
          <w:szCs w:val="27"/>
          <w:shd w:val="clear" w:color="auto" w:fill="FFFFFF"/>
        </w:rPr>
        <w:t>,</w:t>
      </w:r>
      <w:r w:rsidR="005728DD" w:rsidRPr="002A68EC">
        <w:rPr>
          <w:rStyle w:val="FootnoteReference"/>
          <w:szCs w:val="27"/>
          <w:shd w:val="clear" w:color="auto" w:fill="FFFFFF"/>
        </w:rPr>
        <w:footnoteReference w:id="154"/>
      </w:r>
      <w:r w:rsidR="005728DD" w:rsidRPr="002A68EC">
        <w:rPr>
          <w:szCs w:val="27"/>
          <w:shd w:val="clear" w:color="auto" w:fill="FFFFFF"/>
        </w:rPr>
        <w:t xml:space="preserve"> </w:t>
      </w:r>
      <w:r w:rsidR="005728DD">
        <w:rPr>
          <w:szCs w:val="27"/>
          <w:shd w:val="clear" w:color="auto" w:fill="FFFFFF"/>
        </w:rPr>
        <w:t xml:space="preserve"> and the ECJ has acquiesced</w:t>
      </w:r>
      <w:r w:rsidRPr="002A68EC">
        <w:rPr>
          <w:szCs w:val="27"/>
          <w:shd w:val="clear" w:color="auto" w:fill="FFFFFF"/>
        </w:rPr>
        <w:t>.</w:t>
      </w:r>
      <w:r w:rsidR="005728DD">
        <w:rPr>
          <w:rStyle w:val="FootnoteReference"/>
          <w:szCs w:val="27"/>
          <w:shd w:val="clear" w:color="auto" w:fill="FFFFFF"/>
        </w:rPr>
        <w:footnoteReference w:id="155"/>
      </w:r>
      <w:r w:rsidRPr="002A68EC">
        <w:rPr>
          <w:szCs w:val="27"/>
          <w:shd w:val="clear" w:color="auto" w:fill="FFFFFF"/>
        </w:rPr>
        <w:t xml:space="preserve"> </w:t>
      </w:r>
      <w:r w:rsidR="00193348" w:rsidRPr="002A68EC">
        <w:rPr>
          <w:szCs w:val="27"/>
          <w:shd w:val="clear" w:color="auto" w:fill="FFFFFF"/>
        </w:rPr>
        <w:t xml:space="preserve">Hence, in </w:t>
      </w:r>
      <w:r w:rsidR="005728DD">
        <w:rPr>
          <w:szCs w:val="27"/>
          <w:shd w:val="clear" w:color="auto" w:fill="FFFFFF"/>
        </w:rPr>
        <w:t xml:space="preserve">the High Court </w:t>
      </w:r>
      <w:r w:rsidR="00193348" w:rsidRPr="002A68EC">
        <w:rPr>
          <w:i/>
          <w:iCs/>
          <w:szCs w:val="27"/>
          <w:shd w:val="clear" w:color="auto" w:fill="FFFFFF"/>
        </w:rPr>
        <w:t>Fratila</w:t>
      </w:r>
      <w:r w:rsidR="005728DD">
        <w:rPr>
          <w:i/>
          <w:iCs/>
          <w:szCs w:val="27"/>
          <w:shd w:val="clear" w:color="auto" w:fill="FFFFFF"/>
        </w:rPr>
        <w:t xml:space="preserve"> </w:t>
      </w:r>
      <w:r w:rsidR="005728DD">
        <w:rPr>
          <w:szCs w:val="27"/>
          <w:shd w:val="clear" w:color="auto" w:fill="FFFFFF"/>
        </w:rPr>
        <w:t xml:space="preserve">judgment, </w:t>
      </w:r>
      <w:r w:rsidR="00193348" w:rsidRPr="002A68EC">
        <w:rPr>
          <w:szCs w:val="27"/>
          <w:shd w:val="clear" w:color="auto" w:fill="FFFFFF"/>
        </w:rPr>
        <w:t xml:space="preserve">the judge </w:t>
      </w:r>
      <w:r w:rsidR="005728DD">
        <w:rPr>
          <w:szCs w:val="27"/>
          <w:shd w:val="clear" w:color="auto" w:fill="FFFFFF"/>
        </w:rPr>
        <w:t xml:space="preserve">found that the rules constituted justified indirect discrimination because </w:t>
      </w:r>
      <w:bookmarkStart w:id="31" w:name="para28"/>
      <w:r w:rsidR="00A06FD8" w:rsidRPr="002A68EC">
        <w:rPr>
          <w:szCs w:val="27"/>
          <w:shd w:val="clear" w:color="auto" w:fill="FFFFFF"/>
        </w:rPr>
        <w:t>“</w:t>
      </w:r>
      <w:r w:rsidR="00193348" w:rsidRPr="002A68EC">
        <w:rPr>
          <w:szCs w:val="27"/>
        </w:rPr>
        <w:t>direct discrimination arises, and only arises, when there is an </w:t>
      </w:r>
      <w:r w:rsidR="00193348" w:rsidRPr="002A68EC">
        <w:rPr>
          <w:szCs w:val="27"/>
          <w:u w:val="single"/>
        </w:rPr>
        <w:t>exact</w:t>
      </w:r>
      <w:r w:rsidR="00193348" w:rsidRPr="002A68EC">
        <w:rPr>
          <w:szCs w:val="27"/>
        </w:rPr>
        <w:t> coincidence between the requirement applied and the prohibited characteristic</w:t>
      </w:r>
      <w:bookmarkEnd w:id="31"/>
      <w:r w:rsidR="00193348" w:rsidRPr="002A68EC">
        <w:rPr>
          <w:szCs w:val="27"/>
        </w:rPr>
        <w:t>.</w:t>
      </w:r>
      <w:r w:rsidR="00A06FD8" w:rsidRPr="002A68EC">
        <w:rPr>
          <w:szCs w:val="27"/>
        </w:rPr>
        <w:t>”</w:t>
      </w:r>
      <w:r w:rsidR="00193348" w:rsidRPr="002A68EC">
        <w:rPr>
          <w:rStyle w:val="FootnoteReference"/>
          <w:szCs w:val="27"/>
        </w:rPr>
        <w:footnoteReference w:id="156"/>
      </w:r>
      <w:r w:rsidR="00193348" w:rsidRPr="002A68EC">
        <w:rPr>
          <w:szCs w:val="27"/>
        </w:rPr>
        <w:t xml:space="preserve"> </w:t>
      </w:r>
      <w:r w:rsidR="005728DD">
        <w:rPr>
          <w:szCs w:val="27"/>
        </w:rPr>
        <w:t>But this is not accurate, as the Court of Appeal noted, quoting Lady Hale in the Supreme Court: “‘</w:t>
      </w:r>
      <w:r w:rsidR="005728DD" w:rsidRPr="005728DD">
        <w:rPr>
          <w:szCs w:val="27"/>
        </w:rPr>
        <w:t xml:space="preserve"> [I]t cannot be a requirement of direct discrimination that all the people who share a particular protected characteristic must suffer the less favourable treatment complained of. It is not necessary, for example, that an employer always discriminates against women: it is enough to show that he did so in </w:t>
      </w:r>
      <w:r w:rsidR="005728DD">
        <w:rPr>
          <w:szCs w:val="27"/>
        </w:rPr>
        <w:t xml:space="preserve">[one] </w:t>
      </w:r>
      <w:r w:rsidR="005728DD" w:rsidRPr="005728DD">
        <w:rPr>
          <w:szCs w:val="27"/>
        </w:rPr>
        <w:t>case.</w:t>
      </w:r>
      <w:r w:rsidR="005728DD">
        <w:rPr>
          <w:szCs w:val="27"/>
        </w:rPr>
        <w:t>’”</w:t>
      </w:r>
      <w:r w:rsidR="005728DD">
        <w:rPr>
          <w:rStyle w:val="FootnoteReference"/>
          <w:szCs w:val="27"/>
        </w:rPr>
        <w:footnoteReference w:id="157"/>
      </w:r>
    </w:p>
    <w:p w14:paraId="3222285C" w14:textId="35384B97" w:rsidR="00193348" w:rsidRPr="002A68EC" w:rsidRDefault="00336A5D" w:rsidP="005728DD">
      <w:pPr>
        <w:spacing w:after="120"/>
        <w:jc w:val="both"/>
        <w:rPr>
          <w:szCs w:val="27"/>
          <w:shd w:val="clear" w:color="auto" w:fill="FFFFFF"/>
        </w:rPr>
      </w:pPr>
      <w:r>
        <w:rPr>
          <w:szCs w:val="27"/>
        </w:rPr>
        <w:t xml:space="preserve">Any requirement that all individuals with the protected characteristic be equally affected is at odds with the legal positioning of </w:t>
      </w:r>
      <w:r w:rsidR="00193348" w:rsidRPr="002A68EC">
        <w:rPr>
          <w:szCs w:val="27"/>
        </w:rPr>
        <w:t>pregnancy discrimination,</w:t>
      </w:r>
      <w:r w:rsidR="005374D0" w:rsidRPr="002A68EC">
        <w:rPr>
          <w:rStyle w:val="FootnoteReference"/>
          <w:szCs w:val="27"/>
        </w:rPr>
        <w:footnoteReference w:id="158"/>
      </w:r>
      <w:r w:rsidR="00193348" w:rsidRPr="002A68EC">
        <w:rPr>
          <w:szCs w:val="27"/>
        </w:rPr>
        <w:t xml:space="preserve"> and non-provision for breastfeeding mothers,</w:t>
      </w:r>
      <w:r w:rsidR="005374D0" w:rsidRPr="002A68EC">
        <w:rPr>
          <w:rStyle w:val="FootnoteReference"/>
          <w:szCs w:val="27"/>
        </w:rPr>
        <w:footnoteReference w:id="159"/>
      </w:r>
      <w:r w:rsidR="00193348" w:rsidRPr="002A68EC">
        <w:rPr>
          <w:szCs w:val="27"/>
        </w:rPr>
        <w:t xml:space="preserve"> </w:t>
      </w:r>
      <w:r>
        <w:rPr>
          <w:szCs w:val="27"/>
        </w:rPr>
        <w:t xml:space="preserve">as </w:t>
      </w:r>
      <w:r w:rsidR="00193348" w:rsidRPr="002A68EC">
        <w:rPr>
          <w:szCs w:val="27"/>
        </w:rPr>
        <w:t xml:space="preserve">forms of direct (or unjustifiable) discrimination, even though many – most – woman are not affected at any one time. </w:t>
      </w:r>
      <w:r w:rsidR="00193348" w:rsidRPr="002A68EC">
        <w:rPr>
          <w:szCs w:val="27"/>
          <w:shd w:val="clear" w:color="auto" w:fill="FFFFFF"/>
        </w:rPr>
        <w:t xml:space="preserve">But the biggest problem with this approach is the misleading focus on </w:t>
      </w:r>
      <w:r w:rsidR="004525E3" w:rsidRPr="002A68EC">
        <w:rPr>
          <w:szCs w:val="27"/>
          <w:shd w:val="clear" w:color="auto" w:fill="FFFFFF"/>
        </w:rPr>
        <w:t>who can pass the</w:t>
      </w:r>
      <w:r w:rsidR="00193348" w:rsidRPr="002A68EC">
        <w:rPr>
          <w:szCs w:val="27"/>
          <w:shd w:val="clear" w:color="auto" w:fill="FFFFFF"/>
        </w:rPr>
        <w:t xml:space="preserve"> </w:t>
      </w:r>
      <w:r w:rsidR="004525E3" w:rsidRPr="002A68EC">
        <w:rPr>
          <w:szCs w:val="27"/>
          <w:shd w:val="clear" w:color="auto" w:fill="FFFFFF"/>
        </w:rPr>
        <w:t xml:space="preserve">right to reside </w:t>
      </w:r>
      <w:r w:rsidR="00193348" w:rsidRPr="002A68EC">
        <w:rPr>
          <w:szCs w:val="27"/>
          <w:shd w:val="clear" w:color="auto" w:fill="FFFFFF"/>
        </w:rPr>
        <w:t xml:space="preserve">test. The directly discriminatory act is the application of the test in the first place. </w:t>
      </w:r>
      <w:r w:rsidR="00DA2ACD" w:rsidRPr="002A68EC">
        <w:rPr>
          <w:szCs w:val="27"/>
          <w:shd w:val="clear" w:color="auto" w:fill="FFFFFF"/>
        </w:rPr>
        <w:t xml:space="preserve">UK nationals automatically have a right to reside, </w:t>
      </w:r>
      <w:r w:rsidR="004525E3" w:rsidRPr="002A68EC">
        <w:rPr>
          <w:szCs w:val="27"/>
          <w:shd w:val="clear" w:color="auto" w:fill="FFFFFF"/>
        </w:rPr>
        <w:t xml:space="preserve">but </w:t>
      </w:r>
      <w:r w:rsidR="00DA2ACD" w:rsidRPr="002A68EC">
        <w:rPr>
          <w:szCs w:val="27"/>
          <w:shd w:val="clear" w:color="auto" w:fill="FFFFFF"/>
        </w:rPr>
        <w:t>EU nationals must fulfil other conditions to do so</w:t>
      </w:r>
      <w:r w:rsidR="00DA2ACD" w:rsidRPr="002A68EC">
        <w:rPr>
          <w:rStyle w:val="FootnoteReference"/>
          <w:szCs w:val="27"/>
          <w:shd w:val="clear" w:color="auto" w:fill="FFFFFF"/>
        </w:rPr>
        <w:footnoteReference w:id="160"/>
      </w:r>
      <w:r w:rsidR="00DA2ACD" w:rsidRPr="002A68EC">
        <w:rPr>
          <w:szCs w:val="27"/>
          <w:shd w:val="clear" w:color="auto" w:fill="FFFFFF"/>
        </w:rPr>
        <w:t xml:space="preserve"> – rather echoing the extra conditions imposed upon EU nationals in </w:t>
      </w:r>
      <w:r w:rsidR="00DA2ACD" w:rsidRPr="002A68EC">
        <w:rPr>
          <w:i/>
          <w:iCs/>
          <w:szCs w:val="27"/>
          <w:shd w:val="clear" w:color="auto" w:fill="FFFFFF"/>
        </w:rPr>
        <w:t>Grzelczyk</w:t>
      </w:r>
      <w:r w:rsidR="00253E34" w:rsidRPr="002A68EC">
        <w:rPr>
          <w:szCs w:val="27"/>
          <w:shd w:val="clear" w:color="auto" w:fill="FFFFFF"/>
        </w:rPr>
        <w:t>, where the ECJ found that an own-national student “</w:t>
      </w:r>
      <w:r w:rsidR="00193348" w:rsidRPr="002A68EC">
        <w:rPr>
          <w:rFonts w:cs="Tahoma"/>
          <w:szCs w:val="17"/>
        </w:rPr>
        <w:t xml:space="preserve">in exactly the same circumstances as Mr Grzelczyk would satisfy the conditions for obtaining the </w:t>
      </w:r>
      <w:r w:rsidR="00253E34" w:rsidRPr="002A68EC">
        <w:rPr>
          <w:rFonts w:cs="Tahoma"/>
          <w:szCs w:val="17"/>
        </w:rPr>
        <w:t xml:space="preserve">minimax” so that </w:t>
      </w:r>
      <w:r w:rsidR="00193348" w:rsidRPr="002A68EC">
        <w:rPr>
          <w:rFonts w:cs="Tahoma"/>
          <w:szCs w:val="17"/>
        </w:rPr>
        <w:t>Grzelczyk</w:t>
      </w:r>
      <w:r w:rsidR="00253E34" w:rsidRPr="002A68EC">
        <w:rPr>
          <w:rFonts w:cs="Tahoma"/>
          <w:szCs w:val="17"/>
        </w:rPr>
        <w:t>’s nationality was “</w:t>
      </w:r>
      <w:r w:rsidR="00193348" w:rsidRPr="002A68EC">
        <w:rPr>
          <w:rFonts w:cs="Tahoma"/>
          <w:szCs w:val="17"/>
        </w:rPr>
        <w:t xml:space="preserve">the only bar to </w:t>
      </w:r>
      <w:r w:rsidR="00253E34" w:rsidRPr="002A68EC">
        <w:rPr>
          <w:rFonts w:cs="Tahoma"/>
          <w:szCs w:val="17"/>
        </w:rPr>
        <w:t>its b</w:t>
      </w:r>
      <w:r w:rsidR="00193348" w:rsidRPr="002A68EC">
        <w:rPr>
          <w:rFonts w:cs="Tahoma"/>
          <w:szCs w:val="17"/>
        </w:rPr>
        <w:t>eing granted to him</w:t>
      </w:r>
      <w:r w:rsidR="00253E34" w:rsidRPr="002A68EC">
        <w:rPr>
          <w:rFonts w:cs="Tahoma"/>
          <w:szCs w:val="17"/>
        </w:rPr>
        <w:t>”</w:t>
      </w:r>
      <w:r w:rsidR="00193348" w:rsidRPr="002A68EC">
        <w:rPr>
          <w:rFonts w:cs="Tahoma"/>
          <w:szCs w:val="17"/>
        </w:rPr>
        <w:t>.</w:t>
      </w:r>
      <w:r w:rsidR="00D62278" w:rsidRPr="002A68EC">
        <w:rPr>
          <w:rStyle w:val="FootnoteReference"/>
          <w:rFonts w:cs="Tahoma"/>
          <w:szCs w:val="17"/>
        </w:rPr>
        <w:footnoteReference w:id="161"/>
      </w:r>
    </w:p>
    <w:p w14:paraId="4A11B346" w14:textId="1FB14719" w:rsidR="00AD6F75" w:rsidRPr="00336A5D" w:rsidRDefault="00336A5D" w:rsidP="002A68EC">
      <w:pPr>
        <w:spacing w:after="120"/>
        <w:jc w:val="both"/>
        <w:rPr>
          <w:szCs w:val="27"/>
          <w:shd w:val="clear" w:color="auto" w:fill="FFFFFF"/>
        </w:rPr>
      </w:pPr>
      <w:r>
        <w:rPr>
          <w:szCs w:val="27"/>
          <w:shd w:val="clear" w:color="auto" w:fill="FFFFFF"/>
        </w:rPr>
        <w:t>T</w:t>
      </w:r>
      <w:r w:rsidR="00DA2ACD" w:rsidRPr="002A68EC">
        <w:rPr>
          <w:szCs w:val="27"/>
          <w:shd w:val="clear" w:color="auto" w:fill="FFFFFF"/>
        </w:rPr>
        <w:t>he</w:t>
      </w:r>
      <w:r>
        <w:rPr>
          <w:szCs w:val="27"/>
          <w:shd w:val="clear" w:color="auto" w:fill="FFFFFF"/>
        </w:rPr>
        <w:t xml:space="preserve">ir nationality </w:t>
      </w:r>
      <w:r w:rsidR="00DA2ACD" w:rsidRPr="002A68EC">
        <w:rPr>
          <w:szCs w:val="27"/>
          <w:shd w:val="clear" w:color="auto" w:fill="FFFFFF"/>
        </w:rPr>
        <w:t xml:space="preserve">is the only reason that extra conditions are applied to </w:t>
      </w:r>
      <w:r>
        <w:rPr>
          <w:szCs w:val="27"/>
          <w:shd w:val="clear" w:color="auto" w:fill="FFFFFF"/>
        </w:rPr>
        <w:t>EU national benefit claimants</w:t>
      </w:r>
      <w:r w:rsidR="00DA2ACD" w:rsidRPr="002A68EC">
        <w:rPr>
          <w:szCs w:val="27"/>
          <w:shd w:val="clear" w:color="auto" w:fill="FFFFFF"/>
        </w:rPr>
        <w:t xml:space="preserve">. </w:t>
      </w:r>
      <w:r w:rsidR="00740427" w:rsidRPr="002A68EC">
        <w:rPr>
          <w:szCs w:val="27"/>
          <w:shd w:val="clear" w:color="auto" w:fill="FFFFFF"/>
        </w:rPr>
        <w:t>Even if we look at the broader ‘habitual residence’ test, of which the right to reside is a component, the numbers tell against an indirect discrimination formulation. In June 2020,</w:t>
      </w:r>
      <w:r w:rsidR="007C480C" w:rsidRPr="002A68EC">
        <w:rPr>
          <w:rStyle w:val="FootnoteReference"/>
          <w:szCs w:val="27"/>
          <w:shd w:val="clear" w:color="auto" w:fill="FFFFFF"/>
        </w:rPr>
        <w:footnoteReference w:id="162"/>
      </w:r>
      <w:r w:rsidR="00740427" w:rsidRPr="002A68EC">
        <w:rPr>
          <w:szCs w:val="27"/>
          <w:shd w:val="clear" w:color="auto" w:fill="FFFFFF"/>
        </w:rPr>
        <w:t xml:space="preserve"> there were 41 000 habitual residence tests completed for EEA nationals</w:t>
      </w:r>
      <w:r w:rsidR="007C480C" w:rsidRPr="002A68EC">
        <w:rPr>
          <w:szCs w:val="27"/>
          <w:shd w:val="clear" w:color="auto" w:fill="FFFFFF"/>
        </w:rPr>
        <w:t xml:space="preserve"> claiming the benefit Universal Credit;</w:t>
      </w:r>
      <w:r w:rsidR="00740427" w:rsidRPr="002A68EC">
        <w:rPr>
          <w:szCs w:val="27"/>
          <w:shd w:val="clear" w:color="auto" w:fill="FFFFFF"/>
        </w:rPr>
        <w:t xml:space="preserve"> 17% failed.</w:t>
      </w:r>
      <w:r w:rsidR="007C480C" w:rsidRPr="002A68EC">
        <w:rPr>
          <w:rStyle w:val="FootnoteReference"/>
          <w:szCs w:val="27"/>
          <w:shd w:val="clear" w:color="auto" w:fill="FFFFFF"/>
        </w:rPr>
        <w:footnoteReference w:id="163"/>
      </w:r>
      <w:r w:rsidR="007C480C" w:rsidRPr="002A68EC">
        <w:rPr>
          <w:szCs w:val="27"/>
          <w:shd w:val="clear" w:color="auto" w:fill="FFFFFF"/>
        </w:rPr>
        <w:t xml:space="preserve"> During that time </w:t>
      </w:r>
      <w:r w:rsidR="00452A52" w:rsidRPr="002A68EC">
        <w:rPr>
          <w:szCs w:val="27"/>
          <w:shd w:val="clear" w:color="auto" w:fill="FFFFFF"/>
        </w:rPr>
        <w:t>o</w:t>
      </w:r>
      <w:r w:rsidR="00740427" w:rsidRPr="002A68EC">
        <w:rPr>
          <w:szCs w:val="27"/>
          <w:shd w:val="clear" w:color="auto" w:fill="FFFFFF"/>
        </w:rPr>
        <w:t xml:space="preserve">nly 1.5% of UK applicants </w:t>
      </w:r>
      <w:r w:rsidR="007C480C" w:rsidRPr="002A68EC">
        <w:rPr>
          <w:szCs w:val="27"/>
          <w:shd w:val="clear" w:color="auto" w:fill="FFFFFF"/>
        </w:rPr>
        <w:t xml:space="preserve">were </w:t>
      </w:r>
      <w:r w:rsidR="007C480C" w:rsidRPr="002A68EC">
        <w:rPr>
          <w:szCs w:val="27"/>
          <w:shd w:val="clear" w:color="auto" w:fill="FFFFFF"/>
        </w:rPr>
        <w:lastRenderedPageBreak/>
        <w:t>even subjected to</w:t>
      </w:r>
      <w:r w:rsidR="00740427" w:rsidRPr="002A68EC">
        <w:rPr>
          <w:szCs w:val="27"/>
          <w:shd w:val="clear" w:color="auto" w:fill="FFFFFF"/>
        </w:rPr>
        <w:t xml:space="preserve"> the test</w:t>
      </w:r>
      <w:r w:rsidR="00452A52" w:rsidRPr="002A68EC">
        <w:rPr>
          <w:szCs w:val="27"/>
          <w:shd w:val="clear" w:color="auto" w:fill="FFFFFF"/>
        </w:rPr>
        <w:t xml:space="preserve"> (compared to 100% of EEA nationals)</w:t>
      </w:r>
      <w:r w:rsidR="00740427" w:rsidRPr="002A68EC">
        <w:rPr>
          <w:szCs w:val="27"/>
          <w:shd w:val="clear" w:color="auto" w:fill="FFFFFF"/>
        </w:rPr>
        <w:t>.</w:t>
      </w:r>
      <w:r w:rsidR="007C480C" w:rsidRPr="002A68EC">
        <w:rPr>
          <w:rStyle w:val="FootnoteReference"/>
          <w:szCs w:val="27"/>
          <w:shd w:val="clear" w:color="auto" w:fill="FFFFFF"/>
        </w:rPr>
        <w:footnoteReference w:id="164"/>
      </w:r>
      <w:r w:rsidR="00740427" w:rsidRPr="002A68EC">
        <w:rPr>
          <w:szCs w:val="27"/>
          <w:shd w:val="clear" w:color="auto" w:fill="FFFFFF"/>
        </w:rPr>
        <w:t xml:space="preserve"> Of those, </w:t>
      </w:r>
      <w:r w:rsidR="007C480C" w:rsidRPr="002A68EC">
        <w:rPr>
          <w:szCs w:val="27"/>
          <w:shd w:val="clear" w:color="auto" w:fill="FFFFFF"/>
        </w:rPr>
        <w:t xml:space="preserve">0.02% of estimated UK applicants </w:t>
      </w:r>
      <w:r w:rsidR="00740427" w:rsidRPr="002A68EC">
        <w:rPr>
          <w:szCs w:val="27"/>
          <w:shd w:val="clear" w:color="auto" w:fill="FFFFFF"/>
        </w:rPr>
        <w:t>failed the test.</w:t>
      </w:r>
      <w:r w:rsidR="008B1912" w:rsidRPr="002A68EC">
        <w:rPr>
          <w:rStyle w:val="FootnoteReference"/>
          <w:szCs w:val="27"/>
          <w:shd w:val="clear" w:color="auto" w:fill="FFFFFF"/>
        </w:rPr>
        <w:footnoteReference w:id="165"/>
      </w:r>
      <w:r w:rsidR="00740427" w:rsidRPr="002A68EC">
        <w:rPr>
          <w:szCs w:val="27"/>
          <w:shd w:val="clear" w:color="auto" w:fill="FFFFFF"/>
        </w:rPr>
        <w:t xml:space="preserve"> </w:t>
      </w:r>
      <w:r w:rsidR="00117ADC" w:rsidRPr="002A68EC">
        <w:rPr>
          <w:szCs w:val="27"/>
          <w:shd w:val="clear" w:color="auto" w:fill="FFFFFF"/>
        </w:rPr>
        <w:t>This suggests that the habitual residence test as a whole is really directly, not indirectly discriminatory</w:t>
      </w:r>
      <w:r w:rsidR="00452A52" w:rsidRPr="002A68EC">
        <w:rPr>
          <w:szCs w:val="27"/>
          <w:shd w:val="clear" w:color="auto" w:fill="FFFFFF"/>
        </w:rPr>
        <w:t>. T</w:t>
      </w:r>
      <w:r w:rsidR="00117ADC" w:rsidRPr="002A68EC">
        <w:rPr>
          <w:szCs w:val="27"/>
          <w:shd w:val="clear" w:color="auto" w:fill="FFFFFF"/>
        </w:rPr>
        <w:t xml:space="preserve">he right to reside component </w:t>
      </w:r>
      <w:r w:rsidR="00452A52" w:rsidRPr="002A68EC">
        <w:rPr>
          <w:szCs w:val="27"/>
          <w:shd w:val="clear" w:color="auto" w:fill="FFFFFF"/>
        </w:rPr>
        <w:t xml:space="preserve">is even more patently directly discriminatory </w:t>
      </w:r>
      <w:r w:rsidR="00117ADC" w:rsidRPr="002A68EC">
        <w:rPr>
          <w:szCs w:val="27"/>
          <w:shd w:val="clear" w:color="auto" w:fill="FFFFFF"/>
        </w:rPr>
        <w:t>–</w:t>
      </w:r>
      <w:r w:rsidR="00814E7A" w:rsidRPr="002A68EC">
        <w:rPr>
          <w:szCs w:val="27"/>
          <w:shd w:val="clear" w:color="auto" w:fill="FFFFFF"/>
        </w:rPr>
        <w:t xml:space="preserve"> </w:t>
      </w:r>
      <w:r w:rsidR="00117ADC" w:rsidRPr="002A68EC">
        <w:rPr>
          <w:szCs w:val="27"/>
          <w:shd w:val="clear" w:color="auto" w:fill="FFFFFF"/>
        </w:rPr>
        <w:t xml:space="preserve">UK nationals </w:t>
      </w:r>
      <w:r w:rsidR="00117ADC" w:rsidRPr="002A68EC">
        <w:rPr>
          <w:i/>
          <w:iCs/>
          <w:szCs w:val="27"/>
          <w:shd w:val="clear" w:color="auto" w:fill="FFFFFF"/>
        </w:rPr>
        <w:t>always</w:t>
      </w:r>
      <w:r w:rsidR="00117ADC" w:rsidRPr="002A68EC">
        <w:rPr>
          <w:szCs w:val="27"/>
          <w:shd w:val="clear" w:color="auto" w:fill="FFFFFF"/>
        </w:rPr>
        <w:t xml:space="preserve"> have </w:t>
      </w:r>
      <w:r w:rsidR="00452A52" w:rsidRPr="002A68EC">
        <w:rPr>
          <w:szCs w:val="27"/>
          <w:shd w:val="clear" w:color="auto" w:fill="FFFFFF"/>
        </w:rPr>
        <w:t xml:space="preserve">it, but </w:t>
      </w:r>
      <w:r w:rsidR="00117ADC" w:rsidRPr="002A68EC">
        <w:rPr>
          <w:szCs w:val="27"/>
          <w:shd w:val="clear" w:color="auto" w:fill="FFFFFF"/>
        </w:rPr>
        <w:t xml:space="preserve">EU nationals must </w:t>
      </w:r>
      <w:r w:rsidR="00117ADC" w:rsidRPr="002A68EC">
        <w:rPr>
          <w:i/>
          <w:iCs/>
          <w:szCs w:val="27"/>
          <w:shd w:val="clear" w:color="auto" w:fill="FFFFFF"/>
        </w:rPr>
        <w:t>always</w:t>
      </w:r>
      <w:r w:rsidR="00117ADC" w:rsidRPr="002A68EC">
        <w:rPr>
          <w:szCs w:val="27"/>
          <w:shd w:val="clear" w:color="auto" w:fill="FFFFFF"/>
        </w:rPr>
        <w:t xml:space="preserve"> meet further conditions. </w:t>
      </w:r>
      <w:r w:rsidR="00DA2ACD" w:rsidRPr="002A68EC">
        <w:rPr>
          <w:szCs w:val="27"/>
          <w:shd w:val="clear" w:color="auto" w:fill="FFFFFF"/>
        </w:rPr>
        <w:t xml:space="preserve">The Commission recognised this, arguing in </w:t>
      </w:r>
      <w:r w:rsidR="00DA2ACD" w:rsidRPr="002A68EC">
        <w:rPr>
          <w:i/>
          <w:iCs/>
          <w:szCs w:val="27"/>
          <w:shd w:val="clear" w:color="auto" w:fill="FFFFFF"/>
        </w:rPr>
        <w:t xml:space="preserve">Commission v UK </w:t>
      </w:r>
      <w:r w:rsidR="00DA2ACD" w:rsidRPr="002A68EC">
        <w:rPr>
          <w:szCs w:val="27"/>
          <w:shd w:val="clear" w:color="auto" w:fill="FFFFFF"/>
        </w:rPr>
        <w:t>that the</w:t>
      </w:r>
      <w:r w:rsidR="00434D18" w:rsidRPr="002A68EC">
        <w:t xml:space="preserve"> test is </w:t>
      </w:r>
      <w:r w:rsidR="0012410B" w:rsidRPr="002A68EC">
        <w:t>“</w:t>
      </w:r>
      <w:r w:rsidR="00434D18" w:rsidRPr="002A68EC">
        <w:rPr>
          <w:szCs w:val="18"/>
          <w:shd w:val="clear" w:color="auto" w:fill="FFFFFF"/>
        </w:rPr>
        <w:t xml:space="preserve">an automatic mechanism that </w:t>
      </w:r>
      <w:r w:rsidR="00434D18" w:rsidRPr="002A68EC">
        <w:rPr>
          <w:i/>
          <w:iCs/>
          <w:szCs w:val="18"/>
          <w:shd w:val="clear" w:color="auto" w:fill="FFFFFF"/>
        </w:rPr>
        <w:t>systematically and ineluctably bars claimants</w:t>
      </w:r>
      <w:r w:rsidR="00434D18" w:rsidRPr="002A68EC">
        <w:rPr>
          <w:szCs w:val="18"/>
          <w:shd w:val="clear" w:color="auto" w:fill="FFFFFF"/>
        </w:rPr>
        <w:t xml:space="preserve"> who do not satisfy it from being paid benefits, regardless of their personal situation and of the extent to which they have paid tax and social security contributions in the United Kingdom</w:t>
      </w:r>
      <w:r w:rsidR="0012410B" w:rsidRPr="002A68EC">
        <w:rPr>
          <w:szCs w:val="18"/>
          <w:shd w:val="clear" w:color="auto" w:fill="FFFFFF"/>
        </w:rPr>
        <w:t>”</w:t>
      </w:r>
      <w:r w:rsidR="00434D18" w:rsidRPr="002A68EC">
        <w:rPr>
          <w:szCs w:val="18"/>
          <w:shd w:val="clear" w:color="auto" w:fill="FFFFFF"/>
        </w:rPr>
        <w:t>.</w:t>
      </w:r>
      <w:r w:rsidR="00434D18" w:rsidRPr="002A68EC">
        <w:rPr>
          <w:rStyle w:val="FootnoteReference"/>
          <w:szCs w:val="18"/>
          <w:shd w:val="clear" w:color="auto" w:fill="FFFFFF"/>
        </w:rPr>
        <w:footnoteReference w:id="166"/>
      </w:r>
      <w:r w:rsidR="00434D18" w:rsidRPr="002A68EC">
        <w:rPr>
          <w:szCs w:val="18"/>
          <w:shd w:val="clear" w:color="auto" w:fill="FFFFFF"/>
        </w:rPr>
        <w:t xml:space="preserve"> </w:t>
      </w:r>
    </w:p>
    <w:p w14:paraId="4FF40806" w14:textId="43C53C92" w:rsidR="00336A5D" w:rsidRDefault="00814E7A" w:rsidP="002A68EC">
      <w:pPr>
        <w:spacing w:after="120"/>
        <w:jc w:val="both"/>
        <w:rPr>
          <w:szCs w:val="27"/>
          <w:shd w:val="clear" w:color="auto" w:fill="FFFFFF"/>
        </w:rPr>
      </w:pPr>
      <w:r w:rsidRPr="002A68EC">
        <w:t xml:space="preserve">EU institutions simply consider direct </w:t>
      </w:r>
      <w:r w:rsidR="00AD6F75" w:rsidRPr="002A68EC">
        <w:t xml:space="preserve">nationality discrimination </w:t>
      </w:r>
      <w:r w:rsidRPr="002A68EC">
        <w:t>as</w:t>
      </w:r>
      <w:r w:rsidR="00AD6F75" w:rsidRPr="002A68EC">
        <w:t xml:space="preserve"> more palatable</w:t>
      </w:r>
      <w:r w:rsidRPr="002A68EC">
        <w:t xml:space="preserve">, and the </w:t>
      </w:r>
      <w:r w:rsidR="00AD6F75" w:rsidRPr="002A68EC">
        <w:rPr>
          <w:szCs w:val="27"/>
          <w:shd w:val="clear" w:color="auto" w:fill="FFFFFF"/>
        </w:rPr>
        <w:t xml:space="preserve">‘indirect discrimination’ fiction has been a handy fig leaf for the Council and the </w:t>
      </w:r>
      <w:r w:rsidRPr="002A68EC">
        <w:rPr>
          <w:szCs w:val="27"/>
          <w:shd w:val="clear" w:color="auto" w:fill="FFFFFF"/>
        </w:rPr>
        <w:t>ECJ</w:t>
      </w:r>
      <w:r w:rsidR="00AD6F75" w:rsidRPr="002A68EC">
        <w:rPr>
          <w:szCs w:val="27"/>
          <w:shd w:val="clear" w:color="auto" w:fill="FFFFFF"/>
        </w:rPr>
        <w:t>, given the apparent irreconcilability of the logic of EU law that direct discrimination cannot be justified, with the pragmatic desire to give Member States some lee-way when it comes to protecting their welfare systems from non-nationals.</w:t>
      </w:r>
      <w:r w:rsidR="00DA2ACD" w:rsidRPr="002A68EC">
        <w:t xml:space="preserve"> </w:t>
      </w:r>
      <w:r w:rsidR="00BB144B" w:rsidRPr="002A68EC">
        <w:rPr>
          <w:szCs w:val="27"/>
          <w:shd w:val="clear" w:color="auto" w:fill="FFFFFF"/>
        </w:rPr>
        <w:t xml:space="preserve">But if the whole </w:t>
      </w:r>
      <w:r w:rsidR="00D01A39" w:rsidRPr="002A68EC">
        <w:rPr>
          <w:szCs w:val="27"/>
          <w:shd w:val="clear" w:color="auto" w:fill="FFFFFF"/>
        </w:rPr>
        <w:t xml:space="preserve">rationale for permitting </w:t>
      </w:r>
      <w:r w:rsidR="00BB144B" w:rsidRPr="002A68EC">
        <w:rPr>
          <w:szCs w:val="27"/>
          <w:shd w:val="clear" w:color="auto" w:fill="FFFFFF"/>
        </w:rPr>
        <w:t xml:space="preserve">differential treatment is </w:t>
      </w:r>
      <w:r w:rsidR="00D01A39" w:rsidRPr="002A68EC">
        <w:rPr>
          <w:szCs w:val="27"/>
          <w:shd w:val="clear" w:color="auto" w:fill="FFFFFF"/>
        </w:rPr>
        <w:t>that such treatment</w:t>
      </w:r>
      <w:r w:rsidR="00AD6F75" w:rsidRPr="002A68EC">
        <w:rPr>
          <w:szCs w:val="27"/>
          <w:shd w:val="clear" w:color="auto" w:fill="FFFFFF"/>
        </w:rPr>
        <w:t xml:space="preserve"> does not depend on nationality, but instead on the more neutral ground of </w:t>
      </w:r>
      <w:r w:rsidR="00BB144B" w:rsidRPr="002A68EC">
        <w:rPr>
          <w:szCs w:val="27"/>
          <w:shd w:val="clear" w:color="auto" w:fill="FFFFFF"/>
        </w:rPr>
        <w:t xml:space="preserve">whether or not someone possesses a right to reside, then </w:t>
      </w:r>
      <w:r w:rsidR="00336A5D">
        <w:rPr>
          <w:szCs w:val="27"/>
          <w:shd w:val="clear" w:color="auto" w:fill="FFFFFF"/>
        </w:rPr>
        <w:t xml:space="preserve">that falls away when </w:t>
      </w:r>
      <w:r w:rsidR="00AD6F75" w:rsidRPr="002A68EC">
        <w:rPr>
          <w:szCs w:val="27"/>
          <w:shd w:val="clear" w:color="auto" w:fill="FFFFFF"/>
        </w:rPr>
        <w:t xml:space="preserve">excluding a certain </w:t>
      </w:r>
      <w:r w:rsidR="00AD6F75" w:rsidRPr="002A68EC">
        <w:rPr>
          <w:i/>
          <w:iCs/>
          <w:szCs w:val="27"/>
          <w:shd w:val="clear" w:color="auto" w:fill="FFFFFF"/>
        </w:rPr>
        <w:t>type of right to reside</w:t>
      </w:r>
      <w:r w:rsidR="00AD6F75" w:rsidRPr="002A68EC">
        <w:rPr>
          <w:szCs w:val="27"/>
          <w:shd w:val="clear" w:color="auto" w:fill="FFFFFF"/>
        </w:rPr>
        <w:t xml:space="preserve"> – only possessed by EU nationals – from equal treatment rights</w:t>
      </w:r>
      <w:r w:rsidR="00336A5D">
        <w:rPr>
          <w:szCs w:val="27"/>
          <w:shd w:val="clear" w:color="auto" w:fill="FFFFFF"/>
        </w:rPr>
        <w:t xml:space="preserve">. Here, the Court of Appeal in </w:t>
      </w:r>
      <w:r w:rsidR="00336A5D">
        <w:rPr>
          <w:i/>
          <w:iCs/>
          <w:szCs w:val="27"/>
          <w:shd w:val="clear" w:color="auto" w:fill="FFFFFF"/>
        </w:rPr>
        <w:t>Fratila</w:t>
      </w:r>
      <w:r w:rsidR="00336A5D">
        <w:rPr>
          <w:szCs w:val="27"/>
          <w:shd w:val="clear" w:color="auto" w:fill="FFFFFF"/>
        </w:rPr>
        <w:t xml:space="preserve"> departed from the reasoning of the High Court, finding that once a right of residence had been established, discrimination was prohibited outright, and the question of justification did not arise – effectively using the ‘direct discrimination’ model. </w:t>
      </w:r>
    </w:p>
    <w:p w14:paraId="281C9742" w14:textId="0A4A7BF1" w:rsidR="00062313" w:rsidRDefault="00786887" w:rsidP="00786887">
      <w:pPr>
        <w:jc w:val="both"/>
        <w:rPr>
          <w:szCs w:val="27"/>
          <w:shd w:val="clear" w:color="auto" w:fill="FFFFFF"/>
        </w:rPr>
      </w:pPr>
      <w:r>
        <w:rPr>
          <w:szCs w:val="27"/>
          <w:shd w:val="clear" w:color="auto" w:fill="FFFFFF"/>
        </w:rPr>
        <w:t xml:space="preserve">The situation complained of was different to complaints raised about the imposition of a right to reside test as a precondition to a benefit; the court agreed with counsel for the appellants who stated that </w:t>
      </w:r>
      <w:bookmarkStart w:id="33" w:name="para65"/>
      <w:r>
        <w:rPr>
          <w:szCs w:val="27"/>
          <w:shd w:val="clear" w:color="auto" w:fill="FFFFFF"/>
        </w:rPr>
        <w:t>they pass the test and “</w:t>
      </w:r>
      <w:r w:rsidRPr="00786887">
        <w:rPr>
          <w:szCs w:val="27"/>
          <w:shd w:val="clear" w:color="auto" w:fill="FFFFFF"/>
        </w:rPr>
        <w:t>their complaint is that they are specifically excluded from the normal incidents of it by a quite separate exception to entitlement, applicable to EU citizens alone, if their leave to enter or remain is based upon PSS</w:t>
      </w:r>
      <w:r>
        <w:rPr>
          <w:szCs w:val="27"/>
          <w:shd w:val="clear" w:color="auto" w:fill="FFFFFF"/>
        </w:rPr>
        <w:t>”</w:t>
      </w:r>
      <w:r w:rsidRPr="00786887">
        <w:rPr>
          <w:szCs w:val="27"/>
          <w:shd w:val="clear" w:color="auto" w:fill="FFFFFF"/>
        </w:rPr>
        <w:t>.</w:t>
      </w:r>
      <w:bookmarkEnd w:id="33"/>
      <w:r>
        <w:rPr>
          <w:szCs w:val="27"/>
          <w:shd w:val="clear" w:color="auto" w:fill="FFFFFF"/>
        </w:rPr>
        <w:t xml:space="preserve"> </w:t>
      </w:r>
      <w:r w:rsidR="00AD6F75" w:rsidRPr="002A68EC">
        <w:rPr>
          <w:szCs w:val="27"/>
          <w:shd w:val="clear" w:color="auto" w:fill="FFFFFF"/>
        </w:rPr>
        <w:t>Th</w:t>
      </w:r>
      <w:r>
        <w:rPr>
          <w:szCs w:val="27"/>
          <w:shd w:val="clear" w:color="auto" w:fill="FFFFFF"/>
        </w:rPr>
        <w:t>us the</w:t>
      </w:r>
      <w:r w:rsidR="00BB144B" w:rsidRPr="002A68EC">
        <w:rPr>
          <w:szCs w:val="27"/>
          <w:shd w:val="clear" w:color="auto" w:fill="FFFFFF"/>
        </w:rPr>
        <w:t xml:space="preserve"> difference is no longer between an EU national who cannot demonstrate a right to reside, </w:t>
      </w:r>
      <w:r w:rsidR="00AD6F75" w:rsidRPr="002A68EC">
        <w:rPr>
          <w:szCs w:val="27"/>
          <w:shd w:val="clear" w:color="auto" w:fill="FFFFFF"/>
        </w:rPr>
        <w:t xml:space="preserve">and a UK national with a domestic law-based right to reside. It is </w:t>
      </w:r>
      <w:r w:rsidR="00BB144B" w:rsidRPr="002A68EC">
        <w:rPr>
          <w:szCs w:val="27"/>
          <w:shd w:val="clear" w:color="auto" w:fill="FFFFFF"/>
        </w:rPr>
        <w:t>between a UK national and an EU national who both have domestic law-based rights to reside</w:t>
      </w:r>
      <w:r w:rsidR="00913C47" w:rsidRPr="002A68EC">
        <w:rPr>
          <w:szCs w:val="27"/>
          <w:shd w:val="clear" w:color="auto" w:fill="FFFFFF"/>
        </w:rPr>
        <w:t>.</w:t>
      </w:r>
      <w:r w:rsidR="00BB144B" w:rsidRPr="002A68EC">
        <w:rPr>
          <w:szCs w:val="27"/>
          <w:shd w:val="clear" w:color="auto" w:fill="FFFFFF"/>
        </w:rPr>
        <w:t xml:space="preserve"> </w:t>
      </w:r>
      <w:r w:rsidR="00913C47" w:rsidRPr="002A68EC">
        <w:rPr>
          <w:szCs w:val="27"/>
          <w:shd w:val="clear" w:color="auto" w:fill="FFFFFF"/>
        </w:rPr>
        <w:t>B</w:t>
      </w:r>
      <w:r w:rsidR="00BB144B" w:rsidRPr="002A68EC">
        <w:rPr>
          <w:szCs w:val="27"/>
          <w:shd w:val="clear" w:color="auto" w:fill="FFFFFF"/>
        </w:rPr>
        <w:t xml:space="preserve">ut </w:t>
      </w:r>
      <w:r w:rsidR="00913C47" w:rsidRPr="002A68EC">
        <w:rPr>
          <w:szCs w:val="27"/>
          <w:shd w:val="clear" w:color="auto" w:fill="FFFFFF"/>
        </w:rPr>
        <w:t>only</w:t>
      </w:r>
      <w:r w:rsidR="00BB144B" w:rsidRPr="002A68EC">
        <w:rPr>
          <w:szCs w:val="27"/>
          <w:shd w:val="clear" w:color="auto" w:fill="FFFFFF"/>
        </w:rPr>
        <w:t xml:space="preserve"> the EU national must discharge further conditions in order to access benefits, </w:t>
      </w:r>
      <w:r w:rsidR="00913C47" w:rsidRPr="002A68EC">
        <w:rPr>
          <w:szCs w:val="27"/>
          <w:shd w:val="clear" w:color="auto" w:fill="FFFFFF"/>
        </w:rPr>
        <w:t>so</w:t>
      </w:r>
      <w:r w:rsidR="00BB144B" w:rsidRPr="002A68EC">
        <w:rPr>
          <w:szCs w:val="27"/>
          <w:shd w:val="clear" w:color="auto" w:fill="FFFFFF"/>
        </w:rPr>
        <w:t xml:space="preserve"> we are </w:t>
      </w:r>
      <w:r>
        <w:rPr>
          <w:szCs w:val="27"/>
          <w:shd w:val="clear" w:color="auto" w:fill="FFFFFF"/>
        </w:rPr>
        <w:t xml:space="preserve">inescapably </w:t>
      </w:r>
      <w:r w:rsidR="00BB144B" w:rsidRPr="002A68EC">
        <w:rPr>
          <w:szCs w:val="27"/>
          <w:shd w:val="clear" w:color="auto" w:fill="FFFFFF"/>
        </w:rPr>
        <w:t xml:space="preserve">talking about a difference of treatment based on nationality. </w:t>
      </w:r>
      <w:r>
        <w:rPr>
          <w:szCs w:val="27"/>
          <w:shd w:val="clear" w:color="auto" w:fill="FFFFFF"/>
        </w:rPr>
        <w:t xml:space="preserve">If the Court of Appeal’s reasoning is upheld, it will have exposed some limitations of the indirect discrimination fig leaf. </w:t>
      </w:r>
    </w:p>
    <w:p w14:paraId="68D43A49" w14:textId="30CD00A0" w:rsidR="00E95AA5" w:rsidRPr="002A68EC" w:rsidRDefault="00E95AA5" w:rsidP="002A68EC">
      <w:pPr>
        <w:spacing w:after="120"/>
        <w:jc w:val="both"/>
      </w:pPr>
    </w:p>
    <w:p w14:paraId="439DC880" w14:textId="75C4DF22" w:rsidR="00E95AA5" w:rsidRPr="002A68EC" w:rsidRDefault="00E95AA5" w:rsidP="002A68EC">
      <w:pPr>
        <w:pStyle w:val="Heading3"/>
        <w:spacing w:before="0" w:after="120"/>
        <w:jc w:val="both"/>
        <w:rPr>
          <w:rFonts w:ascii="Times New Roman" w:hAnsi="Times New Roman"/>
          <w:color w:val="auto"/>
        </w:rPr>
      </w:pPr>
      <w:r w:rsidRPr="002A68EC">
        <w:rPr>
          <w:rFonts w:ascii="Times New Roman" w:hAnsi="Times New Roman"/>
          <w:color w:val="auto"/>
        </w:rPr>
        <w:t xml:space="preserve">5.3 </w:t>
      </w:r>
      <w:r w:rsidRPr="002A68EC">
        <w:rPr>
          <w:rFonts w:ascii="Times New Roman" w:hAnsi="Times New Roman"/>
          <w:i/>
          <w:iCs/>
          <w:color w:val="auto"/>
        </w:rPr>
        <w:t>Departing from a fundamental principle of EU law creates a heavy burden of proof</w:t>
      </w:r>
    </w:p>
    <w:p w14:paraId="735B9322" w14:textId="5AC10B33" w:rsidR="00294EC1" w:rsidRPr="002A68EC" w:rsidRDefault="00CE109A" w:rsidP="002A68EC">
      <w:pPr>
        <w:spacing w:after="120"/>
        <w:jc w:val="both"/>
      </w:pPr>
      <w:r>
        <w:t xml:space="preserve">Given the findings of the Court of Appeal, the issue of justification did not feature heavily in the judgment. But it is worth considering the argument advanced by the UK government, that </w:t>
      </w:r>
      <w:r w:rsidR="000A6DA9" w:rsidRPr="002A68EC">
        <w:t xml:space="preserve">the regulations </w:t>
      </w:r>
      <w:r>
        <w:t>we</w:t>
      </w:r>
      <w:r w:rsidR="000A6DA9" w:rsidRPr="002A68EC">
        <w:t xml:space="preserve">re justified because they </w:t>
      </w:r>
      <w:bookmarkStart w:id="34" w:name="para31"/>
      <w:r w:rsidR="0053722A" w:rsidRPr="002A68EC">
        <w:t>“</w:t>
      </w:r>
      <w:r w:rsidR="000A6DA9" w:rsidRPr="002A68EC">
        <w:t>maintain the status quo prior to the introduction of pre-settled status</w:t>
      </w:r>
      <w:bookmarkEnd w:id="34"/>
      <w:r w:rsidR="0053722A" w:rsidRPr="002A68EC">
        <w:t>”</w:t>
      </w:r>
      <w:r w:rsidR="000A6DA9" w:rsidRPr="002A68EC">
        <w:rPr>
          <w:rStyle w:val="FootnoteReference"/>
        </w:rPr>
        <w:footnoteReference w:id="167"/>
      </w:r>
      <w:r w:rsidR="000A6DA9" w:rsidRPr="002A68EC">
        <w:t xml:space="preserve"> </w:t>
      </w:r>
      <w:r w:rsidR="00911416" w:rsidRPr="002A68EC">
        <w:t>and to protect the UK’s social security system</w:t>
      </w:r>
      <w:r w:rsidR="00CE78AA" w:rsidRPr="002A68EC">
        <w:t xml:space="preserve">. </w:t>
      </w:r>
      <w:r w:rsidR="00911416" w:rsidRPr="002A68EC">
        <w:t>Both claims are problematic</w:t>
      </w:r>
      <w:r w:rsidR="00CE78AA" w:rsidRPr="002A68EC">
        <w:t>. First</w:t>
      </w:r>
      <w:r w:rsidR="006221BA" w:rsidRPr="002A68EC">
        <w:t>ly</w:t>
      </w:r>
      <w:r w:rsidR="00CE78AA" w:rsidRPr="002A68EC">
        <w:t xml:space="preserve">, the imminence of Brexit means that the rights of people who fall outside of the Directive cannot simply be the ‘same’ as they once were. A </w:t>
      </w:r>
      <w:r w:rsidR="006221BA" w:rsidRPr="002A68EC">
        <w:t xml:space="preserve">temporary </w:t>
      </w:r>
      <w:r w:rsidR="00CE78AA" w:rsidRPr="002A68EC">
        <w:t xml:space="preserve">shortage of resources that impels them to temporarily depart the UK to seek support in </w:t>
      </w:r>
      <w:r w:rsidR="006221BA" w:rsidRPr="002A68EC">
        <w:t>their state of nationality</w:t>
      </w:r>
      <w:r w:rsidR="00CE78AA" w:rsidRPr="002A68EC">
        <w:t xml:space="preserve">, could </w:t>
      </w:r>
      <w:r w:rsidR="000A6DA9" w:rsidRPr="002A68EC">
        <w:t xml:space="preserve">interrupt the now-necessary continuity of residence and </w:t>
      </w:r>
      <w:r w:rsidR="00CE78AA" w:rsidRPr="002A68EC">
        <w:t xml:space="preserve">demolish a later </w:t>
      </w:r>
      <w:r w:rsidR="00CE78AA" w:rsidRPr="002A68EC">
        <w:lastRenderedPageBreak/>
        <w:t>claim for settled status in the UK.</w:t>
      </w:r>
      <w:r w:rsidR="006221BA" w:rsidRPr="002A68EC">
        <w:rPr>
          <w:rStyle w:val="FootnoteReference"/>
        </w:rPr>
        <w:footnoteReference w:id="168"/>
      </w:r>
      <w:r w:rsidR="00CE78AA" w:rsidRPr="002A68EC">
        <w:t xml:space="preserve"> </w:t>
      </w:r>
      <w:r w:rsidR="007354EB" w:rsidRPr="002A68EC">
        <w:t xml:space="preserve">Their right of permanent return is significantly imperilled, and so the consequences of a refusal of equal treatment could be considerably starker than under the ‘normal’ workings of the free movement regime. </w:t>
      </w:r>
    </w:p>
    <w:p w14:paraId="7381DFDD" w14:textId="575C60BA" w:rsidR="003518D7" w:rsidRDefault="00AA0EF2" w:rsidP="002A68EC">
      <w:pPr>
        <w:spacing w:after="120"/>
        <w:jc w:val="both"/>
        <w:rPr>
          <w:color w:val="000000"/>
          <w:shd w:val="clear" w:color="auto" w:fill="FFFFFF"/>
        </w:rPr>
      </w:pPr>
      <w:r w:rsidRPr="002A68EC">
        <w:t>Secondl</w:t>
      </w:r>
      <w:r w:rsidR="007354EB" w:rsidRPr="002A68EC">
        <w:t xml:space="preserve">y, the rhetorical logic </w:t>
      </w:r>
      <w:r w:rsidR="006221BA" w:rsidRPr="002A68EC">
        <w:t xml:space="preserve">that </w:t>
      </w:r>
      <w:r w:rsidR="007354EB" w:rsidRPr="002A68EC">
        <w:t xml:space="preserve">the conditions of the Directive </w:t>
      </w:r>
      <w:r w:rsidR="006221BA" w:rsidRPr="002A68EC">
        <w:t>are</w:t>
      </w:r>
      <w:r w:rsidR="007354EB" w:rsidRPr="002A68EC">
        <w:t xml:space="preserve"> necessary to prevent benefit tourism</w:t>
      </w:r>
      <w:r w:rsidR="006221BA" w:rsidRPr="002A68EC">
        <w:t>,</w:t>
      </w:r>
      <w:r w:rsidR="006221BA" w:rsidRPr="002A68EC">
        <w:rPr>
          <w:rStyle w:val="FootnoteReference"/>
        </w:rPr>
        <w:footnoteReference w:id="169"/>
      </w:r>
      <w:r w:rsidR="007354EB" w:rsidRPr="002A68EC">
        <w:t xml:space="preserve"> </w:t>
      </w:r>
      <w:r w:rsidR="006221BA" w:rsidRPr="002A68EC">
        <w:t xml:space="preserve">does not hold up well </w:t>
      </w:r>
      <w:r w:rsidR="007354EB" w:rsidRPr="002A68EC">
        <w:t xml:space="preserve">to scrutiny under the circumstances. </w:t>
      </w:r>
      <w:r w:rsidR="00CE109A">
        <w:t>The Court of Appeal noted that pre-settled status confers a right to reside “</w:t>
      </w:r>
      <w:bookmarkStart w:id="35" w:name="para81"/>
      <w:r w:rsidR="00CE109A" w:rsidRPr="00CE109A">
        <w:t>as an encouragement to integration</w:t>
      </w:r>
      <w:bookmarkEnd w:id="35"/>
      <w:r w:rsidR="00CE109A">
        <w:t xml:space="preserve">”. </w:t>
      </w:r>
      <w:r w:rsidRPr="002A68EC">
        <w:t>We are, by and large, dealing with people already in the UK – the measures cannot dissuade EU nationals seeking to arrive in the UK post-transition to claim benefits, because they will not be able to do so under the new immigration regime. Instead, w</w:t>
      </w:r>
      <w:r w:rsidR="007354EB" w:rsidRPr="002A68EC">
        <w:t>e are talking about a minority</w:t>
      </w:r>
      <w:r w:rsidR="006221BA" w:rsidRPr="002A68EC">
        <w:t xml:space="preserve"> of a minority</w:t>
      </w:r>
      <w:r w:rsidR="007354EB" w:rsidRPr="002A68EC">
        <w:t xml:space="preserve"> </w:t>
      </w:r>
      <w:r w:rsidRPr="002A68EC">
        <w:t xml:space="preserve">of a minority – EU citizens resident in the UK; who qualify for pre-settled but not settled status; and who </w:t>
      </w:r>
      <w:r w:rsidR="001D03E6" w:rsidRPr="002A68EC">
        <w:t xml:space="preserve">fall outside of the Directive’s categories and </w:t>
      </w:r>
      <w:r w:rsidR="007354EB" w:rsidRPr="002A68EC">
        <w:t>need to claim benefits</w:t>
      </w:r>
      <w:r w:rsidR="006221BA" w:rsidRPr="002A68EC">
        <w:t>,</w:t>
      </w:r>
      <w:r w:rsidR="007354EB" w:rsidRPr="002A68EC">
        <w:t xml:space="preserve"> and only until they qualify for settled status. </w:t>
      </w:r>
      <w:r w:rsidR="00FA5168" w:rsidRPr="002A68EC">
        <w:t>E</w:t>
      </w:r>
      <w:r w:rsidR="00DE317A" w:rsidRPr="002A68EC">
        <w:t xml:space="preserve">ven if we were dealing with </w:t>
      </w:r>
      <w:r w:rsidR="005E48E0" w:rsidRPr="002A68EC">
        <w:rPr>
          <w:i/>
          <w:iCs/>
        </w:rPr>
        <w:t xml:space="preserve">indirect </w:t>
      </w:r>
      <w:r w:rsidR="005E48E0" w:rsidRPr="002A68EC">
        <w:t>discrimination,</w:t>
      </w:r>
      <w:r w:rsidR="00DE317A" w:rsidRPr="002A68EC">
        <w:t xml:space="preserve"> the Secretary of State </w:t>
      </w:r>
      <w:r w:rsidR="00CE109A">
        <w:t>s</w:t>
      </w:r>
      <w:r w:rsidR="00DE317A" w:rsidRPr="002A68EC">
        <w:t xml:space="preserve">imply </w:t>
      </w:r>
      <w:r w:rsidR="00CE109A">
        <w:t>did not meet</w:t>
      </w:r>
      <w:r w:rsidR="00DE317A" w:rsidRPr="002A68EC">
        <w:t xml:space="preserve"> the appropriate standard of evidence. While typically purely economic or administrative reasons cannot justify a departure from a fundamental principle of EU law,</w:t>
      </w:r>
      <w:r w:rsidR="00560A20" w:rsidRPr="002A68EC">
        <w:rPr>
          <w:rStyle w:val="FootnoteReference"/>
        </w:rPr>
        <w:footnoteReference w:id="170"/>
      </w:r>
      <w:r w:rsidR="00DE317A" w:rsidRPr="002A68EC">
        <w:t xml:space="preserve"> economic reasons in pu</w:t>
      </w:r>
      <w:r w:rsidR="005E48E0" w:rsidRPr="002A68EC">
        <w:t>r</w:t>
      </w:r>
      <w:r w:rsidR="00DE317A" w:rsidRPr="002A68EC">
        <w:t xml:space="preserve">suit of the public interest can – such as avoiding the </w:t>
      </w:r>
      <w:r w:rsidR="009F6128" w:rsidRPr="002A68EC">
        <w:t>“</w:t>
      </w:r>
      <w:r w:rsidR="00DE317A" w:rsidRPr="002A68EC">
        <w:t>the risk of seriously undermining the financial balance of the social security system.</w:t>
      </w:r>
      <w:r w:rsidR="009F6128" w:rsidRPr="002A68EC">
        <w:t>”</w:t>
      </w:r>
      <w:r w:rsidR="00560A20" w:rsidRPr="002A68EC">
        <w:rPr>
          <w:rStyle w:val="FootnoteReference"/>
        </w:rPr>
        <w:footnoteReference w:id="171"/>
      </w:r>
      <w:r w:rsidR="005E48E0" w:rsidRPr="002A68EC">
        <w:t xml:space="preserve"> But any such claim must </w:t>
      </w:r>
      <w:r w:rsidR="009F6128" w:rsidRPr="002A68EC">
        <w:rPr>
          <w:shd w:val="clear" w:color="auto" w:fill="FFFFFF"/>
        </w:rPr>
        <w:t>“</w:t>
      </w:r>
      <w:r w:rsidR="005E48E0" w:rsidRPr="002A68EC">
        <w:rPr>
          <w:shd w:val="clear" w:color="auto" w:fill="FFFFFF"/>
        </w:rPr>
        <w:t>be accompanied by… specific evidence substantiating its arguments</w:t>
      </w:r>
      <w:r w:rsidR="004D6BB1" w:rsidRPr="002A68EC">
        <w:rPr>
          <w:shd w:val="clear" w:color="auto" w:fill="FFFFFF"/>
        </w:rPr>
        <w:t>”</w:t>
      </w:r>
      <w:r w:rsidR="005E48E0" w:rsidRPr="002A68EC">
        <w:rPr>
          <w:shd w:val="clear" w:color="auto" w:fill="FFFFFF"/>
        </w:rPr>
        <w:t xml:space="preserve">. This must involve an </w:t>
      </w:r>
      <w:r w:rsidR="004D6BB1" w:rsidRPr="002A68EC">
        <w:rPr>
          <w:shd w:val="clear" w:color="auto" w:fill="FFFFFF"/>
        </w:rPr>
        <w:t>“</w:t>
      </w:r>
      <w:r w:rsidR="005E48E0" w:rsidRPr="002A68EC">
        <w:rPr>
          <w:shd w:val="clear" w:color="auto" w:fill="FFFFFF"/>
        </w:rPr>
        <w:t>objective, detailed analysis, supported by figures</w:t>
      </w:r>
      <w:r w:rsidR="004D6BB1" w:rsidRPr="002A68EC">
        <w:rPr>
          <w:shd w:val="clear" w:color="auto" w:fill="FFFFFF"/>
        </w:rPr>
        <w:t>”</w:t>
      </w:r>
      <w:r w:rsidR="005E48E0" w:rsidRPr="002A68EC">
        <w:rPr>
          <w:shd w:val="clear" w:color="auto" w:fill="FFFFFF"/>
        </w:rPr>
        <w:t xml:space="preserve"> which is </w:t>
      </w:r>
      <w:r w:rsidR="004D6BB1" w:rsidRPr="002A68EC">
        <w:rPr>
          <w:shd w:val="clear" w:color="auto" w:fill="FFFFFF"/>
        </w:rPr>
        <w:t>“</w:t>
      </w:r>
      <w:r w:rsidR="005E48E0" w:rsidRPr="002A68EC">
        <w:rPr>
          <w:shd w:val="clear" w:color="auto" w:fill="FFFFFF"/>
        </w:rPr>
        <w:t>capable of demonstrating, with solid and consistent data, that there are genuine risks to the balance of the social security system</w:t>
      </w:r>
      <w:r w:rsidR="004D6BB1" w:rsidRPr="002A68EC">
        <w:rPr>
          <w:shd w:val="clear" w:color="auto" w:fill="FFFFFF"/>
        </w:rPr>
        <w:t>”</w:t>
      </w:r>
      <w:r w:rsidR="005E48E0" w:rsidRPr="002A68EC">
        <w:rPr>
          <w:shd w:val="clear" w:color="auto" w:fill="FFFFFF"/>
        </w:rPr>
        <w:t>.</w:t>
      </w:r>
      <w:bookmarkStart w:id="36" w:name="_Ref54791101"/>
      <w:r w:rsidR="00560A20" w:rsidRPr="002A68EC">
        <w:rPr>
          <w:rStyle w:val="FootnoteReference"/>
          <w:shd w:val="clear" w:color="auto" w:fill="FFFFFF"/>
        </w:rPr>
        <w:footnoteReference w:id="172"/>
      </w:r>
      <w:bookmarkEnd w:id="36"/>
      <w:r w:rsidR="005E48E0" w:rsidRPr="002A68EC">
        <w:rPr>
          <w:shd w:val="clear" w:color="auto" w:fill="FFFFFF"/>
        </w:rPr>
        <w:t xml:space="preserve"> </w:t>
      </w:r>
      <w:r w:rsidR="003061B1" w:rsidRPr="002A68EC">
        <w:rPr>
          <w:shd w:val="clear" w:color="auto" w:fill="FFFFFF"/>
        </w:rPr>
        <w:t>Given the numbers we are dealing with, which can only, and will reduce, and the finite period of time</w:t>
      </w:r>
      <w:r w:rsidR="00CE109A">
        <w:rPr>
          <w:shd w:val="clear" w:color="auto" w:fill="FFFFFF"/>
        </w:rPr>
        <w:t>,</w:t>
      </w:r>
      <w:r w:rsidR="003061B1" w:rsidRPr="002A68EC">
        <w:rPr>
          <w:shd w:val="clear" w:color="auto" w:fill="FFFFFF"/>
        </w:rPr>
        <w:t xml:space="preserve"> there cannot be </w:t>
      </w:r>
      <w:r w:rsidR="004D6BB1" w:rsidRPr="002A68EC">
        <w:rPr>
          <w:shd w:val="clear" w:color="auto" w:fill="FFFFFF"/>
        </w:rPr>
        <w:t>“</w:t>
      </w:r>
      <w:r w:rsidR="003061B1" w:rsidRPr="002A68EC">
        <w:rPr>
          <w:shd w:val="clear" w:color="auto" w:fill="FFFFFF"/>
        </w:rPr>
        <w:t>solid and consistent data</w:t>
      </w:r>
      <w:r w:rsidR="004D6BB1" w:rsidRPr="002A68EC">
        <w:rPr>
          <w:shd w:val="clear" w:color="auto" w:fill="FFFFFF"/>
        </w:rPr>
        <w:t xml:space="preserve">” </w:t>
      </w:r>
      <w:r w:rsidR="003061B1" w:rsidRPr="002A68EC">
        <w:rPr>
          <w:shd w:val="clear" w:color="auto" w:fill="FFFFFF"/>
        </w:rPr>
        <w:t>that shows a credible risk to the balance of the UK’s social security system.</w:t>
      </w:r>
      <w:r w:rsidR="00FA5168" w:rsidRPr="002A68EC">
        <w:rPr>
          <w:shd w:val="clear" w:color="auto" w:fill="FFFFFF"/>
        </w:rPr>
        <w:t xml:space="preserve"> Instead, the Secretary of State’s evidence referred “generally to the rationale…of protecting the social security system”,</w:t>
      </w:r>
      <w:r w:rsidR="00FA5168" w:rsidRPr="002A68EC">
        <w:rPr>
          <w:rStyle w:val="FootnoteReference"/>
          <w:shd w:val="clear" w:color="auto" w:fill="FFFFFF"/>
        </w:rPr>
        <w:footnoteReference w:id="173"/>
      </w:r>
      <w:r w:rsidR="00FA5168" w:rsidRPr="002A68EC">
        <w:rPr>
          <w:shd w:val="clear" w:color="auto" w:fill="FFFFFF"/>
        </w:rPr>
        <w:t xml:space="preserve"> in rather th</w:t>
      </w:r>
      <w:r w:rsidR="00FB0ED7" w:rsidRPr="002A68EC">
        <w:rPr>
          <w:shd w:val="clear" w:color="auto" w:fill="FFFFFF"/>
        </w:rPr>
        <w:t>e</w:t>
      </w:r>
      <w:r w:rsidR="00FA5168" w:rsidRPr="002A68EC">
        <w:rPr>
          <w:shd w:val="clear" w:color="auto" w:fill="FFFFFF"/>
        </w:rPr>
        <w:t xml:space="preserve"> same way that the </w:t>
      </w:r>
      <w:r w:rsidR="00FB0ED7" w:rsidRPr="002A68EC">
        <w:rPr>
          <w:color w:val="000000"/>
          <w:shd w:val="clear" w:color="auto" w:fill="FFFFFF"/>
        </w:rPr>
        <w:t xml:space="preserve">ECJ found that the Cypriot Government </w:t>
      </w:r>
      <w:r w:rsidR="004D6BB1" w:rsidRPr="002A68EC">
        <w:rPr>
          <w:color w:val="000000"/>
          <w:shd w:val="clear" w:color="auto" w:fill="FFFFFF"/>
        </w:rPr>
        <w:t xml:space="preserve">had </w:t>
      </w:r>
      <w:r w:rsidR="00FB0ED7" w:rsidRPr="002A68EC">
        <w:rPr>
          <w:color w:val="000000"/>
          <w:shd w:val="clear" w:color="auto" w:fill="FFFFFF"/>
        </w:rPr>
        <w:t>“merely allude[d] to a risk of imbalances in the social security system”.</w:t>
      </w:r>
      <w:r w:rsidR="00FB0ED7" w:rsidRPr="002A68EC">
        <w:rPr>
          <w:rStyle w:val="FootnoteReference"/>
          <w:color w:val="000000"/>
          <w:shd w:val="clear" w:color="auto" w:fill="FFFFFF"/>
        </w:rPr>
        <w:footnoteReference w:id="174"/>
      </w:r>
      <w:r w:rsidR="00FB0ED7" w:rsidRPr="002A68EC">
        <w:rPr>
          <w:color w:val="000000"/>
          <w:shd w:val="clear" w:color="auto" w:fill="FFFFFF"/>
        </w:rPr>
        <w:t xml:space="preserve"> </w:t>
      </w:r>
    </w:p>
    <w:p w14:paraId="6323CB2D" w14:textId="7F8608FB" w:rsidR="00FC68C4" w:rsidRPr="003518D7" w:rsidRDefault="007354EB" w:rsidP="002A68EC">
      <w:pPr>
        <w:spacing w:after="120"/>
        <w:jc w:val="both"/>
        <w:rPr>
          <w:color w:val="000000"/>
          <w:shd w:val="clear" w:color="auto" w:fill="FFFFFF"/>
        </w:rPr>
      </w:pPr>
      <w:r w:rsidRPr="002A68EC">
        <w:t>Taking these points together – an entitlement to equal treatment may be an unintended, but inevitable effect of the new regime. In theory, if the government wished to make the right to reside conditional upon meeting the criteria in Article 7 of Directive 2004/38, it could have done so. But it did not, and</w:t>
      </w:r>
      <w:r w:rsidR="00513AE2" w:rsidRPr="002A68EC">
        <w:t xml:space="preserve"> realistically</w:t>
      </w:r>
      <w:r w:rsidRPr="002A68EC">
        <w:t xml:space="preserve"> cannot. </w:t>
      </w:r>
      <w:r w:rsidR="00B83F80" w:rsidRPr="002A68EC">
        <w:t xml:space="preserve">As noted with the problematic gaps in the </w:t>
      </w:r>
      <w:r w:rsidRPr="002A68EC">
        <w:t>Withdrawal Agreement</w:t>
      </w:r>
      <w:r w:rsidR="00B83F80" w:rsidRPr="002A68EC">
        <w:t>, i</w:t>
      </w:r>
      <w:r w:rsidRPr="002A68EC">
        <w:t>f the UK genuinely wishes to make sure no one is left behind, and that swathes of EU citizens are not deemed unlawful by default, it has to make pre-settled status a free-standing right</w:t>
      </w:r>
      <w:r w:rsidR="00B83F80" w:rsidRPr="002A68EC">
        <w:t xml:space="preserve"> not conditional on the Directive</w:t>
      </w:r>
      <w:r w:rsidRPr="002A68EC">
        <w:t xml:space="preserve">. </w:t>
      </w:r>
      <w:r w:rsidR="00D43313" w:rsidRPr="002A68EC">
        <w:t>And</w:t>
      </w:r>
      <w:r w:rsidRPr="002A68EC">
        <w:t xml:space="preserve"> it cannot add extra conditions</w:t>
      </w:r>
      <w:r w:rsidR="00513AE2" w:rsidRPr="002A68EC">
        <w:t xml:space="preserve"> as a matter of practicality. In light of the sheer number of EU nationals who need to be registered </w:t>
      </w:r>
      <w:r w:rsidR="00513AE2" w:rsidRPr="002A68EC">
        <w:lastRenderedPageBreak/>
        <w:t>in a short period of time, and the capacity of the Home Office (and lack of expertise in the specific provisions), this would not be a feasible way to determine actual residence rights.</w:t>
      </w:r>
      <w:r w:rsidR="00117850" w:rsidRPr="002A68EC">
        <w:t xml:space="preserve"> </w:t>
      </w:r>
    </w:p>
    <w:p w14:paraId="74FE9A26" w14:textId="365CD9DF" w:rsidR="000D20FD" w:rsidRPr="002A68EC" w:rsidRDefault="00FC68C4" w:rsidP="002A68EC">
      <w:pPr>
        <w:spacing w:after="120"/>
        <w:ind w:right="-52"/>
        <w:jc w:val="both"/>
        <w:rPr>
          <w:rFonts w:cs="Arial"/>
          <w:szCs w:val="22"/>
          <w:shd w:val="clear" w:color="auto" w:fill="FFFFFF"/>
        </w:rPr>
      </w:pPr>
      <w:r w:rsidRPr="002A68EC">
        <w:rPr>
          <w:rFonts w:cs="Arial"/>
          <w:szCs w:val="22"/>
          <w:shd w:val="clear" w:color="auto" w:fill="FFFFFF"/>
        </w:rPr>
        <w:t xml:space="preserve">This would all suggest that persons with pre-settled status are entitled to a right of equal treatment, and the protection of EU law, </w:t>
      </w:r>
      <w:r w:rsidR="00CE109A">
        <w:rPr>
          <w:rFonts w:cs="Arial"/>
          <w:szCs w:val="22"/>
          <w:shd w:val="clear" w:color="auto" w:fill="FFFFFF"/>
        </w:rPr>
        <w:t>at least for matters arising before the transition period ended,</w:t>
      </w:r>
      <w:r w:rsidRPr="002A68EC">
        <w:rPr>
          <w:rFonts w:cs="Arial"/>
          <w:szCs w:val="22"/>
          <w:shd w:val="clear" w:color="auto" w:fill="FFFFFF"/>
        </w:rPr>
        <w:t xml:space="preserve"> giving the CJEU a role even in the apparently domestic issue of welfare rights attaching to a domestic right to reside, where those welfare rights exceed those guaranteed by the EU Withdrawal Agreement. </w:t>
      </w:r>
      <w:r w:rsidR="000D20FD" w:rsidRPr="002A68EC">
        <w:rPr>
          <w:rFonts w:cs="Arial"/>
          <w:szCs w:val="22"/>
          <w:shd w:val="clear" w:color="auto" w:fill="FFFFFF"/>
        </w:rPr>
        <w:t xml:space="preserve">The agreement, as discussed in section 2, effectively gave the UK permission to make a right to reside conditional upon fulfilling the pre-Brexit criteria for a right to reside. But the UK authorities – doubtless partly influenced by administrative nightmare posed by </w:t>
      </w:r>
      <w:r w:rsidR="00117850" w:rsidRPr="002A68EC">
        <w:rPr>
          <w:rFonts w:cs="Arial"/>
          <w:szCs w:val="22"/>
          <w:shd w:val="clear" w:color="auto" w:fill="FFFFFF"/>
        </w:rPr>
        <w:t xml:space="preserve">such conditionality – </w:t>
      </w:r>
      <w:r w:rsidR="000D20FD" w:rsidRPr="002A68EC">
        <w:rPr>
          <w:rFonts w:cs="Arial"/>
          <w:szCs w:val="22"/>
          <w:shd w:val="clear" w:color="auto" w:fill="FFFFFF"/>
        </w:rPr>
        <w:t xml:space="preserve">chose </w:t>
      </w:r>
      <w:r w:rsidR="000D20FD" w:rsidRPr="002A68EC">
        <w:rPr>
          <w:rFonts w:cs="Arial"/>
          <w:i/>
          <w:iCs/>
          <w:szCs w:val="22"/>
          <w:shd w:val="clear" w:color="auto" w:fill="FFFFFF"/>
        </w:rPr>
        <w:t>not</w:t>
      </w:r>
      <w:r w:rsidR="000D20FD" w:rsidRPr="002A68EC">
        <w:rPr>
          <w:rFonts w:cs="Arial"/>
          <w:szCs w:val="22"/>
          <w:shd w:val="clear" w:color="auto" w:fill="FFFFFF"/>
        </w:rPr>
        <w:t xml:space="preserve"> to do this. Or it could have opted for a declaratory scheme, in which the status itself did not confer the right to reside. But it chose </w:t>
      </w:r>
      <w:r w:rsidR="000D20FD" w:rsidRPr="002A68EC">
        <w:rPr>
          <w:rFonts w:cs="Arial"/>
          <w:i/>
          <w:iCs/>
          <w:szCs w:val="22"/>
          <w:shd w:val="clear" w:color="auto" w:fill="FFFFFF"/>
        </w:rPr>
        <w:t>not</w:t>
      </w:r>
      <w:r w:rsidR="000D20FD" w:rsidRPr="002A68EC">
        <w:rPr>
          <w:rFonts w:cs="Arial"/>
          <w:szCs w:val="22"/>
          <w:shd w:val="clear" w:color="auto" w:fill="FFFFFF"/>
        </w:rPr>
        <w:t xml:space="preserve"> to do this – as discussed in section 3 – creating a cliff edge deadline</w:t>
      </w:r>
      <w:r w:rsidR="008F3496" w:rsidRPr="002A68EC">
        <w:rPr>
          <w:rFonts w:cs="Arial"/>
          <w:szCs w:val="22"/>
          <w:shd w:val="clear" w:color="auto" w:fill="FFFFFF"/>
        </w:rPr>
        <w:t>, over which the most vulnerable are likely to fall thanks to obstacles analysed in section 4.</w:t>
      </w:r>
      <w:r w:rsidR="000D20FD" w:rsidRPr="002A68EC">
        <w:rPr>
          <w:rFonts w:cs="Arial"/>
          <w:szCs w:val="22"/>
          <w:shd w:val="clear" w:color="auto" w:fill="FFFFFF"/>
        </w:rPr>
        <w:t xml:space="preserve"> The UK government </w:t>
      </w:r>
      <w:r w:rsidR="00DC5AC7">
        <w:rPr>
          <w:rFonts w:cs="Arial"/>
          <w:szCs w:val="22"/>
          <w:shd w:val="clear" w:color="auto" w:fill="FFFFFF"/>
        </w:rPr>
        <w:t>created</w:t>
      </w:r>
      <w:r w:rsidR="000D20FD" w:rsidRPr="002A68EC">
        <w:rPr>
          <w:rFonts w:cs="Arial"/>
          <w:szCs w:val="22"/>
          <w:shd w:val="clear" w:color="auto" w:fill="FFFFFF"/>
        </w:rPr>
        <w:t xml:space="preserve"> an unconditional right to reside, with the plan of </w:t>
      </w:r>
      <w:r w:rsidR="00117850" w:rsidRPr="002A68EC">
        <w:rPr>
          <w:rFonts w:cs="Arial"/>
          <w:szCs w:val="22"/>
          <w:shd w:val="clear" w:color="auto" w:fill="FFFFFF"/>
        </w:rPr>
        <w:t>later</w:t>
      </w:r>
      <w:r w:rsidR="000D20FD" w:rsidRPr="002A68EC">
        <w:rPr>
          <w:rFonts w:cs="Arial"/>
          <w:szCs w:val="22"/>
          <w:shd w:val="clear" w:color="auto" w:fill="FFFFFF"/>
        </w:rPr>
        <w:t xml:space="preserve"> obstructing access to benefits. In essence, it aims to uphold the pre-Brexit regime, of tolerated (</w:t>
      </w:r>
      <w:r w:rsidR="00030EDD" w:rsidRPr="002A68EC">
        <w:rPr>
          <w:rFonts w:cs="Arial"/>
          <w:szCs w:val="22"/>
          <w:shd w:val="clear" w:color="auto" w:fill="FFFFFF"/>
        </w:rPr>
        <w:t>but not granted</w:t>
      </w:r>
      <w:r w:rsidR="000D20FD" w:rsidRPr="002A68EC">
        <w:rPr>
          <w:rFonts w:cs="Arial"/>
          <w:szCs w:val="22"/>
          <w:shd w:val="clear" w:color="auto" w:fill="FFFFFF"/>
        </w:rPr>
        <w:t xml:space="preserve">) residence of EU nationals, </w:t>
      </w:r>
      <w:r w:rsidR="00030EDD" w:rsidRPr="002A68EC">
        <w:rPr>
          <w:rFonts w:cs="Arial"/>
          <w:szCs w:val="22"/>
          <w:shd w:val="clear" w:color="auto" w:fill="FFFFFF"/>
        </w:rPr>
        <w:t>while</w:t>
      </w:r>
      <w:r w:rsidR="000D20FD" w:rsidRPr="002A68EC">
        <w:rPr>
          <w:rFonts w:cs="Arial"/>
          <w:szCs w:val="22"/>
          <w:shd w:val="clear" w:color="auto" w:fill="FFFFFF"/>
        </w:rPr>
        <w:t xml:space="preserve"> gatekeeping access to welfare.</w:t>
      </w:r>
      <w:r w:rsidR="000D20FD" w:rsidRPr="002A68EC">
        <w:rPr>
          <w:rStyle w:val="FootnoteReference"/>
          <w:rFonts w:cs="Arial"/>
          <w:szCs w:val="22"/>
          <w:shd w:val="clear" w:color="auto" w:fill="FFFFFF"/>
        </w:rPr>
        <w:footnoteReference w:id="175"/>
      </w:r>
      <w:r w:rsidR="000D20FD" w:rsidRPr="002A68EC">
        <w:rPr>
          <w:rFonts w:cs="Arial"/>
          <w:szCs w:val="22"/>
          <w:shd w:val="clear" w:color="auto" w:fill="FFFFFF"/>
        </w:rPr>
        <w:t xml:space="preserve"> But </w:t>
      </w:r>
      <w:r w:rsidR="002400D8">
        <w:rPr>
          <w:rFonts w:cs="Arial"/>
          <w:szCs w:val="22"/>
          <w:shd w:val="clear" w:color="auto" w:fill="FFFFFF"/>
        </w:rPr>
        <w:t>t</w:t>
      </w:r>
      <w:r w:rsidR="00030EDD" w:rsidRPr="002A68EC">
        <w:rPr>
          <w:rFonts w:cs="Arial"/>
          <w:szCs w:val="22"/>
          <w:shd w:val="clear" w:color="auto" w:fill="FFFFFF"/>
        </w:rPr>
        <w:t xml:space="preserve">he UK cannot claim the system is the same as </w:t>
      </w:r>
      <w:r w:rsidR="00B05F60" w:rsidRPr="002A68EC">
        <w:rPr>
          <w:rFonts w:cs="Arial"/>
          <w:szCs w:val="22"/>
          <w:shd w:val="clear" w:color="auto" w:fill="FFFFFF"/>
        </w:rPr>
        <w:t>before,</w:t>
      </w:r>
      <w:r w:rsidR="00117850" w:rsidRPr="002A68EC">
        <w:rPr>
          <w:rFonts w:cs="Arial"/>
          <w:szCs w:val="22"/>
          <w:shd w:val="clear" w:color="auto" w:fill="FFFFFF"/>
        </w:rPr>
        <w:t xml:space="preserve"> and</w:t>
      </w:r>
      <w:r w:rsidR="00030EDD" w:rsidRPr="002A68EC">
        <w:rPr>
          <w:rFonts w:cs="Arial"/>
          <w:szCs w:val="22"/>
          <w:shd w:val="clear" w:color="auto" w:fill="FFFFFF"/>
        </w:rPr>
        <w:t xml:space="preserve"> act as though Brexit has not happened</w:t>
      </w:r>
      <w:r w:rsidR="000D20FD" w:rsidRPr="002A68EC">
        <w:rPr>
          <w:rFonts w:cs="Arial"/>
          <w:szCs w:val="22"/>
          <w:shd w:val="clear" w:color="auto" w:fill="FFFFFF"/>
        </w:rPr>
        <w:t>.</w:t>
      </w:r>
      <w:r w:rsidR="00030EDD" w:rsidRPr="002A68EC">
        <w:rPr>
          <w:rFonts w:cs="Arial"/>
          <w:szCs w:val="22"/>
          <w:shd w:val="clear" w:color="auto" w:fill="FFFFFF"/>
        </w:rPr>
        <w:t xml:space="preserve"> The government is trying to have and eat its cake – adopting a broad constitutive </w:t>
      </w:r>
      <w:r w:rsidR="00117850" w:rsidRPr="002A68EC">
        <w:rPr>
          <w:rFonts w:cs="Arial"/>
          <w:szCs w:val="22"/>
          <w:shd w:val="clear" w:color="auto" w:fill="FFFFFF"/>
        </w:rPr>
        <w:t>scheme</w:t>
      </w:r>
      <w:r w:rsidR="00030EDD" w:rsidRPr="002A68EC">
        <w:rPr>
          <w:rFonts w:cs="Arial"/>
          <w:szCs w:val="22"/>
          <w:shd w:val="clear" w:color="auto" w:fill="FFFFFF"/>
        </w:rPr>
        <w:t xml:space="preserve"> for expediency, while acting as though it had adopted a more selective, </w:t>
      </w:r>
      <w:r w:rsidR="00117850" w:rsidRPr="002A68EC">
        <w:rPr>
          <w:rFonts w:cs="Arial"/>
          <w:szCs w:val="22"/>
          <w:shd w:val="clear" w:color="auto" w:fill="FFFFFF"/>
        </w:rPr>
        <w:t>declaratory</w:t>
      </w:r>
      <w:r w:rsidR="00030EDD" w:rsidRPr="002A68EC">
        <w:rPr>
          <w:rFonts w:cs="Arial"/>
          <w:szCs w:val="22"/>
          <w:shd w:val="clear" w:color="auto" w:fill="FFFFFF"/>
        </w:rPr>
        <w:t xml:space="preserve"> one. </w:t>
      </w:r>
      <w:r w:rsidR="000D20FD" w:rsidRPr="002A68EC">
        <w:rPr>
          <w:rFonts w:cs="Arial"/>
          <w:szCs w:val="22"/>
          <w:shd w:val="clear" w:color="auto" w:fill="FFFFFF"/>
        </w:rPr>
        <w:t xml:space="preserve">    </w:t>
      </w:r>
    </w:p>
    <w:p w14:paraId="2C12F5B3" w14:textId="77777777" w:rsidR="00147302" w:rsidRPr="002A68EC" w:rsidRDefault="00147302" w:rsidP="002A68EC">
      <w:pPr>
        <w:spacing w:after="120"/>
        <w:ind w:right="-52"/>
        <w:jc w:val="both"/>
        <w:rPr>
          <w:rFonts w:cs="Arial"/>
          <w:szCs w:val="22"/>
          <w:shd w:val="clear" w:color="auto" w:fill="FFFFFF"/>
        </w:rPr>
      </w:pPr>
    </w:p>
    <w:p w14:paraId="65F55D1A" w14:textId="3E60511C" w:rsidR="00147302" w:rsidRPr="002A68EC" w:rsidRDefault="00147302" w:rsidP="002A68EC">
      <w:pPr>
        <w:pStyle w:val="Heading3"/>
        <w:spacing w:before="0" w:after="120"/>
        <w:jc w:val="both"/>
        <w:rPr>
          <w:rFonts w:ascii="Times New Roman" w:hAnsi="Times New Roman"/>
          <w:i/>
          <w:iCs/>
          <w:color w:val="auto"/>
          <w:shd w:val="clear" w:color="auto" w:fill="FFFFFF"/>
        </w:rPr>
      </w:pPr>
      <w:r w:rsidRPr="002A68EC">
        <w:rPr>
          <w:rFonts w:ascii="Times New Roman" w:hAnsi="Times New Roman"/>
          <w:color w:val="auto"/>
          <w:shd w:val="clear" w:color="auto" w:fill="FFFFFF"/>
        </w:rPr>
        <w:t xml:space="preserve">5.4 </w:t>
      </w:r>
      <w:r w:rsidRPr="002A68EC">
        <w:rPr>
          <w:rFonts w:ascii="Times New Roman" w:hAnsi="Times New Roman"/>
          <w:color w:val="auto"/>
          <w:shd w:val="clear" w:color="auto" w:fill="FFFFFF"/>
        </w:rPr>
        <w:tab/>
      </w:r>
      <w:r w:rsidRPr="002A68EC">
        <w:rPr>
          <w:rFonts w:ascii="Times New Roman" w:hAnsi="Times New Roman"/>
          <w:i/>
          <w:iCs/>
          <w:color w:val="auto"/>
          <w:shd w:val="clear" w:color="auto" w:fill="FFFFFF"/>
        </w:rPr>
        <w:t xml:space="preserve">The future (ir)relevance in the UK of Article 18 TFEU and Trojani? </w:t>
      </w:r>
    </w:p>
    <w:p w14:paraId="35A11D67" w14:textId="4693D2B0" w:rsidR="00DE77D3" w:rsidRDefault="00986931" w:rsidP="002A68EC">
      <w:pPr>
        <w:spacing w:after="120"/>
        <w:ind w:right="-52"/>
        <w:jc w:val="both"/>
        <w:rPr>
          <w:rFonts w:cs="Arial"/>
          <w:szCs w:val="22"/>
          <w:shd w:val="clear" w:color="auto" w:fill="FFFFFF"/>
        </w:rPr>
      </w:pPr>
      <w:r w:rsidRPr="002A68EC">
        <w:rPr>
          <w:rFonts w:cs="Arial"/>
          <w:szCs w:val="22"/>
          <w:shd w:val="clear" w:color="auto" w:fill="FFFFFF"/>
        </w:rPr>
        <w:t>P</w:t>
      </w:r>
      <w:r w:rsidR="00FC68C4" w:rsidRPr="002A68EC">
        <w:rPr>
          <w:rFonts w:cs="Arial"/>
          <w:szCs w:val="22"/>
          <w:shd w:val="clear" w:color="auto" w:fill="FFFFFF"/>
        </w:rPr>
        <w:t xml:space="preserve">ost-transition the limits in the Withdrawal Agreement </w:t>
      </w:r>
      <w:r w:rsidRPr="002A68EC">
        <w:rPr>
          <w:rFonts w:cs="Arial"/>
          <w:szCs w:val="22"/>
          <w:shd w:val="clear" w:color="auto" w:fill="FFFFFF"/>
        </w:rPr>
        <w:t>might</w:t>
      </w:r>
      <w:r w:rsidR="00FC68C4" w:rsidRPr="002A68EC">
        <w:rPr>
          <w:rFonts w:cs="Arial"/>
          <w:szCs w:val="22"/>
          <w:shd w:val="clear" w:color="auto" w:fill="FFFFFF"/>
        </w:rPr>
        <w:t xml:space="preserve"> in turn limit the possibilities of an EU-law based challenge to restrictions on benefit entitlements arising purely from pre-settled status</w:t>
      </w:r>
      <w:r w:rsidRPr="002A68EC">
        <w:rPr>
          <w:rFonts w:cs="Arial"/>
          <w:szCs w:val="22"/>
          <w:shd w:val="clear" w:color="auto" w:fill="FFFFFF"/>
        </w:rPr>
        <w:t>. I</w:t>
      </w:r>
      <w:r w:rsidR="00FC68C4" w:rsidRPr="002A68EC">
        <w:rPr>
          <w:rFonts w:cs="Arial"/>
          <w:szCs w:val="22"/>
          <w:shd w:val="clear" w:color="auto" w:fill="FFFFFF"/>
        </w:rPr>
        <w:t xml:space="preserve">ndeed, the claimants in </w:t>
      </w:r>
      <w:r w:rsidR="00FC68C4" w:rsidRPr="002A68EC">
        <w:rPr>
          <w:rFonts w:cs="Arial"/>
          <w:i/>
          <w:iCs/>
          <w:szCs w:val="22"/>
          <w:shd w:val="clear" w:color="auto" w:fill="FFFFFF"/>
        </w:rPr>
        <w:t xml:space="preserve">Fratila </w:t>
      </w:r>
      <w:r w:rsidR="00C330A6" w:rsidRPr="002A68EC">
        <w:rPr>
          <w:rFonts w:cs="Arial"/>
          <w:szCs w:val="22"/>
          <w:shd w:val="clear" w:color="auto" w:fill="FFFFFF"/>
        </w:rPr>
        <w:t xml:space="preserve">accepted that </w:t>
      </w:r>
      <w:r w:rsidR="00F47391" w:rsidRPr="002A68EC">
        <w:rPr>
          <w:rFonts w:cs="Arial"/>
          <w:szCs w:val="22"/>
          <w:shd w:val="clear" w:color="auto" w:fill="FFFFFF"/>
        </w:rPr>
        <w:t>“</w:t>
      </w:r>
      <w:r w:rsidR="00C330A6" w:rsidRPr="002A68EC">
        <w:rPr>
          <w:rFonts w:cs="Arial"/>
          <w:szCs w:val="22"/>
          <w:shd w:val="clear" w:color="auto" w:fill="FFFFFF"/>
        </w:rPr>
        <w:t>the legal basis for their claim</w:t>
      </w:r>
      <w:r w:rsidR="00986F32" w:rsidRPr="002A68EC">
        <w:rPr>
          <w:rFonts w:cs="Arial"/>
          <w:szCs w:val="22"/>
          <w:shd w:val="clear" w:color="auto" w:fill="FFFFFF"/>
        </w:rPr>
        <w:t xml:space="preserve"> </w:t>
      </w:r>
      <w:bookmarkStart w:id="37" w:name="para15"/>
      <w:r w:rsidR="00986F32" w:rsidRPr="002A68EC">
        <w:rPr>
          <w:rFonts w:cs="Arial"/>
          <w:szCs w:val="22"/>
          <w:shd w:val="clear" w:color="auto" w:fill="FFFFFF"/>
        </w:rPr>
        <w:t>(i.e. their ability to rely on Article 18 TFEU</w:t>
      </w:r>
      <w:bookmarkEnd w:id="37"/>
      <w:r w:rsidR="00986F32" w:rsidRPr="002A68EC">
        <w:rPr>
          <w:rFonts w:cs="Arial"/>
          <w:szCs w:val="22"/>
          <w:shd w:val="clear" w:color="auto" w:fill="FFFFFF"/>
        </w:rPr>
        <w:t>)</w:t>
      </w:r>
      <w:r w:rsidR="00C330A6" w:rsidRPr="002A68EC">
        <w:rPr>
          <w:rFonts w:cs="Arial"/>
          <w:szCs w:val="22"/>
          <w:shd w:val="clear" w:color="auto" w:fill="FFFFFF"/>
        </w:rPr>
        <w:t xml:space="preserve"> will disappear with effect from the end of the implementation period</w:t>
      </w:r>
      <w:r w:rsidR="00F47391" w:rsidRPr="002A68EC">
        <w:rPr>
          <w:rFonts w:cs="Arial"/>
          <w:szCs w:val="22"/>
          <w:shd w:val="clear" w:color="auto" w:fill="FFFFFF"/>
        </w:rPr>
        <w:t>”</w:t>
      </w:r>
      <w:r w:rsidR="00FC68C4" w:rsidRPr="002A68EC">
        <w:rPr>
          <w:rFonts w:cs="Arial"/>
          <w:szCs w:val="22"/>
          <w:shd w:val="clear" w:color="auto" w:fill="FFFFFF"/>
        </w:rPr>
        <w:t>.</w:t>
      </w:r>
      <w:r w:rsidR="00986F32" w:rsidRPr="002A68EC">
        <w:rPr>
          <w:rStyle w:val="FootnoteReference"/>
          <w:rFonts w:cs="Arial"/>
          <w:szCs w:val="22"/>
          <w:shd w:val="clear" w:color="auto" w:fill="FFFFFF"/>
        </w:rPr>
        <w:footnoteReference w:id="176"/>
      </w:r>
      <w:r w:rsidR="00FC68C4" w:rsidRPr="002A68EC">
        <w:rPr>
          <w:rFonts w:cs="Arial"/>
          <w:szCs w:val="22"/>
          <w:shd w:val="clear" w:color="auto" w:fill="FFFFFF"/>
        </w:rPr>
        <w:t xml:space="preserve"> </w:t>
      </w:r>
      <w:r w:rsidR="00DE77D3">
        <w:rPr>
          <w:rFonts w:cs="Arial"/>
          <w:szCs w:val="22"/>
          <w:shd w:val="clear" w:color="auto" w:fill="FFFFFF"/>
        </w:rPr>
        <w:t>The Court of Appeal judges appeared to assume the effects of their judgment are subject to the same time limit</w:t>
      </w:r>
      <w:bookmarkStart w:id="38" w:name="para26"/>
      <w:r w:rsidR="00DE77D3">
        <w:rPr>
          <w:rFonts w:cs="Arial"/>
          <w:szCs w:val="22"/>
          <w:shd w:val="clear" w:color="auto" w:fill="FFFFFF"/>
        </w:rPr>
        <w:t>, stating that the “</w:t>
      </w:r>
      <w:r w:rsidR="00DE77D3" w:rsidRPr="00DE77D3">
        <w:rPr>
          <w:rFonts w:cs="Arial"/>
          <w:szCs w:val="22"/>
          <w:shd w:val="clear" w:color="auto" w:fill="FFFFFF"/>
        </w:rPr>
        <w:t>arguments here turn upon the present state of EU law, as it still applies in the United Kingdom during the transition period, after formal secession from the EU and up to the end of the transition period on 31 December 2020.</w:t>
      </w:r>
      <w:bookmarkEnd w:id="38"/>
      <w:r w:rsidR="00DE77D3">
        <w:rPr>
          <w:rFonts w:cs="Arial"/>
          <w:szCs w:val="22"/>
          <w:shd w:val="clear" w:color="auto" w:fill="FFFFFF"/>
        </w:rPr>
        <w:t>” The judgment’s focus on Article 18 TFEU, which has now ceased to apply in the UK as a matter of EU law,</w:t>
      </w:r>
      <w:r w:rsidR="00DE77D3">
        <w:rPr>
          <w:rStyle w:val="FootnoteReference"/>
          <w:rFonts w:cs="Arial"/>
          <w:szCs w:val="22"/>
          <w:shd w:val="clear" w:color="auto" w:fill="FFFFFF"/>
        </w:rPr>
        <w:footnoteReference w:id="177"/>
      </w:r>
      <w:r w:rsidR="00DE77D3">
        <w:rPr>
          <w:rFonts w:cs="Arial"/>
          <w:szCs w:val="22"/>
          <w:shd w:val="clear" w:color="auto" w:fill="FFFFFF"/>
        </w:rPr>
        <w:t xml:space="preserve"> might also set a time-limit on the judgment’s effects, to matters that arose before transition ended.  </w:t>
      </w:r>
    </w:p>
    <w:p w14:paraId="6B2B1D52" w14:textId="7905A7FE" w:rsidR="00582F06" w:rsidRPr="002A68EC" w:rsidRDefault="00986F32" w:rsidP="002A68EC">
      <w:pPr>
        <w:spacing w:after="120"/>
        <w:ind w:right="-52"/>
        <w:jc w:val="both"/>
        <w:rPr>
          <w:rFonts w:cs="Arial"/>
          <w:szCs w:val="22"/>
          <w:shd w:val="clear" w:color="auto" w:fill="FFFFFF"/>
        </w:rPr>
      </w:pPr>
      <w:r w:rsidRPr="002A68EC">
        <w:rPr>
          <w:rFonts w:cs="Arial"/>
          <w:szCs w:val="22"/>
          <w:shd w:val="clear" w:color="auto" w:fill="FFFFFF"/>
        </w:rPr>
        <w:t xml:space="preserve">This reveals something of the ambiguity about the citizens’ rights provisions </w:t>
      </w:r>
      <w:r w:rsidR="00582F06" w:rsidRPr="002A68EC">
        <w:rPr>
          <w:rFonts w:cs="Arial"/>
          <w:szCs w:val="22"/>
          <w:shd w:val="clear" w:color="auto" w:fill="FFFFFF"/>
        </w:rPr>
        <w:t>in the Withdrawal Agreement</w:t>
      </w:r>
      <w:r w:rsidR="00853E90" w:rsidRPr="002A68EC">
        <w:rPr>
          <w:rFonts w:cs="Arial"/>
          <w:szCs w:val="22"/>
          <w:shd w:val="clear" w:color="auto" w:fill="FFFFFF"/>
        </w:rPr>
        <w:t xml:space="preserve">. </w:t>
      </w:r>
      <w:r w:rsidR="00582F06" w:rsidRPr="002A68EC">
        <w:rPr>
          <w:rFonts w:cs="Arial"/>
          <w:szCs w:val="22"/>
          <w:shd w:val="clear" w:color="auto" w:fill="FFFFFF"/>
        </w:rPr>
        <w:t xml:space="preserve">Article 12 WA </w:t>
      </w:r>
      <w:r w:rsidR="00DE77D3">
        <w:rPr>
          <w:rFonts w:cs="Arial"/>
          <w:szCs w:val="22"/>
          <w:shd w:val="clear" w:color="auto" w:fill="FFFFFF"/>
        </w:rPr>
        <w:t>reproduces the rights of Article 18 TFEU for those within the scope of the Withdrawal Agreement. It p</w:t>
      </w:r>
      <w:r w:rsidR="00582F06" w:rsidRPr="002A68EC">
        <w:rPr>
          <w:rFonts w:cs="Arial"/>
          <w:szCs w:val="22"/>
          <w:shd w:val="clear" w:color="auto" w:fill="FFFFFF"/>
        </w:rPr>
        <w:t>rovides that:</w:t>
      </w:r>
    </w:p>
    <w:p w14:paraId="5B29EBD5" w14:textId="3708F751" w:rsidR="00582F06" w:rsidRPr="002A68EC" w:rsidRDefault="00582F06" w:rsidP="002A68EC">
      <w:pPr>
        <w:spacing w:after="120"/>
        <w:ind w:left="720" w:right="-52"/>
        <w:jc w:val="both"/>
        <w:rPr>
          <w:rFonts w:cs="Arial"/>
          <w:i/>
          <w:iCs/>
          <w:szCs w:val="22"/>
          <w:shd w:val="clear" w:color="auto" w:fill="FFFFFF"/>
        </w:rPr>
      </w:pPr>
      <w:r w:rsidRPr="002A68EC">
        <w:rPr>
          <w:rFonts w:cs="Arial"/>
          <w:i/>
          <w:iCs/>
          <w:szCs w:val="22"/>
          <w:shd w:val="clear" w:color="auto" w:fill="FFFFFF"/>
        </w:rPr>
        <w:t>Within the scope of this Part, and without prejudice to any special provisions contained therein, any discrimination on grounds of nationality within the meaning of the first subparagraph of Article 18 TFEU shall be prohibited in the host State and the State of work in respect of the persons referred to in Article 10 of this Agreement.</w:t>
      </w:r>
    </w:p>
    <w:p w14:paraId="14ADD93B" w14:textId="762CC517" w:rsidR="00582F06" w:rsidRDefault="00853E90" w:rsidP="002A68EC">
      <w:pPr>
        <w:spacing w:after="120"/>
        <w:jc w:val="both"/>
        <w:rPr>
          <w:rFonts w:cs="Arial"/>
          <w:szCs w:val="22"/>
          <w:shd w:val="clear" w:color="auto" w:fill="FFFFFF"/>
        </w:rPr>
      </w:pPr>
      <w:r w:rsidRPr="002A68EC">
        <w:rPr>
          <w:rFonts w:cs="Arial"/>
          <w:szCs w:val="22"/>
          <w:shd w:val="clear" w:color="auto" w:fill="FFFFFF"/>
        </w:rPr>
        <w:t xml:space="preserve">This appears to </w:t>
      </w:r>
      <w:r w:rsidRPr="002A68EC">
        <w:rPr>
          <w:rFonts w:cs="Arial"/>
          <w:i/>
          <w:iCs/>
          <w:szCs w:val="22"/>
          <w:shd w:val="clear" w:color="auto" w:fill="FFFFFF"/>
        </w:rPr>
        <w:t>retain</w:t>
      </w:r>
      <w:r w:rsidRPr="002A68EC">
        <w:rPr>
          <w:rFonts w:cs="Arial"/>
          <w:szCs w:val="22"/>
          <w:shd w:val="clear" w:color="auto" w:fill="FFFFFF"/>
        </w:rPr>
        <w:t xml:space="preserve"> the effects of Article 18 TFEU. </w:t>
      </w:r>
      <w:r w:rsidR="00582F06" w:rsidRPr="002A68EC">
        <w:rPr>
          <w:rFonts w:cs="Arial"/>
          <w:szCs w:val="22"/>
          <w:shd w:val="clear" w:color="auto" w:fill="FFFFFF"/>
        </w:rPr>
        <w:t xml:space="preserve">Moreover, </w:t>
      </w:r>
      <w:r w:rsidR="00582F06" w:rsidRPr="002A68EC">
        <w:rPr>
          <w:rFonts w:cs="Arial"/>
          <w:i/>
          <w:iCs/>
          <w:szCs w:val="22"/>
          <w:shd w:val="clear" w:color="auto" w:fill="FFFFFF"/>
        </w:rPr>
        <w:t>Trojani</w:t>
      </w:r>
      <w:r w:rsidR="00582F06" w:rsidRPr="002A68EC">
        <w:rPr>
          <w:rFonts w:cs="Arial"/>
          <w:szCs w:val="22"/>
          <w:shd w:val="clear" w:color="auto" w:fill="FFFFFF"/>
        </w:rPr>
        <w:t xml:space="preserve"> and </w:t>
      </w:r>
      <w:r w:rsidR="00582F06" w:rsidRPr="002A68EC">
        <w:rPr>
          <w:rFonts w:cs="Arial"/>
          <w:i/>
          <w:iCs/>
          <w:szCs w:val="22"/>
          <w:shd w:val="clear" w:color="auto" w:fill="FFFFFF"/>
        </w:rPr>
        <w:t>Grzelczyk</w:t>
      </w:r>
      <w:r w:rsidR="00582F06" w:rsidRPr="002A68EC">
        <w:rPr>
          <w:rFonts w:cs="Arial"/>
          <w:szCs w:val="22"/>
          <w:shd w:val="clear" w:color="auto" w:fill="FFFFFF"/>
        </w:rPr>
        <w:t xml:space="preserve"> would </w:t>
      </w:r>
      <w:r w:rsidRPr="002A68EC">
        <w:rPr>
          <w:rFonts w:cs="Arial"/>
          <w:szCs w:val="22"/>
          <w:shd w:val="clear" w:color="auto" w:fill="FFFFFF"/>
        </w:rPr>
        <w:t>still</w:t>
      </w:r>
      <w:r w:rsidR="00582F06" w:rsidRPr="002A68EC">
        <w:rPr>
          <w:rFonts w:cs="Arial"/>
          <w:szCs w:val="22"/>
          <w:shd w:val="clear" w:color="auto" w:fill="FFFFFF"/>
        </w:rPr>
        <w:t xml:space="preserve"> be relevant given the requirement in Article 4(4)</w:t>
      </w:r>
      <w:r w:rsidRPr="002A68EC">
        <w:rPr>
          <w:rFonts w:cs="Arial"/>
          <w:szCs w:val="22"/>
          <w:shd w:val="clear" w:color="auto" w:fill="FFFFFF"/>
        </w:rPr>
        <w:t xml:space="preserve"> t</w:t>
      </w:r>
      <w:r w:rsidR="00582F06" w:rsidRPr="002A68EC">
        <w:rPr>
          <w:rFonts w:cs="Arial"/>
          <w:szCs w:val="22"/>
          <w:shd w:val="clear" w:color="auto" w:fill="FFFFFF"/>
        </w:rPr>
        <w:t xml:space="preserve">o interpret </w:t>
      </w:r>
      <w:r w:rsidRPr="002A68EC">
        <w:rPr>
          <w:rFonts w:cs="Arial"/>
          <w:szCs w:val="22"/>
          <w:shd w:val="clear" w:color="auto" w:fill="FFFFFF"/>
        </w:rPr>
        <w:t>“</w:t>
      </w:r>
      <w:r w:rsidR="00582F06" w:rsidRPr="002A68EC">
        <w:rPr>
          <w:rFonts w:cs="Arial"/>
          <w:szCs w:val="22"/>
          <w:shd w:val="clear" w:color="auto" w:fill="FFFFFF"/>
        </w:rPr>
        <w:t xml:space="preserve">provisions of this Agreement referring to Union law or to concepts or provisions thereof… in conformity with the relevant case law of the Court of Justice of the European Union handed down before the end of the </w:t>
      </w:r>
      <w:r w:rsidR="00582F06" w:rsidRPr="002A68EC">
        <w:rPr>
          <w:rFonts w:cs="Arial"/>
          <w:szCs w:val="22"/>
          <w:shd w:val="clear" w:color="auto" w:fill="FFFFFF"/>
        </w:rPr>
        <w:lastRenderedPageBreak/>
        <w:t>transition period.</w:t>
      </w:r>
      <w:r w:rsidRPr="002A68EC">
        <w:rPr>
          <w:rFonts w:cs="Arial"/>
          <w:szCs w:val="22"/>
          <w:shd w:val="clear" w:color="auto" w:fill="FFFFFF"/>
        </w:rPr>
        <w:t>”</w:t>
      </w:r>
      <w:r w:rsidR="00F14441" w:rsidRPr="002A68EC">
        <w:rPr>
          <w:rFonts w:cs="Arial"/>
          <w:szCs w:val="22"/>
          <w:shd w:val="clear" w:color="auto" w:fill="FFFFFF"/>
        </w:rPr>
        <w:t xml:space="preserve"> What the incorporation of Article 18 TFEU in Article 12 WA, in combination with the case law conformity requirement in Article 4 would mean</w:t>
      </w:r>
      <w:r w:rsidR="00582F06" w:rsidRPr="002A68EC">
        <w:rPr>
          <w:rFonts w:cs="Arial"/>
          <w:szCs w:val="22"/>
          <w:shd w:val="clear" w:color="auto" w:fill="FFFFFF"/>
        </w:rPr>
        <w:t xml:space="preserve"> in practice is not clear. Article 18 TFEU can operate independently of Directive 2004/38 in situations that do not fall within the scope of that directive. It is less certain that even if someone falls within the scope of Article 10 WA, (being a </w:t>
      </w:r>
      <w:r w:rsidR="001F1986" w:rsidRPr="002A68EC">
        <w:rPr>
          <w:rFonts w:cs="Arial"/>
          <w:szCs w:val="22"/>
          <w:shd w:val="clear" w:color="auto" w:fill="FFFFFF"/>
        </w:rPr>
        <w:t>“</w:t>
      </w:r>
      <w:r w:rsidR="00582F06" w:rsidRPr="002A68EC">
        <w:rPr>
          <w:shd w:val="clear" w:color="auto" w:fill="FFFFFF"/>
        </w:rPr>
        <w:t>Union citizen who exercised their right to reside in the United Kingdom in accordance with Union law before the end of the transition period and continue to reside there thereafter</w:t>
      </w:r>
      <w:r w:rsidR="001F1986" w:rsidRPr="002A68EC">
        <w:rPr>
          <w:shd w:val="clear" w:color="auto" w:fill="FFFFFF"/>
        </w:rPr>
        <w:t>”</w:t>
      </w:r>
      <w:r w:rsidR="00582F06" w:rsidRPr="002A68EC">
        <w:rPr>
          <w:shd w:val="clear" w:color="auto" w:fill="FFFFFF"/>
        </w:rPr>
        <w:t>),</w:t>
      </w:r>
      <w:r w:rsidR="001F1986" w:rsidRPr="002A68EC">
        <w:rPr>
          <w:rFonts w:cs="Arial"/>
          <w:szCs w:val="22"/>
          <w:shd w:val="clear" w:color="auto" w:fill="FFFFFF"/>
        </w:rPr>
        <w:t xml:space="preserve"> </w:t>
      </w:r>
      <w:r w:rsidR="00582F06" w:rsidRPr="002A68EC">
        <w:rPr>
          <w:rFonts w:cs="Arial"/>
          <w:szCs w:val="22"/>
          <w:shd w:val="clear" w:color="auto" w:fill="FFFFFF"/>
        </w:rPr>
        <w:t xml:space="preserve">Article 12 WA on equal treatment could operate independently of Article 13 WA on the limitations and conditions attached to residence rights. </w:t>
      </w:r>
      <w:r w:rsidR="005177CF">
        <w:rPr>
          <w:rFonts w:cs="Arial"/>
          <w:szCs w:val="22"/>
          <w:shd w:val="clear" w:color="auto" w:fill="FFFFFF"/>
        </w:rPr>
        <w:t xml:space="preserve">However, given the </w:t>
      </w:r>
      <w:r w:rsidR="005177CF">
        <w:rPr>
          <w:rFonts w:cs="Arial"/>
          <w:i/>
          <w:iCs/>
          <w:szCs w:val="22"/>
          <w:shd w:val="clear" w:color="auto" w:fill="FFFFFF"/>
        </w:rPr>
        <w:t>Fratila</w:t>
      </w:r>
      <w:r w:rsidR="005177CF">
        <w:rPr>
          <w:rFonts w:cs="Arial"/>
          <w:szCs w:val="22"/>
          <w:shd w:val="clear" w:color="auto" w:fill="FFFFFF"/>
        </w:rPr>
        <w:t xml:space="preserve"> litigation, and the fact we are now post-transition, this is a question that will have to be addressed. </w:t>
      </w:r>
    </w:p>
    <w:p w14:paraId="19AC7AEE" w14:textId="5BFF1906" w:rsidR="00F1346D" w:rsidRPr="00F1346D" w:rsidRDefault="005177CF" w:rsidP="00F1346D">
      <w:pPr>
        <w:spacing w:after="120"/>
        <w:jc w:val="both"/>
        <w:rPr>
          <w:rFonts w:cs="Arial"/>
          <w:szCs w:val="22"/>
          <w:shd w:val="clear" w:color="auto" w:fill="FFFFFF"/>
        </w:rPr>
      </w:pPr>
      <w:r>
        <w:rPr>
          <w:rFonts w:cs="Arial"/>
          <w:szCs w:val="22"/>
          <w:shd w:val="clear" w:color="auto" w:fill="FFFFFF"/>
        </w:rPr>
        <w:t xml:space="preserve">Counsel for the appellants in </w:t>
      </w:r>
      <w:r w:rsidRPr="001E23FD">
        <w:rPr>
          <w:rFonts w:cs="Arial"/>
          <w:i/>
          <w:iCs/>
          <w:szCs w:val="22"/>
          <w:shd w:val="clear" w:color="auto" w:fill="FFFFFF"/>
        </w:rPr>
        <w:t>Fratila</w:t>
      </w:r>
      <w:r>
        <w:rPr>
          <w:rFonts w:cs="Arial"/>
          <w:szCs w:val="22"/>
          <w:shd w:val="clear" w:color="auto" w:fill="FFFFFF"/>
        </w:rPr>
        <w:t xml:space="preserve"> argued that “</w:t>
      </w:r>
      <w:r w:rsidRPr="005177CF">
        <w:rPr>
          <w:rFonts w:cs="Arial"/>
          <w:szCs w:val="22"/>
          <w:shd w:val="clear" w:color="auto" w:fill="FFFFFF"/>
        </w:rPr>
        <w:t>the respondent could have created PSS to come into effect at midnight on 31 December 2020, when the transitional arrangements for the UK's departure from the EU will cease, and he accepted that if that had been the legislative device used by the respondent, there would have been no direct or indirect discrimination because EU law would not have applied</w:t>
      </w:r>
      <w:r>
        <w:rPr>
          <w:rFonts w:cs="Arial"/>
          <w:szCs w:val="22"/>
          <w:shd w:val="clear" w:color="auto" w:fill="FFFFFF"/>
        </w:rPr>
        <w:t>”</w:t>
      </w:r>
      <w:r w:rsidRPr="005177CF">
        <w:rPr>
          <w:rFonts w:cs="Arial"/>
          <w:szCs w:val="22"/>
          <w:shd w:val="clear" w:color="auto" w:fill="FFFFFF"/>
        </w:rPr>
        <w:t>.</w:t>
      </w:r>
      <w:r>
        <w:rPr>
          <w:rStyle w:val="FootnoteReference"/>
          <w:rFonts w:cs="Arial"/>
          <w:szCs w:val="22"/>
          <w:shd w:val="clear" w:color="auto" w:fill="FFFFFF"/>
        </w:rPr>
        <w:footnoteReference w:id="178"/>
      </w:r>
      <w:r>
        <w:rPr>
          <w:rFonts w:cs="Arial"/>
          <w:szCs w:val="22"/>
          <w:shd w:val="clear" w:color="auto" w:fill="FFFFFF"/>
        </w:rPr>
        <w:t xml:space="preserve"> Which would suggest that the Secretary of State could simply accept the Court of Appeal’s quashing of the regs, and immediately reinstate them. </w:t>
      </w:r>
      <w:r w:rsidR="001E23FD">
        <w:rPr>
          <w:rFonts w:cs="Arial"/>
          <w:szCs w:val="22"/>
          <w:shd w:val="clear" w:color="auto" w:fill="FFFFFF"/>
        </w:rPr>
        <w:t>But it i</w:t>
      </w:r>
      <w:r w:rsidR="00986931" w:rsidRPr="002A68EC">
        <w:rPr>
          <w:rFonts w:cs="Arial"/>
          <w:szCs w:val="22"/>
          <w:shd w:val="clear" w:color="auto" w:fill="FFFFFF"/>
        </w:rPr>
        <w:t xml:space="preserve">s at least arguable that even when EU law ceases to be applicable in the UK, the </w:t>
      </w:r>
      <w:r w:rsidR="00853E90" w:rsidRPr="002A68EC">
        <w:rPr>
          <w:rFonts w:cs="Arial"/>
          <w:szCs w:val="22"/>
          <w:shd w:val="clear" w:color="auto" w:fill="FFFFFF"/>
        </w:rPr>
        <w:t>Agreement</w:t>
      </w:r>
      <w:r w:rsidR="00986931" w:rsidRPr="002A68EC">
        <w:rPr>
          <w:rFonts w:cs="Arial"/>
          <w:szCs w:val="22"/>
          <w:shd w:val="clear" w:color="auto" w:fill="FFFFFF"/>
        </w:rPr>
        <w:t xml:space="preserve"> </w:t>
      </w:r>
      <w:r w:rsidR="001E23FD">
        <w:rPr>
          <w:rFonts w:cs="Arial"/>
          <w:szCs w:val="22"/>
          <w:shd w:val="clear" w:color="auto" w:fill="FFFFFF"/>
        </w:rPr>
        <w:t xml:space="preserve">reinstates the duties of Article 18 TFEU. The non-discrimination provision is not subsidiary to, or attached to, the residence conditions of Article 13 WA. If anything, it is more closely </w:t>
      </w:r>
      <w:r w:rsidR="00F1346D">
        <w:rPr>
          <w:rFonts w:cs="Arial"/>
          <w:szCs w:val="22"/>
          <w:shd w:val="clear" w:color="auto" w:fill="FFFFFF"/>
        </w:rPr>
        <w:t>bound to the general personal scope provision in Article 10 WA, as both fall under Title I of the Citizens’ Rights Part, named ‘General Provisions’, (whereas Article 13 is the first provision of Title II). And people with pre-settled status fall within Article 10 WA, regardless of current worker status, as ‘</w:t>
      </w:r>
      <w:r w:rsidR="00F1346D" w:rsidRPr="00F1346D">
        <w:rPr>
          <w:rFonts w:cs="Arial"/>
          <w:szCs w:val="22"/>
          <w:shd w:val="clear" w:color="auto" w:fill="FFFFFF"/>
        </w:rPr>
        <w:t>Union citizens who exercised their right to reside in the United Kingdom in accordance with Union law before the end of the transition period and continue to reside there thereafter</w:t>
      </w:r>
      <w:r w:rsidR="00F1346D">
        <w:rPr>
          <w:rFonts w:cs="Arial"/>
          <w:szCs w:val="22"/>
          <w:shd w:val="clear" w:color="auto" w:fill="FFFFFF"/>
        </w:rPr>
        <w:t>’</w:t>
      </w:r>
      <w:r w:rsidR="00F1346D">
        <w:rPr>
          <w:rStyle w:val="FootnoteReference"/>
          <w:rFonts w:cs="Arial"/>
          <w:szCs w:val="22"/>
          <w:shd w:val="clear" w:color="auto" w:fill="FFFFFF"/>
        </w:rPr>
        <w:footnoteReference w:id="179"/>
      </w:r>
      <w:r w:rsidR="00F1346D">
        <w:rPr>
          <w:rFonts w:cs="Arial"/>
          <w:szCs w:val="22"/>
          <w:shd w:val="clear" w:color="auto" w:fill="FFFFFF"/>
        </w:rPr>
        <w:t xml:space="preserve"> or under as former frontier workers,</w:t>
      </w:r>
      <w:r w:rsidR="00F1346D">
        <w:rPr>
          <w:rStyle w:val="FootnoteReference"/>
          <w:rFonts w:cs="Arial"/>
          <w:szCs w:val="22"/>
          <w:shd w:val="clear" w:color="auto" w:fill="FFFFFF"/>
        </w:rPr>
        <w:footnoteReference w:id="180"/>
      </w:r>
      <w:r w:rsidR="00F1346D">
        <w:rPr>
          <w:rFonts w:cs="Arial"/>
          <w:szCs w:val="22"/>
          <w:shd w:val="clear" w:color="auto" w:fill="FFFFFF"/>
        </w:rPr>
        <w:t xml:space="preserve"> or as family members.</w:t>
      </w:r>
      <w:r w:rsidR="00F1346D">
        <w:rPr>
          <w:rStyle w:val="FootnoteReference"/>
          <w:rFonts w:cs="Arial"/>
          <w:szCs w:val="22"/>
          <w:shd w:val="clear" w:color="auto" w:fill="FFFFFF"/>
        </w:rPr>
        <w:footnoteReference w:id="181"/>
      </w:r>
    </w:p>
    <w:p w14:paraId="70C0EFCC" w14:textId="423C8738" w:rsidR="00986931" w:rsidRPr="002A68EC" w:rsidRDefault="006F0489" w:rsidP="002A68EC">
      <w:pPr>
        <w:spacing w:after="120"/>
        <w:jc w:val="both"/>
        <w:rPr>
          <w:rFonts w:cs="Arial"/>
          <w:szCs w:val="22"/>
          <w:shd w:val="clear" w:color="auto" w:fill="FFFFFF"/>
        </w:rPr>
      </w:pPr>
      <w:r>
        <w:rPr>
          <w:rFonts w:cs="Arial"/>
          <w:szCs w:val="22"/>
          <w:shd w:val="clear" w:color="auto" w:fill="FFFFFF"/>
        </w:rPr>
        <w:t xml:space="preserve">Article 13 WA permits the limiting of residence rights – much in the same way Directive 2004/38 does. But where a party to the agreement has </w:t>
      </w:r>
      <w:r w:rsidR="00D22EF6">
        <w:rPr>
          <w:rFonts w:cs="Arial"/>
          <w:szCs w:val="22"/>
          <w:shd w:val="clear" w:color="auto" w:fill="FFFFFF"/>
        </w:rPr>
        <w:t xml:space="preserve">chosen </w:t>
      </w:r>
      <w:r>
        <w:rPr>
          <w:rFonts w:cs="Arial"/>
          <w:szCs w:val="22"/>
          <w:shd w:val="clear" w:color="auto" w:fill="FFFFFF"/>
        </w:rPr>
        <w:t>not</w:t>
      </w:r>
      <w:r w:rsidR="00D22EF6">
        <w:rPr>
          <w:rFonts w:cs="Arial"/>
          <w:szCs w:val="22"/>
          <w:shd w:val="clear" w:color="auto" w:fill="FFFFFF"/>
        </w:rPr>
        <w:t xml:space="preserve"> to</w:t>
      </w:r>
      <w:r>
        <w:rPr>
          <w:rFonts w:cs="Arial"/>
          <w:szCs w:val="22"/>
          <w:shd w:val="clear" w:color="auto" w:fill="FFFFFF"/>
        </w:rPr>
        <w:t xml:space="preserve"> exercise those permitted residence limitations, and has granted </w:t>
      </w:r>
      <w:r w:rsidR="00D22EF6">
        <w:rPr>
          <w:rFonts w:cs="Arial"/>
          <w:szCs w:val="22"/>
          <w:shd w:val="clear" w:color="auto" w:fill="FFFFFF"/>
        </w:rPr>
        <w:t xml:space="preserve">legal, autonomous </w:t>
      </w:r>
      <w:r>
        <w:rPr>
          <w:rFonts w:cs="Arial"/>
          <w:szCs w:val="22"/>
          <w:shd w:val="clear" w:color="auto" w:fill="FFFFFF"/>
        </w:rPr>
        <w:t>residence rights, Article 13 WA, like the directive, does not provide a general waiver of equal treatment duties.</w:t>
      </w:r>
      <w:r w:rsidR="00D22EF6">
        <w:rPr>
          <w:rFonts w:cs="Arial"/>
          <w:szCs w:val="22"/>
          <w:shd w:val="clear" w:color="auto" w:fill="FFFFFF"/>
        </w:rPr>
        <w:t xml:space="preserve"> So in creating a duty </w:t>
      </w:r>
      <w:r w:rsidR="00986931" w:rsidRPr="002A68EC">
        <w:rPr>
          <w:rFonts w:cs="Arial"/>
          <w:szCs w:val="22"/>
          <w:shd w:val="clear" w:color="auto" w:fill="FFFFFF"/>
        </w:rPr>
        <w:t xml:space="preserve">to respect EU </w:t>
      </w:r>
      <w:r w:rsidR="00D22EF6">
        <w:rPr>
          <w:rFonts w:cs="Arial"/>
          <w:szCs w:val="22"/>
          <w:shd w:val="clear" w:color="auto" w:fill="FFFFFF"/>
        </w:rPr>
        <w:t xml:space="preserve">non-discrimination </w:t>
      </w:r>
      <w:r w:rsidR="00986931" w:rsidRPr="002A68EC">
        <w:rPr>
          <w:rFonts w:cs="Arial"/>
          <w:szCs w:val="22"/>
          <w:shd w:val="clear" w:color="auto" w:fill="FFFFFF"/>
        </w:rPr>
        <w:t xml:space="preserve">law, </w:t>
      </w:r>
      <w:r w:rsidR="00D22EF6">
        <w:rPr>
          <w:rFonts w:cs="Arial"/>
          <w:szCs w:val="22"/>
          <w:shd w:val="clear" w:color="auto" w:fill="FFFFFF"/>
        </w:rPr>
        <w:t>the Agreement may (perhaps</w:t>
      </w:r>
      <w:r w:rsidR="00986931" w:rsidRPr="002A68EC">
        <w:rPr>
          <w:rFonts w:cs="Arial"/>
          <w:szCs w:val="22"/>
          <w:shd w:val="clear" w:color="auto" w:fill="FFFFFF"/>
        </w:rPr>
        <w:t xml:space="preserve"> counter-intuitively</w:t>
      </w:r>
      <w:r w:rsidR="00D22EF6">
        <w:rPr>
          <w:rFonts w:cs="Arial"/>
          <w:szCs w:val="22"/>
          <w:shd w:val="clear" w:color="auto" w:fill="FFFFFF"/>
        </w:rPr>
        <w:t>)</w:t>
      </w:r>
      <w:r w:rsidR="00986931" w:rsidRPr="002A68EC">
        <w:rPr>
          <w:rFonts w:cs="Arial"/>
          <w:szCs w:val="22"/>
          <w:shd w:val="clear" w:color="auto" w:fill="FFFFFF"/>
        </w:rPr>
        <w:t xml:space="preserve"> involv</w:t>
      </w:r>
      <w:r w:rsidR="00D22EF6">
        <w:rPr>
          <w:rFonts w:cs="Arial"/>
          <w:szCs w:val="22"/>
          <w:shd w:val="clear" w:color="auto" w:fill="FFFFFF"/>
        </w:rPr>
        <w:t>e</w:t>
      </w:r>
      <w:r w:rsidR="00986931" w:rsidRPr="002A68EC">
        <w:rPr>
          <w:rFonts w:cs="Arial"/>
          <w:szCs w:val="22"/>
          <w:shd w:val="clear" w:color="auto" w:fill="FFFFFF"/>
        </w:rPr>
        <w:t xml:space="preserve"> EU bodies in enforcing welfare rights not protected within the Agreement. </w:t>
      </w:r>
      <w:r w:rsidR="00853E90" w:rsidRPr="002A68EC">
        <w:rPr>
          <w:rFonts w:cs="Arial"/>
          <w:szCs w:val="22"/>
          <w:shd w:val="clear" w:color="auto" w:fill="FFFFFF"/>
        </w:rPr>
        <w:t xml:space="preserve">To conclude otherwise </w:t>
      </w:r>
      <w:r w:rsidR="00986931" w:rsidRPr="002A68EC">
        <w:rPr>
          <w:rFonts w:cs="Arial"/>
          <w:szCs w:val="22"/>
          <w:shd w:val="clear" w:color="auto" w:fill="FFFFFF"/>
        </w:rPr>
        <w:t xml:space="preserve">would in itself </w:t>
      </w:r>
      <w:r w:rsidR="00853E90" w:rsidRPr="002A68EC">
        <w:rPr>
          <w:rFonts w:cs="Arial"/>
          <w:szCs w:val="22"/>
          <w:shd w:val="clear" w:color="auto" w:fill="FFFFFF"/>
        </w:rPr>
        <w:t>reveal something</w:t>
      </w:r>
      <w:r w:rsidR="00986F32" w:rsidRPr="002A68EC">
        <w:rPr>
          <w:rFonts w:cs="Arial"/>
          <w:szCs w:val="22"/>
          <w:shd w:val="clear" w:color="auto" w:fill="FFFFFF"/>
        </w:rPr>
        <w:t xml:space="preserve"> about the limited scope of the citizens’ rights provisions in the A</w:t>
      </w:r>
      <w:r w:rsidR="00704BA3" w:rsidRPr="002A68EC">
        <w:rPr>
          <w:rFonts w:cs="Arial"/>
          <w:szCs w:val="22"/>
          <w:shd w:val="clear" w:color="auto" w:fill="FFFFFF"/>
        </w:rPr>
        <w:t>greement. L</w:t>
      </w:r>
      <w:r w:rsidR="00986F32" w:rsidRPr="002A68EC">
        <w:rPr>
          <w:rFonts w:cs="Arial"/>
          <w:szCs w:val="22"/>
          <w:shd w:val="clear" w:color="auto" w:fill="FFFFFF"/>
        </w:rPr>
        <w:t xml:space="preserve">oss of the </w:t>
      </w:r>
      <w:r w:rsidR="00986931" w:rsidRPr="002A68EC">
        <w:rPr>
          <w:rFonts w:cs="Arial"/>
          <w:szCs w:val="22"/>
          <w:shd w:val="clear" w:color="auto" w:fill="FFFFFF"/>
        </w:rPr>
        <w:t xml:space="preserve">full </w:t>
      </w:r>
      <w:r w:rsidR="00986F32" w:rsidRPr="002A68EC">
        <w:rPr>
          <w:rFonts w:cs="Arial"/>
          <w:szCs w:val="22"/>
          <w:shd w:val="clear" w:color="auto" w:fill="FFFFFF"/>
        </w:rPr>
        <w:t xml:space="preserve">protection of </w:t>
      </w:r>
      <w:r w:rsidR="00D22EF6">
        <w:rPr>
          <w:rFonts w:cs="Arial"/>
          <w:szCs w:val="22"/>
          <w:shd w:val="clear" w:color="auto" w:fill="FFFFFF"/>
        </w:rPr>
        <w:t xml:space="preserve">the effects of </w:t>
      </w:r>
      <w:r w:rsidR="00986F32" w:rsidRPr="002A68EC">
        <w:rPr>
          <w:rFonts w:cs="Arial"/>
          <w:szCs w:val="22"/>
          <w:shd w:val="clear" w:color="auto" w:fill="FFFFFF"/>
        </w:rPr>
        <w:t xml:space="preserve">Article 18 TFEU </w:t>
      </w:r>
      <w:r w:rsidR="00986931" w:rsidRPr="002A68EC">
        <w:rPr>
          <w:rFonts w:cs="Arial"/>
          <w:szCs w:val="22"/>
          <w:shd w:val="clear" w:color="auto" w:fill="FFFFFF"/>
        </w:rPr>
        <w:t xml:space="preserve">would be a </w:t>
      </w:r>
      <w:r w:rsidR="00986F32" w:rsidRPr="002A68EC">
        <w:rPr>
          <w:rFonts w:cs="Arial"/>
          <w:szCs w:val="22"/>
          <w:shd w:val="clear" w:color="auto" w:fill="FFFFFF"/>
        </w:rPr>
        <w:t>significant</w:t>
      </w:r>
      <w:r w:rsidR="00986931" w:rsidRPr="002A68EC">
        <w:rPr>
          <w:rFonts w:cs="Arial"/>
          <w:szCs w:val="22"/>
          <w:shd w:val="clear" w:color="auto" w:fill="FFFFFF"/>
        </w:rPr>
        <w:t xml:space="preserve"> detriment – and one that would belie claims that both sides to the negotiation sought to preserve </w:t>
      </w:r>
      <w:r w:rsidR="00704BA3" w:rsidRPr="002A68EC">
        <w:rPr>
          <w:rFonts w:cs="Arial"/>
          <w:szCs w:val="22"/>
          <w:shd w:val="clear" w:color="auto" w:fill="FFFFFF"/>
        </w:rPr>
        <w:t>t</w:t>
      </w:r>
      <w:r w:rsidR="00986931" w:rsidRPr="002A68EC">
        <w:rPr>
          <w:rFonts w:cs="Arial"/>
          <w:szCs w:val="22"/>
          <w:shd w:val="clear" w:color="auto" w:fill="FFFFFF"/>
        </w:rPr>
        <w:t xml:space="preserve">he rights </w:t>
      </w:r>
      <w:r w:rsidR="00704BA3" w:rsidRPr="002A68EC">
        <w:rPr>
          <w:rFonts w:cs="Arial"/>
          <w:szCs w:val="22"/>
          <w:shd w:val="clear" w:color="auto" w:fill="FFFFFF"/>
        </w:rPr>
        <w:t>that</w:t>
      </w:r>
      <w:r w:rsidR="00986931" w:rsidRPr="002A68EC">
        <w:rPr>
          <w:rFonts w:cs="Arial"/>
          <w:szCs w:val="22"/>
          <w:shd w:val="clear" w:color="auto" w:fill="FFFFFF"/>
        </w:rPr>
        <w:t xml:space="preserve"> Union citizens resident in the UK enjoy as a result of free movement. </w:t>
      </w:r>
      <w:r w:rsidR="00704BA3" w:rsidRPr="002A68EC">
        <w:rPr>
          <w:rFonts w:cs="Arial"/>
          <w:szCs w:val="22"/>
          <w:shd w:val="clear" w:color="auto" w:fill="FFFFFF"/>
        </w:rPr>
        <w:t>We</w:t>
      </w:r>
      <w:r w:rsidR="00AC01E1" w:rsidRPr="002A68EC">
        <w:rPr>
          <w:rFonts w:cs="Arial"/>
          <w:szCs w:val="22"/>
          <w:shd w:val="clear" w:color="auto" w:fill="FFFFFF"/>
        </w:rPr>
        <w:t xml:space="preserve"> might find ourselves back with the problems created by the negotiating team</w:t>
      </w:r>
      <w:r w:rsidR="00704BA3" w:rsidRPr="002A68EC">
        <w:rPr>
          <w:rFonts w:cs="Arial"/>
          <w:szCs w:val="22"/>
          <w:shd w:val="clear" w:color="auto" w:fill="FFFFFF"/>
        </w:rPr>
        <w:t>s’</w:t>
      </w:r>
      <w:r w:rsidR="00AC01E1" w:rsidRPr="002A68EC">
        <w:rPr>
          <w:rFonts w:cs="Arial"/>
          <w:szCs w:val="22"/>
          <w:shd w:val="clear" w:color="auto" w:fill="FFFFFF"/>
        </w:rPr>
        <w:t xml:space="preserve"> heavy reliance upon secondary legislation and the emphasis on limitations and conditions.</w:t>
      </w:r>
    </w:p>
    <w:p w14:paraId="3C8E8EE1" w14:textId="6ED1DA9D" w:rsidR="0087418A" w:rsidRPr="002A68EC" w:rsidRDefault="00FC68C4" w:rsidP="002A68EC">
      <w:pPr>
        <w:spacing w:after="120"/>
        <w:ind w:right="-52"/>
        <w:jc w:val="both"/>
        <w:rPr>
          <w:rFonts w:cs="Calibri"/>
          <w:i/>
          <w:iCs/>
        </w:rPr>
      </w:pPr>
      <w:r w:rsidRPr="002A68EC">
        <w:rPr>
          <w:rFonts w:cs="Arial"/>
          <w:i/>
          <w:iCs/>
          <w:szCs w:val="22"/>
          <w:shd w:val="clear" w:color="auto" w:fill="FFFFFF"/>
        </w:rPr>
        <w:t xml:space="preserve"> </w:t>
      </w:r>
    </w:p>
    <w:p w14:paraId="48BEC706" w14:textId="3D4CE232" w:rsidR="00FA4184" w:rsidRPr="002A68EC" w:rsidRDefault="00E00181" w:rsidP="002A68EC">
      <w:pPr>
        <w:pStyle w:val="Heading2"/>
        <w:spacing w:before="0" w:after="120"/>
        <w:jc w:val="both"/>
        <w:rPr>
          <w:rFonts w:ascii="Times New Roman" w:hAnsi="Times New Roman"/>
          <w:b/>
          <w:bCs/>
          <w:i/>
          <w:iCs/>
          <w:color w:val="auto"/>
          <w:sz w:val="24"/>
        </w:rPr>
      </w:pPr>
      <w:r w:rsidRPr="002A68EC">
        <w:rPr>
          <w:rFonts w:ascii="Times New Roman" w:hAnsi="Times New Roman"/>
          <w:b/>
          <w:bCs/>
          <w:color w:val="auto"/>
          <w:sz w:val="24"/>
        </w:rPr>
        <w:t>6</w:t>
      </w:r>
      <w:r w:rsidR="00F47031" w:rsidRPr="002A68EC">
        <w:rPr>
          <w:rFonts w:ascii="Times New Roman" w:hAnsi="Times New Roman"/>
          <w:b/>
          <w:bCs/>
          <w:color w:val="auto"/>
          <w:sz w:val="24"/>
        </w:rPr>
        <w:t xml:space="preserve">. </w:t>
      </w:r>
      <w:r w:rsidR="0087418A" w:rsidRPr="002A68EC">
        <w:rPr>
          <w:rFonts w:ascii="Times New Roman" w:hAnsi="Times New Roman"/>
          <w:b/>
          <w:bCs/>
          <w:color w:val="auto"/>
          <w:sz w:val="24"/>
        </w:rPr>
        <w:t>Conclusion</w:t>
      </w:r>
      <w:r w:rsidR="00FA4184" w:rsidRPr="002A68EC">
        <w:rPr>
          <w:rFonts w:ascii="Times New Roman" w:hAnsi="Times New Roman"/>
          <w:b/>
          <w:bCs/>
          <w:i/>
          <w:iCs/>
          <w:color w:val="auto"/>
          <w:sz w:val="24"/>
        </w:rPr>
        <w:tab/>
      </w:r>
    </w:p>
    <w:p w14:paraId="1EF3915A" w14:textId="1C52FEEB" w:rsidR="008C746C" w:rsidRPr="002A68EC" w:rsidRDefault="00192925" w:rsidP="002A68EC">
      <w:pPr>
        <w:shd w:val="clear" w:color="auto" w:fill="FFFFFF"/>
        <w:spacing w:after="120"/>
        <w:ind w:right="-52"/>
        <w:jc w:val="both"/>
        <w:rPr>
          <w:rFonts w:cs="Calibri"/>
        </w:rPr>
      </w:pPr>
      <w:r w:rsidRPr="002A68EC">
        <w:rPr>
          <w:rFonts w:cs="Calibri"/>
        </w:rPr>
        <w:t>The gaps in the</w:t>
      </w:r>
      <w:r w:rsidR="00F82EB3" w:rsidRPr="002A68EC">
        <w:rPr>
          <w:rFonts w:cs="Calibri"/>
        </w:rPr>
        <w:t xml:space="preserve"> post-referendum</w:t>
      </w:r>
      <w:r w:rsidRPr="002A68EC">
        <w:rPr>
          <w:rFonts w:cs="Calibri"/>
        </w:rPr>
        <w:t xml:space="preserve"> offers made to EU </w:t>
      </w:r>
      <w:r w:rsidR="001F1986" w:rsidRPr="002A68EC">
        <w:rPr>
          <w:rFonts w:cs="Calibri"/>
        </w:rPr>
        <w:t>citizens</w:t>
      </w:r>
      <w:r w:rsidRPr="002A68EC">
        <w:rPr>
          <w:rFonts w:cs="Calibri"/>
        </w:rPr>
        <w:t xml:space="preserve"> resident in the UK, the continued uncertainty, the inevitability of frictional injustice</w:t>
      </w:r>
      <w:r w:rsidR="00D9199C" w:rsidRPr="002A68EC">
        <w:rPr>
          <w:rFonts w:cs="Calibri"/>
        </w:rPr>
        <w:t xml:space="preserve">, </w:t>
      </w:r>
      <w:r w:rsidRPr="002A68EC">
        <w:rPr>
          <w:rFonts w:cs="Calibri"/>
        </w:rPr>
        <w:t>and the ready dismantling of rights all make for a dispiriting reflection upon the</w:t>
      </w:r>
      <w:r w:rsidR="007F748D" w:rsidRPr="002A68EC">
        <w:rPr>
          <w:rFonts w:cs="Calibri"/>
        </w:rPr>
        <w:t xml:space="preserve"> strength and meaning of EU citizenship in a withdrawing territory. </w:t>
      </w:r>
      <w:r w:rsidRPr="002A68EC">
        <w:rPr>
          <w:rFonts w:cs="Calibri"/>
        </w:rPr>
        <w:t xml:space="preserve">Where EU </w:t>
      </w:r>
      <w:r w:rsidR="00F82EB3" w:rsidRPr="002A68EC">
        <w:rPr>
          <w:rFonts w:cs="Calibri"/>
        </w:rPr>
        <w:t>citizens</w:t>
      </w:r>
      <w:r w:rsidRPr="002A68EC">
        <w:rPr>
          <w:rFonts w:cs="Calibri"/>
        </w:rPr>
        <w:t xml:space="preserve"> have</w:t>
      </w:r>
      <w:r w:rsidR="002C07CB" w:rsidRPr="002A68EC">
        <w:rPr>
          <w:rFonts w:cs="Calibri"/>
        </w:rPr>
        <w:t xml:space="preserve"> moved across borders,</w:t>
      </w:r>
      <w:r w:rsidRPr="002A68EC">
        <w:rPr>
          <w:rFonts w:cs="Calibri"/>
        </w:rPr>
        <w:t xml:space="preserve"> exercis</w:t>
      </w:r>
      <w:r w:rsidR="002C07CB" w:rsidRPr="002A68EC">
        <w:rPr>
          <w:rFonts w:cs="Calibri"/>
        </w:rPr>
        <w:t>ing</w:t>
      </w:r>
      <w:r w:rsidRPr="002A68EC">
        <w:rPr>
          <w:rFonts w:cs="Calibri"/>
        </w:rPr>
        <w:t xml:space="preserve"> the primary right attached </w:t>
      </w:r>
      <w:r w:rsidRPr="002A68EC">
        <w:rPr>
          <w:rFonts w:cs="Calibri"/>
        </w:rPr>
        <w:lastRenderedPageBreak/>
        <w:t xml:space="preserve">to their </w:t>
      </w:r>
      <w:r w:rsidR="00D9199C" w:rsidRPr="002A68EC">
        <w:rPr>
          <w:rFonts w:cs="Calibri"/>
        </w:rPr>
        <w:t>“</w:t>
      </w:r>
      <w:r w:rsidRPr="002A68EC">
        <w:rPr>
          <w:rFonts w:cs="Calibri"/>
        </w:rPr>
        <w:t xml:space="preserve">fundamental </w:t>
      </w:r>
      <w:r w:rsidR="00D9199C" w:rsidRPr="002A68EC">
        <w:rPr>
          <w:rFonts w:cs="Calibri"/>
        </w:rPr>
        <w:t>status”</w:t>
      </w:r>
      <w:r w:rsidR="002C07CB" w:rsidRPr="002A68EC">
        <w:rPr>
          <w:rFonts w:cs="Calibri"/>
        </w:rPr>
        <w:t xml:space="preserve">, and </w:t>
      </w:r>
      <w:r w:rsidR="00F82EB3" w:rsidRPr="002A68EC">
        <w:rPr>
          <w:rFonts w:cs="Calibri"/>
        </w:rPr>
        <w:t xml:space="preserve">have </w:t>
      </w:r>
      <w:r w:rsidR="002C07CB" w:rsidRPr="002A68EC">
        <w:rPr>
          <w:rFonts w:cs="Calibri"/>
        </w:rPr>
        <w:t xml:space="preserve">become integrated, giving </w:t>
      </w:r>
      <w:r w:rsidRPr="002A68EC">
        <w:rPr>
          <w:rFonts w:cs="Calibri"/>
        </w:rPr>
        <w:t xml:space="preserve">effect to the </w:t>
      </w:r>
      <w:r w:rsidR="00D9199C" w:rsidRPr="002A68EC">
        <w:rPr>
          <w:rFonts w:cs="Calibri"/>
        </w:rPr>
        <w:t>“</w:t>
      </w:r>
      <w:r w:rsidRPr="002A68EC">
        <w:rPr>
          <w:rFonts w:cs="Calibri"/>
        </w:rPr>
        <w:t>underlying logic</w:t>
      </w:r>
      <w:r w:rsidR="00D9199C" w:rsidRPr="002A68EC">
        <w:rPr>
          <w:rFonts w:cs="Calibri"/>
        </w:rPr>
        <w:t>”</w:t>
      </w:r>
      <w:r w:rsidRPr="002A68EC">
        <w:rPr>
          <w:rFonts w:cs="Calibri"/>
        </w:rPr>
        <w:t xml:space="preserve"> of free movement, it turns out that </w:t>
      </w:r>
      <w:r w:rsidR="007F080A" w:rsidRPr="002A68EC">
        <w:rPr>
          <w:rFonts w:cs="Calibri"/>
        </w:rPr>
        <w:t xml:space="preserve">their rights can </w:t>
      </w:r>
      <w:r w:rsidR="00F82EB3" w:rsidRPr="002A68EC">
        <w:rPr>
          <w:rFonts w:cs="Calibri"/>
        </w:rPr>
        <w:t xml:space="preserve">still </w:t>
      </w:r>
      <w:r w:rsidR="007F080A" w:rsidRPr="002A68EC">
        <w:rPr>
          <w:rFonts w:cs="Calibri"/>
        </w:rPr>
        <w:t>be switched off in an instant</w:t>
      </w:r>
      <w:r w:rsidRPr="002A68EC">
        <w:rPr>
          <w:rFonts w:cs="Calibri"/>
        </w:rPr>
        <w:t xml:space="preserve">.  </w:t>
      </w:r>
    </w:p>
    <w:p w14:paraId="69148C59" w14:textId="14C7FDFC" w:rsidR="00AC5451" w:rsidRPr="002A68EC" w:rsidRDefault="002C07CB" w:rsidP="002A68EC">
      <w:pPr>
        <w:shd w:val="clear" w:color="auto" w:fill="FFFFFF"/>
        <w:spacing w:after="120"/>
        <w:ind w:right="-52"/>
        <w:jc w:val="both"/>
        <w:rPr>
          <w:rFonts w:cs="Calibri"/>
        </w:rPr>
      </w:pPr>
      <w:r w:rsidRPr="002A68EC">
        <w:rPr>
          <w:rFonts w:cs="Calibri"/>
        </w:rPr>
        <w:t>Leading voices of the ‘Leave’ campaign</w:t>
      </w:r>
      <w:r w:rsidR="00714C18" w:rsidRPr="002A68EC">
        <w:rPr>
          <w:rFonts w:cs="Calibri"/>
        </w:rPr>
        <w:t xml:space="preserve"> in the UK</w:t>
      </w:r>
      <w:r w:rsidRPr="002A68EC">
        <w:rPr>
          <w:rFonts w:cs="Calibri"/>
        </w:rPr>
        <w:t xml:space="preserve">, </w:t>
      </w:r>
      <w:r w:rsidR="008C746C" w:rsidRPr="002A68EC">
        <w:rPr>
          <w:rFonts w:cs="Calibri"/>
        </w:rPr>
        <w:t xml:space="preserve">Michael Gove, Boris Johnson, Gisela Stuart and Priti Patel issued a joint statement </w:t>
      </w:r>
      <w:r w:rsidR="00D11A85" w:rsidRPr="002A68EC">
        <w:rPr>
          <w:rFonts w:cs="Calibri"/>
        </w:rPr>
        <w:t>before the referendum</w:t>
      </w:r>
      <w:r w:rsidR="008C746C" w:rsidRPr="002A68EC">
        <w:rPr>
          <w:rFonts w:cs="Calibri"/>
        </w:rPr>
        <w:t xml:space="preserve"> that </w:t>
      </w:r>
      <w:r w:rsidR="00265E99" w:rsidRPr="002A68EC">
        <w:rPr>
          <w:rFonts w:cs="Calibri"/>
        </w:rPr>
        <w:t>“</w:t>
      </w:r>
      <w:r w:rsidR="008C746C" w:rsidRPr="002A68EC">
        <w:rPr>
          <w:rFonts w:cs="Calibri"/>
        </w:rPr>
        <w:t>EU citizens already lawfully resident in the UK… will automatically be granted indefinite leave to remain in the UK and will be treated no less favourably than they are at present</w:t>
      </w:r>
      <w:r w:rsidR="00265E99" w:rsidRPr="002A68EC">
        <w:rPr>
          <w:rFonts w:cs="Calibri"/>
        </w:rPr>
        <w:t>”</w:t>
      </w:r>
      <w:r w:rsidR="008C746C" w:rsidRPr="002A68EC">
        <w:rPr>
          <w:rFonts w:cs="Calibri"/>
        </w:rPr>
        <w:t>.</w:t>
      </w:r>
      <w:r w:rsidR="00265E99" w:rsidRPr="002A68EC">
        <w:rPr>
          <w:rStyle w:val="FootnoteReference"/>
          <w:rFonts w:cs="Calibri"/>
        </w:rPr>
        <w:footnoteReference w:id="182"/>
      </w:r>
      <w:r w:rsidR="00192925" w:rsidRPr="002A68EC">
        <w:rPr>
          <w:rFonts w:cs="Calibri"/>
        </w:rPr>
        <w:t xml:space="preserve"> This has patently not come to pass. The UK government </w:t>
      </w:r>
      <w:r w:rsidR="00714C18" w:rsidRPr="002A68EC">
        <w:rPr>
          <w:rFonts w:cs="Calibri"/>
        </w:rPr>
        <w:t xml:space="preserve">were evasive on EU citizens’ rights for </w:t>
      </w:r>
      <w:r w:rsidR="00192925" w:rsidRPr="002A68EC">
        <w:rPr>
          <w:rFonts w:cs="Calibri"/>
        </w:rPr>
        <w:t>two years, and the shortcomings in the new scheme are perhaps unsurprising</w:t>
      </w:r>
      <w:r w:rsidR="000A0D04" w:rsidRPr="002A68EC">
        <w:rPr>
          <w:rFonts w:cs="Calibri"/>
        </w:rPr>
        <w:t>;</w:t>
      </w:r>
      <w:r w:rsidRPr="002A68EC">
        <w:rPr>
          <w:rFonts w:cs="Calibri"/>
        </w:rPr>
        <w:t xml:space="preserve"> </w:t>
      </w:r>
      <w:r w:rsidR="00192925" w:rsidRPr="002A68EC">
        <w:rPr>
          <w:rFonts w:cs="Calibri"/>
        </w:rPr>
        <w:t xml:space="preserve">the UK has form for rights-restriction when it comes to EU nationals. But the </w:t>
      </w:r>
      <w:r w:rsidR="00CA57EF" w:rsidRPr="002A68EC">
        <w:rPr>
          <w:rFonts w:cs="Calibri"/>
        </w:rPr>
        <w:t>readiness</w:t>
      </w:r>
      <w:r w:rsidR="00192925" w:rsidRPr="002A68EC">
        <w:rPr>
          <w:rFonts w:cs="Calibri"/>
        </w:rPr>
        <w:t xml:space="preserve"> of the EU’s negotiating team, to </w:t>
      </w:r>
      <w:r w:rsidR="00CA57EF" w:rsidRPr="002A68EC">
        <w:rPr>
          <w:rFonts w:cs="Calibri"/>
        </w:rPr>
        <w:t xml:space="preserve">accept </w:t>
      </w:r>
      <w:r w:rsidR="00192925" w:rsidRPr="002A68EC">
        <w:rPr>
          <w:rFonts w:cs="Calibri"/>
        </w:rPr>
        <w:t xml:space="preserve">a highly exclusionary agreement that would disentitle hundreds of thousands of EU migrants – immediately, or further down the line – is more revealing. </w:t>
      </w:r>
      <w:r w:rsidR="00225B19" w:rsidRPr="002A68EC">
        <w:rPr>
          <w:rFonts w:cs="Calibri"/>
        </w:rPr>
        <w:t>The Withdrawal Agreement reproduces the gender, child, and disability gaps in the existing free movement framework,</w:t>
      </w:r>
      <w:r w:rsidR="008F3496" w:rsidRPr="002A68EC">
        <w:rPr>
          <w:rFonts w:cs="Calibri"/>
        </w:rPr>
        <w:t xml:space="preserve"> as argued in section 2,</w:t>
      </w:r>
      <w:r w:rsidR="00225B19" w:rsidRPr="002A68EC">
        <w:rPr>
          <w:rFonts w:cs="Calibri"/>
        </w:rPr>
        <w:t xml:space="preserve"> except it makes them starker, by all-but disregarding considerations of proportionalit</w:t>
      </w:r>
      <w:r w:rsidR="00CA57EF" w:rsidRPr="002A68EC">
        <w:rPr>
          <w:rFonts w:cs="Calibri"/>
        </w:rPr>
        <w:t>y</w:t>
      </w:r>
      <w:r w:rsidR="00225B19" w:rsidRPr="002A68EC">
        <w:rPr>
          <w:rFonts w:cs="Calibri"/>
        </w:rPr>
        <w:t xml:space="preserve">. </w:t>
      </w:r>
      <w:r w:rsidR="00714C18" w:rsidRPr="002A68EC">
        <w:rPr>
          <w:rFonts w:cs="Calibri"/>
        </w:rPr>
        <w:t>With one limited exception, t</w:t>
      </w:r>
      <w:r w:rsidR="00225B19" w:rsidRPr="002A68EC">
        <w:rPr>
          <w:rFonts w:cs="Calibri"/>
        </w:rPr>
        <w:t>hose not on, or not closely conforming to the</w:t>
      </w:r>
      <w:r w:rsidR="00714C18" w:rsidRPr="002A68EC">
        <w:rPr>
          <w:rFonts w:cs="Calibri"/>
        </w:rPr>
        <w:t xml:space="preserve"> Directive’s requirements </w:t>
      </w:r>
      <w:r w:rsidR="00F82EB3" w:rsidRPr="002A68EC">
        <w:rPr>
          <w:rFonts w:cs="Calibri"/>
        </w:rPr>
        <w:t xml:space="preserve">– </w:t>
      </w:r>
      <w:r w:rsidR="00225B19" w:rsidRPr="002A68EC">
        <w:rPr>
          <w:rFonts w:cs="Calibri"/>
        </w:rPr>
        <w:t xml:space="preserve"> women with sick babies, children estranged from their parents, people with punctuated work histories – w</w:t>
      </w:r>
      <w:r w:rsidR="00F47031" w:rsidRPr="002A68EC">
        <w:rPr>
          <w:rFonts w:cs="Calibri"/>
        </w:rPr>
        <w:t>ould</w:t>
      </w:r>
      <w:r w:rsidR="00225B19" w:rsidRPr="002A68EC">
        <w:rPr>
          <w:rFonts w:cs="Calibri"/>
        </w:rPr>
        <w:t xml:space="preserve"> be susceptible to removal. </w:t>
      </w:r>
      <w:r w:rsidR="00AC5451" w:rsidRPr="002A68EC">
        <w:rPr>
          <w:rFonts w:cs="Calibri"/>
        </w:rPr>
        <w:t xml:space="preserve">The Public Interest Law Centre has commented that </w:t>
      </w:r>
      <w:r w:rsidR="001F1986" w:rsidRPr="002A68EC">
        <w:rPr>
          <w:rFonts w:cs="Calibri"/>
        </w:rPr>
        <w:t>“</w:t>
      </w:r>
      <w:r w:rsidR="00AC5451" w:rsidRPr="002A68EC">
        <w:rPr>
          <w:rFonts w:cs="Calibri"/>
        </w:rPr>
        <w:t>The ‘deportability’ of all EU nationals living in the UK</w:t>
      </w:r>
      <w:r w:rsidR="00F82EB3" w:rsidRPr="002A68EC">
        <w:rPr>
          <w:rFonts w:cs="Calibri"/>
        </w:rPr>
        <w:t xml:space="preserve"> – </w:t>
      </w:r>
      <w:r w:rsidR="00AC5451" w:rsidRPr="002A68EC">
        <w:rPr>
          <w:rFonts w:cs="Calibri"/>
        </w:rPr>
        <w:t>but particularly those who fail to acquire pre-settled or settled status before the end of this year</w:t>
      </w:r>
      <w:r w:rsidR="00F82EB3" w:rsidRPr="002A68EC">
        <w:rPr>
          <w:rFonts w:cs="Calibri"/>
        </w:rPr>
        <w:t xml:space="preserve"> – </w:t>
      </w:r>
      <w:r w:rsidR="00AC5451" w:rsidRPr="002A68EC">
        <w:rPr>
          <w:rFonts w:cs="Calibri"/>
        </w:rPr>
        <w:t>will increase markedly in 2021</w:t>
      </w:r>
      <w:r w:rsidR="001F1986" w:rsidRPr="002A68EC">
        <w:rPr>
          <w:rFonts w:cs="Calibri"/>
        </w:rPr>
        <w:t>”</w:t>
      </w:r>
      <w:r w:rsidR="00AC5451" w:rsidRPr="002A68EC">
        <w:rPr>
          <w:rFonts w:cs="Calibri"/>
        </w:rPr>
        <w:t>.</w:t>
      </w:r>
      <w:r w:rsidR="00AC5451" w:rsidRPr="002A68EC">
        <w:rPr>
          <w:rStyle w:val="FootnoteReference"/>
          <w:rFonts w:cs="Calibri"/>
        </w:rPr>
        <w:footnoteReference w:id="183"/>
      </w:r>
      <w:r w:rsidR="004A1488" w:rsidRPr="002A68EC">
        <w:rPr>
          <w:rFonts w:cs="Calibri"/>
        </w:rPr>
        <w:t xml:space="preserve"> It is surprising, and disappointing, that the EU negotiating team, and the EU 27, did not push for more/all of the EU citizens in the UK falling within Article 10 WA to be covered in the residence rights under Article 13. </w:t>
      </w:r>
    </w:p>
    <w:p w14:paraId="7745A945" w14:textId="15C6B7F9" w:rsidR="008C746C" w:rsidRPr="002A68EC" w:rsidRDefault="00714C18" w:rsidP="002A68EC">
      <w:pPr>
        <w:shd w:val="clear" w:color="auto" w:fill="FFFFFF"/>
        <w:spacing w:after="120"/>
        <w:ind w:right="-52"/>
        <w:jc w:val="both"/>
        <w:rPr>
          <w:rFonts w:cs="Calibri"/>
          <w:lang w:val="en-US"/>
        </w:rPr>
      </w:pPr>
      <w:r w:rsidRPr="002A68EC">
        <w:rPr>
          <w:rFonts w:cs="Calibri"/>
        </w:rPr>
        <w:t xml:space="preserve">This abandonment of thousands of EU citizens is made all the more dramatic thanks to the sudden shift to </w:t>
      </w:r>
      <w:r w:rsidRPr="002A68EC">
        <w:rPr>
          <w:rFonts w:cs="Calibri"/>
          <w:i/>
          <w:iCs/>
        </w:rPr>
        <w:t>constitutive</w:t>
      </w:r>
      <w:r w:rsidRPr="002A68EC">
        <w:rPr>
          <w:rFonts w:cs="Calibri"/>
        </w:rPr>
        <w:t xml:space="preserve"> rights</w:t>
      </w:r>
      <w:r w:rsidR="008F3496" w:rsidRPr="002A68EC">
        <w:rPr>
          <w:rFonts w:cs="Calibri"/>
        </w:rPr>
        <w:t xml:space="preserve"> analysed in section 3</w:t>
      </w:r>
      <w:r w:rsidR="00DE317A" w:rsidRPr="002A68EC">
        <w:rPr>
          <w:rFonts w:cs="Calibri"/>
        </w:rPr>
        <w:t xml:space="preserve">. The Agreement allows (and the UK scheme requires) </w:t>
      </w:r>
      <w:r w:rsidR="00C5473E" w:rsidRPr="002A68EC">
        <w:rPr>
          <w:rFonts w:cs="Calibri"/>
          <w:lang w:val="en-US"/>
        </w:rPr>
        <w:t xml:space="preserve">cliff-edge deadlines </w:t>
      </w:r>
      <w:r w:rsidR="00DE317A" w:rsidRPr="002A68EC">
        <w:rPr>
          <w:rFonts w:cs="Calibri"/>
          <w:lang w:val="en-US"/>
        </w:rPr>
        <w:t xml:space="preserve">in which </w:t>
      </w:r>
      <w:r w:rsidR="00C5473E" w:rsidRPr="002A68EC">
        <w:rPr>
          <w:rFonts w:cs="Calibri"/>
          <w:lang w:val="en-US"/>
        </w:rPr>
        <w:t xml:space="preserve">the act of registration </w:t>
      </w:r>
      <w:r w:rsidR="00DE317A" w:rsidRPr="002A68EC">
        <w:rPr>
          <w:rFonts w:cs="Calibri"/>
          <w:lang w:val="en-US"/>
        </w:rPr>
        <w:t xml:space="preserve">by a set point is </w:t>
      </w:r>
      <w:r w:rsidR="00C5473E" w:rsidRPr="002A68EC">
        <w:rPr>
          <w:rFonts w:cs="Calibri"/>
          <w:i/>
          <w:iCs/>
          <w:lang w:val="en-US"/>
        </w:rPr>
        <w:t>constitutive</w:t>
      </w:r>
      <w:r w:rsidR="00C5473E" w:rsidRPr="002A68EC">
        <w:rPr>
          <w:rFonts w:cs="Calibri"/>
          <w:lang w:val="en-US"/>
        </w:rPr>
        <w:t xml:space="preserve"> of the right to stay</w:t>
      </w:r>
      <w:r w:rsidR="00DE317A" w:rsidRPr="002A68EC">
        <w:rPr>
          <w:rFonts w:cs="Calibri"/>
          <w:lang w:val="en-US"/>
        </w:rPr>
        <w:t xml:space="preserve">. Underlying entitlement, by virtue of meeting the substantive conditions, is negated, and rights lost by virtue of failing to comply with administrative requirements by the deadline. This move was </w:t>
      </w:r>
      <w:r w:rsidR="00C5473E" w:rsidRPr="002A68EC">
        <w:rPr>
          <w:rFonts w:cs="Calibri"/>
          <w:lang w:val="en-US"/>
        </w:rPr>
        <w:t>unnecessary</w:t>
      </w:r>
      <w:r w:rsidR="00F47031" w:rsidRPr="002A68EC">
        <w:rPr>
          <w:rFonts w:cs="Calibri"/>
          <w:lang w:val="en-US"/>
        </w:rPr>
        <w:t xml:space="preserve"> and</w:t>
      </w:r>
      <w:r w:rsidR="00C5473E" w:rsidRPr="002A68EC">
        <w:rPr>
          <w:rFonts w:cs="Calibri"/>
          <w:lang w:val="en-US"/>
        </w:rPr>
        <w:t xml:space="preserve"> goes against the spirit of EU law residence rights</w:t>
      </w:r>
      <w:r w:rsidR="00F47031" w:rsidRPr="002A68EC">
        <w:rPr>
          <w:rFonts w:cs="Calibri"/>
          <w:lang w:val="en-US"/>
        </w:rPr>
        <w:t xml:space="preserve">. </w:t>
      </w:r>
      <w:r w:rsidR="00D512AE" w:rsidRPr="002A68EC">
        <w:rPr>
          <w:rFonts w:cs="Calibri"/>
          <w:lang w:val="en-US"/>
        </w:rPr>
        <w:t>Y</w:t>
      </w:r>
      <w:r w:rsidR="00C5473E" w:rsidRPr="002A68EC">
        <w:rPr>
          <w:rFonts w:cs="Calibri"/>
          <w:lang w:val="en-US"/>
        </w:rPr>
        <w:t>ears or decades of integration and contributions can be wiped out – even for those with ‘permanent residence’</w:t>
      </w:r>
      <w:r w:rsidR="00CA57EF" w:rsidRPr="002A68EC">
        <w:rPr>
          <w:rFonts w:cs="Calibri"/>
          <w:lang w:val="en-US"/>
        </w:rPr>
        <w:t xml:space="preserve">, </w:t>
      </w:r>
      <w:r w:rsidR="00CA57EF" w:rsidRPr="002A68EC">
        <w:rPr>
          <w:rFonts w:cs="Calibri"/>
        </w:rPr>
        <w:t xml:space="preserve">entailing a significant disruption </w:t>
      </w:r>
      <w:r w:rsidR="00D512AE" w:rsidRPr="002A68EC">
        <w:rPr>
          <w:rFonts w:cs="Calibri"/>
        </w:rPr>
        <w:t>and a rift in the fabric of Union citizenship</w:t>
      </w:r>
      <w:r w:rsidR="00C5473E" w:rsidRPr="002A68EC">
        <w:rPr>
          <w:rFonts w:cs="Calibri"/>
          <w:lang w:val="en-US"/>
        </w:rPr>
        <w:t xml:space="preserve">. </w:t>
      </w:r>
      <w:r w:rsidR="008F599A" w:rsidRPr="002A68EC">
        <w:rPr>
          <w:rFonts w:cs="Calibri"/>
          <w:lang w:val="en-US"/>
        </w:rPr>
        <w:t xml:space="preserve">It has already been implemented in the UK, and is set to create mass disentitlement overnight – with the most acute impacts on the most vulnerable. </w:t>
      </w:r>
    </w:p>
    <w:p w14:paraId="75DC6664" w14:textId="038C7785" w:rsidR="00271ADD" w:rsidRPr="002A68EC" w:rsidRDefault="00271ADD" w:rsidP="002A68EC">
      <w:pPr>
        <w:shd w:val="clear" w:color="auto" w:fill="FFFFFF"/>
        <w:spacing w:after="120"/>
        <w:ind w:right="-52"/>
        <w:jc w:val="both"/>
        <w:rPr>
          <w:rFonts w:cs="Calibri"/>
          <w:lang w:val="en-US"/>
        </w:rPr>
      </w:pPr>
      <w:r w:rsidRPr="002A68EC">
        <w:rPr>
          <w:rFonts w:cs="Calibri"/>
          <w:lang w:val="en-US"/>
        </w:rPr>
        <w:t xml:space="preserve">The constitutive status and its inherent hard deadline is all the more problematic in the context of a new, quickly erected scheme, </w:t>
      </w:r>
      <w:r w:rsidR="00A57CFD" w:rsidRPr="002A68EC">
        <w:rPr>
          <w:rFonts w:cs="Calibri"/>
          <w:lang w:val="en-US"/>
        </w:rPr>
        <w:t>rife with risks of administrative injustice</w:t>
      </w:r>
      <w:r w:rsidR="00F82EB3" w:rsidRPr="002A68EC">
        <w:rPr>
          <w:rFonts w:cs="Calibri"/>
          <w:lang w:val="en-US"/>
        </w:rPr>
        <w:t>,</w:t>
      </w:r>
      <w:r w:rsidRPr="002A68EC">
        <w:rPr>
          <w:rFonts w:cs="Calibri"/>
          <w:lang w:val="en-US"/>
        </w:rPr>
        <w:t xml:space="preserve"> which</w:t>
      </w:r>
      <w:r w:rsidR="008F3496" w:rsidRPr="002A68EC">
        <w:rPr>
          <w:rFonts w:cs="Calibri"/>
          <w:lang w:val="en-US"/>
        </w:rPr>
        <w:t xml:space="preserve"> section 4 noted</w:t>
      </w:r>
      <w:r w:rsidRPr="002A68EC">
        <w:rPr>
          <w:rFonts w:cs="Calibri"/>
          <w:lang w:val="en-US"/>
        </w:rPr>
        <w:t xml:space="preserve"> increase the risks of the vulnerable missing the deadline or getting refused a status, and suffering all of the disadvantages that entails. </w:t>
      </w:r>
      <w:r w:rsidR="00A57CFD" w:rsidRPr="002A68EC">
        <w:rPr>
          <w:rFonts w:cs="Calibri"/>
          <w:lang w:val="en-US"/>
        </w:rPr>
        <w:t>The high degree of automation in the decision</w:t>
      </w:r>
      <w:r w:rsidR="00F05FB4" w:rsidRPr="002A68EC">
        <w:rPr>
          <w:rFonts w:cs="Calibri"/>
          <w:lang w:val="en-US"/>
        </w:rPr>
        <w:t>-</w:t>
      </w:r>
      <w:r w:rsidR="00A57CFD" w:rsidRPr="002A68EC">
        <w:rPr>
          <w:rFonts w:cs="Calibri"/>
          <w:lang w:val="en-US"/>
        </w:rPr>
        <w:t>making process, along with the lack of transparency about how those decisions are reached, raises concerns about accuracy</w:t>
      </w:r>
      <w:r w:rsidRPr="002A68EC">
        <w:rPr>
          <w:rFonts w:cs="Calibri"/>
          <w:lang w:val="en-US"/>
        </w:rPr>
        <w:t xml:space="preserve"> of decision making. But the creation of a parallel but different regime, alongside the Withdrawal Agreement means there is likely to be some confusion over different realms of enforcement. It is not clear whether an award of Settled Status will be treated as equivalent to permanent residence in the Withdrawal Agreement – and if not, that creates significant gatekeeping and evidential problems for potential claimants. </w:t>
      </w:r>
    </w:p>
    <w:p w14:paraId="022F23C4" w14:textId="4652F525" w:rsidR="000D3D78" w:rsidRPr="002A68EC" w:rsidRDefault="00271ADD" w:rsidP="002A68EC">
      <w:pPr>
        <w:shd w:val="clear" w:color="auto" w:fill="FFFFFF"/>
        <w:spacing w:after="120"/>
        <w:ind w:right="-52"/>
        <w:jc w:val="both"/>
        <w:rPr>
          <w:rFonts w:cs="Calibri"/>
          <w:lang w:val="en-US"/>
        </w:rPr>
      </w:pPr>
      <w:r w:rsidRPr="002A68EC">
        <w:rPr>
          <w:rFonts w:cs="Calibri"/>
          <w:lang w:val="en-US"/>
        </w:rPr>
        <w:lastRenderedPageBreak/>
        <w:t>The different schemes (running alongside a third – the new immigration rules for new arrivals post-transition) carry</w:t>
      </w:r>
      <w:r w:rsidR="00A57CFD" w:rsidRPr="002A68EC">
        <w:rPr>
          <w:rFonts w:cs="Calibri"/>
          <w:lang w:val="en-US"/>
        </w:rPr>
        <w:t xml:space="preserve"> different entitlements</w:t>
      </w:r>
      <w:r w:rsidRPr="002A68EC">
        <w:rPr>
          <w:rFonts w:cs="Calibri"/>
          <w:lang w:val="en-US"/>
        </w:rPr>
        <w:t xml:space="preserve"> and conditions, while the EUSS also has multiple routes of claim depending on the type of right relied upon. Adding </w:t>
      </w:r>
      <w:r w:rsidR="00A57CFD" w:rsidRPr="002A68EC">
        <w:rPr>
          <w:rFonts w:cs="Calibri"/>
          <w:lang w:val="en-US"/>
        </w:rPr>
        <w:t>reams of swiftly composed decision-maker guidance</w:t>
      </w:r>
      <w:r w:rsidRPr="002A68EC">
        <w:rPr>
          <w:rFonts w:cs="Calibri"/>
          <w:lang w:val="en-US"/>
        </w:rPr>
        <w:t xml:space="preserve"> into the mix</w:t>
      </w:r>
      <w:r w:rsidR="00A57CFD" w:rsidRPr="002A68EC">
        <w:rPr>
          <w:rFonts w:cs="Calibri"/>
          <w:lang w:val="en-US"/>
        </w:rPr>
        <w:t xml:space="preserve">, </w:t>
      </w:r>
      <w:r w:rsidRPr="002A68EC">
        <w:rPr>
          <w:rFonts w:cs="Calibri"/>
          <w:lang w:val="en-US"/>
        </w:rPr>
        <w:t xml:space="preserve">the schemes </w:t>
      </w:r>
      <w:r w:rsidR="00A57CFD" w:rsidRPr="002A68EC">
        <w:rPr>
          <w:rFonts w:cs="Calibri"/>
          <w:lang w:val="en-US"/>
        </w:rPr>
        <w:t>promise a landscape of administrative confusion, chaos and error. The significant risk of misclassification as pre-settled weighs disproportionately upon vulnerable groups</w:t>
      </w:r>
      <w:r w:rsidRPr="002A68EC">
        <w:rPr>
          <w:rFonts w:cs="Calibri"/>
          <w:lang w:val="en-US"/>
        </w:rPr>
        <w:t xml:space="preserve">. </w:t>
      </w:r>
      <w:r w:rsidR="000D3D78" w:rsidRPr="002A68EC">
        <w:rPr>
          <w:rFonts w:cs="Calibri"/>
          <w:lang w:val="en-US"/>
        </w:rPr>
        <w:t>Acquisition of pre</w:t>
      </w:r>
      <w:r w:rsidR="002D6459" w:rsidRPr="002A68EC">
        <w:rPr>
          <w:rFonts w:cs="Calibri"/>
          <w:lang w:val="en-US"/>
        </w:rPr>
        <w:t>-</w:t>
      </w:r>
      <w:r w:rsidR="000D3D78" w:rsidRPr="002A68EC">
        <w:rPr>
          <w:rFonts w:cs="Calibri"/>
          <w:lang w:val="en-US"/>
        </w:rPr>
        <w:t>settled status is significantly better in the short term than missing the deadline and not securing a status. But it</w:t>
      </w:r>
      <w:r w:rsidR="00A57CFD" w:rsidRPr="002A68EC">
        <w:rPr>
          <w:rFonts w:cs="Calibri"/>
          <w:lang w:val="en-US"/>
        </w:rPr>
        <w:t xml:space="preserve"> </w:t>
      </w:r>
      <w:r w:rsidR="000D3D78" w:rsidRPr="002A68EC">
        <w:rPr>
          <w:rFonts w:cs="Calibri"/>
          <w:lang w:val="en-US"/>
        </w:rPr>
        <w:t xml:space="preserve">only </w:t>
      </w:r>
      <w:r w:rsidR="00A57CFD" w:rsidRPr="002A68EC">
        <w:rPr>
          <w:rFonts w:cs="Calibri"/>
          <w:lang w:val="en-US"/>
        </w:rPr>
        <w:t>delays the cliff-edge deadline</w:t>
      </w:r>
      <w:r w:rsidR="000D3D78" w:rsidRPr="002A68EC">
        <w:rPr>
          <w:rFonts w:cs="Calibri"/>
          <w:lang w:val="en-US"/>
        </w:rPr>
        <w:t xml:space="preserve">, and a lot can go wrong in five years. </w:t>
      </w:r>
      <w:r w:rsidR="001D6135" w:rsidRPr="002A68EC">
        <w:rPr>
          <w:rFonts w:cs="Calibri"/>
          <w:lang w:val="en-US"/>
        </w:rPr>
        <w:t>P</w:t>
      </w:r>
      <w:r w:rsidR="009F2762" w:rsidRPr="002A68EC">
        <w:rPr>
          <w:rFonts w:cs="Calibri"/>
          <w:lang w:val="en-US"/>
        </w:rPr>
        <w:t>eople who become ill or have reduced capacity and become dependent on another</w:t>
      </w:r>
      <w:r w:rsidR="00F82EB3" w:rsidRPr="002A68EC">
        <w:rPr>
          <w:rFonts w:cs="Calibri"/>
          <w:lang w:val="en-US"/>
        </w:rPr>
        <w:t xml:space="preserve">; people who do not understand the need to re-apply; and </w:t>
      </w:r>
      <w:r w:rsidR="009F2762" w:rsidRPr="002A68EC">
        <w:rPr>
          <w:rFonts w:cs="Calibri"/>
          <w:lang w:val="en-US"/>
        </w:rPr>
        <w:t>children whose</w:t>
      </w:r>
      <w:r w:rsidR="00862A4F" w:rsidRPr="002A68EC">
        <w:rPr>
          <w:rFonts w:cs="Calibri"/>
          <w:lang w:val="en-US"/>
        </w:rPr>
        <w:t xml:space="preserve"> primary</w:t>
      </w:r>
      <w:r w:rsidR="009F2762" w:rsidRPr="002A68EC">
        <w:rPr>
          <w:rFonts w:cs="Calibri"/>
          <w:lang w:val="en-US"/>
        </w:rPr>
        <w:t xml:space="preserve"> care</w:t>
      </w:r>
      <w:r w:rsidR="00862A4F" w:rsidRPr="002A68EC">
        <w:rPr>
          <w:rFonts w:cs="Calibri"/>
          <w:lang w:val="en-US"/>
        </w:rPr>
        <w:t>rs</w:t>
      </w:r>
      <w:r w:rsidR="009F2762" w:rsidRPr="002A68EC">
        <w:rPr>
          <w:rFonts w:cs="Calibri"/>
          <w:lang w:val="en-US"/>
        </w:rPr>
        <w:t xml:space="preserve"> change</w:t>
      </w:r>
      <w:r w:rsidR="00F82EB3" w:rsidRPr="002A68EC">
        <w:rPr>
          <w:rFonts w:cs="Calibri"/>
          <w:lang w:val="en-US"/>
        </w:rPr>
        <w:t xml:space="preserve"> – </w:t>
      </w:r>
      <w:r w:rsidR="001D6135" w:rsidRPr="002A68EC">
        <w:rPr>
          <w:rFonts w:cs="Calibri"/>
          <w:lang w:val="en-US"/>
        </w:rPr>
        <w:t>all may fall through the gaps.</w:t>
      </w:r>
      <w:r w:rsidR="00644482" w:rsidRPr="002A68EC">
        <w:rPr>
          <w:rFonts w:cs="Calibri"/>
          <w:lang w:val="en-US"/>
        </w:rPr>
        <w:t xml:space="preserve"> </w:t>
      </w:r>
    </w:p>
    <w:p w14:paraId="6FFE3971" w14:textId="089C1FD8" w:rsidR="00C5473E" w:rsidRPr="002A68EC" w:rsidRDefault="00862A4F" w:rsidP="002A68EC">
      <w:pPr>
        <w:shd w:val="clear" w:color="auto" w:fill="FFFFFF"/>
        <w:spacing w:after="120"/>
        <w:ind w:right="-52"/>
        <w:jc w:val="both"/>
        <w:rPr>
          <w:rFonts w:cs="Calibri"/>
          <w:lang w:val="en-US"/>
        </w:rPr>
      </w:pPr>
      <w:r w:rsidRPr="002A68EC">
        <w:rPr>
          <w:rFonts w:cs="Calibri"/>
          <w:lang w:val="en-US"/>
        </w:rPr>
        <w:t xml:space="preserve">Pre-settled status </w:t>
      </w:r>
      <w:r w:rsidR="00A07CA0" w:rsidRPr="002A68EC">
        <w:rPr>
          <w:rFonts w:cs="Calibri"/>
          <w:lang w:val="en-US"/>
        </w:rPr>
        <w:t xml:space="preserve">also carries inferior rights as regards welfare entitlement. In choosing not to take the option offered in the withdrawal agreement of creating a conditional temporary right to reside, the UK has created an unconditional right to reside - </w:t>
      </w:r>
      <w:r w:rsidRPr="002A68EC">
        <w:rPr>
          <w:rFonts w:cs="Calibri"/>
          <w:lang w:val="en-US"/>
        </w:rPr>
        <w:t>forc</w:t>
      </w:r>
      <w:r w:rsidR="00A07CA0" w:rsidRPr="002A68EC">
        <w:rPr>
          <w:rFonts w:cs="Calibri"/>
          <w:lang w:val="en-US"/>
        </w:rPr>
        <w:t>ing</w:t>
      </w:r>
      <w:r w:rsidRPr="002A68EC">
        <w:rPr>
          <w:rFonts w:cs="Calibri"/>
          <w:lang w:val="en-US"/>
        </w:rPr>
        <w:t xml:space="preserve"> the question</w:t>
      </w:r>
      <w:r w:rsidR="00A07CA0" w:rsidRPr="002A68EC">
        <w:rPr>
          <w:rFonts w:cs="Calibri"/>
          <w:lang w:val="en-US"/>
        </w:rPr>
        <w:t>s</w:t>
      </w:r>
      <w:r w:rsidRPr="002A68EC">
        <w:rPr>
          <w:rFonts w:cs="Calibri"/>
          <w:lang w:val="en-US"/>
        </w:rPr>
        <w:t xml:space="preserve"> of whether </w:t>
      </w:r>
      <w:r w:rsidRPr="002A68EC">
        <w:rPr>
          <w:rFonts w:cs="Calibri"/>
          <w:i/>
          <w:iCs/>
          <w:lang w:val="en-US"/>
        </w:rPr>
        <w:t>Trojani</w:t>
      </w:r>
      <w:r w:rsidRPr="002A68EC">
        <w:rPr>
          <w:rFonts w:cs="Calibri"/>
          <w:lang w:val="en-US"/>
        </w:rPr>
        <w:t xml:space="preserve"> still has any purchase</w:t>
      </w:r>
      <w:r w:rsidR="00A07CA0" w:rsidRPr="002A68EC">
        <w:rPr>
          <w:rFonts w:cs="Calibri"/>
          <w:lang w:val="en-US"/>
        </w:rPr>
        <w:t>; whether pre</w:t>
      </w:r>
      <w:r w:rsidR="002D6459" w:rsidRPr="002A68EC">
        <w:rPr>
          <w:rFonts w:cs="Calibri"/>
          <w:lang w:val="en-US"/>
        </w:rPr>
        <w:t>-</w:t>
      </w:r>
      <w:r w:rsidR="00A07CA0" w:rsidRPr="002A68EC">
        <w:rPr>
          <w:rFonts w:cs="Calibri"/>
          <w:lang w:val="en-US"/>
        </w:rPr>
        <w:t>settled EU nationals can rely on Article 18 TFEU; and whether attaching equal treatment rights with one type of right to reside – always possessed by own nationals, and separating them from another type of right to reside – only possessed by EU/EEA nationals</w:t>
      </w:r>
      <w:r w:rsidR="00F82EB3" w:rsidRPr="002A68EC">
        <w:rPr>
          <w:rFonts w:cs="Calibri"/>
          <w:lang w:val="en-US"/>
        </w:rPr>
        <w:t>,</w:t>
      </w:r>
      <w:r w:rsidR="00A07CA0" w:rsidRPr="002A68EC">
        <w:rPr>
          <w:rFonts w:cs="Calibri"/>
          <w:lang w:val="en-US"/>
        </w:rPr>
        <w:t xml:space="preserve"> is really direct discrimination. </w:t>
      </w:r>
      <w:r w:rsidR="001D6135" w:rsidRPr="002A68EC">
        <w:rPr>
          <w:rFonts w:cs="Calibri"/>
          <w:lang w:val="en-US"/>
        </w:rPr>
        <w:t>This</w:t>
      </w:r>
      <w:r w:rsidRPr="002A68EC">
        <w:rPr>
          <w:rFonts w:cs="Calibri"/>
          <w:lang w:val="en-US"/>
        </w:rPr>
        <w:t xml:space="preserve"> </w:t>
      </w:r>
      <w:r w:rsidR="00A07CA0" w:rsidRPr="002A68EC">
        <w:rPr>
          <w:rFonts w:cs="Calibri"/>
          <w:lang w:val="en-US"/>
        </w:rPr>
        <w:t xml:space="preserve">scenario </w:t>
      </w:r>
      <w:r w:rsidR="001D6135" w:rsidRPr="002A68EC">
        <w:rPr>
          <w:rFonts w:cs="Calibri"/>
          <w:lang w:val="en-US"/>
        </w:rPr>
        <w:t>mak</w:t>
      </w:r>
      <w:r w:rsidR="00644482" w:rsidRPr="002A68EC">
        <w:rPr>
          <w:rFonts w:cs="Calibri"/>
          <w:lang w:val="en-US"/>
        </w:rPr>
        <w:t>es</w:t>
      </w:r>
      <w:r w:rsidR="001D6135" w:rsidRPr="002A68EC">
        <w:rPr>
          <w:rFonts w:cs="Calibri"/>
          <w:lang w:val="en-US"/>
        </w:rPr>
        <w:t xml:space="preserve"> </w:t>
      </w:r>
      <w:r w:rsidRPr="002A68EC">
        <w:rPr>
          <w:rFonts w:cs="Calibri"/>
          <w:lang w:val="en-US"/>
        </w:rPr>
        <w:t xml:space="preserve">it considerably harder to uphold the legal fiction that </w:t>
      </w:r>
      <w:r w:rsidR="00F82EB3" w:rsidRPr="002A68EC">
        <w:rPr>
          <w:rFonts w:cs="Calibri"/>
          <w:lang w:val="en-US"/>
        </w:rPr>
        <w:t>right to reside requirements for accessing benefits are</w:t>
      </w:r>
      <w:r w:rsidRPr="002A68EC">
        <w:rPr>
          <w:rFonts w:cs="Calibri"/>
          <w:lang w:val="en-US"/>
        </w:rPr>
        <w:t xml:space="preserve"> </w:t>
      </w:r>
      <w:r w:rsidRPr="002A68EC">
        <w:rPr>
          <w:rFonts w:cs="Calibri"/>
          <w:i/>
          <w:iCs/>
          <w:lang w:val="en-US"/>
        </w:rPr>
        <w:t>indirect</w:t>
      </w:r>
      <w:r w:rsidR="00F82EB3" w:rsidRPr="002A68EC">
        <w:rPr>
          <w:rFonts w:cs="Calibri"/>
          <w:i/>
          <w:iCs/>
          <w:lang w:val="en-US"/>
        </w:rPr>
        <w:t>ly</w:t>
      </w:r>
      <w:r w:rsidRPr="002A68EC">
        <w:rPr>
          <w:rFonts w:cs="Calibri"/>
          <w:lang w:val="en-US"/>
        </w:rPr>
        <w:t xml:space="preserve"> discrimina</w:t>
      </w:r>
      <w:r w:rsidR="00F82EB3" w:rsidRPr="002A68EC">
        <w:rPr>
          <w:rFonts w:cs="Calibri"/>
          <w:lang w:val="en-US"/>
        </w:rPr>
        <w:t>tory</w:t>
      </w:r>
      <w:r w:rsidR="00F42858" w:rsidRPr="002A68EC">
        <w:rPr>
          <w:rFonts w:cs="Calibri"/>
          <w:lang w:val="en-US"/>
        </w:rPr>
        <w:t>. It</w:t>
      </w:r>
      <w:r w:rsidR="00644482" w:rsidRPr="002A68EC">
        <w:rPr>
          <w:rFonts w:cs="Calibri"/>
          <w:lang w:val="en-US"/>
        </w:rPr>
        <w:t xml:space="preserve"> </w:t>
      </w:r>
      <w:r w:rsidRPr="002A68EC">
        <w:rPr>
          <w:rFonts w:cs="Calibri"/>
          <w:lang w:val="en-US"/>
        </w:rPr>
        <w:t xml:space="preserve">may </w:t>
      </w:r>
      <w:r w:rsidR="00F42858" w:rsidRPr="002A68EC">
        <w:rPr>
          <w:rFonts w:cs="Calibri"/>
          <w:lang w:val="en-US"/>
        </w:rPr>
        <w:t>become</w:t>
      </w:r>
      <w:r w:rsidRPr="002A68EC">
        <w:rPr>
          <w:rFonts w:cs="Calibri"/>
          <w:lang w:val="en-US"/>
        </w:rPr>
        <w:t xml:space="preserve"> necessary to spell out how relatively sanguine the EU courts and legislature really are about </w:t>
      </w:r>
      <w:r w:rsidRPr="002A68EC">
        <w:rPr>
          <w:rFonts w:cs="Calibri"/>
          <w:i/>
          <w:iCs/>
          <w:lang w:val="en-US"/>
        </w:rPr>
        <w:t xml:space="preserve">direct </w:t>
      </w:r>
      <w:r w:rsidRPr="002A68EC">
        <w:rPr>
          <w:rFonts w:cs="Calibri"/>
          <w:lang w:val="en-US"/>
        </w:rPr>
        <w:t>nationality discrimination in the context of welfare, and in so doing face up to the contradictions between theory and reality of equal treatment law enforcement.</w:t>
      </w:r>
      <w:r w:rsidR="00F42858" w:rsidRPr="002A68EC">
        <w:rPr>
          <w:rFonts w:cs="Calibri"/>
          <w:lang w:val="en-US"/>
        </w:rPr>
        <w:t xml:space="preserve"> </w:t>
      </w:r>
      <w:r w:rsidR="00F82EB3" w:rsidRPr="002A68EC">
        <w:rPr>
          <w:rFonts w:cs="Calibri"/>
          <w:lang w:val="en-US"/>
        </w:rPr>
        <w:t>This</w:t>
      </w:r>
      <w:r w:rsidR="00F42858" w:rsidRPr="002A68EC">
        <w:rPr>
          <w:rFonts w:cs="Calibri"/>
          <w:lang w:val="en-US"/>
        </w:rPr>
        <w:t xml:space="preserve"> </w:t>
      </w:r>
      <w:r w:rsidR="00655C33" w:rsidRPr="002A68EC">
        <w:rPr>
          <w:rFonts w:cs="Calibri"/>
          <w:lang w:val="en-US"/>
        </w:rPr>
        <w:t>dispute creates an intriguing route by which EU law may be used to enforce rights for which the EU Withdrawal Agreement does not provide. Moreover, the incorporation of Article 18 TFEU rights and case law into the Withdrawal Agreement suggests that equal treatment rights attached to EU citizenship may continue to have purchase in the UK post-transition. If not, then this in itself could be a salutary lesson on the value of EU citizenship within EU territory</w:t>
      </w:r>
      <w:r w:rsidR="00FC40CD" w:rsidRPr="002A68EC">
        <w:rPr>
          <w:rFonts w:cs="Calibri"/>
          <w:lang w:val="en-US"/>
        </w:rPr>
        <w:t xml:space="preserve"> </w:t>
      </w:r>
      <w:r w:rsidR="00655C33" w:rsidRPr="002A68EC">
        <w:rPr>
          <w:rFonts w:cs="Calibri"/>
          <w:lang w:val="en-US"/>
        </w:rPr>
        <w:t xml:space="preserve">– and the value of what has been lost.  </w:t>
      </w:r>
      <w:r w:rsidRPr="002A68EC">
        <w:rPr>
          <w:rFonts w:cs="Calibri"/>
          <w:lang w:val="en-US"/>
        </w:rPr>
        <w:t xml:space="preserve">   </w:t>
      </w:r>
    </w:p>
    <w:p w14:paraId="51899FEF" w14:textId="3687E265" w:rsidR="00E37988" w:rsidRPr="002A68EC" w:rsidRDefault="008E2837" w:rsidP="002A68EC">
      <w:pPr>
        <w:shd w:val="clear" w:color="auto" w:fill="FFFFFF"/>
        <w:spacing w:after="120"/>
        <w:ind w:right="-52"/>
        <w:jc w:val="both"/>
        <w:rPr>
          <w:rFonts w:cs="Calibri"/>
          <w:lang w:val="en-US"/>
        </w:rPr>
      </w:pPr>
      <w:r w:rsidRPr="002A68EC">
        <w:rPr>
          <w:rFonts w:cs="Calibri"/>
          <w:lang w:val="en-US"/>
        </w:rPr>
        <w:t xml:space="preserve">The lack of safeguards for EU citizens in the event of Brexit highlights a risk few will have contemplated when deciding to exercise free movement rights. The all-too ready dismissal of those who fall through the gaps in Directive 2004/38 is a worrying signal that EU </w:t>
      </w:r>
      <w:r w:rsidR="00553BE2" w:rsidRPr="002A68EC">
        <w:rPr>
          <w:rFonts w:cs="Calibri"/>
          <w:lang w:val="en-US"/>
        </w:rPr>
        <w:t xml:space="preserve">institutions </w:t>
      </w:r>
      <w:r w:rsidRPr="002A68EC">
        <w:rPr>
          <w:rFonts w:cs="Calibri"/>
          <w:lang w:val="en-US"/>
        </w:rPr>
        <w:t>do not consider the status of EU citizenship, acts of integration, or personal circumstances beyond the economic to be legally relevant. Developments regarding rights to stay under the EU and UK schemes</w:t>
      </w:r>
      <w:r w:rsidR="00553BE2" w:rsidRPr="002A68EC">
        <w:rPr>
          <w:rFonts w:cs="Calibri"/>
          <w:lang w:val="en-US"/>
        </w:rPr>
        <w:t xml:space="preserve"> </w:t>
      </w:r>
      <w:r w:rsidRPr="002A68EC">
        <w:rPr>
          <w:rFonts w:cs="Calibri"/>
          <w:lang w:val="en-US"/>
        </w:rPr>
        <w:t>are all underpinned with tensions around equal treatment rights</w:t>
      </w:r>
      <w:r w:rsidR="00553BE2" w:rsidRPr="002A68EC">
        <w:rPr>
          <w:rFonts w:cs="Calibri"/>
          <w:lang w:val="en-US"/>
        </w:rPr>
        <w:t xml:space="preserve"> and</w:t>
      </w:r>
      <w:r w:rsidRPr="002A68EC">
        <w:rPr>
          <w:rFonts w:cs="Calibri"/>
          <w:lang w:val="en-US"/>
        </w:rPr>
        <w:t xml:space="preserve"> </w:t>
      </w:r>
      <w:r w:rsidR="00553BE2" w:rsidRPr="002A68EC">
        <w:rPr>
          <w:rFonts w:cs="Calibri"/>
          <w:lang w:val="en-US"/>
        </w:rPr>
        <w:t>one-down-man-ship when it comes to restricting rights</w:t>
      </w:r>
      <w:r w:rsidRPr="002A68EC">
        <w:rPr>
          <w:rFonts w:cs="Calibri"/>
          <w:lang w:val="en-US"/>
        </w:rPr>
        <w:t xml:space="preserve">. The problems raised here are pressing, concrete issues that will have significant, and potentially devastating consequences for a considerable section of a sizeable cohort. </w:t>
      </w:r>
      <w:r w:rsidR="001E3D1D" w:rsidRPr="002A68EC">
        <w:rPr>
          <w:rFonts w:cs="Calibri"/>
          <w:lang w:val="en-US"/>
        </w:rPr>
        <w:t xml:space="preserve">They should also trigger </w:t>
      </w:r>
      <w:r w:rsidRPr="002A68EC">
        <w:rPr>
          <w:rFonts w:cs="Calibri"/>
          <w:lang w:val="en-US"/>
        </w:rPr>
        <w:t>an alarm bell</w:t>
      </w:r>
      <w:r w:rsidR="001E3D1D" w:rsidRPr="002A68EC">
        <w:rPr>
          <w:rFonts w:cs="Calibri"/>
          <w:lang w:val="en-US"/>
        </w:rPr>
        <w:t xml:space="preserve"> for the EU. We are here, among this unedifying </w:t>
      </w:r>
      <w:r w:rsidR="008F3496" w:rsidRPr="002A68EC">
        <w:rPr>
          <w:rFonts w:cs="Calibri"/>
          <w:lang w:val="en-US"/>
        </w:rPr>
        <w:t>scrap-and-grab of rights, at least in part, because of years of demonising the free movement of persons in the UK</w:t>
      </w:r>
      <w:r w:rsidRPr="002A68EC">
        <w:rPr>
          <w:rFonts w:cs="Calibri"/>
          <w:lang w:val="en-US"/>
        </w:rPr>
        <w:t>.</w:t>
      </w:r>
      <w:r w:rsidR="00CF23B7" w:rsidRPr="002A68EC">
        <w:rPr>
          <w:rStyle w:val="FootnoteReference"/>
          <w:rFonts w:cs="Calibri"/>
          <w:lang w:val="en-US"/>
        </w:rPr>
        <w:footnoteReference w:id="184"/>
      </w:r>
      <w:r w:rsidRPr="002A68EC">
        <w:rPr>
          <w:rFonts w:cs="Calibri"/>
          <w:lang w:val="en-US"/>
        </w:rPr>
        <w:t xml:space="preserve"> </w:t>
      </w:r>
      <w:r w:rsidR="00F44E69" w:rsidRPr="002A68EC">
        <w:rPr>
          <w:rFonts w:cs="Calibri"/>
          <w:lang w:val="en-US"/>
        </w:rPr>
        <w:t>R</w:t>
      </w:r>
      <w:r w:rsidR="008F3496" w:rsidRPr="002A68EC">
        <w:rPr>
          <w:rFonts w:cs="Calibri"/>
          <w:lang w:val="en-US"/>
        </w:rPr>
        <w:t>ights to reside and to equal treatment could become all the more vital in a withdrawing state. I</w:t>
      </w:r>
      <w:r w:rsidRPr="002A68EC">
        <w:rPr>
          <w:rFonts w:cs="Calibri"/>
          <w:lang w:val="en-US"/>
        </w:rPr>
        <w:t xml:space="preserve">f we do not wish the vulnerable to be cast </w:t>
      </w:r>
      <w:r w:rsidR="008F3496" w:rsidRPr="002A68EC">
        <w:rPr>
          <w:rFonts w:cs="Calibri"/>
          <w:lang w:val="en-US"/>
        </w:rPr>
        <w:t xml:space="preserve">adrift, or left entirely at the mercy of migrant-hostile governments, </w:t>
      </w:r>
      <w:r w:rsidR="00E37988" w:rsidRPr="002A68EC">
        <w:rPr>
          <w:rFonts w:cs="Calibri"/>
          <w:lang w:val="en-US"/>
        </w:rPr>
        <w:t>then drafting a withdrawal agreement</w:t>
      </w:r>
      <w:r w:rsidR="008F3496" w:rsidRPr="002A68EC">
        <w:rPr>
          <w:rFonts w:cs="Calibri"/>
          <w:lang w:val="en-US"/>
        </w:rPr>
        <w:t xml:space="preserve"> is perhaps</w:t>
      </w:r>
      <w:r w:rsidR="00E37988" w:rsidRPr="002A68EC">
        <w:rPr>
          <w:rFonts w:cs="Calibri"/>
          <w:lang w:val="en-US"/>
        </w:rPr>
        <w:t xml:space="preserve"> an appropriate</w:t>
      </w:r>
      <w:r w:rsidR="008F3496" w:rsidRPr="002A68EC">
        <w:rPr>
          <w:rFonts w:cs="Calibri"/>
          <w:lang w:val="en-US"/>
        </w:rPr>
        <w:t xml:space="preserve"> time to be less diffident about </w:t>
      </w:r>
      <w:r w:rsidR="00E37988" w:rsidRPr="002A68EC">
        <w:rPr>
          <w:rFonts w:cs="Calibri"/>
          <w:lang w:val="en-US"/>
        </w:rPr>
        <w:t xml:space="preserve">the effects and fundamental status of Union citizenship. </w:t>
      </w:r>
      <w:r w:rsidRPr="002A68EC">
        <w:rPr>
          <w:rFonts w:cs="Calibri"/>
          <w:lang w:val="en-US"/>
        </w:rPr>
        <w:t>The</w:t>
      </w:r>
      <w:r w:rsidR="00E37988" w:rsidRPr="002A68EC">
        <w:rPr>
          <w:rFonts w:cs="Calibri"/>
          <w:lang w:val="en-US"/>
        </w:rPr>
        <w:t xml:space="preserve"> UK continues to supply us with cautionary tales. </w:t>
      </w:r>
    </w:p>
    <w:p w14:paraId="74AC2DFF" w14:textId="77777777" w:rsidR="00E37988" w:rsidRPr="002A68EC" w:rsidRDefault="00E37988" w:rsidP="002A68EC">
      <w:pPr>
        <w:shd w:val="clear" w:color="auto" w:fill="FFFFFF"/>
        <w:spacing w:after="120"/>
        <w:ind w:right="-52"/>
        <w:jc w:val="both"/>
        <w:rPr>
          <w:rFonts w:cs="Calibri"/>
          <w:lang w:val="en-US"/>
        </w:rPr>
      </w:pPr>
    </w:p>
    <w:p w14:paraId="75BE4F2D" w14:textId="20F06F3B" w:rsidR="008E2837" w:rsidRPr="002A68EC" w:rsidRDefault="008E2837" w:rsidP="002A68EC">
      <w:pPr>
        <w:shd w:val="clear" w:color="auto" w:fill="FFFFFF"/>
        <w:spacing w:after="120"/>
        <w:ind w:right="-52"/>
        <w:jc w:val="both"/>
        <w:rPr>
          <w:rFonts w:cs="Calibri"/>
          <w:lang w:val="en-US"/>
        </w:rPr>
      </w:pPr>
    </w:p>
    <w:p w14:paraId="42E7E3E7" w14:textId="77777777" w:rsidR="008E2837" w:rsidRPr="002A68EC" w:rsidRDefault="008E2837" w:rsidP="002A68EC">
      <w:pPr>
        <w:shd w:val="clear" w:color="auto" w:fill="FFFFFF"/>
        <w:spacing w:after="120"/>
        <w:ind w:right="-52"/>
        <w:jc w:val="both"/>
        <w:rPr>
          <w:rFonts w:cs="Calibri"/>
          <w:lang w:val="en-US"/>
        </w:rPr>
      </w:pPr>
    </w:p>
    <w:p w14:paraId="41B970F1" w14:textId="77777777" w:rsidR="00AC6A14" w:rsidRPr="002A68EC" w:rsidRDefault="00AC6A14" w:rsidP="002A68EC">
      <w:pPr>
        <w:shd w:val="clear" w:color="auto" w:fill="FFFFFF"/>
        <w:spacing w:after="120"/>
        <w:ind w:right="-52"/>
        <w:jc w:val="both"/>
        <w:rPr>
          <w:rFonts w:cs="Calibri"/>
          <w:lang w:val="en-US"/>
        </w:rPr>
      </w:pPr>
    </w:p>
    <w:p w14:paraId="19F66D61" w14:textId="2EBEF2F6" w:rsidR="00421497" w:rsidRPr="002A68EC" w:rsidRDefault="00421497" w:rsidP="002A68EC">
      <w:pPr>
        <w:shd w:val="clear" w:color="auto" w:fill="FFFFFF"/>
        <w:spacing w:after="120"/>
        <w:ind w:right="-52"/>
        <w:jc w:val="both"/>
        <w:rPr>
          <w:rFonts w:cs="Calibri"/>
        </w:rPr>
      </w:pPr>
      <w:r w:rsidRPr="002A68EC">
        <w:rPr>
          <w:rFonts w:cs="Calibri"/>
          <w:i/>
          <w:iCs/>
        </w:rPr>
        <w:tab/>
        <w:t xml:space="preserve"> </w:t>
      </w:r>
    </w:p>
    <w:p w14:paraId="1DCEE41A" w14:textId="77777777" w:rsidR="00421497" w:rsidRPr="002A68EC" w:rsidRDefault="00421497" w:rsidP="002A68EC">
      <w:pPr>
        <w:shd w:val="clear" w:color="auto" w:fill="FFFFFF"/>
        <w:spacing w:after="120"/>
        <w:ind w:right="-52"/>
        <w:jc w:val="both"/>
        <w:rPr>
          <w:rFonts w:cs="Calibri"/>
        </w:rPr>
      </w:pPr>
    </w:p>
    <w:p w14:paraId="612EF0F2" w14:textId="77777777" w:rsidR="00421497" w:rsidRPr="002A68EC" w:rsidRDefault="00421497" w:rsidP="002A68EC">
      <w:pPr>
        <w:shd w:val="clear" w:color="auto" w:fill="FFFFFF"/>
        <w:spacing w:after="120"/>
        <w:ind w:right="-52"/>
        <w:jc w:val="both"/>
        <w:rPr>
          <w:rFonts w:cs="Calibri"/>
        </w:rPr>
      </w:pPr>
      <w:r w:rsidRPr="002A68EC">
        <w:rPr>
          <w:rFonts w:cs="Calibri"/>
          <w:lang w:val="en-US"/>
        </w:rPr>
        <w:t> </w:t>
      </w:r>
    </w:p>
    <w:p w14:paraId="5B8A7A19" w14:textId="2D4D13BD" w:rsidR="000015A7" w:rsidRPr="002A68EC" w:rsidRDefault="000015A7" w:rsidP="002A68EC">
      <w:pPr>
        <w:pStyle w:val="Default"/>
        <w:spacing w:after="120"/>
        <w:jc w:val="both"/>
        <w:rPr>
          <w:rFonts w:ascii="Times New Roman" w:hAnsi="Times New Roman"/>
          <w:color w:val="auto"/>
          <w:szCs w:val="22"/>
        </w:rPr>
      </w:pPr>
    </w:p>
    <w:p w14:paraId="0AE076E6" w14:textId="4546B109" w:rsidR="000015A7" w:rsidRPr="002A68EC" w:rsidRDefault="000015A7" w:rsidP="002A68EC">
      <w:pPr>
        <w:pStyle w:val="Default"/>
        <w:spacing w:after="120"/>
        <w:jc w:val="both"/>
        <w:rPr>
          <w:rFonts w:ascii="Times New Roman" w:hAnsi="Times New Roman"/>
          <w:color w:val="auto"/>
          <w:szCs w:val="22"/>
        </w:rPr>
      </w:pPr>
    </w:p>
    <w:sectPr w:rsidR="000015A7" w:rsidRPr="002A68EC" w:rsidSect="0094085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9D68F" w14:textId="77777777" w:rsidR="00C33BD6" w:rsidRDefault="00C33BD6" w:rsidP="00430BB7">
      <w:r>
        <w:separator/>
      </w:r>
    </w:p>
  </w:endnote>
  <w:endnote w:type="continuationSeparator" w:id="0">
    <w:p w14:paraId="1CDFC2B3" w14:textId="77777777" w:rsidR="00C33BD6" w:rsidRDefault="00C33BD6" w:rsidP="0043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20B0604020202020204"/>
    <w:charset w:val="4D"/>
    <w:family w:val="roman"/>
    <w:notTrueType/>
    <w:pitch w:val="default"/>
    <w:sig w:usb0="00000003" w:usb1="00000000" w:usb2="00000000" w:usb3="00000000" w:csb0="00000001" w:csb1="00000000"/>
  </w:font>
  <w:font w:name="Frutiger LT Std 45 Light">
    <w:altName w:val="Calibri"/>
    <w:panose1 w:val="020B0604020202020204"/>
    <w:charset w:val="4D"/>
    <w:family w:val="swiss"/>
    <w:notTrueType/>
    <w:pitch w:val="default"/>
    <w:sig w:usb0="00000003" w:usb1="00000000" w:usb2="00000000" w:usb3="00000000" w:csb0="00000001" w:csb1="00000000"/>
  </w:font>
  <w:font w:name="Times New Roman (Headings CS)">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5932284"/>
      <w:docPartObj>
        <w:docPartGallery w:val="Page Numbers (Bottom of Page)"/>
        <w:docPartUnique/>
      </w:docPartObj>
    </w:sdtPr>
    <w:sdtContent>
      <w:p w14:paraId="003858A2" w14:textId="63859EEB" w:rsidR="006F0489" w:rsidRDefault="006F0489" w:rsidP="006F69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38A2B" w14:textId="77777777" w:rsidR="006F0489" w:rsidRDefault="006F0489" w:rsidP="00CD7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6578460"/>
      <w:docPartObj>
        <w:docPartGallery w:val="Page Numbers (Bottom of Page)"/>
        <w:docPartUnique/>
      </w:docPartObj>
    </w:sdtPr>
    <w:sdtContent>
      <w:p w14:paraId="0C9D59B4" w14:textId="7A0D11EB" w:rsidR="006F0489" w:rsidRDefault="006F0489" w:rsidP="006F69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F1858D" w14:textId="77777777" w:rsidR="006F0489" w:rsidRDefault="006F0489" w:rsidP="00CD75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4FA47" w14:textId="77777777" w:rsidR="00C33BD6" w:rsidRDefault="00C33BD6" w:rsidP="00430BB7">
      <w:r>
        <w:separator/>
      </w:r>
    </w:p>
  </w:footnote>
  <w:footnote w:type="continuationSeparator" w:id="0">
    <w:p w14:paraId="285DF929" w14:textId="77777777" w:rsidR="00C33BD6" w:rsidRDefault="00C33BD6" w:rsidP="00430BB7">
      <w:r>
        <w:continuationSeparator/>
      </w:r>
    </w:p>
  </w:footnote>
  <w:footnote w:id="1">
    <w:p w14:paraId="3C93ACA7" w14:textId="386655AD" w:rsidR="006F0489" w:rsidRPr="002A68EC" w:rsidRDefault="006F0489" w:rsidP="002A68EC">
      <w:pPr>
        <w:pStyle w:val="FootnoteText"/>
        <w:jc w:val="both"/>
      </w:pPr>
      <w:r w:rsidRPr="002A68EC">
        <w:t xml:space="preserve">* York Law School, University of York. </w:t>
      </w:r>
      <w:r>
        <w:t xml:space="preserve">Research conducted within the ESRC-funded project, the EU Rights and Brexit Hub: </w:t>
      </w:r>
      <w:r w:rsidRPr="00B11FEF">
        <w:t>https://www.eurightshub.york.ac.uk/</w:t>
      </w:r>
      <w:r>
        <w:t>.</w:t>
      </w:r>
      <w:r w:rsidRPr="00B11FEF">
        <w:t xml:space="preserve"> </w:t>
      </w:r>
      <w:r>
        <w:t>T</w:t>
      </w:r>
      <w:r w:rsidRPr="002A68EC">
        <w:t xml:space="preserve">hanks to the many people who have commented on </w:t>
      </w:r>
      <w:r>
        <w:t>aspects of</w:t>
      </w:r>
      <w:r w:rsidRPr="002A68EC">
        <w:t xml:space="preserve"> this work at the Academy of European Law; the Max Planck Institute in Göttingen; the All Party Parliamentary Group on the Rule of Law; and the Bingham Centre for the Rule of Law &amp; UK Law Societies seminar in the European Parliament. </w:t>
      </w:r>
      <w:r>
        <w:t>Thanks to Alyn Smith MP and Martin Williams (of the Child Poverty Action Group) for sharing materials, and to Alice Welsh, University of York for input, help and support. M</w:t>
      </w:r>
      <w:r w:rsidRPr="002A68EC">
        <w:t xml:space="preserve">any thanks to the anonymous reviewers, for their thorough and constructive feedback. </w:t>
      </w:r>
    </w:p>
    <w:p w14:paraId="3AB55D35" w14:textId="5DD6EE34" w:rsidR="006F0489" w:rsidRPr="002A68EC" w:rsidRDefault="006F0489" w:rsidP="002A68EC">
      <w:pPr>
        <w:pStyle w:val="FootnoteText"/>
        <w:jc w:val="both"/>
      </w:pPr>
      <w:r w:rsidRPr="002A68EC">
        <w:rPr>
          <w:rStyle w:val="FootnoteReference"/>
        </w:rPr>
        <w:footnoteRef/>
      </w:r>
      <w:r w:rsidRPr="002A68EC">
        <w:t xml:space="preserve"> Who are not the subject of this study, but see the work under the “Brexit Brits Abroad” project, led by Michaela Benson, available at: &lt;</w:t>
      </w:r>
      <w:hyperlink r:id="rId1" w:history="1">
        <w:r w:rsidRPr="002A68EC">
          <w:rPr>
            <w:rStyle w:val="Hyperlink"/>
            <w:color w:val="auto"/>
          </w:rPr>
          <w:t>https://brexitbritsabroad.com/project-team/</w:t>
        </w:r>
      </w:hyperlink>
      <w:r w:rsidRPr="002A68EC">
        <w:t xml:space="preserve">&gt; (all websites last accessed 19 October 2020).  </w:t>
      </w:r>
    </w:p>
  </w:footnote>
  <w:footnote w:id="2">
    <w:p w14:paraId="2997E39E" w14:textId="0573427A" w:rsidR="006F0489" w:rsidRPr="002A68EC" w:rsidRDefault="006F0489" w:rsidP="002A68EC">
      <w:pPr>
        <w:pStyle w:val="FootnoteText"/>
        <w:jc w:val="both"/>
      </w:pPr>
      <w:r w:rsidRPr="002A68EC">
        <w:rPr>
          <w:rStyle w:val="FootnoteReference"/>
        </w:rPr>
        <w:footnoteRef/>
      </w:r>
      <w:r w:rsidRPr="002A68EC">
        <w:t xml:space="preserve"> E.g. “EU citizens living in this country will have their rights fully protected” in Boris Johnson, “I cannot stress too much that Britain is part of Europe - and always will be”, </w:t>
      </w:r>
      <w:r w:rsidRPr="002A68EC">
        <w:rPr>
          <w:i/>
          <w:iCs/>
        </w:rPr>
        <w:t xml:space="preserve">The Telegraph, </w:t>
      </w:r>
      <w:r w:rsidRPr="002A68EC">
        <w:t>26 June 2016.</w:t>
      </w:r>
    </w:p>
  </w:footnote>
  <w:footnote w:id="3">
    <w:p w14:paraId="45A65110" w14:textId="197D2CDD" w:rsidR="006F0489" w:rsidRPr="002A68EC" w:rsidRDefault="006F0489" w:rsidP="002A68EC">
      <w:pPr>
        <w:pStyle w:val="FootnoteText"/>
        <w:jc w:val="both"/>
        <w:rPr>
          <w:i/>
          <w:iCs/>
        </w:rPr>
      </w:pPr>
      <w:r w:rsidRPr="002A68EC">
        <w:rPr>
          <w:rStyle w:val="FootnoteReference"/>
        </w:rPr>
        <w:footnoteRef/>
      </w:r>
      <w:r w:rsidRPr="002A68EC">
        <w:t xml:space="preserve"> “When it comes to the negotiations, we will protect the rights of EU citizens here, so long as Britons in Europe are treated the same way”. David Davis' speech to Conservative conference, </w:t>
      </w:r>
      <w:r w:rsidRPr="002A68EC">
        <w:rPr>
          <w:i/>
          <w:iCs/>
        </w:rPr>
        <w:t>Politics Home</w:t>
      </w:r>
      <w:r w:rsidRPr="002A68EC">
        <w:t>,</w:t>
      </w:r>
      <w:r w:rsidRPr="002A68EC">
        <w:rPr>
          <w:i/>
          <w:iCs/>
        </w:rPr>
        <w:t xml:space="preserve"> </w:t>
      </w:r>
      <w:r w:rsidRPr="002A68EC">
        <w:t>2 October 2016, available at: &lt;</w:t>
      </w:r>
      <w:hyperlink r:id="rId2" w:history="1">
        <w:r w:rsidRPr="002A68EC">
          <w:rPr>
            <w:rStyle w:val="Hyperlink"/>
            <w:color w:val="auto"/>
          </w:rPr>
          <w:t>https://www.politicshome.com/news/uk/political-parties/conservative-party/news/79518/read-full-david-davis-speech-conservative</w:t>
        </w:r>
      </w:hyperlink>
      <w:r w:rsidRPr="002A68EC">
        <w:t xml:space="preserve">&gt;. </w:t>
      </w:r>
    </w:p>
  </w:footnote>
  <w:footnote w:id="4">
    <w:p w14:paraId="090A78A0" w14:textId="0CDFB23E" w:rsidR="006F0489" w:rsidRPr="002A68EC" w:rsidRDefault="006F0489" w:rsidP="002A68EC">
      <w:pPr>
        <w:pStyle w:val="FootnoteText"/>
        <w:jc w:val="both"/>
      </w:pPr>
      <w:r w:rsidRPr="002A68EC">
        <w:rPr>
          <w:rStyle w:val="FootnoteReference"/>
        </w:rPr>
        <w:footnoteRef/>
      </w:r>
      <w:r w:rsidRPr="002A68EC">
        <w:t xml:space="preserve"> The initial proposals emerged in 2017: Secretary of State for the Home Department, “The United Kingdom’s Exit from the European Union: Safeguarding the Position of EU Citizens Living in the UK and UK Nationals Living in the EU”, </w:t>
      </w:r>
      <w:r w:rsidRPr="002A68EC">
        <w:rPr>
          <w:i/>
          <w:iCs/>
        </w:rPr>
        <w:t>White Paper</w:t>
      </w:r>
      <w:r w:rsidRPr="002A68EC">
        <w:t>,</w:t>
      </w:r>
      <w:r w:rsidRPr="002A68EC">
        <w:rPr>
          <w:i/>
          <w:iCs/>
        </w:rPr>
        <w:t xml:space="preserve"> </w:t>
      </w:r>
      <w:r w:rsidRPr="002A68EC">
        <w:t>Cm 9464, available at: &lt;</w:t>
      </w:r>
      <w:hyperlink r:id="rId3" w:history="1">
        <w:r w:rsidRPr="002A68EC">
          <w:rPr>
            <w:rStyle w:val="Hyperlink"/>
            <w:color w:val="auto"/>
          </w:rPr>
          <w:t>https://assets.publishing.service.gov.uk/government/uploads/system/uploads/attachment_data/file/621848/60093_Cm9464_NSS_SDR_Web.pdf</w:t>
        </w:r>
      </w:hyperlink>
      <w:r w:rsidRPr="002A68EC">
        <w:t xml:space="preserve">&gt;), followed a year later by the Home Office, ‘EU Settled Status Scheme: Statement of Intent’, 21 June 2018, available at: </w:t>
      </w:r>
      <w:hyperlink r:id="rId4" w:history="1">
        <w:r w:rsidRPr="002A68EC">
          <w:rPr>
            <w:rStyle w:val="Hyperlink"/>
            <w:color w:val="auto"/>
          </w:rPr>
          <w:t>https://assets.publishing.service.gov.uk/government/uploads/system/uploads/attachment_data/file/718237/EU_Settlement_Scheme_SOI_June_2018.pdf</w:t>
        </w:r>
      </w:hyperlink>
      <w:r w:rsidRPr="002A68EC">
        <w:t>).</w:t>
      </w:r>
    </w:p>
  </w:footnote>
  <w:footnote w:id="5">
    <w:p w14:paraId="0F384437" w14:textId="7E2060FB" w:rsidR="006F0489" w:rsidRPr="002A68EC" w:rsidRDefault="006F0489" w:rsidP="002A68EC">
      <w:pPr>
        <w:pStyle w:val="FootnoteText"/>
        <w:jc w:val="both"/>
      </w:pPr>
      <w:r w:rsidRPr="002A68EC">
        <w:rPr>
          <w:rStyle w:val="FootnoteReference"/>
        </w:rPr>
        <w:footnoteRef/>
      </w:r>
      <w:r w:rsidRPr="002A68EC">
        <w:t xml:space="preserve"> Agreement on the withdrawal of the United Kingdom of Great Britain and Northern Ireland from the European Union and the European Atomic Energy Community, and the Political declaration setting out the framework for the future relationship between the European Union and the United Kingdom, OJ C 66 I, 19 February 2019.</w:t>
      </w:r>
    </w:p>
  </w:footnote>
  <w:footnote w:id="6">
    <w:p w14:paraId="1C749146" w14:textId="7CC5AA65" w:rsidR="006F0489" w:rsidRPr="002A68EC" w:rsidRDefault="006F0489" w:rsidP="002A68EC">
      <w:pPr>
        <w:pStyle w:val="FootnoteText"/>
        <w:jc w:val="both"/>
      </w:pPr>
      <w:r w:rsidRPr="002A68EC">
        <w:rPr>
          <w:rStyle w:val="FootnoteReference"/>
        </w:rPr>
        <w:footnoteRef/>
      </w:r>
      <w:r w:rsidRPr="002A68EC">
        <w:t xml:space="preserve"> Not provided for in primary law, but in ‘Appendix EU’ of the Immigration Rules, available at: &lt; </w:t>
      </w:r>
      <w:hyperlink r:id="rId5" w:history="1">
        <w:r w:rsidRPr="002A68EC">
          <w:rPr>
            <w:rStyle w:val="Hyperlink"/>
            <w:color w:val="auto"/>
          </w:rPr>
          <w:t>https://www.gov.uk/guidance/immigration-rules/immigration-rules-appendix-eu</w:t>
        </w:r>
      </w:hyperlink>
      <w:r w:rsidRPr="002A68EC">
        <w:t xml:space="preserve">&gt;. </w:t>
      </w:r>
      <w:r>
        <w:t xml:space="preserve">It is termed the ‘EU Settled Status’ (EUSS) Scheme in the rules and in the UK. But in order to more clearly distinguish it from EU rules in the context of an article that compares the two, I typically refer to the ‘UK’s EU Settled Status scheme’. </w:t>
      </w:r>
    </w:p>
  </w:footnote>
  <w:footnote w:id="7">
    <w:p w14:paraId="7DC098D8" w14:textId="6EEDD16A" w:rsidR="006F0489" w:rsidRPr="002A68EC" w:rsidRDefault="006F0489" w:rsidP="002A68EC">
      <w:pPr>
        <w:pStyle w:val="FootnoteText"/>
        <w:jc w:val="both"/>
      </w:pPr>
      <w:r w:rsidRPr="002A68EC">
        <w:rPr>
          <w:rStyle w:val="FootnoteReference"/>
        </w:rPr>
        <w:footnoteRef/>
      </w:r>
      <w:r w:rsidRPr="002A68EC">
        <w:t xml:space="preserve"> At 23.00 on 31/01/2020 GMT / 00.00 on 01/02/2020 CET.</w:t>
      </w:r>
    </w:p>
  </w:footnote>
  <w:footnote w:id="8">
    <w:p w14:paraId="15885A7A" w14:textId="5443CAE4" w:rsidR="006F0489" w:rsidRPr="002A68EC" w:rsidRDefault="006F0489" w:rsidP="002A68EC">
      <w:pPr>
        <w:pStyle w:val="FootnoteText"/>
        <w:jc w:val="both"/>
      </w:pPr>
      <w:r w:rsidRPr="002A68EC">
        <w:rPr>
          <w:rStyle w:val="FootnoteReference"/>
        </w:rPr>
        <w:footnoteRef/>
      </w:r>
      <w:r w:rsidRPr="002A68EC">
        <w:t xml:space="preserve"> Directive 2004/38/EC of the European Parliament and of the Council of 29 April 2004 on the right of citizens of the Union and their family members to move and reside freely within the territory of the Member States OJ L 158, 30.4.2004, p. 77–123. </w:t>
      </w:r>
    </w:p>
  </w:footnote>
  <w:footnote w:id="9">
    <w:p w14:paraId="575EBD79" w14:textId="62D7CB2D" w:rsidR="006F0489" w:rsidRPr="002A68EC" w:rsidRDefault="006F0489" w:rsidP="002A68EC">
      <w:pPr>
        <w:autoSpaceDE w:val="0"/>
        <w:autoSpaceDN w:val="0"/>
        <w:adjustRightInd w:val="0"/>
        <w:jc w:val="both"/>
        <w:rPr>
          <w:sz w:val="20"/>
        </w:rPr>
      </w:pPr>
      <w:r w:rsidRPr="002A68EC">
        <w:rPr>
          <w:rStyle w:val="FootnoteReference"/>
          <w:sz w:val="20"/>
        </w:rPr>
        <w:footnoteRef/>
      </w:r>
      <w:r w:rsidRPr="002A68EC">
        <w:rPr>
          <w:sz w:val="20"/>
        </w:rPr>
        <w:t xml:space="preserve"> </w:t>
      </w:r>
      <w:r w:rsidRPr="002A68EC">
        <w:rPr>
          <w:rFonts w:eastAsiaTheme="minorHAnsi"/>
          <w:sz w:val="20"/>
          <w:szCs w:val="18"/>
        </w:rPr>
        <w:t xml:space="preserve">Currie, “Pregnancy-related employment breaks, the gender dynamics of free movement law and curtailed citizenship: Jessy Saint Prix”, 53 CML Rev. (2016); O’Brien, </w:t>
      </w:r>
      <w:r w:rsidRPr="002A68EC">
        <w:rPr>
          <w:rFonts w:eastAsiaTheme="minorHAnsi"/>
          <w:i/>
          <w:iCs/>
          <w:sz w:val="20"/>
          <w:szCs w:val="18"/>
        </w:rPr>
        <w:t>Unity in Adversity: EU Citizenship, Social Justice and the Cautionary Tale of the UK</w:t>
      </w:r>
      <w:r w:rsidRPr="002A68EC">
        <w:rPr>
          <w:rFonts w:eastAsiaTheme="minorHAnsi"/>
          <w:sz w:val="20"/>
          <w:szCs w:val="18"/>
        </w:rPr>
        <w:t xml:space="preserve"> (Oxford: Hart, 2017).</w:t>
      </w:r>
    </w:p>
  </w:footnote>
  <w:footnote w:id="10">
    <w:p w14:paraId="5FB104E7" w14:textId="5EB98EFD" w:rsidR="006F0489" w:rsidRPr="002A68EC" w:rsidRDefault="006F0489" w:rsidP="002A68EC">
      <w:pPr>
        <w:pStyle w:val="FootnoteText"/>
        <w:jc w:val="both"/>
      </w:pPr>
      <w:r w:rsidRPr="002A68EC">
        <w:rPr>
          <w:rStyle w:val="FootnoteReference"/>
        </w:rPr>
        <w:footnoteRef/>
      </w:r>
      <w:r w:rsidRPr="002A68EC">
        <w:t xml:space="preserve"> 30 June 2021. </w:t>
      </w:r>
    </w:p>
  </w:footnote>
  <w:footnote w:id="11">
    <w:p w14:paraId="3D40593D" w14:textId="4F497A4E" w:rsidR="006F0489" w:rsidRPr="002A68EC" w:rsidRDefault="006F0489" w:rsidP="002A68EC">
      <w:pPr>
        <w:pStyle w:val="FootnoteText"/>
        <w:jc w:val="both"/>
      </w:pPr>
      <w:r w:rsidRPr="002A68EC">
        <w:rPr>
          <w:rStyle w:val="FootnoteReference"/>
        </w:rPr>
        <w:footnoteRef/>
      </w:r>
      <w:r w:rsidRPr="002A68EC">
        <w:t xml:space="preserve"> Regs 2(2)(d); 3(1)(d); 4(2)(d); 5(2)(d); 6(2)(d); 7(2)(d); and 8(2)(d) of The Social Security (Income-related Benefits) (Updating and Amendment) (EU Exit) Regulations 2019, SI No. 872; Regs 2(2)-(3) and 3(2)(b) of The Child Benefit and Child Tax Credit (Amendment) (EU Exit) Regulations 2019, SI No. 867; and </w:t>
      </w:r>
    </w:p>
    <w:p w14:paraId="4C870D5A" w14:textId="65357800" w:rsidR="006F0489" w:rsidRPr="002A68EC" w:rsidRDefault="006F0489" w:rsidP="002A68EC">
      <w:pPr>
        <w:pStyle w:val="FootnoteText"/>
        <w:jc w:val="both"/>
      </w:pPr>
      <w:r w:rsidRPr="002A68EC">
        <w:t>Regs 3(a) and 4(a) of The Allocation of Housing and Homelessness (Eligibility) (England) (Amendment) (EU Exit) Regulations 2019, SI No. 861.</w:t>
      </w:r>
    </w:p>
  </w:footnote>
  <w:footnote w:id="12">
    <w:p w14:paraId="5F697910" w14:textId="77777777" w:rsidR="006F0489" w:rsidRPr="002A68EC" w:rsidRDefault="006F0489" w:rsidP="002A68EC">
      <w:pPr>
        <w:pStyle w:val="FootnoteText"/>
        <w:jc w:val="both"/>
      </w:pPr>
      <w:r w:rsidRPr="002A68EC">
        <w:rPr>
          <w:rStyle w:val="FootnoteReference"/>
        </w:rPr>
        <w:footnoteRef/>
      </w:r>
      <w:r w:rsidRPr="002A68EC">
        <w:t xml:space="preserve"> Case C-456/04, </w:t>
      </w:r>
      <w:r w:rsidRPr="002A68EC">
        <w:rPr>
          <w:i/>
          <w:iCs/>
        </w:rPr>
        <w:t>Trojani</w:t>
      </w:r>
      <w:r w:rsidRPr="002A68EC">
        <w:t>, EU:C:2004:488.</w:t>
      </w:r>
    </w:p>
  </w:footnote>
  <w:footnote w:id="13">
    <w:p w14:paraId="10141642" w14:textId="732D03D5" w:rsidR="006F0489" w:rsidRPr="002A68EC" w:rsidRDefault="006F0489" w:rsidP="002A68EC">
      <w:pPr>
        <w:pStyle w:val="FootnoteText"/>
        <w:jc w:val="both"/>
      </w:pPr>
      <w:r w:rsidRPr="002A68EC">
        <w:rPr>
          <w:rStyle w:val="FootnoteReference"/>
        </w:rPr>
        <w:footnoteRef/>
      </w:r>
      <w:r w:rsidRPr="002A68EC">
        <w:t xml:space="preserve"> Case C-165/16, </w:t>
      </w:r>
      <w:r w:rsidRPr="002A68EC">
        <w:rPr>
          <w:i/>
          <w:iCs/>
        </w:rPr>
        <w:t>Toufik Lounes v Secretary of State for the Home Department</w:t>
      </w:r>
      <w:r w:rsidRPr="002A68EC">
        <w:t>, EU:C:2017:862, 58.</w:t>
      </w:r>
    </w:p>
  </w:footnote>
  <w:footnote w:id="14">
    <w:p w14:paraId="05B5760C" w14:textId="55A0AEB2" w:rsidR="006F0489" w:rsidRPr="002A68EC" w:rsidRDefault="006F0489" w:rsidP="002A68EC">
      <w:pPr>
        <w:pStyle w:val="FootnoteText"/>
        <w:jc w:val="both"/>
      </w:pPr>
      <w:r w:rsidRPr="002A68EC">
        <w:rPr>
          <w:rStyle w:val="FootnoteReference"/>
        </w:rPr>
        <w:footnoteRef/>
      </w:r>
      <w:r w:rsidRPr="002A68EC">
        <w:t xml:space="preserve"> On the claims on the side of the Brexit campaign bus, see: Full Fact, “£350 million EU claim ‘a clear misuse of official statistics’”, (19/09/2017), available at:</w:t>
      </w:r>
      <w:r w:rsidRPr="002A68EC">
        <w:rPr>
          <w:b/>
          <w:bCs/>
        </w:rPr>
        <w:t xml:space="preserve"> </w:t>
      </w:r>
      <w:r w:rsidRPr="002A68EC">
        <w:t>https://fullfact.org/europe/350-million-week-boris-johnson-statistics-authority-misuse/.</w:t>
      </w:r>
    </w:p>
  </w:footnote>
  <w:footnote w:id="15">
    <w:p w14:paraId="1166C2B1" w14:textId="1042B2DD" w:rsidR="006F0489" w:rsidRPr="002A68EC" w:rsidRDefault="006F0489" w:rsidP="002A68EC">
      <w:pPr>
        <w:pStyle w:val="FootnoteText"/>
        <w:jc w:val="both"/>
      </w:pPr>
      <w:r w:rsidRPr="002A68EC">
        <w:rPr>
          <w:rStyle w:val="FootnoteReference"/>
        </w:rPr>
        <w:footnoteRef/>
      </w:r>
      <w:r w:rsidRPr="002A68EC">
        <w:t xml:space="preserve"> </w:t>
      </w:r>
      <w:r w:rsidRPr="002A68EC">
        <w:rPr>
          <w:rFonts w:cs="Calibri"/>
          <w:lang w:val="en-US"/>
        </w:rPr>
        <w:t>Part Two of the agreement addresses ‘Citizens’ rights’; Title II of that Part deals with ‘Rights and Obligations’, and Chapter 1 of that Title provides for ‘rights related to residence, residence documents’.</w:t>
      </w:r>
    </w:p>
  </w:footnote>
  <w:footnote w:id="16">
    <w:p w14:paraId="4B3D5525" w14:textId="4626D589" w:rsidR="006F0489" w:rsidRPr="002A68EC" w:rsidRDefault="006F0489" w:rsidP="002A68EC">
      <w:pPr>
        <w:jc w:val="both"/>
        <w:rPr>
          <w:sz w:val="20"/>
        </w:rPr>
      </w:pPr>
      <w:r w:rsidRPr="002A68EC">
        <w:rPr>
          <w:rStyle w:val="FootnoteReference"/>
          <w:sz w:val="20"/>
        </w:rPr>
        <w:footnoteRef/>
      </w:r>
      <w:r w:rsidRPr="002A68EC">
        <w:rPr>
          <w:sz w:val="20"/>
        </w:rPr>
        <w:t xml:space="preserve"> Draft Agreement on the withdrawal of the United Kingdom of Great Britain and Northern Ireland from the European Union and the European Atomic Energy Community, 19 March 2018, TF50 (2018) 35 – Commission to EU27, available at: &lt; </w:t>
      </w:r>
      <w:hyperlink r:id="rId6" w:history="1">
        <w:r w:rsidRPr="002A68EC">
          <w:rPr>
            <w:rStyle w:val="Hyperlink"/>
            <w:color w:val="auto"/>
            <w:sz w:val="20"/>
          </w:rPr>
          <w:t>https://ec.europa.eu/commission/sites/beta-political/files/draft_agreement_coloured.pdf</w:t>
        </w:r>
      </w:hyperlink>
      <w:r w:rsidRPr="002A68EC">
        <w:rPr>
          <w:sz w:val="20"/>
        </w:rPr>
        <w:t xml:space="preserve">&gt; </w:t>
      </w:r>
    </w:p>
  </w:footnote>
  <w:footnote w:id="17">
    <w:p w14:paraId="34565997" w14:textId="67202E09" w:rsidR="006F0489" w:rsidRPr="002A68EC" w:rsidRDefault="006F0489" w:rsidP="002A68EC">
      <w:pPr>
        <w:pStyle w:val="FootnoteText"/>
        <w:jc w:val="both"/>
      </w:pPr>
      <w:r w:rsidRPr="002A68EC">
        <w:rPr>
          <w:rStyle w:val="FootnoteReference"/>
        </w:rPr>
        <w:footnoteRef/>
      </w:r>
      <w:r w:rsidRPr="002A68EC">
        <w:t xml:space="preserve"> And finalised in February 2019, see above, note </w:t>
      </w:r>
      <w:r w:rsidRPr="002A68EC">
        <w:fldChar w:fldCharType="begin"/>
      </w:r>
      <w:r w:rsidRPr="002A68EC">
        <w:instrText xml:space="preserve"> NOTEREF _Ref15309681 \h  \* MERGEFORMAT </w:instrText>
      </w:r>
      <w:r w:rsidRPr="002A68EC">
        <w:fldChar w:fldCharType="separate"/>
      </w:r>
      <w:r w:rsidR="00A26A6A">
        <w:t>5</w:t>
      </w:r>
      <w:r w:rsidRPr="002A68EC">
        <w:fldChar w:fldCharType="end"/>
      </w:r>
      <w:r w:rsidRPr="002A68EC">
        <w:t>.</w:t>
      </w:r>
    </w:p>
  </w:footnote>
  <w:footnote w:id="18">
    <w:p w14:paraId="1CA1BC5D" w14:textId="62D97CD1" w:rsidR="006F0489" w:rsidRPr="002A68EC" w:rsidRDefault="006F0489" w:rsidP="002A68EC">
      <w:pPr>
        <w:pStyle w:val="FootnoteText"/>
        <w:jc w:val="both"/>
      </w:pPr>
      <w:r w:rsidRPr="002A68EC">
        <w:rPr>
          <w:rStyle w:val="FootnoteReference"/>
        </w:rPr>
        <w:footnoteRef/>
      </w:r>
      <w:r w:rsidRPr="002A68EC">
        <w:t xml:space="preserve"> Agreement on the withdrawal of the United Kingdom of Great Britain and Northern Ireland from the European Union and the European Atomic Energy Community (2019/C 384 I/01); available at: ec.europa.eu/info/european-union-and-united-kingdom-forging-new-partnership/eu-uk-withdrawal-agreement_en; given effect in the UK through the EU (Withdrawal Agreement) Act 2020.</w:t>
      </w:r>
    </w:p>
  </w:footnote>
  <w:footnote w:id="19">
    <w:p w14:paraId="6D252E38" w14:textId="0F50E1E8" w:rsidR="006F0489" w:rsidRPr="002A68EC" w:rsidRDefault="006F0489" w:rsidP="002A68EC">
      <w:pPr>
        <w:pStyle w:val="FootnoteText"/>
        <w:jc w:val="both"/>
      </w:pPr>
      <w:r w:rsidRPr="002A68EC">
        <w:rPr>
          <w:rStyle w:val="FootnoteReference"/>
        </w:rPr>
        <w:footnoteRef/>
      </w:r>
      <w:r w:rsidRPr="002A68EC">
        <w:t xml:space="preserve"> Art. 10(1)(a) WA. </w:t>
      </w:r>
    </w:p>
  </w:footnote>
  <w:footnote w:id="20">
    <w:p w14:paraId="0BCDF3E3" w14:textId="7EC3C4AE" w:rsidR="006F0489" w:rsidRPr="002A68EC" w:rsidRDefault="006F0489" w:rsidP="002A68EC">
      <w:pPr>
        <w:pStyle w:val="FootnoteText"/>
        <w:jc w:val="both"/>
      </w:pPr>
      <w:r w:rsidRPr="002A68EC">
        <w:rPr>
          <w:rStyle w:val="FootnoteReference"/>
        </w:rPr>
        <w:footnoteRef/>
      </w:r>
      <w:r w:rsidRPr="002A68EC">
        <w:t xml:space="preserve"> Art. 10(1)(c) WA.</w:t>
      </w:r>
    </w:p>
  </w:footnote>
  <w:footnote w:id="21">
    <w:p w14:paraId="488C5A4B" w14:textId="4B70C51D" w:rsidR="006F0489" w:rsidRPr="002A68EC" w:rsidRDefault="006F0489" w:rsidP="002A68EC">
      <w:pPr>
        <w:pStyle w:val="FootnoteText"/>
        <w:jc w:val="both"/>
      </w:pPr>
      <w:r w:rsidRPr="002A68EC">
        <w:rPr>
          <w:rStyle w:val="FootnoteReference"/>
        </w:rPr>
        <w:footnoteRef/>
      </w:r>
      <w:r w:rsidRPr="002A68EC">
        <w:t xml:space="preserve"> Art. 10(1)(e) WA.</w:t>
      </w:r>
    </w:p>
  </w:footnote>
  <w:footnote w:id="22">
    <w:p w14:paraId="20496017" w14:textId="4CF93773" w:rsidR="006F0489" w:rsidRPr="002A68EC" w:rsidRDefault="006F0489" w:rsidP="002A68EC">
      <w:pPr>
        <w:pStyle w:val="FootnoteText"/>
        <w:jc w:val="both"/>
      </w:pPr>
      <w:r w:rsidRPr="002A68EC">
        <w:rPr>
          <w:rStyle w:val="FootnoteReference"/>
        </w:rPr>
        <w:footnoteRef/>
      </w:r>
      <w:r w:rsidRPr="002A68EC">
        <w:t xml:space="preserve"> Art. 10(1)(e)(iii) WA.</w:t>
      </w:r>
    </w:p>
  </w:footnote>
  <w:footnote w:id="23">
    <w:p w14:paraId="6D1575CE" w14:textId="77777777" w:rsidR="006F0489" w:rsidRPr="002A68EC" w:rsidRDefault="006F0489" w:rsidP="002A68EC">
      <w:pPr>
        <w:jc w:val="both"/>
        <w:rPr>
          <w:sz w:val="20"/>
        </w:rPr>
      </w:pPr>
      <w:r w:rsidRPr="002A68EC">
        <w:rPr>
          <w:rStyle w:val="FootnoteReference"/>
          <w:sz w:val="20"/>
        </w:rPr>
        <w:footnoteRef/>
      </w:r>
      <w:r w:rsidRPr="002A68EC">
        <w:rPr>
          <w:sz w:val="20"/>
        </w:rPr>
        <w:t xml:space="preserve"> </w:t>
      </w:r>
      <w:r w:rsidRPr="002A68EC">
        <w:rPr>
          <w:sz w:val="20"/>
          <w:szCs w:val="27"/>
          <w:shd w:val="clear" w:color="auto" w:fill="FFFFFF"/>
        </w:rPr>
        <w:t>Articles 21, 45 or 49 TFEU and in Article 6(1), points (a), (b) or (c) of Article 7(1), Article 7(3), Article 14, Article 16(1) or Article 17(1).</w:t>
      </w:r>
    </w:p>
  </w:footnote>
  <w:footnote w:id="24">
    <w:p w14:paraId="0D019D07" w14:textId="1C35AD19" w:rsidR="006F0489" w:rsidRPr="002A68EC" w:rsidRDefault="006F0489" w:rsidP="002A68EC">
      <w:pPr>
        <w:pStyle w:val="FootnoteText"/>
        <w:jc w:val="both"/>
      </w:pPr>
      <w:r w:rsidRPr="002A68EC">
        <w:rPr>
          <w:rStyle w:val="FootnoteReference"/>
        </w:rPr>
        <w:footnoteRef/>
      </w:r>
      <w:r w:rsidRPr="002A68EC">
        <w:t xml:space="preserve"> The application of the ‘right to reside’ test required under the Immigration (European Economic Area) Regulations 2016 is critiqued extensively in O’Brien (2017), op. cit. </w:t>
      </w:r>
      <w:r w:rsidRPr="002A68EC">
        <w:rPr>
          <w:i/>
          <w:iCs/>
        </w:rPr>
        <w:t xml:space="preserve">supra </w:t>
      </w:r>
      <w:r w:rsidRPr="002A68EC">
        <w:t xml:space="preserve">note </w:t>
      </w:r>
      <w:r w:rsidRPr="002A68EC">
        <w:fldChar w:fldCharType="begin"/>
      </w:r>
      <w:r w:rsidRPr="002A68EC">
        <w:instrText xml:space="preserve"> NOTEREF _Ref15313420 \h  \* MERGEFORMAT </w:instrText>
      </w:r>
      <w:r w:rsidRPr="002A68EC">
        <w:fldChar w:fldCharType="separate"/>
      </w:r>
      <w:r w:rsidR="00A26A6A">
        <w:t>9</w:t>
      </w:r>
      <w:r w:rsidRPr="002A68EC">
        <w:fldChar w:fldCharType="end"/>
      </w:r>
      <w:r w:rsidRPr="002A68EC">
        <w:t xml:space="preserve">. </w:t>
      </w:r>
    </w:p>
  </w:footnote>
  <w:footnote w:id="25">
    <w:p w14:paraId="6DFA67DF" w14:textId="371DD30D" w:rsidR="006F0489" w:rsidRDefault="006F0489">
      <w:pPr>
        <w:pStyle w:val="FootnoteText"/>
      </w:pPr>
      <w:r>
        <w:rPr>
          <w:rStyle w:val="FootnoteReference"/>
        </w:rPr>
        <w:footnoteRef/>
      </w:r>
      <w:r>
        <w:t xml:space="preserve"> Arts. 24 </w:t>
      </w:r>
      <w:r w:rsidRPr="002A68EC">
        <w:rPr>
          <w:rFonts w:cs="Calibri"/>
          <w:lang w:val="en-US"/>
        </w:rPr>
        <w:t>1(h) and 24 (2)</w:t>
      </w:r>
      <w:r>
        <w:rPr>
          <w:rFonts w:cs="Calibri"/>
          <w:lang w:val="en-US"/>
        </w:rPr>
        <w:t xml:space="preserve"> WA.</w:t>
      </w:r>
    </w:p>
  </w:footnote>
  <w:footnote w:id="26">
    <w:p w14:paraId="46678484" w14:textId="50F4C01B" w:rsidR="006F0489" w:rsidRDefault="006F0489">
      <w:pPr>
        <w:pStyle w:val="FootnoteText"/>
      </w:pPr>
      <w:r>
        <w:rPr>
          <w:rStyle w:val="FootnoteReference"/>
        </w:rPr>
        <w:footnoteRef/>
      </w:r>
      <w:r>
        <w:t xml:space="preserve"> </w:t>
      </w:r>
      <w:r w:rsidRPr="002A68EC">
        <w:t xml:space="preserve">Case C-413/99, </w:t>
      </w:r>
      <w:r w:rsidRPr="002A68EC">
        <w:rPr>
          <w:i/>
          <w:iCs/>
        </w:rPr>
        <w:t>Baumbast</w:t>
      </w:r>
      <w:r w:rsidRPr="002A68EC">
        <w:t>,</w:t>
      </w:r>
      <w:r w:rsidRPr="002A68EC">
        <w:rPr>
          <w:i/>
          <w:iCs/>
        </w:rPr>
        <w:t xml:space="preserve"> </w:t>
      </w:r>
      <w:r w:rsidRPr="002A68EC">
        <w:t>EU:C:2002:493.</w:t>
      </w:r>
    </w:p>
  </w:footnote>
  <w:footnote w:id="27">
    <w:p w14:paraId="2A389D82" w14:textId="77777777" w:rsidR="006F0489" w:rsidRPr="002A68EC" w:rsidRDefault="006F0489" w:rsidP="003520F4">
      <w:pPr>
        <w:pStyle w:val="FootnoteText"/>
        <w:jc w:val="both"/>
      </w:pPr>
      <w:r w:rsidRPr="002A68EC">
        <w:rPr>
          <w:rStyle w:val="FootnoteReference"/>
        </w:rPr>
        <w:footnoteRef/>
      </w:r>
      <w:r w:rsidRPr="002A68EC">
        <w:t xml:space="preserve"> Case C-310/08, </w:t>
      </w:r>
      <w:r w:rsidRPr="002A68EC">
        <w:rPr>
          <w:i/>
          <w:iCs/>
        </w:rPr>
        <w:t xml:space="preserve">Ibrahim, </w:t>
      </w:r>
      <w:r w:rsidRPr="002A68EC">
        <w:t>EU:C:2009:641.</w:t>
      </w:r>
    </w:p>
  </w:footnote>
  <w:footnote w:id="28">
    <w:p w14:paraId="5934B4AC" w14:textId="1614E335" w:rsidR="006F0489" w:rsidRPr="002A68EC" w:rsidRDefault="006F0489" w:rsidP="002A68EC">
      <w:pPr>
        <w:pStyle w:val="FootnoteText"/>
        <w:jc w:val="both"/>
      </w:pPr>
      <w:r w:rsidRPr="002A68EC">
        <w:rPr>
          <w:rStyle w:val="FootnoteReference"/>
        </w:rPr>
        <w:footnoteRef/>
      </w:r>
      <w:r w:rsidRPr="002A68EC">
        <w:t xml:space="preserve"> Case C-480/08, </w:t>
      </w:r>
      <w:r w:rsidRPr="002A68EC">
        <w:rPr>
          <w:i/>
          <w:iCs/>
        </w:rPr>
        <w:t>Maria Teixeira</w:t>
      </w:r>
      <w:r w:rsidRPr="002A68EC">
        <w:t>,</w:t>
      </w:r>
      <w:r w:rsidRPr="002A68EC">
        <w:rPr>
          <w:i/>
          <w:iCs/>
        </w:rPr>
        <w:t xml:space="preserve"> </w:t>
      </w:r>
      <w:r w:rsidRPr="002A68EC">
        <w:t xml:space="preserve">EU:C:2009:642. </w:t>
      </w:r>
    </w:p>
  </w:footnote>
  <w:footnote w:id="29">
    <w:p w14:paraId="126E1288" w14:textId="0A5831BA" w:rsidR="006F0489" w:rsidRPr="002A68EC" w:rsidRDefault="006F0489" w:rsidP="002A68EC">
      <w:pPr>
        <w:jc w:val="both"/>
        <w:rPr>
          <w:sz w:val="20"/>
        </w:rPr>
      </w:pPr>
      <w:r w:rsidRPr="002A68EC">
        <w:rPr>
          <w:rStyle w:val="FootnoteReference"/>
          <w:sz w:val="20"/>
        </w:rPr>
        <w:footnoteRef/>
      </w:r>
      <w:r w:rsidRPr="002A68EC">
        <w:rPr>
          <w:sz w:val="20"/>
        </w:rPr>
        <w:t xml:space="preserve"> Eurostat, “</w:t>
      </w:r>
      <w:r w:rsidRPr="002A68EC">
        <w:rPr>
          <w:sz w:val="20"/>
          <w:szCs w:val="20"/>
        </w:rPr>
        <w:t>In the EU, GDP down by 11.7% and employment down by 2.6%</w:t>
      </w:r>
      <w:r w:rsidRPr="002A68EC">
        <w:rPr>
          <w:sz w:val="20"/>
        </w:rPr>
        <w:t xml:space="preserve">”, </w:t>
      </w:r>
      <w:r w:rsidRPr="002A68EC">
        <w:rPr>
          <w:i/>
          <w:iCs/>
          <w:sz w:val="20"/>
        </w:rPr>
        <w:t>News Release: Euro Indicators</w:t>
      </w:r>
      <w:r w:rsidRPr="002A68EC">
        <w:rPr>
          <w:sz w:val="20"/>
        </w:rPr>
        <w:t>, 125/2020, 14 August 2020.</w:t>
      </w:r>
    </w:p>
  </w:footnote>
  <w:footnote w:id="30">
    <w:p w14:paraId="4AD1EE62" w14:textId="7785B01F" w:rsidR="006F0489" w:rsidRPr="002A68EC" w:rsidRDefault="006F0489" w:rsidP="002A68EC">
      <w:pPr>
        <w:pStyle w:val="FootnoteText"/>
        <w:jc w:val="both"/>
      </w:pPr>
      <w:r w:rsidRPr="002A68EC">
        <w:rPr>
          <w:rStyle w:val="FootnoteReference"/>
        </w:rPr>
        <w:footnoteRef/>
      </w:r>
      <w:r w:rsidRPr="002A68EC">
        <w:t xml:space="preserve"> Case C-529/11, </w:t>
      </w:r>
      <w:r w:rsidRPr="002A68EC">
        <w:rPr>
          <w:i/>
          <w:iCs/>
        </w:rPr>
        <w:t>Alarape and Tijani v Secretary of State for the Home Department</w:t>
      </w:r>
      <w:r w:rsidRPr="002A68EC">
        <w:t>,</w:t>
      </w:r>
      <w:r w:rsidRPr="002A68EC">
        <w:rPr>
          <w:i/>
          <w:iCs/>
        </w:rPr>
        <w:t xml:space="preserve"> </w:t>
      </w:r>
      <w:r w:rsidRPr="002A68EC">
        <w:t xml:space="preserve">EU:C:2013:290. </w:t>
      </w:r>
    </w:p>
  </w:footnote>
  <w:footnote w:id="31">
    <w:p w14:paraId="2BA712BA" w14:textId="5B6E3D01" w:rsidR="006F0489" w:rsidRPr="002A68EC" w:rsidRDefault="006F0489" w:rsidP="002A68EC">
      <w:pPr>
        <w:pStyle w:val="FootnoteText"/>
        <w:jc w:val="both"/>
      </w:pPr>
      <w:r w:rsidRPr="002A68EC">
        <w:rPr>
          <w:rStyle w:val="FootnoteReference"/>
        </w:rPr>
        <w:footnoteRef/>
      </w:r>
      <w:r w:rsidRPr="002A68EC">
        <w:t xml:space="preserve"> </w:t>
      </w:r>
      <w:r w:rsidRPr="002A68EC">
        <w:rPr>
          <w:rFonts w:cs="Calibri"/>
        </w:rPr>
        <w:t>or for the period specified in Article 17 of Directive 2004/38/EC.</w:t>
      </w:r>
    </w:p>
  </w:footnote>
  <w:footnote w:id="32">
    <w:p w14:paraId="0250B358" w14:textId="582F47EE" w:rsidR="006F0489" w:rsidRPr="002A68EC" w:rsidRDefault="006F0489" w:rsidP="002A68EC">
      <w:pPr>
        <w:pStyle w:val="FootnoteText"/>
        <w:jc w:val="both"/>
      </w:pPr>
      <w:r w:rsidRPr="002A68EC">
        <w:rPr>
          <w:rStyle w:val="FootnoteReference"/>
        </w:rPr>
        <w:footnoteRef/>
      </w:r>
      <w:r w:rsidRPr="002A68EC">
        <w:t xml:space="preserve"> Spaventa, “The rights of citizens under the Withdrawal Agreement: a critical analysis” EL Rev. (2020), </w:t>
      </w:r>
    </w:p>
    <w:p w14:paraId="40EAB3D2" w14:textId="0F2DD556" w:rsidR="006F0489" w:rsidRPr="002A68EC" w:rsidRDefault="006F0489" w:rsidP="002A68EC">
      <w:pPr>
        <w:pStyle w:val="FootnoteText"/>
        <w:jc w:val="both"/>
      </w:pPr>
      <w:r w:rsidRPr="002A68EC">
        <w:t xml:space="preserve">45(2), 193, 198. </w:t>
      </w:r>
    </w:p>
  </w:footnote>
  <w:footnote w:id="33">
    <w:p w14:paraId="76DAF461" w14:textId="0E985D40" w:rsidR="006F0489" w:rsidRPr="002A68EC" w:rsidRDefault="006F0489" w:rsidP="002A68EC">
      <w:pPr>
        <w:pStyle w:val="FootnoteText"/>
        <w:jc w:val="both"/>
      </w:pPr>
      <w:r w:rsidRPr="002A68EC">
        <w:rPr>
          <w:rStyle w:val="FootnoteReference"/>
        </w:rPr>
        <w:footnoteRef/>
      </w:r>
      <w:r w:rsidRPr="002A68EC">
        <w:t xml:space="preserve"> Peers,</w:t>
      </w:r>
      <w:r w:rsidRPr="002A68EC">
        <w:rPr>
          <w:i/>
          <w:iCs/>
        </w:rPr>
        <w:t xml:space="preserve"> </w:t>
      </w:r>
      <w:r w:rsidRPr="002A68EC">
        <w:t>“Analysis 4 of the Withdrawal Agreement: Citizens’ rights” (19 October 2019), available at: http://eulawanalysis.blogspot.com/2019/10/analysis-4-of-revised-brexit-withdrawal.html.</w:t>
      </w:r>
    </w:p>
  </w:footnote>
  <w:footnote w:id="34">
    <w:p w14:paraId="05771130" w14:textId="5A65A517" w:rsidR="006F0489" w:rsidRPr="002A68EC" w:rsidRDefault="006F0489" w:rsidP="002A68EC">
      <w:pPr>
        <w:pStyle w:val="FootnoteText"/>
        <w:jc w:val="both"/>
      </w:pPr>
      <w:r w:rsidRPr="002A68EC">
        <w:rPr>
          <w:rStyle w:val="FootnoteReference"/>
        </w:rPr>
        <w:footnoteRef/>
      </w:r>
      <w:r w:rsidRPr="002A68EC">
        <w:t xml:space="preserve"> Art. 18(1)(h) WA.</w:t>
      </w:r>
    </w:p>
  </w:footnote>
  <w:footnote w:id="35">
    <w:p w14:paraId="5D49CD1C" w14:textId="575F208C" w:rsidR="006F0489" w:rsidRPr="002A68EC" w:rsidRDefault="006F0489" w:rsidP="002A68EC">
      <w:pPr>
        <w:pStyle w:val="FootnoteText"/>
        <w:jc w:val="both"/>
      </w:pPr>
      <w:r w:rsidRPr="002A68EC">
        <w:rPr>
          <w:rStyle w:val="FootnoteReference"/>
        </w:rPr>
        <w:footnoteRef/>
      </w:r>
      <w:r w:rsidRPr="002A68EC">
        <w:t xml:space="preserve"> Art. 12 WA.</w:t>
      </w:r>
    </w:p>
  </w:footnote>
  <w:footnote w:id="36">
    <w:p w14:paraId="1DCA673F" w14:textId="23008F65" w:rsidR="006F0489" w:rsidRPr="002A68EC" w:rsidRDefault="006F0489" w:rsidP="002A68EC">
      <w:pPr>
        <w:pStyle w:val="FootnoteText"/>
        <w:jc w:val="both"/>
      </w:pPr>
      <w:r w:rsidRPr="002A68EC">
        <w:rPr>
          <w:rStyle w:val="FootnoteReference"/>
        </w:rPr>
        <w:footnoteRef/>
      </w:r>
      <w:r w:rsidRPr="002A68EC">
        <w:t xml:space="preserve"> Art. 24 WA.</w:t>
      </w:r>
    </w:p>
  </w:footnote>
  <w:footnote w:id="37">
    <w:p w14:paraId="77A6783B" w14:textId="6B27DBEB" w:rsidR="006F0489" w:rsidRPr="002A68EC" w:rsidRDefault="006F0489" w:rsidP="002A68EC">
      <w:pPr>
        <w:pStyle w:val="FootnoteText"/>
        <w:jc w:val="both"/>
      </w:pPr>
      <w:r w:rsidRPr="002A68EC">
        <w:rPr>
          <w:rStyle w:val="FootnoteReference"/>
        </w:rPr>
        <w:footnoteRef/>
      </w:r>
      <w:r w:rsidRPr="002A68EC">
        <w:t xml:space="preserve"> Dougan, “So Long, Farewell, Auf Wiedersehen, Goodbye: The UK’s Withdrawal Package” CML Rev. (2020), 57(3), 631, 668.</w:t>
      </w:r>
    </w:p>
  </w:footnote>
  <w:footnote w:id="38">
    <w:p w14:paraId="4EB13ED8" w14:textId="73170642" w:rsidR="006F0489" w:rsidRPr="002A68EC" w:rsidRDefault="006F0489" w:rsidP="002A68EC">
      <w:pPr>
        <w:pStyle w:val="FootnoteText"/>
        <w:jc w:val="both"/>
        <w:rPr>
          <w:i/>
          <w:iCs/>
          <w:lang w:val="en-US"/>
        </w:rPr>
      </w:pPr>
      <w:r w:rsidRPr="002A68EC">
        <w:rPr>
          <w:rStyle w:val="FootnoteReference"/>
        </w:rPr>
        <w:footnoteRef/>
      </w:r>
      <w:r w:rsidRPr="002A68EC">
        <w:t xml:space="preserve"> Art. 7(3) of Directive 2004/38; Case C-325/09 </w:t>
      </w:r>
      <w:r w:rsidRPr="002A68EC">
        <w:rPr>
          <w:i/>
          <w:iCs/>
        </w:rPr>
        <w:t xml:space="preserve">Secretary of State for Work and Pensions v Maria Dias </w:t>
      </w:r>
      <w:r w:rsidRPr="002A68EC">
        <w:t>EU:C:2011:498.</w:t>
      </w:r>
    </w:p>
  </w:footnote>
  <w:footnote w:id="39">
    <w:p w14:paraId="1F8DBEE3" w14:textId="69759E70" w:rsidR="006F0489" w:rsidRDefault="006F0489">
      <w:pPr>
        <w:pStyle w:val="FootnoteText"/>
      </w:pPr>
      <w:r>
        <w:rPr>
          <w:rStyle w:val="FootnoteReference"/>
        </w:rPr>
        <w:footnoteRef/>
      </w:r>
      <w:r>
        <w:t xml:space="preserve"> As in Case C-200/02 </w:t>
      </w:r>
      <w:r>
        <w:rPr>
          <w:i/>
          <w:iCs/>
        </w:rPr>
        <w:t xml:space="preserve">Chen </w:t>
      </w:r>
      <w:r w:rsidRPr="00570118">
        <w:t>EU:C:2004:639</w:t>
      </w:r>
      <w:r>
        <w:t>.</w:t>
      </w:r>
    </w:p>
  </w:footnote>
  <w:footnote w:id="40">
    <w:p w14:paraId="67DC1314" w14:textId="25615364" w:rsidR="006F0489" w:rsidRPr="002A68EC" w:rsidRDefault="006F0489" w:rsidP="002A68EC">
      <w:pPr>
        <w:autoSpaceDE w:val="0"/>
        <w:autoSpaceDN w:val="0"/>
        <w:adjustRightInd w:val="0"/>
        <w:jc w:val="both"/>
        <w:rPr>
          <w:rFonts w:eastAsiaTheme="minorHAnsi"/>
          <w:sz w:val="20"/>
          <w:szCs w:val="18"/>
        </w:rPr>
      </w:pPr>
      <w:r w:rsidRPr="002A68EC">
        <w:rPr>
          <w:rStyle w:val="FootnoteReference"/>
          <w:sz w:val="20"/>
        </w:rPr>
        <w:footnoteRef/>
      </w:r>
      <w:r w:rsidRPr="002A68EC">
        <w:rPr>
          <w:sz w:val="20"/>
        </w:rPr>
        <w:t xml:space="preserve"> </w:t>
      </w:r>
      <w:r w:rsidRPr="002A68EC">
        <w:rPr>
          <w:rFonts w:eastAsiaTheme="minorHAnsi"/>
          <w:sz w:val="20"/>
          <w:szCs w:val="18"/>
        </w:rPr>
        <w:t>The Minimum Earnings Threshold, in Department of Work and Pensions (“DWP”) Decision Maker Guidance, “Habitual residence &amp; right to reside – IS/JSA/SPC/ESA” (June 2015), at 073035; available at: &lt;www.gov.uk/government/uploads/system/uploads/attachment_data/file/497585/dmgch07</w:t>
      </w:r>
    </w:p>
    <w:p w14:paraId="3C966830" w14:textId="55580FB5" w:rsidR="006F0489" w:rsidRPr="002A68EC" w:rsidRDefault="006F0489" w:rsidP="002A68EC">
      <w:pPr>
        <w:pStyle w:val="FootnoteText"/>
        <w:jc w:val="both"/>
      </w:pPr>
      <w:r w:rsidRPr="002A68EC">
        <w:rPr>
          <w:rFonts w:eastAsiaTheme="minorHAnsi"/>
          <w:szCs w:val="18"/>
        </w:rPr>
        <w:t>03.pdf&gt;. For discussion see O’Brien, “Civis capitalist sum: class as the new guiding principle of EU free movement rights”, 53 CML Rev. (2016), 937; O’Brien, “The pillory, the precipice and the slippery slope: the profound effects of the UK's legal reform programme targeting EU migrants”, 37(1) </w:t>
      </w:r>
      <w:r w:rsidRPr="002A68EC">
        <w:rPr>
          <w:rFonts w:eastAsiaTheme="minorHAnsi"/>
          <w:i/>
          <w:szCs w:val="18"/>
        </w:rPr>
        <w:t>Journal of Social Welfare and Family Law</w:t>
      </w:r>
      <w:r w:rsidRPr="002A68EC">
        <w:rPr>
          <w:rFonts w:eastAsiaTheme="minorHAnsi"/>
          <w:szCs w:val="18"/>
        </w:rPr>
        <w:t xml:space="preserve">, (2015), 111. </w:t>
      </w:r>
    </w:p>
  </w:footnote>
  <w:footnote w:id="41">
    <w:p w14:paraId="4C4E8E2C" w14:textId="3CF666D3" w:rsidR="006F0489" w:rsidRPr="002A68EC" w:rsidRDefault="006F0489" w:rsidP="002A68EC">
      <w:pPr>
        <w:pStyle w:val="FootnoteText"/>
        <w:jc w:val="both"/>
      </w:pPr>
      <w:r w:rsidRPr="002A68EC">
        <w:rPr>
          <w:rStyle w:val="FootnoteReference"/>
        </w:rPr>
        <w:footnoteRef/>
      </w:r>
      <w:r w:rsidRPr="002A68EC">
        <w:t xml:space="preserve"> Dougan, (2020), op. cit. </w:t>
      </w:r>
      <w:r w:rsidRPr="002A68EC">
        <w:rPr>
          <w:i/>
          <w:iCs/>
        </w:rPr>
        <w:t xml:space="preserve">supra </w:t>
      </w:r>
      <w:r w:rsidRPr="002A68EC">
        <w:t xml:space="preserve">note </w:t>
      </w:r>
      <w:r w:rsidRPr="002A68EC">
        <w:fldChar w:fldCharType="begin"/>
      </w:r>
      <w:r w:rsidRPr="002A68EC">
        <w:instrText xml:space="preserve"> NOTEREF _Ref54781294 \h  \* MERGEFORMAT </w:instrText>
      </w:r>
      <w:r w:rsidRPr="002A68EC">
        <w:fldChar w:fldCharType="separate"/>
      </w:r>
      <w:r w:rsidR="00A26A6A">
        <w:t>38</w:t>
      </w:r>
      <w:r w:rsidRPr="002A68EC">
        <w:fldChar w:fldCharType="end"/>
      </w:r>
      <w:r w:rsidRPr="002A68EC">
        <w:t>, 669.</w:t>
      </w:r>
    </w:p>
  </w:footnote>
  <w:footnote w:id="42">
    <w:p w14:paraId="6140AE59" w14:textId="5289A457" w:rsidR="006F0489" w:rsidRPr="002A68EC" w:rsidRDefault="006F0489" w:rsidP="002A68EC">
      <w:pPr>
        <w:pStyle w:val="FootnoteText"/>
        <w:jc w:val="both"/>
      </w:pPr>
      <w:r w:rsidRPr="002A68EC">
        <w:rPr>
          <w:rStyle w:val="FootnoteReference"/>
        </w:rPr>
        <w:footnoteRef/>
      </w:r>
      <w:r w:rsidRPr="002A68EC">
        <w:t xml:space="preserve"> Case C-184/99, </w:t>
      </w:r>
      <w:r w:rsidRPr="002A68EC">
        <w:rPr>
          <w:i/>
          <w:iCs/>
        </w:rPr>
        <w:t>Grzelczyk</w:t>
      </w:r>
      <w:r w:rsidRPr="002A68EC">
        <w:t>,</w:t>
      </w:r>
      <w:r w:rsidRPr="002A68EC">
        <w:rPr>
          <w:i/>
          <w:iCs/>
        </w:rPr>
        <w:t xml:space="preserve"> </w:t>
      </w:r>
      <w:r w:rsidRPr="002A68EC">
        <w:t>EU:C:2001:458, 31, 44.</w:t>
      </w:r>
    </w:p>
  </w:footnote>
  <w:footnote w:id="43">
    <w:p w14:paraId="40E5529D" w14:textId="0759E050" w:rsidR="006F0489" w:rsidRPr="002A68EC" w:rsidRDefault="006F0489" w:rsidP="002A68EC">
      <w:pPr>
        <w:pStyle w:val="FootnoteText"/>
        <w:jc w:val="both"/>
      </w:pPr>
      <w:r w:rsidRPr="002A68EC">
        <w:rPr>
          <w:rStyle w:val="FootnoteReference"/>
        </w:rPr>
        <w:footnoteRef/>
      </w:r>
      <w:r w:rsidRPr="002A68EC">
        <w:t xml:space="preserve"> Case C-413/99, </w:t>
      </w:r>
      <w:r w:rsidRPr="002A68EC">
        <w:rPr>
          <w:i/>
          <w:iCs/>
        </w:rPr>
        <w:t>Baumbast</w:t>
      </w:r>
      <w:r w:rsidRPr="002A68EC">
        <w:t>,</w:t>
      </w:r>
      <w:r w:rsidRPr="002A68EC">
        <w:rPr>
          <w:i/>
          <w:iCs/>
        </w:rPr>
        <w:t xml:space="preserve"> </w:t>
      </w:r>
      <w:r w:rsidRPr="002A68EC">
        <w:t>EU:C:2002:493.</w:t>
      </w:r>
    </w:p>
  </w:footnote>
  <w:footnote w:id="44">
    <w:p w14:paraId="052E29E9" w14:textId="6773C8DA" w:rsidR="006F0489" w:rsidRPr="002A68EC" w:rsidRDefault="006F0489" w:rsidP="002A68EC">
      <w:pPr>
        <w:pStyle w:val="FootnoteText"/>
        <w:jc w:val="both"/>
        <w:rPr>
          <w:i/>
          <w:iCs/>
        </w:rPr>
      </w:pPr>
      <w:r w:rsidRPr="002A68EC">
        <w:rPr>
          <w:rStyle w:val="FootnoteReference"/>
        </w:rPr>
        <w:footnoteRef/>
      </w:r>
      <w:r w:rsidRPr="002A68EC">
        <w:t xml:space="preserve"> Case C-67/14</w:t>
      </w:r>
      <w:r w:rsidRPr="002A68EC">
        <w:rPr>
          <w:i/>
          <w:iCs/>
        </w:rPr>
        <w:t xml:space="preserve">, Alimanovic, </w:t>
      </w:r>
      <w:r w:rsidRPr="002A68EC">
        <w:t>EU:C:2015:597.</w:t>
      </w:r>
    </w:p>
  </w:footnote>
  <w:footnote w:id="45">
    <w:p w14:paraId="6C9480EF" w14:textId="1175544A" w:rsidR="006F0489" w:rsidRPr="002A68EC" w:rsidRDefault="006F0489" w:rsidP="002A68EC">
      <w:pPr>
        <w:pStyle w:val="FootnoteText"/>
        <w:jc w:val="both"/>
        <w:rPr>
          <w:iCs/>
        </w:rPr>
      </w:pPr>
      <w:r w:rsidRPr="002A68EC">
        <w:rPr>
          <w:rStyle w:val="FootnoteReference"/>
        </w:rPr>
        <w:footnoteRef/>
      </w:r>
      <w:r w:rsidRPr="002A68EC">
        <w:t xml:space="preserve"> European Commission in Case C-308/14, </w:t>
      </w:r>
      <w:r w:rsidRPr="002A68EC">
        <w:rPr>
          <w:i/>
        </w:rPr>
        <w:t xml:space="preserve">Commission v UK, </w:t>
      </w:r>
      <w:r w:rsidRPr="002A68EC">
        <w:t xml:space="preserve">EU:C:2016:436, </w:t>
      </w:r>
      <w:r w:rsidRPr="002A68EC">
        <w:rPr>
          <w:iCs/>
        </w:rPr>
        <w:t>47.</w:t>
      </w:r>
    </w:p>
  </w:footnote>
  <w:footnote w:id="46">
    <w:p w14:paraId="6C8321C9" w14:textId="79908018" w:rsidR="006F0489" w:rsidRPr="002A68EC" w:rsidRDefault="006F0489" w:rsidP="002A68EC">
      <w:pPr>
        <w:pStyle w:val="FootnoteText"/>
        <w:jc w:val="both"/>
        <w:rPr>
          <w:i/>
          <w:iCs/>
        </w:rPr>
      </w:pPr>
      <w:r w:rsidRPr="002A68EC">
        <w:rPr>
          <w:rStyle w:val="FootnoteReference"/>
        </w:rPr>
        <w:footnoteRef/>
      </w:r>
      <w:r w:rsidRPr="002A68EC">
        <w:t xml:space="preserve"> </w:t>
      </w:r>
      <w:r w:rsidRPr="002A68EC">
        <w:rPr>
          <w:i/>
          <w:iCs/>
        </w:rPr>
        <w:t xml:space="preserve">Mirga and Samin v Secretary of State for Work and Pensions and Anor </w:t>
      </w:r>
      <w:r w:rsidRPr="002A68EC">
        <w:t>[2016] UKSC 1.</w:t>
      </w:r>
    </w:p>
  </w:footnote>
  <w:footnote w:id="47">
    <w:p w14:paraId="552FF8E4" w14:textId="7AC9EF49" w:rsidR="006F0489" w:rsidRPr="002A68EC" w:rsidRDefault="006F0489" w:rsidP="002A68EC">
      <w:pPr>
        <w:pStyle w:val="FootnoteText"/>
        <w:jc w:val="both"/>
      </w:pPr>
      <w:r w:rsidRPr="002A68EC">
        <w:rPr>
          <w:rStyle w:val="FootnoteReference"/>
        </w:rPr>
        <w:footnoteRef/>
      </w:r>
      <w:r w:rsidRPr="002A68EC">
        <w:t xml:space="preserve"> </w:t>
      </w:r>
      <w:r w:rsidRPr="002A68EC">
        <w:rPr>
          <w:i/>
          <w:iCs/>
          <w:lang w:val="en-US"/>
        </w:rPr>
        <w:t>LO v Secretary of State for Work and Pensions</w:t>
      </w:r>
      <w:r w:rsidRPr="002A68EC">
        <w:rPr>
          <w:lang w:val="en-US"/>
        </w:rPr>
        <w:t xml:space="preserve"> [2017] UKUT; </w:t>
      </w:r>
      <w:r w:rsidRPr="002A68EC">
        <w:rPr>
          <w:i/>
          <w:iCs/>
          <w:lang w:val="en-US"/>
        </w:rPr>
        <w:t xml:space="preserve">JK v Secretary of State for Work and Pensions (SPC); </w:t>
      </w:r>
      <w:r w:rsidRPr="002A68EC">
        <w:rPr>
          <w:lang w:val="en-US"/>
        </w:rPr>
        <w:t xml:space="preserve">[2017] UKUT 0179 (AAC); </w:t>
      </w:r>
      <w:r w:rsidRPr="002A68EC">
        <w:rPr>
          <w:i/>
          <w:iCs/>
          <w:lang w:val="en-US"/>
        </w:rPr>
        <w:t>Secretary of State for Work and Pensions v AC</w:t>
      </w:r>
      <w:r w:rsidRPr="002A68EC">
        <w:rPr>
          <w:lang w:val="en-US"/>
        </w:rPr>
        <w:t xml:space="preserve"> </w:t>
      </w:r>
      <w:r w:rsidRPr="002A68EC">
        <w:t>[2017] UKUT 130 (AAC).</w:t>
      </w:r>
    </w:p>
  </w:footnote>
  <w:footnote w:id="48">
    <w:p w14:paraId="3162AD6E" w14:textId="525966D3" w:rsidR="006F0489" w:rsidRPr="002A68EC" w:rsidRDefault="006F0489" w:rsidP="002A68EC">
      <w:pPr>
        <w:pStyle w:val="FootnoteText"/>
        <w:jc w:val="both"/>
        <w:rPr>
          <w:lang w:val="en-US"/>
        </w:rPr>
      </w:pPr>
      <w:r w:rsidRPr="002A68EC">
        <w:rPr>
          <w:rStyle w:val="FootnoteReference"/>
        </w:rPr>
        <w:footnoteRef/>
      </w:r>
      <w:r w:rsidRPr="002A68EC">
        <w:t xml:space="preserve"> [2016] UKUT 511 (AAC). For the contrasting approach of Upper Tribunal Judge Ward, see </w:t>
      </w:r>
      <w:r w:rsidRPr="002A68EC">
        <w:rPr>
          <w:i/>
          <w:iCs/>
        </w:rPr>
        <w:t>AMS v Secretary of State for Work and Pensions</w:t>
      </w:r>
      <w:r w:rsidRPr="002A68EC">
        <w:t xml:space="preserve"> [2017] UKUT 381 (AAC).</w:t>
      </w:r>
    </w:p>
  </w:footnote>
  <w:footnote w:id="49">
    <w:p w14:paraId="39A50F12" w14:textId="0FAA1E58" w:rsidR="006F0489" w:rsidRDefault="006F0489">
      <w:pPr>
        <w:pStyle w:val="FootnoteText"/>
      </w:pPr>
      <w:r>
        <w:rPr>
          <w:rStyle w:val="FootnoteReference"/>
        </w:rPr>
        <w:footnoteRef/>
      </w:r>
      <w:r>
        <w:t xml:space="preserve"> Ibid, 11.</w:t>
      </w:r>
    </w:p>
  </w:footnote>
  <w:footnote w:id="50">
    <w:p w14:paraId="39EC14E4" w14:textId="7C4C635A" w:rsidR="006F0489" w:rsidRDefault="006F0489">
      <w:pPr>
        <w:pStyle w:val="FootnoteText"/>
      </w:pPr>
      <w:r>
        <w:rPr>
          <w:rStyle w:val="FootnoteReference"/>
        </w:rPr>
        <w:footnoteRef/>
      </w:r>
      <w:r>
        <w:t xml:space="preserve"> Art. 3(2) Directive 2004/38. This provision is reproduced in Art. 10(4) WA.</w:t>
      </w:r>
    </w:p>
  </w:footnote>
  <w:footnote w:id="51">
    <w:p w14:paraId="2CFB92EA" w14:textId="1D2058F9" w:rsidR="006F0489" w:rsidRDefault="006F0489">
      <w:pPr>
        <w:pStyle w:val="FootnoteText"/>
      </w:pPr>
      <w:r>
        <w:rPr>
          <w:rStyle w:val="FootnoteReference"/>
        </w:rPr>
        <w:footnoteRef/>
      </w:r>
      <w:r>
        <w:t xml:space="preserve"> Reg. 8(5) of the </w:t>
      </w:r>
      <w:r w:rsidRPr="00FD1450">
        <w:t>Immigration (European Economic Area) Regulations 2016</w:t>
      </w:r>
      <w:r>
        <w:t>.</w:t>
      </w:r>
    </w:p>
  </w:footnote>
  <w:footnote w:id="52">
    <w:p w14:paraId="645AA729" w14:textId="0220AA6F" w:rsidR="006F0489" w:rsidRPr="002A68EC" w:rsidRDefault="006F0489" w:rsidP="002A68EC">
      <w:pPr>
        <w:pStyle w:val="FootnoteText"/>
        <w:jc w:val="both"/>
      </w:pPr>
      <w:r w:rsidRPr="002A68EC">
        <w:rPr>
          <w:rStyle w:val="FootnoteReference"/>
        </w:rPr>
        <w:footnoteRef/>
      </w:r>
      <w:r w:rsidRPr="002A68EC">
        <w:t xml:space="preserve"> See </w:t>
      </w:r>
      <w:r w:rsidRPr="002A68EC">
        <w:rPr>
          <w:i/>
          <w:iCs/>
        </w:rPr>
        <w:t xml:space="preserve">Zalewska v Department for Social Development (Northern Ireland) </w:t>
      </w:r>
      <w:r w:rsidRPr="002A68EC">
        <w:t>[2008] UKHL 67.</w:t>
      </w:r>
    </w:p>
  </w:footnote>
  <w:footnote w:id="53">
    <w:p w14:paraId="0C2B2103" w14:textId="762312B3" w:rsidR="006F0489" w:rsidRPr="002A68EC" w:rsidRDefault="006F0489" w:rsidP="002A68EC">
      <w:pPr>
        <w:pStyle w:val="FootnoteText"/>
        <w:jc w:val="both"/>
      </w:pPr>
      <w:r w:rsidRPr="002A68EC">
        <w:rPr>
          <w:rStyle w:val="FootnoteReference"/>
        </w:rPr>
        <w:footnoteRef/>
      </w:r>
      <w:r w:rsidRPr="002A68EC">
        <w:t xml:space="preserve"> O’Brien, (2017), op. cit. </w:t>
      </w:r>
      <w:r w:rsidRPr="002A68EC">
        <w:rPr>
          <w:i/>
          <w:iCs/>
        </w:rPr>
        <w:t xml:space="preserve">supra </w:t>
      </w:r>
      <w:r w:rsidRPr="002A68EC">
        <w:t xml:space="preserve">note </w:t>
      </w:r>
      <w:r w:rsidRPr="002A68EC">
        <w:fldChar w:fldCharType="begin"/>
      </w:r>
      <w:r w:rsidRPr="002A68EC">
        <w:instrText xml:space="preserve"> NOTEREF _Ref15313420 \h  \* MERGEFORMAT </w:instrText>
      </w:r>
      <w:r w:rsidRPr="002A68EC">
        <w:fldChar w:fldCharType="separate"/>
      </w:r>
      <w:r w:rsidR="00A26A6A">
        <w:t>9</w:t>
      </w:r>
      <w:r w:rsidRPr="002A68EC">
        <w:fldChar w:fldCharType="end"/>
      </w:r>
      <w:r w:rsidRPr="002A68EC">
        <w:t>.</w:t>
      </w:r>
    </w:p>
  </w:footnote>
  <w:footnote w:id="54">
    <w:p w14:paraId="54ECA032" w14:textId="19B517D7" w:rsidR="006F0489" w:rsidRPr="002A68EC" w:rsidRDefault="006F0489" w:rsidP="002A68EC">
      <w:pPr>
        <w:pStyle w:val="FootnoteText"/>
        <w:jc w:val="both"/>
      </w:pPr>
      <w:r w:rsidRPr="002A68EC">
        <w:rPr>
          <w:rStyle w:val="FootnoteReference"/>
        </w:rPr>
        <w:footnoteRef/>
      </w:r>
      <w:r w:rsidRPr="002A68EC">
        <w:t xml:space="preserve"> O’Brien, “</w:t>
      </w:r>
      <w:r w:rsidRPr="002A68EC">
        <w:rPr>
          <w:i/>
          <w:iCs/>
        </w:rPr>
        <w:t>Acte cryptique</w:t>
      </w:r>
      <w:r w:rsidRPr="002A68EC">
        <w:t xml:space="preserve">? </w:t>
      </w:r>
      <w:r w:rsidRPr="002A68EC">
        <w:rPr>
          <w:i/>
          <w:iCs/>
        </w:rPr>
        <w:t>Zambrano</w:t>
      </w:r>
      <w:r w:rsidRPr="002A68EC">
        <w:t>, welfare rights, and underclass citizenship in the tale of the missing preliminary reference”, CML Rev. (2019), 56(6), 1697.</w:t>
      </w:r>
    </w:p>
  </w:footnote>
  <w:footnote w:id="55">
    <w:p w14:paraId="19FBF0DB" w14:textId="16CBA3EB" w:rsidR="006F0489" w:rsidRPr="002A68EC" w:rsidRDefault="006F0489" w:rsidP="002A68EC">
      <w:pPr>
        <w:pStyle w:val="FootnoteText"/>
        <w:jc w:val="both"/>
      </w:pPr>
      <w:r w:rsidRPr="002A68EC">
        <w:rPr>
          <w:rStyle w:val="FootnoteReference"/>
        </w:rPr>
        <w:footnoteRef/>
      </w:r>
      <w:r w:rsidRPr="002A68EC">
        <w:t xml:space="preserve"> Art. 158(1) WA.</w:t>
      </w:r>
    </w:p>
  </w:footnote>
  <w:footnote w:id="56">
    <w:p w14:paraId="6BCDD1FB" w14:textId="08551BB8" w:rsidR="006F0489" w:rsidRPr="002A68EC" w:rsidRDefault="006F0489" w:rsidP="002A68EC">
      <w:pPr>
        <w:pStyle w:val="FootnoteText"/>
        <w:jc w:val="both"/>
      </w:pPr>
      <w:r w:rsidRPr="002A68EC">
        <w:rPr>
          <w:rStyle w:val="FootnoteReference"/>
        </w:rPr>
        <w:footnoteRef/>
      </w:r>
      <w:r w:rsidRPr="002A68EC">
        <w:t xml:space="preserve"> Art.18(1)(r).</w:t>
      </w:r>
    </w:p>
  </w:footnote>
  <w:footnote w:id="57">
    <w:p w14:paraId="0F9E03D3" w14:textId="289353A9" w:rsidR="006F0489" w:rsidRPr="002A68EC" w:rsidRDefault="006F0489" w:rsidP="002A68EC">
      <w:pPr>
        <w:pStyle w:val="FootnoteText"/>
        <w:jc w:val="both"/>
      </w:pPr>
      <w:r w:rsidRPr="002A68EC">
        <w:rPr>
          <w:rStyle w:val="FootnoteReference"/>
        </w:rPr>
        <w:footnoteRef/>
      </w:r>
      <w:r w:rsidRPr="002A68EC">
        <w:t xml:space="preserve"> Letter from Michel Barnier, 6 February 2019, tf50(2019)318516, shared by Alyn Smith.  </w:t>
      </w:r>
    </w:p>
  </w:footnote>
  <w:footnote w:id="58">
    <w:p w14:paraId="61CC3894" w14:textId="0FF19B96" w:rsidR="006F0489" w:rsidRPr="002A68EC" w:rsidRDefault="006F0489" w:rsidP="002A68EC">
      <w:pPr>
        <w:pStyle w:val="FootnoteText"/>
        <w:jc w:val="both"/>
        <w:rPr>
          <w:i/>
          <w:iCs/>
        </w:rPr>
      </w:pPr>
      <w:r w:rsidRPr="002A68EC">
        <w:rPr>
          <w:rStyle w:val="FootnoteReference"/>
        </w:rPr>
        <w:footnoteRef/>
      </w:r>
      <w:r w:rsidRPr="002A68EC">
        <w:t xml:space="preserve"> Case C-224/98</w:t>
      </w:r>
      <w:r w:rsidRPr="002A68EC">
        <w:rPr>
          <w:i/>
          <w:iCs/>
        </w:rPr>
        <w:t xml:space="preserve"> Marie-Nathalie D’Hoop v Office National de L’Emploi </w:t>
      </w:r>
      <w:r w:rsidRPr="002A68EC">
        <w:t>EU:C:2002:432, 39.</w:t>
      </w:r>
      <w:r w:rsidRPr="002A68EC">
        <w:rPr>
          <w:i/>
          <w:iCs/>
        </w:rPr>
        <w:t xml:space="preserve"> </w:t>
      </w:r>
    </w:p>
  </w:footnote>
  <w:footnote w:id="59">
    <w:p w14:paraId="09B2F773" w14:textId="77777777" w:rsidR="006F0489" w:rsidRPr="002A68EC" w:rsidRDefault="006F0489" w:rsidP="00ED50B9">
      <w:pPr>
        <w:pStyle w:val="FootnoteText"/>
        <w:jc w:val="both"/>
      </w:pPr>
      <w:r w:rsidRPr="002A68EC">
        <w:rPr>
          <w:rStyle w:val="FootnoteReference"/>
        </w:rPr>
        <w:footnoteRef/>
      </w:r>
      <w:r w:rsidRPr="002A68EC">
        <w:t xml:space="preserve"> Case 48/75 </w:t>
      </w:r>
      <w:r w:rsidRPr="002A68EC">
        <w:rPr>
          <w:i/>
          <w:iCs/>
        </w:rPr>
        <w:t xml:space="preserve">Royer </w:t>
      </w:r>
      <w:r w:rsidRPr="002A68EC">
        <w:t>EU:C:1976:57.</w:t>
      </w:r>
    </w:p>
  </w:footnote>
  <w:footnote w:id="60">
    <w:p w14:paraId="2D329B76" w14:textId="55FC14F7" w:rsidR="006F0489" w:rsidRPr="002A68EC" w:rsidRDefault="006F0489" w:rsidP="002A68EC">
      <w:pPr>
        <w:pStyle w:val="FootnoteText"/>
        <w:jc w:val="both"/>
      </w:pPr>
      <w:r w:rsidRPr="002A68EC">
        <w:rPr>
          <w:rStyle w:val="FootnoteReference"/>
        </w:rPr>
        <w:footnoteRef/>
      </w:r>
      <w:r w:rsidRPr="002A68EC">
        <w:t xml:space="preserve"> More, “From Union Citizen to Third-Country National: Brexit, the UK Withdrawal Agreement, No-Deal Preparations and Britons Living in the European Union” in Cambien, Kochenov &amp; Muir (eds.) </w:t>
      </w:r>
      <w:r w:rsidRPr="002A68EC">
        <w:rPr>
          <w:i/>
          <w:iCs/>
        </w:rPr>
        <w:t>European Citizenship Under Stress: Social Justice, Brexit and Other Challenges,</w:t>
      </w:r>
      <w:r w:rsidRPr="002A68EC">
        <w:t xml:space="preserve"> (Brill, 2020), 466-7.</w:t>
      </w:r>
    </w:p>
  </w:footnote>
  <w:footnote w:id="61">
    <w:p w14:paraId="07F1785A" w14:textId="589DFBB6" w:rsidR="006F0489" w:rsidRPr="002A68EC" w:rsidRDefault="006F0489" w:rsidP="002A68EC">
      <w:pPr>
        <w:pStyle w:val="FootnoteText"/>
        <w:jc w:val="both"/>
      </w:pPr>
      <w:r w:rsidRPr="002A68EC">
        <w:rPr>
          <w:rStyle w:val="FootnoteReference"/>
        </w:rPr>
        <w:footnoteRef/>
      </w:r>
      <w:r w:rsidRPr="002A68EC">
        <w:t xml:space="preserve"> Barnier: “I plead with the United Kingdom, as I do with those EU27 member states which chose to apply a mandatory registration scheme, to have a generous interpretation” of the EU-UK Brexit treaty,” in Brunsden, “Brussels uneasy over EU citizens’ rights after Brexit”, </w:t>
      </w:r>
      <w:r w:rsidRPr="002A68EC">
        <w:rPr>
          <w:i/>
          <w:iCs/>
        </w:rPr>
        <w:t xml:space="preserve">Financial Times, </w:t>
      </w:r>
      <w:r w:rsidRPr="002A68EC">
        <w:t xml:space="preserve">8 January 2020. </w:t>
      </w:r>
    </w:p>
  </w:footnote>
  <w:footnote w:id="62">
    <w:p w14:paraId="6E31F3E6" w14:textId="360DA10A" w:rsidR="006F0489" w:rsidRPr="002A68EC" w:rsidRDefault="006F0489" w:rsidP="002A68EC">
      <w:pPr>
        <w:pStyle w:val="FootnoteText"/>
        <w:jc w:val="both"/>
      </w:pPr>
      <w:r w:rsidRPr="002A68EC">
        <w:rPr>
          <w:rStyle w:val="FootnoteReference"/>
        </w:rPr>
        <w:footnoteRef/>
      </w:r>
      <w:r w:rsidRPr="002A68EC">
        <w:t xml:space="preserve"> Art 18(1)(d).</w:t>
      </w:r>
    </w:p>
  </w:footnote>
  <w:footnote w:id="63">
    <w:p w14:paraId="1CD9E3EF" w14:textId="7F521EA0" w:rsidR="006F0489" w:rsidRPr="002A68EC" w:rsidRDefault="006F0489" w:rsidP="002A68EC">
      <w:pPr>
        <w:pStyle w:val="FootnoteText"/>
        <w:jc w:val="both"/>
      </w:pPr>
      <w:r w:rsidRPr="002A68EC">
        <w:rPr>
          <w:rStyle w:val="FootnoteReference"/>
        </w:rPr>
        <w:footnoteRef/>
      </w:r>
      <w:r w:rsidRPr="002A68EC">
        <w:t xml:space="preserve"> House of Commons, Written Questions and Answers, “Immigrants: EU Nationals: Written question – 191403”, Answered on: 19 November 2018, by Caroline Nokes, available at: &lt; </w:t>
      </w:r>
      <w:hyperlink r:id="rId7" w:history="1">
        <w:r w:rsidRPr="002A68EC">
          <w:rPr>
            <w:rStyle w:val="Hyperlink"/>
            <w:color w:val="auto"/>
          </w:rPr>
          <w:t>https://www.parliament.uk/business/publications/written-questions-answers-statements/written-question/Commons/2018-11-14/191403</w:t>
        </w:r>
      </w:hyperlink>
      <w:r w:rsidRPr="002A68EC">
        <w:t xml:space="preserve">&gt;.  </w:t>
      </w:r>
    </w:p>
  </w:footnote>
  <w:footnote w:id="64">
    <w:p w14:paraId="36B2F547" w14:textId="0C6DDE75" w:rsidR="006F0489" w:rsidRPr="002A68EC" w:rsidRDefault="006F0489" w:rsidP="002A68EC">
      <w:pPr>
        <w:pStyle w:val="FootnoteText"/>
        <w:jc w:val="both"/>
      </w:pPr>
      <w:r w:rsidRPr="002A68EC">
        <w:rPr>
          <w:rStyle w:val="FootnoteReference"/>
        </w:rPr>
        <w:footnoteRef/>
      </w:r>
      <w:r w:rsidRPr="002A68EC">
        <w:t xml:space="preserve"> See the summary of immigration lawyer Chris Desira: “If you look at good reasons in other areas of immigration law, you need to have fairly good excuses — for example, you were in hospital, comatose and incapable of completing the application yourself”; “EU settled status: the story so far”, </w:t>
      </w:r>
      <w:r w:rsidRPr="002A68EC">
        <w:rPr>
          <w:i/>
          <w:iCs/>
        </w:rPr>
        <w:t>Free Movement Blog,</w:t>
      </w:r>
      <w:r w:rsidRPr="002A68EC">
        <w:t xml:space="preserve"> 23 July 2019, available at: &lt;</w:t>
      </w:r>
      <w:hyperlink r:id="rId8" w:anchor="What_happens_if_people_miss_the_application_headline" w:history="1">
        <w:r w:rsidRPr="002A68EC">
          <w:rPr>
            <w:rStyle w:val="Hyperlink"/>
            <w:color w:val="auto"/>
          </w:rPr>
          <w:t>https://www.freemovement.org.uk/eu-settled-status-story-so-far/#What_happens_if_people_miss_the_application_headline</w:t>
        </w:r>
      </w:hyperlink>
      <w:r w:rsidRPr="002A68EC">
        <w:t xml:space="preserve">&gt;. </w:t>
      </w:r>
    </w:p>
  </w:footnote>
  <w:footnote w:id="65">
    <w:p w14:paraId="6754EB8E" w14:textId="04F9DA3D" w:rsidR="006F0489" w:rsidRPr="002A68EC" w:rsidRDefault="006F0489" w:rsidP="002A68EC">
      <w:pPr>
        <w:pStyle w:val="FootnoteText"/>
        <w:jc w:val="both"/>
      </w:pPr>
      <w:r w:rsidRPr="002A68EC">
        <w:rPr>
          <w:rStyle w:val="FootnoteReference"/>
        </w:rPr>
        <w:footnoteRef/>
      </w:r>
      <w:r w:rsidRPr="002A68EC">
        <w:t xml:space="preserve"> House of Commons Home Affairs Committee, “EU Settlement Scheme”, Fifteenth Report of Session 2017–19, 14 May 2019, para. 48. </w:t>
      </w:r>
    </w:p>
  </w:footnote>
  <w:footnote w:id="66">
    <w:p w14:paraId="318AD056" w14:textId="5223102D" w:rsidR="006F0489" w:rsidRPr="002A68EC" w:rsidRDefault="006F0489" w:rsidP="002A68EC">
      <w:pPr>
        <w:pStyle w:val="FootnoteText"/>
        <w:jc w:val="both"/>
        <w:rPr>
          <w:i/>
          <w:iCs/>
        </w:rPr>
      </w:pPr>
      <w:r w:rsidRPr="002A68EC">
        <w:rPr>
          <w:rStyle w:val="FootnoteReference"/>
        </w:rPr>
        <w:footnoteRef/>
      </w:r>
      <w:r w:rsidRPr="002A68EC">
        <w:t xml:space="preserve"> Home Office Minister Brandon Lewis “</w:t>
      </w:r>
      <w:r w:rsidRPr="002A68EC">
        <w:rPr>
          <w:i/>
          <w:iCs/>
        </w:rPr>
        <w:t>told Die Welt (in German): ‘If EU citizens until this point of time have not registered and have no adequate reason for it, then the valid immigration rules will be applied.’</w:t>
      </w:r>
    </w:p>
    <w:p w14:paraId="184683D9" w14:textId="209EEC95" w:rsidR="006F0489" w:rsidRPr="002A68EC" w:rsidRDefault="006F0489" w:rsidP="002A68EC">
      <w:pPr>
        <w:pStyle w:val="FootnoteText"/>
        <w:jc w:val="both"/>
      </w:pPr>
      <w:r w:rsidRPr="002A68EC">
        <w:rPr>
          <w:i/>
          <w:iCs/>
        </w:rPr>
        <w:t>When pressed on whether that would include those who met the legal requirements for residence but did not apply in the next 14 months, he replied: ‘Theoretically yes. We will apply the rules</w:t>
      </w:r>
      <w:r w:rsidRPr="002A68EC">
        <w:t xml:space="preserve">.’ See BBC News “Brexit: EU citizens who miss registration deadline face deportation – minister”, 10 October 2019, quoting and translating from: Bolzen, “Nach dem Brexit droht nicht registrierten Deutschen die Abschiebung”, </w:t>
      </w:r>
      <w:r w:rsidRPr="002A68EC">
        <w:rPr>
          <w:i/>
          <w:iCs/>
        </w:rPr>
        <w:t>Die Welt</w:t>
      </w:r>
      <w:r w:rsidRPr="002A68EC">
        <w:t xml:space="preserve">, 10.10.2019, https://www.welt.de/politik/ausland/article201671420/Brandon-Lewis-Nach-dem-Brexit-droht-nicht-registrierten-Deutschen-die-Abschiebung.html. </w:t>
      </w:r>
    </w:p>
  </w:footnote>
  <w:footnote w:id="67">
    <w:p w14:paraId="5C48D667" w14:textId="77777777" w:rsidR="006F0489" w:rsidRPr="002A68EC" w:rsidRDefault="006F0489" w:rsidP="002A68EC">
      <w:pPr>
        <w:jc w:val="both"/>
        <w:rPr>
          <w:sz w:val="20"/>
        </w:rPr>
      </w:pPr>
      <w:r w:rsidRPr="002A68EC">
        <w:rPr>
          <w:rStyle w:val="FootnoteReference"/>
          <w:sz w:val="20"/>
        </w:rPr>
        <w:footnoteRef/>
      </w:r>
      <w:r w:rsidRPr="002A68EC">
        <w:rPr>
          <w:sz w:val="20"/>
        </w:rPr>
        <w:t xml:space="preserve"> Home Affairs Committee, “Oral evidence taken on 27 February 2019, The work of the Home Secretary”, HC 434, Qq772–6.</w:t>
      </w:r>
    </w:p>
  </w:footnote>
  <w:footnote w:id="68">
    <w:p w14:paraId="715622AE" w14:textId="77777777" w:rsidR="006F0489" w:rsidRPr="002A68EC" w:rsidRDefault="006F0489" w:rsidP="002A68EC">
      <w:pPr>
        <w:jc w:val="both"/>
        <w:rPr>
          <w:sz w:val="20"/>
        </w:rPr>
      </w:pPr>
      <w:r w:rsidRPr="002A68EC">
        <w:rPr>
          <w:rStyle w:val="FootnoteReference"/>
          <w:sz w:val="20"/>
        </w:rPr>
        <w:footnoteRef/>
      </w:r>
      <w:r w:rsidRPr="002A68EC">
        <w:rPr>
          <w:sz w:val="20"/>
        </w:rPr>
        <w:t xml:space="preserve"> Home Affairs Committee, “EU Settlement Scheme: Fifteenth Report of Session 2017–19”, HC 1945, 30 May 2019, para 44, citing Yeo, “Briefing: what is the hostile environment, where does it come from, who does it affect?”, </w:t>
      </w:r>
      <w:r w:rsidRPr="002A68EC">
        <w:rPr>
          <w:i/>
          <w:iCs/>
          <w:sz w:val="20"/>
        </w:rPr>
        <w:t>Free Movement,</w:t>
      </w:r>
      <w:r w:rsidRPr="002A68EC">
        <w:rPr>
          <w:sz w:val="20"/>
        </w:rPr>
        <w:t xml:space="preserve"> 1 May 2018, available at: &lt;https://www.freemovement.org.uk/briefing-what-is-the-hostile-environment-where-does-it-come-from-who-does-it-affect/&gt;. See also York, “The "hostile environment" - how Home Office immigration policies and practices create and perpetuate illegality”, 32(4) </w:t>
      </w:r>
      <w:r w:rsidRPr="002A68EC">
        <w:rPr>
          <w:i/>
          <w:iCs/>
          <w:sz w:val="20"/>
        </w:rPr>
        <w:t xml:space="preserve">Journal of Immigration, Asylum and Nationality Law, </w:t>
      </w:r>
      <w:r w:rsidRPr="002A68EC">
        <w:rPr>
          <w:sz w:val="20"/>
        </w:rPr>
        <w:t xml:space="preserve">(2018), 363. </w:t>
      </w:r>
    </w:p>
  </w:footnote>
  <w:footnote w:id="69">
    <w:p w14:paraId="107D5152" w14:textId="77777777" w:rsidR="006F0489" w:rsidRPr="002A68EC" w:rsidRDefault="006F0489" w:rsidP="002A68EC">
      <w:pPr>
        <w:jc w:val="both"/>
        <w:rPr>
          <w:sz w:val="20"/>
        </w:rPr>
      </w:pPr>
      <w:r w:rsidRPr="002A68EC">
        <w:rPr>
          <w:rStyle w:val="FootnoteReference"/>
          <w:sz w:val="20"/>
        </w:rPr>
        <w:footnoteRef/>
      </w:r>
      <w:r w:rsidRPr="002A68EC">
        <w:rPr>
          <w:sz w:val="20"/>
        </w:rPr>
        <w:t xml:space="preserve"> Yeo, ibid, notes that the Immigration Act 2016 allowed for the prosecution of an employer or landlord who knew ‘</w:t>
      </w:r>
      <w:r w:rsidRPr="002A68EC">
        <w:rPr>
          <w:rStyle w:val="Emphasis"/>
          <w:sz w:val="20"/>
          <w:szCs w:val="30"/>
          <w:shd w:val="clear" w:color="auto" w:fill="FFFFFF"/>
        </w:rPr>
        <w:t>or had reasonable cause to believe</w:t>
      </w:r>
      <w:r w:rsidRPr="002A68EC">
        <w:rPr>
          <w:sz w:val="20"/>
          <w:szCs w:val="30"/>
          <w:shd w:val="clear" w:color="auto" w:fill="FFFFFF"/>
        </w:rPr>
        <w:t>’, that they were employing or renting a property to someone in breach of the immigration rules.</w:t>
      </w:r>
    </w:p>
  </w:footnote>
  <w:footnote w:id="70">
    <w:p w14:paraId="32A55DAE" w14:textId="77777777" w:rsidR="006F0489" w:rsidRPr="002A68EC" w:rsidRDefault="006F0489" w:rsidP="002A68EC">
      <w:pPr>
        <w:jc w:val="both"/>
        <w:rPr>
          <w:sz w:val="20"/>
        </w:rPr>
      </w:pPr>
      <w:r w:rsidRPr="002A68EC">
        <w:rPr>
          <w:rStyle w:val="FootnoteReference"/>
          <w:sz w:val="20"/>
        </w:rPr>
        <w:footnoteRef/>
      </w:r>
      <w:r w:rsidRPr="002A68EC">
        <w:rPr>
          <w:sz w:val="20"/>
        </w:rPr>
        <w:t xml:space="preserve"> Directive 2004/38, Art. 25 (</w:t>
      </w:r>
      <w:r w:rsidRPr="002A68EC">
        <w:rPr>
          <w:sz w:val="20"/>
          <w:szCs w:val="27"/>
          <w:shd w:val="clear" w:color="auto" w:fill="FFFFFF"/>
        </w:rPr>
        <w:t>1).</w:t>
      </w:r>
    </w:p>
  </w:footnote>
  <w:footnote w:id="71">
    <w:p w14:paraId="0D079A1B" w14:textId="77777777" w:rsidR="006F0489" w:rsidRPr="002A68EC" w:rsidRDefault="006F0489" w:rsidP="002A68EC">
      <w:pPr>
        <w:pStyle w:val="FootnoteText"/>
        <w:jc w:val="both"/>
        <w:rPr>
          <w:lang w:val="en-US"/>
        </w:rPr>
      </w:pPr>
      <w:r w:rsidRPr="002A68EC">
        <w:rPr>
          <w:rStyle w:val="FootnoteReference"/>
        </w:rPr>
        <w:footnoteRef/>
      </w:r>
      <w:r w:rsidRPr="002A68EC">
        <w:t xml:space="preserve"> Directive 2004/38, Art. 8(2); this may not be </w:t>
      </w:r>
      <w:r w:rsidRPr="002A68EC">
        <w:rPr>
          <w:szCs w:val="22"/>
        </w:rPr>
        <w:t xml:space="preserve">less than three months from the date of arrival. </w:t>
      </w:r>
    </w:p>
  </w:footnote>
  <w:footnote w:id="72">
    <w:p w14:paraId="77AFB2A1" w14:textId="77777777" w:rsidR="006F0489" w:rsidRPr="002A68EC" w:rsidRDefault="006F0489" w:rsidP="002A68EC">
      <w:pPr>
        <w:pStyle w:val="FootnoteText"/>
        <w:jc w:val="both"/>
      </w:pPr>
      <w:r w:rsidRPr="002A68EC">
        <w:rPr>
          <w:rStyle w:val="FootnoteReference"/>
        </w:rPr>
        <w:footnoteRef/>
      </w:r>
      <w:r w:rsidRPr="002A68EC">
        <w:t xml:space="preserve"> Ibid. </w:t>
      </w:r>
    </w:p>
  </w:footnote>
  <w:footnote w:id="73">
    <w:p w14:paraId="4102CBC4" w14:textId="7B82144A" w:rsidR="006F0489" w:rsidRPr="002A68EC" w:rsidRDefault="006F0489" w:rsidP="002A68EC">
      <w:pPr>
        <w:pStyle w:val="FootnoteText"/>
        <w:jc w:val="both"/>
      </w:pPr>
      <w:r w:rsidRPr="002A68EC">
        <w:rPr>
          <w:rStyle w:val="FootnoteReference"/>
        </w:rPr>
        <w:footnoteRef/>
      </w:r>
      <w:r w:rsidRPr="002A68EC">
        <w:t xml:space="preserve"> Sumption &amp; Fernández-Reino “Unsettled Status – 2020: Which EU Citizens are at Risk of Failing to Secure their Rights after Brexit?” The Migration Observatory, Report 24 September 2020, available at: https://migrationobservatory.ox.ac.uk/wp-content/uploads/2020/09/Report-Unsettled-Status-2020.pdf;</w:t>
      </w:r>
    </w:p>
    <w:p w14:paraId="4ED8E5E4" w14:textId="4AE93C1A" w:rsidR="006F0489" w:rsidRPr="002A68EC" w:rsidRDefault="006F0489" w:rsidP="002A68EC">
      <w:pPr>
        <w:pStyle w:val="FootnoteText"/>
        <w:jc w:val="both"/>
      </w:pPr>
      <w:r w:rsidRPr="002A68EC">
        <w:t xml:space="preserve">Sumption &amp; Kone, “Unsettled Status? Which EU Citizens are at Risk of Failing to Secure their Rights after Brexit?”, The Migration Observatory, Report 12 April 2018, available at: &lt; </w:t>
      </w:r>
      <w:hyperlink r:id="rId9" w:history="1">
        <w:r w:rsidRPr="002A68EC">
          <w:rPr>
            <w:rStyle w:val="Hyperlink"/>
            <w:color w:val="auto"/>
          </w:rPr>
          <w:t>https://migrationobservatory.ox.ac.uk/wp-content/uploads/2018/04/Report-Unsettled_Status_3.pdf</w:t>
        </w:r>
      </w:hyperlink>
      <w:r w:rsidRPr="002A68EC">
        <w:t xml:space="preserve">&gt;; Rutter &amp; Balinger, “Getting it right from the start: Securing the future for EU citizens in the UK”, British Future Report, January 2019, available at: &lt; </w:t>
      </w:r>
      <w:hyperlink r:id="rId10" w:history="1">
        <w:r w:rsidRPr="002A68EC">
          <w:rPr>
            <w:rStyle w:val="Hyperlink"/>
            <w:color w:val="auto"/>
          </w:rPr>
          <w:t>http://www.britishfuture.org/wp-content/uploads/2019/01/EU-Citizens-report-1-pdf.pdf</w:t>
        </w:r>
      </w:hyperlink>
      <w:r w:rsidRPr="002A68EC">
        <w:t>&gt;; NPC, “How the EU settlement scheme affects women and girls”, Report 25 October 2018, available at: &lt;</w:t>
      </w:r>
      <w:hyperlink r:id="rId11" w:history="1">
        <w:r w:rsidRPr="002A68EC">
          <w:rPr>
            <w:rStyle w:val="Hyperlink"/>
            <w:color w:val="auto"/>
          </w:rPr>
          <w:t>https://www.thinknpc.org/wp-content/uploads/2018/10/How-the-EU-settlement-scheme-affects-women-and-girls.pdf</w:t>
        </w:r>
      </w:hyperlink>
      <w:r w:rsidRPr="002A68EC">
        <w:t>&gt;</w:t>
      </w:r>
    </w:p>
  </w:footnote>
  <w:footnote w:id="74">
    <w:p w14:paraId="0428642E" w14:textId="70B39745" w:rsidR="006F0489" w:rsidRPr="002A68EC" w:rsidRDefault="006F0489" w:rsidP="002A68EC">
      <w:pPr>
        <w:pStyle w:val="FootnoteText"/>
        <w:jc w:val="both"/>
      </w:pPr>
      <w:r w:rsidRPr="002A68EC">
        <w:rPr>
          <w:rStyle w:val="FootnoteReference"/>
        </w:rPr>
        <w:footnoteRef/>
      </w:r>
      <w:r w:rsidRPr="002A68EC">
        <w:t xml:space="preserve"> </w:t>
      </w:r>
      <w:r w:rsidRPr="002A68EC">
        <w:rPr>
          <w:szCs w:val="23"/>
        </w:rPr>
        <w:t>Letter from the EU Justice Sub-committee Chair Baroness Kennedy to Sajid Javid, 27 February 2019, available at: &lt;</w:t>
      </w:r>
      <w:r w:rsidRPr="002A68EC">
        <w:t xml:space="preserve"> </w:t>
      </w:r>
      <w:hyperlink r:id="rId12" w:history="1">
        <w:r w:rsidRPr="002A68EC">
          <w:rPr>
            <w:rStyle w:val="Hyperlink"/>
            <w:color w:val="auto"/>
            <w:szCs w:val="23"/>
          </w:rPr>
          <w:t>https://www.parliament.uk/documents/lords-committees/eu-justice-subcommittee/CWM/HKtoSJ-SettledStatus-260219.pdf</w:t>
        </w:r>
      </w:hyperlink>
      <w:r w:rsidRPr="002A68EC">
        <w:rPr>
          <w:szCs w:val="23"/>
        </w:rPr>
        <w:t xml:space="preserve">&gt;. </w:t>
      </w:r>
    </w:p>
  </w:footnote>
  <w:footnote w:id="75">
    <w:p w14:paraId="61982998" w14:textId="34BF2C80" w:rsidR="006F0489" w:rsidRPr="002A68EC" w:rsidRDefault="006F0489" w:rsidP="002A68EC">
      <w:pPr>
        <w:pStyle w:val="FootnoteText"/>
        <w:jc w:val="both"/>
      </w:pPr>
      <w:r w:rsidRPr="002A68EC">
        <w:rPr>
          <w:rStyle w:val="FootnoteReference"/>
        </w:rPr>
        <w:footnoteRef/>
      </w:r>
      <w:r w:rsidRPr="002A68EC">
        <w:t xml:space="preserve"> Corum Children’s Legal Centre, “Uncertain futures: the EU settlement scheme and children and young people’s right to remain in the UK”, Report March 2019, available at: &lt; </w:t>
      </w:r>
      <w:hyperlink r:id="rId13" w:history="1">
        <w:r w:rsidRPr="002A68EC">
          <w:rPr>
            <w:rStyle w:val="Hyperlink"/>
            <w:color w:val="auto"/>
          </w:rPr>
          <w:t>http://www.childrenslegalcentre.com/wp-content/uploads/2019/03/EUSS-briefing_Mar2019_FINAL.pdf</w:t>
        </w:r>
      </w:hyperlink>
      <w:r w:rsidRPr="002A68EC">
        <w:t xml:space="preserve">&gt;. </w:t>
      </w:r>
    </w:p>
  </w:footnote>
  <w:footnote w:id="76">
    <w:p w14:paraId="28C0F28F" w14:textId="251AFCD9" w:rsidR="006F0489" w:rsidRPr="002A68EC" w:rsidRDefault="006F0489" w:rsidP="002A68EC">
      <w:pPr>
        <w:pStyle w:val="FootnoteText"/>
        <w:jc w:val="both"/>
      </w:pPr>
      <w:r w:rsidRPr="002A68EC">
        <w:rPr>
          <w:rStyle w:val="FootnoteReference"/>
        </w:rPr>
        <w:footnoteRef/>
      </w:r>
      <w:r w:rsidRPr="002A68EC">
        <w:t xml:space="preserve"> Sajid Javid, Secretary of State for the Home Department, letter to Baroness Kennedy, Chairman of EU Justice Sub-Committee, 17 April 2019, p.2, available at: &lt; </w:t>
      </w:r>
      <w:hyperlink r:id="rId14" w:history="1">
        <w:r w:rsidRPr="002A68EC">
          <w:rPr>
            <w:rStyle w:val="Hyperlink"/>
            <w:color w:val="auto"/>
          </w:rPr>
          <w:t>https://www.parliament.uk/documents/lords-committees/eu-justice-subcommittee/CWM/HStoHK-on-EUSS-17.04.19.pdf</w:t>
        </w:r>
      </w:hyperlink>
      <w:r w:rsidRPr="002A68EC">
        <w:t xml:space="preserve">&gt;. </w:t>
      </w:r>
    </w:p>
  </w:footnote>
  <w:footnote w:id="77">
    <w:p w14:paraId="7F6EC9CB" w14:textId="74370340" w:rsidR="006F0489" w:rsidRPr="002A68EC" w:rsidRDefault="006F0489" w:rsidP="002A68EC">
      <w:pPr>
        <w:pStyle w:val="FootnoteText"/>
        <w:jc w:val="both"/>
      </w:pPr>
      <w:r w:rsidRPr="002A68EC">
        <w:rPr>
          <w:rStyle w:val="FootnoteReference"/>
        </w:rPr>
        <w:footnoteRef/>
      </w:r>
      <w:r w:rsidRPr="002A68EC">
        <w:t xml:space="preserve">Note </w:t>
      </w:r>
      <w:r w:rsidRPr="002A68EC">
        <w:fldChar w:fldCharType="begin"/>
      </w:r>
      <w:r w:rsidRPr="002A68EC">
        <w:instrText xml:space="preserve"> NOTEREF _Ref15328334 \h  \* MERGEFORMAT </w:instrText>
      </w:r>
      <w:r w:rsidRPr="002A68EC">
        <w:fldChar w:fldCharType="separate"/>
      </w:r>
      <w:r w:rsidR="00A26A6A">
        <w:t>75</w:t>
      </w:r>
      <w:r w:rsidRPr="002A68EC">
        <w:fldChar w:fldCharType="end"/>
      </w:r>
      <w:r w:rsidRPr="002A68EC">
        <w:t xml:space="preserve">, p. 7. </w:t>
      </w:r>
    </w:p>
  </w:footnote>
  <w:footnote w:id="78">
    <w:p w14:paraId="05601D0F" w14:textId="62683507" w:rsidR="006F0489" w:rsidRPr="002A68EC" w:rsidRDefault="006F0489" w:rsidP="002A68EC">
      <w:pPr>
        <w:pStyle w:val="FootnoteText"/>
        <w:jc w:val="both"/>
      </w:pPr>
      <w:r w:rsidRPr="002A68EC">
        <w:rPr>
          <w:rStyle w:val="FootnoteReference"/>
        </w:rPr>
        <w:footnoteRef/>
      </w:r>
      <w:r w:rsidRPr="002A68EC">
        <w:t xml:space="preserve"> Sumption &amp; Fernández-Reino, op. cit. </w:t>
      </w:r>
      <w:r w:rsidRPr="002A68EC">
        <w:rPr>
          <w:i/>
          <w:iCs/>
        </w:rPr>
        <w:t>supra</w:t>
      </w:r>
      <w:r w:rsidRPr="002A68EC">
        <w:t xml:space="preserve">, note </w:t>
      </w:r>
      <w:r w:rsidRPr="002A68EC">
        <w:fldChar w:fldCharType="begin"/>
      </w:r>
      <w:r w:rsidRPr="002A68EC">
        <w:instrText xml:space="preserve"> NOTEREF _Ref15409291 \h  \* MERGEFORMAT </w:instrText>
      </w:r>
      <w:r w:rsidRPr="002A68EC">
        <w:fldChar w:fldCharType="separate"/>
      </w:r>
      <w:r w:rsidR="00A26A6A">
        <w:t>73</w:t>
      </w:r>
      <w:r w:rsidRPr="002A68EC">
        <w:fldChar w:fldCharType="end"/>
      </w:r>
      <w:r w:rsidRPr="002A68EC">
        <w:t>, 24-5.</w:t>
      </w:r>
    </w:p>
  </w:footnote>
  <w:footnote w:id="79">
    <w:p w14:paraId="7E0552FE" w14:textId="50BEBAE7" w:rsidR="006F0489" w:rsidRPr="002A68EC" w:rsidRDefault="006F0489" w:rsidP="002A68EC">
      <w:pPr>
        <w:pStyle w:val="FootnoteText"/>
        <w:jc w:val="both"/>
      </w:pPr>
      <w:r w:rsidRPr="002A68EC">
        <w:rPr>
          <w:rStyle w:val="FootnoteReference"/>
        </w:rPr>
        <w:footnoteRef/>
      </w:r>
      <w:r w:rsidRPr="002A68EC">
        <w:t xml:space="preserve"> Independent Chief Inspector of Borders and Immigration, “An inspection of the EU Settlement Scheme November 2018 – January 2019”, May 2019, available at: &lt; </w:t>
      </w:r>
      <w:hyperlink r:id="rId15" w:history="1">
        <w:r w:rsidRPr="002A68EC">
          <w:rPr>
            <w:rStyle w:val="Hyperlink"/>
            <w:color w:val="auto"/>
          </w:rPr>
          <w:t>https://assets.publishing.service.gov.uk/government/uploads/system/uploads/attachment_data/file/799439/An_inspection_of_the_EU_Settlement_Scheme_May_WEB.PDF</w:t>
        </w:r>
      </w:hyperlink>
      <w:r w:rsidRPr="002A68EC">
        <w:t>&gt;, 3.7.</w:t>
      </w:r>
    </w:p>
  </w:footnote>
  <w:footnote w:id="80">
    <w:p w14:paraId="2D4DDE00" w14:textId="77777777" w:rsidR="006F0489" w:rsidRPr="002A68EC" w:rsidRDefault="006F0489" w:rsidP="002A68EC">
      <w:pPr>
        <w:jc w:val="both"/>
        <w:rPr>
          <w:sz w:val="20"/>
        </w:rPr>
      </w:pPr>
      <w:r w:rsidRPr="002A68EC">
        <w:rPr>
          <w:rStyle w:val="FootnoteReference"/>
          <w:sz w:val="20"/>
        </w:rPr>
        <w:footnoteRef/>
      </w:r>
      <w:r w:rsidRPr="002A68EC">
        <w:rPr>
          <w:sz w:val="20"/>
        </w:rPr>
        <w:t xml:space="preserve"> “Official statistics show that the number of Permanent Residence documents issued to EU nationals increased almost ten-fold to a peak of 168,413 in the year ending December 2017”; ibid, 6.8</w:t>
      </w:r>
    </w:p>
  </w:footnote>
  <w:footnote w:id="81">
    <w:p w14:paraId="1F4A6611" w14:textId="4015154C" w:rsidR="006F0489" w:rsidRPr="002A68EC" w:rsidRDefault="006F0489" w:rsidP="002A68EC">
      <w:pPr>
        <w:jc w:val="both"/>
        <w:rPr>
          <w:sz w:val="20"/>
        </w:rPr>
      </w:pPr>
      <w:r w:rsidRPr="002A68EC">
        <w:rPr>
          <w:rStyle w:val="FootnoteReference"/>
          <w:sz w:val="20"/>
        </w:rPr>
        <w:footnoteRef/>
      </w:r>
      <w:r w:rsidRPr="002A68EC">
        <w:rPr>
          <w:sz w:val="20"/>
        </w:rPr>
        <w:t xml:space="preserve"> Nearly 6 000 out of 200,420 applications were put on hold as the applicant “the applicant had mistakenly claimed to hold a valid permanent residence document or existing indefinite leave to remain”; Home Office, “EU Settlement Scheme Public Beta Testing Phase Report”, 2 May 2019, available at: &lt; </w:t>
      </w:r>
      <w:hyperlink r:id="rId16" w:history="1">
        <w:r w:rsidRPr="002A68EC">
          <w:rPr>
            <w:rStyle w:val="Hyperlink"/>
            <w:color w:val="auto"/>
            <w:sz w:val="20"/>
          </w:rPr>
          <w:t>https://assets.publishing.service.gov.uk/government/uploads/system/uploads/attachment_data/file/799413/EU_Settlement_Scheme_public_beta_testing_phase_report.pdf</w:t>
        </w:r>
      </w:hyperlink>
      <w:r w:rsidRPr="002A68EC">
        <w:rPr>
          <w:sz w:val="20"/>
        </w:rPr>
        <w:t>&gt;, p 3.</w:t>
      </w:r>
    </w:p>
  </w:footnote>
  <w:footnote w:id="82">
    <w:p w14:paraId="043A5945" w14:textId="3DF6A3FF" w:rsidR="006F0489" w:rsidRPr="002A68EC" w:rsidRDefault="006F0489" w:rsidP="002A68EC">
      <w:pPr>
        <w:pStyle w:val="FootnoteText"/>
        <w:jc w:val="both"/>
      </w:pPr>
      <w:r w:rsidRPr="002A68EC">
        <w:rPr>
          <w:rStyle w:val="FootnoteReference"/>
        </w:rPr>
        <w:footnoteRef/>
      </w:r>
      <w:r w:rsidRPr="002A68EC">
        <w:t xml:space="preserve"> Sumption &amp; Kone (2018), op. Cit. </w:t>
      </w:r>
      <w:r w:rsidRPr="002A68EC">
        <w:rPr>
          <w:i/>
          <w:iCs/>
        </w:rPr>
        <w:t xml:space="preserve">supra </w:t>
      </w:r>
      <w:r w:rsidRPr="002A68EC">
        <w:t xml:space="preserve">note </w:t>
      </w:r>
      <w:r w:rsidRPr="002A68EC">
        <w:fldChar w:fldCharType="begin"/>
      </w:r>
      <w:r w:rsidRPr="002A68EC">
        <w:instrText xml:space="preserve"> NOTEREF _Ref15409291 \h  \* MERGEFORMAT </w:instrText>
      </w:r>
      <w:r w:rsidRPr="002A68EC">
        <w:fldChar w:fldCharType="separate"/>
      </w:r>
      <w:r w:rsidR="00A26A6A">
        <w:t>73</w:t>
      </w:r>
      <w:r w:rsidRPr="002A68EC">
        <w:fldChar w:fldCharType="end"/>
      </w:r>
      <w:r w:rsidRPr="002A68EC">
        <w:t>, p2.</w:t>
      </w:r>
    </w:p>
  </w:footnote>
  <w:footnote w:id="83">
    <w:p w14:paraId="44290293" w14:textId="25043B9E" w:rsidR="006F0489" w:rsidRPr="002A68EC" w:rsidRDefault="006F0489" w:rsidP="002A68EC">
      <w:pPr>
        <w:jc w:val="both"/>
        <w:rPr>
          <w:sz w:val="20"/>
        </w:rPr>
      </w:pPr>
      <w:r w:rsidRPr="002A68EC">
        <w:rPr>
          <w:rStyle w:val="FootnoteReference"/>
          <w:sz w:val="20"/>
        </w:rPr>
        <w:footnoteRef/>
      </w:r>
      <w:r w:rsidRPr="002A68EC">
        <w:rPr>
          <w:sz w:val="20"/>
        </w:rPr>
        <w:t xml:space="preserve"> Roma Support Group, “Brexit, EU Settlement Scheme and the Roma communities in the UK”, </w:t>
      </w:r>
      <w:r w:rsidRPr="002A68EC">
        <w:rPr>
          <w:i/>
          <w:iCs/>
          <w:sz w:val="20"/>
        </w:rPr>
        <w:t>Report</w:t>
      </w:r>
      <w:r w:rsidRPr="002A68EC">
        <w:rPr>
          <w:sz w:val="20"/>
        </w:rPr>
        <w:t xml:space="preserve">, (June 2020), available at: </w:t>
      </w:r>
      <w:hyperlink r:id="rId17" w:history="1">
        <w:r w:rsidRPr="002A68EC">
          <w:rPr>
            <w:rStyle w:val="Hyperlink"/>
            <w:color w:val="auto"/>
            <w:sz w:val="20"/>
          </w:rPr>
          <w:t>https://www.romasupportgroup.org.uk/uploads/9/3/6/8/93687016/roma_brexit_euss_report_16.06.2020_final.pdf</w:t>
        </w:r>
      </w:hyperlink>
      <w:r w:rsidRPr="002A68EC">
        <w:rPr>
          <w:rStyle w:val="Hyperlink"/>
          <w:color w:val="auto"/>
          <w:sz w:val="20"/>
        </w:rPr>
        <w:t>.</w:t>
      </w:r>
    </w:p>
  </w:footnote>
  <w:footnote w:id="84">
    <w:p w14:paraId="4DF63C86" w14:textId="25CC6CDA" w:rsidR="006F0489" w:rsidRPr="002A68EC" w:rsidRDefault="006F0489" w:rsidP="002A68EC">
      <w:pPr>
        <w:jc w:val="both"/>
        <w:rPr>
          <w:sz w:val="20"/>
        </w:rPr>
      </w:pPr>
      <w:r w:rsidRPr="002A68EC">
        <w:rPr>
          <w:rStyle w:val="FootnoteReference"/>
          <w:sz w:val="20"/>
        </w:rPr>
        <w:footnoteRef/>
      </w:r>
      <w:r w:rsidRPr="002A68EC">
        <w:rPr>
          <w:sz w:val="20"/>
        </w:rPr>
        <w:t xml:space="preserve"> Thomas, “Best intentions: EU migrant workers in Fenland”,</w:t>
      </w:r>
      <w:r w:rsidRPr="002A68EC">
        <w:rPr>
          <w:i/>
          <w:iCs/>
          <w:sz w:val="20"/>
        </w:rPr>
        <w:t xml:space="preserve"> Survey,</w:t>
      </w:r>
      <w:r w:rsidRPr="002A68EC">
        <w:rPr>
          <w:sz w:val="20"/>
        </w:rPr>
        <w:t xml:space="preserve"> The Social Market Foundation, September 2020, available at: https://www.smf.co.uk/wp-content/uploads/2020/09/EU-migrants-workers-in-Fenland-Sept-20.pdf.</w:t>
      </w:r>
    </w:p>
  </w:footnote>
  <w:footnote w:id="85">
    <w:p w14:paraId="737D6EA5" w14:textId="6BAF9D7D" w:rsidR="006F0489" w:rsidRPr="002A68EC" w:rsidRDefault="006F0489" w:rsidP="002A68EC">
      <w:pPr>
        <w:jc w:val="both"/>
        <w:rPr>
          <w:sz w:val="20"/>
        </w:rPr>
      </w:pPr>
      <w:r w:rsidRPr="002A68EC">
        <w:rPr>
          <w:rStyle w:val="FootnoteReference"/>
          <w:sz w:val="20"/>
        </w:rPr>
        <w:footnoteRef/>
      </w:r>
      <w:r w:rsidRPr="002A68EC">
        <w:rPr>
          <w:sz w:val="20"/>
        </w:rPr>
        <w:t xml:space="preserve"> Home Office, “EU Settlement Scheme public beta testing phase report”, 2 May 2019, available at: &lt; </w:t>
      </w:r>
      <w:hyperlink r:id="rId18" w:history="1">
        <w:r w:rsidRPr="002A68EC">
          <w:rPr>
            <w:rStyle w:val="Hyperlink"/>
            <w:color w:val="auto"/>
            <w:sz w:val="20"/>
          </w:rPr>
          <w:t>https://www.gov.uk/government/publications/eu-settlement-scheme-public-beta-testing-phase-report/eu-settlement-scheme-public-beta-testing-phase-report</w:t>
        </w:r>
      </w:hyperlink>
      <w:r w:rsidRPr="002A68EC">
        <w:rPr>
          <w:sz w:val="20"/>
        </w:rPr>
        <w:t xml:space="preserve">&gt;. House of Commons Home Affairs Committee, “EU Settlement Scheme: Government Response to the Committee’s Fifteenth Report of Session 2017–19”, Fourteenth Special Report of Session 2017–19, 23 July 2019, HC 2592, available at:  &lt;https://publications.parliament.uk/pa/cm201719/cmselect/cmhaff/2592/2592.pdf&gt;. See also Home Office, “Media Factsheet: EU Settlement Scheme – latest information”, 18 July 2019, available at: &lt; </w:t>
      </w:r>
      <w:hyperlink r:id="rId19" w:history="1">
        <w:r w:rsidRPr="002A68EC">
          <w:rPr>
            <w:rStyle w:val="Hyperlink"/>
            <w:color w:val="auto"/>
            <w:sz w:val="20"/>
          </w:rPr>
          <w:t>https://homeofficemedia.blog.gov.uk/2019/07/18/media-factsheet-eu-settlement-scheme/</w:t>
        </w:r>
      </w:hyperlink>
      <w:r w:rsidRPr="002A68EC">
        <w:rPr>
          <w:sz w:val="20"/>
        </w:rPr>
        <w:t xml:space="preserve">&gt;, and Sajid Javid’s reference to the funding in the 17 April 2019 letter to Baroness Kennedy, op. cit. </w:t>
      </w:r>
      <w:r w:rsidRPr="002A68EC">
        <w:rPr>
          <w:i/>
          <w:iCs/>
          <w:sz w:val="20"/>
        </w:rPr>
        <w:t xml:space="preserve">supra </w:t>
      </w:r>
      <w:r w:rsidRPr="002A68EC">
        <w:rPr>
          <w:sz w:val="20"/>
        </w:rPr>
        <w:t xml:space="preserve">note </w:t>
      </w:r>
      <w:r w:rsidRPr="002A68EC">
        <w:rPr>
          <w:sz w:val="20"/>
        </w:rPr>
        <w:fldChar w:fldCharType="begin"/>
      </w:r>
      <w:r w:rsidRPr="002A68EC">
        <w:rPr>
          <w:sz w:val="20"/>
        </w:rPr>
        <w:instrText xml:space="preserve"> NOTEREF _Ref15408460 \h  \* MERGEFORMAT </w:instrText>
      </w:r>
      <w:r w:rsidRPr="002A68EC">
        <w:rPr>
          <w:sz w:val="20"/>
        </w:rPr>
      </w:r>
      <w:r w:rsidRPr="002A68EC">
        <w:rPr>
          <w:sz w:val="20"/>
        </w:rPr>
        <w:fldChar w:fldCharType="separate"/>
      </w:r>
      <w:r w:rsidR="00A26A6A">
        <w:rPr>
          <w:sz w:val="20"/>
        </w:rPr>
        <w:t>76</w:t>
      </w:r>
      <w:r w:rsidRPr="002A68EC">
        <w:rPr>
          <w:sz w:val="20"/>
        </w:rPr>
        <w:fldChar w:fldCharType="end"/>
      </w:r>
      <w:r w:rsidRPr="002A68EC">
        <w:rPr>
          <w:sz w:val="20"/>
        </w:rPr>
        <w:t xml:space="preserve">, expressing confidence that “the funding will ensure that we are able to reach a significant proportion of those who need that extra support”. </w:t>
      </w:r>
    </w:p>
  </w:footnote>
  <w:footnote w:id="86">
    <w:p w14:paraId="5D35889D" w14:textId="05D5D44D" w:rsidR="006F0489" w:rsidRPr="002A68EC" w:rsidRDefault="006F0489" w:rsidP="002A68EC">
      <w:pPr>
        <w:jc w:val="both"/>
        <w:rPr>
          <w:sz w:val="20"/>
        </w:rPr>
      </w:pPr>
      <w:r w:rsidRPr="002A68EC">
        <w:rPr>
          <w:rStyle w:val="FootnoteReference"/>
          <w:sz w:val="20"/>
        </w:rPr>
        <w:footnoteRef/>
      </w:r>
      <w:r w:rsidRPr="002A68EC">
        <w:rPr>
          <w:sz w:val="20"/>
        </w:rPr>
        <w:t xml:space="preserve"> Independent Chief Inspector of Borders and Immigration, “An inspection of the EU Settlement Scheme November 2018 – January 2019”, May 2019, available at: &lt; </w:t>
      </w:r>
      <w:hyperlink r:id="rId20" w:history="1">
        <w:r w:rsidRPr="002A68EC">
          <w:rPr>
            <w:rStyle w:val="Hyperlink"/>
            <w:color w:val="auto"/>
            <w:sz w:val="20"/>
          </w:rPr>
          <w:t>https://assets.publishing.service.gov.uk/government/uploads/system/uploads/attachment_data/file/799439/An_inspection_of_the_EU_Settlement_Scheme_May_WEB.PDF</w:t>
        </w:r>
      </w:hyperlink>
      <w:r w:rsidRPr="002A68EC">
        <w:rPr>
          <w:sz w:val="20"/>
        </w:rPr>
        <w:t xml:space="preserve">&gt;, 6.54. </w:t>
      </w:r>
    </w:p>
  </w:footnote>
  <w:footnote w:id="87">
    <w:p w14:paraId="50A148E9" w14:textId="321055F5" w:rsidR="006F0489" w:rsidRPr="002A68EC" w:rsidRDefault="006F0489" w:rsidP="002A68EC">
      <w:pPr>
        <w:pStyle w:val="FootnoteText"/>
        <w:jc w:val="both"/>
      </w:pPr>
      <w:r w:rsidRPr="002A68EC">
        <w:rPr>
          <w:rStyle w:val="FootnoteReference"/>
        </w:rPr>
        <w:footnoteRef/>
      </w:r>
      <w:r w:rsidRPr="002A68EC">
        <w:t xml:space="preserve"> Ibid, 4.7.</w:t>
      </w:r>
    </w:p>
  </w:footnote>
  <w:footnote w:id="88">
    <w:p w14:paraId="4BF1CB36" w14:textId="00D41CD3" w:rsidR="006F0489" w:rsidRPr="002A68EC" w:rsidRDefault="006F0489" w:rsidP="002A68EC">
      <w:pPr>
        <w:pStyle w:val="FootnoteText"/>
        <w:jc w:val="both"/>
      </w:pPr>
      <w:r w:rsidRPr="002A68EC">
        <w:rPr>
          <w:rStyle w:val="FootnoteReference"/>
        </w:rPr>
        <w:footnoteRef/>
      </w:r>
      <w:r w:rsidRPr="002A68EC">
        <w:t xml:space="preserve"> Roma Support Group, (2020), op. cit. </w:t>
      </w:r>
      <w:r w:rsidRPr="002A68EC">
        <w:rPr>
          <w:i/>
          <w:iCs/>
        </w:rPr>
        <w:t xml:space="preserve">supra </w:t>
      </w:r>
      <w:r w:rsidRPr="002A68EC">
        <w:t xml:space="preserve">note </w:t>
      </w:r>
      <w:r w:rsidRPr="002A68EC">
        <w:fldChar w:fldCharType="begin"/>
      </w:r>
      <w:r w:rsidRPr="002A68EC">
        <w:instrText xml:space="preserve"> NOTEREF _Ref54783292 \h  \* MERGEFORMAT </w:instrText>
      </w:r>
      <w:r w:rsidRPr="002A68EC">
        <w:fldChar w:fldCharType="separate"/>
      </w:r>
      <w:r w:rsidR="00A26A6A">
        <w:t>83</w:t>
      </w:r>
      <w:r w:rsidRPr="002A68EC">
        <w:fldChar w:fldCharType="end"/>
      </w:r>
      <w:r w:rsidRPr="002A68EC">
        <w:t xml:space="preserve">, 14. </w:t>
      </w:r>
    </w:p>
  </w:footnote>
  <w:footnote w:id="89">
    <w:p w14:paraId="68CFF4F3" w14:textId="73CFED52" w:rsidR="006F0489" w:rsidRPr="002A68EC" w:rsidRDefault="006F0489" w:rsidP="002A68EC">
      <w:pPr>
        <w:jc w:val="both"/>
        <w:rPr>
          <w:sz w:val="20"/>
        </w:rPr>
      </w:pPr>
      <w:r w:rsidRPr="002A68EC">
        <w:rPr>
          <w:rStyle w:val="FootnoteReference"/>
          <w:sz w:val="20"/>
        </w:rPr>
        <w:footnoteRef/>
      </w:r>
      <w:r w:rsidRPr="002A68EC">
        <w:rPr>
          <w:sz w:val="20"/>
        </w:rPr>
        <w:t xml:space="preserve"> Stalford &amp; Humphreys, “EU Roma Children and the EU Settled Status Scheme: Awareness, Access and Eligibility”, </w:t>
      </w:r>
      <w:r w:rsidRPr="002A68EC">
        <w:rPr>
          <w:i/>
          <w:iCs/>
          <w:sz w:val="20"/>
        </w:rPr>
        <w:t>Research Briefing</w:t>
      </w:r>
      <w:r w:rsidRPr="002A68EC">
        <w:rPr>
          <w:sz w:val="20"/>
        </w:rPr>
        <w:t xml:space="preserve">, (September 2020), available at: </w:t>
      </w:r>
      <w:hyperlink r:id="rId21" w:history="1">
        <w:r w:rsidRPr="002A68EC">
          <w:rPr>
            <w:rStyle w:val="Hyperlink"/>
            <w:color w:val="auto"/>
            <w:sz w:val="20"/>
          </w:rPr>
          <w:t>https://www.liverpool.ac.uk/media/livacuk/law/2-research/ecru/EU,Roma,Children,and,the,EU,Settled,Status,Scheme,-,September,2020.pdf</w:t>
        </w:r>
      </w:hyperlink>
      <w:r w:rsidRPr="002A68EC">
        <w:rPr>
          <w:rStyle w:val="Hyperlink"/>
          <w:color w:val="auto"/>
          <w:sz w:val="20"/>
        </w:rPr>
        <w:t>,</w:t>
      </w:r>
    </w:p>
    <w:p w14:paraId="0CF4FCCD" w14:textId="77777777" w:rsidR="006F0489" w:rsidRPr="002A68EC" w:rsidRDefault="006F0489" w:rsidP="002A68EC">
      <w:pPr>
        <w:pStyle w:val="FootnoteText"/>
        <w:jc w:val="both"/>
      </w:pPr>
      <w:r w:rsidRPr="002A68EC">
        <w:t>14.</w:t>
      </w:r>
    </w:p>
  </w:footnote>
  <w:footnote w:id="90">
    <w:p w14:paraId="1BF1DE97" w14:textId="2E9F4B6B"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D’Hoop</w:t>
      </w:r>
      <w:r w:rsidRPr="002A68EC">
        <w:t>,</w:t>
      </w:r>
      <w:r w:rsidRPr="002A68EC">
        <w:rPr>
          <w:i/>
          <w:iCs/>
        </w:rPr>
        <w:t xml:space="preserve"> </w:t>
      </w:r>
      <w:r w:rsidRPr="002A68EC">
        <w:t xml:space="preserve">cited </w:t>
      </w:r>
      <w:r w:rsidRPr="002A68EC">
        <w:rPr>
          <w:i/>
          <w:iCs/>
        </w:rPr>
        <w:t>supra</w:t>
      </w:r>
      <w:r w:rsidRPr="002A68EC">
        <w:t>,</w:t>
      </w:r>
      <w:r w:rsidRPr="002A68EC">
        <w:rPr>
          <w:i/>
          <w:iCs/>
        </w:rPr>
        <w:t xml:space="preserve"> </w:t>
      </w:r>
      <w:r w:rsidRPr="002A68EC">
        <w:t xml:space="preserve">note </w:t>
      </w:r>
      <w:r w:rsidRPr="002A68EC">
        <w:fldChar w:fldCharType="begin"/>
      </w:r>
      <w:r w:rsidRPr="002A68EC">
        <w:instrText xml:space="preserve"> NOTEREF _Ref54785296 \h  \* MERGEFORMAT </w:instrText>
      </w:r>
      <w:r w:rsidRPr="002A68EC">
        <w:fldChar w:fldCharType="separate"/>
      </w:r>
      <w:r w:rsidR="00A26A6A">
        <w:t>58</w:t>
      </w:r>
      <w:r w:rsidRPr="002A68EC">
        <w:fldChar w:fldCharType="end"/>
      </w:r>
      <w:r w:rsidRPr="002A68EC">
        <w:t>.</w:t>
      </w:r>
    </w:p>
  </w:footnote>
  <w:footnote w:id="91">
    <w:p w14:paraId="1DE595CC" w14:textId="560CC965" w:rsidR="006F0489" w:rsidRPr="002A68EC" w:rsidRDefault="006F0489" w:rsidP="002A68EC">
      <w:pPr>
        <w:pStyle w:val="FootnoteText"/>
        <w:jc w:val="both"/>
      </w:pPr>
      <w:r w:rsidRPr="002A68EC">
        <w:rPr>
          <w:rStyle w:val="FootnoteReference"/>
        </w:rPr>
        <w:footnoteRef/>
      </w:r>
      <w:r w:rsidRPr="002A68EC">
        <w:t xml:space="preserve"> Arts. 12 and 13 of Directive 2004/38.</w:t>
      </w:r>
    </w:p>
  </w:footnote>
  <w:footnote w:id="92">
    <w:p w14:paraId="20C96967" w14:textId="15CFF389" w:rsidR="006F0489" w:rsidRPr="002A68EC" w:rsidRDefault="006F0489" w:rsidP="002A68EC">
      <w:pPr>
        <w:pStyle w:val="FootnoteText"/>
        <w:jc w:val="both"/>
        <w:rPr>
          <w:i/>
          <w:iCs/>
        </w:rPr>
      </w:pPr>
      <w:r w:rsidRPr="002A68EC">
        <w:rPr>
          <w:rStyle w:val="FootnoteReference"/>
        </w:rPr>
        <w:footnoteRef/>
      </w:r>
      <w:r w:rsidRPr="002A68EC">
        <w:t xml:space="preserve"> Case C-287/05,</w:t>
      </w:r>
      <w:r w:rsidRPr="002A68EC">
        <w:rPr>
          <w:i/>
          <w:iCs/>
        </w:rPr>
        <w:t xml:space="preserve"> Hendrix</w:t>
      </w:r>
      <w:r w:rsidRPr="002A68EC">
        <w:t>, EU:C:2007:494.</w:t>
      </w:r>
    </w:p>
  </w:footnote>
  <w:footnote w:id="93">
    <w:p w14:paraId="54C7E4C5" w14:textId="64C08189"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Royer</w:t>
      </w:r>
      <w:r w:rsidRPr="002A68EC">
        <w:t xml:space="preserve">, cited </w:t>
      </w:r>
      <w:r w:rsidRPr="002A68EC">
        <w:rPr>
          <w:i/>
          <w:iCs/>
        </w:rPr>
        <w:t>supra</w:t>
      </w:r>
      <w:r w:rsidRPr="002A68EC">
        <w:t xml:space="preserve">, note </w:t>
      </w:r>
      <w:r w:rsidRPr="002A68EC">
        <w:fldChar w:fldCharType="begin"/>
      </w:r>
      <w:r w:rsidRPr="002A68EC">
        <w:instrText xml:space="preserve"> NOTEREF _Ref54785520 \h  \* MERGEFORMAT </w:instrText>
      </w:r>
      <w:r w:rsidRPr="002A68EC">
        <w:fldChar w:fldCharType="separate"/>
      </w:r>
      <w:r w:rsidR="00A26A6A">
        <w:t>59</w:t>
      </w:r>
      <w:r w:rsidRPr="002A68EC">
        <w:fldChar w:fldCharType="end"/>
      </w:r>
      <w:r w:rsidRPr="002A68EC">
        <w:t>.</w:t>
      </w:r>
    </w:p>
  </w:footnote>
  <w:footnote w:id="94">
    <w:p w14:paraId="2115ABCE" w14:textId="64F2ADFF"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Lounes</w:t>
      </w:r>
      <w:r w:rsidRPr="002A68EC">
        <w:t xml:space="preserve">, cited </w:t>
      </w:r>
      <w:r w:rsidRPr="002A68EC">
        <w:rPr>
          <w:i/>
          <w:iCs/>
        </w:rPr>
        <w:t>supra</w:t>
      </w:r>
      <w:r w:rsidRPr="002A68EC">
        <w:t xml:space="preserve">, note </w:t>
      </w:r>
      <w:r w:rsidRPr="002A68EC">
        <w:fldChar w:fldCharType="begin"/>
      </w:r>
      <w:r w:rsidRPr="002A68EC">
        <w:instrText xml:space="preserve"> NOTEREF _Ref54785591 \h  \* MERGEFORMAT </w:instrText>
      </w:r>
      <w:r w:rsidRPr="002A68EC">
        <w:fldChar w:fldCharType="separate"/>
      </w:r>
      <w:r w:rsidR="00A26A6A">
        <w:t>13</w:t>
      </w:r>
      <w:r w:rsidRPr="002A68EC">
        <w:fldChar w:fldCharType="end"/>
      </w:r>
      <w:r w:rsidRPr="002A68EC">
        <w:t>, 53.</w:t>
      </w:r>
    </w:p>
  </w:footnote>
  <w:footnote w:id="95">
    <w:p w14:paraId="6E353257" w14:textId="3D34C06A" w:rsidR="006F0489" w:rsidRPr="002A68EC" w:rsidRDefault="006F0489" w:rsidP="002A68EC">
      <w:pPr>
        <w:pStyle w:val="FootnoteText"/>
        <w:jc w:val="both"/>
      </w:pPr>
      <w:r w:rsidRPr="002A68EC">
        <w:rPr>
          <w:rStyle w:val="FootnoteReference"/>
        </w:rPr>
        <w:footnoteRef/>
      </w:r>
      <w:r w:rsidRPr="002A68EC">
        <w:t xml:space="preserve"> Ibid, 61. </w:t>
      </w:r>
    </w:p>
  </w:footnote>
  <w:footnote w:id="96">
    <w:p w14:paraId="2E7A7DD7" w14:textId="479F00C8" w:rsidR="006F0489" w:rsidRPr="002A68EC" w:rsidRDefault="006F0489" w:rsidP="002A68EC">
      <w:pPr>
        <w:pStyle w:val="FootnoteText"/>
        <w:jc w:val="both"/>
      </w:pPr>
      <w:r w:rsidRPr="002A68EC">
        <w:rPr>
          <w:rStyle w:val="FootnoteReference"/>
        </w:rPr>
        <w:footnoteRef/>
      </w:r>
      <w:r w:rsidRPr="002A68EC">
        <w:t xml:space="preserve"> Case C-135/08, </w:t>
      </w:r>
      <w:r w:rsidRPr="002A68EC">
        <w:rPr>
          <w:i/>
          <w:iCs/>
        </w:rPr>
        <w:t>Rottman</w:t>
      </w:r>
      <w:r w:rsidRPr="002A68EC">
        <w:t>,</w:t>
      </w:r>
      <w:r w:rsidRPr="002A68EC">
        <w:rPr>
          <w:i/>
          <w:iCs/>
        </w:rPr>
        <w:t xml:space="preserve"> </w:t>
      </w:r>
      <w:r w:rsidRPr="002A68EC">
        <w:t>EU:C:2010:104.</w:t>
      </w:r>
    </w:p>
  </w:footnote>
  <w:footnote w:id="97">
    <w:p w14:paraId="30FA97C8" w14:textId="19DF5135" w:rsidR="006F0489" w:rsidRPr="002A68EC" w:rsidRDefault="006F0489" w:rsidP="002A68EC">
      <w:pPr>
        <w:pStyle w:val="FootnoteText"/>
        <w:jc w:val="both"/>
      </w:pPr>
      <w:r w:rsidRPr="002A68EC">
        <w:rPr>
          <w:rStyle w:val="FootnoteReference"/>
        </w:rPr>
        <w:footnoteRef/>
      </w:r>
      <w:r w:rsidRPr="002A68EC">
        <w:t xml:space="preserve"> Art. 39 WA. </w:t>
      </w:r>
    </w:p>
  </w:footnote>
  <w:footnote w:id="98">
    <w:p w14:paraId="5AB8B82B" w14:textId="4F4AB5CE" w:rsidR="006F0489" w:rsidRDefault="006F0489" w:rsidP="002A68EC">
      <w:pPr>
        <w:pStyle w:val="FootnoteText"/>
        <w:jc w:val="both"/>
      </w:pPr>
      <w:r w:rsidRPr="002A68EC">
        <w:rPr>
          <w:rStyle w:val="FootnoteReference"/>
        </w:rPr>
        <w:footnoteRef/>
      </w:r>
      <w:r w:rsidRPr="002A68EC">
        <w:t xml:space="preserve"> Desira, “Welcome and unwelcome rule changes made to EU Settlement Scheme: analysis”, Free Movement, (10/09/2019) available at: https://www.freemovement.org.uk/welcome-and-unwelcome-rule-changes-made-to-eu-settlement-scheme-analysis/. </w:t>
      </w:r>
      <w:r>
        <w:t xml:space="preserve">The changes include providing for additional grounds for cancellation and curtailment of EUSS. UK Home Office, Statement of Changes in Immigration Rules, </w:t>
      </w:r>
    </w:p>
    <w:p w14:paraId="66498E04" w14:textId="223AC149" w:rsidR="006F0489" w:rsidRPr="004278CB" w:rsidRDefault="006F0489" w:rsidP="004278CB">
      <w:pPr>
        <w:pStyle w:val="FootnoteText"/>
        <w:jc w:val="both"/>
      </w:pPr>
      <w:r w:rsidRPr="004278CB">
        <w:t>HC 2631</w:t>
      </w:r>
      <w:r>
        <w:t xml:space="preserve">, 9/09/19, Changes to Part 9. </w:t>
      </w:r>
    </w:p>
    <w:p w14:paraId="6CEC3310" w14:textId="77777777" w:rsidR="006F0489" w:rsidRPr="002A68EC" w:rsidRDefault="006F0489" w:rsidP="002A68EC">
      <w:pPr>
        <w:pStyle w:val="FootnoteText"/>
        <w:jc w:val="both"/>
      </w:pPr>
    </w:p>
  </w:footnote>
  <w:footnote w:id="99">
    <w:p w14:paraId="37789008" w14:textId="08A79D41" w:rsidR="006F0489" w:rsidRPr="002A68EC" w:rsidRDefault="006F0489" w:rsidP="002A68EC">
      <w:pPr>
        <w:pStyle w:val="FootnoteText"/>
        <w:jc w:val="both"/>
      </w:pPr>
      <w:r w:rsidRPr="002A68EC">
        <w:rPr>
          <w:rStyle w:val="FootnoteReference"/>
        </w:rPr>
        <w:footnoteRef/>
      </w:r>
      <w:r w:rsidRPr="002A68EC">
        <w:t xml:space="preserve"> Home Office and Department for Work and Pensions, “Process Level Memorandum Of Understanding (PMoU) Between The Home Office And Department For Work And Pensions”, (2019), available at: &lt; </w:t>
      </w:r>
      <w:hyperlink r:id="rId22" w:history="1">
        <w:r w:rsidRPr="002A68EC">
          <w:rPr>
            <w:rStyle w:val="Hyperlink"/>
            <w:color w:val="auto"/>
          </w:rPr>
          <w:t>https://assets.publishing.service.gov.uk/government/uploads/system/uploads/attachment_data/file/790668/Home_Office_-_DWP_API_EU_Exit_MoU.PDF</w:t>
        </w:r>
      </w:hyperlink>
      <w:r w:rsidRPr="002A68EC">
        <w:t xml:space="preserve">&gt;.  </w:t>
      </w:r>
    </w:p>
  </w:footnote>
  <w:footnote w:id="100">
    <w:p w14:paraId="0810B2E9" w14:textId="21488E9F" w:rsidR="006F0489" w:rsidRPr="002A68EC" w:rsidRDefault="006F0489" w:rsidP="002A68EC">
      <w:pPr>
        <w:pStyle w:val="FootnoteText"/>
        <w:jc w:val="both"/>
      </w:pPr>
      <w:r w:rsidRPr="002A68EC">
        <w:rPr>
          <w:rStyle w:val="FootnoteReference"/>
        </w:rPr>
        <w:footnoteRef/>
      </w:r>
      <w:r w:rsidRPr="002A68EC">
        <w:t xml:space="preserve"> Home Office and HMRC “Process Level Memorandum Of Understanding (PMoU) Between Her Majesty’s Revenue And Customs And The Home Office”, (2019), available at: &lt; </w:t>
      </w:r>
      <w:hyperlink r:id="rId23" w:history="1">
        <w:r w:rsidRPr="002A68EC">
          <w:rPr>
            <w:rStyle w:val="Hyperlink"/>
            <w:color w:val="auto"/>
          </w:rPr>
          <w:t>https://assets.publishing.service.gov.uk/government/uploads/system/uploads/attachment_data/file/790661/Home_Office_-_HMRC_API_EU_Exit_MoU.PDF</w:t>
        </w:r>
      </w:hyperlink>
      <w:r w:rsidRPr="002A68EC">
        <w:t xml:space="preserve">&gt;.  </w:t>
      </w:r>
    </w:p>
  </w:footnote>
  <w:footnote w:id="101">
    <w:p w14:paraId="7D572B3B" w14:textId="050A1202" w:rsidR="006F0489" w:rsidRPr="002A68EC" w:rsidRDefault="006F0489" w:rsidP="002A68EC">
      <w:pPr>
        <w:jc w:val="both"/>
        <w:rPr>
          <w:sz w:val="20"/>
        </w:rPr>
      </w:pPr>
      <w:r w:rsidRPr="002A68EC">
        <w:rPr>
          <w:rStyle w:val="FootnoteReference"/>
          <w:sz w:val="20"/>
        </w:rPr>
        <w:footnoteRef/>
      </w:r>
      <w:r w:rsidRPr="002A68EC">
        <w:rPr>
          <w:sz w:val="20"/>
        </w:rPr>
        <w:t xml:space="preserve"> Cobbe, “Administrative law and the machines of government: judicial review of automated public-sector decision-making” </w:t>
      </w:r>
      <w:r w:rsidRPr="002A68EC">
        <w:rPr>
          <w:i/>
          <w:iCs/>
          <w:sz w:val="20"/>
        </w:rPr>
        <w:t xml:space="preserve">Legal Studies </w:t>
      </w:r>
      <w:r w:rsidRPr="002A68EC">
        <w:rPr>
          <w:sz w:val="20"/>
        </w:rPr>
        <w:t xml:space="preserve">(2019) 1-20. </w:t>
      </w:r>
    </w:p>
  </w:footnote>
  <w:footnote w:id="102">
    <w:p w14:paraId="7AD31908" w14:textId="0FD4B759" w:rsidR="006F0489" w:rsidRPr="002A68EC" w:rsidRDefault="006F0489" w:rsidP="002A68EC">
      <w:pPr>
        <w:pStyle w:val="FootnoteText"/>
        <w:jc w:val="both"/>
      </w:pPr>
      <w:r w:rsidRPr="002A68EC">
        <w:rPr>
          <w:rStyle w:val="FootnoteReference"/>
        </w:rPr>
        <w:footnoteRef/>
      </w:r>
      <w:r w:rsidRPr="002A68EC">
        <w:t xml:space="preserve"> ILPA, ibid, p. 10. </w:t>
      </w:r>
    </w:p>
  </w:footnote>
  <w:footnote w:id="103">
    <w:p w14:paraId="3CB9CA65" w14:textId="77943297" w:rsidR="006F0489" w:rsidRPr="002A68EC" w:rsidRDefault="006F0489" w:rsidP="002A68EC">
      <w:pPr>
        <w:pStyle w:val="FootnoteText"/>
        <w:jc w:val="both"/>
      </w:pPr>
      <w:r w:rsidRPr="002A68EC">
        <w:rPr>
          <w:rStyle w:val="FootnoteReference"/>
        </w:rPr>
        <w:footnoteRef/>
      </w:r>
      <w:r w:rsidRPr="002A68EC">
        <w:t xml:space="preserve"> Tomlinson, “Quick and Uneasy Justice: an administrative justice analysis of the EU Settlement Scheme”, Public Law Project, Full report, 16 July 2019, available ae: &lt; </w:t>
      </w:r>
      <w:hyperlink r:id="rId24" w:history="1">
        <w:r w:rsidRPr="002A68EC">
          <w:rPr>
            <w:rStyle w:val="Hyperlink"/>
            <w:color w:val="auto"/>
          </w:rPr>
          <w:t>https://publiclawproject.org.uk/wp-content/uploads/2019/07/Joe-Tomlinson-Quick-and-Uneasy-Justice-Full-Report-2019.pdf</w:t>
        </w:r>
      </w:hyperlink>
      <w:r w:rsidRPr="002A68EC">
        <w:t xml:space="preserve">&gt;. </w:t>
      </w:r>
    </w:p>
  </w:footnote>
  <w:footnote w:id="104">
    <w:p w14:paraId="6EF4B4AB" w14:textId="361BB89A" w:rsidR="006F0489" w:rsidRPr="002A68EC" w:rsidRDefault="006F0489" w:rsidP="002A68EC">
      <w:pPr>
        <w:pStyle w:val="FootnoteText"/>
        <w:jc w:val="both"/>
      </w:pPr>
      <w:r w:rsidRPr="002A68EC">
        <w:rPr>
          <w:rStyle w:val="FootnoteReference"/>
        </w:rPr>
        <w:footnoteRef/>
      </w:r>
      <w:r w:rsidRPr="002A68EC">
        <w:t xml:space="preserve"> E.g. initial work on the EU Rights and Brexit Hub (https://www.eurightshub.york.ac.uk/) has encountered people having difficulty applying if they do not have a National Insurance number. </w:t>
      </w:r>
    </w:p>
  </w:footnote>
  <w:footnote w:id="105">
    <w:p w14:paraId="7456A68F" w14:textId="6B56A26B" w:rsidR="006F0489" w:rsidRPr="002A68EC" w:rsidRDefault="006F0489" w:rsidP="002A68EC">
      <w:pPr>
        <w:pStyle w:val="FootnoteText"/>
        <w:jc w:val="both"/>
        <w:rPr>
          <w:i/>
          <w:iCs/>
        </w:rPr>
      </w:pPr>
      <w:r w:rsidRPr="002A68EC">
        <w:rPr>
          <w:rStyle w:val="FootnoteReference"/>
        </w:rPr>
        <w:footnoteRef/>
      </w:r>
      <w:r w:rsidRPr="002A68EC">
        <w:t xml:space="preserve"> Home Office “Submitting documents as evidence of residence” in </w:t>
      </w:r>
      <w:r w:rsidRPr="002A68EC">
        <w:rPr>
          <w:i/>
          <w:iCs/>
        </w:rPr>
        <w:t xml:space="preserve">EU Settlement Scheme: evidence of UK residence: Guidance </w:t>
      </w:r>
      <w:r w:rsidRPr="002A68EC">
        <w:t>available at:</w:t>
      </w:r>
    </w:p>
    <w:p w14:paraId="4ECBC934" w14:textId="75A1C639" w:rsidR="006F0489" w:rsidRPr="002A68EC" w:rsidRDefault="006F0489" w:rsidP="002A68EC">
      <w:pPr>
        <w:pStyle w:val="FootnoteText"/>
        <w:jc w:val="both"/>
      </w:pPr>
      <w:r w:rsidRPr="002A68EC">
        <w:t>https://www.gov.uk/guidance/eu-settlement-scheme-evidence-of-uk-residence#submitting-documents-as-evidence-of-residence.</w:t>
      </w:r>
    </w:p>
  </w:footnote>
  <w:footnote w:id="106">
    <w:p w14:paraId="63BBFE7F" w14:textId="644D4605" w:rsidR="006F0489" w:rsidRPr="002A68EC" w:rsidRDefault="006F0489" w:rsidP="002A68EC">
      <w:pPr>
        <w:pStyle w:val="FootnoteText"/>
        <w:jc w:val="both"/>
      </w:pPr>
      <w:r w:rsidRPr="002A68EC">
        <w:rPr>
          <w:rStyle w:val="FootnoteReference"/>
        </w:rPr>
        <w:footnoteRef/>
      </w:r>
      <w:r w:rsidRPr="002A68EC">
        <w:t xml:space="preserve"> Benn, “EU Settlement Scheme Refusals and Other Outcomes: What does it mean?” in </w:t>
      </w:r>
      <w:r w:rsidRPr="002A68EC">
        <w:rPr>
          <w:i/>
          <w:iCs/>
        </w:rPr>
        <w:t>Seraphus News: EU Settlement Scheme</w:t>
      </w:r>
      <w:r w:rsidRPr="002A68EC">
        <w:t>, (20/04/2020), available at: https://www.seraphus.co.uk/news/files/9236b9099a570fc8fdb79d29398e082e-24.php.</w:t>
      </w:r>
    </w:p>
  </w:footnote>
  <w:footnote w:id="107">
    <w:p w14:paraId="221976F6" w14:textId="129364DF" w:rsidR="006F0489" w:rsidRPr="002A68EC" w:rsidRDefault="006F0489" w:rsidP="002A68EC">
      <w:pPr>
        <w:pStyle w:val="FootnoteText"/>
        <w:jc w:val="both"/>
        <w:rPr>
          <w:lang w:val="en-US"/>
        </w:rPr>
      </w:pPr>
      <w:r w:rsidRPr="002A68EC">
        <w:rPr>
          <w:rStyle w:val="FootnoteReference"/>
        </w:rPr>
        <w:footnoteRef/>
      </w:r>
      <w:r w:rsidRPr="002A68EC">
        <w:t xml:space="preserve"> O’Brien, op. cit. </w:t>
      </w:r>
      <w:r w:rsidRPr="002A68EC">
        <w:rPr>
          <w:i/>
          <w:iCs/>
        </w:rPr>
        <w:t xml:space="preserve">supra </w:t>
      </w:r>
      <w:r w:rsidRPr="002A68EC">
        <w:t xml:space="preserve">note </w:t>
      </w:r>
      <w:r w:rsidRPr="002A68EC">
        <w:fldChar w:fldCharType="begin"/>
      </w:r>
      <w:r w:rsidRPr="002A68EC">
        <w:instrText xml:space="preserve"> NOTEREF _Ref15313420 \h  \* MERGEFORMAT </w:instrText>
      </w:r>
      <w:r w:rsidRPr="002A68EC">
        <w:fldChar w:fldCharType="separate"/>
      </w:r>
      <w:r w:rsidR="00A26A6A">
        <w:t>9</w:t>
      </w:r>
      <w:r w:rsidRPr="002A68EC">
        <w:fldChar w:fldCharType="end"/>
      </w:r>
      <w:r w:rsidRPr="002A68EC">
        <w:t xml:space="preserve">, 272. </w:t>
      </w:r>
    </w:p>
  </w:footnote>
  <w:footnote w:id="108">
    <w:p w14:paraId="692F76EF" w14:textId="334E3E47" w:rsidR="006F0489" w:rsidRPr="002A68EC" w:rsidRDefault="006F0489" w:rsidP="002A68EC">
      <w:pPr>
        <w:pStyle w:val="FootnoteText"/>
        <w:jc w:val="both"/>
      </w:pPr>
      <w:r w:rsidRPr="002A68EC">
        <w:rPr>
          <w:rStyle w:val="FootnoteReference"/>
        </w:rPr>
        <w:footnoteRef/>
      </w:r>
      <w:r w:rsidRPr="002A68EC">
        <w:t xml:space="preserve"> Ibid, 207. </w:t>
      </w:r>
    </w:p>
  </w:footnote>
  <w:footnote w:id="109">
    <w:p w14:paraId="2C7680C6" w14:textId="21D69700" w:rsidR="006F0489" w:rsidRPr="002A68EC" w:rsidRDefault="006F0489" w:rsidP="002A68EC">
      <w:pPr>
        <w:pStyle w:val="FootnoteText"/>
        <w:jc w:val="both"/>
      </w:pPr>
      <w:r w:rsidRPr="002A68EC">
        <w:rPr>
          <w:rStyle w:val="FootnoteReference"/>
        </w:rPr>
        <w:footnoteRef/>
      </w:r>
      <w:r w:rsidRPr="002A68EC">
        <w:t xml:space="preserve"> Gower, “The new points-based immigration system”, House of Commons Library, </w:t>
      </w:r>
      <w:r w:rsidRPr="002A68EC">
        <w:rPr>
          <w:i/>
          <w:iCs/>
        </w:rPr>
        <w:t>Briefing Paper,</w:t>
      </w:r>
      <w:r w:rsidRPr="002A68EC">
        <w:t xml:space="preserve"> CBP 8911, 12 May 2020.</w:t>
      </w:r>
    </w:p>
  </w:footnote>
  <w:footnote w:id="110">
    <w:p w14:paraId="128F66E0" w14:textId="68160F1D" w:rsidR="006F0489" w:rsidRPr="002A68EC" w:rsidRDefault="006F0489" w:rsidP="002A68EC">
      <w:pPr>
        <w:pStyle w:val="FootnoteText"/>
        <w:jc w:val="both"/>
      </w:pPr>
      <w:r w:rsidRPr="002A68EC">
        <w:rPr>
          <w:rStyle w:val="FootnoteReference"/>
        </w:rPr>
        <w:footnoteRef/>
      </w:r>
      <w:r w:rsidRPr="002A68EC">
        <w:t xml:space="preserve"> See the draft regulations: The Citizens’ Rights (Application Deadline and Temporary Protection) (EU Exit) Regulations 2020.</w:t>
      </w:r>
    </w:p>
  </w:footnote>
  <w:footnote w:id="111">
    <w:p w14:paraId="42BED9A6" w14:textId="180489E2" w:rsidR="006F0489" w:rsidRPr="002A68EC" w:rsidRDefault="006F0489" w:rsidP="002A68EC">
      <w:pPr>
        <w:pStyle w:val="FootnoteText"/>
        <w:jc w:val="both"/>
      </w:pPr>
      <w:r w:rsidRPr="002A68EC">
        <w:rPr>
          <w:rStyle w:val="FootnoteReference"/>
        </w:rPr>
        <w:footnoteRef/>
      </w:r>
      <w:r w:rsidRPr="002A68EC">
        <w:t xml:space="preserve"> Immigration and Social Security Co-ordination (EU Withdrawal) Bill 2019-21; progress can be followed at: Parliament.uk: Bills Before Parliament 2019-21: Public Bills https://services.parliament.uk/Bills/2019-21/immigrationandsocialsecuritycoordinationeuwithdrawal.html.</w:t>
      </w:r>
    </w:p>
  </w:footnote>
  <w:footnote w:id="112">
    <w:p w14:paraId="40AFFB62" w14:textId="5CAB0C65" w:rsidR="006F0489" w:rsidRPr="002A68EC" w:rsidRDefault="006F0489" w:rsidP="002A68EC">
      <w:pPr>
        <w:pStyle w:val="FootnoteText"/>
        <w:jc w:val="both"/>
      </w:pPr>
      <w:r w:rsidRPr="002A68EC">
        <w:rPr>
          <w:rStyle w:val="FootnoteReference"/>
        </w:rPr>
        <w:footnoteRef/>
      </w:r>
      <w:r w:rsidRPr="002A68EC">
        <w:t xml:space="preserve"> Gower &amp; Kennedy, “The Immigration and Social Security Co-ordination (EU Withdrawal) Bill 2019-21”, House of Commons Library, </w:t>
      </w:r>
      <w:r w:rsidRPr="002A68EC">
        <w:rPr>
          <w:i/>
          <w:iCs/>
        </w:rPr>
        <w:t>Briefing Paper</w:t>
      </w:r>
      <w:r w:rsidRPr="002A68EC">
        <w:t>, CBP 8706, (12 May 2020),</w:t>
      </w:r>
    </w:p>
    <w:p w14:paraId="51051431" w14:textId="5368410F" w:rsidR="006F0489" w:rsidRPr="002A68EC" w:rsidRDefault="006F0489" w:rsidP="002A68EC">
      <w:pPr>
        <w:pStyle w:val="FootnoteText"/>
        <w:jc w:val="both"/>
      </w:pPr>
      <w:r w:rsidRPr="002A68EC">
        <w:t xml:space="preserve">available at: http://researchbriefings.files.parliament.uk/documents/CBP-8706/CBP-8706.pdf. </w:t>
      </w:r>
    </w:p>
  </w:footnote>
  <w:footnote w:id="113">
    <w:p w14:paraId="66B3DE84" w14:textId="1EDADE12" w:rsidR="006F0489" w:rsidRPr="002A68EC" w:rsidRDefault="006F0489" w:rsidP="002A68EC">
      <w:pPr>
        <w:pStyle w:val="FootnoteText"/>
        <w:jc w:val="both"/>
      </w:pPr>
      <w:r w:rsidRPr="002A68EC">
        <w:rPr>
          <w:rStyle w:val="FootnoteReference"/>
        </w:rPr>
        <w:footnoteRef/>
      </w:r>
      <w:r w:rsidRPr="002A68EC">
        <w:t xml:space="preserve"> 16 600 refusals as of September 2020: Home Office, “EU Settlement Scheme statistics”, Update 08/10/2020, available at: https://www.gov.uk/government/collections/eu-settlement-scheme-statistics. </w:t>
      </w:r>
    </w:p>
  </w:footnote>
  <w:footnote w:id="114">
    <w:p w14:paraId="0772185F" w14:textId="313F13A2" w:rsidR="006F0489" w:rsidRPr="002A68EC" w:rsidRDefault="006F0489" w:rsidP="002A68EC">
      <w:pPr>
        <w:pStyle w:val="FootnoteText"/>
        <w:jc w:val="both"/>
      </w:pPr>
      <w:r w:rsidRPr="002A68EC">
        <w:rPr>
          <w:rStyle w:val="FootnoteReference"/>
        </w:rPr>
        <w:footnoteRef/>
      </w:r>
      <w:r w:rsidRPr="002A68EC">
        <w:t xml:space="preserve"> Tomlinson &amp; Welsh, “Tens of thousands of people wait months for an EU Settlement Scheme decision”, </w:t>
      </w:r>
      <w:r w:rsidRPr="002A68EC">
        <w:rPr>
          <w:i/>
          <w:iCs/>
        </w:rPr>
        <w:t>Free Movement</w:t>
      </w:r>
      <w:r w:rsidRPr="002A68EC">
        <w:t>, (02/06/2020), https://www.freemovement.org.uk/tens-of-thousands-of-people-wait-months-for-an-eu-settlement-scheme-decision/.</w:t>
      </w:r>
    </w:p>
  </w:footnote>
  <w:footnote w:id="115">
    <w:p w14:paraId="5D2C137F" w14:textId="272A36B1" w:rsidR="006F0489" w:rsidRPr="002A68EC" w:rsidRDefault="006F0489" w:rsidP="002A68EC">
      <w:pPr>
        <w:pStyle w:val="FootnoteText"/>
        <w:jc w:val="both"/>
      </w:pPr>
      <w:r w:rsidRPr="002A68EC">
        <w:rPr>
          <w:rStyle w:val="FootnoteReference"/>
        </w:rPr>
        <w:footnoteRef/>
      </w:r>
      <w:r w:rsidRPr="002A68EC">
        <w:t xml:space="preserve"> Ibid; ‘Statistics retrieved from a freedom of information request show that on 19 October 2019 there were 33,350 applications that had been waiting for a decision for between three and six months, and another 2,920 that were waiting for six months.’ </w:t>
      </w:r>
    </w:p>
  </w:footnote>
  <w:footnote w:id="116">
    <w:p w14:paraId="0930E76B" w14:textId="77777777" w:rsidR="006F0489" w:rsidRPr="00723399" w:rsidRDefault="006F0489" w:rsidP="00723399">
      <w:pPr>
        <w:pStyle w:val="FootnoteText"/>
      </w:pPr>
      <w:r>
        <w:rPr>
          <w:rStyle w:val="FootnoteReference"/>
        </w:rPr>
        <w:footnoteRef/>
      </w:r>
      <w:r>
        <w:t xml:space="preserve"> </w:t>
      </w:r>
      <w:r w:rsidRPr="00723399">
        <w:t xml:space="preserve">Case C-34/09, </w:t>
      </w:r>
      <w:r w:rsidRPr="00723399">
        <w:rPr>
          <w:i/>
          <w:iCs/>
        </w:rPr>
        <w:t xml:space="preserve">Gerardo Ruiz Zambrano </w:t>
      </w:r>
      <w:r w:rsidRPr="00723399">
        <w:t xml:space="preserve">v. </w:t>
      </w:r>
      <w:r w:rsidRPr="00723399">
        <w:rPr>
          <w:i/>
          <w:iCs/>
        </w:rPr>
        <w:t>Office national de l’emploi (ONEm)</w:t>
      </w:r>
      <w:r w:rsidRPr="00723399">
        <w:t xml:space="preserve">, EU:C: 2011:124. </w:t>
      </w:r>
    </w:p>
    <w:p w14:paraId="76B5D8D4" w14:textId="342AB3DC" w:rsidR="006F0489" w:rsidRDefault="006F0489">
      <w:pPr>
        <w:pStyle w:val="FootnoteText"/>
      </w:pPr>
    </w:p>
  </w:footnote>
  <w:footnote w:id="117">
    <w:p w14:paraId="391257C2" w14:textId="04289F74" w:rsidR="006F0489" w:rsidRPr="002A68EC" w:rsidRDefault="006F0489" w:rsidP="002A68EC">
      <w:pPr>
        <w:pStyle w:val="FootnoteText"/>
        <w:jc w:val="both"/>
      </w:pPr>
      <w:r w:rsidRPr="002A68EC">
        <w:rPr>
          <w:rStyle w:val="FootnoteReference"/>
        </w:rPr>
        <w:footnoteRef/>
      </w:r>
      <w:r w:rsidRPr="002A68EC">
        <w:t xml:space="preserve"> Home Office, “Official Statistics: EU Settlement Scheme quarterly statistics”, June 2020, (27/08/2020), available at: </w:t>
      </w:r>
      <w:hyperlink r:id="rId25" w:history="1">
        <w:r w:rsidRPr="002A68EC">
          <w:rPr>
            <w:rStyle w:val="Hyperlink"/>
            <w:color w:val="auto"/>
          </w:rPr>
          <w:t>https://www.gov.uk/government/publications/eu-settlement-scheme-quarterly-statistics-june-2020/eu-settlement-scheme-quarterly-statistics-june-2020</w:t>
        </w:r>
      </w:hyperlink>
      <w:r w:rsidRPr="002A68EC">
        <w:t xml:space="preserve">. </w:t>
      </w:r>
    </w:p>
  </w:footnote>
  <w:footnote w:id="118">
    <w:p w14:paraId="31C1E09D" w14:textId="25C65948" w:rsidR="006F0489" w:rsidRDefault="006F0489">
      <w:pPr>
        <w:pStyle w:val="FootnoteText"/>
      </w:pPr>
      <w:r>
        <w:rPr>
          <w:rStyle w:val="FootnoteReference"/>
        </w:rPr>
        <w:footnoteRef/>
      </w:r>
      <w:r>
        <w:t xml:space="preserve"> Home Office, “</w:t>
      </w:r>
      <w:r w:rsidRPr="00E577FF">
        <w:t>EU Settlement Scheme: person with a Zambrano right to reside</w:t>
      </w:r>
      <w:r>
        <w:t>”,</w:t>
      </w:r>
      <w:r w:rsidRPr="00E577FF">
        <w:t xml:space="preserve"> Version 3.0</w:t>
      </w:r>
      <w:r>
        <w:t xml:space="preserve">, (13 February 2020), pp22-23. In </w:t>
      </w:r>
      <w:r w:rsidRPr="00E577FF">
        <w:rPr>
          <w:i/>
          <w:iCs/>
        </w:rPr>
        <w:t>this</w:t>
      </w:r>
      <w:r>
        <w:t xml:space="preserve"> context, whereby it provides a means to </w:t>
      </w:r>
      <w:r w:rsidRPr="00E577FF">
        <w:rPr>
          <w:i/>
          <w:iCs/>
        </w:rPr>
        <w:t>refuse</w:t>
      </w:r>
      <w:r>
        <w:t xml:space="preserve"> a right to reside, the Home Office takes a rather generous approach to likely hypothetical success of non-existent Article 8 ECHR claims: ‘</w:t>
      </w:r>
      <w:r w:rsidRPr="00E577FF">
        <w:t>An Appendix FM application, or ECHR Article 8 claim, will be considered to have (or to have had) a realistic prospect of success where the applicant has family life in the UK with a British citizen and there is no apparent reason why such an application would be refused</w:t>
      </w:r>
      <w:r>
        <w:t>’</w:t>
      </w:r>
      <w:r w:rsidRPr="00E577FF">
        <w:t>.</w:t>
      </w:r>
    </w:p>
  </w:footnote>
  <w:footnote w:id="119">
    <w:p w14:paraId="4D04C7ED" w14:textId="6C8318AD" w:rsidR="006F0489" w:rsidRDefault="006F0489">
      <w:pPr>
        <w:pStyle w:val="FootnoteText"/>
      </w:pPr>
      <w:r>
        <w:rPr>
          <w:rStyle w:val="FootnoteReference"/>
        </w:rPr>
        <w:footnoteRef/>
      </w:r>
      <w:r>
        <w:t xml:space="preserve"> Home Office, “</w:t>
      </w:r>
      <w:r w:rsidRPr="00E577FF">
        <w:t>Free movement rights: derivative rights of residence</w:t>
      </w:r>
      <w:r>
        <w:t>”,</w:t>
      </w:r>
      <w:r w:rsidRPr="00E577FF">
        <w:t xml:space="preserve"> Version 5.0</w:t>
      </w:r>
      <w:r>
        <w:t>, (05/05/19), 52.</w:t>
      </w:r>
    </w:p>
  </w:footnote>
  <w:footnote w:id="120">
    <w:p w14:paraId="5B53919C" w14:textId="578B63F1" w:rsidR="006F0489" w:rsidRDefault="006F0489">
      <w:pPr>
        <w:pStyle w:val="FootnoteText"/>
      </w:pPr>
      <w:r>
        <w:rPr>
          <w:rStyle w:val="FootnoteReference"/>
        </w:rPr>
        <w:footnoteRef/>
      </w:r>
      <w:r>
        <w:t xml:space="preserve"> Home Office, (2020), </w:t>
      </w:r>
      <w:r>
        <w:rPr>
          <w:i/>
          <w:iCs/>
        </w:rPr>
        <w:t xml:space="preserve">supra </w:t>
      </w:r>
      <w:r>
        <w:t xml:space="preserve">note </w:t>
      </w:r>
      <w:r>
        <w:fldChar w:fldCharType="begin"/>
      </w:r>
      <w:r>
        <w:instrText xml:space="preserve"> NOTEREF _Ref60825184 \h </w:instrText>
      </w:r>
      <w:r>
        <w:fldChar w:fldCharType="separate"/>
      </w:r>
      <w:r w:rsidR="00A26A6A">
        <w:t>118</w:t>
      </w:r>
      <w:r>
        <w:fldChar w:fldCharType="end"/>
      </w:r>
      <w:r>
        <w:t>, 43.</w:t>
      </w:r>
    </w:p>
  </w:footnote>
  <w:footnote w:id="121">
    <w:p w14:paraId="1DE95535" w14:textId="77777777" w:rsidR="006F0489" w:rsidRPr="002A68EC" w:rsidRDefault="006F0489" w:rsidP="002A68EC">
      <w:pPr>
        <w:pStyle w:val="FootnoteText"/>
        <w:jc w:val="both"/>
      </w:pPr>
      <w:r w:rsidRPr="002A68EC">
        <w:rPr>
          <w:rStyle w:val="FootnoteReference"/>
        </w:rPr>
        <w:footnoteRef/>
      </w:r>
      <w:r w:rsidRPr="002A68EC">
        <w:t xml:space="preserve"> The UK government introduced a judicial appeal mechanism for challenging settled status decisions in January 2020:  Immigration (Citizens’ Rights Appeals) (EU Exit) Regulations 2020 (SI 2020 No. 61).</w:t>
      </w:r>
    </w:p>
  </w:footnote>
  <w:footnote w:id="122">
    <w:p w14:paraId="136C837D" w14:textId="2123EBCC" w:rsidR="006F0489" w:rsidRPr="002A68EC" w:rsidRDefault="006F0489" w:rsidP="002A68EC">
      <w:pPr>
        <w:pStyle w:val="FootnoteText"/>
        <w:jc w:val="both"/>
      </w:pPr>
      <w:r w:rsidRPr="002A68EC">
        <w:rPr>
          <w:rStyle w:val="FootnoteReference"/>
        </w:rPr>
        <w:footnoteRef/>
      </w:r>
      <w:r w:rsidRPr="002A68EC">
        <w:t xml:space="preserve"> Welsh &amp; Tomlinson, “Administrative Review and the EU Settlement Scheme: What does the 89.5% success rate show?”, Public Law Project Blog, (03/12/2019), available at: https://publiclawproject.org.uk/blog/admin-review-eu-settlement-scheme-what-does-the-89-5-success-rate-show/.</w:t>
      </w:r>
    </w:p>
  </w:footnote>
  <w:footnote w:id="123">
    <w:p w14:paraId="5049AAFF" w14:textId="3F16A981" w:rsidR="006F0489" w:rsidRPr="002A68EC" w:rsidRDefault="006F0489" w:rsidP="002A68EC">
      <w:pPr>
        <w:pStyle w:val="FootnoteText"/>
        <w:jc w:val="both"/>
      </w:pPr>
      <w:r w:rsidRPr="002A68EC">
        <w:rPr>
          <w:rStyle w:val="FootnoteReference"/>
        </w:rPr>
        <w:footnoteRef/>
      </w:r>
      <w:r w:rsidRPr="002A68EC">
        <w:t xml:space="preserve"> Sajid Javid, Secretary of State for the Home Department, letter to Baroness Kennedy, Chairman of EU Justice Sub-Committee, 20 March 2019, available at: https://www.parliament.uk/documents/lords-committees/eu-justice-subcommittee/CWM/SJ-LettertoHK-EUSS_20-03-19.pdf, 5.</w:t>
      </w:r>
    </w:p>
  </w:footnote>
  <w:footnote w:id="124">
    <w:p w14:paraId="7B0E041A" w14:textId="429B7E0D" w:rsidR="006F0489" w:rsidRPr="002A68EC" w:rsidRDefault="006F0489" w:rsidP="002A68EC">
      <w:pPr>
        <w:pStyle w:val="FootnoteText"/>
        <w:jc w:val="both"/>
      </w:pPr>
      <w:r w:rsidRPr="002A68EC">
        <w:rPr>
          <w:rStyle w:val="FootnoteReference"/>
        </w:rPr>
        <w:footnoteRef/>
      </w:r>
      <w:r w:rsidRPr="002A68EC">
        <w:t xml:space="preserve"> Regulations cited </w:t>
      </w:r>
      <w:r w:rsidRPr="002A68EC">
        <w:rPr>
          <w:i/>
          <w:iCs/>
        </w:rPr>
        <w:t>supra</w:t>
      </w:r>
      <w:r w:rsidRPr="002A68EC">
        <w:t xml:space="preserve">, note </w:t>
      </w:r>
      <w:r w:rsidRPr="002A68EC">
        <w:fldChar w:fldCharType="begin"/>
      </w:r>
      <w:r w:rsidRPr="002A68EC">
        <w:instrText xml:space="preserve"> NOTEREF _Ref15463789 \h  \* MERGEFORMAT </w:instrText>
      </w:r>
      <w:r w:rsidRPr="002A68EC">
        <w:fldChar w:fldCharType="separate"/>
      </w:r>
      <w:r w:rsidR="00A26A6A">
        <w:t>11</w:t>
      </w:r>
      <w:r w:rsidRPr="002A68EC">
        <w:fldChar w:fldCharType="end"/>
      </w:r>
      <w:r w:rsidRPr="002A68EC">
        <w:t>.</w:t>
      </w:r>
    </w:p>
  </w:footnote>
  <w:footnote w:id="125">
    <w:p w14:paraId="5C50B3FC" w14:textId="6089F38F" w:rsidR="006F0489" w:rsidRPr="002A68EC" w:rsidRDefault="006F0489" w:rsidP="002A68EC">
      <w:pPr>
        <w:pStyle w:val="FootnoteText"/>
        <w:jc w:val="both"/>
      </w:pPr>
      <w:r w:rsidRPr="002A68EC">
        <w:rPr>
          <w:rStyle w:val="FootnoteReference"/>
        </w:rPr>
        <w:footnoteRef/>
      </w:r>
      <w:r w:rsidRPr="002A68EC">
        <w:t xml:space="preserve"> Case C-333/13, </w:t>
      </w:r>
      <w:r w:rsidRPr="002A68EC">
        <w:rPr>
          <w:i/>
          <w:iCs/>
        </w:rPr>
        <w:t xml:space="preserve">Dano, </w:t>
      </w:r>
      <w:r w:rsidRPr="002A68EC">
        <w:t>EU:C:2014:2358.</w:t>
      </w:r>
    </w:p>
  </w:footnote>
  <w:footnote w:id="126">
    <w:p w14:paraId="59833605" w14:textId="3C2B6CE2" w:rsidR="006F0489" w:rsidRPr="002A68EC" w:rsidRDefault="006F0489" w:rsidP="002A68EC">
      <w:pPr>
        <w:pStyle w:val="FootnoteText"/>
        <w:jc w:val="both"/>
        <w:rPr>
          <w:lang w:val="en-US"/>
        </w:rPr>
      </w:pPr>
      <w:r w:rsidRPr="002A68EC">
        <w:rPr>
          <w:rStyle w:val="FootnoteReference"/>
        </w:rPr>
        <w:footnoteRef/>
      </w:r>
      <w:r w:rsidRPr="002A68EC">
        <w:t xml:space="preserve"> </w:t>
      </w:r>
      <w:r w:rsidRPr="002A68EC">
        <w:rPr>
          <w:i/>
          <w:iCs/>
        </w:rPr>
        <w:t xml:space="preserve">Trojani </w:t>
      </w:r>
      <w:r w:rsidRPr="002A68EC">
        <w:t xml:space="preserve">cited </w:t>
      </w:r>
      <w:r w:rsidRPr="002A68EC">
        <w:rPr>
          <w:i/>
          <w:iCs/>
        </w:rPr>
        <w:t>supra,</w:t>
      </w:r>
      <w:r w:rsidRPr="002A68EC">
        <w:t xml:space="preserve"> note </w:t>
      </w:r>
      <w:r w:rsidRPr="002A68EC">
        <w:fldChar w:fldCharType="begin"/>
      </w:r>
      <w:r w:rsidRPr="002A68EC">
        <w:instrText xml:space="preserve"> NOTEREF _Ref15464082 \h  \* MERGEFORMAT </w:instrText>
      </w:r>
      <w:r w:rsidRPr="002A68EC">
        <w:fldChar w:fldCharType="separate"/>
      </w:r>
      <w:r w:rsidR="00A26A6A">
        <w:t>12</w:t>
      </w:r>
      <w:r w:rsidRPr="002A68EC">
        <w:fldChar w:fldCharType="end"/>
      </w:r>
      <w:r w:rsidRPr="002A68EC">
        <w:t xml:space="preserve">, </w:t>
      </w:r>
      <w:r w:rsidRPr="002A68EC">
        <w:rPr>
          <w:lang w:val="en-US"/>
        </w:rPr>
        <w:t>40.</w:t>
      </w:r>
    </w:p>
  </w:footnote>
  <w:footnote w:id="127">
    <w:p w14:paraId="19BC41B3" w14:textId="49F95E7D" w:rsidR="006F0489" w:rsidRPr="002A68EC" w:rsidRDefault="006F0489" w:rsidP="002A68EC">
      <w:pPr>
        <w:pStyle w:val="FootnoteText"/>
        <w:jc w:val="both"/>
      </w:pPr>
      <w:r w:rsidRPr="002A68EC">
        <w:rPr>
          <w:rStyle w:val="FootnoteReference"/>
        </w:rPr>
        <w:footnoteRef/>
      </w:r>
      <w:r w:rsidRPr="002A68EC">
        <w:t xml:space="preserve"> Dougan &amp; Spaventa ''Wish you weren't here...' : new models of social solidarity in the European Union.', in </w:t>
      </w:r>
      <w:r w:rsidRPr="002A68EC">
        <w:rPr>
          <w:i/>
          <w:iCs/>
        </w:rPr>
        <w:t>Social welfare and EU law,</w:t>
      </w:r>
      <w:r w:rsidRPr="002A68EC">
        <w:t xml:space="preserve"> (Hart, 2005).</w:t>
      </w:r>
    </w:p>
  </w:footnote>
  <w:footnote w:id="128">
    <w:p w14:paraId="6631285F" w14:textId="47C31D47" w:rsidR="006F0489" w:rsidRPr="002A68EC" w:rsidRDefault="006F0489" w:rsidP="002A68EC">
      <w:pPr>
        <w:pStyle w:val="FootnoteText"/>
        <w:jc w:val="both"/>
      </w:pPr>
      <w:r w:rsidRPr="002A68EC">
        <w:rPr>
          <w:rStyle w:val="FootnoteReference"/>
        </w:rPr>
        <w:footnoteRef/>
      </w:r>
      <w:r w:rsidRPr="002A68EC">
        <w:t xml:space="preserve"> Trojani, cited </w:t>
      </w:r>
      <w:r w:rsidRPr="002A68EC">
        <w:rPr>
          <w:i/>
          <w:iCs/>
        </w:rPr>
        <w:t>supra</w:t>
      </w:r>
      <w:r w:rsidRPr="002A68EC">
        <w:t xml:space="preserve">, note </w:t>
      </w:r>
      <w:r w:rsidRPr="002A68EC">
        <w:fldChar w:fldCharType="begin"/>
      </w:r>
      <w:r w:rsidRPr="002A68EC">
        <w:instrText xml:space="preserve"> NOTEREF _Ref15464082 \h  \* MERGEFORMAT </w:instrText>
      </w:r>
      <w:r w:rsidRPr="002A68EC">
        <w:fldChar w:fldCharType="separate"/>
      </w:r>
      <w:r w:rsidR="00A26A6A">
        <w:t>12</w:t>
      </w:r>
      <w:r w:rsidRPr="002A68EC">
        <w:fldChar w:fldCharType="end"/>
      </w:r>
      <w:r w:rsidRPr="002A68EC">
        <w:t>, 46.</w:t>
      </w:r>
    </w:p>
  </w:footnote>
  <w:footnote w:id="129">
    <w:p w14:paraId="0BA11B4F" w14:textId="4FBD9119" w:rsidR="006F0489" w:rsidRPr="002A68EC" w:rsidRDefault="006F0489" w:rsidP="002A68EC">
      <w:pPr>
        <w:pStyle w:val="FootnoteText"/>
        <w:jc w:val="both"/>
      </w:pPr>
      <w:r w:rsidRPr="002A68EC">
        <w:rPr>
          <w:rStyle w:val="FootnoteReference"/>
        </w:rPr>
        <w:footnoteRef/>
      </w:r>
      <w:r w:rsidRPr="002A68EC">
        <w:t xml:space="preserve"> </w:t>
      </w:r>
      <w:r w:rsidRPr="002A68EC">
        <w:rPr>
          <w:rFonts w:eastAsiaTheme="minorHAnsi"/>
          <w:szCs w:val="16"/>
        </w:rPr>
        <w:t xml:space="preserve">Spaventa, “Earned Citizenship: Understanding Union Citizenship Through Its Scope”, in Kochenov (ed), </w:t>
      </w:r>
      <w:r w:rsidRPr="002A68EC">
        <w:rPr>
          <w:rFonts w:eastAsiaTheme="minorHAnsi"/>
          <w:i/>
          <w:iCs/>
          <w:szCs w:val="16"/>
        </w:rPr>
        <w:t>EU Citizenship and Federalism: The Role of Rights</w:t>
      </w:r>
      <w:r w:rsidRPr="002A68EC">
        <w:rPr>
          <w:rFonts w:eastAsiaTheme="minorHAnsi"/>
          <w:szCs w:val="16"/>
        </w:rPr>
        <w:t xml:space="preserve"> (Cambridge: CUP, 2017), 206; Šadl &amp; Sankari “Why did the Citizenship Jurisprudence Change?” in Thym, </w:t>
      </w:r>
      <w:r w:rsidRPr="002A68EC">
        <w:t xml:space="preserve">(ed) </w:t>
      </w:r>
      <w:r w:rsidRPr="002A68EC">
        <w:rPr>
          <w:i/>
          <w:iCs/>
        </w:rPr>
        <w:t>Questioning EU Citizenship: Judges and the Limits of Free Movement and Solidarity in the EU</w:t>
      </w:r>
      <w:r w:rsidRPr="002A68EC">
        <w:t xml:space="preserve"> (Hart, 2017)</w:t>
      </w:r>
      <w:r w:rsidRPr="002A68EC">
        <w:rPr>
          <w:rFonts w:eastAsiaTheme="minorHAnsi"/>
          <w:szCs w:val="16"/>
        </w:rPr>
        <w:t xml:space="preserve">; Blauberger, Heindlmaier, Kramer, Sindbjerg Martinsen, Sampson Thierry, Schenk &amp; Werner, “ECJ Judges read the morning papers. Explaining the turnaround of European citizenship jurisprudence”, 25(10) </w:t>
      </w:r>
      <w:r w:rsidRPr="002A68EC">
        <w:rPr>
          <w:rFonts w:eastAsiaTheme="minorHAnsi"/>
          <w:i/>
          <w:iCs/>
          <w:szCs w:val="16"/>
        </w:rPr>
        <w:t>Journal of European Public Policy</w:t>
      </w:r>
      <w:r w:rsidRPr="002A68EC">
        <w:rPr>
          <w:rFonts w:eastAsiaTheme="minorHAnsi"/>
          <w:szCs w:val="16"/>
        </w:rPr>
        <w:t>, (2018), 1422. Cf Davies, “</w:t>
      </w:r>
      <w:r w:rsidRPr="002A68EC">
        <w:rPr>
          <w:rStyle w:val="arttitle"/>
          <w:rFonts w:cs="Arial"/>
          <w:shd w:val="clear" w:color="auto" w:fill="FFFFFF"/>
        </w:rPr>
        <w:t>Has the Court changed, or have the cases? The deservingness of litigants as an element in Court of Justice citizenship adjudication”,</w:t>
      </w:r>
      <w:r w:rsidRPr="002A68EC">
        <w:rPr>
          <w:rFonts w:cs="Arial"/>
          <w:shd w:val="clear" w:color="auto" w:fill="FFFFFF"/>
        </w:rPr>
        <w:t xml:space="preserve"> 25(10) </w:t>
      </w:r>
      <w:r w:rsidRPr="002A68EC">
        <w:rPr>
          <w:rStyle w:val="serialtitle"/>
          <w:rFonts w:cs="Arial"/>
          <w:i/>
          <w:iCs/>
          <w:shd w:val="clear" w:color="auto" w:fill="FFFFFF"/>
        </w:rPr>
        <w:t>Journal of European Public Policy</w:t>
      </w:r>
      <w:r w:rsidRPr="002A68EC">
        <w:rPr>
          <w:rStyle w:val="serialtitle"/>
          <w:rFonts w:cs="Arial"/>
          <w:shd w:val="clear" w:color="auto" w:fill="FFFFFF"/>
        </w:rPr>
        <w:t>, (2018)</w:t>
      </w:r>
      <w:r w:rsidRPr="002A68EC">
        <w:rPr>
          <w:rStyle w:val="volumeissue"/>
          <w:rFonts w:cs="Arial"/>
          <w:shd w:val="clear" w:color="auto" w:fill="FFFFFF"/>
        </w:rPr>
        <w:t>,</w:t>
      </w:r>
      <w:r w:rsidRPr="002A68EC">
        <w:rPr>
          <w:rFonts w:cs="Arial"/>
          <w:shd w:val="clear" w:color="auto" w:fill="FFFFFF"/>
        </w:rPr>
        <w:t> </w:t>
      </w:r>
      <w:r w:rsidRPr="002A68EC">
        <w:rPr>
          <w:rStyle w:val="pagerange"/>
          <w:rFonts w:cs="Arial"/>
          <w:shd w:val="clear" w:color="auto" w:fill="FFFFFF"/>
        </w:rPr>
        <w:t>1442.</w:t>
      </w:r>
    </w:p>
  </w:footnote>
  <w:footnote w:id="130">
    <w:p w14:paraId="574C9D90" w14:textId="32F81A7B" w:rsidR="006F0489" w:rsidRPr="002A68EC" w:rsidRDefault="006F0489" w:rsidP="002A68EC">
      <w:pPr>
        <w:autoSpaceDE w:val="0"/>
        <w:autoSpaceDN w:val="0"/>
        <w:adjustRightInd w:val="0"/>
        <w:jc w:val="both"/>
        <w:rPr>
          <w:rFonts w:eastAsiaTheme="minorHAnsi"/>
          <w:sz w:val="20"/>
          <w:szCs w:val="16"/>
        </w:rPr>
      </w:pPr>
      <w:r w:rsidRPr="002A68EC">
        <w:rPr>
          <w:rStyle w:val="FootnoteReference"/>
          <w:sz w:val="20"/>
        </w:rPr>
        <w:footnoteRef/>
      </w:r>
      <w:r w:rsidRPr="002A68EC">
        <w:rPr>
          <w:sz w:val="20"/>
        </w:rPr>
        <w:t xml:space="preserve"> </w:t>
      </w:r>
      <w:r w:rsidRPr="002A68EC">
        <w:rPr>
          <w:rFonts w:eastAsiaTheme="minorHAnsi"/>
          <w:sz w:val="20"/>
          <w:szCs w:val="16"/>
        </w:rPr>
        <w:t xml:space="preserve">Nic Shuibhne, “Limits Rising, Duties Ascending: The Changing Legal Shape of Union Citizenship”, 52(4) CML Rev, (2015), 889. </w:t>
      </w:r>
    </w:p>
  </w:footnote>
  <w:footnote w:id="131">
    <w:p w14:paraId="735B8EC8" w14:textId="663D6C7E" w:rsidR="006F0489" w:rsidRPr="002A68EC" w:rsidRDefault="006F0489" w:rsidP="002A68EC">
      <w:pPr>
        <w:pStyle w:val="FootnoteText"/>
        <w:jc w:val="both"/>
      </w:pPr>
      <w:r w:rsidRPr="002A68EC">
        <w:rPr>
          <w:rStyle w:val="FootnoteReference"/>
        </w:rPr>
        <w:footnoteRef/>
      </w:r>
      <w:r w:rsidRPr="002A68EC">
        <w:t xml:space="preserve"> Note appended to regulations available at: https://www.legislation.gov.uk/uksi/2019/872/note/made.</w:t>
      </w:r>
    </w:p>
  </w:footnote>
  <w:footnote w:id="132">
    <w:p w14:paraId="7026A4DE" w14:textId="2CF33789"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Fratila &amp; Anor, R (on the application of) v Secretary of State for Work and Pensions &amp; Anor</w:t>
      </w:r>
      <w:r w:rsidRPr="002A68EC">
        <w:t xml:space="preserve"> [2020] EWHC 998 (Admin) (27 April 2020).</w:t>
      </w:r>
    </w:p>
  </w:footnote>
  <w:footnote w:id="133">
    <w:p w14:paraId="46C822BF" w14:textId="719DBDA5" w:rsidR="006F0489" w:rsidRDefault="006F0489" w:rsidP="00A02F4F">
      <w:r>
        <w:rPr>
          <w:rStyle w:val="FootnoteReference"/>
        </w:rPr>
        <w:footnoteRef/>
      </w:r>
      <w:r>
        <w:t xml:space="preserve"> </w:t>
      </w:r>
      <w:r w:rsidRPr="00A02F4F">
        <w:rPr>
          <w:rFonts w:ascii="Times" w:hAnsi="Times"/>
          <w:i/>
          <w:iCs/>
          <w:color w:val="000000"/>
          <w:sz w:val="20"/>
          <w:szCs w:val="20"/>
        </w:rPr>
        <w:t>Fratila &amp; Anor v Secretary of State for Works and Pensions &amp; Anor</w:t>
      </w:r>
      <w:r>
        <w:rPr>
          <w:rFonts w:ascii="Times" w:hAnsi="Times"/>
          <w:color w:val="000000"/>
          <w:sz w:val="20"/>
          <w:szCs w:val="20"/>
        </w:rPr>
        <w:t xml:space="preserve"> [2020] EWCA Civ 1741.</w:t>
      </w:r>
    </w:p>
  </w:footnote>
  <w:footnote w:id="134">
    <w:p w14:paraId="0BB59E2F" w14:textId="306434DD" w:rsidR="006F0489" w:rsidRPr="002A68EC" w:rsidRDefault="006F0489" w:rsidP="002A68EC">
      <w:pPr>
        <w:pStyle w:val="FootnoteText"/>
        <w:jc w:val="both"/>
      </w:pPr>
      <w:r w:rsidRPr="002A68EC">
        <w:rPr>
          <w:rStyle w:val="FootnoteReference"/>
        </w:rPr>
        <w:footnoteRef/>
      </w:r>
      <w:r w:rsidRPr="002A68EC">
        <w:t xml:space="preserve"> Case C-67/14, </w:t>
      </w:r>
      <w:r w:rsidRPr="002A68EC">
        <w:rPr>
          <w:i/>
          <w:iCs/>
        </w:rPr>
        <w:t xml:space="preserve">Alimanovic, </w:t>
      </w:r>
      <w:r w:rsidRPr="002A68EC">
        <w:t xml:space="preserve">EU:C:2015:597.  </w:t>
      </w:r>
    </w:p>
  </w:footnote>
  <w:footnote w:id="135">
    <w:p w14:paraId="2D609A06" w14:textId="794EAA12"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Fratila</w:t>
      </w:r>
      <w:r w:rsidRPr="002A68EC">
        <w:t xml:space="preserve">, cited </w:t>
      </w:r>
      <w:r w:rsidRPr="002A68EC">
        <w:rPr>
          <w:i/>
          <w:iCs/>
        </w:rPr>
        <w:t>supra</w:t>
      </w:r>
      <w:r w:rsidRPr="002A68EC">
        <w:t xml:space="preserve">, note </w:t>
      </w:r>
      <w:r>
        <w:t xml:space="preserve"> </w:t>
      </w:r>
      <w:r>
        <w:fldChar w:fldCharType="begin"/>
      </w:r>
      <w:r>
        <w:instrText xml:space="preserve"> NOTEREF _Ref60826824 \h </w:instrText>
      </w:r>
      <w:r>
        <w:fldChar w:fldCharType="separate"/>
      </w:r>
      <w:r w:rsidR="00A26A6A">
        <w:t>133</w:t>
      </w:r>
      <w:r>
        <w:fldChar w:fldCharType="end"/>
      </w:r>
      <w:r>
        <w:t>, 19</w:t>
      </w:r>
      <w:r w:rsidRPr="002A68EC">
        <w:t>.</w:t>
      </w:r>
    </w:p>
  </w:footnote>
  <w:footnote w:id="136">
    <w:p w14:paraId="2F8DD736" w14:textId="68D9D972" w:rsidR="006F0489" w:rsidRPr="002A68EC" w:rsidRDefault="006F0489" w:rsidP="002A68EC">
      <w:pPr>
        <w:pStyle w:val="Heading1"/>
        <w:shd w:val="clear" w:color="auto" w:fill="FFFFFF"/>
        <w:spacing w:before="0" w:beforeAutospacing="0" w:after="0" w:afterAutospacing="0"/>
        <w:jc w:val="both"/>
        <w:rPr>
          <w:b w:val="0"/>
          <w:bCs w:val="0"/>
          <w:sz w:val="20"/>
        </w:rPr>
      </w:pPr>
      <w:r w:rsidRPr="002A68EC">
        <w:rPr>
          <w:rStyle w:val="FootnoteReference"/>
          <w:b w:val="0"/>
          <w:bCs w:val="0"/>
          <w:sz w:val="20"/>
        </w:rPr>
        <w:footnoteRef/>
      </w:r>
      <w:r w:rsidRPr="002A68EC">
        <w:rPr>
          <w:b w:val="0"/>
          <w:bCs w:val="0"/>
          <w:sz w:val="20"/>
        </w:rPr>
        <w:t xml:space="preserve"> Jesse &amp; Carter, “Life after the ‘Dano-Trilogy’: Legal Certainty, Choices and Limitations in EU Citizenship Case Law”, in Cambien et al, (2020), op. cit. </w:t>
      </w:r>
      <w:r w:rsidRPr="002A68EC">
        <w:rPr>
          <w:b w:val="0"/>
          <w:bCs w:val="0"/>
          <w:i/>
          <w:iCs/>
          <w:sz w:val="20"/>
        </w:rPr>
        <w:t xml:space="preserve">supra </w:t>
      </w:r>
      <w:r w:rsidRPr="002A68EC">
        <w:rPr>
          <w:b w:val="0"/>
          <w:bCs w:val="0"/>
          <w:sz w:val="20"/>
        </w:rPr>
        <w:fldChar w:fldCharType="begin"/>
      </w:r>
      <w:r w:rsidRPr="002A68EC">
        <w:rPr>
          <w:b w:val="0"/>
          <w:bCs w:val="0"/>
          <w:sz w:val="20"/>
        </w:rPr>
        <w:instrText xml:space="preserve"> NOTEREF _Ref54789589 \h  \* MERGEFORMAT </w:instrText>
      </w:r>
      <w:r w:rsidRPr="002A68EC">
        <w:rPr>
          <w:b w:val="0"/>
          <w:bCs w:val="0"/>
          <w:sz w:val="20"/>
        </w:rPr>
      </w:r>
      <w:r w:rsidRPr="002A68EC">
        <w:rPr>
          <w:b w:val="0"/>
          <w:bCs w:val="0"/>
          <w:sz w:val="20"/>
        </w:rPr>
        <w:fldChar w:fldCharType="separate"/>
      </w:r>
      <w:r w:rsidR="00A26A6A">
        <w:rPr>
          <w:b w:val="0"/>
          <w:bCs w:val="0"/>
          <w:sz w:val="20"/>
        </w:rPr>
        <w:t>60</w:t>
      </w:r>
      <w:r w:rsidRPr="002A68EC">
        <w:rPr>
          <w:b w:val="0"/>
          <w:bCs w:val="0"/>
          <w:sz w:val="20"/>
        </w:rPr>
        <w:fldChar w:fldCharType="end"/>
      </w:r>
      <w:r w:rsidRPr="002A68EC">
        <w:rPr>
          <w:b w:val="0"/>
          <w:bCs w:val="0"/>
          <w:sz w:val="20"/>
        </w:rPr>
        <w:t>, 168.</w:t>
      </w:r>
    </w:p>
  </w:footnote>
  <w:footnote w:id="137">
    <w:p w14:paraId="4BB74375" w14:textId="2733AC68" w:rsidR="006F0489" w:rsidRDefault="006F0489" w:rsidP="00A02F4F">
      <w:pPr>
        <w:pStyle w:val="FootnoteText"/>
        <w:jc w:val="both"/>
      </w:pPr>
      <w:r>
        <w:rPr>
          <w:rStyle w:val="FootnoteReference"/>
        </w:rPr>
        <w:footnoteRef/>
      </w:r>
      <w:r>
        <w:t xml:space="preserve"> </w:t>
      </w:r>
      <w:r w:rsidRPr="002A68EC">
        <w:t xml:space="preserve">Case C-181/19, </w:t>
      </w:r>
      <w:r w:rsidRPr="002A68EC">
        <w:rPr>
          <w:i/>
          <w:iCs/>
        </w:rPr>
        <w:t xml:space="preserve">Jobcenter Krefeld - Widerspruchsstelle v JD, </w:t>
      </w:r>
      <w:r w:rsidRPr="002A68EC">
        <w:t>EU:C:2020:794.</w:t>
      </w:r>
    </w:p>
  </w:footnote>
  <w:footnote w:id="138">
    <w:p w14:paraId="781A6E9C" w14:textId="793FFA49" w:rsidR="006F0489" w:rsidRDefault="006F0489">
      <w:pPr>
        <w:pStyle w:val="FootnoteText"/>
      </w:pPr>
      <w:r>
        <w:rPr>
          <w:rStyle w:val="FootnoteReference"/>
        </w:rPr>
        <w:footnoteRef/>
      </w:r>
      <w:r>
        <w:t xml:space="preserve"> </w:t>
      </w:r>
      <w:r w:rsidRPr="002A68EC">
        <w:rPr>
          <w:i/>
          <w:iCs/>
        </w:rPr>
        <w:t>Fratila</w:t>
      </w:r>
      <w:r w:rsidRPr="002A68EC">
        <w:t xml:space="preserve">, cited </w:t>
      </w:r>
      <w:r w:rsidRPr="002A68EC">
        <w:rPr>
          <w:i/>
          <w:iCs/>
        </w:rPr>
        <w:t>supra</w:t>
      </w:r>
      <w:r w:rsidRPr="002A68EC">
        <w:t xml:space="preserve">, note </w:t>
      </w:r>
      <w:r>
        <w:t xml:space="preserve"> </w:t>
      </w:r>
      <w:r>
        <w:fldChar w:fldCharType="begin"/>
      </w:r>
      <w:r>
        <w:instrText xml:space="preserve"> NOTEREF _Ref60826824 \h </w:instrText>
      </w:r>
      <w:r>
        <w:fldChar w:fldCharType="separate"/>
      </w:r>
      <w:r w:rsidR="00A26A6A">
        <w:t>133</w:t>
      </w:r>
      <w:r>
        <w:fldChar w:fldCharType="end"/>
      </w:r>
      <w:r>
        <w:t>, 72.</w:t>
      </w:r>
    </w:p>
  </w:footnote>
  <w:footnote w:id="139">
    <w:p w14:paraId="5BB3E6A3" w14:textId="77777777" w:rsidR="006F0489" w:rsidRPr="002A68EC" w:rsidRDefault="006F0489" w:rsidP="00A02F4F">
      <w:pPr>
        <w:autoSpaceDE w:val="0"/>
        <w:autoSpaceDN w:val="0"/>
        <w:adjustRightInd w:val="0"/>
        <w:jc w:val="both"/>
        <w:rPr>
          <w:sz w:val="20"/>
        </w:rPr>
      </w:pPr>
      <w:r w:rsidRPr="002A68EC">
        <w:rPr>
          <w:rStyle w:val="FootnoteReference"/>
          <w:sz w:val="20"/>
        </w:rPr>
        <w:footnoteRef/>
      </w:r>
      <w:r w:rsidRPr="002A68EC">
        <w:rPr>
          <w:sz w:val="20"/>
        </w:rPr>
        <w:t xml:space="preserve"> </w:t>
      </w:r>
      <w:r w:rsidRPr="002A68EC">
        <w:rPr>
          <w:rFonts w:eastAsiaTheme="minorHAnsi"/>
          <w:sz w:val="20"/>
          <w:szCs w:val="18"/>
        </w:rPr>
        <w:t xml:space="preserve">Case C-480/08, </w:t>
      </w:r>
      <w:r w:rsidRPr="002A68EC">
        <w:rPr>
          <w:rFonts w:eastAsiaTheme="minorHAnsi"/>
          <w:i/>
          <w:iCs/>
          <w:sz w:val="20"/>
          <w:szCs w:val="18"/>
        </w:rPr>
        <w:t>Teixeira</w:t>
      </w:r>
      <w:r w:rsidRPr="002A68EC">
        <w:rPr>
          <w:rFonts w:eastAsiaTheme="minorHAnsi"/>
          <w:sz w:val="20"/>
          <w:szCs w:val="18"/>
        </w:rPr>
        <w:t>, EU:C:2009:642.</w:t>
      </w:r>
    </w:p>
  </w:footnote>
  <w:footnote w:id="140">
    <w:p w14:paraId="1FA3EA69" w14:textId="77777777" w:rsidR="006F0489" w:rsidRPr="002A68EC" w:rsidRDefault="006F0489" w:rsidP="00A02F4F">
      <w:pPr>
        <w:autoSpaceDE w:val="0"/>
        <w:autoSpaceDN w:val="0"/>
        <w:adjustRightInd w:val="0"/>
        <w:jc w:val="both"/>
        <w:rPr>
          <w:sz w:val="20"/>
        </w:rPr>
      </w:pPr>
      <w:r w:rsidRPr="002A68EC">
        <w:rPr>
          <w:rStyle w:val="FootnoteReference"/>
          <w:sz w:val="20"/>
        </w:rPr>
        <w:footnoteRef/>
      </w:r>
      <w:r w:rsidRPr="002A68EC">
        <w:rPr>
          <w:sz w:val="20"/>
        </w:rPr>
        <w:t xml:space="preserve"> </w:t>
      </w:r>
      <w:r w:rsidRPr="002A68EC">
        <w:rPr>
          <w:rFonts w:eastAsiaTheme="minorHAnsi"/>
          <w:sz w:val="20"/>
          <w:szCs w:val="18"/>
        </w:rPr>
        <w:t xml:space="preserve">Case C-310/08, </w:t>
      </w:r>
      <w:r w:rsidRPr="002A68EC">
        <w:rPr>
          <w:rFonts w:eastAsiaTheme="minorHAnsi"/>
          <w:i/>
          <w:iCs/>
          <w:sz w:val="20"/>
          <w:szCs w:val="18"/>
        </w:rPr>
        <w:t>Ibrahim</w:t>
      </w:r>
      <w:r w:rsidRPr="002A68EC">
        <w:rPr>
          <w:rFonts w:eastAsiaTheme="minorHAnsi"/>
          <w:sz w:val="20"/>
          <w:szCs w:val="18"/>
        </w:rPr>
        <w:t>, EU:C:2009:641.</w:t>
      </w:r>
    </w:p>
  </w:footnote>
  <w:footnote w:id="141">
    <w:p w14:paraId="6E6486E6" w14:textId="74E9294B" w:rsidR="006F0489" w:rsidRPr="002A68EC" w:rsidRDefault="006F0489" w:rsidP="00A02F4F">
      <w:pPr>
        <w:pStyle w:val="FootnoteText"/>
        <w:jc w:val="both"/>
      </w:pPr>
      <w:r w:rsidRPr="002A68EC">
        <w:rPr>
          <w:rStyle w:val="FootnoteReference"/>
        </w:rPr>
        <w:footnoteRef/>
      </w:r>
      <w:r w:rsidRPr="002A68EC">
        <w:t xml:space="preserve"> </w:t>
      </w:r>
      <w:r w:rsidRPr="002A68EC">
        <w:rPr>
          <w:i/>
          <w:iCs/>
        </w:rPr>
        <w:t>Teixeira</w:t>
      </w:r>
      <w:r w:rsidRPr="002A68EC">
        <w:t xml:space="preserve">, op. cit. </w:t>
      </w:r>
      <w:r w:rsidRPr="002A68EC">
        <w:rPr>
          <w:i/>
          <w:iCs/>
        </w:rPr>
        <w:t xml:space="preserve">supra </w:t>
      </w:r>
      <w:r w:rsidRPr="002A68EC">
        <w:t xml:space="preserve">note </w:t>
      </w:r>
      <w:r w:rsidRPr="002A68EC">
        <w:fldChar w:fldCharType="begin"/>
      </w:r>
      <w:r w:rsidRPr="002A68EC">
        <w:instrText xml:space="preserve"> NOTEREF _Ref15467871 \h  \* MERGEFORMAT </w:instrText>
      </w:r>
      <w:r w:rsidRPr="002A68EC">
        <w:fldChar w:fldCharType="separate"/>
      </w:r>
      <w:r w:rsidR="00A26A6A">
        <w:t>139</w:t>
      </w:r>
      <w:r w:rsidRPr="002A68EC">
        <w:fldChar w:fldCharType="end"/>
      </w:r>
      <w:r w:rsidRPr="002A68EC">
        <w:t xml:space="preserve">, 67. </w:t>
      </w:r>
    </w:p>
  </w:footnote>
  <w:footnote w:id="142">
    <w:p w14:paraId="61529ECF" w14:textId="77777777" w:rsidR="006F0489" w:rsidRPr="002A68EC" w:rsidRDefault="006F0489" w:rsidP="00A02F4F">
      <w:pPr>
        <w:pStyle w:val="FootnoteText"/>
        <w:jc w:val="both"/>
      </w:pPr>
      <w:r w:rsidRPr="002A68EC">
        <w:rPr>
          <w:rStyle w:val="FootnoteReference"/>
        </w:rPr>
        <w:footnoteRef/>
      </w:r>
      <w:r w:rsidRPr="002A68EC">
        <w:t xml:space="preserve"> Ibid, 62</w:t>
      </w:r>
    </w:p>
  </w:footnote>
  <w:footnote w:id="143">
    <w:p w14:paraId="39A36509" w14:textId="77777777" w:rsidR="006F0489" w:rsidRPr="002A68EC" w:rsidRDefault="006F0489" w:rsidP="00A02F4F">
      <w:pPr>
        <w:pStyle w:val="FootnoteText"/>
        <w:jc w:val="both"/>
      </w:pPr>
      <w:r w:rsidRPr="002A68EC">
        <w:rPr>
          <w:rStyle w:val="FootnoteReference"/>
        </w:rPr>
        <w:footnoteRef/>
      </w:r>
      <w:r w:rsidRPr="002A68EC">
        <w:t xml:space="preserve"> Ibid, 87.</w:t>
      </w:r>
    </w:p>
  </w:footnote>
  <w:footnote w:id="144">
    <w:p w14:paraId="2FB6DA6C" w14:textId="0856C1CD" w:rsidR="006F0489" w:rsidRPr="002A68EC" w:rsidRDefault="006F0489" w:rsidP="002A68EC">
      <w:pPr>
        <w:pStyle w:val="FootnoteText"/>
        <w:jc w:val="both"/>
      </w:pPr>
      <w:r w:rsidRPr="002A68EC">
        <w:rPr>
          <w:rStyle w:val="FootnoteReference"/>
        </w:rPr>
        <w:footnoteRef/>
      </w:r>
      <w:r w:rsidRPr="002A68EC">
        <w:t xml:space="preserve"> Case C-140/12, </w:t>
      </w:r>
      <w:r w:rsidRPr="002A68EC">
        <w:rPr>
          <w:i/>
          <w:iCs/>
        </w:rPr>
        <w:t>Brey,</w:t>
      </w:r>
      <w:r w:rsidRPr="002A68EC">
        <w:t xml:space="preserve"> EU:C:2013:565.</w:t>
      </w:r>
    </w:p>
  </w:footnote>
  <w:footnote w:id="145">
    <w:p w14:paraId="14E640FF" w14:textId="77777777" w:rsidR="006F0489" w:rsidRPr="002A68EC" w:rsidRDefault="006F0489" w:rsidP="002A68EC">
      <w:pPr>
        <w:pStyle w:val="FootnoteText"/>
        <w:jc w:val="both"/>
      </w:pPr>
      <w:r w:rsidRPr="002A68EC">
        <w:rPr>
          <w:rStyle w:val="FootnoteReference"/>
        </w:rPr>
        <w:footnoteRef/>
      </w:r>
      <w:r w:rsidRPr="002A68EC">
        <w:t xml:space="preserve"> Ibid, 44.</w:t>
      </w:r>
    </w:p>
  </w:footnote>
  <w:footnote w:id="146">
    <w:p w14:paraId="2D13F093" w14:textId="77777777" w:rsidR="006F0489" w:rsidRPr="002A68EC" w:rsidRDefault="006F0489" w:rsidP="002A68EC">
      <w:pPr>
        <w:pStyle w:val="FootnoteText"/>
        <w:jc w:val="both"/>
      </w:pPr>
      <w:r w:rsidRPr="002A68EC">
        <w:rPr>
          <w:rStyle w:val="FootnoteReference"/>
        </w:rPr>
        <w:footnoteRef/>
      </w:r>
      <w:r w:rsidRPr="002A68EC">
        <w:t xml:space="preserve"> Case C-308/14 </w:t>
      </w:r>
      <w:r w:rsidRPr="002A68EC">
        <w:rPr>
          <w:i/>
          <w:iCs/>
        </w:rPr>
        <w:t xml:space="preserve">European Commission v United Kingdom of Great Britain and Northern Ireland </w:t>
      </w:r>
      <w:r w:rsidRPr="002A68EC">
        <w:t>EU:C:2016:436.</w:t>
      </w:r>
    </w:p>
  </w:footnote>
  <w:footnote w:id="147">
    <w:p w14:paraId="4FEB559C" w14:textId="472190B3" w:rsidR="006F0489" w:rsidRPr="002A68EC" w:rsidRDefault="006F0489" w:rsidP="002A68EC">
      <w:pPr>
        <w:pStyle w:val="FootnoteText"/>
        <w:jc w:val="both"/>
        <w:rPr>
          <w:i/>
          <w:iCs/>
        </w:rPr>
      </w:pPr>
      <w:r w:rsidRPr="002A68EC">
        <w:rPr>
          <w:rStyle w:val="FootnoteReference"/>
        </w:rPr>
        <w:footnoteRef/>
      </w:r>
      <w:r w:rsidRPr="002A68EC">
        <w:t xml:space="preserve"> Ibid, 68, 75. </w:t>
      </w:r>
    </w:p>
  </w:footnote>
  <w:footnote w:id="148">
    <w:p w14:paraId="60582F5B" w14:textId="10B80E75" w:rsidR="006F0489" w:rsidRPr="002A68EC" w:rsidRDefault="006F0489" w:rsidP="002A68EC">
      <w:pPr>
        <w:pStyle w:val="FootnoteText"/>
        <w:jc w:val="both"/>
      </w:pPr>
      <w:r w:rsidRPr="002A68EC">
        <w:rPr>
          <w:rStyle w:val="FootnoteReference"/>
        </w:rPr>
        <w:footnoteRef/>
      </w:r>
      <w:r w:rsidRPr="002A68EC">
        <w:t xml:space="preserve"> Cited </w:t>
      </w:r>
      <w:r w:rsidRPr="002A68EC">
        <w:rPr>
          <w:i/>
          <w:iCs/>
        </w:rPr>
        <w:t xml:space="preserve">supra </w:t>
      </w:r>
      <w:r w:rsidRPr="002A68EC">
        <w:t xml:space="preserve">note </w:t>
      </w:r>
      <w:r w:rsidRPr="002A68EC">
        <w:fldChar w:fldCharType="begin"/>
      </w:r>
      <w:r w:rsidRPr="002A68EC">
        <w:instrText xml:space="preserve"> NOTEREF _Ref54789984 \h  \* MERGEFORMAT </w:instrText>
      </w:r>
      <w:r w:rsidRPr="002A68EC">
        <w:fldChar w:fldCharType="separate"/>
      </w:r>
      <w:r w:rsidR="00A26A6A">
        <w:t>134</w:t>
      </w:r>
      <w:r w:rsidRPr="002A68EC">
        <w:fldChar w:fldCharType="end"/>
      </w:r>
      <w:r w:rsidRPr="002A68EC">
        <w:t>.</w:t>
      </w:r>
    </w:p>
  </w:footnote>
  <w:footnote w:id="149">
    <w:p w14:paraId="321DA328" w14:textId="77777777" w:rsidR="006F0489" w:rsidRPr="002A68EC" w:rsidRDefault="006F0489" w:rsidP="002A68EC">
      <w:pPr>
        <w:pStyle w:val="FootnoteText"/>
        <w:jc w:val="both"/>
      </w:pPr>
      <w:r w:rsidRPr="002A68EC">
        <w:rPr>
          <w:rStyle w:val="FootnoteReference"/>
        </w:rPr>
        <w:footnoteRef/>
      </w:r>
      <w:r w:rsidRPr="002A68EC">
        <w:t xml:space="preserve"> Ibid, 36.</w:t>
      </w:r>
    </w:p>
  </w:footnote>
  <w:footnote w:id="150">
    <w:p w14:paraId="3608FAFE" w14:textId="0F758C95" w:rsidR="006F0489" w:rsidRPr="002A68EC" w:rsidRDefault="006F0489" w:rsidP="002A68EC">
      <w:pPr>
        <w:pStyle w:val="FootnoteText"/>
        <w:jc w:val="both"/>
        <w:rPr>
          <w:lang w:val="en-US"/>
        </w:rPr>
      </w:pPr>
      <w:r w:rsidRPr="002A68EC">
        <w:rPr>
          <w:rStyle w:val="FootnoteReference"/>
        </w:rPr>
        <w:footnoteRef/>
      </w:r>
      <w:r w:rsidRPr="002A68EC">
        <w:t xml:space="preserve"> Berlin State Office for Civil and Regulatory Affairs, “Information for nationals of the European Union, the countries of the European Economic Area or Switzerland”, available at &lt;</w:t>
      </w:r>
      <w:hyperlink r:id="rId26" w:history="1">
        <w:r w:rsidRPr="002A68EC">
          <w:rPr>
            <w:rStyle w:val="Hyperlink"/>
            <w:color w:val="auto"/>
          </w:rPr>
          <w:t>https://www.berlin.de/labo/willkommen-in-berlin/freizuegigkeit-eu-ewr-schweiz/artikel.597871.en.php</w:t>
        </w:r>
      </w:hyperlink>
      <w:r w:rsidRPr="002A68EC">
        <w:t>&gt;, linking to “Information zum Wegfall der Freizügigkeitsbescheinigung”, available at: &lt;https://www.berlin.de/labo/_assets/zuwanderung/wegfall-der-freizuegigkeitsbescheinigung.pdf&gt;.</w:t>
      </w:r>
    </w:p>
  </w:footnote>
  <w:footnote w:id="151">
    <w:p w14:paraId="6ACB660A" w14:textId="670AF8E1"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Fratila</w:t>
      </w:r>
      <w:r w:rsidRPr="002A68EC">
        <w:t xml:space="preserve">, cited </w:t>
      </w:r>
      <w:r w:rsidRPr="002A68EC">
        <w:rPr>
          <w:i/>
          <w:iCs/>
        </w:rPr>
        <w:t>supra</w:t>
      </w:r>
      <w:r w:rsidRPr="002A68EC">
        <w:t xml:space="preserve">, note </w:t>
      </w:r>
      <w:r w:rsidRPr="002A68EC">
        <w:fldChar w:fldCharType="begin"/>
      </w:r>
      <w:r w:rsidRPr="002A68EC">
        <w:instrText xml:space="preserve"> NOTEREF _Ref54789944 \h  \* MERGEFORMAT </w:instrText>
      </w:r>
      <w:r w:rsidRPr="002A68EC">
        <w:fldChar w:fldCharType="separate"/>
      </w:r>
      <w:r w:rsidR="00A26A6A">
        <w:t>132</w:t>
      </w:r>
      <w:r w:rsidRPr="002A68EC">
        <w:fldChar w:fldCharType="end"/>
      </w:r>
      <w:r w:rsidRPr="002A68EC">
        <w:t>, 22.</w:t>
      </w:r>
    </w:p>
  </w:footnote>
  <w:footnote w:id="152">
    <w:p w14:paraId="4D591143" w14:textId="56BD2D60" w:rsidR="006F0489" w:rsidRPr="002A68EC" w:rsidRDefault="006F0489" w:rsidP="002A68EC">
      <w:pPr>
        <w:pStyle w:val="FootnoteText"/>
        <w:jc w:val="both"/>
      </w:pPr>
      <w:r w:rsidRPr="002A68EC">
        <w:rPr>
          <w:rStyle w:val="FootnoteReference"/>
        </w:rPr>
        <w:footnoteRef/>
      </w:r>
      <w:r w:rsidRPr="002A68EC">
        <w:t xml:space="preserve"> Ibid, 23.</w:t>
      </w:r>
    </w:p>
  </w:footnote>
  <w:footnote w:id="153">
    <w:p w14:paraId="536A3CD9" w14:textId="77777777" w:rsidR="006F0489" w:rsidRDefault="006F0489" w:rsidP="00513F33">
      <w:pPr>
        <w:pStyle w:val="FootnoteText"/>
      </w:pPr>
      <w:r>
        <w:rPr>
          <w:rStyle w:val="FootnoteReference"/>
        </w:rPr>
        <w:footnoteRef/>
      </w:r>
      <w:r>
        <w:t xml:space="preserve"> Given that Art. 15 WA requires legal residence “in accordance with Union law”, to acquire permanent residence “</w:t>
      </w:r>
      <w:r w:rsidRPr="00513F33">
        <w:rPr>
          <w:lang w:eastAsia="en-US"/>
        </w:rPr>
        <w:t>under the conditions set out in Articles 16, 17 and 18 of Directive 2004/38/EC</w:t>
      </w:r>
      <w:r>
        <w:t xml:space="preserve">”. </w:t>
      </w:r>
    </w:p>
  </w:footnote>
  <w:footnote w:id="154">
    <w:p w14:paraId="26F8DC2D" w14:textId="70422FCD" w:rsidR="006F0489" w:rsidRPr="002A68EC" w:rsidRDefault="006F0489" w:rsidP="005728DD">
      <w:pPr>
        <w:pStyle w:val="FootnoteText"/>
        <w:jc w:val="both"/>
        <w:rPr>
          <w:lang w:val="en-US"/>
        </w:rPr>
      </w:pPr>
      <w:r w:rsidRPr="002A68EC">
        <w:rPr>
          <w:rStyle w:val="FootnoteReference"/>
        </w:rPr>
        <w:footnoteRef/>
      </w:r>
      <w:r w:rsidRPr="002A68EC">
        <w:t xml:space="preserve"> </w:t>
      </w:r>
      <w:r w:rsidRPr="002A68EC">
        <w:rPr>
          <w:i/>
          <w:iCs/>
        </w:rPr>
        <w:t xml:space="preserve">Mirga &amp; Samin </w:t>
      </w:r>
      <w:r>
        <w:t xml:space="preserve">cited </w:t>
      </w:r>
      <w:r w:rsidRPr="002A68EC">
        <w:rPr>
          <w:i/>
          <w:iCs/>
        </w:rPr>
        <w:t xml:space="preserve">supra </w:t>
      </w:r>
      <w:r w:rsidRPr="002A68EC">
        <w:t xml:space="preserve"> note </w:t>
      </w:r>
      <w:r w:rsidRPr="002A68EC">
        <w:fldChar w:fldCharType="begin"/>
      </w:r>
      <w:r w:rsidRPr="002A68EC">
        <w:instrText xml:space="preserve"> NOTEREF _Ref15467105 \h  \* MERGEFORMAT </w:instrText>
      </w:r>
      <w:r w:rsidRPr="002A68EC">
        <w:fldChar w:fldCharType="separate"/>
      </w:r>
      <w:r w:rsidR="00A26A6A">
        <w:t>46</w:t>
      </w:r>
      <w:r w:rsidRPr="002A68EC">
        <w:fldChar w:fldCharType="end"/>
      </w:r>
      <w:r w:rsidRPr="002A68EC">
        <w:t xml:space="preserve">; </w:t>
      </w:r>
      <w:r w:rsidRPr="002A68EC">
        <w:rPr>
          <w:i/>
          <w:iCs/>
        </w:rPr>
        <w:t>Patmalniece v Secretary of State for Work and Pensions</w:t>
      </w:r>
      <w:r w:rsidRPr="002A68EC">
        <w:t xml:space="preserve"> [2011] UKSC 11; </w:t>
      </w:r>
      <w:r w:rsidRPr="002A68EC">
        <w:rPr>
          <w:i/>
          <w:iCs/>
        </w:rPr>
        <w:t>Abdirahman v Secretary of State for Work and Pensions</w:t>
      </w:r>
      <w:r w:rsidRPr="002A68EC">
        <w:t xml:space="preserve"> [2007] EWCA Civ 657.</w:t>
      </w:r>
    </w:p>
  </w:footnote>
  <w:footnote w:id="155">
    <w:p w14:paraId="14D77309" w14:textId="06987954" w:rsidR="006F0489" w:rsidRDefault="006F0489">
      <w:pPr>
        <w:pStyle w:val="FootnoteText"/>
      </w:pPr>
      <w:r>
        <w:rPr>
          <w:rStyle w:val="FootnoteReference"/>
        </w:rPr>
        <w:footnoteRef/>
      </w:r>
      <w:r>
        <w:t xml:space="preserve"> </w:t>
      </w:r>
      <w:r>
        <w:rPr>
          <w:i/>
          <w:iCs/>
        </w:rPr>
        <w:t>Commission v UK</w:t>
      </w:r>
      <w:r>
        <w:t xml:space="preserve">, cited </w:t>
      </w:r>
      <w:r>
        <w:rPr>
          <w:i/>
          <w:iCs/>
        </w:rPr>
        <w:t>supra</w:t>
      </w:r>
      <w:r>
        <w:t xml:space="preserve">, note </w:t>
      </w:r>
      <w:r>
        <w:fldChar w:fldCharType="begin"/>
      </w:r>
      <w:r>
        <w:instrText xml:space="preserve"> NOTEREF _Ref15467663 \h </w:instrText>
      </w:r>
      <w:r>
        <w:fldChar w:fldCharType="separate"/>
      </w:r>
      <w:r w:rsidR="00A26A6A">
        <w:t>45</w:t>
      </w:r>
      <w:r>
        <w:fldChar w:fldCharType="end"/>
      </w:r>
      <w:r>
        <w:t>.</w:t>
      </w:r>
    </w:p>
  </w:footnote>
  <w:footnote w:id="156">
    <w:p w14:paraId="2ED809CA" w14:textId="3AC00263"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Fratila</w:t>
      </w:r>
      <w:r w:rsidRPr="002A68EC">
        <w:t xml:space="preserve">, cited </w:t>
      </w:r>
      <w:r w:rsidRPr="002A68EC">
        <w:rPr>
          <w:i/>
          <w:iCs/>
        </w:rPr>
        <w:t>supra</w:t>
      </w:r>
      <w:r w:rsidRPr="002A68EC">
        <w:t xml:space="preserve">, note </w:t>
      </w:r>
      <w:r w:rsidRPr="002A68EC">
        <w:fldChar w:fldCharType="begin"/>
      </w:r>
      <w:r w:rsidRPr="002A68EC">
        <w:instrText xml:space="preserve"> NOTEREF _Ref54789944 \h  \* MERGEFORMAT </w:instrText>
      </w:r>
      <w:r w:rsidRPr="002A68EC">
        <w:fldChar w:fldCharType="separate"/>
      </w:r>
      <w:r w:rsidR="00A26A6A">
        <w:t>132</w:t>
      </w:r>
      <w:r w:rsidRPr="002A68EC">
        <w:fldChar w:fldCharType="end"/>
      </w:r>
      <w:r w:rsidRPr="002A68EC">
        <w:t>, 28.</w:t>
      </w:r>
    </w:p>
  </w:footnote>
  <w:footnote w:id="157">
    <w:p w14:paraId="3683E482" w14:textId="68B54C3B" w:rsidR="006F0489" w:rsidRDefault="006F0489">
      <w:pPr>
        <w:pStyle w:val="FootnoteText"/>
      </w:pPr>
      <w:r>
        <w:rPr>
          <w:rStyle w:val="FootnoteReference"/>
        </w:rPr>
        <w:footnoteRef/>
      </w:r>
      <w:r>
        <w:t xml:space="preserve"> </w:t>
      </w:r>
      <w:r w:rsidRPr="005728DD">
        <w:t xml:space="preserve">Ibid, 74, quoting Lady Hale in </w:t>
      </w:r>
      <w:bookmarkStart w:id="32" w:name="para74"/>
      <w:r w:rsidRPr="005728DD">
        <w:rPr>
          <w:i/>
          <w:iCs/>
          <w:color w:val="000000"/>
          <w:szCs w:val="27"/>
        </w:rPr>
        <w:t>R (Coll) v SSWP for Justice</w:t>
      </w:r>
      <w:r w:rsidRPr="005728DD">
        <w:rPr>
          <w:color w:val="000000"/>
          <w:szCs w:val="27"/>
        </w:rPr>
        <w:t> </w:t>
      </w:r>
      <w:bookmarkEnd w:id="32"/>
      <w:r w:rsidRPr="005728DD">
        <w:rPr>
          <w:color w:val="000000"/>
          <w:szCs w:val="27"/>
        </w:rPr>
        <w:t>[2017] 1 WLR 2093, 30.</w:t>
      </w:r>
    </w:p>
  </w:footnote>
  <w:footnote w:id="158">
    <w:p w14:paraId="1294A350" w14:textId="6B9F5FAD" w:rsidR="006F0489" w:rsidRPr="002A68EC" w:rsidRDefault="006F0489" w:rsidP="002A68EC">
      <w:pPr>
        <w:pStyle w:val="FootnoteText"/>
        <w:jc w:val="both"/>
      </w:pPr>
      <w:r w:rsidRPr="002A68EC">
        <w:rPr>
          <w:rStyle w:val="FootnoteReference"/>
        </w:rPr>
        <w:footnoteRef/>
      </w:r>
      <w:r w:rsidRPr="002A68EC">
        <w:t xml:space="preserve"> Case C-460/06, </w:t>
      </w:r>
      <w:r w:rsidRPr="002A68EC">
        <w:rPr>
          <w:i/>
          <w:iCs/>
        </w:rPr>
        <w:t>Paquay</w:t>
      </w:r>
      <w:r w:rsidRPr="002A68EC">
        <w:t>,</w:t>
      </w:r>
      <w:r w:rsidRPr="002A68EC">
        <w:rPr>
          <w:i/>
          <w:iCs/>
        </w:rPr>
        <w:t xml:space="preserve"> </w:t>
      </w:r>
      <w:r w:rsidRPr="002A68EC">
        <w:t>EU:C:2007:601, 29, 40.</w:t>
      </w:r>
    </w:p>
  </w:footnote>
  <w:footnote w:id="159">
    <w:p w14:paraId="48B23637" w14:textId="50519FED" w:rsidR="006F0489" w:rsidRPr="002A68EC" w:rsidRDefault="006F0489" w:rsidP="002A68EC">
      <w:pPr>
        <w:pStyle w:val="FootnoteText"/>
        <w:jc w:val="both"/>
      </w:pPr>
      <w:r w:rsidRPr="002A68EC">
        <w:rPr>
          <w:rStyle w:val="FootnoteReference"/>
        </w:rPr>
        <w:footnoteRef/>
      </w:r>
      <w:r w:rsidRPr="002A68EC">
        <w:t xml:space="preserve"> Case C-41/17, </w:t>
      </w:r>
      <w:r w:rsidRPr="002A68EC">
        <w:rPr>
          <w:i/>
          <w:iCs/>
        </w:rPr>
        <w:t>Isabel González Castro</w:t>
      </w:r>
      <w:r w:rsidRPr="002A68EC">
        <w:t>, EU:C:2018:736, 63.</w:t>
      </w:r>
    </w:p>
  </w:footnote>
  <w:footnote w:id="160">
    <w:p w14:paraId="7AF8531F" w14:textId="77777777" w:rsidR="006F0489" w:rsidRPr="002A68EC" w:rsidRDefault="006F0489" w:rsidP="002A68EC">
      <w:pPr>
        <w:pStyle w:val="FootnoteText"/>
        <w:jc w:val="both"/>
        <w:rPr>
          <w:lang w:val="en-US"/>
        </w:rPr>
      </w:pPr>
      <w:r w:rsidRPr="002A68EC">
        <w:rPr>
          <w:rStyle w:val="FootnoteReference"/>
        </w:rPr>
        <w:footnoteRef/>
      </w:r>
      <w:r w:rsidRPr="002A68EC">
        <w:t xml:space="preserve"> </w:t>
      </w:r>
      <w:r w:rsidRPr="002A68EC">
        <w:rPr>
          <w:lang w:val="en-US"/>
        </w:rPr>
        <w:t xml:space="preserve">So the characteristic is indissociable from nationality, which would suggest direct discrimination according to AG Sharpston in Case C-73/08, </w:t>
      </w:r>
      <w:r w:rsidRPr="002A68EC">
        <w:rPr>
          <w:i/>
          <w:lang w:val="en-US"/>
        </w:rPr>
        <w:t xml:space="preserve">Bressol, </w:t>
      </w:r>
      <w:r w:rsidRPr="002A68EC">
        <w:rPr>
          <w:iCs/>
          <w:lang w:val="en-US"/>
        </w:rPr>
        <w:t>EU:C:2009:396</w:t>
      </w:r>
      <w:r w:rsidRPr="002A68EC">
        <w:rPr>
          <w:lang w:val="en-US"/>
        </w:rPr>
        <w:t>, 53.</w:t>
      </w:r>
    </w:p>
  </w:footnote>
  <w:footnote w:id="161">
    <w:p w14:paraId="656CFA1B" w14:textId="6CCF5F47"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 xml:space="preserve">Grzelczyk, </w:t>
      </w:r>
      <w:r w:rsidRPr="002A68EC">
        <w:t xml:space="preserve">cited supra note </w:t>
      </w:r>
      <w:r w:rsidRPr="002A68EC">
        <w:fldChar w:fldCharType="begin"/>
      </w:r>
      <w:r w:rsidRPr="002A68EC">
        <w:instrText xml:space="preserve"> NOTEREF _Ref54790458 \h  \* MERGEFORMAT </w:instrText>
      </w:r>
      <w:r w:rsidRPr="002A68EC">
        <w:fldChar w:fldCharType="separate"/>
      </w:r>
      <w:r w:rsidR="00A26A6A">
        <w:t>42</w:t>
      </w:r>
      <w:r w:rsidRPr="002A68EC">
        <w:fldChar w:fldCharType="end"/>
      </w:r>
      <w:r w:rsidRPr="002A68EC">
        <w:t>, 29.</w:t>
      </w:r>
    </w:p>
  </w:footnote>
  <w:footnote w:id="162">
    <w:p w14:paraId="0F262E83" w14:textId="29FD2063" w:rsidR="006F0489" w:rsidRPr="002A68EC" w:rsidRDefault="006F0489" w:rsidP="002A68EC">
      <w:pPr>
        <w:pStyle w:val="FootnoteText"/>
        <w:jc w:val="both"/>
      </w:pPr>
      <w:r w:rsidRPr="002A68EC">
        <w:rPr>
          <w:rStyle w:val="FootnoteReference"/>
        </w:rPr>
        <w:footnoteRef/>
      </w:r>
      <w:r w:rsidRPr="002A68EC">
        <w:t xml:space="preserve"> In </w:t>
      </w:r>
      <w:r w:rsidRPr="002A68EC">
        <w:rPr>
          <w:szCs w:val="27"/>
          <w:shd w:val="clear" w:color="auto" w:fill="FFFFFF"/>
        </w:rPr>
        <w:t>the four weeks leading up to July 2020 there were 240 000 claims for Universal Credit</w:t>
      </w:r>
      <w:r w:rsidRPr="002A68EC">
        <w:t xml:space="preserve">: Department for Work and Pensions, </w:t>
      </w:r>
      <w:r w:rsidRPr="002A68EC">
        <w:rPr>
          <w:i/>
          <w:iCs/>
        </w:rPr>
        <w:t xml:space="preserve">Official Statistics, </w:t>
      </w:r>
      <w:r w:rsidRPr="002A68EC">
        <w:t xml:space="preserve">“Universal Credit Statistics: 29 April 2013 to 9 July 2020”, (11/08/2020) available at: </w:t>
      </w:r>
      <w:hyperlink r:id="rId27" w:anchor="claims-on-uc-header" w:history="1">
        <w:r w:rsidRPr="002A68EC">
          <w:rPr>
            <w:rStyle w:val="Hyperlink"/>
          </w:rPr>
          <w:t>https://www.gov.uk/government/publications/universal-credit-statistics-29-april-2013-to-9-july-2020/universal-credit-statistics-29-april-2013-to-9-july-2020#claims-on-uc-header</w:t>
        </w:r>
      </w:hyperlink>
      <w:r w:rsidRPr="002A68EC">
        <w:t>.</w:t>
      </w:r>
    </w:p>
  </w:footnote>
  <w:footnote w:id="163">
    <w:p w14:paraId="55DEE66D" w14:textId="136E1326" w:rsidR="006F0489" w:rsidRPr="002A68EC" w:rsidRDefault="006F0489" w:rsidP="002A68EC">
      <w:pPr>
        <w:pStyle w:val="FootnoteText"/>
        <w:jc w:val="both"/>
      </w:pPr>
      <w:r w:rsidRPr="002A68EC">
        <w:rPr>
          <w:rStyle w:val="FootnoteReference"/>
        </w:rPr>
        <w:footnoteRef/>
      </w:r>
      <w:r w:rsidRPr="002A68EC">
        <w:t xml:space="preserve"> Figures from the government’s response to a Freedom of Information Act request made by Martin Williams of the Child Poverty Action Group; Department for Work and Pensions, FOI2020/52309 (09/10/2020).</w:t>
      </w:r>
    </w:p>
  </w:footnote>
  <w:footnote w:id="164">
    <w:p w14:paraId="4BA80724" w14:textId="1C99E449" w:rsidR="006F0489" w:rsidRPr="002A68EC" w:rsidRDefault="006F0489" w:rsidP="002A68EC">
      <w:pPr>
        <w:pStyle w:val="FootnoteText"/>
        <w:jc w:val="both"/>
      </w:pPr>
      <w:r w:rsidRPr="002A68EC">
        <w:rPr>
          <w:rStyle w:val="FootnoteReference"/>
        </w:rPr>
        <w:footnoteRef/>
      </w:r>
      <w:r w:rsidRPr="002A68EC">
        <w:t xml:space="preserve"> </w:t>
      </w:r>
      <w:r w:rsidRPr="002A68EC">
        <w:rPr>
          <w:szCs w:val="27"/>
          <w:shd w:val="clear" w:color="auto" w:fill="FFFFFF"/>
        </w:rPr>
        <w:t>If we estimate that approximately 199 000 UK nationals applied for universal credit (total applications minus the number of EEA habitual residence tests). 3 000 habitual residence tests were completed for UK nationals (ibid).</w:t>
      </w:r>
    </w:p>
  </w:footnote>
  <w:footnote w:id="165">
    <w:p w14:paraId="55AACFD3" w14:textId="5768FB1D" w:rsidR="006F0489" w:rsidRPr="002A68EC" w:rsidRDefault="006F0489" w:rsidP="002A68EC">
      <w:pPr>
        <w:pStyle w:val="FootnoteText"/>
        <w:jc w:val="both"/>
      </w:pPr>
      <w:r w:rsidRPr="002A68EC">
        <w:rPr>
          <w:rStyle w:val="FootnoteReference"/>
        </w:rPr>
        <w:footnoteRef/>
      </w:r>
      <w:r w:rsidRPr="002A68EC">
        <w:t xml:space="preserve"> 40 applicants; ibid.</w:t>
      </w:r>
    </w:p>
  </w:footnote>
  <w:footnote w:id="166">
    <w:p w14:paraId="0CADC30E" w14:textId="5C23EB13" w:rsidR="006F0489" w:rsidRPr="002A68EC" w:rsidRDefault="006F0489" w:rsidP="002A68EC">
      <w:pPr>
        <w:pStyle w:val="FootnoteText"/>
        <w:jc w:val="both"/>
      </w:pPr>
      <w:r w:rsidRPr="002A68EC">
        <w:rPr>
          <w:rStyle w:val="FootnoteReference"/>
        </w:rPr>
        <w:footnoteRef/>
      </w:r>
      <w:r w:rsidRPr="002A68EC">
        <w:t xml:space="preserve"> The Commission’s submission in </w:t>
      </w:r>
      <w:r w:rsidRPr="002A68EC">
        <w:rPr>
          <w:i/>
          <w:iCs/>
        </w:rPr>
        <w:t>Commission v UK</w:t>
      </w:r>
      <w:r w:rsidRPr="002A68EC">
        <w:t xml:space="preserve">, op. cit. </w:t>
      </w:r>
      <w:r w:rsidRPr="002A68EC">
        <w:rPr>
          <w:i/>
          <w:iCs/>
        </w:rPr>
        <w:t xml:space="preserve">supra </w:t>
      </w:r>
      <w:r w:rsidRPr="002A68EC">
        <w:t xml:space="preserve">note </w:t>
      </w:r>
      <w:r w:rsidRPr="002A68EC">
        <w:fldChar w:fldCharType="begin"/>
      </w:r>
      <w:r w:rsidRPr="002A68EC">
        <w:instrText xml:space="preserve"> NOTEREF _Ref15467663 \h  \* MERGEFORMAT </w:instrText>
      </w:r>
      <w:r w:rsidRPr="002A68EC">
        <w:fldChar w:fldCharType="separate"/>
      </w:r>
      <w:r w:rsidR="00A26A6A">
        <w:t>45</w:t>
      </w:r>
      <w:r w:rsidRPr="002A68EC">
        <w:fldChar w:fldCharType="end"/>
      </w:r>
      <w:r w:rsidRPr="002A68EC">
        <w:t>, para 47 emphasis added.</w:t>
      </w:r>
    </w:p>
  </w:footnote>
  <w:footnote w:id="167">
    <w:p w14:paraId="09619171" w14:textId="78098007"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Fratila</w:t>
      </w:r>
      <w:r w:rsidRPr="002A68EC">
        <w:t xml:space="preserve">, cited </w:t>
      </w:r>
      <w:r w:rsidRPr="002A68EC">
        <w:rPr>
          <w:i/>
          <w:iCs/>
        </w:rPr>
        <w:t>supra</w:t>
      </w:r>
      <w:r w:rsidRPr="002A68EC">
        <w:t xml:space="preserve"> note </w:t>
      </w:r>
      <w:r w:rsidRPr="002A68EC">
        <w:fldChar w:fldCharType="begin"/>
      </w:r>
      <w:r w:rsidRPr="002A68EC">
        <w:instrText xml:space="preserve"> NOTEREF _Ref54789944 \h  \* MERGEFORMAT </w:instrText>
      </w:r>
      <w:r w:rsidRPr="002A68EC">
        <w:fldChar w:fldCharType="separate"/>
      </w:r>
      <w:r w:rsidR="00A26A6A">
        <w:t>132</w:t>
      </w:r>
      <w:r w:rsidRPr="002A68EC">
        <w:fldChar w:fldCharType="end"/>
      </w:r>
      <w:r w:rsidRPr="002A68EC">
        <w:t>, 31.</w:t>
      </w:r>
    </w:p>
  </w:footnote>
  <w:footnote w:id="168">
    <w:p w14:paraId="224803E9" w14:textId="4427596B" w:rsidR="006F0489" w:rsidRPr="002A68EC" w:rsidRDefault="006F0489" w:rsidP="002A68EC">
      <w:pPr>
        <w:pStyle w:val="FootnoteText"/>
        <w:jc w:val="both"/>
        <w:rPr>
          <w:lang w:val="en-US"/>
        </w:rPr>
      </w:pPr>
      <w:r w:rsidRPr="002A68EC">
        <w:rPr>
          <w:rStyle w:val="FootnoteReference"/>
        </w:rPr>
        <w:footnoteRef/>
      </w:r>
      <w:r w:rsidRPr="002A68EC">
        <w:t xml:space="preserve"> The Home Office states that “If you have pre-settled status, you can spend up to 2 years in a row outside the UK without losing your status”. (“Apply to the EU Settlement Scheme (settled and pre-settled status)”, available at: &lt;</w:t>
      </w:r>
      <w:hyperlink r:id="rId28" w:history="1">
        <w:r w:rsidRPr="002A68EC">
          <w:rPr>
            <w:rStyle w:val="Hyperlink"/>
            <w:color w:val="auto"/>
          </w:rPr>
          <w:t>https://www.gov.uk/settled-status-eu-citizens-families/what-settled-and-presettled-status-means</w:t>
        </w:r>
      </w:hyperlink>
      <w:r w:rsidRPr="002A68EC">
        <w:t>&gt;. But later e</w:t>
      </w:r>
      <w:r w:rsidRPr="002A68EC">
        <w:rPr>
          <w:lang w:val="en-US"/>
        </w:rPr>
        <w:t xml:space="preserve">ligibility for </w:t>
      </w:r>
      <w:r w:rsidRPr="002A68EC">
        <w:rPr>
          <w:i/>
          <w:iCs/>
          <w:lang w:val="en-US"/>
        </w:rPr>
        <w:t>settled</w:t>
      </w:r>
      <w:r w:rsidRPr="002A68EC">
        <w:rPr>
          <w:lang w:val="en-US"/>
        </w:rPr>
        <w:t xml:space="preserve"> status requires that there has not been an absence of over six months during the relevant five year period: Appendix EU, op. cit. </w:t>
      </w:r>
      <w:r w:rsidRPr="002A68EC">
        <w:rPr>
          <w:i/>
          <w:iCs/>
          <w:lang w:val="en-US"/>
        </w:rPr>
        <w:t>supra</w:t>
      </w:r>
      <w:r w:rsidRPr="002A68EC">
        <w:rPr>
          <w:lang w:val="en-US"/>
        </w:rPr>
        <w:t xml:space="preserve"> note </w:t>
      </w:r>
      <w:r w:rsidRPr="002A68EC">
        <w:rPr>
          <w:lang w:val="en-US"/>
        </w:rPr>
        <w:fldChar w:fldCharType="begin"/>
      </w:r>
      <w:r w:rsidRPr="002A68EC">
        <w:rPr>
          <w:lang w:val="en-US"/>
        </w:rPr>
        <w:instrText xml:space="preserve"> NOTEREF _Ref15461576 \h  \* MERGEFORMAT </w:instrText>
      </w:r>
      <w:r w:rsidRPr="002A68EC">
        <w:rPr>
          <w:lang w:val="en-US"/>
        </w:rPr>
      </w:r>
      <w:r w:rsidRPr="002A68EC">
        <w:rPr>
          <w:lang w:val="en-US"/>
        </w:rPr>
        <w:fldChar w:fldCharType="separate"/>
      </w:r>
      <w:r w:rsidR="00A26A6A">
        <w:rPr>
          <w:lang w:val="en-US"/>
        </w:rPr>
        <w:t>6</w:t>
      </w:r>
      <w:r w:rsidRPr="002A68EC">
        <w:rPr>
          <w:lang w:val="en-US"/>
        </w:rPr>
        <w:fldChar w:fldCharType="end"/>
      </w:r>
      <w:r w:rsidRPr="002A68EC">
        <w:rPr>
          <w:lang w:val="en-US"/>
        </w:rPr>
        <w:t xml:space="preserve">, </w:t>
      </w:r>
      <w:r w:rsidRPr="002A68EC">
        <w:rPr>
          <w:i/>
          <w:iCs/>
          <w:lang w:val="en-US"/>
        </w:rPr>
        <w:t>Definitions</w:t>
      </w:r>
      <w:r w:rsidRPr="002A68EC">
        <w:rPr>
          <w:lang w:val="en-US"/>
        </w:rPr>
        <w:t>, “continuous qualifying period” (b)(i).</w:t>
      </w:r>
    </w:p>
  </w:footnote>
  <w:footnote w:id="169">
    <w:p w14:paraId="4CB90A60" w14:textId="7AEE53B0" w:rsidR="006F0489" w:rsidRPr="002A68EC" w:rsidRDefault="006F0489" w:rsidP="002A68EC">
      <w:pPr>
        <w:pStyle w:val="FootnoteText"/>
        <w:jc w:val="both"/>
      </w:pPr>
      <w:r w:rsidRPr="002A68EC">
        <w:rPr>
          <w:rStyle w:val="FootnoteReference"/>
        </w:rPr>
        <w:footnoteRef/>
      </w:r>
      <w:r w:rsidRPr="002A68EC">
        <w:t xml:space="preserve"> As expressed in reference to the objective of Directive 2004/38 of “preventing Union citizens who are nationals of other Member States from becoming an unreasonable burden on the social assistance system of the host Member State”, </w:t>
      </w:r>
      <w:r w:rsidRPr="002A68EC">
        <w:rPr>
          <w:i/>
          <w:iCs/>
        </w:rPr>
        <w:t>Dano</w:t>
      </w:r>
      <w:r w:rsidRPr="002A68EC">
        <w:t>, 74. Fears of benefit tourism are however not well founded on evidence; see Dustmann and Frattini, “The fiscal effects of immigration to the UK”, 124 Economic Journal (2014); ICF GHK, “A fact finding analysis on the impact on the Member States’ social security systems of the entitlements of non-active intra-EU migrants to special non-contributory cash benefits and healthcare granted on the basis of</w:t>
      </w:r>
    </w:p>
    <w:p w14:paraId="71CFDCB0" w14:textId="77777777" w:rsidR="006F0489" w:rsidRPr="002A68EC" w:rsidRDefault="006F0489" w:rsidP="002A68EC">
      <w:pPr>
        <w:pStyle w:val="FootnoteText"/>
        <w:jc w:val="both"/>
      </w:pPr>
      <w:r w:rsidRPr="002A68EC">
        <w:t>residence”, Final report of 14 Oct. 2013, available at &lt;ec.europa.eu/social/BlobServlet?docId</w:t>
      </w:r>
    </w:p>
    <w:p w14:paraId="3DB19C2F" w14:textId="1218A7FF" w:rsidR="006F0489" w:rsidRPr="002A68EC" w:rsidRDefault="006F0489" w:rsidP="002A68EC">
      <w:pPr>
        <w:pStyle w:val="FootnoteText"/>
        <w:jc w:val="both"/>
        <w:rPr>
          <w:lang w:val="en-US"/>
        </w:rPr>
      </w:pPr>
      <w:r w:rsidRPr="002A68EC">
        <w:t>=10972&gt;.</w:t>
      </w:r>
    </w:p>
  </w:footnote>
  <w:footnote w:id="170">
    <w:p w14:paraId="6ABDEDD5" w14:textId="0AC431E0" w:rsidR="006F0489" w:rsidRPr="002A68EC" w:rsidRDefault="006F0489" w:rsidP="002A68EC">
      <w:pPr>
        <w:pStyle w:val="FootnoteText"/>
        <w:jc w:val="both"/>
      </w:pPr>
      <w:r w:rsidRPr="002A68EC">
        <w:rPr>
          <w:rStyle w:val="FootnoteReference"/>
        </w:rPr>
        <w:footnoteRef/>
      </w:r>
      <w:r w:rsidRPr="002A68EC">
        <w:t xml:space="preserve"> Case C-220/12, </w:t>
      </w:r>
      <w:r w:rsidRPr="002A68EC">
        <w:rPr>
          <w:i/>
          <w:iCs/>
        </w:rPr>
        <w:t>Thiele Meneses</w:t>
      </w:r>
      <w:r w:rsidRPr="002A68EC">
        <w:t>, EU:C:2013:683, 43.</w:t>
      </w:r>
    </w:p>
  </w:footnote>
  <w:footnote w:id="171">
    <w:p w14:paraId="53A1340F" w14:textId="5C1A9AD8" w:rsidR="006F0489" w:rsidRPr="002A68EC" w:rsidRDefault="006F0489" w:rsidP="002A68EC">
      <w:pPr>
        <w:pStyle w:val="FootnoteText"/>
        <w:jc w:val="both"/>
      </w:pPr>
      <w:r w:rsidRPr="002A68EC">
        <w:rPr>
          <w:rStyle w:val="FootnoteReference"/>
        </w:rPr>
        <w:footnoteRef/>
      </w:r>
      <w:r w:rsidRPr="002A68EC">
        <w:t xml:space="preserve"> Case C-158/96 </w:t>
      </w:r>
      <w:r w:rsidRPr="002A68EC">
        <w:rPr>
          <w:i/>
          <w:iCs/>
        </w:rPr>
        <w:t>Kohll</w:t>
      </w:r>
      <w:r w:rsidRPr="002A68EC">
        <w:t>, ECLI:EU:C:1998:171, 41.</w:t>
      </w:r>
    </w:p>
  </w:footnote>
  <w:footnote w:id="172">
    <w:p w14:paraId="0D36AF7B" w14:textId="16272BE2" w:rsidR="006F0489" w:rsidRPr="002A68EC" w:rsidRDefault="006F0489" w:rsidP="002A68EC">
      <w:pPr>
        <w:pStyle w:val="FootnoteText"/>
        <w:jc w:val="both"/>
      </w:pPr>
      <w:r w:rsidRPr="002A68EC">
        <w:rPr>
          <w:rStyle w:val="FootnoteReference"/>
        </w:rPr>
        <w:footnoteRef/>
      </w:r>
      <w:r w:rsidRPr="002A68EC">
        <w:t xml:space="preserve"> Case C-515/14 </w:t>
      </w:r>
      <w:r w:rsidRPr="002A68EC">
        <w:rPr>
          <w:i/>
          <w:iCs/>
        </w:rPr>
        <w:t>European Commission v Cyprus</w:t>
      </w:r>
      <w:r w:rsidRPr="002A68EC">
        <w:t xml:space="preserve"> EU:C:2016:30, 54.  </w:t>
      </w:r>
    </w:p>
  </w:footnote>
  <w:footnote w:id="173">
    <w:p w14:paraId="7CDC5005" w14:textId="33D7BDC8"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Fratila</w:t>
      </w:r>
      <w:r w:rsidRPr="002A68EC">
        <w:t xml:space="preserve">, cited </w:t>
      </w:r>
      <w:r w:rsidRPr="002A68EC">
        <w:rPr>
          <w:i/>
          <w:iCs/>
        </w:rPr>
        <w:t>supra</w:t>
      </w:r>
      <w:r w:rsidRPr="002A68EC">
        <w:t xml:space="preserve"> note </w:t>
      </w:r>
      <w:r w:rsidRPr="002A68EC">
        <w:fldChar w:fldCharType="begin"/>
      </w:r>
      <w:r w:rsidRPr="002A68EC">
        <w:instrText xml:space="preserve"> NOTEREF _Ref54789944 \h  \* MERGEFORMAT </w:instrText>
      </w:r>
      <w:r w:rsidRPr="002A68EC">
        <w:fldChar w:fldCharType="separate"/>
      </w:r>
      <w:r w:rsidR="00A26A6A">
        <w:t>132</w:t>
      </w:r>
      <w:r w:rsidRPr="002A68EC">
        <w:fldChar w:fldCharType="end"/>
      </w:r>
      <w:r w:rsidRPr="002A68EC">
        <w:t>, 31.</w:t>
      </w:r>
    </w:p>
  </w:footnote>
  <w:footnote w:id="174">
    <w:p w14:paraId="79F2C47F" w14:textId="5375E0EB"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Commission v Cyprus</w:t>
      </w:r>
      <w:r w:rsidRPr="002A68EC">
        <w:t xml:space="preserve">, cited </w:t>
      </w:r>
      <w:r w:rsidRPr="002A68EC">
        <w:rPr>
          <w:i/>
          <w:iCs/>
        </w:rPr>
        <w:t xml:space="preserve">supra </w:t>
      </w:r>
      <w:r w:rsidRPr="002A68EC">
        <w:t xml:space="preserve">note </w:t>
      </w:r>
      <w:r w:rsidRPr="002A68EC">
        <w:fldChar w:fldCharType="begin"/>
      </w:r>
      <w:r w:rsidRPr="002A68EC">
        <w:instrText xml:space="preserve"> NOTEREF _Ref54791101 \h  \* MERGEFORMAT </w:instrText>
      </w:r>
      <w:r w:rsidRPr="002A68EC">
        <w:fldChar w:fldCharType="separate"/>
      </w:r>
      <w:r w:rsidR="00A26A6A">
        <w:t>172</w:t>
      </w:r>
      <w:r w:rsidRPr="002A68EC">
        <w:fldChar w:fldCharType="end"/>
      </w:r>
      <w:r w:rsidRPr="002A68EC">
        <w:t>, 55.</w:t>
      </w:r>
    </w:p>
  </w:footnote>
  <w:footnote w:id="175">
    <w:p w14:paraId="374B762D" w14:textId="69054F6F" w:rsidR="006F0489" w:rsidRPr="002A68EC" w:rsidRDefault="006F0489" w:rsidP="002A68EC">
      <w:pPr>
        <w:pStyle w:val="FootnoteText"/>
        <w:jc w:val="both"/>
      </w:pPr>
      <w:r w:rsidRPr="002A68EC">
        <w:rPr>
          <w:rStyle w:val="FootnoteReference"/>
        </w:rPr>
        <w:footnoteRef/>
      </w:r>
      <w:r w:rsidRPr="002A68EC">
        <w:t xml:space="preserve"> On this strategy of immigration control, see Heindlmaier &amp; Blauberger, “Enter at your own risk: free movement of EU citizens in practice”, </w:t>
      </w:r>
      <w:r w:rsidRPr="002A68EC">
        <w:rPr>
          <w:i/>
          <w:iCs/>
        </w:rPr>
        <w:t xml:space="preserve">West European Politics, </w:t>
      </w:r>
      <w:r w:rsidRPr="002A68EC">
        <w:t>(2017), 40(6), 1198.</w:t>
      </w:r>
    </w:p>
  </w:footnote>
  <w:footnote w:id="176">
    <w:p w14:paraId="70C5BB9D" w14:textId="4E81D952" w:rsidR="006F0489" w:rsidRPr="002A68EC" w:rsidRDefault="006F0489" w:rsidP="002A68EC">
      <w:pPr>
        <w:pStyle w:val="FootnoteText"/>
        <w:jc w:val="both"/>
      </w:pPr>
      <w:r w:rsidRPr="002A68EC">
        <w:rPr>
          <w:rStyle w:val="FootnoteReference"/>
        </w:rPr>
        <w:footnoteRef/>
      </w:r>
      <w:r w:rsidRPr="002A68EC">
        <w:t xml:space="preserve"> </w:t>
      </w:r>
      <w:r w:rsidRPr="002A68EC">
        <w:rPr>
          <w:i/>
          <w:iCs/>
        </w:rPr>
        <w:t>Fratila</w:t>
      </w:r>
      <w:r w:rsidRPr="002A68EC">
        <w:t xml:space="preserve">, cited </w:t>
      </w:r>
      <w:r w:rsidRPr="002A68EC">
        <w:rPr>
          <w:i/>
          <w:iCs/>
        </w:rPr>
        <w:t xml:space="preserve">supra </w:t>
      </w:r>
      <w:r w:rsidRPr="002A68EC">
        <w:t xml:space="preserve">note </w:t>
      </w:r>
      <w:r w:rsidRPr="002A68EC">
        <w:fldChar w:fldCharType="begin"/>
      </w:r>
      <w:r w:rsidRPr="002A68EC">
        <w:instrText xml:space="preserve"> NOTEREF _Ref54789944 \h  \* MERGEFORMAT </w:instrText>
      </w:r>
      <w:r w:rsidRPr="002A68EC">
        <w:fldChar w:fldCharType="separate"/>
      </w:r>
      <w:r w:rsidR="00A26A6A">
        <w:t>132</w:t>
      </w:r>
      <w:r w:rsidRPr="002A68EC">
        <w:fldChar w:fldCharType="end"/>
      </w:r>
      <w:r w:rsidRPr="002A68EC">
        <w:t xml:space="preserve">, 15. </w:t>
      </w:r>
    </w:p>
  </w:footnote>
  <w:footnote w:id="177">
    <w:p w14:paraId="58FDD824" w14:textId="1583848D" w:rsidR="006F0489" w:rsidRDefault="006F0489">
      <w:pPr>
        <w:pStyle w:val="FootnoteText"/>
      </w:pPr>
      <w:r>
        <w:rPr>
          <w:rStyle w:val="FootnoteReference"/>
        </w:rPr>
        <w:footnoteRef/>
      </w:r>
      <w:r>
        <w:t xml:space="preserve"> Notwithstanding the effects of retaining EU law as a matter of domestic law. </w:t>
      </w:r>
    </w:p>
  </w:footnote>
  <w:footnote w:id="178">
    <w:p w14:paraId="694406F8" w14:textId="2A0C4EAE" w:rsidR="006F0489" w:rsidRPr="005177CF" w:rsidRDefault="006F0489">
      <w:pPr>
        <w:pStyle w:val="FootnoteText"/>
      </w:pPr>
      <w:r>
        <w:rPr>
          <w:rStyle w:val="FootnoteReference"/>
        </w:rPr>
        <w:footnoteRef/>
      </w:r>
      <w:r>
        <w:t xml:space="preserve"> </w:t>
      </w:r>
      <w:r>
        <w:rPr>
          <w:i/>
          <w:iCs/>
        </w:rPr>
        <w:t>Fratila</w:t>
      </w:r>
      <w:r>
        <w:t xml:space="preserve">, 105, from the dissenting judgment of Dingemans LJ. </w:t>
      </w:r>
    </w:p>
  </w:footnote>
  <w:footnote w:id="179">
    <w:p w14:paraId="0BFD28D7" w14:textId="2D4630C1" w:rsidR="006F0489" w:rsidRDefault="006F0489">
      <w:pPr>
        <w:pStyle w:val="FootnoteText"/>
      </w:pPr>
      <w:r>
        <w:rPr>
          <w:rStyle w:val="FootnoteReference"/>
        </w:rPr>
        <w:footnoteRef/>
      </w:r>
      <w:r>
        <w:t xml:space="preserve"> Art. 10(1)(a) WA.</w:t>
      </w:r>
    </w:p>
  </w:footnote>
  <w:footnote w:id="180">
    <w:p w14:paraId="189A0F68" w14:textId="36A32EC6" w:rsidR="006F0489" w:rsidRDefault="006F0489">
      <w:pPr>
        <w:pStyle w:val="FootnoteText"/>
      </w:pPr>
      <w:r>
        <w:rPr>
          <w:rStyle w:val="FootnoteReference"/>
        </w:rPr>
        <w:footnoteRef/>
      </w:r>
      <w:r>
        <w:t xml:space="preserve"> Art. 10(1)(c) WA. </w:t>
      </w:r>
    </w:p>
  </w:footnote>
  <w:footnote w:id="181">
    <w:p w14:paraId="5D817207" w14:textId="080DE4A7" w:rsidR="006F0489" w:rsidRDefault="006F0489">
      <w:pPr>
        <w:pStyle w:val="FootnoteText"/>
      </w:pPr>
      <w:r>
        <w:rPr>
          <w:rStyle w:val="FootnoteReference"/>
        </w:rPr>
        <w:footnoteRef/>
      </w:r>
      <w:r>
        <w:t xml:space="preserve"> Art. 10(1)(e) WA .</w:t>
      </w:r>
    </w:p>
  </w:footnote>
  <w:footnote w:id="182">
    <w:p w14:paraId="55A04D6D" w14:textId="244D8440" w:rsidR="006F0489" w:rsidRPr="002A68EC" w:rsidRDefault="006F0489" w:rsidP="002A68EC">
      <w:pPr>
        <w:pStyle w:val="FootnoteText"/>
        <w:jc w:val="both"/>
      </w:pPr>
      <w:r w:rsidRPr="002A68EC">
        <w:rPr>
          <w:rStyle w:val="FootnoteReference"/>
        </w:rPr>
        <w:footnoteRef/>
      </w:r>
      <w:r w:rsidRPr="002A68EC">
        <w:t xml:space="preserve"> Restoring public trust in immigration policy - a points-based non-discriminatory immigration system”, 1 June 2016, available at: &lt;</w:t>
      </w:r>
      <w:hyperlink r:id="rId29" w:history="1">
        <w:r w:rsidRPr="002A68EC">
          <w:rPr>
            <w:rStyle w:val="Hyperlink"/>
            <w:color w:val="auto"/>
          </w:rPr>
          <w:t>http://www.voteleavetakecontrol.org/restoring_public_trust_in_immigration_policy_a_points_based_non_discriminatory_immigration_system.html</w:t>
        </w:r>
      </w:hyperlink>
      <w:r w:rsidRPr="002A68EC">
        <w:t xml:space="preserve">&gt;. </w:t>
      </w:r>
    </w:p>
  </w:footnote>
  <w:footnote w:id="183">
    <w:p w14:paraId="5C239434" w14:textId="62A47E67" w:rsidR="006F0489" w:rsidRPr="002A68EC" w:rsidRDefault="006F0489" w:rsidP="002A68EC">
      <w:pPr>
        <w:pStyle w:val="FootnoteText"/>
        <w:jc w:val="both"/>
      </w:pPr>
      <w:r w:rsidRPr="002A68EC">
        <w:rPr>
          <w:rStyle w:val="FootnoteReference"/>
        </w:rPr>
        <w:footnoteRef/>
      </w:r>
      <w:r w:rsidRPr="002A68EC">
        <w:t xml:space="preserve"> Morgan &amp; Radziwinowiczowna, “Post-Brexit, post-Covid-19, which EU citizens are at risk of deportation?”, Public Interest Law Centre, (01/06/2020), available at: </w:t>
      </w:r>
    </w:p>
    <w:p w14:paraId="5BF976AA" w14:textId="5B9220B7" w:rsidR="006F0489" w:rsidRPr="002A68EC" w:rsidRDefault="006F0489" w:rsidP="002A68EC">
      <w:pPr>
        <w:pStyle w:val="FootnoteText"/>
        <w:jc w:val="both"/>
      </w:pPr>
      <w:r w:rsidRPr="002A68EC">
        <w:t>https://www.thejusticegap.com/post-brexit-post-covid-19-which-eu-citizens-are-at-risk-of-deportation/.</w:t>
      </w:r>
    </w:p>
    <w:p w14:paraId="442BFAE6" w14:textId="0C4A478E" w:rsidR="006F0489" w:rsidRPr="002A68EC" w:rsidRDefault="006F0489" w:rsidP="002A68EC">
      <w:pPr>
        <w:pStyle w:val="FootnoteText"/>
        <w:jc w:val="both"/>
      </w:pPr>
    </w:p>
  </w:footnote>
  <w:footnote w:id="184">
    <w:p w14:paraId="4441AF52" w14:textId="12833B39" w:rsidR="006F0489" w:rsidRPr="002A68EC" w:rsidRDefault="006F0489" w:rsidP="002A68EC">
      <w:pPr>
        <w:autoSpaceDE w:val="0"/>
        <w:autoSpaceDN w:val="0"/>
        <w:adjustRightInd w:val="0"/>
        <w:jc w:val="both"/>
        <w:rPr>
          <w:sz w:val="20"/>
        </w:rPr>
      </w:pPr>
      <w:r w:rsidRPr="002A68EC">
        <w:rPr>
          <w:rStyle w:val="FootnoteReference"/>
          <w:sz w:val="20"/>
        </w:rPr>
        <w:footnoteRef/>
      </w:r>
      <w:r w:rsidRPr="002A68EC">
        <w:rPr>
          <w:sz w:val="20"/>
        </w:rPr>
        <w:t xml:space="preserve"> Nic Shuibhne warns against the EU swallowing the anti-free movement rhetoric underpinning Brexit;</w:t>
      </w:r>
      <w:r w:rsidRPr="002A68EC">
        <w:rPr>
          <w:rFonts w:eastAsiaTheme="minorHAnsi"/>
          <w:sz w:val="20"/>
          <w:szCs w:val="20"/>
        </w:rPr>
        <w:t xml:space="preserve"> any reforms must be “legally robust and problem-appropriate”, not based on a “hyper-ramping of circumstantial evidence and perceptions”; in “</w:t>
      </w:r>
      <w:r w:rsidRPr="002A68EC">
        <w:rPr>
          <w:rFonts w:eastAsiaTheme="minorHAnsi"/>
          <w:sz w:val="20"/>
        </w:rPr>
        <w:t>Reconnecting free movement of workers and equal treatment in an unequal Europe”</w:t>
      </w:r>
      <w:r w:rsidRPr="002A68EC">
        <w:rPr>
          <w:rFonts w:eastAsiaTheme="minorHAnsi"/>
          <w:sz w:val="20"/>
          <w:szCs w:val="20"/>
        </w:rPr>
        <w:t xml:space="preserve"> 43(4) EL Rev (2018), 477, 509-10.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7BC"/>
    <w:multiLevelType w:val="multilevel"/>
    <w:tmpl w:val="97DA0C8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95E9F"/>
    <w:multiLevelType w:val="multilevel"/>
    <w:tmpl w:val="00CC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17183"/>
    <w:multiLevelType w:val="multilevel"/>
    <w:tmpl w:val="DB42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1E7D45"/>
    <w:multiLevelType w:val="multilevel"/>
    <w:tmpl w:val="2BDE3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A3762"/>
    <w:multiLevelType w:val="multilevel"/>
    <w:tmpl w:val="C4B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53AAF"/>
    <w:multiLevelType w:val="multilevel"/>
    <w:tmpl w:val="00CC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DC46DC"/>
    <w:multiLevelType w:val="multilevel"/>
    <w:tmpl w:val="536A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A38B5"/>
    <w:multiLevelType w:val="multilevel"/>
    <w:tmpl w:val="7898EA3C"/>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A70505"/>
    <w:multiLevelType w:val="multilevel"/>
    <w:tmpl w:val="A0FA3B14"/>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415B66"/>
    <w:multiLevelType w:val="hybridMultilevel"/>
    <w:tmpl w:val="36526698"/>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B7EC3"/>
    <w:multiLevelType w:val="multilevel"/>
    <w:tmpl w:val="A674459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317F72"/>
    <w:multiLevelType w:val="multilevel"/>
    <w:tmpl w:val="F526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345588"/>
    <w:multiLevelType w:val="hybridMultilevel"/>
    <w:tmpl w:val="0D64F4A4"/>
    <w:lvl w:ilvl="0" w:tplc="F986510A">
      <w:start w:val="1"/>
      <w:numFmt w:val="bullet"/>
      <w:lvlText w:val="•"/>
      <w:lvlJc w:val="left"/>
      <w:pPr>
        <w:tabs>
          <w:tab w:val="num" w:pos="720"/>
        </w:tabs>
        <w:ind w:left="720" w:hanging="360"/>
      </w:pPr>
      <w:rPr>
        <w:rFonts w:ascii="Arial" w:hAnsi="Arial" w:hint="default"/>
      </w:rPr>
    </w:lvl>
    <w:lvl w:ilvl="1" w:tplc="4B56B9AE" w:tentative="1">
      <w:start w:val="1"/>
      <w:numFmt w:val="bullet"/>
      <w:lvlText w:val="•"/>
      <w:lvlJc w:val="left"/>
      <w:pPr>
        <w:tabs>
          <w:tab w:val="num" w:pos="1440"/>
        </w:tabs>
        <w:ind w:left="1440" w:hanging="360"/>
      </w:pPr>
      <w:rPr>
        <w:rFonts w:ascii="Arial" w:hAnsi="Arial" w:hint="default"/>
      </w:rPr>
    </w:lvl>
    <w:lvl w:ilvl="2" w:tplc="C5500E32" w:tentative="1">
      <w:start w:val="1"/>
      <w:numFmt w:val="bullet"/>
      <w:lvlText w:val="•"/>
      <w:lvlJc w:val="left"/>
      <w:pPr>
        <w:tabs>
          <w:tab w:val="num" w:pos="2160"/>
        </w:tabs>
        <w:ind w:left="2160" w:hanging="360"/>
      </w:pPr>
      <w:rPr>
        <w:rFonts w:ascii="Arial" w:hAnsi="Arial" w:hint="default"/>
      </w:rPr>
    </w:lvl>
    <w:lvl w:ilvl="3" w:tplc="E544FF46" w:tentative="1">
      <w:start w:val="1"/>
      <w:numFmt w:val="bullet"/>
      <w:lvlText w:val="•"/>
      <w:lvlJc w:val="left"/>
      <w:pPr>
        <w:tabs>
          <w:tab w:val="num" w:pos="2880"/>
        </w:tabs>
        <w:ind w:left="2880" w:hanging="360"/>
      </w:pPr>
      <w:rPr>
        <w:rFonts w:ascii="Arial" w:hAnsi="Arial" w:hint="default"/>
      </w:rPr>
    </w:lvl>
    <w:lvl w:ilvl="4" w:tplc="B61253E8" w:tentative="1">
      <w:start w:val="1"/>
      <w:numFmt w:val="bullet"/>
      <w:lvlText w:val="•"/>
      <w:lvlJc w:val="left"/>
      <w:pPr>
        <w:tabs>
          <w:tab w:val="num" w:pos="3600"/>
        </w:tabs>
        <w:ind w:left="3600" w:hanging="360"/>
      </w:pPr>
      <w:rPr>
        <w:rFonts w:ascii="Arial" w:hAnsi="Arial" w:hint="default"/>
      </w:rPr>
    </w:lvl>
    <w:lvl w:ilvl="5" w:tplc="7BC6B64A" w:tentative="1">
      <w:start w:val="1"/>
      <w:numFmt w:val="bullet"/>
      <w:lvlText w:val="•"/>
      <w:lvlJc w:val="left"/>
      <w:pPr>
        <w:tabs>
          <w:tab w:val="num" w:pos="4320"/>
        </w:tabs>
        <w:ind w:left="4320" w:hanging="360"/>
      </w:pPr>
      <w:rPr>
        <w:rFonts w:ascii="Arial" w:hAnsi="Arial" w:hint="default"/>
      </w:rPr>
    </w:lvl>
    <w:lvl w:ilvl="6" w:tplc="E8522972" w:tentative="1">
      <w:start w:val="1"/>
      <w:numFmt w:val="bullet"/>
      <w:lvlText w:val="•"/>
      <w:lvlJc w:val="left"/>
      <w:pPr>
        <w:tabs>
          <w:tab w:val="num" w:pos="5040"/>
        </w:tabs>
        <w:ind w:left="5040" w:hanging="360"/>
      </w:pPr>
      <w:rPr>
        <w:rFonts w:ascii="Arial" w:hAnsi="Arial" w:hint="default"/>
      </w:rPr>
    </w:lvl>
    <w:lvl w:ilvl="7" w:tplc="626AD7F8" w:tentative="1">
      <w:start w:val="1"/>
      <w:numFmt w:val="bullet"/>
      <w:lvlText w:val="•"/>
      <w:lvlJc w:val="left"/>
      <w:pPr>
        <w:tabs>
          <w:tab w:val="num" w:pos="5760"/>
        </w:tabs>
        <w:ind w:left="5760" w:hanging="360"/>
      </w:pPr>
      <w:rPr>
        <w:rFonts w:ascii="Arial" w:hAnsi="Arial" w:hint="default"/>
      </w:rPr>
    </w:lvl>
    <w:lvl w:ilvl="8" w:tplc="08609C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A37586"/>
    <w:multiLevelType w:val="multilevel"/>
    <w:tmpl w:val="AEF6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B5545"/>
    <w:multiLevelType w:val="hybridMultilevel"/>
    <w:tmpl w:val="1D78F0C4"/>
    <w:lvl w:ilvl="0" w:tplc="25A8F72A">
      <w:start w:val="1"/>
      <w:numFmt w:val="bullet"/>
      <w:lvlText w:val=""/>
      <w:lvlJc w:val="left"/>
      <w:pPr>
        <w:tabs>
          <w:tab w:val="num" w:pos="720"/>
        </w:tabs>
        <w:ind w:left="720" w:hanging="360"/>
      </w:pPr>
      <w:rPr>
        <w:rFonts w:ascii="Wingdings" w:hAnsi="Wingdings" w:hint="default"/>
      </w:rPr>
    </w:lvl>
    <w:lvl w:ilvl="1" w:tplc="CC2E97D0" w:tentative="1">
      <w:start w:val="1"/>
      <w:numFmt w:val="bullet"/>
      <w:lvlText w:val=""/>
      <w:lvlJc w:val="left"/>
      <w:pPr>
        <w:tabs>
          <w:tab w:val="num" w:pos="1440"/>
        </w:tabs>
        <w:ind w:left="1440" w:hanging="360"/>
      </w:pPr>
      <w:rPr>
        <w:rFonts w:ascii="Wingdings" w:hAnsi="Wingdings" w:hint="default"/>
      </w:rPr>
    </w:lvl>
    <w:lvl w:ilvl="2" w:tplc="AC8284B4" w:tentative="1">
      <w:start w:val="1"/>
      <w:numFmt w:val="bullet"/>
      <w:lvlText w:val=""/>
      <w:lvlJc w:val="left"/>
      <w:pPr>
        <w:tabs>
          <w:tab w:val="num" w:pos="2160"/>
        </w:tabs>
        <w:ind w:left="2160" w:hanging="360"/>
      </w:pPr>
      <w:rPr>
        <w:rFonts w:ascii="Wingdings" w:hAnsi="Wingdings" w:hint="default"/>
      </w:rPr>
    </w:lvl>
    <w:lvl w:ilvl="3" w:tplc="6A5260DA" w:tentative="1">
      <w:start w:val="1"/>
      <w:numFmt w:val="bullet"/>
      <w:lvlText w:val=""/>
      <w:lvlJc w:val="left"/>
      <w:pPr>
        <w:tabs>
          <w:tab w:val="num" w:pos="2880"/>
        </w:tabs>
        <w:ind w:left="2880" w:hanging="360"/>
      </w:pPr>
      <w:rPr>
        <w:rFonts w:ascii="Wingdings" w:hAnsi="Wingdings" w:hint="default"/>
      </w:rPr>
    </w:lvl>
    <w:lvl w:ilvl="4" w:tplc="0C5471A4" w:tentative="1">
      <w:start w:val="1"/>
      <w:numFmt w:val="bullet"/>
      <w:lvlText w:val=""/>
      <w:lvlJc w:val="left"/>
      <w:pPr>
        <w:tabs>
          <w:tab w:val="num" w:pos="3600"/>
        </w:tabs>
        <w:ind w:left="3600" w:hanging="360"/>
      </w:pPr>
      <w:rPr>
        <w:rFonts w:ascii="Wingdings" w:hAnsi="Wingdings" w:hint="default"/>
      </w:rPr>
    </w:lvl>
    <w:lvl w:ilvl="5" w:tplc="077A4D76" w:tentative="1">
      <w:start w:val="1"/>
      <w:numFmt w:val="bullet"/>
      <w:lvlText w:val=""/>
      <w:lvlJc w:val="left"/>
      <w:pPr>
        <w:tabs>
          <w:tab w:val="num" w:pos="4320"/>
        </w:tabs>
        <w:ind w:left="4320" w:hanging="360"/>
      </w:pPr>
      <w:rPr>
        <w:rFonts w:ascii="Wingdings" w:hAnsi="Wingdings" w:hint="default"/>
      </w:rPr>
    </w:lvl>
    <w:lvl w:ilvl="6" w:tplc="FBEC2268" w:tentative="1">
      <w:start w:val="1"/>
      <w:numFmt w:val="bullet"/>
      <w:lvlText w:val=""/>
      <w:lvlJc w:val="left"/>
      <w:pPr>
        <w:tabs>
          <w:tab w:val="num" w:pos="5040"/>
        </w:tabs>
        <w:ind w:left="5040" w:hanging="360"/>
      </w:pPr>
      <w:rPr>
        <w:rFonts w:ascii="Wingdings" w:hAnsi="Wingdings" w:hint="default"/>
      </w:rPr>
    </w:lvl>
    <w:lvl w:ilvl="7" w:tplc="5596ECD2" w:tentative="1">
      <w:start w:val="1"/>
      <w:numFmt w:val="bullet"/>
      <w:lvlText w:val=""/>
      <w:lvlJc w:val="left"/>
      <w:pPr>
        <w:tabs>
          <w:tab w:val="num" w:pos="5760"/>
        </w:tabs>
        <w:ind w:left="5760" w:hanging="360"/>
      </w:pPr>
      <w:rPr>
        <w:rFonts w:ascii="Wingdings" w:hAnsi="Wingdings" w:hint="default"/>
      </w:rPr>
    </w:lvl>
    <w:lvl w:ilvl="8" w:tplc="FADA3C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1E57F7"/>
    <w:multiLevelType w:val="hybridMultilevel"/>
    <w:tmpl w:val="D9AE9E92"/>
    <w:lvl w:ilvl="0" w:tplc="B6205C70">
      <w:start w:val="1"/>
      <w:numFmt w:val="bullet"/>
      <w:lvlText w:val=""/>
      <w:lvlJc w:val="left"/>
      <w:pPr>
        <w:tabs>
          <w:tab w:val="num" w:pos="720"/>
        </w:tabs>
        <w:ind w:left="720" w:hanging="360"/>
      </w:pPr>
      <w:rPr>
        <w:rFonts w:ascii="Wingdings" w:hAnsi="Wingdings" w:hint="default"/>
      </w:rPr>
    </w:lvl>
    <w:lvl w:ilvl="1" w:tplc="AB0441AA" w:tentative="1">
      <w:start w:val="1"/>
      <w:numFmt w:val="bullet"/>
      <w:lvlText w:val=""/>
      <w:lvlJc w:val="left"/>
      <w:pPr>
        <w:tabs>
          <w:tab w:val="num" w:pos="1440"/>
        </w:tabs>
        <w:ind w:left="1440" w:hanging="360"/>
      </w:pPr>
      <w:rPr>
        <w:rFonts w:ascii="Wingdings" w:hAnsi="Wingdings" w:hint="default"/>
      </w:rPr>
    </w:lvl>
    <w:lvl w:ilvl="2" w:tplc="A02652C8" w:tentative="1">
      <w:start w:val="1"/>
      <w:numFmt w:val="bullet"/>
      <w:lvlText w:val=""/>
      <w:lvlJc w:val="left"/>
      <w:pPr>
        <w:tabs>
          <w:tab w:val="num" w:pos="2160"/>
        </w:tabs>
        <w:ind w:left="2160" w:hanging="360"/>
      </w:pPr>
      <w:rPr>
        <w:rFonts w:ascii="Wingdings" w:hAnsi="Wingdings" w:hint="default"/>
      </w:rPr>
    </w:lvl>
    <w:lvl w:ilvl="3" w:tplc="26340A8E" w:tentative="1">
      <w:start w:val="1"/>
      <w:numFmt w:val="bullet"/>
      <w:lvlText w:val=""/>
      <w:lvlJc w:val="left"/>
      <w:pPr>
        <w:tabs>
          <w:tab w:val="num" w:pos="2880"/>
        </w:tabs>
        <w:ind w:left="2880" w:hanging="360"/>
      </w:pPr>
      <w:rPr>
        <w:rFonts w:ascii="Wingdings" w:hAnsi="Wingdings" w:hint="default"/>
      </w:rPr>
    </w:lvl>
    <w:lvl w:ilvl="4" w:tplc="3F00561A" w:tentative="1">
      <w:start w:val="1"/>
      <w:numFmt w:val="bullet"/>
      <w:lvlText w:val=""/>
      <w:lvlJc w:val="left"/>
      <w:pPr>
        <w:tabs>
          <w:tab w:val="num" w:pos="3600"/>
        </w:tabs>
        <w:ind w:left="3600" w:hanging="360"/>
      </w:pPr>
      <w:rPr>
        <w:rFonts w:ascii="Wingdings" w:hAnsi="Wingdings" w:hint="default"/>
      </w:rPr>
    </w:lvl>
    <w:lvl w:ilvl="5" w:tplc="7C2C1E2C" w:tentative="1">
      <w:start w:val="1"/>
      <w:numFmt w:val="bullet"/>
      <w:lvlText w:val=""/>
      <w:lvlJc w:val="left"/>
      <w:pPr>
        <w:tabs>
          <w:tab w:val="num" w:pos="4320"/>
        </w:tabs>
        <w:ind w:left="4320" w:hanging="360"/>
      </w:pPr>
      <w:rPr>
        <w:rFonts w:ascii="Wingdings" w:hAnsi="Wingdings" w:hint="default"/>
      </w:rPr>
    </w:lvl>
    <w:lvl w:ilvl="6" w:tplc="C4F4725A" w:tentative="1">
      <w:start w:val="1"/>
      <w:numFmt w:val="bullet"/>
      <w:lvlText w:val=""/>
      <w:lvlJc w:val="left"/>
      <w:pPr>
        <w:tabs>
          <w:tab w:val="num" w:pos="5040"/>
        </w:tabs>
        <w:ind w:left="5040" w:hanging="360"/>
      </w:pPr>
      <w:rPr>
        <w:rFonts w:ascii="Wingdings" w:hAnsi="Wingdings" w:hint="default"/>
      </w:rPr>
    </w:lvl>
    <w:lvl w:ilvl="7" w:tplc="69600CC0" w:tentative="1">
      <w:start w:val="1"/>
      <w:numFmt w:val="bullet"/>
      <w:lvlText w:val=""/>
      <w:lvlJc w:val="left"/>
      <w:pPr>
        <w:tabs>
          <w:tab w:val="num" w:pos="5760"/>
        </w:tabs>
        <w:ind w:left="5760" w:hanging="360"/>
      </w:pPr>
      <w:rPr>
        <w:rFonts w:ascii="Wingdings" w:hAnsi="Wingdings" w:hint="default"/>
      </w:rPr>
    </w:lvl>
    <w:lvl w:ilvl="8" w:tplc="9BB851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A7876"/>
    <w:multiLevelType w:val="multilevel"/>
    <w:tmpl w:val="30546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14"/>
  </w:num>
  <w:num w:numId="4">
    <w:abstractNumId w:val="15"/>
  </w:num>
  <w:num w:numId="5">
    <w:abstractNumId w:val="3"/>
  </w:num>
  <w:num w:numId="6">
    <w:abstractNumId w:val="9"/>
  </w:num>
  <w:num w:numId="7">
    <w:abstractNumId w:val="11"/>
  </w:num>
  <w:num w:numId="8">
    <w:abstractNumId w:val="2"/>
  </w:num>
  <w:num w:numId="9">
    <w:abstractNumId w:val="6"/>
  </w:num>
  <w:num w:numId="10">
    <w:abstractNumId w:val="4"/>
  </w:num>
  <w:num w:numId="11">
    <w:abstractNumId w:val="16"/>
  </w:num>
  <w:num w:numId="12">
    <w:abstractNumId w:val="0"/>
  </w:num>
  <w:num w:numId="13">
    <w:abstractNumId w:val="10"/>
  </w:num>
  <w:num w:numId="14">
    <w:abstractNumId w:val="7"/>
  </w:num>
  <w:num w:numId="15">
    <w:abstractNumId w:val="8"/>
  </w:num>
  <w:num w:numId="16">
    <w:abstractNumId w:val="1"/>
    <w:lvlOverride w:ilvl="0">
      <w:startOverride w:val="74"/>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E8"/>
    <w:rsid w:val="00000555"/>
    <w:rsid w:val="00001300"/>
    <w:rsid w:val="000015A7"/>
    <w:rsid w:val="000109AE"/>
    <w:rsid w:val="00011570"/>
    <w:rsid w:val="0001207D"/>
    <w:rsid w:val="00013EAA"/>
    <w:rsid w:val="0001452D"/>
    <w:rsid w:val="000266C2"/>
    <w:rsid w:val="00030B74"/>
    <w:rsid w:val="00030EDD"/>
    <w:rsid w:val="00033619"/>
    <w:rsid w:val="000336D6"/>
    <w:rsid w:val="00033DDE"/>
    <w:rsid w:val="000348D0"/>
    <w:rsid w:val="00042C12"/>
    <w:rsid w:val="00045450"/>
    <w:rsid w:val="000538FF"/>
    <w:rsid w:val="0005754A"/>
    <w:rsid w:val="00062313"/>
    <w:rsid w:val="000623EB"/>
    <w:rsid w:val="00062920"/>
    <w:rsid w:val="0006736E"/>
    <w:rsid w:val="00067EAF"/>
    <w:rsid w:val="00074047"/>
    <w:rsid w:val="00077C14"/>
    <w:rsid w:val="00083D5D"/>
    <w:rsid w:val="00086DF4"/>
    <w:rsid w:val="00090DAC"/>
    <w:rsid w:val="000931FF"/>
    <w:rsid w:val="0009336A"/>
    <w:rsid w:val="000947F7"/>
    <w:rsid w:val="000972CF"/>
    <w:rsid w:val="000A0D04"/>
    <w:rsid w:val="000A47E3"/>
    <w:rsid w:val="000A6DA9"/>
    <w:rsid w:val="000B069A"/>
    <w:rsid w:val="000B10C1"/>
    <w:rsid w:val="000B3254"/>
    <w:rsid w:val="000C2962"/>
    <w:rsid w:val="000C32B1"/>
    <w:rsid w:val="000C335C"/>
    <w:rsid w:val="000D14C2"/>
    <w:rsid w:val="000D20FD"/>
    <w:rsid w:val="000D2A6F"/>
    <w:rsid w:val="000D3D78"/>
    <w:rsid w:val="000D678C"/>
    <w:rsid w:val="000E04A6"/>
    <w:rsid w:val="000E6229"/>
    <w:rsid w:val="001029E3"/>
    <w:rsid w:val="001104A5"/>
    <w:rsid w:val="00111666"/>
    <w:rsid w:val="00111FBC"/>
    <w:rsid w:val="00117850"/>
    <w:rsid w:val="00117ADC"/>
    <w:rsid w:val="0012410B"/>
    <w:rsid w:val="00125D64"/>
    <w:rsid w:val="00126F75"/>
    <w:rsid w:val="001272A5"/>
    <w:rsid w:val="00127448"/>
    <w:rsid w:val="001278C9"/>
    <w:rsid w:val="00131622"/>
    <w:rsid w:val="00133920"/>
    <w:rsid w:val="0014093F"/>
    <w:rsid w:val="00142CFA"/>
    <w:rsid w:val="00147302"/>
    <w:rsid w:val="00154395"/>
    <w:rsid w:val="00156818"/>
    <w:rsid w:val="0016222C"/>
    <w:rsid w:val="00163E49"/>
    <w:rsid w:val="00165881"/>
    <w:rsid w:val="00166A12"/>
    <w:rsid w:val="00171959"/>
    <w:rsid w:val="001759A3"/>
    <w:rsid w:val="00180FB9"/>
    <w:rsid w:val="00181B81"/>
    <w:rsid w:val="00183F3A"/>
    <w:rsid w:val="00187BC8"/>
    <w:rsid w:val="001903F3"/>
    <w:rsid w:val="00192925"/>
    <w:rsid w:val="00193348"/>
    <w:rsid w:val="00193408"/>
    <w:rsid w:val="00193914"/>
    <w:rsid w:val="00196336"/>
    <w:rsid w:val="001A2C4E"/>
    <w:rsid w:val="001A3BDD"/>
    <w:rsid w:val="001A3F91"/>
    <w:rsid w:val="001A5A82"/>
    <w:rsid w:val="001B07BC"/>
    <w:rsid w:val="001B1729"/>
    <w:rsid w:val="001B4AB6"/>
    <w:rsid w:val="001C3D97"/>
    <w:rsid w:val="001C5D69"/>
    <w:rsid w:val="001D03E6"/>
    <w:rsid w:val="001D30E2"/>
    <w:rsid w:val="001D6135"/>
    <w:rsid w:val="001E23FD"/>
    <w:rsid w:val="001E347F"/>
    <w:rsid w:val="001E3D1D"/>
    <w:rsid w:val="001E7B65"/>
    <w:rsid w:val="001F1986"/>
    <w:rsid w:val="001F6108"/>
    <w:rsid w:val="00216006"/>
    <w:rsid w:val="00220050"/>
    <w:rsid w:val="00221A2F"/>
    <w:rsid w:val="00225B19"/>
    <w:rsid w:val="00230BF7"/>
    <w:rsid w:val="00234977"/>
    <w:rsid w:val="002400D8"/>
    <w:rsid w:val="0024158B"/>
    <w:rsid w:val="00243953"/>
    <w:rsid w:val="002442B2"/>
    <w:rsid w:val="00246076"/>
    <w:rsid w:val="00247DD4"/>
    <w:rsid w:val="002515FE"/>
    <w:rsid w:val="00251661"/>
    <w:rsid w:val="00253E34"/>
    <w:rsid w:val="002549F7"/>
    <w:rsid w:val="002601D5"/>
    <w:rsid w:val="00265E99"/>
    <w:rsid w:val="00267011"/>
    <w:rsid w:val="00271ADD"/>
    <w:rsid w:val="002740DC"/>
    <w:rsid w:val="00281259"/>
    <w:rsid w:val="0028578F"/>
    <w:rsid w:val="00291EA7"/>
    <w:rsid w:val="00294EC1"/>
    <w:rsid w:val="00297041"/>
    <w:rsid w:val="002977BC"/>
    <w:rsid w:val="002A0422"/>
    <w:rsid w:val="002A68EC"/>
    <w:rsid w:val="002C0702"/>
    <w:rsid w:val="002C07CB"/>
    <w:rsid w:val="002C2955"/>
    <w:rsid w:val="002D1131"/>
    <w:rsid w:val="002D578F"/>
    <w:rsid w:val="002D6459"/>
    <w:rsid w:val="002D738B"/>
    <w:rsid w:val="002E00FA"/>
    <w:rsid w:val="002E3BA8"/>
    <w:rsid w:val="002E4147"/>
    <w:rsid w:val="002E561B"/>
    <w:rsid w:val="002E6093"/>
    <w:rsid w:val="002F049E"/>
    <w:rsid w:val="002F0A3A"/>
    <w:rsid w:val="002F1AEF"/>
    <w:rsid w:val="002F5940"/>
    <w:rsid w:val="002F7702"/>
    <w:rsid w:val="00301476"/>
    <w:rsid w:val="00302E1B"/>
    <w:rsid w:val="0030344A"/>
    <w:rsid w:val="00304B5B"/>
    <w:rsid w:val="00305699"/>
    <w:rsid w:val="003061B1"/>
    <w:rsid w:val="00312290"/>
    <w:rsid w:val="0031440C"/>
    <w:rsid w:val="00317D72"/>
    <w:rsid w:val="003228A4"/>
    <w:rsid w:val="0032402B"/>
    <w:rsid w:val="003264B9"/>
    <w:rsid w:val="003265D0"/>
    <w:rsid w:val="00336991"/>
    <w:rsid w:val="00336A5D"/>
    <w:rsid w:val="00345401"/>
    <w:rsid w:val="00350659"/>
    <w:rsid w:val="003518D7"/>
    <w:rsid w:val="003520F4"/>
    <w:rsid w:val="00352187"/>
    <w:rsid w:val="00353F90"/>
    <w:rsid w:val="0037065F"/>
    <w:rsid w:val="00371B10"/>
    <w:rsid w:val="00382EC8"/>
    <w:rsid w:val="003849F0"/>
    <w:rsid w:val="00386144"/>
    <w:rsid w:val="00393442"/>
    <w:rsid w:val="003941AF"/>
    <w:rsid w:val="00395B33"/>
    <w:rsid w:val="00397DD1"/>
    <w:rsid w:val="003A1B86"/>
    <w:rsid w:val="003A440F"/>
    <w:rsid w:val="003A5A12"/>
    <w:rsid w:val="003B0C9E"/>
    <w:rsid w:val="003B545D"/>
    <w:rsid w:val="003C6A72"/>
    <w:rsid w:val="003D0C85"/>
    <w:rsid w:val="003D752F"/>
    <w:rsid w:val="003E0EC6"/>
    <w:rsid w:val="003E1CB3"/>
    <w:rsid w:val="003E44E5"/>
    <w:rsid w:val="003E4E9D"/>
    <w:rsid w:val="003E7F86"/>
    <w:rsid w:val="003F498A"/>
    <w:rsid w:val="00401C5E"/>
    <w:rsid w:val="00404C2D"/>
    <w:rsid w:val="0040573A"/>
    <w:rsid w:val="00410A5C"/>
    <w:rsid w:val="004165B2"/>
    <w:rsid w:val="00417193"/>
    <w:rsid w:val="00421497"/>
    <w:rsid w:val="004278CB"/>
    <w:rsid w:val="00430BB7"/>
    <w:rsid w:val="00431BAD"/>
    <w:rsid w:val="00434D18"/>
    <w:rsid w:val="00434F56"/>
    <w:rsid w:val="00436E0B"/>
    <w:rsid w:val="00450C0A"/>
    <w:rsid w:val="004525E3"/>
    <w:rsid w:val="00452830"/>
    <w:rsid w:val="00452A52"/>
    <w:rsid w:val="00457E35"/>
    <w:rsid w:val="00463A97"/>
    <w:rsid w:val="00464DC7"/>
    <w:rsid w:val="004715E1"/>
    <w:rsid w:val="00471F5F"/>
    <w:rsid w:val="00472360"/>
    <w:rsid w:val="004734F6"/>
    <w:rsid w:val="00475D27"/>
    <w:rsid w:val="004765C4"/>
    <w:rsid w:val="00476E2C"/>
    <w:rsid w:val="00480ECE"/>
    <w:rsid w:val="004820C4"/>
    <w:rsid w:val="0048603F"/>
    <w:rsid w:val="004911BA"/>
    <w:rsid w:val="0049174A"/>
    <w:rsid w:val="00494F3D"/>
    <w:rsid w:val="004965C7"/>
    <w:rsid w:val="004968F3"/>
    <w:rsid w:val="004A1488"/>
    <w:rsid w:val="004A1629"/>
    <w:rsid w:val="004A73E6"/>
    <w:rsid w:val="004C013B"/>
    <w:rsid w:val="004D1542"/>
    <w:rsid w:val="004D4BC5"/>
    <w:rsid w:val="004D6BB1"/>
    <w:rsid w:val="004E0B9A"/>
    <w:rsid w:val="004E33F5"/>
    <w:rsid w:val="004E6022"/>
    <w:rsid w:val="004E6093"/>
    <w:rsid w:val="00502DFE"/>
    <w:rsid w:val="00505237"/>
    <w:rsid w:val="0050770A"/>
    <w:rsid w:val="005131BD"/>
    <w:rsid w:val="00513AE2"/>
    <w:rsid w:val="00513F33"/>
    <w:rsid w:val="00515786"/>
    <w:rsid w:val="00515C38"/>
    <w:rsid w:val="00516D89"/>
    <w:rsid w:val="005177CF"/>
    <w:rsid w:val="00517C5A"/>
    <w:rsid w:val="005211C4"/>
    <w:rsid w:val="005217DD"/>
    <w:rsid w:val="0052225C"/>
    <w:rsid w:val="00525A52"/>
    <w:rsid w:val="00527BD4"/>
    <w:rsid w:val="00532F3F"/>
    <w:rsid w:val="0053722A"/>
    <w:rsid w:val="005374D0"/>
    <w:rsid w:val="00542241"/>
    <w:rsid w:val="00553BE2"/>
    <w:rsid w:val="0056076C"/>
    <w:rsid w:val="00560A20"/>
    <w:rsid w:val="00560C8F"/>
    <w:rsid w:val="005636DA"/>
    <w:rsid w:val="00563CB5"/>
    <w:rsid w:val="005654CD"/>
    <w:rsid w:val="00567B66"/>
    <w:rsid w:val="00570118"/>
    <w:rsid w:val="0057069D"/>
    <w:rsid w:val="005728DD"/>
    <w:rsid w:val="00572FC2"/>
    <w:rsid w:val="00574285"/>
    <w:rsid w:val="00576041"/>
    <w:rsid w:val="005771DE"/>
    <w:rsid w:val="005813B8"/>
    <w:rsid w:val="00582F06"/>
    <w:rsid w:val="00583916"/>
    <w:rsid w:val="005852C8"/>
    <w:rsid w:val="005868FE"/>
    <w:rsid w:val="00593203"/>
    <w:rsid w:val="00595010"/>
    <w:rsid w:val="00597023"/>
    <w:rsid w:val="00597E12"/>
    <w:rsid w:val="005A038B"/>
    <w:rsid w:val="005A06AE"/>
    <w:rsid w:val="005A3DD8"/>
    <w:rsid w:val="005A5B24"/>
    <w:rsid w:val="005B1930"/>
    <w:rsid w:val="005B3AF7"/>
    <w:rsid w:val="005B48F3"/>
    <w:rsid w:val="005B4E96"/>
    <w:rsid w:val="005B7784"/>
    <w:rsid w:val="005C1922"/>
    <w:rsid w:val="005C2E38"/>
    <w:rsid w:val="005C5E46"/>
    <w:rsid w:val="005C7E34"/>
    <w:rsid w:val="005D1C5C"/>
    <w:rsid w:val="005D4D4C"/>
    <w:rsid w:val="005E24A9"/>
    <w:rsid w:val="005E48E0"/>
    <w:rsid w:val="005E5962"/>
    <w:rsid w:val="005F4DCA"/>
    <w:rsid w:val="005F7F0D"/>
    <w:rsid w:val="006013B1"/>
    <w:rsid w:val="006029DD"/>
    <w:rsid w:val="00602DFC"/>
    <w:rsid w:val="006041D9"/>
    <w:rsid w:val="00604F77"/>
    <w:rsid w:val="006058EA"/>
    <w:rsid w:val="00606402"/>
    <w:rsid w:val="006079DC"/>
    <w:rsid w:val="00610AAE"/>
    <w:rsid w:val="00612E06"/>
    <w:rsid w:val="00614636"/>
    <w:rsid w:val="0062062A"/>
    <w:rsid w:val="006221BA"/>
    <w:rsid w:val="006225C9"/>
    <w:rsid w:val="00623397"/>
    <w:rsid w:val="00630D3B"/>
    <w:rsid w:val="006361A6"/>
    <w:rsid w:val="00644482"/>
    <w:rsid w:val="0064598F"/>
    <w:rsid w:val="006517A6"/>
    <w:rsid w:val="00654BA7"/>
    <w:rsid w:val="00655BF1"/>
    <w:rsid w:val="00655C33"/>
    <w:rsid w:val="00665824"/>
    <w:rsid w:val="00665DFA"/>
    <w:rsid w:val="00667EFD"/>
    <w:rsid w:val="00673FFD"/>
    <w:rsid w:val="006767F8"/>
    <w:rsid w:val="00676D8C"/>
    <w:rsid w:val="006803D0"/>
    <w:rsid w:val="006807F2"/>
    <w:rsid w:val="00682BEA"/>
    <w:rsid w:val="00685AB6"/>
    <w:rsid w:val="00690C29"/>
    <w:rsid w:val="00691326"/>
    <w:rsid w:val="00692AA8"/>
    <w:rsid w:val="00692FBD"/>
    <w:rsid w:val="00696FF0"/>
    <w:rsid w:val="006A1E3B"/>
    <w:rsid w:val="006A418B"/>
    <w:rsid w:val="006B2F9E"/>
    <w:rsid w:val="006B306E"/>
    <w:rsid w:val="006B446F"/>
    <w:rsid w:val="006B5B56"/>
    <w:rsid w:val="006B5DBB"/>
    <w:rsid w:val="006B622A"/>
    <w:rsid w:val="006B670B"/>
    <w:rsid w:val="006B7240"/>
    <w:rsid w:val="006C0056"/>
    <w:rsid w:val="006C2E82"/>
    <w:rsid w:val="006C2FC9"/>
    <w:rsid w:val="006C3CAC"/>
    <w:rsid w:val="006C52B1"/>
    <w:rsid w:val="006D0806"/>
    <w:rsid w:val="006D0D2B"/>
    <w:rsid w:val="006D49E2"/>
    <w:rsid w:val="006D6321"/>
    <w:rsid w:val="006E2624"/>
    <w:rsid w:val="006E5395"/>
    <w:rsid w:val="006E5E28"/>
    <w:rsid w:val="006F0489"/>
    <w:rsid w:val="006F507E"/>
    <w:rsid w:val="006F6929"/>
    <w:rsid w:val="006F7A20"/>
    <w:rsid w:val="00701A51"/>
    <w:rsid w:val="00701D26"/>
    <w:rsid w:val="00704BA3"/>
    <w:rsid w:val="00710EB9"/>
    <w:rsid w:val="007139F8"/>
    <w:rsid w:val="00714C18"/>
    <w:rsid w:val="00721442"/>
    <w:rsid w:val="00721937"/>
    <w:rsid w:val="00721E32"/>
    <w:rsid w:val="00722ABC"/>
    <w:rsid w:val="00722D1C"/>
    <w:rsid w:val="007230BD"/>
    <w:rsid w:val="00723399"/>
    <w:rsid w:val="007248D1"/>
    <w:rsid w:val="0072770C"/>
    <w:rsid w:val="007313CA"/>
    <w:rsid w:val="00731D61"/>
    <w:rsid w:val="00733929"/>
    <w:rsid w:val="007344F0"/>
    <w:rsid w:val="0073508C"/>
    <w:rsid w:val="007354EB"/>
    <w:rsid w:val="007368B4"/>
    <w:rsid w:val="00740030"/>
    <w:rsid w:val="00740427"/>
    <w:rsid w:val="007408B7"/>
    <w:rsid w:val="007418B1"/>
    <w:rsid w:val="007432F1"/>
    <w:rsid w:val="00744DCA"/>
    <w:rsid w:val="00746190"/>
    <w:rsid w:val="0074673D"/>
    <w:rsid w:val="00747286"/>
    <w:rsid w:val="00747996"/>
    <w:rsid w:val="007525CC"/>
    <w:rsid w:val="00757A73"/>
    <w:rsid w:val="00757DC3"/>
    <w:rsid w:val="007613E7"/>
    <w:rsid w:val="00761C0F"/>
    <w:rsid w:val="007640D6"/>
    <w:rsid w:val="00765CAE"/>
    <w:rsid w:val="0076699F"/>
    <w:rsid w:val="00775CD0"/>
    <w:rsid w:val="00776D8F"/>
    <w:rsid w:val="00777462"/>
    <w:rsid w:val="007812FF"/>
    <w:rsid w:val="007852FD"/>
    <w:rsid w:val="007864BF"/>
    <w:rsid w:val="00786887"/>
    <w:rsid w:val="00793DC9"/>
    <w:rsid w:val="0079478A"/>
    <w:rsid w:val="00794956"/>
    <w:rsid w:val="007B3CA0"/>
    <w:rsid w:val="007B574C"/>
    <w:rsid w:val="007B5C2D"/>
    <w:rsid w:val="007C39D9"/>
    <w:rsid w:val="007C3B15"/>
    <w:rsid w:val="007C4449"/>
    <w:rsid w:val="007C451C"/>
    <w:rsid w:val="007C480C"/>
    <w:rsid w:val="007C6101"/>
    <w:rsid w:val="007D7347"/>
    <w:rsid w:val="007F080A"/>
    <w:rsid w:val="007F158B"/>
    <w:rsid w:val="007F46AF"/>
    <w:rsid w:val="007F5AC0"/>
    <w:rsid w:val="007F6031"/>
    <w:rsid w:val="007F748D"/>
    <w:rsid w:val="0080533F"/>
    <w:rsid w:val="008062AB"/>
    <w:rsid w:val="00814E7A"/>
    <w:rsid w:val="008160C7"/>
    <w:rsid w:val="008231B1"/>
    <w:rsid w:val="008244DF"/>
    <w:rsid w:val="0082673D"/>
    <w:rsid w:val="0082740C"/>
    <w:rsid w:val="008279E9"/>
    <w:rsid w:val="008327E4"/>
    <w:rsid w:val="008414DF"/>
    <w:rsid w:val="00846D6D"/>
    <w:rsid w:val="00853B45"/>
    <w:rsid w:val="00853E90"/>
    <w:rsid w:val="00857980"/>
    <w:rsid w:val="00857C2E"/>
    <w:rsid w:val="00861C18"/>
    <w:rsid w:val="008624D8"/>
    <w:rsid w:val="00862A4F"/>
    <w:rsid w:val="00863C52"/>
    <w:rsid w:val="0087150D"/>
    <w:rsid w:val="0087418A"/>
    <w:rsid w:val="00875920"/>
    <w:rsid w:val="0087736D"/>
    <w:rsid w:val="00883E13"/>
    <w:rsid w:val="00884B85"/>
    <w:rsid w:val="008855E7"/>
    <w:rsid w:val="008931D4"/>
    <w:rsid w:val="008932E5"/>
    <w:rsid w:val="008B1912"/>
    <w:rsid w:val="008B2260"/>
    <w:rsid w:val="008B5DCF"/>
    <w:rsid w:val="008C6F46"/>
    <w:rsid w:val="008C746C"/>
    <w:rsid w:val="008D29EF"/>
    <w:rsid w:val="008D2FAF"/>
    <w:rsid w:val="008D50CE"/>
    <w:rsid w:val="008D584B"/>
    <w:rsid w:val="008D5A2A"/>
    <w:rsid w:val="008D764D"/>
    <w:rsid w:val="008E2837"/>
    <w:rsid w:val="008E7BFC"/>
    <w:rsid w:val="008F12B4"/>
    <w:rsid w:val="008F2195"/>
    <w:rsid w:val="008F3496"/>
    <w:rsid w:val="008F3C2C"/>
    <w:rsid w:val="008F44AE"/>
    <w:rsid w:val="008F4D60"/>
    <w:rsid w:val="008F531C"/>
    <w:rsid w:val="008F599A"/>
    <w:rsid w:val="008F675E"/>
    <w:rsid w:val="009049DD"/>
    <w:rsid w:val="009073DB"/>
    <w:rsid w:val="00907BB3"/>
    <w:rsid w:val="0091005D"/>
    <w:rsid w:val="00910396"/>
    <w:rsid w:val="009104A4"/>
    <w:rsid w:val="00911416"/>
    <w:rsid w:val="00913C47"/>
    <w:rsid w:val="0091418B"/>
    <w:rsid w:val="00917EDE"/>
    <w:rsid w:val="0092124D"/>
    <w:rsid w:val="00925632"/>
    <w:rsid w:val="00931472"/>
    <w:rsid w:val="009322DC"/>
    <w:rsid w:val="00932C4B"/>
    <w:rsid w:val="009337A4"/>
    <w:rsid w:val="009368F7"/>
    <w:rsid w:val="00937CA1"/>
    <w:rsid w:val="0094085E"/>
    <w:rsid w:val="00941B33"/>
    <w:rsid w:val="00950EDB"/>
    <w:rsid w:val="00951B46"/>
    <w:rsid w:val="00955A71"/>
    <w:rsid w:val="00960C1D"/>
    <w:rsid w:val="00960C81"/>
    <w:rsid w:val="009647BE"/>
    <w:rsid w:val="0096565D"/>
    <w:rsid w:val="009669AD"/>
    <w:rsid w:val="00971F4E"/>
    <w:rsid w:val="00972C66"/>
    <w:rsid w:val="009744C0"/>
    <w:rsid w:val="0097791E"/>
    <w:rsid w:val="00982ED5"/>
    <w:rsid w:val="00985E9C"/>
    <w:rsid w:val="00986931"/>
    <w:rsid w:val="00986F32"/>
    <w:rsid w:val="009922A7"/>
    <w:rsid w:val="0099730B"/>
    <w:rsid w:val="009976C3"/>
    <w:rsid w:val="009A1D13"/>
    <w:rsid w:val="009A1DC4"/>
    <w:rsid w:val="009A376A"/>
    <w:rsid w:val="009A6DC9"/>
    <w:rsid w:val="009B3999"/>
    <w:rsid w:val="009B4085"/>
    <w:rsid w:val="009C2726"/>
    <w:rsid w:val="009C3470"/>
    <w:rsid w:val="009D0827"/>
    <w:rsid w:val="009E0FEF"/>
    <w:rsid w:val="009E1BF7"/>
    <w:rsid w:val="009E34D1"/>
    <w:rsid w:val="009F1A56"/>
    <w:rsid w:val="009F2762"/>
    <w:rsid w:val="009F2A0E"/>
    <w:rsid w:val="009F6128"/>
    <w:rsid w:val="00A003C2"/>
    <w:rsid w:val="00A00CF4"/>
    <w:rsid w:val="00A02A54"/>
    <w:rsid w:val="00A02F4F"/>
    <w:rsid w:val="00A03951"/>
    <w:rsid w:val="00A06FD8"/>
    <w:rsid w:val="00A07CA0"/>
    <w:rsid w:val="00A10351"/>
    <w:rsid w:val="00A1286F"/>
    <w:rsid w:val="00A154A8"/>
    <w:rsid w:val="00A17CD3"/>
    <w:rsid w:val="00A22845"/>
    <w:rsid w:val="00A22877"/>
    <w:rsid w:val="00A264ED"/>
    <w:rsid w:val="00A26A6A"/>
    <w:rsid w:val="00A342D7"/>
    <w:rsid w:val="00A3563A"/>
    <w:rsid w:val="00A36FDD"/>
    <w:rsid w:val="00A40AD1"/>
    <w:rsid w:val="00A45D04"/>
    <w:rsid w:val="00A500C4"/>
    <w:rsid w:val="00A5112A"/>
    <w:rsid w:val="00A52673"/>
    <w:rsid w:val="00A52B3C"/>
    <w:rsid w:val="00A57CFD"/>
    <w:rsid w:val="00A60B3A"/>
    <w:rsid w:val="00A60C55"/>
    <w:rsid w:val="00A6322C"/>
    <w:rsid w:val="00A67054"/>
    <w:rsid w:val="00A705C2"/>
    <w:rsid w:val="00A70A01"/>
    <w:rsid w:val="00A71757"/>
    <w:rsid w:val="00A73B21"/>
    <w:rsid w:val="00A754FF"/>
    <w:rsid w:val="00A85FF2"/>
    <w:rsid w:val="00A925C2"/>
    <w:rsid w:val="00A9552B"/>
    <w:rsid w:val="00AA0EF2"/>
    <w:rsid w:val="00AA5257"/>
    <w:rsid w:val="00AB2C23"/>
    <w:rsid w:val="00AB4DE7"/>
    <w:rsid w:val="00AB54C6"/>
    <w:rsid w:val="00AB551B"/>
    <w:rsid w:val="00AB70B5"/>
    <w:rsid w:val="00AC0187"/>
    <w:rsid w:val="00AC01E1"/>
    <w:rsid w:val="00AC5451"/>
    <w:rsid w:val="00AC6A14"/>
    <w:rsid w:val="00AD0F53"/>
    <w:rsid w:val="00AD236D"/>
    <w:rsid w:val="00AD27F6"/>
    <w:rsid w:val="00AD411D"/>
    <w:rsid w:val="00AD5234"/>
    <w:rsid w:val="00AD6F75"/>
    <w:rsid w:val="00AD706A"/>
    <w:rsid w:val="00AD79E6"/>
    <w:rsid w:val="00AD7B0E"/>
    <w:rsid w:val="00AE2B64"/>
    <w:rsid w:val="00AE72A9"/>
    <w:rsid w:val="00AE7BD2"/>
    <w:rsid w:val="00AF0714"/>
    <w:rsid w:val="00AF3AFA"/>
    <w:rsid w:val="00AF4CEB"/>
    <w:rsid w:val="00B02DA1"/>
    <w:rsid w:val="00B05F60"/>
    <w:rsid w:val="00B11FEF"/>
    <w:rsid w:val="00B17E42"/>
    <w:rsid w:val="00B249B4"/>
    <w:rsid w:val="00B32CCF"/>
    <w:rsid w:val="00B403E7"/>
    <w:rsid w:val="00B4145B"/>
    <w:rsid w:val="00B42CA1"/>
    <w:rsid w:val="00B471FC"/>
    <w:rsid w:val="00B549C5"/>
    <w:rsid w:val="00B56AF0"/>
    <w:rsid w:val="00B61440"/>
    <w:rsid w:val="00B62911"/>
    <w:rsid w:val="00B63810"/>
    <w:rsid w:val="00B65948"/>
    <w:rsid w:val="00B66040"/>
    <w:rsid w:val="00B6698A"/>
    <w:rsid w:val="00B66EC3"/>
    <w:rsid w:val="00B673BE"/>
    <w:rsid w:val="00B679A0"/>
    <w:rsid w:val="00B71959"/>
    <w:rsid w:val="00B7492B"/>
    <w:rsid w:val="00B75504"/>
    <w:rsid w:val="00B76DA2"/>
    <w:rsid w:val="00B80B8D"/>
    <w:rsid w:val="00B8219D"/>
    <w:rsid w:val="00B83F80"/>
    <w:rsid w:val="00B84341"/>
    <w:rsid w:val="00B934B7"/>
    <w:rsid w:val="00B93E74"/>
    <w:rsid w:val="00B96061"/>
    <w:rsid w:val="00BA0F43"/>
    <w:rsid w:val="00BA2CB6"/>
    <w:rsid w:val="00BA31CD"/>
    <w:rsid w:val="00BA634E"/>
    <w:rsid w:val="00BB144B"/>
    <w:rsid w:val="00BB2FEA"/>
    <w:rsid w:val="00BB3199"/>
    <w:rsid w:val="00BC03AB"/>
    <w:rsid w:val="00BC03D3"/>
    <w:rsid w:val="00BD44BC"/>
    <w:rsid w:val="00BD5D81"/>
    <w:rsid w:val="00BE0938"/>
    <w:rsid w:val="00BE4180"/>
    <w:rsid w:val="00BE5C56"/>
    <w:rsid w:val="00BE665D"/>
    <w:rsid w:val="00C03C28"/>
    <w:rsid w:val="00C05543"/>
    <w:rsid w:val="00C07266"/>
    <w:rsid w:val="00C0748C"/>
    <w:rsid w:val="00C15799"/>
    <w:rsid w:val="00C17C6E"/>
    <w:rsid w:val="00C237EC"/>
    <w:rsid w:val="00C24032"/>
    <w:rsid w:val="00C24033"/>
    <w:rsid w:val="00C24C62"/>
    <w:rsid w:val="00C26AD5"/>
    <w:rsid w:val="00C305B2"/>
    <w:rsid w:val="00C306D2"/>
    <w:rsid w:val="00C318D8"/>
    <w:rsid w:val="00C330A6"/>
    <w:rsid w:val="00C33BD6"/>
    <w:rsid w:val="00C4674A"/>
    <w:rsid w:val="00C47083"/>
    <w:rsid w:val="00C53D16"/>
    <w:rsid w:val="00C5473E"/>
    <w:rsid w:val="00C555D2"/>
    <w:rsid w:val="00C62095"/>
    <w:rsid w:val="00C66267"/>
    <w:rsid w:val="00C70448"/>
    <w:rsid w:val="00C70949"/>
    <w:rsid w:val="00C70A3C"/>
    <w:rsid w:val="00C75787"/>
    <w:rsid w:val="00C82B6C"/>
    <w:rsid w:val="00C82CC4"/>
    <w:rsid w:val="00C83879"/>
    <w:rsid w:val="00C84609"/>
    <w:rsid w:val="00C85599"/>
    <w:rsid w:val="00C8607D"/>
    <w:rsid w:val="00C86B8E"/>
    <w:rsid w:val="00C95B85"/>
    <w:rsid w:val="00C960F0"/>
    <w:rsid w:val="00CA4080"/>
    <w:rsid w:val="00CA5773"/>
    <w:rsid w:val="00CA57EF"/>
    <w:rsid w:val="00CA6E3A"/>
    <w:rsid w:val="00CB5050"/>
    <w:rsid w:val="00CB538B"/>
    <w:rsid w:val="00CB6537"/>
    <w:rsid w:val="00CC3637"/>
    <w:rsid w:val="00CC3FD1"/>
    <w:rsid w:val="00CC4150"/>
    <w:rsid w:val="00CC4DE7"/>
    <w:rsid w:val="00CC6B79"/>
    <w:rsid w:val="00CC7249"/>
    <w:rsid w:val="00CD030B"/>
    <w:rsid w:val="00CD543D"/>
    <w:rsid w:val="00CD6235"/>
    <w:rsid w:val="00CD75EC"/>
    <w:rsid w:val="00CE109A"/>
    <w:rsid w:val="00CE1823"/>
    <w:rsid w:val="00CE28AC"/>
    <w:rsid w:val="00CE3809"/>
    <w:rsid w:val="00CE6727"/>
    <w:rsid w:val="00CE78AA"/>
    <w:rsid w:val="00CF062B"/>
    <w:rsid w:val="00CF23B7"/>
    <w:rsid w:val="00CF2CB6"/>
    <w:rsid w:val="00D01A39"/>
    <w:rsid w:val="00D01D14"/>
    <w:rsid w:val="00D02DCC"/>
    <w:rsid w:val="00D03914"/>
    <w:rsid w:val="00D05C34"/>
    <w:rsid w:val="00D11048"/>
    <w:rsid w:val="00D11A85"/>
    <w:rsid w:val="00D1417F"/>
    <w:rsid w:val="00D175E7"/>
    <w:rsid w:val="00D22EF6"/>
    <w:rsid w:val="00D249B3"/>
    <w:rsid w:val="00D278A5"/>
    <w:rsid w:val="00D310FD"/>
    <w:rsid w:val="00D316BD"/>
    <w:rsid w:val="00D328B0"/>
    <w:rsid w:val="00D34834"/>
    <w:rsid w:val="00D368DD"/>
    <w:rsid w:val="00D43313"/>
    <w:rsid w:val="00D438C8"/>
    <w:rsid w:val="00D43EAB"/>
    <w:rsid w:val="00D44614"/>
    <w:rsid w:val="00D46F0A"/>
    <w:rsid w:val="00D512AE"/>
    <w:rsid w:val="00D53D29"/>
    <w:rsid w:val="00D571A7"/>
    <w:rsid w:val="00D60D58"/>
    <w:rsid w:val="00D62278"/>
    <w:rsid w:val="00D63870"/>
    <w:rsid w:val="00D67B32"/>
    <w:rsid w:val="00D735C7"/>
    <w:rsid w:val="00D74848"/>
    <w:rsid w:val="00D80C4B"/>
    <w:rsid w:val="00D836BC"/>
    <w:rsid w:val="00D9199C"/>
    <w:rsid w:val="00D9487B"/>
    <w:rsid w:val="00DA2ACD"/>
    <w:rsid w:val="00DA5892"/>
    <w:rsid w:val="00DA6330"/>
    <w:rsid w:val="00DA7BEA"/>
    <w:rsid w:val="00DB1B77"/>
    <w:rsid w:val="00DB25B2"/>
    <w:rsid w:val="00DB29A5"/>
    <w:rsid w:val="00DB496A"/>
    <w:rsid w:val="00DB6D37"/>
    <w:rsid w:val="00DC142C"/>
    <w:rsid w:val="00DC2F09"/>
    <w:rsid w:val="00DC5AC7"/>
    <w:rsid w:val="00DD1BF2"/>
    <w:rsid w:val="00DD6C49"/>
    <w:rsid w:val="00DD7DDF"/>
    <w:rsid w:val="00DE03BB"/>
    <w:rsid w:val="00DE19CE"/>
    <w:rsid w:val="00DE317A"/>
    <w:rsid w:val="00DE4459"/>
    <w:rsid w:val="00DE5251"/>
    <w:rsid w:val="00DE77D3"/>
    <w:rsid w:val="00DF35FE"/>
    <w:rsid w:val="00DF5680"/>
    <w:rsid w:val="00DF5A12"/>
    <w:rsid w:val="00DF6C2F"/>
    <w:rsid w:val="00E00181"/>
    <w:rsid w:val="00E02811"/>
    <w:rsid w:val="00E11EC1"/>
    <w:rsid w:val="00E15AB4"/>
    <w:rsid w:val="00E171DE"/>
    <w:rsid w:val="00E20D49"/>
    <w:rsid w:val="00E23CF8"/>
    <w:rsid w:val="00E2448F"/>
    <w:rsid w:val="00E24E56"/>
    <w:rsid w:val="00E25DAE"/>
    <w:rsid w:val="00E3411C"/>
    <w:rsid w:val="00E34E46"/>
    <w:rsid w:val="00E36888"/>
    <w:rsid w:val="00E3738F"/>
    <w:rsid w:val="00E37988"/>
    <w:rsid w:val="00E404A3"/>
    <w:rsid w:val="00E53854"/>
    <w:rsid w:val="00E577FF"/>
    <w:rsid w:val="00E640D0"/>
    <w:rsid w:val="00E65BBE"/>
    <w:rsid w:val="00E77515"/>
    <w:rsid w:val="00E80EA6"/>
    <w:rsid w:val="00E81D3A"/>
    <w:rsid w:val="00E85699"/>
    <w:rsid w:val="00E9015A"/>
    <w:rsid w:val="00E90F45"/>
    <w:rsid w:val="00E918EB"/>
    <w:rsid w:val="00E95AA5"/>
    <w:rsid w:val="00E9692F"/>
    <w:rsid w:val="00E97495"/>
    <w:rsid w:val="00EA0253"/>
    <w:rsid w:val="00EB4B9A"/>
    <w:rsid w:val="00EB628E"/>
    <w:rsid w:val="00EB7B05"/>
    <w:rsid w:val="00EC14CB"/>
    <w:rsid w:val="00EC4FE1"/>
    <w:rsid w:val="00EC5C17"/>
    <w:rsid w:val="00ED2C0F"/>
    <w:rsid w:val="00ED50B9"/>
    <w:rsid w:val="00ED5E21"/>
    <w:rsid w:val="00EE0414"/>
    <w:rsid w:val="00EE0CCC"/>
    <w:rsid w:val="00EE18B5"/>
    <w:rsid w:val="00EE1B3F"/>
    <w:rsid w:val="00EE6749"/>
    <w:rsid w:val="00EE78EA"/>
    <w:rsid w:val="00EE7E15"/>
    <w:rsid w:val="00EF10CB"/>
    <w:rsid w:val="00EF299C"/>
    <w:rsid w:val="00EF3548"/>
    <w:rsid w:val="00EF69CB"/>
    <w:rsid w:val="00F0268C"/>
    <w:rsid w:val="00F05FB4"/>
    <w:rsid w:val="00F06B23"/>
    <w:rsid w:val="00F1346D"/>
    <w:rsid w:val="00F14441"/>
    <w:rsid w:val="00F14B8D"/>
    <w:rsid w:val="00F16B8A"/>
    <w:rsid w:val="00F23355"/>
    <w:rsid w:val="00F23AE0"/>
    <w:rsid w:val="00F24425"/>
    <w:rsid w:val="00F40B7D"/>
    <w:rsid w:val="00F4259E"/>
    <w:rsid w:val="00F42858"/>
    <w:rsid w:val="00F44E69"/>
    <w:rsid w:val="00F45109"/>
    <w:rsid w:val="00F460A6"/>
    <w:rsid w:val="00F47031"/>
    <w:rsid w:val="00F47391"/>
    <w:rsid w:val="00F475E8"/>
    <w:rsid w:val="00F50EAC"/>
    <w:rsid w:val="00F61110"/>
    <w:rsid w:val="00F62EE4"/>
    <w:rsid w:val="00F63B45"/>
    <w:rsid w:val="00F648AA"/>
    <w:rsid w:val="00F64B6C"/>
    <w:rsid w:val="00F67019"/>
    <w:rsid w:val="00F7201A"/>
    <w:rsid w:val="00F814F6"/>
    <w:rsid w:val="00F82EB3"/>
    <w:rsid w:val="00F84270"/>
    <w:rsid w:val="00F91376"/>
    <w:rsid w:val="00F942CA"/>
    <w:rsid w:val="00F95C96"/>
    <w:rsid w:val="00FA05C3"/>
    <w:rsid w:val="00FA1714"/>
    <w:rsid w:val="00FA2913"/>
    <w:rsid w:val="00FA4184"/>
    <w:rsid w:val="00FA5168"/>
    <w:rsid w:val="00FA78A9"/>
    <w:rsid w:val="00FB0ED7"/>
    <w:rsid w:val="00FB1ECA"/>
    <w:rsid w:val="00FB2E50"/>
    <w:rsid w:val="00FB3A05"/>
    <w:rsid w:val="00FC0FA0"/>
    <w:rsid w:val="00FC10B4"/>
    <w:rsid w:val="00FC32AD"/>
    <w:rsid w:val="00FC40CD"/>
    <w:rsid w:val="00FC68C4"/>
    <w:rsid w:val="00FD044A"/>
    <w:rsid w:val="00FD0DA5"/>
    <w:rsid w:val="00FD1450"/>
    <w:rsid w:val="00FD16EB"/>
    <w:rsid w:val="00FD523B"/>
    <w:rsid w:val="00FD60C1"/>
    <w:rsid w:val="00FE0CC2"/>
    <w:rsid w:val="00FE0CD6"/>
    <w:rsid w:val="00FE3DFF"/>
    <w:rsid w:val="00FE464C"/>
    <w:rsid w:val="00FE46F4"/>
    <w:rsid w:val="00FF3AB9"/>
    <w:rsid w:val="00FF6D82"/>
    <w:rsid w:val="00FF7B6E"/>
    <w:rsid w:val="00FF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8B255"/>
  <w15:chartTrackingRefBased/>
  <w15:docId w15:val="{789075C2-F9E0-0141-867A-E44870D8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4F"/>
    <w:rPr>
      <w:rFonts w:ascii="Times New Roman" w:eastAsia="Times New Roman" w:hAnsi="Times New Roman" w:cs="Times New Roman"/>
      <w:lang w:eastAsia="en-GB"/>
    </w:rPr>
  </w:style>
  <w:style w:type="paragraph" w:styleId="Heading1">
    <w:name w:val="heading 1"/>
    <w:basedOn w:val="Normal"/>
    <w:link w:val="Heading1Char"/>
    <w:uiPriority w:val="9"/>
    <w:qFormat/>
    <w:rsid w:val="00B638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506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018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475E8"/>
    <w:pPr>
      <w:spacing w:before="100" w:beforeAutospacing="1" w:after="100" w:afterAutospacing="1"/>
    </w:pPr>
  </w:style>
  <w:style w:type="character" w:customStyle="1" w:styleId="notranslate">
    <w:name w:val="notranslate"/>
    <w:basedOn w:val="DefaultParagraphFont"/>
    <w:rsid w:val="006D0D2B"/>
  </w:style>
  <w:style w:type="character" w:styleId="Hyperlink">
    <w:name w:val="Hyperlink"/>
    <w:basedOn w:val="DefaultParagraphFont"/>
    <w:uiPriority w:val="99"/>
    <w:unhideWhenUsed/>
    <w:rsid w:val="006F507E"/>
    <w:rPr>
      <w:color w:val="0563C1" w:themeColor="hyperlink"/>
      <w:u w:val="single"/>
    </w:rPr>
  </w:style>
  <w:style w:type="character" w:styleId="UnresolvedMention">
    <w:name w:val="Unresolved Mention"/>
    <w:basedOn w:val="DefaultParagraphFont"/>
    <w:uiPriority w:val="99"/>
    <w:semiHidden/>
    <w:unhideWhenUsed/>
    <w:rsid w:val="006F507E"/>
    <w:rPr>
      <w:color w:val="605E5C"/>
      <w:shd w:val="clear" w:color="auto" w:fill="E1DFDD"/>
    </w:rPr>
  </w:style>
  <w:style w:type="paragraph" w:styleId="FootnoteText">
    <w:name w:val="footnote text"/>
    <w:basedOn w:val="Normal"/>
    <w:link w:val="FootnoteTextChar"/>
    <w:uiPriority w:val="99"/>
    <w:unhideWhenUsed/>
    <w:rsid w:val="00430BB7"/>
    <w:rPr>
      <w:sz w:val="20"/>
      <w:szCs w:val="20"/>
    </w:rPr>
  </w:style>
  <w:style w:type="character" w:customStyle="1" w:styleId="FootnoteTextChar">
    <w:name w:val="Footnote Text Char"/>
    <w:basedOn w:val="DefaultParagraphFont"/>
    <w:link w:val="FootnoteText"/>
    <w:uiPriority w:val="99"/>
    <w:rsid w:val="00430BB7"/>
    <w:rPr>
      <w:sz w:val="20"/>
      <w:szCs w:val="20"/>
    </w:rPr>
  </w:style>
  <w:style w:type="character" w:styleId="FootnoteReference">
    <w:name w:val="footnote reference"/>
    <w:basedOn w:val="DefaultParagraphFont"/>
    <w:uiPriority w:val="99"/>
    <w:semiHidden/>
    <w:unhideWhenUsed/>
    <w:rsid w:val="00430BB7"/>
    <w:rPr>
      <w:vertAlign w:val="superscript"/>
    </w:rPr>
  </w:style>
  <w:style w:type="paragraph" w:customStyle="1" w:styleId="Default">
    <w:name w:val="Default"/>
    <w:rsid w:val="000947F7"/>
    <w:pPr>
      <w:autoSpaceDE w:val="0"/>
      <w:autoSpaceDN w:val="0"/>
      <w:adjustRightInd w:val="0"/>
    </w:pPr>
    <w:rPr>
      <w:rFonts w:ascii="Arial" w:hAnsi="Arial" w:cs="Arial"/>
      <w:color w:val="000000"/>
      <w:lang w:val="en-US"/>
    </w:rPr>
  </w:style>
  <w:style w:type="character" w:customStyle="1" w:styleId="para1span">
    <w:name w:val="para1span"/>
    <w:basedOn w:val="DefaultParagraphFont"/>
    <w:rsid w:val="00D44614"/>
  </w:style>
  <w:style w:type="character" w:styleId="Emphasis">
    <w:name w:val="Emphasis"/>
    <w:basedOn w:val="DefaultParagraphFont"/>
    <w:uiPriority w:val="20"/>
    <w:qFormat/>
    <w:rsid w:val="00D44614"/>
    <w:rPr>
      <w:i/>
      <w:iCs/>
    </w:rPr>
  </w:style>
  <w:style w:type="character" w:customStyle="1" w:styleId="no-break">
    <w:name w:val="no-break"/>
    <w:basedOn w:val="DefaultParagraphFont"/>
    <w:rsid w:val="00D44614"/>
  </w:style>
  <w:style w:type="paragraph" w:customStyle="1" w:styleId="crpara1">
    <w:name w:val="crpara1"/>
    <w:basedOn w:val="Normal"/>
    <w:rsid w:val="00D44614"/>
    <w:pPr>
      <w:spacing w:before="100" w:beforeAutospacing="1" w:after="100" w:afterAutospacing="1"/>
    </w:pPr>
  </w:style>
  <w:style w:type="paragraph" w:customStyle="1" w:styleId="unorderedlist1">
    <w:name w:val="unorderedlist1"/>
    <w:basedOn w:val="Normal"/>
    <w:rsid w:val="00D44614"/>
    <w:pPr>
      <w:spacing w:before="100" w:beforeAutospacing="1" w:after="100" w:afterAutospacing="1"/>
    </w:pPr>
  </w:style>
  <w:style w:type="character" w:customStyle="1" w:styleId="note">
    <w:name w:val="note"/>
    <w:basedOn w:val="DefaultParagraphFont"/>
    <w:rsid w:val="00C24033"/>
  </w:style>
  <w:style w:type="character" w:customStyle="1" w:styleId="italic">
    <w:name w:val="italic"/>
    <w:basedOn w:val="DefaultParagraphFont"/>
    <w:rsid w:val="00C24033"/>
  </w:style>
  <w:style w:type="paragraph" w:customStyle="1" w:styleId="count">
    <w:name w:val="count"/>
    <w:basedOn w:val="Normal"/>
    <w:rsid w:val="00C24033"/>
    <w:pPr>
      <w:spacing w:before="100" w:beforeAutospacing="1" w:after="100" w:afterAutospacing="1"/>
    </w:pPr>
  </w:style>
  <w:style w:type="paragraph" w:customStyle="1" w:styleId="Normal2">
    <w:name w:val="Normal2"/>
    <w:basedOn w:val="Normal"/>
    <w:rsid w:val="00C24033"/>
    <w:pPr>
      <w:spacing w:before="100" w:beforeAutospacing="1" w:after="100" w:afterAutospacing="1"/>
    </w:pPr>
  </w:style>
  <w:style w:type="character" w:customStyle="1" w:styleId="highlight">
    <w:name w:val="highlight"/>
    <w:basedOn w:val="DefaultParagraphFont"/>
    <w:rsid w:val="00C24033"/>
  </w:style>
  <w:style w:type="paragraph" w:styleId="BalloonText">
    <w:name w:val="Balloon Text"/>
    <w:basedOn w:val="Normal"/>
    <w:link w:val="BalloonTextChar"/>
    <w:uiPriority w:val="99"/>
    <w:semiHidden/>
    <w:unhideWhenUsed/>
    <w:rsid w:val="00D1417F"/>
    <w:rPr>
      <w:sz w:val="18"/>
      <w:szCs w:val="18"/>
    </w:rPr>
  </w:style>
  <w:style w:type="character" w:customStyle="1" w:styleId="BalloonTextChar">
    <w:name w:val="Balloon Text Char"/>
    <w:basedOn w:val="DefaultParagraphFont"/>
    <w:link w:val="BalloonText"/>
    <w:uiPriority w:val="99"/>
    <w:semiHidden/>
    <w:rsid w:val="00D1417F"/>
    <w:rPr>
      <w:rFonts w:ascii="Times New Roman" w:hAnsi="Times New Roman" w:cs="Times New Roman"/>
      <w:sz w:val="18"/>
      <w:szCs w:val="18"/>
    </w:rPr>
  </w:style>
  <w:style w:type="paragraph" w:styleId="ListParagraph">
    <w:name w:val="List Paragraph"/>
    <w:basedOn w:val="Normal"/>
    <w:uiPriority w:val="34"/>
    <w:qFormat/>
    <w:rsid w:val="00F47031"/>
    <w:pPr>
      <w:ind w:left="720"/>
      <w:contextualSpacing/>
    </w:pPr>
  </w:style>
  <w:style w:type="paragraph" w:styleId="Header">
    <w:name w:val="header"/>
    <w:basedOn w:val="Normal"/>
    <w:link w:val="HeaderChar"/>
    <w:uiPriority w:val="99"/>
    <w:unhideWhenUsed/>
    <w:rsid w:val="00AD27F6"/>
    <w:pPr>
      <w:tabs>
        <w:tab w:val="center" w:pos="4680"/>
        <w:tab w:val="right" w:pos="9360"/>
      </w:tabs>
    </w:pPr>
  </w:style>
  <w:style w:type="character" w:customStyle="1" w:styleId="HeaderChar">
    <w:name w:val="Header Char"/>
    <w:basedOn w:val="DefaultParagraphFont"/>
    <w:link w:val="Header"/>
    <w:uiPriority w:val="99"/>
    <w:rsid w:val="00AD27F6"/>
    <w:rPr>
      <w:rFonts w:ascii="Times New Roman" w:eastAsia="Times New Roman" w:hAnsi="Times New Roman" w:cs="Times New Roman"/>
    </w:rPr>
  </w:style>
  <w:style w:type="paragraph" w:styleId="Footer">
    <w:name w:val="footer"/>
    <w:basedOn w:val="Normal"/>
    <w:link w:val="FooterChar"/>
    <w:uiPriority w:val="99"/>
    <w:unhideWhenUsed/>
    <w:rsid w:val="00AD27F6"/>
    <w:pPr>
      <w:tabs>
        <w:tab w:val="center" w:pos="4680"/>
        <w:tab w:val="right" w:pos="9360"/>
      </w:tabs>
    </w:pPr>
  </w:style>
  <w:style w:type="character" w:customStyle="1" w:styleId="FooterChar">
    <w:name w:val="Footer Char"/>
    <w:basedOn w:val="DefaultParagraphFont"/>
    <w:link w:val="Footer"/>
    <w:uiPriority w:val="99"/>
    <w:rsid w:val="00AD27F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6565D"/>
    <w:rPr>
      <w:color w:val="954F72" w:themeColor="followedHyperlink"/>
      <w:u w:val="single"/>
    </w:rPr>
  </w:style>
  <w:style w:type="paragraph" w:styleId="NormalWeb">
    <w:name w:val="Normal (Web)"/>
    <w:basedOn w:val="Normal"/>
    <w:uiPriority w:val="99"/>
    <w:semiHidden/>
    <w:unhideWhenUsed/>
    <w:rsid w:val="004E33F5"/>
    <w:pPr>
      <w:spacing w:before="100" w:beforeAutospacing="1" w:after="100" w:afterAutospacing="1"/>
    </w:pPr>
  </w:style>
  <w:style w:type="character" w:styleId="PageNumber">
    <w:name w:val="page number"/>
    <w:basedOn w:val="DefaultParagraphFont"/>
    <w:uiPriority w:val="99"/>
    <w:semiHidden/>
    <w:unhideWhenUsed/>
    <w:rsid w:val="00CD75EC"/>
  </w:style>
  <w:style w:type="character" w:customStyle="1" w:styleId="Heading1Char">
    <w:name w:val="Heading 1 Char"/>
    <w:basedOn w:val="DefaultParagraphFont"/>
    <w:link w:val="Heading1"/>
    <w:uiPriority w:val="9"/>
    <w:rsid w:val="00B6381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50659"/>
    <w:rPr>
      <w:rFonts w:asciiTheme="majorHAnsi" w:eastAsiaTheme="majorEastAsia" w:hAnsiTheme="majorHAnsi" w:cstheme="majorBidi"/>
      <w:color w:val="2F5496" w:themeColor="accent1" w:themeShade="BF"/>
      <w:sz w:val="26"/>
      <w:szCs w:val="26"/>
    </w:rPr>
  </w:style>
  <w:style w:type="character" w:customStyle="1" w:styleId="authors">
    <w:name w:val="authors"/>
    <w:basedOn w:val="DefaultParagraphFont"/>
    <w:rsid w:val="00731D61"/>
  </w:style>
  <w:style w:type="character" w:customStyle="1" w:styleId="Date1">
    <w:name w:val="Date1"/>
    <w:basedOn w:val="DefaultParagraphFont"/>
    <w:rsid w:val="00731D61"/>
  </w:style>
  <w:style w:type="character" w:customStyle="1" w:styleId="arttitle">
    <w:name w:val="art_title"/>
    <w:basedOn w:val="DefaultParagraphFont"/>
    <w:rsid w:val="00731D61"/>
  </w:style>
  <w:style w:type="character" w:customStyle="1" w:styleId="serialtitle">
    <w:name w:val="serial_title"/>
    <w:basedOn w:val="DefaultParagraphFont"/>
    <w:rsid w:val="00731D61"/>
  </w:style>
  <w:style w:type="character" w:customStyle="1" w:styleId="volumeissue">
    <w:name w:val="volume_issue"/>
    <w:basedOn w:val="DefaultParagraphFont"/>
    <w:rsid w:val="00731D61"/>
  </w:style>
  <w:style w:type="character" w:customStyle="1" w:styleId="pagerange">
    <w:name w:val="page_range"/>
    <w:basedOn w:val="DefaultParagraphFont"/>
    <w:rsid w:val="00731D61"/>
  </w:style>
  <w:style w:type="character" w:customStyle="1" w:styleId="creator-type-label">
    <w:name w:val="creator-type-label"/>
    <w:basedOn w:val="DefaultParagraphFont"/>
    <w:rsid w:val="00B549C5"/>
  </w:style>
  <w:style w:type="paragraph" w:customStyle="1" w:styleId="Normal3">
    <w:name w:val="Normal3"/>
    <w:basedOn w:val="Normal"/>
    <w:rsid w:val="002E561B"/>
    <w:pPr>
      <w:spacing w:before="100" w:beforeAutospacing="1" w:after="100" w:afterAutospacing="1"/>
    </w:pPr>
  </w:style>
  <w:style w:type="character" w:customStyle="1" w:styleId="source-link">
    <w:name w:val="source-link"/>
    <w:basedOn w:val="DefaultParagraphFont"/>
    <w:rsid w:val="00F50EAC"/>
  </w:style>
  <w:style w:type="character" w:styleId="CommentReference">
    <w:name w:val="annotation reference"/>
    <w:basedOn w:val="DefaultParagraphFont"/>
    <w:uiPriority w:val="99"/>
    <w:semiHidden/>
    <w:unhideWhenUsed/>
    <w:rsid w:val="00AC5451"/>
    <w:rPr>
      <w:sz w:val="16"/>
      <w:szCs w:val="16"/>
    </w:rPr>
  </w:style>
  <w:style w:type="paragraph" w:styleId="CommentText">
    <w:name w:val="annotation text"/>
    <w:basedOn w:val="Normal"/>
    <w:link w:val="CommentTextChar"/>
    <w:uiPriority w:val="99"/>
    <w:semiHidden/>
    <w:unhideWhenUsed/>
    <w:rsid w:val="00AC5451"/>
    <w:rPr>
      <w:sz w:val="20"/>
      <w:szCs w:val="20"/>
    </w:rPr>
  </w:style>
  <w:style w:type="character" w:customStyle="1" w:styleId="CommentTextChar">
    <w:name w:val="Comment Text Char"/>
    <w:basedOn w:val="DefaultParagraphFont"/>
    <w:link w:val="CommentText"/>
    <w:uiPriority w:val="99"/>
    <w:semiHidden/>
    <w:rsid w:val="00AC54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5451"/>
    <w:rPr>
      <w:b/>
      <w:bCs/>
    </w:rPr>
  </w:style>
  <w:style w:type="character" w:customStyle="1" w:styleId="CommentSubjectChar">
    <w:name w:val="Comment Subject Char"/>
    <w:basedOn w:val="CommentTextChar"/>
    <w:link w:val="CommentSubject"/>
    <w:uiPriority w:val="99"/>
    <w:semiHidden/>
    <w:rsid w:val="00AC545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0181"/>
    <w:rPr>
      <w:rFonts w:asciiTheme="majorHAnsi" w:eastAsiaTheme="majorEastAsia" w:hAnsiTheme="majorHAnsi" w:cstheme="majorBidi"/>
      <w:color w:val="1F3763" w:themeColor="accent1" w:themeShade="7F"/>
    </w:rPr>
  </w:style>
  <w:style w:type="character" w:customStyle="1" w:styleId="legchangedelimiter">
    <w:name w:val="legchangedelimiter"/>
    <w:basedOn w:val="DefaultParagraphFont"/>
    <w:rsid w:val="00FD1450"/>
  </w:style>
  <w:style w:type="character" w:customStyle="1" w:styleId="legaddition">
    <w:name w:val="legaddition"/>
    <w:basedOn w:val="DefaultParagraphFont"/>
    <w:rsid w:val="00FD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19">
      <w:bodyDiv w:val="1"/>
      <w:marLeft w:val="0"/>
      <w:marRight w:val="0"/>
      <w:marTop w:val="0"/>
      <w:marBottom w:val="0"/>
      <w:divBdr>
        <w:top w:val="none" w:sz="0" w:space="0" w:color="auto"/>
        <w:left w:val="none" w:sz="0" w:space="0" w:color="auto"/>
        <w:bottom w:val="none" w:sz="0" w:space="0" w:color="auto"/>
        <w:right w:val="none" w:sz="0" w:space="0" w:color="auto"/>
      </w:divBdr>
    </w:div>
    <w:div w:id="4089540">
      <w:bodyDiv w:val="1"/>
      <w:marLeft w:val="0"/>
      <w:marRight w:val="0"/>
      <w:marTop w:val="0"/>
      <w:marBottom w:val="0"/>
      <w:divBdr>
        <w:top w:val="none" w:sz="0" w:space="0" w:color="auto"/>
        <w:left w:val="none" w:sz="0" w:space="0" w:color="auto"/>
        <w:bottom w:val="none" w:sz="0" w:space="0" w:color="auto"/>
        <w:right w:val="none" w:sz="0" w:space="0" w:color="auto"/>
      </w:divBdr>
    </w:div>
    <w:div w:id="5251155">
      <w:bodyDiv w:val="1"/>
      <w:marLeft w:val="0"/>
      <w:marRight w:val="0"/>
      <w:marTop w:val="0"/>
      <w:marBottom w:val="0"/>
      <w:divBdr>
        <w:top w:val="none" w:sz="0" w:space="0" w:color="auto"/>
        <w:left w:val="none" w:sz="0" w:space="0" w:color="auto"/>
        <w:bottom w:val="none" w:sz="0" w:space="0" w:color="auto"/>
        <w:right w:val="none" w:sz="0" w:space="0" w:color="auto"/>
      </w:divBdr>
    </w:div>
    <w:div w:id="20478438">
      <w:bodyDiv w:val="1"/>
      <w:marLeft w:val="0"/>
      <w:marRight w:val="0"/>
      <w:marTop w:val="0"/>
      <w:marBottom w:val="0"/>
      <w:divBdr>
        <w:top w:val="none" w:sz="0" w:space="0" w:color="auto"/>
        <w:left w:val="none" w:sz="0" w:space="0" w:color="auto"/>
        <w:bottom w:val="none" w:sz="0" w:space="0" w:color="auto"/>
        <w:right w:val="none" w:sz="0" w:space="0" w:color="auto"/>
      </w:divBdr>
    </w:div>
    <w:div w:id="22097917">
      <w:bodyDiv w:val="1"/>
      <w:marLeft w:val="0"/>
      <w:marRight w:val="0"/>
      <w:marTop w:val="0"/>
      <w:marBottom w:val="0"/>
      <w:divBdr>
        <w:top w:val="none" w:sz="0" w:space="0" w:color="auto"/>
        <w:left w:val="none" w:sz="0" w:space="0" w:color="auto"/>
        <w:bottom w:val="none" w:sz="0" w:space="0" w:color="auto"/>
        <w:right w:val="none" w:sz="0" w:space="0" w:color="auto"/>
      </w:divBdr>
    </w:div>
    <w:div w:id="28800441">
      <w:bodyDiv w:val="1"/>
      <w:marLeft w:val="0"/>
      <w:marRight w:val="0"/>
      <w:marTop w:val="0"/>
      <w:marBottom w:val="0"/>
      <w:divBdr>
        <w:top w:val="none" w:sz="0" w:space="0" w:color="auto"/>
        <w:left w:val="none" w:sz="0" w:space="0" w:color="auto"/>
        <w:bottom w:val="none" w:sz="0" w:space="0" w:color="auto"/>
        <w:right w:val="none" w:sz="0" w:space="0" w:color="auto"/>
      </w:divBdr>
    </w:div>
    <w:div w:id="31852371">
      <w:bodyDiv w:val="1"/>
      <w:marLeft w:val="0"/>
      <w:marRight w:val="0"/>
      <w:marTop w:val="0"/>
      <w:marBottom w:val="0"/>
      <w:divBdr>
        <w:top w:val="none" w:sz="0" w:space="0" w:color="auto"/>
        <w:left w:val="none" w:sz="0" w:space="0" w:color="auto"/>
        <w:bottom w:val="none" w:sz="0" w:space="0" w:color="auto"/>
        <w:right w:val="none" w:sz="0" w:space="0" w:color="auto"/>
      </w:divBdr>
    </w:div>
    <w:div w:id="33359359">
      <w:bodyDiv w:val="1"/>
      <w:marLeft w:val="0"/>
      <w:marRight w:val="0"/>
      <w:marTop w:val="0"/>
      <w:marBottom w:val="0"/>
      <w:divBdr>
        <w:top w:val="none" w:sz="0" w:space="0" w:color="auto"/>
        <w:left w:val="none" w:sz="0" w:space="0" w:color="auto"/>
        <w:bottom w:val="none" w:sz="0" w:space="0" w:color="auto"/>
        <w:right w:val="none" w:sz="0" w:space="0" w:color="auto"/>
      </w:divBdr>
    </w:div>
    <w:div w:id="39791957">
      <w:bodyDiv w:val="1"/>
      <w:marLeft w:val="0"/>
      <w:marRight w:val="0"/>
      <w:marTop w:val="0"/>
      <w:marBottom w:val="0"/>
      <w:divBdr>
        <w:top w:val="none" w:sz="0" w:space="0" w:color="auto"/>
        <w:left w:val="none" w:sz="0" w:space="0" w:color="auto"/>
        <w:bottom w:val="none" w:sz="0" w:space="0" w:color="auto"/>
        <w:right w:val="none" w:sz="0" w:space="0" w:color="auto"/>
      </w:divBdr>
    </w:div>
    <w:div w:id="40592060">
      <w:bodyDiv w:val="1"/>
      <w:marLeft w:val="0"/>
      <w:marRight w:val="0"/>
      <w:marTop w:val="0"/>
      <w:marBottom w:val="0"/>
      <w:divBdr>
        <w:top w:val="none" w:sz="0" w:space="0" w:color="auto"/>
        <w:left w:val="none" w:sz="0" w:space="0" w:color="auto"/>
        <w:bottom w:val="none" w:sz="0" w:space="0" w:color="auto"/>
        <w:right w:val="none" w:sz="0" w:space="0" w:color="auto"/>
      </w:divBdr>
    </w:div>
    <w:div w:id="46998660">
      <w:bodyDiv w:val="1"/>
      <w:marLeft w:val="0"/>
      <w:marRight w:val="0"/>
      <w:marTop w:val="0"/>
      <w:marBottom w:val="0"/>
      <w:divBdr>
        <w:top w:val="none" w:sz="0" w:space="0" w:color="auto"/>
        <w:left w:val="none" w:sz="0" w:space="0" w:color="auto"/>
        <w:bottom w:val="none" w:sz="0" w:space="0" w:color="auto"/>
        <w:right w:val="none" w:sz="0" w:space="0" w:color="auto"/>
      </w:divBdr>
    </w:div>
    <w:div w:id="47152730">
      <w:bodyDiv w:val="1"/>
      <w:marLeft w:val="0"/>
      <w:marRight w:val="0"/>
      <w:marTop w:val="0"/>
      <w:marBottom w:val="0"/>
      <w:divBdr>
        <w:top w:val="none" w:sz="0" w:space="0" w:color="auto"/>
        <w:left w:val="none" w:sz="0" w:space="0" w:color="auto"/>
        <w:bottom w:val="none" w:sz="0" w:space="0" w:color="auto"/>
        <w:right w:val="none" w:sz="0" w:space="0" w:color="auto"/>
      </w:divBdr>
    </w:div>
    <w:div w:id="47188190">
      <w:bodyDiv w:val="1"/>
      <w:marLeft w:val="0"/>
      <w:marRight w:val="0"/>
      <w:marTop w:val="0"/>
      <w:marBottom w:val="0"/>
      <w:divBdr>
        <w:top w:val="none" w:sz="0" w:space="0" w:color="auto"/>
        <w:left w:val="none" w:sz="0" w:space="0" w:color="auto"/>
        <w:bottom w:val="none" w:sz="0" w:space="0" w:color="auto"/>
        <w:right w:val="none" w:sz="0" w:space="0" w:color="auto"/>
      </w:divBdr>
    </w:div>
    <w:div w:id="51470418">
      <w:bodyDiv w:val="1"/>
      <w:marLeft w:val="0"/>
      <w:marRight w:val="0"/>
      <w:marTop w:val="0"/>
      <w:marBottom w:val="0"/>
      <w:divBdr>
        <w:top w:val="none" w:sz="0" w:space="0" w:color="auto"/>
        <w:left w:val="none" w:sz="0" w:space="0" w:color="auto"/>
        <w:bottom w:val="none" w:sz="0" w:space="0" w:color="auto"/>
        <w:right w:val="none" w:sz="0" w:space="0" w:color="auto"/>
      </w:divBdr>
    </w:div>
    <w:div w:id="51537398">
      <w:bodyDiv w:val="1"/>
      <w:marLeft w:val="0"/>
      <w:marRight w:val="0"/>
      <w:marTop w:val="0"/>
      <w:marBottom w:val="0"/>
      <w:divBdr>
        <w:top w:val="none" w:sz="0" w:space="0" w:color="auto"/>
        <w:left w:val="none" w:sz="0" w:space="0" w:color="auto"/>
        <w:bottom w:val="none" w:sz="0" w:space="0" w:color="auto"/>
        <w:right w:val="none" w:sz="0" w:space="0" w:color="auto"/>
      </w:divBdr>
    </w:div>
    <w:div w:id="53091937">
      <w:bodyDiv w:val="1"/>
      <w:marLeft w:val="0"/>
      <w:marRight w:val="0"/>
      <w:marTop w:val="0"/>
      <w:marBottom w:val="0"/>
      <w:divBdr>
        <w:top w:val="none" w:sz="0" w:space="0" w:color="auto"/>
        <w:left w:val="none" w:sz="0" w:space="0" w:color="auto"/>
        <w:bottom w:val="none" w:sz="0" w:space="0" w:color="auto"/>
        <w:right w:val="none" w:sz="0" w:space="0" w:color="auto"/>
      </w:divBdr>
    </w:div>
    <w:div w:id="53313282">
      <w:bodyDiv w:val="1"/>
      <w:marLeft w:val="0"/>
      <w:marRight w:val="0"/>
      <w:marTop w:val="0"/>
      <w:marBottom w:val="0"/>
      <w:divBdr>
        <w:top w:val="none" w:sz="0" w:space="0" w:color="auto"/>
        <w:left w:val="none" w:sz="0" w:space="0" w:color="auto"/>
        <w:bottom w:val="none" w:sz="0" w:space="0" w:color="auto"/>
        <w:right w:val="none" w:sz="0" w:space="0" w:color="auto"/>
      </w:divBdr>
      <w:divsChild>
        <w:div w:id="877284280">
          <w:marLeft w:val="0"/>
          <w:marRight w:val="0"/>
          <w:marTop w:val="0"/>
          <w:marBottom w:val="0"/>
          <w:divBdr>
            <w:top w:val="none" w:sz="0" w:space="0" w:color="auto"/>
            <w:left w:val="none" w:sz="0" w:space="0" w:color="auto"/>
            <w:bottom w:val="none" w:sz="0" w:space="0" w:color="auto"/>
            <w:right w:val="none" w:sz="0" w:space="0" w:color="auto"/>
          </w:divBdr>
          <w:divsChild>
            <w:div w:id="763259749">
              <w:marLeft w:val="0"/>
              <w:marRight w:val="0"/>
              <w:marTop w:val="0"/>
              <w:marBottom w:val="0"/>
              <w:divBdr>
                <w:top w:val="none" w:sz="0" w:space="0" w:color="auto"/>
                <w:left w:val="none" w:sz="0" w:space="0" w:color="auto"/>
                <w:bottom w:val="none" w:sz="0" w:space="0" w:color="auto"/>
                <w:right w:val="none" w:sz="0" w:space="0" w:color="auto"/>
              </w:divBdr>
              <w:divsChild>
                <w:div w:id="11583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4540">
      <w:bodyDiv w:val="1"/>
      <w:marLeft w:val="0"/>
      <w:marRight w:val="0"/>
      <w:marTop w:val="0"/>
      <w:marBottom w:val="0"/>
      <w:divBdr>
        <w:top w:val="none" w:sz="0" w:space="0" w:color="auto"/>
        <w:left w:val="none" w:sz="0" w:space="0" w:color="auto"/>
        <w:bottom w:val="none" w:sz="0" w:space="0" w:color="auto"/>
        <w:right w:val="none" w:sz="0" w:space="0" w:color="auto"/>
      </w:divBdr>
    </w:div>
    <w:div w:id="66617104">
      <w:bodyDiv w:val="1"/>
      <w:marLeft w:val="0"/>
      <w:marRight w:val="0"/>
      <w:marTop w:val="0"/>
      <w:marBottom w:val="0"/>
      <w:divBdr>
        <w:top w:val="none" w:sz="0" w:space="0" w:color="auto"/>
        <w:left w:val="none" w:sz="0" w:space="0" w:color="auto"/>
        <w:bottom w:val="none" w:sz="0" w:space="0" w:color="auto"/>
        <w:right w:val="none" w:sz="0" w:space="0" w:color="auto"/>
      </w:divBdr>
    </w:div>
    <w:div w:id="72818369">
      <w:bodyDiv w:val="1"/>
      <w:marLeft w:val="0"/>
      <w:marRight w:val="0"/>
      <w:marTop w:val="0"/>
      <w:marBottom w:val="0"/>
      <w:divBdr>
        <w:top w:val="none" w:sz="0" w:space="0" w:color="auto"/>
        <w:left w:val="none" w:sz="0" w:space="0" w:color="auto"/>
        <w:bottom w:val="none" w:sz="0" w:space="0" w:color="auto"/>
        <w:right w:val="none" w:sz="0" w:space="0" w:color="auto"/>
      </w:divBdr>
      <w:divsChild>
        <w:div w:id="729812186">
          <w:marLeft w:val="0"/>
          <w:marRight w:val="0"/>
          <w:marTop w:val="0"/>
          <w:marBottom w:val="0"/>
          <w:divBdr>
            <w:top w:val="none" w:sz="0" w:space="0" w:color="auto"/>
            <w:left w:val="none" w:sz="0" w:space="0" w:color="auto"/>
            <w:bottom w:val="none" w:sz="0" w:space="0" w:color="auto"/>
            <w:right w:val="none" w:sz="0" w:space="0" w:color="auto"/>
          </w:divBdr>
          <w:divsChild>
            <w:div w:id="260186065">
              <w:marLeft w:val="0"/>
              <w:marRight w:val="0"/>
              <w:marTop w:val="0"/>
              <w:marBottom w:val="0"/>
              <w:divBdr>
                <w:top w:val="none" w:sz="0" w:space="0" w:color="auto"/>
                <w:left w:val="none" w:sz="0" w:space="0" w:color="auto"/>
                <w:bottom w:val="none" w:sz="0" w:space="0" w:color="auto"/>
                <w:right w:val="none" w:sz="0" w:space="0" w:color="auto"/>
              </w:divBdr>
              <w:divsChild>
                <w:div w:id="190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5069">
      <w:bodyDiv w:val="1"/>
      <w:marLeft w:val="0"/>
      <w:marRight w:val="0"/>
      <w:marTop w:val="0"/>
      <w:marBottom w:val="0"/>
      <w:divBdr>
        <w:top w:val="none" w:sz="0" w:space="0" w:color="auto"/>
        <w:left w:val="none" w:sz="0" w:space="0" w:color="auto"/>
        <w:bottom w:val="none" w:sz="0" w:space="0" w:color="auto"/>
        <w:right w:val="none" w:sz="0" w:space="0" w:color="auto"/>
      </w:divBdr>
    </w:div>
    <w:div w:id="78866561">
      <w:bodyDiv w:val="1"/>
      <w:marLeft w:val="0"/>
      <w:marRight w:val="0"/>
      <w:marTop w:val="0"/>
      <w:marBottom w:val="0"/>
      <w:divBdr>
        <w:top w:val="none" w:sz="0" w:space="0" w:color="auto"/>
        <w:left w:val="none" w:sz="0" w:space="0" w:color="auto"/>
        <w:bottom w:val="none" w:sz="0" w:space="0" w:color="auto"/>
        <w:right w:val="none" w:sz="0" w:space="0" w:color="auto"/>
      </w:divBdr>
    </w:div>
    <w:div w:id="82146651">
      <w:bodyDiv w:val="1"/>
      <w:marLeft w:val="0"/>
      <w:marRight w:val="0"/>
      <w:marTop w:val="0"/>
      <w:marBottom w:val="0"/>
      <w:divBdr>
        <w:top w:val="none" w:sz="0" w:space="0" w:color="auto"/>
        <w:left w:val="none" w:sz="0" w:space="0" w:color="auto"/>
        <w:bottom w:val="none" w:sz="0" w:space="0" w:color="auto"/>
        <w:right w:val="none" w:sz="0" w:space="0" w:color="auto"/>
      </w:divBdr>
    </w:div>
    <w:div w:id="83961964">
      <w:bodyDiv w:val="1"/>
      <w:marLeft w:val="0"/>
      <w:marRight w:val="0"/>
      <w:marTop w:val="0"/>
      <w:marBottom w:val="0"/>
      <w:divBdr>
        <w:top w:val="none" w:sz="0" w:space="0" w:color="auto"/>
        <w:left w:val="none" w:sz="0" w:space="0" w:color="auto"/>
        <w:bottom w:val="none" w:sz="0" w:space="0" w:color="auto"/>
        <w:right w:val="none" w:sz="0" w:space="0" w:color="auto"/>
      </w:divBdr>
    </w:div>
    <w:div w:id="84691455">
      <w:bodyDiv w:val="1"/>
      <w:marLeft w:val="0"/>
      <w:marRight w:val="0"/>
      <w:marTop w:val="0"/>
      <w:marBottom w:val="0"/>
      <w:divBdr>
        <w:top w:val="none" w:sz="0" w:space="0" w:color="auto"/>
        <w:left w:val="none" w:sz="0" w:space="0" w:color="auto"/>
        <w:bottom w:val="none" w:sz="0" w:space="0" w:color="auto"/>
        <w:right w:val="none" w:sz="0" w:space="0" w:color="auto"/>
      </w:divBdr>
    </w:div>
    <w:div w:id="90517766">
      <w:bodyDiv w:val="1"/>
      <w:marLeft w:val="0"/>
      <w:marRight w:val="0"/>
      <w:marTop w:val="0"/>
      <w:marBottom w:val="0"/>
      <w:divBdr>
        <w:top w:val="none" w:sz="0" w:space="0" w:color="auto"/>
        <w:left w:val="none" w:sz="0" w:space="0" w:color="auto"/>
        <w:bottom w:val="none" w:sz="0" w:space="0" w:color="auto"/>
        <w:right w:val="none" w:sz="0" w:space="0" w:color="auto"/>
      </w:divBdr>
    </w:div>
    <w:div w:id="90929895">
      <w:bodyDiv w:val="1"/>
      <w:marLeft w:val="0"/>
      <w:marRight w:val="0"/>
      <w:marTop w:val="0"/>
      <w:marBottom w:val="0"/>
      <w:divBdr>
        <w:top w:val="none" w:sz="0" w:space="0" w:color="auto"/>
        <w:left w:val="none" w:sz="0" w:space="0" w:color="auto"/>
        <w:bottom w:val="none" w:sz="0" w:space="0" w:color="auto"/>
        <w:right w:val="none" w:sz="0" w:space="0" w:color="auto"/>
      </w:divBdr>
    </w:div>
    <w:div w:id="91896077">
      <w:bodyDiv w:val="1"/>
      <w:marLeft w:val="0"/>
      <w:marRight w:val="0"/>
      <w:marTop w:val="0"/>
      <w:marBottom w:val="0"/>
      <w:divBdr>
        <w:top w:val="none" w:sz="0" w:space="0" w:color="auto"/>
        <w:left w:val="none" w:sz="0" w:space="0" w:color="auto"/>
        <w:bottom w:val="none" w:sz="0" w:space="0" w:color="auto"/>
        <w:right w:val="none" w:sz="0" w:space="0" w:color="auto"/>
      </w:divBdr>
    </w:div>
    <w:div w:id="92359090">
      <w:bodyDiv w:val="1"/>
      <w:marLeft w:val="0"/>
      <w:marRight w:val="0"/>
      <w:marTop w:val="0"/>
      <w:marBottom w:val="0"/>
      <w:divBdr>
        <w:top w:val="none" w:sz="0" w:space="0" w:color="auto"/>
        <w:left w:val="none" w:sz="0" w:space="0" w:color="auto"/>
        <w:bottom w:val="none" w:sz="0" w:space="0" w:color="auto"/>
        <w:right w:val="none" w:sz="0" w:space="0" w:color="auto"/>
      </w:divBdr>
    </w:div>
    <w:div w:id="96487400">
      <w:bodyDiv w:val="1"/>
      <w:marLeft w:val="0"/>
      <w:marRight w:val="0"/>
      <w:marTop w:val="0"/>
      <w:marBottom w:val="0"/>
      <w:divBdr>
        <w:top w:val="none" w:sz="0" w:space="0" w:color="auto"/>
        <w:left w:val="none" w:sz="0" w:space="0" w:color="auto"/>
        <w:bottom w:val="none" w:sz="0" w:space="0" w:color="auto"/>
        <w:right w:val="none" w:sz="0" w:space="0" w:color="auto"/>
      </w:divBdr>
    </w:div>
    <w:div w:id="96608541">
      <w:bodyDiv w:val="1"/>
      <w:marLeft w:val="0"/>
      <w:marRight w:val="0"/>
      <w:marTop w:val="0"/>
      <w:marBottom w:val="0"/>
      <w:divBdr>
        <w:top w:val="none" w:sz="0" w:space="0" w:color="auto"/>
        <w:left w:val="none" w:sz="0" w:space="0" w:color="auto"/>
        <w:bottom w:val="none" w:sz="0" w:space="0" w:color="auto"/>
        <w:right w:val="none" w:sz="0" w:space="0" w:color="auto"/>
      </w:divBdr>
    </w:div>
    <w:div w:id="98069838">
      <w:bodyDiv w:val="1"/>
      <w:marLeft w:val="0"/>
      <w:marRight w:val="0"/>
      <w:marTop w:val="0"/>
      <w:marBottom w:val="0"/>
      <w:divBdr>
        <w:top w:val="none" w:sz="0" w:space="0" w:color="auto"/>
        <w:left w:val="none" w:sz="0" w:space="0" w:color="auto"/>
        <w:bottom w:val="none" w:sz="0" w:space="0" w:color="auto"/>
        <w:right w:val="none" w:sz="0" w:space="0" w:color="auto"/>
      </w:divBdr>
    </w:div>
    <w:div w:id="102698578">
      <w:bodyDiv w:val="1"/>
      <w:marLeft w:val="0"/>
      <w:marRight w:val="0"/>
      <w:marTop w:val="0"/>
      <w:marBottom w:val="0"/>
      <w:divBdr>
        <w:top w:val="none" w:sz="0" w:space="0" w:color="auto"/>
        <w:left w:val="none" w:sz="0" w:space="0" w:color="auto"/>
        <w:bottom w:val="none" w:sz="0" w:space="0" w:color="auto"/>
        <w:right w:val="none" w:sz="0" w:space="0" w:color="auto"/>
      </w:divBdr>
    </w:div>
    <w:div w:id="103043719">
      <w:bodyDiv w:val="1"/>
      <w:marLeft w:val="0"/>
      <w:marRight w:val="0"/>
      <w:marTop w:val="0"/>
      <w:marBottom w:val="0"/>
      <w:divBdr>
        <w:top w:val="none" w:sz="0" w:space="0" w:color="auto"/>
        <w:left w:val="none" w:sz="0" w:space="0" w:color="auto"/>
        <w:bottom w:val="none" w:sz="0" w:space="0" w:color="auto"/>
        <w:right w:val="none" w:sz="0" w:space="0" w:color="auto"/>
      </w:divBdr>
    </w:div>
    <w:div w:id="103766055">
      <w:bodyDiv w:val="1"/>
      <w:marLeft w:val="0"/>
      <w:marRight w:val="0"/>
      <w:marTop w:val="0"/>
      <w:marBottom w:val="0"/>
      <w:divBdr>
        <w:top w:val="none" w:sz="0" w:space="0" w:color="auto"/>
        <w:left w:val="none" w:sz="0" w:space="0" w:color="auto"/>
        <w:bottom w:val="none" w:sz="0" w:space="0" w:color="auto"/>
        <w:right w:val="none" w:sz="0" w:space="0" w:color="auto"/>
      </w:divBdr>
    </w:div>
    <w:div w:id="104542215">
      <w:bodyDiv w:val="1"/>
      <w:marLeft w:val="0"/>
      <w:marRight w:val="0"/>
      <w:marTop w:val="0"/>
      <w:marBottom w:val="0"/>
      <w:divBdr>
        <w:top w:val="none" w:sz="0" w:space="0" w:color="auto"/>
        <w:left w:val="none" w:sz="0" w:space="0" w:color="auto"/>
        <w:bottom w:val="none" w:sz="0" w:space="0" w:color="auto"/>
        <w:right w:val="none" w:sz="0" w:space="0" w:color="auto"/>
      </w:divBdr>
    </w:div>
    <w:div w:id="111289262">
      <w:bodyDiv w:val="1"/>
      <w:marLeft w:val="0"/>
      <w:marRight w:val="0"/>
      <w:marTop w:val="0"/>
      <w:marBottom w:val="0"/>
      <w:divBdr>
        <w:top w:val="none" w:sz="0" w:space="0" w:color="auto"/>
        <w:left w:val="none" w:sz="0" w:space="0" w:color="auto"/>
        <w:bottom w:val="none" w:sz="0" w:space="0" w:color="auto"/>
        <w:right w:val="none" w:sz="0" w:space="0" w:color="auto"/>
      </w:divBdr>
    </w:div>
    <w:div w:id="117648862">
      <w:bodyDiv w:val="1"/>
      <w:marLeft w:val="0"/>
      <w:marRight w:val="0"/>
      <w:marTop w:val="0"/>
      <w:marBottom w:val="0"/>
      <w:divBdr>
        <w:top w:val="none" w:sz="0" w:space="0" w:color="auto"/>
        <w:left w:val="none" w:sz="0" w:space="0" w:color="auto"/>
        <w:bottom w:val="none" w:sz="0" w:space="0" w:color="auto"/>
        <w:right w:val="none" w:sz="0" w:space="0" w:color="auto"/>
      </w:divBdr>
    </w:div>
    <w:div w:id="125777713">
      <w:bodyDiv w:val="1"/>
      <w:marLeft w:val="0"/>
      <w:marRight w:val="0"/>
      <w:marTop w:val="0"/>
      <w:marBottom w:val="0"/>
      <w:divBdr>
        <w:top w:val="none" w:sz="0" w:space="0" w:color="auto"/>
        <w:left w:val="none" w:sz="0" w:space="0" w:color="auto"/>
        <w:bottom w:val="none" w:sz="0" w:space="0" w:color="auto"/>
        <w:right w:val="none" w:sz="0" w:space="0" w:color="auto"/>
      </w:divBdr>
    </w:div>
    <w:div w:id="127669440">
      <w:bodyDiv w:val="1"/>
      <w:marLeft w:val="0"/>
      <w:marRight w:val="0"/>
      <w:marTop w:val="0"/>
      <w:marBottom w:val="0"/>
      <w:divBdr>
        <w:top w:val="none" w:sz="0" w:space="0" w:color="auto"/>
        <w:left w:val="none" w:sz="0" w:space="0" w:color="auto"/>
        <w:bottom w:val="none" w:sz="0" w:space="0" w:color="auto"/>
        <w:right w:val="none" w:sz="0" w:space="0" w:color="auto"/>
      </w:divBdr>
    </w:div>
    <w:div w:id="131365607">
      <w:bodyDiv w:val="1"/>
      <w:marLeft w:val="0"/>
      <w:marRight w:val="0"/>
      <w:marTop w:val="0"/>
      <w:marBottom w:val="0"/>
      <w:divBdr>
        <w:top w:val="none" w:sz="0" w:space="0" w:color="auto"/>
        <w:left w:val="none" w:sz="0" w:space="0" w:color="auto"/>
        <w:bottom w:val="none" w:sz="0" w:space="0" w:color="auto"/>
        <w:right w:val="none" w:sz="0" w:space="0" w:color="auto"/>
      </w:divBdr>
    </w:div>
    <w:div w:id="132060760">
      <w:bodyDiv w:val="1"/>
      <w:marLeft w:val="0"/>
      <w:marRight w:val="0"/>
      <w:marTop w:val="0"/>
      <w:marBottom w:val="0"/>
      <w:divBdr>
        <w:top w:val="none" w:sz="0" w:space="0" w:color="auto"/>
        <w:left w:val="none" w:sz="0" w:space="0" w:color="auto"/>
        <w:bottom w:val="none" w:sz="0" w:space="0" w:color="auto"/>
        <w:right w:val="none" w:sz="0" w:space="0" w:color="auto"/>
      </w:divBdr>
    </w:div>
    <w:div w:id="133304352">
      <w:bodyDiv w:val="1"/>
      <w:marLeft w:val="0"/>
      <w:marRight w:val="0"/>
      <w:marTop w:val="0"/>
      <w:marBottom w:val="0"/>
      <w:divBdr>
        <w:top w:val="none" w:sz="0" w:space="0" w:color="auto"/>
        <w:left w:val="none" w:sz="0" w:space="0" w:color="auto"/>
        <w:bottom w:val="none" w:sz="0" w:space="0" w:color="auto"/>
        <w:right w:val="none" w:sz="0" w:space="0" w:color="auto"/>
      </w:divBdr>
    </w:div>
    <w:div w:id="135952194">
      <w:bodyDiv w:val="1"/>
      <w:marLeft w:val="0"/>
      <w:marRight w:val="0"/>
      <w:marTop w:val="0"/>
      <w:marBottom w:val="0"/>
      <w:divBdr>
        <w:top w:val="none" w:sz="0" w:space="0" w:color="auto"/>
        <w:left w:val="none" w:sz="0" w:space="0" w:color="auto"/>
        <w:bottom w:val="none" w:sz="0" w:space="0" w:color="auto"/>
        <w:right w:val="none" w:sz="0" w:space="0" w:color="auto"/>
      </w:divBdr>
      <w:divsChild>
        <w:div w:id="1600330901">
          <w:marLeft w:val="0"/>
          <w:marRight w:val="0"/>
          <w:marTop w:val="0"/>
          <w:marBottom w:val="0"/>
          <w:divBdr>
            <w:top w:val="none" w:sz="0" w:space="0" w:color="auto"/>
            <w:left w:val="none" w:sz="0" w:space="0" w:color="auto"/>
            <w:bottom w:val="none" w:sz="0" w:space="0" w:color="auto"/>
            <w:right w:val="none" w:sz="0" w:space="0" w:color="auto"/>
          </w:divBdr>
          <w:divsChild>
            <w:div w:id="701900965">
              <w:marLeft w:val="0"/>
              <w:marRight w:val="0"/>
              <w:marTop w:val="0"/>
              <w:marBottom w:val="0"/>
              <w:divBdr>
                <w:top w:val="none" w:sz="0" w:space="0" w:color="auto"/>
                <w:left w:val="none" w:sz="0" w:space="0" w:color="auto"/>
                <w:bottom w:val="none" w:sz="0" w:space="0" w:color="auto"/>
                <w:right w:val="none" w:sz="0" w:space="0" w:color="auto"/>
              </w:divBdr>
              <w:divsChild>
                <w:div w:id="20028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5423">
      <w:bodyDiv w:val="1"/>
      <w:marLeft w:val="0"/>
      <w:marRight w:val="0"/>
      <w:marTop w:val="0"/>
      <w:marBottom w:val="0"/>
      <w:divBdr>
        <w:top w:val="none" w:sz="0" w:space="0" w:color="auto"/>
        <w:left w:val="none" w:sz="0" w:space="0" w:color="auto"/>
        <w:bottom w:val="none" w:sz="0" w:space="0" w:color="auto"/>
        <w:right w:val="none" w:sz="0" w:space="0" w:color="auto"/>
      </w:divBdr>
      <w:divsChild>
        <w:div w:id="1508324930">
          <w:marLeft w:val="0"/>
          <w:marRight w:val="0"/>
          <w:marTop w:val="0"/>
          <w:marBottom w:val="0"/>
          <w:divBdr>
            <w:top w:val="none" w:sz="0" w:space="0" w:color="auto"/>
            <w:left w:val="none" w:sz="0" w:space="0" w:color="auto"/>
            <w:bottom w:val="none" w:sz="0" w:space="0" w:color="auto"/>
            <w:right w:val="none" w:sz="0" w:space="0" w:color="auto"/>
          </w:divBdr>
        </w:div>
      </w:divsChild>
    </w:div>
    <w:div w:id="137846945">
      <w:bodyDiv w:val="1"/>
      <w:marLeft w:val="0"/>
      <w:marRight w:val="0"/>
      <w:marTop w:val="0"/>
      <w:marBottom w:val="0"/>
      <w:divBdr>
        <w:top w:val="none" w:sz="0" w:space="0" w:color="auto"/>
        <w:left w:val="none" w:sz="0" w:space="0" w:color="auto"/>
        <w:bottom w:val="none" w:sz="0" w:space="0" w:color="auto"/>
        <w:right w:val="none" w:sz="0" w:space="0" w:color="auto"/>
      </w:divBdr>
    </w:div>
    <w:div w:id="137964305">
      <w:bodyDiv w:val="1"/>
      <w:marLeft w:val="0"/>
      <w:marRight w:val="0"/>
      <w:marTop w:val="0"/>
      <w:marBottom w:val="0"/>
      <w:divBdr>
        <w:top w:val="none" w:sz="0" w:space="0" w:color="auto"/>
        <w:left w:val="none" w:sz="0" w:space="0" w:color="auto"/>
        <w:bottom w:val="none" w:sz="0" w:space="0" w:color="auto"/>
        <w:right w:val="none" w:sz="0" w:space="0" w:color="auto"/>
      </w:divBdr>
    </w:div>
    <w:div w:id="148444798">
      <w:bodyDiv w:val="1"/>
      <w:marLeft w:val="0"/>
      <w:marRight w:val="0"/>
      <w:marTop w:val="0"/>
      <w:marBottom w:val="0"/>
      <w:divBdr>
        <w:top w:val="none" w:sz="0" w:space="0" w:color="auto"/>
        <w:left w:val="none" w:sz="0" w:space="0" w:color="auto"/>
        <w:bottom w:val="none" w:sz="0" w:space="0" w:color="auto"/>
        <w:right w:val="none" w:sz="0" w:space="0" w:color="auto"/>
      </w:divBdr>
    </w:div>
    <w:div w:id="155459906">
      <w:bodyDiv w:val="1"/>
      <w:marLeft w:val="0"/>
      <w:marRight w:val="0"/>
      <w:marTop w:val="0"/>
      <w:marBottom w:val="0"/>
      <w:divBdr>
        <w:top w:val="none" w:sz="0" w:space="0" w:color="auto"/>
        <w:left w:val="none" w:sz="0" w:space="0" w:color="auto"/>
        <w:bottom w:val="none" w:sz="0" w:space="0" w:color="auto"/>
        <w:right w:val="none" w:sz="0" w:space="0" w:color="auto"/>
      </w:divBdr>
    </w:div>
    <w:div w:id="158351966">
      <w:bodyDiv w:val="1"/>
      <w:marLeft w:val="0"/>
      <w:marRight w:val="0"/>
      <w:marTop w:val="0"/>
      <w:marBottom w:val="0"/>
      <w:divBdr>
        <w:top w:val="none" w:sz="0" w:space="0" w:color="auto"/>
        <w:left w:val="none" w:sz="0" w:space="0" w:color="auto"/>
        <w:bottom w:val="none" w:sz="0" w:space="0" w:color="auto"/>
        <w:right w:val="none" w:sz="0" w:space="0" w:color="auto"/>
      </w:divBdr>
    </w:div>
    <w:div w:id="160581994">
      <w:bodyDiv w:val="1"/>
      <w:marLeft w:val="0"/>
      <w:marRight w:val="0"/>
      <w:marTop w:val="0"/>
      <w:marBottom w:val="0"/>
      <w:divBdr>
        <w:top w:val="none" w:sz="0" w:space="0" w:color="auto"/>
        <w:left w:val="none" w:sz="0" w:space="0" w:color="auto"/>
        <w:bottom w:val="none" w:sz="0" w:space="0" w:color="auto"/>
        <w:right w:val="none" w:sz="0" w:space="0" w:color="auto"/>
      </w:divBdr>
    </w:div>
    <w:div w:id="162360979">
      <w:bodyDiv w:val="1"/>
      <w:marLeft w:val="0"/>
      <w:marRight w:val="0"/>
      <w:marTop w:val="0"/>
      <w:marBottom w:val="0"/>
      <w:divBdr>
        <w:top w:val="none" w:sz="0" w:space="0" w:color="auto"/>
        <w:left w:val="none" w:sz="0" w:space="0" w:color="auto"/>
        <w:bottom w:val="none" w:sz="0" w:space="0" w:color="auto"/>
        <w:right w:val="none" w:sz="0" w:space="0" w:color="auto"/>
      </w:divBdr>
    </w:div>
    <w:div w:id="167866706">
      <w:bodyDiv w:val="1"/>
      <w:marLeft w:val="0"/>
      <w:marRight w:val="0"/>
      <w:marTop w:val="0"/>
      <w:marBottom w:val="0"/>
      <w:divBdr>
        <w:top w:val="none" w:sz="0" w:space="0" w:color="auto"/>
        <w:left w:val="none" w:sz="0" w:space="0" w:color="auto"/>
        <w:bottom w:val="none" w:sz="0" w:space="0" w:color="auto"/>
        <w:right w:val="none" w:sz="0" w:space="0" w:color="auto"/>
      </w:divBdr>
    </w:div>
    <w:div w:id="180828396">
      <w:bodyDiv w:val="1"/>
      <w:marLeft w:val="0"/>
      <w:marRight w:val="0"/>
      <w:marTop w:val="0"/>
      <w:marBottom w:val="0"/>
      <w:divBdr>
        <w:top w:val="none" w:sz="0" w:space="0" w:color="auto"/>
        <w:left w:val="none" w:sz="0" w:space="0" w:color="auto"/>
        <w:bottom w:val="none" w:sz="0" w:space="0" w:color="auto"/>
        <w:right w:val="none" w:sz="0" w:space="0" w:color="auto"/>
      </w:divBdr>
    </w:div>
    <w:div w:id="189800239">
      <w:bodyDiv w:val="1"/>
      <w:marLeft w:val="0"/>
      <w:marRight w:val="0"/>
      <w:marTop w:val="0"/>
      <w:marBottom w:val="0"/>
      <w:divBdr>
        <w:top w:val="none" w:sz="0" w:space="0" w:color="auto"/>
        <w:left w:val="none" w:sz="0" w:space="0" w:color="auto"/>
        <w:bottom w:val="none" w:sz="0" w:space="0" w:color="auto"/>
        <w:right w:val="none" w:sz="0" w:space="0" w:color="auto"/>
      </w:divBdr>
    </w:div>
    <w:div w:id="190464037">
      <w:bodyDiv w:val="1"/>
      <w:marLeft w:val="0"/>
      <w:marRight w:val="0"/>
      <w:marTop w:val="0"/>
      <w:marBottom w:val="0"/>
      <w:divBdr>
        <w:top w:val="none" w:sz="0" w:space="0" w:color="auto"/>
        <w:left w:val="none" w:sz="0" w:space="0" w:color="auto"/>
        <w:bottom w:val="none" w:sz="0" w:space="0" w:color="auto"/>
        <w:right w:val="none" w:sz="0" w:space="0" w:color="auto"/>
      </w:divBdr>
    </w:div>
    <w:div w:id="191387748">
      <w:bodyDiv w:val="1"/>
      <w:marLeft w:val="0"/>
      <w:marRight w:val="0"/>
      <w:marTop w:val="0"/>
      <w:marBottom w:val="0"/>
      <w:divBdr>
        <w:top w:val="none" w:sz="0" w:space="0" w:color="auto"/>
        <w:left w:val="none" w:sz="0" w:space="0" w:color="auto"/>
        <w:bottom w:val="none" w:sz="0" w:space="0" w:color="auto"/>
        <w:right w:val="none" w:sz="0" w:space="0" w:color="auto"/>
      </w:divBdr>
    </w:div>
    <w:div w:id="193664967">
      <w:bodyDiv w:val="1"/>
      <w:marLeft w:val="0"/>
      <w:marRight w:val="0"/>
      <w:marTop w:val="0"/>
      <w:marBottom w:val="0"/>
      <w:divBdr>
        <w:top w:val="none" w:sz="0" w:space="0" w:color="auto"/>
        <w:left w:val="none" w:sz="0" w:space="0" w:color="auto"/>
        <w:bottom w:val="none" w:sz="0" w:space="0" w:color="auto"/>
        <w:right w:val="none" w:sz="0" w:space="0" w:color="auto"/>
      </w:divBdr>
    </w:div>
    <w:div w:id="198932658">
      <w:bodyDiv w:val="1"/>
      <w:marLeft w:val="0"/>
      <w:marRight w:val="0"/>
      <w:marTop w:val="0"/>
      <w:marBottom w:val="0"/>
      <w:divBdr>
        <w:top w:val="none" w:sz="0" w:space="0" w:color="auto"/>
        <w:left w:val="none" w:sz="0" w:space="0" w:color="auto"/>
        <w:bottom w:val="none" w:sz="0" w:space="0" w:color="auto"/>
        <w:right w:val="none" w:sz="0" w:space="0" w:color="auto"/>
      </w:divBdr>
    </w:div>
    <w:div w:id="201944291">
      <w:bodyDiv w:val="1"/>
      <w:marLeft w:val="0"/>
      <w:marRight w:val="0"/>
      <w:marTop w:val="0"/>
      <w:marBottom w:val="0"/>
      <w:divBdr>
        <w:top w:val="none" w:sz="0" w:space="0" w:color="auto"/>
        <w:left w:val="none" w:sz="0" w:space="0" w:color="auto"/>
        <w:bottom w:val="none" w:sz="0" w:space="0" w:color="auto"/>
        <w:right w:val="none" w:sz="0" w:space="0" w:color="auto"/>
      </w:divBdr>
    </w:div>
    <w:div w:id="203253252">
      <w:bodyDiv w:val="1"/>
      <w:marLeft w:val="0"/>
      <w:marRight w:val="0"/>
      <w:marTop w:val="0"/>
      <w:marBottom w:val="0"/>
      <w:divBdr>
        <w:top w:val="none" w:sz="0" w:space="0" w:color="auto"/>
        <w:left w:val="none" w:sz="0" w:space="0" w:color="auto"/>
        <w:bottom w:val="none" w:sz="0" w:space="0" w:color="auto"/>
        <w:right w:val="none" w:sz="0" w:space="0" w:color="auto"/>
      </w:divBdr>
    </w:div>
    <w:div w:id="204800217">
      <w:bodyDiv w:val="1"/>
      <w:marLeft w:val="0"/>
      <w:marRight w:val="0"/>
      <w:marTop w:val="0"/>
      <w:marBottom w:val="0"/>
      <w:divBdr>
        <w:top w:val="none" w:sz="0" w:space="0" w:color="auto"/>
        <w:left w:val="none" w:sz="0" w:space="0" w:color="auto"/>
        <w:bottom w:val="none" w:sz="0" w:space="0" w:color="auto"/>
        <w:right w:val="none" w:sz="0" w:space="0" w:color="auto"/>
      </w:divBdr>
    </w:div>
    <w:div w:id="205259343">
      <w:bodyDiv w:val="1"/>
      <w:marLeft w:val="0"/>
      <w:marRight w:val="0"/>
      <w:marTop w:val="0"/>
      <w:marBottom w:val="0"/>
      <w:divBdr>
        <w:top w:val="none" w:sz="0" w:space="0" w:color="auto"/>
        <w:left w:val="none" w:sz="0" w:space="0" w:color="auto"/>
        <w:bottom w:val="none" w:sz="0" w:space="0" w:color="auto"/>
        <w:right w:val="none" w:sz="0" w:space="0" w:color="auto"/>
      </w:divBdr>
    </w:div>
    <w:div w:id="216284872">
      <w:bodyDiv w:val="1"/>
      <w:marLeft w:val="0"/>
      <w:marRight w:val="0"/>
      <w:marTop w:val="0"/>
      <w:marBottom w:val="0"/>
      <w:divBdr>
        <w:top w:val="none" w:sz="0" w:space="0" w:color="auto"/>
        <w:left w:val="none" w:sz="0" w:space="0" w:color="auto"/>
        <w:bottom w:val="none" w:sz="0" w:space="0" w:color="auto"/>
        <w:right w:val="none" w:sz="0" w:space="0" w:color="auto"/>
      </w:divBdr>
    </w:div>
    <w:div w:id="216742644">
      <w:bodyDiv w:val="1"/>
      <w:marLeft w:val="0"/>
      <w:marRight w:val="0"/>
      <w:marTop w:val="0"/>
      <w:marBottom w:val="0"/>
      <w:divBdr>
        <w:top w:val="none" w:sz="0" w:space="0" w:color="auto"/>
        <w:left w:val="none" w:sz="0" w:space="0" w:color="auto"/>
        <w:bottom w:val="none" w:sz="0" w:space="0" w:color="auto"/>
        <w:right w:val="none" w:sz="0" w:space="0" w:color="auto"/>
      </w:divBdr>
    </w:div>
    <w:div w:id="218174550">
      <w:bodyDiv w:val="1"/>
      <w:marLeft w:val="0"/>
      <w:marRight w:val="0"/>
      <w:marTop w:val="0"/>
      <w:marBottom w:val="0"/>
      <w:divBdr>
        <w:top w:val="none" w:sz="0" w:space="0" w:color="auto"/>
        <w:left w:val="none" w:sz="0" w:space="0" w:color="auto"/>
        <w:bottom w:val="none" w:sz="0" w:space="0" w:color="auto"/>
        <w:right w:val="none" w:sz="0" w:space="0" w:color="auto"/>
      </w:divBdr>
    </w:div>
    <w:div w:id="226380597">
      <w:bodyDiv w:val="1"/>
      <w:marLeft w:val="0"/>
      <w:marRight w:val="0"/>
      <w:marTop w:val="0"/>
      <w:marBottom w:val="0"/>
      <w:divBdr>
        <w:top w:val="none" w:sz="0" w:space="0" w:color="auto"/>
        <w:left w:val="none" w:sz="0" w:space="0" w:color="auto"/>
        <w:bottom w:val="none" w:sz="0" w:space="0" w:color="auto"/>
        <w:right w:val="none" w:sz="0" w:space="0" w:color="auto"/>
      </w:divBdr>
    </w:div>
    <w:div w:id="231434104">
      <w:bodyDiv w:val="1"/>
      <w:marLeft w:val="0"/>
      <w:marRight w:val="0"/>
      <w:marTop w:val="0"/>
      <w:marBottom w:val="0"/>
      <w:divBdr>
        <w:top w:val="none" w:sz="0" w:space="0" w:color="auto"/>
        <w:left w:val="none" w:sz="0" w:space="0" w:color="auto"/>
        <w:bottom w:val="none" w:sz="0" w:space="0" w:color="auto"/>
        <w:right w:val="none" w:sz="0" w:space="0" w:color="auto"/>
      </w:divBdr>
    </w:div>
    <w:div w:id="232938262">
      <w:bodyDiv w:val="1"/>
      <w:marLeft w:val="0"/>
      <w:marRight w:val="0"/>
      <w:marTop w:val="0"/>
      <w:marBottom w:val="0"/>
      <w:divBdr>
        <w:top w:val="none" w:sz="0" w:space="0" w:color="auto"/>
        <w:left w:val="none" w:sz="0" w:space="0" w:color="auto"/>
        <w:bottom w:val="none" w:sz="0" w:space="0" w:color="auto"/>
        <w:right w:val="none" w:sz="0" w:space="0" w:color="auto"/>
      </w:divBdr>
    </w:div>
    <w:div w:id="234635253">
      <w:bodyDiv w:val="1"/>
      <w:marLeft w:val="0"/>
      <w:marRight w:val="0"/>
      <w:marTop w:val="0"/>
      <w:marBottom w:val="0"/>
      <w:divBdr>
        <w:top w:val="none" w:sz="0" w:space="0" w:color="auto"/>
        <w:left w:val="none" w:sz="0" w:space="0" w:color="auto"/>
        <w:bottom w:val="none" w:sz="0" w:space="0" w:color="auto"/>
        <w:right w:val="none" w:sz="0" w:space="0" w:color="auto"/>
      </w:divBdr>
    </w:div>
    <w:div w:id="235672615">
      <w:bodyDiv w:val="1"/>
      <w:marLeft w:val="0"/>
      <w:marRight w:val="0"/>
      <w:marTop w:val="0"/>
      <w:marBottom w:val="0"/>
      <w:divBdr>
        <w:top w:val="none" w:sz="0" w:space="0" w:color="auto"/>
        <w:left w:val="none" w:sz="0" w:space="0" w:color="auto"/>
        <w:bottom w:val="none" w:sz="0" w:space="0" w:color="auto"/>
        <w:right w:val="none" w:sz="0" w:space="0" w:color="auto"/>
      </w:divBdr>
    </w:div>
    <w:div w:id="236987971">
      <w:bodyDiv w:val="1"/>
      <w:marLeft w:val="0"/>
      <w:marRight w:val="0"/>
      <w:marTop w:val="0"/>
      <w:marBottom w:val="0"/>
      <w:divBdr>
        <w:top w:val="none" w:sz="0" w:space="0" w:color="auto"/>
        <w:left w:val="none" w:sz="0" w:space="0" w:color="auto"/>
        <w:bottom w:val="none" w:sz="0" w:space="0" w:color="auto"/>
        <w:right w:val="none" w:sz="0" w:space="0" w:color="auto"/>
      </w:divBdr>
    </w:div>
    <w:div w:id="237985435">
      <w:bodyDiv w:val="1"/>
      <w:marLeft w:val="0"/>
      <w:marRight w:val="0"/>
      <w:marTop w:val="0"/>
      <w:marBottom w:val="0"/>
      <w:divBdr>
        <w:top w:val="none" w:sz="0" w:space="0" w:color="auto"/>
        <w:left w:val="none" w:sz="0" w:space="0" w:color="auto"/>
        <w:bottom w:val="none" w:sz="0" w:space="0" w:color="auto"/>
        <w:right w:val="none" w:sz="0" w:space="0" w:color="auto"/>
      </w:divBdr>
    </w:div>
    <w:div w:id="250238759">
      <w:bodyDiv w:val="1"/>
      <w:marLeft w:val="0"/>
      <w:marRight w:val="0"/>
      <w:marTop w:val="0"/>
      <w:marBottom w:val="0"/>
      <w:divBdr>
        <w:top w:val="none" w:sz="0" w:space="0" w:color="auto"/>
        <w:left w:val="none" w:sz="0" w:space="0" w:color="auto"/>
        <w:bottom w:val="none" w:sz="0" w:space="0" w:color="auto"/>
        <w:right w:val="none" w:sz="0" w:space="0" w:color="auto"/>
      </w:divBdr>
    </w:div>
    <w:div w:id="253369503">
      <w:bodyDiv w:val="1"/>
      <w:marLeft w:val="0"/>
      <w:marRight w:val="0"/>
      <w:marTop w:val="0"/>
      <w:marBottom w:val="0"/>
      <w:divBdr>
        <w:top w:val="none" w:sz="0" w:space="0" w:color="auto"/>
        <w:left w:val="none" w:sz="0" w:space="0" w:color="auto"/>
        <w:bottom w:val="none" w:sz="0" w:space="0" w:color="auto"/>
        <w:right w:val="none" w:sz="0" w:space="0" w:color="auto"/>
      </w:divBdr>
    </w:div>
    <w:div w:id="254629990">
      <w:bodyDiv w:val="1"/>
      <w:marLeft w:val="0"/>
      <w:marRight w:val="0"/>
      <w:marTop w:val="0"/>
      <w:marBottom w:val="0"/>
      <w:divBdr>
        <w:top w:val="none" w:sz="0" w:space="0" w:color="auto"/>
        <w:left w:val="none" w:sz="0" w:space="0" w:color="auto"/>
        <w:bottom w:val="none" w:sz="0" w:space="0" w:color="auto"/>
        <w:right w:val="none" w:sz="0" w:space="0" w:color="auto"/>
      </w:divBdr>
      <w:divsChild>
        <w:div w:id="2062709011">
          <w:marLeft w:val="0"/>
          <w:marRight w:val="0"/>
          <w:marTop w:val="0"/>
          <w:marBottom w:val="0"/>
          <w:divBdr>
            <w:top w:val="none" w:sz="0" w:space="0" w:color="auto"/>
            <w:left w:val="none" w:sz="0" w:space="0" w:color="auto"/>
            <w:bottom w:val="none" w:sz="0" w:space="0" w:color="auto"/>
            <w:right w:val="none" w:sz="0" w:space="0" w:color="auto"/>
          </w:divBdr>
        </w:div>
      </w:divsChild>
    </w:div>
    <w:div w:id="257491476">
      <w:bodyDiv w:val="1"/>
      <w:marLeft w:val="0"/>
      <w:marRight w:val="0"/>
      <w:marTop w:val="0"/>
      <w:marBottom w:val="0"/>
      <w:divBdr>
        <w:top w:val="none" w:sz="0" w:space="0" w:color="auto"/>
        <w:left w:val="none" w:sz="0" w:space="0" w:color="auto"/>
        <w:bottom w:val="none" w:sz="0" w:space="0" w:color="auto"/>
        <w:right w:val="none" w:sz="0" w:space="0" w:color="auto"/>
      </w:divBdr>
    </w:div>
    <w:div w:id="262803447">
      <w:bodyDiv w:val="1"/>
      <w:marLeft w:val="0"/>
      <w:marRight w:val="0"/>
      <w:marTop w:val="0"/>
      <w:marBottom w:val="0"/>
      <w:divBdr>
        <w:top w:val="none" w:sz="0" w:space="0" w:color="auto"/>
        <w:left w:val="none" w:sz="0" w:space="0" w:color="auto"/>
        <w:bottom w:val="none" w:sz="0" w:space="0" w:color="auto"/>
        <w:right w:val="none" w:sz="0" w:space="0" w:color="auto"/>
      </w:divBdr>
    </w:div>
    <w:div w:id="271790499">
      <w:bodyDiv w:val="1"/>
      <w:marLeft w:val="0"/>
      <w:marRight w:val="0"/>
      <w:marTop w:val="0"/>
      <w:marBottom w:val="0"/>
      <w:divBdr>
        <w:top w:val="none" w:sz="0" w:space="0" w:color="auto"/>
        <w:left w:val="none" w:sz="0" w:space="0" w:color="auto"/>
        <w:bottom w:val="none" w:sz="0" w:space="0" w:color="auto"/>
        <w:right w:val="none" w:sz="0" w:space="0" w:color="auto"/>
      </w:divBdr>
      <w:divsChild>
        <w:div w:id="338195821">
          <w:marLeft w:val="0"/>
          <w:marRight w:val="0"/>
          <w:marTop w:val="0"/>
          <w:marBottom w:val="0"/>
          <w:divBdr>
            <w:top w:val="none" w:sz="0" w:space="0" w:color="auto"/>
            <w:left w:val="none" w:sz="0" w:space="0" w:color="auto"/>
            <w:bottom w:val="none" w:sz="0" w:space="0" w:color="auto"/>
            <w:right w:val="none" w:sz="0" w:space="0" w:color="auto"/>
          </w:divBdr>
          <w:divsChild>
            <w:div w:id="2064330832">
              <w:marLeft w:val="0"/>
              <w:marRight w:val="0"/>
              <w:marTop w:val="0"/>
              <w:marBottom w:val="0"/>
              <w:divBdr>
                <w:top w:val="none" w:sz="0" w:space="0" w:color="auto"/>
                <w:left w:val="none" w:sz="0" w:space="0" w:color="auto"/>
                <w:bottom w:val="none" w:sz="0" w:space="0" w:color="auto"/>
                <w:right w:val="none" w:sz="0" w:space="0" w:color="auto"/>
              </w:divBdr>
              <w:divsChild>
                <w:div w:id="3102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200896">
          <w:marLeft w:val="0"/>
          <w:marRight w:val="0"/>
          <w:marTop w:val="0"/>
          <w:marBottom w:val="0"/>
          <w:divBdr>
            <w:top w:val="none" w:sz="0" w:space="0" w:color="auto"/>
            <w:left w:val="none" w:sz="0" w:space="0" w:color="auto"/>
            <w:bottom w:val="none" w:sz="0" w:space="0" w:color="auto"/>
            <w:right w:val="none" w:sz="0" w:space="0" w:color="auto"/>
          </w:divBdr>
          <w:divsChild>
            <w:div w:id="400326381">
              <w:marLeft w:val="0"/>
              <w:marRight w:val="0"/>
              <w:marTop w:val="0"/>
              <w:marBottom w:val="0"/>
              <w:divBdr>
                <w:top w:val="none" w:sz="0" w:space="0" w:color="auto"/>
                <w:left w:val="none" w:sz="0" w:space="0" w:color="auto"/>
                <w:bottom w:val="none" w:sz="0" w:space="0" w:color="auto"/>
                <w:right w:val="none" w:sz="0" w:space="0" w:color="auto"/>
              </w:divBdr>
              <w:divsChild>
                <w:div w:id="16302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9370">
      <w:bodyDiv w:val="1"/>
      <w:marLeft w:val="0"/>
      <w:marRight w:val="0"/>
      <w:marTop w:val="0"/>
      <w:marBottom w:val="0"/>
      <w:divBdr>
        <w:top w:val="none" w:sz="0" w:space="0" w:color="auto"/>
        <w:left w:val="none" w:sz="0" w:space="0" w:color="auto"/>
        <w:bottom w:val="none" w:sz="0" w:space="0" w:color="auto"/>
        <w:right w:val="none" w:sz="0" w:space="0" w:color="auto"/>
      </w:divBdr>
    </w:div>
    <w:div w:id="284504813">
      <w:bodyDiv w:val="1"/>
      <w:marLeft w:val="0"/>
      <w:marRight w:val="0"/>
      <w:marTop w:val="0"/>
      <w:marBottom w:val="0"/>
      <w:divBdr>
        <w:top w:val="none" w:sz="0" w:space="0" w:color="auto"/>
        <w:left w:val="none" w:sz="0" w:space="0" w:color="auto"/>
        <w:bottom w:val="none" w:sz="0" w:space="0" w:color="auto"/>
        <w:right w:val="none" w:sz="0" w:space="0" w:color="auto"/>
      </w:divBdr>
      <w:divsChild>
        <w:div w:id="1383095680">
          <w:marLeft w:val="0"/>
          <w:marRight w:val="0"/>
          <w:marTop w:val="0"/>
          <w:marBottom w:val="0"/>
          <w:divBdr>
            <w:top w:val="none" w:sz="0" w:space="0" w:color="auto"/>
            <w:left w:val="none" w:sz="0" w:space="0" w:color="auto"/>
            <w:bottom w:val="none" w:sz="0" w:space="0" w:color="auto"/>
            <w:right w:val="none" w:sz="0" w:space="0" w:color="auto"/>
          </w:divBdr>
          <w:divsChild>
            <w:div w:id="1399943001">
              <w:marLeft w:val="0"/>
              <w:marRight w:val="0"/>
              <w:marTop w:val="0"/>
              <w:marBottom w:val="0"/>
              <w:divBdr>
                <w:top w:val="none" w:sz="0" w:space="0" w:color="auto"/>
                <w:left w:val="none" w:sz="0" w:space="0" w:color="auto"/>
                <w:bottom w:val="none" w:sz="0" w:space="0" w:color="auto"/>
                <w:right w:val="none" w:sz="0" w:space="0" w:color="auto"/>
              </w:divBdr>
              <w:divsChild>
                <w:div w:id="9928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661">
      <w:bodyDiv w:val="1"/>
      <w:marLeft w:val="0"/>
      <w:marRight w:val="0"/>
      <w:marTop w:val="0"/>
      <w:marBottom w:val="0"/>
      <w:divBdr>
        <w:top w:val="none" w:sz="0" w:space="0" w:color="auto"/>
        <w:left w:val="none" w:sz="0" w:space="0" w:color="auto"/>
        <w:bottom w:val="none" w:sz="0" w:space="0" w:color="auto"/>
        <w:right w:val="none" w:sz="0" w:space="0" w:color="auto"/>
      </w:divBdr>
    </w:div>
    <w:div w:id="294023424">
      <w:bodyDiv w:val="1"/>
      <w:marLeft w:val="0"/>
      <w:marRight w:val="0"/>
      <w:marTop w:val="0"/>
      <w:marBottom w:val="0"/>
      <w:divBdr>
        <w:top w:val="none" w:sz="0" w:space="0" w:color="auto"/>
        <w:left w:val="none" w:sz="0" w:space="0" w:color="auto"/>
        <w:bottom w:val="none" w:sz="0" w:space="0" w:color="auto"/>
        <w:right w:val="none" w:sz="0" w:space="0" w:color="auto"/>
      </w:divBdr>
    </w:div>
    <w:div w:id="296765253">
      <w:bodyDiv w:val="1"/>
      <w:marLeft w:val="0"/>
      <w:marRight w:val="0"/>
      <w:marTop w:val="0"/>
      <w:marBottom w:val="0"/>
      <w:divBdr>
        <w:top w:val="none" w:sz="0" w:space="0" w:color="auto"/>
        <w:left w:val="none" w:sz="0" w:space="0" w:color="auto"/>
        <w:bottom w:val="none" w:sz="0" w:space="0" w:color="auto"/>
        <w:right w:val="none" w:sz="0" w:space="0" w:color="auto"/>
      </w:divBdr>
    </w:div>
    <w:div w:id="304242007">
      <w:bodyDiv w:val="1"/>
      <w:marLeft w:val="0"/>
      <w:marRight w:val="0"/>
      <w:marTop w:val="0"/>
      <w:marBottom w:val="0"/>
      <w:divBdr>
        <w:top w:val="none" w:sz="0" w:space="0" w:color="auto"/>
        <w:left w:val="none" w:sz="0" w:space="0" w:color="auto"/>
        <w:bottom w:val="none" w:sz="0" w:space="0" w:color="auto"/>
        <w:right w:val="none" w:sz="0" w:space="0" w:color="auto"/>
      </w:divBdr>
    </w:div>
    <w:div w:id="309790888">
      <w:bodyDiv w:val="1"/>
      <w:marLeft w:val="0"/>
      <w:marRight w:val="0"/>
      <w:marTop w:val="0"/>
      <w:marBottom w:val="0"/>
      <w:divBdr>
        <w:top w:val="none" w:sz="0" w:space="0" w:color="auto"/>
        <w:left w:val="none" w:sz="0" w:space="0" w:color="auto"/>
        <w:bottom w:val="none" w:sz="0" w:space="0" w:color="auto"/>
        <w:right w:val="none" w:sz="0" w:space="0" w:color="auto"/>
      </w:divBdr>
    </w:div>
    <w:div w:id="314260359">
      <w:bodyDiv w:val="1"/>
      <w:marLeft w:val="0"/>
      <w:marRight w:val="0"/>
      <w:marTop w:val="0"/>
      <w:marBottom w:val="0"/>
      <w:divBdr>
        <w:top w:val="none" w:sz="0" w:space="0" w:color="auto"/>
        <w:left w:val="none" w:sz="0" w:space="0" w:color="auto"/>
        <w:bottom w:val="none" w:sz="0" w:space="0" w:color="auto"/>
        <w:right w:val="none" w:sz="0" w:space="0" w:color="auto"/>
      </w:divBdr>
    </w:div>
    <w:div w:id="319892638">
      <w:bodyDiv w:val="1"/>
      <w:marLeft w:val="0"/>
      <w:marRight w:val="0"/>
      <w:marTop w:val="0"/>
      <w:marBottom w:val="0"/>
      <w:divBdr>
        <w:top w:val="none" w:sz="0" w:space="0" w:color="auto"/>
        <w:left w:val="none" w:sz="0" w:space="0" w:color="auto"/>
        <w:bottom w:val="none" w:sz="0" w:space="0" w:color="auto"/>
        <w:right w:val="none" w:sz="0" w:space="0" w:color="auto"/>
      </w:divBdr>
    </w:div>
    <w:div w:id="332345448">
      <w:bodyDiv w:val="1"/>
      <w:marLeft w:val="0"/>
      <w:marRight w:val="0"/>
      <w:marTop w:val="0"/>
      <w:marBottom w:val="0"/>
      <w:divBdr>
        <w:top w:val="none" w:sz="0" w:space="0" w:color="auto"/>
        <w:left w:val="none" w:sz="0" w:space="0" w:color="auto"/>
        <w:bottom w:val="none" w:sz="0" w:space="0" w:color="auto"/>
        <w:right w:val="none" w:sz="0" w:space="0" w:color="auto"/>
      </w:divBdr>
    </w:div>
    <w:div w:id="336076348">
      <w:bodyDiv w:val="1"/>
      <w:marLeft w:val="0"/>
      <w:marRight w:val="0"/>
      <w:marTop w:val="0"/>
      <w:marBottom w:val="0"/>
      <w:divBdr>
        <w:top w:val="none" w:sz="0" w:space="0" w:color="auto"/>
        <w:left w:val="none" w:sz="0" w:space="0" w:color="auto"/>
        <w:bottom w:val="none" w:sz="0" w:space="0" w:color="auto"/>
        <w:right w:val="none" w:sz="0" w:space="0" w:color="auto"/>
      </w:divBdr>
    </w:div>
    <w:div w:id="345251757">
      <w:bodyDiv w:val="1"/>
      <w:marLeft w:val="0"/>
      <w:marRight w:val="0"/>
      <w:marTop w:val="0"/>
      <w:marBottom w:val="0"/>
      <w:divBdr>
        <w:top w:val="none" w:sz="0" w:space="0" w:color="auto"/>
        <w:left w:val="none" w:sz="0" w:space="0" w:color="auto"/>
        <w:bottom w:val="none" w:sz="0" w:space="0" w:color="auto"/>
        <w:right w:val="none" w:sz="0" w:space="0" w:color="auto"/>
      </w:divBdr>
    </w:div>
    <w:div w:id="345668235">
      <w:bodyDiv w:val="1"/>
      <w:marLeft w:val="0"/>
      <w:marRight w:val="0"/>
      <w:marTop w:val="0"/>
      <w:marBottom w:val="0"/>
      <w:divBdr>
        <w:top w:val="none" w:sz="0" w:space="0" w:color="auto"/>
        <w:left w:val="none" w:sz="0" w:space="0" w:color="auto"/>
        <w:bottom w:val="none" w:sz="0" w:space="0" w:color="auto"/>
        <w:right w:val="none" w:sz="0" w:space="0" w:color="auto"/>
      </w:divBdr>
      <w:divsChild>
        <w:div w:id="174200304">
          <w:marLeft w:val="0"/>
          <w:marRight w:val="0"/>
          <w:marTop w:val="0"/>
          <w:marBottom w:val="0"/>
          <w:divBdr>
            <w:top w:val="none" w:sz="0" w:space="0" w:color="auto"/>
            <w:left w:val="none" w:sz="0" w:space="0" w:color="auto"/>
            <w:bottom w:val="none" w:sz="0" w:space="0" w:color="auto"/>
            <w:right w:val="none" w:sz="0" w:space="0" w:color="auto"/>
          </w:divBdr>
          <w:divsChild>
            <w:div w:id="1299723808">
              <w:marLeft w:val="0"/>
              <w:marRight w:val="0"/>
              <w:marTop w:val="0"/>
              <w:marBottom w:val="0"/>
              <w:divBdr>
                <w:top w:val="none" w:sz="0" w:space="0" w:color="auto"/>
                <w:left w:val="none" w:sz="0" w:space="0" w:color="auto"/>
                <w:bottom w:val="none" w:sz="0" w:space="0" w:color="auto"/>
                <w:right w:val="none" w:sz="0" w:space="0" w:color="auto"/>
              </w:divBdr>
              <w:divsChild>
                <w:div w:id="15334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4673">
      <w:bodyDiv w:val="1"/>
      <w:marLeft w:val="0"/>
      <w:marRight w:val="0"/>
      <w:marTop w:val="0"/>
      <w:marBottom w:val="0"/>
      <w:divBdr>
        <w:top w:val="none" w:sz="0" w:space="0" w:color="auto"/>
        <w:left w:val="none" w:sz="0" w:space="0" w:color="auto"/>
        <w:bottom w:val="none" w:sz="0" w:space="0" w:color="auto"/>
        <w:right w:val="none" w:sz="0" w:space="0" w:color="auto"/>
      </w:divBdr>
    </w:div>
    <w:div w:id="346057195">
      <w:bodyDiv w:val="1"/>
      <w:marLeft w:val="0"/>
      <w:marRight w:val="0"/>
      <w:marTop w:val="0"/>
      <w:marBottom w:val="0"/>
      <w:divBdr>
        <w:top w:val="none" w:sz="0" w:space="0" w:color="auto"/>
        <w:left w:val="none" w:sz="0" w:space="0" w:color="auto"/>
        <w:bottom w:val="none" w:sz="0" w:space="0" w:color="auto"/>
        <w:right w:val="none" w:sz="0" w:space="0" w:color="auto"/>
      </w:divBdr>
    </w:div>
    <w:div w:id="350373202">
      <w:bodyDiv w:val="1"/>
      <w:marLeft w:val="0"/>
      <w:marRight w:val="0"/>
      <w:marTop w:val="0"/>
      <w:marBottom w:val="0"/>
      <w:divBdr>
        <w:top w:val="none" w:sz="0" w:space="0" w:color="auto"/>
        <w:left w:val="none" w:sz="0" w:space="0" w:color="auto"/>
        <w:bottom w:val="none" w:sz="0" w:space="0" w:color="auto"/>
        <w:right w:val="none" w:sz="0" w:space="0" w:color="auto"/>
      </w:divBdr>
    </w:div>
    <w:div w:id="357924728">
      <w:bodyDiv w:val="1"/>
      <w:marLeft w:val="0"/>
      <w:marRight w:val="0"/>
      <w:marTop w:val="0"/>
      <w:marBottom w:val="0"/>
      <w:divBdr>
        <w:top w:val="none" w:sz="0" w:space="0" w:color="auto"/>
        <w:left w:val="none" w:sz="0" w:space="0" w:color="auto"/>
        <w:bottom w:val="none" w:sz="0" w:space="0" w:color="auto"/>
        <w:right w:val="none" w:sz="0" w:space="0" w:color="auto"/>
      </w:divBdr>
    </w:div>
    <w:div w:id="360131334">
      <w:bodyDiv w:val="1"/>
      <w:marLeft w:val="0"/>
      <w:marRight w:val="0"/>
      <w:marTop w:val="0"/>
      <w:marBottom w:val="0"/>
      <w:divBdr>
        <w:top w:val="none" w:sz="0" w:space="0" w:color="auto"/>
        <w:left w:val="none" w:sz="0" w:space="0" w:color="auto"/>
        <w:bottom w:val="none" w:sz="0" w:space="0" w:color="auto"/>
        <w:right w:val="none" w:sz="0" w:space="0" w:color="auto"/>
      </w:divBdr>
    </w:div>
    <w:div w:id="363868165">
      <w:bodyDiv w:val="1"/>
      <w:marLeft w:val="0"/>
      <w:marRight w:val="0"/>
      <w:marTop w:val="0"/>
      <w:marBottom w:val="0"/>
      <w:divBdr>
        <w:top w:val="none" w:sz="0" w:space="0" w:color="auto"/>
        <w:left w:val="none" w:sz="0" w:space="0" w:color="auto"/>
        <w:bottom w:val="none" w:sz="0" w:space="0" w:color="auto"/>
        <w:right w:val="none" w:sz="0" w:space="0" w:color="auto"/>
      </w:divBdr>
    </w:div>
    <w:div w:id="363989696">
      <w:bodyDiv w:val="1"/>
      <w:marLeft w:val="0"/>
      <w:marRight w:val="0"/>
      <w:marTop w:val="0"/>
      <w:marBottom w:val="0"/>
      <w:divBdr>
        <w:top w:val="none" w:sz="0" w:space="0" w:color="auto"/>
        <w:left w:val="none" w:sz="0" w:space="0" w:color="auto"/>
        <w:bottom w:val="none" w:sz="0" w:space="0" w:color="auto"/>
        <w:right w:val="none" w:sz="0" w:space="0" w:color="auto"/>
      </w:divBdr>
      <w:divsChild>
        <w:div w:id="726418353">
          <w:marLeft w:val="0"/>
          <w:marRight w:val="0"/>
          <w:marTop w:val="0"/>
          <w:marBottom w:val="0"/>
          <w:divBdr>
            <w:top w:val="none" w:sz="0" w:space="0" w:color="auto"/>
            <w:left w:val="none" w:sz="0" w:space="0" w:color="auto"/>
            <w:bottom w:val="none" w:sz="0" w:space="0" w:color="auto"/>
            <w:right w:val="none" w:sz="0" w:space="0" w:color="auto"/>
          </w:divBdr>
          <w:divsChild>
            <w:div w:id="89666134">
              <w:marLeft w:val="0"/>
              <w:marRight w:val="0"/>
              <w:marTop w:val="0"/>
              <w:marBottom w:val="0"/>
              <w:divBdr>
                <w:top w:val="none" w:sz="0" w:space="0" w:color="auto"/>
                <w:left w:val="none" w:sz="0" w:space="0" w:color="auto"/>
                <w:bottom w:val="none" w:sz="0" w:space="0" w:color="auto"/>
                <w:right w:val="none" w:sz="0" w:space="0" w:color="auto"/>
              </w:divBdr>
            </w:div>
          </w:divsChild>
        </w:div>
        <w:div w:id="1732116871">
          <w:marLeft w:val="0"/>
          <w:marRight w:val="0"/>
          <w:marTop w:val="0"/>
          <w:marBottom w:val="0"/>
          <w:divBdr>
            <w:top w:val="none" w:sz="0" w:space="0" w:color="auto"/>
            <w:left w:val="none" w:sz="0" w:space="0" w:color="auto"/>
            <w:bottom w:val="none" w:sz="0" w:space="0" w:color="auto"/>
            <w:right w:val="none" w:sz="0" w:space="0" w:color="auto"/>
          </w:divBdr>
          <w:divsChild>
            <w:div w:id="19299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321">
      <w:bodyDiv w:val="1"/>
      <w:marLeft w:val="0"/>
      <w:marRight w:val="0"/>
      <w:marTop w:val="0"/>
      <w:marBottom w:val="0"/>
      <w:divBdr>
        <w:top w:val="none" w:sz="0" w:space="0" w:color="auto"/>
        <w:left w:val="none" w:sz="0" w:space="0" w:color="auto"/>
        <w:bottom w:val="none" w:sz="0" w:space="0" w:color="auto"/>
        <w:right w:val="none" w:sz="0" w:space="0" w:color="auto"/>
      </w:divBdr>
    </w:div>
    <w:div w:id="384525763">
      <w:bodyDiv w:val="1"/>
      <w:marLeft w:val="0"/>
      <w:marRight w:val="0"/>
      <w:marTop w:val="0"/>
      <w:marBottom w:val="0"/>
      <w:divBdr>
        <w:top w:val="none" w:sz="0" w:space="0" w:color="auto"/>
        <w:left w:val="none" w:sz="0" w:space="0" w:color="auto"/>
        <w:bottom w:val="none" w:sz="0" w:space="0" w:color="auto"/>
        <w:right w:val="none" w:sz="0" w:space="0" w:color="auto"/>
      </w:divBdr>
    </w:div>
    <w:div w:id="385641726">
      <w:bodyDiv w:val="1"/>
      <w:marLeft w:val="0"/>
      <w:marRight w:val="0"/>
      <w:marTop w:val="0"/>
      <w:marBottom w:val="0"/>
      <w:divBdr>
        <w:top w:val="none" w:sz="0" w:space="0" w:color="auto"/>
        <w:left w:val="none" w:sz="0" w:space="0" w:color="auto"/>
        <w:bottom w:val="none" w:sz="0" w:space="0" w:color="auto"/>
        <w:right w:val="none" w:sz="0" w:space="0" w:color="auto"/>
      </w:divBdr>
    </w:div>
    <w:div w:id="387918924">
      <w:bodyDiv w:val="1"/>
      <w:marLeft w:val="0"/>
      <w:marRight w:val="0"/>
      <w:marTop w:val="0"/>
      <w:marBottom w:val="0"/>
      <w:divBdr>
        <w:top w:val="none" w:sz="0" w:space="0" w:color="auto"/>
        <w:left w:val="none" w:sz="0" w:space="0" w:color="auto"/>
        <w:bottom w:val="none" w:sz="0" w:space="0" w:color="auto"/>
        <w:right w:val="none" w:sz="0" w:space="0" w:color="auto"/>
      </w:divBdr>
    </w:div>
    <w:div w:id="393283568">
      <w:bodyDiv w:val="1"/>
      <w:marLeft w:val="0"/>
      <w:marRight w:val="0"/>
      <w:marTop w:val="0"/>
      <w:marBottom w:val="0"/>
      <w:divBdr>
        <w:top w:val="none" w:sz="0" w:space="0" w:color="auto"/>
        <w:left w:val="none" w:sz="0" w:space="0" w:color="auto"/>
        <w:bottom w:val="none" w:sz="0" w:space="0" w:color="auto"/>
        <w:right w:val="none" w:sz="0" w:space="0" w:color="auto"/>
      </w:divBdr>
    </w:div>
    <w:div w:id="399407400">
      <w:bodyDiv w:val="1"/>
      <w:marLeft w:val="0"/>
      <w:marRight w:val="0"/>
      <w:marTop w:val="0"/>
      <w:marBottom w:val="0"/>
      <w:divBdr>
        <w:top w:val="none" w:sz="0" w:space="0" w:color="auto"/>
        <w:left w:val="none" w:sz="0" w:space="0" w:color="auto"/>
        <w:bottom w:val="none" w:sz="0" w:space="0" w:color="auto"/>
        <w:right w:val="none" w:sz="0" w:space="0" w:color="auto"/>
      </w:divBdr>
    </w:div>
    <w:div w:id="401147227">
      <w:bodyDiv w:val="1"/>
      <w:marLeft w:val="0"/>
      <w:marRight w:val="0"/>
      <w:marTop w:val="0"/>
      <w:marBottom w:val="0"/>
      <w:divBdr>
        <w:top w:val="none" w:sz="0" w:space="0" w:color="auto"/>
        <w:left w:val="none" w:sz="0" w:space="0" w:color="auto"/>
        <w:bottom w:val="none" w:sz="0" w:space="0" w:color="auto"/>
        <w:right w:val="none" w:sz="0" w:space="0" w:color="auto"/>
      </w:divBdr>
    </w:div>
    <w:div w:id="401372528">
      <w:bodyDiv w:val="1"/>
      <w:marLeft w:val="0"/>
      <w:marRight w:val="0"/>
      <w:marTop w:val="0"/>
      <w:marBottom w:val="0"/>
      <w:divBdr>
        <w:top w:val="none" w:sz="0" w:space="0" w:color="auto"/>
        <w:left w:val="none" w:sz="0" w:space="0" w:color="auto"/>
        <w:bottom w:val="none" w:sz="0" w:space="0" w:color="auto"/>
        <w:right w:val="none" w:sz="0" w:space="0" w:color="auto"/>
      </w:divBdr>
    </w:div>
    <w:div w:id="414984117">
      <w:bodyDiv w:val="1"/>
      <w:marLeft w:val="0"/>
      <w:marRight w:val="0"/>
      <w:marTop w:val="0"/>
      <w:marBottom w:val="0"/>
      <w:divBdr>
        <w:top w:val="none" w:sz="0" w:space="0" w:color="auto"/>
        <w:left w:val="none" w:sz="0" w:space="0" w:color="auto"/>
        <w:bottom w:val="none" w:sz="0" w:space="0" w:color="auto"/>
        <w:right w:val="none" w:sz="0" w:space="0" w:color="auto"/>
      </w:divBdr>
      <w:divsChild>
        <w:div w:id="1998679989">
          <w:marLeft w:val="1166"/>
          <w:marRight w:val="0"/>
          <w:marTop w:val="67"/>
          <w:marBottom w:val="0"/>
          <w:divBdr>
            <w:top w:val="none" w:sz="0" w:space="0" w:color="auto"/>
            <w:left w:val="none" w:sz="0" w:space="0" w:color="auto"/>
            <w:bottom w:val="none" w:sz="0" w:space="0" w:color="auto"/>
            <w:right w:val="none" w:sz="0" w:space="0" w:color="auto"/>
          </w:divBdr>
        </w:div>
        <w:div w:id="1390230212">
          <w:marLeft w:val="1166"/>
          <w:marRight w:val="0"/>
          <w:marTop w:val="67"/>
          <w:marBottom w:val="0"/>
          <w:divBdr>
            <w:top w:val="none" w:sz="0" w:space="0" w:color="auto"/>
            <w:left w:val="none" w:sz="0" w:space="0" w:color="auto"/>
            <w:bottom w:val="none" w:sz="0" w:space="0" w:color="auto"/>
            <w:right w:val="none" w:sz="0" w:space="0" w:color="auto"/>
          </w:divBdr>
        </w:div>
        <w:div w:id="2141486681">
          <w:marLeft w:val="1166"/>
          <w:marRight w:val="0"/>
          <w:marTop w:val="67"/>
          <w:marBottom w:val="0"/>
          <w:divBdr>
            <w:top w:val="none" w:sz="0" w:space="0" w:color="auto"/>
            <w:left w:val="none" w:sz="0" w:space="0" w:color="auto"/>
            <w:bottom w:val="none" w:sz="0" w:space="0" w:color="auto"/>
            <w:right w:val="none" w:sz="0" w:space="0" w:color="auto"/>
          </w:divBdr>
        </w:div>
        <w:div w:id="1572501550">
          <w:marLeft w:val="547"/>
          <w:marRight w:val="0"/>
          <w:marTop w:val="86"/>
          <w:marBottom w:val="0"/>
          <w:divBdr>
            <w:top w:val="none" w:sz="0" w:space="0" w:color="auto"/>
            <w:left w:val="none" w:sz="0" w:space="0" w:color="auto"/>
            <w:bottom w:val="none" w:sz="0" w:space="0" w:color="auto"/>
            <w:right w:val="none" w:sz="0" w:space="0" w:color="auto"/>
          </w:divBdr>
        </w:div>
      </w:divsChild>
    </w:div>
    <w:div w:id="418841000">
      <w:bodyDiv w:val="1"/>
      <w:marLeft w:val="0"/>
      <w:marRight w:val="0"/>
      <w:marTop w:val="0"/>
      <w:marBottom w:val="0"/>
      <w:divBdr>
        <w:top w:val="none" w:sz="0" w:space="0" w:color="auto"/>
        <w:left w:val="none" w:sz="0" w:space="0" w:color="auto"/>
        <w:bottom w:val="none" w:sz="0" w:space="0" w:color="auto"/>
        <w:right w:val="none" w:sz="0" w:space="0" w:color="auto"/>
      </w:divBdr>
    </w:div>
    <w:div w:id="420225263">
      <w:bodyDiv w:val="1"/>
      <w:marLeft w:val="0"/>
      <w:marRight w:val="0"/>
      <w:marTop w:val="0"/>
      <w:marBottom w:val="0"/>
      <w:divBdr>
        <w:top w:val="none" w:sz="0" w:space="0" w:color="auto"/>
        <w:left w:val="none" w:sz="0" w:space="0" w:color="auto"/>
        <w:bottom w:val="none" w:sz="0" w:space="0" w:color="auto"/>
        <w:right w:val="none" w:sz="0" w:space="0" w:color="auto"/>
      </w:divBdr>
    </w:div>
    <w:div w:id="421413488">
      <w:bodyDiv w:val="1"/>
      <w:marLeft w:val="0"/>
      <w:marRight w:val="0"/>
      <w:marTop w:val="0"/>
      <w:marBottom w:val="0"/>
      <w:divBdr>
        <w:top w:val="none" w:sz="0" w:space="0" w:color="auto"/>
        <w:left w:val="none" w:sz="0" w:space="0" w:color="auto"/>
        <w:bottom w:val="none" w:sz="0" w:space="0" w:color="auto"/>
        <w:right w:val="none" w:sz="0" w:space="0" w:color="auto"/>
      </w:divBdr>
    </w:div>
    <w:div w:id="431170428">
      <w:bodyDiv w:val="1"/>
      <w:marLeft w:val="0"/>
      <w:marRight w:val="0"/>
      <w:marTop w:val="0"/>
      <w:marBottom w:val="0"/>
      <w:divBdr>
        <w:top w:val="none" w:sz="0" w:space="0" w:color="auto"/>
        <w:left w:val="none" w:sz="0" w:space="0" w:color="auto"/>
        <w:bottom w:val="none" w:sz="0" w:space="0" w:color="auto"/>
        <w:right w:val="none" w:sz="0" w:space="0" w:color="auto"/>
      </w:divBdr>
    </w:div>
    <w:div w:id="440804581">
      <w:bodyDiv w:val="1"/>
      <w:marLeft w:val="0"/>
      <w:marRight w:val="0"/>
      <w:marTop w:val="0"/>
      <w:marBottom w:val="0"/>
      <w:divBdr>
        <w:top w:val="none" w:sz="0" w:space="0" w:color="auto"/>
        <w:left w:val="none" w:sz="0" w:space="0" w:color="auto"/>
        <w:bottom w:val="none" w:sz="0" w:space="0" w:color="auto"/>
        <w:right w:val="none" w:sz="0" w:space="0" w:color="auto"/>
      </w:divBdr>
    </w:div>
    <w:div w:id="445082285">
      <w:bodyDiv w:val="1"/>
      <w:marLeft w:val="0"/>
      <w:marRight w:val="0"/>
      <w:marTop w:val="0"/>
      <w:marBottom w:val="0"/>
      <w:divBdr>
        <w:top w:val="none" w:sz="0" w:space="0" w:color="auto"/>
        <w:left w:val="none" w:sz="0" w:space="0" w:color="auto"/>
        <w:bottom w:val="none" w:sz="0" w:space="0" w:color="auto"/>
        <w:right w:val="none" w:sz="0" w:space="0" w:color="auto"/>
      </w:divBdr>
      <w:divsChild>
        <w:div w:id="352389878">
          <w:marLeft w:val="0"/>
          <w:marRight w:val="0"/>
          <w:marTop w:val="450"/>
          <w:marBottom w:val="1350"/>
          <w:divBdr>
            <w:top w:val="none" w:sz="0" w:space="0" w:color="auto"/>
            <w:left w:val="none" w:sz="0" w:space="0" w:color="auto"/>
            <w:bottom w:val="none" w:sz="0" w:space="0" w:color="auto"/>
            <w:right w:val="none" w:sz="0" w:space="0" w:color="auto"/>
          </w:divBdr>
          <w:divsChild>
            <w:div w:id="2129272344">
              <w:marLeft w:val="0"/>
              <w:marRight w:val="0"/>
              <w:marTop w:val="0"/>
              <w:marBottom w:val="0"/>
              <w:divBdr>
                <w:top w:val="none" w:sz="0" w:space="0" w:color="auto"/>
                <w:left w:val="none" w:sz="0" w:space="0" w:color="auto"/>
                <w:bottom w:val="none" w:sz="0" w:space="0" w:color="auto"/>
                <w:right w:val="none" w:sz="0" w:space="0" w:color="auto"/>
              </w:divBdr>
              <w:divsChild>
                <w:div w:id="7279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8434">
      <w:bodyDiv w:val="1"/>
      <w:marLeft w:val="0"/>
      <w:marRight w:val="0"/>
      <w:marTop w:val="0"/>
      <w:marBottom w:val="0"/>
      <w:divBdr>
        <w:top w:val="none" w:sz="0" w:space="0" w:color="auto"/>
        <w:left w:val="none" w:sz="0" w:space="0" w:color="auto"/>
        <w:bottom w:val="none" w:sz="0" w:space="0" w:color="auto"/>
        <w:right w:val="none" w:sz="0" w:space="0" w:color="auto"/>
      </w:divBdr>
    </w:div>
    <w:div w:id="448472897">
      <w:bodyDiv w:val="1"/>
      <w:marLeft w:val="0"/>
      <w:marRight w:val="0"/>
      <w:marTop w:val="0"/>
      <w:marBottom w:val="0"/>
      <w:divBdr>
        <w:top w:val="none" w:sz="0" w:space="0" w:color="auto"/>
        <w:left w:val="none" w:sz="0" w:space="0" w:color="auto"/>
        <w:bottom w:val="none" w:sz="0" w:space="0" w:color="auto"/>
        <w:right w:val="none" w:sz="0" w:space="0" w:color="auto"/>
      </w:divBdr>
    </w:div>
    <w:div w:id="449905702">
      <w:bodyDiv w:val="1"/>
      <w:marLeft w:val="0"/>
      <w:marRight w:val="0"/>
      <w:marTop w:val="0"/>
      <w:marBottom w:val="0"/>
      <w:divBdr>
        <w:top w:val="none" w:sz="0" w:space="0" w:color="auto"/>
        <w:left w:val="none" w:sz="0" w:space="0" w:color="auto"/>
        <w:bottom w:val="none" w:sz="0" w:space="0" w:color="auto"/>
        <w:right w:val="none" w:sz="0" w:space="0" w:color="auto"/>
      </w:divBdr>
    </w:div>
    <w:div w:id="452678481">
      <w:bodyDiv w:val="1"/>
      <w:marLeft w:val="0"/>
      <w:marRight w:val="0"/>
      <w:marTop w:val="0"/>
      <w:marBottom w:val="0"/>
      <w:divBdr>
        <w:top w:val="none" w:sz="0" w:space="0" w:color="auto"/>
        <w:left w:val="none" w:sz="0" w:space="0" w:color="auto"/>
        <w:bottom w:val="none" w:sz="0" w:space="0" w:color="auto"/>
        <w:right w:val="none" w:sz="0" w:space="0" w:color="auto"/>
      </w:divBdr>
    </w:div>
    <w:div w:id="453521133">
      <w:bodyDiv w:val="1"/>
      <w:marLeft w:val="0"/>
      <w:marRight w:val="0"/>
      <w:marTop w:val="0"/>
      <w:marBottom w:val="0"/>
      <w:divBdr>
        <w:top w:val="none" w:sz="0" w:space="0" w:color="auto"/>
        <w:left w:val="none" w:sz="0" w:space="0" w:color="auto"/>
        <w:bottom w:val="none" w:sz="0" w:space="0" w:color="auto"/>
        <w:right w:val="none" w:sz="0" w:space="0" w:color="auto"/>
      </w:divBdr>
    </w:div>
    <w:div w:id="455753932">
      <w:bodyDiv w:val="1"/>
      <w:marLeft w:val="0"/>
      <w:marRight w:val="0"/>
      <w:marTop w:val="0"/>
      <w:marBottom w:val="0"/>
      <w:divBdr>
        <w:top w:val="none" w:sz="0" w:space="0" w:color="auto"/>
        <w:left w:val="none" w:sz="0" w:space="0" w:color="auto"/>
        <w:bottom w:val="none" w:sz="0" w:space="0" w:color="auto"/>
        <w:right w:val="none" w:sz="0" w:space="0" w:color="auto"/>
      </w:divBdr>
    </w:div>
    <w:div w:id="458651268">
      <w:bodyDiv w:val="1"/>
      <w:marLeft w:val="0"/>
      <w:marRight w:val="0"/>
      <w:marTop w:val="0"/>
      <w:marBottom w:val="0"/>
      <w:divBdr>
        <w:top w:val="none" w:sz="0" w:space="0" w:color="auto"/>
        <w:left w:val="none" w:sz="0" w:space="0" w:color="auto"/>
        <w:bottom w:val="none" w:sz="0" w:space="0" w:color="auto"/>
        <w:right w:val="none" w:sz="0" w:space="0" w:color="auto"/>
      </w:divBdr>
    </w:div>
    <w:div w:id="466356836">
      <w:bodyDiv w:val="1"/>
      <w:marLeft w:val="0"/>
      <w:marRight w:val="0"/>
      <w:marTop w:val="0"/>
      <w:marBottom w:val="0"/>
      <w:divBdr>
        <w:top w:val="none" w:sz="0" w:space="0" w:color="auto"/>
        <w:left w:val="none" w:sz="0" w:space="0" w:color="auto"/>
        <w:bottom w:val="none" w:sz="0" w:space="0" w:color="auto"/>
        <w:right w:val="none" w:sz="0" w:space="0" w:color="auto"/>
      </w:divBdr>
    </w:div>
    <w:div w:id="483855026">
      <w:bodyDiv w:val="1"/>
      <w:marLeft w:val="0"/>
      <w:marRight w:val="0"/>
      <w:marTop w:val="0"/>
      <w:marBottom w:val="0"/>
      <w:divBdr>
        <w:top w:val="none" w:sz="0" w:space="0" w:color="auto"/>
        <w:left w:val="none" w:sz="0" w:space="0" w:color="auto"/>
        <w:bottom w:val="none" w:sz="0" w:space="0" w:color="auto"/>
        <w:right w:val="none" w:sz="0" w:space="0" w:color="auto"/>
      </w:divBdr>
    </w:div>
    <w:div w:id="486676611">
      <w:bodyDiv w:val="1"/>
      <w:marLeft w:val="0"/>
      <w:marRight w:val="0"/>
      <w:marTop w:val="0"/>
      <w:marBottom w:val="0"/>
      <w:divBdr>
        <w:top w:val="none" w:sz="0" w:space="0" w:color="auto"/>
        <w:left w:val="none" w:sz="0" w:space="0" w:color="auto"/>
        <w:bottom w:val="none" w:sz="0" w:space="0" w:color="auto"/>
        <w:right w:val="none" w:sz="0" w:space="0" w:color="auto"/>
      </w:divBdr>
    </w:div>
    <w:div w:id="491215408">
      <w:bodyDiv w:val="1"/>
      <w:marLeft w:val="0"/>
      <w:marRight w:val="0"/>
      <w:marTop w:val="0"/>
      <w:marBottom w:val="0"/>
      <w:divBdr>
        <w:top w:val="none" w:sz="0" w:space="0" w:color="auto"/>
        <w:left w:val="none" w:sz="0" w:space="0" w:color="auto"/>
        <w:bottom w:val="none" w:sz="0" w:space="0" w:color="auto"/>
        <w:right w:val="none" w:sz="0" w:space="0" w:color="auto"/>
      </w:divBdr>
    </w:div>
    <w:div w:id="492451333">
      <w:bodyDiv w:val="1"/>
      <w:marLeft w:val="0"/>
      <w:marRight w:val="0"/>
      <w:marTop w:val="0"/>
      <w:marBottom w:val="0"/>
      <w:divBdr>
        <w:top w:val="none" w:sz="0" w:space="0" w:color="auto"/>
        <w:left w:val="none" w:sz="0" w:space="0" w:color="auto"/>
        <w:bottom w:val="none" w:sz="0" w:space="0" w:color="auto"/>
        <w:right w:val="none" w:sz="0" w:space="0" w:color="auto"/>
      </w:divBdr>
    </w:div>
    <w:div w:id="508259044">
      <w:bodyDiv w:val="1"/>
      <w:marLeft w:val="0"/>
      <w:marRight w:val="0"/>
      <w:marTop w:val="0"/>
      <w:marBottom w:val="0"/>
      <w:divBdr>
        <w:top w:val="none" w:sz="0" w:space="0" w:color="auto"/>
        <w:left w:val="none" w:sz="0" w:space="0" w:color="auto"/>
        <w:bottom w:val="none" w:sz="0" w:space="0" w:color="auto"/>
        <w:right w:val="none" w:sz="0" w:space="0" w:color="auto"/>
      </w:divBdr>
    </w:div>
    <w:div w:id="512230961">
      <w:bodyDiv w:val="1"/>
      <w:marLeft w:val="0"/>
      <w:marRight w:val="0"/>
      <w:marTop w:val="0"/>
      <w:marBottom w:val="0"/>
      <w:divBdr>
        <w:top w:val="none" w:sz="0" w:space="0" w:color="auto"/>
        <w:left w:val="none" w:sz="0" w:space="0" w:color="auto"/>
        <w:bottom w:val="none" w:sz="0" w:space="0" w:color="auto"/>
        <w:right w:val="none" w:sz="0" w:space="0" w:color="auto"/>
      </w:divBdr>
    </w:div>
    <w:div w:id="515273194">
      <w:bodyDiv w:val="1"/>
      <w:marLeft w:val="0"/>
      <w:marRight w:val="0"/>
      <w:marTop w:val="0"/>
      <w:marBottom w:val="0"/>
      <w:divBdr>
        <w:top w:val="none" w:sz="0" w:space="0" w:color="auto"/>
        <w:left w:val="none" w:sz="0" w:space="0" w:color="auto"/>
        <w:bottom w:val="none" w:sz="0" w:space="0" w:color="auto"/>
        <w:right w:val="none" w:sz="0" w:space="0" w:color="auto"/>
      </w:divBdr>
      <w:divsChild>
        <w:div w:id="1078097218">
          <w:marLeft w:val="0"/>
          <w:marRight w:val="0"/>
          <w:marTop w:val="0"/>
          <w:marBottom w:val="0"/>
          <w:divBdr>
            <w:top w:val="none" w:sz="0" w:space="0" w:color="auto"/>
            <w:left w:val="none" w:sz="0" w:space="0" w:color="auto"/>
            <w:bottom w:val="none" w:sz="0" w:space="0" w:color="auto"/>
            <w:right w:val="none" w:sz="0" w:space="0" w:color="auto"/>
          </w:divBdr>
          <w:divsChild>
            <w:div w:id="996805254">
              <w:marLeft w:val="0"/>
              <w:marRight w:val="0"/>
              <w:marTop w:val="0"/>
              <w:marBottom w:val="0"/>
              <w:divBdr>
                <w:top w:val="none" w:sz="0" w:space="0" w:color="auto"/>
                <w:left w:val="none" w:sz="0" w:space="0" w:color="auto"/>
                <w:bottom w:val="none" w:sz="0" w:space="0" w:color="auto"/>
                <w:right w:val="none" w:sz="0" w:space="0" w:color="auto"/>
              </w:divBdr>
              <w:divsChild>
                <w:div w:id="16209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4904">
      <w:bodyDiv w:val="1"/>
      <w:marLeft w:val="0"/>
      <w:marRight w:val="0"/>
      <w:marTop w:val="0"/>
      <w:marBottom w:val="0"/>
      <w:divBdr>
        <w:top w:val="none" w:sz="0" w:space="0" w:color="auto"/>
        <w:left w:val="none" w:sz="0" w:space="0" w:color="auto"/>
        <w:bottom w:val="none" w:sz="0" w:space="0" w:color="auto"/>
        <w:right w:val="none" w:sz="0" w:space="0" w:color="auto"/>
      </w:divBdr>
    </w:div>
    <w:div w:id="521745316">
      <w:bodyDiv w:val="1"/>
      <w:marLeft w:val="0"/>
      <w:marRight w:val="0"/>
      <w:marTop w:val="0"/>
      <w:marBottom w:val="0"/>
      <w:divBdr>
        <w:top w:val="none" w:sz="0" w:space="0" w:color="auto"/>
        <w:left w:val="none" w:sz="0" w:space="0" w:color="auto"/>
        <w:bottom w:val="none" w:sz="0" w:space="0" w:color="auto"/>
        <w:right w:val="none" w:sz="0" w:space="0" w:color="auto"/>
      </w:divBdr>
    </w:div>
    <w:div w:id="530533924">
      <w:bodyDiv w:val="1"/>
      <w:marLeft w:val="0"/>
      <w:marRight w:val="0"/>
      <w:marTop w:val="0"/>
      <w:marBottom w:val="0"/>
      <w:divBdr>
        <w:top w:val="none" w:sz="0" w:space="0" w:color="auto"/>
        <w:left w:val="none" w:sz="0" w:space="0" w:color="auto"/>
        <w:bottom w:val="none" w:sz="0" w:space="0" w:color="auto"/>
        <w:right w:val="none" w:sz="0" w:space="0" w:color="auto"/>
      </w:divBdr>
    </w:div>
    <w:div w:id="533420902">
      <w:bodyDiv w:val="1"/>
      <w:marLeft w:val="0"/>
      <w:marRight w:val="0"/>
      <w:marTop w:val="0"/>
      <w:marBottom w:val="0"/>
      <w:divBdr>
        <w:top w:val="none" w:sz="0" w:space="0" w:color="auto"/>
        <w:left w:val="none" w:sz="0" w:space="0" w:color="auto"/>
        <w:bottom w:val="none" w:sz="0" w:space="0" w:color="auto"/>
        <w:right w:val="none" w:sz="0" w:space="0" w:color="auto"/>
      </w:divBdr>
    </w:div>
    <w:div w:id="536553871">
      <w:bodyDiv w:val="1"/>
      <w:marLeft w:val="0"/>
      <w:marRight w:val="0"/>
      <w:marTop w:val="0"/>
      <w:marBottom w:val="0"/>
      <w:divBdr>
        <w:top w:val="none" w:sz="0" w:space="0" w:color="auto"/>
        <w:left w:val="none" w:sz="0" w:space="0" w:color="auto"/>
        <w:bottom w:val="none" w:sz="0" w:space="0" w:color="auto"/>
        <w:right w:val="none" w:sz="0" w:space="0" w:color="auto"/>
      </w:divBdr>
    </w:div>
    <w:div w:id="543370706">
      <w:bodyDiv w:val="1"/>
      <w:marLeft w:val="0"/>
      <w:marRight w:val="0"/>
      <w:marTop w:val="0"/>
      <w:marBottom w:val="0"/>
      <w:divBdr>
        <w:top w:val="none" w:sz="0" w:space="0" w:color="auto"/>
        <w:left w:val="none" w:sz="0" w:space="0" w:color="auto"/>
        <w:bottom w:val="none" w:sz="0" w:space="0" w:color="auto"/>
        <w:right w:val="none" w:sz="0" w:space="0" w:color="auto"/>
      </w:divBdr>
    </w:div>
    <w:div w:id="547104284">
      <w:bodyDiv w:val="1"/>
      <w:marLeft w:val="0"/>
      <w:marRight w:val="0"/>
      <w:marTop w:val="0"/>
      <w:marBottom w:val="0"/>
      <w:divBdr>
        <w:top w:val="none" w:sz="0" w:space="0" w:color="auto"/>
        <w:left w:val="none" w:sz="0" w:space="0" w:color="auto"/>
        <w:bottom w:val="none" w:sz="0" w:space="0" w:color="auto"/>
        <w:right w:val="none" w:sz="0" w:space="0" w:color="auto"/>
      </w:divBdr>
    </w:div>
    <w:div w:id="548952143">
      <w:bodyDiv w:val="1"/>
      <w:marLeft w:val="0"/>
      <w:marRight w:val="0"/>
      <w:marTop w:val="0"/>
      <w:marBottom w:val="0"/>
      <w:divBdr>
        <w:top w:val="none" w:sz="0" w:space="0" w:color="auto"/>
        <w:left w:val="none" w:sz="0" w:space="0" w:color="auto"/>
        <w:bottom w:val="none" w:sz="0" w:space="0" w:color="auto"/>
        <w:right w:val="none" w:sz="0" w:space="0" w:color="auto"/>
      </w:divBdr>
      <w:divsChild>
        <w:div w:id="1112899327">
          <w:marLeft w:val="1166"/>
          <w:marRight w:val="0"/>
          <w:marTop w:val="67"/>
          <w:marBottom w:val="0"/>
          <w:divBdr>
            <w:top w:val="none" w:sz="0" w:space="0" w:color="auto"/>
            <w:left w:val="none" w:sz="0" w:space="0" w:color="auto"/>
            <w:bottom w:val="none" w:sz="0" w:space="0" w:color="auto"/>
            <w:right w:val="none" w:sz="0" w:space="0" w:color="auto"/>
          </w:divBdr>
        </w:div>
        <w:div w:id="1789395410">
          <w:marLeft w:val="1166"/>
          <w:marRight w:val="0"/>
          <w:marTop w:val="67"/>
          <w:marBottom w:val="0"/>
          <w:divBdr>
            <w:top w:val="none" w:sz="0" w:space="0" w:color="auto"/>
            <w:left w:val="none" w:sz="0" w:space="0" w:color="auto"/>
            <w:bottom w:val="none" w:sz="0" w:space="0" w:color="auto"/>
            <w:right w:val="none" w:sz="0" w:space="0" w:color="auto"/>
          </w:divBdr>
        </w:div>
        <w:div w:id="649528184">
          <w:marLeft w:val="1166"/>
          <w:marRight w:val="0"/>
          <w:marTop w:val="67"/>
          <w:marBottom w:val="0"/>
          <w:divBdr>
            <w:top w:val="none" w:sz="0" w:space="0" w:color="auto"/>
            <w:left w:val="none" w:sz="0" w:space="0" w:color="auto"/>
            <w:bottom w:val="none" w:sz="0" w:space="0" w:color="auto"/>
            <w:right w:val="none" w:sz="0" w:space="0" w:color="auto"/>
          </w:divBdr>
        </w:div>
        <w:div w:id="1998458808">
          <w:marLeft w:val="547"/>
          <w:marRight w:val="0"/>
          <w:marTop w:val="86"/>
          <w:marBottom w:val="0"/>
          <w:divBdr>
            <w:top w:val="none" w:sz="0" w:space="0" w:color="auto"/>
            <w:left w:val="none" w:sz="0" w:space="0" w:color="auto"/>
            <w:bottom w:val="none" w:sz="0" w:space="0" w:color="auto"/>
            <w:right w:val="none" w:sz="0" w:space="0" w:color="auto"/>
          </w:divBdr>
        </w:div>
      </w:divsChild>
    </w:div>
    <w:div w:id="549146706">
      <w:bodyDiv w:val="1"/>
      <w:marLeft w:val="0"/>
      <w:marRight w:val="0"/>
      <w:marTop w:val="0"/>
      <w:marBottom w:val="0"/>
      <w:divBdr>
        <w:top w:val="none" w:sz="0" w:space="0" w:color="auto"/>
        <w:left w:val="none" w:sz="0" w:space="0" w:color="auto"/>
        <w:bottom w:val="none" w:sz="0" w:space="0" w:color="auto"/>
        <w:right w:val="none" w:sz="0" w:space="0" w:color="auto"/>
      </w:divBdr>
    </w:div>
    <w:div w:id="554969036">
      <w:bodyDiv w:val="1"/>
      <w:marLeft w:val="0"/>
      <w:marRight w:val="0"/>
      <w:marTop w:val="0"/>
      <w:marBottom w:val="0"/>
      <w:divBdr>
        <w:top w:val="none" w:sz="0" w:space="0" w:color="auto"/>
        <w:left w:val="none" w:sz="0" w:space="0" w:color="auto"/>
        <w:bottom w:val="none" w:sz="0" w:space="0" w:color="auto"/>
        <w:right w:val="none" w:sz="0" w:space="0" w:color="auto"/>
      </w:divBdr>
    </w:div>
    <w:div w:id="556205257">
      <w:bodyDiv w:val="1"/>
      <w:marLeft w:val="0"/>
      <w:marRight w:val="0"/>
      <w:marTop w:val="0"/>
      <w:marBottom w:val="0"/>
      <w:divBdr>
        <w:top w:val="none" w:sz="0" w:space="0" w:color="auto"/>
        <w:left w:val="none" w:sz="0" w:space="0" w:color="auto"/>
        <w:bottom w:val="none" w:sz="0" w:space="0" w:color="auto"/>
        <w:right w:val="none" w:sz="0" w:space="0" w:color="auto"/>
      </w:divBdr>
    </w:div>
    <w:div w:id="563151191">
      <w:bodyDiv w:val="1"/>
      <w:marLeft w:val="0"/>
      <w:marRight w:val="0"/>
      <w:marTop w:val="0"/>
      <w:marBottom w:val="0"/>
      <w:divBdr>
        <w:top w:val="none" w:sz="0" w:space="0" w:color="auto"/>
        <w:left w:val="none" w:sz="0" w:space="0" w:color="auto"/>
        <w:bottom w:val="none" w:sz="0" w:space="0" w:color="auto"/>
        <w:right w:val="none" w:sz="0" w:space="0" w:color="auto"/>
      </w:divBdr>
    </w:div>
    <w:div w:id="563370777">
      <w:bodyDiv w:val="1"/>
      <w:marLeft w:val="0"/>
      <w:marRight w:val="0"/>
      <w:marTop w:val="0"/>
      <w:marBottom w:val="0"/>
      <w:divBdr>
        <w:top w:val="none" w:sz="0" w:space="0" w:color="auto"/>
        <w:left w:val="none" w:sz="0" w:space="0" w:color="auto"/>
        <w:bottom w:val="none" w:sz="0" w:space="0" w:color="auto"/>
        <w:right w:val="none" w:sz="0" w:space="0" w:color="auto"/>
      </w:divBdr>
    </w:div>
    <w:div w:id="566844905">
      <w:bodyDiv w:val="1"/>
      <w:marLeft w:val="0"/>
      <w:marRight w:val="0"/>
      <w:marTop w:val="0"/>
      <w:marBottom w:val="0"/>
      <w:divBdr>
        <w:top w:val="none" w:sz="0" w:space="0" w:color="auto"/>
        <w:left w:val="none" w:sz="0" w:space="0" w:color="auto"/>
        <w:bottom w:val="none" w:sz="0" w:space="0" w:color="auto"/>
        <w:right w:val="none" w:sz="0" w:space="0" w:color="auto"/>
      </w:divBdr>
    </w:div>
    <w:div w:id="576939084">
      <w:bodyDiv w:val="1"/>
      <w:marLeft w:val="0"/>
      <w:marRight w:val="0"/>
      <w:marTop w:val="0"/>
      <w:marBottom w:val="0"/>
      <w:divBdr>
        <w:top w:val="none" w:sz="0" w:space="0" w:color="auto"/>
        <w:left w:val="none" w:sz="0" w:space="0" w:color="auto"/>
        <w:bottom w:val="none" w:sz="0" w:space="0" w:color="auto"/>
        <w:right w:val="none" w:sz="0" w:space="0" w:color="auto"/>
      </w:divBdr>
    </w:div>
    <w:div w:id="581453831">
      <w:bodyDiv w:val="1"/>
      <w:marLeft w:val="0"/>
      <w:marRight w:val="0"/>
      <w:marTop w:val="0"/>
      <w:marBottom w:val="0"/>
      <w:divBdr>
        <w:top w:val="none" w:sz="0" w:space="0" w:color="auto"/>
        <w:left w:val="none" w:sz="0" w:space="0" w:color="auto"/>
        <w:bottom w:val="none" w:sz="0" w:space="0" w:color="auto"/>
        <w:right w:val="none" w:sz="0" w:space="0" w:color="auto"/>
      </w:divBdr>
    </w:div>
    <w:div w:id="584462282">
      <w:bodyDiv w:val="1"/>
      <w:marLeft w:val="0"/>
      <w:marRight w:val="0"/>
      <w:marTop w:val="0"/>
      <w:marBottom w:val="0"/>
      <w:divBdr>
        <w:top w:val="none" w:sz="0" w:space="0" w:color="auto"/>
        <w:left w:val="none" w:sz="0" w:space="0" w:color="auto"/>
        <w:bottom w:val="none" w:sz="0" w:space="0" w:color="auto"/>
        <w:right w:val="none" w:sz="0" w:space="0" w:color="auto"/>
      </w:divBdr>
    </w:div>
    <w:div w:id="587348314">
      <w:bodyDiv w:val="1"/>
      <w:marLeft w:val="0"/>
      <w:marRight w:val="0"/>
      <w:marTop w:val="0"/>
      <w:marBottom w:val="0"/>
      <w:divBdr>
        <w:top w:val="none" w:sz="0" w:space="0" w:color="auto"/>
        <w:left w:val="none" w:sz="0" w:space="0" w:color="auto"/>
        <w:bottom w:val="none" w:sz="0" w:space="0" w:color="auto"/>
        <w:right w:val="none" w:sz="0" w:space="0" w:color="auto"/>
      </w:divBdr>
    </w:div>
    <w:div w:id="588003087">
      <w:bodyDiv w:val="1"/>
      <w:marLeft w:val="0"/>
      <w:marRight w:val="0"/>
      <w:marTop w:val="0"/>
      <w:marBottom w:val="0"/>
      <w:divBdr>
        <w:top w:val="none" w:sz="0" w:space="0" w:color="auto"/>
        <w:left w:val="none" w:sz="0" w:space="0" w:color="auto"/>
        <w:bottom w:val="none" w:sz="0" w:space="0" w:color="auto"/>
        <w:right w:val="none" w:sz="0" w:space="0" w:color="auto"/>
      </w:divBdr>
    </w:div>
    <w:div w:id="590822742">
      <w:bodyDiv w:val="1"/>
      <w:marLeft w:val="0"/>
      <w:marRight w:val="0"/>
      <w:marTop w:val="0"/>
      <w:marBottom w:val="0"/>
      <w:divBdr>
        <w:top w:val="none" w:sz="0" w:space="0" w:color="auto"/>
        <w:left w:val="none" w:sz="0" w:space="0" w:color="auto"/>
        <w:bottom w:val="none" w:sz="0" w:space="0" w:color="auto"/>
        <w:right w:val="none" w:sz="0" w:space="0" w:color="auto"/>
      </w:divBdr>
    </w:div>
    <w:div w:id="599412137">
      <w:bodyDiv w:val="1"/>
      <w:marLeft w:val="0"/>
      <w:marRight w:val="0"/>
      <w:marTop w:val="0"/>
      <w:marBottom w:val="0"/>
      <w:divBdr>
        <w:top w:val="none" w:sz="0" w:space="0" w:color="auto"/>
        <w:left w:val="none" w:sz="0" w:space="0" w:color="auto"/>
        <w:bottom w:val="none" w:sz="0" w:space="0" w:color="auto"/>
        <w:right w:val="none" w:sz="0" w:space="0" w:color="auto"/>
      </w:divBdr>
      <w:divsChild>
        <w:div w:id="1743984730">
          <w:marLeft w:val="547"/>
          <w:marRight w:val="0"/>
          <w:marTop w:val="110"/>
          <w:marBottom w:val="0"/>
          <w:divBdr>
            <w:top w:val="none" w:sz="0" w:space="0" w:color="auto"/>
            <w:left w:val="none" w:sz="0" w:space="0" w:color="auto"/>
            <w:bottom w:val="none" w:sz="0" w:space="0" w:color="auto"/>
            <w:right w:val="none" w:sz="0" w:space="0" w:color="auto"/>
          </w:divBdr>
        </w:div>
        <w:div w:id="306709240">
          <w:marLeft w:val="547"/>
          <w:marRight w:val="0"/>
          <w:marTop w:val="110"/>
          <w:marBottom w:val="0"/>
          <w:divBdr>
            <w:top w:val="none" w:sz="0" w:space="0" w:color="auto"/>
            <w:left w:val="none" w:sz="0" w:space="0" w:color="auto"/>
            <w:bottom w:val="none" w:sz="0" w:space="0" w:color="auto"/>
            <w:right w:val="none" w:sz="0" w:space="0" w:color="auto"/>
          </w:divBdr>
        </w:div>
        <w:div w:id="691734359">
          <w:marLeft w:val="547"/>
          <w:marRight w:val="0"/>
          <w:marTop w:val="110"/>
          <w:marBottom w:val="0"/>
          <w:divBdr>
            <w:top w:val="none" w:sz="0" w:space="0" w:color="auto"/>
            <w:left w:val="none" w:sz="0" w:space="0" w:color="auto"/>
            <w:bottom w:val="none" w:sz="0" w:space="0" w:color="auto"/>
            <w:right w:val="none" w:sz="0" w:space="0" w:color="auto"/>
          </w:divBdr>
        </w:div>
      </w:divsChild>
    </w:div>
    <w:div w:id="602759530">
      <w:bodyDiv w:val="1"/>
      <w:marLeft w:val="0"/>
      <w:marRight w:val="0"/>
      <w:marTop w:val="0"/>
      <w:marBottom w:val="0"/>
      <w:divBdr>
        <w:top w:val="none" w:sz="0" w:space="0" w:color="auto"/>
        <w:left w:val="none" w:sz="0" w:space="0" w:color="auto"/>
        <w:bottom w:val="none" w:sz="0" w:space="0" w:color="auto"/>
        <w:right w:val="none" w:sz="0" w:space="0" w:color="auto"/>
      </w:divBdr>
    </w:div>
    <w:div w:id="602954444">
      <w:bodyDiv w:val="1"/>
      <w:marLeft w:val="0"/>
      <w:marRight w:val="0"/>
      <w:marTop w:val="0"/>
      <w:marBottom w:val="0"/>
      <w:divBdr>
        <w:top w:val="none" w:sz="0" w:space="0" w:color="auto"/>
        <w:left w:val="none" w:sz="0" w:space="0" w:color="auto"/>
        <w:bottom w:val="none" w:sz="0" w:space="0" w:color="auto"/>
        <w:right w:val="none" w:sz="0" w:space="0" w:color="auto"/>
      </w:divBdr>
    </w:div>
    <w:div w:id="604580671">
      <w:bodyDiv w:val="1"/>
      <w:marLeft w:val="0"/>
      <w:marRight w:val="0"/>
      <w:marTop w:val="0"/>
      <w:marBottom w:val="0"/>
      <w:divBdr>
        <w:top w:val="none" w:sz="0" w:space="0" w:color="auto"/>
        <w:left w:val="none" w:sz="0" w:space="0" w:color="auto"/>
        <w:bottom w:val="none" w:sz="0" w:space="0" w:color="auto"/>
        <w:right w:val="none" w:sz="0" w:space="0" w:color="auto"/>
      </w:divBdr>
    </w:div>
    <w:div w:id="605625360">
      <w:bodyDiv w:val="1"/>
      <w:marLeft w:val="0"/>
      <w:marRight w:val="0"/>
      <w:marTop w:val="0"/>
      <w:marBottom w:val="0"/>
      <w:divBdr>
        <w:top w:val="none" w:sz="0" w:space="0" w:color="auto"/>
        <w:left w:val="none" w:sz="0" w:space="0" w:color="auto"/>
        <w:bottom w:val="none" w:sz="0" w:space="0" w:color="auto"/>
        <w:right w:val="none" w:sz="0" w:space="0" w:color="auto"/>
      </w:divBdr>
    </w:div>
    <w:div w:id="606039087">
      <w:bodyDiv w:val="1"/>
      <w:marLeft w:val="0"/>
      <w:marRight w:val="0"/>
      <w:marTop w:val="0"/>
      <w:marBottom w:val="0"/>
      <w:divBdr>
        <w:top w:val="none" w:sz="0" w:space="0" w:color="auto"/>
        <w:left w:val="none" w:sz="0" w:space="0" w:color="auto"/>
        <w:bottom w:val="none" w:sz="0" w:space="0" w:color="auto"/>
        <w:right w:val="none" w:sz="0" w:space="0" w:color="auto"/>
      </w:divBdr>
    </w:div>
    <w:div w:id="607810799">
      <w:bodyDiv w:val="1"/>
      <w:marLeft w:val="0"/>
      <w:marRight w:val="0"/>
      <w:marTop w:val="0"/>
      <w:marBottom w:val="0"/>
      <w:divBdr>
        <w:top w:val="none" w:sz="0" w:space="0" w:color="auto"/>
        <w:left w:val="none" w:sz="0" w:space="0" w:color="auto"/>
        <w:bottom w:val="none" w:sz="0" w:space="0" w:color="auto"/>
        <w:right w:val="none" w:sz="0" w:space="0" w:color="auto"/>
      </w:divBdr>
    </w:div>
    <w:div w:id="609899928">
      <w:bodyDiv w:val="1"/>
      <w:marLeft w:val="0"/>
      <w:marRight w:val="0"/>
      <w:marTop w:val="0"/>
      <w:marBottom w:val="0"/>
      <w:divBdr>
        <w:top w:val="none" w:sz="0" w:space="0" w:color="auto"/>
        <w:left w:val="none" w:sz="0" w:space="0" w:color="auto"/>
        <w:bottom w:val="none" w:sz="0" w:space="0" w:color="auto"/>
        <w:right w:val="none" w:sz="0" w:space="0" w:color="auto"/>
      </w:divBdr>
    </w:div>
    <w:div w:id="616378933">
      <w:bodyDiv w:val="1"/>
      <w:marLeft w:val="0"/>
      <w:marRight w:val="0"/>
      <w:marTop w:val="0"/>
      <w:marBottom w:val="0"/>
      <w:divBdr>
        <w:top w:val="none" w:sz="0" w:space="0" w:color="auto"/>
        <w:left w:val="none" w:sz="0" w:space="0" w:color="auto"/>
        <w:bottom w:val="none" w:sz="0" w:space="0" w:color="auto"/>
        <w:right w:val="none" w:sz="0" w:space="0" w:color="auto"/>
      </w:divBdr>
    </w:div>
    <w:div w:id="627008052">
      <w:bodyDiv w:val="1"/>
      <w:marLeft w:val="0"/>
      <w:marRight w:val="0"/>
      <w:marTop w:val="0"/>
      <w:marBottom w:val="0"/>
      <w:divBdr>
        <w:top w:val="none" w:sz="0" w:space="0" w:color="auto"/>
        <w:left w:val="none" w:sz="0" w:space="0" w:color="auto"/>
        <w:bottom w:val="none" w:sz="0" w:space="0" w:color="auto"/>
        <w:right w:val="none" w:sz="0" w:space="0" w:color="auto"/>
      </w:divBdr>
    </w:div>
    <w:div w:id="636422252">
      <w:bodyDiv w:val="1"/>
      <w:marLeft w:val="0"/>
      <w:marRight w:val="0"/>
      <w:marTop w:val="0"/>
      <w:marBottom w:val="0"/>
      <w:divBdr>
        <w:top w:val="none" w:sz="0" w:space="0" w:color="auto"/>
        <w:left w:val="none" w:sz="0" w:space="0" w:color="auto"/>
        <w:bottom w:val="none" w:sz="0" w:space="0" w:color="auto"/>
        <w:right w:val="none" w:sz="0" w:space="0" w:color="auto"/>
      </w:divBdr>
    </w:div>
    <w:div w:id="638075180">
      <w:bodyDiv w:val="1"/>
      <w:marLeft w:val="0"/>
      <w:marRight w:val="0"/>
      <w:marTop w:val="0"/>
      <w:marBottom w:val="0"/>
      <w:divBdr>
        <w:top w:val="none" w:sz="0" w:space="0" w:color="auto"/>
        <w:left w:val="none" w:sz="0" w:space="0" w:color="auto"/>
        <w:bottom w:val="none" w:sz="0" w:space="0" w:color="auto"/>
        <w:right w:val="none" w:sz="0" w:space="0" w:color="auto"/>
      </w:divBdr>
    </w:div>
    <w:div w:id="647369110">
      <w:bodyDiv w:val="1"/>
      <w:marLeft w:val="0"/>
      <w:marRight w:val="0"/>
      <w:marTop w:val="0"/>
      <w:marBottom w:val="0"/>
      <w:divBdr>
        <w:top w:val="none" w:sz="0" w:space="0" w:color="auto"/>
        <w:left w:val="none" w:sz="0" w:space="0" w:color="auto"/>
        <w:bottom w:val="none" w:sz="0" w:space="0" w:color="auto"/>
        <w:right w:val="none" w:sz="0" w:space="0" w:color="auto"/>
      </w:divBdr>
    </w:div>
    <w:div w:id="647783486">
      <w:bodyDiv w:val="1"/>
      <w:marLeft w:val="0"/>
      <w:marRight w:val="0"/>
      <w:marTop w:val="0"/>
      <w:marBottom w:val="0"/>
      <w:divBdr>
        <w:top w:val="none" w:sz="0" w:space="0" w:color="auto"/>
        <w:left w:val="none" w:sz="0" w:space="0" w:color="auto"/>
        <w:bottom w:val="none" w:sz="0" w:space="0" w:color="auto"/>
        <w:right w:val="none" w:sz="0" w:space="0" w:color="auto"/>
      </w:divBdr>
    </w:div>
    <w:div w:id="651711948">
      <w:bodyDiv w:val="1"/>
      <w:marLeft w:val="0"/>
      <w:marRight w:val="0"/>
      <w:marTop w:val="0"/>
      <w:marBottom w:val="0"/>
      <w:divBdr>
        <w:top w:val="none" w:sz="0" w:space="0" w:color="auto"/>
        <w:left w:val="none" w:sz="0" w:space="0" w:color="auto"/>
        <w:bottom w:val="none" w:sz="0" w:space="0" w:color="auto"/>
        <w:right w:val="none" w:sz="0" w:space="0" w:color="auto"/>
      </w:divBdr>
    </w:div>
    <w:div w:id="656304421">
      <w:bodyDiv w:val="1"/>
      <w:marLeft w:val="0"/>
      <w:marRight w:val="0"/>
      <w:marTop w:val="0"/>
      <w:marBottom w:val="0"/>
      <w:divBdr>
        <w:top w:val="none" w:sz="0" w:space="0" w:color="auto"/>
        <w:left w:val="none" w:sz="0" w:space="0" w:color="auto"/>
        <w:bottom w:val="none" w:sz="0" w:space="0" w:color="auto"/>
        <w:right w:val="none" w:sz="0" w:space="0" w:color="auto"/>
      </w:divBdr>
    </w:div>
    <w:div w:id="660081078">
      <w:bodyDiv w:val="1"/>
      <w:marLeft w:val="0"/>
      <w:marRight w:val="0"/>
      <w:marTop w:val="0"/>
      <w:marBottom w:val="0"/>
      <w:divBdr>
        <w:top w:val="none" w:sz="0" w:space="0" w:color="auto"/>
        <w:left w:val="none" w:sz="0" w:space="0" w:color="auto"/>
        <w:bottom w:val="none" w:sz="0" w:space="0" w:color="auto"/>
        <w:right w:val="none" w:sz="0" w:space="0" w:color="auto"/>
      </w:divBdr>
    </w:div>
    <w:div w:id="662045490">
      <w:bodyDiv w:val="1"/>
      <w:marLeft w:val="0"/>
      <w:marRight w:val="0"/>
      <w:marTop w:val="0"/>
      <w:marBottom w:val="0"/>
      <w:divBdr>
        <w:top w:val="none" w:sz="0" w:space="0" w:color="auto"/>
        <w:left w:val="none" w:sz="0" w:space="0" w:color="auto"/>
        <w:bottom w:val="none" w:sz="0" w:space="0" w:color="auto"/>
        <w:right w:val="none" w:sz="0" w:space="0" w:color="auto"/>
      </w:divBdr>
    </w:div>
    <w:div w:id="663321404">
      <w:bodyDiv w:val="1"/>
      <w:marLeft w:val="0"/>
      <w:marRight w:val="0"/>
      <w:marTop w:val="0"/>
      <w:marBottom w:val="0"/>
      <w:divBdr>
        <w:top w:val="none" w:sz="0" w:space="0" w:color="auto"/>
        <w:left w:val="none" w:sz="0" w:space="0" w:color="auto"/>
        <w:bottom w:val="none" w:sz="0" w:space="0" w:color="auto"/>
        <w:right w:val="none" w:sz="0" w:space="0" w:color="auto"/>
      </w:divBdr>
    </w:div>
    <w:div w:id="669024200">
      <w:bodyDiv w:val="1"/>
      <w:marLeft w:val="0"/>
      <w:marRight w:val="0"/>
      <w:marTop w:val="0"/>
      <w:marBottom w:val="0"/>
      <w:divBdr>
        <w:top w:val="none" w:sz="0" w:space="0" w:color="auto"/>
        <w:left w:val="none" w:sz="0" w:space="0" w:color="auto"/>
        <w:bottom w:val="none" w:sz="0" w:space="0" w:color="auto"/>
        <w:right w:val="none" w:sz="0" w:space="0" w:color="auto"/>
      </w:divBdr>
    </w:div>
    <w:div w:id="673187970">
      <w:bodyDiv w:val="1"/>
      <w:marLeft w:val="0"/>
      <w:marRight w:val="0"/>
      <w:marTop w:val="0"/>
      <w:marBottom w:val="0"/>
      <w:divBdr>
        <w:top w:val="none" w:sz="0" w:space="0" w:color="auto"/>
        <w:left w:val="none" w:sz="0" w:space="0" w:color="auto"/>
        <w:bottom w:val="none" w:sz="0" w:space="0" w:color="auto"/>
        <w:right w:val="none" w:sz="0" w:space="0" w:color="auto"/>
      </w:divBdr>
    </w:div>
    <w:div w:id="673453461">
      <w:bodyDiv w:val="1"/>
      <w:marLeft w:val="0"/>
      <w:marRight w:val="0"/>
      <w:marTop w:val="0"/>
      <w:marBottom w:val="0"/>
      <w:divBdr>
        <w:top w:val="none" w:sz="0" w:space="0" w:color="auto"/>
        <w:left w:val="none" w:sz="0" w:space="0" w:color="auto"/>
        <w:bottom w:val="none" w:sz="0" w:space="0" w:color="auto"/>
        <w:right w:val="none" w:sz="0" w:space="0" w:color="auto"/>
      </w:divBdr>
    </w:div>
    <w:div w:id="675229957">
      <w:bodyDiv w:val="1"/>
      <w:marLeft w:val="0"/>
      <w:marRight w:val="0"/>
      <w:marTop w:val="0"/>
      <w:marBottom w:val="0"/>
      <w:divBdr>
        <w:top w:val="none" w:sz="0" w:space="0" w:color="auto"/>
        <w:left w:val="none" w:sz="0" w:space="0" w:color="auto"/>
        <w:bottom w:val="none" w:sz="0" w:space="0" w:color="auto"/>
        <w:right w:val="none" w:sz="0" w:space="0" w:color="auto"/>
      </w:divBdr>
    </w:div>
    <w:div w:id="675576568">
      <w:bodyDiv w:val="1"/>
      <w:marLeft w:val="0"/>
      <w:marRight w:val="0"/>
      <w:marTop w:val="0"/>
      <w:marBottom w:val="0"/>
      <w:divBdr>
        <w:top w:val="none" w:sz="0" w:space="0" w:color="auto"/>
        <w:left w:val="none" w:sz="0" w:space="0" w:color="auto"/>
        <w:bottom w:val="none" w:sz="0" w:space="0" w:color="auto"/>
        <w:right w:val="none" w:sz="0" w:space="0" w:color="auto"/>
      </w:divBdr>
    </w:div>
    <w:div w:id="681052532">
      <w:bodyDiv w:val="1"/>
      <w:marLeft w:val="0"/>
      <w:marRight w:val="0"/>
      <w:marTop w:val="0"/>
      <w:marBottom w:val="0"/>
      <w:divBdr>
        <w:top w:val="none" w:sz="0" w:space="0" w:color="auto"/>
        <w:left w:val="none" w:sz="0" w:space="0" w:color="auto"/>
        <w:bottom w:val="none" w:sz="0" w:space="0" w:color="auto"/>
        <w:right w:val="none" w:sz="0" w:space="0" w:color="auto"/>
      </w:divBdr>
    </w:div>
    <w:div w:id="683173742">
      <w:bodyDiv w:val="1"/>
      <w:marLeft w:val="0"/>
      <w:marRight w:val="0"/>
      <w:marTop w:val="0"/>
      <w:marBottom w:val="0"/>
      <w:divBdr>
        <w:top w:val="none" w:sz="0" w:space="0" w:color="auto"/>
        <w:left w:val="none" w:sz="0" w:space="0" w:color="auto"/>
        <w:bottom w:val="none" w:sz="0" w:space="0" w:color="auto"/>
        <w:right w:val="none" w:sz="0" w:space="0" w:color="auto"/>
      </w:divBdr>
    </w:div>
    <w:div w:id="685405605">
      <w:bodyDiv w:val="1"/>
      <w:marLeft w:val="0"/>
      <w:marRight w:val="0"/>
      <w:marTop w:val="0"/>
      <w:marBottom w:val="0"/>
      <w:divBdr>
        <w:top w:val="none" w:sz="0" w:space="0" w:color="auto"/>
        <w:left w:val="none" w:sz="0" w:space="0" w:color="auto"/>
        <w:bottom w:val="none" w:sz="0" w:space="0" w:color="auto"/>
        <w:right w:val="none" w:sz="0" w:space="0" w:color="auto"/>
      </w:divBdr>
    </w:div>
    <w:div w:id="687871373">
      <w:bodyDiv w:val="1"/>
      <w:marLeft w:val="0"/>
      <w:marRight w:val="0"/>
      <w:marTop w:val="0"/>
      <w:marBottom w:val="0"/>
      <w:divBdr>
        <w:top w:val="none" w:sz="0" w:space="0" w:color="auto"/>
        <w:left w:val="none" w:sz="0" w:space="0" w:color="auto"/>
        <w:bottom w:val="none" w:sz="0" w:space="0" w:color="auto"/>
        <w:right w:val="none" w:sz="0" w:space="0" w:color="auto"/>
      </w:divBdr>
    </w:div>
    <w:div w:id="688261954">
      <w:bodyDiv w:val="1"/>
      <w:marLeft w:val="0"/>
      <w:marRight w:val="0"/>
      <w:marTop w:val="0"/>
      <w:marBottom w:val="0"/>
      <w:divBdr>
        <w:top w:val="none" w:sz="0" w:space="0" w:color="auto"/>
        <w:left w:val="none" w:sz="0" w:space="0" w:color="auto"/>
        <w:bottom w:val="none" w:sz="0" w:space="0" w:color="auto"/>
        <w:right w:val="none" w:sz="0" w:space="0" w:color="auto"/>
      </w:divBdr>
      <w:divsChild>
        <w:div w:id="781264046">
          <w:marLeft w:val="0"/>
          <w:marRight w:val="0"/>
          <w:marTop w:val="0"/>
          <w:marBottom w:val="0"/>
          <w:divBdr>
            <w:top w:val="none" w:sz="0" w:space="0" w:color="auto"/>
            <w:left w:val="none" w:sz="0" w:space="0" w:color="auto"/>
            <w:bottom w:val="none" w:sz="0" w:space="0" w:color="auto"/>
            <w:right w:val="none" w:sz="0" w:space="0" w:color="auto"/>
          </w:divBdr>
          <w:divsChild>
            <w:div w:id="572738803">
              <w:marLeft w:val="0"/>
              <w:marRight w:val="0"/>
              <w:marTop w:val="0"/>
              <w:marBottom w:val="0"/>
              <w:divBdr>
                <w:top w:val="none" w:sz="0" w:space="0" w:color="auto"/>
                <w:left w:val="none" w:sz="0" w:space="0" w:color="auto"/>
                <w:bottom w:val="none" w:sz="0" w:space="0" w:color="auto"/>
                <w:right w:val="none" w:sz="0" w:space="0" w:color="auto"/>
              </w:divBdr>
              <w:divsChild>
                <w:div w:id="1898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5136">
      <w:bodyDiv w:val="1"/>
      <w:marLeft w:val="0"/>
      <w:marRight w:val="0"/>
      <w:marTop w:val="0"/>
      <w:marBottom w:val="0"/>
      <w:divBdr>
        <w:top w:val="none" w:sz="0" w:space="0" w:color="auto"/>
        <w:left w:val="none" w:sz="0" w:space="0" w:color="auto"/>
        <w:bottom w:val="none" w:sz="0" w:space="0" w:color="auto"/>
        <w:right w:val="none" w:sz="0" w:space="0" w:color="auto"/>
      </w:divBdr>
      <w:divsChild>
        <w:div w:id="1257439927">
          <w:marLeft w:val="0"/>
          <w:marRight w:val="0"/>
          <w:marTop w:val="0"/>
          <w:marBottom w:val="0"/>
          <w:divBdr>
            <w:top w:val="none" w:sz="0" w:space="0" w:color="auto"/>
            <w:left w:val="none" w:sz="0" w:space="0" w:color="auto"/>
            <w:bottom w:val="none" w:sz="0" w:space="0" w:color="auto"/>
            <w:right w:val="none" w:sz="0" w:space="0" w:color="auto"/>
          </w:divBdr>
          <w:divsChild>
            <w:div w:id="1133064040">
              <w:marLeft w:val="0"/>
              <w:marRight w:val="0"/>
              <w:marTop w:val="0"/>
              <w:marBottom w:val="0"/>
              <w:divBdr>
                <w:top w:val="none" w:sz="0" w:space="0" w:color="auto"/>
                <w:left w:val="none" w:sz="0" w:space="0" w:color="auto"/>
                <w:bottom w:val="none" w:sz="0" w:space="0" w:color="auto"/>
                <w:right w:val="none" w:sz="0" w:space="0" w:color="auto"/>
              </w:divBdr>
              <w:divsChild>
                <w:div w:id="782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7332">
      <w:bodyDiv w:val="1"/>
      <w:marLeft w:val="0"/>
      <w:marRight w:val="0"/>
      <w:marTop w:val="0"/>
      <w:marBottom w:val="0"/>
      <w:divBdr>
        <w:top w:val="none" w:sz="0" w:space="0" w:color="auto"/>
        <w:left w:val="none" w:sz="0" w:space="0" w:color="auto"/>
        <w:bottom w:val="none" w:sz="0" w:space="0" w:color="auto"/>
        <w:right w:val="none" w:sz="0" w:space="0" w:color="auto"/>
      </w:divBdr>
    </w:div>
    <w:div w:id="703749390">
      <w:bodyDiv w:val="1"/>
      <w:marLeft w:val="0"/>
      <w:marRight w:val="0"/>
      <w:marTop w:val="0"/>
      <w:marBottom w:val="0"/>
      <w:divBdr>
        <w:top w:val="none" w:sz="0" w:space="0" w:color="auto"/>
        <w:left w:val="none" w:sz="0" w:space="0" w:color="auto"/>
        <w:bottom w:val="none" w:sz="0" w:space="0" w:color="auto"/>
        <w:right w:val="none" w:sz="0" w:space="0" w:color="auto"/>
      </w:divBdr>
      <w:divsChild>
        <w:div w:id="1378361064">
          <w:marLeft w:val="0"/>
          <w:marRight w:val="0"/>
          <w:marTop w:val="0"/>
          <w:marBottom w:val="0"/>
          <w:divBdr>
            <w:top w:val="none" w:sz="0" w:space="0" w:color="auto"/>
            <w:left w:val="none" w:sz="0" w:space="0" w:color="auto"/>
            <w:bottom w:val="none" w:sz="0" w:space="0" w:color="auto"/>
            <w:right w:val="none" w:sz="0" w:space="0" w:color="auto"/>
          </w:divBdr>
        </w:div>
      </w:divsChild>
    </w:div>
    <w:div w:id="704410322">
      <w:bodyDiv w:val="1"/>
      <w:marLeft w:val="0"/>
      <w:marRight w:val="0"/>
      <w:marTop w:val="0"/>
      <w:marBottom w:val="0"/>
      <w:divBdr>
        <w:top w:val="none" w:sz="0" w:space="0" w:color="auto"/>
        <w:left w:val="none" w:sz="0" w:space="0" w:color="auto"/>
        <w:bottom w:val="none" w:sz="0" w:space="0" w:color="auto"/>
        <w:right w:val="none" w:sz="0" w:space="0" w:color="auto"/>
      </w:divBdr>
    </w:div>
    <w:div w:id="706101532">
      <w:bodyDiv w:val="1"/>
      <w:marLeft w:val="0"/>
      <w:marRight w:val="0"/>
      <w:marTop w:val="0"/>
      <w:marBottom w:val="0"/>
      <w:divBdr>
        <w:top w:val="none" w:sz="0" w:space="0" w:color="auto"/>
        <w:left w:val="none" w:sz="0" w:space="0" w:color="auto"/>
        <w:bottom w:val="none" w:sz="0" w:space="0" w:color="auto"/>
        <w:right w:val="none" w:sz="0" w:space="0" w:color="auto"/>
      </w:divBdr>
    </w:div>
    <w:div w:id="710420062">
      <w:bodyDiv w:val="1"/>
      <w:marLeft w:val="0"/>
      <w:marRight w:val="0"/>
      <w:marTop w:val="0"/>
      <w:marBottom w:val="0"/>
      <w:divBdr>
        <w:top w:val="none" w:sz="0" w:space="0" w:color="auto"/>
        <w:left w:val="none" w:sz="0" w:space="0" w:color="auto"/>
        <w:bottom w:val="none" w:sz="0" w:space="0" w:color="auto"/>
        <w:right w:val="none" w:sz="0" w:space="0" w:color="auto"/>
      </w:divBdr>
    </w:div>
    <w:div w:id="713043269">
      <w:bodyDiv w:val="1"/>
      <w:marLeft w:val="0"/>
      <w:marRight w:val="0"/>
      <w:marTop w:val="0"/>
      <w:marBottom w:val="0"/>
      <w:divBdr>
        <w:top w:val="none" w:sz="0" w:space="0" w:color="auto"/>
        <w:left w:val="none" w:sz="0" w:space="0" w:color="auto"/>
        <w:bottom w:val="none" w:sz="0" w:space="0" w:color="auto"/>
        <w:right w:val="none" w:sz="0" w:space="0" w:color="auto"/>
      </w:divBdr>
    </w:div>
    <w:div w:id="714701507">
      <w:bodyDiv w:val="1"/>
      <w:marLeft w:val="0"/>
      <w:marRight w:val="0"/>
      <w:marTop w:val="0"/>
      <w:marBottom w:val="0"/>
      <w:divBdr>
        <w:top w:val="none" w:sz="0" w:space="0" w:color="auto"/>
        <w:left w:val="none" w:sz="0" w:space="0" w:color="auto"/>
        <w:bottom w:val="none" w:sz="0" w:space="0" w:color="auto"/>
        <w:right w:val="none" w:sz="0" w:space="0" w:color="auto"/>
      </w:divBdr>
    </w:div>
    <w:div w:id="735468926">
      <w:bodyDiv w:val="1"/>
      <w:marLeft w:val="0"/>
      <w:marRight w:val="0"/>
      <w:marTop w:val="0"/>
      <w:marBottom w:val="0"/>
      <w:divBdr>
        <w:top w:val="none" w:sz="0" w:space="0" w:color="auto"/>
        <w:left w:val="none" w:sz="0" w:space="0" w:color="auto"/>
        <w:bottom w:val="none" w:sz="0" w:space="0" w:color="auto"/>
        <w:right w:val="none" w:sz="0" w:space="0" w:color="auto"/>
      </w:divBdr>
    </w:div>
    <w:div w:id="737745475">
      <w:bodyDiv w:val="1"/>
      <w:marLeft w:val="0"/>
      <w:marRight w:val="0"/>
      <w:marTop w:val="0"/>
      <w:marBottom w:val="0"/>
      <w:divBdr>
        <w:top w:val="none" w:sz="0" w:space="0" w:color="auto"/>
        <w:left w:val="none" w:sz="0" w:space="0" w:color="auto"/>
        <w:bottom w:val="none" w:sz="0" w:space="0" w:color="auto"/>
        <w:right w:val="none" w:sz="0" w:space="0" w:color="auto"/>
      </w:divBdr>
    </w:div>
    <w:div w:id="739982836">
      <w:bodyDiv w:val="1"/>
      <w:marLeft w:val="0"/>
      <w:marRight w:val="0"/>
      <w:marTop w:val="0"/>
      <w:marBottom w:val="0"/>
      <w:divBdr>
        <w:top w:val="none" w:sz="0" w:space="0" w:color="auto"/>
        <w:left w:val="none" w:sz="0" w:space="0" w:color="auto"/>
        <w:bottom w:val="none" w:sz="0" w:space="0" w:color="auto"/>
        <w:right w:val="none" w:sz="0" w:space="0" w:color="auto"/>
      </w:divBdr>
    </w:div>
    <w:div w:id="741217534">
      <w:bodyDiv w:val="1"/>
      <w:marLeft w:val="0"/>
      <w:marRight w:val="0"/>
      <w:marTop w:val="0"/>
      <w:marBottom w:val="0"/>
      <w:divBdr>
        <w:top w:val="none" w:sz="0" w:space="0" w:color="auto"/>
        <w:left w:val="none" w:sz="0" w:space="0" w:color="auto"/>
        <w:bottom w:val="none" w:sz="0" w:space="0" w:color="auto"/>
        <w:right w:val="none" w:sz="0" w:space="0" w:color="auto"/>
      </w:divBdr>
    </w:div>
    <w:div w:id="746610712">
      <w:bodyDiv w:val="1"/>
      <w:marLeft w:val="0"/>
      <w:marRight w:val="0"/>
      <w:marTop w:val="0"/>
      <w:marBottom w:val="0"/>
      <w:divBdr>
        <w:top w:val="none" w:sz="0" w:space="0" w:color="auto"/>
        <w:left w:val="none" w:sz="0" w:space="0" w:color="auto"/>
        <w:bottom w:val="none" w:sz="0" w:space="0" w:color="auto"/>
        <w:right w:val="none" w:sz="0" w:space="0" w:color="auto"/>
      </w:divBdr>
      <w:divsChild>
        <w:div w:id="562570324">
          <w:marLeft w:val="0"/>
          <w:marRight w:val="0"/>
          <w:marTop w:val="0"/>
          <w:marBottom w:val="0"/>
          <w:divBdr>
            <w:top w:val="none" w:sz="0" w:space="0" w:color="auto"/>
            <w:left w:val="none" w:sz="0" w:space="0" w:color="auto"/>
            <w:bottom w:val="none" w:sz="0" w:space="0" w:color="auto"/>
            <w:right w:val="none" w:sz="0" w:space="0" w:color="auto"/>
          </w:divBdr>
          <w:divsChild>
            <w:div w:id="177083267">
              <w:marLeft w:val="0"/>
              <w:marRight w:val="0"/>
              <w:marTop w:val="0"/>
              <w:marBottom w:val="0"/>
              <w:divBdr>
                <w:top w:val="none" w:sz="0" w:space="0" w:color="auto"/>
                <w:left w:val="none" w:sz="0" w:space="0" w:color="auto"/>
                <w:bottom w:val="none" w:sz="0" w:space="0" w:color="auto"/>
                <w:right w:val="none" w:sz="0" w:space="0" w:color="auto"/>
              </w:divBdr>
              <w:divsChild>
                <w:div w:id="2004315654">
                  <w:marLeft w:val="0"/>
                  <w:marRight w:val="0"/>
                  <w:marTop w:val="0"/>
                  <w:marBottom w:val="0"/>
                  <w:divBdr>
                    <w:top w:val="none" w:sz="0" w:space="0" w:color="auto"/>
                    <w:left w:val="none" w:sz="0" w:space="0" w:color="auto"/>
                    <w:bottom w:val="none" w:sz="0" w:space="0" w:color="auto"/>
                    <w:right w:val="none" w:sz="0" w:space="0" w:color="auto"/>
                  </w:divBdr>
                  <w:divsChild>
                    <w:div w:id="15156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80184">
      <w:bodyDiv w:val="1"/>
      <w:marLeft w:val="0"/>
      <w:marRight w:val="0"/>
      <w:marTop w:val="0"/>
      <w:marBottom w:val="0"/>
      <w:divBdr>
        <w:top w:val="none" w:sz="0" w:space="0" w:color="auto"/>
        <w:left w:val="none" w:sz="0" w:space="0" w:color="auto"/>
        <w:bottom w:val="none" w:sz="0" w:space="0" w:color="auto"/>
        <w:right w:val="none" w:sz="0" w:space="0" w:color="auto"/>
      </w:divBdr>
      <w:divsChild>
        <w:div w:id="174657955">
          <w:marLeft w:val="0"/>
          <w:marRight w:val="0"/>
          <w:marTop w:val="0"/>
          <w:marBottom w:val="0"/>
          <w:divBdr>
            <w:top w:val="none" w:sz="0" w:space="0" w:color="auto"/>
            <w:left w:val="none" w:sz="0" w:space="0" w:color="auto"/>
            <w:bottom w:val="none" w:sz="0" w:space="0" w:color="auto"/>
            <w:right w:val="none" w:sz="0" w:space="0" w:color="auto"/>
          </w:divBdr>
          <w:divsChild>
            <w:div w:id="1753501475">
              <w:marLeft w:val="0"/>
              <w:marRight w:val="0"/>
              <w:marTop w:val="0"/>
              <w:marBottom w:val="0"/>
              <w:divBdr>
                <w:top w:val="none" w:sz="0" w:space="0" w:color="auto"/>
                <w:left w:val="none" w:sz="0" w:space="0" w:color="auto"/>
                <w:bottom w:val="none" w:sz="0" w:space="0" w:color="auto"/>
                <w:right w:val="none" w:sz="0" w:space="0" w:color="auto"/>
              </w:divBdr>
              <w:divsChild>
                <w:div w:id="870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22952">
      <w:bodyDiv w:val="1"/>
      <w:marLeft w:val="0"/>
      <w:marRight w:val="0"/>
      <w:marTop w:val="0"/>
      <w:marBottom w:val="0"/>
      <w:divBdr>
        <w:top w:val="none" w:sz="0" w:space="0" w:color="auto"/>
        <w:left w:val="none" w:sz="0" w:space="0" w:color="auto"/>
        <w:bottom w:val="none" w:sz="0" w:space="0" w:color="auto"/>
        <w:right w:val="none" w:sz="0" w:space="0" w:color="auto"/>
      </w:divBdr>
    </w:div>
    <w:div w:id="766847760">
      <w:bodyDiv w:val="1"/>
      <w:marLeft w:val="0"/>
      <w:marRight w:val="0"/>
      <w:marTop w:val="0"/>
      <w:marBottom w:val="0"/>
      <w:divBdr>
        <w:top w:val="none" w:sz="0" w:space="0" w:color="auto"/>
        <w:left w:val="none" w:sz="0" w:space="0" w:color="auto"/>
        <w:bottom w:val="none" w:sz="0" w:space="0" w:color="auto"/>
        <w:right w:val="none" w:sz="0" w:space="0" w:color="auto"/>
      </w:divBdr>
    </w:div>
    <w:div w:id="766851616">
      <w:bodyDiv w:val="1"/>
      <w:marLeft w:val="0"/>
      <w:marRight w:val="0"/>
      <w:marTop w:val="0"/>
      <w:marBottom w:val="0"/>
      <w:divBdr>
        <w:top w:val="none" w:sz="0" w:space="0" w:color="auto"/>
        <w:left w:val="none" w:sz="0" w:space="0" w:color="auto"/>
        <w:bottom w:val="none" w:sz="0" w:space="0" w:color="auto"/>
        <w:right w:val="none" w:sz="0" w:space="0" w:color="auto"/>
      </w:divBdr>
    </w:div>
    <w:div w:id="767695967">
      <w:bodyDiv w:val="1"/>
      <w:marLeft w:val="0"/>
      <w:marRight w:val="0"/>
      <w:marTop w:val="0"/>
      <w:marBottom w:val="0"/>
      <w:divBdr>
        <w:top w:val="none" w:sz="0" w:space="0" w:color="auto"/>
        <w:left w:val="none" w:sz="0" w:space="0" w:color="auto"/>
        <w:bottom w:val="none" w:sz="0" w:space="0" w:color="auto"/>
        <w:right w:val="none" w:sz="0" w:space="0" w:color="auto"/>
      </w:divBdr>
    </w:div>
    <w:div w:id="770010699">
      <w:bodyDiv w:val="1"/>
      <w:marLeft w:val="0"/>
      <w:marRight w:val="0"/>
      <w:marTop w:val="0"/>
      <w:marBottom w:val="0"/>
      <w:divBdr>
        <w:top w:val="none" w:sz="0" w:space="0" w:color="auto"/>
        <w:left w:val="none" w:sz="0" w:space="0" w:color="auto"/>
        <w:bottom w:val="none" w:sz="0" w:space="0" w:color="auto"/>
        <w:right w:val="none" w:sz="0" w:space="0" w:color="auto"/>
      </w:divBdr>
    </w:div>
    <w:div w:id="781219327">
      <w:bodyDiv w:val="1"/>
      <w:marLeft w:val="0"/>
      <w:marRight w:val="0"/>
      <w:marTop w:val="0"/>
      <w:marBottom w:val="0"/>
      <w:divBdr>
        <w:top w:val="none" w:sz="0" w:space="0" w:color="auto"/>
        <w:left w:val="none" w:sz="0" w:space="0" w:color="auto"/>
        <w:bottom w:val="none" w:sz="0" w:space="0" w:color="auto"/>
        <w:right w:val="none" w:sz="0" w:space="0" w:color="auto"/>
      </w:divBdr>
    </w:div>
    <w:div w:id="781651508">
      <w:bodyDiv w:val="1"/>
      <w:marLeft w:val="0"/>
      <w:marRight w:val="0"/>
      <w:marTop w:val="0"/>
      <w:marBottom w:val="0"/>
      <w:divBdr>
        <w:top w:val="none" w:sz="0" w:space="0" w:color="auto"/>
        <w:left w:val="none" w:sz="0" w:space="0" w:color="auto"/>
        <w:bottom w:val="none" w:sz="0" w:space="0" w:color="auto"/>
        <w:right w:val="none" w:sz="0" w:space="0" w:color="auto"/>
      </w:divBdr>
    </w:div>
    <w:div w:id="782305724">
      <w:bodyDiv w:val="1"/>
      <w:marLeft w:val="0"/>
      <w:marRight w:val="0"/>
      <w:marTop w:val="0"/>
      <w:marBottom w:val="0"/>
      <w:divBdr>
        <w:top w:val="none" w:sz="0" w:space="0" w:color="auto"/>
        <w:left w:val="none" w:sz="0" w:space="0" w:color="auto"/>
        <w:bottom w:val="none" w:sz="0" w:space="0" w:color="auto"/>
        <w:right w:val="none" w:sz="0" w:space="0" w:color="auto"/>
      </w:divBdr>
    </w:div>
    <w:div w:id="785009354">
      <w:bodyDiv w:val="1"/>
      <w:marLeft w:val="0"/>
      <w:marRight w:val="0"/>
      <w:marTop w:val="0"/>
      <w:marBottom w:val="0"/>
      <w:divBdr>
        <w:top w:val="none" w:sz="0" w:space="0" w:color="auto"/>
        <w:left w:val="none" w:sz="0" w:space="0" w:color="auto"/>
        <w:bottom w:val="none" w:sz="0" w:space="0" w:color="auto"/>
        <w:right w:val="none" w:sz="0" w:space="0" w:color="auto"/>
      </w:divBdr>
      <w:divsChild>
        <w:div w:id="398404876">
          <w:marLeft w:val="0"/>
          <w:marRight w:val="0"/>
          <w:marTop w:val="0"/>
          <w:marBottom w:val="0"/>
          <w:divBdr>
            <w:top w:val="none" w:sz="0" w:space="0" w:color="auto"/>
            <w:left w:val="none" w:sz="0" w:space="0" w:color="auto"/>
            <w:bottom w:val="none" w:sz="0" w:space="0" w:color="auto"/>
            <w:right w:val="none" w:sz="0" w:space="0" w:color="auto"/>
          </w:divBdr>
          <w:divsChild>
            <w:div w:id="757872885">
              <w:marLeft w:val="0"/>
              <w:marRight w:val="0"/>
              <w:marTop w:val="0"/>
              <w:marBottom w:val="0"/>
              <w:divBdr>
                <w:top w:val="none" w:sz="0" w:space="0" w:color="auto"/>
                <w:left w:val="none" w:sz="0" w:space="0" w:color="auto"/>
                <w:bottom w:val="none" w:sz="0" w:space="0" w:color="auto"/>
                <w:right w:val="none" w:sz="0" w:space="0" w:color="auto"/>
              </w:divBdr>
              <w:divsChild>
                <w:div w:id="4730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5582">
      <w:bodyDiv w:val="1"/>
      <w:marLeft w:val="0"/>
      <w:marRight w:val="0"/>
      <w:marTop w:val="0"/>
      <w:marBottom w:val="0"/>
      <w:divBdr>
        <w:top w:val="none" w:sz="0" w:space="0" w:color="auto"/>
        <w:left w:val="none" w:sz="0" w:space="0" w:color="auto"/>
        <w:bottom w:val="none" w:sz="0" w:space="0" w:color="auto"/>
        <w:right w:val="none" w:sz="0" w:space="0" w:color="auto"/>
      </w:divBdr>
    </w:div>
    <w:div w:id="788010733">
      <w:bodyDiv w:val="1"/>
      <w:marLeft w:val="0"/>
      <w:marRight w:val="0"/>
      <w:marTop w:val="0"/>
      <w:marBottom w:val="0"/>
      <w:divBdr>
        <w:top w:val="none" w:sz="0" w:space="0" w:color="auto"/>
        <w:left w:val="none" w:sz="0" w:space="0" w:color="auto"/>
        <w:bottom w:val="none" w:sz="0" w:space="0" w:color="auto"/>
        <w:right w:val="none" w:sz="0" w:space="0" w:color="auto"/>
      </w:divBdr>
    </w:div>
    <w:div w:id="788938310">
      <w:bodyDiv w:val="1"/>
      <w:marLeft w:val="0"/>
      <w:marRight w:val="0"/>
      <w:marTop w:val="0"/>
      <w:marBottom w:val="0"/>
      <w:divBdr>
        <w:top w:val="none" w:sz="0" w:space="0" w:color="auto"/>
        <w:left w:val="none" w:sz="0" w:space="0" w:color="auto"/>
        <w:bottom w:val="none" w:sz="0" w:space="0" w:color="auto"/>
        <w:right w:val="none" w:sz="0" w:space="0" w:color="auto"/>
      </w:divBdr>
    </w:div>
    <w:div w:id="789129209">
      <w:bodyDiv w:val="1"/>
      <w:marLeft w:val="0"/>
      <w:marRight w:val="0"/>
      <w:marTop w:val="0"/>
      <w:marBottom w:val="0"/>
      <w:divBdr>
        <w:top w:val="none" w:sz="0" w:space="0" w:color="auto"/>
        <w:left w:val="none" w:sz="0" w:space="0" w:color="auto"/>
        <w:bottom w:val="none" w:sz="0" w:space="0" w:color="auto"/>
        <w:right w:val="none" w:sz="0" w:space="0" w:color="auto"/>
      </w:divBdr>
    </w:div>
    <w:div w:id="790129586">
      <w:bodyDiv w:val="1"/>
      <w:marLeft w:val="0"/>
      <w:marRight w:val="0"/>
      <w:marTop w:val="0"/>
      <w:marBottom w:val="0"/>
      <w:divBdr>
        <w:top w:val="none" w:sz="0" w:space="0" w:color="auto"/>
        <w:left w:val="none" w:sz="0" w:space="0" w:color="auto"/>
        <w:bottom w:val="none" w:sz="0" w:space="0" w:color="auto"/>
        <w:right w:val="none" w:sz="0" w:space="0" w:color="auto"/>
      </w:divBdr>
    </w:div>
    <w:div w:id="801116083">
      <w:bodyDiv w:val="1"/>
      <w:marLeft w:val="0"/>
      <w:marRight w:val="0"/>
      <w:marTop w:val="0"/>
      <w:marBottom w:val="0"/>
      <w:divBdr>
        <w:top w:val="none" w:sz="0" w:space="0" w:color="auto"/>
        <w:left w:val="none" w:sz="0" w:space="0" w:color="auto"/>
        <w:bottom w:val="none" w:sz="0" w:space="0" w:color="auto"/>
        <w:right w:val="none" w:sz="0" w:space="0" w:color="auto"/>
      </w:divBdr>
    </w:div>
    <w:div w:id="807473212">
      <w:bodyDiv w:val="1"/>
      <w:marLeft w:val="0"/>
      <w:marRight w:val="0"/>
      <w:marTop w:val="0"/>
      <w:marBottom w:val="0"/>
      <w:divBdr>
        <w:top w:val="none" w:sz="0" w:space="0" w:color="auto"/>
        <w:left w:val="none" w:sz="0" w:space="0" w:color="auto"/>
        <w:bottom w:val="none" w:sz="0" w:space="0" w:color="auto"/>
        <w:right w:val="none" w:sz="0" w:space="0" w:color="auto"/>
      </w:divBdr>
    </w:div>
    <w:div w:id="816343237">
      <w:bodyDiv w:val="1"/>
      <w:marLeft w:val="0"/>
      <w:marRight w:val="0"/>
      <w:marTop w:val="0"/>
      <w:marBottom w:val="0"/>
      <w:divBdr>
        <w:top w:val="none" w:sz="0" w:space="0" w:color="auto"/>
        <w:left w:val="none" w:sz="0" w:space="0" w:color="auto"/>
        <w:bottom w:val="none" w:sz="0" w:space="0" w:color="auto"/>
        <w:right w:val="none" w:sz="0" w:space="0" w:color="auto"/>
      </w:divBdr>
    </w:div>
    <w:div w:id="819276020">
      <w:bodyDiv w:val="1"/>
      <w:marLeft w:val="0"/>
      <w:marRight w:val="0"/>
      <w:marTop w:val="0"/>
      <w:marBottom w:val="0"/>
      <w:divBdr>
        <w:top w:val="none" w:sz="0" w:space="0" w:color="auto"/>
        <w:left w:val="none" w:sz="0" w:space="0" w:color="auto"/>
        <w:bottom w:val="none" w:sz="0" w:space="0" w:color="auto"/>
        <w:right w:val="none" w:sz="0" w:space="0" w:color="auto"/>
      </w:divBdr>
    </w:div>
    <w:div w:id="821968118">
      <w:bodyDiv w:val="1"/>
      <w:marLeft w:val="0"/>
      <w:marRight w:val="0"/>
      <w:marTop w:val="0"/>
      <w:marBottom w:val="0"/>
      <w:divBdr>
        <w:top w:val="none" w:sz="0" w:space="0" w:color="auto"/>
        <w:left w:val="none" w:sz="0" w:space="0" w:color="auto"/>
        <w:bottom w:val="none" w:sz="0" w:space="0" w:color="auto"/>
        <w:right w:val="none" w:sz="0" w:space="0" w:color="auto"/>
      </w:divBdr>
    </w:div>
    <w:div w:id="825171566">
      <w:bodyDiv w:val="1"/>
      <w:marLeft w:val="0"/>
      <w:marRight w:val="0"/>
      <w:marTop w:val="0"/>
      <w:marBottom w:val="0"/>
      <w:divBdr>
        <w:top w:val="none" w:sz="0" w:space="0" w:color="auto"/>
        <w:left w:val="none" w:sz="0" w:space="0" w:color="auto"/>
        <w:bottom w:val="none" w:sz="0" w:space="0" w:color="auto"/>
        <w:right w:val="none" w:sz="0" w:space="0" w:color="auto"/>
      </w:divBdr>
    </w:div>
    <w:div w:id="832724468">
      <w:bodyDiv w:val="1"/>
      <w:marLeft w:val="0"/>
      <w:marRight w:val="0"/>
      <w:marTop w:val="0"/>
      <w:marBottom w:val="0"/>
      <w:divBdr>
        <w:top w:val="none" w:sz="0" w:space="0" w:color="auto"/>
        <w:left w:val="none" w:sz="0" w:space="0" w:color="auto"/>
        <w:bottom w:val="none" w:sz="0" w:space="0" w:color="auto"/>
        <w:right w:val="none" w:sz="0" w:space="0" w:color="auto"/>
      </w:divBdr>
    </w:div>
    <w:div w:id="836502945">
      <w:bodyDiv w:val="1"/>
      <w:marLeft w:val="0"/>
      <w:marRight w:val="0"/>
      <w:marTop w:val="0"/>
      <w:marBottom w:val="0"/>
      <w:divBdr>
        <w:top w:val="none" w:sz="0" w:space="0" w:color="auto"/>
        <w:left w:val="none" w:sz="0" w:space="0" w:color="auto"/>
        <w:bottom w:val="none" w:sz="0" w:space="0" w:color="auto"/>
        <w:right w:val="none" w:sz="0" w:space="0" w:color="auto"/>
      </w:divBdr>
    </w:div>
    <w:div w:id="840463699">
      <w:bodyDiv w:val="1"/>
      <w:marLeft w:val="0"/>
      <w:marRight w:val="0"/>
      <w:marTop w:val="0"/>
      <w:marBottom w:val="0"/>
      <w:divBdr>
        <w:top w:val="none" w:sz="0" w:space="0" w:color="auto"/>
        <w:left w:val="none" w:sz="0" w:space="0" w:color="auto"/>
        <w:bottom w:val="none" w:sz="0" w:space="0" w:color="auto"/>
        <w:right w:val="none" w:sz="0" w:space="0" w:color="auto"/>
      </w:divBdr>
    </w:div>
    <w:div w:id="842627648">
      <w:bodyDiv w:val="1"/>
      <w:marLeft w:val="0"/>
      <w:marRight w:val="0"/>
      <w:marTop w:val="0"/>
      <w:marBottom w:val="0"/>
      <w:divBdr>
        <w:top w:val="none" w:sz="0" w:space="0" w:color="auto"/>
        <w:left w:val="none" w:sz="0" w:space="0" w:color="auto"/>
        <w:bottom w:val="none" w:sz="0" w:space="0" w:color="auto"/>
        <w:right w:val="none" w:sz="0" w:space="0" w:color="auto"/>
      </w:divBdr>
    </w:div>
    <w:div w:id="855340876">
      <w:bodyDiv w:val="1"/>
      <w:marLeft w:val="0"/>
      <w:marRight w:val="0"/>
      <w:marTop w:val="0"/>
      <w:marBottom w:val="0"/>
      <w:divBdr>
        <w:top w:val="none" w:sz="0" w:space="0" w:color="auto"/>
        <w:left w:val="none" w:sz="0" w:space="0" w:color="auto"/>
        <w:bottom w:val="none" w:sz="0" w:space="0" w:color="auto"/>
        <w:right w:val="none" w:sz="0" w:space="0" w:color="auto"/>
      </w:divBdr>
      <w:divsChild>
        <w:div w:id="2108621936">
          <w:marLeft w:val="0"/>
          <w:marRight w:val="0"/>
          <w:marTop w:val="0"/>
          <w:marBottom w:val="0"/>
          <w:divBdr>
            <w:top w:val="none" w:sz="0" w:space="0" w:color="auto"/>
            <w:left w:val="none" w:sz="0" w:space="0" w:color="auto"/>
            <w:bottom w:val="none" w:sz="0" w:space="0" w:color="auto"/>
            <w:right w:val="none" w:sz="0" w:space="0" w:color="auto"/>
          </w:divBdr>
          <w:divsChild>
            <w:div w:id="1867137992">
              <w:marLeft w:val="0"/>
              <w:marRight w:val="0"/>
              <w:marTop w:val="0"/>
              <w:marBottom w:val="0"/>
              <w:divBdr>
                <w:top w:val="none" w:sz="0" w:space="0" w:color="auto"/>
                <w:left w:val="none" w:sz="0" w:space="0" w:color="auto"/>
                <w:bottom w:val="none" w:sz="0" w:space="0" w:color="auto"/>
                <w:right w:val="none" w:sz="0" w:space="0" w:color="auto"/>
              </w:divBdr>
              <w:divsChild>
                <w:div w:id="13568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5240">
      <w:bodyDiv w:val="1"/>
      <w:marLeft w:val="0"/>
      <w:marRight w:val="0"/>
      <w:marTop w:val="0"/>
      <w:marBottom w:val="0"/>
      <w:divBdr>
        <w:top w:val="none" w:sz="0" w:space="0" w:color="auto"/>
        <w:left w:val="none" w:sz="0" w:space="0" w:color="auto"/>
        <w:bottom w:val="none" w:sz="0" w:space="0" w:color="auto"/>
        <w:right w:val="none" w:sz="0" w:space="0" w:color="auto"/>
      </w:divBdr>
    </w:div>
    <w:div w:id="867375401">
      <w:bodyDiv w:val="1"/>
      <w:marLeft w:val="0"/>
      <w:marRight w:val="0"/>
      <w:marTop w:val="0"/>
      <w:marBottom w:val="0"/>
      <w:divBdr>
        <w:top w:val="none" w:sz="0" w:space="0" w:color="auto"/>
        <w:left w:val="none" w:sz="0" w:space="0" w:color="auto"/>
        <w:bottom w:val="none" w:sz="0" w:space="0" w:color="auto"/>
        <w:right w:val="none" w:sz="0" w:space="0" w:color="auto"/>
      </w:divBdr>
    </w:div>
    <w:div w:id="867528907">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59329082">
          <w:marLeft w:val="0"/>
          <w:marRight w:val="0"/>
          <w:marTop w:val="0"/>
          <w:marBottom w:val="0"/>
          <w:divBdr>
            <w:top w:val="none" w:sz="0" w:space="0" w:color="auto"/>
            <w:left w:val="none" w:sz="0" w:space="0" w:color="auto"/>
            <w:bottom w:val="none" w:sz="0" w:space="0" w:color="auto"/>
            <w:right w:val="none" w:sz="0" w:space="0" w:color="auto"/>
          </w:divBdr>
        </w:div>
      </w:divsChild>
    </w:div>
    <w:div w:id="868450027">
      <w:bodyDiv w:val="1"/>
      <w:marLeft w:val="0"/>
      <w:marRight w:val="0"/>
      <w:marTop w:val="0"/>
      <w:marBottom w:val="0"/>
      <w:divBdr>
        <w:top w:val="none" w:sz="0" w:space="0" w:color="auto"/>
        <w:left w:val="none" w:sz="0" w:space="0" w:color="auto"/>
        <w:bottom w:val="none" w:sz="0" w:space="0" w:color="auto"/>
        <w:right w:val="none" w:sz="0" w:space="0" w:color="auto"/>
      </w:divBdr>
    </w:div>
    <w:div w:id="870191366">
      <w:bodyDiv w:val="1"/>
      <w:marLeft w:val="0"/>
      <w:marRight w:val="0"/>
      <w:marTop w:val="0"/>
      <w:marBottom w:val="0"/>
      <w:divBdr>
        <w:top w:val="none" w:sz="0" w:space="0" w:color="auto"/>
        <w:left w:val="none" w:sz="0" w:space="0" w:color="auto"/>
        <w:bottom w:val="none" w:sz="0" w:space="0" w:color="auto"/>
        <w:right w:val="none" w:sz="0" w:space="0" w:color="auto"/>
      </w:divBdr>
    </w:div>
    <w:div w:id="872812044">
      <w:bodyDiv w:val="1"/>
      <w:marLeft w:val="0"/>
      <w:marRight w:val="0"/>
      <w:marTop w:val="0"/>
      <w:marBottom w:val="0"/>
      <w:divBdr>
        <w:top w:val="none" w:sz="0" w:space="0" w:color="auto"/>
        <w:left w:val="none" w:sz="0" w:space="0" w:color="auto"/>
        <w:bottom w:val="none" w:sz="0" w:space="0" w:color="auto"/>
        <w:right w:val="none" w:sz="0" w:space="0" w:color="auto"/>
      </w:divBdr>
    </w:div>
    <w:div w:id="876891023">
      <w:bodyDiv w:val="1"/>
      <w:marLeft w:val="0"/>
      <w:marRight w:val="0"/>
      <w:marTop w:val="0"/>
      <w:marBottom w:val="0"/>
      <w:divBdr>
        <w:top w:val="none" w:sz="0" w:space="0" w:color="auto"/>
        <w:left w:val="none" w:sz="0" w:space="0" w:color="auto"/>
        <w:bottom w:val="none" w:sz="0" w:space="0" w:color="auto"/>
        <w:right w:val="none" w:sz="0" w:space="0" w:color="auto"/>
      </w:divBdr>
    </w:div>
    <w:div w:id="878977750">
      <w:bodyDiv w:val="1"/>
      <w:marLeft w:val="0"/>
      <w:marRight w:val="0"/>
      <w:marTop w:val="0"/>
      <w:marBottom w:val="0"/>
      <w:divBdr>
        <w:top w:val="none" w:sz="0" w:space="0" w:color="auto"/>
        <w:left w:val="none" w:sz="0" w:space="0" w:color="auto"/>
        <w:bottom w:val="none" w:sz="0" w:space="0" w:color="auto"/>
        <w:right w:val="none" w:sz="0" w:space="0" w:color="auto"/>
      </w:divBdr>
    </w:div>
    <w:div w:id="885945621">
      <w:bodyDiv w:val="1"/>
      <w:marLeft w:val="0"/>
      <w:marRight w:val="0"/>
      <w:marTop w:val="0"/>
      <w:marBottom w:val="0"/>
      <w:divBdr>
        <w:top w:val="none" w:sz="0" w:space="0" w:color="auto"/>
        <w:left w:val="none" w:sz="0" w:space="0" w:color="auto"/>
        <w:bottom w:val="none" w:sz="0" w:space="0" w:color="auto"/>
        <w:right w:val="none" w:sz="0" w:space="0" w:color="auto"/>
      </w:divBdr>
    </w:div>
    <w:div w:id="887107974">
      <w:bodyDiv w:val="1"/>
      <w:marLeft w:val="0"/>
      <w:marRight w:val="0"/>
      <w:marTop w:val="0"/>
      <w:marBottom w:val="0"/>
      <w:divBdr>
        <w:top w:val="none" w:sz="0" w:space="0" w:color="auto"/>
        <w:left w:val="none" w:sz="0" w:space="0" w:color="auto"/>
        <w:bottom w:val="none" w:sz="0" w:space="0" w:color="auto"/>
        <w:right w:val="none" w:sz="0" w:space="0" w:color="auto"/>
      </w:divBdr>
    </w:div>
    <w:div w:id="891381475">
      <w:bodyDiv w:val="1"/>
      <w:marLeft w:val="0"/>
      <w:marRight w:val="0"/>
      <w:marTop w:val="0"/>
      <w:marBottom w:val="0"/>
      <w:divBdr>
        <w:top w:val="none" w:sz="0" w:space="0" w:color="auto"/>
        <w:left w:val="none" w:sz="0" w:space="0" w:color="auto"/>
        <w:bottom w:val="none" w:sz="0" w:space="0" w:color="auto"/>
        <w:right w:val="none" w:sz="0" w:space="0" w:color="auto"/>
      </w:divBdr>
    </w:div>
    <w:div w:id="891814900">
      <w:bodyDiv w:val="1"/>
      <w:marLeft w:val="0"/>
      <w:marRight w:val="0"/>
      <w:marTop w:val="0"/>
      <w:marBottom w:val="0"/>
      <w:divBdr>
        <w:top w:val="none" w:sz="0" w:space="0" w:color="auto"/>
        <w:left w:val="none" w:sz="0" w:space="0" w:color="auto"/>
        <w:bottom w:val="none" w:sz="0" w:space="0" w:color="auto"/>
        <w:right w:val="none" w:sz="0" w:space="0" w:color="auto"/>
      </w:divBdr>
    </w:div>
    <w:div w:id="899438888">
      <w:bodyDiv w:val="1"/>
      <w:marLeft w:val="0"/>
      <w:marRight w:val="0"/>
      <w:marTop w:val="0"/>
      <w:marBottom w:val="0"/>
      <w:divBdr>
        <w:top w:val="none" w:sz="0" w:space="0" w:color="auto"/>
        <w:left w:val="none" w:sz="0" w:space="0" w:color="auto"/>
        <w:bottom w:val="none" w:sz="0" w:space="0" w:color="auto"/>
        <w:right w:val="none" w:sz="0" w:space="0" w:color="auto"/>
      </w:divBdr>
    </w:div>
    <w:div w:id="901136729">
      <w:bodyDiv w:val="1"/>
      <w:marLeft w:val="0"/>
      <w:marRight w:val="0"/>
      <w:marTop w:val="0"/>
      <w:marBottom w:val="0"/>
      <w:divBdr>
        <w:top w:val="none" w:sz="0" w:space="0" w:color="auto"/>
        <w:left w:val="none" w:sz="0" w:space="0" w:color="auto"/>
        <w:bottom w:val="none" w:sz="0" w:space="0" w:color="auto"/>
        <w:right w:val="none" w:sz="0" w:space="0" w:color="auto"/>
      </w:divBdr>
    </w:div>
    <w:div w:id="901989472">
      <w:bodyDiv w:val="1"/>
      <w:marLeft w:val="0"/>
      <w:marRight w:val="0"/>
      <w:marTop w:val="0"/>
      <w:marBottom w:val="0"/>
      <w:divBdr>
        <w:top w:val="none" w:sz="0" w:space="0" w:color="auto"/>
        <w:left w:val="none" w:sz="0" w:space="0" w:color="auto"/>
        <w:bottom w:val="none" w:sz="0" w:space="0" w:color="auto"/>
        <w:right w:val="none" w:sz="0" w:space="0" w:color="auto"/>
      </w:divBdr>
    </w:div>
    <w:div w:id="907108409">
      <w:bodyDiv w:val="1"/>
      <w:marLeft w:val="0"/>
      <w:marRight w:val="0"/>
      <w:marTop w:val="0"/>
      <w:marBottom w:val="0"/>
      <w:divBdr>
        <w:top w:val="none" w:sz="0" w:space="0" w:color="auto"/>
        <w:left w:val="none" w:sz="0" w:space="0" w:color="auto"/>
        <w:bottom w:val="none" w:sz="0" w:space="0" w:color="auto"/>
        <w:right w:val="none" w:sz="0" w:space="0" w:color="auto"/>
      </w:divBdr>
    </w:div>
    <w:div w:id="907497646">
      <w:bodyDiv w:val="1"/>
      <w:marLeft w:val="0"/>
      <w:marRight w:val="0"/>
      <w:marTop w:val="0"/>
      <w:marBottom w:val="0"/>
      <w:divBdr>
        <w:top w:val="none" w:sz="0" w:space="0" w:color="auto"/>
        <w:left w:val="none" w:sz="0" w:space="0" w:color="auto"/>
        <w:bottom w:val="none" w:sz="0" w:space="0" w:color="auto"/>
        <w:right w:val="none" w:sz="0" w:space="0" w:color="auto"/>
      </w:divBdr>
    </w:div>
    <w:div w:id="918751461">
      <w:bodyDiv w:val="1"/>
      <w:marLeft w:val="0"/>
      <w:marRight w:val="0"/>
      <w:marTop w:val="0"/>
      <w:marBottom w:val="0"/>
      <w:divBdr>
        <w:top w:val="none" w:sz="0" w:space="0" w:color="auto"/>
        <w:left w:val="none" w:sz="0" w:space="0" w:color="auto"/>
        <w:bottom w:val="none" w:sz="0" w:space="0" w:color="auto"/>
        <w:right w:val="none" w:sz="0" w:space="0" w:color="auto"/>
      </w:divBdr>
    </w:div>
    <w:div w:id="922757736">
      <w:bodyDiv w:val="1"/>
      <w:marLeft w:val="0"/>
      <w:marRight w:val="0"/>
      <w:marTop w:val="0"/>
      <w:marBottom w:val="0"/>
      <w:divBdr>
        <w:top w:val="none" w:sz="0" w:space="0" w:color="auto"/>
        <w:left w:val="none" w:sz="0" w:space="0" w:color="auto"/>
        <w:bottom w:val="none" w:sz="0" w:space="0" w:color="auto"/>
        <w:right w:val="none" w:sz="0" w:space="0" w:color="auto"/>
      </w:divBdr>
    </w:div>
    <w:div w:id="934093363">
      <w:bodyDiv w:val="1"/>
      <w:marLeft w:val="0"/>
      <w:marRight w:val="0"/>
      <w:marTop w:val="0"/>
      <w:marBottom w:val="0"/>
      <w:divBdr>
        <w:top w:val="none" w:sz="0" w:space="0" w:color="auto"/>
        <w:left w:val="none" w:sz="0" w:space="0" w:color="auto"/>
        <w:bottom w:val="none" w:sz="0" w:space="0" w:color="auto"/>
        <w:right w:val="none" w:sz="0" w:space="0" w:color="auto"/>
      </w:divBdr>
    </w:div>
    <w:div w:id="939681004">
      <w:bodyDiv w:val="1"/>
      <w:marLeft w:val="0"/>
      <w:marRight w:val="0"/>
      <w:marTop w:val="0"/>
      <w:marBottom w:val="0"/>
      <w:divBdr>
        <w:top w:val="none" w:sz="0" w:space="0" w:color="auto"/>
        <w:left w:val="none" w:sz="0" w:space="0" w:color="auto"/>
        <w:bottom w:val="none" w:sz="0" w:space="0" w:color="auto"/>
        <w:right w:val="none" w:sz="0" w:space="0" w:color="auto"/>
      </w:divBdr>
      <w:divsChild>
        <w:div w:id="1627392869">
          <w:marLeft w:val="0"/>
          <w:marRight w:val="0"/>
          <w:marTop w:val="450"/>
          <w:marBottom w:val="1350"/>
          <w:divBdr>
            <w:top w:val="none" w:sz="0" w:space="0" w:color="auto"/>
            <w:left w:val="none" w:sz="0" w:space="0" w:color="auto"/>
            <w:bottom w:val="none" w:sz="0" w:space="0" w:color="auto"/>
            <w:right w:val="none" w:sz="0" w:space="0" w:color="auto"/>
          </w:divBdr>
          <w:divsChild>
            <w:div w:id="451020783">
              <w:marLeft w:val="0"/>
              <w:marRight w:val="0"/>
              <w:marTop w:val="0"/>
              <w:marBottom w:val="0"/>
              <w:divBdr>
                <w:top w:val="none" w:sz="0" w:space="0" w:color="auto"/>
                <w:left w:val="none" w:sz="0" w:space="0" w:color="auto"/>
                <w:bottom w:val="none" w:sz="0" w:space="0" w:color="auto"/>
                <w:right w:val="none" w:sz="0" w:space="0" w:color="auto"/>
              </w:divBdr>
              <w:divsChild>
                <w:div w:id="17189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7661">
      <w:bodyDiv w:val="1"/>
      <w:marLeft w:val="0"/>
      <w:marRight w:val="0"/>
      <w:marTop w:val="0"/>
      <w:marBottom w:val="0"/>
      <w:divBdr>
        <w:top w:val="none" w:sz="0" w:space="0" w:color="auto"/>
        <w:left w:val="none" w:sz="0" w:space="0" w:color="auto"/>
        <w:bottom w:val="none" w:sz="0" w:space="0" w:color="auto"/>
        <w:right w:val="none" w:sz="0" w:space="0" w:color="auto"/>
      </w:divBdr>
    </w:div>
    <w:div w:id="942225546">
      <w:bodyDiv w:val="1"/>
      <w:marLeft w:val="0"/>
      <w:marRight w:val="0"/>
      <w:marTop w:val="0"/>
      <w:marBottom w:val="0"/>
      <w:divBdr>
        <w:top w:val="none" w:sz="0" w:space="0" w:color="auto"/>
        <w:left w:val="none" w:sz="0" w:space="0" w:color="auto"/>
        <w:bottom w:val="none" w:sz="0" w:space="0" w:color="auto"/>
        <w:right w:val="none" w:sz="0" w:space="0" w:color="auto"/>
      </w:divBdr>
    </w:div>
    <w:div w:id="948315709">
      <w:bodyDiv w:val="1"/>
      <w:marLeft w:val="0"/>
      <w:marRight w:val="0"/>
      <w:marTop w:val="0"/>
      <w:marBottom w:val="0"/>
      <w:divBdr>
        <w:top w:val="none" w:sz="0" w:space="0" w:color="auto"/>
        <w:left w:val="none" w:sz="0" w:space="0" w:color="auto"/>
        <w:bottom w:val="none" w:sz="0" w:space="0" w:color="auto"/>
        <w:right w:val="none" w:sz="0" w:space="0" w:color="auto"/>
      </w:divBdr>
    </w:div>
    <w:div w:id="948467982">
      <w:bodyDiv w:val="1"/>
      <w:marLeft w:val="0"/>
      <w:marRight w:val="0"/>
      <w:marTop w:val="0"/>
      <w:marBottom w:val="0"/>
      <w:divBdr>
        <w:top w:val="none" w:sz="0" w:space="0" w:color="auto"/>
        <w:left w:val="none" w:sz="0" w:space="0" w:color="auto"/>
        <w:bottom w:val="none" w:sz="0" w:space="0" w:color="auto"/>
        <w:right w:val="none" w:sz="0" w:space="0" w:color="auto"/>
      </w:divBdr>
    </w:div>
    <w:div w:id="954407493">
      <w:bodyDiv w:val="1"/>
      <w:marLeft w:val="0"/>
      <w:marRight w:val="0"/>
      <w:marTop w:val="0"/>
      <w:marBottom w:val="0"/>
      <w:divBdr>
        <w:top w:val="none" w:sz="0" w:space="0" w:color="auto"/>
        <w:left w:val="none" w:sz="0" w:space="0" w:color="auto"/>
        <w:bottom w:val="none" w:sz="0" w:space="0" w:color="auto"/>
        <w:right w:val="none" w:sz="0" w:space="0" w:color="auto"/>
      </w:divBdr>
    </w:div>
    <w:div w:id="954942473">
      <w:bodyDiv w:val="1"/>
      <w:marLeft w:val="0"/>
      <w:marRight w:val="0"/>
      <w:marTop w:val="0"/>
      <w:marBottom w:val="0"/>
      <w:divBdr>
        <w:top w:val="none" w:sz="0" w:space="0" w:color="auto"/>
        <w:left w:val="none" w:sz="0" w:space="0" w:color="auto"/>
        <w:bottom w:val="none" w:sz="0" w:space="0" w:color="auto"/>
        <w:right w:val="none" w:sz="0" w:space="0" w:color="auto"/>
      </w:divBdr>
    </w:div>
    <w:div w:id="958295272">
      <w:bodyDiv w:val="1"/>
      <w:marLeft w:val="0"/>
      <w:marRight w:val="0"/>
      <w:marTop w:val="0"/>
      <w:marBottom w:val="0"/>
      <w:divBdr>
        <w:top w:val="none" w:sz="0" w:space="0" w:color="auto"/>
        <w:left w:val="none" w:sz="0" w:space="0" w:color="auto"/>
        <w:bottom w:val="none" w:sz="0" w:space="0" w:color="auto"/>
        <w:right w:val="none" w:sz="0" w:space="0" w:color="auto"/>
      </w:divBdr>
    </w:div>
    <w:div w:id="958536629">
      <w:bodyDiv w:val="1"/>
      <w:marLeft w:val="0"/>
      <w:marRight w:val="0"/>
      <w:marTop w:val="0"/>
      <w:marBottom w:val="0"/>
      <w:divBdr>
        <w:top w:val="none" w:sz="0" w:space="0" w:color="auto"/>
        <w:left w:val="none" w:sz="0" w:space="0" w:color="auto"/>
        <w:bottom w:val="none" w:sz="0" w:space="0" w:color="auto"/>
        <w:right w:val="none" w:sz="0" w:space="0" w:color="auto"/>
      </w:divBdr>
    </w:div>
    <w:div w:id="970331246">
      <w:bodyDiv w:val="1"/>
      <w:marLeft w:val="0"/>
      <w:marRight w:val="0"/>
      <w:marTop w:val="0"/>
      <w:marBottom w:val="0"/>
      <w:divBdr>
        <w:top w:val="none" w:sz="0" w:space="0" w:color="auto"/>
        <w:left w:val="none" w:sz="0" w:space="0" w:color="auto"/>
        <w:bottom w:val="none" w:sz="0" w:space="0" w:color="auto"/>
        <w:right w:val="none" w:sz="0" w:space="0" w:color="auto"/>
      </w:divBdr>
    </w:div>
    <w:div w:id="973802170">
      <w:bodyDiv w:val="1"/>
      <w:marLeft w:val="0"/>
      <w:marRight w:val="0"/>
      <w:marTop w:val="0"/>
      <w:marBottom w:val="0"/>
      <w:divBdr>
        <w:top w:val="none" w:sz="0" w:space="0" w:color="auto"/>
        <w:left w:val="none" w:sz="0" w:space="0" w:color="auto"/>
        <w:bottom w:val="none" w:sz="0" w:space="0" w:color="auto"/>
        <w:right w:val="none" w:sz="0" w:space="0" w:color="auto"/>
      </w:divBdr>
    </w:div>
    <w:div w:id="977227089">
      <w:bodyDiv w:val="1"/>
      <w:marLeft w:val="0"/>
      <w:marRight w:val="0"/>
      <w:marTop w:val="0"/>
      <w:marBottom w:val="0"/>
      <w:divBdr>
        <w:top w:val="none" w:sz="0" w:space="0" w:color="auto"/>
        <w:left w:val="none" w:sz="0" w:space="0" w:color="auto"/>
        <w:bottom w:val="none" w:sz="0" w:space="0" w:color="auto"/>
        <w:right w:val="none" w:sz="0" w:space="0" w:color="auto"/>
      </w:divBdr>
    </w:div>
    <w:div w:id="985548144">
      <w:bodyDiv w:val="1"/>
      <w:marLeft w:val="0"/>
      <w:marRight w:val="0"/>
      <w:marTop w:val="0"/>
      <w:marBottom w:val="0"/>
      <w:divBdr>
        <w:top w:val="none" w:sz="0" w:space="0" w:color="auto"/>
        <w:left w:val="none" w:sz="0" w:space="0" w:color="auto"/>
        <w:bottom w:val="none" w:sz="0" w:space="0" w:color="auto"/>
        <w:right w:val="none" w:sz="0" w:space="0" w:color="auto"/>
      </w:divBdr>
    </w:div>
    <w:div w:id="992874673">
      <w:bodyDiv w:val="1"/>
      <w:marLeft w:val="0"/>
      <w:marRight w:val="0"/>
      <w:marTop w:val="0"/>
      <w:marBottom w:val="0"/>
      <w:divBdr>
        <w:top w:val="none" w:sz="0" w:space="0" w:color="auto"/>
        <w:left w:val="none" w:sz="0" w:space="0" w:color="auto"/>
        <w:bottom w:val="none" w:sz="0" w:space="0" w:color="auto"/>
        <w:right w:val="none" w:sz="0" w:space="0" w:color="auto"/>
      </w:divBdr>
    </w:div>
    <w:div w:id="993223462">
      <w:bodyDiv w:val="1"/>
      <w:marLeft w:val="0"/>
      <w:marRight w:val="0"/>
      <w:marTop w:val="0"/>
      <w:marBottom w:val="0"/>
      <w:divBdr>
        <w:top w:val="none" w:sz="0" w:space="0" w:color="auto"/>
        <w:left w:val="none" w:sz="0" w:space="0" w:color="auto"/>
        <w:bottom w:val="none" w:sz="0" w:space="0" w:color="auto"/>
        <w:right w:val="none" w:sz="0" w:space="0" w:color="auto"/>
      </w:divBdr>
    </w:div>
    <w:div w:id="995261990">
      <w:bodyDiv w:val="1"/>
      <w:marLeft w:val="0"/>
      <w:marRight w:val="0"/>
      <w:marTop w:val="0"/>
      <w:marBottom w:val="0"/>
      <w:divBdr>
        <w:top w:val="none" w:sz="0" w:space="0" w:color="auto"/>
        <w:left w:val="none" w:sz="0" w:space="0" w:color="auto"/>
        <w:bottom w:val="none" w:sz="0" w:space="0" w:color="auto"/>
        <w:right w:val="none" w:sz="0" w:space="0" w:color="auto"/>
      </w:divBdr>
    </w:div>
    <w:div w:id="996693607">
      <w:bodyDiv w:val="1"/>
      <w:marLeft w:val="0"/>
      <w:marRight w:val="0"/>
      <w:marTop w:val="0"/>
      <w:marBottom w:val="0"/>
      <w:divBdr>
        <w:top w:val="none" w:sz="0" w:space="0" w:color="auto"/>
        <w:left w:val="none" w:sz="0" w:space="0" w:color="auto"/>
        <w:bottom w:val="none" w:sz="0" w:space="0" w:color="auto"/>
        <w:right w:val="none" w:sz="0" w:space="0" w:color="auto"/>
      </w:divBdr>
    </w:div>
    <w:div w:id="997004944">
      <w:bodyDiv w:val="1"/>
      <w:marLeft w:val="0"/>
      <w:marRight w:val="0"/>
      <w:marTop w:val="0"/>
      <w:marBottom w:val="0"/>
      <w:divBdr>
        <w:top w:val="none" w:sz="0" w:space="0" w:color="auto"/>
        <w:left w:val="none" w:sz="0" w:space="0" w:color="auto"/>
        <w:bottom w:val="none" w:sz="0" w:space="0" w:color="auto"/>
        <w:right w:val="none" w:sz="0" w:space="0" w:color="auto"/>
      </w:divBdr>
      <w:divsChild>
        <w:div w:id="1045375507">
          <w:marLeft w:val="0"/>
          <w:marRight w:val="0"/>
          <w:marTop w:val="0"/>
          <w:marBottom w:val="0"/>
          <w:divBdr>
            <w:top w:val="none" w:sz="0" w:space="0" w:color="auto"/>
            <w:left w:val="none" w:sz="0" w:space="0" w:color="auto"/>
            <w:bottom w:val="none" w:sz="0" w:space="0" w:color="auto"/>
            <w:right w:val="none" w:sz="0" w:space="0" w:color="auto"/>
          </w:divBdr>
          <w:divsChild>
            <w:div w:id="8458613">
              <w:marLeft w:val="0"/>
              <w:marRight w:val="0"/>
              <w:marTop w:val="0"/>
              <w:marBottom w:val="0"/>
              <w:divBdr>
                <w:top w:val="none" w:sz="0" w:space="0" w:color="auto"/>
                <w:left w:val="none" w:sz="0" w:space="0" w:color="auto"/>
                <w:bottom w:val="none" w:sz="0" w:space="0" w:color="auto"/>
                <w:right w:val="none" w:sz="0" w:space="0" w:color="auto"/>
              </w:divBdr>
              <w:divsChild>
                <w:div w:id="1113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6877">
      <w:bodyDiv w:val="1"/>
      <w:marLeft w:val="0"/>
      <w:marRight w:val="0"/>
      <w:marTop w:val="0"/>
      <w:marBottom w:val="0"/>
      <w:divBdr>
        <w:top w:val="none" w:sz="0" w:space="0" w:color="auto"/>
        <w:left w:val="none" w:sz="0" w:space="0" w:color="auto"/>
        <w:bottom w:val="none" w:sz="0" w:space="0" w:color="auto"/>
        <w:right w:val="none" w:sz="0" w:space="0" w:color="auto"/>
      </w:divBdr>
    </w:div>
    <w:div w:id="999697116">
      <w:bodyDiv w:val="1"/>
      <w:marLeft w:val="0"/>
      <w:marRight w:val="0"/>
      <w:marTop w:val="0"/>
      <w:marBottom w:val="0"/>
      <w:divBdr>
        <w:top w:val="none" w:sz="0" w:space="0" w:color="auto"/>
        <w:left w:val="none" w:sz="0" w:space="0" w:color="auto"/>
        <w:bottom w:val="none" w:sz="0" w:space="0" w:color="auto"/>
        <w:right w:val="none" w:sz="0" w:space="0" w:color="auto"/>
      </w:divBdr>
    </w:div>
    <w:div w:id="1000740100">
      <w:bodyDiv w:val="1"/>
      <w:marLeft w:val="0"/>
      <w:marRight w:val="0"/>
      <w:marTop w:val="0"/>
      <w:marBottom w:val="0"/>
      <w:divBdr>
        <w:top w:val="none" w:sz="0" w:space="0" w:color="auto"/>
        <w:left w:val="none" w:sz="0" w:space="0" w:color="auto"/>
        <w:bottom w:val="none" w:sz="0" w:space="0" w:color="auto"/>
        <w:right w:val="none" w:sz="0" w:space="0" w:color="auto"/>
      </w:divBdr>
    </w:div>
    <w:div w:id="1003556836">
      <w:bodyDiv w:val="1"/>
      <w:marLeft w:val="0"/>
      <w:marRight w:val="0"/>
      <w:marTop w:val="0"/>
      <w:marBottom w:val="0"/>
      <w:divBdr>
        <w:top w:val="none" w:sz="0" w:space="0" w:color="auto"/>
        <w:left w:val="none" w:sz="0" w:space="0" w:color="auto"/>
        <w:bottom w:val="none" w:sz="0" w:space="0" w:color="auto"/>
        <w:right w:val="none" w:sz="0" w:space="0" w:color="auto"/>
      </w:divBdr>
    </w:div>
    <w:div w:id="1007292988">
      <w:bodyDiv w:val="1"/>
      <w:marLeft w:val="0"/>
      <w:marRight w:val="0"/>
      <w:marTop w:val="0"/>
      <w:marBottom w:val="0"/>
      <w:divBdr>
        <w:top w:val="none" w:sz="0" w:space="0" w:color="auto"/>
        <w:left w:val="none" w:sz="0" w:space="0" w:color="auto"/>
        <w:bottom w:val="none" w:sz="0" w:space="0" w:color="auto"/>
        <w:right w:val="none" w:sz="0" w:space="0" w:color="auto"/>
      </w:divBdr>
      <w:divsChild>
        <w:div w:id="1184201671">
          <w:marLeft w:val="0"/>
          <w:marRight w:val="0"/>
          <w:marTop w:val="0"/>
          <w:marBottom w:val="0"/>
          <w:divBdr>
            <w:top w:val="none" w:sz="0" w:space="0" w:color="auto"/>
            <w:left w:val="none" w:sz="0" w:space="0" w:color="auto"/>
            <w:bottom w:val="none" w:sz="0" w:space="0" w:color="auto"/>
            <w:right w:val="none" w:sz="0" w:space="0" w:color="auto"/>
          </w:divBdr>
          <w:divsChild>
            <w:div w:id="1443954947">
              <w:marLeft w:val="0"/>
              <w:marRight w:val="0"/>
              <w:marTop w:val="0"/>
              <w:marBottom w:val="0"/>
              <w:divBdr>
                <w:top w:val="none" w:sz="0" w:space="0" w:color="auto"/>
                <w:left w:val="none" w:sz="0" w:space="0" w:color="auto"/>
                <w:bottom w:val="none" w:sz="0" w:space="0" w:color="auto"/>
                <w:right w:val="none" w:sz="0" w:space="0" w:color="auto"/>
              </w:divBdr>
              <w:divsChild>
                <w:div w:id="206307687">
                  <w:marLeft w:val="0"/>
                  <w:marRight w:val="0"/>
                  <w:marTop w:val="0"/>
                  <w:marBottom w:val="0"/>
                  <w:divBdr>
                    <w:top w:val="none" w:sz="0" w:space="0" w:color="auto"/>
                    <w:left w:val="none" w:sz="0" w:space="0" w:color="auto"/>
                    <w:bottom w:val="none" w:sz="0" w:space="0" w:color="auto"/>
                    <w:right w:val="none" w:sz="0" w:space="0" w:color="auto"/>
                  </w:divBdr>
                  <w:divsChild>
                    <w:div w:id="670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8951">
      <w:bodyDiv w:val="1"/>
      <w:marLeft w:val="0"/>
      <w:marRight w:val="0"/>
      <w:marTop w:val="0"/>
      <w:marBottom w:val="0"/>
      <w:divBdr>
        <w:top w:val="none" w:sz="0" w:space="0" w:color="auto"/>
        <w:left w:val="none" w:sz="0" w:space="0" w:color="auto"/>
        <w:bottom w:val="none" w:sz="0" w:space="0" w:color="auto"/>
        <w:right w:val="none" w:sz="0" w:space="0" w:color="auto"/>
      </w:divBdr>
    </w:div>
    <w:div w:id="1033264770">
      <w:bodyDiv w:val="1"/>
      <w:marLeft w:val="0"/>
      <w:marRight w:val="0"/>
      <w:marTop w:val="0"/>
      <w:marBottom w:val="0"/>
      <w:divBdr>
        <w:top w:val="none" w:sz="0" w:space="0" w:color="auto"/>
        <w:left w:val="none" w:sz="0" w:space="0" w:color="auto"/>
        <w:bottom w:val="none" w:sz="0" w:space="0" w:color="auto"/>
        <w:right w:val="none" w:sz="0" w:space="0" w:color="auto"/>
      </w:divBdr>
    </w:div>
    <w:div w:id="1033530866">
      <w:bodyDiv w:val="1"/>
      <w:marLeft w:val="0"/>
      <w:marRight w:val="0"/>
      <w:marTop w:val="0"/>
      <w:marBottom w:val="0"/>
      <w:divBdr>
        <w:top w:val="none" w:sz="0" w:space="0" w:color="auto"/>
        <w:left w:val="none" w:sz="0" w:space="0" w:color="auto"/>
        <w:bottom w:val="none" w:sz="0" w:space="0" w:color="auto"/>
        <w:right w:val="none" w:sz="0" w:space="0" w:color="auto"/>
      </w:divBdr>
    </w:div>
    <w:div w:id="1035495785">
      <w:bodyDiv w:val="1"/>
      <w:marLeft w:val="0"/>
      <w:marRight w:val="0"/>
      <w:marTop w:val="0"/>
      <w:marBottom w:val="0"/>
      <w:divBdr>
        <w:top w:val="none" w:sz="0" w:space="0" w:color="auto"/>
        <w:left w:val="none" w:sz="0" w:space="0" w:color="auto"/>
        <w:bottom w:val="none" w:sz="0" w:space="0" w:color="auto"/>
        <w:right w:val="none" w:sz="0" w:space="0" w:color="auto"/>
      </w:divBdr>
    </w:div>
    <w:div w:id="1035740773">
      <w:bodyDiv w:val="1"/>
      <w:marLeft w:val="0"/>
      <w:marRight w:val="0"/>
      <w:marTop w:val="0"/>
      <w:marBottom w:val="0"/>
      <w:divBdr>
        <w:top w:val="none" w:sz="0" w:space="0" w:color="auto"/>
        <w:left w:val="none" w:sz="0" w:space="0" w:color="auto"/>
        <w:bottom w:val="none" w:sz="0" w:space="0" w:color="auto"/>
        <w:right w:val="none" w:sz="0" w:space="0" w:color="auto"/>
      </w:divBdr>
    </w:div>
    <w:div w:id="1037895840">
      <w:bodyDiv w:val="1"/>
      <w:marLeft w:val="0"/>
      <w:marRight w:val="0"/>
      <w:marTop w:val="0"/>
      <w:marBottom w:val="0"/>
      <w:divBdr>
        <w:top w:val="none" w:sz="0" w:space="0" w:color="auto"/>
        <w:left w:val="none" w:sz="0" w:space="0" w:color="auto"/>
        <w:bottom w:val="none" w:sz="0" w:space="0" w:color="auto"/>
        <w:right w:val="none" w:sz="0" w:space="0" w:color="auto"/>
      </w:divBdr>
    </w:div>
    <w:div w:id="1045519784">
      <w:bodyDiv w:val="1"/>
      <w:marLeft w:val="0"/>
      <w:marRight w:val="0"/>
      <w:marTop w:val="0"/>
      <w:marBottom w:val="0"/>
      <w:divBdr>
        <w:top w:val="none" w:sz="0" w:space="0" w:color="auto"/>
        <w:left w:val="none" w:sz="0" w:space="0" w:color="auto"/>
        <w:bottom w:val="none" w:sz="0" w:space="0" w:color="auto"/>
        <w:right w:val="none" w:sz="0" w:space="0" w:color="auto"/>
      </w:divBdr>
    </w:div>
    <w:div w:id="1047800345">
      <w:bodyDiv w:val="1"/>
      <w:marLeft w:val="0"/>
      <w:marRight w:val="0"/>
      <w:marTop w:val="0"/>
      <w:marBottom w:val="0"/>
      <w:divBdr>
        <w:top w:val="none" w:sz="0" w:space="0" w:color="auto"/>
        <w:left w:val="none" w:sz="0" w:space="0" w:color="auto"/>
        <w:bottom w:val="none" w:sz="0" w:space="0" w:color="auto"/>
        <w:right w:val="none" w:sz="0" w:space="0" w:color="auto"/>
      </w:divBdr>
    </w:div>
    <w:div w:id="1050150737">
      <w:bodyDiv w:val="1"/>
      <w:marLeft w:val="0"/>
      <w:marRight w:val="0"/>
      <w:marTop w:val="0"/>
      <w:marBottom w:val="0"/>
      <w:divBdr>
        <w:top w:val="none" w:sz="0" w:space="0" w:color="auto"/>
        <w:left w:val="none" w:sz="0" w:space="0" w:color="auto"/>
        <w:bottom w:val="none" w:sz="0" w:space="0" w:color="auto"/>
        <w:right w:val="none" w:sz="0" w:space="0" w:color="auto"/>
      </w:divBdr>
    </w:div>
    <w:div w:id="1053164103">
      <w:bodyDiv w:val="1"/>
      <w:marLeft w:val="0"/>
      <w:marRight w:val="0"/>
      <w:marTop w:val="0"/>
      <w:marBottom w:val="0"/>
      <w:divBdr>
        <w:top w:val="none" w:sz="0" w:space="0" w:color="auto"/>
        <w:left w:val="none" w:sz="0" w:space="0" w:color="auto"/>
        <w:bottom w:val="none" w:sz="0" w:space="0" w:color="auto"/>
        <w:right w:val="none" w:sz="0" w:space="0" w:color="auto"/>
      </w:divBdr>
    </w:div>
    <w:div w:id="1057242421">
      <w:bodyDiv w:val="1"/>
      <w:marLeft w:val="0"/>
      <w:marRight w:val="0"/>
      <w:marTop w:val="0"/>
      <w:marBottom w:val="0"/>
      <w:divBdr>
        <w:top w:val="none" w:sz="0" w:space="0" w:color="auto"/>
        <w:left w:val="none" w:sz="0" w:space="0" w:color="auto"/>
        <w:bottom w:val="none" w:sz="0" w:space="0" w:color="auto"/>
        <w:right w:val="none" w:sz="0" w:space="0" w:color="auto"/>
      </w:divBdr>
    </w:div>
    <w:div w:id="1065177456">
      <w:bodyDiv w:val="1"/>
      <w:marLeft w:val="0"/>
      <w:marRight w:val="0"/>
      <w:marTop w:val="0"/>
      <w:marBottom w:val="0"/>
      <w:divBdr>
        <w:top w:val="none" w:sz="0" w:space="0" w:color="auto"/>
        <w:left w:val="none" w:sz="0" w:space="0" w:color="auto"/>
        <w:bottom w:val="none" w:sz="0" w:space="0" w:color="auto"/>
        <w:right w:val="none" w:sz="0" w:space="0" w:color="auto"/>
      </w:divBdr>
    </w:div>
    <w:div w:id="1068385107">
      <w:bodyDiv w:val="1"/>
      <w:marLeft w:val="0"/>
      <w:marRight w:val="0"/>
      <w:marTop w:val="0"/>
      <w:marBottom w:val="0"/>
      <w:divBdr>
        <w:top w:val="none" w:sz="0" w:space="0" w:color="auto"/>
        <w:left w:val="none" w:sz="0" w:space="0" w:color="auto"/>
        <w:bottom w:val="none" w:sz="0" w:space="0" w:color="auto"/>
        <w:right w:val="none" w:sz="0" w:space="0" w:color="auto"/>
      </w:divBdr>
    </w:div>
    <w:div w:id="1068917237">
      <w:bodyDiv w:val="1"/>
      <w:marLeft w:val="0"/>
      <w:marRight w:val="0"/>
      <w:marTop w:val="0"/>
      <w:marBottom w:val="0"/>
      <w:divBdr>
        <w:top w:val="none" w:sz="0" w:space="0" w:color="auto"/>
        <w:left w:val="none" w:sz="0" w:space="0" w:color="auto"/>
        <w:bottom w:val="none" w:sz="0" w:space="0" w:color="auto"/>
        <w:right w:val="none" w:sz="0" w:space="0" w:color="auto"/>
      </w:divBdr>
    </w:div>
    <w:div w:id="1074357030">
      <w:bodyDiv w:val="1"/>
      <w:marLeft w:val="0"/>
      <w:marRight w:val="0"/>
      <w:marTop w:val="0"/>
      <w:marBottom w:val="0"/>
      <w:divBdr>
        <w:top w:val="none" w:sz="0" w:space="0" w:color="auto"/>
        <w:left w:val="none" w:sz="0" w:space="0" w:color="auto"/>
        <w:bottom w:val="none" w:sz="0" w:space="0" w:color="auto"/>
        <w:right w:val="none" w:sz="0" w:space="0" w:color="auto"/>
      </w:divBdr>
    </w:div>
    <w:div w:id="1092168757">
      <w:bodyDiv w:val="1"/>
      <w:marLeft w:val="0"/>
      <w:marRight w:val="0"/>
      <w:marTop w:val="0"/>
      <w:marBottom w:val="0"/>
      <w:divBdr>
        <w:top w:val="none" w:sz="0" w:space="0" w:color="auto"/>
        <w:left w:val="none" w:sz="0" w:space="0" w:color="auto"/>
        <w:bottom w:val="none" w:sz="0" w:space="0" w:color="auto"/>
        <w:right w:val="none" w:sz="0" w:space="0" w:color="auto"/>
      </w:divBdr>
    </w:div>
    <w:div w:id="1092355283">
      <w:bodyDiv w:val="1"/>
      <w:marLeft w:val="0"/>
      <w:marRight w:val="0"/>
      <w:marTop w:val="0"/>
      <w:marBottom w:val="0"/>
      <w:divBdr>
        <w:top w:val="none" w:sz="0" w:space="0" w:color="auto"/>
        <w:left w:val="none" w:sz="0" w:space="0" w:color="auto"/>
        <w:bottom w:val="none" w:sz="0" w:space="0" w:color="auto"/>
        <w:right w:val="none" w:sz="0" w:space="0" w:color="auto"/>
      </w:divBdr>
    </w:div>
    <w:div w:id="1099712725">
      <w:bodyDiv w:val="1"/>
      <w:marLeft w:val="0"/>
      <w:marRight w:val="0"/>
      <w:marTop w:val="0"/>
      <w:marBottom w:val="0"/>
      <w:divBdr>
        <w:top w:val="none" w:sz="0" w:space="0" w:color="auto"/>
        <w:left w:val="none" w:sz="0" w:space="0" w:color="auto"/>
        <w:bottom w:val="none" w:sz="0" w:space="0" w:color="auto"/>
        <w:right w:val="none" w:sz="0" w:space="0" w:color="auto"/>
      </w:divBdr>
    </w:div>
    <w:div w:id="1102723510">
      <w:bodyDiv w:val="1"/>
      <w:marLeft w:val="0"/>
      <w:marRight w:val="0"/>
      <w:marTop w:val="0"/>
      <w:marBottom w:val="0"/>
      <w:divBdr>
        <w:top w:val="none" w:sz="0" w:space="0" w:color="auto"/>
        <w:left w:val="none" w:sz="0" w:space="0" w:color="auto"/>
        <w:bottom w:val="none" w:sz="0" w:space="0" w:color="auto"/>
        <w:right w:val="none" w:sz="0" w:space="0" w:color="auto"/>
      </w:divBdr>
    </w:div>
    <w:div w:id="1105878725">
      <w:bodyDiv w:val="1"/>
      <w:marLeft w:val="0"/>
      <w:marRight w:val="0"/>
      <w:marTop w:val="0"/>
      <w:marBottom w:val="0"/>
      <w:divBdr>
        <w:top w:val="none" w:sz="0" w:space="0" w:color="auto"/>
        <w:left w:val="none" w:sz="0" w:space="0" w:color="auto"/>
        <w:bottom w:val="none" w:sz="0" w:space="0" w:color="auto"/>
        <w:right w:val="none" w:sz="0" w:space="0" w:color="auto"/>
      </w:divBdr>
    </w:div>
    <w:div w:id="1122460778">
      <w:bodyDiv w:val="1"/>
      <w:marLeft w:val="0"/>
      <w:marRight w:val="0"/>
      <w:marTop w:val="0"/>
      <w:marBottom w:val="0"/>
      <w:divBdr>
        <w:top w:val="none" w:sz="0" w:space="0" w:color="auto"/>
        <w:left w:val="none" w:sz="0" w:space="0" w:color="auto"/>
        <w:bottom w:val="none" w:sz="0" w:space="0" w:color="auto"/>
        <w:right w:val="none" w:sz="0" w:space="0" w:color="auto"/>
      </w:divBdr>
    </w:div>
    <w:div w:id="1123497550">
      <w:bodyDiv w:val="1"/>
      <w:marLeft w:val="0"/>
      <w:marRight w:val="0"/>
      <w:marTop w:val="0"/>
      <w:marBottom w:val="0"/>
      <w:divBdr>
        <w:top w:val="none" w:sz="0" w:space="0" w:color="auto"/>
        <w:left w:val="none" w:sz="0" w:space="0" w:color="auto"/>
        <w:bottom w:val="none" w:sz="0" w:space="0" w:color="auto"/>
        <w:right w:val="none" w:sz="0" w:space="0" w:color="auto"/>
      </w:divBdr>
    </w:div>
    <w:div w:id="1128013454">
      <w:bodyDiv w:val="1"/>
      <w:marLeft w:val="0"/>
      <w:marRight w:val="0"/>
      <w:marTop w:val="0"/>
      <w:marBottom w:val="0"/>
      <w:divBdr>
        <w:top w:val="none" w:sz="0" w:space="0" w:color="auto"/>
        <w:left w:val="none" w:sz="0" w:space="0" w:color="auto"/>
        <w:bottom w:val="none" w:sz="0" w:space="0" w:color="auto"/>
        <w:right w:val="none" w:sz="0" w:space="0" w:color="auto"/>
      </w:divBdr>
    </w:div>
    <w:div w:id="1129474460">
      <w:bodyDiv w:val="1"/>
      <w:marLeft w:val="0"/>
      <w:marRight w:val="0"/>
      <w:marTop w:val="0"/>
      <w:marBottom w:val="0"/>
      <w:divBdr>
        <w:top w:val="none" w:sz="0" w:space="0" w:color="auto"/>
        <w:left w:val="none" w:sz="0" w:space="0" w:color="auto"/>
        <w:bottom w:val="none" w:sz="0" w:space="0" w:color="auto"/>
        <w:right w:val="none" w:sz="0" w:space="0" w:color="auto"/>
      </w:divBdr>
    </w:div>
    <w:div w:id="1135215072">
      <w:bodyDiv w:val="1"/>
      <w:marLeft w:val="0"/>
      <w:marRight w:val="0"/>
      <w:marTop w:val="0"/>
      <w:marBottom w:val="0"/>
      <w:divBdr>
        <w:top w:val="none" w:sz="0" w:space="0" w:color="auto"/>
        <w:left w:val="none" w:sz="0" w:space="0" w:color="auto"/>
        <w:bottom w:val="none" w:sz="0" w:space="0" w:color="auto"/>
        <w:right w:val="none" w:sz="0" w:space="0" w:color="auto"/>
      </w:divBdr>
    </w:div>
    <w:div w:id="1137140215">
      <w:bodyDiv w:val="1"/>
      <w:marLeft w:val="0"/>
      <w:marRight w:val="0"/>
      <w:marTop w:val="0"/>
      <w:marBottom w:val="0"/>
      <w:divBdr>
        <w:top w:val="none" w:sz="0" w:space="0" w:color="auto"/>
        <w:left w:val="none" w:sz="0" w:space="0" w:color="auto"/>
        <w:bottom w:val="none" w:sz="0" w:space="0" w:color="auto"/>
        <w:right w:val="none" w:sz="0" w:space="0" w:color="auto"/>
      </w:divBdr>
    </w:div>
    <w:div w:id="1144395023">
      <w:bodyDiv w:val="1"/>
      <w:marLeft w:val="0"/>
      <w:marRight w:val="0"/>
      <w:marTop w:val="0"/>
      <w:marBottom w:val="0"/>
      <w:divBdr>
        <w:top w:val="none" w:sz="0" w:space="0" w:color="auto"/>
        <w:left w:val="none" w:sz="0" w:space="0" w:color="auto"/>
        <w:bottom w:val="none" w:sz="0" w:space="0" w:color="auto"/>
        <w:right w:val="none" w:sz="0" w:space="0" w:color="auto"/>
      </w:divBdr>
    </w:div>
    <w:div w:id="1151557477">
      <w:bodyDiv w:val="1"/>
      <w:marLeft w:val="0"/>
      <w:marRight w:val="0"/>
      <w:marTop w:val="0"/>
      <w:marBottom w:val="0"/>
      <w:divBdr>
        <w:top w:val="none" w:sz="0" w:space="0" w:color="auto"/>
        <w:left w:val="none" w:sz="0" w:space="0" w:color="auto"/>
        <w:bottom w:val="none" w:sz="0" w:space="0" w:color="auto"/>
        <w:right w:val="none" w:sz="0" w:space="0" w:color="auto"/>
      </w:divBdr>
    </w:div>
    <w:div w:id="1155225923">
      <w:bodyDiv w:val="1"/>
      <w:marLeft w:val="0"/>
      <w:marRight w:val="0"/>
      <w:marTop w:val="0"/>
      <w:marBottom w:val="0"/>
      <w:divBdr>
        <w:top w:val="none" w:sz="0" w:space="0" w:color="auto"/>
        <w:left w:val="none" w:sz="0" w:space="0" w:color="auto"/>
        <w:bottom w:val="none" w:sz="0" w:space="0" w:color="auto"/>
        <w:right w:val="none" w:sz="0" w:space="0" w:color="auto"/>
      </w:divBdr>
    </w:div>
    <w:div w:id="1161852236">
      <w:bodyDiv w:val="1"/>
      <w:marLeft w:val="0"/>
      <w:marRight w:val="0"/>
      <w:marTop w:val="0"/>
      <w:marBottom w:val="0"/>
      <w:divBdr>
        <w:top w:val="none" w:sz="0" w:space="0" w:color="auto"/>
        <w:left w:val="none" w:sz="0" w:space="0" w:color="auto"/>
        <w:bottom w:val="none" w:sz="0" w:space="0" w:color="auto"/>
        <w:right w:val="none" w:sz="0" w:space="0" w:color="auto"/>
      </w:divBdr>
    </w:div>
    <w:div w:id="1166894736">
      <w:bodyDiv w:val="1"/>
      <w:marLeft w:val="0"/>
      <w:marRight w:val="0"/>
      <w:marTop w:val="0"/>
      <w:marBottom w:val="0"/>
      <w:divBdr>
        <w:top w:val="none" w:sz="0" w:space="0" w:color="auto"/>
        <w:left w:val="none" w:sz="0" w:space="0" w:color="auto"/>
        <w:bottom w:val="none" w:sz="0" w:space="0" w:color="auto"/>
        <w:right w:val="none" w:sz="0" w:space="0" w:color="auto"/>
      </w:divBdr>
    </w:div>
    <w:div w:id="1173186299">
      <w:bodyDiv w:val="1"/>
      <w:marLeft w:val="0"/>
      <w:marRight w:val="0"/>
      <w:marTop w:val="0"/>
      <w:marBottom w:val="0"/>
      <w:divBdr>
        <w:top w:val="none" w:sz="0" w:space="0" w:color="auto"/>
        <w:left w:val="none" w:sz="0" w:space="0" w:color="auto"/>
        <w:bottom w:val="none" w:sz="0" w:space="0" w:color="auto"/>
        <w:right w:val="none" w:sz="0" w:space="0" w:color="auto"/>
      </w:divBdr>
    </w:div>
    <w:div w:id="1174147522">
      <w:bodyDiv w:val="1"/>
      <w:marLeft w:val="0"/>
      <w:marRight w:val="0"/>
      <w:marTop w:val="0"/>
      <w:marBottom w:val="0"/>
      <w:divBdr>
        <w:top w:val="none" w:sz="0" w:space="0" w:color="auto"/>
        <w:left w:val="none" w:sz="0" w:space="0" w:color="auto"/>
        <w:bottom w:val="none" w:sz="0" w:space="0" w:color="auto"/>
        <w:right w:val="none" w:sz="0" w:space="0" w:color="auto"/>
      </w:divBdr>
    </w:div>
    <w:div w:id="1174148747">
      <w:bodyDiv w:val="1"/>
      <w:marLeft w:val="0"/>
      <w:marRight w:val="0"/>
      <w:marTop w:val="0"/>
      <w:marBottom w:val="0"/>
      <w:divBdr>
        <w:top w:val="none" w:sz="0" w:space="0" w:color="auto"/>
        <w:left w:val="none" w:sz="0" w:space="0" w:color="auto"/>
        <w:bottom w:val="none" w:sz="0" w:space="0" w:color="auto"/>
        <w:right w:val="none" w:sz="0" w:space="0" w:color="auto"/>
      </w:divBdr>
    </w:div>
    <w:div w:id="1175145715">
      <w:bodyDiv w:val="1"/>
      <w:marLeft w:val="0"/>
      <w:marRight w:val="0"/>
      <w:marTop w:val="0"/>
      <w:marBottom w:val="0"/>
      <w:divBdr>
        <w:top w:val="none" w:sz="0" w:space="0" w:color="auto"/>
        <w:left w:val="none" w:sz="0" w:space="0" w:color="auto"/>
        <w:bottom w:val="none" w:sz="0" w:space="0" w:color="auto"/>
        <w:right w:val="none" w:sz="0" w:space="0" w:color="auto"/>
      </w:divBdr>
    </w:div>
    <w:div w:id="1176266049">
      <w:bodyDiv w:val="1"/>
      <w:marLeft w:val="0"/>
      <w:marRight w:val="0"/>
      <w:marTop w:val="0"/>
      <w:marBottom w:val="0"/>
      <w:divBdr>
        <w:top w:val="none" w:sz="0" w:space="0" w:color="auto"/>
        <w:left w:val="none" w:sz="0" w:space="0" w:color="auto"/>
        <w:bottom w:val="none" w:sz="0" w:space="0" w:color="auto"/>
        <w:right w:val="none" w:sz="0" w:space="0" w:color="auto"/>
      </w:divBdr>
    </w:div>
    <w:div w:id="1178739146">
      <w:bodyDiv w:val="1"/>
      <w:marLeft w:val="0"/>
      <w:marRight w:val="0"/>
      <w:marTop w:val="0"/>
      <w:marBottom w:val="0"/>
      <w:divBdr>
        <w:top w:val="none" w:sz="0" w:space="0" w:color="auto"/>
        <w:left w:val="none" w:sz="0" w:space="0" w:color="auto"/>
        <w:bottom w:val="none" w:sz="0" w:space="0" w:color="auto"/>
        <w:right w:val="none" w:sz="0" w:space="0" w:color="auto"/>
      </w:divBdr>
    </w:div>
    <w:div w:id="1183858326">
      <w:bodyDiv w:val="1"/>
      <w:marLeft w:val="0"/>
      <w:marRight w:val="0"/>
      <w:marTop w:val="0"/>
      <w:marBottom w:val="0"/>
      <w:divBdr>
        <w:top w:val="none" w:sz="0" w:space="0" w:color="auto"/>
        <w:left w:val="none" w:sz="0" w:space="0" w:color="auto"/>
        <w:bottom w:val="none" w:sz="0" w:space="0" w:color="auto"/>
        <w:right w:val="none" w:sz="0" w:space="0" w:color="auto"/>
      </w:divBdr>
    </w:div>
    <w:div w:id="1185510283">
      <w:bodyDiv w:val="1"/>
      <w:marLeft w:val="0"/>
      <w:marRight w:val="0"/>
      <w:marTop w:val="0"/>
      <w:marBottom w:val="0"/>
      <w:divBdr>
        <w:top w:val="none" w:sz="0" w:space="0" w:color="auto"/>
        <w:left w:val="none" w:sz="0" w:space="0" w:color="auto"/>
        <w:bottom w:val="none" w:sz="0" w:space="0" w:color="auto"/>
        <w:right w:val="none" w:sz="0" w:space="0" w:color="auto"/>
      </w:divBdr>
    </w:div>
    <w:div w:id="1187257005">
      <w:bodyDiv w:val="1"/>
      <w:marLeft w:val="0"/>
      <w:marRight w:val="0"/>
      <w:marTop w:val="0"/>
      <w:marBottom w:val="0"/>
      <w:divBdr>
        <w:top w:val="none" w:sz="0" w:space="0" w:color="auto"/>
        <w:left w:val="none" w:sz="0" w:space="0" w:color="auto"/>
        <w:bottom w:val="none" w:sz="0" w:space="0" w:color="auto"/>
        <w:right w:val="none" w:sz="0" w:space="0" w:color="auto"/>
      </w:divBdr>
    </w:div>
    <w:div w:id="1188324937">
      <w:bodyDiv w:val="1"/>
      <w:marLeft w:val="0"/>
      <w:marRight w:val="0"/>
      <w:marTop w:val="0"/>
      <w:marBottom w:val="0"/>
      <w:divBdr>
        <w:top w:val="none" w:sz="0" w:space="0" w:color="auto"/>
        <w:left w:val="none" w:sz="0" w:space="0" w:color="auto"/>
        <w:bottom w:val="none" w:sz="0" w:space="0" w:color="auto"/>
        <w:right w:val="none" w:sz="0" w:space="0" w:color="auto"/>
      </w:divBdr>
    </w:div>
    <w:div w:id="1190530560">
      <w:bodyDiv w:val="1"/>
      <w:marLeft w:val="0"/>
      <w:marRight w:val="0"/>
      <w:marTop w:val="0"/>
      <w:marBottom w:val="0"/>
      <w:divBdr>
        <w:top w:val="none" w:sz="0" w:space="0" w:color="auto"/>
        <w:left w:val="none" w:sz="0" w:space="0" w:color="auto"/>
        <w:bottom w:val="none" w:sz="0" w:space="0" w:color="auto"/>
        <w:right w:val="none" w:sz="0" w:space="0" w:color="auto"/>
      </w:divBdr>
    </w:div>
    <w:div w:id="1199510536">
      <w:bodyDiv w:val="1"/>
      <w:marLeft w:val="0"/>
      <w:marRight w:val="0"/>
      <w:marTop w:val="0"/>
      <w:marBottom w:val="0"/>
      <w:divBdr>
        <w:top w:val="none" w:sz="0" w:space="0" w:color="auto"/>
        <w:left w:val="none" w:sz="0" w:space="0" w:color="auto"/>
        <w:bottom w:val="none" w:sz="0" w:space="0" w:color="auto"/>
        <w:right w:val="none" w:sz="0" w:space="0" w:color="auto"/>
      </w:divBdr>
      <w:divsChild>
        <w:div w:id="547566177">
          <w:marLeft w:val="0"/>
          <w:marRight w:val="0"/>
          <w:marTop w:val="0"/>
          <w:marBottom w:val="0"/>
          <w:divBdr>
            <w:top w:val="none" w:sz="0" w:space="0" w:color="auto"/>
            <w:left w:val="none" w:sz="0" w:space="0" w:color="auto"/>
            <w:bottom w:val="none" w:sz="0" w:space="0" w:color="auto"/>
            <w:right w:val="none" w:sz="0" w:space="0" w:color="auto"/>
          </w:divBdr>
          <w:divsChild>
            <w:div w:id="1252589836">
              <w:marLeft w:val="0"/>
              <w:marRight w:val="0"/>
              <w:marTop w:val="0"/>
              <w:marBottom w:val="0"/>
              <w:divBdr>
                <w:top w:val="none" w:sz="0" w:space="0" w:color="auto"/>
                <w:left w:val="none" w:sz="0" w:space="0" w:color="auto"/>
                <w:bottom w:val="none" w:sz="0" w:space="0" w:color="auto"/>
                <w:right w:val="none" w:sz="0" w:space="0" w:color="auto"/>
              </w:divBdr>
              <w:divsChild>
                <w:div w:id="19034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89304">
      <w:bodyDiv w:val="1"/>
      <w:marLeft w:val="0"/>
      <w:marRight w:val="0"/>
      <w:marTop w:val="0"/>
      <w:marBottom w:val="0"/>
      <w:divBdr>
        <w:top w:val="none" w:sz="0" w:space="0" w:color="auto"/>
        <w:left w:val="none" w:sz="0" w:space="0" w:color="auto"/>
        <w:bottom w:val="none" w:sz="0" w:space="0" w:color="auto"/>
        <w:right w:val="none" w:sz="0" w:space="0" w:color="auto"/>
      </w:divBdr>
      <w:divsChild>
        <w:div w:id="839198114">
          <w:marLeft w:val="0"/>
          <w:marRight w:val="0"/>
          <w:marTop w:val="0"/>
          <w:marBottom w:val="0"/>
          <w:divBdr>
            <w:top w:val="none" w:sz="0" w:space="0" w:color="auto"/>
            <w:left w:val="none" w:sz="0" w:space="0" w:color="auto"/>
            <w:bottom w:val="none" w:sz="0" w:space="0" w:color="auto"/>
            <w:right w:val="none" w:sz="0" w:space="0" w:color="auto"/>
          </w:divBdr>
          <w:divsChild>
            <w:div w:id="155731347">
              <w:marLeft w:val="0"/>
              <w:marRight w:val="0"/>
              <w:marTop w:val="0"/>
              <w:marBottom w:val="0"/>
              <w:divBdr>
                <w:top w:val="none" w:sz="0" w:space="0" w:color="auto"/>
                <w:left w:val="none" w:sz="0" w:space="0" w:color="auto"/>
                <w:bottom w:val="none" w:sz="0" w:space="0" w:color="auto"/>
                <w:right w:val="none" w:sz="0" w:space="0" w:color="auto"/>
              </w:divBdr>
              <w:divsChild>
                <w:div w:id="16357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9285">
      <w:bodyDiv w:val="1"/>
      <w:marLeft w:val="0"/>
      <w:marRight w:val="0"/>
      <w:marTop w:val="0"/>
      <w:marBottom w:val="0"/>
      <w:divBdr>
        <w:top w:val="none" w:sz="0" w:space="0" w:color="auto"/>
        <w:left w:val="none" w:sz="0" w:space="0" w:color="auto"/>
        <w:bottom w:val="none" w:sz="0" w:space="0" w:color="auto"/>
        <w:right w:val="none" w:sz="0" w:space="0" w:color="auto"/>
      </w:divBdr>
    </w:div>
    <w:div w:id="1204827027">
      <w:bodyDiv w:val="1"/>
      <w:marLeft w:val="0"/>
      <w:marRight w:val="0"/>
      <w:marTop w:val="0"/>
      <w:marBottom w:val="0"/>
      <w:divBdr>
        <w:top w:val="none" w:sz="0" w:space="0" w:color="auto"/>
        <w:left w:val="none" w:sz="0" w:space="0" w:color="auto"/>
        <w:bottom w:val="none" w:sz="0" w:space="0" w:color="auto"/>
        <w:right w:val="none" w:sz="0" w:space="0" w:color="auto"/>
      </w:divBdr>
    </w:div>
    <w:div w:id="1206209873">
      <w:bodyDiv w:val="1"/>
      <w:marLeft w:val="0"/>
      <w:marRight w:val="0"/>
      <w:marTop w:val="0"/>
      <w:marBottom w:val="0"/>
      <w:divBdr>
        <w:top w:val="none" w:sz="0" w:space="0" w:color="auto"/>
        <w:left w:val="none" w:sz="0" w:space="0" w:color="auto"/>
        <w:bottom w:val="none" w:sz="0" w:space="0" w:color="auto"/>
        <w:right w:val="none" w:sz="0" w:space="0" w:color="auto"/>
      </w:divBdr>
    </w:div>
    <w:div w:id="1207256575">
      <w:bodyDiv w:val="1"/>
      <w:marLeft w:val="0"/>
      <w:marRight w:val="0"/>
      <w:marTop w:val="0"/>
      <w:marBottom w:val="0"/>
      <w:divBdr>
        <w:top w:val="none" w:sz="0" w:space="0" w:color="auto"/>
        <w:left w:val="none" w:sz="0" w:space="0" w:color="auto"/>
        <w:bottom w:val="none" w:sz="0" w:space="0" w:color="auto"/>
        <w:right w:val="none" w:sz="0" w:space="0" w:color="auto"/>
      </w:divBdr>
    </w:div>
    <w:div w:id="1210335025">
      <w:bodyDiv w:val="1"/>
      <w:marLeft w:val="0"/>
      <w:marRight w:val="0"/>
      <w:marTop w:val="0"/>
      <w:marBottom w:val="0"/>
      <w:divBdr>
        <w:top w:val="none" w:sz="0" w:space="0" w:color="auto"/>
        <w:left w:val="none" w:sz="0" w:space="0" w:color="auto"/>
        <w:bottom w:val="none" w:sz="0" w:space="0" w:color="auto"/>
        <w:right w:val="none" w:sz="0" w:space="0" w:color="auto"/>
      </w:divBdr>
      <w:divsChild>
        <w:div w:id="1335187029">
          <w:marLeft w:val="0"/>
          <w:marRight w:val="0"/>
          <w:marTop w:val="0"/>
          <w:marBottom w:val="0"/>
          <w:divBdr>
            <w:top w:val="none" w:sz="0" w:space="0" w:color="auto"/>
            <w:left w:val="none" w:sz="0" w:space="0" w:color="auto"/>
            <w:bottom w:val="none" w:sz="0" w:space="0" w:color="auto"/>
            <w:right w:val="none" w:sz="0" w:space="0" w:color="auto"/>
          </w:divBdr>
          <w:divsChild>
            <w:div w:id="1893494170">
              <w:marLeft w:val="0"/>
              <w:marRight w:val="0"/>
              <w:marTop w:val="0"/>
              <w:marBottom w:val="0"/>
              <w:divBdr>
                <w:top w:val="none" w:sz="0" w:space="0" w:color="auto"/>
                <w:left w:val="none" w:sz="0" w:space="0" w:color="auto"/>
                <w:bottom w:val="none" w:sz="0" w:space="0" w:color="auto"/>
                <w:right w:val="none" w:sz="0" w:space="0" w:color="auto"/>
              </w:divBdr>
            </w:div>
          </w:divsChild>
        </w:div>
        <w:div w:id="1747720853">
          <w:marLeft w:val="0"/>
          <w:marRight w:val="0"/>
          <w:marTop w:val="0"/>
          <w:marBottom w:val="0"/>
          <w:divBdr>
            <w:top w:val="none" w:sz="0" w:space="0" w:color="auto"/>
            <w:left w:val="none" w:sz="0" w:space="0" w:color="auto"/>
            <w:bottom w:val="none" w:sz="0" w:space="0" w:color="auto"/>
            <w:right w:val="none" w:sz="0" w:space="0" w:color="auto"/>
          </w:divBdr>
          <w:divsChild>
            <w:div w:id="6149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8080">
      <w:bodyDiv w:val="1"/>
      <w:marLeft w:val="0"/>
      <w:marRight w:val="0"/>
      <w:marTop w:val="0"/>
      <w:marBottom w:val="0"/>
      <w:divBdr>
        <w:top w:val="none" w:sz="0" w:space="0" w:color="auto"/>
        <w:left w:val="none" w:sz="0" w:space="0" w:color="auto"/>
        <w:bottom w:val="none" w:sz="0" w:space="0" w:color="auto"/>
        <w:right w:val="none" w:sz="0" w:space="0" w:color="auto"/>
      </w:divBdr>
      <w:divsChild>
        <w:div w:id="1243834103">
          <w:marLeft w:val="0"/>
          <w:marRight w:val="0"/>
          <w:marTop w:val="0"/>
          <w:marBottom w:val="0"/>
          <w:divBdr>
            <w:top w:val="none" w:sz="0" w:space="0" w:color="auto"/>
            <w:left w:val="none" w:sz="0" w:space="0" w:color="auto"/>
            <w:bottom w:val="none" w:sz="0" w:space="0" w:color="auto"/>
            <w:right w:val="none" w:sz="0" w:space="0" w:color="auto"/>
          </w:divBdr>
          <w:divsChild>
            <w:div w:id="24063922">
              <w:marLeft w:val="0"/>
              <w:marRight w:val="0"/>
              <w:marTop w:val="0"/>
              <w:marBottom w:val="0"/>
              <w:divBdr>
                <w:top w:val="none" w:sz="0" w:space="0" w:color="auto"/>
                <w:left w:val="none" w:sz="0" w:space="0" w:color="auto"/>
                <w:bottom w:val="none" w:sz="0" w:space="0" w:color="auto"/>
                <w:right w:val="none" w:sz="0" w:space="0" w:color="auto"/>
              </w:divBdr>
              <w:divsChild>
                <w:div w:id="17351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7737">
      <w:bodyDiv w:val="1"/>
      <w:marLeft w:val="0"/>
      <w:marRight w:val="0"/>
      <w:marTop w:val="0"/>
      <w:marBottom w:val="0"/>
      <w:divBdr>
        <w:top w:val="none" w:sz="0" w:space="0" w:color="auto"/>
        <w:left w:val="none" w:sz="0" w:space="0" w:color="auto"/>
        <w:bottom w:val="none" w:sz="0" w:space="0" w:color="auto"/>
        <w:right w:val="none" w:sz="0" w:space="0" w:color="auto"/>
      </w:divBdr>
      <w:divsChild>
        <w:div w:id="973094618">
          <w:marLeft w:val="0"/>
          <w:marRight w:val="0"/>
          <w:marTop w:val="0"/>
          <w:marBottom w:val="0"/>
          <w:divBdr>
            <w:top w:val="none" w:sz="0" w:space="0" w:color="auto"/>
            <w:left w:val="none" w:sz="0" w:space="0" w:color="auto"/>
            <w:bottom w:val="none" w:sz="0" w:space="0" w:color="auto"/>
            <w:right w:val="none" w:sz="0" w:space="0" w:color="auto"/>
          </w:divBdr>
          <w:divsChild>
            <w:div w:id="1143541526">
              <w:marLeft w:val="0"/>
              <w:marRight w:val="0"/>
              <w:marTop w:val="0"/>
              <w:marBottom w:val="0"/>
              <w:divBdr>
                <w:top w:val="none" w:sz="0" w:space="0" w:color="auto"/>
                <w:left w:val="none" w:sz="0" w:space="0" w:color="auto"/>
                <w:bottom w:val="none" w:sz="0" w:space="0" w:color="auto"/>
                <w:right w:val="none" w:sz="0" w:space="0" w:color="auto"/>
              </w:divBdr>
              <w:divsChild>
                <w:div w:id="21057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346">
      <w:bodyDiv w:val="1"/>
      <w:marLeft w:val="0"/>
      <w:marRight w:val="0"/>
      <w:marTop w:val="0"/>
      <w:marBottom w:val="0"/>
      <w:divBdr>
        <w:top w:val="none" w:sz="0" w:space="0" w:color="auto"/>
        <w:left w:val="none" w:sz="0" w:space="0" w:color="auto"/>
        <w:bottom w:val="none" w:sz="0" w:space="0" w:color="auto"/>
        <w:right w:val="none" w:sz="0" w:space="0" w:color="auto"/>
      </w:divBdr>
    </w:div>
    <w:div w:id="1229078307">
      <w:bodyDiv w:val="1"/>
      <w:marLeft w:val="0"/>
      <w:marRight w:val="0"/>
      <w:marTop w:val="0"/>
      <w:marBottom w:val="0"/>
      <w:divBdr>
        <w:top w:val="none" w:sz="0" w:space="0" w:color="auto"/>
        <w:left w:val="none" w:sz="0" w:space="0" w:color="auto"/>
        <w:bottom w:val="none" w:sz="0" w:space="0" w:color="auto"/>
        <w:right w:val="none" w:sz="0" w:space="0" w:color="auto"/>
      </w:divBdr>
    </w:div>
    <w:div w:id="1232808664">
      <w:bodyDiv w:val="1"/>
      <w:marLeft w:val="0"/>
      <w:marRight w:val="0"/>
      <w:marTop w:val="0"/>
      <w:marBottom w:val="0"/>
      <w:divBdr>
        <w:top w:val="none" w:sz="0" w:space="0" w:color="auto"/>
        <w:left w:val="none" w:sz="0" w:space="0" w:color="auto"/>
        <w:bottom w:val="none" w:sz="0" w:space="0" w:color="auto"/>
        <w:right w:val="none" w:sz="0" w:space="0" w:color="auto"/>
      </w:divBdr>
    </w:div>
    <w:div w:id="1236281881">
      <w:bodyDiv w:val="1"/>
      <w:marLeft w:val="0"/>
      <w:marRight w:val="0"/>
      <w:marTop w:val="0"/>
      <w:marBottom w:val="0"/>
      <w:divBdr>
        <w:top w:val="none" w:sz="0" w:space="0" w:color="auto"/>
        <w:left w:val="none" w:sz="0" w:space="0" w:color="auto"/>
        <w:bottom w:val="none" w:sz="0" w:space="0" w:color="auto"/>
        <w:right w:val="none" w:sz="0" w:space="0" w:color="auto"/>
      </w:divBdr>
    </w:div>
    <w:div w:id="1237740340">
      <w:bodyDiv w:val="1"/>
      <w:marLeft w:val="0"/>
      <w:marRight w:val="0"/>
      <w:marTop w:val="0"/>
      <w:marBottom w:val="0"/>
      <w:divBdr>
        <w:top w:val="none" w:sz="0" w:space="0" w:color="auto"/>
        <w:left w:val="none" w:sz="0" w:space="0" w:color="auto"/>
        <w:bottom w:val="none" w:sz="0" w:space="0" w:color="auto"/>
        <w:right w:val="none" w:sz="0" w:space="0" w:color="auto"/>
      </w:divBdr>
    </w:div>
    <w:div w:id="1242910450">
      <w:bodyDiv w:val="1"/>
      <w:marLeft w:val="0"/>
      <w:marRight w:val="0"/>
      <w:marTop w:val="0"/>
      <w:marBottom w:val="0"/>
      <w:divBdr>
        <w:top w:val="none" w:sz="0" w:space="0" w:color="auto"/>
        <w:left w:val="none" w:sz="0" w:space="0" w:color="auto"/>
        <w:bottom w:val="none" w:sz="0" w:space="0" w:color="auto"/>
        <w:right w:val="none" w:sz="0" w:space="0" w:color="auto"/>
      </w:divBdr>
    </w:div>
    <w:div w:id="1245992422">
      <w:bodyDiv w:val="1"/>
      <w:marLeft w:val="0"/>
      <w:marRight w:val="0"/>
      <w:marTop w:val="0"/>
      <w:marBottom w:val="0"/>
      <w:divBdr>
        <w:top w:val="none" w:sz="0" w:space="0" w:color="auto"/>
        <w:left w:val="none" w:sz="0" w:space="0" w:color="auto"/>
        <w:bottom w:val="none" w:sz="0" w:space="0" w:color="auto"/>
        <w:right w:val="none" w:sz="0" w:space="0" w:color="auto"/>
      </w:divBdr>
    </w:div>
    <w:div w:id="1250114377">
      <w:bodyDiv w:val="1"/>
      <w:marLeft w:val="0"/>
      <w:marRight w:val="0"/>
      <w:marTop w:val="0"/>
      <w:marBottom w:val="0"/>
      <w:divBdr>
        <w:top w:val="none" w:sz="0" w:space="0" w:color="auto"/>
        <w:left w:val="none" w:sz="0" w:space="0" w:color="auto"/>
        <w:bottom w:val="none" w:sz="0" w:space="0" w:color="auto"/>
        <w:right w:val="none" w:sz="0" w:space="0" w:color="auto"/>
      </w:divBdr>
    </w:div>
    <w:div w:id="1252395285">
      <w:bodyDiv w:val="1"/>
      <w:marLeft w:val="0"/>
      <w:marRight w:val="0"/>
      <w:marTop w:val="0"/>
      <w:marBottom w:val="0"/>
      <w:divBdr>
        <w:top w:val="none" w:sz="0" w:space="0" w:color="auto"/>
        <w:left w:val="none" w:sz="0" w:space="0" w:color="auto"/>
        <w:bottom w:val="none" w:sz="0" w:space="0" w:color="auto"/>
        <w:right w:val="none" w:sz="0" w:space="0" w:color="auto"/>
      </w:divBdr>
    </w:div>
    <w:div w:id="1262567719">
      <w:bodyDiv w:val="1"/>
      <w:marLeft w:val="0"/>
      <w:marRight w:val="0"/>
      <w:marTop w:val="0"/>
      <w:marBottom w:val="0"/>
      <w:divBdr>
        <w:top w:val="none" w:sz="0" w:space="0" w:color="auto"/>
        <w:left w:val="none" w:sz="0" w:space="0" w:color="auto"/>
        <w:bottom w:val="none" w:sz="0" w:space="0" w:color="auto"/>
        <w:right w:val="none" w:sz="0" w:space="0" w:color="auto"/>
      </w:divBdr>
      <w:divsChild>
        <w:div w:id="322705712">
          <w:marLeft w:val="0"/>
          <w:marRight w:val="0"/>
          <w:marTop w:val="0"/>
          <w:marBottom w:val="0"/>
          <w:divBdr>
            <w:top w:val="none" w:sz="0" w:space="0" w:color="auto"/>
            <w:left w:val="none" w:sz="0" w:space="0" w:color="auto"/>
            <w:bottom w:val="none" w:sz="0" w:space="0" w:color="auto"/>
            <w:right w:val="none" w:sz="0" w:space="0" w:color="auto"/>
          </w:divBdr>
        </w:div>
      </w:divsChild>
    </w:div>
    <w:div w:id="1267695273">
      <w:bodyDiv w:val="1"/>
      <w:marLeft w:val="0"/>
      <w:marRight w:val="0"/>
      <w:marTop w:val="0"/>
      <w:marBottom w:val="0"/>
      <w:divBdr>
        <w:top w:val="none" w:sz="0" w:space="0" w:color="auto"/>
        <w:left w:val="none" w:sz="0" w:space="0" w:color="auto"/>
        <w:bottom w:val="none" w:sz="0" w:space="0" w:color="auto"/>
        <w:right w:val="none" w:sz="0" w:space="0" w:color="auto"/>
      </w:divBdr>
    </w:div>
    <w:div w:id="1267998570">
      <w:bodyDiv w:val="1"/>
      <w:marLeft w:val="0"/>
      <w:marRight w:val="0"/>
      <w:marTop w:val="0"/>
      <w:marBottom w:val="0"/>
      <w:divBdr>
        <w:top w:val="none" w:sz="0" w:space="0" w:color="auto"/>
        <w:left w:val="none" w:sz="0" w:space="0" w:color="auto"/>
        <w:bottom w:val="none" w:sz="0" w:space="0" w:color="auto"/>
        <w:right w:val="none" w:sz="0" w:space="0" w:color="auto"/>
      </w:divBdr>
    </w:div>
    <w:div w:id="1271352958">
      <w:bodyDiv w:val="1"/>
      <w:marLeft w:val="0"/>
      <w:marRight w:val="0"/>
      <w:marTop w:val="0"/>
      <w:marBottom w:val="0"/>
      <w:divBdr>
        <w:top w:val="none" w:sz="0" w:space="0" w:color="auto"/>
        <w:left w:val="none" w:sz="0" w:space="0" w:color="auto"/>
        <w:bottom w:val="none" w:sz="0" w:space="0" w:color="auto"/>
        <w:right w:val="none" w:sz="0" w:space="0" w:color="auto"/>
      </w:divBdr>
    </w:div>
    <w:div w:id="1275475401">
      <w:bodyDiv w:val="1"/>
      <w:marLeft w:val="0"/>
      <w:marRight w:val="0"/>
      <w:marTop w:val="0"/>
      <w:marBottom w:val="0"/>
      <w:divBdr>
        <w:top w:val="none" w:sz="0" w:space="0" w:color="auto"/>
        <w:left w:val="none" w:sz="0" w:space="0" w:color="auto"/>
        <w:bottom w:val="none" w:sz="0" w:space="0" w:color="auto"/>
        <w:right w:val="none" w:sz="0" w:space="0" w:color="auto"/>
      </w:divBdr>
    </w:div>
    <w:div w:id="1275862805">
      <w:bodyDiv w:val="1"/>
      <w:marLeft w:val="0"/>
      <w:marRight w:val="0"/>
      <w:marTop w:val="0"/>
      <w:marBottom w:val="0"/>
      <w:divBdr>
        <w:top w:val="none" w:sz="0" w:space="0" w:color="auto"/>
        <w:left w:val="none" w:sz="0" w:space="0" w:color="auto"/>
        <w:bottom w:val="none" w:sz="0" w:space="0" w:color="auto"/>
        <w:right w:val="none" w:sz="0" w:space="0" w:color="auto"/>
      </w:divBdr>
    </w:div>
    <w:div w:id="1277952714">
      <w:bodyDiv w:val="1"/>
      <w:marLeft w:val="0"/>
      <w:marRight w:val="0"/>
      <w:marTop w:val="0"/>
      <w:marBottom w:val="0"/>
      <w:divBdr>
        <w:top w:val="none" w:sz="0" w:space="0" w:color="auto"/>
        <w:left w:val="none" w:sz="0" w:space="0" w:color="auto"/>
        <w:bottom w:val="none" w:sz="0" w:space="0" w:color="auto"/>
        <w:right w:val="none" w:sz="0" w:space="0" w:color="auto"/>
      </w:divBdr>
    </w:div>
    <w:div w:id="1281112243">
      <w:bodyDiv w:val="1"/>
      <w:marLeft w:val="0"/>
      <w:marRight w:val="0"/>
      <w:marTop w:val="0"/>
      <w:marBottom w:val="0"/>
      <w:divBdr>
        <w:top w:val="none" w:sz="0" w:space="0" w:color="auto"/>
        <w:left w:val="none" w:sz="0" w:space="0" w:color="auto"/>
        <w:bottom w:val="none" w:sz="0" w:space="0" w:color="auto"/>
        <w:right w:val="none" w:sz="0" w:space="0" w:color="auto"/>
      </w:divBdr>
    </w:div>
    <w:div w:id="1281230958">
      <w:bodyDiv w:val="1"/>
      <w:marLeft w:val="0"/>
      <w:marRight w:val="0"/>
      <w:marTop w:val="0"/>
      <w:marBottom w:val="0"/>
      <w:divBdr>
        <w:top w:val="none" w:sz="0" w:space="0" w:color="auto"/>
        <w:left w:val="none" w:sz="0" w:space="0" w:color="auto"/>
        <w:bottom w:val="none" w:sz="0" w:space="0" w:color="auto"/>
        <w:right w:val="none" w:sz="0" w:space="0" w:color="auto"/>
      </w:divBdr>
      <w:divsChild>
        <w:div w:id="426733792">
          <w:marLeft w:val="547"/>
          <w:marRight w:val="0"/>
          <w:marTop w:val="106"/>
          <w:marBottom w:val="0"/>
          <w:divBdr>
            <w:top w:val="none" w:sz="0" w:space="0" w:color="auto"/>
            <w:left w:val="none" w:sz="0" w:space="0" w:color="auto"/>
            <w:bottom w:val="none" w:sz="0" w:space="0" w:color="auto"/>
            <w:right w:val="none" w:sz="0" w:space="0" w:color="auto"/>
          </w:divBdr>
        </w:div>
        <w:div w:id="1436170996">
          <w:marLeft w:val="547"/>
          <w:marRight w:val="0"/>
          <w:marTop w:val="106"/>
          <w:marBottom w:val="0"/>
          <w:divBdr>
            <w:top w:val="none" w:sz="0" w:space="0" w:color="auto"/>
            <w:left w:val="none" w:sz="0" w:space="0" w:color="auto"/>
            <w:bottom w:val="none" w:sz="0" w:space="0" w:color="auto"/>
            <w:right w:val="none" w:sz="0" w:space="0" w:color="auto"/>
          </w:divBdr>
        </w:div>
        <w:div w:id="1403944577">
          <w:marLeft w:val="547"/>
          <w:marRight w:val="0"/>
          <w:marTop w:val="106"/>
          <w:marBottom w:val="0"/>
          <w:divBdr>
            <w:top w:val="none" w:sz="0" w:space="0" w:color="auto"/>
            <w:left w:val="none" w:sz="0" w:space="0" w:color="auto"/>
            <w:bottom w:val="none" w:sz="0" w:space="0" w:color="auto"/>
            <w:right w:val="none" w:sz="0" w:space="0" w:color="auto"/>
          </w:divBdr>
        </w:div>
      </w:divsChild>
    </w:div>
    <w:div w:id="1294022009">
      <w:bodyDiv w:val="1"/>
      <w:marLeft w:val="0"/>
      <w:marRight w:val="0"/>
      <w:marTop w:val="0"/>
      <w:marBottom w:val="0"/>
      <w:divBdr>
        <w:top w:val="none" w:sz="0" w:space="0" w:color="auto"/>
        <w:left w:val="none" w:sz="0" w:space="0" w:color="auto"/>
        <w:bottom w:val="none" w:sz="0" w:space="0" w:color="auto"/>
        <w:right w:val="none" w:sz="0" w:space="0" w:color="auto"/>
      </w:divBdr>
    </w:div>
    <w:div w:id="1295332159">
      <w:bodyDiv w:val="1"/>
      <w:marLeft w:val="0"/>
      <w:marRight w:val="0"/>
      <w:marTop w:val="0"/>
      <w:marBottom w:val="0"/>
      <w:divBdr>
        <w:top w:val="none" w:sz="0" w:space="0" w:color="auto"/>
        <w:left w:val="none" w:sz="0" w:space="0" w:color="auto"/>
        <w:bottom w:val="none" w:sz="0" w:space="0" w:color="auto"/>
        <w:right w:val="none" w:sz="0" w:space="0" w:color="auto"/>
      </w:divBdr>
    </w:div>
    <w:div w:id="1295477363">
      <w:bodyDiv w:val="1"/>
      <w:marLeft w:val="0"/>
      <w:marRight w:val="0"/>
      <w:marTop w:val="0"/>
      <w:marBottom w:val="0"/>
      <w:divBdr>
        <w:top w:val="none" w:sz="0" w:space="0" w:color="auto"/>
        <w:left w:val="none" w:sz="0" w:space="0" w:color="auto"/>
        <w:bottom w:val="none" w:sz="0" w:space="0" w:color="auto"/>
        <w:right w:val="none" w:sz="0" w:space="0" w:color="auto"/>
      </w:divBdr>
    </w:div>
    <w:div w:id="1297418413">
      <w:bodyDiv w:val="1"/>
      <w:marLeft w:val="0"/>
      <w:marRight w:val="0"/>
      <w:marTop w:val="0"/>
      <w:marBottom w:val="0"/>
      <w:divBdr>
        <w:top w:val="none" w:sz="0" w:space="0" w:color="auto"/>
        <w:left w:val="none" w:sz="0" w:space="0" w:color="auto"/>
        <w:bottom w:val="none" w:sz="0" w:space="0" w:color="auto"/>
        <w:right w:val="none" w:sz="0" w:space="0" w:color="auto"/>
      </w:divBdr>
    </w:div>
    <w:div w:id="1297568359">
      <w:bodyDiv w:val="1"/>
      <w:marLeft w:val="0"/>
      <w:marRight w:val="0"/>
      <w:marTop w:val="0"/>
      <w:marBottom w:val="0"/>
      <w:divBdr>
        <w:top w:val="none" w:sz="0" w:space="0" w:color="auto"/>
        <w:left w:val="none" w:sz="0" w:space="0" w:color="auto"/>
        <w:bottom w:val="none" w:sz="0" w:space="0" w:color="auto"/>
        <w:right w:val="none" w:sz="0" w:space="0" w:color="auto"/>
      </w:divBdr>
    </w:div>
    <w:div w:id="1304459887">
      <w:bodyDiv w:val="1"/>
      <w:marLeft w:val="0"/>
      <w:marRight w:val="0"/>
      <w:marTop w:val="0"/>
      <w:marBottom w:val="0"/>
      <w:divBdr>
        <w:top w:val="none" w:sz="0" w:space="0" w:color="auto"/>
        <w:left w:val="none" w:sz="0" w:space="0" w:color="auto"/>
        <w:bottom w:val="none" w:sz="0" w:space="0" w:color="auto"/>
        <w:right w:val="none" w:sz="0" w:space="0" w:color="auto"/>
      </w:divBdr>
    </w:div>
    <w:div w:id="1308825824">
      <w:bodyDiv w:val="1"/>
      <w:marLeft w:val="0"/>
      <w:marRight w:val="0"/>
      <w:marTop w:val="0"/>
      <w:marBottom w:val="0"/>
      <w:divBdr>
        <w:top w:val="none" w:sz="0" w:space="0" w:color="auto"/>
        <w:left w:val="none" w:sz="0" w:space="0" w:color="auto"/>
        <w:bottom w:val="none" w:sz="0" w:space="0" w:color="auto"/>
        <w:right w:val="none" w:sz="0" w:space="0" w:color="auto"/>
      </w:divBdr>
    </w:div>
    <w:div w:id="1312098266">
      <w:bodyDiv w:val="1"/>
      <w:marLeft w:val="0"/>
      <w:marRight w:val="0"/>
      <w:marTop w:val="0"/>
      <w:marBottom w:val="0"/>
      <w:divBdr>
        <w:top w:val="none" w:sz="0" w:space="0" w:color="auto"/>
        <w:left w:val="none" w:sz="0" w:space="0" w:color="auto"/>
        <w:bottom w:val="none" w:sz="0" w:space="0" w:color="auto"/>
        <w:right w:val="none" w:sz="0" w:space="0" w:color="auto"/>
      </w:divBdr>
    </w:div>
    <w:div w:id="1312438998">
      <w:bodyDiv w:val="1"/>
      <w:marLeft w:val="0"/>
      <w:marRight w:val="0"/>
      <w:marTop w:val="0"/>
      <w:marBottom w:val="0"/>
      <w:divBdr>
        <w:top w:val="none" w:sz="0" w:space="0" w:color="auto"/>
        <w:left w:val="none" w:sz="0" w:space="0" w:color="auto"/>
        <w:bottom w:val="none" w:sz="0" w:space="0" w:color="auto"/>
        <w:right w:val="none" w:sz="0" w:space="0" w:color="auto"/>
      </w:divBdr>
    </w:div>
    <w:div w:id="1316028963">
      <w:bodyDiv w:val="1"/>
      <w:marLeft w:val="0"/>
      <w:marRight w:val="0"/>
      <w:marTop w:val="0"/>
      <w:marBottom w:val="0"/>
      <w:divBdr>
        <w:top w:val="none" w:sz="0" w:space="0" w:color="auto"/>
        <w:left w:val="none" w:sz="0" w:space="0" w:color="auto"/>
        <w:bottom w:val="none" w:sz="0" w:space="0" w:color="auto"/>
        <w:right w:val="none" w:sz="0" w:space="0" w:color="auto"/>
      </w:divBdr>
    </w:div>
    <w:div w:id="1323923479">
      <w:bodyDiv w:val="1"/>
      <w:marLeft w:val="0"/>
      <w:marRight w:val="0"/>
      <w:marTop w:val="0"/>
      <w:marBottom w:val="0"/>
      <w:divBdr>
        <w:top w:val="none" w:sz="0" w:space="0" w:color="auto"/>
        <w:left w:val="none" w:sz="0" w:space="0" w:color="auto"/>
        <w:bottom w:val="none" w:sz="0" w:space="0" w:color="auto"/>
        <w:right w:val="none" w:sz="0" w:space="0" w:color="auto"/>
      </w:divBdr>
    </w:div>
    <w:div w:id="1333609960">
      <w:bodyDiv w:val="1"/>
      <w:marLeft w:val="0"/>
      <w:marRight w:val="0"/>
      <w:marTop w:val="0"/>
      <w:marBottom w:val="0"/>
      <w:divBdr>
        <w:top w:val="none" w:sz="0" w:space="0" w:color="auto"/>
        <w:left w:val="none" w:sz="0" w:space="0" w:color="auto"/>
        <w:bottom w:val="none" w:sz="0" w:space="0" w:color="auto"/>
        <w:right w:val="none" w:sz="0" w:space="0" w:color="auto"/>
      </w:divBdr>
    </w:div>
    <w:div w:id="1348945105">
      <w:bodyDiv w:val="1"/>
      <w:marLeft w:val="0"/>
      <w:marRight w:val="0"/>
      <w:marTop w:val="0"/>
      <w:marBottom w:val="0"/>
      <w:divBdr>
        <w:top w:val="none" w:sz="0" w:space="0" w:color="auto"/>
        <w:left w:val="none" w:sz="0" w:space="0" w:color="auto"/>
        <w:bottom w:val="none" w:sz="0" w:space="0" w:color="auto"/>
        <w:right w:val="none" w:sz="0" w:space="0" w:color="auto"/>
      </w:divBdr>
    </w:div>
    <w:div w:id="1350254866">
      <w:bodyDiv w:val="1"/>
      <w:marLeft w:val="0"/>
      <w:marRight w:val="0"/>
      <w:marTop w:val="0"/>
      <w:marBottom w:val="0"/>
      <w:divBdr>
        <w:top w:val="none" w:sz="0" w:space="0" w:color="auto"/>
        <w:left w:val="none" w:sz="0" w:space="0" w:color="auto"/>
        <w:bottom w:val="none" w:sz="0" w:space="0" w:color="auto"/>
        <w:right w:val="none" w:sz="0" w:space="0" w:color="auto"/>
      </w:divBdr>
    </w:div>
    <w:div w:id="1352297887">
      <w:bodyDiv w:val="1"/>
      <w:marLeft w:val="0"/>
      <w:marRight w:val="0"/>
      <w:marTop w:val="0"/>
      <w:marBottom w:val="0"/>
      <w:divBdr>
        <w:top w:val="none" w:sz="0" w:space="0" w:color="auto"/>
        <w:left w:val="none" w:sz="0" w:space="0" w:color="auto"/>
        <w:bottom w:val="none" w:sz="0" w:space="0" w:color="auto"/>
        <w:right w:val="none" w:sz="0" w:space="0" w:color="auto"/>
      </w:divBdr>
    </w:div>
    <w:div w:id="1368875446">
      <w:bodyDiv w:val="1"/>
      <w:marLeft w:val="0"/>
      <w:marRight w:val="0"/>
      <w:marTop w:val="0"/>
      <w:marBottom w:val="0"/>
      <w:divBdr>
        <w:top w:val="none" w:sz="0" w:space="0" w:color="auto"/>
        <w:left w:val="none" w:sz="0" w:space="0" w:color="auto"/>
        <w:bottom w:val="none" w:sz="0" w:space="0" w:color="auto"/>
        <w:right w:val="none" w:sz="0" w:space="0" w:color="auto"/>
      </w:divBdr>
    </w:div>
    <w:div w:id="1378819822">
      <w:bodyDiv w:val="1"/>
      <w:marLeft w:val="0"/>
      <w:marRight w:val="0"/>
      <w:marTop w:val="0"/>
      <w:marBottom w:val="0"/>
      <w:divBdr>
        <w:top w:val="none" w:sz="0" w:space="0" w:color="auto"/>
        <w:left w:val="none" w:sz="0" w:space="0" w:color="auto"/>
        <w:bottom w:val="none" w:sz="0" w:space="0" w:color="auto"/>
        <w:right w:val="none" w:sz="0" w:space="0" w:color="auto"/>
      </w:divBdr>
    </w:div>
    <w:div w:id="1379358785">
      <w:bodyDiv w:val="1"/>
      <w:marLeft w:val="0"/>
      <w:marRight w:val="0"/>
      <w:marTop w:val="0"/>
      <w:marBottom w:val="0"/>
      <w:divBdr>
        <w:top w:val="none" w:sz="0" w:space="0" w:color="auto"/>
        <w:left w:val="none" w:sz="0" w:space="0" w:color="auto"/>
        <w:bottom w:val="none" w:sz="0" w:space="0" w:color="auto"/>
        <w:right w:val="none" w:sz="0" w:space="0" w:color="auto"/>
      </w:divBdr>
    </w:div>
    <w:div w:id="1381318561">
      <w:bodyDiv w:val="1"/>
      <w:marLeft w:val="0"/>
      <w:marRight w:val="0"/>
      <w:marTop w:val="0"/>
      <w:marBottom w:val="0"/>
      <w:divBdr>
        <w:top w:val="none" w:sz="0" w:space="0" w:color="auto"/>
        <w:left w:val="none" w:sz="0" w:space="0" w:color="auto"/>
        <w:bottom w:val="none" w:sz="0" w:space="0" w:color="auto"/>
        <w:right w:val="none" w:sz="0" w:space="0" w:color="auto"/>
      </w:divBdr>
    </w:div>
    <w:div w:id="1391153533">
      <w:bodyDiv w:val="1"/>
      <w:marLeft w:val="0"/>
      <w:marRight w:val="0"/>
      <w:marTop w:val="0"/>
      <w:marBottom w:val="0"/>
      <w:divBdr>
        <w:top w:val="none" w:sz="0" w:space="0" w:color="auto"/>
        <w:left w:val="none" w:sz="0" w:space="0" w:color="auto"/>
        <w:bottom w:val="none" w:sz="0" w:space="0" w:color="auto"/>
        <w:right w:val="none" w:sz="0" w:space="0" w:color="auto"/>
      </w:divBdr>
    </w:div>
    <w:div w:id="1401446783">
      <w:bodyDiv w:val="1"/>
      <w:marLeft w:val="0"/>
      <w:marRight w:val="0"/>
      <w:marTop w:val="0"/>
      <w:marBottom w:val="0"/>
      <w:divBdr>
        <w:top w:val="none" w:sz="0" w:space="0" w:color="auto"/>
        <w:left w:val="none" w:sz="0" w:space="0" w:color="auto"/>
        <w:bottom w:val="none" w:sz="0" w:space="0" w:color="auto"/>
        <w:right w:val="none" w:sz="0" w:space="0" w:color="auto"/>
      </w:divBdr>
    </w:div>
    <w:div w:id="1412001646">
      <w:bodyDiv w:val="1"/>
      <w:marLeft w:val="0"/>
      <w:marRight w:val="0"/>
      <w:marTop w:val="0"/>
      <w:marBottom w:val="0"/>
      <w:divBdr>
        <w:top w:val="none" w:sz="0" w:space="0" w:color="auto"/>
        <w:left w:val="none" w:sz="0" w:space="0" w:color="auto"/>
        <w:bottom w:val="none" w:sz="0" w:space="0" w:color="auto"/>
        <w:right w:val="none" w:sz="0" w:space="0" w:color="auto"/>
      </w:divBdr>
    </w:div>
    <w:div w:id="1412582468">
      <w:bodyDiv w:val="1"/>
      <w:marLeft w:val="0"/>
      <w:marRight w:val="0"/>
      <w:marTop w:val="0"/>
      <w:marBottom w:val="0"/>
      <w:divBdr>
        <w:top w:val="none" w:sz="0" w:space="0" w:color="auto"/>
        <w:left w:val="none" w:sz="0" w:space="0" w:color="auto"/>
        <w:bottom w:val="none" w:sz="0" w:space="0" w:color="auto"/>
        <w:right w:val="none" w:sz="0" w:space="0" w:color="auto"/>
      </w:divBdr>
      <w:divsChild>
        <w:div w:id="1666472011">
          <w:marLeft w:val="0"/>
          <w:marRight w:val="0"/>
          <w:marTop w:val="0"/>
          <w:marBottom w:val="0"/>
          <w:divBdr>
            <w:top w:val="none" w:sz="0" w:space="0" w:color="auto"/>
            <w:left w:val="none" w:sz="0" w:space="0" w:color="auto"/>
            <w:bottom w:val="none" w:sz="0" w:space="0" w:color="auto"/>
            <w:right w:val="none" w:sz="0" w:space="0" w:color="auto"/>
          </w:divBdr>
          <w:divsChild>
            <w:div w:id="667513850">
              <w:marLeft w:val="0"/>
              <w:marRight w:val="0"/>
              <w:marTop w:val="0"/>
              <w:marBottom w:val="0"/>
              <w:divBdr>
                <w:top w:val="none" w:sz="0" w:space="0" w:color="auto"/>
                <w:left w:val="none" w:sz="0" w:space="0" w:color="auto"/>
                <w:bottom w:val="none" w:sz="0" w:space="0" w:color="auto"/>
                <w:right w:val="none" w:sz="0" w:space="0" w:color="auto"/>
              </w:divBdr>
              <w:divsChild>
                <w:div w:id="17424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4215">
      <w:bodyDiv w:val="1"/>
      <w:marLeft w:val="0"/>
      <w:marRight w:val="0"/>
      <w:marTop w:val="0"/>
      <w:marBottom w:val="0"/>
      <w:divBdr>
        <w:top w:val="none" w:sz="0" w:space="0" w:color="auto"/>
        <w:left w:val="none" w:sz="0" w:space="0" w:color="auto"/>
        <w:bottom w:val="none" w:sz="0" w:space="0" w:color="auto"/>
        <w:right w:val="none" w:sz="0" w:space="0" w:color="auto"/>
      </w:divBdr>
    </w:div>
    <w:div w:id="1414233470">
      <w:bodyDiv w:val="1"/>
      <w:marLeft w:val="0"/>
      <w:marRight w:val="0"/>
      <w:marTop w:val="0"/>
      <w:marBottom w:val="0"/>
      <w:divBdr>
        <w:top w:val="none" w:sz="0" w:space="0" w:color="auto"/>
        <w:left w:val="none" w:sz="0" w:space="0" w:color="auto"/>
        <w:bottom w:val="none" w:sz="0" w:space="0" w:color="auto"/>
        <w:right w:val="none" w:sz="0" w:space="0" w:color="auto"/>
      </w:divBdr>
      <w:divsChild>
        <w:div w:id="902063233">
          <w:marLeft w:val="0"/>
          <w:marRight w:val="0"/>
          <w:marTop w:val="0"/>
          <w:marBottom w:val="0"/>
          <w:divBdr>
            <w:top w:val="none" w:sz="0" w:space="0" w:color="auto"/>
            <w:left w:val="none" w:sz="0" w:space="0" w:color="auto"/>
            <w:bottom w:val="none" w:sz="0" w:space="0" w:color="auto"/>
            <w:right w:val="none" w:sz="0" w:space="0" w:color="auto"/>
          </w:divBdr>
        </w:div>
      </w:divsChild>
    </w:div>
    <w:div w:id="1415476114">
      <w:bodyDiv w:val="1"/>
      <w:marLeft w:val="0"/>
      <w:marRight w:val="0"/>
      <w:marTop w:val="0"/>
      <w:marBottom w:val="0"/>
      <w:divBdr>
        <w:top w:val="none" w:sz="0" w:space="0" w:color="auto"/>
        <w:left w:val="none" w:sz="0" w:space="0" w:color="auto"/>
        <w:bottom w:val="none" w:sz="0" w:space="0" w:color="auto"/>
        <w:right w:val="none" w:sz="0" w:space="0" w:color="auto"/>
      </w:divBdr>
    </w:div>
    <w:div w:id="1422410442">
      <w:bodyDiv w:val="1"/>
      <w:marLeft w:val="0"/>
      <w:marRight w:val="0"/>
      <w:marTop w:val="0"/>
      <w:marBottom w:val="0"/>
      <w:divBdr>
        <w:top w:val="none" w:sz="0" w:space="0" w:color="auto"/>
        <w:left w:val="none" w:sz="0" w:space="0" w:color="auto"/>
        <w:bottom w:val="none" w:sz="0" w:space="0" w:color="auto"/>
        <w:right w:val="none" w:sz="0" w:space="0" w:color="auto"/>
      </w:divBdr>
    </w:div>
    <w:div w:id="1425415712">
      <w:bodyDiv w:val="1"/>
      <w:marLeft w:val="0"/>
      <w:marRight w:val="0"/>
      <w:marTop w:val="0"/>
      <w:marBottom w:val="0"/>
      <w:divBdr>
        <w:top w:val="none" w:sz="0" w:space="0" w:color="auto"/>
        <w:left w:val="none" w:sz="0" w:space="0" w:color="auto"/>
        <w:bottom w:val="none" w:sz="0" w:space="0" w:color="auto"/>
        <w:right w:val="none" w:sz="0" w:space="0" w:color="auto"/>
      </w:divBdr>
    </w:div>
    <w:div w:id="1433470559">
      <w:bodyDiv w:val="1"/>
      <w:marLeft w:val="0"/>
      <w:marRight w:val="0"/>
      <w:marTop w:val="0"/>
      <w:marBottom w:val="0"/>
      <w:divBdr>
        <w:top w:val="none" w:sz="0" w:space="0" w:color="auto"/>
        <w:left w:val="none" w:sz="0" w:space="0" w:color="auto"/>
        <w:bottom w:val="none" w:sz="0" w:space="0" w:color="auto"/>
        <w:right w:val="none" w:sz="0" w:space="0" w:color="auto"/>
      </w:divBdr>
    </w:div>
    <w:div w:id="1438671792">
      <w:bodyDiv w:val="1"/>
      <w:marLeft w:val="0"/>
      <w:marRight w:val="0"/>
      <w:marTop w:val="0"/>
      <w:marBottom w:val="0"/>
      <w:divBdr>
        <w:top w:val="none" w:sz="0" w:space="0" w:color="auto"/>
        <w:left w:val="none" w:sz="0" w:space="0" w:color="auto"/>
        <w:bottom w:val="none" w:sz="0" w:space="0" w:color="auto"/>
        <w:right w:val="none" w:sz="0" w:space="0" w:color="auto"/>
      </w:divBdr>
    </w:div>
    <w:div w:id="1439369306">
      <w:bodyDiv w:val="1"/>
      <w:marLeft w:val="0"/>
      <w:marRight w:val="0"/>
      <w:marTop w:val="0"/>
      <w:marBottom w:val="0"/>
      <w:divBdr>
        <w:top w:val="none" w:sz="0" w:space="0" w:color="auto"/>
        <w:left w:val="none" w:sz="0" w:space="0" w:color="auto"/>
        <w:bottom w:val="none" w:sz="0" w:space="0" w:color="auto"/>
        <w:right w:val="none" w:sz="0" w:space="0" w:color="auto"/>
      </w:divBdr>
    </w:div>
    <w:div w:id="1443108964">
      <w:bodyDiv w:val="1"/>
      <w:marLeft w:val="0"/>
      <w:marRight w:val="0"/>
      <w:marTop w:val="0"/>
      <w:marBottom w:val="0"/>
      <w:divBdr>
        <w:top w:val="none" w:sz="0" w:space="0" w:color="auto"/>
        <w:left w:val="none" w:sz="0" w:space="0" w:color="auto"/>
        <w:bottom w:val="none" w:sz="0" w:space="0" w:color="auto"/>
        <w:right w:val="none" w:sz="0" w:space="0" w:color="auto"/>
      </w:divBdr>
    </w:div>
    <w:div w:id="1449591743">
      <w:bodyDiv w:val="1"/>
      <w:marLeft w:val="0"/>
      <w:marRight w:val="0"/>
      <w:marTop w:val="0"/>
      <w:marBottom w:val="0"/>
      <w:divBdr>
        <w:top w:val="none" w:sz="0" w:space="0" w:color="auto"/>
        <w:left w:val="none" w:sz="0" w:space="0" w:color="auto"/>
        <w:bottom w:val="none" w:sz="0" w:space="0" w:color="auto"/>
        <w:right w:val="none" w:sz="0" w:space="0" w:color="auto"/>
      </w:divBdr>
    </w:div>
    <w:div w:id="1450319531">
      <w:bodyDiv w:val="1"/>
      <w:marLeft w:val="0"/>
      <w:marRight w:val="0"/>
      <w:marTop w:val="0"/>
      <w:marBottom w:val="0"/>
      <w:divBdr>
        <w:top w:val="none" w:sz="0" w:space="0" w:color="auto"/>
        <w:left w:val="none" w:sz="0" w:space="0" w:color="auto"/>
        <w:bottom w:val="none" w:sz="0" w:space="0" w:color="auto"/>
        <w:right w:val="none" w:sz="0" w:space="0" w:color="auto"/>
      </w:divBdr>
    </w:div>
    <w:div w:id="1459834524">
      <w:bodyDiv w:val="1"/>
      <w:marLeft w:val="0"/>
      <w:marRight w:val="0"/>
      <w:marTop w:val="0"/>
      <w:marBottom w:val="0"/>
      <w:divBdr>
        <w:top w:val="none" w:sz="0" w:space="0" w:color="auto"/>
        <w:left w:val="none" w:sz="0" w:space="0" w:color="auto"/>
        <w:bottom w:val="none" w:sz="0" w:space="0" w:color="auto"/>
        <w:right w:val="none" w:sz="0" w:space="0" w:color="auto"/>
      </w:divBdr>
    </w:div>
    <w:div w:id="1463423063">
      <w:bodyDiv w:val="1"/>
      <w:marLeft w:val="0"/>
      <w:marRight w:val="0"/>
      <w:marTop w:val="0"/>
      <w:marBottom w:val="0"/>
      <w:divBdr>
        <w:top w:val="none" w:sz="0" w:space="0" w:color="auto"/>
        <w:left w:val="none" w:sz="0" w:space="0" w:color="auto"/>
        <w:bottom w:val="none" w:sz="0" w:space="0" w:color="auto"/>
        <w:right w:val="none" w:sz="0" w:space="0" w:color="auto"/>
      </w:divBdr>
    </w:div>
    <w:div w:id="1470242463">
      <w:bodyDiv w:val="1"/>
      <w:marLeft w:val="0"/>
      <w:marRight w:val="0"/>
      <w:marTop w:val="0"/>
      <w:marBottom w:val="0"/>
      <w:divBdr>
        <w:top w:val="none" w:sz="0" w:space="0" w:color="auto"/>
        <w:left w:val="none" w:sz="0" w:space="0" w:color="auto"/>
        <w:bottom w:val="none" w:sz="0" w:space="0" w:color="auto"/>
        <w:right w:val="none" w:sz="0" w:space="0" w:color="auto"/>
      </w:divBdr>
    </w:div>
    <w:div w:id="1470247767">
      <w:bodyDiv w:val="1"/>
      <w:marLeft w:val="0"/>
      <w:marRight w:val="0"/>
      <w:marTop w:val="0"/>
      <w:marBottom w:val="0"/>
      <w:divBdr>
        <w:top w:val="none" w:sz="0" w:space="0" w:color="auto"/>
        <w:left w:val="none" w:sz="0" w:space="0" w:color="auto"/>
        <w:bottom w:val="none" w:sz="0" w:space="0" w:color="auto"/>
        <w:right w:val="none" w:sz="0" w:space="0" w:color="auto"/>
      </w:divBdr>
    </w:div>
    <w:div w:id="1477915883">
      <w:bodyDiv w:val="1"/>
      <w:marLeft w:val="0"/>
      <w:marRight w:val="0"/>
      <w:marTop w:val="0"/>
      <w:marBottom w:val="0"/>
      <w:divBdr>
        <w:top w:val="none" w:sz="0" w:space="0" w:color="auto"/>
        <w:left w:val="none" w:sz="0" w:space="0" w:color="auto"/>
        <w:bottom w:val="none" w:sz="0" w:space="0" w:color="auto"/>
        <w:right w:val="none" w:sz="0" w:space="0" w:color="auto"/>
      </w:divBdr>
    </w:div>
    <w:div w:id="1481268347">
      <w:bodyDiv w:val="1"/>
      <w:marLeft w:val="0"/>
      <w:marRight w:val="0"/>
      <w:marTop w:val="0"/>
      <w:marBottom w:val="0"/>
      <w:divBdr>
        <w:top w:val="none" w:sz="0" w:space="0" w:color="auto"/>
        <w:left w:val="none" w:sz="0" w:space="0" w:color="auto"/>
        <w:bottom w:val="none" w:sz="0" w:space="0" w:color="auto"/>
        <w:right w:val="none" w:sz="0" w:space="0" w:color="auto"/>
      </w:divBdr>
    </w:div>
    <w:div w:id="1482388168">
      <w:bodyDiv w:val="1"/>
      <w:marLeft w:val="0"/>
      <w:marRight w:val="0"/>
      <w:marTop w:val="0"/>
      <w:marBottom w:val="0"/>
      <w:divBdr>
        <w:top w:val="none" w:sz="0" w:space="0" w:color="auto"/>
        <w:left w:val="none" w:sz="0" w:space="0" w:color="auto"/>
        <w:bottom w:val="none" w:sz="0" w:space="0" w:color="auto"/>
        <w:right w:val="none" w:sz="0" w:space="0" w:color="auto"/>
      </w:divBdr>
    </w:div>
    <w:div w:id="1482891095">
      <w:bodyDiv w:val="1"/>
      <w:marLeft w:val="0"/>
      <w:marRight w:val="0"/>
      <w:marTop w:val="0"/>
      <w:marBottom w:val="0"/>
      <w:divBdr>
        <w:top w:val="none" w:sz="0" w:space="0" w:color="auto"/>
        <w:left w:val="none" w:sz="0" w:space="0" w:color="auto"/>
        <w:bottom w:val="none" w:sz="0" w:space="0" w:color="auto"/>
        <w:right w:val="none" w:sz="0" w:space="0" w:color="auto"/>
      </w:divBdr>
    </w:div>
    <w:div w:id="1485464061">
      <w:bodyDiv w:val="1"/>
      <w:marLeft w:val="0"/>
      <w:marRight w:val="0"/>
      <w:marTop w:val="0"/>
      <w:marBottom w:val="0"/>
      <w:divBdr>
        <w:top w:val="none" w:sz="0" w:space="0" w:color="auto"/>
        <w:left w:val="none" w:sz="0" w:space="0" w:color="auto"/>
        <w:bottom w:val="none" w:sz="0" w:space="0" w:color="auto"/>
        <w:right w:val="none" w:sz="0" w:space="0" w:color="auto"/>
      </w:divBdr>
    </w:div>
    <w:div w:id="1487285649">
      <w:bodyDiv w:val="1"/>
      <w:marLeft w:val="0"/>
      <w:marRight w:val="0"/>
      <w:marTop w:val="0"/>
      <w:marBottom w:val="0"/>
      <w:divBdr>
        <w:top w:val="none" w:sz="0" w:space="0" w:color="auto"/>
        <w:left w:val="none" w:sz="0" w:space="0" w:color="auto"/>
        <w:bottom w:val="none" w:sz="0" w:space="0" w:color="auto"/>
        <w:right w:val="none" w:sz="0" w:space="0" w:color="auto"/>
      </w:divBdr>
    </w:div>
    <w:div w:id="1487286025">
      <w:bodyDiv w:val="1"/>
      <w:marLeft w:val="0"/>
      <w:marRight w:val="0"/>
      <w:marTop w:val="0"/>
      <w:marBottom w:val="0"/>
      <w:divBdr>
        <w:top w:val="none" w:sz="0" w:space="0" w:color="auto"/>
        <w:left w:val="none" w:sz="0" w:space="0" w:color="auto"/>
        <w:bottom w:val="none" w:sz="0" w:space="0" w:color="auto"/>
        <w:right w:val="none" w:sz="0" w:space="0" w:color="auto"/>
      </w:divBdr>
    </w:div>
    <w:div w:id="1488669678">
      <w:bodyDiv w:val="1"/>
      <w:marLeft w:val="0"/>
      <w:marRight w:val="0"/>
      <w:marTop w:val="0"/>
      <w:marBottom w:val="0"/>
      <w:divBdr>
        <w:top w:val="none" w:sz="0" w:space="0" w:color="auto"/>
        <w:left w:val="none" w:sz="0" w:space="0" w:color="auto"/>
        <w:bottom w:val="none" w:sz="0" w:space="0" w:color="auto"/>
        <w:right w:val="none" w:sz="0" w:space="0" w:color="auto"/>
      </w:divBdr>
    </w:div>
    <w:div w:id="1489443434">
      <w:bodyDiv w:val="1"/>
      <w:marLeft w:val="0"/>
      <w:marRight w:val="0"/>
      <w:marTop w:val="0"/>
      <w:marBottom w:val="0"/>
      <w:divBdr>
        <w:top w:val="none" w:sz="0" w:space="0" w:color="auto"/>
        <w:left w:val="none" w:sz="0" w:space="0" w:color="auto"/>
        <w:bottom w:val="none" w:sz="0" w:space="0" w:color="auto"/>
        <w:right w:val="none" w:sz="0" w:space="0" w:color="auto"/>
      </w:divBdr>
    </w:div>
    <w:div w:id="1491947252">
      <w:bodyDiv w:val="1"/>
      <w:marLeft w:val="0"/>
      <w:marRight w:val="0"/>
      <w:marTop w:val="0"/>
      <w:marBottom w:val="0"/>
      <w:divBdr>
        <w:top w:val="none" w:sz="0" w:space="0" w:color="auto"/>
        <w:left w:val="none" w:sz="0" w:space="0" w:color="auto"/>
        <w:bottom w:val="none" w:sz="0" w:space="0" w:color="auto"/>
        <w:right w:val="none" w:sz="0" w:space="0" w:color="auto"/>
      </w:divBdr>
    </w:div>
    <w:div w:id="1494179030">
      <w:bodyDiv w:val="1"/>
      <w:marLeft w:val="0"/>
      <w:marRight w:val="0"/>
      <w:marTop w:val="0"/>
      <w:marBottom w:val="0"/>
      <w:divBdr>
        <w:top w:val="none" w:sz="0" w:space="0" w:color="auto"/>
        <w:left w:val="none" w:sz="0" w:space="0" w:color="auto"/>
        <w:bottom w:val="none" w:sz="0" w:space="0" w:color="auto"/>
        <w:right w:val="none" w:sz="0" w:space="0" w:color="auto"/>
      </w:divBdr>
      <w:divsChild>
        <w:div w:id="498692890">
          <w:marLeft w:val="0"/>
          <w:marRight w:val="0"/>
          <w:marTop w:val="0"/>
          <w:marBottom w:val="0"/>
          <w:divBdr>
            <w:top w:val="none" w:sz="0" w:space="0" w:color="auto"/>
            <w:left w:val="none" w:sz="0" w:space="0" w:color="auto"/>
            <w:bottom w:val="none" w:sz="0" w:space="0" w:color="auto"/>
            <w:right w:val="none" w:sz="0" w:space="0" w:color="auto"/>
          </w:divBdr>
          <w:divsChild>
            <w:div w:id="710156114">
              <w:marLeft w:val="0"/>
              <w:marRight w:val="0"/>
              <w:marTop w:val="0"/>
              <w:marBottom w:val="0"/>
              <w:divBdr>
                <w:top w:val="none" w:sz="0" w:space="0" w:color="auto"/>
                <w:left w:val="none" w:sz="0" w:space="0" w:color="auto"/>
                <w:bottom w:val="none" w:sz="0" w:space="0" w:color="auto"/>
                <w:right w:val="none" w:sz="0" w:space="0" w:color="auto"/>
              </w:divBdr>
              <w:divsChild>
                <w:div w:id="10896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7899">
      <w:bodyDiv w:val="1"/>
      <w:marLeft w:val="0"/>
      <w:marRight w:val="0"/>
      <w:marTop w:val="0"/>
      <w:marBottom w:val="0"/>
      <w:divBdr>
        <w:top w:val="none" w:sz="0" w:space="0" w:color="auto"/>
        <w:left w:val="none" w:sz="0" w:space="0" w:color="auto"/>
        <w:bottom w:val="none" w:sz="0" w:space="0" w:color="auto"/>
        <w:right w:val="none" w:sz="0" w:space="0" w:color="auto"/>
      </w:divBdr>
    </w:div>
    <w:div w:id="1502427712">
      <w:bodyDiv w:val="1"/>
      <w:marLeft w:val="0"/>
      <w:marRight w:val="0"/>
      <w:marTop w:val="0"/>
      <w:marBottom w:val="0"/>
      <w:divBdr>
        <w:top w:val="none" w:sz="0" w:space="0" w:color="auto"/>
        <w:left w:val="none" w:sz="0" w:space="0" w:color="auto"/>
        <w:bottom w:val="none" w:sz="0" w:space="0" w:color="auto"/>
        <w:right w:val="none" w:sz="0" w:space="0" w:color="auto"/>
      </w:divBdr>
    </w:div>
    <w:div w:id="1505437366">
      <w:bodyDiv w:val="1"/>
      <w:marLeft w:val="0"/>
      <w:marRight w:val="0"/>
      <w:marTop w:val="0"/>
      <w:marBottom w:val="0"/>
      <w:divBdr>
        <w:top w:val="none" w:sz="0" w:space="0" w:color="auto"/>
        <w:left w:val="none" w:sz="0" w:space="0" w:color="auto"/>
        <w:bottom w:val="none" w:sz="0" w:space="0" w:color="auto"/>
        <w:right w:val="none" w:sz="0" w:space="0" w:color="auto"/>
      </w:divBdr>
    </w:div>
    <w:div w:id="1506554989">
      <w:bodyDiv w:val="1"/>
      <w:marLeft w:val="0"/>
      <w:marRight w:val="0"/>
      <w:marTop w:val="0"/>
      <w:marBottom w:val="0"/>
      <w:divBdr>
        <w:top w:val="none" w:sz="0" w:space="0" w:color="auto"/>
        <w:left w:val="none" w:sz="0" w:space="0" w:color="auto"/>
        <w:bottom w:val="none" w:sz="0" w:space="0" w:color="auto"/>
        <w:right w:val="none" w:sz="0" w:space="0" w:color="auto"/>
      </w:divBdr>
    </w:div>
    <w:div w:id="1522664898">
      <w:bodyDiv w:val="1"/>
      <w:marLeft w:val="0"/>
      <w:marRight w:val="0"/>
      <w:marTop w:val="0"/>
      <w:marBottom w:val="0"/>
      <w:divBdr>
        <w:top w:val="none" w:sz="0" w:space="0" w:color="auto"/>
        <w:left w:val="none" w:sz="0" w:space="0" w:color="auto"/>
        <w:bottom w:val="none" w:sz="0" w:space="0" w:color="auto"/>
        <w:right w:val="none" w:sz="0" w:space="0" w:color="auto"/>
      </w:divBdr>
    </w:div>
    <w:div w:id="1542941072">
      <w:bodyDiv w:val="1"/>
      <w:marLeft w:val="0"/>
      <w:marRight w:val="0"/>
      <w:marTop w:val="0"/>
      <w:marBottom w:val="0"/>
      <w:divBdr>
        <w:top w:val="none" w:sz="0" w:space="0" w:color="auto"/>
        <w:left w:val="none" w:sz="0" w:space="0" w:color="auto"/>
        <w:bottom w:val="none" w:sz="0" w:space="0" w:color="auto"/>
        <w:right w:val="none" w:sz="0" w:space="0" w:color="auto"/>
      </w:divBdr>
    </w:div>
    <w:div w:id="1558315449">
      <w:bodyDiv w:val="1"/>
      <w:marLeft w:val="0"/>
      <w:marRight w:val="0"/>
      <w:marTop w:val="0"/>
      <w:marBottom w:val="0"/>
      <w:divBdr>
        <w:top w:val="none" w:sz="0" w:space="0" w:color="auto"/>
        <w:left w:val="none" w:sz="0" w:space="0" w:color="auto"/>
        <w:bottom w:val="none" w:sz="0" w:space="0" w:color="auto"/>
        <w:right w:val="none" w:sz="0" w:space="0" w:color="auto"/>
      </w:divBdr>
    </w:div>
    <w:div w:id="1560744174">
      <w:bodyDiv w:val="1"/>
      <w:marLeft w:val="0"/>
      <w:marRight w:val="0"/>
      <w:marTop w:val="0"/>
      <w:marBottom w:val="0"/>
      <w:divBdr>
        <w:top w:val="none" w:sz="0" w:space="0" w:color="auto"/>
        <w:left w:val="none" w:sz="0" w:space="0" w:color="auto"/>
        <w:bottom w:val="none" w:sz="0" w:space="0" w:color="auto"/>
        <w:right w:val="none" w:sz="0" w:space="0" w:color="auto"/>
      </w:divBdr>
    </w:div>
    <w:div w:id="1561937594">
      <w:bodyDiv w:val="1"/>
      <w:marLeft w:val="0"/>
      <w:marRight w:val="0"/>
      <w:marTop w:val="0"/>
      <w:marBottom w:val="0"/>
      <w:divBdr>
        <w:top w:val="none" w:sz="0" w:space="0" w:color="auto"/>
        <w:left w:val="none" w:sz="0" w:space="0" w:color="auto"/>
        <w:bottom w:val="none" w:sz="0" w:space="0" w:color="auto"/>
        <w:right w:val="none" w:sz="0" w:space="0" w:color="auto"/>
      </w:divBdr>
    </w:div>
    <w:div w:id="1563827414">
      <w:bodyDiv w:val="1"/>
      <w:marLeft w:val="0"/>
      <w:marRight w:val="0"/>
      <w:marTop w:val="0"/>
      <w:marBottom w:val="0"/>
      <w:divBdr>
        <w:top w:val="none" w:sz="0" w:space="0" w:color="auto"/>
        <w:left w:val="none" w:sz="0" w:space="0" w:color="auto"/>
        <w:bottom w:val="none" w:sz="0" w:space="0" w:color="auto"/>
        <w:right w:val="none" w:sz="0" w:space="0" w:color="auto"/>
      </w:divBdr>
    </w:div>
    <w:div w:id="1566530035">
      <w:bodyDiv w:val="1"/>
      <w:marLeft w:val="0"/>
      <w:marRight w:val="0"/>
      <w:marTop w:val="0"/>
      <w:marBottom w:val="0"/>
      <w:divBdr>
        <w:top w:val="none" w:sz="0" w:space="0" w:color="auto"/>
        <w:left w:val="none" w:sz="0" w:space="0" w:color="auto"/>
        <w:bottom w:val="none" w:sz="0" w:space="0" w:color="auto"/>
        <w:right w:val="none" w:sz="0" w:space="0" w:color="auto"/>
      </w:divBdr>
    </w:div>
    <w:div w:id="1569219699">
      <w:bodyDiv w:val="1"/>
      <w:marLeft w:val="0"/>
      <w:marRight w:val="0"/>
      <w:marTop w:val="0"/>
      <w:marBottom w:val="0"/>
      <w:divBdr>
        <w:top w:val="none" w:sz="0" w:space="0" w:color="auto"/>
        <w:left w:val="none" w:sz="0" w:space="0" w:color="auto"/>
        <w:bottom w:val="none" w:sz="0" w:space="0" w:color="auto"/>
        <w:right w:val="none" w:sz="0" w:space="0" w:color="auto"/>
      </w:divBdr>
      <w:divsChild>
        <w:div w:id="1894123259">
          <w:marLeft w:val="0"/>
          <w:marRight w:val="0"/>
          <w:marTop w:val="0"/>
          <w:marBottom w:val="0"/>
          <w:divBdr>
            <w:top w:val="none" w:sz="0" w:space="0" w:color="auto"/>
            <w:left w:val="none" w:sz="0" w:space="0" w:color="auto"/>
            <w:bottom w:val="none" w:sz="0" w:space="0" w:color="auto"/>
            <w:right w:val="none" w:sz="0" w:space="0" w:color="auto"/>
          </w:divBdr>
          <w:divsChild>
            <w:div w:id="1974016882">
              <w:marLeft w:val="0"/>
              <w:marRight w:val="0"/>
              <w:marTop w:val="0"/>
              <w:marBottom w:val="0"/>
              <w:divBdr>
                <w:top w:val="none" w:sz="0" w:space="0" w:color="auto"/>
                <w:left w:val="none" w:sz="0" w:space="0" w:color="auto"/>
                <w:bottom w:val="none" w:sz="0" w:space="0" w:color="auto"/>
                <w:right w:val="none" w:sz="0" w:space="0" w:color="auto"/>
              </w:divBdr>
              <w:divsChild>
                <w:div w:id="11812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31717">
      <w:bodyDiv w:val="1"/>
      <w:marLeft w:val="0"/>
      <w:marRight w:val="0"/>
      <w:marTop w:val="0"/>
      <w:marBottom w:val="0"/>
      <w:divBdr>
        <w:top w:val="none" w:sz="0" w:space="0" w:color="auto"/>
        <w:left w:val="none" w:sz="0" w:space="0" w:color="auto"/>
        <w:bottom w:val="none" w:sz="0" w:space="0" w:color="auto"/>
        <w:right w:val="none" w:sz="0" w:space="0" w:color="auto"/>
      </w:divBdr>
    </w:div>
    <w:div w:id="1577279121">
      <w:bodyDiv w:val="1"/>
      <w:marLeft w:val="0"/>
      <w:marRight w:val="0"/>
      <w:marTop w:val="0"/>
      <w:marBottom w:val="0"/>
      <w:divBdr>
        <w:top w:val="none" w:sz="0" w:space="0" w:color="auto"/>
        <w:left w:val="none" w:sz="0" w:space="0" w:color="auto"/>
        <w:bottom w:val="none" w:sz="0" w:space="0" w:color="auto"/>
        <w:right w:val="none" w:sz="0" w:space="0" w:color="auto"/>
      </w:divBdr>
    </w:div>
    <w:div w:id="1582835093">
      <w:bodyDiv w:val="1"/>
      <w:marLeft w:val="0"/>
      <w:marRight w:val="0"/>
      <w:marTop w:val="0"/>
      <w:marBottom w:val="0"/>
      <w:divBdr>
        <w:top w:val="none" w:sz="0" w:space="0" w:color="auto"/>
        <w:left w:val="none" w:sz="0" w:space="0" w:color="auto"/>
        <w:bottom w:val="none" w:sz="0" w:space="0" w:color="auto"/>
        <w:right w:val="none" w:sz="0" w:space="0" w:color="auto"/>
      </w:divBdr>
    </w:div>
    <w:div w:id="1583220175">
      <w:bodyDiv w:val="1"/>
      <w:marLeft w:val="0"/>
      <w:marRight w:val="0"/>
      <w:marTop w:val="0"/>
      <w:marBottom w:val="0"/>
      <w:divBdr>
        <w:top w:val="none" w:sz="0" w:space="0" w:color="auto"/>
        <w:left w:val="none" w:sz="0" w:space="0" w:color="auto"/>
        <w:bottom w:val="none" w:sz="0" w:space="0" w:color="auto"/>
        <w:right w:val="none" w:sz="0" w:space="0" w:color="auto"/>
      </w:divBdr>
    </w:div>
    <w:div w:id="1583636139">
      <w:bodyDiv w:val="1"/>
      <w:marLeft w:val="0"/>
      <w:marRight w:val="0"/>
      <w:marTop w:val="0"/>
      <w:marBottom w:val="0"/>
      <w:divBdr>
        <w:top w:val="none" w:sz="0" w:space="0" w:color="auto"/>
        <w:left w:val="none" w:sz="0" w:space="0" w:color="auto"/>
        <w:bottom w:val="none" w:sz="0" w:space="0" w:color="auto"/>
        <w:right w:val="none" w:sz="0" w:space="0" w:color="auto"/>
      </w:divBdr>
      <w:divsChild>
        <w:div w:id="427774745">
          <w:marLeft w:val="1166"/>
          <w:marRight w:val="0"/>
          <w:marTop w:val="67"/>
          <w:marBottom w:val="0"/>
          <w:divBdr>
            <w:top w:val="none" w:sz="0" w:space="0" w:color="auto"/>
            <w:left w:val="none" w:sz="0" w:space="0" w:color="auto"/>
            <w:bottom w:val="none" w:sz="0" w:space="0" w:color="auto"/>
            <w:right w:val="none" w:sz="0" w:space="0" w:color="auto"/>
          </w:divBdr>
        </w:div>
        <w:div w:id="689913454">
          <w:marLeft w:val="1166"/>
          <w:marRight w:val="0"/>
          <w:marTop w:val="67"/>
          <w:marBottom w:val="0"/>
          <w:divBdr>
            <w:top w:val="none" w:sz="0" w:space="0" w:color="auto"/>
            <w:left w:val="none" w:sz="0" w:space="0" w:color="auto"/>
            <w:bottom w:val="none" w:sz="0" w:space="0" w:color="auto"/>
            <w:right w:val="none" w:sz="0" w:space="0" w:color="auto"/>
          </w:divBdr>
        </w:div>
        <w:div w:id="604654407">
          <w:marLeft w:val="1166"/>
          <w:marRight w:val="0"/>
          <w:marTop w:val="67"/>
          <w:marBottom w:val="0"/>
          <w:divBdr>
            <w:top w:val="none" w:sz="0" w:space="0" w:color="auto"/>
            <w:left w:val="none" w:sz="0" w:space="0" w:color="auto"/>
            <w:bottom w:val="none" w:sz="0" w:space="0" w:color="auto"/>
            <w:right w:val="none" w:sz="0" w:space="0" w:color="auto"/>
          </w:divBdr>
        </w:div>
        <w:div w:id="675348636">
          <w:marLeft w:val="547"/>
          <w:marRight w:val="0"/>
          <w:marTop w:val="86"/>
          <w:marBottom w:val="0"/>
          <w:divBdr>
            <w:top w:val="none" w:sz="0" w:space="0" w:color="auto"/>
            <w:left w:val="none" w:sz="0" w:space="0" w:color="auto"/>
            <w:bottom w:val="none" w:sz="0" w:space="0" w:color="auto"/>
            <w:right w:val="none" w:sz="0" w:space="0" w:color="auto"/>
          </w:divBdr>
        </w:div>
      </w:divsChild>
    </w:div>
    <w:div w:id="1583904777">
      <w:bodyDiv w:val="1"/>
      <w:marLeft w:val="0"/>
      <w:marRight w:val="0"/>
      <w:marTop w:val="0"/>
      <w:marBottom w:val="0"/>
      <w:divBdr>
        <w:top w:val="none" w:sz="0" w:space="0" w:color="auto"/>
        <w:left w:val="none" w:sz="0" w:space="0" w:color="auto"/>
        <w:bottom w:val="none" w:sz="0" w:space="0" w:color="auto"/>
        <w:right w:val="none" w:sz="0" w:space="0" w:color="auto"/>
      </w:divBdr>
      <w:divsChild>
        <w:div w:id="2108042122">
          <w:marLeft w:val="0"/>
          <w:marRight w:val="0"/>
          <w:marTop w:val="0"/>
          <w:marBottom w:val="0"/>
          <w:divBdr>
            <w:top w:val="none" w:sz="0" w:space="0" w:color="auto"/>
            <w:left w:val="none" w:sz="0" w:space="0" w:color="auto"/>
            <w:bottom w:val="none" w:sz="0" w:space="0" w:color="auto"/>
            <w:right w:val="none" w:sz="0" w:space="0" w:color="auto"/>
          </w:divBdr>
          <w:divsChild>
            <w:div w:id="2020934696">
              <w:marLeft w:val="0"/>
              <w:marRight w:val="0"/>
              <w:marTop w:val="0"/>
              <w:marBottom w:val="0"/>
              <w:divBdr>
                <w:top w:val="none" w:sz="0" w:space="0" w:color="auto"/>
                <w:left w:val="none" w:sz="0" w:space="0" w:color="auto"/>
                <w:bottom w:val="none" w:sz="0" w:space="0" w:color="auto"/>
                <w:right w:val="none" w:sz="0" w:space="0" w:color="auto"/>
              </w:divBdr>
              <w:divsChild>
                <w:div w:id="12569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3123">
      <w:bodyDiv w:val="1"/>
      <w:marLeft w:val="0"/>
      <w:marRight w:val="0"/>
      <w:marTop w:val="0"/>
      <w:marBottom w:val="0"/>
      <w:divBdr>
        <w:top w:val="none" w:sz="0" w:space="0" w:color="auto"/>
        <w:left w:val="none" w:sz="0" w:space="0" w:color="auto"/>
        <w:bottom w:val="none" w:sz="0" w:space="0" w:color="auto"/>
        <w:right w:val="none" w:sz="0" w:space="0" w:color="auto"/>
      </w:divBdr>
    </w:div>
    <w:div w:id="1600748811">
      <w:bodyDiv w:val="1"/>
      <w:marLeft w:val="0"/>
      <w:marRight w:val="0"/>
      <w:marTop w:val="0"/>
      <w:marBottom w:val="0"/>
      <w:divBdr>
        <w:top w:val="none" w:sz="0" w:space="0" w:color="auto"/>
        <w:left w:val="none" w:sz="0" w:space="0" w:color="auto"/>
        <w:bottom w:val="none" w:sz="0" w:space="0" w:color="auto"/>
        <w:right w:val="none" w:sz="0" w:space="0" w:color="auto"/>
      </w:divBdr>
    </w:div>
    <w:div w:id="1602882371">
      <w:bodyDiv w:val="1"/>
      <w:marLeft w:val="0"/>
      <w:marRight w:val="0"/>
      <w:marTop w:val="0"/>
      <w:marBottom w:val="0"/>
      <w:divBdr>
        <w:top w:val="none" w:sz="0" w:space="0" w:color="auto"/>
        <w:left w:val="none" w:sz="0" w:space="0" w:color="auto"/>
        <w:bottom w:val="none" w:sz="0" w:space="0" w:color="auto"/>
        <w:right w:val="none" w:sz="0" w:space="0" w:color="auto"/>
      </w:divBdr>
    </w:div>
    <w:div w:id="1603219615">
      <w:bodyDiv w:val="1"/>
      <w:marLeft w:val="0"/>
      <w:marRight w:val="0"/>
      <w:marTop w:val="0"/>
      <w:marBottom w:val="0"/>
      <w:divBdr>
        <w:top w:val="none" w:sz="0" w:space="0" w:color="auto"/>
        <w:left w:val="none" w:sz="0" w:space="0" w:color="auto"/>
        <w:bottom w:val="none" w:sz="0" w:space="0" w:color="auto"/>
        <w:right w:val="none" w:sz="0" w:space="0" w:color="auto"/>
      </w:divBdr>
    </w:div>
    <w:div w:id="1607731016">
      <w:bodyDiv w:val="1"/>
      <w:marLeft w:val="0"/>
      <w:marRight w:val="0"/>
      <w:marTop w:val="0"/>
      <w:marBottom w:val="0"/>
      <w:divBdr>
        <w:top w:val="none" w:sz="0" w:space="0" w:color="auto"/>
        <w:left w:val="none" w:sz="0" w:space="0" w:color="auto"/>
        <w:bottom w:val="none" w:sz="0" w:space="0" w:color="auto"/>
        <w:right w:val="none" w:sz="0" w:space="0" w:color="auto"/>
      </w:divBdr>
    </w:div>
    <w:div w:id="1610502443">
      <w:bodyDiv w:val="1"/>
      <w:marLeft w:val="0"/>
      <w:marRight w:val="0"/>
      <w:marTop w:val="0"/>
      <w:marBottom w:val="0"/>
      <w:divBdr>
        <w:top w:val="none" w:sz="0" w:space="0" w:color="auto"/>
        <w:left w:val="none" w:sz="0" w:space="0" w:color="auto"/>
        <w:bottom w:val="none" w:sz="0" w:space="0" w:color="auto"/>
        <w:right w:val="none" w:sz="0" w:space="0" w:color="auto"/>
      </w:divBdr>
    </w:div>
    <w:div w:id="1610815290">
      <w:bodyDiv w:val="1"/>
      <w:marLeft w:val="0"/>
      <w:marRight w:val="0"/>
      <w:marTop w:val="0"/>
      <w:marBottom w:val="0"/>
      <w:divBdr>
        <w:top w:val="none" w:sz="0" w:space="0" w:color="auto"/>
        <w:left w:val="none" w:sz="0" w:space="0" w:color="auto"/>
        <w:bottom w:val="none" w:sz="0" w:space="0" w:color="auto"/>
        <w:right w:val="none" w:sz="0" w:space="0" w:color="auto"/>
      </w:divBdr>
    </w:div>
    <w:div w:id="1619945577">
      <w:bodyDiv w:val="1"/>
      <w:marLeft w:val="0"/>
      <w:marRight w:val="0"/>
      <w:marTop w:val="0"/>
      <w:marBottom w:val="0"/>
      <w:divBdr>
        <w:top w:val="none" w:sz="0" w:space="0" w:color="auto"/>
        <w:left w:val="none" w:sz="0" w:space="0" w:color="auto"/>
        <w:bottom w:val="none" w:sz="0" w:space="0" w:color="auto"/>
        <w:right w:val="none" w:sz="0" w:space="0" w:color="auto"/>
      </w:divBdr>
    </w:div>
    <w:div w:id="1621492227">
      <w:bodyDiv w:val="1"/>
      <w:marLeft w:val="0"/>
      <w:marRight w:val="0"/>
      <w:marTop w:val="0"/>
      <w:marBottom w:val="0"/>
      <w:divBdr>
        <w:top w:val="none" w:sz="0" w:space="0" w:color="auto"/>
        <w:left w:val="none" w:sz="0" w:space="0" w:color="auto"/>
        <w:bottom w:val="none" w:sz="0" w:space="0" w:color="auto"/>
        <w:right w:val="none" w:sz="0" w:space="0" w:color="auto"/>
      </w:divBdr>
    </w:div>
    <w:div w:id="1627811227">
      <w:bodyDiv w:val="1"/>
      <w:marLeft w:val="0"/>
      <w:marRight w:val="0"/>
      <w:marTop w:val="0"/>
      <w:marBottom w:val="0"/>
      <w:divBdr>
        <w:top w:val="none" w:sz="0" w:space="0" w:color="auto"/>
        <w:left w:val="none" w:sz="0" w:space="0" w:color="auto"/>
        <w:bottom w:val="none" w:sz="0" w:space="0" w:color="auto"/>
        <w:right w:val="none" w:sz="0" w:space="0" w:color="auto"/>
      </w:divBdr>
    </w:div>
    <w:div w:id="1632007194">
      <w:bodyDiv w:val="1"/>
      <w:marLeft w:val="0"/>
      <w:marRight w:val="0"/>
      <w:marTop w:val="0"/>
      <w:marBottom w:val="0"/>
      <w:divBdr>
        <w:top w:val="none" w:sz="0" w:space="0" w:color="auto"/>
        <w:left w:val="none" w:sz="0" w:space="0" w:color="auto"/>
        <w:bottom w:val="none" w:sz="0" w:space="0" w:color="auto"/>
        <w:right w:val="none" w:sz="0" w:space="0" w:color="auto"/>
      </w:divBdr>
    </w:div>
    <w:div w:id="1640644690">
      <w:bodyDiv w:val="1"/>
      <w:marLeft w:val="0"/>
      <w:marRight w:val="0"/>
      <w:marTop w:val="0"/>
      <w:marBottom w:val="0"/>
      <w:divBdr>
        <w:top w:val="none" w:sz="0" w:space="0" w:color="auto"/>
        <w:left w:val="none" w:sz="0" w:space="0" w:color="auto"/>
        <w:bottom w:val="none" w:sz="0" w:space="0" w:color="auto"/>
        <w:right w:val="none" w:sz="0" w:space="0" w:color="auto"/>
      </w:divBdr>
    </w:div>
    <w:div w:id="1648632757">
      <w:bodyDiv w:val="1"/>
      <w:marLeft w:val="0"/>
      <w:marRight w:val="0"/>
      <w:marTop w:val="0"/>
      <w:marBottom w:val="0"/>
      <w:divBdr>
        <w:top w:val="none" w:sz="0" w:space="0" w:color="auto"/>
        <w:left w:val="none" w:sz="0" w:space="0" w:color="auto"/>
        <w:bottom w:val="none" w:sz="0" w:space="0" w:color="auto"/>
        <w:right w:val="none" w:sz="0" w:space="0" w:color="auto"/>
      </w:divBdr>
    </w:div>
    <w:div w:id="1651010108">
      <w:bodyDiv w:val="1"/>
      <w:marLeft w:val="0"/>
      <w:marRight w:val="0"/>
      <w:marTop w:val="0"/>
      <w:marBottom w:val="0"/>
      <w:divBdr>
        <w:top w:val="none" w:sz="0" w:space="0" w:color="auto"/>
        <w:left w:val="none" w:sz="0" w:space="0" w:color="auto"/>
        <w:bottom w:val="none" w:sz="0" w:space="0" w:color="auto"/>
        <w:right w:val="none" w:sz="0" w:space="0" w:color="auto"/>
      </w:divBdr>
    </w:div>
    <w:div w:id="1674525293">
      <w:bodyDiv w:val="1"/>
      <w:marLeft w:val="0"/>
      <w:marRight w:val="0"/>
      <w:marTop w:val="0"/>
      <w:marBottom w:val="0"/>
      <w:divBdr>
        <w:top w:val="none" w:sz="0" w:space="0" w:color="auto"/>
        <w:left w:val="none" w:sz="0" w:space="0" w:color="auto"/>
        <w:bottom w:val="none" w:sz="0" w:space="0" w:color="auto"/>
        <w:right w:val="none" w:sz="0" w:space="0" w:color="auto"/>
      </w:divBdr>
    </w:div>
    <w:div w:id="1677726645">
      <w:bodyDiv w:val="1"/>
      <w:marLeft w:val="0"/>
      <w:marRight w:val="0"/>
      <w:marTop w:val="0"/>
      <w:marBottom w:val="0"/>
      <w:divBdr>
        <w:top w:val="none" w:sz="0" w:space="0" w:color="auto"/>
        <w:left w:val="none" w:sz="0" w:space="0" w:color="auto"/>
        <w:bottom w:val="none" w:sz="0" w:space="0" w:color="auto"/>
        <w:right w:val="none" w:sz="0" w:space="0" w:color="auto"/>
      </w:divBdr>
    </w:div>
    <w:div w:id="1679036399">
      <w:bodyDiv w:val="1"/>
      <w:marLeft w:val="0"/>
      <w:marRight w:val="0"/>
      <w:marTop w:val="0"/>
      <w:marBottom w:val="0"/>
      <w:divBdr>
        <w:top w:val="none" w:sz="0" w:space="0" w:color="auto"/>
        <w:left w:val="none" w:sz="0" w:space="0" w:color="auto"/>
        <w:bottom w:val="none" w:sz="0" w:space="0" w:color="auto"/>
        <w:right w:val="none" w:sz="0" w:space="0" w:color="auto"/>
      </w:divBdr>
    </w:div>
    <w:div w:id="1679039763">
      <w:bodyDiv w:val="1"/>
      <w:marLeft w:val="0"/>
      <w:marRight w:val="0"/>
      <w:marTop w:val="0"/>
      <w:marBottom w:val="0"/>
      <w:divBdr>
        <w:top w:val="none" w:sz="0" w:space="0" w:color="auto"/>
        <w:left w:val="none" w:sz="0" w:space="0" w:color="auto"/>
        <w:bottom w:val="none" w:sz="0" w:space="0" w:color="auto"/>
        <w:right w:val="none" w:sz="0" w:space="0" w:color="auto"/>
      </w:divBdr>
    </w:div>
    <w:div w:id="1687753839">
      <w:bodyDiv w:val="1"/>
      <w:marLeft w:val="0"/>
      <w:marRight w:val="0"/>
      <w:marTop w:val="0"/>
      <w:marBottom w:val="0"/>
      <w:divBdr>
        <w:top w:val="none" w:sz="0" w:space="0" w:color="auto"/>
        <w:left w:val="none" w:sz="0" w:space="0" w:color="auto"/>
        <w:bottom w:val="none" w:sz="0" w:space="0" w:color="auto"/>
        <w:right w:val="none" w:sz="0" w:space="0" w:color="auto"/>
      </w:divBdr>
    </w:div>
    <w:div w:id="1689912412">
      <w:bodyDiv w:val="1"/>
      <w:marLeft w:val="0"/>
      <w:marRight w:val="0"/>
      <w:marTop w:val="0"/>
      <w:marBottom w:val="0"/>
      <w:divBdr>
        <w:top w:val="none" w:sz="0" w:space="0" w:color="auto"/>
        <w:left w:val="none" w:sz="0" w:space="0" w:color="auto"/>
        <w:bottom w:val="none" w:sz="0" w:space="0" w:color="auto"/>
        <w:right w:val="none" w:sz="0" w:space="0" w:color="auto"/>
      </w:divBdr>
    </w:div>
    <w:div w:id="1698701623">
      <w:bodyDiv w:val="1"/>
      <w:marLeft w:val="0"/>
      <w:marRight w:val="0"/>
      <w:marTop w:val="0"/>
      <w:marBottom w:val="0"/>
      <w:divBdr>
        <w:top w:val="none" w:sz="0" w:space="0" w:color="auto"/>
        <w:left w:val="none" w:sz="0" w:space="0" w:color="auto"/>
        <w:bottom w:val="none" w:sz="0" w:space="0" w:color="auto"/>
        <w:right w:val="none" w:sz="0" w:space="0" w:color="auto"/>
      </w:divBdr>
    </w:div>
    <w:div w:id="1701468911">
      <w:bodyDiv w:val="1"/>
      <w:marLeft w:val="0"/>
      <w:marRight w:val="0"/>
      <w:marTop w:val="0"/>
      <w:marBottom w:val="0"/>
      <w:divBdr>
        <w:top w:val="none" w:sz="0" w:space="0" w:color="auto"/>
        <w:left w:val="none" w:sz="0" w:space="0" w:color="auto"/>
        <w:bottom w:val="none" w:sz="0" w:space="0" w:color="auto"/>
        <w:right w:val="none" w:sz="0" w:space="0" w:color="auto"/>
      </w:divBdr>
    </w:div>
    <w:div w:id="1702977966">
      <w:bodyDiv w:val="1"/>
      <w:marLeft w:val="0"/>
      <w:marRight w:val="0"/>
      <w:marTop w:val="0"/>
      <w:marBottom w:val="0"/>
      <w:divBdr>
        <w:top w:val="none" w:sz="0" w:space="0" w:color="auto"/>
        <w:left w:val="none" w:sz="0" w:space="0" w:color="auto"/>
        <w:bottom w:val="none" w:sz="0" w:space="0" w:color="auto"/>
        <w:right w:val="none" w:sz="0" w:space="0" w:color="auto"/>
      </w:divBdr>
    </w:div>
    <w:div w:id="1703940517">
      <w:bodyDiv w:val="1"/>
      <w:marLeft w:val="0"/>
      <w:marRight w:val="0"/>
      <w:marTop w:val="0"/>
      <w:marBottom w:val="0"/>
      <w:divBdr>
        <w:top w:val="none" w:sz="0" w:space="0" w:color="auto"/>
        <w:left w:val="none" w:sz="0" w:space="0" w:color="auto"/>
        <w:bottom w:val="none" w:sz="0" w:space="0" w:color="auto"/>
        <w:right w:val="none" w:sz="0" w:space="0" w:color="auto"/>
      </w:divBdr>
    </w:div>
    <w:div w:id="1705444387">
      <w:bodyDiv w:val="1"/>
      <w:marLeft w:val="0"/>
      <w:marRight w:val="0"/>
      <w:marTop w:val="0"/>
      <w:marBottom w:val="0"/>
      <w:divBdr>
        <w:top w:val="none" w:sz="0" w:space="0" w:color="auto"/>
        <w:left w:val="none" w:sz="0" w:space="0" w:color="auto"/>
        <w:bottom w:val="none" w:sz="0" w:space="0" w:color="auto"/>
        <w:right w:val="none" w:sz="0" w:space="0" w:color="auto"/>
      </w:divBdr>
    </w:div>
    <w:div w:id="1708531369">
      <w:bodyDiv w:val="1"/>
      <w:marLeft w:val="0"/>
      <w:marRight w:val="0"/>
      <w:marTop w:val="0"/>
      <w:marBottom w:val="0"/>
      <w:divBdr>
        <w:top w:val="none" w:sz="0" w:space="0" w:color="auto"/>
        <w:left w:val="none" w:sz="0" w:space="0" w:color="auto"/>
        <w:bottom w:val="none" w:sz="0" w:space="0" w:color="auto"/>
        <w:right w:val="none" w:sz="0" w:space="0" w:color="auto"/>
      </w:divBdr>
    </w:div>
    <w:div w:id="1712802760">
      <w:bodyDiv w:val="1"/>
      <w:marLeft w:val="0"/>
      <w:marRight w:val="0"/>
      <w:marTop w:val="0"/>
      <w:marBottom w:val="0"/>
      <w:divBdr>
        <w:top w:val="none" w:sz="0" w:space="0" w:color="auto"/>
        <w:left w:val="none" w:sz="0" w:space="0" w:color="auto"/>
        <w:bottom w:val="none" w:sz="0" w:space="0" w:color="auto"/>
        <w:right w:val="none" w:sz="0" w:space="0" w:color="auto"/>
      </w:divBdr>
      <w:divsChild>
        <w:div w:id="1404640540">
          <w:marLeft w:val="0"/>
          <w:marRight w:val="0"/>
          <w:marTop w:val="0"/>
          <w:marBottom w:val="0"/>
          <w:divBdr>
            <w:top w:val="none" w:sz="0" w:space="0" w:color="auto"/>
            <w:left w:val="none" w:sz="0" w:space="0" w:color="auto"/>
            <w:bottom w:val="none" w:sz="0" w:space="0" w:color="auto"/>
            <w:right w:val="none" w:sz="0" w:space="0" w:color="auto"/>
          </w:divBdr>
        </w:div>
        <w:div w:id="1085416385">
          <w:marLeft w:val="0"/>
          <w:marRight w:val="0"/>
          <w:marTop w:val="0"/>
          <w:marBottom w:val="0"/>
          <w:divBdr>
            <w:top w:val="none" w:sz="0" w:space="0" w:color="auto"/>
            <w:left w:val="none" w:sz="0" w:space="0" w:color="auto"/>
            <w:bottom w:val="none" w:sz="0" w:space="0" w:color="auto"/>
            <w:right w:val="none" w:sz="0" w:space="0" w:color="auto"/>
          </w:divBdr>
        </w:div>
        <w:div w:id="1082526233">
          <w:marLeft w:val="0"/>
          <w:marRight w:val="0"/>
          <w:marTop w:val="0"/>
          <w:marBottom w:val="0"/>
          <w:divBdr>
            <w:top w:val="none" w:sz="0" w:space="0" w:color="auto"/>
            <w:left w:val="none" w:sz="0" w:space="0" w:color="auto"/>
            <w:bottom w:val="none" w:sz="0" w:space="0" w:color="auto"/>
            <w:right w:val="none" w:sz="0" w:space="0" w:color="auto"/>
          </w:divBdr>
        </w:div>
      </w:divsChild>
    </w:div>
    <w:div w:id="1725325776">
      <w:bodyDiv w:val="1"/>
      <w:marLeft w:val="0"/>
      <w:marRight w:val="0"/>
      <w:marTop w:val="0"/>
      <w:marBottom w:val="0"/>
      <w:divBdr>
        <w:top w:val="none" w:sz="0" w:space="0" w:color="auto"/>
        <w:left w:val="none" w:sz="0" w:space="0" w:color="auto"/>
        <w:bottom w:val="none" w:sz="0" w:space="0" w:color="auto"/>
        <w:right w:val="none" w:sz="0" w:space="0" w:color="auto"/>
      </w:divBdr>
    </w:div>
    <w:div w:id="1730224051">
      <w:bodyDiv w:val="1"/>
      <w:marLeft w:val="0"/>
      <w:marRight w:val="0"/>
      <w:marTop w:val="0"/>
      <w:marBottom w:val="0"/>
      <w:divBdr>
        <w:top w:val="none" w:sz="0" w:space="0" w:color="auto"/>
        <w:left w:val="none" w:sz="0" w:space="0" w:color="auto"/>
        <w:bottom w:val="none" w:sz="0" w:space="0" w:color="auto"/>
        <w:right w:val="none" w:sz="0" w:space="0" w:color="auto"/>
      </w:divBdr>
    </w:div>
    <w:div w:id="1735087072">
      <w:bodyDiv w:val="1"/>
      <w:marLeft w:val="0"/>
      <w:marRight w:val="0"/>
      <w:marTop w:val="0"/>
      <w:marBottom w:val="0"/>
      <w:divBdr>
        <w:top w:val="none" w:sz="0" w:space="0" w:color="auto"/>
        <w:left w:val="none" w:sz="0" w:space="0" w:color="auto"/>
        <w:bottom w:val="none" w:sz="0" w:space="0" w:color="auto"/>
        <w:right w:val="none" w:sz="0" w:space="0" w:color="auto"/>
      </w:divBdr>
    </w:div>
    <w:div w:id="1736318222">
      <w:bodyDiv w:val="1"/>
      <w:marLeft w:val="0"/>
      <w:marRight w:val="0"/>
      <w:marTop w:val="0"/>
      <w:marBottom w:val="0"/>
      <w:divBdr>
        <w:top w:val="none" w:sz="0" w:space="0" w:color="auto"/>
        <w:left w:val="none" w:sz="0" w:space="0" w:color="auto"/>
        <w:bottom w:val="none" w:sz="0" w:space="0" w:color="auto"/>
        <w:right w:val="none" w:sz="0" w:space="0" w:color="auto"/>
      </w:divBdr>
    </w:div>
    <w:div w:id="1741369945">
      <w:bodyDiv w:val="1"/>
      <w:marLeft w:val="0"/>
      <w:marRight w:val="0"/>
      <w:marTop w:val="0"/>
      <w:marBottom w:val="0"/>
      <w:divBdr>
        <w:top w:val="none" w:sz="0" w:space="0" w:color="auto"/>
        <w:left w:val="none" w:sz="0" w:space="0" w:color="auto"/>
        <w:bottom w:val="none" w:sz="0" w:space="0" w:color="auto"/>
        <w:right w:val="none" w:sz="0" w:space="0" w:color="auto"/>
      </w:divBdr>
    </w:div>
    <w:div w:id="1743984392">
      <w:bodyDiv w:val="1"/>
      <w:marLeft w:val="0"/>
      <w:marRight w:val="0"/>
      <w:marTop w:val="0"/>
      <w:marBottom w:val="0"/>
      <w:divBdr>
        <w:top w:val="none" w:sz="0" w:space="0" w:color="auto"/>
        <w:left w:val="none" w:sz="0" w:space="0" w:color="auto"/>
        <w:bottom w:val="none" w:sz="0" w:space="0" w:color="auto"/>
        <w:right w:val="none" w:sz="0" w:space="0" w:color="auto"/>
      </w:divBdr>
    </w:div>
    <w:div w:id="1744524986">
      <w:bodyDiv w:val="1"/>
      <w:marLeft w:val="0"/>
      <w:marRight w:val="0"/>
      <w:marTop w:val="0"/>
      <w:marBottom w:val="0"/>
      <w:divBdr>
        <w:top w:val="none" w:sz="0" w:space="0" w:color="auto"/>
        <w:left w:val="none" w:sz="0" w:space="0" w:color="auto"/>
        <w:bottom w:val="none" w:sz="0" w:space="0" w:color="auto"/>
        <w:right w:val="none" w:sz="0" w:space="0" w:color="auto"/>
      </w:divBdr>
    </w:div>
    <w:div w:id="1746024167">
      <w:bodyDiv w:val="1"/>
      <w:marLeft w:val="0"/>
      <w:marRight w:val="0"/>
      <w:marTop w:val="0"/>
      <w:marBottom w:val="0"/>
      <w:divBdr>
        <w:top w:val="none" w:sz="0" w:space="0" w:color="auto"/>
        <w:left w:val="none" w:sz="0" w:space="0" w:color="auto"/>
        <w:bottom w:val="none" w:sz="0" w:space="0" w:color="auto"/>
        <w:right w:val="none" w:sz="0" w:space="0" w:color="auto"/>
      </w:divBdr>
    </w:div>
    <w:div w:id="1746341511">
      <w:bodyDiv w:val="1"/>
      <w:marLeft w:val="0"/>
      <w:marRight w:val="0"/>
      <w:marTop w:val="0"/>
      <w:marBottom w:val="0"/>
      <w:divBdr>
        <w:top w:val="none" w:sz="0" w:space="0" w:color="auto"/>
        <w:left w:val="none" w:sz="0" w:space="0" w:color="auto"/>
        <w:bottom w:val="none" w:sz="0" w:space="0" w:color="auto"/>
        <w:right w:val="none" w:sz="0" w:space="0" w:color="auto"/>
      </w:divBdr>
    </w:div>
    <w:div w:id="1747608429">
      <w:bodyDiv w:val="1"/>
      <w:marLeft w:val="0"/>
      <w:marRight w:val="0"/>
      <w:marTop w:val="0"/>
      <w:marBottom w:val="0"/>
      <w:divBdr>
        <w:top w:val="none" w:sz="0" w:space="0" w:color="auto"/>
        <w:left w:val="none" w:sz="0" w:space="0" w:color="auto"/>
        <w:bottom w:val="none" w:sz="0" w:space="0" w:color="auto"/>
        <w:right w:val="none" w:sz="0" w:space="0" w:color="auto"/>
      </w:divBdr>
    </w:div>
    <w:div w:id="1750073782">
      <w:bodyDiv w:val="1"/>
      <w:marLeft w:val="0"/>
      <w:marRight w:val="0"/>
      <w:marTop w:val="0"/>
      <w:marBottom w:val="0"/>
      <w:divBdr>
        <w:top w:val="none" w:sz="0" w:space="0" w:color="auto"/>
        <w:left w:val="none" w:sz="0" w:space="0" w:color="auto"/>
        <w:bottom w:val="none" w:sz="0" w:space="0" w:color="auto"/>
        <w:right w:val="none" w:sz="0" w:space="0" w:color="auto"/>
      </w:divBdr>
    </w:div>
    <w:div w:id="1759015887">
      <w:bodyDiv w:val="1"/>
      <w:marLeft w:val="0"/>
      <w:marRight w:val="0"/>
      <w:marTop w:val="0"/>
      <w:marBottom w:val="0"/>
      <w:divBdr>
        <w:top w:val="none" w:sz="0" w:space="0" w:color="auto"/>
        <w:left w:val="none" w:sz="0" w:space="0" w:color="auto"/>
        <w:bottom w:val="none" w:sz="0" w:space="0" w:color="auto"/>
        <w:right w:val="none" w:sz="0" w:space="0" w:color="auto"/>
      </w:divBdr>
    </w:div>
    <w:div w:id="1767379713">
      <w:bodyDiv w:val="1"/>
      <w:marLeft w:val="0"/>
      <w:marRight w:val="0"/>
      <w:marTop w:val="0"/>
      <w:marBottom w:val="0"/>
      <w:divBdr>
        <w:top w:val="none" w:sz="0" w:space="0" w:color="auto"/>
        <w:left w:val="none" w:sz="0" w:space="0" w:color="auto"/>
        <w:bottom w:val="none" w:sz="0" w:space="0" w:color="auto"/>
        <w:right w:val="none" w:sz="0" w:space="0" w:color="auto"/>
      </w:divBdr>
      <w:divsChild>
        <w:div w:id="1656178273">
          <w:marLeft w:val="547"/>
          <w:marRight w:val="0"/>
          <w:marTop w:val="110"/>
          <w:marBottom w:val="0"/>
          <w:divBdr>
            <w:top w:val="none" w:sz="0" w:space="0" w:color="auto"/>
            <w:left w:val="none" w:sz="0" w:space="0" w:color="auto"/>
            <w:bottom w:val="none" w:sz="0" w:space="0" w:color="auto"/>
            <w:right w:val="none" w:sz="0" w:space="0" w:color="auto"/>
          </w:divBdr>
        </w:div>
        <w:div w:id="1068190055">
          <w:marLeft w:val="547"/>
          <w:marRight w:val="0"/>
          <w:marTop w:val="110"/>
          <w:marBottom w:val="0"/>
          <w:divBdr>
            <w:top w:val="none" w:sz="0" w:space="0" w:color="auto"/>
            <w:left w:val="none" w:sz="0" w:space="0" w:color="auto"/>
            <w:bottom w:val="none" w:sz="0" w:space="0" w:color="auto"/>
            <w:right w:val="none" w:sz="0" w:space="0" w:color="auto"/>
          </w:divBdr>
        </w:div>
        <w:div w:id="926156732">
          <w:marLeft w:val="547"/>
          <w:marRight w:val="0"/>
          <w:marTop w:val="110"/>
          <w:marBottom w:val="0"/>
          <w:divBdr>
            <w:top w:val="none" w:sz="0" w:space="0" w:color="auto"/>
            <w:left w:val="none" w:sz="0" w:space="0" w:color="auto"/>
            <w:bottom w:val="none" w:sz="0" w:space="0" w:color="auto"/>
            <w:right w:val="none" w:sz="0" w:space="0" w:color="auto"/>
          </w:divBdr>
        </w:div>
        <w:div w:id="1070038553">
          <w:marLeft w:val="547"/>
          <w:marRight w:val="0"/>
          <w:marTop w:val="110"/>
          <w:marBottom w:val="0"/>
          <w:divBdr>
            <w:top w:val="none" w:sz="0" w:space="0" w:color="auto"/>
            <w:left w:val="none" w:sz="0" w:space="0" w:color="auto"/>
            <w:bottom w:val="none" w:sz="0" w:space="0" w:color="auto"/>
            <w:right w:val="none" w:sz="0" w:space="0" w:color="auto"/>
          </w:divBdr>
        </w:div>
        <w:div w:id="2071148960">
          <w:marLeft w:val="547"/>
          <w:marRight w:val="0"/>
          <w:marTop w:val="110"/>
          <w:marBottom w:val="0"/>
          <w:divBdr>
            <w:top w:val="none" w:sz="0" w:space="0" w:color="auto"/>
            <w:left w:val="none" w:sz="0" w:space="0" w:color="auto"/>
            <w:bottom w:val="none" w:sz="0" w:space="0" w:color="auto"/>
            <w:right w:val="none" w:sz="0" w:space="0" w:color="auto"/>
          </w:divBdr>
        </w:div>
        <w:div w:id="457992918">
          <w:marLeft w:val="547"/>
          <w:marRight w:val="0"/>
          <w:marTop w:val="110"/>
          <w:marBottom w:val="0"/>
          <w:divBdr>
            <w:top w:val="none" w:sz="0" w:space="0" w:color="auto"/>
            <w:left w:val="none" w:sz="0" w:space="0" w:color="auto"/>
            <w:bottom w:val="none" w:sz="0" w:space="0" w:color="auto"/>
            <w:right w:val="none" w:sz="0" w:space="0" w:color="auto"/>
          </w:divBdr>
        </w:div>
        <w:div w:id="7216720">
          <w:marLeft w:val="547"/>
          <w:marRight w:val="0"/>
          <w:marTop w:val="110"/>
          <w:marBottom w:val="0"/>
          <w:divBdr>
            <w:top w:val="none" w:sz="0" w:space="0" w:color="auto"/>
            <w:left w:val="none" w:sz="0" w:space="0" w:color="auto"/>
            <w:bottom w:val="none" w:sz="0" w:space="0" w:color="auto"/>
            <w:right w:val="none" w:sz="0" w:space="0" w:color="auto"/>
          </w:divBdr>
        </w:div>
      </w:divsChild>
    </w:div>
    <w:div w:id="1775903044">
      <w:bodyDiv w:val="1"/>
      <w:marLeft w:val="0"/>
      <w:marRight w:val="0"/>
      <w:marTop w:val="0"/>
      <w:marBottom w:val="0"/>
      <w:divBdr>
        <w:top w:val="none" w:sz="0" w:space="0" w:color="auto"/>
        <w:left w:val="none" w:sz="0" w:space="0" w:color="auto"/>
        <w:bottom w:val="none" w:sz="0" w:space="0" w:color="auto"/>
        <w:right w:val="none" w:sz="0" w:space="0" w:color="auto"/>
      </w:divBdr>
    </w:div>
    <w:div w:id="1777945687">
      <w:bodyDiv w:val="1"/>
      <w:marLeft w:val="0"/>
      <w:marRight w:val="0"/>
      <w:marTop w:val="0"/>
      <w:marBottom w:val="0"/>
      <w:divBdr>
        <w:top w:val="none" w:sz="0" w:space="0" w:color="auto"/>
        <w:left w:val="none" w:sz="0" w:space="0" w:color="auto"/>
        <w:bottom w:val="none" w:sz="0" w:space="0" w:color="auto"/>
        <w:right w:val="none" w:sz="0" w:space="0" w:color="auto"/>
      </w:divBdr>
    </w:div>
    <w:div w:id="1781682123">
      <w:bodyDiv w:val="1"/>
      <w:marLeft w:val="0"/>
      <w:marRight w:val="0"/>
      <w:marTop w:val="0"/>
      <w:marBottom w:val="0"/>
      <w:divBdr>
        <w:top w:val="none" w:sz="0" w:space="0" w:color="auto"/>
        <w:left w:val="none" w:sz="0" w:space="0" w:color="auto"/>
        <w:bottom w:val="none" w:sz="0" w:space="0" w:color="auto"/>
        <w:right w:val="none" w:sz="0" w:space="0" w:color="auto"/>
      </w:divBdr>
    </w:div>
    <w:div w:id="1782794198">
      <w:bodyDiv w:val="1"/>
      <w:marLeft w:val="0"/>
      <w:marRight w:val="0"/>
      <w:marTop w:val="0"/>
      <w:marBottom w:val="0"/>
      <w:divBdr>
        <w:top w:val="none" w:sz="0" w:space="0" w:color="auto"/>
        <w:left w:val="none" w:sz="0" w:space="0" w:color="auto"/>
        <w:bottom w:val="none" w:sz="0" w:space="0" w:color="auto"/>
        <w:right w:val="none" w:sz="0" w:space="0" w:color="auto"/>
      </w:divBdr>
    </w:div>
    <w:div w:id="1791435205">
      <w:bodyDiv w:val="1"/>
      <w:marLeft w:val="0"/>
      <w:marRight w:val="0"/>
      <w:marTop w:val="0"/>
      <w:marBottom w:val="0"/>
      <w:divBdr>
        <w:top w:val="none" w:sz="0" w:space="0" w:color="auto"/>
        <w:left w:val="none" w:sz="0" w:space="0" w:color="auto"/>
        <w:bottom w:val="none" w:sz="0" w:space="0" w:color="auto"/>
        <w:right w:val="none" w:sz="0" w:space="0" w:color="auto"/>
      </w:divBdr>
    </w:div>
    <w:div w:id="1792088110">
      <w:bodyDiv w:val="1"/>
      <w:marLeft w:val="0"/>
      <w:marRight w:val="0"/>
      <w:marTop w:val="0"/>
      <w:marBottom w:val="0"/>
      <w:divBdr>
        <w:top w:val="none" w:sz="0" w:space="0" w:color="auto"/>
        <w:left w:val="none" w:sz="0" w:space="0" w:color="auto"/>
        <w:bottom w:val="none" w:sz="0" w:space="0" w:color="auto"/>
        <w:right w:val="none" w:sz="0" w:space="0" w:color="auto"/>
      </w:divBdr>
    </w:div>
    <w:div w:id="1794323230">
      <w:bodyDiv w:val="1"/>
      <w:marLeft w:val="0"/>
      <w:marRight w:val="0"/>
      <w:marTop w:val="0"/>
      <w:marBottom w:val="0"/>
      <w:divBdr>
        <w:top w:val="none" w:sz="0" w:space="0" w:color="auto"/>
        <w:left w:val="none" w:sz="0" w:space="0" w:color="auto"/>
        <w:bottom w:val="none" w:sz="0" w:space="0" w:color="auto"/>
        <w:right w:val="none" w:sz="0" w:space="0" w:color="auto"/>
      </w:divBdr>
    </w:div>
    <w:div w:id="1794861853">
      <w:bodyDiv w:val="1"/>
      <w:marLeft w:val="0"/>
      <w:marRight w:val="0"/>
      <w:marTop w:val="0"/>
      <w:marBottom w:val="0"/>
      <w:divBdr>
        <w:top w:val="none" w:sz="0" w:space="0" w:color="auto"/>
        <w:left w:val="none" w:sz="0" w:space="0" w:color="auto"/>
        <w:bottom w:val="none" w:sz="0" w:space="0" w:color="auto"/>
        <w:right w:val="none" w:sz="0" w:space="0" w:color="auto"/>
      </w:divBdr>
    </w:div>
    <w:div w:id="1795057651">
      <w:bodyDiv w:val="1"/>
      <w:marLeft w:val="0"/>
      <w:marRight w:val="0"/>
      <w:marTop w:val="0"/>
      <w:marBottom w:val="0"/>
      <w:divBdr>
        <w:top w:val="none" w:sz="0" w:space="0" w:color="auto"/>
        <w:left w:val="none" w:sz="0" w:space="0" w:color="auto"/>
        <w:bottom w:val="none" w:sz="0" w:space="0" w:color="auto"/>
        <w:right w:val="none" w:sz="0" w:space="0" w:color="auto"/>
      </w:divBdr>
    </w:div>
    <w:div w:id="1797485130">
      <w:bodyDiv w:val="1"/>
      <w:marLeft w:val="0"/>
      <w:marRight w:val="0"/>
      <w:marTop w:val="0"/>
      <w:marBottom w:val="0"/>
      <w:divBdr>
        <w:top w:val="none" w:sz="0" w:space="0" w:color="auto"/>
        <w:left w:val="none" w:sz="0" w:space="0" w:color="auto"/>
        <w:bottom w:val="none" w:sz="0" w:space="0" w:color="auto"/>
        <w:right w:val="none" w:sz="0" w:space="0" w:color="auto"/>
      </w:divBdr>
    </w:div>
    <w:div w:id="1798059491">
      <w:bodyDiv w:val="1"/>
      <w:marLeft w:val="0"/>
      <w:marRight w:val="0"/>
      <w:marTop w:val="0"/>
      <w:marBottom w:val="0"/>
      <w:divBdr>
        <w:top w:val="none" w:sz="0" w:space="0" w:color="auto"/>
        <w:left w:val="none" w:sz="0" w:space="0" w:color="auto"/>
        <w:bottom w:val="none" w:sz="0" w:space="0" w:color="auto"/>
        <w:right w:val="none" w:sz="0" w:space="0" w:color="auto"/>
      </w:divBdr>
    </w:div>
    <w:div w:id="1800151342">
      <w:bodyDiv w:val="1"/>
      <w:marLeft w:val="0"/>
      <w:marRight w:val="0"/>
      <w:marTop w:val="0"/>
      <w:marBottom w:val="0"/>
      <w:divBdr>
        <w:top w:val="none" w:sz="0" w:space="0" w:color="auto"/>
        <w:left w:val="none" w:sz="0" w:space="0" w:color="auto"/>
        <w:bottom w:val="none" w:sz="0" w:space="0" w:color="auto"/>
        <w:right w:val="none" w:sz="0" w:space="0" w:color="auto"/>
      </w:divBdr>
    </w:div>
    <w:div w:id="1807695161">
      <w:bodyDiv w:val="1"/>
      <w:marLeft w:val="0"/>
      <w:marRight w:val="0"/>
      <w:marTop w:val="0"/>
      <w:marBottom w:val="0"/>
      <w:divBdr>
        <w:top w:val="none" w:sz="0" w:space="0" w:color="auto"/>
        <w:left w:val="none" w:sz="0" w:space="0" w:color="auto"/>
        <w:bottom w:val="none" w:sz="0" w:space="0" w:color="auto"/>
        <w:right w:val="none" w:sz="0" w:space="0" w:color="auto"/>
      </w:divBdr>
    </w:div>
    <w:div w:id="1810633364">
      <w:bodyDiv w:val="1"/>
      <w:marLeft w:val="0"/>
      <w:marRight w:val="0"/>
      <w:marTop w:val="0"/>
      <w:marBottom w:val="0"/>
      <w:divBdr>
        <w:top w:val="none" w:sz="0" w:space="0" w:color="auto"/>
        <w:left w:val="none" w:sz="0" w:space="0" w:color="auto"/>
        <w:bottom w:val="none" w:sz="0" w:space="0" w:color="auto"/>
        <w:right w:val="none" w:sz="0" w:space="0" w:color="auto"/>
      </w:divBdr>
    </w:div>
    <w:div w:id="1812021170">
      <w:bodyDiv w:val="1"/>
      <w:marLeft w:val="0"/>
      <w:marRight w:val="0"/>
      <w:marTop w:val="0"/>
      <w:marBottom w:val="0"/>
      <w:divBdr>
        <w:top w:val="none" w:sz="0" w:space="0" w:color="auto"/>
        <w:left w:val="none" w:sz="0" w:space="0" w:color="auto"/>
        <w:bottom w:val="none" w:sz="0" w:space="0" w:color="auto"/>
        <w:right w:val="none" w:sz="0" w:space="0" w:color="auto"/>
      </w:divBdr>
    </w:div>
    <w:div w:id="1812400433">
      <w:bodyDiv w:val="1"/>
      <w:marLeft w:val="0"/>
      <w:marRight w:val="0"/>
      <w:marTop w:val="0"/>
      <w:marBottom w:val="0"/>
      <w:divBdr>
        <w:top w:val="none" w:sz="0" w:space="0" w:color="auto"/>
        <w:left w:val="none" w:sz="0" w:space="0" w:color="auto"/>
        <w:bottom w:val="none" w:sz="0" w:space="0" w:color="auto"/>
        <w:right w:val="none" w:sz="0" w:space="0" w:color="auto"/>
      </w:divBdr>
    </w:div>
    <w:div w:id="1816296602">
      <w:bodyDiv w:val="1"/>
      <w:marLeft w:val="0"/>
      <w:marRight w:val="0"/>
      <w:marTop w:val="0"/>
      <w:marBottom w:val="0"/>
      <w:divBdr>
        <w:top w:val="none" w:sz="0" w:space="0" w:color="auto"/>
        <w:left w:val="none" w:sz="0" w:space="0" w:color="auto"/>
        <w:bottom w:val="none" w:sz="0" w:space="0" w:color="auto"/>
        <w:right w:val="none" w:sz="0" w:space="0" w:color="auto"/>
      </w:divBdr>
    </w:div>
    <w:div w:id="1817330910">
      <w:bodyDiv w:val="1"/>
      <w:marLeft w:val="0"/>
      <w:marRight w:val="0"/>
      <w:marTop w:val="0"/>
      <w:marBottom w:val="0"/>
      <w:divBdr>
        <w:top w:val="none" w:sz="0" w:space="0" w:color="auto"/>
        <w:left w:val="none" w:sz="0" w:space="0" w:color="auto"/>
        <w:bottom w:val="none" w:sz="0" w:space="0" w:color="auto"/>
        <w:right w:val="none" w:sz="0" w:space="0" w:color="auto"/>
      </w:divBdr>
    </w:div>
    <w:div w:id="1822190007">
      <w:bodyDiv w:val="1"/>
      <w:marLeft w:val="0"/>
      <w:marRight w:val="0"/>
      <w:marTop w:val="0"/>
      <w:marBottom w:val="0"/>
      <w:divBdr>
        <w:top w:val="none" w:sz="0" w:space="0" w:color="auto"/>
        <w:left w:val="none" w:sz="0" w:space="0" w:color="auto"/>
        <w:bottom w:val="none" w:sz="0" w:space="0" w:color="auto"/>
        <w:right w:val="none" w:sz="0" w:space="0" w:color="auto"/>
      </w:divBdr>
    </w:div>
    <w:div w:id="1831362463">
      <w:bodyDiv w:val="1"/>
      <w:marLeft w:val="0"/>
      <w:marRight w:val="0"/>
      <w:marTop w:val="0"/>
      <w:marBottom w:val="0"/>
      <w:divBdr>
        <w:top w:val="none" w:sz="0" w:space="0" w:color="auto"/>
        <w:left w:val="none" w:sz="0" w:space="0" w:color="auto"/>
        <w:bottom w:val="none" w:sz="0" w:space="0" w:color="auto"/>
        <w:right w:val="none" w:sz="0" w:space="0" w:color="auto"/>
      </w:divBdr>
    </w:div>
    <w:div w:id="1833250311">
      <w:bodyDiv w:val="1"/>
      <w:marLeft w:val="0"/>
      <w:marRight w:val="0"/>
      <w:marTop w:val="0"/>
      <w:marBottom w:val="0"/>
      <w:divBdr>
        <w:top w:val="none" w:sz="0" w:space="0" w:color="auto"/>
        <w:left w:val="none" w:sz="0" w:space="0" w:color="auto"/>
        <w:bottom w:val="none" w:sz="0" w:space="0" w:color="auto"/>
        <w:right w:val="none" w:sz="0" w:space="0" w:color="auto"/>
      </w:divBdr>
      <w:divsChild>
        <w:div w:id="255405936">
          <w:marLeft w:val="0"/>
          <w:marRight w:val="0"/>
          <w:marTop w:val="0"/>
          <w:marBottom w:val="0"/>
          <w:divBdr>
            <w:top w:val="none" w:sz="0" w:space="0" w:color="auto"/>
            <w:left w:val="none" w:sz="0" w:space="0" w:color="auto"/>
            <w:bottom w:val="none" w:sz="0" w:space="0" w:color="auto"/>
            <w:right w:val="none" w:sz="0" w:space="0" w:color="auto"/>
          </w:divBdr>
        </w:div>
      </w:divsChild>
    </w:div>
    <w:div w:id="1833445350">
      <w:bodyDiv w:val="1"/>
      <w:marLeft w:val="0"/>
      <w:marRight w:val="0"/>
      <w:marTop w:val="0"/>
      <w:marBottom w:val="0"/>
      <w:divBdr>
        <w:top w:val="none" w:sz="0" w:space="0" w:color="auto"/>
        <w:left w:val="none" w:sz="0" w:space="0" w:color="auto"/>
        <w:bottom w:val="none" w:sz="0" w:space="0" w:color="auto"/>
        <w:right w:val="none" w:sz="0" w:space="0" w:color="auto"/>
      </w:divBdr>
    </w:div>
    <w:div w:id="1838809929">
      <w:bodyDiv w:val="1"/>
      <w:marLeft w:val="0"/>
      <w:marRight w:val="0"/>
      <w:marTop w:val="0"/>
      <w:marBottom w:val="0"/>
      <w:divBdr>
        <w:top w:val="none" w:sz="0" w:space="0" w:color="auto"/>
        <w:left w:val="none" w:sz="0" w:space="0" w:color="auto"/>
        <w:bottom w:val="none" w:sz="0" w:space="0" w:color="auto"/>
        <w:right w:val="none" w:sz="0" w:space="0" w:color="auto"/>
      </w:divBdr>
    </w:div>
    <w:div w:id="1839537378">
      <w:bodyDiv w:val="1"/>
      <w:marLeft w:val="0"/>
      <w:marRight w:val="0"/>
      <w:marTop w:val="0"/>
      <w:marBottom w:val="0"/>
      <w:divBdr>
        <w:top w:val="none" w:sz="0" w:space="0" w:color="auto"/>
        <w:left w:val="none" w:sz="0" w:space="0" w:color="auto"/>
        <w:bottom w:val="none" w:sz="0" w:space="0" w:color="auto"/>
        <w:right w:val="none" w:sz="0" w:space="0" w:color="auto"/>
      </w:divBdr>
    </w:div>
    <w:div w:id="1844974464">
      <w:bodyDiv w:val="1"/>
      <w:marLeft w:val="0"/>
      <w:marRight w:val="0"/>
      <w:marTop w:val="0"/>
      <w:marBottom w:val="0"/>
      <w:divBdr>
        <w:top w:val="none" w:sz="0" w:space="0" w:color="auto"/>
        <w:left w:val="none" w:sz="0" w:space="0" w:color="auto"/>
        <w:bottom w:val="none" w:sz="0" w:space="0" w:color="auto"/>
        <w:right w:val="none" w:sz="0" w:space="0" w:color="auto"/>
      </w:divBdr>
    </w:div>
    <w:div w:id="1846936871">
      <w:bodyDiv w:val="1"/>
      <w:marLeft w:val="0"/>
      <w:marRight w:val="0"/>
      <w:marTop w:val="0"/>
      <w:marBottom w:val="0"/>
      <w:divBdr>
        <w:top w:val="none" w:sz="0" w:space="0" w:color="auto"/>
        <w:left w:val="none" w:sz="0" w:space="0" w:color="auto"/>
        <w:bottom w:val="none" w:sz="0" w:space="0" w:color="auto"/>
        <w:right w:val="none" w:sz="0" w:space="0" w:color="auto"/>
      </w:divBdr>
    </w:div>
    <w:div w:id="1847087424">
      <w:bodyDiv w:val="1"/>
      <w:marLeft w:val="0"/>
      <w:marRight w:val="0"/>
      <w:marTop w:val="0"/>
      <w:marBottom w:val="0"/>
      <w:divBdr>
        <w:top w:val="none" w:sz="0" w:space="0" w:color="auto"/>
        <w:left w:val="none" w:sz="0" w:space="0" w:color="auto"/>
        <w:bottom w:val="none" w:sz="0" w:space="0" w:color="auto"/>
        <w:right w:val="none" w:sz="0" w:space="0" w:color="auto"/>
      </w:divBdr>
    </w:div>
    <w:div w:id="1854221608">
      <w:bodyDiv w:val="1"/>
      <w:marLeft w:val="0"/>
      <w:marRight w:val="0"/>
      <w:marTop w:val="0"/>
      <w:marBottom w:val="0"/>
      <w:divBdr>
        <w:top w:val="none" w:sz="0" w:space="0" w:color="auto"/>
        <w:left w:val="none" w:sz="0" w:space="0" w:color="auto"/>
        <w:bottom w:val="none" w:sz="0" w:space="0" w:color="auto"/>
        <w:right w:val="none" w:sz="0" w:space="0" w:color="auto"/>
      </w:divBdr>
    </w:div>
    <w:div w:id="1855925231">
      <w:bodyDiv w:val="1"/>
      <w:marLeft w:val="0"/>
      <w:marRight w:val="0"/>
      <w:marTop w:val="0"/>
      <w:marBottom w:val="0"/>
      <w:divBdr>
        <w:top w:val="none" w:sz="0" w:space="0" w:color="auto"/>
        <w:left w:val="none" w:sz="0" w:space="0" w:color="auto"/>
        <w:bottom w:val="none" w:sz="0" w:space="0" w:color="auto"/>
        <w:right w:val="none" w:sz="0" w:space="0" w:color="auto"/>
      </w:divBdr>
    </w:div>
    <w:div w:id="1860191630">
      <w:bodyDiv w:val="1"/>
      <w:marLeft w:val="0"/>
      <w:marRight w:val="0"/>
      <w:marTop w:val="0"/>
      <w:marBottom w:val="0"/>
      <w:divBdr>
        <w:top w:val="none" w:sz="0" w:space="0" w:color="auto"/>
        <w:left w:val="none" w:sz="0" w:space="0" w:color="auto"/>
        <w:bottom w:val="none" w:sz="0" w:space="0" w:color="auto"/>
        <w:right w:val="none" w:sz="0" w:space="0" w:color="auto"/>
      </w:divBdr>
    </w:div>
    <w:div w:id="1861314793">
      <w:bodyDiv w:val="1"/>
      <w:marLeft w:val="0"/>
      <w:marRight w:val="0"/>
      <w:marTop w:val="0"/>
      <w:marBottom w:val="0"/>
      <w:divBdr>
        <w:top w:val="none" w:sz="0" w:space="0" w:color="auto"/>
        <w:left w:val="none" w:sz="0" w:space="0" w:color="auto"/>
        <w:bottom w:val="none" w:sz="0" w:space="0" w:color="auto"/>
        <w:right w:val="none" w:sz="0" w:space="0" w:color="auto"/>
      </w:divBdr>
    </w:div>
    <w:div w:id="1862670742">
      <w:bodyDiv w:val="1"/>
      <w:marLeft w:val="0"/>
      <w:marRight w:val="0"/>
      <w:marTop w:val="0"/>
      <w:marBottom w:val="0"/>
      <w:divBdr>
        <w:top w:val="none" w:sz="0" w:space="0" w:color="auto"/>
        <w:left w:val="none" w:sz="0" w:space="0" w:color="auto"/>
        <w:bottom w:val="none" w:sz="0" w:space="0" w:color="auto"/>
        <w:right w:val="none" w:sz="0" w:space="0" w:color="auto"/>
      </w:divBdr>
    </w:div>
    <w:div w:id="1870484851">
      <w:bodyDiv w:val="1"/>
      <w:marLeft w:val="0"/>
      <w:marRight w:val="0"/>
      <w:marTop w:val="0"/>
      <w:marBottom w:val="0"/>
      <w:divBdr>
        <w:top w:val="none" w:sz="0" w:space="0" w:color="auto"/>
        <w:left w:val="none" w:sz="0" w:space="0" w:color="auto"/>
        <w:bottom w:val="none" w:sz="0" w:space="0" w:color="auto"/>
        <w:right w:val="none" w:sz="0" w:space="0" w:color="auto"/>
      </w:divBdr>
    </w:div>
    <w:div w:id="1881866660">
      <w:bodyDiv w:val="1"/>
      <w:marLeft w:val="0"/>
      <w:marRight w:val="0"/>
      <w:marTop w:val="0"/>
      <w:marBottom w:val="0"/>
      <w:divBdr>
        <w:top w:val="none" w:sz="0" w:space="0" w:color="auto"/>
        <w:left w:val="none" w:sz="0" w:space="0" w:color="auto"/>
        <w:bottom w:val="none" w:sz="0" w:space="0" w:color="auto"/>
        <w:right w:val="none" w:sz="0" w:space="0" w:color="auto"/>
      </w:divBdr>
    </w:div>
    <w:div w:id="1882398122">
      <w:bodyDiv w:val="1"/>
      <w:marLeft w:val="0"/>
      <w:marRight w:val="0"/>
      <w:marTop w:val="0"/>
      <w:marBottom w:val="0"/>
      <w:divBdr>
        <w:top w:val="none" w:sz="0" w:space="0" w:color="auto"/>
        <w:left w:val="none" w:sz="0" w:space="0" w:color="auto"/>
        <w:bottom w:val="none" w:sz="0" w:space="0" w:color="auto"/>
        <w:right w:val="none" w:sz="0" w:space="0" w:color="auto"/>
      </w:divBdr>
    </w:div>
    <w:div w:id="1887141355">
      <w:bodyDiv w:val="1"/>
      <w:marLeft w:val="0"/>
      <w:marRight w:val="0"/>
      <w:marTop w:val="0"/>
      <w:marBottom w:val="0"/>
      <w:divBdr>
        <w:top w:val="none" w:sz="0" w:space="0" w:color="auto"/>
        <w:left w:val="none" w:sz="0" w:space="0" w:color="auto"/>
        <w:bottom w:val="none" w:sz="0" w:space="0" w:color="auto"/>
        <w:right w:val="none" w:sz="0" w:space="0" w:color="auto"/>
      </w:divBdr>
    </w:div>
    <w:div w:id="1893541988">
      <w:bodyDiv w:val="1"/>
      <w:marLeft w:val="0"/>
      <w:marRight w:val="0"/>
      <w:marTop w:val="0"/>
      <w:marBottom w:val="0"/>
      <w:divBdr>
        <w:top w:val="none" w:sz="0" w:space="0" w:color="auto"/>
        <w:left w:val="none" w:sz="0" w:space="0" w:color="auto"/>
        <w:bottom w:val="none" w:sz="0" w:space="0" w:color="auto"/>
        <w:right w:val="none" w:sz="0" w:space="0" w:color="auto"/>
      </w:divBdr>
    </w:div>
    <w:div w:id="1899318037">
      <w:bodyDiv w:val="1"/>
      <w:marLeft w:val="0"/>
      <w:marRight w:val="0"/>
      <w:marTop w:val="0"/>
      <w:marBottom w:val="0"/>
      <w:divBdr>
        <w:top w:val="none" w:sz="0" w:space="0" w:color="auto"/>
        <w:left w:val="none" w:sz="0" w:space="0" w:color="auto"/>
        <w:bottom w:val="none" w:sz="0" w:space="0" w:color="auto"/>
        <w:right w:val="none" w:sz="0" w:space="0" w:color="auto"/>
      </w:divBdr>
    </w:div>
    <w:div w:id="1899441692">
      <w:bodyDiv w:val="1"/>
      <w:marLeft w:val="0"/>
      <w:marRight w:val="0"/>
      <w:marTop w:val="0"/>
      <w:marBottom w:val="0"/>
      <w:divBdr>
        <w:top w:val="none" w:sz="0" w:space="0" w:color="auto"/>
        <w:left w:val="none" w:sz="0" w:space="0" w:color="auto"/>
        <w:bottom w:val="none" w:sz="0" w:space="0" w:color="auto"/>
        <w:right w:val="none" w:sz="0" w:space="0" w:color="auto"/>
      </w:divBdr>
    </w:div>
    <w:div w:id="1900051326">
      <w:bodyDiv w:val="1"/>
      <w:marLeft w:val="0"/>
      <w:marRight w:val="0"/>
      <w:marTop w:val="0"/>
      <w:marBottom w:val="0"/>
      <w:divBdr>
        <w:top w:val="none" w:sz="0" w:space="0" w:color="auto"/>
        <w:left w:val="none" w:sz="0" w:space="0" w:color="auto"/>
        <w:bottom w:val="none" w:sz="0" w:space="0" w:color="auto"/>
        <w:right w:val="none" w:sz="0" w:space="0" w:color="auto"/>
      </w:divBdr>
    </w:div>
    <w:div w:id="1904414780">
      <w:bodyDiv w:val="1"/>
      <w:marLeft w:val="0"/>
      <w:marRight w:val="0"/>
      <w:marTop w:val="0"/>
      <w:marBottom w:val="0"/>
      <w:divBdr>
        <w:top w:val="none" w:sz="0" w:space="0" w:color="auto"/>
        <w:left w:val="none" w:sz="0" w:space="0" w:color="auto"/>
        <w:bottom w:val="none" w:sz="0" w:space="0" w:color="auto"/>
        <w:right w:val="none" w:sz="0" w:space="0" w:color="auto"/>
      </w:divBdr>
    </w:div>
    <w:div w:id="1908758285">
      <w:bodyDiv w:val="1"/>
      <w:marLeft w:val="0"/>
      <w:marRight w:val="0"/>
      <w:marTop w:val="0"/>
      <w:marBottom w:val="0"/>
      <w:divBdr>
        <w:top w:val="none" w:sz="0" w:space="0" w:color="auto"/>
        <w:left w:val="none" w:sz="0" w:space="0" w:color="auto"/>
        <w:bottom w:val="none" w:sz="0" w:space="0" w:color="auto"/>
        <w:right w:val="none" w:sz="0" w:space="0" w:color="auto"/>
      </w:divBdr>
      <w:divsChild>
        <w:div w:id="1158497181">
          <w:marLeft w:val="0"/>
          <w:marRight w:val="0"/>
          <w:marTop w:val="0"/>
          <w:marBottom w:val="0"/>
          <w:divBdr>
            <w:top w:val="none" w:sz="0" w:space="0" w:color="auto"/>
            <w:left w:val="none" w:sz="0" w:space="0" w:color="auto"/>
            <w:bottom w:val="none" w:sz="0" w:space="0" w:color="auto"/>
            <w:right w:val="none" w:sz="0" w:space="0" w:color="auto"/>
          </w:divBdr>
          <w:divsChild>
            <w:div w:id="1303777533">
              <w:marLeft w:val="0"/>
              <w:marRight w:val="0"/>
              <w:marTop w:val="0"/>
              <w:marBottom w:val="0"/>
              <w:divBdr>
                <w:top w:val="none" w:sz="0" w:space="0" w:color="auto"/>
                <w:left w:val="none" w:sz="0" w:space="0" w:color="auto"/>
                <w:bottom w:val="none" w:sz="0" w:space="0" w:color="auto"/>
                <w:right w:val="none" w:sz="0" w:space="0" w:color="auto"/>
              </w:divBdr>
              <w:divsChild>
                <w:div w:id="5690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43946">
      <w:bodyDiv w:val="1"/>
      <w:marLeft w:val="0"/>
      <w:marRight w:val="0"/>
      <w:marTop w:val="0"/>
      <w:marBottom w:val="0"/>
      <w:divBdr>
        <w:top w:val="none" w:sz="0" w:space="0" w:color="auto"/>
        <w:left w:val="none" w:sz="0" w:space="0" w:color="auto"/>
        <w:bottom w:val="none" w:sz="0" w:space="0" w:color="auto"/>
        <w:right w:val="none" w:sz="0" w:space="0" w:color="auto"/>
      </w:divBdr>
    </w:div>
    <w:div w:id="1931235452">
      <w:bodyDiv w:val="1"/>
      <w:marLeft w:val="0"/>
      <w:marRight w:val="0"/>
      <w:marTop w:val="0"/>
      <w:marBottom w:val="0"/>
      <w:divBdr>
        <w:top w:val="none" w:sz="0" w:space="0" w:color="auto"/>
        <w:left w:val="none" w:sz="0" w:space="0" w:color="auto"/>
        <w:bottom w:val="none" w:sz="0" w:space="0" w:color="auto"/>
        <w:right w:val="none" w:sz="0" w:space="0" w:color="auto"/>
      </w:divBdr>
    </w:div>
    <w:div w:id="1931353165">
      <w:bodyDiv w:val="1"/>
      <w:marLeft w:val="0"/>
      <w:marRight w:val="0"/>
      <w:marTop w:val="0"/>
      <w:marBottom w:val="0"/>
      <w:divBdr>
        <w:top w:val="none" w:sz="0" w:space="0" w:color="auto"/>
        <w:left w:val="none" w:sz="0" w:space="0" w:color="auto"/>
        <w:bottom w:val="none" w:sz="0" w:space="0" w:color="auto"/>
        <w:right w:val="none" w:sz="0" w:space="0" w:color="auto"/>
      </w:divBdr>
    </w:div>
    <w:div w:id="1932883471">
      <w:bodyDiv w:val="1"/>
      <w:marLeft w:val="0"/>
      <w:marRight w:val="0"/>
      <w:marTop w:val="0"/>
      <w:marBottom w:val="0"/>
      <w:divBdr>
        <w:top w:val="none" w:sz="0" w:space="0" w:color="auto"/>
        <w:left w:val="none" w:sz="0" w:space="0" w:color="auto"/>
        <w:bottom w:val="none" w:sz="0" w:space="0" w:color="auto"/>
        <w:right w:val="none" w:sz="0" w:space="0" w:color="auto"/>
      </w:divBdr>
    </w:div>
    <w:div w:id="1947804064">
      <w:bodyDiv w:val="1"/>
      <w:marLeft w:val="0"/>
      <w:marRight w:val="0"/>
      <w:marTop w:val="0"/>
      <w:marBottom w:val="0"/>
      <w:divBdr>
        <w:top w:val="none" w:sz="0" w:space="0" w:color="auto"/>
        <w:left w:val="none" w:sz="0" w:space="0" w:color="auto"/>
        <w:bottom w:val="none" w:sz="0" w:space="0" w:color="auto"/>
        <w:right w:val="none" w:sz="0" w:space="0" w:color="auto"/>
      </w:divBdr>
    </w:div>
    <w:div w:id="1955361339">
      <w:bodyDiv w:val="1"/>
      <w:marLeft w:val="0"/>
      <w:marRight w:val="0"/>
      <w:marTop w:val="0"/>
      <w:marBottom w:val="0"/>
      <w:divBdr>
        <w:top w:val="none" w:sz="0" w:space="0" w:color="auto"/>
        <w:left w:val="none" w:sz="0" w:space="0" w:color="auto"/>
        <w:bottom w:val="none" w:sz="0" w:space="0" w:color="auto"/>
        <w:right w:val="none" w:sz="0" w:space="0" w:color="auto"/>
      </w:divBdr>
    </w:div>
    <w:div w:id="1957636320">
      <w:bodyDiv w:val="1"/>
      <w:marLeft w:val="0"/>
      <w:marRight w:val="0"/>
      <w:marTop w:val="0"/>
      <w:marBottom w:val="0"/>
      <w:divBdr>
        <w:top w:val="none" w:sz="0" w:space="0" w:color="auto"/>
        <w:left w:val="none" w:sz="0" w:space="0" w:color="auto"/>
        <w:bottom w:val="none" w:sz="0" w:space="0" w:color="auto"/>
        <w:right w:val="none" w:sz="0" w:space="0" w:color="auto"/>
      </w:divBdr>
    </w:div>
    <w:div w:id="1963656379">
      <w:bodyDiv w:val="1"/>
      <w:marLeft w:val="0"/>
      <w:marRight w:val="0"/>
      <w:marTop w:val="0"/>
      <w:marBottom w:val="0"/>
      <w:divBdr>
        <w:top w:val="none" w:sz="0" w:space="0" w:color="auto"/>
        <w:left w:val="none" w:sz="0" w:space="0" w:color="auto"/>
        <w:bottom w:val="none" w:sz="0" w:space="0" w:color="auto"/>
        <w:right w:val="none" w:sz="0" w:space="0" w:color="auto"/>
      </w:divBdr>
    </w:div>
    <w:div w:id="1967347906">
      <w:bodyDiv w:val="1"/>
      <w:marLeft w:val="0"/>
      <w:marRight w:val="0"/>
      <w:marTop w:val="0"/>
      <w:marBottom w:val="0"/>
      <w:divBdr>
        <w:top w:val="none" w:sz="0" w:space="0" w:color="auto"/>
        <w:left w:val="none" w:sz="0" w:space="0" w:color="auto"/>
        <w:bottom w:val="none" w:sz="0" w:space="0" w:color="auto"/>
        <w:right w:val="none" w:sz="0" w:space="0" w:color="auto"/>
      </w:divBdr>
    </w:div>
    <w:div w:id="1970820577">
      <w:bodyDiv w:val="1"/>
      <w:marLeft w:val="0"/>
      <w:marRight w:val="0"/>
      <w:marTop w:val="0"/>
      <w:marBottom w:val="0"/>
      <w:divBdr>
        <w:top w:val="none" w:sz="0" w:space="0" w:color="auto"/>
        <w:left w:val="none" w:sz="0" w:space="0" w:color="auto"/>
        <w:bottom w:val="none" w:sz="0" w:space="0" w:color="auto"/>
        <w:right w:val="none" w:sz="0" w:space="0" w:color="auto"/>
      </w:divBdr>
    </w:div>
    <w:div w:id="1971473081">
      <w:bodyDiv w:val="1"/>
      <w:marLeft w:val="0"/>
      <w:marRight w:val="0"/>
      <w:marTop w:val="0"/>
      <w:marBottom w:val="0"/>
      <w:divBdr>
        <w:top w:val="none" w:sz="0" w:space="0" w:color="auto"/>
        <w:left w:val="none" w:sz="0" w:space="0" w:color="auto"/>
        <w:bottom w:val="none" w:sz="0" w:space="0" w:color="auto"/>
        <w:right w:val="none" w:sz="0" w:space="0" w:color="auto"/>
      </w:divBdr>
    </w:div>
    <w:div w:id="1974167824">
      <w:bodyDiv w:val="1"/>
      <w:marLeft w:val="0"/>
      <w:marRight w:val="0"/>
      <w:marTop w:val="0"/>
      <w:marBottom w:val="0"/>
      <w:divBdr>
        <w:top w:val="none" w:sz="0" w:space="0" w:color="auto"/>
        <w:left w:val="none" w:sz="0" w:space="0" w:color="auto"/>
        <w:bottom w:val="none" w:sz="0" w:space="0" w:color="auto"/>
        <w:right w:val="none" w:sz="0" w:space="0" w:color="auto"/>
      </w:divBdr>
    </w:div>
    <w:div w:id="1984388276">
      <w:bodyDiv w:val="1"/>
      <w:marLeft w:val="0"/>
      <w:marRight w:val="0"/>
      <w:marTop w:val="0"/>
      <w:marBottom w:val="0"/>
      <w:divBdr>
        <w:top w:val="none" w:sz="0" w:space="0" w:color="auto"/>
        <w:left w:val="none" w:sz="0" w:space="0" w:color="auto"/>
        <w:bottom w:val="none" w:sz="0" w:space="0" w:color="auto"/>
        <w:right w:val="none" w:sz="0" w:space="0" w:color="auto"/>
      </w:divBdr>
    </w:div>
    <w:div w:id="1989166240">
      <w:bodyDiv w:val="1"/>
      <w:marLeft w:val="0"/>
      <w:marRight w:val="0"/>
      <w:marTop w:val="0"/>
      <w:marBottom w:val="0"/>
      <w:divBdr>
        <w:top w:val="none" w:sz="0" w:space="0" w:color="auto"/>
        <w:left w:val="none" w:sz="0" w:space="0" w:color="auto"/>
        <w:bottom w:val="none" w:sz="0" w:space="0" w:color="auto"/>
        <w:right w:val="none" w:sz="0" w:space="0" w:color="auto"/>
      </w:divBdr>
      <w:divsChild>
        <w:div w:id="341326712">
          <w:marLeft w:val="0"/>
          <w:marRight w:val="0"/>
          <w:marTop w:val="0"/>
          <w:marBottom w:val="0"/>
          <w:divBdr>
            <w:top w:val="none" w:sz="0" w:space="0" w:color="auto"/>
            <w:left w:val="none" w:sz="0" w:space="0" w:color="auto"/>
            <w:bottom w:val="none" w:sz="0" w:space="0" w:color="auto"/>
            <w:right w:val="none" w:sz="0" w:space="0" w:color="auto"/>
          </w:divBdr>
          <w:divsChild>
            <w:div w:id="956913027">
              <w:marLeft w:val="0"/>
              <w:marRight w:val="0"/>
              <w:marTop w:val="0"/>
              <w:marBottom w:val="0"/>
              <w:divBdr>
                <w:top w:val="none" w:sz="0" w:space="0" w:color="auto"/>
                <w:left w:val="none" w:sz="0" w:space="0" w:color="auto"/>
                <w:bottom w:val="none" w:sz="0" w:space="0" w:color="auto"/>
                <w:right w:val="none" w:sz="0" w:space="0" w:color="auto"/>
              </w:divBdr>
              <w:divsChild>
                <w:div w:id="131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5280">
      <w:bodyDiv w:val="1"/>
      <w:marLeft w:val="0"/>
      <w:marRight w:val="0"/>
      <w:marTop w:val="0"/>
      <w:marBottom w:val="0"/>
      <w:divBdr>
        <w:top w:val="none" w:sz="0" w:space="0" w:color="auto"/>
        <w:left w:val="none" w:sz="0" w:space="0" w:color="auto"/>
        <w:bottom w:val="none" w:sz="0" w:space="0" w:color="auto"/>
        <w:right w:val="none" w:sz="0" w:space="0" w:color="auto"/>
      </w:divBdr>
    </w:div>
    <w:div w:id="2001887278">
      <w:bodyDiv w:val="1"/>
      <w:marLeft w:val="0"/>
      <w:marRight w:val="0"/>
      <w:marTop w:val="0"/>
      <w:marBottom w:val="0"/>
      <w:divBdr>
        <w:top w:val="none" w:sz="0" w:space="0" w:color="auto"/>
        <w:left w:val="none" w:sz="0" w:space="0" w:color="auto"/>
        <w:bottom w:val="none" w:sz="0" w:space="0" w:color="auto"/>
        <w:right w:val="none" w:sz="0" w:space="0" w:color="auto"/>
      </w:divBdr>
    </w:div>
    <w:div w:id="2009139437">
      <w:bodyDiv w:val="1"/>
      <w:marLeft w:val="0"/>
      <w:marRight w:val="0"/>
      <w:marTop w:val="0"/>
      <w:marBottom w:val="0"/>
      <w:divBdr>
        <w:top w:val="none" w:sz="0" w:space="0" w:color="auto"/>
        <w:left w:val="none" w:sz="0" w:space="0" w:color="auto"/>
        <w:bottom w:val="none" w:sz="0" w:space="0" w:color="auto"/>
        <w:right w:val="none" w:sz="0" w:space="0" w:color="auto"/>
      </w:divBdr>
    </w:div>
    <w:div w:id="2018458926">
      <w:bodyDiv w:val="1"/>
      <w:marLeft w:val="0"/>
      <w:marRight w:val="0"/>
      <w:marTop w:val="0"/>
      <w:marBottom w:val="0"/>
      <w:divBdr>
        <w:top w:val="none" w:sz="0" w:space="0" w:color="auto"/>
        <w:left w:val="none" w:sz="0" w:space="0" w:color="auto"/>
        <w:bottom w:val="none" w:sz="0" w:space="0" w:color="auto"/>
        <w:right w:val="none" w:sz="0" w:space="0" w:color="auto"/>
      </w:divBdr>
    </w:div>
    <w:div w:id="2020768214">
      <w:bodyDiv w:val="1"/>
      <w:marLeft w:val="0"/>
      <w:marRight w:val="0"/>
      <w:marTop w:val="0"/>
      <w:marBottom w:val="0"/>
      <w:divBdr>
        <w:top w:val="none" w:sz="0" w:space="0" w:color="auto"/>
        <w:left w:val="none" w:sz="0" w:space="0" w:color="auto"/>
        <w:bottom w:val="none" w:sz="0" w:space="0" w:color="auto"/>
        <w:right w:val="none" w:sz="0" w:space="0" w:color="auto"/>
      </w:divBdr>
    </w:div>
    <w:div w:id="2021464528">
      <w:bodyDiv w:val="1"/>
      <w:marLeft w:val="0"/>
      <w:marRight w:val="0"/>
      <w:marTop w:val="0"/>
      <w:marBottom w:val="0"/>
      <w:divBdr>
        <w:top w:val="none" w:sz="0" w:space="0" w:color="auto"/>
        <w:left w:val="none" w:sz="0" w:space="0" w:color="auto"/>
        <w:bottom w:val="none" w:sz="0" w:space="0" w:color="auto"/>
        <w:right w:val="none" w:sz="0" w:space="0" w:color="auto"/>
      </w:divBdr>
    </w:div>
    <w:div w:id="2023360847">
      <w:bodyDiv w:val="1"/>
      <w:marLeft w:val="0"/>
      <w:marRight w:val="0"/>
      <w:marTop w:val="0"/>
      <w:marBottom w:val="0"/>
      <w:divBdr>
        <w:top w:val="none" w:sz="0" w:space="0" w:color="auto"/>
        <w:left w:val="none" w:sz="0" w:space="0" w:color="auto"/>
        <w:bottom w:val="none" w:sz="0" w:space="0" w:color="auto"/>
        <w:right w:val="none" w:sz="0" w:space="0" w:color="auto"/>
      </w:divBdr>
    </w:div>
    <w:div w:id="2024014118">
      <w:bodyDiv w:val="1"/>
      <w:marLeft w:val="0"/>
      <w:marRight w:val="0"/>
      <w:marTop w:val="0"/>
      <w:marBottom w:val="0"/>
      <w:divBdr>
        <w:top w:val="none" w:sz="0" w:space="0" w:color="auto"/>
        <w:left w:val="none" w:sz="0" w:space="0" w:color="auto"/>
        <w:bottom w:val="none" w:sz="0" w:space="0" w:color="auto"/>
        <w:right w:val="none" w:sz="0" w:space="0" w:color="auto"/>
      </w:divBdr>
    </w:div>
    <w:div w:id="2034257532">
      <w:bodyDiv w:val="1"/>
      <w:marLeft w:val="0"/>
      <w:marRight w:val="0"/>
      <w:marTop w:val="0"/>
      <w:marBottom w:val="0"/>
      <w:divBdr>
        <w:top w:val="none" w:sz="0" w:space="0" w:color="auto"/>
        <w:left w:val="none" w:sz="0" w:space="0" w:color="auto"/>
        <w:bottom w:val="none" w:sz="0" w:space="0" w:color="auto"/>
        <w:right w:val="none" w:sz="0" w:space="0" w:color="auto"/>
      </w:divBdr>
    </w:div>
    <w:div w:id="2035770433">
      <w:bodyDiv w:val="1"/>
      <w:marLeft w:val="0"/>
      <w:marRight w:val="0"/>
      <w:marTop w:val="0"/>
      <w:marBottom w:val="0"/>
      <w:divBdr>
        <w:top w:val="none" w:sz="0" w:space="0" w:color="auto"/>
        <w:left w:val="none" w:sz="0" w:space="0" w:color="auto"/>
        <w:bottom w:val="none" w:sz="0" w:space="0" w:color="auto"/>
        <w:right w:val="none" w:sz="0" w:space="0" w:color="auto"/>
      </w:divBdr>
    </w:div>
    <w:div w:id="2044673582">
      <w:bodyDiv w:val="1"/>
      <w:marLeft w:val="0"/>
      <w:marRight w:val="0"/>
      <w:marTop w:val="0"/>
      <w:marBottom w:val="0"/>
      <w:divBdr>
        <w:top w:val="none" w:sz="0" w:space="0" w:color="auto"/>
        <w:left w:val="none" w:sz="0" w:space="0" w:color="auto"/>
        <w:bottom w:val="none" w:sz="0" w:space="0" w:color="auto"/>
        <w:right w:val="none" w:sz="0" w:space="0" w:color="auto"/>
      </w:divBdr>
    </w:div>
    <w:div w:id="2045329216">
      <w:bodyDiv w:val="1"/>
      <w:marLeft w:val="0"/>
      <w:marRight w:val="0"/>
      <w:marTop w:val="0"/>
      <w:marBottom w:val="0"/>
      <w:divBdr>
        <w:top w:val="none" w:sz="0" w:space="0" w:color="auto"/>
        <w:left w:val="none" w:sz="0" w:space="0" w:color="auto"/>
        <w:bottom w:val="none" w:sz="0" w:space="0" w:color="auto"/>
        <w:right w:val="none" w:sz="0" w:space="0" w:color="auto"/>
      </w:divBdr>
    </w:div>
    <w:div w:id="2045669016">
      <w:bodyDiv w:val="1"/>
      <w:marLeft w:val="0"/>
      <w:marRight w:val="0"/>
      <w:marTop w:val="0"/>
      <w:marBottom w:val="0"/>
      <w:divBdr>
        <w:top w:val="none" w:sz="0" w:space="0" w:color="auto"/>
        <w:left w:val="none" w:sz="0" w:space="0" w:color="auto"/>
        <w:bottom w:val="none" w:sz="0" w:space="0" w:color="auto"/>
        <w:right w:val="none" w:sz="0" w:space="0" w:color="auto"/>
      </w:divBdr>
    </w:div>
    <w:div w:id="2047293534">
      <w:bodyDiv w:val="1"/>
      <w:marLeft w:val="0"/>
      <w:marRight w:val="0"/>
      <w:marTop w:val="0"/>
      <w:marBottom w:val="0"/>
      <w:divBdr>
        <w:top w:val="none" w:sz="0" w:space="0" w:color="auto"/>
        <w:left w:val="none" w:sz="0" w:space="0" w:color="auto"/>
        <w:bottom w:val="none" w:sz="0" w:space="0" w:color="auto"/>
        <w:right w:val="none" w:sz="0" w:space="0" w:color="auto"/>
      </w:divBdr>
    </w:div>
    <w:div w:id="2048873303">
      <w:bodyDiv w:val="1"/>
      <w:marLeft w:val="0"/>
      <w:marRight w:val="0"/>
      <w:marTop w:val="0"/>
      <w:marBottom w:val="0"/>
      <w:divBdr>
        <w:top w:val="none" w:sz="0" w:space="0" w:color="auto"/>
        <w:left w:val="none" w:sz="0" w:space="0" w:color="auto"/>
        <w:bottom w:val="none" w:sz="0" w:space="0" w:color="auto"/>
        <w:right w:val="none" w:sz="0" w:space="0" w:color="auto"/>
      </w:divBdr>
    </w:div>
    <w:div w:id="2053916114">
      <w:bodyDiv w:val="1"/>
      <w:marLeft w:val="0"/>
      <w:marRight w:val="0"/>
      <w:marTop w:val="0"/>
      <w:marBottom w:val="0"/>
      <w:divBdr>
        <w:top w:val="none" w:sz="0" w:space="0" w:color="auto"/>
        <w:left w:val="none" w:sz="0" w:space="0" w:color="auto"/>
        <w:bottom w:val="none" w:sz="0" w:space="0" w:color="auto"/>
        <w:right w:val="none" w:sz="0" w:space="0" w:color="auto"/>
      </w:divBdr>
    </w:div>
    <w:div w:id="2069916693">
      <w:bodyDiv w:val="1"/>
      <w:marLeft w:val="0"/>
      <w:marRight w:val="0"/>
      <w:marTop w:val="0"/>
      <w:marBottom w:val="0"/>
      <w:divBdr>
        <w:top w:val="none" w:sz="0" w:space="0" w:color="auto"/>
        <w:left w:val="none" w:sz="0" w:space="0" w:color="auto"/>
        <w:bottom w:val="none" w:sz="0" w:space="0" w:color="auto"/>
        <w:right w:val="none" w:sz="0" w:space="0" w:color="auto"/>
      </w:divBdr>
    </w:div>
    <w:div w:id="2074695472">
      <w:bodyDiv w:val="1"/>
      <w:marLeft w:val="0"/>
      <w:marRight w:val="0"/>
      <w:marTop w:val="0"/>
      <w:marBottom w:val="0"/>
      <w:divBdr>
        <w:top w:val="none" w:sz="0" w:space="0" w:color="auto"/>
        <w:left w:val="none" w:sz="0" w:space="0" w:color="auto"/>
        <w:bottom w:val="none" w:sz="0" w:space="0" w:color="auto"/>
        <w:right w:val="none" w:sz="0" w:space="0" w:color="auto"/>
      </w:divBdr>
    </w:div>
    <w:div w:id="2076708278">
      <w:bodyDiv w:val="1"/>
      <w:marLeft w:val="0"/>
      <w:marRight w:val="0"/>
      <w:marTop w:val="0"/>
      <w:marBottom w:val="0"/>
      <w:divBdr>
        <w:top w:val="none" w:sz="0" w:space="0" w:color="auto"/>
        <w:left w:val="none" w:sz="0" w:space="0" w:color="auto"/>
        <w:bottom w:val="none" w:sz="0" w:space="0" w:color="auto"/>
        <w:right w:val="none" w:sz="0" w:space="0" w:color="auto"/>
      </w:divBdr>
    </w:div>
    <w:div w:id="2083330281">
      <w:bodyDiv w:val="1"/>
      <w:marLeft w:val="0"/>
      <w:marRight w:val="0"/>
      <w:marTop w:val="0"/>
      <w:marBottom w:val="0"/>
      <w:divBdr>
        <w:top w:val="none" w:sz="0" w:space="0" w:color="auto"/>
        <w:left w:val="none" w:sz="0" w:space="0" w:color="auto"/>
        <w:bottom w:val="none" w:sz="0" w:space="0" w:color="auto"/>
        <w:right w:val="none" w:sz="0" w:space="0" w:color="auto"/>
      </w:divBdr>
    </w:div>
    <w:div w:id="2084061969">
      <w:bodyDiv w:val="1"/>
      <w:marLeft w:val="0"/>
      <w:marRight w:val="0"/>
      <w:marTop w:val="0"/>
      <w:marBottom w:val="0"/>
      <w:divBdr>
        <w:top w:val="none" w:sz="0" w:space="0" w:color="auto"/>
        <w:left w:val="none" w:sz="0" w:space="0" w:color="auto"/>
        <w:bottom w:val="none" w:sz="0" w:space="0" w:color="auto"/>
        <w:right w:val="none" w:sz="0" w:space="0" w:color="auto"/>
      </w:divBdr>
    </w:div>
    <w:div w:id="2100253554">
      <w:bodyDiv w:val="1"/>
      <w:marLeft w:val="0"/>
      <w:marRight w:val="0"/>
      <w:marTop w:val="0"/>
      <w:marBottom w:val="0"/>
      <w:divBdr>
        <w:top w:val="none" w:sz="0" w:space="0" w:color="auto"/>
        <w:left w:val="none" w:sz="0" w:space="0" w:color="auto"/>
        <w:bottom w:val="none" w:sz="0" w:space="0" w:color="auto"/>
        <w:right w:val="none" w:sz="0" w:space="0" w:color="auto"/>
      </w:divBdr>
    </w:div>
    <w:div w:id="2105178734">
      <w:bodyDiv w:val="1"/>
      <w:marLeft w:val="0"/>
      <w:marRight w:val="0"/>
      <w:marTop w:val="0"/>
      <w:marBottom w:val="0"/>
      <w:divBdr>
        <w:top w:val="none" w:sz="0" w:space="0" w:color="auto"/>
        <w:left w:val="none" w:sz="0" w:space="0" w:color="auto"/>
        <w:bottom w:val="none" w:sz="0" w:space="0" w:color="auto"/>
        <w:right w:val="none" w:sz="0" w:space="0" w:color="auto"/>
      </w:divBdr>
    </w:div>
    <w:div w:id="2107773030">
      <w:bodyDiv w:val="1"/>
      <w:marLeft w:val="0"/>
      <w:marRight w:val="0"/>
      <w:marTop w:val="0"/>
      <w:marBottom w:val="0"/>
      <w:divBdr>
        <w:top w:val="none" w:sz="0" w:space="0" w:color="auto"/>
        <w:left w:val="none" w:sz="0" w:space="0" w:color="auto"/>
        <w:bottom w:val="none" w:sz="0" w:space="0" w:color="auto"/>
        <w:right w:val="none" w:sz="0" w:space="0" w:color="auto"/>
      </w:divBdr>
    </w:div>
    <w:div w:id="2112125512">
      <w:bodyDiv w:val="1"/>
      <w:marLeft w:val="0"/>
      <w:marRight w:val="0"/>
      <w:marTop w:val="0"/>
      <w:marBottom w:val="0"/>
      <w:divBdr>
        <w:top w:val="none" w:sz="0" w:space="0" w:color="auto"/>
        <w:left w:val="none" w:sz="0" w:space="0" w:color="auto"/>
        <w:bottom w:val="none" w:sz="0" w:space="0" w:color="auto"/>
        <w:right w:val="none" w:sz="0" w:space="0" w:color="auto"/>
      </w:divBdr>
    </w:div>
    <w:div w:id="2114282463">
      <w:bodyDiv w:val="1"/>
      <w:marLeft w:val="0"/>
      <w:marRight w:val="0"/>
      <w:marTop w:val="0"/>
      <w:marBottom w:val="0"/>
      <w:divBdr>
        <w:top w:val="none" w:sz="0" w:space="0" w:color="auto"/>
        <w:left w:val="none" w:sz="0" w:space="0" w:color="auto"/>
        <w:bottom w:val="none" w:sz="0" w:space="0" w:color="auto"/>
        <w:right w:val="none" w:sz="0" w:space="0" w:color="auto"/>
      </w:divBdr>
    </w:div>
    <w:div w:id="2117091225">
      <w:bodyDiv w:val="1"/>
      <w:marLeft w:val="0"/>
      <w:marRight w:val="0"/>
      <w:marTop w:val="0"/>
      <w:marBottom w:val="0"/>
      <w:divBdr>
        <w:top w:val="none" w:sz="0" w:space="0" w:color="auto"/>
        <w:left w:val="none" w:sz="0" w:space="0" w:color="auto"/>
        <w:bottom w:val="none" w:sz="0" w:space="0" w:color="auto"/>
        <w:right w:val="none" w:sz="0" w:space="0" w:color="auto"/>
      </w:divBdr>
    </w:div>
    <w:div w:id="2117748918">
      <w:bodyDiv w:val="1"/>
      <w:marLeft w:val="0"/>
      <w:marRight w:val="0"/>
      <w:marTop w:val="0"/>
      <w:marBottom w:val="0"/>
      <w:divBdr>
        <w:top w:val="none" w:sz="0" w:space="0" w:color="auto"/>
        <w:left w:val="none" w:sz="0" w:space="0" w:color="auto"/>
        <w:bottom w:val="none" w:sz="0" w:space="0" w:color="auto"/>
        <w:right w:val="none" w:sz="0" w:space="0" w:color="auto"/>
      </w:divBdr>
    </w:div>
    <w:div w:id="2125419333">
      <w:bodyDiv w:val="1"/>
      <w:marLeft w:val="0"/>
      <w:marRight w:val="0"/>
      <w:marTop w:val="0"/>
      <w:marBottom w:val="0"/>
      <w:divBdr>
        <w:top w:val="none" w:sz="0" w:space="0" w:color="auto"/>
        <w:left w:val="none" w:sz="0" w:space="0" w:color="auto"/>
        <w:bottom w:val="none" w:sz="0" w:space="0" w:color="auto"/>
        <w:right w:val="none" w:sz="0" w:space="0" w:color="auto"/>
      </w:divBdr>
    </w:div>
    <w:div w:id="2126071543">
      <w:bodyDiv w:val="1"/>
      <w:marLeft w:val="0"/>
      <w:marRight w:val="0"/>
      <w:marTop w:val="0"/>
      <w:marBottom w:val="0"/>
      <w:divBdr>
        <w:top w:val="none" w:sz="0" w:space="0" w:color="auto"/>
        <w:left w:val="none" w:sz="0" w:space="0" w:color="auto"/>
        <w:bottom w:val="none" w:sz="0" w:space="0" w:color="auto"/>
        <w:right w:val="none" w:sz="0" w:space="0" w:color="auto"/>
      </w:divBdr>
    </w:div>
    <w:div w:id="2132703624">
      <w:bodyDiv w:val="1"/>
      <w:marLeft w:val="0"/>
      <w:marRight w:val="0"/>
      <w:marTop w:val="0"/>
      <w:marBottom w:val="0"/>
      <w:divBdr>
        <w:top w:val="none" w:sz="0" w:space="0" w:color="auto"/>
        <w:left w:val="none" w:sz="0" w:space="0" w:color="auto"/>
        <w:bottom w:val="none" w:sz="0" w:space="0" w:color="auto"/>
        <w:right w:val="none" w:sz="0" w:space="0" w:color="auto"/>
      </w:divBdr>
    </w:div>
    <w:div w:id="2140567850">
      <w:bodyDiv w:val="1"/>
      <w:marLeft w:val="0"/>
      <w:marRight w:val="0"/>
      <w:marTop w:val="0"/>
      <w:marBottom w:val="0"/>
      <w:divBdr>
        <w:top w:val="none" w:sz="0" w:space="0" w:color="auto"/>
        <w:left w:val="none" w:sz="0" w:space="0" w:color="auto"/>
        <w:bottom w:val="none" w:sz="0" w:space="0" w:color="auto"/>
        <w:right w:val="none" w:sz="0" w:space="0" w:color="auto"/>
      </w:divBdr>
    </w:div>
    <w:div w:id="21429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freemovement.org.uk/eu-settled-status-story-so-far/" TargetMode="External"/><Relationship Id="rId13" Type="http://schemas.openxmlformats.org/officeDocument/2006/relationships/hyperlink" Target="http://www.childrenslegalcentre.com/wp-content/uploads/2019/03/EUSS-briefing_Mar2019_FINAL.pdf" TargetMode="External"/><Relationship Id="rId18" Type="http://schemas.openxmlformats.org/officeDocument/2006/relationships/hyperlink" Target="https://www.gov.uk/government/publications/eu-settlement-scheme-public-beta-testing-phase-report/eu-settlement-scheme-public-beta-testing-phase-report" TargetMode="External"/><Relationship Id="rId26" Type="http://schemas.openxmlformats.org/officeDocument/2006/relationships/hyperlink" Target="https://www.berlin.de/labo/willkommen-in-berlin/freizuegigkeit-eu-ewr-schweiz/artikel.597871.en.php" TargetMode="External"/><Relationship Id="rId3" Type="http://schemas.openxmlformats.org/officeDocument/2006/relationships/hyperlink" Target="https://assets.publishing.service.gov.uk/government/uploads/system/uploads/attachment_data/file/621848/60093_Cm9464_NSS_SDR_Web.pdf" TargetMode="External"/><Relationship Id="rId21" Type="http://schemas.openxmlformats.org/officeDocument/2006/relationships/hyperlink" Target="https://www.liverpool.ac.uk/media/livacuk/law/2-research/ecru/EU,Roma,Children,and,the,EU,Settled,Status,Scheme,-,September,2020.pdf" TargetMode="External"/><Relationship Id="rId7" Type="http://schemas.openxmlformats.org/officeDocument/2006/relationships/hyperlink" Target="https://www.parliament.uk/business/publications/written-questions-answers-statements/written-question/Commons/2018-11-14/191403" TargetMode="External"/><Relationship Id="rId12" Type="http://schemas.openxmlformats.org/officeDocument/2006/relationships/hyperlink" Target="https://www.parliament.uk/documents/lords-committees/eu-justice-subcommittee/CWM/HKtoSJ-SettledStatus-260219.pdf" TargetMode="External"/><Relationship Id="rId17" Type="http://schemas.openxmlformats.org/officeDocument/2006/relationships/hyperlink" Target="https://www.romasupportgroup.org.uk/uploads/9/3/6/8/93687016/roma_brexit_euss_report_16.06.2020_final.pdf" TargetMode="External"/><Relationship Id="rId25" Type="http://schemas.openxmlformats.org/officeDocument/2006/relationships/hyperlink" Target="https://www.gov.uk/government/publications/eu-settlement-scheme-quarterly-statistics-june-2020/eu-settlement-scheme-quarterly-statistics-june-2020" TargetMode="External"/><Relationship Id="rId2" Type="http://schemas.openxmlformats.org/officeDocument/2006/relationships/hyperlink" Target="https://www.politicshome.com/news/uk/political-parties/conservative-party/news/79518/read-full-david-davis-speech-conservative" TargetMode="External"/><Relationship Id="rId16" Type="http://schemas.openxmlformats.org/officeDocument/2006/relationships/hyperlink" Target="https://assets.publishing.service.gov.uk/government/uploads/system/uploads/attachment_data/file/799413/EU_Settlement_Scheme_public_beta_testing_phase_report.pdf" TargetMode="External"/><Relationship Id="rId20" Type="http://schemas.openxmlformats.org/officeDocument/2006/relationships/hyperlink" Target="https://assets.publishing.service.gov.uk/government/uploads/system/uploads/attachment_data/file/799439/An_inspection_of_the_EU_Settlement_Scheme_May_WEB.PDF" TargetMode="External"/><Relationship Id="rId29" Type="http://schemas.openxmlformats.org/officeDocument/2006/relationships/hyperlink" Target="http://www.voteleavetakecontrol.org/restoring_public_trust_in_immigration_policy_a_points_based_non_discriminatory_immigration_system.html" TargetMode="External"/><Relationship Id="rId1" Type="http://schemas.openxmlformats.org/officeDocument/2006/relationships/hyperlink" Target="https://brexitbritsabroad.com/project-team/" TargetMode="External"/><Relationship Id="rId6" Type="http://schemas.openxmlformats.org/officeDocument/2006/relationships/hyperlink" Target="https://ec.europa.eu/commission/sites/beta-political/files/draft_agreement_coloured.pdf" TargetMode="External"/><Relationship Id="rId11" Type="http://schemas.openxmlformats.org/officeDocument/2006/relationships/hyperlink" Target="https://www.thinknpc.org/wp-content/uploads/2018/10/How-the-EU-settlement-scheme-affects-women-and-girls.pdf" TargetMode="External"/><Relationship Id="rId24" Type="http://schemas.openxmlformats.org/officeDocument/2006/relationships/hyperlink" Target="https://publiclawproject.org.uk/wp-content/uploads/2019/07/Joe-Tomlinson-Quick-and-Uneasy-Justice-Full-Report-2019.pdf" TargetMode="External"/><Relationship Id="rId5" Type="http://schemas.openxmlformats.org/officeDocument/2006/relationships/hyperlink" Target="https://www.gov.uk/guidance/immigration-rules/immigration-rules-appendix-eu" TargetMode="External"/><Relationship Id="rId15" Type="http://schemas.openxmlformats.org/officeDocument/2006/relationships/hyperlink" Target="https://assets.publishing.service.gov.uk/government/uploads/system/uploads/attachment_data/file/799439/An_inspection_of_the_EU_Settlement_Scheme_May_WEB.PDF" TargetMode="External"/><Relationship Id="rId23" Type="http://schemas.openxmlformats.org/officeDocument/2006/relationships/hyperlink" Target="https://assets.publishing.service.gov.uk/government/uploads/system/uploads/attachment_data/file/790661/Home_Office_-_HMRC_API_EU_Exit_MoU.PDF" TargetMode="External"/><Relationship Id="rId28" Type="http://schemas.openxmlformats.org/officeDocument/2006/relationships/hyperlink" Target="https://www.gov.uk/settled-status-eu-citizens-families/what-settled-and-presettled-status-means" TargetMode="External"/><Relationship Id="rId10" Type="http://schemas.openxmlformats.org/officeDocument/2006/relationships/hyperlink" Target="http://www.britishfuture.org/wp-content/uploads/2019/01/EU-Citizens-report-1-pdf.pdf" TargetMode="External"/><Relationship Id="rId19" Type="http://schemas.openxmlformats.org/officeDocument/2006/relationships/hyperlink" Target="https://homeofficemedia.blog.gov.uk/2019/07/18/media-factsheet-eu-settlement-scheme/" TargetMode="External"/><Relationship Id="rId4" Type="http://schemas.openxmlformats.org/officeDocument/2006/relationships/hyperlink" Target="https://assets.publishing.service.gov.uk/government/uploads/system/uploads/attachment_data/file/718237/EU_Settlement_Scheme_SOI_June_2018.pdf" TargetMode="External"/><Relationship Id="rId9" Type="http://schemas.openxmlformats.org/officeDocument/2006/relationships/hyperlink" Target="https://migrationobservatory.ox.ac.uk/wp-content/uploads/2018/04/Report-Unsettled_Status_3.pdf" TargetMode="External"/><Relationship Id="rId14" Type="http://schemas.openxmlformats.org/officeDocument/2006/relationships/hyperlink" Target="https://www.parliament.uk/documents/lords-committees/eu-justice-subcommittee/CWM/HStoHK-on-EUSS-17.04.19.pdf" TargetMode="External"/><Relationship Id="rId22" Type="http://schemas.openxmlformats.org/officeDocument/2006/relationships/hyperlink" Target="https://assets.publishing.service.gov.uk/government/uploads/system/uploads/attachment_data/file/790668/Home_Office_-_DWP_API_EU_Exit_MoU.PDF" TargetMode="External"/><Relationship Id="rId27" Type="http://schemas.openxmlformats.org/officeDocument/2006/relationships/hyperlink" Target="https://www.gov.uk/government/publications/universal-credit-statistics-29-april-2013-to-9-july-2020/universal-credit-statistics-29-april-2013-to-9-jul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6A22-170F-CF4A-BBDC-FE00BB26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30</Pages>
  <Words>13262</Words>
  <Characters>75595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O'Brien</dc:creator>
  <cp:keywords/>
  <dc:description/>
  <cp:lastModifiedBy>Charlotte O'Brien</cp:lastModifiedBy>
  <cp:revision>314</cp:revision>
  <dcterms:created xsi:type="dcterms:W3CDTF">2020-10-16T16:40:00Z</dcterms:created>
  <dcterms:modified xsi:type="dcterms:W3CDTF">2021-01-06T14:34:00Z</dcterms:modified>
  <cp:category/>
</cp:coreProperties>
</file>