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99F37F" w14:textId="454FC475" w:rsidR="00BA01D2" w:rsidRPr="000F455F" w:rsidRDefault="00BA01D2" w:rsidP="000F455F">
      <w:pPr>
        <w:pStyle w:val="BATitle"/>
      </w:pPr>
      <w:r w:rsidRPr="000F455F">
        <w:t xml:space="preserve">Substrate anchoring and flexibility </w:t>
      </w:r>
      <w:r w:rsidR="00365F8D">
        <w:t xml:space="preserve">reduction </w:t>
      </w:r>
      <w:r w:rsidRPr="000F455F">
        <w:t>in CYP153A</w:t>
      </w:r>
      <w:r w:rsidRPr="00AD1079">
        <w:rPr>
          <w:i/>
          <w:vertAlign w:val="subscript"/>
        </w:rPr>
        <w:t xml:space="preserve">M.aq </w:t>
      </w:r>
      <w:r w:rsidRPr="000F455F">
        <w:t xml:space="preserve">leads to </w:t>
      </w:r>
      <w:r w:rsidR="00AD1079">
        <w:t xml:space="preserve">highly </w:t>
      </w:r>
      <w:r w:rsidRPr="000F455F">
        <w:t xml:space="preserve">improved </w:t>
      </w:r>
      <w:r w:rsidR="004126DE">
        <w:t xml:space="preserve">efficiency </w:t>
      </w:r>
      <w:r w:rsidRPr="000F455F">
        <w:t>towards octanoic acid</w:t>
      </w:r>
    </w:p>
    <w:p w14:paraId="341F2741" w14:textId="4687A9E1" w:rsidR="00BA01D2" w:rsidRPr="00BB2907" w:rsidRDefault="00BA01D2" w:rsidP="003E351A">
      <w:pPr>
        <w:pStyle w:val="BBAuthorName"/>
      </w:pPr>
      <w:r w:rsidRPr="00BB2907">
        <w:t xml:space="preserve">Lea R. </w:t>
      </w:r>
      <w:proofErr w:type="spellStart"/>
      <w:r w:rsidRPr="00BB2907">
        <w:t>Rapp</w:t>
      </w:r>
      <w:r w:rsidR="000F455F">
        <w:rPr>
          <w:vertAlign w:val="superscript"/>
        </w:rPr>
        <w:t>a</w:t>
      </w:r>
      <w:proofErr w:type="spellEnd"/>
      <w:r w:rsidRPr="00BB2907">
        <w:t>, Sérgio</w:t>
      </w:r>
      <w:r w:rsidR="00AE25BA">
        <w:t xml:space="preserve"> M.</w:t>
      </w:r>
      <w:r w:rsidRPr="00BB2907">
        <w:t xml:space="preserve"> </w:t>
      </w:r>
      <w:proofErr w:type="spellStart"/>
      <w:r w:rsidRPr="00BB2907">
        <w:t>Marques</w:t>
      </w:r>
      <w:r w:rsidRPr="00BB2907">
        <w:rPr>
          <w:vertAlign w:val="superscript"/>
        </w:rPr>
        <w:t>b</w:t>
      </w:r>
      <w:proofErr w:type="gramStart"/>
      <w:r w:rsidR="003E351A">
        <w:rPr>
          <w:vertAlign w:val="superscript"/>
        </w:rPr>
        <w:t>,c</w:t>
      </w:r>
      <w:proofErr w:type="spellEnd"/>
      <w:proofErr w:type="gramEnd"/>
      <w:r w:rsidR="000F455F">
        <w:t>,</w:t>
      </w:r>
      <w:r w:rsidR="00575104">
        <w:t xml:space="preserve"> </w:t>
      </w:r>
      <w:r w:rsidR="00575104" w:rsidRPr="00575104">
        <w:t xml:space="preserve">Erna </w:t>
      </w:r>
      <w:proofErr w:type="spellStart"/>
      <w:r w:rsidR="00575104" w:rsidRPr="00575104">
        <w:t>Zukic</w:t>
      </w:r>
      <w:r w:rsidR="003E351A">
        <w:rPr>
          <w:vertAlign w:val="superscript"/>
        </w:rPr>
        <w:t>d</w:t>
      </w:r>
      <w:proofErr w:type="spellEnd"/>
      <w:r w:rsidR="008D4C9D" w:rsidRPr="008D4C9D">
        <w:rPr>
          <w:vertAlign w:val="superscript"/>
        </w:rPr>
        <w:t>†</w:t>
      </w:r>
      <w:r w:rsidR="00575104" w:rsidRPr="00575104">
        <w:t xml:space="preserve">, Benjamin </w:t>
      </w:r>
      <w:proofErr w:type="spellStart"/>
      <w:r w:rsidR="00575104" w:rsidRPr="00575104">
        <w:t>Rowlinson</w:t>
      </w:r>
      <w:r w:rsidR="003E351A">
        <w:rPr>
          <w:vertAlign w:val="superscript"/>
        </w:rPr>
        <w:t>d</w:t>
      </w:r>
      <w:proofErr w:type="spellEnd"/>
      <w:r w:rsidR="00575104" w:rsidRPr="00575104">
        <w:t xml:space="preserve">, </w:t>
      </w:r>
      <w:proofErr w:type="spellStart"/>
      <w:r w:rsidR="00575104" w:rsidRPr="00575104">
        <w:t>Mahima</w:t>
      </w:r>
      <w:proofErr w:type="spellEnd"/>
      <w:r w:rsidR="00575104" w:rsidRPr="00575104">
        <w:t xml:space="preserve"> </w:t>
      </w:r>
      <w:proofErr w:type="spellStart"/>
      <w:r w:rsidR="00575104" w:rsidRPr="00575104">
        <w:t>Sharma</w:t>
      </w:r>
      <w:r w:rsidR="003E351A">
        <w:rPr>
          <w:vertAlign w:val="superscript"/>
        </w:rPr>
        <w:t>d</w:t>
      </w:r>
      <w:proofErr w:type="spellEnd"/>
      <w:r w:rsidR="00575104">
        <w:t>,</w:t>
      </w:r>
      <w:r w:rsidR="000F455F">
        <w:t xml:space="preserve"> </w:t>
      </w:r>
      <w:r w:rsidR="00FE046E">
        <w:t xml:space="preserve">Gideon </w:t>
      </w:r>
      <w:proofErr w:type="spellStart"/>
      <w:r w:rsidR="00FE046E">
        <w:t>Grogan</w:t>
      </w:r>
      <w:r w:rsidR="003E351A">
        <w:rPr>
          <w:vertAlign w:val="superscript"/>
        </w:rPr>
        <w:t>d</w:t>
      </w:r>
      <w:proofErr w:type="spellEnd"/>
      <w:r w:rsidR="00FE046E">
        <w:t xml:space="preserve">, </w:t>
      </w:r>
      <w:r w:rsidR="000F455F">
        <w:t xml:space="preserve">Jiri </w:t>
      </w:r>
      <w:proofErr w:type="spellStart"/>
      <w:r w:rsidR="000F455F">
        <w:t>Damborsky</w:t>
      </w:r>
      <w:r w:rsidR="000F455F">
        <w:rPr>
          <w:vertAlign w:val="superscript"/>
        </w:rPr>
        <w:t>b</w:t>
      </w:r>
      <w:r w:rsidR="003E351A">
        <w:rPr>
          <w:vertAlign w:val="superscript"/>
        </w:rPr>
        <w:t>,c</w:t>
      </w:r>
      <w:proofErr w:type="spellEnd"/>
      <w:r w:rsidRPr="00BB2907">
        <w:t xml:space="preserve"> and Bernhard Hauer </w:t>
      </w:r>
      <w:r w:rsidRPr="00BB2907">
        <w:rPr>
          <w:vertAlign w:val="superscript"/>
        </w:rPr>
        <w:t>a</w:t>
      </w:r>
      <w:r w:rsidRPr="00BB2907">
        <w:t>*</w:t>
      </w:r>
    </w:p>
    <w:p w14:paraId="2A31B378" w14:textId="77777777" w:rsidR="00BA01D2" w:rsidRPr="00BB2907" w:rsidRDefault="00BA01D2" w:rsidP="00ED65DA">
      <w:pPr>
        <w:pStyle w:val="BCAuthorAddress"/>
        <w:jc w:val="both"/>
      </w:pPr>
      <w:proofErr w:type="spellStart"/>
      <w:r w:rsidRPr="00BB2907">
        <w:rPr>
          <w:vertAlign w:val="superscript"/>
        </w:rPr>
        <w:t>a</w:t>
      </w:r>
      <w:r w:rsidRPr="00BB2907">
        <w:t>Institute</w:t>
      </w:r>
      <w:proofErr w:type="spellEnd"/>
      <w:r w:rsidRPr="00BB2907">
        <w:t xml:space="preserve"> of Biochemistry and Technical Biochemistry, Department of Technical Biochemistry, University of Stuttgart, </w:t>
      </w:r>
      <w:proofErr w:type="spellStart"/>
      <w:r w:rsidRPr="00BB2907">
        <w:t>A</w:t>
      </w:r>
      <w:r w:rsidR="00FB6B86">
        <w:t>llmandring</w:t>
      </w:r>
      <w:proofErr w:type="spellEnd"/>
      <w:r w:rsidR="00FB6B86">
        <w:t xml:space="preserve"> 31, 70569 Stuttgart, Germany</w:t>
      </w:r>
    </w:p>
    <w:p w14:paraId="4FBEC7AD" w14:textId="3D10076B" w:rsidR="00BA01D2" w:rsidRDefault="00BA01D2" w:rsidP="00ED65DA">
      <w:pPr>
        <w:pStyle w:val="BCAuthorAddress"/>
        <w:jc w:val="both"/>
      </w:pPr>
      <w:proofErr w:type="spellStart"/>
      <w:proofErr w:type="gramStart"/>
      <w:r w:rsidRPr="00BB2907">
        <w:rPr>
          <w:vertAlign w:val="superscript"/>
        </w:rPr>
        <w:t>b</w:t>
      </w:r>
      <w:r w:rsidRPr="00BB2907">
        <w:t>Loschmidt</w:t>
      </w:r>
      <w:proofErr w:type="spellEnd"/>
      <w:proofErr w:type="gramEnd"/>
      <w:r w:rsidRPr="00BB2907">
        <w:t xml:space="preserve"> Laboratories</w:t>
      </w:r>
      <w:r>
        <w:t xml:space="preserve">, </w:t>
      </w:r>
      <w:r w:rsidR="00B530B8">
        <w:t xml:space="preserve">Department of Experimental Biology and RECETOX, </w:t>
      </w:r>
      <w:r w:rsidRPr="005C659D">
        <w:t xml:space="preserve">Faculty of Science, Masaryk University, </w:t>
      </w:r>
      <w:proofErr w:type="spellStart"/>
      <w:r w:rsidR="00687636">
        <w:t>Kamenice</w:t>
      </w:r>
      <w:proofErr w:type="spellEnd"/>
      <w:r w:rsidR="00687636">
        <w:t xml:space="preserve"> 5/A13, 625 00 Brno, Czech Republic</w:t>
      </w:r>
    </w:p>
    <w:p w14:paraId="469DCE3D" w14:textId="3B7435D0" w:rsidR="003E351A" w:rsidRPr="003E351A" w:rsidRDefault="003E351A" w:rsidP="00ED65DA">
      <w:pPr>
        <w:pStyle w:val="BCAuthorAddress"/>
        <w:jc w:val="both"/>
      </w:pPr>
      <w:proofErr w:type="spellStart"/>
      <w:proofErr w:type="gramStart"/>
      <w:r>
        <w:rPr>
          <w:vertAlign w:val="superscript"/>
        </w:rPr>
        <w:t>c</w:t>
      </w:r>
      <w:r w:rsidR="00B530B8" w:rsidRPr="003E351A">
        <w:t>International</w:t>
      </w:r>
      <w:proofErr w:type="spellEnd"/>
      <w:proofErr w:type="gramEnd"/>
      <w:r w:rsidR="00B530B8" w:rsidRPr="00FE06BE">
        <w:t xml:space="preserve"> Centre for Clinical Research, St. Anne's University Hospital Brno, </w:t>
      </w:r>
      <w:proofErr w:type="spellStart"/>
      <w:r w:rsidR="00B530B8" w:rsidRPr="00FE06BE">
        <w:t>Pekarska</w:t>
      </w:r>
      <w:proofErr w:type="spellEnd"/>
      <w:r w:rsidR="00B530B8" w:rsidRPr="00FE06BE">
        <w:t xml:space="preserve"> 53, 656 91 Brno, Czech Republic</w:t>
      </w:r>
      <w:r w:rsidRPr="003E351A">
        <w:rPr>
          <w:vertAlign w:val="superscript"/>
        </w:rPr>
        <w:t xml:space="preserve"> </w:t>
      </w:r>
    </w:p>
    <w:p w14:paraId="71BE5D9C" w14:textId="65A1DAF2" w:rsidR="003E351A" w:rsidRDefault="003E351A" w:rsidP="00ED65DA">
      <w:pPr>
        <w:pStyle w:val="BCAuthorAddress"/>
        <w:jc w:val="both"/>
      </w:pPr>
      <w:proofErr w:type="spellStart"/>
      <w:proofErr w:type="gramStart"/>
      <w:r>
        <w:rPr>
          <w:vertAlign w:val="superscript"/>
        </w:rPr>
        <w:t>d</w:t>
      </w:r>
      <w:r>
        <w:t>York</w:t>
      </w:r>
      <w:proofErr w:type="spellEnd"/>
      <w:proofErr w:type="gramEnd"/>
      <w:r>
        <w:t xml:space="preserve"> Structural Biology Laboratory, Department of Chemistry, University of York, Heslington, York, YO10 5DD, UK</w:t>
      </w:r>
    </w:p>
    <w:p w14:paraId="2B0DFF50" w14:textId="77777777" w:rsidR="00FE046E" w:rsidRPr="00FE046E" w:rsidRDefault="00FE046E" w:rsidP="00FE046E">
      <w:pPr>
        <w:pStyle w:val="AIReceivedDate"/>
      </w:pPr>
    </w:p>
    <w:p w14:paraId="5308799A" w14:textId="419F299A" w:rsidR="00BE533F" w:rsidRPr="00DD1EEC" w:rsidRDefault="00967913" w:rsidP="00835CBD">
      <w:pPr>
        <w:pStyle w:val="BGKeywords"/>
      </w:pPr>
      <w:r w:rsidRPr="0037333F">
        <w:t>Keywords:</w:t>
      </w:r>
      <w:r>
        <w:t xml:space="preserve"> </w:t>
      </w:r>
      <w:r w:rsidR="00687636">
        <w:t>Biocatalysis,</w:t>
      </w:r>
      <w:r w:rsidR="00736067">
        <w:t xml:space="preserve"> Enzyme Engineering,</w:t>
      </w:r>
      <w:r w:rsidR="00687636">
        <w:t xml:space="preserve"> </w:t>
      </w:r>
      <w:r w:rsidR="00B713E6">
        <w:t>Molecular Dynamics</w:t>
      </w:r>
      <w:r w:rsidR="00983610">
        <w:t xml:space="preserve">, Computational </w:t>
      </w:r>
      <w:r w:rsidR="00794D0D">
        <w:t>C</w:t>
      </w:r>
      <w:r w:rsidR="00983610">
        <w:t>hemistry, Cytochrome P450</w:t>
      </w:r>
      <w:r w:rsidR="00B713E6">
        <w:t xml:space="preserve"> </w:t>
      </w:r>
    </w:p>
    <w:p w14:paraId="072DE51C" w14:textId="77777777" w:rsidR="00A66EDD" w:rsidRPr="007F6792" w:rsidRDefault="005329C7" w:rsidP="007F6792">
      <w:pPr>
        <w:pStyle w:val="StyleBIEmailAddress95pt"/>
        <w:sectPr w:rsidR="00A66EDD" w:rsidRPr="007F6792" w:rsidSect="00984F9E">
          <w:footerReference w:type="even" r:id="rId8"/>
          <w:footerReference w:type="default" r:id="rId9"/>
          <w:type w:val="continuous"/>
          <w:pgSz w:w="12240" w:h="15840" w:code="1"/>
          <w:pgMar w:top="720" w:right="1094" w:bottom="720" w:left="1094" w:header="720" w:footer="720" w:gutter="0"/>
          <w:cols w:space="720"/>
          <w:titlePg/>
        </w:sectPr>
      </w:pPr>
      <w:r>
        <w:t xml:space="preserve"> </w:t>
      </w:r>
    </w:p>
    <w:p w14:paraId="06BB26B0" w14:textId="364C8973" w:rsidR="00552A07" w:rsidRPr="00BE533F" w:rsidRDefault="00552A07" w:rsidP="00C35F3B">
      <w:pPr>
        <w:pStyle w:val="BDAbstract"/>
      </w:pPr>
      <w:r w:rsidRPr="006532A9">
        <w:rPr>
          <w:rStyle w:val="BDAbstractTitleChar"/>
        </w:rPr>
        <w:t>ABSTRACT</w:t>
      </w:r>
      <w:r w:rsidR="006532A9" w:rsidRPr="006532A9">
        <w:rPr>
          <w:rStyle w:val="BDAbstractTitleChar"/>
        </w:rPr>
        <w:t>:</w:t>
      </w:r>
      <w:r w:rsidRPr="00BE533F">
        <w:t xml:space="preserve"> </w:t>
      </w:r>
      <w:r w:rsidR="008C6323">
        <w:t>Cytochrome P450 CYP153A</w:t>
      </w:r>
      <w:r w:rsidR="008C6323" w:rsidRPr="008C6323">
        <w:rPr>
          <w:i/>
          <w:vertAlign w:val="subscript"/>
        </w:rPr>
        <w:t xml:space="preserve">M.aq </w:t>
      </w:r>
      <w:r w:rsidR="008C6323">
        <w:t xml:space="preserve">from </w:t>
      </w:r>
      <w:proofErr w:type="spellStart"/>
      <w:r w:rsidR="008C6323" w:rsidRPr="008C6323">
        <w:rPr>
          <w:i/>
        </w:rPr>
        <w:t>Marinobacter</w:t>
      </w:r>
      <w:proofErr w:type="spellEnd"/>
      <w:r w:rsidR="008C6323" w:rsidRPr="008C6323">
        <w:rPr>
          <w:i/>
        </w:rPr>
        <w:t xml:space="preserve"> </w:t>
      </w:r>
      <w:proofErr w:type="spellStart"/>
      <w:r w:rsidR="008C6323" w:rsidRPr="008C6323">
        <w:rPr>
          <w:i/>
        </w:rPr>
        <w:t>aquaeolei</w:t>
      </w:r>
      <w:proofErr w:type="spellEnd"/>
      <w:r w:rsidR="008C6323">
        <w:t xml:space="preserve"> serves as</w:t>
      </w:r>
      <w:r w:rsidR="00DD5279">
        <w:t xml:space="preserve"> a</w:t>
      </w:r>
      <w:r w:rsidR="008C6323">
        <w:t xml:space="preserve"> model enzyme for </w:t>
      </w:r>
      <w:r w:rsidR="00E2466B">
        <w:t xml:space="preserve">the </w:t>
      </w:r>
      <w:r w:rsidR="008C6323">
        <w:t>terminal (</w:t>
      </w:r>
      <w:r w:rsidR="008C6323">
        <w:rPr>
          <w:rFonts w:ascii="Constantia" w:hAnsi="Constantia"/>
        </w:rPr>
        <w:t>ω</w:t>
      </w:r>
      <w:r w:rsidR="00EE5D00">
        <w:rPr>
          <w:rFonts w:ascii="Constantia" w:hAnsi="Constantia"/>
        </w:rPr>
        <w:t>-</w:t>
      </w:r>
      <w:r w:rsidR="008C6323">
        <w:t>) hydroxylation of medium- to long-chain</w:t>
      </w:r>
      <w:r w:rsidR="008C6323" w:rsidRPr="008C6323">
        <w:t xml:space="preserve"> </w:t>
      </w:r>
      <w:r w:rsidR="008C6323">
        <w:t xml:space="preserve">fatty acids. </w:t>
      </w:r>
      <w:r w:rsidR="004A1098">
        <w:t>We</w:t>
      </w:r>
      <w:r w:rsidR="00A92233">
        <w:t xml:space="preserve"> have</w:t>
      </w:r>
      <w:r w:rsidR="008C6323">
        <w:t xml:space="preserve"> engineered th</w:t>
      </w:r>
      <w:r w:rsidR="00A92233">
        <w:t>is</w:t>
      </w:r>
      <w:r w:rsidR="008C6323">
        <w:t xml:space="preserve"> enzyme using different mutagenesis approaches</w:t>
      </w:r>
      <w:r w:rsidR="00EE5D00">
        <w:t xml:space="preserve"> </w:t>
      </w:r>
      <w:r w:rsidR="004A1098">
        <w:t xml:space="preserve">based on </w:t>
      </w:r>
      <w:r w:rsidR="00EE5D00">
        <w:t>structure-sequence-alignments within the 3DM database</w:t>
      </w:r>
      <w:r w:rsidR="00EB3568">
        <w:t xml:space="preserve"> and</w:t>
      </w:r>
      <w:r w:rsidR="004A1098">
        <w:t xml:space="preserve"> crystal structures of</w:t>
      </w:r>
      <w:r w:rsidR="00EE5D00">
        <w:t xml:space="preserve"> </w:t>
      </w:r>
      <w:r w:rsidR="004A1098" w:rsidRPr="0037333F">
        <w:t>CYP153</w:t>
      </w:r>
      <w:r w:rsidR="00B177EF" w:rsidRPr="0037333F">
        <w:t>A</w:t>
      </w:r>
      <w:r w:rsidR="004A1098" w:rsidRPr="0037333F">
        <w:rPr>
          <w:i/>
          <w:iCs/>
          <w:vertAlign w:val="subscript"/>
        </w:rPr>
        <w:t>M.aq</w:t>
      </w:r>
      <w:r w:rsidR="004A1098" w:rsidRPr="0037333F">
        <w:t xml:space="preserve"> and a </w:t>
      </w:r>
      <w:r w:rsidR="00EE5D00" w:rsidRPr="0037333F">
        <w:t>homolo</w:t>
      </w:r>
      <w:r w:rsidR="004A1098" w:rsidRPr="0037333F">
        <w:t>g</w:t>
      </w:r>
      <w:r w:rsidR="00EE5D00" w:rsidRPr="0037333F">
        <w:t xml:space="preserve"> CYP153A</w:t>
      </w:r>
      <w:r w:rsidR="00EE5D00" w:rsidRPr="0037333F">
        <w:rPr>
          <w:i/>
          <w:vertAlign w:val="subscript"/>
        </w:rPr>
        <w:t>P.sp</w:t>
      </w:r>
      <w:r w:rsidR="003E351A" w:rsidRPr="0037333F">
        <w:t>.</w:t>
      </w:r>
      <w:r w:rsidR="002D5ACC" w:rsidRPr="0037333F">
        <w:t xml:space="preserve"> Applying</w:t>
      </w:r>
      <w:r w:rsidR="004126DE" w:rsidRPr="0037333F">
        <w:t xml:space="preserve"> </w:t>
      </w:r>
      <w:r w:rsidR="002D5ACC" w:rsidRPr="0037333F">
        <w:t xml:space="preserve">these focused mutagenesis strategies </w:t>
      </w:r>
      <w:r w:rsidR="00EE5D00" w:rsidRPr="0037333F">
        <w:t>and site-directed saturation mutagenesis</w:t>
      </w:r>
      <w:r w:rsidR="004A1098" w:rsidRPr="0037333F">
        <w:t>,</w:t>
      </w:r>
      <w:r w:rsidR="002D5ACC" w:rsidRPr="0037333F">
        <w:t xml:space="preserve"> we</w:t>
      </w:r>
      <w:r w:rsidR="008C6323" w:rsidRPr="0037333F">
        <w:t xml:space="preserve"> </w:t>
      </w:r>
      <w:r w:rsidR="004A1098" w:rsidRPr="0037333F">
        <w:t>create</w:t>
      </w:r>
      <w:r w:rsidR="002D5ACC" w:rsidRPr="0037333F">
        <w:t>d</w:t>
      </w:r>
      <w:r w:rsidR="004A1098" w:rsidRPr="0037333F">
        <w:t xml:space="preserve"> a variant that</w:t>
      </w:r>
      <w:r w:rsidR="008C6323" w:rsidRPr="0037333F">
        <w:t xml:space="preserve"> </w:t>
      </w:r>
      <w:r w:rsidR="008C6323" w:rsidRPr="0037333F">
        <w:rPr>
          <w:rFonts w:ascii="Constantia" w:hAnsi="Constantia"/>
        </w:rPr>
        <w:t>ω</w:t>
      </w:r>
      <w:r w:rsidR="008C6323" w:rsidRPr="0037333F">
        <w:t>-</w:t>
      </w:r>
      <w:proofErr w:type="spellStart"/>
      <w:r w:rsidR="008C6323" w:rsidRPr="0037333F">
        <w:t>hydroxylate</w:t>
      </w:r>
      <w:r w:rsidR="004A1098" w:rsidRPr="0037333F">
        <w:t>s</w:t>
      </w:r>
      <w:proofErr w:type="spellEnd"/>
      <w:r w:rsidR="008C6323" w:rsidRPr="0037333F">
        <w:t xml:space="preserve"> octanoic acid. </w:t>
      </w:r>
      <w:r w:rsidR="004A1098" w:rsidRPr="0037333F">
        <w:t xml:space="preserve">The </w:t>
      </w:r>
      <w:r w:rsidR="008C6323" w:rsidRPr="0037333F">
        <w:t xml:space="preserve">M.aqRLT variant </w:t>
      </w:r>
      <w:r w:rsidR="00A92233" w:rsidRPr="0037333F">
        <w:t>exhibited</w:t>
      </w:r>
      <w:r w:rsidR="00EE5D00" w:rsidRPr="0037333F">
        <w:t xml:space="preserve"> 151-fold improve</w:t>
      </w:r>
      <w:r w:rsidR="00A92233" w:rsidRPr="0037333F">
        <w:t>d catalytic efficiency and showed</w:t>
      </w:r>
      <w:r w:rsidR="00EE5D00" w:rsidRPr="0037333F">
        <w:t xml:space="preserve"> strongly improved substrate binding</w:t>
      </w:r>
      <w:r w:rsidR="004126DE" w:rsidRPr="0037333F">
        <w:t xml:space="preserve"> (</w:t>
      </w:r>
      <w:r w:rsidR="00EE5D00" w:rsidRPr="0037333F">
        <w:t xml:space="preserve">25-fold reduced </w:t>
      </w:r>
      <w:r w:rsidR="004A1098" w:rsidRPr="0037333F">
        <w:rPr>
          <w:i/>
          <w:iCs/>
        </w:rPr>
        <w:t>K</w:t>
      </w:r>
      <w:r w:rsidR="004A1098" w:rsidRPr="0037333F">
        <w:rPr>
          <w:vertAlign w:val="subscript"/>
        </w:rPr>
        <w:t>m</w:t>
      </w:r>
      <w:r w:rsidR="004126DE" w:rsidRPr="0037333F">
        <w:rPr>
          <w:vertAlign w:val="subscript"/>
        </w:rPr>
        <w:t xml:space="preserve"> </w:t>
      </w:r>
      <w:r w:rsidR="00EE5D00" w:rsidRPr="0037333F">
        <w:t>compared to the wild type</w:t>
      </w:r>
      <w:r w:rsidR="004126DE" w:rsidRPr="0037333F">
        <w:t>)</w:t>
      </w:r>
      <w:r w:rsidR="00EE5D00" w:rsidRPr="0037333F">
        <w:t xml:space="preserve">. </w:t>
      </w:r>
      <w:r w:rsidR="00EB3568" w:rsidRPr="0037333F">
        <w:t>W</w:t>
      </w:r>
      <w:r w:rsidR="00EE5D00" w:rsidRPr="0037333F">
        <w:t>e</w:t>
      </w:r>
      <w:r w:rsidR="00EB3568" w:rsidRPr="0037333F">
        <w:t xml:space="preserve"> then</w:t>
      </w:r>
      <w:r w:rsidR="00EE5D00" w:rsidRPr="0037333F">
        <w:t xml:space="preserve"> </w:t>
      </w:r>
      <w:r w:rsidR="004126DE" w:rsidRPr="0037333F">
        <w:t xml:space="preserve">used </w:t>
      </w:r>
      <w:r w:rsidR="00EE5D00" w:rsidRPr="0037333F">
        <w:t xml:space="preserve">MD simulations to gain deeper insights into the dynamics of the protein. We found </w:t>
      </w:r>
      <w:r w:rsidR="00E2466B" w:rsidRPr="0037333F">
        <w:t xml:space="preserve">the </w:t>
      </w:r>
      <w:r w:rsidR="00EE5D00" w:rsidRPr="0037333F">
        <w:t>tunnel modifications</w:t>
      </w:r>
      <w:r w:rsidR="00A92233" w:rsidRPr="0037333F">
        <w:t xml:space="preserve"> </w:t>
      </w:r>
      <w:r w:rsidR="0054746E" w:rsidRPr="0037333F">
        <w:t xml:space="preserve">and </w:t>
      </w:r>
      <w:r w:rsidR="000E5826" w:rsidRPr="0037333F">
        <w:t xml:space="preserve">the </w:t>
      </w:r>
      <w:r w:rsidR="0054746E" w:rsidRPr="0037333F">
        <w:t>two loop regions</w:t>
      </w:r>
      <w:r w:rsidR="000E5826" w:rsidRPr="0037333F">
        <w:t xml:space="preserve"> showing</w:t>
      </w:r>
      <w:r w:rsidR="0054746E" w:rsidRPr="0037333F">
        <w:t xml:space="preserve"> </w:t>
      </w:r>
      <w:r w:rsidR="00A92233" w:rsidRPr="0037333F">
        <w:t>greatly</w:t>
      </w:r>
      <w:r w:rsidR="0054746E" w:rsidRPr="0037333F">
        <w:t xml:space="preserve"> reduced flexibility </w:t>
      </w:r>
      <w:r w:rsidR="00EE5D00" w:rsidRPr="0037333F">
        <w:t xml:space="preserve">in the </w:t>
      </w:r>
      <w:r w:rsidR="0036199F" w:rsidRPr="0037333F">
        <w:t>engineered</w:t>
      </w:r>
      <w:r w:rsidR="00E2466B" w:rsidRPr="0037333F">
        <w:t xml:space="preserve"> </w:t>
      </w:r>
      <w:r w:rsidR="00EE5D00" w:rsidRPr="0037333F">
        <w:t xml:space="preserve">variant </w:t>
      </w:r>
      <w:r w:rsidR="004A1098" w:rsidRPr="0037333F">
        <w:t>were</w:t>
      </w:r>
      <w:r w:rsidR="000E5826" w:rsidRPr="0037333F">
        <w:t xml:space="preserve"> the main </w:t>
      </w:r>
      <w:r w:rsidR="004A1098" w:rsidRPr="0037333F">
        <w:t xml:space="preserve">features </w:t>
      </w:r>
      <w:r w:rsidR="000E5826" w:rsidRPr="0037333F">
        <w:t xml:space="preserve">responsible for </w:t>
      </w:r>
      <w:r w:rsidR="00EE5D00" w:rsidRPr="0037333F">
        <w:t>stabiliz</w:t>
      </w:r>
      <w:r w:rsidR="000E5826" w:rsidRPr="0037333F">
        <w:t>ing</w:t>
      </w:r>
      <w:r w:rsidR="00EE5D00" w:rsidRPr="0037333F">
        <w:t xml:space="preserve"> the </w:t>
      </w:r>
      <w:r w:rsidR="00493003" w:rsidRPr="0037333F">
        <w:t>enzyme-substrate complex</w:t>
      </w:r>
      <w:r w:rsidR="000E5826" w:rsidRPr="0037333F">
        <w:t xml:space="preserve"> and </w:t>
      </w:r>
      <w:r w:rsidR="00267A12" w:rsidRPr="0037333F">
        <w:t>enhancing</w:t>
      </w:r>
      <w:r w:rsidR="000E5826" w:rsidRPr="0037333F">
        <w:t xml:space="preserve"> </w:t>
      </w:r>
      <w:r w:rsidR="00493003" w:rsidRPr="0037333F">
        <w:t xml:space="preserve">the </w:t>
      </w:r>
      <w:r w:rsidR="000E5826" w:rsidRPr="0037333F">
        <w:t>catalytic efficiency</w:t>
      </w:r>
      <w:r w:rsidR="0054746E" w:rsidRPr="0037333F">
        <w:t xml:space="preserve">. Additionally, we showed </w:t>
      </w:r>
      <w:r w:rsidR="00A92233" w:rsidRPr="0037333F">
        <w:t xml:space="preserve">that </w:t>
      </w:r>
      <w:r w:rsidR="0054746E" w:rsidRPr="0037333F">
        <w:t>a previously known fatty acid anchor (Q129R) interact</w:t>
      </w:r>
      <w:r w:rsidR="00A92233" w:rsidRPr="0037333F">
        <w:t>s significantly</w:t>
      </w:r>
      <w:r w:rsidR="0054746E" w:rsidRPr="0037333F">
        <w:t xml:space="preserve"> with the ligand to </w:t>
      </w:r>
      <w:r w:rsidR="00AF30C7" w:rsidRPr="0037333F">
        <w:t>hold</w:t>
      </w:r>
      <w:r w:rsidR="0054746E" w:rsidRPr="0037333F">
        <w:t xml:space="preserve"> it in the reactive position</w:t>
      </w:r>
      <w:r w:rsidR="00AF30C7" w:rsidRPr="0037333F">
        <w:t>,</w:t>
      </w:r>
      <w:r w:rsidR="0054746E" w:rsidRPr="0037333F">
        <w:t xml:space="preserve"> </w:t>
      </w:r>
      <w:r w:rsidR="00AF30C7" w:rsidRPr="0037333F">
        <w:t>thereby</w:t>
      </w:r>
      <w:r w:rsidR="0054746E" w:rsidRPr="0037333F">
        <w:t xml:space="preserve"> </w:t>
      </w:r>
      <w:r w:rsidR="004179FB" w:rsidRPr="0037333F">
        <w:t>boosting</w:t>
      </w:r>
      <w:r w:rsidR="0054746E" w:rsidRPr="0037333F">
        <w:t xml:space="preserve"> the activity of the variant M.aqRLT towards octanoic acid. The study</w:t>
      </w:r>
      <w:r w:rsidR="004179FB" w:rsidRPr="0037333F">
        <w:t xml:space="preserve"> </w:t>
      </w:r>
      <w:r w:rsidR="0054746E" w:rsidRPr="0037333F">
        <w:t xml:space="preserve">demonstrates the </w:t>
      </w:r>
      <w:r w:rsidR="00EB3568" w:rsidRPr="0037333F">
        <w:t>significant</w:t>
      </w:r>
      <w:r w:rsidR="0054746E" w:rsidRPr="0037333F">
        <w:t xml:space="preserve"> effects of</w:t>
      </w:r>
      <w:r w:rsidR="00EB3568" w:rsidRPr="0037333F">
        <w:t xml:space="preserve"> both</w:t>
      </w:r>
      <w:r w:rsidR="0054746E" w:rsidRPr="0037333F">
        <w:t xml:space="preserve"> substrate</w:t>
      </w:r>
      <w:r w:rsidR="00AF30C7" w:rsidRPr="0037333F">
        <w:t xml:space="preserve"> stabilization</w:t>
      </w:r>
      <w:r w:rsidR="0054746E" w:rsidRPr="0037333F">
        <w:t xml:space="preserve"> and the impact of enzyme flexibility</w:t>
      </w:r>
      <w:r w:rsidR="004126DE" w:rsidRPr="0037333F">
        <w:t xml:space="preserve"> on catalytic efficiency</w:t>
      </w:r>
      <w:r w:rsidR="0054746E" w:rsidRPr="0037333F">
        <w:t xml:space="preserve">. These results could guide </w:t>
      </w:r>
      <w:r w:rsidR="00EB3568" w:rsidRPr="0037333F">
        <w:t xml:space="preserve">the </w:t>
      </w:r>
      <w:r w:rsidR="0054746E" w:rsidRPr="0037333F">
        <w:t xml:space="preserve">future engineering of enzymes with deeply buried active sites </w:t>
      </w:r>
      <w:r w:rsidR="00AF30C7" w:rsidRPr="0037333F">
        <w:t>to</w:t>
      </w:r>
      <w:r w:rsidR="0054746E" w:rsidRPr="0037333F">
        <w:t xml:space="preserve"> inc</w:t>
      </w:r>
      <w:r w:rsidR="00AF30C7" w:rsidRPr="0037333F">
        <w:t>rease</w:t>
      </w:r>
      <w:r w:rsidR="0054746E" w:rsidRPr="0037333F">
        <w:t xml:space="preserve"> or even </w:t>
      </w:r>
      <w:r w:rsidR="00AF30C7" w:rsidRPr="0037333F">
        <w:t>establish</w:t>
      </w:r>
      <w:r w:rsidR="00EB3568" w:rsidRPr="0037333F">
        <w:t xml:space="preserve"> </w:t>
      </w:r>
      <w:r w:rsidR="0054746E" w:rsidRPr="0037333F">
        <w:t>activities</w:t>
      </w:r>
      <w:r w:rsidR="004126DE" w:rsidRPr="0037333F">
        <w:t xml:space="preserve"> towards </w:t>
      </w:r>
      <w:r w:rsidR="00967913" w:rsidRPr="0037333F">
        <w:t>yet unknown</w:t>
      </w:r>
      <w:r w:rsidR="0036199F" w:rsidRPr="0037333F">
        <w:t xml:space="preserve"> types of</w:t>
      </w:r>
      <w:r w:rsidR="004126DE" w:rsidRPr="0037333F">
        <w:t xml:space="preserve"> substrates</w:t>
      </w:r>
      <w:r w:rsidR="0054746E" w:rsidRPr="0037333F">
        <w:t>.</w:t>
      </w:r>
    </w:p>
    <w:p w14:paraId="54C7D44D" w14:textId="77777777" w:rsidR="004E35E0" w:rsidRDefault="004E35E0" w:rsidP="00A56E5C">
      <w:pPr>
        <w:pStyle w:val="TAMainText"/>
        <w:sectPr w:rsidR="004E35E0" w:rsidSect="004E35E0">
          <w:type w:val="continuous"/>
          <w:pgSz w:w="12240" w:h="15840"/>
          <w:pgMar w:top="720" w:right="1094" w:bottom="720" w:left="1094" w:header="720" w:footer="720" w:gutter="0"/>
          <w:cols w:space="461"/>
        </w:sectPr>
      </w:pPr>
    </w:p>
    <w:p w14:paraId="112867D1" w14:textId="77777777" w:rsidR="00A54E6D" w:rsidRPr="00AA1902" w:rsidRDefault="00A54E6D" w:rsidP="00A56E5C">
      <w:pPr>
        <w:pStyle w:val="TAMainText"/>
      </w:pPr>
      <w:r w:rsidRPr="00AA1902">
        <w:t>INTRODUCTION</w:t>
      </w:r>
    </w:p>
    <w:p w14:paraId="5623683C" w14:textId="21200011" w:rsidR="00A73014" w:rsidRDefault="00BF1F78" w:rsidP="0097619B">
      <w:pPr>
        <w:pStyle w:val="TAMainText"/>
      </w:pPr>
      <w:r>
        <w:t>Nowadays, e</w:t>
      </w:r>
      <w:r w:rsidR="00622C6C">
        <w:t xml:space="preserve">nzymes are </w:t>
      </w:r>
      <w:r w:rsidR="00A73014">
        <w:t>recognize</w:t>
      </w:r>
      <w:r w:rsidR="00622C6C">
        <w:t>d</w:t>
      </w:r>
      <w:r w:rsidR="00A73014">
        <w:t xml:space="preserve"> as highly dynamic molecules </w:t>
      </w:r>
      <w:r w:rsidR="0011415C">
        <w:t>and no longer as</w:t>
      </w:r>
      <w:r w:rsidR="00A73014">
        <w:t xml:space="preserve"> static structures. </w:t>
      </w:r>
      <w:r w:rsidR="00B05949">
        <w:t>Targeting</w:t>
      </w:r>
      <w:r w:rsidR="003D08BE">
        <w:t xml:space="preserve"> the </w:t>
      </w:r>
      <w:r w:rsidR="00794D0D">
        <w:t>flexible parts</w:t>
      </w:r>
      <w:r w:rsidR="00B05949">
        <w:t xml:space="preserve"> of enzymes</w:t>
      </w:r>
      <w:r w:rsidR="003D08BE">
        <w:t xml:space="preserve"> </w:t>
      </w:r>
      <w:r w:rsidR="0011415C">
        <w:t>has</w:t>
      </w:r>
      <w:r w:rsidR="00D152B6">
        <w:t xml:space="preserve"> often</w:t>
      </w:r>
      <w:r w:rsidR="0011415C">
        <w:t xml:space="preserve"> been</w:t>
      </w:r>
      <w:r w:rsidR="003D08BE">
        <w:t xml:space="preserve"> shown to </w:t>
      </w:r>
      <w:r w:rsidR="00B05949">
        <w:t xml:space="preserve">influence the </w:t>
      </w:r>
      <w:r w:rsidR="001A403C">
        <w:t xml:space="preserve">dominant </w:t>
      </w:r>
      <w:r w:rsidR="00B05949">
        <w:t>conformation</w:t>
      </w:r>
      <w:r w:rsidR="000243A3">
        <w:t>s</w:t>
      </w:r>
      <w:r w:rsidR="00B85425">
        <w:t xml:space="preserve"> of the protein, which som</w:t>
      </w:r>
      <w:r w:rsidR="00EB3568">
        <w:t>etimes can be advantageous for</w:t>
      </w:r>
      <w:r w:rsidR="003D08BE">
        <w:t xml:space="preserve"> </w:t>
      </w:r>
      <w:r w:rsidR="00B05949">
        <w:t xml:space="preserve">more </w:t>
      </w:r>
      <w:r w:rsidR="003D08BE">
        <w:t>efficient catalysis</w:t>
      </w:r>
      <w:r w:rsidR="00702348">
        <w:t>.</w:t>
      </w:r>
      <w:r w:rsidR="00FE37BA">
        <w:fldChar w:fldCharType="begin" w:fldLock="1"/>
      </w:r>
      <w:r w:rsidR="000C1D6C">
        <w:instrText>ADDIN CSL_CITATION {"citationItems":[{"id":"ITEM-1","itemData":{"DOI":"10.1038/nature06410","ISSN":"14764687","PMID":"18026086","abstract":"The mechanisms by which enzymes achieve extraordinary rate acceleration and specificity have long been of key interest in biochemistry. It is generally recognized that substrate binding coupled to conformational changes of the substrate-enzyme complex aligns the reactive groups in an optimal environment for efficient chemistry. Although chemical mechanisms have been elucidated for many enzymes, the question of how enzymes achieve the catalytically competent state has only recently become approachable by experiment and computation. Here we show crystallographic evidence for conformational substates along the trajectory towards the catalytically competent 'closed' state in the ligand-free form of the enzyme adenylate kinase. Molecular dynamics simulations indicate that these partially closed conformations are sampled in nanoseconds, whereas nuclear magnetic resonance and single-molecule fluorescence resonance energy transfer reveal rare sampling of a fully closed conformation occurring on the microsecond-to-millisecond timescale. Thus, the larger-scale motions in substrate-free adenylate kinase are not random, but preferentially follow the pathways that create the configuration capable of proficient chemistry. Such preferred directionality, encoded in the fold, may contribute to catalysis in many enzymes. ©2007 Nature Publishing Group.","author":[{"dropping-particle":"","family":"Henzler-Wildman","given":"Katherine A.","non-dropping-particle":"","parse-names":false,"suffix":""},{"dropping-particle":"","family":"Thai","given":"Vu","non-dropping-particle":"","parse-names":false,"suffix":""},{"dropping-particle":"","family":"Lei","given":"Ming","non-dropping-particle":"","parse-names":false,"suffix":""},{"dropping-particle":"","family":"Ott","given":"Maria","non-dropping-particle":"","parse-names":false,"suffix":""},{"dropping-particle":"","family":"Wolf-Watz","given":"Magnus","non-dropping-particle":"","parse-names":false,"suffix":""},{"dropping-particle":"","family":"Fenn","given":"Tim","non-dropping-particle":"","parse-names":false,"suffix":""},{"dropping-particle":"","family":"Pozharski","given":"Ed","non-dropping-particle":"","parse-names":false,"suffix":""},{"dropping-particle":"","family":"Wilson","given":"Mark A.","non-dropping-particle":"","parse-names":false,"suffix":""},{"dropping-particle":"","family":"Petsko","given":"Gregory A.","non-dropping-particle":"","parse-names":false,"suffix":""},{"dropping-particle":"","family":"Karplus","given":"Martin","non-dropping-particle":"","parse-names":false,"suffix":""},{"dropping-particle":"","family":"Hübner","given":"Christian G.","non-dropping-particle":"","parse-names":false,"suffix":""},{"dropping-particle":"","family":"Kern","given":"Dorothee","non-dropping-particle":"","parse-names":false,"suffix":""}],"container-title":"Nature","id":"ITEM-1","issue":"7171","issued":{"date-parts":[["2007"]]},"page":"838-844","title":"Intrinsic motions along an enzymatic reaction trajectory","type":"article-journal","volume":"450"},"uris":["http://www.mendeley.com/documents/?uuid=8250dcca-578f-398a-8ef9-eea9a792a9c9"]},{"id":"ITEM-2","itemData":{"DOI":"10.1126/science.1132851","ISSN":"00368075","PMID":"16973868","author":[{"dropping-particle":"","family":"Vendruscolo","given":"Michele","non-dropping-particle":"","parse-names":false,"suffix":""},{"dropping-particle":"","family":"Dobson","given":"Christopher M.","non-dropping-particle":"","parse-names":false,"suffix":""}],"container-title":"Science","id":"ITEM-2","issue":"5793","issued":{"date-parts":[["2006"]]},"page":"1586-1587","title":"Dynamic visions of enzymatic reactions","type":"article","volume":"313"},"uris":["http://www.mendeley.com/documents/?uuid=082dd072-7cd2-335f-a736-2b0e5defb300"]}],"mendeley":{"formattedCitation":"&lt;sup&gt;1,2&lt;/sup&gt;","plainTextFormattedCitation":"1,2","previouslyFormattedCitation":"&lt;sup&gt;1,2&lt;/sup&gt;"},"properties":{"noteIndex":0},"schema":"https://github.com/citation-style-language/schema/raw/master/csl-citation.json"}</w:instrText>
      </w:r>
      <w:r w:rsidR="00FE37BA">
        <w:fldChar w:fldCharType="separate"/>
      </w:r>
      <w:r w:rsidR="00BC608D" w:rsidRPr="00BC608D">
        <w:rPr>
          <w:noProof/>
          <w:vertAlign w:val="superscript"/>
        </w:rPr>
        <w:t>1,2</w:t>
      </w:r>
      <w:r w:rsidR="00FE37BA">
        <w:fldChar w:fldCharType="end"/>
      </w:r>
      <w:r w:rsidR="00BC608D">
        <w:t xml:space="preserve"> However, for simplification</w:t>
      </w:r>
      <w:r w:rsidR="0011415C">
        <w:t>,</w:t>
      </w:r>
      <w:r w:rsidR="00BC608D">
        <w:t xml:space="preserve"> we</w:t>
      </w:r>
      <w:r w:rsidR="00E95CAB">
        <w:t xml:space="preserve"> still</w:t>
      </w:r>
      <w:r w:rsidR="00BC608D">
        <w:t xml:space="preserve"> often work with the static crystal structures</w:t>
      </w:r>
      <w:r w:rsidR="0011415C">
        <w:t xml:space="preserve"> of proteins</w:t>
      </w:r>
      <w:r w:rsidR="00BC608D">
        <w:t xml:space="preserve"> for (semi-) rational enzyme engineering. </w:t>
      </w:r>
      <w:r w:rsidR="009D0435">
        <w:t>In contrast</w:t>
      </w:r>
      <w:r w:rsidR="00BC608D">
        <w:t>, addressing highly flexible structural elements such as loop regions and molecular tunnels</w:t>
      </w:r>
      <w:r w:rsidR="00EB3568">
        <w:t>,</w:t>
      </w:r>
      <w:r w:rsidR="00BC608D">
        <w:t xml:space="preserve"> </w:t>
      </w:r>
      <w:r w:rsidR="00536001">
        <w:t>rather than the active site</w:t>
      </w:r>
      <w:r w:rsidR="00EB3568">
        <w:t>,</w:t>
      </w:r>
      <w:r w:rsidR="00536001">
        <w:t xml:space="preserve"> </w:t>
      </w:r>
      <w:r w:rsidR="0011415C">
        <w:t xml:space="preserve">has </w:t>
      </w:r>
      <w:r w:rsidR="00BC608D">
        <w:t>gained more and more interest in biocatalysis</w:t>
      </w:r>
      <w:r w:rsidR="00702348">
        <w:t>.</w:t>
      </w:r>
      <w:r w:rsidR="00BC608D">
        <w:fldChar w:fldCharType="begin" w:fldLock="1"/>
      </w:r>
      <w:r w:rsidR="000C1D6C">
        <w:instrText>ADDIN CSL_CITATION {"citationItems":[{"id":"ITEM-1","itemData":{"DOI":"10.1021/cs500325p","ISBN":"2155-5435","ISSN":"21555435","abstract":"A review. Enzymes have an exquisite ability to selectively and efficiently catalyze a variety of biochem. reactions. The strategies and systems described here highlight the important role of flexible loop structures in enzyme catalysis. The role of conformational flexibility has been well established in connection with the accessibility of the active site, the binding of substrates and ligands and release of products, stabilization and trapping of intermediates, orientation of the substrate into the binding cleft or adjustment of the reaction environment. Here, the authors focus on recent selected advances in the research of flexible loops in enzyme catalysis and generation of new enzymic functions. The authors believe that enzymes represent an attractive class among proteins in the study of protein flexibility and they can be used as model systems for understanding the implications of protein fluctuations for biol. function. [on SciFinder(R)]","author":[{"dropping-particle":"","family":"Nestl","given":"Bettina M.","non-dropping-particle":"","parse-names":false,"suffix":""},{"dropping-particle":"","family":"Hauer","given":"Bernhard","non-dropping-particle":"","parse-names":false,"suffix":""}],"container-title":"ACS Catalysis","id":"ITEM-1","issue":"9","issued":{"date-parts":[["2014"]]},"page":"3201-3211","title":"Engineering of flexible loops in enzymes","type":"article","volume":"4"},"uris":["http://www.mendeley.com/documents/?uuid=32d5974a-126e-310e-981f-e2163709bdf9"]},{"id":"ITEM-2","itemData":{"DOI":"10.1038/nchem.2474","ISBN":"0324141122","ISSN":"17554349","PMID":"27102675","abstract":"The dynamic motions of protein structural elements, particularly flexible loops, are intimately linked with diverse aspects of enzyme catalysis. Engineering of these loop regions can alter protein stability, substrate binding and even dramatically impact enzyme function. When these flexible regions are unresolvable structurally, computational reconstruction in combination with large-scale molecular dynamics simulations can be used to guide the engineering strategy. Here we present a collaborative approach that consists of both experiment and computation and led to the discovery of a single mutation in the F/G loop of the nitrating cytochrome P450 TxtE that simultaneously controls loop dynamics and completely shifts the enzyme's regioselectivity from the C4 to the C5 position of L-tryptophan. Furthermore, we find that this loop mutation is naturally present in a subset of homologous nitrating P450s and confirm that these uncharacterized enzymes exclusively produce 5-nitro-L-tryptophan, a previously unknown biosynthetic intermediate.","author":[{"dropping-particle":"","family":"Dodani","given":"Sheel C.","non-dropping-particle":"","parse-names":false,"suffix":""},{"dropping-particle":"","family":"Kiss","given":"Gert","non-dropping-particle":"","parse-names":false,"suffix":""},{"dropping-particle":"","family":"Cahn","given":"Jackson K.B.","non-dropping-particle":"","parse-names":false,"suffix":""},{"dropping-particle":"","family":"Su","given":"Ye","non-dropping-particle":"","parse-names":false,"suffix":""},{"dropping-particle":"","family":"Pande","given":"Vijay S.","non-dropping-particle":"","parse-names":false,"suffix":""},{"dropping-particle":"","family":"Arnold","given":"Frances H.","non-dropping-particle":"","parse-names":false,"suffix":""}],"container-title":"Nature Chemistry","id":"ITEM-2","issue":"5","issued":{"date-parts":[["2016"]]},"page":"419-425","title":"Discovery of a regioselectivity switch in nitrating P450s guided by molecular dynamics simulations and Markov models","type":"article-journal","volume":"8"},"uris":["http://www.mendeley.com/documents/?uuid=a1352439-1eb5-3c20-ae14-d7566b5b8642"]},{"id":"ITEM-3","itemData":{"DOI":"10.1111/febs.14418","ISSN":"17424658","abstract":"The traditional way of rationally engineering enzymes to change their biocatalytic properties utilizes the modifications of their active sites. Another emerging approach is the engineering of structural features involved in the exchange of ligands between buried active sites and the surrounding solvent. However, surprisingly little is known about the effects of mutations that alter the access tunnels on the enzymes’ catalytic properties, and how these tunnels should be redesigned to allow fast passage of cognate substrates and products. Thus, we have systematically studied the effects of single-point mutations in a tunnel-lining residue of a haloalkane dehalogenase on the binding kinetics and catalytic conversion of both linear and branched haloalkanes. The hotspot residue Y176 was identified using computer simulations and randomized through saturation mutagenesis, and the resulting variants were screened for shifts in binding rates. Strikingly, opposite effects of the substituted residues on the catalytic efficiency toward linear and branched substrates were observed, which was found to be due to substrate-specific requirements in the critical steps of the respective catalytic cycles. We conclude that not only the catalytic sites, but also the access pathways must be tailored specifically for each individual ligand, which is a new paradigm in protein engineering and de novo protein design. A rational approach is proposed here to address more effectively the task of designing ligand-specific tunnels using computational tools.","author":[{"dropping-particle":"","family":"Kaushik","given":"Shubhangi","non-dropping-particle":"","parse-names":false,"suffix":""},{"dropping-particle":"","family":"Marques","given":"Sérgio M.","non-dropping-particle":"","parse-names":false,"suffix":""},{"dropping-particle":"","family":"Khirsariya","given":"Prashant","non-dropping-particle":"","parse-names":false,"suffix":""},{"dropping-particle":"","family":"Paruch","given":"Kamil","non-dropping-particle":"","parse-names":false,"suffix":""},{"dropping-particle":"","family":"Libichova","given":"Lenka","non-dropping-particle":"","parse-names":false,"suffix":""},{"dropping-particle":"","family":"Brezovsky","given":"Jan","non-dropping-particle":"","parse-names":false,"suffix":""},{"dropping-particle":"","family":"Prokop","given":"Zbynek","non-dropping-particle":"","parse-names":false,"suffix":""},{"dropping-particle":"","family":"Chaloupkova","given":"Radka","non-dropping-particle":"","parse-names":false,"suffix":""},{"dropping-particle":"","family":"Damborsky","given":"Jiri","non-dropping-particle":"","parse-names":false,"suffix":""}],"container-title":"FEBS Journal","id":"ITEM-3","issue":"8","issued":{"date-parts":[["2018"]]},"page":"1456-1476","title":"Impact of the access tunnel engineering on catalysis is strictly ligand-specific","type":"article-journal","volume":"285"},"uris":["http://www.mendeley.com/documents/?uuid=8e91963c-ced3-47c8-a125-70b1547fa28f"]}],"mendeley":{"formattedCitation":"&lt;sup&gt;3–5&lt;/sup&gt;","plainTextFormattedCitation":"3–5","previouslyFormattedCitation":"&lt;sup&gt;3–5&lt;/sup&gt;"},"properties":{"noteIndex":0},"schema":"https://github.com/citation-style-language/schema/raw/master/csl-citation.json"}</w:instrText>
      </w:r>
      <w:r w:rsidR="00BC608D">
        <w:fldChar w:fldCharType="separate"/>
      </w:r>
      <w:r w:rsidR="00B0545B" w:rsidRPr="00B0545B">
        <w:rPr>
          <w:noProof/>
          <w:vertAlign w:val="superscript"/>
        </w:rPr>
        <w:t>3–5</w:t>
      </w:r>
      <w:r w:rsidR="00BC608D">
        <w:fldChar w:fldCharType="end"/>
      </w:r>
      <w:r w:rsidR="00386592">
        <w:t xml:space="preserve"> </w:t>
      </w:r>
      <w:r w:rsidR="00690E86">
        <w:t xml:space="preserve">The potential of tunnel engineering to improve or achieve (new) enzymatic functions is acknowledged, but </w:t>
      </w:r>
      <w:r w:rsidR="00EB3568">
        <w:t xml:space="preserve">is </w:t>
      </w:r>
      <w:r w:rsidR="00CF3852">
        <w:t xml:space="preserve">experimentally still </w:t>
      </w:r>
      <w:r w:rsidR="00311DF9">
        <w:t xml:space="preserve">very </w:t>
      </w:r>
      <w:r w:rsidR="00CF3852">
        <w:t>un</w:t>
      </w:r>
      <w:r w:rsidR="00311DF9">
        <w:t>der</w:t>
      </w:r>
      <w:r w:rsidR="00CF3852">
        <w:t>exploited although many predictive simulations and retrospective elucidations</w:t>
      </w:r>
      <w:r w:rsidR="0011415C">
        <w:t xml:space="preserve"> exist</w:t>
      </w:r>
      <w:r w:rsidR="00702348">
        <w:t>.</w:t>
      </w:r>
      <w:r w:rsidR="00B606B5">
        <w:fldChar w:fldCharType="begin" w:fldLock="1"/>
      </w:r>
      <w:r w:rsidR="00EB3568">
        <w:instrText>ADDIN CSL_CITATION {"citationItems":[{"id":"ITEM-1","itemData":{"DOI":"10.1016/j.cbpa.2018.09.010","ISSN":"18790402","abstract":"Enzymes are nature’s powerful catalytic proteins to perform reactions with often outstanding activity, selectivity and specificity. Moreover, the access to non-natural functions of biocatalysts can be facilitated by enzyme engineering. While rational approaches are often focused on an enzyme’s active site, from random directed evolution we know that further functional hotspots must exist beyond the active site. Addressing flexible structural elements of these biocatalysts like loops and channels in enzyme engineering has the potential to fill this knowledge gap. The structural dynamics of enzyme catalysts are vital to promote their remarkable functions. This influences for example the access, recognition and orientation of substrates. Herein, we review recent examples of loop and channel engineering and classify them according to their use of simulation methodologies, predictions prior to engineering, the engineering methodologies themselves and discoveries found after the engineering. Thereby we highlight current possibilities and make suggestions to further unlock the potential of this yet underexplored strategy.","author":[{"dropping-particle":"","family":"Kreß","given":"Nico","non-dropping-particle":"","parse-names":false,"suffix":""},{"dropping-particle":"","family":"Halder","given":"Julia M.","non-dropping-particle":"","parse-names":false,"suffix":""},{"dropping-particle":"","family":"Rapp","given":"Lea R.","non-dropping-particle":"","parse-names":false,"suffix":""},{"dropping-particle":"","family":"Hauer","given":"Bernhard","non-dropping-particle":"","parse-names":false,"suffix":""}],"container-title":"Current Opinion in Chemical Biology","id":"ITEM-1","issued":{"date-parts":[["2018","12","1"]]},"page":"109-116","publisher":"Elsevier Current Trends","title":"Unlocked potential of dynamic elements in protein structures: channels and loops","type":"article-journal","volume":"47"},"uris":["http://www.mendeley.com/documents/?uuid=19afa1f0-d4de-426e-87b7-2d1c873c656b"]},{"id":"ITEM-2","itemData":{"DOI":"10.1016/j.biotechadv.2019.04.008","ISSN":"07349750","abstract":"Enzymes are efficient and specific catalysts for many essential reactions in biotechnological and pharmaceutical industries. Many times, the natural enzymes do not display the catalytic efficiency, stability or specificity required for these industrial processes. The current enzyme engineering methods offer solutions to this problem, but they mainly target the buried active site where the chemical reaction takes place. Despite being many times ignored, the tunnels and channels connecting the environment with the active site are equally important for the catalytic properties of enzymes. Changes in the enzymatic tunnels and channels affect enzyme activity, specificity, promiscuity, enantioselectivity and stability. This review provides an overview of the emerging field of enzyme access tunnel engineering with case studies describing design of all the aforementioned properties. The software tools for the analysis of geometry and function of the enzymatic tunnels and channels and for the rational design of tunnel modifications will also be discussed. The combination of new software tools and enzyme engineering strategies will provide enzymes with access tunnels and channels specifically tailored for individual industrial processes.","author":[{"dropping-particle":"","family":"Kokkonen","given":"Piia","non-dropping-particle":"","parse-names":false,"suffix":""},{"dropping-particle":"","family":"Bednar","given":"David","non-dropping-particle":"","parse-names":false,"suffix":""},{"dropping-particle":"","family":"Pinto","given":"Gaspar","non-dropping-particle":"","parse-names":false,"suffix":""},{"dropping-particle":"","family":"Prokop","given":"Zbynek","non-dropping-particle":"","parse-names":false,"suffix":""},{"dropping-particle":"","family":"Damborsky","given":"Jiri","non-dropping-particle":"","parse-names":false,"suffix":""}],"container-title":"Biotechnology Advances","id":"ITEM-2","issued":{"date-parts":[["2019"]]},"title":"Engineering enzyme access tunnels","type":"article"},"uris":["http://www.mendeley.com/documents/?uuid=1eff1454-7829-4b72-9bba-4db25826f378"]},{"id":"ITEM-3","itemData":{"DOI":"10.1038/nchembio.205","ISBN":"1552-4469 (Electronic)\\r1552-4450 (Linking)","ISSN":"15524469","PMID":"19701186","abstract":"Engineering enzymes to degrade anthropogenic compounds efficiently is challenging. We obtained Rhodococcus rhodochrous haloalkane dehalogenase mutants with up to 32-fold higher activity than wild type toward the toxic, recalcitrant anthropogenic compound 1,2,3-trichloropropane (TCP) using a new strategy. We identified key residues in access tunnels connecting the buried active site with bulk solvent by rational design and randomized them by directed evolution. The most active mutant has large aromatic residues at two out of three randomized positions and two positions modified by site-directed mutagenesis. These changes apparently enhance activity with TCP by decreasing accessibility of the active site for water molecules, thereby promoting activated complex formation. Kinetic analyses confirmed that the mutations improved carbon-halogen bond cleavage and shifted the rate-limiting step to the release of products. Engineering access tunnels by combining computer-assisted protein design with directed evolution may be a valuable strategy for refining catalytic properties of enzymes with buried active sites.","author":[{"dropping-particle":"","family":"Pavlova","given":"Martina","non-dropping-particle":"","parse-names":false,"suffix":""},{"dropping-particle":"","family":"Klvana","given":"Martin","non-dropping-particle":"","parse-names":false,"suffix":""},{"dropping-particle":"","family":"Prokop","given":"Zbynek","non-dropping-particle":"","parse-names":false,"suffix":""},{"dropping-particle":"","family":"Chaloupkova","given":"Radka","non-dropping-particle":"","parse-names":false,"suffix":""},{"dropping-particle":"","family":"Banas","given":"Pavel","non-dropping-particle":"","parse-names":false,"suffix":""},{"dropping-particle":"","family":"Otyepka","given":"Michal","non-dropping-particle":"","parse-names":false,"suffix":""},{"dropping-particle":"","family":"Wade","given":"Rebecca C.","non-dropping-particle":"","parse-names":false,"suffix":""},{"dropping-particle":"","family":"Tsuda","given":"Masataka","non-dropping-particle":"","parse-names":false,"suffix":""},{"dropping-particle":"","family":"Nagata","given":"Yuji","non-dropping-particle":"","parse-names":false,"suffix":""},{"dropping-particle":"","family":"Damborsky","given":"Jiri","non-dropping-particle":"","parse-names":false,"suffix":""}],"container-title":"Nature Chemical Biology","id":"ITEM-3","issue":"10","issued":{"date-parts":[["2009"]]},"page":"727-733","title":"Redesigning dehalogenase access tunnels as a strategy for degrading an anthropogenic substrate","type":"article-journal","volume":"5"},"uris":["http://www.mendeley.com/documents/?uuid=d2f29a68-40fb-392c-88c4-fc36e6a4ad7a"]}],"mendeley":{"formattedCitation":"&lt;sup&gt;6–8&lt;/sup&gt;","plainTextFormattedCitation":"6–8","previouslyFormattedCitation":"&lt;sup&gt;6–8&lt;/sup&gt;"},"properties":{"noteIndex":0},"schema":"https://github.com/citation-style-language/schema/raw/master/csl-citation.json"}</w:instrText>
      </w:r>
      <w:r w:rsidR="00B606B5">
        <w:fldChar w:fldCharType="separate"/>
      </w:r>
      <w:r w:rsidR="00397741" w:rsidRPr="00397741">
        <w:rPr>
          <w:noProof/>
          <w:vertAlign w:val="superscript"/>
        </w:rPr>
        <w:t>6–8</w:t>
      </w:r>
      <w:r w:rsidR="00B606B5">
        <w:fldChar w:fldCharType="end"/>
      </w:r>
      <w:r w:rsidR="00367353">
        <w:t xml:space="preserve"> Nevertheless, Ebert and colleagues demonstrated the successful prediction of an unknown substrate-specific hotspot</w:t>
      </w:r>
      <w:r w:rsidR="009D0435">
        <w:t xml:space="preserve"> for activity</w:t>
      </w:r>
      <w:r w:rsidR="00367353">
        <w:t xml:space="preserve"> by </w:t>
      </w:r>
      <w:r w:rsidR="0011415C">
        <w:t>using</w:t>
      </w:r>
      <w:r w:rsidR="00367353">
        <w:t xml:space="preserve"> bi</w:t>
      </w:r>
      <w:r w:rsidR="00367353">
        <w:t>ased molecular dynamics simulations</w:t>
      </w:r>
      <w:r w:rsidR="003554FC">
        <w:t xml:space="preserve"> where they evaluated the</w:t>
      </w:r>
      <w:r w:rsidR="0011415C">
        <w:t xml:space="preserve"> substrate’s</w:t>
      </w:r>
      <w:r w:rsidR="003554FC">
        <w:t xml:space="preserve"> pathway into the active site</w:t>
      </w:r>
      <w:r w:rsidR="00702348">
        <w:t>.</w:t>
      </w:r>
      <w:r w:rsidR="00367353">
        <w:fldChar w:fldCharType="begin" w:fldLock="1"/>
      </w:r>
      <w:r w:rsidR="00EB3568">
        <w:instrText>ADDIN CSL_CITATION {"citationItems":[{"id":"ITEM-1","itemData":{"DOI":"10.1021/acscatal.7b02634","ISSN":"21555435","abstract":"Prediction of substrate-specific mutational hotspots for enzyme engineering is a complex and computationally intensive task. This becomes particularly challenging when the available crystal structures have no ligand, bind a distant homologue of the desired substrate, or hold the ligand in a nonproductive conformation. To address that shortcoming, we present a combined molecular dynamics simulation and molecular docking protocol to predict the conformation of catalytically relevant enzyme–ligand complexes even in the absence of a ligand-bound structure. We applied the adaptive biasing force method to predict the ligand-specific path of diffusion of a fatty acid substrate from the bulk media into the active site of cytochrome P450 CYP102A1 (BM3). Starting with a ligand-free crystal structure, we successfully identified all residues known to be involved in palmitic acid binding to BM3. The binding trajectory also revealed a yet unknown binding residue, Q73, which we confirmed experimentally. Building the fre...","author":[{"dropping-particle":"","family":"Ebert","given":"Maximilian C.C.J.C.","non-dropping-particle":"","parse-names":false,"suffix":""},{"dropping-particle":"","family":"Espinola","given":"Joaquin Guzman","non-dropping-particle":"","parse-names":false,"suffix":""},{"dropping-particle":"","family":"Lamoureux","given":"Guillaume","non-dropping-particle":"","parse-names":false,"suffix":""},{"dropping-particle":"","family":"Pelletier","given":"Joelle N.","non-dropping-particle":"","parse-names":false,"suffix":""}],"container-title":"ACS Catalysis","id":"ITEM-1","issue":"10","issued":{"date-parts":[["2017"]]},"page":"6786-6797","title":"Substrate-specific screening for mutational hotspots using biased molecular dynamics simulations","type":"article-journal","volume":"7"},"uris":["http://www.mendeley.com/documents/?uuid=a62def0b-f5ab-4283-9819-b791ad80a212"]}],"mendeley":{"formattedCitation":"&lt;sup&gt;9&lt;/sup&gt;","plainTextFormattedCitation":"9","previouslyFormattedCitation":"&lt;sup&gt;9&lt;/sup&gt;"},"properties":{"noteIndex":0},"schema":"https://github.com/citation-style-language/schema/raw/master/csl-citation.json"}</w:instrText>
      </w:r>
      <w:r w:rsidR="00367353">
        <w:fldChar w:fldCharType="separate"/>
      </w:r>
      <w:r w:rsidR="00397741" w:rsidRPr="00397741">
        <w:rPr>
          <w:noProof/>
          <w:vertAlign w:val="superscript"/>
        </w:rPr>
        <w:t>9</w:t>
      </w:r>
      <w:r w:rsidR="00367353">
        <w:fldChar w:fldCharType="end"/>
      </w:r>
      <w:r w:rsidR="00AA6415">
        <w:t xml:space="preserve"> This path or empty void that guides molecules between the catalytic site and the surrounding solvent is referred to as a molecular tunnel.</w:t>
      </w:r>
      <w:r w:rsidR="0097619B">
        <w:t xml:space="preserve"> </w:t>
      </w:r>
      <w:r w:rsidR="00536001">
        <w:t xml:space="preserve">While more than 64% of enzymes </w:t>
      </w:r>
      <w:r w:rsidR="00702348">
        <w:t>contain</w:t>
      </w:r>
      <w:r w:rsidR="00536001">
        <w:t xml:space="preserve"> tunnels longer than 15 </w:t>
      </w:r>
      <w:r w:rsidR="00536001">
        <w:rPr>
          <w:rFonts w:ascii="Calibri" w:hAnsi="Calibri"/>
        </w:rPr>
        <w:t>Å</w:t>
      </w:r>
      <w:r w:rsidR="00536001">
        <w:t xml:space="preserve"> leading to the buried active site, the majority of enzymes </w:t>
      </w:r>
      <w:r w:rsidR="0097619B">
        <w:t>with</w:t>
      </w:r>
      <w:r w:rsidR="00536001">
        <w:t xml:space="preserve"> such long tunnels are oxidoreductases</w:t>
      </w:r>
      <w:r w:rsidR="00702348">
        <w:t>.</w:t>
      </w:r>
      <w:r w:rsidR="00536001">
        <w:fldChar w:fldCharType="begin" w:fldLock="1"/>
      </w:r>
      <w:r w:rsidR="003B7284">
        <w:instrText>ADDIN CSL_CITATION {"citationItems":[{"id":"ITEM-1","itemData":{"DOI":"10.1186/s12859-014-0379-x","ISSN":"14712105","PMID":"25403510","abstract":"Background: Enzyme active sites can be connected to the exterior environment by one or more channels passing through the protein. Despite our current knowledge of enzyme structure and function, surprisingly little is known about how often channels are present or about any structural features such channels may have in common. Results: Here, we analyze the long channels (i.e. &gt; 15 Å) leading to the active sites of 4,306 enzyme structures. We find that over 64% of enzymes contain two or more long channels, their typical length being 28 Å. We show that amino acid compositions of the channel significantly differ both to the composition of the active site, surface and interior of the protein. Conclusions: The majority of enzymes have buried active sites accessible via a network of access channels. This indicates that enzymes tend to have buried active sites, with channels controlling access to, and egress from, them, and that suggests channels may play a key role in helping determine enzyme substrate. &amp;Copy; Pravda et al.; licensee BioMed Central Ltd. 2014This is an Open Access article distributed under the terms of the Creative Commons Attribution License (http://creativecommons.org/licenses/by/4.0), which permits unrestricted use, distribution, and reproduction in any medium, provided the original work is properly credited. The Creative Commons Public Domain Dedication waiver (http://creativecommons.org/publicdomain/zero/1.0/) applies to the data made available in this article, unless otherwise stated.","author":[{"dropping-particle":"","family":"Pravda","given":"Lukáš","non-dropping-particle":"","parse-names":false,"suffix":""},{"dropping-particle":"","family":"Berka","given":"Karel","non-dropping-particle":"","parse-names":false,"suffix":""},{"dropping-particle":"","family":"Svobodová Vařeková","given":"Radka","non-dropping-particle":"","parse-names":false,"suffix":""},{"dropping-particle":"","family":"Sehnal","given":"David","non-dropping-particle":"","parse-names":false,"suffix":""},{"dropping-particle":"","family":"Banáš","given":"Pavel","non-dropping-particle":"","parse-names":false,"suffix":""},{"dropping-particle":"","family":"Laskowski","given":"Roman A","non-dropping-particle":"","parse-names":false,"suffix":""},{"dropping-particle":"","family":"Koča","given":"Jaroslav","non-dropping-particle":"","parse-names":false,"suffix":""},{"dropping-particle":"","family":"Otyepka","given":"Michal","non-dropping-particle":"","parse-names":false,"suffix":""}],"container-title":"BMC Bioinformatics","id":"ITEM-1","issue":"1","issued":{"date-parts":[["2014"]]},"page":"379","title":"Anatomy of enzyme channels","type":"article-journal","volume":"15"},"uris":["http://www.mendeley.com/documents/?uuid=e3c2c27f-d20f-3498-802d-2dbfd34890ef"]}],"mendeley":{"formattedCitation":"&lt;sup&gt;10&lt;/sup&gt;","plainTextFormattedCitation":"10","previouslyFormattedCitation":"&lt;sup&gt;10&lt;/sup&gt;"},"properties":{"noteIndex":0},"schema":"https://github.com/citation-style-language/schema/raw/master/csl-citation.json"}</w:instrText>
      </w:r>
      <w:r w:rsidR="00536001">
        <w:fldChar w:fldCharType="separate"/>
      </w:r>
      <w:r w:rsidR="00397741" w:rsidRPr="00397741">
        <w:rPr>
          <w:noProof/>
          <w:vertAlign w:val="superscript"/>
        </w:rPr>
        <w:t>10</w:t>
      </w:r>
      <w:r w:rsidR="00536001">
        <w:fldChar w:fldCharType="end"/>
      </w:r>
      <w:r w:rsidR="00536001">
        <w:t xml:space="preserve"> Among these, cytochrome P450 monooxygenases (</w:t>
      </w:r>
      <w:r w:rsidR="00D00D35">
        <w:t>P450s</w:t>
      </w:r>
      <w:r w:rsidR="00F10861">
        <w:t xml:space="preserve"> or CYPs</w:t>
      </w:r>
      <w:r w:rsidR="00536001">
        <w:t>)</w:t>
      </w:r>
      <w:r w:rsidR="0097619B">
        <w:t xml:space="preserve"> </w:t>
      </w:r>
      <w:r w:rsidR="004A1098">
        <w:t>represent</w:t>
      </w:r>
      <w:r w:rsidR="00B85425">
        <w:t xml:space="preserve"> </w:t>
      </w:r>
      <w:r w:rsidR="0097619B">
        <w:t>an example for well-</w:t>
      </w:r>
      <w:r w:rsidR="00D00D35">
        <w:t>studied tunnel occurrence and architecture</w:t>
      </w:r>
      <w:r w:rsidR="00702348">
        <w:t>.</w:t>
      </w:r>
      <w:r w:rsidR="00D00D35">
        <w:fldChar w:fldCharType="begin" w:fldLock="1"/>
      </w:r>
      <w:r w:rsidR="00EB3568">
        <w:instrText>ADDIN CSL_CITATION {"citationItems":[{"id":"ITEM-1","itemData":{"DOI":"10.1016/j.bbagen.2006.07.005","ISBN":"0304-4165","ISSN":"03044165","PMID":"16920266","abstract":"The active site of cytochromes P450 is situated deep inside the protein next to the heme cofactor. Consequently, enzyme specificity and kinetics can be influenced by how substrates pass through the protein to access the active site and how products egress from the active site. We previously analysed the channels between the active site and the protein surface in P450 crystal structures available in October 2003 [R.C. Wade, P.J. Winn, I. Schlichting, Sudarko, A survey of active site access channels in cytochromes P450, J. Inorg. Biochem. 98 (2004) 1175-1182]. Since then, 52 new P450 structures have been made available, including entries for ten isozymes for which structures were not previously available. We present an updated survey covering all P450 crystal structures available in March 2006. This survey shows channels not observed earlier in crystal structures, some of which were identified in previous molecular dynamics simulations. The crystal structures demonstrate how some of the channels can merge when the protein structure opens up resulting in a wide cleft to the active site, caused largely by movements of the F-G helix-loop-helix and the B-C loop. Significant differences were observed between the channels in the crystal structures of the mammalian and bacterial enzymes. The multiplicity of channels suggests possibilities for substrate channelling to and from the P450s. © 2006 Elsevier B.V. All rights reserved.","author":[{"dropping-particle":"","family":"Cojocaru","given":"Vlad","non-dropping-particle":"","parse-names":false,"suffix":""},{"dropping-particle":"","family":"Winn","given":"Peter J","non-dropping-particle":"","parse-names":false,"suffix":""},{"dropping-particle":"","family":"Wade","given":"Rebecca C","non-dropping-particle":"","parse-names":false,"suffix":""}],"container-title":"Biochimica et Biophysica Acta - General Subjects","id":"ITEM-1","issue":"3","issued":{"date-parts":[["2007"]]},"page":"390-401","title":"The ins and outs of cytochrome P450s","type":"article","volume":"1770"},"uris":["http://www.mendeley.com/documents/?uuid=179b7441-ffc7-306e-9b9d-cea4da9f7e22"]}],"mendeley":{"formattedCitation":"&lt;sup&gt;11&lt;/sup&gt;","plainTextFormattedCitation":"11","previouslyFormattedCitation":"&lt;sup&gt;11&lt;/sup&gt;"},"properties":{"noteIndex":0},"schema":"https://github.com/citation-style-language/schema/raw/master/csl-citation.json"}</w:instrText>
      </w:r>
      <w:r w:rsidR="00D00D35">
        <w:fldChar w:fldCharType="separate"/>
      </w:r>
      <w:r w:rsidR="00397741" w:rsidRPr="00397741">
        <w:rPr>
          <w:noProof/>
          <w:vertAlign w:val="superscript"/>
        </w:rPr>
        <w:t>11</w:t>
      </w:r>
      <w:r w:rsidR="00D00D35">
        <w:fldChar w:fldCharType="end"/>
      </w:r>
    </w:p>
    <w:p w14:paraId="27629F30" w14:textId="1ACB7946" w:rsidR="00B713E6" w:rsidRDefault="00D00D35" w:rsidP="00124CF9">
      <w:pPr>
        <w:pStyle w:val="TAMainText"/>
      </w:pPr>
      <w:r>
        <w:t>P450s</w:t>
      </w:r>
      <w:r w:rsidR="00B713E6">
        <w:t xml:space="preserve"> </w:t>
      </w:r>
      <w:r w:rsidR="004A1098">
        <w:t xml:space="preserve">are </w:t>
      </w:r>
      <w:r w:rsidR="00B713E6">
        <w:t xml:space="preserve">a heme-iron containing superfamily of more than 52 000 known sequences spread among </w:t>
      </w:r>
      <w:r w:rsidR="00A90713">
        <w:t xml:space="preserve">all </w:t>
      </w:r>
      <w:r w:rsidR="0097619B">
        <w:t>the</w:t>
      </w:r>
      <w:r w:rsidR="00B713E6">
        <w:t xml:space="preserve"> kingdoms of life (CYPED database </w:t>
      </w:r>
      <w:hyperlink r:id="rId10" w:history="1">
        <w:r w:rsidR="00B713E6" w:rsidRPr="00032CAB">
          <w:rPr>
            <w:rStyle w:val="Hyperlink"/>
          </w:rPr>
          <w:t>https://cyped.biocatnet.de/sequence-browser</w:t>
        </w:r>
      </w:hyperlink>
      <w:r w:rsidR="00B713E6">
        <w:t>)</w:t>
      </w:r>
      <w:r w:rsidR="00702348">
        <w:t>.</w:t>
      </w:r>
      <w:r w:rsidR="00B713E6">
        <w:fldChar w:fldCharType="begin" w:fldLock="1"/>
      </w:r>
      <w:r w:rsidR="00EB3568">
        <w:instrText>ADDIN CSL_CITATION {"citationItems":[{"id":"ITEM-1","itemData":{"DOI":"10.1093/bioinformatics/btm268","ISSN":"13674803","abstract":"The Cytochrome P450 Engineering Database (CYPED) has been designed to serve as a tool for a comprehensive and systematic comparison of protein sequences and structures within the vast and diverse family of cytochrome P450 monooxygenases (CYPs). The CYPED currently integrates sequence and structure data of 3911 and 25 proteins, respectively. Proteins are grouped into homologous families and superfamilies according to Nelson's classification. Nonclassified CYP sequences are assigned by similarity. Functionally relevant residues are annotated. The web accessible version contains multisequence alignments, phylogenetic trees and HMM profiles. The CYPED is regularly updated and supplies all data for download. Thus, it provides a valuable data source for phylogenetic analysis, investigation of sequence-function relationships and the design of CYPs with improved biochemical properties. © 2007 The Author(s).","author":[{"dropping-particle":"","family":"Fischer","given":"Markus","non-dropping-particle":"","parse-names":false,"suffix":""},{"dropping-particle":"","family":"Knoll","given":"Michael","non-dropping-particle":"","parse-names":false,"suffix":""},{"dropping-particle":"","family":"Sirim","given":"Demet","non-dropping-particle":"","parse-names":false,"suffix":""},{"dropping-particle":"","family":"Wagner","given":"Florian","non-dropping-particle":"","parse-names":false,"suffix":""},{"dropping-particle":"","family":"Funke","given":"Sonja","non-dropping-particle":"","parse-names":false,"suffix":""},{"dropping-particle":"","family":"Pleiss","given":"Juergen","non-dropping-particle":"","parse-names":false,"suffix":""}],"container-title":"Bioinformatics","id":"ITEM-1","issue":"15","issued":{"date-parts":[["2007"]]},"title":"The cytochrome P450 engineering database: A navigation and prediction tool for the cytochrome P450 protein family","type":"article-journal","volume":"23"},"uris":["http://www.mendeley.com/documents/?uuid=f51e26f2-4649-3c71-94ae-1cef58573472"]}],"mendeley":{"formattedCitation":"&lt;sup&gt;12&lt;/sup&gt;","plainTextFormattedCitation":"12","previouslyFormattedCitation":"&lt;sup&gt;12&lt;/sup&gt;"},"properties":{"noteIndex":0},"schema":"https://github.com/citation-style-language/schema/raw/master/csl-citation.json"}</w:instrText>
      </w:r>
      <w:r w:rsidR="00B713E6">
        <w:fldChar w:fldCharType="separate"/>
      </w:r>
      <w:r w:rsidR="00397741" w:rsidRPr="00397741">
        <w:rPr>
          <w:noProof/>
          <w:vertAlign w:val="superscript"/>
        </w:rPr>
        <w:t>12</w:t>
      </w:r>
      <w:r w:rsidR="00B713E6">
        <w:fldChar w:fldCharType="end"/>
      </w:r>
      <w:r w:rsidR="00B713E6">
        <w:t xml:space="preserve"> These enzymes are known to catalyze the chemically fundamental oxidation of non-activated carbon atoms in a highly selective manner. </w:t>
      </w:r>
      <w:r w:rsidR="00702348">
        <w:t>The</w:t>
      </w:r>
      <w:r w:rsidR="00230265">
        <w:t xml:space="preserve"> </w:t>
      </w:r>
      <w:proofErr w:type="spellStart"/>
      <w:r w:rsidR="00230265">
        <w:t>regioselective</w:t>
      </w:r>
      <w:proofErr w:type="spellEnd"/>
      <w:r w:rsidR="00230265">
        <w:t xml:space="preserve"> oxidation of the </w:t>
      </w:r>
      <w:proofErr w:type="spellStart"/>
      <w:r w:rsidR="00230265">
        <w:t>unactivated</w:t>
      </w:r>
      <w:proofErr w:type="spellEnd"/>
      <w:r w:rsidR="00230265">
        <w:t xml:space="preserve"> terminal carbon</w:t>
      </w:r>
      <w:r w:rsidR="004A1098">
        <w:t xml:space="preserve"> of alkanes and fatty acids</w:t>
      </w:r>
      <w:r w:rsidR="00230265">
        <w:t xml:space="preserve"> compared to other positions</w:t>
      </w:r>
      <w:r w:rsidR="00702348">
        <w:t xml:space="preserve"> is </w:t>
      </w:r>
      <w:r w:rsidR="004A1098">
        <w:t>a</w:t>
      </w:r>
      <w:r w:rsidR="00702348">
        <w:t xml:space="preserve"> </w:t>
      </w:r>
      <w:r w:rsidR="00702348">
        <w:lastRenderedPageBreak/>
        <w:t>major challenge</w:t>
      </w:r>
      <w:r w:rsidR="00DA6268">
        <w:t xml:space="preserve"> especially</w:t>
      </w:r>
      <w:r w:rsidR="00F92247">
        <w:t xml:space="preserve"> in</w:t>
      </w:r>
      <w:r w:rsidR="00DA6268">
        <w:t xml:space="preserve"> chemistry and</w:t>
      </w:r>
      <w:r w:rsidR="004A1098">
        <w:t xml:space="preserve"> </w:t>
      </w:r>
      <w:r w:rsidR="00DA6268">
        <w:t xml:space="preserve">also </w:t>
      </w:r>
      <w:r w:rsidR="004A1098">
        <w:t>P450 engineering</w:t>
      </w:r>
      <w:r w:rsidR="009C08EF">
        <w:t>.</w:t>
      </w:r>
      <w:r w:rsidR="00230265">
        <w:t xml:space="preserve"> </w:t>
      </w:r>
      <w:r w:rsidR="009C08EF">
        <w:t xml:space="preserve">Chemically, the terminal oxidation to </w:t>
      </w:r>
      <w:proofErr w:type="spellStart"/>
      <w:r w:rsidR="009C08EF">
        <w:t>hydroxycarboxylic</w:t>
      </w:r>
      <w:proofErr w:type="spellEnd"/>
      <w:r w:rsidR="009C08EF">
        <w:t xml:space="preserve"> acids can be achieved by the selective oxidation of aliphatic diols</w:t>
      </w:r>
      <w:r w:rsidR="00510E7B">
        <w:t xml:space="preserve"> or the hydrogenation of dicarboxylic acids</w:t>
      </w:r>
      <w:r w:rsidR="009C08EF">
        <w:t xml:space="preserve"> but not by selectively </w:t>
      </w:r>
      <w:proofErr w:type="spellStart"/>
      <w:r w:rsidR="009C08EF">
        <w:t>hydroxylating</w:t>
      </w:r>
      <w:proofErr w:type="spellEnd"/>
      <w:r w:rsidR="009C08EF">
        <w:t xml:space="preserve"> the corresponding fatty acid</w:t>
      </w:r>
      <w:r w:rsidR="00EB3568">
        <w:t>,</w:t>
      </w:r>
      <w:r w:rsidR="009C08EF" w:rsidRPr="009C08EF">
        <w:t xml:space="preserve"> </w:t>
      </w:r>
      <w:r w:rsidR="009C08EF">
        <w:t xml:space="preserve">due to the strong </w:t>
      </w:r>
      <w:r w:rsidR="009C08EF" w:rsidRPr="0037333F">
        <w:t xml:space="preserve">primary </w:t>
      </w:r>
      <w:r w:rsidR="00B177EF" w:rsidRPr="0037333F">
        <w:t xml:space="preserve">C-H bond </w:t>
      </w:r>
      <w:r w:rsidR="009C08EF" w:rsidRPr="0037333F">
        <w:t>(</w:t>
      </w:r>
      <w:r w:rsidR="009C08EF" w:rsidRPr="0037333F">
        <w:rPr>
          <w:rFonts w:ascii="Constantia" w:hAnsi="Constantia"/>
        </w:rPr>
        <w:t>&gt; </w:t>
      </w:r>
      <w:r w:rsidR="009C08EF" w:rsidRPr="0037333F">
        <w:t>100 kcal/</w:t>
      </w:r>
      <w:proofErr w:type="spellStart"/>
      <w:r w:rsidR="009C08EF" w:rsidRPr="0037333F">
        <w:t>mol</w:t>
      </w:r>
      <w:proofErr w:type="spellEnd"/>
      <w:r w:rsidR="009C08EF" w:rsidRPr="0037333F">
        <w:t>)</w:t>
      </w:r>
      <w:r w:rsidR="00702348" w:rsidRPr="0037333F">
        <w:t>.</w:t>
      </w:r>
      <w:r w:rsidR="009C08EF" w:rsidRPr="0037333F">
        <w:fldChar w:fldCharType="begin" w:fldLock="1"/>
      </w:r>
      <w:r w:rsidR="003B7284" w:rsidRPr="0037333F">
        <w:instrText>ADDIN CSL_CITATION {"citationItems":[{"id":"ITEM-1","itemData":{"DOI":"10.1016/j.jcat.2013.05.017","ISSN":"00219517","abstract":"The catalytic oxidation of a variety of terminal alcohols was performed over Pt/C with 10 bar dioxygen at 343 K in aqueous solvent at low pH. The influences of Pt particle size, carbon support, alcohol structure, and start-up conditions were explored. Although the turnover frequency was not affected by particle size or the carbon support, the structure of the alcohols affected their initial rate of conversion. Both the rate of oxidation of α,ω-diols and selectivity of the diols to the diacids increased with increasing carbon chain length. The rate of 1,6-hexanediol oxidation was independent of dioxygen pressure and the order of reaction with respect to diol concentration depended on the start-up conditions. A kinetic model involving two types of metal sites was proposed to account for the experimental observations. © 2013 Elsevier Inc. All rights reserved.","author":[{"dropping-particle":"","family":"Ide","given":"Matthew S.","non-dropping-particle":"","parse-names":false,"suffix":""},{"dropping-particle":"","family":"Davis","given":"Robert J.","non-dropping-particle":"","parse-names":false,"suffix":""}],"container-title":"Journal of Catalysis","id":"ITEM-1","issued":{"date-parts":[["2013"]]},"page":"50-59","title":"Perspectives on the kinetics of diol oxidation over supported platinum catalysts in aqueous solution","type":"article-journal","volume":"308"},"uris":["http://www.mendeley.com/documents/?uuid=e691638f-7c15-306a-baaf-6d61e2223072"]},{"id":"ITEM-2","itemData":{"DOI":"10.1039/c6cy00335d","ISSN":"20444761","abstract":"A Re-Pd/SiO2 (Re/Pd = 8) catalyst was applied to hydrogenation of dicarboxylic acids (succinic acid, glutaric acid and adipic acid) to diols. In the hydrogenation of dicarboxylic acids, ex situ liquid-phase (in only 1,4-dioxane solvent) reduced Re-Pd/SiO2 showed much higher activity than in situ liquid-phase (in the mixture of dicarboxylic acid and 1,4-dioxane) and gas-phase reduced ones, in which the in situ liquid-phase reduced catalyst has been reported to show good activity in the hydrogenation of monocarboxylic acids. High diol yields (71-89%) were achieved in the hydrogenation of dicarboxylic acids on the ex situ liquid-phase reduced catalyst at 413 K. Lactones and hydroxycarboxylic acids were first formed as intermediates in the reaction of C4-C5 and ≥C6 dicarboxylic acids, respectively. Characterization using XRD, XPS and XAS indicates that ex situ liquid-phase reduced catalysts with high activity contains comparable amounts of Re0 and Ren+ species, both of which have been reported to be necessary for good performance. The amount of Ren+ species on the in situ liquid-phase reduced catalysts is much larger than that of surface Re0 species. This result suggests that the presence of dicarboxylic acids suppresses the reduction of Re species to Re0 on the calcined catalysts while that of monocarboxylic acids does not, which leads to the low activity in the hydrogenation of dicarboxylic acids on in situ liquid-phase reduced catalysts.","author":[{"dropping-particle":"","family":"Takeda","given":"Yasuyuki","non-dropping-particle":"","parse-names":false,"suffix":""},{"dropping-particle":"","family":"Tamura","given":"Masazumi","non-dropping-particle":"","parse-names":false,"suffix":""},{"dropping-particle":"","family":"Nakagawa","given":"Yoshinao","non-dropping-particle":"","parse-names":false,"suffix":""},{"dropping-particle":"","family":"Okumura","given":"Kazu","non-dropping-particle":"","parse-names":false,"suffix":""},{"dropping-particle":"","family":"Tomishige","given":"Keiichi","non-dropping-particle":"","parse-names":false,"suffix":""}],"container-title":"Catalysis Science and Technology","id":"ITEM-2","issue":"14","issued":{"date-parts":[["2016"]]},"page":"5668-5683","title":"Hydrogenation of dicarboxylic acids to diols over Re-Pd catalysts","type":"article-journal","volume":"6"},"uris":["http://www.mendeley.com/documents/?uuid=1e6f825a-6ec5-391c-bcd0-a2de955c43d4"]},{"id":"ITEM-3","itemData":{"DOI":"10.1016/j.cattod.2015.09.034","ISSN":"09205861","abstract":"N,N-Dimethyldodecylamine N-oxide (DDAO), PVP and PVA capped supported AuPd bimetallic nanoparticles (NPs) were prepared, and their catalytic activities were evaluated for the oxidation of 1,6-hexanediol (HDO) to 6-hydroxycaproic acid (HCA) using H2O2 in basic aqueous solution. Among three catalysts, DDAO capped AuPd bimetallic NPs catalysts exhibited superior selectivity for HCA formation than PVP and PVA capped catalysts. To explain the difference in the catalytic behavior, the catalysts were characterized thoroughly. XRD, TEM and STEM-HAADF-EDS studies were employed to identify the structure and morphology of capped AuPd-NPs, respectively. The chemical and electronic states were elucidated using XPS and XAS methods. The characterization data revealed that the capping agent significantly influences the electron density on metals and extent of alloying between Au and Pd metals. It was revealed that DDAO-capped catalyst induces appropriate negatively charged Au species with a few numbers of Au-Pd interfaces for the highly selective formation of HCA via HDO oxidation in basic aqueous media. Furthermore, other aliphatic diols, 1,7-heptanediol, 1,8-octanediol and 1,2-hexanediol, were also selectively oxidized on AuPd-DDAO catalysts toward the corresponding ω-hydroxycarboxylic acids in high yields.","author":[{"dropping-particle":"","family":"Tuteja","given":"Jaya","non-dropping-particle":"","parse-names":false,"suffix":""},{"dropping-particle":"","family":"Nishimura","given":"Shun","non-dropping-particle":"","parse-names":false,"suffix":""},{"dropping-particle":"","family":"Ebitani","given":"Kohki","non-dropping-particle":"","parse-names":false,"suffix":""}],"container-title":"Catalysis Today","id":"ITEM-3","issued":{"date-parts":[["2016"]]},"page":"231-239","title":"Change in reactivity of differently capped AuPd bimetallic nanoparticle catalysts for selective oxidation of aliphatic diols to hydroxycarboxylic acids in basic aqueous solution","type":"article-journal","volume":"265"},"uris":["http://www.mendeley.com/documents/?uuid=720c66eb-e375-3a43-bb9d-9418ab1da35e"]},{"id":"ITEM-4","itemData":{"DOI":"10.1016/j.abb.2010.08.011","ISSN":"00039861","PMID":"20727847","abstract":"The regiospecific or preferential ω-hydroxylation of hydrocarbon chains is thermodynamically disfavored because the ease of C-H bond hydroxylation depends on the bond strength, and the primary C-H bond of a terminal methyl group is stronger than the secondary or tertiary C-H bond adjacent to it. The hydroxylation reaction will therefore occur primarily at the adjacent secondary or tertiary C-H bond unless the protein structure specifically enforces primary C-H bond oxidation. Here we review the classes of enzymes that catalyze ω-hydroxylation and our current understanding of the structural features that promote the ω-hydroxylation of unbranched and methyl-branched hydrocarbon chains. The evidence indicates that steric constraints are used to favor reaction at the ω-site rather than at the more reactive (ω-1)-site. © 2010 Elsevier Inc. All rights reserved.","author":[{"dropping-particle":"","family":"Johnston","given":"Jonathan B.","non-dropping-particle":"","parse-names":false,"suffix":""},{"dropping-particle":"","family":"Ouellet","given":"Hugues","non-dropping-particle":"","parse-names":false,"suffix":""},{"dropping-particle":"","family":"Podust","given":"Larissa M.","non-dropping-particle":"","parse-names":false,"suffix":""},{"dropping-particle":"","family":"Ortiz De Montellano","given":"Paul R.","non-dropping-particle":"","parse-names":false,"suffix":""}],"container-title":"Archives of Biochemistry and Biophysics","id":"ITEM-4","issue":"1","issued":{"date-parts":[["2011"]]},"page":"86-94","title":"Structural control of cytochrome P450-catalyzed ω-hydroxylation","type":"article","volume":"507"},"uris":["http://www.mendeley.com/documents/?uuid=f9efbbea-3eec-3e8a-92cc-4934a0068ae5"]}],"mendeley":{"formattedCitation":"&lt;sup&gt;13–16&lt;/sup&gt;","plainTextFormattedCitation":"13–16","previouslyFormattedCitation":"&lt;sup&gt;13–16&lt;/sup&gt;"},"properties":{"noteIndex":0},"schema":"https://github.com/citation-style-language/schema/raw/master/csl-citation.json"}</w:instrText>
      </w:r>
      <w:r w:rsidR="009C08EF" w:rsidRPr="0037333F">
        <w:fldChar w:fldCharType="separate"/>
      </w:r>
      <w:r w:rsidR="00397741" w:rsidRPr="0037333F">
        <w:rPr>
          <w:noProof/>
          <w:vertAlign w:val="superscript"/>
        </w:rPr>
        <w:t>13–16</w:t>
      </w:r>
      <w:r w:rsidR="009C08EF" w:rsidRPr="0037333F">
        <w:fldChar w:fldCharType="end"/>
      </w:r>
      <w:r w:rsidR="00124CF9" w:rsidRPr="0037333F">
        <w:t xml:space="preserve"> </w:t>
      </w:r>
      <w:r w:rsidR="00C40C57" w:rsidRPr="0037333F">
        <w:t>Whereas</w:t>
      </w:r>
      <w:r w:rsidR="00230265" w:rsidRPr="0037333F">
        <w:t xml:space="preserve"> n</w:t>
      </w:r>
      <w:r w:rsidR="00BA2D66" w:rsidRPr="0037333F">
        <w:t xml:space="preserve">umerous subfamilies of P450s catalyze the </w:t>
      </w:r>
      <w:proofErr w:type="spellStart"/>
      <w:r w:rsidR="00BA2D66" w:rsidRPr="0037333F">
        <w:t>regioselective</w:t>
      </w:r>
      <w:proofErr w:type="spellEnd"/>
      <w:r w:rsidR="00BA2D66">
        <w:t xml:space="preserve"> </w:t>
      </w:r>
      <w:proofErr w:type="spellStart"/>
      <w:r w:rsidR="00BA2D66">
        <w:t>oxyfunctionalization</w:t>
      </w:r>
      <w:proofErr w:type="spellEnd"/>
      <w:r w:rsidR="00BA2D66">
        <w:t xml:space="preserve"> of fatty acids to </w:t>
      </w:r>
      <w:proofErr w:type="spellStart"/>
      <w:r w:rsidR="00BA2D66">
        <w:t>hydroxy</w:t>
      </w:r>
      <w:proofErr w:type="spellEnd"/>
      <w:r w:rsidR="00BA2D66">
        <w:t xml:space="preserve"> fatty acids</w:t>
      </w:r>
      <w:r w:rsidR="00CE1781">
        <w:t xml:space="preserve"> at </w:t>
      </w:r>
      <w:proofErr w:type="spellStart"/>
      <w:r w:rsidR="00CE1781">
        <w:t>subterminal</w:t>
      </w:r>
      <w:proofErr w:type="spellEnd"/>
      <w:r w:rsidR="00CE1781">
        <w:t xml:space="preserve"> positions</w:t>
      </w:r>
      <w:r w:rsidR="00F10433">
        <w:t>, the terminal (</w:t>
      </w:r>
      <w:r w:rsidR="00F10433">
        <w:rPr>
          <w:rFonts w:ascii="Constantia" w:hAnsi="Constantia"/>
        </w:rPr>
        <w:t>ω</w:t>
      </w:r>
      <w:r w:rsidR="00F10433">
        <w:t>-)</w:t>
      </w:r>
      <w:r w:rsidR="00CE1781">
        <w:t xml:space="preserve"> </w:t>
      </w:r>
      <w:r w:rsidR="00F10433">
        <w:t xml:space="preserve">position is hydroxylated </w:t>
      </w:r>
      <w:r w:rsidR="00C40C57">
        <w:t xml:space="preserve">mainly </w:t>
      </w:r>
      <w:r w:rsidR="00F10433">
        <w:t>in C12 and longer saturated fatty acid substrates</w:t>
      </w:r>
      <w:r w:rsidR="00702348">
        <w:t>.</w:t>
      </w:r>
      <w:r w:rsidR="00BA2D66">
        <w:fldChar w:fldCharType="begin" w:fldLock="1"/>
      </w:r>
      <w:r w:rsidR="000C1D6C">
        <w:instrText>ADDIN CSL_CITATION {"citationItems":[{"id":"ITEM-1","itemData":{"DOI":"10.1016/j.biotechadv.2013.07.004","ISSN":"07349750","PMID":"23860413","abstract":"Hydroxy fatty acids are widely used in chemical, food, and cosmetic industries as starting materials for the synthesis of polymers and as additives for the manufacture of lubricants, emulsifiers, and stabilizers. They have antibiotic, anti-inflammatory, and anticancer activities and therefore can be applied for medicinal uses. Microbial fatty acid-hydroxylation enzymes, including P450, lipoxygenase, hydratase, 12-hydroxylase, and diol synthase, synthesize regio-specific hydroxy fatty acids. In this article, microbial fatty acid-hydroxylation enzymes, with a focus on region-specificity and diversity, are summarized and the production of mono-, di-, and tri-hydroxy fatty acids is introduced. Finally, the production methods of regio-specific and diverse hydroxy fatty acids, such as gene screening, protein engineering, metabolic engineering, and combinatory biosynthesis, are suggested. © 2013.","author":[{"dropping-particle":"","family":"Kim","given":"Kyoung Rok","non-dropping-particle":"","parse-names":false,"suffix":""},{"dropping-particle":"","family":"Oh","given":"Deok Kun","non-dropping-particle":"","parse-names":false,"suffix":""}],"container-title":"Biotechnology Advances","id":"ITEM-1","issue":"8","issued":{"date-parts":[["2013"]]},"page":"1473-1485","title":"Production of hydroxy fatty acids by microbial fatty acid-hydroxylation enzymes","type":"article","volume":"31"},"uris":["http://www.mendeley.com/documents/?uuid=af7c8cd1-5c8a-3d0f-9516-87d6100a6e6d"]}],"mendeley":{"formattedCitation":"&lt;sup&gt;17&lt;/sup&gt;","plainTextFormattedCitation":"17","previouslyFormattedCitation":"&lt;sup&gt;17&lt;/sup&gt;"},"properties":{"noteIndex":0},"schema":"https://github.com/citation-style-language/schema/raw/master/csl-citation.json"}</w:instrText>
      </w:r>
      <w:r w:rsidR="00BA2D66">
        <w:fldChar w:fldCharType="separate"/>
      </w:r>
      <w:r w:rsidR="00397741" w:rsidRPr="00397741">
        <w:rPr>
          <w:noProof/>
          <w:vertAlign w:val="superscript"/>
        </w:rPr>
        <w:t>17</w:t>
      </w:r>
      <w:r w:rsidR="00BA2D66">
        <w:fldChar w:fldCharType="end"/>
      </w:r>
      <w:r w:rsidR="00BA2D66">
        <w:t xml:space="preserve"> </w:t>
      </w:r>
      <w:r w:rsidR="00007DE8">
        <w:t xml:space="preserve">In our group we have previously obtained a </w:t>
      </w:r>
      <w:r w:rsidR="00007DE8">
        <w:rPr>
          <w:rFonts w:ascii="Constantia" w:hAnsi="Constantia"/>
        </w:rPr>
        <w:t>ω</w:t>
      </w:r>
      <w:r w:rsidR="00007DE8">
        <w:t xml:space="preserve">-hydroxylase variant of </w:t>
      </w:r>
      <w:r w:rsidR="00CE1781">
        <w:t>CYP153A</w:t>
      </w:r>
      <w:r w:rsidR="00CE1781" w:rsidRPr="00CE1781">
        <w:rPr>
          <w:i/>
          <w:vertAlign w:val="subscript"/>
        </w:rPr>
        <w:t xml:space="preserve">M.aq </w:t>
      </w:r>
      <w:r w:rsidR="00CE1781">
        <w:t xml:space="preserve">from </w:t>
      </w:r>
      <w:proofErr w:type="spellStart"/>
      <w:r w:rsidR="00CE1781" w:rsidRPr="00CE1781">
        <w:rPr>
          <w:i/>
        </w:rPr>
        <w:t>Marinobacter</w:t>
      </w:r>
      <w:proofErr w:type="spellEnd"/>
      <w:r w:rsidR="00CE1781" w:rsidRPr="00CE1781">
        <w:rPr>
          <w:i/>
        </w:rPr>
        <w:t xml:space="preserve"> </w:t>
      </w:r>
      <w:proofErr w:type="spellStart"/>
      <w:r w:rsidR="00CE1781" w:rsidRPr="00CE1781">
        <w:rPr>
          <w:i/>
        </w:rPr>
        <w:t>aquaeolei</w:t>
      </w:r>
      <w:proofErr w:type="spellEnd"/>
      <w:r w:rsidR="00CE1781">
        <w:t xml:space="preserve"> </w:t>
      </w:r>
      <w:r w:rsidR="00C40C57">
        <w:t>that</w:t>
      </w:r>
      <w:r w:rsidR="00CE1781">
        <w:t xml:space="preserve"> </w:t>
      </w:r>
      <w:r w:rsidR="00007DE8">
        <w:t xml:space="preserve">can </w:t>
      </w:r>
      <w:r w:rsidR="00F35EA3">
        <w:t xml:space="preserve">selectively </w:t>
      </w:r>
      <w:r w:rsidR="00CE1781">
        <w:t>catalyze the terminal hydroxylation of C9-C20 fatty acids</w:t>
      </w:r>
      <w:r w:rsidR="00702348">
        <w:t>.</w:t>
      </w:r>
      <w:r w:rsidR="00F35EA3">
        <w:fldChar w:fldCharType="begin" w:fldLock="1"/>
      </w:r>
      <w:r w:rsidR="003B7284">
        <w:instrText>ADDIN CSL_CITATION {"citationItems":[{"id":"ITEM-1","itemData":{"DOI":"10.1039/c2cc18103g","ISSN":"1364548X","PMID":"22513828","abstract":"CYP153A from Marinobacter aquaeolei has been identified as a fatty acid Ω-hydroxylase with a broad substrate range. Two hotspots predicted to influence substrate specificity and selectivity were exchanged. Mutant G307A is 2- to 20-fold more active towards fatty acids than the wild-type. Residue L354 is determinant for the enzyme Ω-regioselectivity. © 2012 Royal Society of Chemistry.","author":[{"dropping-particle":"","family":"Honda Malca","given":"Sumire","non-dropping-particle":"","parse-names":false,"suffix":""},{"dropping-particle":"","family":"Scheps","given":"Daniel","non-dropping-particle":"","parse-names":false,"suffix":""},{"dropping-particle":"","family":"Kühnel","given":"Lisa","non-dropping-particle":"","parse-names":false,"suffix":""},{"dropping-particle":"","family":"Venegas-Venegas","given":"Elena","non-dropping-particle":"","parse-names":false,"suffix":""},{"dropping-particle":"","family":"Seifert","given":"Alexander","non-dropping-particle":"","parse-names":false,"suffix":""},{"dropping-particle":"","family":"Nestl","given":"Bettina M","non-dropping-particle":"","parse-names":false,"suffix":""},{"dropping-particle":"","family":"Hauer","given":"Bernhard","non-dropping-particle":"","parse-names":false,"suffix":""}],"container-title":"Chemical Communications","id":"ITEM-1","issue":"42","issued":{"date-parts":[["2012"]]},"page":"5115-5117","title":"Bacterial CYP153A monooxygenases for the synthesis of omega-hydroxylated fatty acids","type":"article-journal","volume":"48"},"uris":["http://www.mendeley.com/documents/?uuid=2ce81848-481b-310d-8600-f59414b0b8cc"]}],"mendeley":{"formattedCitation":"&lt;sup&gt;18&lt;/sup&gt;","plainTextFormattedCitation":"18","previouslyFormattedCitation":"&lt;sup&gt;18&lt;/sup&gt;"},"properties":{"noteIndex":0},"schema":"https://github.com/citation-style-language/schema/raw/master/csl-citation.json"}</w:instrText>
      </w:r>
      <w:r w:rsidR="00F35EA3">
        <w:fldChar w:fldCharType="separate"/>
      </w:r>
      <w:r w:rsidR="00397741" w:rsidRPr="00397741">
        <w:rPr>
          <w:noProof/>
          <w:vertAlign w:val="superscript"/>
        </w:rPr>
        <w:t>18</w:t>
      </w:r>
      <w:r w:rsidR="00F35EA3">
        <w:fldChar w:fldCharType="end"/>
      </w:r>
    </w:p>
    <w:p w14:paraId="0D81C2AB" w14:textId="43B47784" w:rsidR="00B713E6" w:rsidRDefault="008F01BE" w:rsidP="00702348">
      <w:pPr>
        <w:pStyle w:val="TAMainText"/>
      </w:pPr>
      <w:r w:rsidRPr="00BF1F78">
        <w:t>Among the</w:t>
      </w:r>
      <w:r w:rsidR="00B713E6" w:rsidRPr="00BF1F78">
        <w:t xml:space="preserve"> many sources to find </w:t>
      </w:r>
      <w:r w:rsidR="002A3097">
        <w:t>efficient enzymes</w:t>
      </w:r>
      <w:r w:rsidR="002A3097" w:rsidRPr="00BF1F78">
        <w:t xml:space="preserve"> </w:t>
      </w:r>
      <w:r w:rsidR="00B713E6" w:rsidRPr="00BF1F78">
        <w:t xml:space="preserve">for desired </w:t>
      </w:r>
      <w:r w:rsidR="0051608A">
        <w:t xml:space="preserve">chemical </w:t>
      </w:r>
      <w:r w:rsidR="00B713E6" w:rsidRPr="00BF1F78">
        <w:t xml:space="preserve">reactions </w:t>
      </w:r>
      <w:r w:rsidRPr="00BF1F78">
        <w:t>(</w:t>
      </w:r>
      <w:r w:rsidR="00B713E6" w:rsidRPr="00BF1F78">
        <w:t>natural diversity, genome mining, directe</w:t>
      </w:r>
      <w:r w:rsidRPr="00BF1F78">
        <w:t>d evolution and rational design),</w:t>
      </w:r>
      <w:r w:rsidR="00B713E6" w:rsidRPr="00BF1F78">
        <w:t xml:space="preserve"> </w:t>
      </w:r>
      <w:r w:rsidR="00011D3F" w:rsidRPr="00BF1F78">
        <w:t xml:space="preserve">in </w:t>
      </w:r>
      <w:r w:rsidR="002A3097">
        <w:t xml:space="preserve">today’s </w:t>
      </w:r>
      <w:r w:rsidR="00011D3F" w:rsidRPr="00BF1F78">
        <w:t>third wave of biocatalys</w:t>
      </w:r>
      <w:r w:rsidR="00EB3568">
        <w:t>is</w:t>
      </w:r>
      <w:r w:rsidR="00702348" w:rsidRPr="00BF1F78">
        <w:t xml:space="preserve"> more engineering</w:t>
      </w:r>
      <w:r w:rsidR="003B7856">
        <w:t xml:space="preserve"> and computational</w:t>
      </w:r>
      <w:r w:rsidR="00702348" w:rsidRPr="00BF1F78">
        <w:t xml:space="preserve"> approaches are applied than the </w:t>
      </w:r>
      <w:r w:rsidR="00C902F8">
        <w:t xml:space="preserve">direct use of the </w:t>
      </w:r>
      <w:r w:rsidR="00702348" w:rsidRPr="00BF1F78">
        <w:t>extensive natural</w:t>
      </w:r>
      <w:r w:rsidR="002A3097">
        <w:t>ly available resources</w:t>
      </w:r>
      <w:r w:rsidR="00702348" w:rsidRPr="00BF1F78">
        <w:t>.</w:t>
      </w:r>
      <w:r w:rsidR="00011D3F" w:rsidRPr="00BF1F78">
        <w:fldChar w:fldCharType="begin" w:fldLock="1"/>
      </w:r>
      <w:r w:rsidR="000C1D6C">
        <w:instrText>ADDIN CSL_CITATION {"citationItems":[{"id":"ITEM-1","itemData":{"DOI":"10.1038/nature11117","ISSN":"00280836","PMID":"22575958","abstract":"Over the past ten years, scientific and technological advances have established biocatalysis as a practical and environmentally friendly alternative to traditional metallo- and organocatalysis in chemical synthesis, both in the laboratory and on an industrial scale. Key advances in DNA sequencing and gene synthesis are at the base of tremendous progress in tailoring biocatalysts by protein engineering and design, and the ability to reorganize enzymes into new biosynthetic pathways. To highlight these achievements, here we discuss applications of protein-engineered biocatalysts ranging from commodity chemicals to advanced pharmaceutical intermediates that use enzyme catalysis as a key step. © 2012 Macmillan Publishers Limited.","author":[{"dropping-particle":"","family":"Bornscheuer","given":"U. T.","non-dropping-particle":"","parse-names":false,"suffix":""},{"dropping-particle":"","family":"Huisman","given":"G. W.","non-dropping-particle":"","parse-names":false,"suffix":""},{"dropping-particle":"","family":"Kazlauskas","given":"R. J.","non-dropping-particle":"","parse-names":false,"suffix":""},{"dropping-particle":"","family":"Lutz","given":"S.","non-dropping-particle":"","parse-names":false,"suffix":""},{"dropping-particle":"","family":"Moore","given":"J. C.","non-dropping-particle":"","parse-names":false,"suffix":""},{"dropping-particle":"","family":"Robins","given":"K.","non-dropping-particle":"","parse-names":false,"suffix":""}],"container-title":"Nature","id":"ITEM-1","issue":"7397","issued":{"date-parts":[["2012"]]},"page":"185-194","title":"Engineering the third wave of biocatalysis","type":"article-journal","volume":"485"},"uris":["http://www.mendeley.com/documents/?uuid=350a2e3e-daa0-3e45-8823-0088312fde1f"]}],"mendeley":{"formattedCitation":"&lt;sup&gt;19&lt;/sup&gt;","plainTextFormattedCitation":"19","previouslyFormattedCitation":"&lt;sup&gt;19&lt;/sup&gt;"},"properties":{"noteIndex":0},"schema":"https://github.com/citation-style-language/schema/raw/master/csl-citation.json"}</w:instrText>
      </w:r>
      <w:r w:rsidR="00011D3F" w:rsidRPr="00BF1F78">
        <w:fldChar w:fldCharType="separate"/>
      </w:r>
      <w:r w:rsidR="00397741" w:rsidRPr="00397741">
        <w:rPr>
          <w:noProof/>
          <w:vertAlign w:val="superscript"/>
        </w:rPr>
        <w:t>19</w:t>
      </w:r>
      <w:r w:rsidR="00011D3F" w:rsidRPr="00BF1F78">
        <w:fldChar w:fldCharType="end"/>
      </w:r>
      <w:r w:rsidR="00702348">
        <w:t xml:space="preserve"> </w:t>
      </w:r>
      <w:r w:rsidR="002D5ACC">
        <w:t>T</w:t>
      </w:r>
      <w:r w:rsidR="000D2EA3">
        <w:t>he</w:t>
      </w:r>
      <w:r w:rsidR="002D5ACC">
        <w:t xml:space="preserve"> group of</w:t>
      </w:r>
      <w:r w:rsidR="000D2EA3">
        <w:t xml:space="preserve"> </w:t>
      </w:r>
      <w:r w:rsidR="00877330">
        <w:t xml:space="preserve">Frances </w:t>
      </w:r>
      <w:r w:rsidR="000D2EA3">
        <w:t>Arnold</w:t>
      </w:r>
      <w:r w:rsidR="002D5ACC">
        <w:t>,</w:t>
      </w:r>
      <w:r w:rsidR="000D2EA3">
        <w:t xml:space="preserve"> </w:t>
      </w:r>
      <w:r w:rsidR="002D5ACC">
        <w:t>for example,</w:t>
      </w:r>
      <w:r w:rsidR="000D2EA3">
        <w:t xml:space="preserve"> </w:t>
      </w:r>
      <w:r w:rsidR="008E2BB5">
        <w:t xml:space="preserve">applied five rounds of directed evolution on the medium-chain (C12 to C18) fatty acid hydroxylase P450 BM-3 leading to an alkane hydroxylase </w:t>
      </w:r>
      <w:r w:rsidR="004C7E2B">
        <w:t xml:space="preserve">that </w:t>
      </w:r>
      <w:r w:rsidR="003D2B03">
        <w:t xml:space="preserve">is able to </w:t>
      </w:r>
      <w:r w:rsidR="004C7E2B">
        <w:t>convert</w:t>
      </w:r>
      <w:r w:rsidR="007D5C04">
        <w:t xml:space="preserve"> </w:t>
      </w:r>
      <w:r w:rsidR="008E2BB5">
        <w:t>octane</w:t>
      </w:r>
      <w:r w:rsidR="00702348">
        <w:t>.</w:t>
      </w:r>
      <w:r w:rsidR="008E2BB5">
        <w:fldChar w:fldCharType="begin" w:fldLock="1"/>
      </w:r>
      <w:r w:rsidR="003B7284">
        <w:instrText>ADDIN CSL_CITATION {"citationItems":[{"id":"ITEM-1","itemData":{"DOI":"10.1021/ja0303790","ISSN":"00027863","PMID":"14583039","abstract":"Cytochrome P450 BM-3 from Bacillus megaterium was engineered using a combination of directed evolution and site-directed mutagenesis to hydroxylate linear alkanes regio- and enantioselectively using atmospheric dioxygen as an oxidant. BM-3 variant 9-10A-A328V hydroxylates octane at the 2-position to form S-2-octanol (40% ee). Another variant, 1-12G, also hydroxylates alkanes larger than hexane primarily at the 2-position but forms R-2-alcohols (40-55% ee). These biocatalysts are highly active (rates up to 400 min-1) and support thousands of product turnovers. The regio- and enantioselectivities are retained in whole-cell biotransformations with Escherichia coli, where the engineered P450s can be expressed at high levels and the cofactor is supplied endogenously.","author":[{"dropping-particle":"","family":"Peters","given":"Matthew W.","non-dropping-particle":"","parse-names":false,"suffix":""},{"dropping-particle":"","family":"Meinhold","given":"Peter","non-dropping-particle":"","parse-names":false,"suffix":""},{"dropping-particle":"","family":"Glieder","given":"Anton","non-dropping-particle":"","parse-names":false,"suffix":""},{"dropping-particle":"","family":"Arnold","given":"Frances H.","non-dropping-particle":"","parse-names":false,"suffix":""}],"container-title":"Journal of the American Chemical Society","id":"ITEM-1","issue":"44","issued":{"date-parts":[["2003"]]},"page":"13442-13450","title":"Regio- and Enantioselective Alkane Hydroxylation with Engineered Cytochromes P450 BM-3","type":"article-journal","volume":"125"},"uris":["http://www.mendeley.com/documents/?uuid=700bc4e4-b64d-30a7-a874-5edcdd34fef8"]}],"mendeley":{"formattedCitation":"&lt;sup&gt;20&lt;/sup&gt;","plainTextFormattedCitation":"20","previouslyFormattedCitation":"&lt;sup&gt;20&lt;/sup&gt;"},"properties":{"noteIndex":0},"schema":"https://github.com/citation-style-language/schema/raw/master/csl-citation.json"}</w:instrText>
      </w:r>
      <w:r w:rsidR="008E2BB5">
        <w:fldChar w:fldCharType="separate"/>
      </w:r>
      <w:r w:rsidR="00397741" w:rsidRPr="00397741">
        <w:rPr>
          <w:noProof/>
          <w:vertAlign w:val="superscript"/>
        </w:rPr>
        <w:t>20</w:t>
      </w:r>
      <w:r w:rsidR="008E2BB5">
        <w:fldChar w:fldCharType="end"/>
      </w:r>
      <w:r w:rsidR="008E2BB5">
        <w:t xml:space="preserve"> </w:t>
      </w:r>
      <w:r w:rsidR="000D2EA3">
        <w:t>Out of</w:t>
      </w:r>
      <w:r w:rsidR="007D5C04">
        <w:t xml:space="preserve"> eleven random mutations, at least five </w:t>
      </w:r>
      <w:r w:rsidR="002E2222">
        <w:t xml:space="preserve">were </w:t>
      </w:r>
      <w:r w:rsidR="007D5C04">
        <w:t xml:space="preserve">retrospectively identified </w:t>
      </w:r>
      <w:r w:rsidR="004C7E2B">
        <w:t xml:space="preserve">as </w:t>
      </w:r>
      <w:r w:rsidR="007D63B9">
        <w:t xml:space="preserve">binding pocket and </w:t>
      </w:r>
      <w:r w:rsidR="007D5C04">
        <w:t>tunnel lining residues</w:t>
      </w:r>
      <w:r w:rsidR="004C7E2B">
        <w:t>,</w:t>
      </w:r>
      <w:r w:rsidR="007D5C04">
        <w:t xml:space="preserve"> while the others </w:t>
      </w:r>
      <w:r w:rsidR="002E2222">
        <w:t>we</w:t>
      </w:r>
      <w:r w:rsidR="007D5C04">
        <w:t xml:space="preserve">re randomly distributed over the </w:t>
      </w:r>
      <w:r w:rsidR="004C7E2B">
        <w:t>entire</w:t>
      </w:r>
      <w:r w:rsidR="007D5C04">
        <w:t xml:space="preserve"> heme domain.</w:t>
      </w:r>
      <w:r w:rsidR="00482804">
        <w:t xml:space="preserve"> </w:t>
      </w:r>
      <w:r w:rsidR="00B713E6">
        <w:t xml:space="preserve">In order to find new enzymes, extensive database </w:t>
      </w:r>
      <w:r w:rsidR="004C7E2B">
        <w:t>research</w:t>
      </w:r>
      <w:r w:rsidR="00B713E6">
        <w:t>, metagenome libraries and enzyme min</w:t>
      </w:r>
      <w:r w:rsidR="00F35EA3">
        <w:t>ing are the technologies</w:t>
      </w:r>
      <w:r w:rsidR="004C7E2B" w:rsidRPr="004C7E2B">
        <w:t xml:space="preserve"> </w:t>
      </w:r>
      <w:r w:rsidR="004126DE">
        <w:t xml:space="preserve">available </w:t>
      </w:r>
      <w:r w:rsidR="003B7856">
        <w:t>today</w:t>
      </w:r>
      <w:r w:rsidR="00B713E6">
        <w:t>.</w:t>
      </w:r>
      <w:r w:rsidR="003B7856">
        <w:t xml:space="preserve"> </w:t>
      </w:r>
      <w:r w:rsidR="00560FE4">
        <w:t xml:space="preserve">Although purely computational designs rarely present outstanding results, they are often </w:t>
      </w:r>
      <w:r w:rsidR="00560FE4">
        <w:t>combined with directed evolution methods in protein engineering, sometimes with extraordinary results</w:t>
      </w:r>
      <w:r w:rsidR="009C5B38">
        <w:t>.</w:t>
      </w:r>
      <w:r w:rsidR="009C5B38">
        <w:fldChar w:fldCharType="begin" w:fldLock="1"/>
      </w:r>
      <w:r w:rsidR="003B7284">
        <w:instrText>ADDIN CSL_CITATION {"citationItems":[{"id":"ITEM-1","itemData":{"DOI":"10.1073/pnas.1118082108","ISSN":"00278424","PMID":"22357762","abstract":"A general approach for the computational design of enzymes to catalyze arbitrary reactions is a goal at the forefront of the field of protein design. Recently, computationally designed enzymes have been produced for three chemical reactions through the synthesis and screening of a large number of variants. Here, we present an iterative approach that has led to the development of the most catalytically efficient computationally designed enzyme for the Kemp elimination to date. Previously established computational techniques were used to generate an initial design, HG-1, which was catalytically inactive. Analysis of HG-1 with molecular dynamics simulations (MD) and X-ray crystallography indicated that the inactivity might be due to bound waters and high flexibility of residues within the active site. This analysis guided changes to our design procedure, moved the design deeper into the interior of the protein, and resulted in an active Kemp eliminase, HG-2. The cocrystal structure of this enzyme with a transition state analog (TSA) revealed that the TSA was bound in the active site, interacted with the intended catalytic base in a catalytically relevant manner, but was flipped relative to the design model. MD analysis of HG-2 led to an additional point mutation, HG-3, that produced a further threefold improvement in activity. This iterative approach to computational enzyme design, including detailed MD and structural analysis of both active and inactive designs, promises a more complete understanding of the underlying principles of enzymatic catalysis and furthers progress toward reliably producing active enzymes.","author":[{"dropping-particle":"","family":"Privett","given":"Heidi K.","non-dropping-particle":"","parse-names":false,"suffix":""},{"dropping-particle":"","family":"Kiss","given":"Gert","non-dropping-particle":"","parse-names":false,"suffix":""},{"dropping-particle":"","family":"Lee","given":"Toni M.","non-dropping-particle":"","parse-names":false,"suffix":""},{"dropping-particle":"","family":"Blomberg","given":"Rebecca","non-dropping-particle":"","parse-names":false,"suffix":""},{"dropping-particle":"","family":"Chica","given":"Roberto A.","non-dropping-particle":"","parse-names":false,"suffix":""},{"dropping-particle":"","family":"Thomas","given":"Leonard M.","non-dropping-particle":"","parse-names":false,"suffix":""},{"dropping-particle":"","family":"Hilvert","given":"Donald","non-dropping-particle":"","parse-names":false,"suffix":""},{"dropping-particle":"","family":"Houk","given":"Kendall N.","non-dropping-particle":"","parse-names":false,"suffix":""},{"dropping-particle":"","family":"Mayo","given":"Stephen L.","non-dropping-particle":"","parse-names":false,"suffix":""}],"container-title":"Proceedings of the National Academy of Sciences of the United States of America","id":"ITEM-1","issue":"10","issued":{"date-parts":[["2012"]]},"page":"3790-3795","title":"Iterative approach to computational enzyme design","type":"article-journal","volume":"109"},"uris":["http://www.mendeley.com/documents/?uuid=c32f5eb9-0e5d-3d66-9cbd-03914a7387f1"]},{"id":"ITEM-2","itemData":{"DOI":"10.1016/j.sbi.2020.04.003","ISSN":"1879033X","PMID":"32505941","abstract":"Our ability to design new or improved biomolecular activities depends on understanding the sequence-function relationships in proteins. The large size and fold complexity of most proteins, however, obscure these relationships, and protein-optimization methods continue to rely on laborious experimental iterations. Recently, a deeper understanding of the roles of stability-threshold effects and biomolecular epistasis in proteins has led to the development of hybrid methods that combine phylogenetic analysis with atomistic design calculations. These methods enable reliable and even single-step optimization of protein stability, expressibility, and activity in proteins that were considered outside the scope of computational design. Furthermore, ancestral-sequence reconstruction produces insights on missing links in the evolution of enzymes and binders that may be used in protein design. Through the combination of phylogenetic and atomistic calculations, the long-standing goal of general computational methods that can be universally applied to study and optimize proteins finally seems within reach.","author":[{"dropping-particle":"","family":"Weinstein","given":"Jonathan","non-dropping-particle":"","parse-names":false,"suffix":""},{"dropping-particle":"","family":"Khersonsky","given":"Olga","non-dropping-particle":"","parse-names":false,"suffix":""},{"dropping-particle":"","family":"Fleishman","given":"Sarel J.","non-dropping-particle":"","parse-names":false,"suffix":""}],"container-title":"Current Opinion in Structural Biology","id":"ITEM-2","issued":{"date-parts":[["2020"]]},"page":"58-64","title":"Practically useful protein-design methods combining phylogenetic and atomistic calculations","type":"article","volume":"63"},"uris":["http://www.mendeley.com/documents/?uuid=69d673cb-c791-376c-8cf7-efdced155a16"]},{"id":"ITEM-3","itemData":{"DOI":"10.1093/bib/bbaa150","ISSN":"1467-5463","abstract":"Progress in technology and algorithms throughout the past decade has transformed the field of protein design and engineering. Computational approaches have become well-engrained in the processes of tailoring proteins for various biotechnological applications. Many tools and methods are developed and upgraded each year to satisfy the increasing demands and challenges of protein engineering. To help protein engineers and bioinformaticians navigate this emerging wave of dedicated software, we have critically evaluated recent additions to the toolbox regarding their application for semi-rational and rational protein engineering. These newly developed tools identify and prioritize hotspots and analyze the effects of mutations for a variety of properties, comprising ligand binding, protein–protein and protein–nucleic acid interactions, and electrostatic potential. We also discuss notable progress to target elusive protein dynamics and associated properties like ligand-transport processes and allosteric communication. Finally, we discuss several challenges these tools face and provide our perspectives on the further development of readily applicable methods to guide protein engineering efforts.","author":[{"dropping-particle":"","family":"Sequeiros-Borja","given":"Carlos Eduardo","non-dropping-particle":"","parse-names":false,"suffix":""},{"dropping-particle":"","family":"Surpeta","given":"Bartłomiej","non-dropping-particle":"","parse-names":false,"suffix":""},{"dropping-particle":"","family":"Brezovsky","given":"Jan","non-dropping-particle":"","parse-names":false,"suffix":""}],"container-title":"Briefings in Bioinformatics","id":"ITEM-3","issued":{"date-parts":[["2020","7","31"]]},"title":"Recent advances in user-friendly computational tools to engineer protein function","type":"article-journal"},"uris":["http://www.mendeley.com/documents/?uuid=016ebb67-147e-35bd-8187-fa96d183c58a"]}],"mendeley":{"formattedCitation":"&lt;sup&gt;21–23&lt;/sup&gt;","plainTextFormattedCitation":"21–23","previouslyFormattedCitation":"&lt;sup&gt;21–23&lt;/sup&gt;"},"properties":{"noteIndex":0},"schema":"https://github.com/citation-style-language/schema/raw/master/csl-citation.json"}</w:instrText>
      </w:r>
      <w:r w:rsidR="009C5B38">
        <w:fldChar w:fldCharType="separate"/>
      </w:r>
      <w:r w:rsidR="00397741" w:rsidRPr="00397741">
        <w:rPr>
          <w:noProof/>
          <w:vertAlign w:val="superscript"/>
        </w:rPr>
        <w:t>21–23</w:t>
      </w:r>
      <w:r w:rsidR="009C5B38">
        <w:fldChar w:fldCharType="end"/>
      </w:r>
      <w:r w:rsidR="009C5B38">
        <w:t xml:space="preserve"> </w:t>
      </w:r>
      <w:r w:rsidR="00656F48">
        <w:t>However,</w:t>
      </w:r>
      <w:r w:rsidR="001852E4">
        <w:t xml:space="preserve"> for </w:t>
      </w:r>
      <w:r w:rsidR="002E2222">
        <w:t>the</w:t>
      </w:r>
      <w:r w:rsidR="001852E4">
        <w:t xml:space="preserve"> highly efficient </w:t>
      </w:r>
      <w:r w:rsidR="004C7E2B">
        <w:t xml:space="preserve">approach of </w:t>
      </w:r>
      <w:r w:rsidR="001852E4">
        <w:t>directed evolution</w:t>
      </w:r>
      <w:r w:rsidR="00656F48">
        <w:t>,</w:t>
      </w:r>
      <w:r w:rsidR="001852E4">
        <w:t xml:space="preserve"> </w:t>
      </w:r>
      <w:r w:rsidR="00656F48">
        <w:t>suitable screening systems are usually the bottleneck that</w:t>
      </w:r>
      <w:r w:rsidR="001852E4">
        <w:t xml:space="preserve"> are </w:t>
      </w:r>
      <w:r w:rsidR="00656F48">
        <w:t>absolutely necessary</w:t>
      </w:r>
      <w:r w:rsidR="000D2EA3">
        <w:t>.</w:t>
      </w:r>
    </w:p>
    <w:p w14:paraId="76D56750" w14:textId="62067296" w:rsidR="003B7F4C" w:rsidRDefault="007202D9" w:rsidP="003B7856">
      <w:pPr>
        <w:pStyle w:val="TAMainText"/>
        <w:sectPr w:rsidR="003B7F4C" w:rsidSect="003B4F28">
          <w:type w:val="continuous"/>
          <w:pgSz w:w="12240" w:h="15840"/>
          <w:pgMar w:top="720" w:right="1094" w:bottom="720" w:left="1094" w:header="720" w:footer="720" w:gutter="0"/>
          <w:cols w:num="2" w:space="461"/>
          <w:docGrid w:linePitch="326"/>
        </w:sectPr>
      </w:pPr>
      <w:r>
        <w:t>In this work, we aim</w:t>
      </w:r>
      <w:r w:rsidR="002E2222">
        <w:t>ed</w:t>
      </w:r>
      <w:r>
        <w:t xml:space="preserve"> to get a deeper insight into the dynamics</w:t>
      </w:r>
      <w:r w:rsidR="00482804">
        <w:t xml:space="preserve"> of </w:t>
      </w:r>
      <w:r w:rsidR="002E2222">
        <w:t>an</w:t>
      </w:r>
      <w:r w:rsidR="00482804">
        <w:t xml:space="preserve"> enzyme</w:t>
      </w:r>
      <w:r>
        <w:t xml:space="preserve"> when it is evolved towards </w:t>
      </w:r>
      <w:r w:rsidR="002E2222">
        <w:t xml:space="preserve">accepting </w:t>
      </w:r>
      <w:r>
        <w:t>a smaller substrate. We chose CYP153A</w:t>
      </w:r>
      <w:r w:rsidRPr="00CE1781">
        <w:rPr>
          <w:i/>
          <w:vertAlign w:val="subscript"/>
        </w:rPr>
        <w:t>M.aq</w:t>
      </w:r>
      <w:r>
        <w:rPr>
          <w:i/>
          <w:vertAlign w:val="subscript"/>
        </w:rPr>
        <w:t xml:space="preserve"> </w:t>
      </w:r>
      <w:r>
        <w:t>due to its excellent</w:t>
      </w:r>
      <w:r w:rsidR="00BD0E50">
        <w:t xml:space="preserve"> </w:t>
      </w:r>
      <w:r w:rsidR="00BD0E50">
        <w:rPr>
          <w:rFonts w:ascii="Constantia" w:hAnsi="Constantia"/>
        </w:rPr>
        <w:t>ω</w:t>
      </w:r>
      <w:r w:rsidR="00BD0E50">
        <w:t>-selectivity for medium- to long chain fatty acids (C9-C20)</w:t>
      </w:r>
      <w:r w:rsidR="00482804">
        <w:t xml:space="preserve"> and </w:t>
      </w:r>
      <w:r w:rsidR="002E2222">
        <w:t xml:space="preserve">chose to </w:t>
      </w:r>
      <w:r w:rsidR="00482804">
        <w:t>engineer it towards</w:t>
      </w:r>
      <w:r w:rsidR="007D63B9">
        <w:t xml:space="preserve"> the conversion of</w:t>
      </w:r>
      <w:r w:rsidR="00482804">
        <w:t xml:space="preserve"> smaller substrates</w:t>
      </w:r>
      <w:r w:rsidR="004F5ED5">
        <w:t xml:space="preserve"> (C8)</w:t>
      </w:r>
      <w:r w:rsidR="00BD0E50">
        <w:t xml:space="preserve">. </w:t>
      </w:r>
      <w:r w:rsidR="004F5ED5">
        <w:t xml:space="preserve">We applied three different </w:t>
      </w:r>
      <w:r w:rsidR="004126DE">
        <w:t xml:space="preserve">engineering </w:t>
      </w:r>
      <w:r w:rsidR="004F5ED5">
        <w:t>approaches, which mainly</w:t>
      </w:r>
      <w:r w:rsidR="00F828AC">
        <w:t xml:space="preserve"> had</w:t>
      </w:r>
      <w:r w:rsidR="004F5ED5">
        <w:t xml:space="preserve"> moderate effects on </w:t>
      </w:r>
      <w:r w:rsidR="00AF11E3">
        <w:t xml:space="preserve">the </w:t>
      </w:r>
      <w:r w:rsidR="004F5ED5">
        <w:t>product formation, but eventually generated highly improved variants by simply combining the best mutations.</w:t>
      </w:r>
      <w:r w:rsidR="00BD0963">
        <w:t xml:space="preserve"> </w:t>
      </w:r>
      <w:r w:rsidR="00E2276B">
        <w:t xml:space="preserve">The </w:t>
      </w:r>
      <w:r w:rsidR="00BD0963">
        <w:t>wild type and the best</w:t>
      </w:r>
      <w:r w:rsidR="00E2276B">
        <w:t xml:space="preserve"> catalyst </w:t>
      </w:r>
      <w:r w:rsidR="00BD0963">
        <w:t>were</w:t>
      </w:r>
      <w:r w:rsidR="00E2276B">
        <w:t xml:space="preserve"> </w:t>
      </w:r>
      <w:r w:rsidR="00A264C5">
        <w:t xml:space="preserve">then </w:t>
      </w:r>
      <w:r w:rsidR="00E2276B">
        <w:t xml:space="preserve">computationally </w:t>
      </w:r>
      <w:r w:rsidR="00A264C5">
        <w:t>analyzed</w:t>
      </w:r>
      <w:r w:rsidR="00E2276B">
        <w:t xml:space="preserve"> and the </w:t>
      </w:r>
      <w:r w:rsidR="00A264C5">
        <w:t>results</w:t>
      </w:r>
      <w:r w:rsidR="00E2276B">
        <w:t xml:space="preserve"> </w:t>
      </w:r>
      <w:r w:rsidR="00A264C5">
        <w:t>evaluated</w:t>
      </w:r>
      <w:r w:rsidR="00E2276B">
        <w:t xml:space="preserve"> to gain </w:t>
      </w:r>
      <w:r w:rsidR="00A264C5">
        <w:t xml:space="preserve">deeper insights into the </w:t>
      </w:r>
      <w:r w:rsidR="004126DE">
        <w:t>structure-</w:t>
      </w:r>
      <w:r w:rsidR="00E2276B">
        <w:t>function</w:t>
      </w:r>
      <w:r w:rsidR="004126DE">
        <w:t xml:space="preserve"> relationships</w:t>
      </w:r>
      <w:r w:rsidR="00A264C5">
        <w:t xml:space="preserve">. </w:t>
      </w:r>
      <w:r w:rsidR="00BD0963">
        <w:t>With the mutation Q129R, which was previously de</w:t>
      </w:r>
      <w:r w:rsidR="00DD7E13">
        <w:t xml:space="preserve">scribed as C12 fatty acid anchor, we created an anchor to </w:t>
      </w:r>
      <w:r w:rsidR="00F828AC">
        <w:t xml:space="preserve">also </w:t>
      </w:r>
      <w:r w:rsidR="00DD7E13">
        <w:t>hold the smaller substrate (C8) in place</w:t>
      </w:r>
      <w:r w:rsidR="002E2222">
        <w:t>,</w:t>
      </w:r>
      <w:r w:rsidR="00DD7E13">
        <w:t xml:space="preserve"> while the other mutations possibly reshaped the tunnel and reduced the flexibility for more efficient catalysis. Furthermore, we showed that the ligand is substantially more stabilized in the active position in the mutant </w:t>
      </w:r>
      <w:r w:rsidR="00CE7AFB">
        <w:t xml:space="preserve">than in </w:t>
      </w:r>
      <w:r w:rsidR="00DD7E13">
        <w:t>the wild type.</w:t>
      </w:r>
      <w:r w:rsidR="00CE7AFB">
        <w:t xml:space="preserve"> </w:t>
      </w:r>
      <w:r w:rsidR="002E2222">
        <w:t>W</w:t>
      </w:r>
      <w:r w:rsidR="00CE7AFB">
        <w:t>e</w:t>
      </w:r>
      <w:r w:rsidR="002E2222">
        <w:t xml:space="preserve"> thereby</w:t>
      </w:r>
      <w:r w:rsidR="00CE7AFB">
        <w:t xml:space="preserve"> created a variant with a shift in substrate specificity with respect to the preferred carbon chain length compared to the wild type.</w:t>
      </w:r>
      <w:r w:rsidR="003B7856">
        <w:t xml:space="preserve"> The</w:t>
      </w:r>
      <w:r w:rsidR="00A264C5">
        <w:t xml:space="preserve"> resulting knowledge</w:t>
      </w:r>
      <w:r w:rsidR="003B7856">
        <w:t xml:space="preserve"> about the influence of tunnel lining residues</w:t>
      </w:r>
      <w:r w:rsidR="00A264C5">
        <w:t xml:space="preserve"> and how the </w:t>
      </w:r>
      <w:r w:rsidR="00AF11E3">
        <w:t xml:space="preserve">protein </w:t>
      </w:r>
      <w:r w:rsidR="00A264C5">
        <w:t xml:space="preserve">dynamics </w:t>
      </w:r>
      <w:r w:rsidR="00755301">
        <w:t xml:space="preserve">can </w:t>
      </w:r>
      <w:r w:rsidR="00CE7AFB">
        <w:t xml:space="preserve">potentially </w:t>
      </w:r>
      <w:r w:rsidR="00A264C5">
        <w:t>be addressed could</w:t>
      </w:r>
      <w:r w:rsidR="00E2276B">
        <w:t xml:space="preserve"> </w:t>
      </w:r>
      <w:r w:rsidR="00A264C5">
        <w:t>serve as a basis</w:t>
      </w:r>
      <w:r w:rsidR="00E2276B">
        <w:t xml:space="preserve"> for future</w:t>
      </w:r>
      <w:r w:rsidR="00A264C5">
        <w:t xml:space="preserve"> enzyme</w:t>
      </w:r>
      <w:r w:rsidR="00E2276B">
        <w:t xml:space="preserve"> engineering</w:t>
      </w:r>
      <w:r w:rsidR="003B7856">
        <w:t xml:space="preserve"> </w:t>
      </w:r>
      <w:r w:rsidR="004126DE">
        <w:t>strategies</w:t>
      </w:r>
      <w:r w:rsidR="00E2276B">
        <w:t>.</w:t>
      </w:r>
    </w:p>
    <w:p w14:paraId="5BBC512C" w14:textId="0A040DCE" w:rsidR="003B7F4C" w:rsidRPr="006534E4" w:rsidRDefault="006534E4" w:rsidP="006D0D61">
      <w:pPr>
        <w:pStyle w:val="TAMainText"/>
        <w:ind w:firstLine="0"/>
        <w:sectPr w:rsidR="003B7F4C" w:rsidRPr="006534E4" w:rsidSect="003B7F4C">
          <w:type w:val="continuous"/>
          <w:pgSz w:w="12240" w:h="15840"/>
          <w:pgMar w:top="720" w:right="1094" w:bottom="720" w:left="1094" w:header="720" w:footer="720" w:gutter="0"/>
          <w:cols w:space="461"/>
          <w:docGrid w:linePitch="326"/>
        </w:sectPr>
      </w:pPr>
      <w:r>
        <w:rPr>
          <w:noProof/>
          <w:lang w:val="de-DE" w:eastAsia="de-DE"/>
        </w:rPr>
        <w:drawing>
          <wp:inline distT="0" distB="0" distL="0" distR="0" wp14:anchorId="58924252" wp14:editId="42AEE6AD">
            <wp:extent cx="6383020" cy="33655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2.tif"/>
                    <pic:cNvPicPr/>
                  </pic:nvPicPr>
                  <pic:blipFill>
                    <a:blip r:embed="rId11">
                      <a:extLst>
                        <a:ext uri="{28A0092B-C50C-407E-A947-70E740481C1C}">
                          <a14:useLocalDpi xmlns:a14="http://schemas.microsoft.com/office/drawing/2010/main" val="0"/>
                        </a:ext>
                      </a:extLst>
                    </a:blip>
                    <a:stretch>
                      <a:fillRect/>
                    </a:stretch>
                  </pic:blipFill>
                  <pic:spPr>
                    <a:xfrm>
                      <a:off x="0" y="0"/>
                      <a:ext cx="6383020" cy="3365500"/>
                    </a:xfrm>
                    <a:prstGeom prst="rect">
                      <a:avLst/>
                    </a:prstGeom>
                  </pic:spPr>
                </pic:pic>
              </a:graphicData>
            </a:graphic>
          </wp:inline>
        </w:drawing>
      </w:r>
    </w:p>
    <w:p w14:paraId="56C3F968" w14:textId="1BE08F98" w:rsidR="003B7F4C" w:rsidRDefault="003B7F4C" w:rsidP="003B7F4C">
      <w:pPr>
        <w:pStyle w:val="VAFigureCaption"/>
      </w:pPr>
      <w:r w:rsidRPr="0037333F">
        <w:t xml:space="preserve">Figure </w:t>
      </w:r>
      <w:fldSimple w:instr=" SEQ Figure \* ARABIC ">
        <w:r w:rsidR="00571ADA" w:rsidRPr="0037333F">
          <w:rPr>
            <w:noProof/>
          </w:rPr>
          <w:t>1</w:t>
        </w:r>
      </w:fldSimple>
      <w:r w:rsidRPr="0037333F">
        <w:t xml:space="preserve">: </w:t>
      </w:r>
      <w:r w:rsidR="006D0D61" w:rsidRPr="0037333F">
        <w:t>Mutagenesis scheme</w:t>
      </w:r>
      <w:r w:rsidR="00B4753C" w:rsidRPr="0037333F">
        <w:t xml:space="preserve">, terminal hydroxylation of octanoic acid </w:t>
      </w:r>
      <w:r w:rsidR="006D0D61">
        <w:t xml:space="preserve">and </w:t>
      </w:r>
      <w:r w:rsidR="003541FF">
        <w:t xml:space="preserve">product </w:t>
      </w:r>
      <w:r w:rsidR="006D0D61">
        <w:t>f</w:t>
      </w:r>
      <w:r w:rsidRPr="003D2C24">
        <w:t xml:space="preserve">ormation </w:t>
      </w:r>
      <w:r>
        <w:t>with</w:t>
      </w:r>
      <w:r w:rsidRPr="003D2C24">
        <w:t xml:space="preserve"> </w:t>
      </w:r>
      <w:r w:rsidR="004126DE">
        <w:t xml:space="preserve">wild type </w:t>
      </w:r>
      <w:r w:rsidRPr="003D2C24">
        <w:t>CYP153A</w:t>
      </w:r>
      <w:r w:rsidRPr="003D2C24">
        <w:rPr>
          <w:i/>
          <w:vertAlign w:val="subscript"/>
        </w:rPr>
        <w:t xml:space="preserve">M.aq </w:t>
      </w:r>
      <w:r w:rsidR="003541FF">
        <w:t xml:space="preserve">(PDB ID 5FYG) </w:t>
      </w:r>
      <w:r w:rsidRPr="003D2C24">
        <w:t xml:space="preserve">and </w:t>
      </w:r>
      <w:r w:rsidR="006D0D61">
        <w:t xml:space="preserve">designed </w:t>
      </w:r>
      <w:r w:rsidRPr="003D2C24">
        <w:t>variants. Three single positions were mutated after a consensus alignment within the 3DM database (</w:t>
      </w:r>
      <w:r w:rsidR="006D0D61">
        <w:t>red</w:t>
      </w:r>
      <w:r w:rsidR="00EB3568">
        <w:t>), comparison with the homolog</w:t>
      </w:r>
      <w:r w:rsidRPr="003D2C24">
        <w:t xml:space="preserve"> CYP153A</w:t>
      </w:r>
      <w:r w:rsidRPr="003D2C24">
        <w:rPr>
          <w:i/>
          <w:vertAlign w:val="subscript"/>
        </w:rPr>
        <w:t xml:space="preserve">P.sp </w:t>
      </w:r>
      <w:r w:rsidR="003541FF">
        <w:t>(PDB ID 7AO7)</w:t>
      </w:r>
      <w:r w:rsidR="003541FF" w:rsidRPr="003D2C24">
        <w:t xml:space="preserve"> </w:t>
      </w:r>
      <w:r w:rsidRPr="003D2C24">
        <w:t>(</w:t>
      </w:r>
      <w:r w:rsidR="006D0D61">
        <w:t>blue</w:t>
      </w:r>
      <w:r w:rsidRPr="003D2C24">
        <w:t>) or substituted with amino acids found in a saturation mutagen</w:t>
      </w:r>
      <w:r w:rsidRPr="003D2C24">
        <w:lastRenderedPageBreak/>
        <w:t>esis approach</w:t>
      </w:r>
      <w:r>
        <w:t xml:space="preserve"> (</w:t>
      </w:r>
      <w:r w:rsidR="006D0D61">
        <w:t>grey</w:t>
      </w:r>
      <w:r>
        <w:t>)</w:t>
      </w:r>
      <w:r w:rsidRPr="003D2C24">
        <w:t>. The best hits were combined</w:t>
      </w:r>
      <w:r>
        <w:t xml:space="preserve"> (green)</w:t>
      </w:r>
      <w:r w:rsidRPr="003D2C24">
        <w:t xml:space="preserve"> and led to the best variant RLT (QR/VL/MT),</w:t>
      </w:r>
      <w:r>
        <w:t xml:space="preserve"> known</w:t>
      </w:r>
      <w:r w:rsidRPr="003D2C24">
        <w:t xml:space="preserve"> so far. </w:t>
      </w:r>
      <w:r w:rsidR="003541FF">
        <w:t xml:space="preserve">The formation </w:t>
      </w:r>
      <w:r w:rsidR="003541FF" w:rsidRPr="003D2C24">
        <w:t>of ω-</w:t>
      </w:r>
      <w:proofErr w:type="spellStart"/>
      <w:r w:rsidR="003541FF" w:rsidRPr="003D2C24">
        <w:t>hydroxy</w:t>
      </w:r>
      <w:proofErr w:type="spellEnd"/>
      <w:r w:rsidR="003541FF" w:rsidRPr="003D2C24">
        <w:t xml:space="preserve"> octanoic acid</w:t>
      </w:r>
      <w:r w:rsidR="003541FF">
        <w:t xml:space="preserve"> (C8-FAOH) is shown for each variant. </w:t>
      </w:r>
      <w:r w:rsidRPr="003D2C24">
        <w:t>The dashed line indicates wild type product formation.</w:t>
      </w:r>
      <w:r>
        <w:t xml:space="preserve"> Conditions: 1 µM P450, 5 µM </w:t>
      </w:r>
      <w:proofErr w:type="spellStart"/>
      <w:r>
        <w:t>CamA</w:t>
      </w:r>
      <w:proofErr w:type="spellEnd"/>
      <w:r>
        <w:t xml:space="preserve">, 10 µM </w:t>
      </w:r>
      <w:proofErr w:type="spellStart"/>
      <w:r>
        <w:t>CamB</w:t>
      </w:r>
      <w:proofErr w:type="spellEnd"/>
      <w:r>
        <w:t>, 1</w:t>
      </w:r>
      <w:r w:rsidR="006D0D61">
        <w:t> </w:t>
      </w:r>
      <w:proofErr w:type="spellStart"/>
      <w:r w:rsidR="00D47DF8">
        <w:t>mM</w:t>
      </w:r>
      <w:proofErr w:type="spellEnd"/>
      <w:r w:rsidR="00D47DF8">
        <w:t xml:space="preserve"> octanoic acid, 2</w:t>
      </w:r>
      <w:r>
        <w:t xml:space="preserve">% DMSO, 1 </w:t>
      </w:r>
      <w:proofErr w:type="spellStart"/>
      <w:r>
        <w:t>mM</w:t>
      </w:r>
      <w:proofErr w:type="spellEnd"/>
      <w:r>
        <w:t xml:space="preserve"> NADH and cofactor regeneration, 100 </w:t>
      </w:r>
      <w:proofErr w:type="spellStart"/>
      <w:r>
        <w:t>mM</w:t>
      </w:r>
      <w:proofErr w:type="spellEnd"/>
      <w:r>
        <w:t xml:space="preserve"> potassium phosphate buffer, pH 7.4, 550 rpm, 30 °C, 1</w:t>
      </w:r>
      <w:r w:rsidR="00D47DF8">
        <w:t xml:space="preserve"> </w:t>
      </w:r>
      <w:r>
        <w:t>h.</w:t>
      </w:r>
    </w:p>
    <w:p w14:paraId="67EED0D7" w14:textId="77777777" w:rsidR="003B7F4C" w:rsidRDefault="003B7F4C" w:rsidP="003B7856">
      <w:pPr>
        <w:pStyle w:val="TAMainText"/>
        <w:sectPr w:rsidR="003B7F4C" w:rsidSect="003B7F4C">
          <w:type w:val="continuous"/>
          <w:pgSz w:w="12240" w:h="15840"/>
          <w:pgMar w:top="720" w:right="1094" w:bottom="720" w:left="1094" w:header="720" w:footer="720" w:gutter="0"/>
          <w:cols w:space="461"/>
          <w:docGrid w:linePitch="326"/>
        </w:sectPr>
      </w:pPr>
    </w:p>
    <w:p w14:paraId="5C2E2B8F" w14:textId="60986FBE" w:rsidR="00A54E6D" w:rsidRPr="00D40E6A" w:rsidRDefault="00A54E6D" w:rsidP="00A56E5C">
      <w:pPr>
        <w:pStyle w:val="TAMainText"/>
      </w:pPr>
      <w:r w:rsidRPr="00D40E6A">
        <w:t>RESULTS AND DISCUSSION</w:t>
      </w:r>
    </w:p>
    <w:p w14:paraId="33EE1AF3" w14:textId="07113E4D" w:rsidR="00A4338A" w:rsidRPr="0037333F" w:rsidRDefault="00A31970" w:rsidP="00A56E5C">
      <w:pPr>
        <w:pStyle w:val="TAMainText"/>
      </w:pPr>
      <w:r w:rsidRPr="00A6676F">
        <w:rPr>
          <w:b/>
        </w:rPr>
        <w:t xml:space="preserve">Combination of </w:t>
      </w:r>
      <w:r w:rsidR="0040157E">
        <w:rPr>
          <w:b/>
        </w:rPr>
        <w:t xml:space="preserve">hits from </w:t>
      </w:r>
      <w:r w:rsidRPr="00A6676F">
        <w:rPr>
          <w:b/>
        </w:rPr>
        <w:t>different mutagenesis approaches lead</w:t>
      </w:r>
      <w:r w:rsidR="00A6676F" w:rsidRPr="00A6676F">
        <w:rPr>
          <w:b/>
        </w:rPr>
        <w:t>s</w:t>
      </w:r>
      <w:r w:rsidRPr="00A6676F">
        <w:rPr>
          <w:b/>
        </w:rPr>
        <w:t xml:space="preserve"> to </w:t>
      </w:r>
      <w:r w:rsidR="009B41CF">
        <w:rPr>
          <w:b/>
        </w:rPr>
        <w:t>strongly</w:t>
      </w:r>
      <w:r w:rsidR="00A6676F" w:rsidRPr="00A6676F">
        <w:rPr>
          <w:b/>
        </w:rPr>
        <w:t xml:space="preserve"> improved </w:t>
      </w:r>
      <w:r w:rsidR="003E6F3F">
        <w:rPr>
          <w:b/>
        </w:rPr>
        <w:t>hydroxylation</w:t>
      </w:r>
      <w:r w:rsidR="00A6676F" w:rsidRPr="00A6676F">
        <w:rPr>
          <w:b/>
        </w:rPr>
        <w:t>.</w:t>
      </w:r>
      <w:r w:rsidR="009B41CF">
        <w:t xml:space="preserve"> In order t</w:t>
      </w:r>
      <w:r w:rsidR="00A6676F">
        <w:t xml:space="preserve">o </w:t>
      </w:r>
      <w:r w:rsidR="00BE0925">
        <w:t xml:space="preserve">extend </w:t>
      </w:r>
      <w:r w:rsidR="00EB3568">
        <w:t>the catalytic spectrum</w:t>
      </w:r>
      <w:r w:rsidR="00A6676F">
        <w:t xml:space="preserve"> of CYP153A</w:t>
      </w:r>
      <w:r w:rsidR="00A6676F" w:rsidRPr="00A6676F">
        <w:rPr>
          <w:i/>
          <w:vertAlign w:val="subscript"/>
        </w:rPr>
        <w:t>M.aq</w:t>
      </w:r>
      <w:r w:rsidR="00A6676F">
        <w:t xml:space="preserve"> towards shorter substrates than previously described</w:t>
      </w:r>
      <w:r w:rsidR="003B7856">
        <w:t>,</w:t>
      </w:r>
      <w:r w:rsidR="003B7856" w:rsidRPr="003B7856">
        <w:t xml:space="preserve"> </w:t>
      </w:r>
      <w:r w:rsidR="003B7856">
        <w:t>we substituted tunnel lining residues distant from the catalytic site.</w:t>
      </w:r>
      <w:r w:rsidR="000F1F27">
        <w:fldChar w:fldCharType="begin" w:fldLock="1"/>
      </w:r>
      <w:r w:rsidR="003B7284">
        <w:instrText>ADDIN CSL_CITATION {"citationItems":[{"id":"ITEM-1","itemData":{"DOI":"10.1039/c2cc18103g","ISSN":"1364548X","PMID":"22513828","abstract":"CYP153A from Marinobacter aquaeolei has been identified as a fatty acid Ω-hydroxylase with a broad substrate range. Two hotspots predicted to influence substrate specificity and selectivity were exchanged. Mutant G307A is 2- to 20-fold more active towards fatty acids than the wild-type. Residue L354 is determinant for the enzyme Ω-regioselectivity. © 2012 Royal Society of Chemistry.","author":[{"dropping-particle":"","family":"Honda Malca","given":"Sumire","non-dropping-particle":"","parse-names":false,"suffix":""},{"dropping-particle":"","family":"Scheps","given":"Daniel","non-dropping-particle":"","parse-names":false,"suffix":""},{"dropping-particle":"","family":"Kühnel","given":"Lisa","non-dropping-particle":"","parse-names":false,"suffix":""},{"dropping-particle":"","family":"Venegas-Venegas","given":"Elena","non-dropping-particle":"","parse-names":false,"suffix":""},{"dropping-particle":"","family":"Seifert","given":"Alexander","non-dropping-particle":"","parse-names":false,"suffix":""},{"dropping-particle":"","family":"Nestl","given":"Bettina M","non-dropping-particle":"","parse-names":false,"suffix":""},{"dropping-particle":"","family":"Hauer","given":"Bernhard","non-dropping-particle":"","parse-names":false,"suffix":""}],"container-title":"Chemical Communications","id":"ITEM-1","issue":"42","issued":{"date-parts":[["2012"]]},"page":"5115-5117","title":"Bacterial CYP153A monooxygenases for the synthesis of omega-hydroxylated fatty acids","type":"article-journal","volume":"48"},"uris":["http://www.mendeley.com/documents/?uuid=2ce81848-481b-310d-8600-f59414b0b8cc"]}],"mendeley":{"formattedCitation":"&lt;sup&gt;18&lt;/sup&gt;","plainTextFormattedCitation":"18","previouslyFormattedCitation":"&lt;sup&gt;18&lt;/sup&gt;"},"properties":{"noteIndex":0},"schema":"https://github.com/citation-style-language/schema/raw/master/csl-citation.json"}</w:instrText>
      </w:r>
      <w:r w:rsidR="000F1F27">
        <w:fldChar w:fldCharType="separate"/>
      </w:r>
      <w:r w:rsidR="00397741" w:rsidRPr="00397741">
        <w:rPr>
          <w:noProof/>
          <w:vertAlign w:val="superscript"/>
        </w:rPr>
        <w:t>18</w:t>
      </w:r>
      <w:r w:rsidR="000F1F27">
        <w:fldChar w:fldCharType="end"/>
      </w:r>
      <w:r w:rsidR="00A6676F">
        <w:t xml:space="preserve"> </w:t>
      </w:r>
      <w:r w:rsidR="00556453">
        <w:t xml:space="preserve">Our group </w:t>
      </w:r>
      <w:r w:rsidR="009B41CF">
        <w:t xml:space="preserve">has </w:t>
      </w:r>
      <w:r w:rsidR="00556453">
        <w:t xml:space="preserve">already </w:t>
      </w:r>
      <w:r w:rsidR="009C6F39">
        <w:t>demonstrated</w:t>
      </w:r>
      <w:r w:rsidR="00556453">
        <w:t xml:space="preserve"> the </w:t>
      </w:r>
      <w:r w:rsidR="00556453" w:rsidRPr="00556453">
        <w:rPr>
          <w:i/>
        </w:rPr>
        <w:t>de novo</w:t>
      </w:r>
      <w:r w:rsidR="00556453">
        <w:t xml:space="preserve"> production of </w:t>
      </w:r>
      <w:r w:rsidR="00556453">
        <w:rPr>
          <w:rFonts w:ascii="Constantia" w:hAnsi="Constantia"/>
        </w:rPr>
        <w:t>ω</w:t>
      </w:r>
      <w:r w:rsidR="00556453">
        <w:t>-</w:t>
      </w:r>
      <w:proofErr w:type="spellStart"/>
      <w:r w:rsidR="00556453">
        <w:t>hydroxyoctanoic</w:t>
      </w:r>
      <w:proofErr w:type="spellEnd"/>
      <w:r w:rsidR="00556453">
        <w:t xml:space="preserve"> acid in whole cells by </w:t>
      </w:r>
      <w:proofErr w:type="spellStart"/>
      <w:r w:rsidR="00556453">
        <w:t>coexpressing</w:t>
      </w:r>
      <w:proofErr w:type="spellEnd"/>
      <w:r w:rsidR="00556453">
        <w:t xml:space="preserve"> a </w:t>
      </w:r>
      <w:proofErr w:type="spellStart"/>
      <w:r w:rsidR="00556453">
        <w:t>thioesterase</w:t>
      </w:r>
      <w:proofErr w:type="spellEnd"/>
      <w:r w:rsidR="00556453">
        <w:t xml:space="preserve"> to </w:t>
      </w:r>
      <w:r w:rsidR="00D83D14">
        <w:t>over</w:t>
      </w:r>
      <w:r w:rsidR="00556453">
        <w:t>produce octanoic acid</w:t>
      </w:r>
      <w:r w:rsidR="00D83D14">
        <w:t xml:space="preserve"> from the natural fatty acid cycle</w:t>
      </w:r>
      <w:r w:rsidR="00556453">
        <w:t xml:space="preserve"> and an artificial fusion construct CYP153A</w:t>
      </w:r>
      <w:r w:rsidR="00556453" w:rsidRPr="00556453">
        <w:rPr>
          <w:i/>
          <w:vertAlign w:val="subscript"/>
        </w:rPr>
        <w:t>M.aq</w:t>
      </w:r>
      <w:r w:rsidR="00556453">
        <w:t>(G307A)-CPR</w:t>
      </w:r>
      <w:r w:rsidR="00556453" w:rsidRPr="00556453">
        <w:rPr>
          <w:vertAlign w:val="subscript"/>
        </w:rPr>
        <w:t>BM3</w:t>
      </w:r>
      <w:r w:rsidR="00556453" w:rsidRPr="00556453">
        <w:t xml:space="preserve"> </w:t>
      </w:r>
      <w:r w:rsidR="00556453">
        <w:t xml:space="preserve">for the corresponding </w:t>
      </w:r>
      <w:r w:rsidR="00556453">
        <w:rPr>
          <w:rFonts w:ascii="Constantia" w:hAnsi="Constantia"/>
        </w:rPr>
        <w:t>ω</w:t>
      </w:r>
      <w:r w:rsidR="00556453">
        <w:t>-hydroxylation</w:t>
      </w:r>
      <w:r w:rsidR="003B7856">
        <w:t>.</w:t>
      </w:r>
      <w:r w:rsidR="00556453">
        <w:rPr>
          <w:vertAlign w:val="subscript"/>
        </w:rPr>
        <w:fldChar w:fldCharType="begin" w:fldLock="1"/>
      </w:r>
      <w:r w:rsidR="003B7284">
        <w:rPr>
          <w:vertAlign w:val="subscript"/>
        </w:rPr>
        <w:instrText>ADDIN CSL_CITATION {"citationItems":[{"id":"ITEM-1","itemData":{"DOI":"10.1016/j.jbiotec.2016.05.017","ISSN":"18734863","PMID":"27184430","abstract":"The present proof-of-concept study reports the construction of a whole-cell biocatalyst for the de novo production of ω-hydroxy octanoic acid. This was achieved by hijacking the natural fatty acid cycle and subsequent hydroxylation using a specific monooxygenase without the need for the additional feed of alkene-like precursors. For this, we used the model organism Escherichia coli and increased primarily the release of the octanoic acid precursors by overexpressing the plant thioesterase FatB2 from Cuphea hookeriana in a β-oxidation deficient strain, which lead to the production of 2.32 mM (8.38 mg gcww-1) octanoic acid in 24 h. In order to produce the corresponding ω-hydroxy derivative, we additionally expressed the engineered self-sufficient monooxygenase fusion protein CYP153AMaq(G307A)-CPRBM3 within the octanoic acid producing strain. With this, we finally produced 234 μM (0.95 mg gcww-1) ω-hydroxy octanoic acid in a 20 h fed-batch set-up.","author":[{"dropping-particle":"","family":"Kirtz","given":"Marko","non-dropping-particle":"","parse-names":false,"suffix":""},{"dropping-particle":"","family":"Klebensberger","given":"Janosch","non-dropping-particle":"","parse-names":false,"suffix":""},{"dropping-particle":"","family":"Otte","given":"Konrad B.","non-dropping-particle":"","parse-names":false,"suffix":""},{"dropping-particle":"","family":"Richter","given":"Sven M.","non-dropping-particle":"","parse-names":false,"suffix":""},{"dropping-particle":"","family":"Hauer","given":"Bernhard","non-dropping-particle":"","parse-names":false,"suffix":""}],"container-title":"Journal of Biotechnology","id":"ITEM-1","issued":{"date-parts":[["2016"]]},"page":"30-33","title":"Production of ω-hydroxy octanoic acid with Escherichia coli","type":"article-journal","volume":"230"},"uris":["http://www.mendeley.com/documents/?uuid=9b50c324-c45a-305c-934f-1bd0a21c39f1"]}],"mendeley":{"formattedCitation":"&lt;sup&gt;24&lt;/sup&gt;","plainTextFormattedCitation":"24","previouslyFormattedCitation":"&lt;sup&gt;24&lt;/sup&gt;"},"properties":{"noteIndex":0},"schema":"https://github.com/citation-style-language/schema/raw/master/csl-citation.json"}</w:instrText>
      </w:r>
      <w:r w:rsidR="00556453">
        <w:rPr>
          <w:vertAlign w:val="subscript"/>
        </w:rPr>
        <w:fldChar w:fldCharType="separate"/>
      </w:r>
      <w:r w:rsidR="00397741" w:rsidRPr="00397741">
        <w:rPr>
          <w:noProof/>
          <w:vertAlign w:val="superscript"/>
        </w:rPr>
        <w:t>24</w:t>
      </w:r>
      <w:r w:rsidR="00556453">
        <w:rPr>
          <w:vertAlign w:val="subscript"/>
        </w:rPr>
        <w:fldChar w:fldCharType="end"/>
      </w:r>
      <w:r w:rsidR="00556453">
        <w:t xml:space="preserve"> The </w:t>
      </w:r>
      <w:r w:rsidR="009C6F39">
        <w:t xml:space="preserve">mutation </w:t>
      </w:r>
      <w:r w:rsidR="00556453">
        <w:t xml:space="preserve">G307A is located in the active site </w:t>
      </w:r>
      <w:r w:rsidR="009C6F39">
        <w:t>near the heme, which was not our target.</w:t>
      </w:r>
      <w:r w:rsidR="00A8232F">
        <w:t xml:space="preserve"> Additionally, the whole </w:t>
      </w:r>
      <w:r w:rsidR="009C6F39">
        <w:t xml:space="preserve">cell approach was </w:t>
      </w:r>
      <w:r w:rsidR="00A8232F">
        <w:t>performed</w:t>
      </w:r>
      <w:r w:rsidR="009C6F39">
        <w:t xml:space="preserve"> for 20</w:t>
      </w:r>
      <w:r w:rsidR="00EB3568">
        <w:t> h</w:t>
      </w:r>
      <w:r w:rsidR="009C6F39">
        <w:t xml:space="preserve"> in a fed-batch reactor</w:t>
      </w:r>
      <w:r w:rsidR="009B41CF">
        <w:t>,</w:t>
      </w:r>
      <w:r w:rsidR="009C6F39">
        <w:t xml:space="preserve"> compared to our new 1 h</w:t>
      </w:r>
      <w:r w:rsidR="00A8232F">
        <w:t xml:space="preserve"> small scale screening system with lysate and free reductases with excellent reproducibility. </w:t>
      </w:r>
      <w:r w:rsidR="0046188D">
        <w:t xml:space="preserve">Thus, </w:t>
      </w:r>
      <w:r w:rsidR="009C6F39">
        <w:t xml:space="preserve">we </w:t>
      </w:r>
      <w:r w:rsidR="00A8232F">
        <w:t>wanted</w:t>
      </w:r>
      <w:r w:rsidR="009C6F39">
        <w:t xml:space="preserve"> to gain more mechanistic and dynamic in</w:t>
      </w:r>
      <w:r w:rsidR="003B7F4C">
        <w:t xml:space="preserve">sights than previously achieved. </w:t>
      </w:r>
      <w:r w:rsidR="009B41CF">
        <w:t xml:space="preserve">In </w:t>
      </w:r>
      <w:r w:rsidR="007E7BDF">
        <w:t>our</w:t>
      </w:r>
      <w:r w:rsidR="000D704D">
        <w:t xml:space="preserve"> </w:t>
      </w:r>
      <w:r w:rsidR="009B41CF">
        <w:t>preliminary work</w:t>
      </w:r>
      <w:r w:rsidR="00A6676F">
        <w:t xml:space="preserve"> we observed three residues </w:t>
      </w:r>
      <w:r w:rsidR="00F828AC">
        <w:t>positioned</w:t>
      </w:r>
      <w:r w:rsidR="00A6676F">
        <w:t xml:space="preserve"> in a horizontal plane </w:t>
      </w:r>
      <w:r w:rsidR="008D547B">
        <w:t xml:space="preserve">around the model product </w:t>
      </w:r>
      <w:r w:rsidR="008D547B">
        <w:rPr>
          <w:rFonts w:ascii="Constantia" w:hAnsi="Constantia"/>
        </w:rPr>
        <w:t>ω</w:t>
      </w:r>
      <w:r w:rsidR="008D547B">
        <w:t>-</w:t>
      </w:r>
      <w:proofErr w:type="spellStart"/>
      <w:r w:rsidR="008D547B">
        <w:t>hydroxy</w:t>
      </w:r>
      <w:proofErr w:type="spellEnd"/>
      <w:r w:rsidR="008D547B">
        <w:t xml:space="preserve"> </w:t>
      </w:r>
      <w:proofErr w:type="spellStart"/>
      <w:r w:rsidR="008D547B">
        <w:t>dodecanoic</w:t>
      </w:r>
      <w:proofErr w:type="spellEnd"/>
      <w:r w:rsidR="008D547B">
        <w:t xml:space="preserve"> acid</w:t>
      </w:r>
      <w:r w:rsidR="002E2222">
        <w:t xml:space="preserve"> in the structure of wild</w:t>
      </w:r>
      <w:r w:rsidR="00D83D14">
        <w:t>-</w:t>
      </w:r>
      <w:r w:rsidR="002E2222">
        <w:t>type</w:t>
      </w:r>
      <w:r w:rsidR="008D547B">
        <w:t xml:space="preserve"> CYP153A</w:t>
      </w:r>
      <w:r w:rsidR="008D547B" w:rsidRPr="00A6676F">
        <w:rPr>
          <w:i/>
          <w:vertAlign w:val="subscript"/>
        </w:rPr>
        <w:t>M.aq</w:t>
      </w:r>
      <w:r w:rsidR="008D547B">
        <w:t xml:space="preserve"> </w:t>
      </w:r>
      <w:r w:rsidR="002E2222">
        <w:t xml:space="preserve">(PDB </w:t>
      </w:r>
      <w:r w:rsidR="00D83D14">
        <w:t xml:space="preserve">ID </w:t>
      </w:r>
      <w:r w:rsidR="002E2222">
        <w:t>5FYG</w:t>
      </w:r>
      <w:r w:rsidR="00D83D14">
        <w:t>)</w:t>
      </w:r>
      <w:r w:rsidR="00D83D14">
        <w:fldChar w:fldCharType="begin" w:fldLock="1"/>
      </w:r>
      <w:r w:rsidR="00EB3568">
        <w:instrText>ADDIN CSL_CITATION {"citationItems":[{"id":"ITEM-1","itemData":{"DOI":"10.1002/cctc.201600680","ISSN":"1867-3899","abstract":"The structure of a P450 ω-hydroxylase bound to its fatty acid product was determined, which revealed a narrow substrate tunnel that leads to the heme. The introduction of an arginine side chain in proximity to the carboxyl group of the fatty acid led to a reduced KM value for dodecanoic acid, which suggests the importance of an anchoring point in the active site. An increase in the flexibility of the substrate recognition region was also engineered, which resulted in a threefold improved product formation.","author":[{"dropping-particle":"","family":"Hoffmann","given":"Sara M","non-dropping-particle":"","parse-names":false,"suffix":""},{"dropping-particle":"","family":"Danesh‐Azari","given":"Hamid‐Reza","non-dropping-particle":"","parse-names":false,"suffix":""},{"dropping-particle":"","family":"Spandolf","given":"Claudia","non-dropping-particle":"","parse-names":false,"suffix":""},{"dropping-particle":"","family":"Weissenborn","given":"Martin J","non-dropping-particle":"","parse-names":false,"suffix":""},{"dropping-particle":"","family":"Grogan","given":"Gideon","non-dropping-particle":"","parse-names":false,"suffix":""},{"dropping-particle":"","family":"Hauer","given":"Bernhard","non-dropping-particle":"","parse-names":false,"suffix":""}],"container-title":"ChemCatChem","id":"ITEM-1","issue":"20","issued":{"date-parts":[["2016"]]},"page":"3234-3239","publisher":"Wiley Online Library","title":"Structure‐Guided Redesign of CYP153AM.aq for the Improved Terminal Hydroxylation of Fatty Acids","type":"article-journal","volume":"8"},"uris":["http://www.mendeley.com/documents/?uuid=a5655c03-fbb0-441f-b0d1-da241cc98501"]}],"mendeley":{"formattedCitation":"&lt;sup&gt;25&lt;/sup&gt;","plainTextFormattedCitation":"25","previouslyFormattedCitation":"&lt;sup&gt;25&lt;/sup&gt;"},"properties":{"noteIndex":0},"schema":"https://github.com/citation-style-language/schema/raw/master/csl-citation.json"}</w:instrText>
      </w:r>
      <w:r w:rsidR="00D83D14">
        <w:fldChar w:fldCharType="separate"/>
      </w:r>
      <w:r w:rsidR="00397741" w:rsidRPr="00397741">
        <w:rPr>
          <w:noProof/>
          <w:vertAlign w:val="superscript"/>
        </w:rPr>
        <w:t>25</w:t>
      </w:r>
      <w:r w:rsidR="00D83D14">
        <w:fldChar w:fldCharType="end"/>
      </w:r>
      <w:r w:rsidR="008D547B">
        <w:t xml:space="preserve">. These residues </w:t>
      </w:r>
      <w:r w:rsidR="009B41CF">
        <w:t>form</w:t>
      </w:r>
      <w:r w:rsidR="008D547B">
        <w:t xml:space="preserve"> one section of the molecular tunnel 2c</w:t>
      </w:r>
      <w:r w:rsidR="009B41CF">
        <w:t>,</w:t>
      </w:r>
      <w:r w:rsidR="008D547B">
        <w:t xml:space="preserve"> which was </w:t>
      </w:r>
      <w:r w:rsidR="00415889">
        <w:t>identified</w:t>
      </w:r>
      <w:r w:rsidR="008D547B">
        <w:t xml:space="preserve"> to be </w:t>
      </w:r>
      <w:r w:rsidR="00264BA9">
        <w:t>the favored</w:t>
      </w:r>
      <w:r w:rsidR="008D547B">
        <w:t xml:space="preserve"> substrate entrance tunnel (</w:t>
      </w:r>
      <w:proofErr w:type="spellStart"/>
      <w:r w:rsidR="008D547B">
        <w:t>CaverDock</w:t>
      </w:r>
      <w:proofErr w:type="spellEnd"/>
      <w:r w:rsidR="008D547B">
        <w:t xml:space="preserve">, </w:t>
      </w:r>
      <w:r w:rsidR="005C7F06" w:rsidRPr="008060F5">
        <w:t xml:space="preserve">Figure </w:t>
      </w:r>
      <w:r w:rsidR="005C7F06" w:rsidRPr="0037333F">
        <w:t>S</w:t>
      </w:r>
      <w:r w:rsidR="00012469" w:rsidRPr="0037333F">
        <w:t>4</w:t>
      </w:r>
      <w:r w:rsidR="00264BA9" w:rsidRPr="0037333F">
        <w:t xml:space="preserve"> and Table S5</w:t>
      </w:r>
      <w:r w:rsidR="008D547B" w:rsidRPr="0037333F">
        <w:t xml:space="preserve">). </w:t>
      </w:r>
      <w:r w:rsidR="00D40E6A" w:rsidRPr="0037333F">
        <w:t xml:space="preserve">The first position, Q129, </w:t>
      </w:r>
      <w:r w:rsidR="00415889" w:rsidRPr="0037333F">
        <w:t>has</w:t>
      </w:r>
      <w:r w:rsidR="00D40E6A" w:rsidRPr="0037333F">
        <w:t xml:space="preserve"> already </w:t>
      </w:r>
      <w:r w:rsidR="00415889" w:rsidRPr="0037333F">
        <w:t xml:space="preserve">been </w:t>
      </w:r>
      <w:r w:rsidR="00D40E6A" w:rsidRPr="0037333F">
        <w:t>described</w:t>
      </w:r>
      <w:r w:rsidR="003E6F3F" w:rsidRPr="0037333F">
        <w:t xml:space="preserve"> </w:t>
      </w:r>
      <w:r w:rsidR="00A4338A" w:rsidRPr="0037333F">
        <w:t>by</w:t>
      </w:r>
      <w:r w:rsidR="003E6F3F" w:rsidRPr="0037333F">
        <w:t xml:space="preserve"> our lab</w:t>
      </w:r>
      <w:r w:rsidR="00D40E6A" w:rsidRPr="0037333F">
        <w:t xml:space="preserve"> as </w:t>
      </w:r>
      <w:r w:rsidR="00A4338A" w:rsidRPr="0037333F">
        <w:t xml:space="preserve">a </w:t>
      </w:r>
      <w:r w:rsidR="00D40E6A" w:rsidRPr="0037333F">
        <w:t>fatty acid anchor</w:t>
      </w:r>
      <w:r w:rsidR="003E6F3F" w:rsidRPr="0037333F">
        <w:t xml:space="preserve"> for </w:t>
      </w:r>
      <w:proofErr w:type="spellStart"/>
      <w:r w:rsidR="003E6F3F" w:rsidRPr="0037333F">
        <w:t>dodecanoic</w:t>
      </w:r>
      <w:proofErr w:type="spellEnd"/>
      <w:r w:rsidR="003E6F3F" w:rsidRPr="0037333F">
        <w:t xml:space="preserve"> acid</w:t>
      </w:r>
      <w:r w:rsidR="00DD7E13" w:rsidRPr="0037333F">
        <w:t xml:space="preserve"> (C12)</w:t>
      </w:r>
      <w:r w:rsidR="00415889" w:rsidRPr="0037333F">
        <w:t xml:space="preserve"> when mutated to an a</w:t>
      </w:r>
      <w:r w:rsidR="00D40E6A" w:rsidRPr="0037333F">
        <w:t>rginine</w:t>
      </w:r>
      <w:r w:rsidR="0046188D" w:rsidRPr="0037333F">
        <w:t xml:space="preserve"> (Figure 2)</w:t>
      </w:r>
      <w:r w:rsidR="00D40E6A" w:rsidRPr="0037333F">
        <w:t>.</w:t>
      </w:r>
      <w:r w:rsidR="003E6F3F" w:rsidRPr="0037333F">
        <w:fldChar w:fldCharType="begin" w:fldLock="1"/>
      </w:r>
      <w:r w:rsidR="00EB3568" w:rsidRPr="0037333F">
        <w:instrText>ADDIN CSL_CITATION {"citationItems":[{"id":"ITEM-1","itemData":{"DOI":"10.1002/cctc.201600680","ISSN":"1867-3899","abstract":"The structure of a P450 ω-hydroxylase bound to its fatty acid product was determined, which revealed a narrow substrate tunnel that leads to the heme. The introduction of an arginine side chain in proximity to the carboxyl group of the fatty acid led to a reduced KM value for dodecanoic acid, which suggests the importance of an anchoring point in the active site. An increase in the flexibility of the substrate recognition region was also engineered, which resulted in a threefold improved product formation.","author":[{"dropping-particle":"","family":"Hoffmann","given":"Sara M","non-dropping-particle":"","parse-names":false,"suffix":""},{"dropping-particle":"","family":"Danesh‐Azari","given":"Hamid‐Reza","non-dropping-particle":"","parse-names":false,"suffix":""},{"dropping-particle":"","family":"Spandolf","given":"Claudia","non-dropping-particle":"","parse-names":false,"suffix":""},{"dropping-particle":"","family":"Weissenborn","given":"Martin J","non-dropping-particle":"","parse-names":false,"suffix":""},{"dropping-particle":"","family":"Grogan","given":"Gideon","non-dropping-particle":"","parse-names":false,"suffix":""},{"dropping-particle":"","family":"Hauer","given":"Bernhard","non-dropping-particle":"","parse-names":false,"suffix":""}],"container-title":"ChemCatChem","id":"ITEM-1","issue":"20","issued":{"date-parts":[["2016"]]},"page":"3234-3239","publisher":"Wiley Online Library","title":"Structure‐Guided Redesign of CYP153AM.aq for the Improved Terminal Hydroxylation of Fatty Acids","type":"article-journal","volume":"8"},"uris":["http://www.mendeley.com/documents/?uuid=a5655c03-fbb0-441f-b0d1-da241cc98501"]}],"mendeley":{"formattedCitation":"&lt;sup&gt;25&lt;/sup&gt;","plainTextFormattedCitation":"25","previouslyFormattedCitation":"&lt;sup&gt;25&lt;/sup&gt;"},"properties":{"noteIndex":0},"schema":"https://github.com/citation-style-language/schema/raw/master/csl-citation.json"}</w:instrText>
      </w:r>
      <w:r w:rsidR="003E6F3F" w:rsidRPr="0037333F">
        <w:fldChar w:fldCharType="separate"/>
      </w:r>
      <w:r w:rsidR="00397741" w:rsidRPr="0037333F">
        <w:rPr>
          <w:noProof/>
          <w:vertAlign w:val="superscript"/>
        </w:rPr>
        <w:t>25</w:t>
      </w:r>
      <w:r w:rsidR="003E6F3F" w:rsidRPr="0037333F">
        <w:fldChar w:fldCharType="end"/>
      </w:r>
      <w:r w:rsidR="00D40E6A" w:rsidRPr="0037333F">
        <w:t xml:space="preserve"> </w:t>
      </w:r>
      <w:r w:rsidR="003E6F3F" w:rsidRPr="0037333F">
        <w:t xml:space="preserve">The second </w:t>
      </w:r>
      <w:r w:rsidR="005D3CD9" w:rsidRPr="0037333F">
        <w:t xml:space="preserve">position, M228, </w:t>
      </w:r>
      <w:r w:rsidR="002E2222" w:rsidRPr="0037333F">
        <w:t>confers</w:t>
      </w:r>
      <w:r w:rsidR="005D3CD9" w:rsidRPr="0037333F">
        <w:t xml:space="preserve"> </w:t>
      </w:r>
      <w:r w:rsidR="00415889" w:rsidRPr="0037333F">
        <w:t xml:space="preserve">an </w:t>
      </w:r>
      <w:r w:rsidR="00B368F7" w:rsidRPr="0037333F">
        <w:t>altered specificity towards fatty acid chain lengths depending on the amino acid substitution</w:t>
      </w:r>
      <w:r w:rsidR="00415889" w:rsidRPr="0037333F">
        <w:t xml:space="preserve"> (</w:t>
      </w:r>
      <w:r w:rsidR="000A4B1E" w:rsidRPr="0037333F">
        <w:t>data not shown</w:t>
      </w:r>
      <w:r w:rsidR="00415889" w:rsidRPr="0037333F">
        <w:t>)</w:t>
      </w:r>
      <w:r w:rsidR="00B368F7" w:rsidRPr="0037333F">
        <w:t>.</w:t>
      </w:r>
      <w:r w:rsidR="003313A6" w:rsidRPr="0037333F">
        <w:t xml:space="preserve"> </w:t>
      </w:r>
      <w:r w:rsidR="00C459EA" w:rsidRPr="0037333F">
        <w:t>Finally,</w:t>
      </w:r>
      <w:r w:rsidR="003313A6" w:rsidRPr="0037333F">
        <w:t xml:space="preserve"> </w:t>
      </w:r>
      <w:r w:rsidR="00195A72" w:rsidRPr="0037333F">
        <w:t xml:space="preserve">we </w:t>
      </w:r>
      <w:r w:rsidR="00CB01C6" w:rsidRPr="0037333F">
        <w:t>focused on</w:t>
      </w:r>
      <w:r w:rsidR="003E11F3" w:rsidRPr="0037333F">
        <w:t xml:space="preserve"> V141 </w:t>
      </w:r>
      <w:r w:rsidR="00CB01C6" w:rsidRPr="0037333F">
        <w:t xml:space="preserve">as the third amino acid </w:t>
      </w:r>
      <w:r w:rsidR="00A4338A" w:rsidRPr="0037333F">
        <w:t>of</w:t>
      </w:r>
      <w:r w:rsidR="00CB01C6" w:rsidRPr="0037333F">
        <w:t xml:space="preserve"> this triangular relationship and hypothesize</w:t>
      </w:r>
      <w:r w:rsidR="0095213E" w:rsidRPr="0037333F">
        <w:t>d that</w:t>
      </w:r>
      <w:r w:rsidR="00CB01C6" w:rsidRPr="0037333F">
        <w:t xml:space="preserve"> these residues </w:t>
      </w:r>
      <w:r w:rsidR="001E0635" w:rsidRPr="0037333F">
        <w:t>would</w:t>
      </w:r>
      <w:r w:rsidR="00CB01C6" w:rsidRPr="0037333F">
        <w:t xml:space="preserve"> influence each other</w:t>
      </w:r>
      <w:r w:rsidR="0025750D" w:rsidRPr="0037333F">
        <w:t>.</w:t>
      </w:r>
      <w:r w:rsidR="000F1F27" w:rsidRPr="0037333F">
        <w:t xml:space="preserve"> </w:t>
      </w:r>
    </w:p>
    <w:p w14:paraId="175B8E3D" w14:textId="66955FA9" w:rsidR="00A31970" w:rsidRPr="0037333F" w:rsidRDefault="00D83D14" w:rsidP="00A56E5C">
      <w:pPr>
        <w:pStyle w:val="TAMainText"/>
      </w:pPr>
      <w:r w:rsidRPr="0037333F">
        <w:t>Here, w</w:t>
      </w:r>
      <w:r w:rsidR="000F1F27" w:rsidRPr="0037333F">
        <w:t xml:space="preserve">e used different mutagenesis approaches </w:t>
      </w:r>
      <w:r w:rsidR="009F07AB" w:rsidRPr="0037333F">
        <w:t>to improve the CYP153A</w:t>
      </w:r>
      <w:r w:rsidR="009F07AB" w:rsidRPr="0037333F">
        <w:rPr>
          <w:i/>
          <w:vertAlign w:val="subscript"/>
        </w:rPr>
        <w:t>M.aq</w:t>
      </w:r>
      <w:r w:rsidR="009F07AB" w:rsidRPr="0037333F">
        <w:t xml:space="preserve"> activity </w:t>
      </w:r>
      <w:r w:rsidR="00A4338A" w:rsidRPr="0037333F">
        <w:t>towards</w:t>
      </w:r>
      <w:r w:rsidR="009F07AB" w:rsidRPr="0037333F">
        <w:t xml:space="preserve"> octanoic acid: </w:t>
      </w:r>
      <w:r w:rsidR="002E75D1" w:rsidRPr="0037333F">
        <w:t>(</w:t>
      </w:r>
      <w:proofErr w:type="spellStart"/>
      <w:r w:rsidR="002E75D1" w:rsidRPr="0037333F">
        <w:t>i</w:t>
      </w:r>
      <w:proofErr w:type="spellEnd"/>
      <w:r w:rsidR="002E75D1" w:rsidRPr="0037333F">
        <w:t>) A structure-sequence-alignment in the 3DM database (</w:t>
      </w:r>
      <w:hyperlink r:id="rId12" w:history="1">
        <w:r w:rsidR="002E75D1" w:rsidRPr="0037333F">
          <w:rPr>
            <w:rStyle w:val="Hyperlink"/>
          </w:rPr>
          <w:t>https://3dm.bio-prodict.com/</w:t>
        </w:r>
      </w:hyperlink>
      <w:r w:rsidR="002E75D1" w:rsidRPr="0037333F">
        <w:t xml:space="preserve">) of 312 P450 enzymes with a sequence identity of </w:t>
      </w:r>
      <w:r w:rsidR="002E75D1" w:rsidRPr="0037333F">
        <w:rPr>
          <w:rFonts w:ascii="Constantia" w:hAnsi="Constantia"/>
        </w:rPr>
        <w:t>≥</w:t>
      </w:r>
      <w:r w:rsidR="002E75D1" w:rsidRPr="0037333F">
        <w:t xml:space="preserve"> 55% </w:t>
      </w:r>
      <w:r w:rsidR="001E0635" w:rsidRPr="0037333F">
        <w:t xml:space="preserve">compared </w:t>
      </w:r>
      <w:r w:rsidR="002E75D1" w:rsidRPr="0037333F">
        <w:t>to CYP153A</w:t>
      </w:r>
      <w:r w:rsidR="002E75D1" w:rsidRPr="0037333F">
        <w:rPr>
          <w:i/>
          <w:vertAlign w:val="subscript"/>
        </w:rPr>
        <w:t>M.aq</w:t>
      </w:r>
      <w:r w:rsidR="005832E4" w:rsidRPr="0037333F">
        <w:t>;</w:t>
      </w:r>
      <w:r w:rsidR="002E75D1" w:rsidRPr="0037333F">
        <w:t xml:space="preserve"> </w:t>
      </w:r>
      <w:r w:rsidR="00415889" w:rsidRPr="0037333F">
        <w:t>(ii) </w:t>
      </w:r>
      <w:r w:rsidR="00A4338A" w:rsidRPr="0037333F">
        <w:t>a</w:t>
      </w:r>
      <w:r w:rsidR="00746193" w:rsidRPr="0037333F">
        <w:t xml:space="preserve"> homologous enzyme CYP153A</w:t>
      </w:r>
      <w:r w:rsidR="00746193" w:rsidRPr="0037333F">
        <w:rPr>
          <w:i/>
          <w:vertAlign w:val="subscript"/>
        </w:rPr>
        <w:t xml:space="preserve">P.sp </w:t>
      </w:r>
      <w:r w:rsidR="00746193" w:rsidRPr="0037333F">
        <w:t>with a sequence identity of 5</w:t>
      </w:r>
      <w:r w:rsidR="00F75A8D" w:rsidRPr="0037333F">
        <w:t>6</w:t>
      </w:r>
      <w:r w:rsidR="00746193" w:rsidRPr="0037333F">
        <w:t>%</w:t>
      </w:r>
      <w:r w:rsidR="00A4338A" w:rsidRPr="0037333F">
        <w:t xml:space="preserve">, and known to </w:t>
      </w:r>
      <w:proofErr w:type="spellStart"/>
      <w:r w:rsidR="00A4338A" w:rsidRPr="0037333F">
        <w:t>hydroxylate</w:t>
      </w:r>
      <w:proofErr w:type="spellEnd"/>
      <w:r w:rsidR="00A4338A" w:rsidRPr="0037333F">
        <w:t xml:space="preserve"> the shorter substrate octane,</w:t>
      </w:r>
      <w:r w:rsidR="00746193" w:rsidRPr="0037333F">
        <w:t xml:space="preserve"> was crysta</w:t>
      </w:r>
      <w:r w:rsidR="00A4338A" w:rsidRPr="0037333F">
        <w:t>l</w:t>
      </w:r>
      <w:r w:rsidR="00746193" w:rsidRPr="0037333F">
        <w:t>lized</w:t>
      </w:r>
      <w:r w:rsidR="005A278D" w:rsidRPr="0037333F">
        <w:t xml:space="preserve"> and its structure determined in complex with the hydroxylation product octan-1-ol. </w:t>
      </w:r>
      <w:r w:rsidR="00F75A8D" w:rsidRPr="0037333F">
        <w:t xml:space="preserve"> </w:t>
      </w:r>
      <w:r w:rsidR="005A278D" w:rsidRPr="0037333F">
        <w:t>The</w:t>
      </w:r>
      <w:r w:rsidRPr="0037333F">
        <w:t>s</w:t>
      </w:r>
      <w:r w:rsidR="005A278D" w:rsidRPr="0037333F">
        <w:t>e structures of CYP153</w:t>
      </w:r>
      <w:r w:rsidR="00381AEB" w:rsidRPr="0037333F">
        <w:rPr>
          <w:i/>
          <w:vertAlign w:val="subscript"/>
        </w:rPr>
        <w:t xml:space="preserve">M.aq </w:t>
      </w:r>
      <w:r w:rsidR="0038659B" w:rsidRPr="0037333F">
        <w:rPr>
          <w:i/>
          <w:vertAlign w:val="subscript"/>
        </w:rPr>
        <w:t xml:space="preserve"> </w:t>
      </w:r>
      <w:r w:rsidR="00381AEB" w:rsidRPr="0037333F">
        <w:rPr>
          <w:iCs/>
        </w:rPr>
        <w:t xml:space="preserve">and </w:t>
      </w:r>
      <w:r w:rsidR="00381AEB" w:rsidRPr="0037333F">
        <w:t>CYP153A</w:t>
      </w:r>
      <w:r w:rsidR="00381AEB" w:rsidRPr="0037333F">
        <w:rPr>
          <w:i/>
          <w:vertAlign w:val="subscript"/>
        </w:rPr>
        <w:t>P.sp</w:t>
      </w:r>
      <w:r w:rsidR="00381AEB" w:rsidRPr="0037333F">
        <w:rPr>
          <w:iCs/>
        </w:rPr>
        <w:t xml:space="preserve"> </w:t>
      </w:r>
      <w:r w:rsidR="00381AEB" w:rsidRPr="0037333F">
        <w:t>were a</w:t>
      </w:r>
      <w:r w:rsidR="00F75A8D" w:rsidRPr="0037333F">
        <w:t>ligned</w:t>
      </w:r>
      <w:r w:rsidR="00411E73" w:rsidRPr="0037333F">
        <w:t xml:space="preserve"> and the corresponding amino acids were</w:t>
      </w:r>
      <w:r w:rsidR="00415889" w:rsidRPr="0037333F">
        <w:t xml:space="preserve"> substituted</w:t>
      </w:r>
      <w:r w:rsidR="005832E4" w:rsidRPr="0037333F">
        <w:t>;</w:t>
      </w:r>
      <w:r w:rsidR="00415889" w:rsidRPr="0037333F">
        <w:t xml:space="preserve"> (iii) </w:t>
      </w:r>
      <w:r w:rsidR="005832E4" w:rsidRPr="0037333F">
        <w:t>t</w:t>
      </w:r>
      <w:r w:rsidR="00415889" w:rsidRPr="0037333F">
        <w:t>he target</w:t>
      </w:r>
      <w:r w:rsidR="00411E73" w:rsidRPr="0037333F">
        <w:t xml:space="preserve"> positions were individually saturated with</w:t>
      </w:r>
      <w:r w:rsidR="00FA0861" w:rsidRPr="0037333F">
        <w:t xml:space="preserve"> the 22c-trick</w:t>
      </w:r>
      <w:r w:rsidR="00371FBB" w:rsidRPr="0037333F">
        <w:fldChar w:fldCharType="begin" w:fldLock="1"/>
      </w:r>
      <w:r w:rsidR="00EB3568" w:rsidRPr="0037333F">
        <w:instrText>ADDIN CSL_CITATION {"citationItems":[{"id":"ITEM-1","itemData":{"DOI":"10.1021/sb300037w","ISBN":"2161-5063\\r2161-5063","ISSN":"21615063","PMID":"23656371","abstract":"Saturation mutagenesis probes define sections of the vast protein sequence space. However, even if randomization is limited this way, the combinatorial numbers problem is severe. Because diversity is created at the codon level, codon redundancy is a crucial factor determining the necessary effort for library screening. Additionally, due to the probabilistic nature of the sampling process, oversampling is required to ensure library completeness as well as a high probability to encounter all unique variants. Our trick employs a special mixture of three primers, creating a degeneracy of 22 unique codons coding for the 20 canonical amino acids. Therefore, codon redundancy and subsequent screening effort is significantly reduced, and a balanced distribution of codon per amino acid is achieved, as demonstrated exemplarily for a library of cyclohexanone monooxygenase. We show that this strategy is suitable for any saturation mutagenesis methodology to generate less-redundant libraries.","author":[{"dropping-particle":"","family":"Kille","given":"Sabrina","non-dropping-particle":"","parse-names":false,"suffix":""},{"dropping-particle":"","family":"Acevedo-Rocha","given":"Carlos G.","non-dropping-particle":"","parse-names":false,"suffix":""},{"dropping-particle":"","family":"Parra","given":"Loreto P.","non-dropping-particle":"","parse-names":false,"suffix":""},{"dropping-particle":"","family":"Zhang","given":"Zhi Gang","non-dropping-particle":"","parse-names":false,"suffix":""},{"dropping-particle":"","family":"Opperman","given":"Diederik J.","non-dropping-particle":"","parse-names":false,"suffix":""},{"dropping-particle":"","family":"Reetz","given":"Manfred T.","non-dropping-particle":"","parse-names":false,"suffix":""},{"dropping-particle":"","family":"Acevedo","given":"Juan Pablo","non-dropping-particle":"","parse-names":false,"suffix":""}],"container-title":"ACS Synthetic Biology","id":"ITEM-1","issue":"2","issued":{"date-parts":[["2013"]]},"page":"83-92","title":"Reducing codon redundancy and screening effort of combinatorial protein libraries created by saturation mutagenesis","type":"article-journal","volume":"2"},"uris":["http://www.mendeley.com/documents/?uuid=d484a674-30ae-4e36-a7c6-a1b353e520bc"]}],"mendeley":{"formattedCitation":"&lt;sup&gt;26&lt;/sup&gt;","plainTextFormattedCitation":"26","previouslyFormattedCitation":"&lt;sup&gt;26&lt;/sup&gt;"},"properties":{"noteIndex":0},"schema":"https://github.com/citation-style-language/schema/raw/master/csl-citation.json"}</w:instrText>
      </w:r>
      <w:r w:rsidR="00371FBB" w:rsidRPr="0037333F">
        <w:fldChar w:fldCharType="separate"/>
      </w:r>
      <w:r w:rsidR="00397741" w:rsidRPr="0037333F">
        <w:rPr>
          <w:noProof/>
          <w:vertAlign w:val="superscript"/>
        </w:rPr>
        <w:t>26</w:t>
      </w:r>
      <w:r w:rsidR="00371FBB" w:rsidRPr="0037333F">
        <w:fldChar w:fldCharType="end"/>
      </w:r>
      <w:r w:rsidR="00FA0861" w:rsidRPr="0037333F">
        <w:t xml:space="preserve"> and pre-screened with</w:t>
      </w:r>
      <w:r w:rsidR="00411E73" w:rsidRPr="0037333F">
        <w:t xml:space="preserve"> a whole-cell screening </w:t>
      </w:r>
      <w:r w:rsidR="0038659B" w:rsidRPr="0037333F">
        <w:t xml:space="preserve">using an artificial fusion construct to lower the variation </w:t>
      </w:r>
      <w:r w:rsidR="00FA0861" w:rsidRPr="0037333F">
        <w:t>particularly established for fatty acid hydroxylation</w:t>
      </w:r>
      <w:r w:rsidR="005832E4" w:rsidRPr="0037333F">
        <w:t>;</w:t>
      </w:r>
      <w:r w:rsidR="00F136C7" w:rsidRPr="0037333F">
        <w:t xml:space="preserve"> </w:t>
      </w:r>
      <w:r w:rsidR="00DC51CD" w:rsidRPr="0037333F">
        <w:t>(iv</w:t>
      </w:r>
      <w:r w:rsidR="001E0635" w:rsidRPr="0037333F">
        <w:t xml:space="preserve">) </w:t>
      </w:r>
      <w:r w:rsidR="005832E4" w:rsidRPr="0037333F">
        <w:t>f</w:t>
      </w:r>
      <w:r w:rsidR="00F136C7" w:rsidRPr="0037333F">
        <w:t>inally, the best single mutations were combined</w:t>
      </w:r>
      <w:r w:rsidR="001E0635" w:rsidRPr="0037333F">
        <w:t xml:space="preserve"> to </w:t>
      </w:r>
      <w:r w:rsidR="00A4338A" w:rsidRPr="0037333F">
        <w:t xml:space="preserve">create </w:t>
      </w:r>
      <w:r w:rsidR="001E0635" w:rsidRPr="0037333F">
        <w:t>double and triple variants</w:t>
      </w:r>
      <w:r w:rsidR="0038659B" w:rsidRPr="0037333F">
        <w:t xml:space="preserve">. </w:t>
      </w:r>
      <w:r w:rsidR="00A4338A" w:rsidRPr="0037333F">
        <w:t>The</w:t>
      </w:r>
      <w:r w:rsidR="00415889" w:rsidRPr="0037333F">
        <w:t xml:space="preserve"> </w:t>
      </w:r>
      <w:r w:rsidR="00F136C7" w:rsidRPr="0037333F">
        <w:t xml:space="preserve">triple mutant </w:t>
      </w:r>
      <w:r w:rsidR="00A4338A" w:rsidRPr="0037333F">
        <w:t xml:space="preserve">with the best activity towards </w:t>
      </w:r>
      <w:r w:rsidR="001E0635" w:rsidRPr="0037333F">
        <w:t xml:space="preserve">octanoic acid, M.aqRLT, </w:t>
      </w:r>
      <w:r w:rsidR="00A4338A" w:rsidRPr="0037333F">
        <w:t>had</w:t>
      </w:r>
      <w:r w:rsidR="001E0635" w:rsidRPr="0037333F">
        <w:t xml:space="preserve"> the mutations Q129R, V141L and M228T</w:t>
      </w:r>
      <w:r w:rsidR="00A4338A" w:rsidRPr="0037333F">
        <w:t>.</w:t>
      </w:r>
    </w:p>
    <w:p w14:paraId="077EB7DD" w14:textId="60F3F0D6" w:rsidR="001E0635" w:rsidRDefault="001D7611" w:rsidP="00A56E5C">
      <w:pPr>
        <w:pStyle w:val="TAMainText"/>
      </w:pPr>
      <w:r w:rsidRPr="0037333F">
        <w:t>After 1 h</w:t>
      </w:r>
      <w:r w:rsidR="00C2792D" w:rsidRPr="0037333F">
        <w:t>,</w:t>
      </w:r>
      <w:r w:rsidRPr="0037333F">
        <w:t xml:space="preserve"> </w:t>
      </w:r>
      <w:r w:rsidR="00A26E29" w:rsidRPr="0037333F">
        <w:t xml:space="preserve">wild-type </w:t>
      </w:r>
      <w:r w:rsidRPr="0037333F">
        <w:t>CYP153A</w:t>
      </w:r>
      <w:r w:rsidRPr="0037333F">
        <w:rPr>
          <w:i/>
          <w:vertAlign w:val="subscript"/>
        </w:rPr>
        <w:t>M.aq</w:t>
      </w:r>
      <w:r w:rsidRPr="0037333F">
        <w:t xml:space="preserve"> </w:t>
      </w:r>
      <w:r w:rsidR="00C2792D" w:rsidRPr="0037333F">
        <w:t xml:space="preserve">showed the </w:t>
      </w:r>
      <w:r w:rsidR="00B346D3" w:rsidRPr="0037333F">
        <w:t>conversion of 1.8% octanoic acid to</w:t>
      </w:r>
      <w:r>
        <w:t xml:space="preserve"> </w:t>
      </w:r>
      <w:r>
        <w:rPr>
          <w:rFonts w:ascii="Constantia" w:hAnsi="Constantia"/>
        </w:rPr>
        <w:t>ω</w:t>
      </w:r>
      <w:r>
        <w:t>-</w:t>
      </w:r>
      <w:proofErr w:type="spellStart"/>
      <w:r>
        <w:t>hydroxy</w:t>
      </w:r>
      <w:proofErr w:type="spellEnd"/>
      <w:r>
        <w:t xml:space="preserve"> octanoic acid. The </w:t>
      </w:r>
      <w:r>
        <w:t>structure-sequence-alignment</w:t>
      </w:r>
      <w:r w:rsidR="00C92DAC">
        <w:t xml:space="preserve"> in the 3DM database</w:t>
      </w:r>
      <w:r>
        <w:t xml:space="preserve"> (Figure 1, </w:t>
      </w:r>
      <w:r w:rsidR="00762441">
        <w:t>red</w:t>
      </w:r>
      <w:r w:rsidR="00012469" w:rsidRPr="0037333F">
        <w:t>; Figure S2</w:t>
      </w:r>
      <w:r w:rsidRPr="0037333F">
        <w:t>)</w:t>
      </w:r>
      <w:r w:rsidR="004F1090" w:rsidRPr="0037333F">
        <w:t xml:space="preserve"> revealed conserved amino acids at two of the positions.</w:t>
      </w:r>
      <w:r w:rsidRPr="0037333F">
        <w:t xml:space="preserve"> </w:t>
      </w:r>
      <w:r w:rsidR="004F1090" w:rsidRPr="0037333F">
        <w:t>These were subsequently substituted to</w:t>
      </w:r>
      <w:r w:rsidRPr="0037333F">
        <w:t xml:space="preserve"> V141I and M228L. </w:t>
      </w:r>
      <w:r w:rsidR="00415889" w:rsidRPr="0037333F">
        <w:t>It is n</w:t>
      </w:r>
      <w:r w:rsidR="00743B16" w:rsidRPr="0037333F">
        <w:t>oteworthy</w:t>
      </w:r>
      <w:r w:rsidR="00415889" w:rsidRPr="0037333F">
        <w:t xml:space="preserve"> that</w:t>
      </w:r>
      <w:r w:rsidRPr="0037333F">
        <w:t xml:space="preserve"> the position Q129 </w:t>
      </w:r>
      <w:r w:rsidR="00415889" w:rsidRPr="0037333F">
        <w:t>did not</w:t>
      </w:r>
      <w:r w:rsidRPr="0037333F">
        <w:t xml:space="preserve"> have a consensus number in the 3DM database and was therefore not considered. </w:t>
      </w:r>
      <w:r w:rsidR="00C92DAC" w:rsidRPr="0037333F">
        <w:t xml:space="preserve">The substitutions of the </w:t>
      </w:r>
      <w:r w:rsidR="00FA0861" w:rsidRPr="0037333F">
        <w:t>corresponding</w:t>
      </w:r>
      <w:r w:rsidR="00C92DAC" w:rsidRPr="0037333F">
        <w:t xml:space="preserve"> residues from CYP153A</w:t>
      </w:r>
      <w:r w:rsidR="00C92DAC" w:rsidRPr="0037333F">
        <w:rPr>
          <w:i/>
          <w:vertAlign w:val="subscript"/>
        </w:rPr>
        <w:t xml:space="preserve">P.sp </w:t>
      </w:r>
      <w:r w:rsidR="00C92DAC" w:rsidRPr="0037333F">
        <w:t xml:space="preserve">were Q129N, V141L and M228A, respectively (Figure 1, </w:t>
      </w:r>
      <w:r w:rsidR="00762441" w:rsidRPr="0037333F">
        <w:t>blue</w:t>
      </w:r>
      <w:r w:rsidR="00C92DAC" w:rsidRPr="0037333F">
        <w:t>). The single variant M.aqV141L</w:t>
      </w:r>
      <w:r w:rsidR="00FA0861" w:rsidRPr="0037333F">
        <w:t xml:space="preserve"> showed the highest improvement of 117.9 </w:t>
      </w:r>
      <w:r w:rsidR="00FA0861" w:rsidRPr="0037333F">
        <w:rPr>
          <w:rFonts w:ascii="Constantia" w:hAnsi="Constantia"/>
        </w:rPr>
        <w:t>±</w:t>
      </w:r>
      <w:r w:rsidR="005C7451" w:rsidRPr="0037333F">
        <w:t> 16.4 µM product formation, a 7-fold</w:t>
      </w:r>
      <w:r w:rsidR="00FA0861" w:rsidRPr="0037333F">
        <w:t xml:space="preserve"> increase compared to the wild type. The individual saturation</w:t>
      </w:r>
      <w:r w:rsidR="00736067" w:rsidRPr="0037333F">
        <w:t xml:space="preserve"> of the three positions</w:t>
      </w:r>
      <w:r w:rsidR="00762441" w:rsidRPr="0037333F">
        <w:t xml:space="preserve"> (Figure 1, grey)</w:t>
      </w:r>
      <w:r w:rsidR="00736067" w:rsidRPr="0037333F">
        <w:t xml:space="preserve"> led to the previously known fatty acid anchoring residue Q129R and further to V141M and M228T.</w:t>
      </w:r>
      <w:r w:rsidR="00FA0861" w:rsidRPr="0037333F">
        <w:t xml:space="preserve"> </w:t>
      </w:r>
      <w:r w:rsidR="00736067" w:rsidRPr="0037333F">
        <w:t xml:space="preserve">The variants were evaluated </w:t>
      </w:r>
      <w:r w:rsidR="00743B16" w:rsidRPr="0037333F">
        <w:t>under</w:t>
      </w:r>
      <w:r w:rsidR="005B7AEA" w:rsidRPr="0037333F">
        <w:t xml:space="preserve"> normalized conditions</w:t>
      </w:r>
      <w:r w:rsidR="00743B16" w:rsidRPr="0037333F">
        <w:t>,</w:t>
      </w:r>
      <w:r w:rsidR="005B7AEA" w:rsidRPr="0037333F">
        <w:t xml:space="preserve"> </w:t>
      </w:r>
      <w:r w:rsidR="00743B16" w:rsidRPr="0037333F">
        <w:t xml:space="preserve">showing approximately </w:t>
      </w:r>
      <w:r w:rsidR="005B7AEA" w:rsidRPr="0037333F">
        <w:t>3</w:t>
      </w:r>
      <w:r w:rsidR="005C7451" w:rsidRPr="0037333F">
        <w:t xml:space="preserve">-fold </w:t>
      </w:r>
      <w:r w:rsidR="005B7AEA" w:rsidRPr="0037333F">
        <w:t>improved product formation compared to the wild type.</w:t>
      </w:r>
      <w:r w:rsidR="00FA0B89" w:rsidRPr="0037333F">
        <w:t xml:space="preserve"> A combination leading to t</w:t>
      </w:r>
      <w:r w:rsidR="00535FB3" w:rsidRPr="0037333F">
        <w:t xml:space="preserve">he double variant </w:t>
      </w:r>
      <w:proofErr w:type="spellStart"/>
      <w:r w:rsidR="00535FB3" w:rsidRPr="0037333F">
        <w:t>M.aqRT</w:t>
      </w:r>
      <w:proofErr w:type="spellEnd"/>
      <w:r w:rsidR="00535FB3" w:rsidRPr="0037333F">
        <w:t xml:space="preserve"> (Q129R/</w:t>
      </w:r>
      <w:r w:rsidR="00FA0B89" w:rsidRPr="0037333F">
        <w:t xml:space="preserve">M228T) </w:t>
      </w:r>
      <w:r w:rsidR="00743B16" w:rsidRPr="0037333F">
        <w:t>strongly</w:t>
      </w:r>
      <w:r w:rsidR="00FA0B89" w:rsidRPr="0037333F">
        <w:t xml:space="preserve"> increased the product formation to </w:t>
      </w:r>
      <w:r w:rsidR="005C7451" w:rsidRPr="0037333F">
        <w:t>10-fold compared</w:t>
      </w:r>
      <w:r w:rsidR="00FA0B89" w:rsidRPr="0037333F">
        <w:t xml:space="preserve"> to the wild type. </w:t>
      </w:r>
      <w:r w:rsidR="00743B16" w:rsidRPr="0037333F">
        <w:t>Remarkably</w:t>
      </w:r>
      <w:r w:rsidR="00535FB3" w:rsidRPr="0037333F">
        <w:t>, the triple variant Q129R/V141M/</w:t>
      </w:r>
      <w:r w:rsidR="00FA0B89" w:rsidRPr="0037333F">
        <w:t xml:space="preserve">M228T showed a decrease in </w:t>
      </w:r>
      <w:r w:rsidR="006F4EB9" w:rsidRPr="0037333F">
        <w:t>th</w:t>
      </w:r>
      <w:r w:rsidR="004F41CD" w:rsidRPr="0037333F">
        <w:t>e</w:t>
      </w:r>
      <w:r w:rsidR="006F4EB9" w:rsidRPr="0037333F">
        <w:t xml:space="preserve"> </w:t>
      </w:r>
      <w:r w:rsidR="00FA0B89" w:rsidRPr="0037333F">
        <w:t xml:space="preserve">product formation </w:t>
      </w:r>
      <w:r w:rsidR="0032629E" w:rsidRPr="0037333F">
        <w:t xml:space="preserve">compared to the double variant (Table </w:t>
      </w:r>
      <w:r w:rsidR="000A4B1E" w:rsidRPr="0037333F">
        <w:t>S</w:t>
      </w:r>
      <w:r w:rsidR="00264BA9" w:rsidRPr="0037333F">
        <w:t>4</w:t>
      </w:r>
      <w:r w:rsidR="0032629E" w:rsidRPr="0037333F">
        <w:t xml:space="preserve">). The mutation V141L was therefore combined with </w:t>
      </w:r>
      <w:proofErr w:type="spellStart"/>
      <w:r w:rsidR="0032629E" w:rsidRPr="0037333F">
        <w:t>M.aqRT</w:t>
      </w:r>
      <w:proofErr w:type="spellEnd"/>
      <w:r w:rsidR="00743B16" w:rsidRPr="0037333F">
        <w:t>,</w:t>
      </w:r>
      <w:r w:rsidR="0032629E" w:rsidRPr="0037333F">
        <w:t xml:space="preserve"> </w:t>
      </w:r>
      <w:r w:rsidR="00743B16" w:rsidRPr="0037333F">
        <w:t>resulting</w:t>
      </w:r>
      <w:r w:rsidR="0032629E" w:rsidRPr="0037333F">
        <w:t xml:space="preserve"> </w:t>
      </w:r>
      <w:r w:rsidR="00743B16" w:rsidRPr="0037333F">
        <w:t>in</w:t>
      </w:r>
      <w:r w:rsidR="0032629E" w:rsidRPr="0037333F">
        <w:t xml:space="preserve"> M.aqRLT</w:t>
      </w:r>
      <w:r w:rsidR="004F41CD" w:rsidRPr="0037333F">
        <w:t xml:space="preserve"> (</w:t>
      </w:r>
      <w:r w:rsidR="00535FB3" w:rsidRPr="0037333F">
        <w:t>Q129R/V141L/</w:t>
      </w:r>
      <w:r w:rsidR="004F41CD" w:rsidRPr="0037333F">
        <w:t>M228T)</w:t>
      </w:r>
      <w:r w:rsidR="0032629E" w:rsidRPr="0037333F">
        <w:t>, the best variant</w:t>
      </w:r>
      <w:r w:rsidR="00743B16" w:rsidRPr="0037333F">
        <w:t xml:space="preserve"> to date</w:t>
      </w:r>
      <w:r w:rsidR="0032629E" w:rsidRPr="0037333F">
        <w:t xml:space="preserve"> for </w:t>
      </w:r>
      <w:r w:rsidR="00743B16" w:rsidRPr="0037333F">
        <w:t xml:space="preserve">the production of </w:t>
      </w:r>
      <w:r w:rsidR="0032629E" w:rsidRPr="0037333F">
        <w:rPr>
          <w:rFonts w:ascii="Constantia" w:hAnsi="Constantia"/>
        </w:rPr>
        <w:t>ω</w:t>
      </w:r>
      <w:r w:rsidR="0032629E" w:rsidRPr="0037333F">
        <w:t>-</w:t>
      </w:r>
      <w:proofErr w:type="spellStart"/>
      <w:r w:rsidR="0032629E" w:rsidRPr="0037333F">
        <w:t>hydroxy</w:t>
      </w:r>
      <w:proofErr w:type="spellEnd"/>
      <w:r w:rsidR="0032629E" w:rsidRPr="0037333F">
        <w:t xml:space="preserve"> octanoic acid with a </w:t>
      </w:r>
      <w:r w:rsidR="005C7451" w:rsidRPr="0037333F">
        <w:t>14-fold</w:t>
      </w:r>
      <w:r w:rsidR="0032629E" w:rsidRPr="0037333F">
        <w:t xml:space="preserve"> improvement compared to the wild</w:t>
      </w:r>
      <w:r w:rsidR="0032629E">
        <w:t xml:space="preserve"> type.</w:t>
      </w:r>
      <w:r w:rsidR="00B91090">
        <w:t xml:space="preserve"> </w:t>
      </w:r>
    </w:p>
    <w:p w14:paraId="23603E60" w14:textId="697A641D" w:rsidR="00B91090" w:rsidRPr="0037333F" w:rsidRDefault="00B91090" w:rsidP="00A56E5C">
      <w:pPr>
        <w:pStyle w:val="TAMainText"/>
      </w:pPr>
      <w:r>
        <w:t xml:space="preserve">We determined </w:t>
      </w:r>
      <w:r w:rsidR="00743B16">
        <w:t xml:space="preserve">the </w:t>
      </w:r>
      <w:r>
        <w:t>kinetics to further characterize the wild type and the best variant</w:t>
      </w:r>
      <w:r w:rsidR="00743B16">
        <w:t>s</w:t>
      </w:r>
      <w:r>
        <w:t xml:space="preserve"> </w:t>
      </w:r>
      <w:r w:rsidRPr="0037333F">
        <w:t>(</w:t>
      </w:r>
      <w:proofErr w:type="spellStart"/>
      <w:r w:rsidR="00012469" w:rsidRPr="0037333F">
        <w:t>M.aqR</w:t>
      </w:r>
      <w:proofErr w:type="spellEnd"/>
      <w:r w:rsidR="0038659B" w:rsidRPr="0037333F">
        <w:t xml:space="preserve"> (Q129R)</w:t>
      </w:r>
      <w:r w:rsidR="00012469" w:rsidRPr="0037333F">
        <w:t xml:space="preserve">, </w:t>
      </w:r>
      <w:proofErr w:type="spellStart"/>
      <w:r w:rsidRPr="0037333F">
        <w:t>M.aqRT</w:t>
      </w:r>
      <w:proofErr w:type="spellEnd"/>
      <w:r w:rsidRPr="0037333F">
        <w:t xml:space="preserve"> and M.aqRLT) to show the </w:t>
      </w:r>
      <w:r w:rsidR="003B4F28" w:rsidRPr="0037333F">
        <w:t xml:space="preserve">progress in substrate affinity and the </w:t>
      </w:r>
      <w:r w:rsidRPr="0037333F">
        <w:t>improvement of their catalytic efficiency.</w:t>
      </w:r>
      <w:r w:rsidR="002848E7" w:rsidRPr="0037333F">
        <w:t xml:space="preserve"> </w:t>
      </w:r>
      <w:r w:rsidR="00720BB6" w:rsidRPr="0037333F">
        <w:t xml:space="preserve">For </w:t>
      </w:r>
      <w:r w:rsidR="00012469" w:rsidRPr="0037333F">
        <w:t>all</w:t>
      </w:r>
      <w:r w:rsidR="00720BB6" w:rsidRPr="0037333F">
        <w:t xml:space="preserve"> variants</w:t>
      </w:r>
      <w:r w:rsidR="00097F60" w:rsidRPr="0037333F">
        <w:t xml:space="preserve"> the turnover number,</w:t>
      </w:r>
      <w:r w:rsidR="00720BB6" w:rsidRPr="0037333F">
        <w:t xml:space="preserve"> </w:t>
      </w:r>
      <w:proofErr w:type="spellStart"/>
      <w:r w:rsidR="002848E7" w:rsidRPr="0037333F">
        <w:rPr>
          <w:i/>
          <w:iCs/>
        </w:rPr>
        <w:t>k</w:t>
      </w:r>
      <w:r w:rsidR="002848E7" w:rsidRPr="0037333F">
        <w:rPr>
          <w:vertAlign w:val="subscript"/>
        </w:rPr>
        <w:t>cat</w:t>
      </w:r>
      <w:proofErr w:type="spellEnd"/>
      <w:r w:rsidR="00097F60" w:rsidRPr="0037333F">
        <w:t xml:space="preserve">, </w:t>
      </w:r>
      <w:r w:rsidR="002848E7" w:rsidRPr="0037333F">
        <w:t xml:space="preserve">was </w:t>
      </w:r>
      <w:r w:rsidR="005D12CE" w:rsidRPr="0037333F">
        <w:t xml:space="preserve">highly </w:t>
      </w:r>
      <w:r w:rsidR="002848E7" w:rsidRPr="0037333F">
        <w:t xml:space="preserve">increased, </w:t>
      </w:r>
      <w:r w:rsidR="002563A2" w:rsidRPr="0037333F">
        <w:t>but</w:t>
      </w:r>
      <w:r w:rsidR="002848E7" w:rsidRPr="0037333F">
        <w:t xml:space="preserve"> </w:t>
      </w:r>
      <w:r w:rsidR="005D12CE" w:rsidRPr="0037333F">
        <w:t xml:space="preserve">for </w:t>
      </w:r>
      <w:proofErr w:type="spellStart"/>
      <w:r w:rsidR="00012469" w:rsidRPr="0037333F">
        <w:t>M.aqR</w:t>
      </w:r>
      <w:proofErr w:type="spellEnd"/>
      <w:r w:rsidR="00012469" w:rsidRPr="0037333F">
        <w:t xml:space="preserve"> and </w:t>
      </w:r>
      <w:proofErr w:type="spellStart"/>
      <w:r w:rsidR="005D12CE" w:rsidRPr="0037333F">
        <w:t>M.aqRT</w:t>
      </w:r>
      <w:proofErr w:type="spellEnd"/>
      <w:r w:rsidR="002563A2" w:rsidRPr="0037333F">
        <w:t xml:space="preserve"> it was</w:t>
      </w:r>
      <w:r w:rsidR="005D12CE" w:rsidRPr="0037333F">
        <w:t xml:space="preserve"> </w:t>
      </w:r>
      <w:r w:rsidR="00012469" w:rsidRPr="0037333F">
        <w:t xml:space="preserve">1.5 and </w:t>
      </w:r>
      <w:r w:rsidR="00177A3A" w:rsidRPr="0037333F">
        <w:t>1.7-times</w:t>
      </w:r>
      <w:r w:rsidR="00CA7427" w:rsidRPr="0037333F">
        <w:t xml:space="preserve"> </w:t>
      </w:r>
      <w:r w:rsidR="002563A2" w:rsidRPr="0037333F">
        <w:t>higher</w:t>
      </w:r>
      <w:r w:rsidR="00720BB6" w:rsidRPr="0037333F">
        <w:t xml:space="preserve"> </w:t>
      </w:r>
      <w:r w:rsidR="005D12CE" w:rsidRPr="0037333F">
        <w:t>than</w:t>
      </w:r>
      <w:r w:rsidR="00720BB6" w:rsidRPr="0037333F">
        <w:t xml:space="preserve"> for</w:t>
      </w:r>
      <w:r w:rsidR="005D12CE" w:rsidRPr="0037333F">
        <w:t xml:space="preserve"> M.aqRLT</w:t>
      </w:r>
      <w:r w:rsidR="00CA7427" w:rsidRPr="0037333F">
        <w:t xml:space="preserve"> (</w:t>
      </w:r>
      <w:r w:rsidR="00177A3A" w:rsidRPr="0037333F">
        <w:t>Table 1</w:t>
      </w:r>
      <w:r w:rsidR="005D29D0" w:rsidRPr="0037333F">
        <w:t>, Figure S</w:t>
      </w:r>
      <w:r w:rsidR="00012469" w:rsidRPr="0037333F">
        <w:t>3</w:t>
      </w:r>
      <w:r w:rsidR="00CA7427" w:rsidRPr="0037333F">
        <w:t>)</w:t>
      </w:r>
      <w:r w:rsidR="005D12CE" w:rsidRPr="0037333F">
        <w:t xml:space="preserve">. </w:t>
      </w:r>
      <w:r w:rsidR="00EE6AD6" w:rsidRPr="0037333F">
        <w:t xml:space="preserve">For the wild type, </w:t>
      </w:r>
      <w:r w:rsidR="00F45AF0" w:rsidRPr="0037333F">
        <w:rPr>
          <w:i/>
          <w:iCs/>
        </w:rPr>
        <w:t>K</w:t>
      </w:r>
      <w:r w:rsidR="00F45AF0" w:rsidRPr="0037333F">
        <w:rPr>
          <w:vertAlign w:val="subscript"/>
        </w:rPr>
        <w:t>m</w:t>
      </w:r>
      <w:r w:rsidR="00F45AF0" w:rsidRPr="0037333F">
        <w:t xml:space="preserve"> </w:t>
      </w:r>
      <w:r w:rsidR="00EE6AD6" w:rsidRPr="0037333F">
        <w:t xml:space="preserve">is </w:t>
      </w:r>
      <w:r w:rsidR="002563A2" w:rsidRPr="0037333F">
        <w:t>presented</w:t>
      </w:r>
      <w:r w:rsidR="00EE6AD6" w:rsidRPr="0037333F">
        <w:t xml:space="preserve"> as apparent, since the calculated value is above the solubility limit of octanoic acid. </w:t>
      </w:r>
      <w:r w:rsidR="00720BB6" w:rsidRPr="0037333F">
        <w:t>As expected,</w:t>
      </w:r>
      <w:r w:rsidR="005D12CE" w:rsidRPr="0037333F">
        <w:t xml:space="preserve"> </w:t>
      </w:r>
      <w:r w:rsidR="00F45AF0" w:rsidRPr="0037333F">
        <w:rPr>
          <w:i/>
          <w:iCs/>
        </w:rPr>
        <w:t>K</w:t>
      </w:r>
      <w:r w:rsidR="00F45AF0" w:rsidRPr="0037333F">
        <w:rPr>
          <w:vertAlign w:val="subscript"/>
        </w:rPr>
        <w:t xml:space="preserve">m </w:t>
      </w:r>
      <w:r w:rsidR="00F45AF0" w:rsidRPr="0037333F">
        <w:t>was reduced</w:t>
      </w:r>
      <w:r w:rsidR="002848E7" w:rsidRPr="0037333F">
        <w:t xml:space="preserve"> </w:t>
      </w:r>
      <w:r w:rsidR="002563A2" w:rsidRPr="0037333F">
        <w:t xml:space="preserve">significantly </w:t>
      </w:r>
      <w:r w:rsidR="002848E7" w:rsidRPr="0037333F">
        <w:t>from the wild type</w:t>
      </w:r>
      <w:r w:rsidR="00CA7427" w:rsidRPr="0037333F">
        <w:t xml:space="preserve"> (7.5 </w:t>
      </w:r>
      <w:proofErr w:type="spellStart"/>
      <w:r w:rsidR="00CA7427" w:rsidRPr="0037333F">
        <w:t>mM</w:t>
      </w:r>
      <w:proofErr w:type="spellEnd"/>
      <w:r w:rsidR="00CA7427" w:rsidRPr="0037333F">
        <w:t>)</w:t>
      </w:r>
      <w:r w:rsidR="002848E7" w:rsidRPr="0037333F">
        <w:t xml:space="preserve"> </w:t>
      </w:r>
      <w:r w:rsidR="0038659B" w:rsidRPr="0037333F">
        <w:t>to</w:t>
      </w:r>
      <w:r w:rsidR="002848E7" w:rsidRPr="0037333F">
        <w:t xml:space="preserve"> the</w:t>
      </w:r>
      <w:r w:rsidR="00012469" w:rsidRPr="0037333F">
        <w:t xml:space="preserve"> single (4.1 </w:t>
      </w:r>
      <w:proofErr w:type="spellStart"/>
      <w:r w:rsidR="00012469" w:rsidRPr="0037333F">
        <w:t>mM</w:t>
      </w:r>
      <w:proofErr w:type="spellEnd"/>
      <w:r w:rsidR="00012469" w:rsidRPr="0037333F">
        <w:t>), the</w:t>
      </w:r>
      <w:r w:rsidR="002848E7" w:rsidRPr="0037333F">
        <w:t xml:space="preserve"> double</w:t>
      </w:r>
      <w:r w:rsidR="00EE6AD6" w:rsidRPr="0037333F">
        <w:t xml:space="preserve"> (0.68 </w:t>
      </w:r>
      <w:proofErr w:type="spellStart"/>
      <w:r w:rsidR="00CA7427" w:rsidRPr="0037333F">
        <w:t>mM</w:t>
      </w:r>
      <w:proofErr w:type="spellEnd"/>
      <w:r w:rsidR="00CA7427" w:rsidRPr="0037333F">
        <w:t>)</w:t>
      </w:r>
      <w:r w:rsidR="002563A2" w:rsidRPr="0037333F">
        <w:t xml:space="preserve"> </w:t>
      </w:r>
      <w:r w:rsidR="002848E7" w:rsidRPr="0037333F">
        <w:t>and the triple</w:t>
      </w:r>
      <w:r w:rsidR="00CA7427" w:rsidRPr="0037333F">
        <w:t xml:space="preserve"> (0.3 </w:t>
      </w:r>
      <w:proofErr w:type="spellStart"/>
      <w:r w:rsidR="00CA7427" w:rsidRPr="0037333F">
        <w:t>mM</w:t>
      </w:r>
      <w:proofErr w:type="spellEnd"/>
      <w:r w:rsidR="00CA7427" w:rsidRPr="0037333F">
        <w:t>)</w:t>
      </w:r>
      <w:r w:rsidR="002563A2" w:rsidRPr="0037333F">
        <w:t xml:space="preserve"> variant</w:t>
      </w:r>
      <w:r w:rsidR="002848E7" w:rsidRPr="0037333F">
        <w:t>.</w:t>
      </w:r>
      <w:r w:rsidR="00EE6AD6" w:rsidRPr="0037333F">
        <w:t xml:space="preserve"> </w:t>
      </w:r>
      <w:r w:rsidR="005D12CE" w:rsidRPr="0037333F">
        <w:t>T</w:t>
      </w:r>
      <w:r w:rsidR="00EE6AD6" w:rsidRPr="0037333F">
        <w:t>hus, t</w:t>
      </w:r>
      <w:r w:rsidR="005D12CE" w:rsidRPr="0037333F">
        <w:t xml:space="preserve">he catalytic efficiency </w:t>
      </w:r>
      <w:r w:rsidR="002563A2" w:rsidRPr="0037333F">
        <w:t>for M.aqRLT proved</w:t>
      </w:r>
      <w:r w:rsidR="005D12CE" w:rsidRPr="0037333F">
        <w:t xml:space="preserve"> to be the highest with a 1</w:t>
      </w:r>
      <w:r w:rsidR="00720BB6" w:rsidRPr="0037333F">
        <w:t xml:space="preserve">51-fold improvement. Due to the </w:t>
      </w:r>
      <w:r w:rsidR="002563A2" w:rsidRPr="0037333F">
        <w:t>significant</w:t>
      </w:r>
      <w:r w:rsidR="00720BB6" w:rsidRPr="0037333F">
        <w:t xml:space="preserve"> decrease of the </w:t>
      </w:r>
      <w:r w:rsidR="00F45AF0" w:rsidRPr="0037333F">
        <w:rPr>
          <w:i/>
          <w:iCs/>
        </w:rPr>
        <w:t>K</w:t>
      </w:r>
      <w:r w:rsidR="00F45AF0" w:rsidRPr="0037333F">
        <w:rPr>
          <w:vertAlign w:val="subscript"/>
        </w:rPr>
        <w:t>m</w:t>
      </w:r>
      <w:r w:rsidR="00F45AF0" w:rsidRPr="0037333F">
        <w:t xml:space="preserve"> </w:t>
      </w:r>
      <w:r w:rsidR="00097F60" w:rsidRPr="0037333F">
        <w:t xml:space="preserve">for M.aqRLT, we selected this enzyme variant for further computational analyses and comparison </w:t>
      </w:r>
      <w:r w:rsidR="002563A2" w:rsidRPr="0037333F">
        <w:t>with</w:t>
      </w:r>
      <w:r w:rsidR="00097F60" w:rsidRPr="0037333F">
        <w:t xml:space="preserve"> the wild type.</w:t>
      </w:r>
    </w:p>
    <w:p w14:paraId="3E45BF58" w14:textId="1AC50023" w:rsidR="00F353C8" w:rsidRPr="00F353C8" w:rsidRDefault="00F353C8" w:rsidP="00F353C8">
      <w:pPr>
        <w:pStyle w:val="VDTableTitle"/>
      </w:pPr>
      <w:r w:rsidRPr="0037333F">
        <w:t xml:space="preserve">Table </w:t>
      </w:r>
      <w:fldSimple w:instr=" SEQ Table \* ARABIC ">
        <w:r w:rsidR="00571ADA" w:rsidRPr="0037333F">
          <w:rPr>
            <w:noProof/>
          </w:rPr>
          <w:t>1</w:t>
        </w:r>
      </w:fldSimple>
      <w:r w:rsidRPr="0037333F">
        <w:t xml:space="preserve">: Kinetic </w:t>
      </w:r>
      <w:r w:rsidR="00F523C0" w:rsidRPr="0037333F">
        <w:t>parameters of</w:t>
      </w:r>
      <w:r w:rsidRPr="0037333F">
        <w:t xml:space="preserve"> CYP153A</w:t>
      </w:r>
      <w:r w:rsidRPr="0037333F">
        <w:rPr>
          <w:i/>
          <w:vertAlign w:val="subscript"/>
        </w:rPr>
        <w:t>M.aq</w:t>
      </w:r>
      <w:r w:rsidRPr="0037333F">
        <w:rPr>
          <w:i/>
        </w:rPr>
        <w:t xml:space="preserve"> </w:t>
      </w:r>
      <w:r w:rsidRPr="0037333F">
        <w:t>wild type and variants</w:t>
      </w:r>
      <w:r w:rsidR="0000568B" w:rsidRPr="0037333F">
        <w:t xml:space="preserve"> R,</w:t>
      </w:r>
      <w:r w:rsidRPr="0037333F">
        <w:t xml:space="preserve"> RT and RLT</w:t>
      </w:r>
      <w:r w:rsidR="00F523C0" w:rsidRPr="0037333F">
        <w:t xml:space="preserve"> for octanoic </w:t>
      </w:r>
      <w:proofErr w:type="spellStart"/>
      <w:r w:rsidR="00F523C0" w:rsidRPr="0037333F">
        <w:t>acid</w:t>
      </w:r>
      <w:r w:rsidRPr="0037333F">
        <w:t>.</w:t>
      </w:r>
      <w:r>
        <w:rPr>
          <w:vertAlign w:val="superscript"/>
        </w:rPr>
        <w:t>a</w:t>
      </w:r>
      <w:proofErr w:type="spellEnd"/>
    </w:p>
    <w:tbl>
      <w:tblPr>
        <w:tblStyle w:val="PlainTable51"/>
        <w:tblW w:w="4649" w:type="dxa"/>
        <w:tblLook w:val="04A0" w:firstRow="1" w:lastRow="0" w:firstColumn="1" w:lastColumn="0" w:noHBand="0" w:noVBand="1"/>
      </w:tblPr>
      <w:tblGrid>
        <w:gridCol w:w="567"/>
        <w:gridCol w:w="737"/>
        <w:gridCol w:w="850"/>
        <w:gridCol w:w="1191"/>
        <w:gridCol w:w="1304"/>
      </w:tblGrid>
      <w:tr w:rsidR="001C5206" w:rsidRPr="000F455F" w14:paraId="28BAF75D" w14:textId="77777777" w:rsidTr="001821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none" w:sz="0" w:space="0" w:color="auto"/>
            </w:tcBorders>
            <w:shd w:val="clear" w:color="auto" w:fill="D9D9D9" w:themeFill="background1" w:themeFillShade="D9"/>
            <w:vAlign w:val="center"/>
          </w:tcPr>
          <w:p w14:paraId="14CA5DFA" w14:textId="77777777" w:rsidR="00F353C8" w:rsidRPr="00F353C8" w:rsidRDefault="00F353C8" w:rsidP="00834AEA">
            <w:pPr>
              <w:pStyle w:val="TCTableBody"/>
              <w:jc w:val="right"/>
              <w:rPr>
                <w:i w:val="0"/>
                <w:lang w:val="en-US"/>
              </w:rPr>
            </w:pPr>
          </w:p>
        </w:tc>
        <w:tc>
          <w:tcPr>
            <w:tcW w:w="737" w:type="dxa"/>
            <w:tcBorders>
              <w:bottom w:val="none" w:sz="0" w:space="0" w:color="auto"/>
            </w:tcBorders>
            <w:shd w:val="clear" w:color="auto" w:fill="D9D9D9" w:themeFill="background1" w:themeFillShade="D9"/>
          </w:tcPr>
          <w:p w14:paraId="3283EC7B" w14:textId="14C810D9" w:rsidR="00F353C8" w:rsidRPr="000F455F" w:rsidRDefault="00840616"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rPr>
            </w:pPr>
            <w:r w:rsidRPr="003E5C46">
              <w:rPr>
                <w:iCs w:val="0"/>
              </w:rPr>
              <w:t>K</w:t>
            </w:r>
            <w:r w:rsidR="003E5C46">
              <w:rPr>
                <w:i w:val="0"/>
                <w:vertAlign w:val="subscript"/>
              </w:rPr>
              <w:t>m</w:t>
            </w:r>
          </w:p>
          <w:p w14:paraId="0A13E80E" w14:textId="77777777" w:rsidR="00F353C8" w:rsidRPr="00D46C1A" w:rsidRDefault="00F353C8"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vertAlign w:val="superscript"/>
              </w:rPr>
            </w:pPr>
            <w:r w:rsidRPr="000F455F">
              <w:rPr>
                <w:i w:val="0"/>
              </w:rPr>
              <w:t>(</w:t>
            </w:r>
            <w:proofErr w:type="spellStart"/>
            <w:r w:rsidRPr="000F455F">
              <w:rPr>
                <w:i w:val="0"/>
              </w:rPr>
              <w:t>mM</w:t>
            </w:r>
            <w:proofErr w:type="spellEnd"/>
            <w:r w:rsidRPr="000F455F">
              <w:rPr>
                <w:i w:val="0"/>
              </w:rPr>
              <w:t>)</w:t>
            </w:r>
            <w:r w:rsidR="00D46C1A">
              <w:rPr>
                <w:i w:val="0"/>
                <w:vertAlign w:val="superscript"/>
              </w:rPr>
              <w:t>b</w:t>
            </w:r>
          </w:p>
        </w:tc>
        <w:tc>
          <w:tcPr>
            <w:tcW w:w="850" w:type="dxa"/>
            <w:tcBorders>
              <w:bottom w:val="none" w:sz="0" w:space="0" w:color="auto"/>
            </w:tcBorders>
            <w:shd w:val="clear" w:color="auto" w:fill="D9D9D9" w:themeFill="background1" w:themeFillShade="D9"/>
          </w:tcPr>
          <w:p w14:paraId="38BA0B7F" w14:textId="77777777" w:rsidR="00F353C8" w:rsidRPr="000F455F" w:rsidRDefault="00F353C8"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rPr>
            </w:pPr>
            <w:proofErr w:type="spellStart"/>
            <w:r w:rsidRPr="003E5C46">
              <w:rPr>
                <w:iCs w:val="0"/>
              </w:rPr>
              <w:t>k</w:t>
            </w:r>
            <w:r w:rsidRPr="00840616">
              <w:rPr>
                <w:i w:val="0"/>
                <w:vertAlign w:val="subscript"/>
              </w:rPr>
              <w:t>cat</w:t>
            </w:r>
            <w:proofErr w:type="spellEnd"/>
          </w:p>
          <w:p w14:paraId="5457D9A2" w14:textId="77777777" w:rsidR="00F353C8" w:rsidRPr="00D46C1A" w:rsidRDefault="00F353C8"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vertAlign w:val="subscript"/>
              </w:rPr>
            </w:pPr>
            <w:r w:rsidRPr="000F455F">
              <w:rPr>
                <w:i w:val="0"/>
              </w:rPr>
              <w:t>(min</w:t>
            </w:r>
            <w:r w:rsidRPr="000F455F">
              <w:rPr>
                <w:i w:val="0"/>
                <w:vertAlign w:val="superscript"/>
              </w:rPr>
              <w:t>-</w:t>
            </w:r>
            <w:proofErr w:type="gramStart"/>
            <w:r w:rsidRPr="000F455F">
              <w:rPr>
                <w:i w:val="0"/>
                <w:vertAlign w:val="superscript"/>
              </w:rPr>
              <w:t>1</w:t>
            </w:r>
            <w:r w:rsidRPr="000F455F">
              <w:rPr>
                <w:i w:val="0"/>
              </w:rPr>
              <w:t>)</w:t>
            </w:r>
            <w:r w:rsidR="00D46C1A" w:rsidRPr="004F1090">
              <w:rPr>
                <w:i w:val="0"/>
                <w:vertAlign w:val="superscript"/>
              </w:rPr>
              <w:t>b</w:t>
            </w:r>
            <w:proofErr w:type="gramEnd"/>
          </w:p>
        </w:tc>
        <w:tc>
          <w:tcPr>
            <w:tcW w:w="1191" w:type="dxa"/>
            <w:tcBorders>
              <w:bottom w:val="none" w:sz="0" w:space="0" w:color="auto"/>
            </w:tcBorders>
            <w:shd w:val="clear" w:color="auto" w:fill="D9D9D9" w:themeFill="background1" w:themeFillShade="D9"/>
          </w:tcPr>
          <w:p w14:paraId="4944F52A" w14:textId="4F363AB3" w:rsidR="00F353C8" w:rsidRPr="000F455F" w:rsidRDefault="00F353C8"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rPr>
            </w:pPr>
            <w:proofErr w:type="spellStart"/>
            <w:r w:rsidRPr="003E5C46">
              <w:rPr>
                <w:iCs w:val="0"/>
              </w:rPr>
              <w:t>k</w:t>
            </w:r>
            <w:r w:rsidRPr="00840616">
              <w:rPr>
                <w:i w:val="0"/>
                <w:vertAlign w:val="subscript"/>
              </w:rPr>
              <w:t>cat</w:t>
            </w:r>
            <w:proofErr w:type="spellEnd"/>
            <w:r w:rsidR="00840616">
              <w:rPr>
                <w:i w:val="0"/>
              </w:rPr>
              <w:t>/</w:t>
            </w:r>
            <w:r w:rsidR="00840616" w:rsidRPr="003E5C46">
              <w:rPr>
                <w:iCs w:val="0"/>
              </w:rPr>
              <w:t>K</w:t>
            </w:r>
            <w:r w:rsidR="003E5C46">
              <w:rPr>
                <w:i w:val="0"/>
                <w:vertAlign w:val="subscript"/>
              </w:rPr>
              <w:t>m</w:t>
            </w:r>
          </w:p>
          <w:p w14:paraId="757E39E0" w14:textId="77777777" w:rsidR="00F353C8" w:rsidRPr="000F455F" w:rsidRDefault="00F353C8"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rPr>
            </w:pPr>
            <w:r w:rsidRPr="000F455F">
              <w:rPr>
                <w:i w:val="0"/>
              </w:rPr>
              <w:t>(min</w:t>
            </w:r>
            <w:r w:rsidRPr="000F455F">
              <w:rPr>
                <w:i w:val="0"/>
                <w:vertAlign w:val="superscript"/>
              </w:rPr>
              <w:t>-1</w:t>
            </w:r>
            <w:r w:rsidRPr="000F455F">
              <w:rPr>
                <w:i w:val="0"/>
              </w:rPr>
              <w:t>mM</w:t>
            </w:r>
            <w:r w:rsidRPr="000F455F">
              <w:rPr>
                <w:i w:val="0"/>
                <w:vertAlign w:val="superscript"/>
              </w:rPr>
              <w:t>-1</w:t>
            </w:r>
            <w:r w:rsidRPr="000F455F">
              <w:rPr>
                <w:i w:val="0"/>
              </w:rPr>
              <w:t>)</w:t>
            </w:r>
          </w:p>
        </w:tc>
        <w:tc>
          <w:tcPr>
            <w:tcW w:w="1304" w:type="dxa"/>
            <w:tcBorders>
              <w:bottom w:val="none" w:sz="0" w:space="0" w:color="auto"/>
            </w:tcBorders>
            <w:shd w:val="clear" w:color="auto" w:fill="D9D9D9" w:themeFill="background1" w:themeFillShade="D9"/>
          </w:tcPr>
          <w:p w14:paraId="067F3C9E" w14:textId="77777777" w:rsidR="001C5206" w:rsidRDefault="001C5206"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rPr>
            </w:pPr>
            <w:r w:rsidRPr="000F455F">
              <w:rPr>
                <w:i w:val="0"/>
              </w:rPr>
              <w:t>E</w:t>
            </w:r>
            <w:r w:rsidR="00F353C8" w:rsidRPr="000F455F">
              <w:rPr>
                <w:i w:val="0"/>
              </w:rPr>
              <w:t>fficiency</w:t>
            </w:r>
            <w:r>
              <w:rPr>
                <w:i w:val="0"/>
              </w:rPr>
              <w:t xml:space="preserve"> </w:t>
            </w:r>
          </w:p>
          <w:p w14:paraId="5A451EC9" w14:textId="77777777" w:rsidR="00F353C8" w:rsidRPr="000F455F" w:rsidRDefault="001C5206" w:rsidP="00840616">
            <w:pPr>
              <w:pStyle w:val="TCTableBody"/>
              <w:spacing w:before="0" w:after="0"/>
              <w:jc w:val="center"/>
              <w:cnfStyle w:val="100000000000" w:firstRow="1" w:lastRow="0" w:firstColumn="0" w:lastColumn="0" w:oddVBand="0" w:evenVBand="0" w:oddHBand="0" w:evenHBand="0" w:firstRowFirstColumn="0" w:firstRowLastColumn="0" w:lastRowFirstColumn="0" w:lastRowLastColumn="0"/>
              <w:rPr>
                <w:i w:val="0"/>
              </w:rPr>
            </w:pPr>
            <w:proofErr w:type="spellStart"/>
            <w:r>
              <w:rPr>
                <w:i w:val="0"/>
              </w:rPr>
              <w:t>improvement</w:t>
            </w:r>
            <w:proofErr w:type="spellEnd"/>
          </w:p>
        </w:tc>
      </w:tr>
      <w:tr w:rsidR="001C5206" w:rsidRPr="000F455F" w14:paraId="4AF2FE50" w14:textId="77777777" w:rsidTr="00182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center"/>
          </w:tcPr>
          <w:p w14:paraId="27B0654E" w14:textId="77777777" w:rsidR="00F353C8" w:rsidRPr="000F455F" w:rsidRDefault="00F353C8" w:rsidP="00F353C8">
            <w:pPr>
              <w:pStyle w:val="TCTableBody"/>
              <w:jc w:val="right"/>
              <w:rPr>
                <w:i w:val="0"/>
              </w:rPr>
            </w:pPr>
            <w:r w:rsidRPr="000F455F">
              <w:rPr>
                <w:i w:val="0"/>
              </w:rPr>
              <w:t>WT</w:t>
            </w:r>
          </w:p>
        </w:tc>
        <w:tc>
          <w:tcPr>
            <w:tcW w:w="737" w:type="dxa"/>
            <w:shd w:val="clear" w:color="auto" w:fill="auto"/>
            <w:vAlign w:val="center"/>
          </w:tcPr>
          <w:p w14:paraId="352B35DB" w14:textId="77777777" w:rsidR="00F353C8" w:rsidRPr="000F455F" w:rsidRDefault="00F353C8" w:rsidP="00F353C8">
            <w:pPr>
              <w:pStyle w:val="TCTableBody"/>
              <w:jc w:val="center"/>
              <w:cnfStyle w:val="000000100000" w:firstRow="0" w:lastRow="0" w:firstColumn="0" w:lastColumn="0" w:oddVBand="0" w:evenVBand="0" w:oddHBand="1" w:evenHBand="0" w:firstRowFirstColumn="0" w:firstRowLastColumn="0" w:lastRowFirstColumn="0" w:lastRowLastColumn="0"/>
            </w:pPr>
            <w:r w:rsidRPr="000F455F">
              <w:t>7.5</w:t>
            </w:r>
          </w:p>
        </w:tc>
        <w:tc>
          <w:tcPr>
            <w:tcW w:w="850" w:type="dxa"/>
            <w:shd w:val="clear" w:color="auto" w:fill="auto"/>
            <w:vAlign w:val="center"/>
          </w:tcPr>
          <w:p w14:paraId="55BDE833" w14:textId="77777777" w:rsidR="00F353C8" w:rsidRPr="000F455F" w:rsidRDefault="00F353C8" w:rsidP="00F353C8">
            <w:pPr>
              <w:pStyle w:val="TCTableBody"/>
              <w:jc w:val="center"/>
              <w:cnfStyle w:val="000000100000" w:firstRow="0" w:lastRow="0" w:firstColumn="0" w:lastColumn="0" w:oddVBand="0" w:evenVBand="0" w:oddHBand="1" w:evenHBand="0" w:firstRowFirstColumn="0" w:firstRowLastColumn="0" w:lastRowFirstColumn="0" w:lastRowLastColumn="0"/>
            </w:pPr>
            <w:r w:rsidRPr="000F455F">
              <w:t>0.14</w:t>
            </w:r>
          </w:p>
        </w:tc>
        <w:tc>
          <w:tcPr>
            <w:tcW w:w="1191" w:type="dxa"/>
            <w:shd w:val="clear" w:color="auto" w:fill="auto"/>
            <w:vAlign w:val="center"/>
          </w:tcPr>
          <w:p w14:paraId="7181DDF7" w14:textId="77777777" w:rsidR="00F353C8" w:rsidRPr="000F455F" w:rsidRDefault="00F353C8" w:rsidP="00F353C8">
            <w:pPr>
              <w:pStyle w:val="TCTableBody"/>
              <w:jc w:val="center"/>
              <w:cnfStyle w:val="000000100000" w:firstRow="0" w:lastRow="0" w:firstColumn="0" w:lastColumn="0" w:oddVBand="0" w:evenVBand="0" w:oddHBand="1" w:evenHBand="0" w:firstRowFirstColumn="0" w:firstRowLastColumn="0" w:lastRowFirstColumn="0" w:lastRowLastColumn="0"/>
            </w:pPr>
            <w:r w:rsidRPr="000F455F">
              <w:t>0.018</w:t>
            </w:r>
          </w:p>
        </w:tc>
        <w:tc>
          <w:tcPr>
            <w:tcW w:w="1304" w:type="dxa"/>
            <w:shd w:val="clear" w:color="auto" w:fill="auto"/>
            <w:vAlign w:val="center"/>
          </w:tcPr>
          <w:p w14:paraId="1E2D4D16" w14:textId="4B6EE157" w:rsidR="00F353C8" w:rsidRPr="000F455F" w:rsidRDefault="00F353C8" w:rsidP="00F353C8">
            <w:pPr>
              <w:pStyle w:val="TCTableBody"/>
              <w:jc w:val="center"/>
              <w:cnfStyle w:val="000000100000" w:firstRow="0" w:lastRow="0" w:firstColumn="0" w:lastColumn="0" w:oddVBand="0" w:evenVBand="0" w:oddHBand="1" w:evenHBand="0" w:firstRowFirstColumn="0" w:firstRowLastColumn="0" w:lastRowFirstColumn="0" w:lastRowLastColumn="0"/>
            </w:pPr>
          </w:p>
        </w:tc>
      </w:tr>
      <w:tr w:rsidR="0000568B" w:rsidRPr="000F455F" w14:paraId="26CC0D52" w14:textId="77777777" w:rsidTr="00182173">
        <w:tc>
          <w:tcPr>
            <w:cnfStyle w:val="001000000000" w:firstRow="0" w:lastRow="0" w:firstColumn="1" w:lastColumn="0" w:oddVBand="0" w:evenVBand="0" w:oddHBand="0" w:evenHBand="0" w:firstRowFirstColumn="0" w:firstRowLastColumn="0" w:lastRowFirstColumn="0" w:lastRowLastColumn="0"/>
            <w:tcW w:w="567" w:type="dxa"/>
            <w:shd w:val="clear" w:color="auto" w:fill="auto"/>
            <w:vAlign w:val="center"/>
          </w:tcPr>
          <w:p w14:paraId="4B4F38E8" w14:textId="321A7422" w:rsidR="0000568B" w:rsidRPr="0037333F" w:rsidRDefault="0000568B" w:rsidP="0000568B">
            <w:pPr>
              <w:pStyle w:val="TCTableBody"/>
              <w:jc w:val="right"/>
            </w:pPr>
            <w:r w:rsidRPr="0037333F">
              <w:rPr>
                <w:i w:val="0"/>
              </w:rPr>
              <w:t>R</w:t>
            </w:r>
          </w:p>
        </w:tc>
        <w:tc>
          <w:tcPr>
            <w:tcW w:w="737" w:type="dxa"/>
            <w:shd w:val="clear" w:color="auto" w:fill="auto"/>
            <w:vAlign w:val="center"/>
          </w:tcPr>
          <w:p w14:paraId="3947076E" w14:textId="3BE5FBF7" w:rsidR="0000568B" w:rsidRPr="0037333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37333F">
              <w:t>4.1</w:t>
            </w:r>
          </w:p>
        </w:tc>
        <w:tc>
          <w:tcPr>
            <w:tcW w:w="850" w:type="dxa"/>
            <w:shd w:val="clear" w:color="auto" w:fill="auto"/>
            <w:vAlign w:val="center"/>
          </w:tcPr>
          <w:p w14:paraId="74F4D70E" w14:textId="010014BE" w:rsidR="0000568B" w:rsidRPr="0037333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37333F">
              <w:t>1.25</w:t>
            </w:r>
          </w:p>
        </w:tc>
        <w:tc>
          <w:tcPr>
            <w:tcW w:w="1191" w:type="dxa"/>
            <w:shd w:val="clear" w:color="auto" w:fill="auto"/>
            <w:vAlign w:val="center"/>
          </w:tcPr>
          <w:p w14:paraId="6FEB3AF4" w14:textId="7B28609C" w:rsidR="0000568B" w:rsidRPr="0037333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37333F">
              <w:t>0.31</w:t>
            </w:r>
          </w:p>
        </w:tc>
        <w:tc>
          <w:tcPr>
            <w:tcW w:w="1304" w:type="dxa"/>
            <w:shd w:val="clear" w:color="auto" w:fill="auto"/>
            <w:vAlign w:val="center"/>
          </w:tcPr>
          <w:p w14:paraId="2E41A10C" w14:textId="570F4B97" w:rsidR="0000568B" w:rsidRPr="0037333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37333F">
              <w:t>17-fold</w:t>
            </w:r>
          </w:p>
        </w:tc>
      </w:tr>
      <w:tr w:rsidR="0000568B" w:rsidRPr="000F455F" w14:paraId="1E195804" w14:textId="77777777" w:rsidTr="001821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center"/>
          </w:tcPr>
          <w:p w14:paraId="67131B2D" w14:textId="77777777" w:rsidR="0000568B" w:rsidRPr="000F455F" w:rsidRDefault="0000568B" w:rsidP="0000568B">
            <w:pPr>
              <w:pStyle w:val="TCTableBody"/>
              <w:jc w:val="right"/>
              <w:rPr>
                <w:i w:val="0"/>
              </w:rPr>
            </w:pPr>
            <w:r w:rsidRPr="000F455F">
              <w:rPr>
                <w:i w:val="0"/>
              </w:rPr>
              <w:t>RT</w:t>
            </w:r>
          </w:p>
        </w:tc>
        <w:tc>
          <w:tcPr>
            <w:tcW w:w="737" w:type="dxa"/>
            <w:shd w:val="clear" w:color="auto" w:fill="auto"/>
            <w:vAlign w:val="center"/>
          </w:tcPr>
          <w:p w14:paraId="63067E90" w14:textId="77777777" w:rsidR="0000568B" w:rsidRPr="000F455F" w:rsidRDefault="0000568B" w:rsidP="0000568B">
            <w:pPr>
              <w:pStyle w:val="TCTableBody"/>
              <w:jc w:val="center"/>
              <w:cnfStyle w:val="000000100000" w:firstRow="0" w:lastRow="0" w:firstColumn="0" w:lastColumn="0" w:oddVBand="0" w:evenVBand="0" w:oddHBand="1" w:evenHBand="0" w:firstRowFirstColumn="0" w:firstRowLastColumn="0" w:lastRowFirstColumn="0" w:lastRowLastColumn="0"/>
            </w:pPr>
            <w:r w:rsidRPr="000F455F">
              <w:t>0.68</w:t>
            </w:r>
          </w:p>
        </w:tc>
        <w:tc>
          <w:tcPr>
            <w:tcW w:w="850" w:type="dxa"/>
            <w:shd w:val="clear" w:color="auto" w:fill="auto"/>
            <w:vAlign w:val="center"/>
          </w:tcPr>
          <w:p w14:paraId="0B3245C3" w14:textId="77777777" w:rsidR="0000568B" w:rsidRPr="000F455F" w:rsidRDefault="0000568B" w:rsidP="0000568B">
            <w:pPr>
              <w:pStyle w:val="TCTableBody"/>
              <w:jc w:val="center"/>
              <w:cnfStyle w:val="000000100000" w:firstRow="0" w:lastRow="0" w:firstColumn="0" w:lastColumn="0" w:oddVBand="0" w:evenVBand="0" w:oddHBand="1" w:evenHBand="0" w:firstRowFirstColumn="0" w:firstRowLastColumn="0" w:lastRowFirstColumn="0" w:lastRowLastColumn="0"/>
            </w:pPr>
            <w:r w:rsidRPr="000F455F">
              <w:t>1.38</w:t>
            </w:r>
          </w:p>
        </w:tc>
        <w:tc>
          <w:tcPr>
            <w:tcW w:w="1191" w:type="dxa"/>
            <w:shd w:val="clear" w:color="auto" w:fill="auto"/>
            <w:vAlign w:val="center"/>
          </w:tcPr>
          <w:p w14:paraId="22AB0F73" w14:textId="77777777" w:rsidR="0000568B" w:rsidRPr="000F455F" w:rsidRDefault="0000568B" w:rsidP="0000568B">
            <w:pPr>
              <w:pStyle w:val="TCTableBody"/>
              <w:jc w:val="center"/>
              <w:cnfStyle w:val="000000100000" w:firstRow="0" w:lastRow="0" w:firstColumn="0" w:lastColumn="0" w:oddVBand="0" w:evenVBand="0" w:oddHBand="1" w:evenHBand="0" w:firstRowFirstColumn="0" w:firstRowLastColumn="0" w:lastRowFirstColumn="0" w:lastRowLastColumn="0"/>
            </w:pPr>
            <w:r w:rsidRPr="000F455F">
              <w:t>2.02</w:t>
            </w:r>
          </w:p>
        </w:tc>
        <w:tc>
          <w:tcPr>
            <w:tcW w:w="1304" w:type="dxa"/>
            <w:shd w:val="clear" w:color="auto" w:fill="auto"/>
            <w:vAlign w:val="center"/>
          </w:tcPr>
          <w:p w14:paraId="177C7ECE" w14:textId="77777777" w:rsidR="0000568B" w:rsidRPr="000F455F" w:rsidRDefault="0000568B" w:rsidP="0000568B">
            <w:pPr>
              <w:pStyle w:val="TCTableBody"/>
              <w:jc w:val="center"/>
              <w:cnfStyle w:val="000000100000" w:firstRow="0" w:lastRow="0" w:firstColumn="0" w:lastColumn="0" w:oddVBand="0" w:evenVBand="0" w:oddHBand="1" w:evenHBand="0" w:firstRowFirstColumn="0" w:firstRowLastColumn="0" w:lastRowFirstColumn="0" w:lastRowLastColumn="0"/>
            </w:pPr>
            <w:r w:rsidRPr="000F455F">
              <w:t>112-fold</w:t>
            </w:r>
          </w:p>
        </w:tc>
      </w:tr>
      <w:tr w:rsidR="0000568B" w:rsidRPr="000F455F" w14:paraId="694AA797" w14:textId="77777777" w:rsidTr="00182173">
        <w:tc>
          <w:tcPr>
            <w:cnfStyle w:val="001000000000" w:firstRow="0" w:lastRow="0" w:firstColumn="1" w:lastColumn="0" w:oddVBand="0" w:evenVBand="0" w:oddHBand="0" w:evenHBand="0" w:firstRowFirstColumn="0" w:firstRowLastColumn="0" w:lastRowFirstColumn="0" w:lastRowLastColumn="0"/>
            <w:tcW w:w="567" w:type="dxa"/>
            <w:tcBorders>
              <w:right w:val="none" w:sz="0" w:space="0" w:color="auto"/>
            </w:tcBorders>
            <w:shd w:val="clear" w:color="auto" w:fill="auto"/>
            <w:vAlign w:val="center"/>
          </w:tcPr>
          <w:p w14:paraId="4D524740" w14:textId="77777777" w:rsidR="0000568B" w:rsidRPr="000F455F" w:rsidRDefault="0000568B" w:rsidP="0000568B">
            <w:pPr>
              <w:pStyle w:val="TCTableBody"/>
              <w:jc w:val="right"/>
              <w:rPr>
                <w:i w:val="0"/>
              </w:rPr>
            </w:pPr>
            <w:r w:rsidRPr="000F455F">
              <w:rPr>
                <w:i w:val="0"/>
              </w:rPr>
              <w:t>RLT</w:t>
            </w:r>
          </w:p>
        </w:tc>
        <w:tc>
          <w:tcPr>
            <w:tcW w:w="737" w:type="dxa"/>
            <w:shd w:val="clear" w:color="auto" w:fill="auto"/>
            <w:vAlign w:val="center"/>
          </w:tcPr>
          <w:p w14:paraId="68844C1F" w14:textId="77777777" w:rsidR="0000568B" w:rsidRPr="000F455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0F455F">
              <w:t>0.3</w:t>
            </w:r>
          </w:p>
        </w:tc>
        <w:tc>
          <w:tcPr>
            <w:tcW w:w="850" w:type="dxa"/>
            <w:shd w:val="clear" w:color="auto" w:fill="auto"/>
            <w:vAlign w:val="center"/>
          </w:tcPr>
          <w:p w14:paraId="3669345A" w14:textId="77777777" w:rsidR="0000568B" w:rsidRPr="000F455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0F455F">
              <w:t>0.81</w:t>
            </w:r>
          </w:p>
        </w:tc>
        <w:tc>
          <w:tcPr>
            <w:tcW w:w="1191" w:type="dxa"/>
            <w:shd w:val="clear" w:color="auto" w:fill="auto"/>
            <w:vAlign w:val="center"/>
          </w:tcPr>
          <w:p w14:paraId="7D0A3A88" w14:textId="77777777" w:rsidR="0000568B" w:rsidRPr="000F455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0F455F">
              <w:t>2.72</w:t>
            </w:r>
          </w:p>
        </w:tc>
        <w:tc>
          <w:tcPr>
            <w:tcW w:w="1304" w:type="dxa"/>
            <w:shd w:val="clear" w:color="auto" w:fill="auto"/>
            <w:vAlign w:val="center"/>
          </w:tcPr>
          <w:p w14:paraId="0C746B72" w14:textId="77777777" w:rsidR="0000568B" w:rsidRPr="000F455F" w:rsidRDefault="0000568B" w:rsidP="0000568B">
            <w:pPr>
              <w:pStyle w:val="TCTableBody"/>
              <w:jc w:val="center"/>
              <w:cnfStyle w:val="000000000000" w:firstRow="0" w:lastRow="0" w:firstColumn="0" w:lastColumn="0" w:oddVBand="0" w:evenVBand="0" w:oddHBand="0" w:evenHBand="0" w:firstRowFirstColumn="0" w:firstRowLastColumn="0" w:lastRowFirstColumn="0" w:lastRowLastColumn="0"/>
            </w:pPr>
            <w:r w:rsidRPr="000F455F">
              <w:t>151-fold</w:t>
            </w:r>
          </w:p>
        </w:tc>
      </w:tr>
    </w:tbl>
    <w:p w14:paraId="700C2804" w14:textId="77777777" w:rsidR="003B4F28" w:rsidRPr="00D46C1A" w:rsidRDefault="00F353C8" w:rsidP="003B4F28">
      <w:pPr>
        <w:pStyle w:val="FETableFootnote"/>
      </w:pPr>
      <w:r>
        <w:rPr>
          <w:vertAlign w:val="superscript"/>
        </w:rPr>
        <w:t>a</w:t>
      </w:r>
      <w:r w:rsidR="005D12CE">
        <w:rPr>
          <w:vertAlign w:val="superscript"/>
        </w:rPr>
        <w:t xml:space="preserve"> </w:t>
      </w:r>
      <w:r w:rsidR="005D12CE">
        <w:t xml:space="preserve">Conditions: </w:t>
      </w:r>
      <w:r w:rsidR="00702177">
        <w:t>0.5 µM to 1</w:t>
      </w:r>
      <w:r w:rsidR="005D12CE">
        <w:t xml:space="preserve"> µM P450, 0.01</w:t>
      </w:r>
      <w:r w:rsidR="00D46C1A">
        <w:t xml:space="preserve"> </w:t>
      </w:r>
      <w:proofErr w:type="spellStart"/>
      <w:r w:rsidR="00D46C1A">
        <w:t>mM</w:t>
      </w:r>
      <w:proofErr w:type="spellEnd"/>
      <w:r w:rsidR="005D12CE">
        <w:t xml:space="preserve"> to 5 </w:t>
      </w:r>
      <w:proofErr w:type="spellStart"/>
      <w:r w:rsidR="005D12CE">
        <w:t>mM</w:t>
      </w:r>
      <w:proofErr w:type="spellEnd"/>
      <w:r w:rsidR="005D12CE">
        <w:t xml:space="preserve"> octanoic acid, 2</w:t>
      </w:r>
      <w:r w:rsidR="00D46C1A">
        <w:t> </w:t>
      </w:r>
      <w:r w:rsidR="005D12CE">
        <w:t xml:space="preserve">% DMSO, 1 </w:t>
      </w:r>
      <w:proofErr w:type="spellStart"/>
      <w:r w:rsidR="005D12CE">
        <w:t>mM</w:t>
      </w:r>
      <w:proofErr w:type="spellEnd"/>
      <w:r w:rsidR="005D12CE">
        <w:t xml:space="preserve"> NADH and cofactor regeneration, 100 </w:t>
      </w:r>
      <w:proofErr w:type="spellStart"/>
      <w:r w:rsidR="005D12CE">
        <w:t>mM</w:t>
      </w:r>
      <w:proofErr w:type="spellEnd"/>
      <w:r w:rsidR="005D12CE">
        <w:t xml:space="preserve"> </w:t>
      </w:r>
      <w:r w:rsidR="00D46C1A">
        <w:t>potassium phosphate buffer, pH 7.4.</w:t>
      </w:r>
      <w:r w:rsidR="005D12CE">
        <w:t xml:space="preserve"> </w:t>
      </w:r>
      <w:r>
        <w:t xml:space="preserve">Concentration ratio used for the reductase partners 1:5:10 </w:t>
      </w:r>
      <w:r w:rsidRPr="00F565FC">
        <w:lastRenderedPageBreak/>
        <w:t>CYP153A</w:t>
      </w:r>
      <w:r w:rsidRPr="00F353C8">
        <w:rPr>
          <w:i/>
          <w:vertAlign w:val="subscript"/>
        </w:rPr>
        <w:t>M.aq</w:t>
      </w:r>
      <w:proofErr w:type="gramStart"/>
      <w:r>
        <w:t>:CamA:CamB</w:t>
      </w:r>
      <w:proofErr w:type="gramEnd"/>
      <w:r>
        <w:t>.</w:t>
      </w:r>
      <w:r w:rsidR="00D46C1A">
        <w:t xml:space="preserve"> </w:t>
      </w:r>
      <w:proofErr w:type="spellStart"/>
      <w:proofErr w:type="gramStart"/>
      <w:r w:rsidR="00D46C1A">
        <w:rPr>
          <w:vertAlign w:val="superscript"/>
        </w:rPr>
        <w:t>b</w:t>
      </w:r>
      <w:r w:rsidR="00D46C1A">
        <w:t>Derived</w:t>
      </w:r>
      <w:proofErr w:type="spellEnd"/>
      <w:proofErr w:type="gramEnd"/>
      <w:r w:rsidR="00D46C1A">
        <w:t xml:space="preserve"> from </w:t>
      </w:r>
      <w:proofErr w:type="spellStart"/>
      <w:r w:rsidR="00D46C1A">
        <w:t>Michaelis-Menten</w:t>
      </w:r>
      <w:proofErr w:type="spellEnd"/>
      <w:r w:rsidR="00D46C1A">
        <w:t xml:space="preserve"> equation.</w:t>
      </w:r>
    </w:p>
    <w:p w14:paraId="1D680B54" w14:textId="1681E37A" w:rsidR="00F523C0" w:rsidRDefault="00177A3A" w:rsidP="00A56E5C">
      <w:pPr>
        <w:pStyle w:val="TAMainText"/>
      </w:pPr>
      <w:r w:rsidRPr="00177A3A">
        <w:rPr>
          <w:b/>
        </w:rPr>
        <w:t xml:space="preserve">Modeling of M.aqRLT </w:t>
      </w:r>
      <w:r w:rsidR="00F45AF0">
        <w:rPr>
          <w:b/>
        </w:rPr>
        <w:t xml:space="preserve">to </w:t>
      </w:r>
      <w:r w:rsidRPr="00177A3A">
        <w:rPr>
          <w:b/>
        </w:rPr>
        <w:t>understand its improved activity.</w:t>
      </w:r>
      <w:r w:rsidR="002563A2">
        <w:t xml:space="preserve"> The variant M.aq</w:t>
      </w:r>
      <w:r>
        <w:t xml:space="preserve">RLT was constructed based on the wild type crystal structure </w:t>
      </w:r>
      <w:r w:rsidR="00AA1902">
        <w:t>(PDB ID</w:t>
      </w:r>
      <w:r>
        <w:t xml:space="preserve"> </w:t>
      </w:r>
      <w:r w:rsidR="00F75A8D">
        <w:t>5FYG</w:t>
      </w:r>
      <w:r>
        <w:t>)</w:t>
      </w:r>
      <w:r w:rsidR="00EB3568">
        <w:fldChar w:fldCharType="begin" w:fldLock="1"/>
      </w:r>
      <w:r w:rsidR="00967913">
        <w:instrText>ADDIN CSL_CITATION {"citationItems":[{"id":"ITEM-1","itemData":{"DOI":"10.1002/cctc.201600680","ISSN":"1867-3899","abstract":"The structure of a P450 ω-hydroxylase bound to its fatty acid product was determined, which revealed a narrow substrate tunnel that leads to the heme. The introduction of an arginine side chain in proximity to the carboxyl group of the fatty acid led to a reduced KM value for dodecanoic acid, which suggests the importance of an anchoring point in the active site. An increase in the flexibility of the substrate recognition region was also engineered, which resulted in a threefold improved product formation.","author":[{"dropping-particle":"","family":"Hoffmann","given":"Sara M","non-dropping-particle":"","parse-names":false,"suffix":""},{"dropping-particle":"","family":"Danesh‐Azari","given":"Hamid‐Reza","non-dropping-particle":"","parse-names":false,"suffix":""},{"dropping-particle":"","family":"Spandolf","given":"Claudia","non-dropping-particle":"","parse-names":false,"suffix":""},{"dropping-particle":"","family":"Weissenborn","given":"Martin J","non-dropping-particle":"","parse-names":false,"suffix":""},{"dropping-particle":"","family":"Grogan","given":"Gideon","non-dropping-particle":"","parse-names":false,"suffix":""},{"dropping-particle":"","family":"Hauer","given":"Bernhard","non-dropping-particle":"","parse-names":false,"suffix":""}],"container-title":"ChemCatChem","id":"ITEM-1","issue":"20","issued":{"date-parts":[["2016"]]},"page":"3234-3239","publisher":"Wiley Online Library","title":"Structure‐Guided Redesign of CYP153AM.aq for the Improved Terminal Hydroxylation of Fatty Acids","type":"article-journal","volume":"8"},"uris":["http://www.mendeley.com/documents/?uuid=a5655c03-fbb0-441f-b0d1-da241cc98501"]}],"mendeley":{"formattedCitation":"&lt;sup&gt;25&lt;/sup&gt;","plainTextFormattedCitation":"25","previouslyFormattedCitation":"&lt;sup&gt;25&lt;/sup&gt;"},"properties":{"noteIndex":0},"schema":"https://github.com/citation-style-language/schema/raw/master/csl-citation.json"}</w:instrText>
      </w:r>
      <w:r w:rsidR="00EB3568">
        <w:fldChar w:fldCharType="separate"/>
      </w:r>
      <w:r w:rsidR="00EB3568" w:rsidRPr="00EB3568">
        <w:rPr>
          <w:noProof/>
          <w:vertAlign w:val="superscript"/>
        </w:rPr>
        <w:t>25</w:t>
      </w:r>
      <w:r w:rsidR="00EB3568">
        <w:fldChar w:fldCharType="end"/>
      </w:r>
      <w:r>
        <w:t xml:space="preserve">, </w:t>
      </w:r>
      <w:r w:rsidR="005D0C48">
        <w:t>with</w:t>
      </w:r>
      <w:r>
        <w:t xml:space="preserve"> the </w:t>
      </w:r>
      <w:r w:rsidR="005D0C48">
        <w:t>corresponding</w:t>
      </w:r>
      <w:r>
        <w:t xml:space="preserve"> mutations</w:t>
      </w:r>
      <w:r w:rsidR="005D0C48">
        <w:t xml:space="preserve"> introduced</w:t>
      </w:r>
      <w:r>
        <w:t xml:space="preserve"> using Swiss-Model. </w:t>
      </w:r>
      <w:r w:rsidR="00A16092">
        <w:t>We performed the</w:t>
      </w:r>
      <w:r w:rsidR="00344CE3">
        <w:t xml:space="preserve"> </w:t>
      </w:r>
      <w:r w:rsidR="00F50651">
        <w:t xml:space="preserve">molecular </w:t>
      </w:r>
      <w:r w:rsidR="00344CE3">
        <w:t xml:space="preserve">docking of </w:t>
      </w:r>
      <w:r w:rsidR="00F50651">
        <w:t xml:space="preserve">the </w:t>
      </w:r>
      <w:r w:rsidR="00344CE3">
        <w:t>octanoic acid (Figure 2, yellow)</w:t>
      </w:r>
      <w:r w:rsidR="00DF1D13">
        <w:t>,</w:t>
      </w:r>
      <w:r w:rsidR="00344CE3">
        <w:t xml:space="preserve"> and </w:t>
      </w:r>
      <w:r w:rsidR="00F50651">
        <w:t xml:space="preserve">it </w:t>
      </w:r>
      <w:r w:rsidR="00344CE3">
        <w:t>showed</w:t>
      </w:r>
      <w:r w:rsidR="005D0C48">
        <w:t xml:space="preserve"> </w:t>
      </w:r>
      <w:r w:rsidR="00344CE3">
        <w:t>the carboxy</w:t>
      </w:r>
      <w:r w:rsidR="00A16092">
        <w:t>l</w:t>
      </w:r>
      <w:r w:rsidR="00344CE3">
        <w:t xml:space="preserve"> group </w:t>
      </w:r>
      <w:r w:rsidR="00DF1D13">
        <w:t xml:space="preserve">strongly </w:t>
      </w:r>
      <w:r w:rsidR="007E7695">
        <w:t>interacting</w:t>
      </w:r>
      <w:r w:rsidR="003B00B5">
        <w:t xml:space="preserve"> with</w:t>
      </w:r>
      <w:r w:rsidR="00344CE3">
        <w:t xml:space="preserve"> the mutated arginine 129. This position </w:t>
      </w:r>
      <w:r w:rsidR="005D0C48">
        <w:t>had</w:t>
      </w:r>
      <w:r w:rsidR="00344CE3">
        <w:t xml:space="preserve"> previously </w:t>
      </w:r>
      <w:r w:rsidR="005D0C48">
        <w:t>been shown</w:t>
      </w:r>
      <w:r w:rsidR="00344CE3">
        <w:t xml:space="preserve"> </w:t>
      </w:r>
      <w:r w:rsidR="005D0C48">
        <w:t>to be the</w:t>
      </w:r>
      <w:r w:rsidR="00344CE3">
        <w:t xml:space="preserve"> carboxyl anchor for longer fatty acids such as </w:t>
      </w:r>
      <w:proofErr w:type="spellStart"/>
      <w:r w:rsidR="00344CE3">
        <w:t>dodecanoic</w:t>
      </w:r>
      <w:proofErr w:type="spellEnd"/>
      <w:r w:rsidR="00344CE3">
        <w:t xml:space="preserve"> acid (C12).</w:t>
      </w:r>
      <w:r w:rsidR="00685979">
        <w:fldChar w:fldCharType="begin" w:fldLock="1"/>
      </w:r>
      <w:r w:rsidR="00EB3568">
        <w:instrText>ADDIN CSL_CITATION {"citationItems":[{"id":"ITEM-1","itemData":{"DOI":"10.1002/cctc.201600680","ISSN":"1867-3899","abstract":"The structure of a P450 ω-hydroxylase bound to its fatty acid product was determined, which revealed a narrow substrate tunnel that leads to the heme. The introduction of an arginine side chain in proximity to the carboxyl group of the fatty acid led to a reduced KM value for dodecanoic acid, which suggests the importance of an anchoring point in the active site. An increase in the flexibility of the substrate recognition region was also engineered, which resulted in a threefold improved product formation.","author":[{"dropping-particle":"","family":"Hoffmann","given":"Sara M","non-dropping-particle":"","parse-names":false,"suffix":""},{"dropping-particle":"","family":"Danesh‐Azari","given":"Hamid‐Reza","non-dropping-particle":"","parse-names":false,"suffix":""},{"dropping-particle":"","family":"Spandolf","given":"Claudia","non-dropping-particle":"","parse-names":false,"suffix":""},{"dropping-particle":"","family":"Weissenborn","given":"Martin J","non-dropping-particle":"","parse-names":false,"suffix":""},{"dropping-particle":"","family":"Grogan","given":"Gideon","non-dropping-particle":"","parse-names":false,"suffix":""},{"dropping-particle":"","family":"Hauer","given":"Bernhard","non-dropping-particle":"","parse-names":false,"suffix":""}],"container-title":"ChemCatChem","id":"ITEM-1","issue":"20","issued":{"date-parts":[["2016"]]},"page":"3234-3239","publisher":"Wiley Online Library","title":"Structure‐Guided Redesign of CYP153AM.aq for the Improved Terminal Hydroxylation of Fatty Acids","type":"article-journal","volume":"8"},"uris":["http://www.mendeley.com/documents/?uuid=a5655c03-fbb0-441f-b0d1-da241cc98501"]}],"mendeley":{"formattedCitation":"&lt;sup&gt;25&lt;/sup&gt;","plainTextFormattedCitation":"25","previouslyFormattedCitation":"&lt;sup&gt;25&lt;/sup&gt;"},"properties":{"noteIndex":0},"schema":"https://github.com/citation-style-language/schema/raw/master/csl-citation.json"}</w:instrText>
      </w:r>
      <w:r w:rsidR="00685979">
        <w:fldChar w:fldCharType="separate"/>
      </w:r>
      <w:r w:rsidR="00397741" w:rsidRPr="00397741">
        <w:rPr>
          <w:noProof/>
          <w:vertAlign w:val="superscript"/>
        </w:rPr>
        <w:t>25</w:t>
      </w:r>
      <w:r w:rsidR="00685979">
        <w:fldChar w:fldCharType="end"/>
      </w:r>
      <w:r w:rsidR="00344CE3">
        <w:t xml:space="preserve"> The acid group of </w:t>
      </w:r>
      <w:proofErr w:type="spellStart"/>
      <w:r w:rsidR="00344CE3">
        <w:t>dodecanoic</w:t>
      </w:r>
      <w:proofErr w:type="spellEnd"/>
      <w:r w:rsidR="00344CE3">
        <w:t xml:space="preserve"> acid is located </w:t>
      </w:r>
      <w:r w:rsidR="005D0C48">
        <w:t>slightly</w:t>
      </w:r>
      <w:r w:rsidR="00344CE3">
        <w:t xml:space="preserve"> above the triangular plane in the wild type (Q129, V141 and M228)</w:t>
      </w:r>
      <w:r w:rsidR="005D0C48">
        <w:t xml:space="preserve"> (Figure </w:t>
      </w:r>
      <w:r w:rsidR="005D0C48" w:rsidRPr="0037333F">
        <w:t>2</w:t>
      </w:r>
      <w:r w:rsidR="00F90A33" w:rsidRPr="0037333F">
        <w:t>(A)</w:t>
      </w:r>
      <w:r w:rsidR="005D0C48" w:rsidRPr="0037333F">
        <w:t>)</w:t>
      </w:r>
      <w:r w:rsidR="001B7340" w:rsidRPr="0037333F">
        <w:t>.</w:t>
      </w:r>
      <w:r w:rsidR="00344CE3">
        <w:t xml:space="preserve"> </w:t>
      </w:r>
      <w:r w:rsidR="001B7340">
        <w:t>In contrast,</w:t>
      </w:r>
      <w:r w:rsidR="00344CE3">
        <w:t xml:space="preserve"> the </w:t>
      </w:r>
      <w:r w:rsidR="005D0C48">
        <w:t xml:space="preserve">carboxyl group of </w:t>
      </w:r>
      <w:r w:rsidR="003977D0">
        <w:t xml:space="preserve">the </w:t>
      </w:r>
      <w:r w:rsidR="00237705">
        <w:t>octanoic acid (C8) is located slightly</w:t>
      </w:r>
      <w:r w:rsidR="00AA1902">
        <w:t xml:space="preserve"> beneath</w:t>
      </w:r>
      <w:r w:rsidR="00237705">
        <w:t xml:space="preserve"> the </w:t>
      </w:r>
      <w:r w:rsidR="005D0C48">
        <w:t>substituted</w:t>
      </w:r>
      <w:r w:rsidR="00237705">
        <w:t xml:space="preserve"> </w:t>
      </w:r>
      <w:r w:rsidR="00AA1902">
        <w:t>amino acids</w:t>
      </w:r>
      <w:r w:rsidR="00237705">
        <w:t xml:space="preserve"> (Q129R, V141L and M228T)</w:t>
      </w:r>
      <w:r w:rsidR="005D0C48">
        <w:t>, which</w:t>
      </w:r>
      <w:r w:rsidR="00535FB3">
        <w:t xml:space="preserve"> delinea</w:t>
      </w:r>
      <w:r w:rsidR="00381AEB">
        <w:t>t</w:t>
      </w:r>
      <w:r w:rsidR="00F45AF0">
        <w:t>e</w:t>
      </w:r>
      <w:r w:rsidR="00535FB3">
        <w:t xml:space="preserve"> the 2c tunnel, far from</w:t>
      </w:r>
      <w:r w:rsidR="001B7340">
        <w:t xml:space="preserve"> the active site</w:t>
      </w:r>
      <w:r w:rsidR="00237705">
        <w:t>.</w:t>
      </w:r>
    </w:p>
    <w:p w14:paraId="3B876251" w14:textId="351EC823" w:rsidR="00AD1079" w:rsidRDefault="002668C8" w:rsidP="00967927">
      <w:pPr>
        <w:pStyle w:val="VAFigureCaption"/>
      </w:pPr>
      <w:r>
        <w:rPr>
          <w:noProof/>
          <w:lang w:val="de-DE" w:eastAsia="de-DE"/>
        </w:rPr>
        <w:drawing>
          <wp:inline distT="0" distB="0" distL="0" distR="0" wp14:anchorId="78F0C2F3" wp14:editId="13C26438">
            <wp:extent cx="3044825" cy="4551045"/>
            <wp:effectExtent l="0" t="0" r="317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2.tif"/>
                    <pic:cNvPicPr/>
                  </pic:nvPicPr>
                  <pic:blipFill>
                    <a:blip r:embed="rId13">
                      <a:extLst>
                        <a:ext uri="{28A0092B-C50C-407E-A947-70E740481C1C}">
                          <a14:useLocalDpi xmlns:a14="http://schemas.microsoft.com/office/drawing/2010/main" val="0"/>
                        </a:ext>
                      </a:extLst>
                    </a:blip>
                    <a:stretch>
                      <a:fillRect/>
                    </a:stretch>
                  </pic:blipFill>
                  <pic:spPr>
                    <a:xfrm>
                      <a:off x="0" y="0"/>
                      <a:ext cx="3044825" cy="4551045"/>
                    </a:xfrm>
                    <a:prstGeom prst="rect">
                      <a:avLst/>
                    </a:prstGeom>
                  </pic:spPr>
                </pic:pic>
              </a:graphicData>
            </a:graphic>
          </wp:inline>
        </w:drawing>
      </w:r>
    </w:p>
    <w:p w14:paraId="53D39E3B" w14:textId="3A1A98F9" w:rsidR="00AB52C6" w:rsidRDefault="00AD1079" w:rsidP="00967927">
      <w:pPr>
        <w:pStyle w:val="VAFigureCaption"/>
      </w:pPr>
      <w:r w:rsidRPr="0037333F">
        <w:t xml:space="preserve">Figure </w:t>
      </w:r>
      <w:fldSimple w:instr=" SEQ Figure \* ARABIC ">
        <w:r w:rsidR="00571ADA" w:rsidRPr="0037333F">
          <w:rPr>
            <w:noProof/>
          </w:rPr>
          <w:t>2</w:t>
        </w:r>
      </w:fldSimple>
      <w:r w:rsidRPr="0037333F">
        <w:t xml:space="preserve">: </w:t>
      </w:r>
      <w:r w:rsidR="002668C8" w:rsidRPr="0037333F">
        <w:t xml:space="preserve">(A) </w:t>
      </w:r>
      <w:r w:rsidR="001D2373" w:rsidRPr="0037333F">
        <w:t>Representation</w:t>
      </w:r>
      <w:r w:rsidRPr="0037333F">
        <w:t xml:space="preserve"> of the mutated residues Q129R, V141L and M228T (green) of the </w:t>
      </w:r>
      <w:r w:rsidR="00687636" w:rsidRPr="0037333F">
        <w:t>best variant M.aqRLT</w:t>
      </w:r>
      <w:r w:rsidRPr="0037333F">
        <w:t xml:space="preserve"> with docked octanoic acid (yellow) and the </w:t>
      </w:r>
      <w:r w:rsidR="00A16092" w:rsidRPr="0037333F">
        <w:t xml:space="preserve">crystal structure of the </w:t>
      </w:r>
      <w:r w:rsidRPr="0037333F">
        <w:t xml:space="preserve">wild type residues (grey) </w:t>
      </w:r>
      <w:r w:rsidR="00A16092" w:rsidRPr="0037333F">
        <w:t>with</w:t>
      </w:r>
      <w:r w:rsidRPr="0037333F">
        <w:t xml:space="preserve"> the </w:t>
      </w:r>
      <w:r w:rsidR="00A16092" w:rsidRPr="0037333F">
        <w:t>co-</w:t>
      </w:r>
      <w:r w:rsidRPr="0037333F">
        <w:t>crysta</w:t>
      </w:r>
      <w:r w:rsidR="005D0C48" w:rsidRPr="0037333F">
        <w:t>l</w:t>
      </w:r>
      <w:r w:rsidRPr="0037333F">
        <w:t>lized ω-</w:t>
      </w:r>
      <w:proofErr w:type="spellStart"/>
      <w:r w:rsidRPr="0037333F">
        <w:t>hydroxy</w:t>
      </w:r>
      <w:proofErr w:type="spellEnd"/>
      <w:r w:rsidRPr="0037333F">
        <w:t xml:space="preserve"> </w:t>
      </w:r>
      <w:proofErr w:type="spellStart"/>
      <w:r w:rsidRPr="0037333F">
        <w:t>dodecanoic</w:t>
      </w:r>
      <w:proofErr w:type="spellEnd"/>
      <w:r w:rsidRPr="0037333F">
        <w:t xml:space="preserve"> acid (</w:t>
      </w:r>
      <w:r w:rsidR="00687636" w:rsidRPr="0037333F">
        <w:t xml:space="preserve">dark </w:t>
      </w:r>
      <w:r w:rsidRPr="0037333F">
        <w:t>green)</w:t>
      </w:r>
      <w:r w:rsidR="00381AEB" w:rsidRPr="0037333F">
        <w:t xml:space="preserve"> (</w:t>
      </w:r>
      <w:r w:rsidR="00493003" w:rsidRPr="0037333F">
        <w:t>PDB ID</w:t>
      </w:r>
      <w:r w:rsidR="004126DE" w:rsidRPr="0037333F">
        <w:t xml:space="preserve"> </w:t>
      </w:r>
      <w:r w:rsidR="00381AEB" w:rsidRPr="0037333F">
        <w:t>5FYG)</w:t>
      </w:r>
      <w:r w:rsidRPr="0037333F">
        <w:t xml:space="preserve">. </w:t>
      </w:r>
      <w:r w:rsidR="002668C8" w:rsidRPr="0037333F">
        <w:t xml:space="preserve">(B) </w:t>
      </w:r>
      <w:proofErr w:type="spellStart"/>
      <w:r w:rsidR="002668C8" w:rsidRPr="0037333F">
        <w:t>M.aqWT</w:t>
      </w:r>
      <w:proofErr w:type="spellEnd"/>
      <w:r w:rsidR="002668C8" w:rsidRPr="0037333F">
        <w:t xml:space="preserve"> and M.aqRLT with docked o</w:t>
      </w:r>
      <w:r w:rsidR="00786E84">
        <w:t xml:space="preserve">ctanoic acid. The distances </w:t>
      </w:r>
      <w:r w:rsidR="002668C8" w:rsidRPr="0037333F">
        <w:t>between the terminal carbon and the iron</w:t>
      </w:r>
      <w:r w:rsidR="00786E84">
        <w:t xml:space="preserve"> are represented</w:t>
      </w:r>
      <w:r w:rsidR="002668C8" w:rsidRPr="0037333F">
        <w:t xml:space="preserve">. </w:t>
      </w:r>
      <w:r w:rsidRPr="0037333F">
        <w:t>The heme is represented as black lines and the iron</w:t>
      </w:r>
      <w:r w:rsidRPr="00DB462B">
        <w:t xml:space="preserve"> as an orange sphere. </w:t>
      </w:r>
    </w:p>
    <w:p w14:paraId="574172EF" w14:textId="47CF7C24" w:rsidR="00685979" w:rsidRDefault="00685979" w:rsidP="00D83E22">
      <w:pPr>
        <w:pStyle w:val="TAMainText"/>
      </w:pPr>
      <w:r>
        <w:t xml:space="preserve">Additionally, we docked octanoic acid into the wild type crystal structure and observed </w:t>
      </w:r>
      <w:r w:rsidR="00E05BDC">
        <w:t xml:space="preserve">important </w:t>
      </w:r>
      <w:r>
        <w:t>differen</w:t>
      </w:r>
      <w:r w:rsidR="00E05BDC">
        <w:t>ces</w:t>
      </w:r>
      <w:r w:rsidR="009A12DF">
        <w:t xml:space="preserve"> </w:t>
      </w:r>
      <w:r w:rsidR="00E05BDC">
        <w:t xml:space="preserve">compared to </w:t>
      </w:r>
      <w:r>
        <w:t>M.</w:t>
      </w:r>
      <w:r w:rsidRPr="0037333F">
        <w:t>aqRLT</w:t>
      </w:r>
      <w:r w:rsidR="00FF77A3" w:rsidRPr="0037333F">
        <w:t xml:space="preserve"> (</w:t>
      </w:r>
      <w:r w:rsidR="00F90A33" w:rsidRPr="0037333F">
        <w:t>Figure 2(B)</w:t>
      </w:r>
      <w:r w:rsidR="00FF77A3" w:rsidRPr="0037333F">
        <w:t>)</w:t>
      </w:r>
      <w:r w:rsidRPr="0037333F">
        <w:t>.</w:t>
      </w:r>
      <w:r w:rsidR="00181FDE" w:rsidRPr="0037333F">
        <w:t xml:space="preserve"> In both </w:t>
      </w:r>
      <w:r w:rsidR="001F0F2F" w:rsidRPr="0037333F">
        <w:t>enzymes</w:t>
      </w:r>
      <w:r w:rsidR="00181FDE" w:rsidRPr="0037333F">
        <w:t>, the carboxy</w:t>
      </w:r>
      <w:r w:rsidR="00A16092" w:rsidRPr="0037333F">
        <w:t>l</w:t>
      </w:r>
      <w:r w:rsidR="00181FDE" w:rsidRPr="0037333F">
        <w:t xml:space="preserve"> group points in the direction of </w:t>
      </w:r>
      <w:r w:rsidR="00F75C8F" w:rsidRPr="0037333F">
        <w:t>the three addressed amino acids</w:t>
      </w:r>
      <w:r w:rsidR="005D0C48" w:rsidRPr="0037333F">
        <w:t>,</w:t>
      </w:r>
      <w:r w:rsidR="00F75C8F" w:rsidRPr="0037333F">
        <w:t xml:space="preserve"> but in the wild type, the terminal carbon (which we </w:t>
      </w:r>
      <w:r w:rsidR="00610167" w:rsidRPr="0037333F">
        <w:t xml:space="preserve">have </w:t>
      </w:r>
      <w:r w:rsidR="00F75C8F" w:rsidRPr="0037333F">
        <w:t>experimentally show</w:t>
      </w:r>
      <w:r w:rsidR="00610167" w:rsidRPr="0037333F">
        <w:t>n</w:t>
      </w:r>
      <w:r w:rsidR="00F75C8F" w:rsidRPr="0037333F">
        <w:t xml:space="preserve"> to be </w:t>
      </w:r>
      <w:r w:rsidR="00DF7D8E" w:rsidRPr="0037333F">
        <w:t xml:space="preserve">the only </w:t>
      </w:r>
      <w:r w:rsidR="00005B56" w:rsidRPr="0037333F">
        <w:t xml:space="preserve">position to be </w:t>
      </w:r>
      <w:r w:rsidR="00F75C8F" w:rsidRPr="0037333F">
        <w:t xml:space="preserve">hydroxylated) is </w:t>
      </w:r>
      <w:r w:rsidR="00F90A33" w:rsidRPr="0037333F">
        <w:t xml:space="preserve">2 </w:t>
      </w:r>
      <w:r w:rsidR="00F90A33" w:rsidRPr="0037333F">
        <w:rPr>
          <w:rFonts w:ascii="Calibri" w:hAnsi="Calibri"/>
        </w:rPr>
        <w:t>Å</w:t>
      </w:r>
      <w:r w:rsidR="00F90A33" w:rsidRPr="0037333F">
        <w:t xml:space="preserve"> </w:t>
      </w:r>
      <w:r w:rsidR="00F75C8F" w:rsidRPr="0037333F">
        <w:t>more distant from the catalytic iron</w:t>
      </w:r>
      <w:r w:rsidR="00005B56" w:rsidRPr="0037333F">
        <w:t xml:space="preserve">. The </w:t>
      </w:r>
      <w:r w:rsidR="00F0730C" w:rsidRPr="0037333F">
        <w:t xml:space="preserve">different </w:t>
      </w:r>
      <w:r w:rsidR="001F0F2F" w:rsidRPr="0037333F">
        <w:t>docking</w:t>
      </w:r>
      <w:r w:rsidR="001F0F2F">
        <w:t xml:space="preserve"> solutions </w:t>
      </w:r>
      <w:r w:rsidR="00E6369B">
        <w:t>were</w:t>
      </w:r>
      <w:r w:rsidR="001F0F2F">
        <w:t xml:space="preserve"> also</w:t>
      </w:r>
      <w:r w:rsidR="00FF77A3">
        <w:t xml:space="preserve"> more </w:t>
      </w:r>
      <w:r w:rsidR="005D0C48">
        <w:t>dispersed</w:t>
      </w:r>
      <w:r w:rsidR="00FF77A3">
        <w:t xml:space="preserve"> </w:t>
      </w:r>
      <w:r w:rsidR="00E6369B">
        <w:t xml:space="preserve">with the wild type </w:t>
      </w:r>
      <w:r w:rsidR="00F75C8F">
        <w:t xml:space="preserve">than </w:t>
      </w:r>
      <w:r w:rsidR="00E6369B">
        <w:t xml:space="preserve">with </w:t>
      </w:r>
      <w:r w:rsidR="00F75C8F">
        <w:t>the M.aqRLT</w:t>
      </w:r>
      <w:r w:rsidR="005D0C48" w:rsidRPr="005D0C48">
        <w:t xml:space="preserve"> </w:t>
      </w:r>
      <w:r w:rsidR="005D0C48">
        <w:t>variant</w:t>
      </w:r>
      <w:r w:rsidR="00F75C8F">
        <w:t>.</w:t>
      </w:r>
      <w:r w:rsidR="00FF77A3">
        <w:t xml:space="preserve"> Due to the deeper positioning</w:t>
      </w:r>
      <w:r w:rsidR="00E77AB1">
        <w:t xml:space="preserve"> of the </w:t>
      </w:r>
      <w:r w:rsidR="00184027">
        <w:t xml:space="preserve">substrate </w:t>
      </w:r>
      <w:r w:rsidR="00E77AB1">
        <w:t>terminal carbon,</w:t>
      </w:r>
      <w:r w:rsidR="00FF77A3">
        <w:t xml:space="preserve"> and </w:t>
      </w:r>
      <w:r w:rsidR="00423DD9">
        <w:t>thus</w:t>
      </w:r>
      <w:r w:rsidR="00FF77A3">
        <w:t xml:space="preserve"> </w:t>
      </w:r>
      <w:r w:rsidR="00E77AB1">
        <w:t xml:space="preserve">closer </w:t>
      </w:r>
      <w:r w:rsidR="00FF77A3">
        <w:t xml:space="preserve">proximity to the heme iron, we hypothesize a more efficient catalysis </w:t>
      </w:r>
      <w:r w:rsidR="00F250C5">
        <w:t xml:space="preserve">in </w:t>
      </w:r>
      <w:r w:rsidR="00FF77A3">
        <w:t>the variant.</w:t>
      </w:r>
      <w:r w:rsidR="00282954">
        <w:t xml:space="preserve"> </w:t>
      </w:r>
      <w:r w:rsidR="000F5854">
        <w:t>These results</w:t>
      </w:r>
      <w:r w:rsidR="00372DD3">
        <w:t xml:space="preserve"> </w:t>
      </w:r>
      <w:r w:rsidR="00AE1A50">
        <w:t xml:space="preserve">provided </w:t>
      </w:r>
      <w:r w:rsidR="002B5E58">
        <w:t xml:space="preserve">the </w:t>
      </w:r>
      <w:r w:rsidR="00372DD3">
        <w:t>first hints</w:t>
      </w:r>
      <w:r w:rsidR="00282954">
        <w:t xml:space="preserve"> </w:t>
      </w:r>
      <w:r w:rsidR="002B5E58">
        <w:t xml:space="preserve">of </w:t>
      </w:r>
      <w:r w:rsidR="003E7399">
        <w:t xml:space="preserve">why </w:t>
      </w:r>
      <w:r w:rsidR="00282954">
        <w:t xml:space="preserve">we have </w:t>
      </w:r>
      <w:r w:rsidR="00372DD3">
        <w:t>created a better catalyst</w:t>
      </w:r>
      <w:r w:rsidR="00784CCD">
        <w:t>:</w:t>
      </w:r>
      <w:r w:rsidR="00372DD3">
        <w:t xml:space="preserve"> the introduced</w:t>
      </w:r>
      <w:r w:rsidR="000A4B1E">
        <w:t xml:space="preserve"> </w:t>
      </w:r>
      <w:r w:rsidR="00372DD3">
        <w:t xml:space="preserve">mutations, especially Q129R, </w:t>
      </w:r>
      <w:r w:rsidR="007F6EA8">
        <w:t xml:space="preserve">seem to </w:t>
      </w:r>
      <w:r w:rsidR="00F45AF0">
        <w:t xml:space="preserve">be </w:t>
      </w:r>
      <w:r w:rsidR="007F6EA8">
        <w:t xml:space="preserve">better </w:t>
      </w:r>
      <w:r w:rsidR="008C31F1">
        <w:t xml:space="preserve">at </w:t>
      </w:r>
      <w:r w:rsidR="00372DD3">
        <w:t>anchor</w:t>
      </w:r>
      <w:r w:rsidR="008C31F1">
        <w:t>ing</w:t>
      </w:r>
      <w:r w:rsidR="00372DD3">
        <w:t xml:space="preserve"> the octanoic acid in the catalytically active conformation to be terminally hydroxylated. This indication </w:t>
      </w:r>
      <w:r w:rsidR="009B268A">
        <w:t>was then</w:t>
      </w:r>
      <w:r w:rsidR="00372DD3">
        <w:t xml:space="preserve"> investigated further with </w:t>
      </w:r>
      <w:r w:rsidR="00423DD9">
        <w:t>greater</w:t>
      </w:r>
      <w:r w:rsidR="00372DD3">
        <w:t xml:space="preserve"> </w:t>
      </w:r>
      <w:r w:rsidR="00FF77A3">
        <w:t>computational</w:t>
      </w:r>
      <w:r w:rsidR="00372DD3">
        <w:t xml:space="preserve"> effort.</w:t>
      </w:r>
    </w:p>
    <w:p w14:paraId="04E32646" w14:textId="5EB77B72" w:rsidR="00B5178C" w:rsidRDefault="00B5178C" w:rsidP="004179FB">
      <w:pPr>
        <w:pStyle w:val="TAMainText"/>
      </w:pPr>
      <w:r w:rsidRPr="00B5178C">
        <w:rPr>
          <w:b/>
        </w:rPr>
        <w:t>M</w:t>
      </w:r>
      <w:r w:rsidR="00D53EC7">
        <w:rPr>
          <w:b/>
        </w:rPr>
        <w:t>odification of m</w:t>
      </w:r>
      <w:r w:rsidRPr="00B5178C">
        <w:rPr>
          <w:b/>
        </w:rPr>
        <w:t xml:space="preserve">olecular tunnels </w:t>
      </w:r>
      <w:r w:rsidR="00D53EC7">
        <w:rPr>
          <w:b/>
        </w:rPr>
        <w:t>contribute</w:t>
      </w:r>
      <w:r w:rsidR="003E7843">
        <w:rPr>
          <w:b/>
        </w:rPr>
        <w:t>s</w:t>
      </w:r>
      <w:r w:rsidR="00D53EC7">
        <w:rPr>
          <w:b/>
        </w:rPr>
        <w:t xml:space="preserve"> </w:t>
      </w:r>
      <w:r w:rsidR="005F7A0A">
        <w:rPr>
          <w:b/>
        </w:rPr>
        <w:t>to</w:t>
      </w:r>
      <w:r w:rsidR="00D53EC7">
        <w:rPr>
          <w:b/>
        </w:rPr>
        <w:t xml:space="preserve"> enzyme activity. </w:t>
      </w:r>
      <w:r>
        <w:t>The tunnel calculation allow</w:t>
      </w:r>
      <w:r w:rsidR="00E40B62">
        <w:t>s</w:t>
      </w:r>
      <w:r>
        <w:t xml:space="preserve"> us to compare the </w:t>
      </w:r>
      <w:r w:rsidR="00D53EC7">
        <w:t xml:space="preserve">enzyme </w:t>
      </w:r>
      <w:r>
        <w:t>tunnels in the wild type and in the des</w:t>
      </w:r>
      <w:r w:rsidR="00D53EC7">
        <w:t xml:space="preserve">igned mutant variant </w:t>
      </w:r>
      <w:r w:rsidR="00E40B62">
        <w:t>with respect to</w:t>
      </w:r>
      <w:r>
        <w:t xml:space="preserve"> their geometric properties and topologies.</w:t>
      </w:r>
      <w:r w:rsidR="00D53EC7">
        <w:t xml:space="preserve"> </w:t>
      </w:r>
      <w:r w:rsidR="00D53EC7" w:rsidRPr="00D53EC7">
        <w:t>Compared to the wild type</w:t>
      </w:r>
      <w:r w:rsidR="00491430">
        <w:t xml:space="preserve"> (Figure 3A)</w:t>
      </w:r>
      <w:r w:rsidR="00D53EC7" w:rsidRPr="00D53EC7">
        <w:t xml:space="preserve">, the 2c tunnel of M.aqRLT </w:t>
      </w:r>
      <w:r w:rsidR="00E40B62">
        <w:t>shows</w:t>
      </w:r>
      <w:r w:rsidR="00D53EC7" w:rsidRPr="00D53EC7">
        <w:t xml:space="preserve"> a new sharp bend closer </w:t>
      </w:r>
      <w:r w:rsidR="00E40B62">
        <w:t>to</w:t>
      </w:r>
      <w:r w:rsidR="00D53EC7" w:rsidRPr="00D53EC7">
        <w:t xml:space="preserve"> the active site, which is created by the </w:t>
      </w:r>
      <w:r w:rsidR="00E40B62">
        <w:t>side chain</w:t>
      </w:r>
      <w:r w:rsidR="00D53EC7" w:rsidRPr="00D53EC7">
        <w:t xml:space="preserve"> of M228T</w:t>
      </w:r>
      <w:r w:rsidR="00D53EC7">
        <w:t xml:space="preserve"> (Figure 3</w:t>
      </w:r>
      <w:r w:rsidR="00491430">
        <w:t>B</w:t>
      </w:r>
      <w:r w:rsidR="00D53EC7">
        <w:t>)</w:t>
      </w:r>
      <w:r w:rsidR="00D53EC7" w:rsidRPr="00D53EC7">
        <w:t xml:space="preserve">. This fact supports the assumption of the substrate being better stabilized in the active site </w:t>
      </w:r>
      <w:r w:rsidR="00610167">
        <w:t>thus</w:t>
      </w:r>
      <w:r w:rsidR="00E40B62">
        <w:t xml:space="preserve"> pr</w:t>
      </w:r>
      <w:r w:rsidR="00610167">
        <w:t>omoting</w:t>
      </w:r>
      <w:r w:rsidR="00D53EC7" w:rsidRPr="00D53EC7">
        <w:t xml:space="preserve"> the chemical step</w:t>
      </w:r>
      <w:r w:rsidR="00D53EC7">
        <w:t>.</w:t>
      </w:r>
      <w:r w:rsidR="009A49D0">
        <w:t xml:space="preserve"> This is also indicated by the lower </w:t>
      </w:r>
      <w:r w:rsidR="00381AEB" w:rsidRPr="00371FBB">
        <w:rPr>
          <w:i/>
          <w:iCs/>
        </w:rPr>
        <w:t>K</w:t>
      </w:r>
      <w:r w:rsidR="00381AEB">
        <w:rPr>
          <w:vertAlign w:val="subscript"/>
        </w:rPr>
        <w:t>m</w:t>
      </w:r>
      <w:r w:rsidR="00381AEB">
        <w:t xml:space="preserve"> </w:t>
      </w:r>
      <w:r w:rsidR="009A49D0">
        <w:t xml:space="preserve">of the variant which was also demonstrated by </w:t>
      </w:r>
      <w:proofErr w:type="spellStart"/>
      <w:r w:rsidR="009A49D0">
        <w:t>Khersonky</w:t>
      </w:r>
      <w:proofErr w:type="spellEnd"/>
      <w:r w:rsidR="009A49D0">
        <w:t xml:space="preserve"> and colleagues.</w:t>
      </w:r>
      <w:r w:rsidR="009A49D0">
        <w:fldChar w:fldCharType="begin" w:fldLock="1"/>
      </w:r>
      <w:r w:rsidR="003B7284">
        <w:instrText>ADDIN CSL_CITATION {"citationItems":[{"id":"ITEM-1","itemData":{"DOI":"10.1016/j.jmb.2011.01.041","ISSN":"00222836","PMID":"21277311","abstract":"Although de novo computational enzyme design has been shown to be feasible, the field is still in its infancy: the kinetic parameters of designed enzymes are still orders of magnitude lower than those of naturally occurring ones. Nonetheless, designed enzymes can be improved by directed evolution, as recently exemplified for the designed Kemp eliminase KE07. Random mutagenesis and screening resulted in variants with &gt; 200-fold higher catalytic efficiency and provided insights about features missing in the designed enzyme. Here we describe the optimization of KE70, another designed Kemp eliminase. Amino acid substitutions predicted to improve catalysis in design calculations involving extensive backbone sampling were individually tested. Those proven beneficial were combinatorially incorporated into the originally designed KE70 along with random mutations, and the resulting libraries were screened for improved eliminase activity. Nine rounds of mutation and selection resulted in &gt; 400-fold improvement in the catalytic efficiency of the original KE70 design, reflected in both higher kcat values and lower Km values, with the best variants exhibiting kcat/Km values of &gt; 5 × 104 s-1 M- 1. The optimized KE70 variants were characterized structurally and biochemically, providing insights into the origins of the improvements in catalysis. Three primary contributions were identified: first, the reshaping of the active-site cavity to achieve tighter substrate binding; second, the fine-tuning of electrostatics around the catalytic His-Asp dyad; and, third, the stabilization of the active-site dyad in a conformation optimal for catalysis. © 2011 Elsevier Ltd. All rights reserved.","author":[{"dropping-particle":"","family":"Khersonsky","given":"Olga","non-dropping-particle":"","parse-names":false,"suffix":""},{"dropping-particle":"","family":"Röthlisberger","given":"Daniela","non-dropping-particle":"","parse-names":false,"suffix":""},{"dropping-particle":"","family":"Wollacott","given":"Andrew M.","non-dropping-particle":"","parse-names":false,"suffix":""},{"dropping-particle":"","family":"Murphy","given":"Paul","non-dropping-particle":"","parse-names":false,"suffix":""},{"dropping-particle":"","family":"Dym","given":"Orly","non-dropping-particle":"","parse-names":false,"suffix":""},{"dropping-particle":"","family":"Albeck","given":"Shira","non-dropping-particle":"","parse-names":false,"suffix":""},{"dropping-particle":"","family":"Kiss","given":"Gert","non-dropping-particle":"","parse-names":false,"suffix":""},{"dropping-particle":"","family":"Houk","given":"K. N.","non-dropping-particle":"","parse-names":false,"suffix":""},{"dropping-particle":"","family":"Baker","given":"David","non-dropping-particle":"","parse-names":false,"suffix":""},{"dropping-particle":"","family":"Tawfik","given":"Dan S.","non-dropping-particle":"","parse-names":false,"suffix":""}],"container-title":"Journal of Molecular Biology","id":"ITEM-1","issue":"3","issued":{"date-parts":[["2011"]]},"page":"391-412","title":"Optimization of the in-silico-designed Kemp eliminase KE70 by computational design and directed evolution","type":"article-journal","volume":"407"},"uris":["http://www.mendeley.com/documents/?uuid=b887450c-94c4-38a1-947a-ebb8b7608066"]}],"mendeley":{"formattedCitation":"&lt;sup&gt;27&lt;/sup&gt;","plainTextFormattedCitation":"27","previouslyFormattedCitation":"&lt;sup&gt;27&lt;/sup&gt;"},"properties":{"noteIndex":0},"schema":"https://github.com/citation-style-language/schema/raw/master/csl-citation.json"}</w:instrText>
      </w:r>
      <w:r w:rsidR="009A49D0">
        <w:fldChar w:fldCharType="separate"/>
      </w:r>
      <w:r w:rsidR="00397741" w:rsidRPr="00397741">
        <w:rPr>
          <w:noProof/>
          <w:vertAlign w:val="superscript"/>
        </w:rPr>
        <w:t>27</w:t>
      </w:r>
      <w:r w:rsidR="009A49D0">
        <w:fldChar w:fldCharType="end"/>
      </w:r>
      <w:r w:rsidR="00D53EC7">
        <w:t xml:space="preserve"> </w:t>
      </w:r>
      <w:r w:rsidR="0070413A" w:rsidRPr="0037333F">
        <w:t>We show</w:t>
      </w:r>
      <w:r w:rsidR="0017155D" w:rsidRPr="0037333F">
        <w:t xml:space="preserve"> that</w:t>
      </w:r>
      <w:r w:rsidR="0070413A" w:rsidRPr="0037333F">
        <w:t xml:space="preserve"> a</w:t>
      </w:r>
      <w:r w:rsidR="00D53EC7" w:rsidRPr="0037333F">
        <w:t xml:space="preserve"> new bottleneck in tunnel 2c was created by the mutations in variant</w:t>
      </w:r>
      <w:r w:rsidR="00D83E22" w:rsidRPr="0037333F">
        <w:t xml:space="preserve"> </w:t>
      </w:r>
      <w:r w:rsidR="00D53EC7" w:rsidRPr="0037333F">
        <w:t>M.</w:t>
      </w:r>
      <w:r w:rsidR="00FB2A95" w:rsidRPr="0037333F">
        <w:t>aqRLT</w:t>
      </w:r>
      <w:r w:rsidR="00D53EC7" w:rsidRPr="0037333F">
        <w:t>.</w:t>
      </w:r>
      <w:r w:rsidR="00706B87" w:rsidRPr="0037333F">
        <w:t xml:space="preserve"> </w:t>
      </w:r>
      <w:proofErr w:type="spellStart"/>
      <w:r w:rsidR="00706B87" w:rsidRPr="0037333F">
        <w:t>Fasan</w:t>
      </w:r>
      <w:proofErr w:type="spellEnd"/>
      <w:r w:rsidR="00706B87" w:rsidRPr="0037333F">
        <w:t xml:space="preserve"> and coworkers</w:t>
      </w:r>
      <w:r w:rsidR="003B7284" w:rsidRPr="0037333F">
        <w:t xml:space="preserve"> similarly</w:t>
      </w:r>
      <w:r w:rsidR="00706B87" w:rsidRPr="0037333F">
        <w:t xml:space="preserve"> illustrated a newly introduced bottleneck</w:t>
      </w:r>
      <w:r w:rsidR="0070413A" w:rsidRPr="0037333F">
        <w:t xml:space="preserve"> after the evolution of BM-3 from a long-chain fatty acid hydroxylase to a propane monooxygenase</w:t>
      </w:r>
      <w:r w:rsidR="00706B87" w:rsidRPr="0037333F">
        <w:t>,</w:t>
      </w:r>
      <w:r w:rsidR="0070413A" w:rsidRPr="0037333F">
        <w:t xml:space="preserve"> in which even</w:t>
      </w:r>
      <w:r w:rsidR="00706B87" w:rsidRPr="0037333F">
        <w:t xml:space="preserve"> the active site</w:t>
      </w:r>
      <w:r w:rsidR="0070413A" w:rsidRPr="0037333F">
        <w:t xml:space="preserve"> was separated</w:t>
      </w:r>
      <w:r w:rsidR="00706B87" w:rsidRPr="0037333F">
        <w:t xml:space="preserve"> from the substrate tunnel.</w:t>
      </w:r>
      <w:r w:rsidR="003B7284" w:rsidRPr="0037333F">
        <w:fldChar w:fldCharType="begin" w:fldLock="1"/>
      </w:r>
      <w:r w:rsidR="003B7284" w:rsidRPr="0037333F">
        <w:instrText>ADDIN CSL_CITATION {"citationItems":[{"id":"ITEM-1","itemData":{"DOI":"10.1016/j.jmb.2008.06.060","ISSN":"00222836","PMID":"18619466","abstract":"The evolutionary pressures that shaped the specificity and catalytic efficiency of enzymes can only be speculated. While directed evolution experiments show that new functions can be acquired under positive selection with few mutations, the role of negative selection in eliminating undesired activities and achieving high specificity remains unclear. Here we examine intermediates along the 'lineage' from a naturally occurring C12-C20 fatty acid hydroxylase (P450BM3) to a laboratory-evolved P450 propane monooxygenase (P450PMO) having 20 heme domain substitutions compared to P450BM3. Biochemical, crystallographic, and computational analyses show that a minimal perturbation of the P450BM3 fold and substrate-binding pocket accompanies a significant broadening of enzyme substrate range and the emergence of propane activity. In contrast, refinement of the enzyme catalytic efficiency for propane oxidation (</w:instrText>
      </w:r>
      <w:r w:rsidR="003B7284" w:rsidRPr="0037333F">
        <w:rPr>
          <w:rFonts w:ascii="Cambria Math" w:hAnsi="Cambria Math" w:cs="Cambria Math"/>
        </w:rPr>
        <w:instrText>∼</w:instrText>
      </w:r>
      <w:r w:rsidR="003B7284" w:rsidRPr="0037333F">
        <w:instrText xml:space="preserve"> 9000-fold increase in kcat/Km) involves profound reshaping and partitioning of the substrate access pathway. Remodeling of the substrate-recognition mechanisms ultimately results in remarkable narrowing of the substrate profile around propane and enables the acquisition of a basal iodomethane dehalogenase activity as yet unknown in natural alkane monooxygenases. A highly destabilizing L188P substitution in a region of the enzyme that undergoes a large conformational change during catalysis plays an important role in adaptation to the gaseous alkane. This work demonstrates that positive selection alone is sufficient to completely respecialize the cytochrome P450 for function on a nonnative substrate.","author":[{"dropping-particle":"","family":"Fasan","given":"Rudi","non-dropping-particle":"","parse-names":false,"suffix":""},{"dropping-particle":"","family":"Meharenna","given":"Yergalem T.","non-dropping-particle":"","parse-names":false,"suffix":""},{"dropping-particle":"","family":"Snow","given":"Christopher D.","non-dropping-particle":"","parse-names":false,"suffix":""},{"dropping-particle":"","family":"Poulos","given":"Thomas L.","non-dropping-particle":"","parse-names":false,"suffix":""},{"dropping-particle":"","family":"Arnold","given":"Frances H.","non-dropping-particle":"","parse-names":false,"suffix":""}],"container-title":"Journal of Molecular Biology","id":"ITEM-1","issue":"5","issued":{"date-parts":[["2008"]]},"page":"1069-1080","title":"Evolutionary History of a Specialized P450 Propane Monooxygenase","type":"article-journal","volume":"383"},"uris":["http://www.mendeley.com/documents/?uuid=769faa31-5b75-3071-b03f-857d5e7c32fa"]}],"mendeley":{"formattedCitation":"&lt;sup&gt;28&lt;/sup&gt;","plainTextFormattedCitation":"28","previouslyFormattedCitation":"&lt;sup&gt;28&lt;/sup&gt;"},"properties":{"noteIndex":0},"schema":"https://github.com/citation-style-language/schema/raw/master/csl-citation.json"}</w:instrText>
      </w:r>
      <w:r w:rsidR="003B7284" w:rsidRPr="0037333F">
        <w:fldChar w:fldCharType="separate"/>
      </w:r>
      <w:r w:rsidR="003B7284" w:rsidRPr="0037333F">
        <w:rPr>
          <w:noProof/>
          <w:vertAlign w:val="superscript"/>
        </w:rPr>
        <w:t>28</w:t>
      </w:r>
      <w:r w:rsidR="003B7284" w:rsidRPr="0037333F">
        <w:fldChar w:fldCharType="end"/>
      </w:r>
      <w:r w:rsidR="00D53EC7" w:rsidRPr="0037333F">
        <w:t xml:space="preserve"> </w:t>
      </w:r>
      <w:r w:rsidR="00F02282" w:rsidRPr="0037333F">
        <w:t>In addition, narrow tunnels are described as sterically constrained access pathways to address the terminal position</w:t>
      </w:r>
      <w:r w:rsidR="0034098D" w:rsidRPr="0037333F">
        <w:t xml:space="preserve"> for functionalization</w:t>
      </w:r>
      <w:r w:rsidR="00FD58D8" w:rsidRPr="0037333F">
        <w:t xml:space="preserve"> in P450s</w:t>
      </w:r>
      <w:r w:rsidR="0034098D" w:rsidRPr="0037333F">
        <w:t>.</w:t>
      </w:r>
      <w:r w:rsidR="00FD58D8" w:rsidRPr="0037333F">
        <w:fldChar w:fldCharType="begin" w:fldLock="1"/>
      </w:r>
      <w:r w:rsidR="00FD58D8" w:rsidRPr="0037333F">
        <w:instrText>ADDIN CSL_CITATION {"citationItems":[{"id":"ITEM-1","itemData":{"DOI":"10.1016/j.abb.2010.08.011","ISSN":"00039861","PMID":"20727847","abstract":"The regiospecific or preferential ω-hydroxylation of hydrocarbon chains is thermodynamically disfavored because the ease of C-H bond hydroxylation depends on the bond strength, and the primary C-H bond of a terminal methyl group is stronger than the secondary or tertiary C-H bond adjacent to it. The hydroxylation reaction will therefore occur primarily at the adjacent secondary or tertiary C-H bond unless the protein structure specifically enforces primary C-H bond oxidation. Here we review the classes of enzymes that catalyze ω-hydroxylation and our current understanding of the structural features that promote the ω-hydroxylation of unbranched and methyl-branched hydrocarbon chains. The evidence indicates that steric constraints are used to favor reaction at the ω-site rather than at the more reactive (ω-1)-site. © 2010 Elsevier Inc. All rights reserved.","author":[{"dropping-particle":"","family":"Johnston","given":"Jonathan B.","non-dropping-particle":"","parse-names":false,"suffix":""},{"dropping-particle":"","family":"Ouellet","given":"Hugues","non-dropping-particle":"","parse-names":false,"suffix":""},{"dropping-particle":"","family":"Podust","given":"Larissa M.","non-dropping-particle":"","parse-names":false,"suffix":""},{"dropping-particle":"","family":"Ortiz De Montellano","given":"Paul R.","non-dropping-particle":"","parse-names":false,"suffix":""}],"container-title":"Archives of Biochemistry and Biophysics","id":"ITEM-1","issue":"1","issued":{"date-parts":[["2011"]]},"page":"86-94","title":"Structural control of cytochrome P450-catalyzed ω-hydroxylation","type":"article","volume":"507"},"uris":["http://www.mendeley.com/documents/?uuid=f9efbbea-3eec-3e8a-92cc-4934a0068ae5"]}],"mendeley":{"formattedCitation":"&lt;sup&gt;16&lt;/sup&gt;","plainTextFormattedCitation":"16","previouslyFormattedCitation":"&lt;sup&gt;16&lt;/sup&gt;"},"properties":{"noteIndex":0},"schema":"https://github.com/citation-style-language/schema/raw/master/csl-citation.json"}</w:instrText>
      </w:r>
      <w:r w:rsidR="00FD58D8" w:rsidRPr="0037333F">
        <w:fldChar w:fldCharType="separate"/>
      </w:r>
      <w:r w:rsidR="00FD58D8" w:rsidRPr="0037333F">
        <w:rPr>
          <w:noProof/>
          <w:vertAlign w:val="superscript"/>
        </w:rPr>
        <w:t>16</w:t>
      </w:r>
      <w:r w:rsidR="00FD58D8" w:rsidRPr="0037333F">
        <w:fldChar w:fldCharType="end"/>
      </w:r>
      <w:r w:rsidR="00F02282" w:rsidRPr="0037333F">
        <w:t xml:space="preserve"> </w:t>
      </w:r>
      <w:r w:rsidR="00D53EC7" w:rsidRPr="0037333F">
        <w:t>Since tunnel 2e</w:t>
      </w:r>
      <w:r w:rsidR="0051383C" w:rsidRPr="0037333F">
        <w:t>, with</w:t>
      </w:r>
      <w:r w:rsidR="00B02459" w:rsidRPr="0037333F">
        <w:t xml:space="preserve"> the mutation Q129R at its entrance</w:t>
      </w:r>
      <w:r w:rsidR="00131CAF" w:rsidRPr="0037333F">
        <w:t>,</w:t>
      </w:r>
      <w:r w:rsidR="00B02459" w:rsidRPr="0037333F">
        <w:t xml:space="preserve"> </w:t>
      </w:r>
      <w:r w:rsidR="00D53EC7" w:rsidRPr="0037333F">
        <w:t>is the energetically favored pathway for octanoic acid</w:t>
      </w:r>
      <w:r w:rsidR="00264BA9" w:rsidRPr="0037333F">
        <w:t xml:space="preserve"> in M.aqRLT</w:t>
      </w:r>
      <w:r w:rsidR="0040384F" w:rsidRPr="0037333F">
        <w:t xml:space="preserve"> (</w:t>
      </w:r>
      <w:proofErr w:type="spellStart"/>
      <w:r w:rsidR="0040384F" w:rsidRPr="0037333F">
        <w:t>CaverDock</w:t>
      </w:r>
      <w:proofErr w:type="spellEnd"/>
      <w:r w:rsidR="0040384F" w:rsidRPr="0037333F">
        <w:t>,</w:t>
      </w:r>
      <w:r w:rsidR="006260F5" w:rsidRPr="0037333F">
        <w:t xml:space="preserve"> Figure </w:t>
      </w:r>
      <w:r w:rsidR="005C7F06" w:rsidRPr="0037333F">
        <w:t>S</w:t>
      </w:r>
      <w:r w:rsidR="00012469" w:rsidRPr="0037333F">
        <w:t>4</w:t>
      </w:r>
      <w:r w:rsidR="00264BA9" w:rsidRPr="0037333F">
        <w:t xml:space="preserve"> and Table S5</w:t>
      </w:r>
      <w:r w:rsidR="0040384F" w:rsidRPr="0037333F">
        <w:t>)</w:t>
      </w:r>
      <w:r w:rsidR="004179FB" w:rsidRPr="0037333F">
        <w:t xml:space="preserve">, this supports the </w:t>
      </w:r>
      <w:r w:rsidR="00257415" w:rsidRPr="0037333F">
        <w:t xml:space="preserve">hypothesis of a better stabilization of the substrate in the active site </w:t>
      </w:r>
      <w:r w:rsidR="00D53EC7" w:rsidRPr="0037333F">
        <w:t xml:space="preserve">or </w:t>
      </w:r>
      <w:r w:rsidR="00610167" w:rsidRPr="0037333F">
        <w:t>prevention of</w:t>
      </w:r>
      <w:r w:rsidR="002D7907" w:rsidRPr="0037333F">
        <w:t xml:space="preserve"> its egress</w:t>
      </w:r>
      <w:r w:rsidR="00D53EC7" w:rsidRPr="0037333F">
        <w:t xml:space="preserve">. We hypothesize that the limiting step for converting octanoic acid is not the migration of the substrate into the active site, since the model substrates of the wild type enzyme are also fatty acids, </w:t>
      </w:r>
      <w:r w:rsidR="00C137AE" w:rsidRPr="0037333F">
        <w:t>albeit</w:t>
      </w:r>
      <w:r w:rsidR="00D53EC7" w:rsidRPr="0037333F">
        <w:t xml:space="preserve"> with longer carbon chains (C9-C20)</w:t>
      </w:r>
      <w:r w:rsidR="001D5922" w:rsidRPr="0037333F">
        <w:t>,</w:t>
      </w:r>
      <w:r w:rsidR="00C137AE" w:rsidRPr="0037333F">
        <w:t xml:space="preserve"> but rather </w:t>
      </w:r>
      <w:r w:rsidR="00A61B92" w:rsidRPr="0037333F">
        <w:t xml:space="preserve">its </w:t>
      </w:r>
      <w:r w:rsidR="00C137AE" w:rsidRPr="0037333F">
        <w:t>positioning and stabilization in the active</w:t>
      </w:r>
      <w:r w:rsidR="00610167" w:rsidRPr="0037333F">
        <w:t xml:space="preserve"> site</w:t>
      </w:r>
      <w:r w:rsidR="00C137AE" w:rsidRPr="0037333F">
        <w:t xml:space="preserve"> pocket</w:t>
      </w:r>
      <w:r w:rsidR="00D53EC7" w:rsidRPr="0037333F">
        <w:t>.</w:t>
      </w:r>
      <w:r w:rsidR="00D53EC7" w:rsidRPr="0037333F">
        <w:fldChar w:fldCharType="begin" w:fldLock="1"/>
      </w:r>
      <w:r w:rsidR="003B7284" w:rsidRPr="0037333F">
        <w:instrText>ADDIN CSL_CITATION {"citationItems":[{"id":"ITEM-1","itemData":{"DOI":"10.1039/c2cc18103g","ISSN":"1364548X","PMID":"22513828","abstract":"CYP153A from Marinobacter aquaeolei has been identified as a fatty acid Ω-hydroxylase with a broad substrate range. Two hotspots predicted to influence substrate specificity and selectivity were exchanged. Mutant G307A is 2- to 20-fold more active towards fatty acids than the wild-type. Residue L354 is determinant for the enzyme Ω-regioselectivity. © 2012 Royal Society of Chemistry.","author":[{"dropping-particle":"","family":"Honda Malca","given":"Sumire","non-dropping-particle":"","parse-names":false,"suffix":""},{"dropping-particle":"","family":"Scheps","given":"Daniel","non-dropping-particle":"","parse-names":false,"suffix":""},{"dropping-particle":"","family":"Kühnel","given":"Lisa","non-dropping-particle":"","parse-names":false,"suffix":""},{"dropping-particle":"","family":"Venegas-Venegas","given":"Elena","non-dropping-particle":"","parse-names":false,"suffix":""},{"dropping-particle":"","family":"Seifert","given":"Alexander","non-dropping-particle":"","parse-names":false,"suffix":""},{"dropping-particle":"","family":"Nestl","given":"Bettina M","non-dropping-particle":"","parse-names":false,"suffix":""},{"dropping-particle":"","family":"Hauer","given":"Bernhard","non-dropping-particle":"","parse-names":false,"suffix":""}],"container-title":"Chemical Communications","id":"ITEM-1","issue":"42","issued":{"date-parts":[["2012"]]},"page":"5115-5117","title":"Bacterial CYP153A monooxygenases for the synthesis of omega-hydroxylated fatty acids","type":"article-journal","volume":"48"},"uris":["http://www.mendeley.com/documents/?uuid=2ce81848-481b-310d-8600-f59414b0b8cc"]}],"mendeley":{"formattedCitation":"&lt;sup&gt;18&lt;/sup&gt;","plainTextFormattedCitation":"18","previouslyFormattedCitation":"&lt;sup&gt;18&lt;/sup&gt;"},"properties":{"noteIndex":0},"schema":"https://github.com/citation-style-language/schema/raw/master/csl-citation.json"}</w:instrText>
      </w:r>
      <w:r w:rsidR="00D53EC7" w:rsidRPr="0037333F">
        <w:fldChar w:fldCharType="separate"/>
      </w:r>
      <w:r w:rsidR="00397741" w:rsidRPr="0037333F">
        <w:rPr>
          <w:noProof/>
          <w:vertAlign w:val="superscript"/>
        </w:rPr>
        <w:t>18</w:t>
      </w:r>
      <w:r w:rsidR="00D53EC7" w:rsidRPr="0037333F">
        <w:fldChar w:fldCharType="end"/>
      </w:r>
      <w:r w:rsidR="0048242F" w:rsidRPr="0037333F">
        <w:t xml:space="preserve"> This is supported by coupling data, whereas the wild type displayed poor coupling of only 10.5</w:t>
      </w:r>
      <w:r w:rsidR="0048242F" w:rsidRPr="0037333F">
        <w:rPr>
          <w:rFonts w:ascii="Constantia" w:hAnsi="Constantia"/>
        </w:rPr>
        <w:t>±1.5%, the variant M.aqRLT showed a 2-fold improved coupling of 19.6±0.5%.</w:t>
      </w:r>
    </w:p>
    <w:p w14:paraId="6FF4553E" w14:textId="77777777" w:rsidR="00512BE3" w:rsidRDefault="009B268A" w:rsidP="00BA584B">
      <w:pPr>
        <w:pStyle w:val="TAMainText"/>
        <w:sectPr w:rsidR="00512BE3" w:rsidSect="00AB52C6">
          <w:type w:val="continuous"/>
          <w:pgSz w:w="12240" w:h="15840"/>
          <w:pgMar w:top="720" w:right="1094" w:bottom="720" w:left="1094" w:header="720" w:footer="720" w:gutter="0"/>
          <w:cols w:num="2" w:space="461"/>
        </w:sectPr>
      </w:pPr>
      <w:r w:rsidRPr="009B268A">
        <w:rPr>
          <w:b/>
        </w:rPr>
        <w:t xml:space="preserve">Reduced flexibility </w:t>
      </w:r>
      <w:r w:rsidR="00C137AE">
        <w:rPr>
          <w:b/>
        </w:rPr>
        <w:t>enables</w:t>
      </w:r>
      <w:r w:rsidRPr="009B268A">
        <w:rPr>
          <w:b/>
        </w:rPr>
        <w:t xml:space="preserve"> more efficient catalysis.</w:t>
      </w:r>
      <w:r>
        <w:t xml:space="preserve"> To assess the protein flexibility</w:t>
      </w:r>
      <w:r w:rsidR="00BD5923">
        <w:t xml:space="preserve"> and its influence in the fu</w:t>
      </w:r>
      <w:r w:rsidR="000243FB">
        <w:t>n</w:t>
      </w:r>
      <w:r w:rsidR="00BD5923">
        <w:t>ction</w:t>
      </w:r>
      <w:r w:rsidR="00C137AE">
        <w:t>,</w:t>
      </w:r>
      <w:r>
        <w:t xml:space="preserve"> we </w:t>
      </w:r>
      <w:r w:rsidR="00BD5923">
        <w:t>performed</w:t>
      </w:r>
      <w:r>
        <w:t xml:space="preserve"> </w:t>
      </w:r>
      <w:r w:rsidR="004415EB">
        <w:t>molecular dynamics (</w:t>
      </w:r>
      <w:r>
        <w:t>MD</w:t>
      </w:r>
      <w:r w:rsidR="004415EB">
        <w:t>)</w:t>
      </w:r>
      <w:r w:rsidR="00BD5923">
        <w:t xml:space="preserve"> </w:t>
      </w:r>
      <w:r>
        <w:t>simulations and analyzed the respective differences with and without octanoic acid</w:t>
      </w:r>
      <w:r w:rsidRPr="009B268A">
        <w:t xml:space="preserve"> </w:t>
      </w:r>
      <w:r>
        <w:t>bound in the active sites.</w:t>
      </w:r>
      <w:r w:rsidRPr="009B268A">
        <w:t xml:space="preserve"> </w:t>
      </w:r>
      <w:r w:rsidR="00104692">
        <w:t>T</w:t>
      </w:r>
      <w:r w:rsidR="002D7907">
        <w:t xml:space="preserve">here </w:t>
      </w:r>
      <w:r>
        <w:t xml:space="preserve">are two major regions </w:t>
      </w:r>
      <w:r w:rsidR="00C137AE">
        <w:t>in which</w:t>
      </w:r>
      <w:r>
        <w:t xml:space="preserve"> flexibility </w:t>
      </w:r>
      <w:r w:rsidR="00CA470C">
        <w:t>(assessed by the B-</w:t>
      </w:r>
    </w:p>
    <w:p w14:paraId="133D4605" w14:textId="77777777" w:rsidR="00A54831" w:rsidRDefault="00A54831" w:rsidP="00BA584B">
      <w:pPr>
        <w:pStyle w:val="TAMainText"/>
        <w:sectPr w:rsidR="00A54831" w:rsidSect="00AB52C6">
          <w:type w:val="continuous"/>
          <w:pgSz w:w="12240" w:h="15840"/>
          <w:pgMar w:top="720" w:right="1094" w:bottom="720" w:left="1094" w:header="720" w:footer="720" w:gutter="0"/>
          <w:cols w:num="2" w:space="461"/>
        </w:sectPr>
      </w:pPr>
    </w:p>
    <w:p w14:paraId="2A83B17E" w14:textId="6527FB99" w:rsidR="00E97D2F" w:rsidRDefault="00A54831" w:rsidP="000A4B1E">
      <w:pPr>
        <w:pStyle w:val="VAFigureCaption"/>
        <w:rPr>
          <w:noProof/>
        </w:rPr>
      </w:pPr>
      <w:r>
        <w:rPr>
          <w:noProof/>
          <w:lang w:val="de-DE" w:eastAsia="de-DE"/>
        </w:rPr>
        <w:lastRenderedPageBreak/>
        <w:drawing>
          <wp:inline distT="0" distB="0" distL="0" distR="0" wp14:anchorId="49EC173D" wp14:editId="6FE2A485">
            <wp:extent cx="6383020" cy="47872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actors4.tif"/>
                    <pic:cNvPicPr/>
                  </pic:nvPicPr>
                  <pic:blipFill>
                    <a:blip r:embed="rId14">
                      <a:extLst>
                        <a:ext uri="{28A0092B-C50C-407E-A947-70E740481C1C}">
                          <a14:useLocalDpi xmlns:a14="http://schemas.microsoft.com/office/drawing/2010/main" val="0"/>
                        </a:ext>
                      </a:extLst>
                    </a:blip>
                    <a:stretch>
                      <a:fillRect/>
                    </a:stretch>
                  </pic:blipFill>
                  <pic:spPr>
                    <a:xfrm>
                      <a:off x="0" y="0"/>
                      <a:ext cx="6383020" cy="4787265"/>
                    </a:xfrm>
                    <a:prstGeom prst="rect">
                      <a:avLst/>
                    </a:prstGeom>
                  </pic:spPr>
                </pic:pic>
              </a:graphicData>
            </a:graphic>
          </wp:inline>
        </w:drawing>
      </w:r>
    </w:p>
    <w:p w14:paraId="6FD9DFDD" w14:textId="6E6A713C" w:rsidR="00D83E22" w:rsidRDefault="00D83E22" w:rsidP="000A4B1E">
      <w:pPr>
        <w:pStyle w:val="VAFigureCaption"/>
        <w:rPr>
          <w:noProof/>
        </w:rPr>
        <w:sectPr w:rsidR="00D83E22" w:rsidSect="00AA6969">
          <w:type w:val="continuous"/>
          <w:pgSz w:w="12240" w:h="15840"/>
          <w:pgMar w:top="720" w:right="1094" w:bottom="720" w:left="1094" w:header="720" w:footer="720" w:gutter="0"/>
          <w:cols w:space="461"/>
          <w:docGrid w:linePitch="326"/>
        </w:sectPr>
      </w:pPr>
      <w:r w:rsidRPr="00AB52C6">
        <w:rPr>
          <w:noProof/>
        </w:rPr>
        <w:t xml:space="preserve">Figure 3: </w:t>
      </w:r>
      <w:r w:rsidR="000A4B1E">
        <w:rPr>
          <w:noProof/>
        </w:rPr>
        <w:t xml:space="preserve">Tunnel architecture of the enzyme variants and </w:t>
      </w:r>
      <w:r w:rsidR="00C1585B">
        <w:rPr>
          <w:noProof/>
        </w:rPr>
        <w:t xml:space="preserve">protein dynamics accessed by </w:t>
      </w:r>
      <w:r w:rsidR="000A4B1E">
        <w:rPr>
          <w:noProof/>
        </w:rPr>
        <w:t>B-factors</w:t>
      </w:r>
      <w:r w:rsidR="004126DE" w:rsidRPr="004126DE">
        <w:rPr>
          <w:noProof/>
        </w:rPr>
        <w:t xml:space="preserve"> </w:t>
      </w:r>
      <w:r w:rsidR="004126DE">
        <w:rPr>
          <w:noProof/>
        </w:rPr>
        <w:t>calculated using molecular dynamics</w:t>
      </w:r>
      <w:r w:rsidR="000A4B1E">
        <w:rPr>
          <w:noProof/>
        </w:rPr>
        <w:t xml:space="preserve">. </w:t>
      </w:r>
      <w:r w:rsidRPr="005221A6">
        <w:rPr>
          <w:noProof/>
        </w:rPr>
        <w:t xml:space="preserve">The BC-loop (pink) and the FG-loop (blue) are highlighted in the structure of M.aqWT </w:t>
      </w:r>
      <w:r w:rsidR="000A4B1E">
        <w:rPr>
          <w:noProof/>
        </w:rPr>
        <w:t>(A</w:t>
      </w:r>
      <w:r w:rsidRPr="00AB52C6">
        <w:rPr>
          <w:noProof/>
        </w:rPr>
        <w:t>)</w:t>
      </w:r>
      <w:r w:rsidRPr="005221A6">
        <w:rPr>
          <w:noProof/>
        </w:rPr>
        <w:t xml:space="preserve"> and M.aqRLT </w:t>
      </w:r>
      <w:r w:rsidR="000A4B1E">
        <w:rPr>
          <w:noProof/>
        </w:rPr>
        <w:t>(B</w:t>
      </w:r>
      <w:r w:rsidRPr="00AB52C6">
        <w:rPr>
          <w:noProof/>
        </w:rPr>
        <w:t>)</w:t>
      </w:r>
      <w:r w:rsidRPr="005221A6">
        <w:rPr>
          <w:noProof/>
        </w:rPr>
        <w:t xml:space="preserve"> shown with the substrate tunnels 2c (purple) and 2e (green)</w:t>
      </w:r>
      <w:r>
        <w:rPr>
          <w:noProof/>
        </w:rPr>
        <w:t xml:space="preserve"> and the Solvent tunnel S (yellow)</w:t>
      </w:r>
      <w:r w:rsidRPr="005221A6">
        <w:rPr>
          <w:noProof/>
        </w:rPr>
        <w:t>. The heme is represented in black sticks and the iron as an orange sphere.</w:t>
      </w:r>
      <w:r w:rsidR="00825671" w:rsidRPr="00825671">
        <w:rPr>
          <w:noProof/>
        </w:rPr>
        <w:t xml:space="preserve"> </w:t>
      </w:r>
      <w:r w:rsidR="00825671" w:rsidRPr="00AB52C6">
        <w:rPr>
          <w:noProof/>
        </w:rPr>
        <w:t>(</w:t>
      </w:r>
      <w:r w:rsidR="000A4B1E">
        <w:rPr>
          <w:noProof/>
        </w:rPr>
        <w:t>C</w:t>
      </w:r>
      <w:r w:rsidR="00825671" w:rsidRPr="00AB52C6">
        <w:rPr>
          <w:noProof/>
        </w:rPr>
        <w:t xml:space="preserve">) </w:t>
      </w:r>
      <w:r w:rsidR="00825671" w:rsidRPr="005221A6">
        <w:rPr>
          <w:noProof/>
        </w:rPr>
        <w:t xml:space="preserve">B-factors of the enzymes residues with the octanoic acid ligand (oct). M.aqWT + oct (black), M.aqRLT + oct (green) and the enzyme M.aqWT (grey dotted) and M.aqRLT without ligand (green dashed). B-factors were calculated as average of the four individual MD simulations, respectively. The position of the mutations is </w:t>
      </w:r>
      <w:r w:rsidR="00506DC8">
        <w:rPr>
          <w:noProof/>
        </w:rPr>
        <w:t>indicated</w:t>
      </w:r>
      <w:r w:rsidR="00825671" w:rsidRPr="005221A6">
        <w:rPr>
          <w:noProof/>
        </w:rPr>
        <w:t xml:space="preserve"> by the green arrows.</w:t>
      </w:r>
      <w:r w:rsidR="00C1585B">
        <w:rPr>
          <w:noProof/>
        </w:rPr>
        <w:t xml:space="preserve"> The tunnels were calculated using the sofware CAVER 3.2.</w:t>
      </w:r>
      <w:r w:rsidR="00E17092">
        <w:rPr>
          <w:noProof/>
        </w:rPr>
        <w:t xml:space="preserve">  </w:t>
      </w:r>
      <w:r w:rsidR="00C1585B">
        <w:rPr>
          <w:noProof/>
        </w:rPr>
        <w:t xml:space="preserve">  </w:t>
      </w:r>
    </w:p>
    <w:p w14:paraId="24F926AD" w14:textId="77777777" w:rsidR="00512BE3" w:rsidRDefault="00512BE3" w:rsidP="00512BE3">
      <w:pPr>
        <w:pStyle w:val="TAMainText"/>
        <w:ind w:firstLine="0"/>
      </w:pPr>
      <w:proofErr w:type="gramStart"/>
      <w:r>
        <w:t>factors</w:t>
      </w:r>
      <w:proofErr w:type="gramEnd"/>
      <w:r>
        <w:t xml:space="preserve">) differs significantly between the investigated enzyme variants. These elements correspond to two loops, which partly form the binding pocket, but mainly serve as guiding elements for the substrate tunnels of the enzymes. More precisely, they are referred to as BC-loop and FG-loop, which connect the respective </w:t>
      </w:r>
      <w:r w:rsidRPr="004126DE">
        <w:t xml:space="preserve">helices (Figure 3A and B). The B-factors of each residue from M.aq wild type and M.aqRLT with (+ </w:t>
      </w:r>
      <w:proofErr w:type="spellStart"/>
      <w:proofErr w:type="gramStart"/>
      <w:r w:rsidRPr="004126DE">
        <w:t>oct</w:t>
      </w:r>
      <w:proofErr w:type="spellEnd"/>
      <w:proofErr w:type="gramEnd"/>
      <w:r w:rsidRPr="004126DE">
        <w:t>) and without the octanoic acid were computed for the backbone atoms (Figure 3C). The two main substrate tunnels (2c and 2e) are basically defined by the BC-loop and the FG-loop/G-helix (Figure 3A and B),</w:t>
      </w:r>
      <w:r>
        <w:t xml:space="preserve"> which are highlighted in Figure 3C. Our results showed that the BC-loop is highly flexible in </w:t>
      </w:r>
      <w:proofErr w:type="spellStart"/>
      <w:r>
        <w:t>M.aqWT</w:t>
      </w:r>
      <w:proofErr w:type="spellEnd"/>
      <w:r>
        <w:t xml:space="preserve">, and even more in the presence of octanoic acid. </w:t>
      </w:r>
      <w:r w:rsidRPr="00242712">
        <w:t>M.aqRLT</w:t>
      </w:r>
      <w:r>
        <w:t>,</w:t>
      </w:r>
      <w:r w:rsidRPr="00242712">
        <w:t xml:space="preserve"> </w:t>
      </w:r>
      <w:r>
        <w:t>on the other hand, displayed B-factors in that region that were considerably lower (by more than 30%), suggesting increased stabilization and stronger interactions with the bound substrate.</w:t>
      </w:r>
      <w:r w:rsidRPr="009467D6">
        <w:t xml:space="preserve"> </w:t>
      </w:r>
      <w:r>
        <w:t>Interestingly, w</w:t>
      </w:r>
      <w:r w:rsidRPr="00016DFD">
        <w:t xml:space="preserve">e </w:t>
      </w:r>
      <w:r>
        <w:t>found</w:t>
      </w:r>
      <w:r w:rsidRPr="00016DFD">
        <w:t xml:space="preserve"> </w:t>
      </w:r>
      <w:r>
        <w:t>more than 2-fold</w:t>
      </w:r>
      <w:r w:rsidRPr="00016DFD">
        <w:t xml:space="preserve"> </w:t>
      </w:r>
      <w:r>
        <w:t>higher</w:t>
      </w:r>
      <w:r w:rsidRPr="00016DFD">
        <w:t xml:space="preserve"> B-factors in the</w:t>
      </w:r>
      <w:r>
        <w:t xml:space="preserve"> FG-loop of the variant M.aqRLT </w:t>
      </w:r>
      <w:r w:rsidRPr="00016DFD">
        <w:t>compared to the wild type. This difference</w:t>
      </w:r>
      <w:r>
        <w:t>,</w:t>
      </w:r>
      <w:r w:rsidRPr="00016DFD">
        <w:t xml:space="preserve"> due to the introduced mutations</w:t>
      </w:r>
      <w:r>
        <w:t>,</w:t>
      </w:r>
      <w:r w:rsidRPr="00016DFD">
        <w:t xml:space="preserve"> </w:t>
      </w:r>
      <w:r>
        <w:t>was observed in the free enzyme but not in the presence</w:t>
      </w:r>
      <w:r w:rsidRPr="00016DFD">
        <w:t xml:space="preserve"> of the ligand</w:t>
      </w:r>
      <w:r>
        <w:t xml:space="preserve"> (Figure 3C</w:t>
      </w:r>
      <w:r w:rsidRPr="00016DFD">
        <w:t xml:space="preserve"> and </w:t>
      </w:r>
      <w:r w:rsidRPr="008060F5">
        <w:t>Table S6).</w:t>
      </w:r>
      <w:r w:rsidRPr="00016DFD">
        <w:t xml:space="preserve"> </w:t>
      </w:r>
      <w:r>
        <w:t xml:space="preserve">This may suggest that the access tunnels lined by this loop are more adaptable – thus facilitating the entrance of the substrate –, but remain stable after the substrate is bound. </w:t>
      </w:r>
    </w:p>
    <w:p w14:paraId="1940110A" w14:textId="1665DC7B" w:rsidR="00016DFD" w:rsidRPr="00016DFD" w:rsidRDefault="00A54831" w:rsidP="007837A3">
      <w:pPr>
        <w:pStyle w:val="TAMainText"/>
      </w:pPr>
      <w:r w:rsidRPr="00427484">
        <w:t xml:space="preserve">At this position, another tunnel termed 2ac </w:t>
      </w:r>
      <w:r w:rsidRPr="008060F5">
        <w:t>(Figure S</w:t>
      </w:r>
      <w:r w:rsidR="00012469">
        <w:t>5</w:t>
      </w:r>
      <w:r w:rsidRPr="008060F5">
        <w:t xml:space="preserve"> and Table S6)</w:t>
      </w:r>
      <w:r>
        <w:t xml:space="preserve"> </w:t>
      </w:r>
      <w:r w:rsidRPr="00427484">
        <w:t xml:space="preserve">could </w:t>
      </w:r>
      <w:r>
        <w:t xml:space="preserve">emerge in </w:t>
      </w:r>
      <w:r w:rsidRPr="00016DFD">
        <w:t>the variant M.aqRLT</w:t>
      </w:r>
      <w:r w:rsidRPr="00427484">
        <w:t>,</w:t>
      </w:r>
      <w:r>
        <w:t xml:space="preserve"> which is</w:t>
      </w:r>
      <w:r w:rsidRPr="00427484">
        <w:t xml:space="preserve"> also known to be present in the crystal structure of the alkane hydroxylase CYP153A</w:t>
      </w:r>
      <w:r w:rsidRPr="00EF0A3E">
        <w:rPr>
          <w:i/>
          <w:vertAlign w:val="subscript"/>
        </w:rPr>
        <w:t>P.sp</w:t>
      </w:r>
      <w:r w:rsidRPr="00EF0A3E">
        <w:rPr>
          <w:i/>
        </w:rPr>
        <w:t xml:space="preserve"> </w:t>
      </w:r>
      <w:r>
        <w:t xml:space="preserve">(P.sp) </w:t>
      </w:r>
      <w:r w:rsidRPr="008060F5">
        <w:t>(Figure S</w:t>
      </w:r>
      <w:r w:rsidR="00012469">
        <w:t>5</w:t>
      </w:r>
      <w:r w:rsidRPr="008060F5">
        <w:t>)</w:t>
      </w:r>
      <w:r>
        <w:t xml:space="preserve"> </w:t>
      </w:r>
      <w:r w:rsidRPr="00427484">
        <w:t>which favors shorter chain lengths than CYP153A</w:t>
      </w:r>
      <w:r w:rsidRPr="00EF0A3E">
        <w:rPr>
          <w:i/>
          <w:vertAlign w:val="subscript"/>
        </w:rPr>
        <w:t>M.aq</w:t>
      </w:r>
      <w:r w:rsidRPr="00427484">
        <w:t>.</w:t>
      </w:r>
      <w:r w:rsidRPr="00427484">
        <w:fldChar w:fldCharType="begin" w:fldLock="1"/>
      </w:r>
      <w:r w:rsidR="003B7284">
        <w:instrText>ADDIN CSL_CITATION {"citationItems":[{"id":"ITEM-1","itemData":{"DOI":"10.1039/c1ob05565h","ISBN":"1477-0520","ISSN":"14770520","PMID":"21837346","abstract":"The oxofunctionalization of saturated hydrocarbons is an important goal in basic and applied chemistry. Biocatalysts like cytochrome P450 enzymes can introduce oxygen into a wide variety of molecules in a very selective manner, which can be used for the synthesis of fine and bulk chemicals. Cytochrome P450 enzymes from the CYP153A subfamily have been described as alkane hydroxylases with high terminal regioselectivity. Here we report the product yields resulting from C 5-C 12 alkane and alcohol oxidation catalyzed by CYP153A enzymes from Mycobacterium marinum (CYP153A16) and Polaromonas sp. (CYP153A P. sp.). For all reactions, byproduct formation is described in detail. Following cloning and expression in Escherichia coli, the activity of the purified monooxygenases was reconstituted with putidaredoxin (CamA) and putidaredoxin reductase (CamB). Although both enzyme systems yielded primary alcohols and α,ω-alkanediols, each one displayed a different oxidation pattern towards alkanes. For CYP153A P. sp. a predominant ω-hydroxylation activity was observed, while CYP153A16 possessed the ability to catalyze both ω-hydroxylation and α,ω- dihydroxylation reactions. © 2011 The Royal Society of Chemistry.","author":[{"dropping-particle":"","family":"Scheps","given":"Daniel","non-dropping-particle":"","parse-names":false,"suffix":""},{"dropping-particle":"","family":"Honda Malca","given":"Sumire","non-dropping-particle":"","parse-names":false,"suffix":""},{"dropping-particle":"","family":"Hoffmann","given":"Helen","non-dropping-particle":"","parse-names":false,"suffix":""},{"dropping-particle":"","family":"Nestl","given":"Bettina M","non-dropping-particle":"","parse-names":false,"suffix":""},{"dropping-particle":"","family":"Hauer","given":"Bernhard","non-dropping-particle":"","parse-names":false,"suffix":""}],"container-title":"Organic and Biomolecular Chemistry","id":"ITEM-1","issue":"19","issued":{"date-parts":[["2011"]]},"page":"6727-6733","title":"Regioselective ω-hydroxylation of medium-chain n-alkanes and primary alcohols by CYP153 enzymes from Mycobacterium marinum and Polaromonas sp. strain JS666","type":"article-journal","volume":"9"},"uris":["http://www.mendeley.com/documents/?uuid=8c0bc6b0-da5e-33f0-80ca-52fcf1e3fd39"]}],"mendeley":{"formattedCitation":"&lt;sup&gt;29&lt;/sup&gt;","plainTextFormattedCitation":"29","previouslyFormattedCitation":"&lt;sup&gt;29&lt;/sup&gt;"},"properties":{"noteIndex":0},"schema":"https://github.com/citation-style-language/schema/raw/master/csl-citation.json"}</w:instrText>
      </w:r>
      <w:r w:rsidRPr="00427484">
        <w:fldChar w:fldCharType="separate"/>
      </w:r>
      <w:r w:rsidR="003B7284" w:rsidRPr="003B7284">
        <w:rPr>
          <w:noProof/>
          <w:vertAlign w:val="superscript"/>
        </w:rPr>
        <w:t>29</w:t>
      </w:r>
      <w:r w:rsidRPr="00427484">
        <w:fldChar w:fldCharType="end"/>
      </w:r>
      <w:r w:rsidRPr="00427484">
        <w:t xml:space="preserve"> Since the variant M.aqRLT is a more efficient biocatalyst for the short octanoic acid (151-fold improved </w:t>
      </w:r>
      <w:proofErr w:type="spellStart"/>
      <w:r w:rsidRPr="00371FBB">
        <w:rPr>
          <w:i/>
          <w:iCs/>
        </w:rPr>
        <w:t>k</w:t>
      </w:r>
      <w:r w:rsidRPr="00427484">
        <w:rPr>
          <w:vertAlign w:val="subscript"/>
        </w:rPr>
        <w:t>cat</w:t>
      </w:r>
      <w:proofErr w:type="spellEnd"/>
      <w:r w:rsidRPr="00427484">
        <w:t>/</w:t>
      </w:r>
      <w:r w:rsidRPr="00371FBB">
        <w:rPr>
          <w:i/>
          <w:iCs/>
        </w:rPr>
        <w:t>K</w:t>
      </w:r>
      <w:r>
        <w:rPr>
          <w:vertAlign w:val="subscript"/>
        </w:rPr>
        <w:t>m</w:t>
      </w:r>
      <w:r w:rsidRPr="00427484">
        <w:t xml:space="preserve">) compared to the wild type, </w:t>
      </w:r>
      <w:r>
        <w:t xml:space="preserve">the </w:t>
      </w:r>
      <w:r w:rsidRPr="00427484">
        <w:t>opening</w:t>
      </w:r>
      <w:r>
        <w:t xml:space="preserve"> of</w:t>
      </w:r>
      <w:r w:rsidRPr="00427484">
        <w:t xml:space="preserve"> a 2ac tunnel could be a</w:t>
      </w:r>
      <w:r>
        <w:t>n</w:t>
      </w:r>
      <w:r w:rsidRPr="00427484">
        <w:t xml:space="preserve"> </w:t>
      </w:r>
      <w:r>
        <w:t>advantage</w:t>
      </w:r>
      <w:r w:rsidRPr="00427484">
        <w:t xml:space="preserve"> for </w:t>
      </w:r>
      <w:r>
        <w:t>the conversion of</w:t>
      </w:r>
      <w:r w:rsidRPr="00427484">
        <w:t xml:space="preserve"> this shorter fatty acid. </w:t>
      </w:r>
      <w:r w:rsidR="007837A3" w:rsidRPr="00427484">
        <w:t xml:space="preserve">This hypothesis was supported </w:t>
      </w:r>
      <w:r w:rsidR="007837A3">
        <w:t>by</w:t>
      </w:r>
      <w:r w:rsidR="007837A3" w:rsidRPr="00427484">
        <w:t xml:space="preserve"> the analysis</w:t>
      </w:r>
      <w:r w:rsidR="00C1585B">
        <w:t xml:space="preserve"> of tunnels using CAVER</w:t>
      </w:r>
      <w:r w:rsidR="007837A3" w:rsidRPr="00427484">
        <w:t xml:space="preserve">, </w:t>
      </w:r>
      <w:r w:rsidR="007837A3">
        <w:t>in which</w:t>
      </w:r>
      <w:r w:rsidR="00610167">
        <w:t xml:space="preserve"> we saw</w:t>
      </w:r>
      <w:r w:rsidR="007837A3" w:rsidRPr="00427484">
        <w:t xml:space="preserve"> a slight increase in the opening </w:t>
      </w:r>
      <w:r w:rsidR="007837A3" w:rsidRPr="00427484">
        <w:lastRenderedPageBreak/>
        <w:t>rates of</w:t>
      </w:r>
      <w:r w:rsidR="007837A3">
        <w:t xml:space="preserve"> the</w:t>
      </w:r>
      <w:r w:rsidR="007837A3" w:rsidRPr="00427484">
        <w:t xml:space="preserve"> said 2ac tunnel in M.aqRLT. Nevertheless, it showed</w:t>
      </w:r>
      <w:r w:rsidR="007837A3">
        <w:t xml:space="preserve"> a</w:t>
      </w:r>
      <w:r w:rsidR="007837A3" w:rsidRPr="00427484">
        <w:t xml:space="preserve"> nearly similar presence during the MD simulations of both wild</w:t>
      </w:r>
      <w:r w:rsidR="007837A3">
        <w:t xml:space="preserve"> </w:t>
      </w:r>
      <w:r w:rsidR="007837A3" w:rsidRPr="00427484">
        <w:t>type</w:t>
      </w:r>
      <w:r w:rsidR="007837A3">
        <w:t xml:space="preserve"> </w:t>
      </w:r>
      <w:r w:rsidR="00264BA9" w:rsidRPr="00427484">
        <w:t xml:space="preserve">and mutant. Therefore one </w:t>
      </w:r>
      <w:r w:rsidR="00264BA9">
        <w:t>can</w:t>
      </w:r>
      <w:r w:rsidR="00264BA9" w:rsidRPr="00427484">
        <w:t xml:space="preserve"> only speculate about a potential role </w:t>
      </w:r>
      <w:r w:rsidR="00EF4752">
        <w:t>in</w:t>
      </w:r>
      <w:r w:rsidR="00264BA9" w:rsidRPr="00427484">
        <w:t xml:space="preserve"> the enzyme activity.</w:t>
      </w:r>
      <w:r w:rsidR="00264BA9" w:rsidRPr="00016DFD">
        <w:t xml:space="preserve"> We would assume </w:t>
      </w:r>
      <w:r w:rsidR="00264BA9">
        <w:t xml:space="preserve">that the increased flexibility </w:t>
      </w:r>
      <w:r w:rsidR="00016DFD" w:rsidRPr="00016DFD">
        <w:t xml:space="preserve">correlates with the tunnel availability, but this is not necessarily the case. We observed </w:t>
      </w:r>
      <w:r w:rsidR="00F82391">
        <w:t xml:space="preserve">a </w:t>
      </w:r>
      <w:r w:rsidR="00016DFD" w:rsidRPr="00016DFD">
        <w:t xml:space="preserve">higher presence of the 2c tunnel in M.aqRLT + </w:t>
      </w:r>
      <w:proofErr w:type="spellStart"/>
      <w:proofErr w:type="gramStart"/>
      <w:r w:rsidR="00016DFD" w:rsidRPr="00016DFD">
        <w:t>oct</w:t>
      </w:r>
      <w:proofErr w:type="spellEnd"/>
      <w:proofErr w:type="gramEnd"/>
      <w:r w:rsidR="00016DFD" w:rsidRPr="00016DFD">
        <w:t xml:space="preserve"> (18 % open) compared to M.aq wild type + </w:t>
      </w:r>
      <w:proofErr w:type="spellStart"/>
      <w:r w:rsidR="00016DFD" w:rsidRPr="00016DFD">
        <w:t>oct</w:t>
      </w:r>
      <w:proofErr w:type="spellEnd"/>
      <w:r w:rsidR="00016DFD" w:rsidRPr="00016DFD">
        <w:t xml:space="preserve"> (4.4 % open), while the wild type </w:t>
      </w:r>
      <w:r w:rsidR="00F82391">
        <w:t>has</w:t>
      </w:r>
      <w:r w:rsidR="00016DFD" w:rsidRPr="00016DFD">
        <w:t xml:space="preserve"> 1.6-fold higher B-factors at the BC-loop (</w:t>
      </w:r>
      <w:r w:rsidR="00016DFD" w:rsidRPr="008060F5">
        <w:t>T</w:t>
      </w:r>
      <w:r w:rsidR="00F64D06" w:rsidRPr="008060F5">
        <w:t xml:space="preserve">able </w:t>
      </w:r>
      <w:r w:rsidR="000A4B1E" w:rsidRPr="008060F5">
        <w:t>S</w:t>
      </w:r>
      <w:r w:rsidR="00264BA9" w:rsidRPr="008060F5">
        <w:t>6</w:t>
      </w:r>
      <w:r w:rsidR="00016DFD" w:rsidRPr="00016DFD">
        <w:t>). Since the 2c and 2ac tunnel</w:t>
      </w:r>
      <w:r w:rsidR="00F82391">
        <w:t>s</w:t>
      </w:r>
      <w:r w:rsidR="00016DFD" w:rsidRPr="00016DFD">
        <w:t xml:space="preserve"> are bordered by the BC- and FG-loops (and beginning of the G-helix), the</w:t>
      </w:r>
      <w:r w:rsidR="006A69E7">
        <w:t>se</w:t>
      </w:r>
      <w:r w:rsidR="00016DFD" w:rsidRPr="00016DFD">
        <w:t xml:space="preserve"> tunnel</w:t>
      </w:r>
      <w:r w:rsidR="006A69E7">
        <w:t>s</w:t>
      </w:r>
      <w:r w:rsidR="00016DFD" w:rsidRPr="00016DFD">
        <w:t xml:space="preserve"> </w:t>
      </w:r>
      <w:r w:rsidR="00F82391">
        <w:t>depend</w:t>
      </w:r>
      <w:r w:rsidR="00016DFD" w:rsidRPr="00016DFD">
        <w:t xml:space="preserve"> on the movement of both loops as counterparts</w:t>
      </w:r>
      <w:r w:rsidR="00F82391">
        <w:t>,</w:t>
      </w:r>
      <w:r w:rsidR="00016DFD" w:rsidRPr="00016DFD">
        <w:t xml:space="preserve"> and no explicit correlation can be observed.</w:t>
      </w:r>
      <w:r w:rsidR="00C45EC7">
        <w:t xml:space="preserve"> However, the increased flexibility of the FG-loop in </w:t>
      </w:r>
      <w:r w:rsidR="00506578">
        <w:t xml:space="preserve">the unbound </w:t>
      </w:r>
      <w:r w:rsidR="00C45EC7" w:rsidRPr="00016DFD">
        <w:t>M.aqRLT</w:t>
      </w:r>
      <w:r w:rsidR="00DF0F6D">
        <w:t xml:space="preserve"> </w:t>
      </w:r>
      <w:r w:rsidR="00C64DFA">
        <w:t xml:space="preserve">did induce </w:t>
      </w:r>
      <w:r w:rsidR="00F9224B">
        <w:t>higher</w:t>
      </w:r>
      <w:r w:rsidR="00C64DFA">
        <w:t xml:space="preserve"> opening</w:t>
      </w:r>
      <w:r w:rsidR="0092533B">
        <w:t xml:space="preserve"> rates</w:t>
      </w:r>
      <w:r w:rsidR="00C64DFA">
        <w:t xml:space="preserve"> of </w:t>
      </w:r>
      <w:r w:rsidR="0092533B">
        <w:t xml:space="preserve">the </w:t>
      </w:r>
      <w:r w:rsidR="00C64DFA">
        <w:t>2c tunnel</w:t>
      </w:r>
      <w:r w:rsidR="009D7DA3">
        <w:t xml:space="preserve"> compared to the wild type</w:t>
      </w:r>
      <w:r w:rsidR="00DF0F6D">
        <w:t xml:space="preserve"> (19% vs</w:t>
      </w:r>
      <w:r w:rsidR="00330460">
        <w:t>.</w:t>
      </w:r>
      <w:r w:rsidR="00DF0F6D">
        <w:t xml:space="preserve"> 1.1 %</w:t>
      </w:r>
      <w:r w:rsidR="00330460">
        <w:t>, respectively</w:t>
      </w:r>
      <w:r w:rsidR="00DF0F6D">
        <w:t>)</w:t>
      </w:r>
      <w:r w:rsidR="00F9224B">
        <w:t>. A</w:t>
      </w:r>
      <w:r w:rsidR="00411713">
        <w:t>s</w:t>
      </w:r>
      <w:r w:rsidR="00506578">
        <w:t xml:space="preserve"> mentioned above</w:t>
      </w:r>
      <w:r w:rsidR="00F9224B">
        <w:t xml:space="preserve">, this may have </w:t>
      </w:r>
      <w:r w:rsidR="00204ED3">
        <w:t xml:space="preserve">an </w:t>
      </w:r>
      <w:r w:rsidR="00F9224B">
        <w:t xml:space="preserve">impact on the </w:t>
      </w:r>
      <w:r w:rsidR="009324F0">
        <w:t xml:space="preserve">rates of </w:t>
      </w:r>
      <w:r w:rsidR="00F9224B">
        <w:t>substrate binding</w:t>
      </w:r>
      <w:r w:rsidR="00506578">
        <w:t>.</w:t>
      </w:r>
      <w:r w:rsidR="00C45EC7">
        <w:t xml:space="preserve"> </w:t>
      </w:r>
    </w:p>
    <w:p w14:paraId="49DA7CA8" w14:textId="77E47638" w:rsidR="00F64D06" w:rsidRDefault="009F69B0" w:rsidP="00A56E5C">
      <w:pPr>
        <w:pStyle w:val="TAMainText"/>
        <w:rPr>
          <w:rFonts w:ascii="Calibri" w:hAnsi="Calibri"/>
          <w:kern w:val="0"/>
          <w:sz w:val="22"/>
          <w:lang w:eastAsia="zh-CN"/>
        </w:rPr>
      </w:pPr>
      <w:r>
        <w:t>U</w:t>
      </w:r>
      <w:r w:rsidR="00016DFD" w:rsidRPr="00016DFD">
        <w:t>nexpected</w:t>
      </w:r>
      <w:r>
        <w:t>ly, we</w:t>
      </w:r>
      <w:r w:rsidR="00016DFD" w:rsidRPr="00016DFD">
        <w:t xml:space="preserve"> observ</w:t>
      </w:r>
      <w:r>
        <w:t>ed</w:t>
      </w:r>
      <w:r w:rsidR="00016DFD" w:rsidRPr="00016DFD">
        <w:t xml:space="preserve"> that the </w:t>
      </w:r>
      <w:r w:rsidR="00AC434C">
        <w:t xml:space="preserve">presence of </w:t>
      </w:r>
      <w:r w:rsidR="00016DFD" w:rsidRPr="00016DFD">
        <w:t>octanoic acid did not dramatically increase the tunnel bottleneck r</w:t>
      </w:r>
      <w:r w:rsidR="008F6CCC">
        <w:t>adii in either of the enzymes</w:t>
      </w:r>
      <w:r w:rsidR="00016DFD" w:rsidRPr="00016DFD">
        <w:t xml:space="preserve"> compared to the </w:t>
      </w:r>
      <w:r w:rsidR="006A47E9">
        <w:t xml:space="preserve">respective </w:t>
      </w:r>
      <w:r w:rsidR="00016DFD" w:rsidRPr="00016DFD">
        <w:t>unbound systems (</w:t>
      </w:r>
      <w:r w:rsidR="000A4B1E" w:rsidRPr="008060F5">
        <w:t>Table S</w:t>
      </w:r>
      <w:r w:rsidR="00264BA9" w:rsidRPr="008060F5">
        <w:t>6</w:t>
      </w:r>
      <w:r w:rsidR="00016DFD" w:rsidRPr="00016DFD">
        <w:t>), as observed in other reported cases</w:t>
      </w:r>
      <w:r w:rsidR="00F64D06">
        <w:t>.</w:t>
      </w:r>
      <w:r w:rsidR="00016DFD" w:rsidRPr="00016DFD">
        <w:fldChar w:fldCharType="begin" w:fldLock="1"/>
      </w:r>
      <w:r w:rsidR="003B7284">
        <w:instrText>ADDIN CSL_CITATION {"citationItems":[{"id":"ITEM-1","itemData":{"DOI":"10.1021/acs.jcim.7b00070","ISSN":"15205142","abstract":"The anthropogenic toxic compound 1,2,3-trichloropropane is poorly degradable by natural enzymes. We have previously constructed the haloalkane dehalogenase DhaA31 by focused directed evolution (Pavlova, M. et al. Nat. Chem. Biol. 2009, 5, 727-733), which is 32 times more active than the wild-type enzyme and is currently the most active variant known against that substrate. Recent evidence has shown that the structural basis responsible for the higher activity of DhaA31 was poorly understood. Here we have undertaken a comprehensive computational study of the main steps involved in the biocatalytic hydrolysis of 1,2,3-trichloropropane to decipher the structural basis for such enhancements. Using molecular dynamics and quantum mechanics approaches we have surveyed (i) the substrate binding, (ii) the formation of the reactive complex, (iii) the chemical step, and (iv) the release of the products. We showed that the binding of the substrate and its transport through the molecular tunnel to the active site is a relatively fast process. The cleavage of the carbon-halogen bond was previously identified as the rate-limiting step in the wild-type. Here we demonstrate that this step was enhanced in DhaA31 due to a significantly higher number of reactive configurations of the substrate and a decrease of the energy barrier to the SN2 reaction. C176Y and V245F were identified as the key mutations responsible for most of those improvements. The release of the alcohol product was found to be the rate-limiting step in DhaA31 primarily due to the C176Y mutation. Mutational dissection of DhaA31 and kinetic analysis of the intermediate mutants confirmed the theoretical observations. Overall, our comprehensive computational approach has unveiled mechanistic details of the catalytic cycle which will enable a balanced design of more efficient enzymes. This approach is applicable to deepen the biochemical knowledge of a large number of other systems and may contribute to robust strategies in the development of new biocatalysts.","author":[{"dropping-particle":"","family":"Marques","given":"Sérgio M.","non-dropping-particle":"","parse-names":false,"suffix":""},{"dropping-particle":"","family":"Dunajova","given":"Zuzana","non-dropping-particle":"","parse-names":false,"suffix":""},{"dropping-particle":"","family":"Prokop","given":"Zbynek","non-dropping-particle":"","parse-names":false,"suffix":""},{"dropping-particle":"","family":"Chaloupkova","given":"Radka","non-dropping-particle":"","parse-names":false,"suffix":""},{"dropping-particle":"","family":"Brezovsky","given":"Jan","non-dropping-particle":"","parse-names":false,"suffix":""},{"dropping-particle":"","family":"Damborsky","given":"Jiri","non-dropping-particle":"","parse-names":false,"suffix":""}],"container-title":"Journal of Chemical Information and Modeling","id":"ITEM-1","issue":"8","issued":{"date-parts":[["2017"]]},"title":"Catalytic Cycle of Haloalkane Dehalogenases Toward Unnatural Substrates Explored by Computational Modeling","type":"article-journal","volume":"57"},"uris":["http://www.mendeley.com/documents/?uuid=75228abe-2636-4b67-8367-a9d9e9dc6be5"]}],"mendeley":{"formattedCitation":"&lt;sup&gt;30&lt;/sup&gt;","plainTextFormattedCitation":"30","previouslyFormattedCitation":"&lt;sup&gt;30&lt;/sup&gt;"},"properties":{"noteIndex":0},"schema":"https://github.com/citation-style-language/schema/raw/master/csl-citation.json"}</w:instrText>
      </w:r>
      <w:r w:rsidR="00016DFD" w:rsidRPr="00016DFD">
        <w:fldChar w:fldCharType="separate"/>
      </w:r>
      <w:r w:rsidR="003B7284" w:rsidRPr="003B7284">
        <w:rPr>
          <w:noProof/>
          <w:vertAlign w:val="superscript"/>
        </w:rPr>
        <w:t>30</w:t>
      </w:r>
      <w:r w:rsidR="00016DFD" w:rsidRPr="00016DFD">
        <w:fldChar w:fldCharType="end"/>
      </w:r>
      <w:r w:rsidR="00016DFD" w:rsidRPr="00016DFD">
        <w:t xml:space="preserve"> </w:t>
      </w:r>
      <w:r w:rsidR="004126DE">
        <w:t>W</w:t>
      </w:r>
      <w:r w:rsidR="00016DFD" w:rsidRPr="00016DFD">
        <w:t>e found that the narrowest part</w:t>
      </w:r>
      <w:r w:rsidR="006A47E9">
        <w:t>s</w:t>
      </w:r>
      <w:r w:rsidR="00016DFD" w:rsidRPr="00016DFD">
        <w:t xml:space="preserve"> of both 2e and 2c tunnels </w:t>
      </w:r>
      <w:r w:rsidR="006A47E9">
        <w:t xml:space="preserve">are </w:t>
      </w:r>
      <w:r w:rsidR="008F6CCC">
        <w:t>most often</w:t>
      </w:r>
      <w:r w:rsidR="00016DFD" w:rsidRPr="00016DFD">
        <w:t xml:space="preserve"> located closer to the tunnel mouth, where the ligand rarely reached during these MDs.</w:t>
      </w:r>
      <w:r w:rsidR="00F64D06" w:rsidRPr="00F64D06">
        <w:rPr>
          <w:rFonts w:ascii="Calibri" w:hAnsi="Calibri"/>
          <w:kern w:val="0"/>
          <w:sz w:val="22"/>
          <w:lang w:eastAsia="zh-CN"/>
        </w:rPr>
        <w:t xml:space="preserve"> </w:t>
      </w:r>
    </w:p>
    <w:p w14:paraId="6AEE4733" w14:textId="691ECC12" w:rsidR="00805C6A" w:rsidRDefault="00805C6A" w:rsidP="00A56E5C">
      <w:pPr>
        <w:pStyle w:val="TAMainText"/>
      </w:pPr>
      <w:r w:rsidRPr="00805C6A">
        <w:rPr>
          <w:b/>
        </w:rPr>
        <w:t>Stabilization of the ligand</w:t>
      </w:r>
      <w:r>
        <w:rPr>
          <w:b/>
        </w:rPr>
        <w:t xml:space="preserve"> in the active site</w:t>
      </w:r>
      <w:r w:rsidRPr="00805C6A">
        <w:rPr>
          <w:b/>
        </w:rPr>
        <w:t>.</w:t>
      </w:r>
      <w:r>
        <w:t xml:space="preserve"> The </w:t>
      </w:r>
      <w:r w:rsidR="00421B31">
        <w:t>MDs of the enzyme</w:t>
      </w:r>
      <w:r w:rsidR="00350AC8">
        <w:t>s</w:t>
      </w:r>
      <w:r w:rsidR="00421B31">
        <w:t xml:space="preserve"> </w:t>
      </w:r>
      <w:r w:rsidR="00414351">
        <w:t xml:space="preserve">bound </w:t>
      </w:r>
      <w:r w:rsidR="00421B31">
        <w:t xml:space="preserve">with substrate contained the </w:t>
      </w:r>
      <w:r>
        <w:t>octanoic acid initially located in the binding pocket, where the tunnel</w:t>
      </w:r>
      <w:r w:rsidR="00D96C57">
        <w:t>s</w:t>
      </w:r>
      <w:r>
        <w:t xml:space="preserve"> 2c and 2e are merged</w:t>
      </w:r>
      <w:r w:rsidR="00D96C57">
        <w:t>,</w:t>
      </w:r>
      <w:r>
        <w:t xml:space="preserve"> and it did </w:t>
      </w:r>
      <w:r w:rsidR="00D96C57">
        <w:t>not</w:t>
      </w:r>
      <w:r>
        <w:t xml:space="preserve"> exit the enzyme during any of the four 200 ns simulations. In the variant M.aqRLT, the octanoic acid remained closer to the heme, </w:t>
      </w:r>
      <w:r w:rsidR="00D96C57">
        <w:t>whereas</w:t>
      </w:r>
      <w:r>
        <w:t xml:space="preserve"> in the wild type</w:t>
      </w:r>
      <w:r w:rsidR="00D96C57">
        <w:t>,</w:t>
      </w:r>
      <w:r>
        <w:t xml:space="preserve"> it moved towards the mouths of both the 2c and 2e tunnels. </w:t>
      </w:r>
      <w:r w:rsidR="00824DFF">
        <w:t>T</w:t>
      </w:r>
      <w:r w:rsidR="009E73A0">
        <w:t xml:space="preserve">o track </w:t>
      </w:r>
      <w:r w:rsidR="00AC6136">
        <w:t xml:space="preserve">the </w:t>
      </w:r>
      <w:r w:rsidR="000D375E">
        <w:t xml:space="preserve">location of </w:t>
      </w:r>
      <w:r w:rsidR="009E73A0">
        <w:t>the octanoic acid</w:t>
      </w:r>
      <w:r w:rsidR="000D375E">
        <w:t xml:space="preserve"> during the MDs</w:t>
      </w:r>
      <w:r w:rsidR="009E73A0">
        <w:t xml:space="preserve">, the </w:t>
      </w:r>
      <w:r w:rsidR="00824DFF">
        <w:t>h</w:t>
      </w:r>
      <w:r>
        <w:t xml:space="preserve">istogram </w:t>
      </w:r>
      <w:r w:rsidR="00824DFF">
        <w:t xml:space="preserve">(Figure 4A) shows the </w:t>
      </w:r>
      <w:r>
        <w:t>distribution</w:t>
      </w:r>
      <w:r w:rsidR="00824DFF">
        <w:t xml:space="preserve"> </w:t>
      </w:r>
      <w:r>
        <w:t xml:space="preserve">of the distance between the terminal </w:t>
      </w:r>
      <w:proofErr w:type="gramStart"/>
      <w:r>
        <w:t>carbon</w:t>
      </w:r>
      <w:proofErr w:type="gramEnd"/>
      <w:r>
        <w:t xml:space="preserve">, which will be hydroxylated during the catalysis, and the catalytically active iron. </w:t>
      </w:r>
      <w:r w:rsidR="00D96C57">
        <w:t>In</w:t>
      </w:r>
      <w:r>
        <w:t xml:space="preserve"> the variant M.aqRLT, the octanoic acid showed a single maximum </w:t>
      </w:r>
      <w:r w:rsidR="00844D90">
        <w:t>for</w:t>
      </w:r>
      <w:r>
        <w:t xml:space="preserve"> distance</w:t>
      </w:r>
      <w:r w:rsidR="00844D90">
        <w:t>s</w:t>
      </w:r>
      <w:r>
        <w:t xml:space="preserve"> arou</w:t>
      </w:r>
      <w:r w:rsidR="00D96C57">
        <w:t>nd 4 – 5 Å from the iron</w:t>
      </w:r>
      <w:r w:rsidR="00ED7B43">
        <w:t>,</w:t>
      </w:r>
      <w:r w:rsidR="00D96C57">
        <w:t xml:space="preserve"> </w:t>
      </w:r>
      <w:r w:rsidR="00ED7B43">
        <w:t xml:space="preserve">containing </w:t>
      </w:r>
      <w:r w:rsidR="00D96C57">
        <w:t>70</w:t>
      </w:r>
      <w:r>
        <w:t xml:space="preserve">% of the </w:t>
      </w:r>
      <w:r w:rsidR="00ED7B43">
        <w:t xml:space="preserve">MD </w:t>
      </w:r>
      <w:r>
        <w:t>frames</w:t>
      </w:r>
      <w:r w:rsidR="00ED7B43">
        <w:t>.</w:t>
      </w:r>
      <w:r>
        <w:t xml:space="preserve"> </w:t>
      </w:r>
      <w:r w:rsidR="00ED7B43">
        <w:t>I</w:t>
      </w:r>
      <w:r w:rsidR="00D96C57">
        <w:t xml:space="preserve">n the wild type </w:t>
      </w:r>
      <w:r>
        <w:t xml:space="preserve">it presented two maxima and a more </w:t>
      </w:r>
      <w:r w:rsidR="00D96C57">
        <w:t>widely distributed</w:t>
      </w:r>
      <w:r>
        <w:t xml:space="preserve"> </w:t>
      </w:r>
      <w:r w:rsidR="00ED7B43">
        <w:t xml:space="preserve">position </w:t>
      </w:r>
      <w:r>
        <w:t xml:space="preserve">along the tunnels. The first maximum </w:t>
      </w:r>
      <w:r w:rsidR="00F856C8">
        <w:t>corresponds to</w:t>
      </w:r>
      <w:r w:rsidR="008A76F5">
        <w:t xml:space="preserve"> </w:t>
      </w:r>
      <w:r>
        <w:t xml:space="preserve">similar </w:t>
      </w:r>
      <w:r w:rsidR="008A76F5">
        <w:t xml:space="preserve">distances as </w:t>
      </w:r>
      <w:r w:rsidR="00D826E9">
        <w:t xml:space="preserve">in </w:t>
      </w:r>
      <w:r>
        <w:t>the variant M.aqRLT</w:t>
      </w:r>
      <w:r w:rsidR="00D96C57">
        <w:t xml:space="preserve">, but only </w:t>
      </w:r>
      <w:r w:rsidR="00AD28B5">
        <w:t xml:space="preserve">for </w:t>
      </w:r>
      <w:r w:rsidR="00D96C57">
        <w:t>35</w:t>
      </w:r>
      <w:r>
        <w:t>% of the frames</w:t>
      </w:r>
      <w:r w:rsidR="00AD28B5">
        <w:t>,</w:t>
      </w:r>
      <w:r>
        <w:t xml:space="preserve"> and the additional maximum </w:t>
      </w:r>
      <w:r w:rsidR="00405C98">
        <w:t>was observed</w:t>
      </w:r>
      <w:r w:rsidR="00D96C57">
        <w:t xml:space="preserve"> 30</w:t>
      </w:r>
      <w:r>
        <w:t>%</w:t>
      </w:r>
      <w:r w:rsidR="00C61658">
        <w:t xml:space="preserve"> of the time</w:t>
      </w:r>
      <w:r>
        <w:t xml:space="preserve">, where the carbon is 11-13 Å distant from the iron. Therefore, the ligand </w:t>
      </w:r>
      <w:r w:rsidR="00C6553C">
        <w:t xml:space="preserve">was </w:t>
      </w:r>
      <w:r>
        <w:t>in a non-reactive position</w:t>
      </w:r>
      <w:r w:rsidRPr="0028148A">
        <w:t xml:space="preserve"> </w:t>
      </w:r>
      <w:r>
        <w:t xml:space="preserve">in most of the </w:t>
      </w:r>
      <w:r w:rsidR="00BE6D3B">
        <w:t xml:space="preserve">simulations </w:t>
      </w:r>
      <w:r w:rsidR="00AE6117">
        <w:t>of</w:t>
      </w:r>
      <w:r>
        <w:t xml:space="preserve"> M.aq wild type.</w:t>
      </w:r>
      <w:r w:rsidRPr="00874CA2">
        <w:t xml:space="preserve"> </w:t>
      </w:r>
      <w:r>
        <w:t>These results indicate the substrate being better stabilized inside the active pocket of the variant M.aqRLT</w:t>
      </w:r>
      <w:r w:rsidR="004C6EE6" w:rsidRPr="004C6EE6">
        <w:t xml:space="preserve"> </w:t>
      </w:r>
      <w:r w:rsidR="004C6EE6">
        <w:t>than in the wild type</w:t>
      </w:r>
      <w:r w:rsidR="00A02720">
        <w:t>,</w:t>
      </w:r>
      <w:r>
        <w:t xml:space="preserve"> </w:t>
      </w:r>
      <w:r w:rsidR="00B74256">
        <w:t>which translate</w:t>
      </w:r>
      <w:r w:rsidR="00B45B4D">
        <w:t xml:space="preserve"> in increased</w:t>
      </w:r>
      <w:r w:rsidR="004E0691">
        <w:t xml:space="preserve"> probabilities of </w:t>
      </w:r>
      <w:r w:rsidR="004B2899">
        <w:t xml:space="preserve">achieving </w:t>
      </w:r>
      <w:r w:rsidR="002B60C4">
        <w:t>a</w:t>
      </w:r>
      <w:r w:rsidR="0037284D">
        <w:t xml:space="preserve"> </w:t>
      </w:r>
      <w:r w:rsidR="004D5ABE">
        <w:t>re</w:t>
      </w:r>
      <w:r>
        <w:t>active conformation.</w:t>
      </w:r>
    </w:p>
    <w:p w14:paraId="5659E4FF" w14:textId="62641085" w:rsidR="00E97D2F" w:rsidRPr="001B7709" w:rsidRDefault="00690579" w:rsidP="001531CA">
      <w:pPr>
        <w:pStyle w:val="VAFigureCaption"/>
        <w:rPr>
          <w:noProof/>
        </w:rPr>
      </w:pPr>
      <w:r>
        <w:rPr>
          <w:noProof/>
          <w:lang w:val="de-DE" w:eastAsia="de-DE"/>
        </w:rPr>
        <w:drawing>
          <wp:inline distT="0" distB="0" distL="0" distR="0" wp14:anchorId="33DABA06" wp14:editId="75FEE223">
            <wp:extent cx="3044825" cy="2283460"/>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2.tif"/>
                    <pic:cNvPicPr/>
                  </pic:nvPicPr>
                  <pic:blipFill>
                    <a:blip r:embed="rId15">
                      <a:extLst>
                        <a:ext uri="{28A0092B-C50C-407E-A947-70E740481C1C}">
                          <a14:useLocalDpi xmlns:a14="http://schemas.microsoft.com/office/drawing/2010/main" val="0"/>
                        </a:ext>
                      </a:extLst>
                    </a:blip>
                    <a:stretch>
                      <a:fillRect/>
                    </a:stretch>
                  </pic:blipFill>
                  <pic:spPr>
                    <a:xfrm>
                      <a:off x="0" y="0"/>
                      <a:ext cx="3044825" cy="2283460"/>
                    </a:xfrm>
                    <a:prstGeom prst="rect">
                      <a:avLst/>
                    </a:prstGeom>
                  </pic:spPr>
                </pic:pic>
              </a:graphicData>
            </a:graphic>
          </wp:inline>
        </w:drawing>
      </w:r>
    </w:p>
    <w:p w14:paraId="55D8DAA4" w14:textId="1BC52695" w:rsidR="00512BE3" w:rsidRPr="00512BE3" w:rsidRDefault="001531CA" w:rsidP="00512BE3">
      <w:pPr>
        <w:pStyle w:val="VAFigureCaption"/>
        <w:rPr>
          <w:noProof/>
        </w:rPr>
      </w:pPr>
      <w:r w:rsidRPr="0037333F">
        <w:rPr>
          <w:noProof/>
        </w:rPr>
        <w:t xml:space="preserve">Figure 4: (A) </w:t>
      </w:r>
      <w:r w:rsidR="0047089B" w:rsidRPr="0037333F">
        <w:rPr>
          <w:noProof/>
        </w:rPr>
        <w:t>H</w:t>
      </w:r>
      <w:r w:rsidRPr="0037333F">
        <w:rPr>
          <w:noProof/>
        </w:rPr>
        <w:t xml:space="preserve">istogram of the octanoic acid </w:t>
      </w:r>
      <w:r w:rsidR="0047089B" w:rsidRPr="0037333F">
        <w:rPr>
          <w:noProof/>
        </w:rPr>
        <w:t xml:space="preserve">position, showing the </w:t>
      </w:r>
      <w:r w:rsidR="006757EC" w:rsidRPr="0037333F">
        <w:rPr>
          <w:noProof/>
        </w:rPr>
        <w:t>distribution</w:t>
      </w:r>
      <w:r w:rsidR="00491509" w:rsidRPr="0037333F">
        <w:rPr>
          <w:noProof/>
        </w:rPr>
        <w:t xml:space="preserve"> </w:t>
      </w:r>
      <w:r w:rsidR="00F82600" w:rsidRPr="0037333F">
        <w:rPr>
          <w:noProof/>
        </w:rPr>
        <w:t>of distance</w:t>
      </w:r>
      <w:r w:rsidR="00C24D4B" w:rsidRPr="0037333F">
        <w:rPr>
          <w:noProof/>
        </w:rPr>
        <w:t>s</w:t>
      </w:r>
      <w:r w:rsidR="00F82600" w:rsidRPr="0037333F">
        <w:rPr>
          <w:noProof/>
        </w:rPr>
        <w:t xml:space="preserve"> </w:t>
      </w:r>
      <w:r w:rsidRPr="0037333F">
        <w:rPr>
          <w:noProof/>
        </w:rPr>
        <w:t xml:space="preserve">between the terminal carbon of the ligand and the catalytically active iron. </w:t>
      </w:r>
      <w:r w:rsidR="00610A8C" w:rsidRPr="0037333F">
        <w:rPr>
          <w:noProof/>
        </w:rPr>
        <w:t xml:space="preserve">It compiles all </w:t>
      </w:r>
      <w:r w:rsidR="004126DE" w:rsidRPr="0037333F">
        <w:rPr>
          <w:noProof/>
        </w:rPr>
        <w:t xml:space="preserve">molecular dynamics </w:t>
      </w:r>
      <w:r w:rsidRPr="0037333F">
        <w:rPr>
          <w:noProof/>
        </w:rPr>
        <w:t xml:space="preserve">simulations </w:t>
      </w:r>
      <w:r w:rsidR="006D7ED4" w:rsidRPr="0037333F">
        <w:rPr>
          <w:noProof/>
        </w:rPr>
        <w:t xml:space="preserve">with </w:t>
      </w:r>
      <w:r w:rsidRPr="0037333F">
        <w:rPr>
          <w:noProof/>
        </w:rPr>
        <w:t xml:space="preserve">M.aqWT (grey) and M.aqRLT (green). (B) </w:t>
      </w:r>
      <w:r w:rsidR="00C24D4B" w:rsidRPr="0037333F">
        <w:rPr>
          <w:noProof/>
        </w:rPr>
        <w:t>I</w:t>
      </w:r>
      <w:r w:rsidRPr="0037333F">
        <w:rPr>
          <w:noProof/>
        </w:rPr>
        <w:t>nteraction energy ΔG</w:t>
      </w:r>
      <w:r w:rsidRPr="0037333F">
        <w:rPr>
          <w:noProof/>
          <w:vertAlign w:val="subscript"/>
        </w:rPr>
        <w:t>bind</w:t>
      </w:r>
      <w:r w:rsidRPr="0037333F">
        <w:rPr>
          <w:noProof/>
        </w:rPr>
        <w:t xml:space="preserve"> of </w:t>
      </w:r>
      <w:r w:rsidR="00CD7838" w:rsidRPr="0037333F">
        <w:rPr>
          <w:noProof/>
        </w:rPr>
        <w:t xml:space="preserve">the </w:t>
      </w:r>
      <w:r w:rsidRPr="0037333F">
        <w:rPr>
          <w:noProof/>
        </w:rPr>
        <w:t>octanoic acid with M.aqWT and M.aqRLT</w:t>
      </w:r>
      <w:r w:rsidR="001F1CE4" w:rsidRPr="0037333F">
        <w:rPr>
          <w:noProof/>
        </w:rPr>
        <w:t>, averaged over all MD</w:t>
      </w:r>
      <w:r w:rsidR="00521423" w:rsidRPr="0037333F">
        <w:rPr>
          <w:noProof/>
        </w:rPr>
        <w:t>s</w:t>
      </w:r>
      <w:r w:rsidRPr="0037333F">
        <w:rPr>
          <w:noProof/>
        </w:rPr>
        <w:t xml:space="preserve">. </w:t>
      </w:r>
      <w:r w:rsidR="001B7709" w:rsidRPr="0037333F">
        <w:rPr>
          <w:noProof/>
        </w:rPr>
        <w:t>With the exception of L141,</w:t>
      </w:r>
      <w:r w:rsidR="001B7709">
        <w:rPr>
          <w:noProof/>
        </w:rPr>
        <w:t xml:space="preserve"> o</w:t>
      </w:r>
      <w:r w:rsidR="003A4B54">
        <w:rPr>
          <w:noProof/>
        </w:rPr>
        <w:t>nly r</w:t>
      </w:r>
      <w:r w:rsidRPr="00255B72">
        <w:rPr>
          <w:noProof/>
        </w:rPr>
        <w:t xml:space="preserve">esidues </w:t>
      </w:r>
      <w:r w:rsidR="003A4B54">
        <w:rPr>
          <w:noProof/>
        </w:rPr>
        <w:t>with</w:t>
      </w:r>
      <w:r w:rsidRPr="00255B72">
        <w:rPr>
          <w:noProof/>
        </w:rPr>
        <w:t xml:space="preserve"> Δ</w:t>
      </w:r>
      <w:r>
        <w:rPr>
          <w:noProof/>
        </w:rPr>
        <w:t>G </w:t>
      </w:r>
      <w:r w:rsidRPr="00255B72">
        <w:rPr>
          <w:noProof/>
        </w:rPr>
        <w:t>≥</w:t>
      </w:r>
      <w:r>
        <w:rPr>
          <w:noProof/>
        </w:rPr>
        <w:t> </w:t>
      </w:r>
      <w:r w:rsidRPr="00255B72">
        <w:rPr>
          <w:noProof/>
        </w:rPr>
        <w:t>0.5 kcal/mol</w:t>
      </w:r>
      <w:r w:rsidR="003A4B54" w:rsidRPr="003A4B54">
        <w:rPr>
          <w:noProof/>
        </w:rPr>
        <w:t xml:space="preserve"> </w:t>
      </w:r>
      <w:r w:rsidR="003A4B54">
        <w:rPr>
          <w:noProof/>
        </w:rPr>
        <w:t>are displayed</w:t>
      </w:r>
      <w:r w:rsidRPr="00255B72">
        <w:rPr>
          <w:noProof/>
        </w:rPr>
        <w:t xml:space="preserve">. The error bars represent the respective </w:t>
      </w:r>
      <w:r w:rsidR="004126DE">
        <w:rPr>
          <w:noProof/>
        </w:rPr>
        <w:t>standard deviations</w:t>
      </w:r>
      <w:r w:rsidR="004126DE" w:rsidRPr="00255B72">
        <w:rPr>
          <w:noProof/>
        </w:rPr>
        <w:t xml:space="preserve"> </w:t>
      </w:r>
      <w:r w:rsidRPr="00255B72">
        <w:rPr>
          <w:noProof/>
        </w:rPr>
        <w:t>from the mean values.</w:t>
      </w:r>
    </w:p>
    <w:p w14:paraId="57289138" w14:textId="685859D2" w:rsidR="00B713E6" w:rsidRDefault="00805C6A" w:rsidP="00A56E5C">
      <w:pPr>
        <w:pStyle w:val="TAMainText"/>
      </w:pPr>
      <w:r w:rsidRPr="00805C6A">
        <w:rPr>
          <w:b/>
        </w:rPr>
        <w:t>Previously known anchor for stabilizing acid groups.</w:t>
      </w:r>
      <w:r>
        <w:t xml:space="preserve"> The free binding energy </w:t>
      </w:r>
      <w:proofErr w:type="spellStart"/>
      <w:r>
        <w:t>ΔG</w:t>
      </w:r>
      <w:r w:rsidRPr="00D131D4">
        <w:rPr>
          <w:vertAlign w:val="subscript"/>
        </w:rPr>
        <w:t>bind</w:t>
      </w:r>
      <w:proofErr w:type="spellEnd"/>
      <w:r>
        <w:t xml:space="preserve"> of the octanoic acid with the proteins was calculated using the MM/GBSA method and averaged over the four replicated MD simulations, for M.aq wild type and M.aqRLT. </w:t>
      </w:r>
      <w:proofErr w:type="spellStart"/>
      <w:r>
        <w:t>ΔG</w:t>
      </w:r>
      <w:r w:rsidRPr="00D131D4">
        <w:rPr>
          <w:vertAlign w:val="subscript"/>
        </w:rPr>
        <w:t>bind</w:t>
      </w:r>
      <w:proofErr w:type="spellEnd"/>
      <w:r>
        <w:t xml:space="preserve"> </w:t>
      </w:r>
      <w:r w:rsidR="006D7ED4">
        <w:t xml:space="preserve">was dissected </w:t>
      </w:r>
      <w:r>
        <w:t>by residue, the averages compiled and the</w:t>
      </w:r>
      <w:r w:rsidR="00D77679">
        <w:t xml:space="preserve"> most interacting </w:t>
      </w:r>
      <w:r w:rsidR="00610167">
        <w:t xml:space="preserve">residues </w:t>
      </w:r>
      <w:r w:rsidR="00D970FC">
        <w:t>are presented in Figure</w:t>
      </w:r>
      <w:r>
        <w:t xml:space="preserve"> 4</w:t>
      </w:r>
      <w:r w:rsidR="00D970FC">
        <w:t>B</w:t>
      </w:r>
      <w:r>
        <w:t>.</w:t>
      </w:r>
      <w:r w:rsidRPr="00805C6A">
        <w:t xml:space="preserve"> </w:t>
      </w:r>
      <w:r>
        <w:t xml:space="preserve">There are two major interesting differences </w:t>
      </w:r>
      <w:r w:rsidR="00244C03">
        <w:t>between</w:t>
      </w:r>
      <w:r>
        <w:t xml:space="preserve"> M.aq wild type and M.aqRLT</w:t>
      </w:r>
      <w:r w:rsidR="00537164">
        <w:t>,</w:t>
      </w:r>
      <w:r>
        <w:t xml:space="preserve"> which </w:t>
      </w:r>
      <w:r w:rsidR="00537164">
        <w:t>may</w:t>
      </w:r>
      <w:r>
        <w:t xml:space="preserve"> </w:t>
      </w:r>
      <w:r w:rsidR="00547FAF">
        <w:t xml:space="preserve">explain the </w:t>
      </w:r>
      <w:r w:rsidR="00610167">
        <w:t>more efficient catalysis by</w:t>
      </w:r>
      <w:r>
        <w:t xml:space="preserve"> the </w:t>
      </w:r>
      <w:r w:rsidR="008545BC">
        <w:t xml:space="preserve">mutant </w:t>
      </w:r>
      <w:r>
        <w:t xml:space="preserve">variant. In M.aqRLT, </w:t>
      </w:r>
      <w:proofErr w:type="spellStart"/>
      <w:r>
        <w:t>ΔG</w:t>
      </w:r>
      <w:r w:rsidRPr="00D131D4">
        <w:rPr>
          <w:vertAlign w:val="subscript"/>
        </w:rPr>
        <w:t>bind</w:t>
      </w:r>
      <w:proofErr w:type="spellEnd"/>
      <w:r>
        <w:t xml:space="preserve"> of the substrate and the heme iron (HEM) was </w:t>
      </w:r>
      <w:r w:rsidR="00537164">
        <w:t>twice as high</w:t>
      </w:r>
      <w:r>
        <w:t xml:space="preserve"> </w:t>
      </w:r>
      <w:r w:rsidR="00537164">
        <w:t>as</w:t>
      </w:r>
      <w:r>
        <w:t xml:space="preserve"> in the wild type</w:t>
      </w:r>
      <w:r w:rsidR="00410474">
        <w:t xml:space="preserve"> (</w:t>
      </w:r>
      <w:proofErr w:type="spellStart"/>
      <w:r w:rsidR="00410474">
        <w:t>ΔG</w:t>
      </w:r>
      <w:r w:rsidR="00410474" w:rsidRPr="00D131D4">
        <w:rPr>
          <w:vertAlign w:val="subscript"/>
        </w:rPr>
        <w:t>bind</w:t>
      </w:r>
      <w:proofErr w:type="spellEnd"/>
      <w:r w:rsidR="000A4B1E">
        <w:t xml:space="preserve"> of -2.12</w:t>
      </w:r>
      <w:r w:rsidR="00410474">
        <w:t xml:space="preserve"> and </w:t>
      </w:r>
      <w:r w:rsidR="000A4B1E">
        <w:t>-1.04</w:t>
      </w:r>
      <w:r w:rsidR="00CC5CB9">
        <w:t xml:space="preserve"> kcal/</w:t>
      </w:r>
      <w:proofErr w:type="spellStart"/>
      <w:r w:rsidR="00CC5CB9">
        <w:t>mol</w:t>
      </w:r>
      <w:proofErr w:type="spellEnd"/>
      <w:r w:rsidR="00410474">
        <w:t>, respectively)</w:t>
      </w:r>
      <w:r>
        <w:t xml:space="preserve">, </w:t>
      </w:r>
      <w:r w:rsidR="00537164">
        <w:t>indicating</w:t>
      </w:r>
      <w:r>
        <w:t xml:space="preserve"> a greater interaction with the catalytic site. However, the most </w:t>
      </w:r>
      <w:r w:rsidR="00537164">
        <w:t>striking</w:t>
      </w:r>
      <w:r>
        <w:t xml:space="preserve"> difference in </w:t>
      </w:r>
      <w:r w:rsidR="00F7130F">
        <w:t xml:space="preserve">the </w:t>
      </w:r>
      <w:r>
        <w:t>ligand</w:t>
      </w:r>
      <w:r w:rsidRPr="00522D70">
        <w:t xml:space="preserve"> </w:t>
      </w:r>
      <w:r>
        <w:t>interaction</w:t>
      </w:r>
      <w:r w:rsidR="009F31BE">
        <w:t>s</w:t>
      </w:r>
      <w:r>
        <w:t xml:space="preserve"> was at position 129, which was mutated in M.aqRLT. While </w:t>
      </w:r>
      <w:proofErr w:type="spellStart"/>
      <w:r>
        <w:t>ΔG</w:t>
      </w:r>
      <w:r w:rsidRPr="00D131D4">
        <w:rPr>
          <w:vertAlign w:val="subscript"/>
        </w:rPr>
        <w:t>bind</w:t>
      </w:r>
      <w:proofErr w:type="spellEnd"/>
      <w:r>
        <w:rPr>
          <w:vertAlign w:val="subscript"/>
        </w:rPr>
        <w:t xml:space="preserve"> </w:t>
      </w:r>
      <w:r w:rsidR="00D970FC">
        <w:t>was -2.8 kcal/</w:t>
      </w:r>
      <w:proofErr w:type="spellStart"/>
      <w:r w:rsidR="00D970FC">
        <w:t>mol</w:t>
      </w:r>
      <w:proofErr w:type="spellEnd"/>
      <w:r w:rsidR="00D970FC">
        <w:t xml:space="preserve"> for Q129 in M.aq wild type, the mutation to an </w:t>
      </w:r>
      <w:r w:rsidR="00824DFF">
        <w:t>arginine in the variant M.aqRLT (Q129R) altered</w:t>
      </w:r>
      <w:r w:rsidR="00824DFF" w:rsidRPr="00522D70">
        <w:t xml:space="preserve"> </w:t>
      </w:r>
      <w:proofErr w:type="spellStart"/>
      <w:r w:rsidR="00DA06B5">
        <w:t>ΔG</w:t>
      </w:r>
      <w:r w:rsidR="00824DFF" w:rsidRPr="00D131D4">
        <w:rPr>
          <w:vertAlign w:val="subscript"/>
        </w:rPr>
        <w:t>bind</w:t>
      </w:r>
      <w:proofErr w:type="spellEnd"/>
      <w:r w:rsidR="00824DFF">
        <w:t xml:space="preserve"> to -7.3 kcal/</w:t>
      </w:r>
      <w:proofErr w:type="spellStart"/>
      <w:r w:rsidR="00824DFF">
        <w:t>mol</w:t>
      </w:r>
      <w:proofErr w:type="spellEnd"/>
      <w:r w:rsidR="00824DFF">
        <w:t xml:space="preserve">, which is a remarkable change. This mutation was previously described as an anchor for longer fatty acids like </w:t>
      </w:r>
      <w:proofErr w:type="spellStart"/>
      <w:r w:rsidR="00824DFF">
        <w:t>dodecanoic</w:t>
      </w:r>
      <w:proofErr w:type="spellEnd"/>
      <w:r w:rsidR="00824DFF">
        <w:t xml:space="preserve"> acid</w:t>
      </w:r>
      <w:r w:rsidR="00537164">
        <w:t>,</w:t>
      </w:r>
      <w:r w:rsidR="00824DFF">
        <w:fldChar w:fldCharType="begin" w:fldLock="1"/>
      </w:r>
      <w:r w:rsidR="00EB3568">
        <w:instrText>ADDIN CSL_CITATION {"citationItems":[{"id":"ITEM-1","itemData":{"DOI":"10.1002/cctc.201600680","ISSN":"1867-3899","abstract":"The structure of a P450 ω-hydroxylase bound to its fatty acid product was determined, which revealed a narrow substrate tunnel that leads to the heme. The introduction of an arginine side chain in proximity to the carboxyl group of the fatty acid led to a reduced KM value for dodecanoic acid, which suggests the importance of an anchoring point in the active site. An increase in the flexibility of the substrate recognition region was also engineered, which resulted in a threefold improved product formation.","author":[{"dropping-particle":"","family":"Hoffmann","given":"Sara M","non-dropping-particle":"","parse-names":false,"suffix":""},{"dropping-particle":"","family":"Danesh‐Azari","given":"Hamid‐Reza","non-dropping-particle":"","parse-names":false,"suffix":""},{"dropping-particle":"","family":"Spandolf","given":"Claudia","non-dropping-particle":"","parse-names":false,"suffix":""},{"dropping-particle":"","family":"Weissenborn","given":"Martin J","non-dropping-particle":"","parse-names":false,"suffix":""},{"dropping-particle":"","family":"Grogan","given":"Gideon","non-dropping-particle":"","parse-names":false,"suffix":""},{"dropping-particle":"","family":"Hauer","given":"Bernhard","non-dropping-particle":"","parse-names":false,"suffix":""}],"container-title":"ChemCatChem","id":"ITEM-1","issue":"20","issued":{"date-parts":[["2016"]]},"page":"3234-3239","publisher":"Wiley Online Library","title":"Structure‐Guided Redesign of CYP153AM.aq for the Improved Terminal Hydroxylation of Fatty Acids","type":"article-journal","volume":"8"},"uris":["http://www.mendeley.com/documents/?uuid=a5655c03-fbb0-441f-b0d1-da241cc98501"]}],"mendeley":{"formattedCitation":"&lt;sup&gt;25&lt;/sup&gt;","plainTextFormattedCitation":"25","previouslyFormattedCitation":"&lt;sup&gt;25&lt;/sup&gt;"},"properties":{"noteIndex":0},"schema":"https://github.com/citation-style-language/schema/raw/master/csl-citation.json"}</w:instrText>
      </w:r>
      <w:r w:rsidR="00824DFF">
        <w:fldChar w:fldCharType="separate"/>
      </w:r>
      <w:r w:rsidR="00397741" w:rsidRPr="00397741">
        <w:rPr>
          <w:noProof/>
          <w:vertAlign w:val="superscript"/>
        </w:rPr>
        <w:t>25</w:t>
      </w:r>
      <w:r w:rsidR="00824DFF">
        <w:fldChar w:fldCharType="end"/>
      </w:r>
      <w:r w:rsidR="00824DFF">
        <w:t xml:space="preserve"> and it may be responsible for keeping the octanoic acid in the reactive position until the reaction is accomplished.</w:t>
      </w:r>
      <w:r w:rsidR="003F7679">
        <w:t xml:space="preserve"> </w:t>
      </w:r>
      <w:r w:rsidR="003F7679" w:rsidRPr="0037333F">
        <w:t>A</w:t>
      </w:r>
      <w:r w:rsidR="00FD58D8" w:rsidRPr="0037333F">
        <w:t>s in this study, a</w:t>
      </w:r>
      <w:r w:rsidR="003F7679" w:rsidRPr="0037333F">
        <w:t xml:space="preserve">lso in other P450s capable of fatty acid hydroxylation, </w:t>
      </w:r>
      <w:proofErr w:type="spellStart"/>
      <w:r w:rsidR="003F7679" w:rsidRPr="0037333F">
        <w:t>arginines</w:t>
      </w:r>
      <w:proofErr w:type="spellEnd"/>
      <w:r w:rsidR="003F7679" w:rsidRPr="0037333F">
        <w:t xml:space="preserve"> are commonly described as possible binding sites for the carboxylate.</w:t>
      </w:r>
      <w:r w:rsidR="00FD58D8" w:rsidRPr="0037333F">
        <w:fldChar w:fldCharType="begin" w:fldLock="1"/>
      </w:r>
      <w:r w:rsidR="00D40920" w:rsidRPr="0037333F">
        <w:instrText>ADDIN CSL_CITATION {"citationItems":[{"id":"ITEM-1","itemData":{"DOI":"10.1016/j.abb.2010.08.011","ISSN":"00039861","PMID":"20727847","abstract":"The regiospecific or preferential ω-hydroxylation of hydrocarbon chains is thermodynamically disfavored because the ease of C-H bond hydroxylation depends on the bond strength, and the primary C-H bond of a terminal methyl group is stronger than the secondary or tertiary C-H bond adjacent to it. The hydroxylation reaction will therefore occur primarily at the adjacent secondary or tertiary C-H bond unless the protein structure specifically enforces primary C-H bond oxidation. Here we review the classes of enzymes that catalyze ω-hydroxylation and our current understanding of the structural features that promote the ω-hydroxylation of unbranched and methyl-branched hydrocarbon chains. The evidence indicates that steric constraints are used to favor reaction at the ω-site rather than at the more reactive (ω-1)-site. © 2010 Elsevier Inc. All rights reserved.","author":[{"dropping-particle":"","family":"Johnston","given":"Jonathan B.","non-dropping-particle":"","parse-names":false,"suffix":""},{"dropping-particle":"","family":"Ouellet","given":"Hugues","non-dropping-particle":"","parse-names":false,"suffix":""},{"dropping-particle":"","family":"Podust","given":"Larissa M.","non-dropping-particle":"","parse-names":false,"suffix":""},{"dropping-particle":"","family":"Ortiz De Montellano","given":"Paul R.","non-dropping-particle":"","parse-names":false,"suffix":""}],"container-title":"Archives of Biochemistry and Biophysics","id":"ITEM-1","issue":"1","issued":{"date-parts":[["2011"]]},"page":"86-94","title":"Structural control of cytochrome P450-catalyzed ω-hydroxylation","type":"article","volume":"507"},"uris":["http://www.mendeley.com/documents/?uuid=f9efbbea-3eec-3e8a-92cc-4934a0068ae5"]}],"mendeley":{"formattedCitation":"&lt;sup&gt;16&lt;/sup&gt;","plainTextFormattedCitation":"16","previouslyFormattedCitation":"&lt;sup&gt;16&lt;/sup&gt;"},"properties":{"noteIndex":0},"schema":"https://github.com/citation-style-language/schema/raw/master/csl-citation.json"}</w:instrText>
      </w:r>
      <w:r w:rsidR="00FD58D8" w:rsidRPr="0037333F">
        <w:fldChar w:fldCharType="separate"/>
      </w:r>
      <w:r w:rsidR="00FD58D8" w:rsidRPr="0037333F">
        <w:rPr>
          <w:noProof/>
          <w:vertAlign w:val="superscript"/>
        </w:rPr>
        <w:t>16</w:t>
      </w:r>
      <w:r w:rsidR="00FD58D8" w:rsidRPr="0037333F">
        <w:fldChar w:fldCharType="end"/>
      </w:r>
      <w:r w:rsidR="003F7679" w:rsidRPr="0037333F">
        <w:t xml:space="preserve"> </w:t>
      </w:r>
      <w:r w:rsidR="00824DFF" w:rsidRPr="0037333F">
        <w:t xml:space="preserve">Interestingly, the mutation M228T shows </w:t>
      </w:r>
      <w:r w:rsidR="00690579" w:rsidRPr="0037333F">
        <w:t>a slight, even reduced,</w:t>
      </w:r>
      <w:r w:rsidR="00824DFF" w:rsidRPr="0037333F">
        <w:t xml:space="preserve"> difference compared to the wild type</w:t>
      </w:r>
      <w:r w:rsidR="00694225" w:rsidRPr="0037333F">
        <w:t>,</w:t>
      </w:r>
      <w:r w:rsidR="00824DFF" w:rsidRPr="0037333F">
        <w:t xml:space="preserve"> and </w:t>
      </w:r>
      <w:proofErr w:type="spellStart"/>
      <w:r w:rsidR="004126DE" w:rsidRPr="0037333F">
        <w:t>ΔG</w:t>
      </w:r>
      <w:r w:rsidR="004126DE" w:rsidRPr="0037333F">
        <w:rPr>
          <w:vertAlign w:val="subscript"/>
        </w:rPr>
        <w:t>bind</w:t>
      </w:r>
      <w:proofErr w:type="spellEnd"/>
      <w:r w:rsidR="004126DE" w:rsidRPr="0037333F">
        <w:t xml:space="preserve"> </w:t>
      </w:r>
      <w:r w:rsidR="002A3CAE" w:rsidRPr="0037333F">
        <w:t xml:space="preserve">for </w:t>
      </w:r>
      <w:r w:rsidR="00690579" w:rsidRPr="0037333F">
        <w:t>V141L</w:t>
      </w:r>
      <w:r w:rsidR="00A74659" w:rsidRPr="0037333F">
        <w:t xml:space="preserve"> </w:t>
      </w:r>
      <w:r w:rsidR="00690579" w:rsidRPr="0037333F">
        <w:t>was only -0.11</w:t>
      </w:r>
      <w:r w:rsidR="00C85761" w:rsidRPr="0037333F">
        <w:t> </w:t>
      </w:r>
      <w:r w:rsidR="002A3CAE" w:rsidRPr="0037333F">
        <w:t>kcal/mol</w:t>
      </w:r>
      <w:r w:rsidR="00824DFF" w:rsidRPr="0037333F">
        <w:t xml:space="preserve">. We speculate that these two residues </w:t>
      </w:r>
      <w:r w:rsidR="0037333F">
        <w:t xml:space="preserve">scarcely </w:t>
      </w:r>
      <w:r w:rsidR="00824DFF" w:rsidRPr="0037333F">
        <w:t>interact</w:t>
      </w:r>
      <w:r w:rsidR="00824DFF">
        <w:t xml:space="preserve"> with the ligand in the bound conformation, but </w:t>
      </w:r>
      <w:r w:rsidR="00832853">
        <w:t xml:space="preserve">they </w:t>
      </w:r>
      <w:r w:rsidR="00824DFF">
        <w:t xml:space="preserve">may be rather important for </w:t>
      </w:r>
      <w:r w:rsidR="00701EA9">
        <w:t>reducing</w:t>
      </w:r>
      <w:r w:rsidR="00824DFF">
        <w:t xml:space="preserve"> the flexibility o</w:t>
      </w:r>
      <w:r w:rsidR="00701EA9">
        <w:t>f the BC-loop and stabilizing</w:t>
      </w:r>
      <w:r w:rsidR="00824DFF">
        <w:t xml:space="preserve"> the whole construct. </w:t>
      </w:r>
      <w:r w:rsidR="00701EA9">
        <w:t>Of high relevance</w:t>
      </w:r>
      <w:r w:rsidR="00824DFF">
        <w:t xml:space="preserve"> could also be the reshaping of tunnel 2c (Fig</w:t>
      </w:r>
      <w:r w:rsidR="00DA06B5">
        <w:t>ure 3C</w:t>
      </w:r>
      <w:r w:rsidR="00824DFF">
        <w:t xml:space="preserve">, purple tunnel), </w:t>
      </w:r>
      <w:r w:rsidR="00701EA9">
        <w:t xml:space="preserve">by </w:t>
      </w:r>
      <w:r w:rsidR="00824DFF">
        <w:t xml:space="preserve">which </w:t>
      </w:r>
      <w:r w:rsidR="00701EA9">
        <w:t xml:space="preserve">the active site pocket has </w:t>
      </w:r>
      <w:r w:rsidR="00824DFF">
        <w:t xml:space="preserve">shrunk </w:t>
      </w:r>
      <w:r w:rsidR="00701EA9">
        <w:t xml:space="preserve">considerably, </w:t>
      </w:r>
      <w:r w:rsidR="00824DFF">
        <w:t xml:space="preserve">while the arginine at </w:t>
      </w:r>
      <w:r w:rsidR="00824DFF">
        <w:lastRenderedPageBreak/>
        <w:t>positi</w:t>
      </w:r>
      <w:r w:rsidR="00701EA9">
        <w:t>on 129 protrudes and stabilizes</w:t>
      </w:r>
      <w:r w:rsidR="00824DFF">
        <w:t xml:space="preserve"> the acid group of octanoic acid.</w:t>
      </w:r>
    </w:p>
    <w:p w14:paraId="0F593942" w14:textId="5EB8FB77" w:rsidR="00A4415C" w:rsidRDefault="0070264D" w:rsidP="00A56E5C">
      <w:pPr>
        <w:pStyle w:val="TAMainText"/>
      </w:pPr>
      <w:r w:rsidRPr="0070264D">
        <w:rPr>
          <w:b/>
        </w:rPr>
        <w:t>New substrate specificity of M.aqRLT.</w:t>
      </w:r>
      <w:r>
        <w:t xml:space="preserve"> To</w:t>
      </w:r>
      <w:r w:rsidR="00792613">
        <w:t xml:space="preserve"> further</w:t>
      </w:r>
      <w:r>
        <w:t xml:space="preserve"> demonstrate the</w:t>
      </w:r>
      <w:r w:rsidR="00792613">
        <w:t xml:space="preserve"> suspected</w:t>
      </w:r>
      <w:r>
        <w:t xml:space="preserve"> difference in </w:t>
      </w:r>
      <w:r w:rsidR="00292CEC">
        <w:t xml:space="preserve">the </w:t>
      </w:r>
      <w:r>
        <w:t xml:space="preserve">fatty acid substrate specificity </w:t>
      </w:r>
      <w:r w:rsidR="00701EA9">
        <w:t>between</w:t>
      </w:r>
      <w:r>
        <w:t xml:space="preserve"> M.aq wild type and M.aqRLT, we investigated the conversion of saturated fatty acids with chain lengths between C6</w:t>
      </w:r>
      <w:r w:rsidR="00C423A4">
        <w:t xml:space="preserve"> (</w:t>
      </w:r>
      <w:proofErr w:type="spellStart"/>
      <w:r w:rsidR="00C423A4">
        <w:t>hexanoic</w:t>
      </w:r>
      <w:proofErr w:type="spellEnd"/>
      <w:r w:rsidR="00C423A4">
        <w:t xml:space="preserve"> acid)</w:t>
      </w:r>
      <w:r>
        <w:t xml:space="preserve"> and C16</w:t>
      </w:r>
      <w:r w:rsidR="00C423A4">
        <w:t xml:space="preserve"> (</w:t>
      </w:r>
      <w:proofErr w:type="spellStart"/>
      <w:r w:rsidR="00C423A4">
        <w:t>hexadecanoic</w:t>
      </w:r>
      <w:proofErr w:type="spellEnd"/>
      <w:r w:rsidR="00C423A4">
        <w:t xml:space="preserve"> acid)</w:t>
      </w:r>
      <w:r>
        <w:t>.</w:t>
      </w:r>
      <w:r w:rsidR="004848A5">
        <w:t xml:space="preserve"> </w:t>
      </w:r>
      <w:r w:rsidR="0043583A" w:rsidRPr="0037333F">
        <w:t>To determine the turnover number (TON), we</w:t>
      </w:r>
      <w:r w:rsidR="004848A5" w:rsidRPr="0037333F">
        <w:t xml:space="preserve"> used 1 </w:t>
      </w:r>
      <w:proofErr w:type="spellStart"/>
      <w:r w:rsidR="004848A5" w:rsidRPr="0037333F">
        <w:t>mM</w:t>
      </w:r>
      <w:proofErr w:type="spellEnd"/>
      <w:r w:rsidR="004848A5" w:rsidRPr="0037333F">
        <w:t xml:space="preserve"> </w:t>
      </w:r>
      <w:r w:rsidR="0043583A" w:rsidRPr="0037333F">
        <w:t xml:space="preserve">of the substrates </w:t>
      </w:r>
      <w:r w:rsidR="004848A5" w:rsidRPr="0037333F">
        <w:t xml:space="preserve">and the same reaction conditions for all </w:t>
      </w:r>
      <w:r w:rsidR="0043583A" w:rsidRPr="0037333F">
        <w:t>enzymes for comparison</w:t>
      </w:r>
      <w:r w:rsidR="004848A5" w:rsidRPr="0037333F">
        <w:t>.</w:t>
      </w:r>
      <w:r w:rsidR="004848A5">
        <w:t xml:space="preserve"> </w:t>
      </w:r>
    </w:p>
    <w:p w14:paraId="2AF18FB8" w14:textId="1DAB98C1" w:rsidR="00747D5E" w:rsidRDefault="008954DF" w:rsidP="00D96C57">
      <w:pPr>
        <w:pStyle w:val="TAMainText"/>
        <w:ind w:firstLine="0"/>
      </w:pPr>
      <w:r>
        <w:rPr>
          <w:noProof/>
          <w:lang w:val="de-DE" w:eastAsia="de-DE"/>
        </w:rPr>
        <w:drawing>
          <wp:inline distT="0" distB="0" distL="0" distR="0" wp14:anchorId="5B0FF363" wp14:editId="59792FDF">
            <wp:extent cx="3044825" cy="228346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5_FA chain length.tif"/>
                    <pic:cNvPicPr/>
                  </pic:nvPicPr>
                  <pic:blipFill>
                    <a:blip r:embed="rId16">
                      <a:extLst>
                        <a:ext uri="{28A0092B-C50C-407E-A947-70E740481C1C}">
                          <a14:useLocalDpi xmlns:a14="http://schemas.microsoft.com/office/drawing/2010/main" val="0"/>
                        </a:ext>
                      </a:extLst>
                    </a:blip>
                    <a:stretch>
                      <a:fillRect/>
                    </a:stretch>
                  </pic:blipFill>
                  <pic:spPr>
                    <a:xfrm>
                      <a:off x="0" y="0"/>
                      <a:ext cx="3044825" cy="2283460"/>
                    </a:xfrm>
                    <a:prstGeom prst="rect">
                      <a:avLst/>
                    </a:prstGeom>
                  </pic:spPr>
                </pic:pic>
              </a:graphicData>
            </a:graphic>
          </wp:inline>
        </w:drawing>
      </w:r>
    </w:p>
    <w:p w14:paraId="10235F9C" w14:textId="7F632E1C" w:rsidR="00AA6FB2" w:rsidRDefault="00160C93" w:rsidP="00AA6FB2">
      <w:pPr>
        <w:pStyle w:val="VAFigureCaption"/>
      </w:pPr>
      <w:r w:rsidRPr="0037333F">
        <w:t xml:space="preserve">Figure 5: Fatty acid specificity of the wild type </w:t>
      </w:r>
      <w:proofErr w:type="spellStart"/>
      <w:r w:rsidRPr="0037333F">
        <w:t>M.aqWT</w:t>
      </w:r>
      <w:proofErr w:type="spellEnd"/>
      <w:r w:rsidRPr="0037333F">
        <w:t xml:space="preserve"> (</w:t>
      </w:r>
      <w:r w:rsidR="00916F2B" w:rsidRPr="0037333F">
        <w:t xml:space="preserve">dark </w:t>
      </w:r>
      <w:r w:rsidRPr="0037333F">
        <w:t xml:space="preserve">grey) </w:t>
      </w:r>
      <w:r w:rsidR="00114390" w:rsidRPr="0037333F">
        <w:t>and the variant</w:t>
      </w:r>
      <w:r w:rsidR="00916F2B" w:rsidRPr="0037333F">
        <w:t xml:space="preserve">s </w:t>
      </w:r>
      <w:proofErr w:type="spellStart"/>
      <w:r w:rsidR="00916F2B" w:rsidRPr="0037333F">
        <w:t>M.aqR</w:t>
      </w:r>
      <w:proofErr w:type="spellEnd"/>
      <w:r w:rsidR="00916F2B" w:rsidRPr="0037333F">
        <w:t xml:space="preserve"> (light grey), </w:t>
      </w:r>
      <w:proofErr w:type="spellStart"/>
      <w:r w:rsidR="00916F2B" w:rsidRPr="0037333F">
        <w:t>M.aqRT</w:t>
      </w:r>
      <w:proofErr w:type="spellEnd"/>
      <w:r w:rsidR="00916F2B" w:rsidRPr="0037333F">
        <w:t xml:space="preserve"> (white) and</w:t>
      </w:r>
      <w:r w:rsidR="00114390" w:rsidRPr="0037333F">
        <w:t xml:space="preserve"> M.aqRLT (green)</w:t>
      </w:r>
      <w:r w:rsidR="00A54831" w:rsidRPr="0037333F">
        <w:t>.</w:t>
      </w:r>
      <w:r w:rsidRPr="0037333F">
        <w:t xml:space="preserve"> Substrates were tested regarding their chain lengths between C6 and C16.</w:t>
      </w:r>
      <w:r w:rsidR="00A54831" w:rsidRPr="0037333F">
        <w:t xml:space="preserve"> The </w:t>
      </w:r>
      <w:r w:rsidR="00916F2B" w:rsidRPr="0037333F">
        <w:t>TON (</w:t>
      </w:r>
      <w:proofErr w:type="spellStart"/>
      <w:r w:rsidR="00916F2B" w:rsidRPr="0037333F">
        <w:t>n</w:t>
      </w:r>
      <w:r w:rsidR="00916F2B" w:rsidRPr="0037333F">
        <w:rPr>
          <w:vertAlign w:val="subscript"/>
        </w:rPr>
        <w:t>product</w:t>
      </w:r>
      <w:proofErr w:type="spellEnd"/>
      <w:r w:rsidR="00916F2B" w:rsidRPr="0037333F">
        <w:t>/n</w:t>
      </w:r>
      <w:r w:rsidR="00916F2B" w:rsidRPr="0037333F">
        <w:rPr>
          <w:vertAlign w:val="subscript"/>
        </w:rPr>
        <w:t>P450</w:t>
      </w:r>
      <w:r w:rsidR="00916F2B" w:rsidRPr="0037333F">
        <w:t xml:space="preserve"> after 1 h conversion) for every substrate</w:t>
      </w:r>
      <w:r w:rsidR="00A54831" w:rsidRPr="0037333F">
        <w:t xml:space="preserve"> </w:t>
      </w:r>
      <w:r w:rsidR="00114390" w:rsidRPr="0037333F">
        <w:t>is presented.</w:t>
      </w:r>
    </w:p>
    <w:p w14:paraId="69467A5D" w14:textId="7EFD24E5" w:rsidR="00A4415C" w:rsidRPr="00A4415C" w:rsidRDefault="00A4415C" w:rsidP="00A4415C">
      <w:pPr>
        <w:pStyle w:val="TAMainText"/>
      </w:pPr>
      <w:r>
        <w:t xml:space="preserve">With the mutant </w:t>
      </w:r>
      <w:r w:rsidRPr="0037333F">
        <w:t>variant</w:t>
      </w:r>
      <w:r w:rsidR="0043583A" w:rsidRPr="0037333F">
        <w:t>s</w:t>
      </w:r>
      <w:r w:rsidRPr="0037333F">
        <w:t xml:space="preserve"> we generated generally improved catalyst</w:t>
      </w:r>
      <w:r w:rsidR="0043583A" w:rsidRPr="0037333F">
        <w:t>s</w:t>
      </w:r>
      <w:r w:rsidRPr="0037333F">
        <w:t xml:space="preserve"> for the terminal</w:t>
      </w:r>
      <w:r>
        <w:t xml:space="preserve"> hydroxylation of medium-chain fatty acids. </w:t>
      </w:r>
      <w:r w:rsidRPr="007C01F8">
        <w:t>This fact was not unexpected due to the mutation Q129R, which had previously proved beneficial for C12 conversion.</w:t>
      </w:r>
      <w:r>
        <w:t xml:space="preserve"> The highest product formation was shown with the substrate </w:t>
      </w:r>
      <w:proofErr w:type="spellStart"/>
      <w:r>
        <w:t>nonanoic</w:t>
      </w:r>
      <w:proofErr w:type="spellEnd"/>
      <w:r>
        <w:t xml:space="preserve"> acid (C9) and a slight decrease when using </w:t>
      </w:r>
      <w:proofErr w:type="spellStart"/>
      <w:r>
        <w:t>decanoic</w:t>
      </w:r>
      <w:proofErr w:type="spellEnd"/>
      <w:r>
        <w:t xml:space="preserve"> acid (C10) and </w:t>
      </w:r>
      <w:proofErr w:type="spellStart"/>
      <w:r>
        <w:t>dodecanoic</w:t>
      </w:r>
      <w:proofErr w:type="spellEnd"/>
      <w:r>
        <w:t xml:space="preserve"> acid (C12). The </w:t>
      </w:r>
      <w:r w:rsidRPr="0037333F">
        <w:t>improvement</w:t>
      </w:r>
      <w:r w:rsidR="0043583A" w:rsidRPr="0037333F">
        <w:t xml:space="preserve"> of M.aqRLT</w:t>
      </w:r>
      <w:r w:rsidRPr="0037333F">
        <w:t xml:space="preserve"> relative to the wild type decreased more strongly from 10-fold (C9) to 4-fold (C10) and 2-fold (C12) and was only 62% for the long-chain fatty acid C16 (Figure 5 and Table S7). It is worth mentioning that we see the highest improvement in product formation for the octanoic acid (C8) with 14-fold improvement compared to the wild type. We even observ</w:t>
      </w:r>
      <w:r>
        <w:t xml:space="preserve">ed 35 µM </w:t>
      </w:r>
      <w:r>
        <w:rPr>
          <w:rFonts w:ascii="Constantia" w:hAnsi="Constantia"/>
        </w:rPr>
        <w:t>ω</w:t>
      </w:r>
      <w:r>
        <w:t>-</w:t>
      </w:r>
      <w:proofErr w:type="spellStart"/>
      <w:r>
        <w:t>hydroxy</w:t>
      </w:r>
      <w:proofErr w:type="spellEnd"/>
      <w:r>
        <w:t xml:space="preserve"> </w:t>
      </w:r>
      <w:proofErr w:type="spellStart"/>
      <w:r>
        <w:t>heptanoic</w:t>
      </w:r>
      <w:proofErr w:type="spellEnd"/>
      <w:r>
        <w:t xml:space="preserve"> acid after 1 h reaction time with the variant M.aqRLT and the corresponding C7 substrate, while the wild type showed no product formation under these conditions. For the shortest fatty acid (C6) used in this study no product formation could be detected.</w:t>
      </w:r>
      <w:r w:rsidR="0058562A">
        <w:t xml:space="preserve"> </w:t>
      </w:r>
      <w:r w:rsidR="0058562A" w:rsidRPr="0037333F">
        <w:t>Generally, the variant M.aqRLT demonstrated higher product formation with C8 to C12 compared to all other variants used in this study</w:t>
      </w:r>
      <w:r w:rsidR="005F3267" w:rsidRPr="0037333F">
        <w:t xml:space="preserve"> demonstrating the importance of not only the anchoring but also the two mutations influencing the flexibility</w:t>
      </w:r>
      <w:r w:rsidR="0058562A" w:rsidRPr="0037333F">
        <w:t>.</w:t>
      </w:r>
      <w:r w:rsidRPr="0037333F">
        <w:t xml:space="preserve"> </w:t>
      </w:r>
      <w:proofErr w:type="spellStart"/>
      <w:r w:rsidRPr="0037333F">
        <w:t>Fasan</w:t>
      </w:r>
      <w:proofErr w:type="spellEnd"/>
      <w:r w:rsidRPr="0037333F">
        <w:t xml:space="preserve"> and colleagues could even demonstrate the evolution towards a C3 alkane hydroxylase showing similar substrate tendencies regarding the </w:t>
      </w:r>
      <w:r w:rsidRPr="0037333F">
        <w:t>chain length.</w:t>
      </w:r>
      <w:r w:rsidRPr="0037333F">
        <w:fldChar w:fldCharType="begin" w:fldLock="1"/>
      </w:r>
      <w:r w:rsidRPr="0037333F">
        <w:instrText>ADDIN CSL_CITATION {"citationItems":[{"id":"ITEM-1","itemData":{"DOI":"10.1016/j.jmb.2008.06.060","ISSN":"00222836","PMID":"18619466","abstract":"The evolutionary pressures that shaped the specificity and catalytic efficiency of enzymes can only be speculated. While directed evolution experiments show that new functions can be acquired under positive selection with few mutations, the role of negative selection in eliminating undesired activities and achieving high specificity remains unclear. Here we examine intermediates along the 'lineage' from a naturally occurring C12-C20 fatty acid hydroxylase (P450BM3) to a laboratory-evolved P450 propane monooxygenase (P450PMO) having 20 heme domain substitutions compared to P450BM3. Biochemical, crystallographic, and computational analyses show that a minimal perturbation of the P450BM3 fold and substrate-binding pocket accompanies a significant broadening of enzyme substrate range and the emergence of propane activity. In contrast, refinement of the enzyme catalytic efficiency for propane oxidation (</w:instrText>
      </w:r>
      <w:r w:rsidRPr="0037333F">
        <w:rPr>
          <w:rFonts w:ascii="Cambria Math" w:hAnsi="Cambria Math" w:cs="Cambria Math"/>
        </w:rPr>
        <w:instrText>∼</w:instrText>
      </w:r>
      <w:r w:rsidRPr="0037333F">
        <w:instrText xml:space="preserve"> 9000-fold increase in kcat/Km) involves profound reshaping and partitioning of the substrate access pathway. Remodeling of the substrate-recognition mechanisms ultimately results in remarkable narrowing of the substrate profile around propane and enables the acquisition of a basal iodomethane dehalogenase activity as yet unknown in natural alkane monooxygenases. A highly destabilizing L188P substitution in a region of the enzyme that undergoes a large conformational change during catalysis plays an important role in adaptation to the gaseous alkane. This work demonstrates that positive selection alone is sufficient to completely respecialize the cytochrome P450 for function on a nonnative substrate.","author":[{"dropping-particle":"","family":"Fasan","given":"Rudi","non-dropping-particle":"","parse-names":false,"suffix":""},{"dropping-particle":"","family":"Meharenna","given":"Yergalem T.","non-dropping-particle":"","parse-names":false,"suffix":""},{"dropping-particle":"","family":"Snow","given":"Christopher D.","non-dropping-particle":"","parse-names":false,"suffix":""},{"dropping-particle":"","family":"Poulos","given":"Thomas L.","non-dropping-particle":"","parse-names":false,"suffix":""},{"dropping-particle":"","family":"Arnold","given":"Frances H.","non-dropping-particle":"","parse-names":false,"suffix":""}],"container-title":"Journal of Molecular Biology","id":"ITEM-1","issue":"5","issued":{"date-parts":[["2008"]]},"page":"1069-1080","title":"Evolutionary History of a Specialized P450 Propane Monooxygenase","type":"article-journal","volume":"383"},"uris":["http://www.mendeley.com/documents/?uuid=769faa31-5b75-3071-b03f-857d5e7c32fa"]}],"mendeley":{"formattedCitation":"&lt;sup&gt;28&lt;/sup&gt;","plainTextFormattedCitation":"28","previouslyFormattedCitation":"&lt;sup&gt;28&lt;/sup&gt;"},"properties":{"noteIndex":0},"schema":"https://github.com/citation-style-language/schema/raw/master/csl-citation.json"}</w:instrText>
      </w:r>
      <w:r w:rsidRPr="0037333F">
        <w:fldChar w:fldCharType="separate"/>
      </w:r>
      <w:r w:rsidRPr="0037333F">
        <w:rPr>
          <w:noProof/>
          <w:vertAlign w:val="superscript"/>
        </w:rPr>
        <w:t>28</w:t>
      </w:r>
      <w:r w:rsidRPr="0037333F">
        <w:fldChar w:fldCharType="end"/>
      </w:r>
      <w:r w:rsidRPr="0037333F">
        <w:t xml:space="preserve"> For better stabilization of shorter substrates, amino acids in the tunnel closer to the active site could be targeted using the same mutagenesis approaches. Anchoring mutations were previously introduced </w:t>
      </w:r>
      <w:r w:rsidR="004355D0">
        <w:t>more deeply</w:t>
      </w:r>
      <w:r w:rsidRPr="0037333F">
        <w:t xml:space="preserve"> into the tunnel of BM-3 by groups of Urlacher and Munro to rationally form hydrogen bonds between </w:t>
      </w:r>
      <w:proofErr w:type="spellStart"/>
      <w:r w:rsidRPr="0037333F">
        <w:t>Arg</w:t>
      </w:r>
      <w:proofErr w:type="spellEnd"/>
      <w:r w:rsidRPr="0037333F">
        <w:t>/Tyr residues and the carboxylate of shorter fatty acids.</w:t>
      </w:r>
      <w:r w:rsidRPr="0037333F">
        <w:fldChar w:fldCharType="begin" w:fldLock="1"/>
      </w:r>
      <w:r w:rsidRPr="0037333F">
        <w:instrText>ADDIN CSL_CITATION {"citationItems":[{"id":"ITEM-1","itemData":{"DOI":"10.1016/j.jbiotec.2008.10.002","ISSN":"01681656","PMID":"18984016","abstract":"Cytochrome P450 BM-3 monooxygenase from Bacillus megaterium (CYP102A1) catalyzes the subterminal hydroxylation of fatty acids with a chain length of 12-22 carbons. Wild-type P450 BM-3 oxidizes saturated fatty acids at subterminal positions producing a mixture of ω-1, ω-2 and ω-3 hydroxylated products. Using a rational site-directed mutagenesis approach, three new elements have been introduced into the substrate binding pocket of the monooxygenase, which greatly changed the product pattern of lauric acid hydroxylation. Particularly, substitutions at positions S72, V78 and I263 had an effect on the enzyme regioselectivity. The P450 BM-3 mutants V78A F87A I263G and S72Y V78A F87A were able to oxidize lauric acid not only at δ-position (14% and 16%, respectively), but also produced γ- and β-hydroxylated products. δ-Hydroxy lauric and γ-hydroxy lauric acid are important synthons for the production of the corresponding lactones. © 2008 Elsevier B.V. All rights reserved.","author":[{"dropping-particle":"","family":"Dietrich","given":"Matthias","non-dropping-particle":"","parse-names":false,"suffix":""},{"dropping-particle":"","family":"Do","given":"Tuan Anh","non-dropping-particle":"","parse-names":false,"suffix":""},{"dropping-particle":"","family":"Schmid","given":"Rolf D.","non-dropping-particle":"","parse-names":false,"suffix":""},{"dropping-particle":"","family":"Pleiss","given":"Jürgen","non-dropping-particle":"","parse-names":false,"suffix":""},{"dropping-particle":"","family":"Urlacher","given":"Vlada B.","non-dropping-particle":"","parse-names":false,"suffix":""}],"container-title":"Journal of Biotechnology","id":"ITEM-1","issue":"1","issued":{"date-parts":[["2009"]]},"page":"115-117","title":"Altering the regioselectivity of the subterminal fatty acid hydroxylase P450 BM-3 towards γ- and δ-positions","type":"article-journal","volume":"139"},"uris":["http://www.mendeley.com/documents/?uuid=20f0a931-5d62-3097-a867-586eb14f99cd"]},{"id":"ITEM-2","itemData":{"DOI":"10.1016/S0014-5793(00)02267-5","ISSN":"00145793","PMID":"11113461","abstract":"Bacillus megaterium P450 BM3 is a fatty acid hydroxylase with selectivity for long chain substrates (C12-C20). Binding or activity with substrates of chain length &lt; C12 has not been reported. Rational mutagenesis was used to re-design the enzyme to encourage binding of short chain fatty acids (C4-C10). We show that wild-type P450 BM3 has activity and weak affinity for substrates as short as butyrate (C4). However, turnover/binding of short chain substrates is dramatically increased by introducing a novel substrate carboxylate binding site close to the heme. Mutant L181K shows catalytic efficiency (k(cat)/K(M)) increased &gt; 13-fold with butyrate, while the L75T/L181K double mutant has k(cat)/K(M) increased &gt; 15-fold with hexanoate and binding (K(d)) improved &gt; 28-fold for butyrate. Removing the arginine 47/lysine 51 carboxylate binding motif at the mouth of the active site disfavours binding of all fatty acids, indicating its importance in the initial recognition of substrates. (C) 2000 Federation of European Biochemical Societies.","author":[{"dropping-particle":"","family":"Ost","given":"Tobias W.B.","non-dropping-particle":"","parse-names":false,"suffix":""},{"dropping-particle":"","family":"Miles","given":"Caroline S.","non-dropping-particle":"","parse-names":false,"suffix":""},{"dropping-particle":"","family":"Murdoch","given":"Jane","non-dropping-particle":"","parse-names":false,"suffix":""},{"dropping-particle":"","family":"Cheung","given":"York Fong","non-dropping-particle":"","parse-names":false,"suffix":""},{"dropping-particle":"","family":"Reid","given":"Graeme A.","non-dropping-particle":"","parse-names":false,"suffix":""},{"dropping-particle":"","family":"Chapman","given":"Stephen K.","non-dropping-particle":"","parse-names":false,"suffix":""},{"dropping-particle":"","family":"Munro","given":"Andrew W.","non-dropping-particle":"","parse-names":false,"suffix":""}],"container-title":"FEBS Letters","id":"ITEM-2","issue":"2","issued":{"date-parts":[["2000"]]},"page":"173-177","title":"Rational re-design of the substrate binding site of flavocytochrome P450 BM3","type":"article-journal","volume":"486"},"uris":["http://www.mendeley.com/documents/?uuid=96cc198c-91e1-3687-9921-9304d755547c"]}],"mendeley":{"formattedCitation":"&lt;sup&gt;31,32&lt;/sup&gt;","plainTextFormattedCitation":"31,32","previouslyFormattedCitation":"&lt;sup&gt;31,32&lt;/sup&gt;"},"properties":{"noteIndex":0},"schema":"https://github.com/citation-style-language/schema/raw/master/csl-citation.json"}</w:instrText>
      </w:r>
      <w:r w:rsidRPr="0037333F">
        <w:fldChar w:fldCharType="separate"/>
      </w:r>
      <w:r w:rsidRPr="0037333F">
        <w:rPr>
          <w:noProof/>
          <w:vertAlign w:val="superscript"/>
        </w:rPr>
        <w:t>31,32</w:t>
      </w:r>
      <w:r w:rsidRPr="0037333F">
        <w:fldChar w:fldCharType="end"/>
      </w:r>
    </w:p>
    <w:p w14:paraId="7F897662" w14:textId="77777777" w:rsidR="00A54E6D" w:rsidRDefault="00A54E6D" w:rsidP="00A56E5C">
      <w:pPr>
        <w:pStyle w:val="TAMainText"/>
      </w:pPr>
      <w:r w:rsidRPr="005C6AF5">
        <w:t>CONCLUSIONS</w:t>
      </w:r>
    </w:p>
    <w:p w14:paraId="578F81D0" w14:textId="4EE9BD6E" w:rsidR="00413D3E" w:rsidRDefault="00AE202E" w:rsidP="00A56E5C">
      <w:pPr>
        <w:pStyle w:val="TAMainText"/>
      </w:pPr>
      <w:r>
        <w:t xml:space="preserve">The </w:t>
      </w:r>
      <w:r w:rsidR="00073CDD">
        <w:t xml:space="preserve">fundamentals in </w:t>
      </w:r>
      <w:r w:rsidR="00602A88">
        <w:t>improving</w:t>
      </w:r>
      <w:r>
        <w:t xml:space="preserve"> the </w:t>
      </w:r>
      <w:r w:rsidR="00602A88">
        <w:t xml:space="preserve">activity of the </w:t>
      </w:r>
      <w:r>
        <w:t>CYP153A</w:t>
      </w:r>
      <w:r w:rsidRPr="003D0EFF">
        <w:rPr>
          <w:i/>
          <w:iCs/>
          <w:vertAlign w:val="subscript"/>
        </w:rPr>
        <w:t>M.aq</w:t>
      </w:r>
      <w:r>
        <w:rPr>
          <w:iCs/>
        </w:rPr>
        <w:t xml:space="preserve"> variant M.aqRLT</w:t>
      </w:r>
      <w:r>
        <w:t xml:space="preserve"> towards octanoic acid ha</w:t>
      </w:r>
      <w:r w:rsidR="00602A88">
        <w:t>ve</w:t>
      </w:r>
      <w:r>
        <w:t xml:space="preserve"> been elucidated</w:t>
      </w:r>
      <w:r w:rsidR="00EF0436">
        <w:t>,</w:t>
      </w:r>
      <w:r>
        <w:t xml:space="preserve"> and</w:t>
      </w:r>
      <w:r w:rsidR="00602A88">
        <w:t xml:space="preserve"> it could be</w:t>
      </w:r>
      <w:r>
        <w:t xml:space="preserve"> shown that slight modifications in the molecular tunnels </w:t>
      </w:r>
      <w:r w:rsidR="00602A88">
        <w:t>can</w:t>
      </w:r>
      <w:r>
        <w:t xml:space="preserve"> lead to altered activities.</w:t>
      </w:r>
      <w:r w:rsidR="00073CDD">
        <w:t xml:space="preserve"> We </w:t>
      </w:r>
      <w:r w:rsidR="001F30B6">
        <w:t xml:space="preserve">have </w:t>
      </w:r>
      <w:r w:rsidR="00602A88">
        <w:t>show</w:t>
      </w:r>
      <w:r w:rsidR="001F30B6">
        <w:t>n</w:t>
      </w:r>
      <w:r w:rsidR="00073CDD">
        <w:t xml:space="preserve"> that</w:t>
      </w:r>
      <w:r w:rsidR="00602A88">
        <w:t xml:space="preserve"> the</w:t>
      </w:r>
      <w:r w:rsidR="00073CDD">
        <w:t xml:space="preserve"> flexibility of </w:t>
      </w:r>
      <w:r w:rsidR="00602A88">
        <w:t xml:space="preserve">the </w:t>
      </w:r>
      <w:r w:rsidR="00073CDD">
        <w:t xml:space="preserve">main loops and the corresponding tunnels </w:t>
      </w:r>
      <w:r w:rsidR="00602A88">
        <w:t>is of high importance and that these elements can be used as</w:t>
      </w:r>
      <w:r w:rsidR="00073CDD">
        <w:t xml:space="preserve"> possible target</w:t>
      </w:r>
      <w:r w:rsidR="00602A88">
        <w:t>s</w:t>
      </w:r>
      <w:r w:rsidR="00073CDD">
        <w:t xml:space="preserve"> for engineering enzyme activity.</w:t>
      </w:r>
    </w:p>
    <w:p w14:paraId="3773FE47" w14:textId="2A02ECBB" w:rsidR="00073CDD" w:rsidRDefault="00073CDD" w:rsidP="00A56E5C">
      <w:pPr>
        <w:pStyle w:val="TAMainText"/>
      </w:pPr>
      <w:r>
        <w:t>A synergy of different factors</w:t>
      </w:r>
      <w:r w:rsidR="00EF0436">
        <w:t>,</w:t>
      </w:r>
      <w:r>
        <w:t xml:space="preserve"> such as substrate anchoring</w:t>
      </w:r>
      <w:r w:rsidR="0018057C">
        <w:t xml:space="preserve"> </w:t>
      </w:r>
      <w:r w:rsidR="001F30B6">
        <w:t>in the active site</w:t>
      </w:r>
      <w:r>
        <w:t xml:space="preserve">, reshaping of the active site by </w:t>
      </w:r>
      <w:r w:rsidR="003E4742">
        <w:t xml:space="preserve">changing tunnel geometry </w:t>
      </w:r>
      <w:r w:rsidR="00602A88">
        <w:t xml:space="preserve">and </w:t>
      </w:r>
      <w:r w:rsidR="003E4742">
        <w:t>reduc</w:t>
      </w:r>
      <w:r w:rsidR="00602A88">
        <w:t>tion of</w:t>
      </w:r>
      <w:r w:rsidR="003E4742">
        <w:t xml:space="preserve"> the</w:t>
      </w:r>
      <w:r w:rsidR="00602A88">
        <w:t xml:space="preserve"> enzyme’s</w:t>
      </w:r>
      <w:r w:rsidR="003E4742">
        <w:t xml:space="preserve"> flexibility </w:t>
      </w:r>
      <w:r w:rsidR="00F828AC">
        <w:t>have been assessed</w:t>
      </w:r>
      <w:bookmarkStart w:id="0" w:name="_GoBack"/>
      <w:bookmarkEnd w:id="0"/>
      <w:r w:rsidR="00602A88">
        <w:t xml:space="preserve"> </w:t>
      </w:r>
      <w:r w:rsidR="000822FB">
        <w:t xml:space="preserve">and </w:t>
      </w:r>
      <w:r w:rsidR="000F1A08">
        <w:t>can</w:t>
      </w:r>
      <w:r w:rsidR="000822FB">
        <w:t xml:space="preserve"> explain</w:t>
      </w:r>
      <w:r w:rsidR="003E4742">
        <w:t xml:space="preserve"> the </w:t>
      </w:r>
      <w:r w:rsidR="00602A88">
        <w:t>strongly</w:t>
      </w:r>
      <w:r w:rsidR="003E4742">
        <w:t xml:space="preserve"> improved </w:t>
      </w:r>
      <w:r w:rsidR="001F30B6">
        <w:t xml:space="preserve">catalytic efficiency </w:t>
      </w:r>
      <w:r w:rsidR="003E4742">
        <w:t>of the designed variant</w:t>
      </w:r>
      <w:r w:rsidR="009A49D0">
        <w:t>.</w:t>
      </w:r>
      <w:r w:rsidR="0018057C">
        <w:t xml:space="preserve"> </w:t>
      </w:r>
      <w:r w:rsidR="00F91FF2">
        <w:t xml:space="preserve">A </w:t>
      </w:r>
      <w:r w:rsidR="003E4742">
        <w:t xml:space="preserve">deeper and </w:t>
      </w:r>
      <w:r w:rsidR="0077275B">
        <w:t xml:space="preserve">tighter </w:t>
      </w:r>
      <w:r w:rsidR="003E4742">
        <w:t xml:space="preserve">positioning </w:t>
      </w:r>
      <w:r w:rsidR="00E8359B">
        <w:t xml:space="preserve">of </w:t>
      </w:r>
      <w:r w:rsidR="003E4742">
        <w:t>the substrate in</w:t>
      </w:r>
      <w:r w:rsidR="001F30B6">
        <w:t>side</w:t>
      </w:r>
      <w:r w:rsidR="003E4742">
        <w:t xml:space="preserve"> the active site</w:t>
      </w:r>
      <w:r w:rsidR="00F91FF2">
        <w:t xml:space="preserve"> was demonstrated by </w:t>
      </w:r>
      <w:r w:rsidR="00000620">
        <w:t xml:space="preserve">the </w:t>
      </w:r>
      <w:r w:rsidR="00F91FF2">
        <w:t>MD simulations</w:t>
      </w:r>
      <w:r w:rsidR="008421B7">
        <w:t>,</w:t>
      </w:r>
      <w:r w:rsidR="009A49D0" w:rsidRPr="009A49D0">
        <w:t xml:space="preserve"> </w:t>
      </w:r>
      <w:r w:rsidR="008421B7">
        <w:t xml:space="preserve">as </w:t>
      </w:r>
      <w:r w:rsidR="009A49D0">
        <w:t xml:space="preserve">was </w:t>
      </w:r>
      <w:r w:rsidR="000E5ECD">
        <w:t xml:space="preserve">earlier </w:t>
      </w:r>
      <w:r w:rsidR="009A49D0">
        <w:t>shown</w:t>
      </w:r>
      <w:r w:rsidR="000E5ECD">
        <w:t xml:space="preserve"> </w:t>
      </w:r>
      <w:r w:rsidR="009A49D0">
        <w:t>for Kemp eliminases.</w:t>
      </w:r>
      <w:r w:rsidR="009A49D0">
        <w:fldChar w:fldCharType="begin" w:fldLock="1"/>
      </w:r>
      <w:r w:rsidR="003B7284">
        <w:instrText>ADDIN CSL_CITATION {"citationItems":[{"id":"ITEM-1","itemData":{"DOI":"10.1016/j.jmb.2011.01.041","ISSN":"00222836","PMID":"21277311","abstract":"Although de novo computational enzyme design has been shown to be feasible, the field is still in its infancy: the kinetic parameters of designed enzymes are still orders of magnitude lower than those of naturally occurring ones. Nonetheless, designed enzymes can be improved by directed evolution, as recently exemplified for the designed Kemp eliminase KE07. Random mutagenesis and screening resulted in variants with &gt; 200-fold higher catalytic efficiency and provided insights about features missing in the designed enzyme. Here we describe the optimization of KE70, another designed Kemp eliminase. Amino acid substitutions predicted to improve catalysis in design calculations involving extensive backbone sampling were individually tested. Those proven beneficial were combinatorially incorporated into the originally designed KE70 along with random mutations, and the resulting libraries were screened for improved eliminase activity. Nine rounds of mutation and selection resulted in &gt; 400-fold improvement in the catalytic efficiency of the original KE70 design, reflected in both higher kcat values and lower Km values, with the best variants exhibiting kcat/Km values of &gt; 5 × 104 s-1 M- 1. The optimized KE70 variants were characterized structurally and biochemically, providing insights into the origins of the improvements in catalysis. Three primary contributions were identified: first, the reshaping of the active-site cavity to achieve tighter substrate binding; second, the fine-tuning of electrostatics around the catalytic His-Asp dyad; and, third, the stabilization of the active-site dyad in a conformation optimal for catalysis. © 2011 Elsevier Ltd. All rights reserved.","author":[{"dropping-particle":"","family":"Khersonsky","given":"Olga","non-dropping-particle":"","parse-names":false,"suffix":""},{"dropping-particle":"","family":"Röthlisberger","given":"Daniela","non-dropping-particle":"","parse-names":false,"suffix":""},{"dropping-particle":"","family":"Wollacott","given":"Andrew M.","non-dropping-particle":"","parse-names":false,"suffix":""},{"dropping-particle":"","family":"Murphy","given":"Paul","non-dropping-particle":"","parse-names":false,"suffix":""},{"dropping-particle":"","family":"Dym","given":"Orly","non-dropping-particle":"","parse-names":false,"suffix":""},{"dropping-particle":"","family":"Albeck","given":"Shira","non-dropping-particle":"","parse-names":false,"suffix":""},{"dropping-particle":"","family":"Kiss","given":"Gert","non-dropping-particle":"","parse-names":false,"suffix":""},{"dropping-particle":"","family":"Houk","given":"K. N.","non-dropping-particle":"","parse-names":false,"suffix":""},{"dropping-particle":"","family":"Baker","given":"David","non-dropping-particle":"","parse-names":false,"suffix":""},{"dropping-particle":"","family":"Tawfik","given":"Dan S.","non-dropping-particle":"","parse-names":false,"suffix":""}],"container-title":"Journal of Molecular Biology","id":"ITEM-1","issue":"3","issued":{"date-parts":[["2011"]]},"page":"391-412","title":"Optimization of the in-silico-designed Kemp eliminase KE70 by computational design and directed evolution","type":"article-journal","volume":"407"},"uris":["http://www.mendeley.com/documents/?uuid=b887450c-94c4-38a1-947a-ebb8b7608066"]}],"mendeley":{"formattedCitation":"&lt;sup&gt;27&lt;/sup&gt;","plainTextFormattedCitation":"27","previouslyFormattedCitation":"&lt;sup&gt;27&lt;/sup&gt;"},"properties":{"noteIndex":0},"schema":"https://github.com/citation-style-language/schema/raw/master/csl-citation.json"}</w:instrText>
      </w:r>
      <w:r w:rsidR="009A49D0">
        <w:fldChar w:fldCharType="separate"/>
      </w:r>
      <w:r w:rsidR="00397741" w:rsidRPr="00397741">
        <w:rPr>
          <w:noProof/>
          <w:vertAlign w:val="superscript"/>
        </w:rPr>
        <w:t>27</w:t>
      </w:r>
      <w:r w:rsidR="009A49D0">
        <w:fldChar w:fldCharType="end"/>
      </w:r>
      <w:r w:rsidR="003E4742">
        <w:t xml:space="preserve"> </w:t>
      </w:r>
      <w:r w:rsidR="001F30B6">
        <w:t>T</w:t>
      </w:r>
      <w:r w:rsidR="003E4742">
        <w:t>he mutation Q129R</w:t>
      </w:r>
      <w:r w:rsidR="001F30B6">
        <w:t xml:space="preserve"> </w:t>
      </w:r>
      <w:r w:rsidR="00C91688">
        <w:t>places</w:t>
      </w:r>
      <w:r w:rsidR="003E4742">
        <w:t xml:space="preserve"> the octanoic acid in the correct orientation until the hydroxylation reaction is completed.</w:t>
      </w:r>
      <w:r w:rsidR="000E5ECD">
        <w:t xml:space="preserve"> </w:t>
      </w:r>
      <w:r w:rsidR="00AA3422">
        <w:t>It is known that t</w:t>
      </w:r>
      <w:r w:rsidR="000E5ECD">
        <w:t xml:space="preserve">he catalytic efficacy of enzymes depends on </w:t>
      </w:r>
      <w:r w:rsidR="004819C1">
        <w:t xml:space="preserve">the </w:t>
      </w:r>
      <w:r w:rsidR="000E5ECD">
        <w:t>exact positioning and the</w:t>
      </w:r>
      <w:r w:rsidR="003E4742">
        <w:t xml:space="preserve"> </w:t>
      </w:r>
      <w:r w:rsidR="000E5ECD">
        <w:t>suitable electrostatic environment in the active pocket.</w:t>
      </w:r>
      <w:r w:rsidR="000E5ECD">
        <w:fldChar w:fldCharType="begin" w:fldLock="1"/>
      </w:r>
      <w:r w:rsidR="00FD58D8">
        <w:instrText>ADDIN CSL_CITATION {"citationItems":[{"id":"ITEM-1","itemData":{"DOI":"10.1074/jbc.273.42.27035","ISSN":"00219258","PMID":"9765214","author":[{"dropping-particle":"","family":"Warshel","given":"Arieh","non-dropping-particle":"","parse-names":false,"suffix":""}],"container-title":"Journal of Biological Chemistry","id":"ITEM-1","issue":"42","issued":{"date-parts":[["1998"]]},"page":"27035-27038","title":"Electrostatic origin of the catalytic power of enzymes and the role of preorganized active sites","type":"article","volume":"273"},"uris":["http://www.mendeley.com/documents/?uuid=12854096-575f-3d8d-b3aa-19084373aa53"]}],"mendeley":{"formattedCitation":"&lt;sup&gt;33&lt;/sup&gt;","plainTextFormattedCitation":"33","previouslyFormattedCitation":"&lt;sup&gt;33&lt;/sup&gt;"},"properties":{"noteIndex":0},"schema":"https://github.com/citation-style-language/schema/raw/master/csl-citation.json"}</w:instrText>
      </w:r>
      <w:r w:rsidR="000E5ECD">
        <w:fldChar w:fldCharType="separate"/>
      </w:r>
      <w:r w:rsidR="00E14785" w:rsidRPr="00E14785">
        <w:rPr>
          <w:noProof/>
          <w:vertAlign w:val="superscript"/>
        </w:rPr>
        <w:t>33</w:t>
      </w:r>
      <w:r w:rsidR="000E5ECD">
        <w:fldChar w:fldCharType="end"/>
      </w:r>
      <w:r w:rsidR="000E5ECD">
        <w:t xml:space="preserve"> </w:t>
      </w:r>
      <w:r w:rsidR="003E4742">
        <w:t xml:space="preserve">The other </w:t>
      </w:r>
      <w:r w:rsidR="00F91FF2">
        <w:t>evidence</w:t>
      </w:r>
      <w:r w:rsidR="00AA3422">
        <w:t>s presented in this study</w:t>
      </w:r>
      <w:r w:rsidR="003E4742">
        <w:t xml:space="preserve"> </w:t>
      </w:r>
      <w:r w:rsidR="00F91FF2">
        <w:t>suggests</w:t>
      </w:r>
      <w:r w:rsidR="003E4742">
        <w:t xml:space="preserve"> </w:t>
      </w:r>
      <w:r w:rsidR="001218D7">
        <w:t>that the flexibility of two loops</w:t>
      </w:r>
      <w:r w:rsidR="003E4742">
        <w:t xml:space="preserve"> forming the possible substrate access and egress tunnels are </w:t>
      </w:r>
      <w:r w:rsidR="0024359D">
        <w:t>substantially reduced compared to the wild type</w:t>
      </w:r>
      <w:r w:rsidR="001218D7">
        <w:t>. Therefore</w:t>
      </w:r>
      <w:r w:rsidR="00F91FF2">
        <w:t>,</w:t>
      </w:r>
      <w:r w:rsidR="001218D7">
        <w:t xml:space="preserve"> the substrate </w:t>
      </w:r>
      <w:r w:rsidR="00AA3422">
        <w:t xml:space="preserve">is better stabilized </w:t>
      </w:r>
      <w:r w:rsidR="001218D7">
        <w:t xml:space="preserve">in the </w:t>
      </w:r>
      <w:proofErr w:type="spellStart"/>
      <w:r w:rsidR="00AA3422">
        <w:t>Michaelis</w:t>
      </w:r>
      <w:proofErr w:type="spellEnd"/>
      <w:r w:rsidR="00AA3422">
        <w:t xml:space="preserve"> complex </w:t>
      </w:r>
      <w:r w:rsidR="001218D7">
        <w:t>and</w:t>
      </w:r>
      <w:r w:rsidR="00F91FF2">
        <w:t xml:space="preserve"> the terminal carbon</w:t>
      </w:r>
      <w:r w:rsidR="001218D7">
        <w:t xml:space="preserve"> interacts more </w:t>
      </w:r>
      <w:r w:rsidR="00AA3422">
        <w:t xml:space="preserve">frequently </w:t>
      </w:r>
      <w:r w:rsidR="001218D7">
        <w:t>with the catalytically active heme.</w:t>
      </w:r>
    </w:p>
    <w:p w14:paraId="3AE60837" w14:textId="7C1F0656" w:rsidR="00EE67B1" w:rsidRDefault="001218D7" w:rsidP="005F3267">
      <w:pPr>
        <w:pStyle w:val="TAMainText"/>
      </w:pPr>
      <w:r>
        <w:t>With deeper insights into the dynamic</w:t>
      </w:r>
      <w:r w:rsidR="00FD66C8">
        <w:t xml:space="preserve"> properties</w:t>
      </w:r>
      <w:r>
        <w:t xml:space="preserve"> of an enzyme, we </w:t>
      </w:r>
      <w:r w:rsidR="00C7587A">
        <w:t>might</w:t>
      </w:r>
      <w:r>
        <w:t xml:space="preserve"> be able to </w:t>
      </w:r>
      <w:r w:rsidR="00FD66C8">
        <w:t xml:space="preserve">identify and </w:t>
      </w:r>
      <w:r>
        <w:t xml:space="preserve">target activity hotspots more </w:t>
      </w:r>
      <w:r w:rsidR="00C7587A">
        <w:t>specifically and predictably</w:t>
      </w:r>
      <w:r>
        <w:t xml:space="preserve"> in the future. </w:t>
      </w:r>
      <w:r w:rsidR="00C7587A">
        <w:t xml:space="preserve">We could </w:t>
      </w:r>
      <w:r w:rsidR="001B5E15">
        <w:t>aim for</w:t>
      </w:r>
      <w:r>
        <w:t xml:space="preserve"> </w:t>
      </w:r>
      <w:r w:rsidR="00AA3422">
        <w:t xml:space="preserve">higher </w:t>
      </w:r>
      <w:r>
        <w:t>activity</w:t>
      </w:r>
      <w:r w:rsidR="00AA3422">
        <w:t xml:space="preserve"> or broader</w:t>
      </w:r>
      <w:r>
        <w:t xml:space="preserve"> substrate specificity</w:t>
      </w:r>
      <w:r w:rsidR="00AA3422">
        <w:t>,</w:t>
      </w:r>
      <w:r>
        <w:t xml:space="preserve"> even </w:t>
      </w:r>
      <w:r w:rsidR="00AA3422">
        <w:t xml:space="preserve">including </w:t>
      </w:r>
      <w:r>
        <w:t xml:space="preserve">new molecules </w:t>
      </w:r>
      <w:r w:rsidR="00C7587A">
        <w:t>that</w:t>
      </w:r>
      <w:r>
        <w:t xml:space="preserve"> were not</w:t>
      </w:r>
      <w:r w:rsidR="001B5E15">
        <w:t xml:space="preserve"> previously accepted as</w:t>
      </w:r>
      <w:r>
        <w:t xml:space="preserve"> substrates.</w:t>
      </w:r>
    </w:p>
    <w:p w14:paraId="4D430D53" w14:textId="77777777" w:rsidR="005F3267" w:rsidRDefault="005F3267" w:rsidP="005F3267">
      <w:pPr>
        <w:pStyle w:val="TAMainText"/>
      </w:pPr>
    </w:p>
    <w:p w14:paraId="25D608BD" w14:textId="77777777" w:rsidR="00A71C00" w:rsidRDefault="00157E12" w:rsidP="00157E12">
      <w:pPr>
        <w:pStyle w:val="TESupportingInfoTitle"/>
      </w:pPr>
      <w:r>
        <w:t>ASSOCIATED CONTENT</w:t>
      </w:r>
      <w:r w:rsidR="00A66EDD" w:rsidRPr="00BE533F">
        <w:t xml:space="preserve"> </w:t>
      </w:r>
    </w:p>
    <w:p w14:paraId="7DC692D4" w14:textId="1D0EFC2E" w:rsidR="007331FF" w:rsidRDefault="007331FF" w:rsidP="00835CBD">
      <w:pPr>
        <w:pStyle w:val="AuthorInformationTitle"/>
      </w:pPr>
      <w:r>
        <w:t>A</w:t>
      </w:r>
      <w:r w:rsidR="00835CBD">
        <w:t>UTHOR</w:t>
      </w:r>
      <w:r w:rsidR="00C1585B">
        <w:t>S</w:t>
      </w:r>
      <w:r w:rsidR="00835CBD">
        <w:t xml:space="preserve"> INFORMATION</w:t>
      </w:r>
    </w:p>
    <w:p w14:paraId="45FBC40E" w14:textId="77777777" w:rsidR="00E75388" w:rsidRDefault="00101D1F" w:rsidP="005D2065">
      <w:pPr>
        <w:pStyle w:val="FAAuthorInfoSubtitle"/>
      </w:pPr>
      <w:r>
        <w:t>Corresponding Author</w:t>
      </w:r>
    </w:p>
    <w:p w14:paraId="669D1C6F" w14:textId="77777777" w:rsidR="00413D3E" w:rsidRDefault="005327A4" w:rsidP="00317FC5">
      <w:pPr>
        <w:rPr>
          <w:rFonts w:ascii="Times New Roman" w:hAnsi="Times New Roman"/>
          <w:sz w:val="20"/>
        </w:rPr>
      </w:pPr>
      <w:r w:rsidRPr="003E5207">
        <w:t xml:space="preserve">* </w:t>
      </w:r>
      <w:r w:rsidR="00BA01D2" w:rsidRPr="00BB2907">
        <w:rPr>
          <w:rFonts w:ascii="Times New Roman" w:hAnsi="Times New Roman"/>
          <w:sz w:val="20"/>
        </w:rPr>
        <w:t xml:space="preserve">Institute of Biochemistry and Technical Biochemistry, Department of Technical Biochemistry, University of Stuttgart, </w:t>
      </w:r>
      <w:proofErr w:type="spellStart"/>
      <w:r w:rsidR="00BA01D2" w:rsidRPr="00BB2907">
        <w:rPr>
          <w:rFonts w:ascii="Times New Roman" w:hAnsi="Times New Roman"/>
          <w:sz w:val="20"/>
        </w:rPr>
        <w:t>Allmandring</w:t>
      </w:r>
      <w:proofErr w:type="spellEnd"/>
      <w:r w:rsidR="00BA01D2" w:rsidRPr="00BB2907">
        <w:rPr>
          <w:rFonts w:ascii="Times New Roman" w:hAnsi="Times New Roman"/>
          <w:sz w:val="20"/>
        </w:rPr>
        <w:t xml:space="preserve"> 31, 70569 Stuttgart (Germany)</w:t>
      </w:r>
    </w:p>
    <w:p w14:paraId="3458B5E0" w14:textId="77777777" w:rsidR="00413D3E" w:rsidRPr="00317FC5" w:rsidRDefault="00BA01D2" w:rsidP="00317FC5">
      <w:pPr>
        <w:rPr>
          <w:rFonts w:ascii="Times New Roman" w:hAnsi="Times New Roman"/>
          <w:sz w:val="20"/>
        </w:rPr>
      </w:pPr>
      <w:r w:rsidRPr="00BB2907">
        <w:rPr>
          <w:rFonts w:ascii="Times New Roman" w:hAnsi="Times New Roman"/>
          <w:sz w:val="20"/>
        </w:rPr>
        <w:t>E-mail address: bernhard.hauer@itb.uni-stuttgart.de</w:t>
      </w:r>
    </w:p>
    <w:p w14:paraId="178979EF" w14:textId="77777777" w:rsidR="00B71491" w:rsidRDefault="003E5207" w:rsidP="00B71491">
      <w:pPr>
        <w:pStyle w:val="FAAuthorInfoSubtitle"/>
      </w:pPr>
      <w:r>
        <w:t>Present</w:t>
      </w:r>
      <w:r w:rsidR="00B71491">
        <w:t xml:space="preserve"> </w:t>
      </w:r>
      <w:r>
        <w:t>Address</w:t>
      </w:r>
      <w:r w:rsidR="00B71491">
        <w:t>es</w:t>
      </w:r>
    </w:p>
    <w:p w14:paraId="101787EA" w14:textId="28A752F1" w:rsidR="003E5207" w:rsidRPr="00B71491" w:rsidRDefault="003E5207" w:rsidP="005F3267">
      <w:pPr>
        <w:pStyle w:val="StyleFACorrespondingAuthorFootnote7pt"/>
      </w:pPr>
      <w:r w:rsidRPr="008D4C9D">
        <w:t>†</w:t>
      </w:r>
      <w:r w:rsidR="00610167">
        <w:t xml:space="preserve">Erna </w:t>
      </w:r>
      <w:proofErr w:type="spellStart"/>
      <w:r w:rsidR="00610167">
        <w:t>Zukic</w:t>
      </w:r>
      <w:proofErr w:type="spellEnd"/>
      <w:r w:rsidR="008D4C9D">
        <w:t xml:space="preserve"> is now present at the Institute of Chemistry, University of Graz, </w:t>
      </w:r>
      <w:proofErr w:type="spellStart"/>
      <w:r w:rsidR="008D4C9D">
        <w:t>Heinrichstraße</w:t>
      </w:r>
      <w:proofErr w:type="spellEnd"/>
      <w:r w:rsidR="008D4C9D">
        <w:t xml:space="preserve"> 28/II, 8010 Graz (Austria)</w:t>
      </w:r>
    </w:p>
    <w:p w14:paraId="2C5113E2" w14:textId="77777777" w:rsidR="005F3267" w:rsidRPr="005F3267" w:rsidRDefault="005F3267" w:rsidP="005D2065">
      <w:pPr>
        <w:pStyle w:val="FAAuthorInfoSubtitle"/>
        <w:rPr>
          <w:sz w:val="18"/>
          <w:szCs w:val="18"/>
        </w:rPr>
      </w:pPr>
    </w:p>
    <w:p w14:paraId="71C5D76C" w14:textId="64C673B0" w:rsidR="005327A4" w:rsidRDefault="008D567C" w:rsidP="005D2065">
      <w:pPr>
        <w:pStyle w:val="FAAuthorInfoSubtitle"/>
      </w:pPr>
      <w:r>
        <w:t>Author Contributions</w:t>
      </w:r>
    </w:p>
    <w:p w14:paraId="16FED9A5" w14:textId="72BBE558" w:rsidR="005327A4" w:rsidRDefault="00A822D2" w:rsidP="005F3267">
      <w:pPr>
        <w:pStyle w:val="StyleFACorrespondingAuthorFootnote7pt"/>
      </w:pPr>
      <w:r w:rsidRPr="00A822D2">
        <w:t>LRR</w:t>
      </w:r>
      <w:r>
        <w:t xml:space="preserve"> designed and performed the experiments</w:t>
      </w:r>
      <w:r w:rsidR="00024BE2">
        <w:t xml:space="preserve">, the molecular modeling calculation and analysis and wrote the manuscript. SMM, JD and LRR designed the molecular modeling studies, SMM supervised the execution and interpretation of the computational results. </w:t>
      </w:r>
      <w:r w:rsidR="00024BE2" w:rsidRPr="00371FBB">
        <w:t>EZ, BR and MS crystallized the protein and determined the crystal structure</w:t>
      </w:r>
      <w:r w:rsidR="00AC6136" w:rsidRPr="00371FBB">
        <w:t xml:space="preserve"> with GG</w:t>
      </w:r>
      <w:r w:rsidR="00024BE2" w:rsidRPr="00371FBB">
        <w:t>.</w:t>
      </w:r>
      <w:r w:rsidR="00C1585B">
        <w:t xml:space="preserve"> </w:t>
      </w:r>
      <w:r w:rsidR="008D567C" w:rsidRPr="00024BE2">
        <w:t>All authors have given approval to the final version of the manuscript.</w:t>
      </w:r>
    </w:p>
    <w:p w14:paraId="59A12F79" w14:textId="77777777" w:rsidR="005F3267" w:rsidRPr="005F3267" w:rsidRDefault="005F3267" w:rsidP="005F3267">
      <w:pPr>
        <w:pStyle w:val="StyleFACorrespondingAuthorFootnote7pt"/>
        <w:rPr>
          <w:rStyle w:val="FAAuthorInfoSubtitleChar"/>
          <w:sz w:val="18"/>
          <w:szCs w:val="18"/>
        </w:rPr>
      </w:pPr>
    </w:p>
    <w:p w14:paraId="0A1895D3" w14:textId="09A35283" w:rsidR="00967913" w:rsidRDefault="008D567C" w:rsidP="005F3267">
      <w:pPr>
        <w:pStyle w:val="StyleFACorrespondingAuthorFootnote7pt"/>
        <w:rPr>
          <w:b/>
        </w:rPr>
      </w:pPr>
      <w:r w:rsidRPr="001531CA">
        <w:rPr>
          <w:rStyle w:val="FAAuthorInfoSubtitleChar"/>
        </w:rPr>
        <w:t>Notes</w:t>
      </w:r>
      <w:r w:rsidRPr="007E59B6">
        <w:rPr>
          <w:rStyle w:val="FAAuthorInfoSubtitleChar"/>
          <w:highlight w:val="yellow"/>
        </w:rPr>
        <w:br/>
      </w:r>
      <w:r w:rsidR="001531CA">
        <w:t>The authors declare no competing financial interest.</w:t>
      </w:r>
      <w:r w:rsidR="00967913" w:rsidRPr="00967913">
        <w:rPr>
          <w:b/>
        </w:rPr>
        <w:t xml:space="preserve"> </w:t>
      </w:r>
    </w:p>
    <w:p w14:paraId="4BE4F353" w14:textId="77777777" w:rsidR="00967913" w:rsidRDefault="00967913" w:rsidP="00967913">
      <w:pPr>
        <w:pStyle w:val="TESupportingInformation"/>
        <w:rPr>
          <w:b/>
        </w:rPr>
      </w:pPr>
    </w:p>
    <w:p w14:paraId="352EE698" w14:textId="6C386E1B" w:rsidR="00967913" w:rsidRDefault="00967913" w:rsidP="00967913">
      <w:pPr>
        <w:pStyle w:val="TESupportingInformation"/>
      </w:pPr>
      <w:r w:rsidRPr="00157E12">
        <w:rPr>
          <w:b/>
        </w:rPr>
        <w:t>Supporting Information</w:t>
      </w:r>
      <w:r>
        <w:t>. I</w:t>
      </w:r>
      <w:r w:rsidRPr="006E77F7">
        <w:t>nformation on crystallographic data collection</w:t>
      </w:r>
      <w:r>
        <w:t>, detailed experimental and computational procedures and further supplementary Figures and data.</w:t>
      </w:r>
    </w:p>
    <w:p w14:paraId="6351149B" w14:textId="77777777" w:rsidR="00967913" w:rsidRDefault="00967913" w:rsidP="00967913">
      <w:pPr>
        <w:pStyle w:val="TESupportingInformation"/>
      </w:pPr>
      <w:r>
        <w:t xml:space="preserve">This material is available free of charge via the Internet at </w:t>
      </w:r>
      <w:r w:rsidRPr="003E5207">
        <w:t>http://pubs.acs.org</w:t>
      </w:r>
      <w:r>
        <w:t>.</w:t>
      </w:r>
    </w:p>
    <w:p w14:paraId="727BCEE2" w14:textId="389071C6" w:rsidR="008D567C" w:rsidRDefault="008D567C" w:rsidP="005F3267">
      <w:pPr>
        <w:pStyle w:val="StyleFACorrespondingAuthorFootnote7pt"/>
      </w:pPr>
    </w:p>
    <w:p w14:paraId="12BC9BBB" w14:textId="5A1C732B" w:rsidR="007331FF" w:rsidRDefault="007331FF" w:rsidP="007331FF">
      <w:pPr>
        <w:pStyle w:val="TDAckTitle"/>
      </w:pPr>
      <w:r w:rsidRPr="00A71C00">
        <w:t>ACKNOWLEDGMENT</w:t>
      </w:r>
      <w:r w:rsidR="00C1585B">
        <w:t>S</w:t>
      </w:r>
      <w:r w:rsidRPr="00BE533F">
        <w:t xml:space="preserve"> </w:t>
      </w:r>
    </w:p>
    <w:p w14:paraId="1F18E7DA" w14:textId="71C50587" w:rsidR="007331FF" w:rsidRPr="00024BE2" w:rsidRDefault="00B26563" w:rsidP="007331FF">
      <w:pPr>
        <w:pStyle w:val="TDAcknowledgments"/>
        <w:rPr>
          <w:highlight w:val="yellow"/>
        </w:rPr>
      </w:pPr>
      <w:r>
        <w:t xml:space="preserve">We </w:t>
      </w:r>
      <w:r w:rsidRPr="00B26563">
        <w:t>greatly appreciate the</w:t>
      </w:r>
      <w:r w:rsidR="00AB683B" w:rsidRPr="00B26563">
        <w:t xml:space="preserve"> EMBO S</w:t>
      </w:r>
      <w:r w:rsidRPr="00B26563">
        <w:t xml:space="preserve">hort-Term Fellowship which was granted to LRR to carry out the research in </w:t>
      </w:r>
      <w:proofErr w:type="spellStart"/>
      <w:r w:rsidRPr="00B26563">
        <w:t>Loschmidt</w:t>
      </w:r>
      <w:proofErr w:type="spellEnd"/>
      <w:r w:rsidRPr="00B26563">
        <w:t xml:space="preserve"> Laboratories. We thank Joelle Pelletier and her team for the preliminary work on M.aq tunnel insights </w:t>
      </w:r>
      <w:r>
        <w:t xml:space="preserve">and </w:t>
      </w:r>
      <w:r w:rsidR="004179FB" w:rsidRPr="005010B2">
        <w:t>Dr</w:t>
      </w:r>
      <w:r>
        <w:t>.</w:t>
      </w:r>
      <w:r w:rsidR="004179FB" w:rsidRPr="005010B2">
        <w:t xml:space="preserve"> Johan P. </w:t>
      </w:r>
      <w:proofErr w:type="spellStart"/>
      <w:r w:rsidR="004179FB" w:rsidRPr="005010B2">
        <w:t>Turkenburg</w:t>
      </w:r>
      <w:proofErr w:type="spellEnd"/>
      <w:r w:rsidR="004179FB" w:rsidRPr="005010B2">
        <w:t xml:space="preserve"> and </w:t>
      </w:r>
      <w:r w:rsidR="003D786F" w:rsidRPr="005010B2">
        <w:t>Mr.</w:t>
      </w:r>
      <w:r w:rsidR="004179FB" w:rsidRPr="005010B2">
        <w:t xml:space="preserve"> Sam Hart for assistance with X-ray data collection and the Diamond Light Source for access to beamlines I03 and I04-1 under proposal number mx-9948.</w:t>
      </w:r>
      <w:r w:rsidR="001531CA">
        <w:t xml:space="preserve"> </w:t>
      </w:r>
      <w:r w:rsidR="001531CA" w:rsidRPr="004179FB">
        <w:rPr>
          <w:color w:val="000000" w:themeColor="text1"/>
        </w:rPr>
        <w:t xml:space="preserve">MS was funded by grant no. </w:t>
      </w:r>
      <w:r w:rsidR="001531CA" w:rsidRPr="005010B2">
        <w:rPr>
          <w:color w:val="111111"/>
          <w:shd w:val="clear" w:color="auto" w:fill="FFFFFF"/>
        </w:rPr>
        <w:t>BB/M006832/1 from the British Biotechnology and Biological Sciences Research Council (BBSRC).</w:t>
      </w:r>
      <w:r w:rsidR="00CC692D">
        <w:rPr>
          <w:color w:val="111111"/>
          <w:shd w:val="clear" w:color="auto" w:fill="FFFFFF"/>
        </w:rPr>
        <w:t xml:space="preserve"> </w:t>
      </w:r>
      <w:r w:rsidR="00B530B8">
        <w:rPr>
          <w:color w:val="111111"/>
          <w:shd w:val="clear" w:color="auto" w:fill="FFFFFF"/>
        </w:rPr>
        <w:t>JD and SM were funded by</w:t>
      </w:r>
      <w:r w:rsidR="00E17092">
        <w:rPr>
          <w:color w:val="111111"/>
          <w:shd w:val="clear" w:color="auto" w:fill="FFFFFF"/>
        </w:rPr>
        <w:t xml:space="preserve"> the grants </w:t>
      </w:r>
      <w:r w:rsidR="00E17092" w:rsidRPr="0080761F">
        <w:rPr>
          <w:color w:val="111111"/>
          <w:shd w:val="clear" w:color="auto" w:fill="FFFFFF"/>
        </w:rPr>
        <w:t xml:space="preserve">from Czech Ministry of Education </w:t>
      </w:r>
      <w:r w:rsidR="00E17092" w:rsidRPr="00493003">
        <w:rPr>
          <w:color w:val="111111"/>
          <w:shd w:val="clear" w:color="auto" w:fill="FFFFFF"/>
        </w:rPr>
        <w:t>CZ.02.1.01/0.0/0.0/16_026/0008451</w:t>
      </w:r>
      <w:r w:rsidR="00493003">
        <w:rPr>
          <w:color w:val="111111"/>
          <w:shd w:val="clear" w:color="auto" w:fill="FFFFFF"/>
        </w:rPr>
        <w:t xml:space="preserve"> and</w:t>
      </w:r>
      <w:r w:rsidR="00E17092" w:rsidRPr="00493003">
        <w:rPr>
          <w:color w:val="111111"/>
          <w:shd w:val="clear" w:color="auto" w:fill="FFFFFF"/>
        </w:rPr>
        <w:t xml:space="preserve"> CZ.02.1.01/0.0/0.0/17_043/0009632</w:t>
      </w:r>
      <w:r w:rsidR="00E17092">
        <w:rPr>
          <w:color w:val="111111"/>
          <w:shd w:val="clear" w:color="auto" w:fill="FFFFFF"/>
        </w:rPr>
        <w:t xml:space="preserve">. </w:t>
      </w:r>
      <w:r w:rsidR="007E079A" w:rsidRPr="007E079A">
        <w:rPr>
          <w:color w:val="111111"/>
          <w:shd w:val="clear" w:color="auto" w:fill="FFFFFF"/>
        </w:rPr>
        <w:t>The computational resources were supplied by the project “e-</w:t>
      </w:r>
      <w:proofErr w:type="spellStart"/>
      <w:r w:rsidR="007E079A" w:rsidRPr="007E079A">
        <w:rPr>
          <w:color w:val="111111"/>
          <w:shd w:val="clear" w:color="auto" w:fill="FFFFFF"/>
        </w:rPr>
        <w:t>Infrastruktura</w:t>
      </w:r>
      <w:proofErr w:type="spellEnd"/>
      <w:r w:rsidR="007E079A" w:rsidRPr="007E079A">
        <w:rPr>
          <w:color w:val="111111"/>
          <w:shd w:val="clear" w:color="auto" w:fill="FFFFFF"/>
        </w:rPr>
        <w:t xml:space="preserve"> CZ” (e-INFRA LM2018140) provided within the program Projects of Large Research, Development and Innovations Infrastructures.</w:t>
      </w:r>
    </w:p>
    <w:p w14:paraId="19835882" w14:textId="77777777" w:rsidR="00101D1F" w:rsidRDefault="00101D1F" w:rsidP="00101D1F">
      <w:pPr>
        <w:pStyle w:val="TDAckTitle"/>
      </w:pPr>
      <w:r>
        <w:t>ABBREVIATIONS</w:t>
      </w:r>
    </w:p>
    <w:p w14:paraId="5EE7438C" w14:textId="532FDB1B" w:rsidR="00A66EDD" w:rsidRDefault="001F30B6" w:rsidP="00101D1F">
      <w:pPr>
        <w:pStyle w:val="TDAcknowledgments"/>
      </w:pPr>
      <w:r w:rsidRPr="00114390">
        <w:t>MD, molecular dynamics; WT, wild type</w:t>
      </w:r>
      <w:r w:rsidR="00A54831" w:rsidRPr="00114390">
        <w:t xml:space="preserve">; C8-FAOH, </w:t>
      </w:r>
      <w:r w:rsidR="00A54831" w:rsidRPr="00114390">
        <w:rPr>
          <w:rFonts w:ascii="Constantia" w:hAnsi="Constantia"/>
        </w:rPr>
        <w:t>ω</w:t>
      </w:r>
      <w:r w:rsidR="00A54831" w:rsidRPr="00114390">
        <w:t>-</w:t>
      </w:r>
      <w:proofErr w:type="spellStart"/>
      <w:r w:rsidR="00A54831" w:rsidRPr="00114390">
        <w:t>hydroxy</w:t>
      </w:r>
      <w:proofErr w:type="spellEnd"/>
      <w:r w:rsidR="00A54831" w:rsidRPr="00114390">
        <w:t xml:space="preserve"> octanoic acid</w:t>
      </w:r>
      <w:r w:rsidR="00802917">
        <w:t>;</w:t>
      </w:r>
      <w:r w:rsidR="00114390" w:rsidRPr="00114390">
        <w:t xml:space="preserve"> ω-FAOH, ω-</w:t>
      </w:r>
      <w:proofErr w:type="spellStart"/>
      <w:r w:rsidR="00114390" w:rsidRPr="00114390">
        <w:t>hydroxy</w:t>
      </w:r>
      <w:proofErr w:type="spellEnd"/>
      <w:r w:rsidR="00114390" w:rsidRPr="00114390">
        <w:t xml:space="preserve"> fatty acid</w:t>
      </w:r>
      <w:r w:rsidR="00802917">
        <w:t xml:space="preserve">; </w:t>
      </w:r>
      <w:r w:rsidR="00802917" w:rsidRPr="0037333F">
        <w:t>C-H</w:t>
      </w:r>
      <w:r w:rsidR="00AC60D9" w:rsidRPr="0037333F">
        <w:t>,</w:t>
      </w:r>
      <w:r w:rsidR="00802917" w:rsidRPr="0037333F">
        <w:t xml:space="preserve"> hydrocarbon</w:t>
      </w:r>
      <w:r w:rsidR="00916F2B" w:rsidRPr="0037333F">
        <w:t>; TON, Turnover Number</w:t>
      </w:r>
      <w:r w:rsidR="00101D1F" w:rsidRPr="0037333F">
        <w:t>.</w:t>
      </w:r>
    </w:p>
    <w:p w14:paraId="69174745" w14:textId="77777777" w:rsidR="00101D1F" w:rsidRPr="00101D1F" w:rsidRDefault="00101D1F" w:rsidP="00101D1F">
      <w:pPr>
        <w:pStyle w:val="TDAckTitle"/>
      </w:pPr>
      <w:r>
        <w:t>REFERENCES</w:t>
      </w:r>
    </w:p>
    <w:p w14:paraId="21ABD1C6" w14:textId="10B86E25" w:rsidR="00D40920" w:rsidRPr="00D40920" w:rsidRDefault="001948EF" w:rsidP="00D40920">
      <w:pPr>
        <w:widowControl w:val="0"/>
        <w:autoSpaceDE w:val="0"/>
        <w:autoSpaceDN w:val="0"/>
        <w:adjustRightInd w:val="0"/>
        <w:spacing w:after="0"/>
        <w:ind w:left="640" w:hanging="640"/>
        <w:rPr>
          <w:rFonts w:ascii="Arno Pro" w:hAnsi="Arno Pro"/>
          <w:noProof/>
          <w:sz w:val="16"/>
          <w:szCs w:val="24"/>
        </w:rPr>
      </w:pPr>
      <w:r>
        <w:fldChar w:fldCharType="begin" w:fldLock="1"/>
      </w:r>
      <w:r w:rsidRPr="00264BA9">
        <w:instrText xml:space="preserve">ADDIN Mendeley Bibliography CSL_BIBLIOGRAPHY </w:instrText>
      </w:r>
      <w:r>
        <w:fldChar w:fldCharType="separate"/>
      </w:r>
      <w:r w:rsidR="00D40920" w:rsidRPr="00D40920">
        <w:rPr>
          <w:rFonts w:ascii="Arno Pro" w:hAnsi="Arno Pro"/>
          <w:noProof/>
          <w:sz w:val="16"/>
          <w:szCs w:val="24"/>
        </w:rPr>
        <w:t xml:space="preserve">(1) </w:t>
      </w:r>
      <w:r w:rsidR="00D40920" w:rsidRPr="00D40920">
        <w:rPr>
          <w:rFonts w:ascii="Arno Pro" w:hAnsi="Arno Pro"/>
          <w:noProof/>
          <w:sz w:val="16"/>
          <w:szCs w:val="24"/>
        </w:rPr>
        <w:tab/>
        <w:t xml:space="preserve">Henzler-Wildman, K. A.; Thai, V.; Lei, M.; Ott, M.; Wolf-Watz, M.; Fenn, T.; Pozharski, E.; Wilson, M. A.; Petsko, G. A.; Karplus, M.; </w:t>
      </w:r>
      <w:r w:rsidR="00D40920">
        <w:rPr>
          <w:rFonts w:ascii="Arno Pro" w:hAnsi="Arno Pro"/>
          <w:noProof/>
          <w:sz w:val="16"/>
          <w:szCs w:val="24"/>
        </w:rPr>
        <w:t>Hübner, C. G.; Kern, D</w:t>
      </w:r>
      <w:r w:rsidR="00D40920" w:rsidRPr="00D40920">
        <w:rPr>
          <w:rFonts w:ascii="Arno Pro" w:hAnsi="Arno Pro"/>
          <w:noProof/>
          <w:sz w:val="16"/>
          <w:szCs w:val="24"/>
        </w:rPr>
        <w:t xml:space="preserve">. Intrinsic Motions along an Enzymatic Reaction Trajectory. </w:t>
      </w:r>
      <w:r w:rsidR="00D40920" w:rsidRPr="00D40920">
        <w:rPr>
          <w:rFonts w:ascii="Arno Pro" w:hAnsi="Arno Pro"/>
          <w:i/>
          <w:iCs/>
          <w:noProof/>
          <w:sz w:val="16"/>
          <w:szCs w:val="24"/>
        </w:rPr>
        <w:t>Nature</w:t>
      </w:r>
      <w:r w:rsidR="00D40920" w:rsidRPr="00D40920">
        <w:rPr>
          <w:rFonts w:ascii="Arno Pro" w:hAnsi="Arno Pro"/>
          <w:noProof/>
          <w:sz w:val="16"/>
          <w:szCs w:val="24"/>
        </w:rPr>
        <w:t xml:space="preserve"> </w:t>
      </w:r>
      <w:r w:rsidR="00D40920" w:rsidRPr="00D40920">
        <w:rPr>
          <w:rFonts w:ascii="Arno Pro" w:hAnsi="Arno Pro"/>
          <w:b/>
          <w:bCs/>
          <w:noProof/>
          <w:sz w:val="16"/>
          <w:szCs w:val="24"/>
        </w:rPr>
        <w:t>2007</w:t>
      </w:r>
      <w:r w:rsidR="00D40920" w:rsidRPr="00D40920">
        <w:rPr>
          <w:rFonts w:ascii="Arno Pro" w:hAnsi="Arno Pro"/>
          <w:noProof/>
          <w:sz w:val="16"/>
          <w:szCs w:val="24"/>
        </w:rPr>
        <w:t xml:space="preserve">, </w:t>
      </w:r>
      <w:r w:rsidR="00D40920" w:rsidRPr="00D40920">
        <w:rPr>
          <w:rFonts w:ascii="Arno Pro" w:hAnsi="Arno Pro"/>
          <w:i/>
          <w:iCs/>
          <w:noProof/>
          <w:sz w:val="16"/>
          <w:szCs w:val="24"/>
        </w:rPr>
        <w:t>450</w:t>
      </w:r>
      <w:r w:rsidR="00D40920" w:rsidRPr="00D40920">
        <w:rPr>
          <w:rFonts w:ascii="Arno Pro" w:hAnsi="Arno Pro"/>
          <w:noProof/>
          <w:sz w:val="16"/>
          <w:szCs w:val="24"/>
        </w:rPr>
        <w:t xml:space="preserve"> (7171), 838–844. https://doi.org/10.1038/nature06410.</w:t>
      </w:r>
    </w:p>
    <w:p w14:paraId="579B60DC"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 </w:t>
      </w:r>
      <w:r w:rsidRPr="00D40920">
        <w:rPr>
          <w:rFonts w:ascii="Arno Pro" w:hAnsi="Arno Pro"/>
          <w:noProof/>
          <w:sz w:val="16"/>
          <w:szCs w:val="24"/>
        </w:rPr>
        <w:tab/>
        <w:t xml:space="preserve">Vendruscolo, M.; Dobson, C. M. Dynamic Visions of Enzymatic Reactions. </w:t>
      </w:r>
      <w:r w:rsidRPr="00D40920">
        <w:rPr>
          <w:rFonts w:ascii="Arno Pro" w:hAnsi="Arno Pro"/>
          <w:i/>
          <w:iCs/>
          <w:noProof/>
          <w:sz w:val="16"/>
          <w:szCs w:val="24"/>
        </w:rPr>
        <w:t>Science</w:t>
      </w:r>
      <w:r w:rsidRPr="00D40920">
        <w:rPr>
          <w:rFonts w:ascii="Arno Pro" w:hAnsi="Arno Pro"/>
          <w:noProof/>
          <w:sz w:val="16"/>
          <w:szCs w:val="24"/>
        </w:rPr>
        <w:t>. 2006, pp 1586–1587. https://doi.org/10.1126/science.1132851.</w:t>
      </w:r>
    </w:p>
    <w:p w14:paraId="7EDFC025"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(3) </w:t>
      </w:r>
      <w:r w:rsidRPr="00D40920">
        <w:rPr>
          <w:rFonts w:ascii="Arno Pro" w:hAnsi="Arno Pro"/>
          <w:noProof/>
          <w:sz w:val="16"/>
          <w:szCs w:val="24"/>
        </w:rPr>
        <w:tab/>
        <w:t xml:space="preserve">Nestl, B. M.; Hauer, B. Engineering of Flexible Loops in Enzymes. </w:t>
      </w:r>
      <w:r w:rsidRPr="00D40920">
        <w:rPr>
          <w:rFonts w:ascii="Arno Pro" w:hAnsi="Arno Pro"/>
          <w:i/>
          <w:iCs/>
          <w:noProof/>
          <w:sz w:val="16"/>
          <w:szCs w:val="24"/>
        </w:rPr>
        <w:t>ACS Catalysis</w:t>
      </w:r>
      <w:r w:rsidRPr="00D40920">
        <w:rPr>
          <w:rFonts w:ascii="Arno Pro" w:hAnsi="Arno Pro"/>
          <w:noProof/>
          <w:sz w:val="16"/>
          <w:szCs w:val="24"/>
        </w:rPr>
        <w:t>. 2014, pp 3201–3211. https://doi.org/10.1021/cs500325p.</w:t>
      </w:r>
    </w:p>
    <w:p w14:paraId="68DB3EAE"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(4) </w:t>
      </w:r>
      <w:r w:rsidRPr="00D40920">
        <w:rPr>
          <w:rFonts w:ascii="Arno Pro" w:hAnsi="Arno Pro"/>
          <w:noProof/>
          <w:sz w:val="16"/>
          <w:szCs w:val="24"/>
        </w:rPr>
        <w:tab/>
        <w:t xml:space="preserve">Dodani, S. C.; Kiss, G.; Cahn, J. K. B.; Su, Y.; Pande, V. S.; Arnold, F. H. Discovery of a Regioselectivity Switch in Nitrating P450s Guided by Molecular Dynamics Simulations and Markov Models. </w:t>
      </w:r>
      <w:r w:rsidRPr="00D40920">
        <w:rPr>
          <w:rFonts w:ascii="Arno Pro" w:hAnsi="Arno Pro"/>
          <w:i/>
          <w:iCs/>
          <w:noProof/>
          <w:sz w:val="16"/>
          <w:szCs w:val="24"/>
        </w:rPr>
        <w:t>Nat. Chem.</w:t>
      </w:r>
      <w:r w:rsidRPr="00D40920">
        <w:rPr>
          <w:rFonts w:ascii="Arno Pro" w:hAnsi="Arno Pro"/>
          <w:noProof/>
          <w:sz w:val="16"/>
          <w:szCs w:val="24"/>
        </w:rPr>
        <w:t xml:space="preserve"> </w:t>
      </w:r>
      <w:r w:rsidRPr="00D40920">
        <w:rPr>
          <w:rFonts w:ascii="Arno Pro" w:hAnsi="Arno Pro"/>
          <w:b/>
          <w:bCs/>
          <w:noProof/>
          <w:sz w:val="16"/>
          <w:szCs w:val="24"/>
        </w:rPr>
        <w:t>2016</w:t>
      </w:r>
      <w:r w:rsidRPr="00D40920">
        <w:rPr>
          <w:rFonts w:ascii="Arno Pro" w:hAnsi="Arno Pro"/>
          <w:noProof/>
          <w:sz w:val="16"/>
          <w:szCs w:val="24"/>
        </w:rPr>
        <w:t xml:space="preserve">, </w:t>
      </w:r>
      <w:r w:rsidRPr="00D40920">
        <w:rPr>
          <w:rFonts w:ascii="Arno Pro" w:hAnsi="Arno Pro"/>
          <w:i/>
          <w:iCs/>
          <w:noProof/>
          <w:sz w:val="16"/>
          <w:szCs w:val="24"/>
        </w:rPr>
        <w:t>8</w:t>
      </w:r>
      <w:r w:rsidRPr="00D40920">
        <w:rPr>
          <w:rFonts w:ascii="Arno Pro" w:hAnsi="Arno Pro"/>
          <w:noProof/>
          <w:sz w:val="16"/>
          <w:szCs w:val="24"/>
        </w:rPr>
        <w:t xml:space="preserve"> (5), 419–425. https://doi.org/10.1038/nchem.2474.</w:t>
      </w:r>
    </w:p>
    <w:p w14:paraId="3E008123"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(5) </w:t>
      </w:r>
      <w:r w:rsidRPr="00D40920">
        <w:rPr>
          <w:rFonts w:ascii="Arno Pro" w:hAnsi="Arno Pro"/>
          <w:noProof/>
          <w:sz w:val="16"/>
          <w:szCs w:val="24"/>
        </w:rPr>
        <w:tab/>
        <w:t xml:space="preserve">Kaushik, S.; Marques, S. M.; Khirsariya, P.; Paruch, K.; Libichova, L.; Brezovsky, J.; Prokop, Z.; Chaloupkova, R.; Damborsky, J. Impact of the Access Tunnel Engineering on Catalysis Is Strictly Ligand-Specific. </w:t>
      </w:r>
      <w:r w:rsidRPr="00D40920">
        <w:rPr>
          <w:rFonts w:ascii="Arno Pro" w:hAnsi="Arno Pro"/>
          <w:i/>
          <w:iCs/>
          <w:noProof/>
          <w:sz w:val="16"/>
          <w:szCs w:val="24"/>
        </w:rPr>
        <w:t>FEBS J.</w:t>
      </w:r>
      <w:r w:rsidRPr="00D40920">
        <w:rPr>
          <w:rFonts w:ascii="Arno Pro" w:hAnsi="Arno Pro"/>
          <w:noProof/>
          <w:sz w:val="16"/>
          <w:szCs w:val="24"/>
        </w:rPr>
        <w:t xml:space="preserve"> </w:t>
      </w:r>
      <w:r w:rsidRPr="00D40920">
        <w:rPr>
          <w:rFonts w:ascii="Arno Pro" w:hAnsi="Arno Pro"/>
          <w:b/>
          <w:bCs/>
          <w:noProof/>
          <w:sz w:val="16"/>
          <w:szCs w:val="24"/>
        </w:rPr>
        <w:t>2018</w:t>
      </w:r>
      <w:r w:rsidRPr="00D40920">
        <w:rPr>
          <w:rFonts w:ascii="Arno Pro" w:hAnsi="Arno Pro"/>
          <w:noProof/>
          <w:sz w:val="16"/>
          <w:szCs w:val="24"/>
        </w:rPr>
        <w:t xml:space="preserve">, </w:t>
      </w:r>
      <w:r w:rsidRPr="00D40920">
        <w:rPr>
          <w:rFonts w:ascii="Arno Pro" w:hAnsi="Arno Pro"/>
          <w:i/>
          <w:iCs/>
          <w:noProof/>
          <w:sz w:val="16"/>
          <w:szCs w:val="24"/>
        </w:rPr>
        <w:t>285</w:t>
      </w:r>
      <w:r w:rsidRPr="00D40920">
        <w:rPr>
          <w:rFonts w:ascii="Arno Pro" w:hAnsi="Arno Pro"/>
          <w:noProof/>
          <w:sz w:val="16"/>
          <w:szCs w:val="24"/>
        </w:rPr>
        <w:t xml:space="preserve"> (8), </w:t>
      </w:r>
      <w:r w:rsidRPr="00D40920">
        <w:rPr>
          <w:rFonts w:ascii="Arno Pro" w:hAnsi="Arno Pro"/>
          <w:noProof/>
          <w:sz w:val="16"/>
          <w:szCs w:val="24"/>
        </w:rPr>
        <w:t>1456–1476. https://doi.org/10.1111/febs.14418.</w:t>
      </w:r>
    </w:p>
    <w:p w14:paraId="3466F315"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(6) </w:t>
      </w:r>
      <w:r w:rsidRPr="00D40920">
        <w:rPr>
          <w:rFonts w:ascii="Arno Pro" w:hAnsi="Arno Pro"/>
          <w:noProof/>
          <w:sz w:val="16"/>
          <w:szCs w:val="24"/>
        </w:rPr>
        <w:tab/>
        <w:t xml:space="preserve">Kreß, N.; Halder, J. M.; Rapp, L. R.; Hauer, B. Unlocked Potential of Dynamic Elements in Protein Structures: Channels and Loops. </w:t>
      </w:r>
      <w:r w:rsidRPr="00D40920">
        <w:rPr>
          <w:rFonts w:ascii="Arno Pro" w:hAnsi="Arno Pro"/>
          <w:i/>
          <w:iCs/>
          <w:noProof/>
          <w:sz w:val="16"/>
          <w:szCs w:val="24"/>
        </w:rPr>
        <w:t>Curr. Opin. Chem. Biol.</w:t>
      </w:r>
      <w:r w:rsidRPr="00D40920">
        <w:rPr>
          <w:rFonts w:ascii="Arno Pro" w:hAnsi="Arno Pro"/>
          <w:noProof/>
          <w:sz w:val="16"/>
          <w:szCs w:val="24"/>
        </w:rPr>
        <w:t xml:space="preserve"> </w:t>
      </w:r>
      <w:r w:rsidRPr="00D40920">
        <w:rPr>
          <w:rFonts w:ascii="Arno Pro" w:hAnsi="Arno Pro"/>
          <w:b/>
          <w:bCs/>
          <w:noProof/>
          <w:sz w:val="16"/>
          <w:szCs w:val="24"/>
        </w:rPr>
        <w:t>2018</w:t>
      </w:r>
      <w:r w:rsidRPr="00D40920">
        <w:rPr>
          <w:rFonts w:ascii="Arno Pro" w:hAnsi="Arno Pro"/>
          <w:noProof/>
          <w:sz w:val="16"/>
          <w:szCs w:val="24"/>
        </w:rPr>
        <w:t xml:space="preserve">, </w:t>
      </w:r>
      <w:r w:rsidRPr="00D40920">
        <w:rPr>
          <w:rFonts w:ascii="Arno Pro" w:hAnsi="Arno Pro"/>
          <w:i/>
          <w:iCs/>
          <w:noProof/>
          <w:sz w:val="16"/>
          <w:szCs w:val="24"/>
        </w:rPr>
        <w:t>47</w:t>
      </w:r>
      <w:r w:rsidRPr="00D40920">
        <w:rPr>
          <w:rFonts w:ascii="Arno Pro" w:hAnsi="Arno Pro"/>
          <w:noProof/>
          <w:sz w:val="16"/>
          <w:szCs w:val="24"/>
        </w:rPr>
        <w:t>, 109–116. https://doi.org/10.1016/j.cbpa.2018.09.010.</w:t>
      </w:r>
    </w:p>
    <w:p w14:paraId="6C883E86"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(7) </w:t>
      </w:r>
      <w:r w:rsidRPr="00D40920">
        <w:rPr>
          <w:rFonts w:ascii="Arno Pro" w:hAnsi="Arno Pro"/>
          <w:noProof/>
          <w:sz w:val="16"/>
          <w:szCs w:val="24"/>
        </w:rPr>
        <w:tab/>
        <w:t xml:space="preserve">Kokkonen, P.; Bednar, D.; Pinto, G.; Prokop, Z.; Damborsky, J. Engineering Enzyme Access Tunnels. </w:t>
      </w:r>
      <w:r w:rsidRPr="00D40920">
        <w:rPr>
          <w:rFonts w:ascii="Arno Pro" w:hAnsi="Arno Pro"/>
          <w:i/>
          <w:iCs/>
          <w:noProof/>
          <w:sz w:val="16"/>
          <w:szCs w:val="24"/>
        </w:rPr>
        <w:t>Biotechnology Advances</w:t>
      </w:r>
      <w:r w:rsidRPr="00D40920">
        <w:rPr>
          <w:rFonts w:ascii="Arno Pro" w:hAnsi="Arno Pro"/>
          <w:noProof/>
          <w:sz w:val="16"/>
          <w:szCs w:val="24"/>
        </w:rPr>
        <w:t>. 2019. https://doi.org/10.1016/j.biotechadv.2019.04.008.</w:t>
      </w:r>
    </w:p>
    <w:p w14:paraId="41D388F9"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(8) </w:t>
      </w:r>
      <w:r w:rsidRPr="00D40920">
        <w:rPr>
          <w:rFonts w:ascii="Arno Pro" w:hAnsi="Arno Pro"/>
          <w:noProof/>
          <w:sz w:val="16"/>
          <w:szCs w:val="24"/>
        </w:rPr>
        <w:tab/>
        <w:t xml:space="preserve">Pavlova, M.; Klvana, M.; Prokop, Z.; Chaloupkova, R.; Banas, P.; Otyepka, M.; Wade, R. C.; Tsuda, M.; Nagata, Y.; Damborsky, J. Redesigning Dehalogenase Access Tunnels as a Strategy for Degrading an Anthropogenic Substrate. </w:t>
      </w:r>
      <w:r w:rsidRPr="00D40920">
        <w:rPr>
          <w:rFonts w:ascii="Arno Pro" w:hAnsi="Arno Pro"/>
          <w:i/>
          <w:iCs/>
          <w:noProof/>
          <w:sz w:val="16"/>
          <w:szCs w:val="24"/>
        </w:rPr>
        <w:t>Nat. Chem. Biol.</w:t>
      </w:r>
      <w:r w:rsidRPr="00D40920">
        <w:rPr>
          <w:rFonts w:ascii="Arno Pro" w:hAnsi="Arno Pro"/>
          <w:noProof/>
          <w:sz w:val="16"/>
          <w:szCs w:val="24"/>
        </w:rPr>
        <w:t xml:space="preserve"> </w:t>
      </w:r>
      <w:r w:rsidRPr="00D40920">
        <w:rPr>
          <w:rFonts w:ascii="Arno Pro" w:hAnsi="Arno Pro"/>
          <w:b/>
          <w:bCs/>
          <w:noProof/>
          <w:sz w:val="16"/>
          <w:szCs w:val="24"/>
        </w:rPr>
        <w:t>2009</w:t>
      </w:r>
      <w:r w:rsidRPr="00D40920">
        <w:rPr>
          <w:rFonts w:ascii="Arno Pro" w:hAnsi="Arno Pro"/>
          <w:noProof/>
          <w:sz w:val="16"/>
          <w:szCs w:val="24"/>
        </w:rPr>
        <w:t xml:space="preserve">, </w:t>
      </w:r>
      <w:r w:rsidRPr="00D40920">
        <w:rPr>
          <w:rFonts w:ascii="Arno Pro" w:hAnsi="Arno Pro"/>
          <w:i/>
          <w:iCs/>
          <w:noProof/>
          <w:sz w:val="16"/>
          <w:szCs w:val="24"/>
        </w:rPr>
        <w:t>5</w:t>
      </w:r>
      <w:r w:rsidRPr="00D40920">
        <w:rPr>
          <w:rFonts w:ascii="Arno Pro" w:hAnsi="Arno Pro"/>
          <w:noProof/>
          <w:sz w:val="16"/>
          <w:szCs w:val="24"/>
        </w:rPr>
        <w:t xml:space="preserve"> (10), 727–733. https://doi.org/10.1038/nchembio.205.</w:t>
      </w:r>
    </w:p>
    <w:p w14:paraId="6B3AA0AE"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(9) </w:t>
      </w:r>
      <w:r w:rsidRPr="00D40920">
        <w:rPr>
          <w:rFonts w:ascii="Arno Pro" w:hAnsi="Arno Pro"/>
          <w:noProof/>
          <w:sz w:val="16"/>
          <w:szCs w:val="24"/>
        </w:rPr>
        <w:tab/>
        <w:t xml:space="preserve">Ebert, M. C. C. J. C.; Espinola, J. G.; Lamoureux, G.; Pelletier, J. N. Substrate-Specific Screening for Mutational Hotspots Using Biased Molecular Dynamics Simulations. </w:t>
      </w:r>
      <w:r w:rsidRPr="00D40920">
        <w:rPr>
          <w:rFonts w:ascii="Arno Pro" w:hAnsi="Arno Pro"/>
          <w:i/>
          <w:iCs/>
          <w:noProof/>
          <w:sz w:val="16"/>
          <w:szCs w:val="24"/>
        </w:rPr>
        <w:t>ACS Catal.</w:t>
      </w:r>
      <w:r w:rsidRPr="00D40920">
        <w:rPr>
          <w:rFonts w:ascii="Arno Pro" w:hAnsi="Arno Pro"/>
          <w:noProof/>
          <w:sz w:val="16"/>
          <w:szCs w:val="24"/>
        </w:rPr>
        <w:t xml:space="preserve"> </w:t>
      </w:r>
      <w:r w:rsidRPr="00D40920">
        <w:rPr>
          <w:rFonts w:ascii="Arno Pro" w:hAnsi="Arno Pro"/>
          <w:b/>
          <w:bCs/>
          <w:noProof/>
          <w:sz w:val="16"/>
          <w:szCs w:val="24"/>
        </w:rPr>
        <w:t>2017</w:t>
      </w:r>
      <w:r w:rsidRPr="00D40920">
        <w:rPr>
          <w:rFonts w:ascii="Arno Pro" w:hAnsi="Arno Pro"/>
          <w:noProof/>
          <w:sz w:val="16"/>
          <w:szCs w:val="24"/>
        </w:rPr>
        <w:t xml:space="preserve">, </w:t>
      </w:r>
      <w:r w:rsidRPr="00D40920">
        <w:rPr>
          <w:rFonts w:ascii="Arno Pro" w:hAnsi="Arno Pro"/>
          <w:i/>
          <w:iCs/>
          <w:noProof/>
          <w:sz w:val="16"/>
          <w:szCs w:val="24"/>
        </w:rPr>
        <w:t>7</w:t>
      </w:r>
      <w:r w:rsidRPr="00D40920">
        <w:rPr>
          <w:rFonts w:ascii="Arno Pro" w:hAnsi="Arno Pro"/>
          <w:noProof/>
          <w:sz w:val="16"/>
          <w:szCs w:val="24"/>
        </w:rPr>
        <w:t xml:space="preserve"> (10), 6786–6797. https://doi.org/10.1021/acscatal.7b02634.</w:t>
      </w:r>
    </w:p>
    <w:p w14:paraId="43332673"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(10) </w:t>
      </w:r>
      <w:r w:rsidRPr="00D40920">
        <w:rPr>
          <w:rFonts w:ascii="Arno Pro" w:hAnsi="Arno Pro"/>
          <w:noProof/>
          <w:sz w:val="16"/>
          <w:szCs w:val="24"/>
        </w:rPr>
        <w:tab/>
        <w:t xml:space="preserve">Pravda, L.; Berka, K.; Svobodová Vařeková, R.; Sehnal, D.; Banáš, P.; Laskowski, R. A.; Koča, J.; Otyepka, M. Anatomy of Enzyme Channels. </w:t>
      </w:r>
      <w:r w:rsidRPr="00D40920">
        <w:rPr>
          <w:rFonts w:ascii="Arno Pro" w:hAnsi="Arno Pro"/>
          <w:i/>
          <w:iCs/>
          <w:noProof/>
          <w:sz w:val="16"/>
          <w:szCs w:val="24"/>
        </w:rPr>
        <w:t>BMC Bioinformatics</w:t>
      </w:r>
      <w:r w:rsidRPr="00D40920">
        <w:rPr>
          <w:rFonts w:ascii="Arno Pro" w:hAnsi="Arno Pro"/>
          <w:noProof/>
          <w:sz w:val="16"/>
          <w:szCs w:val="24"/>
        </w:rPr>
        <w:t xml:space="preserve"> </w:t>
      </w:r>
      <w:r w:rsidRPr="00D40920">
        <w:rPr>
          <w:rFonts w:ascii="Arno Pro" w:hAnsi="Arno Pro"/>
          <w:b/>
          <w:bCs/>
          <w:noProof/>
          <w:sz w:val="16"/>
          <w:szCs w:val="24"/>
        </w:rPr>
        <w:t>2014</w:t>
      </w:r>
      <w:r w:rsidRPr="00D40920">
        <w:rPr>
          <w:rFonts w:ascii="Arno Pro" w:hAnsi="Arno Pro"/>
          <w:noProof/>
          <w:sz w:val="16"/>
          <w:szCs w:val="24"/>
        </w:rPr>
        <w:t xml:space="preserve">, </w:t>
      </w:r>
      <w:r w:rsidRPr="00D40920">
        <w:rPr>
          <w:rFonts w:ascii="Arno Pro" w:hAnsi="Arno Pro"/>
          <w:i/>
          <w:iCs/>
          <w:noProof/>
          <w:sz w:val="16"/>
          <w:szCs w:val="24"/>
        </w:rPr>
        <w:t>15</w:t>
      </w:r>
      <w:r w:rsidRPr="00D40920">
        <w:rPr>
          <w:rFonts w:ascii="Arno Pro" w:hAnsi="Arno Pro"/>
          <w:noProof/>
          <w:sz w:val="16"/>
          <w:szCs w:val="24"/>
        </w:rPr>
        <w:t xml:space="preserve"> (1), 379. https://doi.org/10.1186/s12859-014-0379-x.</w:t>
      </w:r>
    </w:p>
    <w:p w14:paraId="1C56F1B5"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(11) </w:t>
      </w:r>
      <w:r w:rsidRPr="00D40920">
        <w:rPr>
          <w:rFonts w:ascii="Arno Pro" w:hAnsi="Arno Pro"/>
          <w:noProof/>
          <w:sz w:val="16"/>
          <w:szCs w:val="24"/>
        </w:rPr>
        <w:tab/>
        <w:t xml:space="preserve">Cojocaru, V.; Winn, P. J.; Wade, R. C. The Ins and Outs of Cytochrome P450s. </w:t>
      </w:r>
      <w:r w:rsidRPr="00D40920">
        <w:rPr>
          <w:rFonts w:ascii="Arno Pro" w:hAnsi="Arno Pro"/>
          <w:i/>
          <w:iCs/>
          <w:noProof/>
          <w:sz w:val="16"/>
          <w:szCs w:val="24"/>
        </w:rPr>
        <w:t>Biochimica et Biophysica Acta - General Subjects</w:t>
      </w:r>
      <w:r w:rsidRPr="00D40920">
        <w:rPr>
          <w:rFonts w:ascii="Arno Pro" w:hAnsi="Arno Pro"/>
          <w:noProof/>
          <w:sz w:val="16"/>
          <w:szCs w:val="24"/>
        </w:rPr>
        <w:t>. 2007, pp 390–401. https://doi.org/10.1016/j.bbagen.2006.07.005.</w:t>
      </w:r>
    </w:p>
    <w:p w14:paraId="4E835DC2"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(12) </w:t>
      </w:r>
      <w:r w:rsidRPr="00D40920">
        <w:rPr>
          <w:rFonts w:ascii="Arno Pro" w:hAnsi="Arno Pro"/>
          <w:noProof/>
          <w:sz w:val="16"/>
          <w:szCs w:val="24"/>
        </w:rPr>
        <w:tab/>
        <w:t xml:space="preserve">Fischer, M.; Knoll, M.; Sirim, D.; Wagner, F.; Funke, S.; Pleiss, J. The Cytochrome P450 Engineering Database: A Navigation and Prediction Tool for the Cytochrome P450 Protein Family. </w:t>
      </w:r>
      <w:r w:rsidRPr="00D40920">
        <w:rPr>
          <w:rFonts w:ascii="Arno Pro" w:hAnsi="Arno Pro"/>
          <w:i/>
          <w:iCs/>
          <w:noProof/>
          <w:sz w:val="16"/>
          <w:szCs w:val="24"/>
        </w:rPr>
        <w:t>Bioinformatics</w:t>
      </w:r>
      <w:r w:rsidRPr="00D40920">
        <w:rPr>
          <w:rFonts w:ascii="Arno Pro" w:hAnsi="Arno Pro"/>
          <w:noProof/>
          <w:sz w:val="16"/>
          <w:szCs w:val="24"/>
        </w:rPr>
        <w:t xml:space="preserve"> </w:t>
      </w:r>
      <w:r w:rsidRPr="00D40920">
        <w:rPr>
          <w:rFonts w:ascii="Arno Pro" w:hAnsi="Arno Pro"/>
          <w:b/>
          <w:bCs/>
          <w:noProof/>
          <w:sz w:val="16"/>
          <w:szCs w:val="24"/>
        </w:rPr>
        <w:t>2007</w:t>
      </w:r>
      <w:r w:rsidRPr="00D40920">
        <w:rPr>
          <w:rFonts w:ascii="Arno Pro" w:hAnsi="Arno Pro"/>
          <w:noProof/>
          <w:sz w:val="16"/>
          <w:szCs w:val="24"/>
        </w:rPr>
        <w:t xml:space="preserve">, </w:t>
      </w:r>
      <w:r w:rsidRPr="00D40920">
        <w:rPr>
          <w:rFonts w:ascii="Arno Pro" w:hAnsi="Arno Pro"/>
          <w:i/>
          <w:iCs/>
          <w:noProof/>
          <w:sz w:val="16"/>
          <w:szCs w:val="24"/>
        </w:rPr>
        <w:t>23</w:t>
      </w:r>
      <w:r w:rsidRPr="00D40920">
        <w:rPr>
          <w:rFonts w:ascii="Arno Pro" w:hAnsi="Arno Pro"/>
          <w:noProof/>
          <w:sz w:val="16"/>
          <w:szCs w:val="24"/>
        </w:rPr>
        <w:t xml:space="preserve"> (15). https://doi.org/10.1093/bioinformatics/btm268.</w:t>
      </w:r>
    </w:p>
    <w:p w14:paraId="20B0AD60"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(13) </w:t>
      </w:r>
      <w:r w:rsidRPr="00D40920">
        <w:rPr>
          <w:rFonts w:ascii="Arno Pro" w:hAnsi="Arno Pro"/>
          <w:noProof/>
          <w:sz w:val="16"/>
          <w:szCs w:val="24"/>
        </w:rPr>
        <w:tab/>
        <w:t xml:space="preserve">Ide, M. S.; Davis, R. J. Perspectives on the Kinetics of Diol Oxidation over Supported Platinum Catalysts in Aqueous Solution. </w:t>
      </w:r>
      <w:r w:rsidRPr="00D40920">
        <w:rPr>
          <w:rFonts w:ascii="Arno Pro" w:hAnsi="Arno Pro"/>
          <w:i/>
          <w:iCs/>
          <w:noProof/>
          <w:sz w:val="16"/>
          <w:szCs w:val="24"/>
        </w:rPr>
        <w:t>J. Catal.</w:t>
      </w:r>
      <w:r w:rsidRPr="00D40920">
        <w:rPr>
          <w:rFonts w:ascii="Arno Pro" w:hAnsi="Arno Pro"/>
          <w:noProof/>
          <w:sz w:val="16"/>
          <w:szCs w:val="24"/>
        </w:rPr>
        <w:t xml:space="preserve"> </w:t>
      </w:r>
      <w:r w:rsidRPr="00D40920">
        <w:rPr>
          <w:rFonts w:ascii="Arno Pro" w:hAnsi="Arno Pro"/>
          <w:b/>
          <w:bCs/>
          <w:noProof/>
          <w:sz w:val="16"/>
          <w:szCs w:val="24"/>
        </w:rPr>
        <w:t>2013</w:t>
      </w:r>
      <w:r w:rsidRPr="00D40920">
        <w:rPr>
          <w:rFonts w:ascii="Arno Pro" w:hAnsi="Arno Pro"/>
          <w:noProof/>
          <w:sz w:val="16"/>
          <w:szCs w:val="24"/>
        </w:rPr>
        <w:t xml:space="preserve">, </w:t>
      </w:r>
      <w:r w:rsidRPr="00D40920">
        <w:rPr>
          <w:rFonts w:ascii="Arno Pro" w:hAnsi="Arno Pro"/>
          <w:i/>
          <w:iCs/>
          <w:noProof/>
          <w:sz w:val="16"/>
          <w:szCs w:val="24"/>
        </w:rPr>
        <w:t>308</w:t>
      </w:r>
      <w:r w:rsidRPr="00D40920">
        <w:rPr>
          <w:rFonts w:ascii="Arno Pro" w:hAnsi="Arno Pro"/>
          <w:noProof/>
          <w:sz w:val="16"/>
          <w:szCs w:val="24"/>
        </w:rPr>
        <w:t>, 50–59. https://doi.org/10.1016/j.jcat.2013.05.017.</w:t>
      </w:r>
    </w:p>
    <w:p w14:paraId="34F803CF"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(14) </w:t>
      </w:r>
      <w:r w:rsidRPr="00D40920">
        <w:rPr>
          <w:rFonts w:ascii="Arno Pro" w:hAnsi="Arno Pro"/>
          <w:noProof/>
          <w:sz w:val="16"/>
          <w:szCs w:val="24"/>
        </w:rPr>
        <w:tab/>
        <w:t xml:space="preserve">Takeda, Y.; Tamura, M.; Nakagawa, Y.; Okumura, K.; Tomishige, K. Hydrogenation of Dicarboxylic Acids to Diols over Re-Pd Catalysts. </w:t>
      </w:r>
      <w:r w:rsidRPr="00D40920">
        <w:rPr>
          <w:rFonts w:ascii="Arno Pro" w:hAnsi="Arno Pro"/>
          <w:i/>
          <w:iCs/>
          <w:noProof/>
          <w:sz w:val="16"/>
          <w:szCs w:val="24"/>
        </w:rPr>
        <w:t>Catal. Sci. Technol.</w:t>
      </w:r>
      <w:r w:rsidRPr="00D40920">
        <w:rPr>
          <w:rFonts w:ascii="Arno Pro" w:hAnsi="Arno Pro"/>
          <w:noProof/>
          <w:sz w:val="16"/>
          <w:szCs w:val="24"/>
        </w:rPr>
        <w:t xml:space="preserve"> </w:t>
      </w:r>
      <w:r w:rsidRPr="00D40920">
        <w:rPr>
          <w:rFonts w:ascii="Arno Pro" w:hAnsi="Arno Pro"/>
          <w:b/>
          <w:bCs/>
          <w:noProof/>
          <w:sz w:val="16"/>
          <w:szCs w:val="24"/>
        </w:rPr>
        <w:t>2016</w:t>
      </w:r>
      <w:r w:rsidRPr="00D40920">
        <w:rPr>
          <w:rFonts w:ascii="Arno Pro" w:hAnsi="Arno Pro"/>
          <w:noProof/>
          <w:sz w:val="16"/>
          <w:szCs w:val="24"/>
        </w:rPr>
        <w:t xml:space="preserve">, </w:t>
      </w:r>
      <w:r w:rsidRPr="00D40920">
        <w:rPr>
          <w:rFonts w:ascii="Arno Pro" w:hAnsi="Arno Pro"/>
          <w:i/>
          <w:iCs/>
          <w:noProof/>
          <w:sz w:val="16"/>
          <w:szCs w:val="24"/>
        </w:rPr>
        <w:t>6</w:t>
      </w:r>
      <w:r w:rsidRPr="00D40920">
        <w:rPr>
          <w:rFonts w:ascii="Arno Pro" w:hAnsi="Arno Pro"/>
          <w:noProof/>
          <w:sz w:val="16"/>
          <w:szCs w:val="24"/>
        </w:rPr>
        <w:t xml:space="preserve"> (14), 5668–5683. https://doi.org/10.1039/c6cy00335d.</w:t>
      </w:r>
    </w:p>
    <w:p w14:paraId="29B6DE10"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(15) </w:t>
      </w:r>
      <w:r w:rsidRPr="00D40920">
        <w:rPr>
          <w:rFonts w:ascii="Arno Pro" w:hAnsi="Arno Pro"/>
          <w:noProof/>
          <w:sz w:val="16"/>
          <w:szCs w:val="24"/>
        </w:rPr>
        <w:tab/>
        <w:t xml:space="preserve">Tuteja, J.; Nishimura, S.; Ebitani, K. Change in Reactivity of Differently Capped AuPd Bimetallic Nanoparticle Catalysts for Selective Oxidation of Aliphatic Diols to Hydroxycarboxylic Acids in Basic Aqueous Solution. </w:t>
      </w:r>
      <w:r w:rsidRPr="00D40920">
        <w:rPr>
          <w:rFonts w:ascii="Arno Pro" w:hAnsi="Arno Pro"/>
          <w:i/>
          <w:iCs/>
          <w:noProof/>
          <w:sz w:val="16"/>
          <w:szCs w:val="24"/>
        </w:rPr>
        <w:t>Catal. Today</w:t>
      </w:r>
      <w:r w:rsidRPr="00D40920">
        <w:rPr>
          <w:rFonts w:ascii="Arno Pro" w:hAnsi="Arno Pro"/>
          <w:noProof/>
          <w:sz w:val="16"/>
          <w:szCs w:val="24"/>
        </w:rPr>
        <w:t xml:space="preserve"> </w:t>
      </w:r>
      <w:r w:rsidRPr="00D40920">
        <w:rPr>
          <w:rFonts w:ascii="Arno Pro" w:hAnsi="Arno Pro"/>
          <w:b/>
          <w:bCs/>
          <w:noProof/>
          <w:sz w:val="16"/>
          <w:szCs w:val="24"/>
        </w:rPr>
        <w:t>2016</w:t>
      </w:r>
      <w:r w:rsidRPr="00D40920">
        <w:rPr>
          <w:rFonts w:ascii="Arno Pro" w:hAnsi="Arno Pro"/>
          <w:noProof/>
          <w:sz w:val="16"/>
          <w:szCs w:val="24"/>
        </w:rPr>
        <w:t xml:space="preserve">, </w:t>
      </w:r>
      <w:r w:rsidRPr="00D40920">
        <w:rPr>
          <w:rFonts w:ascii="Arno Pro" w:hAnsi="Arno Pro"/>
          <w:i/>
          <w:iCs/>
          <w:noProof/>
          <w:sz w:val="16"/>
          <w:szCs w:val="24"/>
        </w:rPr>
        <w:t>265</w:t>
      </w:r>
      <w:r w:rsidRPr="00D40920">
        <w:rPr>
          <w:rFonts w:ascii="Arno Pro" w:hAnsi="Arno Pro"/>
          <w:noProof/>
          <w:sz w:val="16"/>
          <w:szCs w:val="24"/>
        </w:rPr>
        <w:t>, 231–239. https://doi.org/10.1016/j.cattod.2015.09.034.</w:t>
      </w:r>
    </w:p>
    <w:p w14:paraId="6771D8B0"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(16) </w:t>
      </w:r>
      <w:r w:rsidRPr="00D40920">
        <w:rPr>
          <w:rFonts w:ascii="Arno Pro" w:hAnsi="Arno Pro"/>
          <w:noProof/>
          <w:sz w:val="16"/>
          <w:szCs w:val="24"/>
        </w:rPr>
        <w:tab/>
        <w:t xml:space="preserve">Johnston, J. B.; Ouellet, H.; Podust, L. M.; Ortiz De Montellano, P. R. Structural Control of Cytochrome P450-Catalyzed ω-Hydroxylation. </w:t>
      </w:r>
      <w:r w:rsidRPr="00D40920">
        <w:rPr>
          <w:rFonts w:ascii="Arno Pro" w:hAnsi="Arno Pro"/>
          <w:i/>
          <w:iCs/>
          <w:noProof/>
          <w:sz w:val="16"/>
          <w:szCs w:val="24"/>
        </w:rPr>
        <w:t>Archives of Biochemistry and Biophysics</w:t>
      </w:r>
      <w:r w:rsidRPr="00D40920">
        <w:rPr>
          <w:rFonts w:ascii="Arno Pro" w:hAnsi="Arno Pro"/>
          <w:noProof/>
          <w:sz w:val="16"/>
          <w:szCs w:val="24"/>
        </w:rPr>
        <w:t>. 2011, pp 86–94. https://doi.org/10.1016/j.abb.2010.08.011.</w:t>
      </w:r>
    </w:p>
    <w:p w14:paraId="1592BFB7"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(17) </w:t>
      </w:r>
      <w:r w:rsidRPr="00D40920">
        <w:rPr>
          <w:rFonts w:ascii="Arno Pro" w:hAnsi="Arno Pro"/>
          <w:noProof/>
          <w:sz w:val="16"/>
          <w:szCs w:val="24"/>
        </w:rPr>
        <w:tab/>
        <w:t xml:space="preserve">Kim, K. R.; Oh, D. K. Production of Hydroxy Fatty Acids by Microbial Fatty Acid-Hydroxylation Enzymes. </w:t>
      </w:r>
      <w:r w:rsidRPr="00D40920">
        <w:rPr>
          <w:rFonts w:ascii="Arno Pro" w:hAnsi="Arno Pro"/>
          <w:i/>
          <w:iCs/>
          <w:noProof/>
          <w:sz w:val="16"/>
          <w:szCs w:val="24"/>
        </w:rPr>
        <w:t>Biotechnology Advances</w:t>
      </w:r>
      <w:r w:rsidRPr="00D40920">
        <w:rPr>
          <w:rFonts w:ascii="Arno Pro" w:hAnsi="Arno Pro"/>
          <w:noProof/>
          <w:sz w:val="16"/>
          <w:szCs w:val="24"/>
        </w:rPr>
        <w:t>. 2013, pp 1473–1485. https://doi.org/10.1016/j.biotechadv.2013.07.004.</w:t>
      </w:r>
    </w:p>
    <w:p w14:paraId="39D198E9"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(18) </w:t>
      </w:r>
      <w:r w:rsidRPr="00D40920">
        <w:rPr>
          <w:rFonts w:ascii="Arno Pro" w:hAnsi="Arno Pro"/>
          <w:noProof/>
          <w:sz w:val="16"/>
          <w:szCs w:val="24"/>
        </w:rPr>
        <w:tab/>
        <w:t xml:space="preserve">Honda Malca, S.; Scheps, D.; Kühnel, L.; Venegas-Venegas, E.; Seifert, A.; Nestl, B. M.; Hauer, B. Bacterial CYP153A Monooxygenases for the Synthesis of Omega-Hydroxylated Fatty Acids. </w:t>
      </w:r>
      <w:r w:rsidRPr="00D40920">
        <w:rPr>
          <w:rFonts w:ascii="Arno Pro" w:hAnsi="Arno Pro"/>
          <w:i/>
          <w:iCs/>
          <w:noProof/>
          <w:sz w:val="16"/>
          <w:szCs w:val="24"/>
        </w:rPr>
        <w:t>Chem. Commun.</w:t>
      </w:r>
      <w:r w:rsidRPr="00D40920">
        <w:rPr>
          <w:rFonts w:ascii="Arno Pro" w:hAnsi="Arno Pro"/>
          <w:noProof/>
          <w:sz w:val="16"/>
          <w:szCs w:val="24"/>
        </w:rPr>
        <w:t xml:space="preserve"> </w:t>
      </w:r>
      <w:r w:rsidRPr="00D40920">
        <w:rPr>
          <w:rFonts w:ascii="Arno Pro" w:hAnsi="Arno Pro"/>
          <w:b/>
          <w:bCs/>
          <w:noProof/>
          <w:sz w:val="16"/>
          <w:szCs w:val="24"/>
        </w:rPr>
        <w:t>2012</w:t>
      </w:r>
      <w:r w:rsidRPr="00D40920">
        <w:rPr>
          <w:rFonts w:ascii="Arno Pro" w:hAnsi="Arno Pro"/>
          <w:noProof/>
          <w:sz w:val="16"/>
          <w:szCs w:val="24"/>
        </w:rPr>
        <w:t xml:space="preserve">, </w:t>
      </w:r>
      <w:r w:rsidRPr="00D40920">
        <w:rPr>
          <w:rFonts w:ascii="Arno Pro" w:hAnsi="Arno Pro"/>
          <w:i/>
          <w:iCs/>
          <w:noProof/>
          <w:sz w:val="16"/>
          <w:szCs w:val="24"/>
        </w:rPr>
        <w:t>48</w:t>
      </w:r>
      <w:r w:rsidRPr="00D40920">
        <w:rPr>
          <w:rFonts w:ascii="Arno Pro" w:hAnsi="Arno Pro"/>
          <w:noProof/>
          <w:sz w:val="16"/>
          <w:szCs w:val="24"/>
        </w:rPr>
        <w:t xml:space="preserve"> (42), 5115–5117. https://doi.org/10.1039/c2cc18103g.</w:t>
      </w:r>
    </w:p>
    <w:p w14:paraId="38E3FCC9"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(19) </w:t>
      </w:r>
      <w:r w:rsidRPr="00D40920">
        <w:rPr>
          <w:rFonts w:ascii="Arno Pro" w:hAnsi="Arno Pro"/>
          <w:noProof/>
          <w:sz w:val="16"/>
          <w:szCs w:val="24"/>
        </w:rPr>
        <w:tab/>
        <w:t xml:space="preserve">Bornscheuer, U. T.; Huisman, G. W.; Kazlauskas, R. J.; Lutz, S.; Moore, J. C.; Robins, K. Engineering the Third Wave of Biocatalysis. </w:t>
      </w:r>
      <w:r w:rsidRPr="00D40920">
        <w:rPr>
          <w:rFonts w:ascii="Arno Pro" w:hAnsi="Arno Pro"/>
          <w:i/>
          <w:iCs/>
          <w:noProof/>
          <w:sz w:val="16"/>
          <w:szCs w:val="24"/>
        </w:rPr>
        <w:t>Nature</w:t>
      </w:r>
      <w:r w:rsidRPr="00D40920">
        <w:rPr>
          <w:rFonts w:ascii="Arno Pro" w:hAnsi="Arno Pro"/>
          <w:noProof/>
          <w:sz w:val="16"/>
          <w:szCs w:val="24"/>
        </w:rPr>
        <w:t xml:space="preserve"> </w:t>
      </w:r>
      <w:r w:rsidRPr="00D40920">
        <w:rPr>
          <w:rFonts w:ascii="Arno Pro" w:hAnsi="Arno Pro"/>
          <w:b/>
          <w:bCs/>
          <w:noProof/>
          <w:sz w:val="16"/>
          <w:szCs w:val="24"/>
        </w:rPr>
        <w:t>2012</w:t>
      </w:r>
      <w:r w:rsidRPr="00D40920">
        <w:rPr>
          <w:rFonts w:ascii="Arno Pro" w:hAnsi="Arno Pro"/>
          <w:noProof/>
          <w:sz w:val="16"/>
          <w:szCs w:val="24"/>
        </w:rPr>
        <w:t xml:space="preserve">, </w:t>
      </w:r>
      <w:r w:rsidRPr="00D40920">
        <w:rPr>
          <w:rFonts w:ascii="Arno Pro" w:hAnsi="Arno Pro"/>
          <w:i/>
          <w:iCs/>
          <w:noProof/>
          <w:sz w:val="16"/>
          <w:szCs w:val="24"/>
        </w:rPr>
        <w:t>485</w:t>
      </w:r>
      <w:r w:rsidRPr="00D40920">
        <w:rPr>
          <w:rFonts w:ascii="Arno Pro" w:hAnsi="Arno Pro"/>
          <w:noProof/>
          <w:sz w:val="16"/>
          <w:szCs w:val="24"/>
        </w:rPr>
        <w:t xml:space="preserve"> (7397), 185–194. https://doi.org/10.1038/nature11117.</w:t>
      </w:r>
    </w:p>
    <w:p w14:paraId="1D657234"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(20) </w:t>
      </w:r>
      <w:r w:rsidRPr="00D40920">
        <w:rPr>
          <w:rFonts w:ascii="Arno Pro" w:hAnsi="Arno Pro"/>
          <w:noProof/>
          <w:sz w:val="16"/>
          <w:szCs w:val="24"/>
        </w:rPr>
        <w:tab/>
        <w:t xml:space="preserve">Peters, M. W.; Meinhold, P.; Glieder, A.; Arnold, F. H. Regio- and Enantioselective Alkane Hydroxylation with Engineered Cytochromes P450 BM-3. </w:t>
      </w:r>
      <w:r w:rsidRPr="00D40920">
        <w:rPr>
          <w:rFonts w:ascii="Arno Pro" w:hAnsi="Arno Pro"/>
          <w:i/>
          <w:iCs/>
          <w:noProof/>
          <w:sz w:val="16"/>
          <w:szCs w:val="24"/>
        </w:rPr>
        <w:t>J. Am. Chem. Soc.</w:t>
      </w:r>
      <w:r w:rsidRPr="00D40920">
        <w:rPr>
          <w:rFonts w:ascii="Arno Pro" w:hAnsi="Arno Pro"/>
          <w:noProof/>
          <w:sz w:val="16"/>
          <w:szCs w:val="24"/>
        </w:rPr>
        <w:t xml:space="preserve"> </w:t>
      </w:r>
      <w:r w:rsidRPr="00D40920">
        <w:rPr>
          <w:rFonts w:ascii="Arno Pro" w:hAnsi="Arno Pro"/>
          <w:b/>
          <w:bCs/>
          <w:noProof/>
          <w:sz w:val="16"/>
          <w:szCs w:val="24"/>
        </w:rPr>
        <w:t>2003</w:t>
      </w:r>
      <w:r w:rsidRPr="00D40920">
        <w:rPr>
          <w:rFonts w:ascii="Arno Pro" w:hAnsi="Arno Pro"/>
          <w:noProof/>
          <w:sz w:val="16"/>
          <w:szCs w:val="24"/>
        </w:rPr>
        <w:t xml:space="preserve">, </w:t>
      </w:r>
      <w:r w:rsidRPr="00D40920">
        <w:rPr>
          <w:rFonts w:ascii="Arno Pro" w:hAnsi="Arno Pro"/>
          <w:i/>
          <w:iCs/>
          <w:noProof/>
          <w:sz w:val="16"/>
          <w:szCs w:val="24"/>
        </w:rPr>
        <w:t>125</w:t>
      </w:r>
      <w:r w:rsidRPr="00D40920">
        <w:rPr>
          <w:rFonts w:ascii="Arno Pro" w:hAnsi="Arno Pro"/>
          <w:noProof/>
          <w:sz w:val="16"/>
          <w:szCs w:val="24"/>
        </w:rPr>
        <w:t xml:space="preserve"> (44), 13442–13450. https://doi.org/10.1021/ja0303790.</w:t>
      </w:r>
    </w:p>
    <w:p w14:paraId="57DAFDCB"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(21) </w:t>
      </w:r>
      <w:r w:rsidRPr="00D40920">
        <w:rPr>
          <w:rFonts w:ascii="Arno Pro" w:hAnsi="Arno Pro"/>
          <w:noProof/>
          <w:sz w:val="16"/>
          <w:szCs w:val="24"/>
        </w:rPr>
        <w:tab/>
        <w:t xml:space="preserve">Privett, H. K.; Kiss, G.; Lee, T. M.; Blomberg, R.; Chica, R. A.; Thomas, L. M.; Hilvert, D.; Houk, K. N.; Mayo, S. L. Iterative </w:t>
      </w:r>
      <w:r w:rsidRPr="00D40920">
        <w:rPr>
          <w:rFonts w:ascii="Arno Pro" w:hAnsi="Arno Pro"/>
          <w:noProof/>
          <w:sz w:val="16"/>
          <w:szCs w:val="24"/>
        </w:rPr>
        <w:lastRenderedPageBreak/>
        <w:t xml:space="preserve">Approach to Computational Enzyme Design. </w:t>
      </w:r>
      <w:r w:rsidRPr="00D40920">
        <w:rPr>
          <w:rFonts w:ascii="Arno Pro" w:hAnsi="Arno Pro"/>
          <w:i/>
          <w:iCs/>
          <w:noProof/>
          <w:sz w:val="16"/>
          <w:szCs w:val="24"/>
        </w:rPr>
        <w:t>Proc. Natl. Acad. Sci. U. S. A.</w:t>
      </w:r>
      <w:r w:rsidRPr="00D40920">
        <w:rPr>
          <w:rFonts w:ascii="Arno Pro" w:hAnsi="Arno Pro"/>
          <w:noProof/>
          <w:sz w:val="16"/>
          <w:szCs w:val="24"/>
        </w:rPr>
        <w:t xml:space="preserve"> </w:t>
      </w:r>
      <w:r w:rsidRPr="00D40920">
        <w:rPr>
          <w:rFonts w:ascii="Arno Pro" w:hAnsi="Arno Pro"/>
          <w:b/>
          <w:bCs/>
          <w:noProof/>
          <w:sz w:val="16"/>
          <w:szCs w:val="24"/>
        </w:rPr>
        <w:t>2012</w:t>
      </w:r>
      <w:r w:rsidRPr="00D40920">
        <w:rPr>
          <w:rFonts w:ascii="Arno Pro" w:hAnsi="Arno Pro"/>
          <w:noProof/>
          <w:sz w:val="16"/>
          <w:szCs w:val="24"/>
        </w:rPr>
        <w:t xml:space="preserve">, </w:t>
      </w:r>
      <w:r w:rsidRPr="00D40920">
        <w:rPr>
          <w:rFonts w:ascii="Arno Pro" w:hAnsi="Arno Pro"/>
          <w:i/>
          <w:iCs/>
          <w:noProof/>
          <w:sz w:val="16"/>
          <w:szCs w:val="24"/>
        </w:rPr>
        <w:t>109</w:t>
      </w:r>
      <w:r w:rsidRPr="00D40920">
        <w:rPr>
          <w:rFonts w:ascii="Arno Pro" w:hAnsi="Arno Pro"/>
          <w:noProof/>
          <w:sz w:val="16"/>
          <w:szCs w:val="24"/>
        </w:rPr>
        <w:t xml:space="preserve"> (10), 3790–3795. https://doi.org/10.1073/pnas.1118082108.</w:t>
      </w:r>
    </w:p>
    <w:p w14:paraId="07474AD6"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(22) </w:t>
      </w:r>
      <w:r w:rsidRPr="00D40920">
        <w:rPr>
          <w:rFonts w:ascii="Arno Pro" w:hAnsi="Arno Pro"/>
          <w:noProof/>
          <w:sz w:val="16"/>
          <w:szCs w:val="24"/>
        </w:rPr>
        <w:tab/>
        <w:t xml:space="preserve">Weinstein, J.; Khersonsky, O.; Fleishman, S. J. Practically Useful Protein-Design Methods Combining Phylogenetic and Atomistic Calculations. </w:t>
      </w:r>
      <w:r w:rsidRPr="00D40920">
        <w:rPr>
          <w:rFonts w:ascii="Arno Pro" w:hAnsi="Arno Pro"/>
          <w:i/>
          <w:iCs/>
          <w:noProof/>
          <w:sz w:val="16"/>
          <w:szCs w:val="24"/>
        </w:rPr>
        <w:t>Current Opinion in Structural Biology</w:t>
      </w:r>
      <w:r w:rsidRPr="00D40920">
        <w:rPr>
          <w:rFonts w:ascii="Arno Pro" w:hAnsi="Arno Pro"/>
          <w:noProof/>
          <w:sz w:val="16"/>
          <w:szCs w:val="24"/>
        </w:rPr>
        <w:t>. 2020, pp 58–64. https://doi.org/10.1016/j.sbi.2020.04.003.</w:t>
      </w:r>
    </w:p>
    <w:p w14:paraId="550EB168"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(23) </w:t>
      </w:r>
      <w:r w:rsidRPr="00D40920">
        <w:rPr>
          <w:rFonts w:ascii="Arno Pro" w:hAnsi="Arno Pro"/>
          <w:noProof/>
          <w:sz w:val="16"/>
          <w:szCs w:val="24"/>
        </w:rPr>
        <w:tab/>
        <w:t xml:space="preserve">Sequeiros-Borja, C. E.; Surpeta, B.; Brezovsky, J. Recent Advances in User-Friendly Computational Tools to Engineer Protein Function. </w:t>
      </w:r>
      <w:r w:rsidRPr="00D40920">
        <w:rPr>
          <w:rFonts w:ascii="Arno Pro" w:hAnsi="Arno Pro"/>
          <w:i/>
          <w:iCs/>
          <w:noProof/>
          <w:sz w:val="16"/>
          <w:szCs w:val="24"/>
        </w:rPr>
        <w:t>Brief. Bioinform.</w:t>
      </w:r>
      <w:r w:rsidRPr="00D40920">
        <w:rPr>
          <w:rFonts w:ascii="Arno Pro" w:hAnsi="Arno Pro"/>
          <w:noProof/>
          <w:sz w:val="16"/>
          <w:szCs w:val="24"/>
        </w:rPr>
        <w:t xml:space="preserve"> </w:t>
      </w:r>
      <w:r w:rsidRPr="00D40920">
        <w:rPr>
          <w:rFonts w:ascii="Arno Pro" w:hAnsi="Arno Pro"/>
          <w:b/>
          <w:bCs/>
          <w:noProof/>
          <w:sz w:val="16"/>
          <w:szCs w:val="24"/>
        </w:rPr>
        <w:t>2020</w:t>
      </w:r>
      <w:r w:rsidRPr="00D40920">
        <w:rPr>
          <w:rFonts w:ascii="Arno Pro" w:hAnsi="Arno Pro"/>
          <w:noProof/>
          <w:sz w:val="16"/>
          <w:szCs w:val="24"/>
        </w:rPr>
        <w:t>. https://doi.org/10.1093/bib/bbaa150.</w:t>
      </w:r>
    </w:p>
    <w:p w14:paraId="2FB8CF6E"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(24) </w:t>
      </w:r>
      <w:r w:rsidRPr="00D40920">
        <w:rPr>
          <w:rFonts w:ascii="Arno Pro" w:hAnsi="Arno Pro"/>
          <w:noProof/>
          <w:sz w:val="16"/>
          <w:szCs w:val="24"/>
        </w:rPr>
        <w:tab/>
        <w:t xml:space="preserve">Kirtz, M.; Klebensberger, J.; Otte, K. B.; Richter, S. M.; Hauer, B. Production of ω-Hydroxy Octanoic Acid with Escherichia Coli. </w:t>
      </w:r>
      <w:r w:rsidRPr="00D40920">
        <w:rPr>
          <w:rFonts w:ascii="Arno Pro" w:hAnsi="Arno Pro"/>
          <w:i/>
          <w:iCs/>
          <w:noProof/>
          <w:sz w:val="16"/>
          <w:szCs w:val="24"/>
        </w:rPr>
        <w:t>J. Biotechnol.</w:t>
      </w:r>
      <w:r w:rsidRPr="00D40920">
        <w:rPr>
          <w:rFonts w:ascii="Arno Pro" w:hAnsi="Arno Pro"/>
          <w:noProof/>
          <w:sz w:val="16"/>
          <w:szCs w:val="24"/>
        </w:rPr>
        <w:t xml:space="preserve"> </w:t>
      </w:r>
      <w:r w:rsidRPr="00D40920">
        <w:rPr>
          <w:rFonts w:ascii="Arno Pro" w:hAnsi="Arno Pro"/>
          <w:b/>
          <w:bCs/>
          <w:noProof/>
          <w:sz w:val="16"/>
          <w:szCs w:val="24"/>
        </w:rPr>
        <w:t>2016</w:t>
      </w:r>
      <w:r w:rsidRPr="00D40920">
        <w:rPr>
          <w:rFonts w:ascii="Arno Pro" w:hAnsi="Arno Pro"/>
          <w:noProof/>
          <w:sz w:val="16"/>
          <w:szCs w:val="24"/>
        </w:rPr>
        <w:t xml:space="preserve">, </w:t>
      </w:r>
      <w:r w:rsidRPr="00D40920">
        <w:rPr>
          <w:rFonts w:ascii="Arno Pro" w:hAnsi="Arno Pro"/>
          <w:i/>
          <w:iCs/>
          <w:noProof/>
          <w:sz w:val="16"/>
          <w:szCs w:val="24"/>
        </w:rPr>
        <w:t>230</w:t>
      </w:r>
      <w:r w:rsidRPr="00D40920">
        <w:rPr>
          <w:rFonts w:ascii="Arno Pro" w:hAnsi="Arno Pro"/>
          <w:noProof/>
          <w:sz w:val="16"/>
          <w:szCs w:val="24"/>
        </w:rPr>
        <w:t>, 30–33. https://doi.org/10.1016/j.jbiotec.2016.05.017.</w:t>
      </w:r>
    </w:p>
    <w:p w14:paraId="5FFA70F9"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(25) </w:t>
      </w:r>
      <w:r w:rsidRPr="00D40920">
        <w:rPr>
          <w:rFonts w:ascii="Arno Pro" w:hAnsi="Arno Pro"/>
          <w:noProof/>
          <w:sz w:val="16"/>
          <w:szCs w:val="24"/>
        </w:rPr>
        <w:tab/>
        <w:t>Hoffmann, S. M.; Danesh</w:t>
      </w:r>
      <w:r w:rsidRPr="00D40920">
        <w:rPr>
          <w:rFonts w:ascii="Arno Pro" w:hAnsi="Arno Pro" w:cs="Cambria Math"/>
          <w:noProof/>
          <w:sz w:val="16"/>
          <w:szCs w:val="24"/>
        </w:rPr>
        <w:t>‐</w:t>
      </w:r>
      <w:r w:rsidRPr="00D40920">
        <w:rPr>
          <w:rFonts w:ascii="Arno Pro" w:hAnsi="Arno Pro"/>
          <w:noProof/>
          <w:sz w:val="16"/>
          <w:szCs w:val="24"/>
        </w:rPr>
        <w:t>Azari, H.; Spandolf, C.; Weissenborn, M. J.; Grogan, G.; Hauer, B. Structure</w:t>
      </w:r>
      <w:r w:rsidRPr="00D40920">
        <w:rPr>
          <w:rFonts w:ascii="Arno Pro" w:hAnsi="Arno Pro" w:cs="Cambria Math"/>
          <w:noProof/>
          <w:sz w:val="16"/>
          <w:szCs w:val="24"/>
        </w:rPr>
        <w:t>‐</w:t>
      </w:r>
      <w:r w:rsidRPr="00D40920">
        <w:rPr>
          <w:rFonts w:ascii="Arno Pro" w:hAnsi="Arno Pro"/>
          <w:noProof/>
          <w:sz w:val="16"/>
          <w:szCs w:val="24"/>
        </w:rPr>
        <w:t xml:space="preserve">Guided Redesign of CYP153AM.Aq for the Improved Terminal Hydroxylation of Fatty Acids. </w:t>
      </w:r>
      <w:r w:rsidRPr="00D40920">
        <w:rPr>
          <w:rFonts w:ascii="Arno Pro" w:hAnsi="Arno Pro"/>
          <w:i/>
          <w:iCs/>
          <w:noProof/>
          <w:sz w:val="16"/>
          <w:szCs w:val="24"/>
        </w:rPr>
        <w:t>ChemCatChem</w:t>
      </w:r>
      <w:r w:rsidRPr="00D40920">
        <w:rPr>
          <w:rFonts w:ascii="Arno Pro" w:hAnsi="Arno Pro"/>
          <w:noProof/>
          <w:sz w:val="16"/>
          <w:szCs w:val="24"/>
        </w:rPr>
        <w:t xml:space="preserve"> </w:t>
      </w:r>
      <w:r w:rsidRPr="00D40920">
        <w:rPr>
          <w:rFonts w:ascii="Arno Pro" w:hAnsi="Arno Pro"/>
          <w:b/>
          <w:bCs/>
          <w:noProof/>
          <w:sz w:val="16"/>
          <w:szCs w:val="24"/>
        </w:rPr>
        <w:t>2016</w:t>
      </w:r>
      <w:r w:rsidRPr="00D40920">
        <w:rPr>
          <w:rFonts w:ascii="Arno Pro" w:hAnsi="Arno Pro"/>
          <w:noProof/>
          <w:sz w:val="16"/>
          <w:szCs w:val="24"/>
        </w:rPr>
        <w:t xml:space="preserve">, </w:t>
      </w:r>
      <w:r w:rsidRPr="00D40920">
        <w:rPr>
          <w:rFonts w:ascii="Arno Pro" w:hAnsi="Arno Pro"/>
          <w:i/>
          <w:iCs/>
          <w:noProof/>
          <w:sz w:val="16"/>
          <w:szCs w:val="24"/>
        </w:rPr>
        <w:t>8</w:t>
      </w:r>
      <w:r w:rsidRPr="00D40920">
        <w:rPr>
          <w:rFonts w:ascii="Arno Pro" w:hAnsi="Arno Pro"/>
          <w:noProof/>
          <w:sz w:val="16"/>
          <w:szCs w:val="24"/>
        </w:rPr>
        <w:t xml:space="preserve"> (20), 3234–3239. https://doi.org/10.1002/cctc.201600680.</w:t>
      </w:r>
    </w:p>
    <w:p w14:paraId="25CCDB46"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(26) </w:t>
      </w:r>
      <w:r w:rsidRPr="00D40920">
        <w:rPr>
          <w:rFonts w:ascii="Arno Pro" w:hAnsi="Arno Pro"/>
          <w:noProof/>
          <w:sz w:val="16"/>
          <w:szCs w:val="24"/>
        </w:rPr>
        <w:tab/>
        <w:t xml:space="preserve">Kille, S.; Acevedo-Rocha, C. G.; Parra, L. P.; Zhang, Z. G.; Opperman, D. J.; Reetz, M. T.; Acevedo, J. P. Reducing Codon Redundancy and Screening Effort of Combinatorial Protein Libraries Created by Saturation Mutagenesis. </w:t>
      </w:r>
      <w:r w:rsidRPr="00D40920">
        <w:rPr>
          <w:rFonts w:ascii="Arno Pro" w:hAnsi="Arno Pro"/>
          <w:i/>
          <w:iCs/>
          <w:noProof/>
          <w:sz w:val="16"/>
          <w:szCs w:val="24"/>
        </w:rPr>
        <w:t>ACS Synth. Biol.</w:t>
      </w:r>
      <w:r w:rsidRPr="00D40920">
        <w:rPr>
          <w:rFonts w:ascii="Arno Pro" w:hAnsi="Arno Pro"/>
          <w:noProof/>
          <w:sz w:val="16"/>
          <w:szCs w:val="24"/>
        </w:rPr>
        <w:t xml:space="preserve"> </w:t>
      </w:r>
      <w:r w:rsidRPr="00D40920">
        <w:rPr>
          <w:rFonts w:ascii="Arno Pro" w:hAnsi="Arno Pro"/>
          <w:b/>
          <w:bCs/>
          <w:noProof/>
          <w:sz w:val="16"/>
          <w:szCs w:val="24"/>
        </w:rPr>
        <w:t>2013</w:t>
      </w:r>
      <w:r w:rsidRPr="00D40920">
        <w:rPr>
          <w:rFonts w:ascii="Arno Pro" w:hAnsi="Arno Pro"/>
          <w:noProof/>
          <w:sz w:val="16"/>
          <w:szCs w:val="24"/>
        </w:rPr>
        <w:t xml:space="preserve">, </w:t>
      </w:r>
      <w:r w:rsidRPr="00D40920">
        <w:rPr>
          <w:rFonts w:ascii="Arno Pro" w:hAnsi="Arno Pro"/>
          <w:i/>
          <w:iCs/>
          <w:noProof/>
          <w:sz w:val="16"/>
          <w:szCs w:val="24"/>
        </w:rPr>
        <w:t>2</w:t>
      </w:r>
      <w:r w:rsidRPr="00D40920">
        <w:rPr>
          <w:rFonts w:ascii="Arno Pro" w:hAnsi="Arno Pro"/>
          <w:noProof/>
          <w:sz w:val="16"/>
          <w:szCs w:val="24"/>
        </w:rPr>
        <w:t xml:space="preserve"> (2), 83–92. https://doi.org/10.1021/sb300037w.</w:t>
      </w:r>
    </w:p>
    <w:p w14:paraId="3F04C59A"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(27) </w:t>
      </w:r>
      <w:r w:rsidRPr="00D40920">
        <w:rPr>
          <w:rFonts w:ascii="Arno Pro" w:hAnsi="Arno Pro"/>
          <w:noProof/>
          <w:sz w:val="16"/>
          <w:szCs w:val="24"/>
        </w:rPr>
        <w:tab/>
        <w:t xml:space="preserve">Khersonsky, O.; Röthlisberger, D.; Wollacott, A. M.; Murphy, P.; Dym, O.; Albeck, S.; Kiss, G.; Houk, K. N.; Baker, D.; Tawfik, D. S. Optimization of the In-Silico-Designed Kemp Eliminase KE70 by Computational Design and Directed Evolution. </w:t>
      </w:r>
      <w:r w:rsidRPr="00D40920">
        <w:rPr>
          <w:rFonts w:ascii="Arno Pro" w:hAnsi="Arno Pro"/>
          <w:i/>
          <w:iCs/>
          <w:noProof/>
          <w:sz w:val="16"/>
          <w:szCs w:val="24"/>
        </w:rPr>
        <w:t>J. Mol. Biol.</w:t>
      </w:r>
      <w:r w:rsidRPr="00D40920">
        <w:rPr>
          <w:rFonts w:ascii="Arno Pro" w:hAnsi="Arno Pro"/>
          <w:noProof/>
          <w:sz w:val="16"/>
          <w:szCs w:val="24"/>
        </w:rPr>
        <w:t xml:space="preserve"> </w:t>
      </w:r>
      <w:r w:rsidRPr="00D40920">
        <w:rPr>
          <w:rFonts w:ascii="Arno Pro" w:hAnsi="Arno Pro"/>
          <w:b/>
          <w:bCs/>
          <w:noProof/>
          <w:sz w:val="16"/>
          <w:szCs w:val="24"/>
        </w:rPr>
        <w:t>2011</w:t>
      </w:r>
      <w:r w:rsidRPr="00D40920">
        <w:rPr>
          <w:rFonts w:ascii="Arno Pro" w:hAnsi="Arno Pro"/>
          <w:noProof/>
          <w:sz w:val="16"/>
          <w:szCs w:val="24"/>
        </w:rPr>
        <w:t xml:space="preserve">, </w:t>
      </w:r>
      <w:r w:rsidRPr="00D40920">
        <w:rPr>
          <w:rFonts w:ascii="Arno Pro" w:hAnsi="Arno Pro"/>
          <w:i/>
          <w:iCs/>
          <w:noProof/>
          <w:sz w:val="16"/>
          <w:szCs w:val="24"/>
        </w:rPr>
        <w:t>407</w:t>
      </w:r>
      <w:r w:rsidRPr="00D40920">
        <w:rPr>
          <w:rFonts w:ascii="Arno Pro" w:hAnsi="Arno Pro"/>
          <w:noProof/>
          <w:sz w:val="16"/>
          <w:szCs w:val="24"/>
        </w:rPr>
        <w:t xml:space="preserve"> (3), 391–412. </w:t>
      </w:r>
      <w:r w:rsidRPr="00D40920">
        <w:rPr>
          <w:rFonts w:ascii="Arno Pro" w:hAnsi="Arno Pro"/>
          <w:noProof/>
          <w:sz w:val="16"/>
          <w:szCs w:val="24"/>
        </w:rPr>
        <w:t>https://doi.org/10.1016/j.jmb.2011.01.041.</w:t>
      </w:r>
    </w:p>
    <w:p w14:paraId="351D6F20" w14:textId="77777777" w:rsidR="00D40920" w:rsidRPr="0037333F" w:rsidRDefault="00D40920" w:rsidP="00D40920">
      <w:pPr>
        <w:widowControl w:val="0"/>
        <w:autoSpaceDE w:val="0"/>
        <w:autoSpaceDN w:val="0"/>
        <w:adjustRightInd w:val="0"/>
        <w:spacing w:after="0"/>
        <w:ind w:left="640" w:hanging="640"/>
        <w:rPr>
          <w:rFonts w:ascii="Arno Pro" w:hAnsi="Arno Pro"/>
          <w:noProof/>
          <w:sz w:val="16"/>
          <w:szCs w:val="24"/>
        </w:rPr>
      </w:pPr>
      <w:r w:rsidRPr="00D40920">
        <w:rPr>
          <w:rFonts w:ascii="Arno Pro" w:hAnsi="Arno Pro"/>
          <w:noProof/>
          <w:sz w:val="16"/>
          <w:szCs w:val="24"/>
        </w:rPr>
        <w:t xml:space="preserve">(28) </w:t>
      </w:r>
      <w:r w:rsidRPr="00D40920">
        <w:rPr>
          <w:rFonts w:ascii="Arno Pro" w:hAnsi="Arno Pro"/>
          <w:noProof/>
          <w:sz w:val="16"/>
          <w:szCs w:val="24"/>
        </w:rPr>
        <w:tab/>
      </w:r>
      <w:r w:rsidRPr="0037333F">
        <w:rPr>
          <w:rFonts w:ascii="Arno Pro" w:hAnsi="Arno Pro"/>
          <w:noProof/>
          <w:sz w:val="16"/>
          <w:szCs w:val="24"/>
        </w:rPr>
        <w:t xml:space="preserve">Fasan, R.; Meharenna, Y. T.; Snow, C. D.; Poulos, T. L.; Arnold, F. H. Evolutionary History of a Specialized P450 Propane Monooxygenase. </w:t>
      </w:r>
      <w:r w:rsidRPr="0037333F">
        <w:rPr>
          <w:rFonts w:ascii="Arno Pro" w:hAnsi="Arno Pro"/>
          <w:i/>
          <w:iCs/>
          <w:noProof/>
          <w:sz w:val="16"/>
          <w:szCs w:val="24"/>
        </w:rPr>
        <w:t>J. Mol. Biol.</w:t>
      </w:r>
      <w:r w:rsidRPr="0037333F">
        <w:rPr>
          <w:rFonts w:ascii="Arno Pro" w:hAnsi="Arno Pro"/>
          <w:noProof/>
          <w:sz w:val="16"/>
          <w:szCs w:val="24"/>
        </w:rPr>
        <w:t xml:space="preserve"> </w:t>
      </w:r>
      <w:r w:rsidRPr="0037333F">
        <w:rPr>
          <w:rFonts w:ascii="Arno Pro" w:hAnsi="Arno Pro"/>
          <w:b/>
          <w:bCs/>
          <w:noProof/>
          <w:sz w:val="16"/>
          <w:szCs w:val="24"/>
        </w:rPr>
        <w:t>2008</w:t>
      </w:r>
      <w:r w:rsidRPr="0037333F">
        <w:rPr>
          <w:rFonts w:ascii="Arno Pro" w:hAnsi="Arno Pro"/>
          <w:noProof/>
          <w:sz w:val="16"/>
          <w:szCs w:val="24"/>
        </w:rPr>
        <w:t xml:space="preserve">, </w:t>
      </w:r>
      <w:r w:rsidRPr="0037333F">
        <w:rPr>
          <w:rFonts w:ascii="Arno Pro" w:hAnsi="Arno Pro"/>
          <w:i/>
          <w:iCs/>
          <w:noProof/>
          <w:sz w:val="16"/>
          <w:szCs w:val="24"/>
        </w:rPr>
        <w:t>383</w:t>
      </w:r>
      <w:r w:rsidRPr="0037333F">
        <w:rPr>
          <w:rFonts w:ascii="Arno Pro" w:hAnsi="Arno Pro"/>
          <w:noProof/>
          <w:sz w:val="16"/>
          <w:szCs w:val="24"/>
        </w:rPr>
        <w:t xml:space="preserve"> (5), 1069–1080. https://doi.org/10.1016/j.jmb.2008.06.060.</w:t>
      </w:r>
    </w:p>
    <w:p w14:paraId="453CF1B8" w14:textId="77777777" w:rsidR="00D40920" w:rsidRPr="0037333F" w:rsidRDefault="00D40920" w:rsidP="00D40920">
      <w:pPr>
        <w:widowControl w:val="0"/>
        <w:autoSpaceDE w:val="0"/>
        <w:autoSpaceDN w:val="0"/>
        <w:adjustRightInd w:val="0"/>
        <w:spacing w:after="0"/>
        <w:ind w:left="640" w:hanging="640"/>
        <w:rPr>
          <w:rFonts w:ascii="Arno Pro" w:hAnsi="Arno Pro"/>
          <w:noProof/>
          <w:sz w:val="16"/>
          <w:szCs w:val="24"/>
        </w:rPr>
      </w:pPr>
      <w:r w:rsidRPr="0037333F">
        <w:rPr>
          <w:rFonts w:ascii="Arno Pro" w:hAnsi="Arno Pro"/>
          <w:noProof/>
          <w:sz w:val="16"/>
          <w:szCs w:val="24"/>
        </w:rPr>
        <w:t xml:space="preserve">(29) </w:t>
      </w:r>
      <w:r w:rsidRPr="0037333F">
        <w:rPr>
          <w:rFonts w:ascii="Arno Pro" w:hAnsi="Arno Pro"/>
          <w:noProof/>
          <w:sz w:val="16"/>
          <w:szCs w:val="24"/>
        </w:rPr>
        <w:tab/>
        <w:t xml:space="preserve">Scheps, D.; Honda Malca, S.; Hoffmann, H.; Nestl, B. M.; Hauer, B. Regioselective ω-Hydroxylation of Medium-Chain n-Alkanes and Primary Alcohols by CYP153 Enzymes from Mycobacterium Marinum and Polaromonas Sp. Strain JS666. </w:t>
      </w:r>
      <w:r w:rsidRPr="0037333F">
        <w:rPr>
          <w:rFonts w:ascii="Arno Pro" w:hAnsi="Arno Pro"/>
          <w:i/>
          <w:iCs/>
          <w:noProof/>
          <w:sz w:val="16"/>
          <w:szCs w:val="24"/>
        </w:rPr>
        <w:t>Org. Biomol. Chem.</w:t>
      </w:r>
      <w:r w:rsidRPr="0037333F">
        <w:rPr>
          <w:rFonts w:ascii="Arno Pro" w:hAnsi="Arno Pro"/>
          <w:noProof/>
          <w:sz w:val="16"/>
          <w:szCs w:val="24"/>
        </w:rPr>
        <w:t xml:space="preserve"> </w:t>
      </w:r>
      <w:r w:rsidRPr="0037333F">
        <w:rPr>
          <w:rFonts w:ascii="Arno Pro" w:hAnsi="Arno Pro"/>
          <w:b/>
          <w:bCs/>
          <w:noProof/>
          <w:sz w:val="16"/>
          <w:szCs w:val="24"/>
        </w:rPr>
        <w:t>2011</w:t>
      </w:r>
      <w:r w:rsidRPr="0037333F">
        <w:rPr>
          <w:rFonts w:ascii="Arno Pro" w:hAnsi="Arno Pro"/>
          <w:noProof/>
          <w:sz w:val="16"/>
          <w:szCs w:val="24"/>
        </w:rPr>
        <w:t xml:space="preserve">, </w:t>
      </w:r>
      <w:r w:rsidRPr="0037333F">
        <w:rPr>
          <w:rFonts w:ascii="Arno Pro" w:hAnsi="Arno Pro"/>
          <w:i/>
          <w:iCs/>
          <w:noProof/>
          <w:sz w:val="16"/>
          <w:szCs w:val="24"/>
        </w:rPr>
        <w:t>9</w:t>
      </w:r>
      <w:r w:rsidRPr="0037333F">
        <w:rPr>
          <w:rFonts w:ascii="Arno Pro" w:hAnsi="Arno Pro"/>
          <w:noProof/>
          <w:sz w:val="16"/>
          <w:szCs w:val="24"/>
        </w:rPr>
        <w:t xml:space="preserve"> (19), 6727–6733. https://doi.org/10.1039/c1ob05565h.</w:t>
      </w:r>
    </w:p>
    <w:p w14:paraId="4E120A8B" w14:textId="77777777" w:rsidR="00D40920" w:rsidRPr="0037333F" w:rsidRDefault="00D40920" w:rsidP="00D40920">
      <w:pPr>
        <w:widowControl w:val="0"/>
        <w:autoSpaceDE w:val="0"/>
        <w:autoSpaceDN w:val="0"/>
        <w:adjustRightInd w:val="0"/>
        <w:spacing w:after="0"/>
        <w:ind w:left="640" w:hanging="640"/>
        <w:rPr>
          <w:rFonts w:ascii="Arno Pro" w:hAnsi="Arno Pro"/>
          <w:noProof/>
          <w:sz w:val="16"/>
          <w:szCs w:val="24"/>
        </w:rPr>
      </w:pPr>
      <w:r w:rsidRPr="0037333F">
        <w:rPr>
          <w:rFonts w:ascii="Arno Pro" w:hAnsi="Arno Pro"/>
          <w:noProof/>
          <w:sz w:val="16"/>
          <w:szCs w:val="24"/>
        </w:rPr>
        <w:t xml:space="preserve">(30) </w:t>
      </w:r>
      <w:r w:rsidRPr="0037333F">
        <w:rPr>
          <w:rFonts w:ascii="Arno Pro" w:hAnsi="Arno Pro"/>
          <w:noProof/>
          <w:sz w:val="16"/>
          <w:szCs w:val="24"/>
        </w:rPr>
        <w:tab/>
        <w:t xml:space="preserve">Marques, S. M.; Dunajova, Z.; Prokop, Z.; Chaloupkova, R.; Brezovsky, J.; Damborsky, J. Catalytic Cycle of Haloalkane Dehalogenases Toward Unnatural Substrates Explored by Computational Modeling. </w:t>
      </w:r>
      <w:r w:rsidRPr="0037333F">
        <w:rPr>
          <w:rFonts w:ascii="Arno Pro" w:hAnsi="Arno Pro"/>
          <w:i/>
          <w:iCs/>
          <w:noProof/>
          <w:sz w:val="16"/>
          <w:szCs w:val="24"/>
        </w:rPr>
        <w:t>J. Chem. Inf. Model.</w:t>
      </w:r>
      <w:r w:rsidRPr="0037333F">
        <w:rPr>
          <w:rFonts w:ascii="Arno Pro" w:hAnsi="Arno Pro"/>
          <w:noProof/>
          <w:sz w:val="16"/>
          <w:szCs w:val="24"/>
        </w:rPr>
        <w:t xml:space="preserve"> </w:t>
      </w:r>
      <w:r w:rsidRPr="0037333F">
        <w:rPr>
          <w:rFonts w:ascii="Arno Pro" w:hAnsi="Arno Pro"/>
          <w:b/>
          <w:bCs/>
          <w:noProof/>
          <w:sz w:val="16"/>
          <w:szCs w:val="24"/>
        </w:rPr>
        <w:t>2017</w:t>
      </w:r>
      <w:r w:rsidRPr="0037333F">
        <w:rPr>
          <w:rFonts w:ascii="Arno Pro" w:hAnsi="Arno Pro"/>
          <w:noProof/>
          <w:sz w:val="16"/>
          <w:szCs w:val="24"/>
        </w:rPr>
        <w:t xml:space="preserve">, </w:t>
      </w:r>
      <w:r w:rsidRPr="0037333F">
        <w:rPr>
          <w:rFonts w:ascii="Arno Pro" w:hAnsi="Arno Pro"/>
          <w:i/>
          <w:iCs/>
          <w:noProof/>
          <w:sz w:val="16"/>
          <w:szCs w:val="24"/>
        </w:rPr>
        <w:t>57</w:t>
      </w:r>
      <w:r w:rsidRPr="0037333F">
        <w:rPr>
          <w:rFonts w:ascii="Arno Pro" w:hAnsi="Arno Pro"/>
          <w:noProof/>
          <w:sz w:val="16"/>
          <w:szCs w:val="24"/>
        </w:rPr>
        <w:t xml:space="preserve"> (8). https://doi.org/10.1021/acs.jcim.7b00070.</w:t>
      </w:r>
    </w:p>
    <w:p w14:paraId="252B4326" w14:textId="77777777" w:rsidR="00D40920" w:rsidRPr="0037333F" w:rsidRDefault="00D40920" w:rsidP="00D40920">
      <w:pPr>
        <w:widowControl w:val="0"/>
        <w:autoSpaceDE w:val="0"/>
        <w:autoSpaceDN w:val="0"/>
        <w:adjustRightInd w:val="0"/>
        <w:spacing w:after="0"/>
        <w:ind w:left="640" w:hanging="640"/>
        <w:rPr>
          <w:rFonts w:ascii="Arno Pro" w:hAnsi="Arno Pro"/>
          <w:noProof/>
          <w:sz w:val="16"/>
          <w:szCs w:val="24"/>
        </w:rPr>
      </w:pPr>
      <w:r w:rsidRPr="0037333F">
        <w:rPr>
          <w:rFonts w:ascii="Arno Pro" w:hAnsi="Arno Pro"/>
          <w:noProof/>
          <w:sz w:val="16"/>
          <w:szCs w:val="24"/>
        </w:rPr>
        <w:t xml:space="preserve">(31) </w:t>
      </w:r>
      <w:r w:rsidRPr="0037333F">
        <w:rPr>
          <w:rFonts w:ascii="Arno Pro" w:hAnsi="Arno Pro"/>
          <w:noProof/>
          <w:sz w:val="16"/>
          <w:szCs w:val="24"/>
        </w:rPr>
        <w:tab/>
        <w:t xml:space="preserve">Dietrich, M.; Do, T. A.; Schmid, R. D.; Pleiss, J.; Urlacher, V. B. Altering the Regioselectivity of the Subterminal Fatty Acid Hydroxylase P450 BM-3 towards γ- and δ-Positions. </w:t>
      </w:r>
      <w:r w:rsidRPr="0037333F">
        <w:rPr>
          <w:rFonts w:ascii="Arno Pro" w:hAnsi="Arno Pro"/>
          <w:i/>
          <w:iCs/>
          <w:noProof/>
          <w:sz w:val="16"/>
          <w:szCs w:val="24"/>
        </w:rPr>
        <w:t>J. Biotechnol.</w:t>
      </w:r>
      <w:r w:rsidRPr="0037333F">
        <w:rPr>
          <w:rFonts w:ascii="Arno Pro" w:hAnsi="Arno Pro"/>
          <w:noProof/>
          <w:sz w:val="16"/>
          <w:szCs w:val="24"/>
        </w:rPr>
        <w:t xml:space="preserve"> </w:t>
      </w:r>
      <w:r w:rsidRPr="0037333F">
        <w:rPr>
          <w:rFonts w:ascii="Arno Pro" w:hAnsi="Arno Pro"/>
          <w:b/>
          <w:bCs/>
          <w:noProof/>
          <w:sz w:val="16"/>
          <w:szCs w:val="24"/>
        </w:rPr>
        <w:t>2009</w:t>
      </w:r>
      <w:r w:rsidRPr="0037333F">
        <w:rPr>
          <w:rFonts w:ascii="Arno Pro" w:hAnsi="Arno Pro"/>
          <w:noProof/>
          <w:sz w:val="16"/>
          <w:szCs w:val="24"/>
        </w:rPr>
        <w:t xml:space="preserve">, </w:t>
      </w:r>
      <w:r w:rsidRPr="0037333F">
        <w:rPr>
          <w:rFonts w:ascii="Arno Pro" w:hAnsi="Arno Pro"/>
          <w:i/>
          <w:iCs/>
          <w:noProof/>
          <w:sz w:val="16"/>
          <w:szCs w:val="24"/>
        </w:rPr>
        <w:t>139</w:t>
      </w:r>
      <w:r w:rsidRPr="0037333F">
        <w:rPr>
          <w:rFonts w:ascii="Arno Pro" w:hAnsi="Arno Pro"/>
          <w:noProof/>
          <w:sz w:val="16"/>
          <w:szCs w:val="24"/>
        </w:rPr>
        <w:t xml:space="preserve"> (1), 115–117. https://doi.org/10.1016/j.jbiotec.2008.10.002.</w:t>
      </w:r>
    </w:p>
    <w:p w14:paraId="07BBDBAE"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szCs w:val="24"/>
        </w:rPr>
      </w:pPr>
      <w:r w:rsidRPr="0037333F">
        <w:rPr>
          <w:rFonts w:ascii="Arno Pro" w:hAnsi="Arno Pro"/>
          <w:noProof/>
          <w:sz w:val="16"/>
          <w:szCs w:val="24"/>
        </w:rPr>
        <w:t xml:space="preserve">(32) </w:t>
      </w:r>
      <w:r w:rsidRPr="0037333F">
        <w:rPr>
          <w:rFonts w:ascii="Arno Pro" w:hAnsi="Arno Pro"/>
          <w:noProof/>
          <w:sz w:val="16"/>
          <w:szCs w:val="24"/>
        </w:rPr>
        <w:tab/>
        <w:t xml:space="preserve">Ost, T. W. B.; Miles, C. S.; Murdoch, J.; Cheung, Y. F.; Reid, G. A.; Chapman, S. K.; Munro, A. W. Rational Re-Design of the Substrate Binding Site of Flavocytochrome P450 BM3. </w:t>
      </w:r>
      <w:r w:rsidRPr="0037333F">
        <w:rPr>
          <w:rFonts w:ascii="Arno Pro" w:hAnsi="Arno Pro"/>
          <w:i/>
          <w:iCs/>
          <w:noProof/>
          <w:sz w:val="16"/>
          <w:szCs w:val="24"/>
        </w:rPr>
        <w:t>FEBS Lett.</w:t>
      </w:r>
      <w:r w:rsidRPr="0037333F">
        <w:rPr>
          <w:rFonts w:ascii="Arno Pro" w:hAnsi="Arno Pro"/>
          <w:noProof/>
          <w:sz w:val="16"/>
          <w:szCs w:val="24"/>
        </w:rPr>
        <w:t xml:space="preserve"> </w:t>
      </w:r>
      <w:r w:rsidRPr="0037333F">
        <w:rPr>
          <w:rFonts w:ascii="Arno Pro" w:hAnsi="Arno Pro"/>
          <w:b/>
          <w:bCs/>
          <w:noProof/>
          <w:sz w:val="16"/>
          <w:szCs w:val="24"/>
        </w:rPr>
        <w:t>2000</w:t>
      </w:r>
      <w:r w:rsidRPr="0037333F">
        <w:rPr>
          <w:rFonts w:ascii="Arno Pro" w:hAnsi="Arno Pro"/>
          <w:noProof/>
          <w:sz w:val="16"/>
          <w:szCs w:val="24"/>
        </w:rPr>
        <w:t xml:space="preserve">, </w:t>
      </w:r>
      <w:r w:rsidRPr="0037333F">
        <w:rPr>
          <w:rFonts w:ascii="Arno Pro" w:hAnsi="Arno Pro"/>
          <w:i/>
          <w:iCs/>
          <w:noProof/>
          <w:sz w:val="16"/>
          <w:szCs w:val="24"/>
        </w:rPr>
        <w:t>486</w:t>
      </w:r>
      <w:r w:rsidRPr="0037333F">
        <w:rPr>
          <w:rFonts w:ascii="Arno Pro" w:hAnsi="Arno Pro"/>
          <w:noProof/>
          <w:sz w:val="16"/>
          <w:szCs w:val="24"/>
        </w:rPr>
        <w:t xml:space="preserve"> (2), 173–177. https://doi.org/10.1016/S0014-5793(00)02267-5.</w:t>
      </w:r>
    </w:p>
    <w:p w14:paraId="4CE751A4" w14:textId="77777777" w:rsidR="00D40920" w:rsidRPr="00D40920" w:rsidRDefault="00D40920" w:rsidP="00D40920">
      <w:pPr>
        <w:widowControl w:val="0"/>
        <w:autoSpaceDE w:val="0"/>
        <w:autoSpaceDN w:val="0"/>
        <w:adjustRightInd w:val="0"/>
        <w:spacing w:after="0"/>
        <w:ind w:left="640" w:hanging="640"/>
        <w:rPr>
          <w:rFonts w:ascii="Arno Pro" w:hAnsi="Arno Pro"/>
          <w:noProof/>
          <w:sz w:val="16"/>
        </w:rPr>
      </w:pPr>
      <w:r w:rsidRPr="00D40920">
        <w:rPr>
          <w:rFonts w:ascii="Arno Pro" w:hAnsi="Arno Pro"/>
          <w:noProof/>
          <w:sz w:val="16"/>
          <w:szCs w:val="24"/>
        </w:rPr>
        <w:t xml:space="preserve">(33) </w:t>
      </w:r>
      <w:r w:rsidRPr="00D40920">
        <w:rPr>
          <w:rFonts w:ascii="Arno Pro" w:hAnsi="Arno Pro"/>
          <w:noProof/>
          <w:sz w:val="16"/>
          <w:szCs w:val="24"/>
        </w:rPr>
        <w:tab/>
        <w:t xml:space="preserve">Warshel, A. Electrostatic Origin of the Catalytic Power of Enzymes and the Role of Preorganized Active Sites. </w:t>
      </w:r>
      <w:r w:rsidRPr="00D40920">
        <w:rPr>
          <w:rFonts w:ascii="Arno Pro" w:hAnsi="Arno Pro"/>
          <w:i/>
          <w:iCs/>
          <w:noProof/>
          <w:sz w:val="16"/>
          <w:szCs w:val="24"/>
        </w:rPr>
        <w:t>Journal of Biological Chemistry</w:t>
      </w:r>
      <w:r w:rsidRPr="00D40920">
        <w:rPr>
          <w:rFonts w:ascii="Arno Pro" w:hAnsi="Arno Pro"/>
          <w:noProof/>
          <w:sz w:val="16"/>
          <w:szCs w:val="24"/>
        </w:rPr>
        <w:t>. 1998, pp 27035–27038. https://doi.org/10.1074/jbc.273.42.27035.</w:t>
      </w:r>
    </w:p>
    <w:p w14:paraId="4009930F" w14:textId="77777777" w:rsidR="001948EF" w:rsidRPr="001948EF" w:rsidRDefault="001948EF" w:rsidP="001948EF">
      <w:pPr>
        <w:pStyle w:val="TFReferencesSection"/>
        <w:sectPr w:rsidR="001948EF" w:rsidRPr="001948EF" w:rsidSect="00AB52C6">
          <w:type w:val="continuous"/>
          <w:pgSz w:w="12240" w:h="15840"/>
          <w:pgMar w:top="720" w:right="1094" w:bottom="720" w:left="1094" w:header="720" w:footer="720" w:gutter="0"/>
          <w:cols w:num="2" w:space="461"/>
        </w:sectPr>
      </w:pPr>
      <w:r>
        <w:fldChar w:fldCharType="end"/>
      </w:r>
    </w:p>
    <w:p w14:paraId="4A5B6FBB" w14:textId="24CDD07D" w:rsidR="00A66EDD" w:rsidRDefault="00A66EDD" w:rsidP="00404978">
      <w:pPr>
        <w:tabs>
          <w:tab w:val="left" w:pos="4140"/>
        </w:tabs>
        <w:rPr>
          <w:rFonts w:ascii="Arno Pro" w:hAnsi="Arno Pro"/>
        </w:rPr>
      </w:pPr>
    </w:p>
    <w:p w14:paraId="49064DF9" w14:textId="77777777" w:rsidR="003E13A5" w:rsidRDefault="003E13A5" w:rsidP="00404978">
      <w:pPr>
        <w:tabs>
          <w:tab w:val="left" w:pos="4140"/>
        </w:tabs>
        <w:rPr>
          <w:rFonts w:ascii="Arno Pro" w:hAnsi="Arno Pro"/>
        </w:rPr>
      </w:pPr>
    </w:p>
    <w:p w14:paraId="68F6D6C9" w14:textId="77777777" w:rsidR="003E13A5" w:rsidRDefault="003E13A5" w:rsidP="00404978">
      <w:pPr>
        <w:tabs>
          <w:tab w:val="left" w:pos="4140"/>
        </w:tabs>
        <w:rPr>
          <w:rFonts w:ascii="Arno Pro" w:hAnsi="Arno Pro"/>
        </w:rPr>
      </w:pPr>
    </w:p>
    <w:p w14:paraId="06C4069B" w14:textId="6E19D7E3" w:rsidR="003E13A5" w:rsidRPr="00D47DF8" w:rsidRDefault="003E13A5" w:rsidP="003E13A5">
      <w:pPr>
        <w:pStyle w:val="TAMainText"/>
        <w:rPr>
          <w:noProof/>
          <w:lang w:eastAsia="de-DE"/>
        </w:rPr>
      </w:pPr>
      <w:r w:rsidRPr="00D47DF8">
        <w:rPr>
          <w:noProof/>
          <w:lang w:eastAsia="de-DE"/>
        </w:rPr>
        <w:t>For Table of contents Only</w:t>
      </w:r>
    </w:p>
    <w:p w14:paraId="707C1540" w14:textId="6E235F60" w:rsidR="003E13A5" w:rsidRPr="00404978" w:rsidRDefault="00EE3E33" w:rsidP="00404978">
      <w:pPr>
        <w:tabs>
          <w:tab w:val="left" w:pos="4140"/>
        </w:tabs>
        <w:rPr>
          <w:rFonts w:ascii="Arno Pro" w:hAnsi="Arno Pro"/>
        </w:rPr>
      </w:pPr>
      <w:r>
        <w:rPr>
          <w:rFonts w:ascii="Arno Pro" w:hAnsi="Arno Pro"/>
          <w:noProof/>
          <w:lang w:val="de-DE" w:eastAsia="de-DE"/>
        </w:rPr>
        <w:drawing>
          <wp:inline distT="0" distB="0" distL="0" distR="0" wp14:anchorId="5E0ED0DF" wp14:editId="2C0B025C">
            <wp:extent cx="2932176" cy="1709928"/>
            <wp:effectExtent l="0" t="0" r="190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Abstract_ACSCatal.tif"/>
                    <pic:cNvPicPr/>
                  </pic:nvPicPr>
                  <pic:blipFill>
                    <a:blip r:embed="rId17">
                      <a:extLst>
                        <a:ext uri="{28A0092B-C50C-407E-A947-70E740481C1C}">
                          <a14:useLocalDpi xmlns:a14="http://schemas.microsoft.com/office/drawing/2010/main" val="0"/>
                        </a:ext>
                      </a:extLst>
                    </a:blip>
                    <a:stretch>
                      <a:fillRect/>
                    </a:stretch>
                  </pic:blipFill>
                  <pic:spPr>
                    <a:xfrm>
                      <a:off x="0" y="0"/>
                      <a:ext cx="2932176" cy="1709928"/>
                    </a:xfrm>
                    <a:prstGeom prst="rect">
                      <a:avLst/>
                    </a:prstGeom>
                  </pic:spPr>
                </pic:pic>
              </a:graphicData>
            </a:graphic>
          </wp:inline>
        </w:drawing>
      </w:r>
    </w:p>
    <w:sectPr w:rsidR="003E13A5" w:rsidRPr="00404978" w:rsidSect="00984F9E">
      <w:headerReference w:type="even" r:id="rId18"/>
      <w:footerReference w:type="even" r:id="rId19"/>
      <w:footerReference w:type="default" r:id="rId20"/>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793C5" w14:textId="77777777" w:rsidR="002C60B1" w:rsidRDefault="002C60B1">
      <w:r>
        <w:separator/>
      </w:r>
    </w:p>
    <w:p w14:paraId="739CCF05" w14:textId="77777777" w:rsidR="002C60B1" w:rsidRDefault="002C60B1"/>
  </w:endnote>
  <w:endnote w:type="continuationSeparator" w:id="0">
    <w:p w14:paraId="73A66DC5" w14:textId="77777777" w:rsidR="002C60B1" w:rsidRDefault="002C60B1">
      <w:r>
        <w:continuationSeparator/>
      </w:r>
    </w:p>
    <w:p w14:paraId="52CE169A" w14:textId="77777777" w:rsidR="002C60B1" w:rsidRDefault="002C60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embedRegular r:id="rId1" w:fontKey="{5A112AC7-F43F-4734-8CEC-266D11D11E03}"/>
    <w:embedBold r:id="rId2" w:fontKey="{B572EC0C-5A50-4CCD-8922-2F43A6575C81}"/>
  </w:font>
  <w:font w:name="Myriad Pro Light">
    <w:altName w:val="Times New Roman"/>
    <w:panose1 w:val="00000000000000000000"/>
    <w:charset w:val="00"/>
    <w:family w:val="swiss"/>
    <w:notTrueType/>
    <w:pitch w:val="variable"/>
    <w:sig w:usb0="A00002AF" w:usb1="5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Arno Pro">
    <w:altName w:val="Constant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embedRegular r:id="rId3" w:subsetted="1" w:fontKey="{343A7A51-C017-4F1B-B9EF-1C1B167ECCFB}"/>
  </w:font>
  <w:font w:name="Cambria">
    <w:panose1 w:val="02040503050406030204"/>
    <w:charset w:val="00"/>
    <w:family w:val="roman"/>
    <w:pitch w:val="variable"/>
    <w:sig w:usb0="E00002FF" w:usb1="400004FF" w:usb2="00000000" w:usb3="00000000" w:csb0="0000019F" w:csb1="00000000"/>
  </w:font>
  <w:font w:name="AdvPA183">
    <w:altName w:val="Times New Roman"/>
    <w:charset w:val="00"/>
    <w:family w:val="roman"/>
    <w:pitch w:val="default"/>
  </w:font>
  <w:font w:name="Constantia">
    <w:panose1 w:val="02030602050306030303"/>
    <w:charset w:val="00"/>
    <w:family w:val="roman"/>
    <w:pitch w:val="variable"/>
    <w:sig w:usb0="A00002EF" w:usb1="4000204B" w:usb2="00000000" w:usb3="00000000" w:csb0="0000019F" w:csb1="00000000"/>
    <w:embedRegular r:id="rId4" w:fontKey="{9F4119C6-7F28-4EB1-8024-6715466C8657}"/>
  </w:font>
  <w:font w:name="Cambria Math">
    <w:panose1 w:val="02040503050406030204"/>
    <w:charset w:val="00"/>
    <w:family w:val="roman"/>
    <w:pitch w:val="variable"/>
    <w:sig w:usb0="E00002FF" w:usb1="420024FF" w:usb2="00000000" w:usb3="00000000" w:csb0="0000019F" w:csb1="00000000"/>
    <w:embedRegular r:id="rId5" w:subsetted="1" w:fontKey="{96A040F3-7212-4379-BA3C-D9BE0227A8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300B1" w14:textId="77777777" w:rsidR="006260F5" w:rsidRDefault="006260F5">
    <w:pPr>
      <w:framePr w:wrap="around" w:vAnchor="text" w:hAnchor="margin" w:xAlign="right" w:y="1"/>
      <w:rPr>
        <w:rStyle w:val="PageNumber"/>
      </w:rPr>
    </w:pPr>
    <w:r>
      <w:rPr>
        <w:rStyle w:val="PageNumber"/>
      </w:rPr>
      <w:t xml:space="preserve">PAGE  </w:t>
    </w:r>
    <w:r>
      <w:rPr>
        <w:rStyle w:val="PageNumber"/>
        <w:noProof/>
      </w:rPr>
      <w:t>2</w:t>
    </w:r>
  </w:p>
  <w:p w14:paraId="3FEE769E" w14:textId="77777777" w:rsidR="006260F5" w:rsidRDefault="006260F5">
    <w:pP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5B9436" w14:textId="77777777" w:rsidR="006260F5" w:rsidRDefault="006260F5">
    <w:pP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31D14" w14:textId="77777777" w:rsidR="006260F5" w:rsidRDefault="006260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9F7163" w14:textId="77777777" w:rsidR="006260F5" w:rsidRDefault="006260F5">
    <w:pPr>
      <w:pStyle w:val="Footer"/>
      <w:ind w:right="360"/>
    </w:pPr>
  </w:p>
  <w:p w14:paraId="52CDDD19" w14:textId="77777777" w:rsidR="006260F5" w:rsidRDefault="006260F5"/>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5E73C" w14:textId="506AC091" w:rsidR="006260F5" w:rsidRDefault="006260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14785">
      <w:rPr>
        <w:rStyle w:val="PageNumber"/>
        <w:noProof/>
      </w:rPr>
      <w:t>9</w:t>
    </w:r>
    <w:r>
      <w:rPr>
        <w:rStyle w:val="PageNumber"/>
      </w:rPr>
      <w:fldChar w:fldCharType="end"/>
    </w:r>
  </w:p>
  <w:p w14:paraId="5F84B6CC" w14:textId="77777777" w:rsidR="006260F5" w:rsidRDefault="006260F5">
    <w:pPr>
      <w:pStyle w:val="Footer"/>
      <w:ind w:right="360"/>
    </w:pPr>
  </w:p>
  <w:p w14:paraId="01658D53" w14:textId="77777777" w:rsidR="006260F5" w:rsidRDefault="006260F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B8D60" w14:textId="77777777" w:rsidR="002C60B1" w:rsidRDefault="002C60B1">
      <w:r>
        <w:separator/>
      </w:r>
    </w:p>
    <w:p w14:paraId="02EB5B6B" w14:textId="77777777" w:rsidR="002C60B1" w:rsidRDefault="002C60B1"/>
  </w:footnote>
  <w:footnote w:type="continuationSeparator" w:id="0">
    <w:p w14:paraId="2A99E4F0" w14:textId="77777777" w:rsidR="002C60B1" w:rsidRDefault="002C60B1">
      <w:r>
        <w:continuationSeparator/>
      </w:r>
    </w:p>
    <w:p w14:paraId="6CF0A001" w14:textId="77777777" w:rsidR="002C60B1" w:rsidRDefault="002C60B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7FAFD" w14:textId="77777777" w:rsidR="006260F5" w:rsidRDefault="006260F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819E6"/>
    <w:multiLevelType w:val="multilevel"/>
    <w:tmpl w:val="7F58B23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2"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4"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5"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6"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5"/>
  </w:num>
  <w:num w:numId="2">
    <w:abstractNumId w:val="3"/>
  </w:num>
  <w:num w:numId="3">
    <w:abstractNumId w:val="6"/>
  </w:num>
  <w:num w:numId="4">
    <w:abstractNumId w:val="4"/>
  </w:num>
  <w:num w:numId="5">
    <w:abstractNumId w:val="2"/>
  </w:num>
  <w:num w:numId="6">
    <w:abstractNumId w:val="1"/>
  </w:num>
  <w:num w:numId="7">
    <w:abstractNumId w:val="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activeWritingStyle w:appName="MSWord" w:lang="en-US" w:vendorID="64" w:dllVersion="6" w:nlCheck="1" w:checkStyle="1"/>
  <w:activeWritingStyle w:appName="MSWord" w:lang="de-DE" w:vendorID="64" w:dllVersion="6" w:nlCheck="1" w:checkStyle="0"/>
  <w:activeWritingStyle w:appName="MSWord" w:lang="en-US" w:vendorID="64" w:dllVersion="4096" w:nlCheck="1" w:checkStyle="0"/>
  <w:activeWritingStyle w:appName="MSWord" w:lang="de-DE" w:vendorID="64" w:dllVersion="4096" w:nlCheck="1" w:checkStyle="0"/>
  <w:activeWritingStyle w:appName="MSWord" w:lang="en-US" w:vendorID="64" w:dllVersion="0" w:nlCheck="1" w:checkStyle="0"/>
  <w:activeWritingStyle w:appName="MSWord" w:lang="de-DE" w:vendorID="64" w:dllVersion="0" w:nlCheck="1" w:checkStyle="0"/>
  <w:activeWritingStyle w:appName="MSWord" w:lang="en-US" w:vendorID="64" w:dllVersion="131078" w:nlCheck="1" w:checkStyle="1"/>
  <w:activeWritingStyle w:appName="MSWord" w:lang="de-DE"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c2MjY2MTEzMzcwNzBR0lEKTi0uzszPAykwqwUAKiJOsCwAAAA="/>
  </w:docVars>
  <w:rsids>
    <w:rsidRoot w:val="0010346E"/>
    <w:rsid w:val="00000620"/>
    <w:rsid w:val="00001415"/>
    <w:rsid w:val="00001417"/>
    <w:rsid w:val="0000409C"/>
    <w:rsid w:val="0000568B"/>
    <w:rsid w:val="00005B56"/>
    <w:rsid w:val="00007827"/>
    <w:rsid w:val="00007DE8"/>
    <w:rsid w:val="00011D3F"/>
    <w:rsid w:val="00012469"/>
    <w:rsid w:val="00016DFD"/>
    <w:rsid w:val="00017BF8"/>
    <w:rsid w:val="000201D0"/>
    <w:rsid w:val="000243A3"/>
    <w:rsid w:val="000243FB"/>
    <w:rsid w:val="00024BE2"/>
    <w:rsid w:val="00027EA7"/>
    <w:rsid w:val="0003046A"/>
    <w:rsid w:val="0003252F"/>
    <w:rsid w:val="00042FA2"/>
    <w:rsid w:val="00044F32"/>
    <w:rsid w:val="00045FC4"/>
    <w:rsid w:val="000527A8"/>
    <w:rsid w:val="00066A49"/>
    <w:rsid w:val="000736E9"/>
    <w:rsid w:val="00073CDD"/>
    <w:rsid w:val="000822FB"/>
    <w:rsid w:val="00084CF4"/>
    <w:rsid w:val="00090AA0"/>
    <w:rsid w:val="0009189A"/>
    <w:rsid w:val="00094658"/>
    <w:rsid w:val="00096150"/>
    <w:rsid w:val="00097F60"/>
    <w:rsid w:val="000A381A"/>
    <w:rsid w:val="000A4B1E"/>
    <w:rsid w:val="000A65BB"/>
    <w:rsid w:val="000B0194"/>
    <w:rsid w:val="000B2656"/>
    <w:rsid w:val="000B33D6"/>
    <w:rsid w:val="000B7235"/>
    <w:rsid w:val="000B7616"/>
    <w:rsid w:val="000C1D6C"/>
    <w:rsid w:val="000C3AD2"/>
    <w:rsid w:val="000D1301"/>
    <w:rsid w:val="000D2D84"/>
    <w:rsid w:val="000D2EA3"/>
    <w:rsid w:val="000D375E"/>
    <w:rsid w:val="000D704D"/>
    <w:rsid w:val="000D7FCB"/>
    <w:rsid w:val="000E57A8"/>
    <w:rsid w:val="000E5826"/>
    <w:rsid w:val="000E5ECD"/>
    <w:rsid w:val="000E75E3"/>
    <w:rsid w:val="000F1A08"/>
    <w:rsid w:val="000F1F27"/>
    <w:rsid w:val="000F455F"/>
    <w:rsid w:val="000F5854"/>
    <w:rsid w:val="00101D1F"/>
    <w:rsid w:val="0010346E"/>
    <w:rsid w:val="00104692"/>
    <w:rsid w:val="00112C9E"/>
    <w:rsid w:val="0011415C"/>
    <w:rsid w:val="00114390"/>
    <w:rsid w:val="001210D0"/>
    <w:rsid w:val="001218D7"/>
    <w:rsid w:val="00122E1D"/>
    <w:rsid w:val="00124CF9"/>
    <w:rsid w:val="00131CAF"/>
    <w:rsid w:val="00132072"/>
    <w:rsid w:val="001379DD"/>
    <w:rsid w:val="00137C60"/>
    <w:rsid w:val="00141659"/>
    <w:rsid w:val="00142D60"/>
    <w:rsid w:val="00146E5E"/>
    <w:rsid w:val="0015109A"/>
    <w:rsid w:val="00152C45"/>
    <w:rsid w:val="001531CA"/>
    <w:rsid w:val="001564B5"/>
    <w:rsid w:val="00157688"/>
    <w:rsid w:val="00157E12"/>
    <w:rsid w:val="00160C93"/>
    <w:rsid w:val="001623CA"/>
    <w:rsid w:val="00163717"/>
    <w:rsid w:val="00164A45"/>
    <w:rsid w:val="0017155D"/>
    <w:rsid w:val="00177A3A"/>
    <w:rsid w:val="0018057C"/>
    <w:rsid w:val="00180C3D"/>
    <w:rsid w:val="00181FDE"/>
    <w:rsid w:val="00182173"/>
    <w:rsid w:val="001821A1"/>
    <w:rsid w:val="001824B2"/>
    <w:rsid w:val="00184027"/>
    <w:rsid w:val="001844EE"/>
    <w:rsid w:val="001852E4"/>
    <w:rsid w:val="00186429"/>
    <w:rsid w:val="001948EF"/>
    <w:rsid w:val="00195A72"/>
    <w:rsid w:val="00197446"/>
    <w:rsid w:val="00197FE1"/>
    <w:rsid w:val="001A1BE7"/>
    <w:rsid w:val="001A403C"/>
    <w:rsid w:val="001A4267"/>
    <w:rsid w:val="001A7F6A"/>
    <w:rsid w:val="001B0CB8"/>
    <w:rsid w:val="001B156F"/>
    <w:rsid w:val="001B3FFA"/>
    <w:rsid w:val="001B42E1"/>
    <w:rsid w:val="001B5E15"/>
    <w:rsid w:val="001B7340"/>
    <w:rsid w:val="001B7709"/>
    <w:rsid w:val="001C489B"/>
    <w:rsid w:val="001C51A8"/>
    <w:rsid w:val="001C5206"/>
    <w:rsid w:val="001D0881"/>
    <w:rsid w:val="001D0923"/>
    <w:rsid w:val="001D2373"/>
    <w:rsid w:val="001D2E04"/>
    <w:rsid w:val="001D5922"/>
    <w:rsid w:val="001D7611"/>
    <w:rsid w:val="001E0635"/>
    <w:rsid w:val="001E451C"/>
    <w:rsid w:val="001F0F2F"/>
    <w:rsid w:val="001F1CE4"/>
    <w:rsid w:val="001F30B6"/>
    <w:rsid w:val="001F63F0"/>
    <w:rsid w:val="001F6D31"/>
    <w:rsid w:val="001F79A1"/>
    <w:rsid w:val="002031A2"/>
    <w:rsid w:val="00204ED3"/>
    <w:rsid w:val="0020771E"/>
    <w:rsid w:val="0021558E"/>
    <w:rsid w:val="00215E43"/>
    <w:rsid w:val="00216C0D"/>
    <w:rsid w:val="00217BC3"/>
    <w:rsid w:val="00220D85"/>
    <w:rsid w:val="00222ED5"/>
    <w:rsid w:val="00226959"/>
    <w:rsid w:val="00230265"/>
    <w:rsid w:val="00237705"/>
    <w:rsid w:val="00242712"/>
    <w:rsid w:val="0024359D"/>
    <w:rsid w:val="0024409A"/>
    <w:rsid w:val="00244C03"/>
    <w:rsid w:val="00245E53"/>
    <w:rsid w:val="00247934"/>
    <w:rsid w:val="002563A2"/>
    <w:rsid w:val="00257415"/>
    <w:rsid w:val="0025750D"/>
    <w:rsid w:val="00262EED"/>
    <w:rsid w:val="00264BA9"/>
    <w:rsid w:val="002668C8"/>
    <w:rsid w:val="0026690D"/>
    <w:rsid w:val="00266D80"/>
    <w:rsid w:val="00267A12"/>
    <w:rsid w:val="002729FB"/>
    <w:rsid w:val="00274E2C"/>
    <w:rsid w:val="0027690A"/>
    <w:rsid w:val="00282954"/>
    <w:rsid w:val="002848E7"/>
    <w:rsid w:val="002914DD"/>
    <w:rsid w:val="00292BE7"/>
    <w:rsid w:val="00292CEC"/>
    <w:rsid w:val="00292DBD"/>
    <w:rsid w:val="00296A99"/>
    <w:rsid w:val="002A07BC"/>
    <w:rsid w:val="002A3097"/>
    <w:rsid w:val="002A357F"/>
    <w:rsid w:val="002A3CAE"/>
    <w:rsid w:val="002A4975"/>
    <w:rsid w:val="002A7098"/>
    <w:rsid w:val="002A7D95"/>
    <w:rsid w:val="002A7D96"/>
    <w:rsid w:val="002B4686"/>
    <w:rsid w:val="002B5E58"/>
    <w:rsid w:val="002B60C4"/>
    <w:rsid w:val="002C01BE"/>
    <w:rsid w:val="002C3431"/>
    <w:rsid w:val="002C5883"/>
    <w:rsid w:val="002C60B1"/>
    <w:rsid w:val="002D0B8E"/>
    <w:rsid w:val="002D5ACC"/>
    <w:rsid w:val="002D7907"/>
    <w:rsid w:val="002E2222"/>
    <w:rsid w:val="002E3858"/>
    <w:rsid w:val="002E42AD"/>
    <w:rsid w:val="002E75D1"/>
    <w:rsid w:val="002F7D66"/>
    <w:rsid w:val="003015C7"/>
    <w:rsid w:val="00310911"/>
    <w:rsid w:val="00311DF9"/>
    <w:rsid w:val="00313952"/>
    <w:rsid w:val="00313D54"/>
    <w:rsid w:val="00317FC5"/>
    <w:rsid w:val="00322845"/>
    <w:rsid w:val="0032629E"/>
    <w:rsid w:val="00330460"/>
    <w:rsid w:val="003313A6"/>
    <w:rsid w:val="0034098D"/>
    <w:rsid w:val="00341230"/>
    <w:rsid w:val="00344CE3"/>
    <w:rsid w:val="0035002E"/>
    <w:rsid w:val="0035008C"/>
    <w:rsid w:val="00350AC8"/>
    <w:rsid w:val="003525C4"/>
    <w:rsid w:val="003541FF"/>
    <w:rsid w:val="003547B0"/>
    <w:rsid w:val="003554FC"/>
    <w:rsid w:val="00357396"/>
    <w:rsid w:val="0036199F"/>
    <w:rsid w:val="00365F8D"/>
    <w:rsid w:val="00367353"/>
    <w:rsid w:val="003679A1"/>
    <w:rsid w:val="00371FBB"/>
    <w:rsid w:val="0037284D"/>
    <w:rsid w:val="00372DD3"/>
    <w:rsid w:val="00372E7B"/>
    <w:rsid w:val="0037333F"/>
    <w:rsid w:val="003759B7"/>
    <w:rsid w:val="00377F26"/>
    <w:rsid w:val="00381AEB"/>
    <w:rsid w:val="003820BA"/>
    <w:rsid w:val="00386592"/>
    <w:rsid w:val="0038659B"/>
    <w:rsid w:val="0038716A"/>
    <w:rsid w:val="0039598C"/>
    <w:rsid w:val="003969B5"/>
    <w:rsid w:val="00397741"/>
    <w:rsid w:val="003977D0"/>
    <w:rsid w:val="003A0F5F"/>
    <w:rsid w:val="003A249A"/>
    <w:rsid w:val="003A3A10"/>
    <w:rsid w:val="003A4B54"/>
    <w:rsid w:val="003B00B5"/>
    <w:rsid w:val="003B1067"/>
    <w:rsid w:val="003B4AF3"/>
    <w:rsid w:val="003B4F28"/>
    <w:rsid w:val="003B7284"/>
    <w:rsid w:val="003B7856"/>
    <w:rsid w:val="003B7F4C"/>
    <w:rsid w:val="003C2BE3"/>
    <w:rsid w:val="003C6654"/>
    <w:rsid w:val="003D08BE"/>
    <w:rsid w:val="003D2B03"/>
    <w:rsid w:val="003D2C24"/>
    <w:rsid w:val="003D35E3"/>
    <w:rsid w:val="003D786F"/>
    <w:rsid w:val="003E11F3"/>
    <w:rsid w:val="003E13A5"/>
    <w:rsid w:val="003E2CF8"/>
    <w:rsid w:val="003E351A"/>
    <w:rsid w:val="003E4742"/>
    <w:rsid w:val="003E5207"/>
    <w:rsid w:val="003E5C46"/>
    <w:rsid w:val="003E6F3F"/>
    <w:rsid w:val="003E7399"/>
    <w:rsid w:val="003E7843"/>
    <w:rsid w:val="003F7679"/>
    <w:rsid w:val="0040157E"/>
    <w:rsid w:val="0040277A"/>
    <w:rsid w:val="0040384F"/>
    <w:rsid w:val="00404978"/>
    <w:rsid w:val="00405C98"/>
    <w:rsid w:val="0041008C"/>
    <w:rsid w:val="00410415"/>
    <w:rsid w:val="00410474"/>
    <w:rsid w:val="0041079D"/>
    <w:rsid w:val="004114D5"/>
    <w:rsid w:val="00411713"/>
    <w:rsid w:val="00411E73"/>
    <w:rsid w:val="004126DE"/>
    <w:rsid w:val="00413B14"/>
    <w:rsid w:val="00413D3E"/>
    <w:rsid w:val="00414351"/>
    <w:rsid w:val="00415889"/>
    <w:rsid w:val="00416CBC"/>
    <w:rsid w:val="004179FB"/>
    <w:rsid w:val="00417A45"/>
    <w:rsid w:val="00420008"/>
    <w:rsid w:val="00421B31"/>
    <w:rsid w:val="00422950"/>
    <w:rsid w:val="00423D55"/>
    <w:rsid w:val="00423DD9"/>
    <w:rsid w:val="00427112"/>
    <w:rsid w:val="00427484"/>
    <w:rsid w:val="00433746"/>
    <w:rsid w:val="004355D0"/>
    <w:rsid w:val="0043583A"/>
    <w:rsid w:val="00435DB0"/>
    <w:rsid w:val="004415EB"/>
    <w:rsid w:val="004421A2"/>
    <w:rsid w:val="0044316B"/>
    <w:rsid w:val="00447321"/>
    <w:rsid w:val="00454F2E"/>
    <w:rsid w:val="00454F75"/>
    <w:rsid w:val="00455BFA"/>
    <w:rsid w:val="004564CF"/>
    <w:rsid w:val="00460A6F"/>
    <w:rsid w:val="0046188D"/>
    <w:rsid w:val="00462FC6"/>
    <w:rsid w:val="004637A0"/>
    <w:rsid w:val="00470209"/>
    <w:rsid w:val="0047089B"/>
    <w:rsid w:val="004712B6"/>
    <w:rsid w:val="004819C1"/>
    <w:rsid w:val="0048242F"/>
    <w:rsid w:val="00482804"/>
    <w:rsid w:val="004848A5"/>
    <w:rsid w:val="00486533"/>
    <w:rsid w:val="00491430"/>
    <w:rsid w:val="00491509"/>
    <w:rsid w:val="00491DDC"/>
    <w:rsid w:val="00492085"/>
    <w:rsid w:val="00493003"/>
    <w:rsid w:val="0049449E"/>
    <w:rsid w:val="00494A05"/>
    <w:rsid w:val="00496B72"/>
    <w:rsid w:val="004A05A5"/>
    <w:rsid w:val="004A0A73"/>
    <w:rsid w:val="004A0FAD"/>
    <w:rsid w:val="004A1098"/>
    <w:rsid w:val="004A64B8"/>
    <w:rsid w:val="004A676A"/>
    <w:rsid w:val="004A742B"/>
    <w:rsid w:val="004A7DFF"/>
    <w:rsid w:val="004B0606"/>
    <w:rsid w:val="004B0637"/>
    <w:rsid w:val="004B0ACD"/>
    <w:rsid w:val="004B2899"/>
    <w:rsid w:val="004C6CAD"/>
    <w:rsid w:val="004C6EE6"/>
    <w:rsid w:val="004C7E2B"/>
    <w:rsid w:val="004D5ABE"/>
    <w:rsid w:val="004D76AD"/>
    <w:rsid w:val="004E0691"/>
    <w:rsid w:val="004E0D4D"/>
    <w:rsid w:val="004E2210"/>
    <w:rsid w:val="004E35E0"/>
    <w:rsid w:val="004F1090"/>
    <w:rsid w:val="004F359A"/>
    <w:rsid w:val="004F41CD"/>
    <w:rsid w:val="004F5CC2"/>
    <w:rsid w:val="004F5ED5"/>
    <w:rsid w:val="0050157E"/>
    <w:rsid w:val="005023CD"/>
    <w:rsid w:val="00505BF8"/>
    <w:rsid w:val="00506578"/>
    <w:rsid w:val="00506DC8"/>
    <w:rsid w:val="00507EF2"/>
    <w:rsid w:val="00510E7B"/>
    <w:rsid w:val="00512BE3"/>
    <w:rsid w:val="0051383C"/>
    <w:rsid w:val="00514211"/>
    <w:rsid w:val="005148D7"/>
    <w:rsid w:val="0051608A"/>
    <w:rsid w:val="005164BC"/>
    <w:rsid w:val="00520038"/>
    <w:rsid w:val="00520B79"/>
    <w:rsid w:val="00521423"/>
    <w:rsid w:val="0052351F"/>
    <w:rsid w:val="0052725C"/>
    <w:rsid w:val="0053197A"/>
    <w:rsid w:val="00531E5E"/>
    <w:rsid w:val="005327A4"/>
    <w:rsid w:val="005329C7"/>
    <w:rsid w:val="00535FB3"/>
    <w:rsid w:val="00536001"/>
    <w:rsid w:val="00537164"/>
    <w:rsid w:val="00543F97"/>
    <w:rsid w:val="0054746E"/>
    <w:rsid w:val="00547FAF"/>
    <w:rsid w:val="00551576"/>
    <w:rsid w:val="00551789"/>
    <w:rsid w:val="00552A07"/>
    <w:rsid w:val="00554E34"/>
    <w:rsid w:val="00556453"/>
    <w:rsid w:val="00557A6A"/>
    <w:rsid w:val="005609E4"/>
    <w:rsid w:val="00560FE4"/>
    <w:rsid w:val="00571ADA"/>
    <w:rsid w:val="00572663"/>
    <w:rsid w:val="00575104"/>
    <w:rsid w:val="005754B8"/>
    <w:rsid w:val="0057575B"/>
    <w:rsid w:val="00575965"/>
    <w:rsid w:val="005832E4"/>
    <w:rsid w:val="0058562A"/>
    <w:rsid w:val="00587951"/>
    <w:rsid w:val="00587C7C"/>
    <w:rsid w:val="005916D3"/>
    <w:rsid w:val="00591A57"/>
    <w:rsid w:val="0059535F"/>
    <w:rsid w:val="005957A9"/>
    <w:rsid w:val="005A0D41"/>
    <w:rsid w:val="005A1A99"/>
    <w:rsid w:val="005A1B11"/>
    <w:rsid w:val="005A278D"/>
    <w:rsid w:val="005A4F23"/>
    <w:rsid w:val="005A786C"/>
    <w:rsid w:val="005B29C2"/>
    <w:rsid w:val="005B57D6"/>
    <w:rsid w:val="005B5C37"/>
    <w:rsid w:val="005B7AEA"/>
    <w:rsid w:val="005C2171"/>
    <w:rsid w:val="005C3FFC"/>
    <w:rsid w:val="005C616A"/>
    <w:rsid w:val="005C6AF5"/>
    <w:rsid w:val="005C7451"/>
    <w:rsid w:val="005C7F06"/>
    <w:rsid w:val="005D0917"/>
    <w:rsid w:val="005D0C10"/>
    <w:rsid w:val="005D0C48"/>
    <w:rsid w:val="005D12CE"/>
    <w:rsid w:val="005D2065"/>
    <w:rsid w:val="005D2967"/>
    <w:rsid w:val="005D29D0"/>
    <w:rsid w:val="005D2DF8"/>
    <w:rsid w:val="005D2E3A"/>
    <w:rsid w:val="005D3CD9"/>
    <w:rsid w:val="005D417D"/>
    <w:rsid w:val="005D5423"/>
    <w:rsid w:val="005D707E"/>
    <w:rsid w:val="005D7D59"/>
    <w:rsid w:val="005E0D0B"/>
    <w:rsid w:val="005E1AC3"/>
    <w:rsid w:val="005E4016"/>
    <w:rsid w:val="005F3267"/>
    <w:rsid w:val="005F5C5C"/>
    <w:rsid w:val="005F7A0A"/>
    <w:rsid w:val="00602A88"/>
    <w:rsid w:val="0060406E"/>
    <w:rsid w:val="00604E00"/>
    <w:rsid w:val="00604F23"/>
    <w:rsid w:val="00610167"/>
    <w:rsid w:val="00610A8C"/>
    <w:rsid w:val="00612890"/>
    <w:rsid w:val="00614DAB"/>
    <w:rsid w:val="00614F2E"/>
    <w:rsid w:val="00616D68"/>
    <w:rsid w:val="00620B64"/>
    <w:rsid w:val="006222EE"/>
    <w:rsid w:val="00622C6C"/>
    <w:rsid w:val="006260F5"/>
    <w:rsid w:val="00627280"/>
    <w:rsid w:val="00631B3F"/>
    <w:rsid w:val="00631E32"/>
    <w:rsid w:val="00635E0D"/>
    <w:rsid w:val="00641C22"/>
    <w:rsid w:val="0064353C"/>
    <w:rsid w:val="00647E52"/>
    <w:rsid w:val="00652D42"/>
    <w:rsid w:val="006532A9"/>
    <w:rsid w:val="006534E4"/>
    <w:rsid w:val="00656F48"/>
    <w:rsid w:val="00657A1F"/>
    <w:rsid w:val="0066396A"/>
    <w:rsid w:val="006757EC"/>
    <w:rsid w:val="00685979"/>
    <w:rsid w:val="00687636"/>
    <w:rsid w:val="00690579"/>
    <w:rsid w:val="00690AAA"/>
    <w:rsid w:val="00690E86"/>
    <w:rsid w:val="00690EC8"/>
    <w:rsid w:val="00691C25"/>
    <w:rsid w:val="00694225"/>
    <w:rsid w:val="006A15F3"/>
    <w:rsid w:val="006A2243"/>
    <w:rsid w:val="006A468E"/>
    <w:rsid w:val="006A47E9"/>
    <w:rsid w:val="006A4E81"/>
    <w:rsid w:val="006A69E7"/>
    <w:rsid w:val="006B2581"/>
    <w:rsid w:val="006B3FA3"/>
    <w:rsid w:val="006B5943"/>
    <w:rsid w:val="006C0396"/>
    <w:rsid w:val="006C3C7E"/>
    <w:rsid w:val="006C5E19"/>
    <w:rsid w:val="006D0D61"/>
    <w:rsid w:val="006D2EAD"/>
    <w:rsid w:val="006D7382"/>
    <w:rsid w:val="006D75F7"/>
    <w:rsid w:val="006D7ED4"/>
    <w:rsid w:val="006E318E"/>
    <w:rsid w:val="006E5B5B"/>
    <w:rsid w:val="006E6BC5"/>
    <w:rsid w:val="006E77F7"/>
    <w:rsid w:val="006F268D"/>
    <w:rsid w:val="006F4EB9"/>
    <w:rsid w:val="006F5814"/>
    <w:rsid w:val="006F5C6B"/>
    <w:rsid w:val="007009DA"/>
    <w:rsid w:val="007012BB"/>
    <w:rsid w:val="00701EA9"/>
    <w:rsid w:val="0070214E"/>
    <w:rsid w:val="00702177"/>
    <w:rsid w:val="00702348"/>
    <w:rsid w:val="0070264D"/>
    <w:rsid w:val="0070413A"/>
    <w:rsid w:val="00706B87"/>
    <w:rsid w:val="0071182A"/>
    <w:rsid w:val="007130C0"/>
    <w:rsid w:val="007155C5"/>
    <w:rsid w:val="007179F0"/>
    <w:rsid w:val="007202D9"/>
    <w:rsid w:val="0072069B"/>
    <w:rsid w:val="00720BB6"/>
    <w:rsid w:val="0072356A"/>
    <w:rsid w:val="00724A69"/>
    <w:rsid w:val="00725E67"/>
    <w:rsid w:val="00732D9B"/>
    <w:rsid w:val="007331FF"/>
    <w:rsid w:val="00736067"/>
    <w:rsid w:val="007400EB"/>
    <w:rsid w:val="00741345"/>
    <w:rsid w:val="00742DDE"/>
    <w:rsid w:val="00743B16"/>
    <w:rsid w:val="00746193"/>
    <w:rsid w:val="00746BD4"/>
    <w:rsid w:val="00747D5E"/>
    <w:rsid w:val="007535F6"/>
    <w:rsid w:val="00755301"/>
    <w:rsid w:val="00756547"/>
    <w:rsid w:val="00757D15"/>
    <w:rsid w:val="00762441"/>
    <w:rsid w:val="007629D3"/>
    <w:rsid w:val="0076347C"/>
    <w:rsid w:val="00763669"/>
    <w:rsid w:val="00763A44"/>
    <w:rsid w:val="007646D2"/>
    <w:rsid w:val="00764AEF"/>
    <w:rsid w:val="007709EA"/>
    <w:rsid w:val="007709FA"/>
    <w:rsid w:val="0077275B"/>
    <w:rsid w:val="00775B5C"/>
    <w:rsid w:val="00775BAE"/>
    <w:rsid w:val="007837A3"/>
    <w:rsid w:val="00783CDE"/>
    <w:rsid w:val="00784B70"/>
    <w:rsid w:val="00784CCD"/>
    <w:rsid w:val="007862B8"/>
    <w:rsid w:val="00786E84"/>
    <w:rsid w:val="00792613"/>
    <w:rsid w:val="00794471"/>
    <w:rsid w:val="00794D0D"/>
    <w:rsid w:val="007A4AF1"/>
    <w:rsid w:val="007B06AC"/>
    <w:rsid w:val="007B4191"/>
    <w:rsid w:val="007B578F"/>
    <w:rsid w:val="007B79D2"/>
    <w:rsid w:val="007C01F8"/>
    <w:rsid w:val="007C1383"/>
    <w:rsid w:val="007C779D"/>
    <w:rsid w:val="007D257A"/>
    <w:rsid w:val="007D4320"/>
    <w:rsid w:val="007D5C04"/>
    <w:rsid w:val="007D63B9"/>
    <w:rsid w:val="007E079A"/>
    <w:rsid w:val="007E0B4B"/>
    <w:rsid w:val="007E19EA"/>
    <w:rsid w:val="007E2D55"/>
    <w:rsid w:val="007E44A6"/>
    <w:rsid w:val="007E59B6"/>
    <w:rsid w:val="007E6925"/>
    <w:rsid w:val="007E7695"/>
    <w:rsid w:val="007E7BDF"/>
    <w:rsid w:val="007F3FDD"/>
    <w:rsid w:val="007F6792"/>
    <w:rsid w:val="007F6EA8"/>
    <w:rsid w:val="00801038"/>
    <w:rsid w:val="00802917"/>
    <w:rsid w:val="00803489"/>
    <w:rsid w:val="00805C6A"/>
    <w:rsid w:val="008060F5"/>
    <w:rsid w:val="008101D3"/>
    <w:rsid w:val="00812D26"/>
    <w:rsid w:val="00815582"/>
    <w:rsid w:val="008218A5"/>
    <w:rsid w:val="00824DFF"/>
    <w:rsid w:val="00825671"/>
    <w:rsid w:val="00832853"/>
    <w:rsid w:val="00832DF3"/>
    <w:rsid w:val="008348A2"/>
    <w:rsid w:val="00834AEA"/>
    <w:rsid w:val="00835CBD"/>
    <w:rsid w:val="008401FB"/>
    <w:rsid w:val="00840616"/>
    <w:rsid w:val="008421B7"/>
    <w:rsid w:val="00844D90"/>
    <w:rsid w:val="00845C1A"/>
    <w:rsid w:val="008545BC"/>
    <w:rsid w:val="00854C76"/>
    <w:rsid w:val="00865479"/>
    <w:rsid w:val="008655C0"/>
    <w:rsid w:val="00867A17"/>
    <w:rsid w:val="00871F9F"/>
    <w:rsid w:val="008740DF"/>
    <w:rsid w:val="008752FA"/>
    <w:rsid w:val="00877330"/>
    <w:rsid w:val="00880D9C"/>
    <w:rsid w:val="00890407"/>
    <w:rsid w:val="00892DEA"/>
    <w:rsid w:val="008954DF"/>
    <w:rsid w:val="00895FC8"/>
    <w:rsid w:val="008A0969"/>
    <w:rsid w:val="008A2670"/>
    <w:rsid w:val="008A2A9C"/>
    <w:rsid w:val="008A7489"/>
    <w:rsid w:val="008A76F5"/>
    <w:rsid w:val="008B3498"/>
    <w:rsid w:val="008B4893"/>
    <w:rsid w:val="008C1611"/>
    <w:rsid w:val="008C31F1"/>
    <w:rsid w:val="008C5E4A"/>
    <w:rsid w:val="008C6323"/>
    <w:rsid w:val="008C70C2"/>
    <w:rsid w:val="008D14D3"/>
    <w:rsid w:val="008D205A"/>
    <w:rsid w:val="008D2DFE"/>
    <w:rsid w:val="008D3D15"/>
    <w:rsid w:val="008D4780"/>
    <w:rsid w:val="008D4C9D"/>
    <w:rsid w:val="008D547B"/>
    <w:rsid w:val="008D567C"/>
    <w:rsid w:val="008D7755"/>
    <w:rsid w:val="008D7A2D"/>
    <w:rsid w:val="008E13D4"/>
    <w:rsid w:val="008E2BB5"/>
    <w:rsid w:val="008E2C3E"/>
    <w:rsid w:val="008F01BE"/>
    <w:rsid w:val="008F0776"/>
    <w:rsid w:val="008F5543"/>
    <w:rsid w:val="008F6CCC"/>
    <w:rsid w:val="00903E6E"/>
    <w:rsid w:val="00912049"/>
    <w:rsid w:val="00912069"/>
    <w:rsid w:val="009124BD"/>
    <w:rsid w:val="00916533"/>
    <w:rsid w:val="00916EDB"/>
    <w:rsid w:val="00916F2B"/>
    <w:rsid w:val="0092037A"/>
    <w:rsid w:val="00923E77"/>
    <w:rsid w:val="009246AD"/>
    <w:rsid w:val="0092533B"/>
    <w:rsid w:val="009277B9"/>
    <w:rsid w:val="00927CDC"/>
    <w:rsid w:val="009311E0"/>
    <w:rsid w:val="00931717"/>
    <w:rsid w:val="00931DA2"/>
    <w:rsid w:val="009324F0"/>
    <w:rsid w:val="009339B0"/>
    <w:rsid w:val="00935C35"/>
    <w:rsid w:val="00943C3E"/>
    <w:rsid w:val="009467D6"/>
    <w:rsid w:val="0095213E"/>
    <w:rsid w:val="00955F23"/>
    <w:rsid w:val="00957C0B"/>
    <w:rsid w:val="0096101E"/>
    <w:rsid w:val="009619FA"/>
    <w:rsid w:val="00967913"/>
    <w:rsid w:val="00967927"/>
    <w:rsid w:val="0097619B"/>
    <w:rsid w:val="00976375"/>
    <w:rsid w:val="0098310F"/>
    <w:rsid w:val="00983610"/>
    <w:rsid w:val="00984F9E"/>
    <w:rsid w:val="009860DB"/>
    <w:rsid w:val="009868E1"/>
    <w:rsid w:val="00992371"/>
    <w:rsid w:val="00994039"/>
    <w:rsid w:val="00995487"/>
    <w:rsid w:val="009A12DF"/>
    <w:rsid w:val="009A3FF2"/>
    <w:rsid w:val="009A49D0"/>
    <w:rsid w:val="009A7796"/>
    <w:rsid w:val="009B268A"/>
    <w:rsid w:val="009B2DCA"/>
    <w:rsid w:val="009B41CF"/>
    <w:rsid w:val="009B4F36"/>
    <w:rsid w:val="009B548C"/>
    <w:rsid w:val="009B7277"/>
    <w:rsid w:val="009C08EF"/>
    <w:rsid w:val="009C1806"/>
    <w:rsid w:val="009C5B38"/>
    <w:rsid w:val="009C6F39"/>
    <w:rsid w:val="009D0435"/>
    <w:rsid w:val="009D391E"/>
    <w:rsid w:val="009D7C27"/>
    <w:rsid w:val="009D7DA3"/>
    <w:rsid w:val="009E3912"/>
    <w:rsid w:val="009E683E"/>
    <w:rsid w:val="009E73A0"/>
    <w:rsid w:val="009F07AB"/>
    <w:rsid w:val="009F13A9"/>
    <w:rsid w:val="009F31BE"/>
    <w:rsid w:val="009F69B0"/>
    <w:rsid w:val="00A00CD3"/>
    <w:rsid w:val="00A01130"/>
    <w:rsid w:val="00A02720"/>
    <w:rsid w:val="00A02D62"/>
    <w:rsid w:val="00A03BBA"/>
    <w:rsid w:val="00A16092"/>
    <w:rsid w:val="00A16CD2"/>
    <w:rsid w:val="00A22C64"/>
    <w:rsid w:val="00A264C5"/>
    <w:rsid w:val="00A269C9"/>
    <w:rsid w:val="00A26E29"/>
    <w:rsid w:val="00A27CBD"/>
    <w:rsid w:val="00A30CF0"/>
    <w:rsid w:val="00A31970"/>
    <w:rsid w:val="00A37756"/>
    <w:rsid w:val="00A40BA0"/>
    <w:rsid w:val="00A4338A"/>
    <w:rsid w:val="00A4415C"/>
    <w:rsid w:val="00A444E1"/>
    <w:rsid w:val="00A460B5"/>
    <w:rsid w:val="00A46C91"/>
    <w:rsid w:val="00A526D7"/>
    <w:rsid w:val="00A53BCC"/>
    <w:rsid w:val="00A54831"/>
    <w:rsid w:val="00A54E6D"/>
    <w:rsid w:val="00A56E5C"/>
    <w:rsid w:val="00A57E20"/>
    <w:rsid w:val="00A61B92"/>
    <w:rsid w:val="00A64D58"/>
    <w:rsid w:val="00A6676F"/>
    <w:rsid w:val="00A66999"/>
    <w:rsid w:val="00A66EDD"/>
    <w:rsid w:val="00A71C00"/>
    <w:rsid w:val="00A73014"/>
    <w:rsid w:val="00A74659"/>
    <w:rsid w:val="00A822D2"/>
    <w:rsid w:val="00A8232F"/>
    <w:rsid w:val="00A90713"/>
    <w:rsid w:val="00A92233"/>
    <w:rsid w:val="00A93C7D"/>
    <w:rsid w:val="00A9514F"/>
    <w:rsid w:val="00A95DB0"/>
    <w:rsid w:val="00A96799"/>
    <w:rsid w:val="00AA0A07"/>
    <w:rsid w:val="00AA1902"/>
    <w:rsid w:val="00AA3422"/>
    <w:rsid w:val="00AA566C"/>
    <w:rsid w:val="00AA6415"/>
    <w:rsid w:val="00AA6969"/>
    <w:rsid w:val="00AA6FB2"/>
    <w:rsid w:val="00AB1232"/>
    <w:rsid w:val="00AB52C6"/>
    <w:rsid w:val="00AB6095"/>
    <w:rsid w:val="00AB683B"/>
    <w:rsid w:val="00AB6F0C"/>
    <w:rsid w:val="00AC1839"/>
    <w:rsid w:val="00AC434C"/>
    <w:rsid w:val="00AC4B4C"/>
    <w:rsid w:val="00AC4C83"/>
    <w:rsid w:val="00AC5F26"/>
    <w:rsid w:val="00AC5F97"/>
    <w:rsid w:val="00AC60D9"/>
    <w:rsid w:val="00AC6136"/>
    <w:rsid w:val="00AC6438"/>
    <w:rsid w:val="00AD1079"/>
    <w:rsid w:val="00AD28B5"/>
    <w:rsid w:val="00AE1A50"/>
    <w:rsid w:val="00AE202E"/>
    <w:rsid w:val="00AE25BA"/>
    <w:rsid w:val="00AE48A6"/>
    <w:rsid w:val="00AE4B97"/>
    <w:rsid w:val="00AE6117"/>
    <w:rsid w:val="00AF11E3"/>
    <w:rsid w:val="00AF1765"/>
    <w:rsid w:val="00AF2AD1"/>
    <w:rsid w:val="00AF30C7"/>
    <w:rsid w:val="00AF568C"/>
    <w:rsid w:val="00AF677B"/>
    <w:rsid w:val="00B02459"/>
    <w:rsid w:val="00B0545B"/>
    <w:rsid w:val="00B05949"/>
    <w:rsid w:val="00B10003"/>
    <w:rsid w:val="00B177EF"/>
    <w:rsid w:val="00B206A5"/>
    <w:rsid w:val="00B255B6"/>
    <w:rsid w:val="00B26563"/>
    <w:rsid w:val="00B30F25"/>
    <w:rsid w:val="00B346D3"/>
    <w:rsid w:val="00B35F90"/>
    <w:rsid w:val="00B368F7"/>
    <w:rsid w:val="00B40D3B"/>
    <w:rsid w:val="00B42688"/>
    <w:rsid w:val="00B42C29"/>
    <w:rsid w:val="00B45B4D"/>
    <w:rsid w:val="00B46329"/>
    <w:rsid w:val="00B4753C"/>
    <w:rsid w:val="00B5178C"/>
    <w:rsid w:val="00B530B8"/>
    <w:rsid w:val="00B563D9"/>
    <w:rsid w:val="00B578D1"/>
    <w:rsid w:val="00B6062E"/>
    <w:rsid w:val="00B606B5"/>
    <w:rsid w:val="00B6335B"/>
    <w:rsid w:val="00B66DC1"/>
    <w:rsid w:val="00B67802"/>
    <w:rsid w:val="00B67CBD"/>
    <w:rsid w:val="00B713E6"/>
    <w:rsid w:val="00B71491"/>
    <w:rsid w:val="00B73D6C"/>
    <w:rsid w:val="00B74256"/>
    <w:rsid w:val="00B756D0"/>
    <w:rsid w:val="00B7618D"/>
    <w:rsid w:val="00B85425"/>
    <w:rsid w:val="00B875D7"/>
    <w:rsid w:val="00B91090"/>
    <w:rsid w:val="00B94B77"/>
    <w:rsid w:val="00B97259"/>
    <w:rsid w:val="00BA01D2"/>
    <w:rsid w:val="00BA18DA"/>
    <w:rsid w:val="00BA2D66"/>
    <w:rsid w:val="00BA3035"/>
    <w:rsid w:val="00BA584B"/>
    <w:rsid w:val="00BA7D6A"/>
    <w:rsid w:val="00BB0655"/>
    <w:rsid w:val="00BB1134"/>
    <w:rsid w:val="00BB1909"/>
    <w:rsid w:val="00BC3E2A"/>
    <w:rsid w:val="00BC4E9D"/>
    <w:rsid w:val="00BC608D"/>
    <w:rsid w:val="00BC7183"/>
    <w:rsid w:val="00BD0668"/>
    <w:rsid w:val="00BD0963"/>
    <w:rsid w:val="00BD0E50"/>
    <w:rsid w:val="00BD0FC5"/>
    <w:rsid w:val="00BD218A"/>
    <w:rsid w:val="00BD2B4E"/>
    <w:rsid w:val="00BD5122"/>
    <w:rsid w:val="00BD5923"/>
    <w:rsid w:val="00BE0925"/>
    <w:rsid w:val="00BE0B10"/>
    <w:rsid w:val="00BE495F"/>
    <w:rsid w:val="00BE533F"/>
    <w:rsid w:val="00BE6D3B"/>
    <w:rsid w:val="00BF1F78"/>
    <w:rsid w:val="00BF33F7"/>
    <w:rsid w:val="00BF48B0"/>
    <w:rsid w:val="00C0507A"/>
    <w:rsid w:val="00C06CFC"/>
    <w:rsid w:val="00C07DA5"/>
    <w:rsid w:val="00C07E7F"/>
    <w:rsid w:val="00C12F55"/>
    <w:rsid w:val="00C137AE"/>
    <w:rsid w:val="00C137D2"/>
    <w:rsid w:val="00C1585B"/>
    <w:rsid w:val="00C162AE"/>
    <w:rsid w:val="00C168F2"/>
    <w:rsid w:val="00C24D4B"/>
    <w:rsid w:val="00C25C56"/>
    <w:rsid w:val="00C2792D"/>
    <w:rsid w:val="00C30403"/>
    <w:rsid w:val="00C3274F"/>
    <w:rsid w:val="00C34983"/>
    <w:rsid w:val="00C34D00"/>
    <w:rsid w:val="00C35F3B"/>
    <w:rsid w:val="00C36A41"/>
    <w:rsid w:val="00C40C57"/>
    <w:rsid w:val="00C412DE"/>
    <w:rsid w:val="00C423A4"/>
    <w:rsid w:val="00C42A95"/>
    <w:rsid w:val="00C459EA"/>
    <w:rsid w:val="00C45E7B"/>
    <w:rsid w:val="00C45EC7"/>
    <w:rsid w:val="00C55B28"/>
    <w:rsid w:val="00C61658"/>
    <w:rsid w:val="00C646E4"/>
    <w:rsid w:val="00C64DFA"/>
    <w:rsid w:val="00C65114"/>
    <w:rsid w:val="00C6553C"/>
    <w:rsid w:val="00C70C48"/>
    <w:rsid w:val="00C71810"/>
    <w:rsid w:val="00C72D78"/>
    <w:rsid w:val="00C72F61"/>
    <w:rsid w:val="00C73907"/>
    <w:rsid w:val="00C7587A"/>
    <w:rsid w:val="00C77856"/>
    <w:rsid w:val="00C80E92"/>
    <w:rsid w:val="00C845FB"/>
    <w:rsid w:val="00C85761"/>
    <w:rsid w:val="00C862DD"/>
    <w:rsid w:val="00C902F8"/>
    <w:rsid w:val="00C9140C"/>
    <w:rsid w:val="00C91688"/>
    <w:rsid w:val="00C92DAC"/>
    <w:rsid w:val="00C92F14"/>
    <w:rsid w:val="00C94A15"/>
    <w:rsid w:val="00C95A95"/>
    <w:rsid w:val="00C97FDF"/>
    <w:rsid w:val="00CA15CA"/>
    <w:rsid w:val="00CA470C"/>
    <w:rsid w:val="00CA7427"/>
    <w:rsid w:val="00CB01C6"/>
    <w:rsid w:val="00CB1AC0"/>
    <w:rsid w:val="00CB2D82"/>
    <w:rsid w:val="00CB44E2"/>
    <w:rsid w:val="00CC17DA"/>
    <w:rsid w:val="00CC46EE"/>
    <w:rsid w:val="00CC48A6"/>
    <w:rsid w:val="00CC5CB9"/>
    <w:rsid w:val="00CC692D"/>
    <w:rsid w:val="00CD2604"/>
    <w:rsid w:val="00CD5EDB"/>
    <w:rsid w:val="00CD7838"/>
    <w:rsid w:val="00CE0601"/>
    <w:rsid w:val="00CE1781"/>
    <w:rsid w:val="00CE1C3F"/>
    <w:rsid w:val="00CE3483"/>
    <w:rsid w:val="00CE6A09"/>
    <w:rsid w:val="00CE77F3"/>
    <w:rsid w:val="00CE7AFB"/>
    <w:rsid w:val="00CE7E89"/>
    <w:rsid w:val="00CF0A71"/>
    <w:rsid w:val="00CF3852"/>
    <w:rsid w:val="00CF3E7E"/>
    <w:rsid w:val="00D004C9"/>
    <w:rsid w:val="00D00D35"/>
    <w:rsid w:val="00D0245A"/>
    <w:rsid w:val="00D0596F"/>
    <w:rsid w:val="00D06323"/>
    <w:rsid w:val="00D13B1B"/>
    <w:rsid w:val="00D152B6"/>
    <w:rsid w:val="00D17860"/>
    <w:rsid w:val="00D17B18"/>
    <w:rsid w:val="00D216B3"/>
    <w:rsid w:val="00D221D0"/>
    <w:rsid w:val="00D2274E"/>
    <w:rsid w:val="00D25595"/>
    <w:rsid w:val="00D34F4F"/>
    <w:rsid w:val="00D40920"/>
    <w:rsid w:val="00D40E6A"/>
    <w:rsid w:val="00D41A32"/>
    <w:rsid w:val="00D4214F"/>
    <w:rsid w:val="00D43033"/>
    <w:rsid w:val="00D44DB5"/>
    <w:rsid w:val="00D46C1A"/>
    <w:rsid w:val="00D46E0C"/>
    <w:rsid w:val="00D47DF8"/>
    <w:rsid w:val="00D51BF6"/>
    <w:rsid w:val="00D53EC7"/>
    <w:rsid w:val="00D61DBF"/>
    <w:rsid w:val="00D66756"/>
    <w:rsid w:val="00D76402"/>
    <w:rsid w:val="00D77679"/>
    <w:rsid w:val="00D826E9"/>
    <w:rsid w:val="00D83D14"/>
    <w:rsid w:val="00D83E22"/>
    <w:rsid w:val="00D84D11"/>
    <w:rsid w:val="00D86677"/>
    <w:rsid w:val="00D928D2"/>
    <w:rsid w:val="00D96C57"/>
    <w:rsid w:val="00D970FC"/>
    <w:rsid w:val="00DA06B5"/>
    <w:rsid w:val="00DA1E4C"/>
    <w:rsid w:val="00DA229D"/>
    <w:rsid w:val="00DA268F"/>
    <w:rsid w:val="00DA30BB"/>
    <w:rsid w:val="00DA31DD"/>
    <w:rsid w:val="00DA3E35"/>
    <w:rsid w:val="00DA4219"/>
    <w:rsid w:val="00DA6268"/>
    <w:rsid w:val="00DB489C"/>
    <w:rsid w:val="00DB5313"/>
    <w:rsid w:val="00DB54AD"/>
    <w:rsid w:val="00DB61BB"/>
    <w:rsid w:val="00DC3AC8"/>
    <w:rsid w:val="00DC45E8"/>
    <w:rsid w:val="00DC51CD"/>
    <w:rsid w:val="00DC5D8A"/>
    <w:rsid w:val="00DD1EEC"/>
    <w:rsid w:val="00DD29EF"/>
    <w:rsid w:val="00DD5279"/>
    <w:rsid w:val="00DD7E13"/>
    <w:rsid w:val="00DE78D2"/>
    <w:rsid w:val="00DF0F6D"/>
    <w:rsid w:val="00DF13B8"/>
    <w:rsid w:val="00DF1D13"/>
    <w:rsid w:val="00DF1E3A"/>
    <w:rsid w:val="00DF3756"/>
    <w:rsid w:val="00DF3FE8"/>
    <w:rsid w:val="00DF59F4"/>
    <w:rsid w:val="00DF5AC9"/>
    <w:rsid w:val="00DF683D"/>
    <w:rsid w:val="00DF7D8E"/>
    <w:rsid w:val="00E000AD"/>
    <w:rsid w:val="00E00555"/>
    <w:rsid w:val="00E05BDC"/>
    <w:rsid w:val="00E074F2"/>
    <w:rsid w:val="00E115F4"/>
    <w:rsid w:val="00E14785"/>
    <w:rsid w:val="00E14E44"/>
    <w:rsid w:val="00E15A8C"/>
    <w:rsid w:val="00E17092"/>
    <w:rsid w:val="00E21127"/>
    <w:rsid w:val="00E2276B"/>
    <w:rsid w:val="00E2340D"/>
    <w:rsid w:val="00E2466B"/>
    <w:rsid w:val="00E329CA"/>
    <w:rsid w:val="00E32A18"/>
    <w:rsid w:val="00E33D6F"/>
    <w:rsid w:val="00E36705"/>
    <w:rsid w:val="00E40B62"/>
    <w:rsid w:val="00E46365"/>
    <w:rsid w:val="00E46BD3"/>
    <w:rsid w:val="00E578EF"/>
    <w:rsid w:val="00E60DAC"/>
    <w:rsid w:val="00E619C2"/>
    <w:rsid w:val="00E6369B"/>
    <w:rsid w:val="00E63CE5"/>
    <w:rsid w:val="00E65825"/>
    <w:rsid w:val="00E65853"/>
    <w:rsid w:val="00E669EA"/>
    <w:rsid w:val="00E7167B"/>
    <w:rsid w:val="00E75388"/>
    <w:rsid w:val="00E76437"/>
    <w:rsid w:val="00E77AB1"/>
    <w:rsid w:val="00E810BA"/>
    <w:rsid w:val="00E813EB"/>
    <w:rsid w:val="00E82890"/>
    <w:rsid w:val="00E8359B"/>
    <w:rsid w:val="00E84CB9"/>
    <w:rsid w:val="00E90E5A"/>
    <w:rsid w:val="00E95CAB"/>
    <w:rsid w:val="00E96302"/>
    <w:rsid w:val="00E97D2F"/>
    <w:rsid w:val="00EA282F"/>
    <w:rsid w:val="00EA433F"/>
    <w:rsid w:val="00EB20A4"/>
    <w:rsid w:val="00EB3568"/>
    <w:rsid w:val="00EB4A8E"/>
    <w:rsid w:val="00EB7B4D"/>
    <w:rsid w:val="00EC1C05"/>
    <w:rsid w:val="00EC25BF"/>
    <w:rsid w:val="00EC4FEA"/>
    <w:rsid w:val="00ED65DA"/>
    <w:rsid w:val="00ED7720"/>
    <w:rsid w:val="00ED7B43"/>
    <w:rsid w:val="00EE1398"/>
    <w:rsid w:val="00EE3E33"/>
    <w:rsid w:val="00EE5D00"/>
    <w:rsid w:val="00EE67B1"/>
    <w:rsid w:val="00EE6AD6"/>
    <w:rsid w:val="00EE710B"/>
    <w:rsid w:val="00EF0436"/>
    <w:rsid w:val="00EF0A3E"/>
    <w:rsid w:val="00EF230C"/>
    <w:rsid w:val="00EF4752"/>
    <w:rsid w:val="00EF6169"/>
    <w:rsid w:val="00F02282"/>
    <w:rsid w:val="00F0730C"/>
    <w:rsid w:val="00F103D7"/>
    <w:rsid w:val="00F10433"/>
    <w:rsid w:val="00F10861"/>
    <w:rsid w:val="00F10A3D"/>
    <w:rsid w:val="00F10B43"/>
    <w:rsid w:val="00F10E56"/>
    <w:rsid w:val="00F136C7"/>
    <w:rsid w:val="00F151BC"/>
    <w:rsid w:val="00F16B34"/>
    <w:rsid w:val="00F22308"/>
    <w:rsid w:val="00F23478"/>
    <w:rsid w:val="00F250C5"/>
    <w:rsid w:val="00F25839"/>
    <w:rsid w:val="00F31886"/>
    <w:rsid w:val="00F353C8"/>
    <w:rsid w:val="00F35EA3"/>
    <w:rsid w:val="00F374EC"/>
    <w:rsid w:val="00F43B99"/>
    <w:rsid w:val="00F45AF0"/>
    <w:rsid w:val="00F45E2F"/>
    <w:rsid w:val="00F5044B"/>
    <w:rsid w:val="00F50651"/>
    <w:rsid w:val="00F523C0"/>
    <w:rsid w:val="00F52B4B"/>
    <w:rsid w:val="00F5421E"/>
    <w:rsid w:val="00F56AA0"/>
    <w:rsid w:val="00F644E3"/>
    <w:rsid w:val="00F64D06"/>
    <w:rsid w:val="00F70348"/>
    <w:rsid w:val="00F7130F"/>
    <w:rsid w:val="00F72D72"/>
    <w:rsid w:val="00F73E90"/>
    <w:rsid w:val="00F75A8D"/>
    <w:rsid w:val="00F75C8F"/>
    <w:rsid w:val="00F82391"/>
    <w:rsid w:val="00F82600"/>
    <w:rsid w:val="00F828AC"/>
    <w:rsid w:val="00F828F5"/>
    <w:rsid w:val="00F83881"/>
    <w:rsid w:val="00F8537A"/>
    <w:rsid w:val="00F856C8"/>
    <w:rsid w:val="00F90559"/>
    <w:rsid w:val="00F90A33"/>
    <w:rsid w:val="00F91FF2"/>
    <w:rsid w:val="00F92247"/>
    <w:rsid w:val="00F9224B"/>
    <w:rsid w:val="00F97782"/>
    <w:rsid w:val="00FA0861"/>
    <w:rsid w:val="00FA0B89"/>
    <w:rsid w:val="00FA3E91"/>
    <w:rsid w:val="00FB0F61"/>
    <w:rsid w:val="00FB2A95"/>
    <w:rsid w:val="00FB5C7A"/>
    <w:rsid w:val="00FB6B86"/>
    <w:rsid w:val="00FC4C4F"/>
    <w:rsid w:val="00FC6962"/>
    <w:rsid w:val="00FD031B"/>
    <w:rsid w:val="00FD58D8"/>
    <w:rsid w:val="00FD66C8"/>
    <w:rsid w:val="00FE046E"/>
    <w:rsid w:val="00FE17C3"/>
    <w:rsid w:val="00FE37BA"/>
    <w:rsid w:val="00FE5E3E"/>
    <w:rsid w:val="00FF267D"/>
    <w:rsid w:val="00FF77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4A99CAF3"/>
  <w14:defaultImageDpi w14:val="330"/>
  <w15:docId w15:val="{0CA74DD7-4C4D-4D25-9AB7-9413DD712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link w:val="Heading2Char"/>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AC5F97"/>
    <w:pPr>
      <w:spacing w:after="0"/>
      <w:ind w:firstLine="187"/>
    </w:pPr>
    <w:rPr>
      <w:rFonts w:ascii="Arno Pro" w:hAnsi="Arno Pro"/>
      <w:kern w:val="19"/>
      <w:sz w:val="17"/>
      <w:szCs w:val="14"/>
    </w:rPr>
  </w:style>
  <w:style w:type="paragraph" w:customStyle="1" w:styleId="TAMainText">
    <w:name w:val="TA_Main_Text"/>
    <w:basedOn w:val="Normal"/>
    <w:autoRedefine/>
    <w:rsid w:val="00A56E5C"/>
    <w:pPr>
      <w:spacing w:after="60"/>
      <w:ind w:firstLine="180"/>
    </w:pPr>
    <w:rPr>
      <w:rFonts w:ascii="Arno Pro" w:hAnsi="Arno Pro"/>
      <w:kern w:val="21"/>
      <w:sz w:val="19"/>
    </w:rPr>
  </w:style>
  <w:style w:type="paragraph" w:customStyle="1" w:styleId="BATitle">
    <w:name w:val="BA_Title"/>
    <w:basedOn w:val="Normal"/>
    <w:next w:val="BBAuthorName"/>
    <w:autoRedefine/>
    <w:rsid w:val="000F455F"/>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3E351A"/>
    <w:pPr>
      <w:spacing w:after="180"/>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5F3267"/>
    <w:pPr>
      <w:spacing w:after="0"/>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0E75E3"/>
    <w:pPr>
      <w:spacing w:before="180" w:after="60"/>
      <w:jc w:val="left"/>
    </w:pPr>
    <w:rPr>
      <w:rFonts w:ascii="Arno Pro" w:hAnsi="Arno Pro"/>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5F3267"/>
    <w:rPr>
      <w:rFonts w:ascii="Arno Pro" w:hAnsi="Arno Pro"/>
      <w:kern w:val="20"/>
      <w:sz w:val="18"/>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table" w:customStyle="1" w:styleId="PlainTable51">
    <w:name w:val="Plain Table 51"/>
    <w:basedOn w:val="TableNormal"/>
    <w:uiPriority w:val="45"/>
    <w:rsid w:val="000F455F"/>
    <w:rPr>
      <w:rFonts w:asciiTheme="minorHAnsi" w:eastAsiaTheme="minorHAnsi" w:hAnsiTheme="minorHAnsi" w:cstheme="minorBidi"/>
      <w:sz w:val="22"/>
      <w:szCs w:val="22"/>
      <w:lang w:val="de-D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aption">
    <w:name w:val="caption"/>
    <w:basedOn w:val="Normal"/>
    <w:next w:val="Normal"/>
    <w:uiPriority w:val="35"/>
    <w:unhideWhenUsed/>
    <w:qFormat/>
    <w:rsid w:val="00AD1079"/>
    <w:pPr>
      <w:jc w:val="left"/>
    </w:pPr>
    <w:rPr>
      <w:rFonts w:asciiTheme="minorHAnsi" w:eastAsiaTheme="minorHAnsi" w:hAnsiTheme="minorHAnsi" w:cstheme="minorBidi"/>
      <w:i/>
      <w:iCs/>
      <w:color w:val="1F497D" w:themeColor="text2"/>
      <w:sz w:val="18"/>
      <w:szCs w:val="18"/>
      <w:lang w:val="de-DE"/>
    </w:rPr>
  </w:style>
  <w:style w:type="character" w:styleId="LineNumber">
    <w:name w:val="line number"/>
    <w:basedOn w:val="DefaultParagraphFont"/>
    <w:semiHidden/>
    <w:unhideWhenUsed/>
    <w:rsid w:val="003B4F28"/>
  </w:style>
  <w:style w:type="character" w:customStyle="1" w:styleId="Heading2Char">
    <w:name w:val="Heading 2 Char"/>
    <w:basedOn w:val="DefaultParagraphFont"/>
    <w:link w:val="Heading2"/>
    <w:rsid w:val="00AB683B"/>
    <w:rPr>
      <w:rFonts w:ascii="Myriad Pro Light" w:hAnsi="Myriad Pro Light" w:cs="Arial"/>
      <w:b/>
      <w:bCs/>
      <w:iCs/>
      <w:szCs w:val="28"/>
    </w:rPr>
  </w:style>
  <w:style w:type="paragraph" w:customStyle="1" w:styleId="Text">
    <w:name w:val="Text"/>
    <w:basedOn w:val="Heading1"/>
    <w:qFormat/>
    <w:rsid w:val="00AB683B"/>
    <w:pPr>
      <w:suppressAutoHyphens/>
      <w:spacing w:before="120" w:after="120"/>
      <w:ind w:left="432" w:hanging="432"/>
    </w:pPr>
    <w:rPr>
      <w:rFonts w:ascii="Calibri" w:eastAsiaTheme="minorHAnsi" w:hAnsi="Calibri" w:cstheme="minorBidi"/>
      <w:b w:val="0"/>
      <w:bCs w:val="0"/>
      <w:kern w:val="0"/>
      <w:szCs w:val="22"/>
      <w:lang w:val="en-GB" w:eastAsia="zh-CN"/>
    </w:rPr>
  </w:style>
  <w:style w:type="character" w:styleId="CommentReference">
    <w:name w:val="annotation reference"/>
    <w:basedOn w:val="DefaultParagraphFont"/>
    <w:semiHidden/>
    <w:unhideWhenUsed/>
    <w:rsid w:val="004637A0"/>
    <w:rPr>
      <w:sz w:val="16"/>
      <w:szCs w:val="16"/>
    </w:rPr>
  </w:style>
  <w:style w:type="paragraph" w:styleId="CommentText">
    <w:name w:val="annotation text"/>
    <w:basedOn w:val="Normal"/>
    <w:link w:val="CommentTextChar"/>
    <w:semiHidden/>
    <w:unhideWhenUsed/>
    <w:rsid w:val="004637A0"/>
    <w:rPr>
      <w:sz w:val="20"/>
    </w:rPr>
  </w:style>
  <w:style w:type="character" w:customStyle="1" w:styleId="CommentTextChar">
    <w:name w:val="Comment Text Char"/>
    <w:basedOn w:val="DefaultParagraphFont"/>
    <w:link w:val="CommentText"/>
    <w:semiHidden/>
    <w:rsid w:val="004637A0"/>
    <w:rPr>
      <w:rFonts w:ascii="Times" w:hAnsi="Times"/>
    </w:rPr>
  </w:style>
  <w:style w:type="paragraph" w:styleId="CommentSubject">
    <w:name w:val="annotation subject"/>
    <w:basedOn w:val="CommentText"/>
    <w:next w:val="CommentText"/>
    <w:link w:val="CommentSubjectChar"/>
    <w:semiHidden/>
    <w:unhideWhenUsed/>
    <w:rsid w:val="004637A0"/>
    <w:rPr>
      <w:b/>
      <w:bCs/>
    </w:rPr>
  </w:style>
  <w:style w:type="character" w:customStyle="1" w:styleId="CommentSubjectChar">
    <w:name w:val="Comment Subject Char"/>
    <w:basedOn w:val="CommentTextChar"/>
    <w:link w:val="CommentSubject"/>
    <w:semiHidden/>
    <w:rsid w:val="004637A0"/>
    <w:rPr>
      <w:rFonts w:ascii="Times" w:hAnsi="Times"/>
      <w:b/>
      <w:bCs/>
    </w:rPr>
  </w:style>
  <w:style w:type="character" w:customStyle="1" w:styleId="fontstyle01">
    <w:name w:val="fontstyle01"/>
    <w:basedOn w:val="DefaultParagraphFont"/>
    <w:rsid w:val="00C36A41"/>
    <w:rPr>
      <w:rFonts w:ascii="AdvPA183" w:hAnsi="AdvPA183" w:hint="default"/>
      <w:b w:val="0"/>
      <w:bCs w:val="0"/>
      <w:i w:val="0"/>
      <w:iCs w:val="0"/>
      <w:color w:val="00689C"/>
      <w:sz w:val="16"/>
      <w:szCs w:val="16"/>
    </w:rPr>
  </w:style>
  <w:style w:type="character" w:styleId="Strong">
    <w:name w:val="Strong"/>
    <w:basedOn w:val="DefaultParagraphFont"/>
    <w:uiPriority w:val="22"/>
    <w:qFormat/>
    <w:rsid w:val="004126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725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t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3dm.bio-prodict.com/" TargetMode="External"/><Relationship Id="rId17" Type="http://schemas.openxmlformats.org/officeDocument/2006/relationships/image" Target="media/image6.tif"/><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5" Type="http://schemas.openxmlformats.org/officeDocument/2006/relationships/image" Target="media/image4.tif"/><Relationship Id="rId10" Type="http://schemas.openxmlformats.org/officeDocument/2006/relationships/hyperlink" Target="https://cyped.biocatnet.de/sequence-browse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ti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W:\data\009_Octanoic%20acid%20paper\acsPageWide-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2B533E-2854-47A7-A92B-67285F9C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acsPageWide-MSW2010</Template>
  <TotalTime>0</TotalTime>
  <Pages>9</Pages>
  <Words>6229</Words>
  <Characters>137394</Characters>
  <Application>Microsoft Office Word</Application>
  <DocSecurity>0</DocSecurity>
  <Lines>1144</Lines>
  <Paragraphs>286</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143337</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Lea Rapp</dc:creator>
  <cp:keywords/>
  <dc:description/>
  <cp:lastModifiedBy>Lea Rapp</cp:lastModifiedBy>
  <cp:revision>7</cp:revision>
  <cp:lastPrinted>2021-01-11T13:53:00Z</cp:lastPrinted>
  <dcterms:created xsi:type="dcterms:W3CDTF">2021-01-19T12:44:00Z</dcterms:created>
  <dcterms:modified xsi:type="dcterms:W3CDTF">2021-01-25T09:33:00Z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http://www.zotero.org/styles/acs-catalysis</vt:lpwstr>
  </property>
  <property fmtid="{D5CDD505-2E9C-101B-9397-08002B2CF9AE}" pid="3" name="Mendeley Recent Style Name 0_1">
    <vt:lpwstr>ACS Catalysis</vt:lpwstr>
  </property>
  <property fmtid="{D5CDD505-2E9C-101B-9397-08002B2CF9AE}" pid="4" name="Mendeley Recent Style Id 1_1">
    <vt:lpwstr>http://www.zotero.org/styles/american-chemical-society</vt:lpwstr>
  </property>
  <property fmtid="{D5CDD505-2E9C-101B-9397-08002B2CF9AE}" pid="5" name="Mendeley Recent Style Name 1_1">
    <vt:lpwstr>American Chemical Society</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http://www.zotero.org/styles/springer-basic-brackets-no-et-al</vt:lpwstr>
  </property>
  <property fmtid="{D5CDD505-2E9C-101B-9397-08002B2CF9AE}" pid="21" name="Mendeley Recent Style Name 9_1">
    <vt:lpwstr>Springer - Basic (numeric, brackets, no "et al.")</vt:lpwstr>
  </property>
  <property fmtid="{D5CDD505-2E9C-101B-9397-08002B2CF9AE}" pid="22" name="Mendeley Document_1">
    <vt:lpwstr>True</vt:lpwstr>
  </property>
  <property fmtid="{D5CDD505-2E9C-101B-9397-08002B2CF9AE}" pid="23" name="Mendeley Unique User Id_1">
    <vt:lpwstr>4c1f4e46-93b1-3aae-a294-f9bb4e3b25dc</vt:lpwstr>
  </property>
  <property fmtid="{D5CDD505-2E9C-101B-9397-08002B2CF9AE}" pid="24" name="Mendeley Citation Style_1">
    <vt:lpwstr>http://www.zotero.org/styles/acs-catalysis</vt:lpwstr>
  </property>
</Properties>
</file>