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38871" w14:textId="716AF795" w:rsidR="00805117" w:rsidRPr="00A72767" w:rsidRDefault="00805117" w:rsidP="00870280">
      <w:pPr>
        <w:pStyle w:val="Title"/>
        <w:spacing w:line="276" w:lineRule="auto"/>
        <w:jc w:val="center"/>
        <w:outlineLvl w:val="0"/>
        <w:rPr>
          <w:rFonts w:ascii="Baskerville" w:hAnsi="Baskerville"/>
          <w:sz w:val="28"/>
          <w:szCs w:val="28"/>
        </w:rPr>
      </w:pPr>
      <w:r w:rsidRPr="00A72767">
        <w:rPr>
          <w:rFonts w:ascii="Baskerville" w:hAnsi="Baskerville"/>
          <w:sz w:val="28"/>
          <w:szCs w:val="28"/>
        </w:rPr>
        <w:t>JUDICIAL REVIEW AND ADMINISTRATIVE JUSTICE</w:t>
      </w:r>
      <w:r w:rsidR="001F254B">
        <w:rPr>
          <w:rStyle w:val="FootnoteReference"/>
          <w:rFonts w:ascii="Baskerville" w:hAnsi="Baskerville"/>
          <w:sz w:val="28"/>
          <w:szCs w:val="28"/>
        </w:rPr>
        <w:footnoteReference w:id="1"/>
      </w:r>
    </w:p>
    <w:p w14:paraId="45C6AD66" w14:textId="77777777" w:rsidR="00805117" w:rsidRPr="00262092" w:rsidRDefault="00805117" w:rsidP="00262092">
      <w:pPr>
        <w:spacing w:line="276" w:lineRule="auto"/>
        <w:rPr>
          <w:rFonts w:ascii="Baskerville" w:hAnsi="Baskerville"/>
        </w:rPr>
      </w:pPr>
    </w:p>
    <w:p w14:paraId="71F6FEE3" w14:textId="713868AB" w:rsidR="00805117" w:rsidRPr="00262092" w:rsidRDefault="00805117" w:rsidP="00870280">
      <w:pPr>
        <w:spacing w:line="276" w:lineRule="auto"/>
        <w:jc w:val="center"/>
        <w:outlineLvl w:val="0"/>
        <w:rPr>
          <w:rFonts w:ascii="Baskerville" w:hAnsi="Baskerville"/>
          <w:i/>
        </w:rPr>
      </w:pPr>
      <w:r w:rsidRPr="00262092">
        <w:rPr>
          <w:rFonts w:ascii="Baskerville" w:hAnsi="Baskerville"/>
          <w:i/>
        </w:rPr>
        <w:t>T.T. Arvind</w:t>
      </w:r>
      <w:r w:rsidRPr="00262092">
        <w:rPr>
          <w:rFonts w:ascii="Baskerville" w:hAnsi="Baskerville"/>
        </w:rPr>
        <w:t xml:space="preserve">, </w:t>
      </w:r>
      <w:r w:rsidRPr="00262092">
        <w:rPr>
          <w:rFonts w:ascii="Baskerville" w:hAnsi="Baskerville"/>
          <w:i/>
        </w:rPr>
        <w:t>Simon Halliday</w:t>
      </w:r>
      <w:r w:rsidRPr="00262092">
        <w:rPr>
          <w:rFonts w:ascii="Baskerville" w:hAnsi="Baskerville"/>
        </w:rPr>
        <w:t xml:space="preserve"> and </w:t>
      </w:r>
      <w:r w:rsidRPr="00262092">
        <w:rPr>
          <w:rFonts w:ascii="Baskerville" w:hAnsi="Baskerville"/>
          <w:i/>
        </w:rPr>
        <w:t xml:space="preserve">Lindsay </w:t>
      </w:r>
      <w:proofErr w:type="spellStart"/>
      <w:r w:rsidRPr="00262092">
        <w:rPr>
          <w:rFonts w:ascii="Baskerville" w:hAnsi="Baskerville"/>
          <w:i/>
        </w:rPr>
        <w:t>Stirton</w:t>
      </w:r>
      <w:proofErr w:type="spellEnd"/>
    </w:p>
    <w:p w14:paraId="5342B521" w14:textId="77777777" w:rsidR="0082418A" w:rsidRDefault="0082418A" w:rsidP="00262092">
      <w:pPr>
        <w:spacing w:line="276" w:lineRule="auto"/>
        <w:rPr>
          <w:rFonts w:ascii="Baskerville" w:hAnsi="Baskerville"/>
        </w:rPr>
      </w:pPr>
    </w:p>
    <w:p w14:paraId="7AAB41AB" w14:textId="77777777" w:rsidR="00C2218B" w:rsidRPr="00262092" w:rsidRDefault="00C2218B" w:rsidP="00262092">
      <w:pPr>
        <w:spacing w:line="276" w:lineRule="auto"/>
        <w:rPr>
          <w:rFonts w:ascii="Baskerville" w:hAnsi="Baskerville"/>
        </w:rPr>
      </w:pPr>
    </w:p>
    <w:p w14:paraId="5B06F604" w14:textId="5F40EB67" w:rsidR="00D7275E" w:rsidRPr="00A72767" w:rsidRDefault="001C29D6" w:rsidP="001C29D6">
      <w:pPr>
        <w:pStyle w:val="Heading1"/>
      </w:pPr>
      <w:r>
        <w:t>I.</w:t>
      </w:r>
      <w:r>
        <w:tab/>
      </w:r>
      <w:r w:rsidR="00374D27">
        <w:t>INTRODUCTION</w:t>
      </w:r>
    </w:p>
    <w:p w14:paraId="6164C80E" w14:textId="77777777" w:rsidR="00A72767" w:rsidRDefault="00A72767" w:rsidP="00262092">
      <w:pPr>
        <w:spacing w:line="276" w:lineRule="auto"/>
        <w:rPr>
          <w:rFonts w:ascii="Baskerville" w:hAnsi="Baskerville"/>
        </w:rPr>
      </w:pPr>
    </w:p>
    <w:p w14:paraId="7F4E2DA9" w14:textId="77777777" w:rsidR="005772D8" w:rsidRDefault="00805117" w:rsidP="00262092">
      <w:pPr>
        <w:spacing w:line="276" w:lineRule="auto"/>
        <w:rPr>
          <w:rFonts w:ascii="Baskerville" w:hAnsi="Baskerville"/>
        </w:rPr>
      </w:pPr>
      <w:r w:rsidRPr="00262092">
        <w:rPr>
          <w:rFonts w:ascii="Baskerville" w:hAnsi="Baskerville"/>
        </w:rPr>
        <w:t xml:space="preserve">It is something of a peculiarity that, while judicial review is a major focus of administrative law scholarship, it is only of minor concern in administrative justice scholarship. </w:t>
      </w:r>
      <w:r w:rsidR="005772D8">
        <w:rPr>
          <w:rFonts w:ascii="Baskerville" w:hAnsi="Baskerville"/>
        </w:rPr>
        <w:t>Nor is the neglect one-sided.  Administrative justice has played little, if any, role in theorisation about judicial review.  Although scholars of judicial review have considered its relationship with different approaches to deference (Harlow &amp; Rawlings, 1997), or with political thinking on constitutionalism, justice, and the proper role of the state (Loughlin, 2000), relatively little attention has been paid in recent times to its relationship with the pursuit of just administration.</w:t>
      </w:r>
    </w:p>
    <w:p w14:paraId="6552CE78" w14:textId="77777777" w:rsidR="005772D8" w:rsidRDefault="005772D8" w:rsidP="00262092">
      <w:pPr>
        <w:spacing w:line="276" w:lineRule="auto"/>
        <w:rPr>
          <w:rFonts w:ascii="Baskerville" w:hAnsi="Baskerville"/>
        </w:rPr>
      </w:pPr>
    </w:p>
    <w:p w14:paraId="14C7B0F4" w14:textId="5B441ED5" w:rsidR="0013494C" w:rsidRDefault="00805117" w:rsidP="000356EB">
      <w:pPr>
        <w:spacing w:line="276" w:lineRule="auto"/>
        <w:rPr>
          <w:rFonts w:ascii="Baskerville" w:hAnsi="Baskerville"/>
        </w:rPr>
      </w:pPr>
      <w:r w:rsidRPr="00262092">
        <w:rPr>
          <w:rFonts w:ascii="Baskerville" w:hAnsi="Baskerville"/>
        </w:rPr>
        <w:t>What is it in the distinction between ‘law’ and ‘justice’ that triggers a significant shift of attention? The answer to this seemingly lofty question turns out to be rather mundane and lies simply in the use of these terms within the legal academy. Administrative law scholars tend to self-define (by implication, at least) according to the area</w:t>
      </w:r>
      <w:r w:rsidR="005772D8">
        <w:rPr>
          <w:rFonts w:ascii="Baskerville" w:hAnsi="Baskerville"/>
        </w:rPr>
        <w:t xml:space="preserve"> of legal doctrine they work on</w:t>
      </w:r>
      <w:r w:rsidRPr="00262092">
        <w:rPr>
          <w:rFonts w:ascii="Baskerville" w:hAnsi="Baskerville"/>
        </w:rPr>
        <w:t xml:space="preserve"> and thus judicial review forms a core aspect of their enquiry</w:t>
      </w:r>
      <w:r w:rsidR="005772D8">
        <w:rPr>
          <w:rFonts w:ascii="Baskerville" w:hAnsi="Baskerville"/>
        </w:rPr>
        <w:t xml:space="preserve">. </w:t>
      </w:r>
      <w:r w:rsidR="00BD2025">
        <w:rPr>
          <w:rFonts w:ascii="Baskerville" w:hAnsi="Baskerville"/>
        </w:rPr>
        <w:t>A</w:t>
      </w:r>
      <w:r w:rsidR="005772D8">
        <w:rPr>
          <w:rFonts w:ascii="Baskerville" w:hAnsi="Baskerville"/>
        </w:rPr>
        <w:t xml:space="preserve">dministrative </w:t>
      </w:r>
      <w:r w:rsidR="005772D8" w:rsidRPr="00BD2025">
        <w:rPr>
          <w:rFonts w:ascii="Baskerville" w:hAnsi="Baskerville"/>
          <w:i/>
          <w:iCs/>
        </w:rPr>
        <w:t>justice</w:t>
      </w:r>
      <w:r w:rsidR="00BD2025">
        <w:rPr>
          <w:rFonts w:ascii="Baskerville" w:hAnsi="Baskerville"/>
        </w:rPr>
        <w:t xml:space="preserve">, </w:t>
      </w:r>
      <w:r w:rsidR="00DC304D">
        <w:rPr>
          <w:rFonts w:ascii="Baskerville" w:hAnsi="Baskerville"/>
        </w:rPr>
        <w:t>which</w:t>
      </w:r>
      <w:r w:rsidR="005772D8">
        <w:rPr>
          <w:rFonts w:ascii="Baskerville" w:hAnsi="Baskerville"/>
        </w:rPr>
        <w:t xml:space="preserve"> does not correspond to any </w:t>
      </w:r>
      <w:r w:rsidR="00BD2025">
        <w:rPr>
          <w:rFonts w:ascii="Baskerville" w:hAnsi="Baskerville"/>
        </w:rPr>
        <w:t>doctrinal category</w:t>
      </w:r>
      <w:r w:rsidR="00DC304D">
        <w:rPr>
          <w:rFonts w:ascii="Baskerville" w:hAnsi="Baskerville"/>
        </w:rPr>
        <w:t xml:space="preserve"> or any established evaluative framework</w:t>
      </w:r>
      <w:r w:rsidR="009C76CF">
        <w:rPr>
          <w:rFonts w:ascii="Baskerville" w:hAnsi="Baskerville"/>
        </w:rPr>
        <w:t xml:space="preserve">, </w:t>
      </w:r>
      <w:r w:rsidR="00DC304D">
        <w:rPr>
          <w:rFonts w:ascii="Baskerville" w:hAnsi="Baskerville"/>
        </w:rPr>
        <w:t>fits less readily within this conception of the field</w:t>
      </w:r>
      <w:r w:rsidRPr="00262092">
        <w:rPr>
          <w:rFonts w:ascii="Baskerville" w:hAnsi="Baskerville"/>
        </w:rPr>
        <w:t xml:space="preserve">. </w:t>
      </w:r>
      <w:r w:rsidR="00532C28">
        <w:rPr>
          <w:rFonts w:ascii="Baskerville" w:hAnsi="Baskerville"/>
        </w:rPr>
        <w:t xml:space="preserve">Yet, from the perspective of administrative justice scholarship, the </w:t>
      </w:r>
      <w:r w:rsidR="00532C28" w:rsidRPr="00262092">
        <w:rPr>
          <w:rFonts w:ascii="Baskerville" w:hAnsi="Baskerville"/>
        </w:rPr>
        <w:t>questions that run through the terrain of public law doctrine and public law theory</w:t>
      </w:r>
      <w:r w:rsidR="00532C28">
        <w:rPr>
          <w:rFonts w:ascii="Baskerville" w:hAnsi="Baskerville"/>
        </w:rPr>
        <w:t xml:space="preserve"> are fundamentally related to administrative justice</w:t>
      </w:r>
      <w:r w:rsidR="00532C28" w:rsidRPr="00262092">
        <w:rPr>
          <w:rFonts w:ascii="Baskerville" w:hAnsi="Baskerville"/>
        </w:rPr>
        <w:t>.</w:t>
      </w:r>
      <w:r w:rsidR="00532C28">
        <w:rPr>
          <w:rFonts w:ascii="Baskerville" w:hAnsi="Baskerville"/>
        </w:rPr>
        <w:t xml:space="preserve"> </w:t>
      </w:r>
      <w:r w:rsidR="00D16A12">
        <w:rPr>
          <w:rFonts w:ascii="Baskerville" w:hAnsi="Baskerville"/>
        </w:rPr>
        <w:t>That administrative law scholars</w:t>
      </w:r>
      <w:r w:rsidR="00F5764F">
        <w:rPr>
          <w:rFonts w:ascii="Baskerville" w:hAnsi="Baskerville"/>
        </w:rPr>
        <w:t>hip</w:t>
      </w:r>
      <w:r w:rsidR="00D16A12" w:rsidRPr="00D16A12">
        <w:rPr>
          <w:rFonts w:ascii="Baskerville" w:hAnsi="Baskerville"/>
        </w:rPr>
        <w:t xml:space="preserve"> </w:t>
      </w:r>
      <w:r w:rsidR="00D16A12">
        <w:rPr>
          <w:rFonts w:ascii="Baskerville" w:hAnsi="Baskerville"/>
        </w:rPr>
        <w:t>pay</w:t>
      </w:r>
      <w:r w:rsidR="00F5764F">
        <w:rPr>
          <w:rFonts w:ascii="Baskerville" w:hAnsi="Baskerville"/>
        </w:rPr>
        <w:t>s</w:t>
      </w:r>
      <w:r w:rsidR="00D16A12">
        <w:rPr>
          <w:rFonts w:ascii="Baskerville" w:hAnsi="Baskerville"/>
        </w:rPr>
        <w:t xml:space="preserve"> </w:t>
      </w:r>
      <w:r w:rsidR="00F5764F">
        <w:rPr>
          <w:rFonts w:ascii="Baskerville" w:hAnsi="Baskerville"/>
        </w:rPr>
        <w:t xml:space="preserve">somewhat limited </w:t>
      </w:r>
      <w:r w:rsidR="00D16A12">
        <w:rPr>
          <w:rFonts w:ascii="Baskerville" w:hAnsi="Baskerville"/>
        </w:rPr>
        <w:t>attention to administrative justice w</w:t>
      </w:r>
      <w:r w:rsidR="00532C28" w:rsidRPr="00262092">
        <w:rPr>
          <w:rFonts w:ascii="Baskerville" w:hAnsi="Baskerville"/>
        </w:rPr>
        <w:t xml:space="preserve">hen </w:t>
      </w:r>
      <w:r w:rsidR="00D16A12">
        <w:rPr>
          <w:rFonts w:ascii="Baskerville" w:hAnsi="Baskerville"/>
        </w:rPr>
        <w:t xml:space="preserve">asking </w:t>
      </w:r>
      <w:r w:rsidR="00532C28" w:rsidRPr="00262092">
        <w:rPr>
          <w:rFonts w:ascii="Baskerville" w:hAnsi="Baskerville"/>
        </w:rPr>
        <w:t xml:space="preserve">what </w:t>
      </w:r>
      <w:r w:rsidR="00D16A12">
        <w:rPr>
          <w:rFonts w:ascii="Baskerville" w:hAnsi="Baskerville"/>
        </w:rPr>
        <w:t>factors</w:t>
      </w:r>
      <w:r w:rsidR="00532C28" w:rsidRPr="00262092">
        <w:rPr>
          <w:rFonts w:ascii="Baskerville" w:hAnsi="Baskerville"/>
        </w:rPr>
        <w:t xml:space="preserve"> should </w:t>
      </w:r>
      <w:r w:rsidR="00D16A12">
        <w:rPr>
          <w:rFonts w:ascii="Baskerville" w:hAnsi="Baskerville"/>
        </w:rPr>
        <w:t>shape or</w:t>
      </w:r>
      <w:r w:rsidR="00532C28" w:rsidRPr="00262092">
        <w:rPr>
          <w:rFonts w:ascii="Baskerville" w:hAnsi="Baskerville"/>
        </w:rPr>
        <w:t xml:space="preserve"> limit the court’s reach</w:t>
      </w:r>
      <w:r w:rsidR="00D16A12">
        <w:rPr>
          <w:rFonts w:ascii="Baskerville" w:hAnsi="Baskerville"/>
        </w:rPr>
        <w:t xml:space="preserve"> </w:t>
      </w:r>
      <w:r w:rsidR="000356EB">
        <w:rPr>
          <w:rFonts w:ascii="Baskerville" w:hAnsi="Baskerville"/>
        </w:rPr>
        <w:t xml:space="preserve">in </w:t>
      </w:r>
      <w:r w:rsidR="00D16A12" w:rsidRPr="00262092">
        <w:rPr>
          <w:rFonts w:ascii="Baskerville" w:hAnsi="Baskerville"/>
        </w:rPr>
        <w:t>consider</w:t>
      </w:r>
      <w:r w:rsidR="00D16A12">
        <w:rPr>
          <w:rFonts w:ascii="Baskerville" w:hAnsi="Baskerville"/>
        </w:rPr>
        <w:t>ing</w:t>
      </w:r>
      <w:r w:rsidR="00D16A12" w:rsidRPr="00262092">
        <w:rPr>
          <w:rFonts w:ascii="Baskerville" w:hAnsi="Baskerville"/>
        </w:rPr>
        <w:t xml:space="preserve"> the legality of governmental administration</w:t>
      </w:r>
      <w:r w:rsidR="00D16A12">
        <w:rPr>
          <w:rFonts w:ascii="Baskerville" w:hAnsi="Baskerville"/>
        </w:rPr>
        <w:t xml:space="preserve"> or w</w:t>
      </w:r>
      <w:r w:rsidR="00532C28" w:rsidRPr="00262092">
        <w:rPr>
          <w:rFonts w:ascii="Baskerville" w:hAnsi="Baskerville"/>
        </w:rPr>
        <w:t>hat basic values</w:t>
      </w:r>
      <w:r w:rsidR="00D16A12">
        <w:rPr>
          <w:rFonts w:ascii="Baskerville" w:hAnsi="Baskerville"/>
        </w:rPr>
        <w:t>, goals,</w:t>
      </w:r>
      <w:r w:rsidR="00532C28" w:rsidRPr="00262092">
        <w:rPr>
          <w:rFonts w:ascii="Baskerville" w:hAnsi="Baskerville"/>
        </w:rPr>
        <w:t xml:space="preserve"> and commitments should underpin the court’s decision-making processes</w:t>
      </w:r>
      <w:r w:rsidR="00D16A12">
        <w:rPr>
          <w:rFonts w:ascii="Baskerville" w:hAnsi="Baskerville"/>
        </w:rPr>
        <w:t xml:space="preserve">, appears to be </w:t>
      </w:r>
      <w:r w:rsidR="00B85AD5">
        <w:rPr>
          <w:rFonts w:ascii="Baskerville" w:hAnsi="Baskerville"/>
        </w:rPr>
        <w:t xml:space="preserve">both </w:t>
      </w:r>
      <w:r w:rsidR="00D16A12">
        <w:rPr>
          <w:rFonts w:ascii="Baskerville" w:hAnsi="Baskerville"/>
        </w:rPr>
        <w:t>a significant omission and a missed opportunity for productive dialogue.</w:t>
      </w:r>
    </w:p>
    <w:p w14:paraId="59387B09" w14:textId="77777777" w:rsidR="0013494C" w:rsidRDefault="0013494C" w:rsidP="000A3028">
      <w:pPr>
        <w:spacing w:line="276" w:lineRule="auto"/>
        <w:rPr>
          <w:rFonts w:ascii="Baskerville" w:hAnsi="Baskerville"/>
        </w:rPr>
      </w:pPr>
    </w:p>
    <w:p w14:paraId="3BEA89AB" w14:textId="77777777" w:rsidR="00B85AD5" w:rsidRDefault="00805117" w:rsidP="0013494C">
      <w:pPr>
        <w:spacing w:line="276" w:lineRule="auto"/>
        <w:rPr>
          <w:rFonts w:ascii="Baskerville" w:hAnsi="Baskerville"/>
        </w:rPr>
      </w:pPr>
      <w:r w:rsidRPr="00262092">
        <w:rPr>
          <w:rFonts w:ascii="Baskerville" w:hAnsi="Baskerville"/>
        </w:rPr>
        <w:t xml:space="preserve">Administrative justice scholars, </w:t>
      </w:r>
      <w:r w:rsidR="00DA3F75">
        <w:rPr>
          <w:rFonts w:ascii="Baskerville" w:hAnsi="Baskerville"/>
        </w:rPr>
        <w:t>in contrast</w:t>
      </w:r>
      <w:r w:rsidRPr="00262092">
        <w:rPr>
          <w:rFonts w:ascii="Baskerville" w:hAnsi="Baskerville"/>
        </w:rPr>
        <w:t>, tend to self-define according to the branch of the justice system that they concern themselves with</w:t>
      </w:r>
      <w:r w:rsidR="00CA4ACF">
        <w:rPr>
          <w:rFonts w:ascii="Baskerville" w:hAnsi="Baskerville"/>
        </w:rPr>
        <w:t xml:space="preserve">. </w:t>
      </w:r>
      <w:r w:rsidRPr="00262092">
        <w:rPr>
          <w:rFonts w:ascii="Baskerville" w:hAnsi="Baskerville"/>
        </w:rPr>
        <w:t xml:space="preserve">In </w:t>
      </w:r>
      <w:r w:rsidR="00CA4ACF">
        <w:rPr>
          <w:rFonts w:ascii="Baskerville" w:hAnsi="Baskerville"/>
        </w:rPr>
        <w:t>theory, therefore</w:t>
      </w:r>
      <w:r w:rsidRPr="00262092">
        <w:rPr>
          <w:rFonts w:ascii="Baskerville" w:hAnsi="Baskerville"/>
        </w:rPr>
        <w:t xml:space="preserve">, the framework for administrative justice scholarship includes the full range of “mechanisms by which individuals can seek to resolve their disputes with administrative agencies…” (Thomas, 2011: 1). </w:t>
      </w:r>
      <w:r w:rsidR="00DA3F75">
        <w:rPr>
          <w:rFonts w:ascii="Baskerville" w:hAnsi="Baskerville"/>
        </w:rPr>
        <w:t xml:space="preserve"> </w:t>
      </w:r>
      <w:r w:rsidR="0010314C">
        <w:rPr>
          <w:rFonts w:ascii="Baskerville" w:hAnsi="Baskerville"/>
        </w:rPr>
        <w:t>Yet, w</w:t>
      </w:r>
      <w:r w:rsidRPr="00262092">
        <w:rPr>
          <w:rFonts w:ascii="Baskerville" w:hAnsi="Baskerville"/>
        </w:rPr>
        <w:t>hile judicial review is clearly one of those mechanisms sitting at the apex of the administrative justice system, most scholars have developed their research agendas in response to the empirical insight that the vast majority of administrative decisions are challenged elsewhere (</w:t>
      </w:r>
      <w:proofErr w:type="spellStart"/>
      <w:r w:rsidRPr="00262092">
        <w:rPr>
          <w:rFonts w:ascii="Baskerville" w:hAnsi="Baskerville"/>
        </w:rPr>
        <w:t>Genn</w:t>
      </w:r>
      <w:proofErr w:type="spellEnd"/>
      <w:r w:rsidRPr="00262092">
        <w:rPr>
          <w:rFonts w:ascii="Baskerville" w:hAnsi="Baskerville"/>
        </w:rPr>
        <w:t xml:space="preserve">, 1994; Partington, 1999; Thomas 2011). </w:t>
      </w:r>
      <w:r w:rsidR="00DA3F75">
        <w:rPr>
          <w:rFonts w:ascii="Baskerville" w:hAnsi="Baskerville"/>
        </w:rPr>
        <w:t>The result is to conceptualise the field in a way that emphasises its distinctiveness and separateness from court-centred justice</w:t>
      </w:r>
      <w:r w:rsidR="000A3028">
        <w:rPr>
          <w:rFonts w:ascii="Baskerville" w:hAnsi="Baskerville"/>
        </w:rPr>
        <w:t xml:space="preserve">: </w:t>
      </w:r>
      <w:r w:rsidR="00DA3F75" w:rsidRPr="003D5169">
        <w:rPr>
          <w:rFonts w:ascii="Baskerville" w:hAnsi="Baskerville"/>
        </w:rPr>
        <w:t xml:space="preserve">Adler, for example, when introducing his collection of essays on </w:t>
      </w:r>
      <w:r w:rsidR="00DA3F75">
        <w:rPr>
          <w:rFonts w:ascii="Baskerville" w:hAnsi="Baskerville"/>
        </w:rPr>
        <w:t xml:space="preserve">the </w:t>
      </w:r>
      <w:r w:rsidR="00DA3F75">
        <w:rPr>
          <w:rFonts w:ascii="Baskerville" w:hAnsi="Baskerville"/>
        </w:rPr>
        <w:lastRenderedPageBreak/>
        <w:t>subject of administrative justice</w:t>
      </w:r>
      <w:r w:rsidR="00DA3F75" w:rsidRPr="003D5169">
        <w:rPr>
          <w:rFonts w:ascii="Baskerville" w:hAnsi="Baskerville"/>
        </w:rPr>
        <w:t xml:space="preserve">, </w:t>
      </w:r>
      <w:r w:rsidR="00DA3F75" w:rsidRPr="000A3028">
        <w:rPr>
          <w:rFonts w:ascii="Baskerville" w:hAnsi="Baskerville"/>
          <w:i/>
          <w:iCs/>
        </w:rPr>
        <w:t>contrasts</w:t>
      </w:r>
      <w:r w:rsidR="00DA3F75" w:rsidRPr="003D5169">
        <w:rPr>
          <w:rFonts w:ascii="Baskerville" w:hAnsi="Baskerville"/>
        </w:rPr>
        <w:t xml:space="preserve"> </w:t>
      </w:r>
      <w:r w:rsidR="00DA3F75">
        <w:rPr>
          <w:rFonts w:ascii="Baskerville" w:hAnsi="Baskerville"/>
        </w:rPr>
        <w:t>it</w:t>
      </w:r>
      <w:r w:rsidR="00DA3F75" w:rsidRPr="003D5169">
        <w:rPr>
          <w:rFonts w:ascii="Baskerville" w:hAnsi="Baskerville"/>
        </w:rPr>
        <w:t xml:space="preserve"> with civil justice and criminal justice (Adler 2010: 1)</w:t>
      </w:r>
      <w:r w:rsidR="000A3028">
        <w:rPr>
          <w:rFonts w:ascii="Baskerville" w:hAnsi="Baskerville"/>
        </w:rPr>
        <w:t>.</w:t>
      </w:r>
      <w:r w:rsidR="00DA3F75">
        <w:rPr>
          <w:rFonts w:ascii="Baskerville" w:hAnsi="Baskerville"/>
        </w:rPr>
        <w:t xml:space="preserve"> </w:t>
      </w:r>
      <w:r w:rsidR="000A3028">
        <w:rPr>
          <w:rFonts w:ascii="Baskerville" w:hAnsi="Baskerville"/>
        </w:rPr>
        <w:t xml:space="preserve"> The focus, in consequence, is on alternative fora for the resolution of grievances</w:t>
      </w:r>
      <w:r w:rsidR="000A3028" w:rsidRPr="00262092">
        <w:rPr>
          <w:rFonts w:ascii="Baskerville" w:hAnsi="Baskerville"/>
        </w:rPr>
        <w:t>: internal reviews, complaints processes, tribunals, etc.</w:t>
      </w:r>
      <w:r w:rsidR="000A3028">
        <w:rPr>
          <w:rFonts w:ascii="Baskerville" w:hAnsi="Baskerville"/>
        </w:rPr>
        <w:t xml:space="preserve"> F</w:t>
      </w:r>
      <w:r w:rsidRPr="00262092">
        <w:rPr>
          <w:rFonts w:ascii="Baskerville" w:hAnsi="Baskerville"/>
        </w:rPr>
        <w:t>or most users, these are the only parts of the system they will ever encounter.</w:t>
      </w:r>
      <w:r w:rsidR="0013494C">
        <w:rPr>
          <w:rFonts w:ascii="Baskerville" w:hAnsi="Baskerville"/>
        </w:rPr>
        <w:t xml:space="preserve"> </w:t>
      </w:r>
    </w:p>
    <w:p w14:paraId="1455B89B" w14:textId="77777777" w:rsidR="00B85AD5" w:rsidRDefault="00B85AD5" w:rsidP="0013494C">
      <w:pPr>
        <w:spacing w:line="276" w:lineRule="auto"/>
        <w:rPr>
          <w:rFonts w:ascii="Baskerville" w:hAnsi="Baskerville"/>
        </w:rPr>
      </w:pPr>
    </w:p>
    <w:p w14:paraId="71840D61" w14:textId="5F5FA7EB" w:rsidR="00D7275E" w:rsidRDefault="00722C2E" w:rsidP="000356EB">
      <w:pPr>
        <w:spacing w:line="276" w:lineRule="auto"/>
        <w:rPr>
          <w:rFonts w:ascii="Baskerville" w:hAnsi="Baskerville"/>
        </w:rPr>
      </w:pPr>
      <w:r>
        <w:rPr>
          <w:rFonts w:ascii="Baskerville" w:hAnsi="Baskerville"/>
        </w:rPr>
        <w:t>The resulting scholarship has produced</w:t>
      </w:r>
      <w:r w:rsidR="00805117" w:rsidRPr="00262092">
        <w:rPr>
          <w:rFonts w:ascii="Baskerville" w:hAnsi="Baskerville"/>
        </w:rPr>
        <w:t xml:space="preserve"> significant </w:t>
      </w:r>
      <w:r w:rsidR="00B85AD5">
        <w:rPr>
          <w:rFonts w:ascii="Baskerville" w:hAnsi="Baskerville"/>
        </w:rPr>
        <w:t>insights</w:t>
      </w:r>
      <w:r w:rsidR="00805117" w:rsidRPr="00262092">
        <w:rPr>
          <w:rFonts w:ascii="Baskerville" w:hAnsi="Baskerville"/>
        </w:rPr>
        <w:t xml:space="preserve"> on the realities of administrative justice for </w:t>
      </w:r>
      <w:r w:rsidR="0099694B">
        <w:rPr>
          <w:rFonts w:ascii="Baskerville" w:hAnsi="Baskerville"/>
        </w:rPr>
        <w:t>private persons</w:t>
      </w:r>
      <w:r>
        <w:rPr>
          <w:rFonts w:ascii="Baskerville" w:hAnsi="Baskerville"/>
        </w:rPr>
        <w:t xml:space="preserve"> (and notwithstanding the traditional use of </w:t>
      </w:r>
      <w:r>
        <w:rPr>
          <w:rFonts w:ascii="Baskerville" w:hAnsi="Baskerville"/>
          <w:lang w:val="en-GB"/>
        </w:rPr>
        <w:t xml:space="preserve">‘individual’ in the literature, it is worth remembering </w:t>
      </w:r>
      <w:r w:rsidRPr="00722C2E">
        <w:rPr>
          <w:rFonts w:ascii="Baskerville" w:hAnsi="Baskerville"/>
          <w:lang w:val="en-GB"/>
        </w:rPr>
        <w:t xml:space="preserve">that administrative justice is </w:t>
      </w:r>
      <w:r>
        <w:rPr>
          <w:rFonts w:ascii="Baskerville" w:hAnsi="Baskerville"/>
          <w:lang w:val="en-GB"/>
        </w:rPr>
        <w:t xml:space="preserve">frequently </w:t>
      </w:r>
      <w:r w:rsidRPr="00722C2E">
        <w:rPr>
          <w:rFonts w:ascii="Baskerville" w:hAnsi="Baskerville"/>
          <w:lang w:val="en-GB"/>
        </w:rPr>
        <w:t>sought by juristic persons</w:t>
      </w:r>
      <w:r w:rsidR="000356EB" w:rsidRPr="000356EB">
        <w:rPr>
          <w:rFonts w:ascii="Baskerville" w:hAnsi="Baskerville"/>
          <w:lang w:val="en-GB"/>
        </w:rPr>
        <w:t xml:space="preserve"> </w:t>
      </w:r>
      <w:r w:rsidR="000356EB">
        <w:rPr>
          <w:rFonts w:ascii="Baskerville" w:hAnsi="Baskerville"/>
          <w:lang w:val="en-GB"/>
        </w:rPr>
        <w:t>who are not individuals</w:t>
      </w:r>
      <w:r>
        <w:rPr>
          <w:rFonts w:ascii="Baskerville" w:hAnsi="Baskerville"/>
          <w:lang w:val="en-GB"/>
        </w:rPr>
        <w:t>,</w:t>
      </w:r>
      <w:r w:rsidRPr="00722C2E">
        <w:rPr>
          <w:rFonts w:ascii="Baskerville" w:hAnsi="Baskerville"/>
          <w:lang w:val="en-GB"/>
        </w:rPr>
        <w:t xml:space="preserve"> such as companies, societies, and associations</w:t>
      </w:r>
      <w:r>
        <w:rPr>
          <w:rFonts w:ascii="Baskerville" w:hAnsi="Baskerville"/>
        </w:rPr>
        <w:t>).</w:t>
      </w:r>
      <w:r w:rsidR="00805117" w:rsidRPr="00262092">
        <w:rPr>
          <w:rFonts w:ascii="Baskerville" w:hAnsi="Baskerville"/>
        </w:rPr>
        <w:t xml:space="preserve"> </w:t>
      </w:r>
      <w:r>
        <w:rPr>
          <w:rFonts w:ascii="Baskerville" w:hAnsi="Baskerville"/>
        </w:rPr>
        <w:t xml:space="preserve"> Nevertheless, t</w:t>
      </w:r>
      <w:r w:rsidR="00805117" w:rsidRPr="00262092">
        <w:rPr>
          <w:rFonts w:ascii="Baskerville" w:hAnsi="Baskerville"/>
        </w:rPr>
        <w:t>he relative neglect of judicial review is, perhaps, to be regretted</w:t>
      </w:r>
      <w:r w:rsidR="0013494C">
        <w:rPr>
          <w:rFonts w:ascii="Baskerville" w:hAnsi="Baskerville"/>
        </w:rPr>
        <w:t xml:space="preserve">, </w:t>
      </w:r>
      <w:r w:rsidR="00805117" w:rsidRPr="00262092">
        <w:rPr>
          <w:rFonts w:ascii="Baskerville" w:hAnsi="Baskerville"/>
        </w:rPr>
        <w:t>particularly in relation to administrative justice theory</w:t>
      </w:r>
      <w:r w:rsidR="0013494C">
        <w:rPr>
          <w:rFonts w:ascii="Baskerville" w:hAnsi="Baskerville"/>
        </w:rPr>
        <w:t xml:space="preserve">.  </w:t>
      </w:r>
      <w:r w:rsidR="0013494C" w:rsidRPr="00262092">
        <w:rPr>
          <w:rFonts w:ascii="Baskerville" w:hAnsi="Baskerville"/>
        </w:rPr>
        <w:t xml:space="preserve">Administrative justice theory has tended to focus on the meaning of ‘just’ decision-making. Inspired by the pioneering work of </w:t>
      </w:r>
      <w:proofErr w:type="spellStart"/>
      <w:r w:rsidR="0013494C" w:rsidRPr="00262092">
        <w:rPr>
          <w:rFonts w:ascii="Baskerville" w:hAnsi="Baskerville"/>
        </w:rPr>
        <w:t>Mashaw</w:t>
      </w:r>
      <w:proofErr w:type="spellEnd"/>
      <w:r w:rsidR="0013494C" w:rsidRPr="00262092">
        <w:rPr>
          <w:rFonts w:ascii="Baskerville" w:hAnsi="Baskerville"/>
        </w:rPr>
        <w:t xml:space="preserve"> (1983), it has developed various ‘models’ or ‘ideal types’ of justice as it relates to public decision-making (e.g., </w:t>
      </w:r>
      <w:r w:rsidR="0013494C">
        <w:rPr>
          <w:rFonts w:ascii="Baskerville" w:hAnsi="Baskerville"/>
        </w:rPr>
        <w:t xml:space="preserve">Adler, 2010; </w:t>
      </w:r>
      <w:r w:rsidR="0013494C" w:rsidRPr="00262092">
        <w:rPr>
          <w:rFonts w:ascii="Baskerville" w:hAnsi="Baskerville"/>
        </w:rPr>
        <w:t xml:space="preserve">Halliday &amp; Scott, 2010; Kagan, 2010). </w:t>
      </w:r>
      <w:r w:rsidR="0013494C">
        <w:rPr>
          <w:rFonts w:ascii="Baskerville" w:hAnsi="Baskerville"/>
        </w:rPr>
        <w:t xml:space="preserve"> Much of this is focused on decision-making at</w:t>
      </w:r>
      <w:r w:rsidR="0013494C" w:rsidRPr="00262092">
        <w:rPr>
          <w:rFonts w:ascii="Baskerville" w:hAnsi="Baskerville"/>
        </w:rPr>
        <w:t xml:space="preserve"> the frontlines of administrative agencies</w:t>
      </w:r>
      <w:r w:rsidR="0013494C">
        <w:rPr>
          <w:rFonts w:ascii="Baskerville" w:hAnsi="Baskerville"/>
        </w:rPr>
        <w:t>, occasionally broadening its focus to encompass the administrative justice</w:t>
      </w:r>
      <w:r w:rsidR="0013494C" w:rsidRPr="00262092">
        <w:rPr>
          <w:rFonts w:ascii="Baskerville" w:hAnsi="Baskerville"/>
        </w:rPr>
        <w:t xml:space="preserve"> </w:t>
      </w:r>
      <w:r w:rsidR="0013494C">
        <w:rPr>
          <w:rFonts w:ascii="Baskerville" w:hAnsi="Baskerville"/>
        </w:rPr>
        <w:t>system as a whole (</w:t>
      </w:r>
      <w:r w:rsidR="003E16C4">
        <w:rPr>
          <w:rFonts w:ascii="Baskerville" w:hAnsi="Baskerville"/>
        </w:rPr>
        <w:t xml:space="preserve">see, e.g., Thomson, </w:t>
      </w:r>
      <w:r w:rsidR="0013494C" w:rsidRPr="0013494C">
        <w:rPr>
          <w:rFonts w:ascii="Baskerville" w:hAnsi="Baskerville"/>
        </w:rPr>
        <w:t>1999; Mullen</w:t>
      </w:r>
      <w:r w:rsidR="003E16C4">
        <w:rPr>
          <w:rFonts w:ascii="Baskerville" w:hAnsi="Baskerville"/>
        </w:rPr>
        <w:t>,</w:t>
      </w:r>
      <w:r w:rsidR="0013494C" w:rsidRPr="0013494C">
        <w:rPr>
          <w:rFonts w:ascii="Baskerville" w:hAnsi="Baskerville"/>
        </w:rPr>
        <w:t xml:space="preserve"> 2010; Buck et al</w:t>
      </w:r>
      <w:r w:rsidR="003E16C4">
        <w:rPr>
          <w:rFonts w:ascii="Baskerville" w:hAnsi="Baskerville"/>
        </w:rPr>
        <w:t>,</w:t>
      </w:r>
      <w:r w:rsidR="0013494C" w:rsidRPr="0013494C">
        <w:rPr>
          <w:rFonts w:ascii="Baskerville" w:hAnsi="Baskerville"/>
        </w:rPr>
        <w:t xml:space="preserve"> </w:t>
      </w:r>
      <w:r w:rsidR="003E16C4">
        <w:rPr>
          <w:rFonts w:ascii="Baskerville" w:hAnsi="Baskerville"/>
        </w:rPr>
        <w:t>2011</w:t>
      </w:r>
      <w:r w:rsidR="0013494C">
        <w:rPr>
          <w:rFonts w:ascii="Baskerville" w:hAnsi="Baskerville"/>
        </w:rPr>
        <w:t xml:space="preserve">). </w:t>
      </w:r>
      <w:r w:rsidR="0013494C" w:rsidRPr="00262092">
        <w:rPr>
          <w:rFonts w:ascii="Baskerville" w:hAnsi="Baskerville"/>
        </w:rPr>
        <w:t xml:space="preserve">Such work is valuable, of course, not least because so many administrative decisions go unchallenged despite a sense of grievance on the </w:t>
      </w:r>
      <w:r w:rsidR="0013494C">
        <w:rPr>
          <w:rFonts w:ascii="Baskerville" w:hAnsi="Baskerville"/>
        </w:rPr>
        <w:t>private person</w:t>
      </w:r>
      <w:r w:rsidR="0013494C" w:rsidRPr="00262092">
        <w:rPr>
          <w:rFonts w:ascii="Baskerville" w:hAnsi="Baskerville"/>
        </w:rPr>
        <w:t>’s part</w:t>
      </w:r>
      <w:r w:rsidR="0013494C">
        <w:rPr>
          <w:rFonts w:ascii="Baskerville" w:hAnsi="Baskerville"/>
        </w:rPr>
        <w:t xml:space="preserve"> (Cowan and Halliday, 2003)</w:t>
      </w:r>
      <w:r w:rsidR="0013494C" w:rsidRPr="00262092">
        <w:rPr>
          <w:rFonts w:ascii="Baskerville" w:hAnsi="Baskerville"/>
        </w:rPr>
        <w:t>.</w:t>
      </w:r>
      <w:r w:rsidR="0013494C">
        <w:rPr>
          <w:rFonts w:ascii="Baskerville" w:hAnsi="Baskerville"/>
        </w:rPr>
        <w:t xml:space="preserve">  T</w:t>
      </w:r>
      <w:r w:rsidR="00805117" w:rsidRPr="00262092">
        <w:rPr>
          <w:rFonts w:ascii="Baskerville" w:hAnsi="Baskerville"/>
        </w:rPr>
        <w:t>he small amount (in relative terms) of administrative justice work that does focus on judicial review has been largely empirical, examining, for example, the extent of its use (</w:t>
      </w:r>
      <w:r w:rsidR="00A023D7">
        <w:rPr>
          <w:rFonts w:ascii="Baskerville" w:hAnsi="Baskerville"/>
        </w:rPr>
        <w:t xml:space="preserve">e.g., </w:t>
      </w:r>
      <w:proofErr w:type="spellStart"/>
      <w:r w:rsidR="00805117" w:rsidRPr="00262092">
        <w:rPr>
          <w:rFonts w:ascii="Baskerville" w:hAnsi="Baskerville"/>
        </w:rPr>
        <w:t>Sunkin</w:t>
      </w:r>
      <w:proofErr w:type="spellEnd"/>
      <w:r w:rsidR="00805117" w:rsidRPr="00262092">
        <w:rPr>
          <w:rFonts w:ascii="Baskerville" w:hAnsi="Baskerville"/>
        </w:rPr>
        <w:t xml:space="preserve"> 1987; Hadfield &amp; Weaver, 1995; Mullen et al, 1996; </w:t>
      </w:r>
      <w:proofErr w:type="spellStart"/>
      <w:r w:rsidR="00A023D7">
        <w:rPr>
          <w:rFonts w:ascii="Baskerville" w:hAnsi="Baskerville"/>
        </w:rPr>
        <w:t>Sunkin</w:t>
      </w:r>
      <w:proofErr w:type="spellEnd"/>
      <w:r w:rsidR="00A023D7">
        <w:rPr>
          <w:rFonts w:ascii="Baskerville" w:hAnsi="Baskerville"/>
        </w:rPr>
        <w:t xml:space="preserve"> &amp; </w:t>
      </w:r>
      <w:proofErr w:type="spellStart"/>
      <w:r w:rsidR="00A023D7">
        <w:rPr>
          <w:rFonts w:ascii="Baskerville" w:hAnsi="Baskerville"/>
        </w:rPr>
        <w:t>Bondy</w:t>
      </w:r>
      <w:proofErr w:type="spellEnd"/>
      <w:r w:rsidR="00A023D7">
        <w:rPr>
          <w:rFonts w:ascii="Baskerville" w:hAnsi="Baskerville"/>
        </w:rPr>
        <w:t>, 2008</w:t>
      </w:r>
      <w:r w:rsidR="00805117" w:rsidRPr="00262092">
        <w:rPr>
          <w:rFonts w:ascii="Baskerville" w:hAnsi="Baskerville"/>
        </w:rPr>
        <w:t>), or its impact on public administration (e.g., Mullen et al, 1996; Halliday 2004; Platt et al, 2010).</w:t>
      </w:r>
      <w:r w:rsidR="0013494C">
        <w:rPr>
          <w:rFonts w:ascii="Baskerville" w:hAnsi="Baskerville"/>
        </w:rPr>
        <w:t xml:space="preserve">  Work w</w:t>
      </w:r>
      <w:r w:rsidR="003E16C4">
        <w:rPr>
          <w:rFonts w:ascii="Baskerville" w:hAnsi="Baskerville"/>
        </w:rPr>
        <w:t xml:space="preserve">ith more theoretical ambitions, </w:t>
      </w:r>
      <w:r w:rsidR="0013494C">
        <w:rPr>
          <w:rFonts w:ascii="Baskerville" w:hAnsi="Baskerville"/>
        </w:rPr>
        <w:t xml:space="preserve">such as </w:t>
      </w:r>
      <w:r w:rsidR="0013494C" w:rsidRPr="0013494C">
        <w:rPr>
          <w:rFonts w:ascii="Baskerville" w:hAnsi="Baskerville"/>
        </w:rPr>
        <w:t>Galligan (1996)</w:t>
      </w:r>
      <w:r w:rsidR="003E16C4">
        <w:rPr>
          <w:rFonts w:ascii="Baskerville" w:hAnsi="Baskerville"/>
        </w:rPr>
        <w:t>,</w:t>
      </w:r>
      <w:r w:rsidR="0013494C">
        <w:rPr>
          <w:rFonts w:ascii="Baskerville" w:hAnsi="Baskerville"/>
        </w:rPr>
        <w:t xml:space="preserve"> is exceptional and has not been taken up more broadly.  </w:t>
      </w:r>
      <w:r w:rsidR="00805117" w:rsidRPr="00262092">
        <w:rPr>
          <w:rFonts w:ascii="Baskerville" w:hAnsi="Baskerville"/>
        </w:rPr>
        <w:t xml:space="preserve"> </w:t>
      </w:r>
    </w:p>
    <w:p w14:paraId="5BFDD7E6" w14:textId="77777777" w:rsidR="00D7275E" w:rsidRDefault="00D7275E" w:rsidP="00262092">
      <w:pPr>
        <w:spacing w:line="276" w:lineRule="auto"/>
        <w:rPr>
          <w:rFonts w:ascii="Baskerville" w:hAnsi="Baskerville"/>
        </w:rPr>
      </w:pPr>
    </w:p>
    <w:p w14:paraId="1C9229A7" w14:textId="77777777" w:rsidR="005D35FC" w:rsidRDefault="0013494C" w:rsidP="005D35FC">
      <w:pPr>
        <w:spacing w:line="276" w:lineRule="auto"/>
        <w:rPr>
          <w:rFonts w:ascii="Baskerville" w:hAnsi="Baskerville"/>
        </w:rPr>
      </w:pPr>
      <w:r w:rsidRPr="00262092">
        <w:rPr>
          <w:rFonts w:ascii="Baskerville" w:hAnsi="Baskerville"/>
        </w:rPr>
        <w:t xml:space="preserve">It is in </w:t>
      </w:r>
      <w:r>
        <w:rPr>
          <w:rFonts w:ascii="Baskerville" w:hAnsi="Baskerville"/>
        </w:rPr>
        <w:t xml:space="preserve">the spirit of reviving dialogue between the literature on administrative </w:t>
      </w:r>
      <w:r w:rsidRPr="0013494C">
        <w:rPr>
          <w:rFonts w:ascii="Baskerville" w:hAnsi="Baskerville"/>
          <w:i/>
          <w:iCs/>
        </w:rPr>
        <w:t>law</w:t>
      </w:r>
      <w:r>
        <w:rPr>
          <w:rFonts w:ascii="Baskerville" w:hAnsi="Baskerville"/>
        </w:rPr>
        <w:t xml:space="preserve"> and the literature on administrative </w:t>
      </w:r>
      <w:r w:rsidRPr="0013494C">
        <w:rPr>
          <w:rFonts w:ascii="Baskerville" w:hAnsi="Baskerville"/>
          <w:i/>
          <w:iCs/>
        </w:rPr>
        <w:t>justice</w:t>
      </w:r>
      <w:r>
        <w:rPr>
          <w:rFonts w:ascii="Baskerville" w:hAnsi="Baskerville"/>
        </w:rPr>
        <w:t xml:space="preserve"> </w:t>
      </w:r>
      <w:r w:rsidRPr="00262092">
        <w:rPr>
          <w:rFonts w:ascii="Baskerville" w:hAnsi="Baskerville"/>
        </w:rPr>
        <w:t xml:space="preserve">that we approach the topic of </w:t>
      </w:r>
      <w:r>
        <w:rPr>
          <w:rFonts w:ascii="Baskerville" w:hAnsi="Baskerville"/>
        </w:rPr>
        <w:t xml:space="preserve">the relationship between </w:t>
      </w:r>
      <w:r w:rsidRPr="00262092">
        <w:rPr>
          <w:rFonts w:ascii="Baskerville" w:hAnsi="Baskerville"/>
        </w:rPr>
        <w:t xml:space="preserve">judicial review and administrative justice. </w:t>
      </w:r>
      <w:r w:rsidR="002923E2" w:rsidRPr="00262092">
        <w:rPr>
          <w:rFonts w:ascii="Baskerville" w:hAnsi="Baskerville"/>
        </w:rPr>
        <w:t>What is the proper role for the court in relation to administrative justice</w:t>
      </w:r>
      <w:r w:rsidR="00774235">
        <w:rPr>
          <w:rFonts w:ascii="Baskerville" w:hAnsi="Baskerville"/>
        </w:rPr>
        <w:t>, and what role should administrative justice play in shaping the manner in which the courts exercise their powers of review</w:t>
      </w:r>
      <w:r w:rsidR="002923E2" w:rsidRPr="00262092">
        <w:rPr>
          <w:rFonts w:ascii="Baskerville" w:hAnsi="Baskerville"/>
        </w:rPr>
        <w:t xml:space="preserve">? </w:t>
      </w:r>
      <w:r w:rsidR="00B85AD5">
        <w:rPr>
          <w:rFonts w:ascii="Baskerville" w:hAnsi="Baskerville"/>
        </w:rPr>
        <w:t xml:space="preserve">That question, and its implications for applied and theoretical work in the two fields, are the focuses of this </w:t>
      </w:r>
      <w:r w:rsidR="007562AE" w:rsidRPr="00262092">
        <w:rPr>
          <w:rFonts w:ascii="Baskerville" w:hAnsi="Baskerville"/>
        </w:rPr>
        <w:t>essay</w:t>
      </w:r>
      <w:r w:rsidR="00B85AD5">
        <w:rPr>
          <w:rFonts w:ascii="Baskerville" w:hAnsi="Baskerville"/>
        </w:rPr>
        <w:t>.  It is important to stress that in considering that question,</w:t>
      </w:r>
      <w:r w:rsidR="007562AE" w:rsidRPr="00262092">
        <w:rPr>
          <w:rFonts w:ascii="Baskerville" w:hAnsi="Baskerville"/>
        </w:rPr>
        <w:t xml:space="preserve"> </w:t>
      </w:r>
      <w:r w:rsidR="00B0147D">
        <w:rPr>
          <w:rFonts w:ascii="Baskerville" w:hAnsi="Baskerville"/>
        </w:rPr>
        <w:t xml:space="preserve">we </w:t>
      </w:r>
      <w:r w:rsidR="00740EE2">
        <w:rPr>
          <w:rFonts w:ascii="Baskerville" w:hAnsi="Baskerville"/>
        </w:rPr>
        <w:t>do</w:t>
      </w:r>
      <w:r w:rsidR="007562AE" w:rsidRPr="00262092">
        <w:rPr>
          <w:rFonts w:ascii="Baskerville" w:hAnsi="Baskerville"/>
        </w:rPr>
        <w:t xml:space="preserve"> not </w:t>
      </w:r>
      <w:r w:rsidR="00B40CFA" w:rsidRPr="00262092">
        <w:rPr>
          <w:rFonts w:ascii="Baskerville" w:hAnsi="Baskerville"/>
        </w:rPr>
        <w:t xml:space="preserve">seek to </w:t>
      </w:r>
      <w:r w:rsidR="00B85AD5">
        <w:rPr>
          <w:rFonts w:ascii="Baskerville" w:hAnsi="Baskerville"/>
        </w:rPr>
        <w:t>provide a single substantive answer which is valid in all times and for all domains</w:t>
      </w:r>
      <w:r w:rsidR="00B40CFA" w:rsidRPr="00262092">
        <w:rPr>
          <w:rFonts w:ascii="Baskerville" w:hAnsi="Baskerville"/>
        </w:rPr>
        <w:t xml:space="preserve">. </w:t>
      </w:r>
      <w:r w:rsidR="005D35FC">
        <w:rPr>
          <w:rFonts w:ascii="Baskerville" w:hAnsi="Baskerville"/>
        </w:rPr>
        <w:t>The</w:t>
      </w:r>
      <w:r w:rsidR="00B0147D">
        <w:rPr>
          <w:rFonts w:ascii="Baskerville" w:hAnsi="Baskerville"/>
        </w:rPr>
        <w:t xml:space="preserve"> focus </w:t>
      </w:r>
      <w:r w:rsidR="005D35FC">
        <w:rPr>
          <w:rFonts w:ascii="Baskerville" w:hAnsi="Baskerville"/>
        </w:rPr>
        <w:t xml:space="preserve">of our enquiry, rather, is </w:t>
      </w:r>
      <w:r w:rsidR="00B0147D">
        <w:rPr>
          <w:rFonts w:ascii="Baskerville" w:hAnsi="Baskerville"/>
        </w:rPr>
        <w:t>on the</w:t>
      </w:r>
      <w:r w:rsidR="00B40CFA" w:rsidRPr="00262092">
        <w:rPr>
          <w:rFonts w:ascii="Baskerville" w:hAnsi="Baskerville"/>
        </w:rPr>
        <w:t xml:space="preserve"> </w:t>
      </w:r>
      <w:r w:rsidR="00B85AD5">
        <w:rPr>
          <w:rFonts w:ascii="Baskerville" w:hAnsi="Baskerville"/>
        </w:rPr>
        <w:t xml:space="preserve">range of </w:t>
      </w:r>
      <w:r w:rsidR="00B40CFA" w:rsidRPr="00262092">
        <w:rPr>
          <w:rFonts w:ascii="Baskerville" w:hAnsi="Baskerville"/>
        </w:rPr>
        <w:t>potential answers</w:t>
      </w:r>
      <w:r w:rsidR="00725066">
        <w:rPr>
          <w:rFonts w:ascii="Baskerville" w:hAnsi="Baskerville"/>
        </w:rPr>
        <w:t xml:space="preserve"> </w:t>
      </w:r>
      <w:r w:rsidR="00B0147D">
        <w:rPr>
          <w:rFonts w:ascii="Baskerville" w:hAnsi="Baskerville"/>
        </w:rPr>
        <w:t>to the questions</w:t>
      </w:r>
      <w:r w:rsidR="00740EE2">
        <w:rPr>
          <w:rFonts w:ascii="Baskerville" w:hAnsi="Baskerville"/>
        </w:rPr>
        <w:t>,</w:t>
      </w:r>
      <w:r w:rsidR="00B0147D">
        <w:rPr>
          <w:rFonts w:ascii="Baskerville" w:hAnsi="Baskerville"/>
        </w:rPr>
        <w:t xml:space="preserve"> </w:t>
      </w:r>
      <w:r w:rsidR="00740EE2">
        <w:rPr>
          <w:rFonts w:ascii="Baskerville" w:hAnsi="Baskerville"/>
        </w:rPr>
        <w:t>their underpinning rationales</w:t>
      </w:r>
      <w:r w:rsidR="005D35FC">
        <w:rPr>
          <w:rFonts w:ascii="Baskerville" w:hAnsi="Baskerville"/>
        </w:rPr>
        <w:t>, and the situations and domains in which they come into particular focus.  As this suggests, o</w:t>
      </w:r>
      <w:r w:rsidR="00C04AF3" w:rsidRPr="00262092">
        <w:rPr>
          <w:rFonts w:ascii="Baskerville" w:hAnsi="Baskerville"/>
        </w:rPr>
        <w:t>ur starting point is that we should expect variety in the answers to these questions</w:t>
      </w:r>
      <w:r w:rsidR="005D35FC">
        <w:rPr>
          <w:rFonts w:ascii="Baskerville" w:hAnsi="Baskerville"/>
        </w:rPr>
        <w:t>,</w:t>
      </w:r>
      <w:r w:rsidR="00C04AF3" w:rsidRPr="00262092">
        <w:rPr>
          <w:rFonts w:ascii="Baskerville" w:hAnsi="Baskerville"/>
        </w:rPr>
        <w:t xml:space="preserve"> and our ambition is </w:t>
      </w:r>
      <w:r w:rsidR="005D35FC">
        <w:rPr>
          <w:rFonts w:ascii="Baskerville" w:hAnsi="Baskerville"/>
        </w:rPr>
        <w:t xml:space="preserve">twofold: firstly, at a theoretical level, </w:t>
      </w:r>
      <w:r w:rsidR="00C04AF3" w:rsidRPr="00262092">
        <w:rPr>
          <w:rFonts w:ascii="Baskerville" w:hAnsi="Baskerville"/>
        </w:rPr>
        <w:t>to describe this variety and</w:t>
      </w:r>
      <w:r w:rsidR="005D35FC">
        <w:rPr>
          <w:rFonts w:ascii="Baskerville" w:hAnsi="Baskerville"/>
        </w:rPr>
        <w:t xml:space="preserve"> </w:t>
      </w:r>
      <w:r w:rsidR="00C04AF3" w:rsidRPr="00262092">
        <w:rPr>
          <w:rFonts w:ascii="Baskerville" w:hAnsi="Baskerville"/>
        </w:rPr>
        <w:t>impose some kind of order on it</w:t>
      </w:r>
      <w:r w:rsidR="005D35FC">
        <w:rPr>
          <w:rFonts w:ascii="Baskerville" w:hAnsi="Baskerville"/>
        </w:rPr>
        <w:t xml:space="preserve"> by bringing different approaches and answers within a shared frame of reference; and secondly, to discuss how administrative law and administrative justice as practical domains can work effectively and productively with this underpinning variety</w:t>
      </w:r>
      <w:r w:rsidR="00C04AF3" w:rsidRPr="00262092">
        <w:rPr>
          <w:rFonts w:ascii="Baskerville" w:hAnsi="Baskerville"/>
        </w:rPr>
        <w:t xml:space="preserve">. </w:t>
      </w:r>
    </w:p>
    <w:p w14:paraId="01BD2559" w14:textId="77777777" w:rsidR="005D35FC" w:rsidRDefault="005D35FC" w:rsidP="005D35FC">
      <w:pPr>
        <w:spacing w:line="276" w:lineRule="auto"/>
        <w:rPr>
          <w:rFonts w:ascii="Baskerville" w:hAnsi="Baskerville"/>
        </w:rPr>
      </w:pPr>
    </w:p>
    <w:p w14:paraId="412B9F2F" w14:textId="3C0820A7" w:rsidR="002923E2" w:rsidRDefault="00C04AF3" w:rsidP="00846D3D">
      <w:pPr>
        <w:spacing w:line="276" w:lineRule="auto"/>
        <w:rPr>
          <w:rFonts w:ascii="Baskerville" w:hAnsi="Baskerville"/>
        </w:rPr>
      </w:pPr>
      <w:r w:rsidRPr="00262092">
        <w:rPr>
          <w:rFonts w:ascii="Baskerville" w:hAnsi="Baskerville"/>
        </w:rPr>
        <w:t>Our analysis reveal</w:t>
      </w:r>
      <w:r w:rsidR="00885487">
        <w:rPr>
          <w:rFonts w:ascii="Baskerville" w:hAnsi="Baskerville"/>
        </w:rPr>
        <w:t>s</w:t>
      </w:r>
      <w:r w:rsidR="002A5A32" w:rsidRPr="00262092">
        <w:rPr>
          <w:rFonts w:ascii="Baskerville" w:hAnsi="Baskerville"/>
        </w:rPr>
        <w:t xml:space="preserve"> four </w:t>
      </w:r>
      <w:proofErr w:type="gramStart"/>
      <w:r w:rsidR="002A5A32" w:rsidRPr="00262092">
        <w:rPr>
          <w:rFonts w:ascii="Baskerville" w:hAnsi="Baskerville"/>
        </w:rPr>
        <w:t>basic</w:t>
      </w:r>
      <w:proofErr w:type="gramEnd"/>
      <w:r w:rsidR="002A5A32" w:rsidRPr="00262092">
        <w:rPr>
          <w:rFonts w:ascii="Baskerville" w:hAnsi="Baskerville"/>
        </w:rPr>
        <w:t xml:space="preserve"> ‘ideal types’</w:t>
      </w:r>
      <w:r w:rsidR="00E34709" w:rsidRPr="00262092">
        <w:rPr>
          <w:rFonts w:ascii="Baskerville" w:hAnsi="Baskerville"/>
        </w:rPr>
        <w:t xml:space="preserve"> of the </w:t>
      </w:r>
      <w:r w:rsidR="00885487">
        <w:rPr>
          <w:rFonts w:ascii="Baskerville" w:hAnsi="Baskerville"/>
        </w:rPr>
        <w:t xml:space="preserve">role </w:t>
      </w:r>
      <w:r w:rsidR="002A5A32" w:rsidRPr="00262092">
        <w:rPr>
          <w:rFonts w:ascii="Baskerville" w:hAnsi="Baskerville"/>
        </w:rPr>
        <w:t>of judicial review in relation to administrative justice</w:t>
      </w:r>
      <w:r w:rsidR="00857A7E">
        <w:rPr>
          <w:rFonts w:ascii="Baskerville" w:hAnsi="Baskerville"/>
        </w:rPr>
        <w:t xml:space="preserve">.  As with all </w:t>
      </w:r>
      <w:r w:rsidR="00E34709" w:rsidRPr="00262092">
        <w:rPr>
          <w:rFonts w:ascii="Baskerville" w:hAnsi="Baskerville"/>
        </w:rPr>
        <w:t>ideal types</w:t>
      </w:r>
      <w:r w:rsidR="00857A7E">
        <w:rPr>
          <w:rFonts w:ascii="Baskerville" w:hAnsi="Baskerville"/>
        </w:rPr>
        <w:t xml:space="preserve">, these </w:t>
      </w:r>
      <w:r w:rsidR="00E34709" w:rsidRPr="00262092">
        <w:rPr>
          <w:rFonts w:ascii="Baskerville" w:hAnsi="Baskerville"/>
        </w:rPr>
        <w:t xml:space="preserve">are abstracted from the </w:t>
      </w:r>
      <w:r w:rsidR="00857A7E">
        <w:rPr>
          <w:rFonts w:ascii="Baskerville" w:hAnsi="Baskerville"/>
        </w:rPr>
        <w:t>empirical reality of real-</w:t>
      </w:r>
      <w:r w:rsidR="00E34709" w:rsidRPr="00262092">
        <w:rPr>
          <w:rFonts w:ascii="Baskerville" w:hAnsi="Baskerville"/>
        </w:rPr>
        <w:t>world</w:t>
      </w:r>
      <w:r w:rsidR="00857A7E">
        <w:rPr>
          <w:rFonts w:ascii="Baskerville" w:hAnsi="Baskerville"/>
        </w:rPr>
        <w:t xml:space="preserve"> phenomena</w:t>
      </w:r>
      <w:r w:rsidR="00E34709" w:rsidRPr="00262092">
        <w:rPr>
          <w:rFonts w:ascii="Baskerville" w:hAnsi="Baskerville"/>
        </w:rPr>
        <w:t xml:space="preserve">, </w:t>
      </w:r>
      <w:r w:rsidR="00885487">
        <w:rPr>
          <w:rFonts w:ascii="Baskerville" w:hAnsi="Baskerville"/>
        </w:rPr>
        <w:t>and</w:t>
      </w:r>
      <w:r w:rsidR="00E34709" w:rsidRPr="00262092">
        <w:rPr>
          <w:rFonts w:ascii="Baskerville" w:hAnsi="Baskerville"/>
        </w:rPr>
        <w:t xml:space="preserve"> </w:t>
      </w:r>
      <w:r w:rsidR="00857A7E">
        <w:rPr>
          <w:rFonts w:ascii="Baskerville" w:hAnsi="Baskerville"/>
        </w:rPr>
        <w:t xml:space="preserve">their purpose is </w:t>
      </w:r>
      <w:r w:rsidR="003773F4" w:rsidRPr="00262092">
        <w:rPr>
          <w:rFonts w:ascii="Baskerville" w:hAnsi="Baskerville"/>
        </w:rPr>
        <w:t xml:space="preserve">to </w:t>
      </w:r>
      <w:r w:rsidR="00E34709" w:rsidRPr="00262092">
        <w:rPr>
          <w:rFonts w:ascii="Baskerville" w:hAnsi="Baskerville"/>
        </w:rPr>
        <w:t xml:space="preserve">illustrate variation in an exaggerated and, </w:t>
      </w:r>
      <w:r w:rsidR="00E34709" w:rsidRPr="00262092">
        <w:rPr>
          <w:rFonts w:ascii="Baskerville" w:hAnsi="Baskerville"/>
        </w:rPr>
        <w:lastRenderedPageBreak/>
        <w:t xml:space="preserve">thus, particularly clear way. </w:t>
      </w:r>
      <w:r w:rsidR="00885487">
        <w:rPr>
          <w:rFonts w:ascii="Baskerville" w:hAnsi="Baskerville"/>
        </w:rPr>
        <w:t>These ideal types, however, are not merely theoretical or analytical constructs</w:t>
      </w:r>
      <w:r w:rsidR="00857A7E">
        <w:rPr>
          <w:rFonts w:ascii="Baskerville" w:hAnsi="Baskerville"/>
        </w:rPr>
        <w:t>. T</w:t>
      </w:r>
      <w:r w:rsidR="00E34709" w:rsidRPr="00262092">
        <w:rPr>
          <w:rFonts w:ascii="Baskerville" w:hAnsi="Baskerville"/>
        </w:rPr>
        <w:t>he</w:t>
      </w:r>
      <w:r w:rsidR="00885487">
        <w:rPr>
          <w:rFonts w:ascii="Baskerville" w:hAnsi="Baskerville"/>
        </w:rPr>
        <w:t>y</w:t>
      </w:r>
      <w:r w:rsidR="00E34709" w:rsidRPr="00262092">
        <w:rPr>
          <w:rFonts w:ascii="Baskerville" w:hAnsi="Baskerville"/>
        </w:rPr>
        <w:t xml:space="preserve"> represent</w:t>
      </w:r>
      <w:r w:rsidR="00885487">
        <w:rPr>
          <w:rFonts w:ascii="Baskerville" w:hAnsi="Baskerville"/>
        </w:rPr>
        <w:t>, rather,</w:t>
      </w:r>
      <w:r w:rsidR="00E34709" w:rsidRPr="00262092">
        <w:rPr>
          <w:rFonts w:ascii="Baskerville" w:hAnsi="Baskerville"/>
        </w:rPr>
        <w:t xml:space="preserve"> a set of resources that </w:t>
      </w:r>
      <w:r w:rsidR="00885487">
        <w:rPr>
          <w:rFonts w:ascii="Baskerville" w:hAnsi="Baskerville"/>
        </w:rPr>
        <w:t>can</w:t>
      </w:r>
      <w:r w:rsidR="00E34709" w:rsidRPr="00262092">
        <w:rPr>
          <w:rFonts w:ascii="Baskerville" w:hAnsi="Baskerville"/>
        </w:rPr>
        <w:t xml:space="preserve"> be invoked when thinking about</w:t>
      </w:r>
      <w:r w:rsidR="00E20C8D">
        <w:rPr>
          <w:rFonts w:ascii="Baskerville" w:hAnsi="Baskerville"/>
        </w:rPr>
        <w:t xml:space="preserve"> the range of responses the judiciary might take to particular disputes and, thus, </w:t>
      </w:r>
      <w:r w:rsidR="000B042E">
        <w:rPr>
          <w:rFonts w:ascii="Baskerville" w:hAnsi="Baskerville"/>
        </w:rPr>
        <w:t>the response that is most appropriate for the judiciary to take</w:t>
      </w:r>
      <w:r w:rsidR="00E20C8D">
        <w:rPr>
          <w:rFonts w:ascii="Baskerville" w:hAnsi="Baskerville"/>
        </w:rPr>
        <w:t>;</w:t>
      </w:r>
      <w:r w:rsidR="00F02793">
        <w:rPr>
          <w:rFonts w:ascii="Baskerville" w:hAnsi="Baskerville"/>
        </w:rPr>
        <w:t xml:space="preserve"> </w:t>
      </w:r>
      <w:r w:rsidR="00E20C8D">
        <w:rPr>
          <w:rFonts w:ascii="Baskerville" w:hAnsi="Baskerville"/>
        </w:rPr>
        <w:t xml:space="preserve">about </w:t>
      </w:r>
      <w:r w:rsidR="00F02793">
        <w:rPr>
          <w:rFonts w:ascii="Baskerville" w:hAnsi="Baskerville"/>
        </w:rPr>
        <w:t>the role of administrative justice as a concept in shaping the manner in which the courts use</w:t>
      </w:r>
      <w:r w:rsidR="00E20C8D">
        <w:rPr>
          <w:rFonts w:ascii="Baskerville" w:hAnsi="Baskerville"/>
        </w:rPr>
        <w:t xml:space="preserve"> their power of judicial review;</w:t>
      </w:r>
      <w:r w:rsidR="00F02793">
        <w:rPr>
          <w:rFonts w:ascii="Baskerville" w:hAnsi="Baskerville"/>
        </w:rPr>
        <w:t xml:space="preserve"> and </w:t>
      </w:r>
      <w:r w:rsidR="00E20C8D">
        <w:rPr>
          <w:rFonts w:ascii="Baskerville" w:hAnsi="Baskerville"/>
        </w:rPr>
        <w:t xml:space="preserve">about </w:t>
      </w:r>
      <w:r w:rsidR="00F02793">
        <w:rPr>
          <w:rFonts w:ascii="Baskerville" w:hAnsi="Baskerville"/>
        </w:rPr>
        <w:t xml:space="preserve">the role that courts play in </w:t>
      </w:r>
      <w:r w:rsidR="00800C61">
        <w:rPr>
          <w:rFonts w:ascii="Baskerville" w:hAnsi="Baskerville"/>
        </w:rPr>
        <w:t>embedding</w:t>
      </w:r>
      <w:r w:rsidR="00F02793">
        <w:rPr>
          <w:rFonts w:ascii="Baskerville" w:hAnsi="Baskerville"/>
        </w:rPr>
        <w:t xml:space="preserve"> an institutional propensity to </w:t>
      </w:r>
      <w:r w:rsidR="00800C61">
        <w:rPr>
          <w:rFonts w:ascii="Baskerville" w:hAnsi="Baskerville"/>
        </w:rPr>
        <w:t>just administration</w:t>
      </w:r>
      <w:r w:rsidR="00F02793">
        <w:rPr>
          <w:rFonts w:ascii="Baskerville" w:hAnsi="Baskerville"/>
        </w:rPr>
        <w:t xml:space="preserve"> within the state</w:t>
      </w:r>
      <w:r w:rsidR="00E34709" w:rsidRPr="00262092">
        <w:rPr>
          <w:rFonts w:ascii="Baskerville" w:hAnsi="Baskerville"/>
        </w:rPr>
        <w:t>.</w:t>
      </w:r>
    </w:p>
    <w:p w14:paraId="74DA5F9A" w14:textId="77777777" w:rsidR="00496D3C" w:rsidRDefault="00496D3C" w:rsidP="00262092">
      <w:pPr>
        <w:spacing w:line="276" w:lineRule="auto"/>
        <w:rPr>
          <w:rFonts w:ascii="Baskerville" w:hAnsi="Baskerville"/>
        </w:rPr>
      </w:pPr>
    </w:p>
    <w:p w14:paraId="7220B52C" w14:textId="1ED98AD9" w:rsidR="0040417B" w:rsidRPr="00262092" w:rsidRDefault="0040417B" w:rsidP="00EC4367">
      <w:pPr>
        <w:spacing w:line="276" w:lineRule="auto"/>
        <w:rPr>
          <w:rFonts w:ascii="Baskerville" w:hAnsi="Baskerville"/>
        </w:rPr>
      </w:pPr>
      <w:r w:rsidRPr="00262092">
        <w:rPr>
          <w:rFonts w:ascii="Baskerville" w:hAnsi="Baskerville"/>
        </w:rPr>
        <w:t xml:space="preserve">This chapter proceeds as follows: in the next section we set out </w:t>
      </w:r>
      <w:r w:rsidR="00E02DBC" w:rsidRPr="00262092">
        <w:rPr>
          <w:rFonts w:ascii="Baskerville" w:hAnsi="Baskerville"/>
        </w:rPr>
        <w:t>the</w:t>
      </w:r>
      <w:r w:rsidRPr="00262092">
        <w:rPr>
          <w:rFonts w:ascii="Baskerville" w:hAnsi="Baskerville"/>
        </w:rPr>
        <w:t xml:space="preserve"> analytical scheme that, we believe, captures the basic structure of the way</w:t>
      </w:r>
      <w:r w:rsidR="00EC4367">
        <w:rPr>
          <w:rFonts w:ascii="Baskerville" w:hAnsi="Baskerville"/>
        </w:rPr>
        <w:t>s</w:t>
      </w:r>
      <w:r w:rsidRPr="00262092">
        <w:rPr>
          <w:rFonts w:ascii="Baskerville" w:hAnsi="Baskerville"/>
        </w:rPr>
        <w:t xml:space="preserve"> in which judicial review and administrative justice might </w:t>
      </w:r>
      <w:r w:rsidR="00EC4367">
        <w:rPr>
          <w:rFonts w:ascii="Baskerville" w:hAnsi="Baskerville"/>
        </w:rPr>
        <w:t>interact</w:t>
      </w:r>
      <w:r w:rsidRPr="00262092">
        <w:rPr>
          <w:rFonts w:ascii="Baskerville" w:hAnsi="Baskerville"/>
        </w:rPr>
        <w:t>. By combining two dimension</w:t>
      </w:r>
      <w:r w:rsidR="00C60F0F" w:rsidRPr="00262092">
        <w:rPr>
          <w:rFonts w:ascii="Baskerville" w:hAnsi="Baskerville"/>
        </w:rPr>
        <w:t>s</w:t>
      </w:r>
      <w:r w:rsidRPr="00262092">
        <w:rPr>
          <w:rFonts w:ascii="Baskerville" w:hAnsi="Baskerville"/>
        </w:rPr>
        <w:t xml:space="preserve"> – </w:t>
      </w:r>
      <w:r w:rsidR="00C60F0F" w:rsidRPr="00262092">
        <w:rPr>
          <w:rFonts w:ascii="Baskerville" w:hAnsi="Baskerville"/>
        </w:rPr>
        <w:t>a</w:t>
      </w:r>
      <w:r w:rsidRPr="00262092">
        <w:rPr>
          <w:rFonts w:ascii="Baskerville" w:hAnsi="Baskerville"/>
        </w:rPr>
        <w:t xml:space="preserve"> set of contrasting perspective</w:t>
      </w:r>
      <w:r w:rsidR="00C60F0F" w:rsidRPr="00262092">
        <w:rPr>
          <w:rFonts w:ascii="Baskerville" w:hAnsi="Baskerville"/>
        </w:rPr>
        <w:t>s</w:t>
      </w:r>
      <w:r w:rsidRPr="00262092">
        <w:rPr>
          <w:rFonts w:ascii="Baskerville" w:hAnsi="Baskerville"/>
        </w:rPr>
        <w:t xml:space="preserve"> on the nature of society and the nature of law</w:t>
      </w:r>
      <w:r w:rsidR="00C60F0F" w:rsidRPr="00262092">
        <w:rPr>
          <w:rFonts w:ascii="Baskerville" w:hAnsi="Baskerville"/>
        </w:rPr>
        <w:t xml:space="preserve"> – we can construct four ideal types regarding the basic </w:t>
      </w:r>
      <w:r w:rsidR="00E47431">
        <w:rPr>
          <w:rFonts w:ascii="Baskerville" w:hAnsi="Baskerville"/>
        </w:rPr>
        <w:t>role</w:t>
      </w:r>
      <w:r w:rsidR="00C60F0F" w:rsidRPr="00262092">
        <w:rPr>
          <w:rFonts w:ascii="Baskerville" w:hAnsi="Baskerville"/>
        </w:rPr>
        <w:t xml:space="preserve"> of judicial review in relation </w:t>
      </w:r>
      <w:r w:rsidR="00E02DBC" w:rsidRPr="00262092">
        <w:rPr>
          <w:rFonts w:ascii="Baskerville" w:hAnsi="Baskerville"/>
        </w:rPr>
        <w:t xml:space="preserve">to </w:t>
      </w:r>
      <w:r w:rsidR="00C60F0F" w:rsidRPr="00262092">
        <w:rPr>
          <w:rFonts w:ascii="Baskerville" w:hAnsi="Baskerville"/>
        </w:rPr>
        <w:t xml:space="preserve">administrative justice. </w:t>
      </w:r>
      <w:r w:rsidR="00E47431">
        <w:rPr>
          <w:rFonts w:ascii="Baskerville" w:hAnsi="Baskerville"/>
        </w:rPr>
        <w:t>Although</w:t>
      </w:r>
      <w:r w:rsidR="00C60F0F" w:rsidRPr="00262092">
        <w:rPr>
          <w:rFonts w:ascii="Baskerville" w:hAnsi="Baskerville"/>
        </w:rPr>
        <w:t xml:space="preserve"> ideal types do not accurately describe the real world</w:t>
      </w:r>
      <w:r w:rsidR="00E47431">
        <w:rPr>
          <w:rFonts w:ascii="Baskerville" w:hAnsi="Baskerville"/>
        </w:rPr>
        <w:t xml:space="preserve">, they are </w:t>
      </w:r>
      <w:r w:rsidR="00E47431" w:rsidRPr="00262092">
        <w:rPr>
          <w:rFonts w:ascii="Baskerville" w:hAnsi="Baskerville"/>
        </w:rPr>
        <w:t>a means of analysing and better understanding the real world.</w:t>
      </w:r>
      <w:r w:rsidR="00E47431">
        <w:rPr>
          <w:rFonts w:ascii="Baskerville" w:hAnsi="Baskerville"/>
        </w:rPr>
        <w:t xml:space="preserve"> In the two sections that follow, therefore, </w:t>
      </w:r>
      <w:r w:rsidR="00C60F0F" w:rsidRPr="00262092">
        <w:rPr>
          <w:rFonts w:ascii="Baskerville" w:hAnsi="Baskerville"/>
        </w:rPr>
        <w:t>we relate t</w:t>
      </w:r>
      <w:r w:rsidR="00E47431">
        <w:rPr>
          <w:rFonts w:ascii="Baskerville" w:hAnsi="Baskerville"/>
        </w:rPr>
        <w:t>hem to</w:t>
      </w:r>
      <w:r w:rsidR="00C60F0F" w:rsidRPr="00262092">
        <w:rPr>
          <w:rFonts w:ascii="Baskerville" w:hAnsi="Baskerville"/>
        </w:rPr>
        <w:t xml:space="preserve"> actual </w:t>
      </w:r>
      <w:r w:rsidR="00E47431">
        <w:rPr>
          <w:rFonts w:ascii="Baskerville" w:hAnsi="Baskerville"/>
        </w:rPr>
        <w:t>theories and systems of public law.  We begin by relating the ideal types</w:t>
      </w:r>
      <w:r w:rsidR="00C60F0F" w:rsidRPr="00262092">
        <w:rPr>
          <w:rFonts w:ascii="Baskerville" w:hAnsi="Baskerville"/>
        </w:rPr>
        <w:t xml:space="preserve"> to the real world</w:t>
      </w:r>
      <w:r w:rsidR="00E47431">
        <w:rPr>
          <w:rFonts w:ascii="Baskerville" w:hAnsi="Baskerville"/>
        </w:rPr>
        <w:t xml:space="preserve"> by discussing the practical contribution they envisage the judiciary making to just administration</w:t>
      </w:r>
      <w:r w:rsidR="00C60F0F" w:rsidRPr="00262092">
        <w:rPr>
          <w:rFonts w:ascii="Baskerville" w:hAnsi="Baskerville"/>
        </w:rPr>
        <w:t xml:space="preserve">. </w:t>
      </w:r>
      <w:r w:rsidR="00E47431">
        <w:rPr>
          <w:rFonts w:ascii="Baskerville" w:hAnsi="Baskerville"/>
        </w:rPr>
        <w:t>We then move, i</w:t>
      </w:r>
      <w:r w:rsidR="00C60F0F" w:rsidRPr="00262092">
        <w:rPr>
          <w:rFonts w:ascii="Baskerville" w:hAnsi="Baskerville"/>
        </w:rPr>
        <w:t xml:space="preserve">n the final substantive section, </w:t>
      </w:r>
      <w:r w:rsidR="00E47431">
        <w:rPr>
          <w:rFonts w:ascii="Baskerville" w:hAnsi="Baskerville"/>
        </w:rPr>
        <w:t xml:space="preserve">to examine how our framework gives us a better lens with which to consider </w:t>
      </w:r>
      <w:r w:rsidR="00C60F0F" w:rsidRPr="00262092">
        <w:rPr>
          <w:rFonts w:ascii="Baskerville" w:hAnsi="Baskerville"/>
        </w:rPr>
        <w:t xml:space="preserve">how judicial review should position itself in relation to </w:t>
      </w:r>
      <w:r w:rsidR="00E47431">
        <w:rPr>
          <w:rFonts w:ascii="Baskerville" w:hAnsi="Baskerville"/>
        </w:rPr>
        <w:t>the administration</w:t>
      </w:r>
      <w:r w:rsidR="00C60F0F" w:rsidRPr="00262092">
        <w:rPr>
          <w:rFonts w:ascii="Baskerville" w:hAnsi="Baskerville"/>
        </w:rPr>
        <w:t>, suggesting that our ideal types offer a set of resources that may be applied to differing administrative justice contexts and challenges. The chapter then briefly concludes.</w:t>
      </w:r>
    </w:p>
    <w:p w14:paraId="489B71C0" w14:textId="77777777" w:rsidR="0040417B" w:rsidRPr="00262092" w:rsidRDefault="0040417B" w:rsidP="00262092">
      <w:pPr>
        <w:spacing w:line="276" w:lineRule="auto"/>
        <w:rPr>
          <w:rFonts w:ascii="Baskerville" w:hAnsi="Baskerville"/>
        </w:rPr>
      </w:pPr>
    </w:p>
    <w:p w14:paraId="37256116" w14:textId="3A58DDAC" w:rsidR="00262092" w:rsidRPr="00262092" w:rsidRDefault="001C29D6" w:rsidP="001C29D6">
      <w:pPr>
        <w:pStyle w:val="Heading1"/>
      </w:pPr>
      <w:r>
        <w:t>II.</w:t>
      </w:r>
      <w:r>
        <w:tab/>
      </w:r>
      <w:r w:rsidR="00262092">
        <w:t>THE</w:t>
      </w:r>
      <w:r w:rsidR="00262092" w:rsidRPr="00262092">
        <w:t xml:space="preserve"> ANALYTICAL SCHEME</w:t>
      </w:r>
    </w:p>
    <w:p w14:paraId="147FE10E" w14:textId="77777777" w:rsidR="00374D27" w:rsidRDefault="00374D27" w:rsidP="00262092">
      <w:pPr>
        <w:spacing w:line="276" w:lineRule="auto"/>
        <w:rPr>
          <w:rFonts w:ascii="Baskerville" w:hAnsi="Baskerville"/>
        </w:rPr>
      </w:pPr>
    </w:p>
    <w:p w14:paraId="1EF7D611" w14:textId="77777777" w:rsidR="004C0370" w:rsidRDefault="00262092" w:rsidP="001A3796">
      <w:pPr>
        <w:spacing w:line="276" w:lineRule="auto"/>
        <w:rPr>
          <w:rFonts w:ascii="Baskerville" w:hAnsi="Baskerville"/>
        </w:rPr>
      </w:pPr>
      <w:r w:rsidRPr="00262092">
        <w:rPr>
          <w:rFonts w:ascii="Baskerville" w:hAnsi="Baskerville"/>
        </w:rPr>
        <w:t>It is a truism to note that comparison lies at the heart of understanding difference</w:t>
      </w:r>
      <w:r w:rsidR="005926BA">
        <w:rPr>
          <w:rFonts w:ascii="Baskerville" w:hAnsi="Baskerville"/>
        </w:rPr>
        <w:t xml:space="preserve">.  This is true </w:t>
      </w:r>
      <w:r w:rsidR="003B192C">
        <w:rPr>
          <w:rFonts w:ascii="Baskerville" w:hAnsi="Baskerville"/>
        </w:rPr>
        <w:t>not just of the social sciences</w:t>
      </w:r>
      <w:r w:rsidR="005926BA">
        <w:rPr>
          <w:rFonts w:ascii="Baskerville" w:hAnsi="Baskerville"/>
        </w:rPr>
        <w:t xml:space="preserve"> but also </w:t>
      </w:r>
      <w:r w:rsidR="003B192C">
        <w:rPr>
          <w:rFonts w:ascii="Baskerville" w:hAnsi="Baskerville"/>
        </w:rPr>
        <w:t xml:space="preserve">law, where </w:t>
      </w:r>
      <w:r w:rsidR="005926BA">
        <w:rPr>
          <w:rFonts w:ascii="Baskerville" w:hAnsi="Baskerville"/>
        </w:rPr>
        <w:t>research</w:t>
      </w:r>
      <w:r w:rsidRPr="00262092">
        <w:rPr>
          <w:rFonts w:ascii="Baskerville" w:hAnsi="Baskerville"/>
        </w:rPr>
        <w:t xml:space="preserve"> </w:t>
      </w:r>
      <w:r w:rsidR="005926BA">
        <w:rPr>
          <w:rFonts w:ascii="Baskerville" w:hAnsi="Baskerville"/>
        </w:rPr>
        <w:t xml:space="preserve">depends not just on macro-social comparisons </w:t>
      </w:r>
      <w:r w:rsidR="003B192C">
        <w:rPr>
          <w:rFonts w:ascii="Baskerville" w:hAnsi="Baskerville"/>
        </w:rPr>
        <w:t>as in</w:t>
      </w:r>
      <w:r w:rsidR="005926BA">
        <w:rPr>
          <w:rFonts w:ascii="Baskerville" w:hAnsi="Baskerville"/>
        </w:rPr>
        <w:t xml:space="preserve"> </w:t>
      </w:r>
      <w:r w:rsidRPr="00262092">
        <w:rPr>
          <w:rFonts w:ascii="Baskerville" w:hAnsi="Baskerville"/>
        </w:rPr>
        <w:t xml:space="preserve">comparative law </w:t>
      </w:r>
      <w:r w:rsidR="005926BA">
        <w:rPr>
          <w:rFonts w:ascii="Baskerville" w:hAnsi="Baskerville"/>
        </w:rPr>
        <w:t xml:space="preserve">but </w:t>
      </w:r>
      <w:r w:rsidR="003B192C">
        <w:rPr>
          <w:rFonts w:ascii="Baskerville" w:hAnsi="Baskerville"/>
        </w:rPr>
        <w:t xml:space="preserve">more broadly </w:t>
      </w:r>
      <w:r w:rsidR="005926BA">
        <w:rPr>
          <w:rFonts w:ascii="Baskerville" w:hAnsi="Baskerville"/>
        </w:rPr>
        <w:t xml:space="preserve">on </w:t>
      </w:r>
      <w:r w:rsidR="003B192C">
        <w:rPr>
          <w:rFonts w:ascii="Baskerville" w:hAnsi="Baskerville"/>
        </w:rPr>
        <w:t>the basic doctrinal methodology of comparing</w:t>
      </w:r>
      <w:r w:rsidR="005926BA">
        <w:rPr>
          <w:rFonts w:ascii="Baskerville" w:hAnsi="Baskerville"/>
        </w:rPr>
        <w:t xml:space="preserve"> key features of cases</w:t>
      </w:r>
      <w:r w:rsidRPr="00262092">
        <w:rPr>
          <w:rFonts w:ascii="Baskerville" w:hAnsi="Baskerville"/>
        </w:rPr>
        <w:t xml:space="preserve">. </w:t>
      </w:r>
      <w:r w:rsidR="005926BA">
        <w:rPr>
          <w:rFonts w:ascii="Baskerville" w:hAnsi="Baskerville"/>
        </w:rPr>
        <w:t xml:space="preserve">The process of comparison requires </w:t>
      </w:r>
      <w:r w:rsidR="003B192C">
        <w:rPr>
          <w:rFonts w:ascii="Baskerville" w:hAnsi="Baskerville"/>
        </w:rPr>
        <w:t xml:space="preserve">setting up analytical constructs which </w:t>
      </w:r>
      <w:r w:rsidRPr="00262092">
        <w:rPr>
          <w:rFonts w:ascii="Baskerville" w:hAnsi="Baskerville"/>
        </w:rPr>
        <w:t>draw out characteristic features</w:t>
      </w:r>
      <w:r w:rsidR="005926BA">
        <w:rPr>
          <w:rFonts w:ascii="Baskerville" w:hAnsi="Baskerville"/>
        </w:rPr>
        <w:t xml:space="preserve"> of whatever is being compared: </w:t>
      </w:r>
      <w:r w:rsidRPr="00262092">
        <w:rPr>
          <w:rFonts w:ascii="Baskerville" w:hAnsi="Baskerville"/>
        </w:rPr>
        <w:t xml:space="preserve">e.g., a legal system, </w:t>
      </w:r>
      <w:r w:rsidR="005926BA">
        <w:rPr>
          <w:rFonts w:ascii="Baskerville" w:hAnsi="Baskerville"/>
        </w:rPr>
        <w:t xml:space="preserve">a line of case law, </w:t>
      </w:r>
      <w:r w:rsidRPr="00262092">
        <w:rPr>
          <w:rFonts w:ascii="Baskerville" w:hAnsi="Baskerville"/>
        </w:rPr>
        <w:t>a culture</w:t>
      </w:r>
      <w:r w:rsidR="00A325A4">
        <w:rPr>
          <w:rFonts w:ascii="Baskerville" w:hAnsi="Baskerville"/>
        </w:rPr>
        <w:t>,</w:t>
      </w:r>
      <w:r w:rsidR="005926BA">
        <w:rPr>
          <w:rFonts w:ascii="Baskerville" w:hAnsi="Baskerville"/>
        </w:rPr>
        <w:t xml:space="preserve"> or a tradition of thought.  </w:t>
      </w:r>
      <w:r w:rsidR="003B192C">
        <w:rPr>
          <w:rFonts w:ascii="Baskerville" w:hAnsi="Baskerville"/>
        </w:rPr>
        <w:t>Importantly, t</w:t>
      </w:r>
      <w:r w:rsidR="005926BA">
        <w:rPr>
          <w:rFonts w:ascii="Baskerville" w:hAnsi="Baskerville"/>
        </w:rPr>
        <w:t>hese</w:t>
      </w:r>
      <w:r w:rsidRPr="00262092">
        <w:rPr>
          <w:rFonts w:ascii="Baskerville" w:hAnsi="Baskerville"/>
        </w:rPr>
        <w:t xml:space="preserve"> </w:t>
      </w:r>
      <w:r w:rsidR="003B192C" w:rsidRPr="00262092">
        <w:rPr>
          <w:rFonts w:ascii="Baskerville" w:hAnsi="Baskerville"/>
        </w:rPr>
        <w:t>analytical construct</w:t>
      </w:r>
      <w:r w:rsidR="003B192C">
        <w:rPr>
          <w:rFonts w:ascii="Baskerville" w:hAnsi="Baskerville"/>
        </w:rPr>
        <w:t>s do not attempt</w:t>
      </w:r>
      <w:r w:rsidRPr="00262092">
        <w:rPr>
          <w:rFonts w:ascii="Baskerville" w:hAnsi="Baskerville"/>
        </w:rPr>
        <w:t xml:space="preserve"> to describe the full complexity of the thing being compared. Rather, </w:t>
      </w:r>
      <w:r w:rsidR="001A54B3">
        <w:rPr>
          <w:rFonts w:ascii="Baskerville" w:hAnsi="Baskerville"/>
        </w:rPr>
        <w:t xml:space="preserve">their primary role is </w:t>
      </w:r>
      <w:r w:rsidR="003B192C">
        <w:rPr>
          <w:rFonts w:ascii="Baskerville" w:hAnsi="Baskerville"/>
        </w:rPr>
        <w:t>to highlight</w:t>
      </w:r>
      <w:r w:rsidRPr="00262092">
        <w:rPr>
          <w:rFonts w:ascii="Baskerville" w:hAnsi="Baskerville"/>
        </w:rPr>
        <w:t xml:space="preserve"> </w:t>
      </w:r>
      <w:r w:rsidR="00DC527D">
        <w:rPr>
          <w:rFonts w:ascii="Baskerville" w:hAnsi="Baskerville"/>
        </w:rPr>
        <w:t xml:space="preserve">the key features or dimensions underlying </w:t>
      </w:r>
      <w:r w:rsidR="003B192C">
        <w:rPr>
          <w:rFonts w:ascii="Baskerville" w:hAnsi="Baskerville"/>
        </w:rPr>
        <w:t xml:space="preserve">social phenomena, and their construction entails the artificial simplification and reduction to archetypes of phenomena that are complex and exhibit considerable internal variation.  </w:t>
      </w:r>
    </w:p>
    <w:p w14:paraId="2B788979" w14:textId="77777777" w:rsidR="004C0370" w:rsidRDefault="004C0370" w:rsidP="001A3796">
      <w:pPr>
        <w:spacing w:line="276" w:lineRule="auto"/>
        <w:rPr>
          <w:rFonts w:ascii="Baskerville" w:hAnsi="Baskerville"/>
        </w:rPr>
      </w:pPr>
    </w:p>
    <w:p w14:paraId="0F690C64" w14:textId="409BB4DB" w:rsidR="00262092" w:rsidRPr="00262092" w:rsidRDefault="003B192C" w:rsidP="004C0370">
      <w:pPr>
        <w:spacing w:line="276" w:lineRule="auto"/>
        <w:rPr>
          <w:rFonts w:ascii="Baskerville" w:hAnsi="Baskerville"/>
        </w:rPr>
      </w:pPr>
      <w:r>
        <w:rPr>
          <w:rFonts w:ascii="Baskerville" w:hAnsi="Baskerville"/>
        </w:rPr>
        <w:t>As prior work has demonstrated, th</w:t>
      </w:r>
      <w:r w:rsidR="004C0370">
        <w:rPr>
          <w:rFonts w:ascii="Baskerville" w:hAnsi="Baskerville"/>
        </w:rPr>
        <w:t xml:space="preserve">is means that a significant proportion of the analytical concepts used in generalising scholarship </w:t>
      </w:r>
      <w:r>
        <w:rPr>
          <w:rFonts w:ascii="Baskerville" w:hAnsi="Baskerville"/>
        </w:rPr>
        <w:t>are</w:t>
      </w:r>
      <w:r w:rsidR="004C0370">
        <w:rPr>
          <w:rFonts w:ascii="Baskerville" w:hAnsi="Baskerville"/>
        </w:rPr>
        <w:t xml:space="preserve"> </w:t>
      </w:r>
      <w:r>
        <w:rPr>
          <w:rFonts w:ascii="Baskerville" w:hAnsi="Baskerville"/>
        </w:rPr>
        <w:t xml:space="preserve">‘ideal types’ in the sense developed by Max Weber, </w:t>
      </w:r>
      <w:r w:rsidR="004C0370">
        <w:rPr>
          <w:rFonts w:ascii="Baskerville" w:hAnsi="Baskerville"/>
        </w:rPr>
        <w:t xml:space="preserve">and this is true as much of law as </w:t>
      </w:r>
      <w:r>
        <w:rPr>
          <w:rFonts w:ascii="Baskerville" w:hAnsi="Baskerville"/>
        </w:rPr>
        <w:t>the social sciences (Sheehan &amp; Arvind, 2015</w:t>
      </w:r>
      <w:r w:rsidR="003255B9">
        <w:rPr>
          <w:rFonts w:ascii="Baskerville" w:hAnsi="Baskerville"/>
        </w:rPr>
        <w:t>: 490-492</w:t>
      </w:r>
      <w:r>
        <w:rPr>
          <w:rFonts w:ascii="Baskerville" w:hAnsi="Baskerville"/>
        </w:rPr>
        <w:t xml:space="preserve">).  </w:t>
      </w:r>
      <w:r w:rsidR="004C0370">
        <w:rPr>
          <w:rFonts w:ascii="Baskerville" w:hAnsi="Baskerville"/>
        </w:rPr>
        <w:t>Ideal types are ‘</w:t>
      </w:r>
      <w:r w:rsidR="004C0370" w:rsidRPr="00262092">
        <w:rPr>
          <w:rFonts w:ascii="Baskerville" w:hAnsi="Baskerville"/>
        </w:rPr>
        <w:t>exaggerated or one-sided depictions that emphasise particular aspects of what is obviously a richer and more complicated reality</w:t>
      </w:r>
      <w:r w:rsidR="004C0370">
        <w:rPr>
          <w:rFonts w:ascii="Baskerville" w:hAnsi="Baskerville"/>
        </w:rPr>
        <w:t>’</w:t>
      </w:r>
      <w:r w:rsidR="004C0370" w:rsidRPr="00262092">
        <w:rPr>
          <w:rFonts w:ascii="Baskerville" w:hAnsi="Baskerville"/>
        </w:rPr>
        <w:t xml:space="preserve">, as </w:t>
      </w:r>
      <w:proofErr w:type="spellStart"/>
      <w:r w:rsidR="004C0370" w:rsidRPr="00262092">
        <w:rPr>
          <w:rFonts w:ascii="Baskerville" w:hAnsi="Baskerville"/>
        </w:rPr>
        <w:t>Kronman</w:t>
      </w:r>
      <w:proofErr w:type="spellEnd"/>
      <w:r w:rsidR="004C0370" w:rsidRPr="00262092">
        <w:rPr>
          <w:rFonts w:ascii="Baskerville" w:hAnsi="Baskerville"/>
        </w:rPr>
        <w:t xml:space="preserve"> puts it (1983: 7)</w:t>
      </w:r>
      <w:r w:rsidR="004C0370">
        <w:rPr>
          <w:rFonts w:ascii="Baskerville" w:hAnsi="Baskerville"/>
        </w:rPr>
        <w:t xml:space="preserve">, and their utility lies in the possibility they create, of using generic concepts to analyse ‘historically unique configurations’ (Weber, 1969: 93).  </w:t>
      </w:r>
      <w:r w:rsidR="00262092" w:rsidRPr="00262092">
        <w:rPr>
          <w:rFonts w:ascii="Baskerville" w:hAnsi="Baskerville"/>
        </w:rPr>
        <w:t xml:space="preserve">One of the insights of Weber’s work is that </w:t>
      </w:r>
      <w:r w:rsidR="004C0370">
        <w:rPr>
          <w:rFonts w:ascii="Baskerville" w:hAnsi="Baskerville"/>
        </w:rPr>
        <w:t xml:space="preserve">ideal types can be formed by </w:t>
      </w:r>
      <w:r w:rsidR="004C0370" w:rsidRPr="004C0370">
        <w:rPr>
          <w:rFonts w:ascii="Baskerville" w:hAnsi="Baskerville"/>
          <w:i/>
          <w:iCs/>
        </w:rPr>
        <w:t>combining</w:t>
      </w:r>
      <w:r w:rsidR="004C0370">
        <w:rPr>
          <w:rFonts w:ascii="Baskerville" w:hAnsi="Baskerville"/>
        </w:rPr>
        <w:t xml:space="preserve"> </w:t>
      </w:r>
      <w:r w:rsidR="00262092" w:rsidRPr="00262092">
        <w:rPr>
          <w:rFonts w:ascii="Baskerville" w:hAnsi="Baskerville"/>
        </w:rPr>
        <w:t>key dimensions</w:t>
      </w:r>
      <w:r w:rsidR="004C0370">
        <w:rPr>
          <w:rFonts w:ascii="Baskerville" w:hAnsi="Baskerville"/>
        </w:rPr>
        <w:t>,</w:t>
      </w:r>
      <w:r w:rsidR="00262092" w:rsidRPr="00262092">
        <w:rPr>
          <w:rFonts w:ascii="Baskerville" w:hAnsi="Baskerville"/>
        </w:rPr>
        <w:t xml:space="preserve"> and the polar positions on these dimensions. </w:t>
      </w:r>
      <w:r w:rsidR="00262092" w:rsidRPr="00262092">
        <w:rPr>
          <w:rFonts w:ascii="Baskerville" w:hAnsi="Baskerville"/>
        </w:rPr>
        <w:lastRenderedPageBreak/>
        <w:t xml:space="preserve">Such was also the method of the British anthropologist, Mary Douglas, in developing her notion of four ‘cultural biases’ (Douglas 1982: 2), representing different combinations of the polar positions of two basic dimensions of cultural life. This basic analytical method has inspired a great deal of research that captures the different ways in which people approach </w:t>
      </w:r>
      <w:r w:rsidR="00B4693C" w:rsidRPr="00262092">
        <w:rPr>
          <w:rFonts w:ascii="Baskerville" w:hAnsi="Baskerville"/>
        </w:rPr>
        <w:t>the world in general</w:t>
      </w:r>
      <w:r w:rsidR="00B4693C">
        <w:rPr>
          <w:rFonts w:ascii="Baskerville" w:hAnsi="Baskerville"/>
        </w:rPr>
        <w:t>,</w:t>
      </w:r>
      <w:r w:rsidR="00B4693C" w:rsidRPr="00262092">
        <w:rPr>
          <w:rFonts w:ascii="Baskerville" w:hAnsi="Baskerville"/>
        </w:rPr>
        <w:t xml:space="preserve"> or </w:t>
      </w:r>
      <w:r w:rsidR="00262092" w:rsidRPr="00262092">
        <w:rPr>
          <w:rFonts w:ascii="Baskerville" w:hAnsi="Baskerville"/>
        </w:rPr>
        <w:t xml:space="preserve">particular issues </w:t>
      </w:r>
      <w:r w:rsidR="00B4693C">
        <w:rPr>
          <w:rFonts w:ascii="Baskerville" w:hAnsi="Baskerville"/>
        </w:rPr>
        <w:t xml:space="preserve">and topics, including law and legality (e.g., Halliday &amp; Scott, 2010; </w:t>
      </w:r>
      <w:r w:rsidR="008266C2">
        <w:rPr>
          <w:rFonts w:ascii="Baskerville" w:hAnsi="Baskerville"/>
        </w:rPr>
        <w:t xml:space="preserve">Lodge &amp; </w:t>
      </w:r>
      <w:proofErr w:type="spellStart"/>
      <w:r w:rsidR="008266C2">
        <w:rPr>
          <w:rFonts w:ascii="Baskerville" w:hAnsi="Baskerville"/>
        </w:rPr>
        <w:t>Stirton</w:t>
      </w:r>
      <w:proofErr w:type="spellEnd"/>
      <w:r w:rsidR="008266C2">
        <w:rPr>
          <w:rFonts w:ascii="Baskerville" w:hAnsi="Baskerville"/>
        </w:rPr>
        <w:t xml:space="preserve">, 2010; </w:t>
      </w:r>
      <w:r w:rsidR="00B4693C">
        <w:rPr>
          <w:rFonts w:ascii="Baskerville" w:hAnsi="Baskerville"/>
        </w:rPr>
        <w:t>Halliday &amp; Morgan, 2013; Arvind &amp; Steele 2020)</w:t>
      </w:r>
      <w:r w:rsidR="00262092" w:rsidRPr="00262092">
        <w:rPr>
          <w:rFonts w:ascii="Baskerville" w:hAnsi="Baskerville"/>
        </w:rPr>
        <w:t>.</w:t>
      </w:r>
    </w:p>
    <w:p w14:paraId="4C0D11B9" w14:textId="77777777" w:rsidR="00262092" w:rsidRPr="00262092" w:rsidRDefault="00262092" w:rsidP="00262092">
      <w:pPr>
        <w:spacing w:line="276" w:lineRule="auto"/>
        <w:rPr>
          <w:rFonts w:ascii="Baskerville" w:hAnsi="Baskerville"/>
        </w:rPr>
      </w:pPr>
    </w:p>
    <w:p w14:paraId="2C6DC54B" w14:textId="2A6718E1" w:rsidR="00262092" w:rsidRPr="00262092" w:rsidRDefault="00262092" w:rsidP="00A05A59">
      <w:pPr>
        <w:spacing w:line="276" w:lineRule="auto"/>
        <w:rPr>
          <w:rFonts w:ascii="Baskerville" w:hAnsi="Baskerville"/>
        </w:rPr>
      </w:pPr>
      <w:r w:rsidRPr="00262092">
        <w:rPr>
          <w:rFonts w:ascii="Baskerville" w:hAnsi="Baskerville"/>
        </w:rPr>
        <w:t xml:space="preserve">It is </w:t>
      </w:r>
      <w:r w:rsidR="00A05A59">
        <w:rPr>
          <w:rFonts w:ascii="Baskerville" w:hAnsi="Baskerville"/>
        </w:rPr>
        <w:t xml:space="preserve">on this approach that the present chapter relies </w:t>
      </w:r>
      <w:r w:rsidRPr="00262092">
        <w:rPr>
          <w:rFonts w:ascii="Baskerville" w:hAnsi="Baskerville"/>
        </w:rPr>
        <w:t xml:space="preserve">in </w:t>
      </w:r>
      <w:r w:rsidR="00A05A59">
        <w:rPr>
          <w:rFonts w:ascii="Baskerville" w:hAnsi="Baskerville"/>
        </w:rPr>
        <w:t xml:space="preserve">developing its account of the different ways in which the relationship between judicial review and administrative justice might be </w:t>
      </w:r>
      <w:r w:rsidRPr="00262092">
        <w:rPr>
          <w:rFonts w:ascii="Baskerville" w:hAnsi="Baskerville"/>
        </w:rPr>
        <w:t xml:space="preserve">framed </w:t>
      </w:r>
      <w:r>
        <w:rPr>
          <w:rFonts w:ascii="Baskerville" w:hAnsi="Baskerville"/>
        </w:rPr>
        <w:t>and articulated</w:t>
      </w:r>
      <w:r w:rsidRPr="00262092">
        <w:rPr>
          <w:rFonts w:ascii="Baskerville" w:hAnsi="Baskerville"/>
        </w:rPr>
        <w:t xml:space="preserve">. Our conviction is that, underlying </w:t>
      </w:r>
      <w:r>
        <w:rPr>
          <w:rFonts w:ascii="Baskerville" w:hAnsi="Baskerville"/>
        </w:rPr>
        <w:t>such variation</w:t>
      </w:r>
      <w:r w:rsidRPr="00262092">
        <w:rPr>
          <w:rFonts w:ascii="Baskerville" w:hAnsi="Baskerville"/>
        </w:rPr>
        <w:t xml:space="preserve"> are differences of perspective on two fundamental issues: (1) the nature of </w:t>
      </w:r>
      <w:r w:rsidR="002F4564">
        <w:rPr>
          <w:rFonts w:ascii="Baskerville" w:hAnsi="Baskerville"/>
        </w:rPr>
        <w:t>a polity</w:t>
      </w:r>
      <w:r w:rsidRPr="00262092">
        <w:rPr>
          <w:rFonts w:ascii="Baskerville" w:hAnsi="Baskerville"/>
        </w:rPr>
        <w:t xml:space="preserve">; and (2) the character of administrative law. Indeed, the contrasting perspectives on these two issues represent an extension of the core ideas of Douglas’ cultural theory. </w:t>
      </w:r>
      <w:r w:rsidR="00A05A59">
        <w:rPr>
          <w:rFonts w:ascii="Baskerville" w:hAnsi="Baskerville"/>
        </w:rPr>
        <w:t>Douglas</w:t>
      </w:r>
      <w:r w:rsidRPr="00262092">
        <w:rPr>
          <w:rFonts w:ascii="Baskerville" w:hAnsi="Baskerville"/>
        </w:rPr>
        <w:t xml:space="preserve"> argued that two basic dimensions of sociality underpin cultural variation: the extent to which social life is animated and constrained, firstly, by the sense of being part of a collective entity beyond oneself </w:t>
      </w:r>
      <w:r>
        <w:rPr>
          <w:rFonts w:ascii="Baskerville" w:hAnsi="Baskerville"/>
        </w:rPr>
        <w:t>(</w:t>
      </w:r>
      <w:r w:rsidRPr="00262092">
        <w:rPr>
          <w:rFonts w:ascii="Baskerville" w:hAnsi="Baskerville"/>
        </w:rPr>
        <w:t xml:space="preserve">the ‘group’ dimension) and, secondly, by the value that is placed upon, or pressure is felt from rules, roles and prescriptions (the ‘grid’ dimension). </w:t>
      </w:r>
      <w:r w:rsidR="00A05A59">
        <w:rPr>
          <w:rFonts w:ascii="Baskerville" w:hAnsi="Baskerville"/>
        </w:rPr>
        <w:t xml:space="preserve"> </w:t>
      </w:r>
      <w:r w:rsidR="002F4564">
        <w:rPr>
          <w:rFonts w:ascii="Baskerville" w:hAnsi="Baskerville"/>
        </w:rPr>
        <w:t xml:space="preserve">Our concern is narrower than Douglas’.  We seek to study not society as such, but a specific aspect of it, namely, the relationship between the formal institutions by which it is administered, and the individuals, groups, and entities that constitute it.  Administrative justice and administrative law are both concerned with how this relationship might be mediated, and the purpose of our analytical scheme is to represent different perspectives on the forms and purposes that mediation might take.  We use the idea of a ‘polity’ as a way of capturing both the formal institutions that do the administering and the social units who are subject to administration, and from the two dimensions identified by Douglas derive two more specific dimensions, focused </w:t>
      </w:r>
      <w:r w:rsidRPr="00262092">
        <w:rPr>
          <w:rFonts w:ascii="Baskerville" w:hAnsi="Baskerville"/>
        </w:rPr>
        <w:t xml:space="preserve">on the nature of </w:t>
      </w:r>
      <w:r w:rsidR="002F4564">
        <w:rPr>
          <w:rFonts w:ascii="Baskerville" w:hAnsi="Baskerville"/>
        </w:rPr>
        <w:t>the polity</w:t>
      </w:r>
      <w:r w:rsidR="002F4564" w:rsidRPr="00262092">
        <w:rPr>
          <w:rFonts w:ascii="Baskerville" w:hAnsi="Baskerville"/>
        </w:rPr>
        <w:t xml:space="preserve"> </w:t>
      </w:r>
      <w:r w:rsidRPr="00262092">
        <w:rPr>
          <w:rFonts w:ascii="Baskerville" w:hAnsi="Baskerville"/>
        </w:rPr>
        <w:t xml:space="preserve">(group) and the character of administrative law (grid). </w:t>
      </w:r>
    </w:p>
    <w:p w14:paraId="0A3694FB" w14:textId="77777777" w:rsidR="00262092" w:rsidRPr="00262092" w:rsidRDefault="00262092" w:rsidP="00262092">
      <w:pPr>
        <w:spacing w:line="276" w:lineRule="auto"/>
        <w:rPr>
          <w:rFonts w:ascii="Baskerville" w:hAnsi="Baskerville"/>
        </w:rPr>
      </w:pPr>
    </w:p>
    <w:p w14:paraId="6AFE26A4" w14:textId="3229B1A8" w:rsidR="00262092" w:rsidRPr="001C29D6" w:rsidRDefault="00262092" w:rsidP="001C29D6">
      <w:pPr>
        <w:pStyle w:val="Heading2"/>
      </w:pPr>
      <w:r w:rsidRPr="001C29D6">
        <w:t xml:space="preserve">The Nature of </w:t>
      </w:r>
      <w:r w:rsidR="00946DF1" w:rsidRPr="001C29D6">
        <w:t>the polity</w:t>
      </w:r>
      <w:r w:rsidR="002F4564" w:rsidRPr="001C29D6">
        <w:t>: defining the ‘group’ dimension</w:t>
      </w:r>
    </w:p>
    <w:p w14:paraId="3AF5B6D1" w14:textId="0B0066C5" w:rsidR="001C29D6" w:rsidRDefault="001C29D6" w:rsidP="002F4564">
      <w:pPr>
        <w:spacing w:line="276" w:lineRule="auto"/>
        <w:rPr>
          <w:rFonts w:ascii="Baskerville" w:hAnsi="Baskerville"/>
        </w:rPr>
      </w:pPr>
    </w:p>
    <w:p w14:paraId="331D4A07" w14:textId="3260BDD2" w:rsidR="00262092" w:rsidRPr="00262092" w:rsidRDefault="00A56BFA" w:rsidP="002F4564">
      <w:pPr>
        <w:spacing w:line="276" w:lineRule="auto"/>
        <w:rPr>
          <w:rFonts w:ascii="Baskerville" w:hAnsi="Baskerville"/>
        </w:rPr>
      </w:pPr>
      <w:r>
        <w:rPr>
          <w:rFonts w:ascii="Baskerville" w:hAnsi="Baskerville"/>
        </w:rPr>
        <w:t>I</w:t>
      </w:r>
      <w:r w:rsidR="00262092" w:rsidRPr="00262092">
        <w:rPr>
          <w:rFonts w:ascii="Baskerville" w:hAnsi="Baskerville"/>
        </w:rPr>
        <w:t xml:space="preserve">n relation to understandings of the nature of </w:t>
      </w:r>
      <w:r w:rsidR="002F4564">
        <w:rPr>
          <w:rFonts w:ascii="Baskerville" w:hAnsi="Baskerville"/>
        </w:rPr>
        <w:t>the polity</w:t>
      </w:r>
      <w:r w:rsidR="00262092" w:rsidRPr="00262092">
        <w:rPr>
          <w:rFonts w:ascii="Baskerville" w:hAnsi="Baskerville"/>
        </w:rPr>
        <w:t xml:space="preserve">, we might contrast two extreme positions: the first envisaging </w:t>
      </w:r>
      <w:r w:rsidR="002F4564">
        <w:rPr>
          <w:rFonts w:ascii="Baskerville" w:hAnsi="Baskerville"/>
        </w:rPr>
        <w:t>it as a field of contestation, where questions of its purpose, goals</w:t>
      </w:r>
      <w:r w:rsidR="00946DF1">
        <w:rPr>
          <w:rFonts w:ascii="Baskerville" w:hAnsi="Baskerville"/>
        </w:rPr>
        <w:t>,</w:t>
      </w:r>
      <w:r w:rsidR="002F4564">
        <w:rPr>
          <w:rFonts w:ascii="Baskerville" w:hAnsi="Baskerville"/>
        </w:rPr>
        <w:t xml:space="preserve"> and priorities are inherently the subject of disagreement; and the second envisaging it as a unit where a common and shared understanding of the good exists or is capable of being developed, and which is in consequence capable of reaching a consensus on shared goals and purposes and, thus, on shared priorities and actions</w:t>
      </w:r>
      <w:r w:rsidR="00262092" w:rsidRPr="00262092">
        <w:rPr>
          <w:rFonts w:ascii="Baskerville" w:hAnsi="Baskerville"/>
        </w:rPr>
        <w:t xml:space="preserve">. </w:t>
      </w:r>
    </w:p>
    <w:p w14:paraId="05ADD07A" w14:textId="77777777" w:rsidR="00262092" w:rsidRPr="00262092" w:rsidRDefault="00262092" w:rsidP="00262092">
      <w:pPr>
        <w:spacing w:line="276" w:lineRule="auto"/>
        <w:rPr>
          <w:rFonts w:ascii="Baskerville" w:hAnsi="Baskerville"/>
        </w:rPr>
      </w:pPr>
    </w:p>
    <w:p w14:paraId="78239B4E" w14:textId="69820D5F" w:rsidR="00262092" w:rsidRPr="00262092" w:rsidRDefault="00262092" w:rsidP="002F4564">
      <w:pPr>
        <w:spacing w:line="276" w:lineRule="auto"/>
        <w:rPr>
          <w:rFonts w:ascii="Baskerville" w:hAnsi="Baskerville"/>
        </w:rPr>
      </w:pPr>
      <w:r w:rsidRPr="00262092">
        <w:rPr>
          <w:rFonts w:ascii="Baskerville" w:hAnsi="Baskerville"/>
        </w:rPr>
        <w:t xml:space="preserve">From the perspective of </w:t>
      </w:r>
      <w:r w:rsidR="00542AC7">
        <w:rPr>
          <w:rFonts w:ascii="Baskerville" w:hAnsi="Baskerville"/>
        </w:rPr>
        <w:t xml:space="preserve">the </w:t>
      </w:r>
      <w:r w:rsidRPr="00262092">
        <w:rPr>
          <w:rFonts w:ascii="Baskerville" w:hAnsi="Baskerville"/>
        </w:rPr>
        <w:t xml:space="preserve">first extreme position, society as a </w:t>
      </w:r>
      <w:r w:rsidR="002F4564">
        <w:rPr>
          <w:rFonts w:ascii="Baskerville" w:hAnsi="Baskerville"/>
        </w:rPr>
        <w:t xml:space="preserve">single cohesive </w:t>
      </w:r>
      <w:r w:rsidRPr="00262092">
        <w:rPr>
          <w:rFonts w:ascii="Baskerville" w:hAnsi="Baskerville"/>
        </w:rPr>
        <w:t xml:space="preserve">unit does not exist. </w:t>
      </w:r>
      <w:r w:rsidR="002F4564">
        <w:rPr>
          <w:rFonts w:ascii="Baskerville" w:hAnsi="Baskerville"/>
        </w:rPr>
        <w:t xml:space="preserve">The polity </w:t>
      </w:r>
      <w:r w:rsidRPr="00262092">
        <w:rPr>
          <w:rFonts w:ascii="Baskerville" w:hAnsi="Baskerville"/>
        </w:rPr>
        <w:t xml:space="preserve">is </w:t>
      </w:r>
      <w:r w:rsidR="002F4564">
        <w:rPr>
          <w:rFonts w:ascii="Baskerville" w:hAnsi="Baskerville"/>
        </w:rPr>
        <w:t>primarily</w:t>
      </w:r>
      <w:r w:rsidR="002F4564" w:rsidRPr="00262092">
        <w:rPr>
          <w:rFonts w:ascii="Baskerville" w:hAnsi="Baskerville"/>
        </w:rPr>
        <w:t xml:space="preserve"> </w:t>
      </w:r>
      <w:r w:rsidRPr="00262092">
        <w:rPr>
          <w:rFonts w:ascii="Baskerville" w:hAnsi="Baskerville"/>
        </w:rPr>
        <w:t xml:space="preserve">a space where </w:t>
      </w:r>
      <w:r w:rsidR="002F4564">
        <w:rPr>
          <w:rFonts w:ascii="Baskerville" w:hAnsi="Baskerville"/>
        </w:rPr>
        <w:t xml:space="preserve">the conflicts that arise from the coexistence of </w:t>
      </w:r>
      <w:r w:rsidRPr="00262092">
        <w:rPr>
          <w:rFonts w:ascii="Baskerville" w:hAnsi="Baskerville"/>
        </w:rPr>
        <w:t xml:space="preserve">smaller </w:t>
      </w:r>
      <w:r w:rsidR="002F4564">
        <w:rPr>
          <w:rFonts w:ascii="Baskerville" w:hAnsi="Baskerville"/>
        </w:rPr>
        <w:t xml:space="preserve">subgroups </w:t>
      </w:r>
      <w:r w:rsidRPr="00262092">
        <w:rPr>
          <w:rFonts w:ascii="Baskerville" w:hAnsi="Baskerville"/>
        </w:rPr>
        <w:t>with multitudinous and disparate needs and interests</w:t>
      </w:r>
      <w:r w:rsidR="002F4564">
        <w:rPr>
          <w:rFonts w:ascii="Baskerville" w:hAnsi="Baskerville"/>
        </w:rPr>
        <w:t xml:space="preserve"> are resolved</w:t>
      </w:r>
      <w:r w:rsidRPr="00262092">
        <w:rPr>
          <w:rFonts w:ascii="Baskerville" w:hAnsi="Baskerville"/>
        </w:rPr>
        <w:t xml:space="preserve">. There is no image of the good life that society as a whole might enjoy or benefit from. The legitimate purpose of the state, therefore, is to </w:t>
      </w:r>
      <w:r w:rsidR="002F4564">
        <w:rPr>
          <w:rFonts w:ascii="Baskerville" w:hAnsi="Baskerville"/>
        </w:rPr>
        <w:t xml:space="preserve">provide shared institutions that </w:t>
      </w:r>
      <w:r w:rsidRPr="00262092">
        <w:rPr>
          <w:rFonts w:ascii="Baskerville" w:hAnsi="Baskerville"/>
        </w:rPr>
        <w:t xml:space="preserve">minimise </w:t>
      </w:r>
      <w:r w:rsidR="00D7662A">
        <w:rPr>
          <w:rFonts w:ascii="Baskerville" w:hAnsi="Baskerville"/>
        </w:rPr>
        <w:t>conflict</w:t>
      </w:r>
      <w:r w:rsidRPr="00262092">
        <w:rPr>
          <w:rFonts w:ascii="Baskerville" w:hAnsi="Baskerville"/>
        </w:rPr>
        <w:t xml:space="preserve"> within the common space and secure peaceful, though </w:t>
      </w:r>
      <w:r w:rsidR="002F4564">
        <w:rPr>
          <w:rFonts w:ascii="Baskerville" w:hAnsi="Baskerville"/>
        </w:rPr>
        <w:t>potentially</w:t>
      </w:r>
      <w:r w:rsidR="002F4564" w:rsidRPr="00262092">
        <w:rPr>
          <w:rFonts w:ascii="Baskerville" w:hAnsi="Baskerville"/>
        </w:rPr>
        <w:t xml:space="preserve"> </w:t>
      </w:r>
      <w:r w:rsidRPr="00262092">
        <w:rPr>
          <w:rFonts w:ascii="Baskerville" w:hAnsi="Baskerville"/>
        </w:rPr>
        <w:t>atomistic, co-existence.</w:t>
      </w:r>
    </w:p>
    <w:p w14:paraId="0909E804" w14:textId="77777777" w:rsidR="00262092" w:rsidRPr="00262092" w:rsidRDefault="00262092" w:rsidP="00262092">
      <w:pPr>
        <w:spacing w:line="276" w:lineRule="auto"/>
        <w:rPr>
          <w:rFonts w:ascii="Baskerville" w:hAnsi="Baskerville"/>
        </w:rPr>
      </w:pPr>
    </w:p>
    <w:p w14:paraId="5C168B7D" w14:textId="3D47F677" w:rsidR="00262092" w:rsidRPr="00262092" w:rsidRDefault="00262092" w:rsidP="002F4564">
      <w:pPr>
        <w:spacing w:line="276" w:lineRule="auto"/>
        <w:rPr>
          <w:rFonts w:ascii="Baskerville" w:hAnsi="Baskerville"/>
        </w:rPr>
      </w:pPr>
      <w:r w:rsidRPr="00262092">
        <w:rPr>
          <w:rFonts w:ascii="Baskerville" w:hAnsi="Baskerville"/>
        </w:rPr>
        <w:lastRenderedPageBreak/>
        <w:t xml:space="preserve">The perspective of the second extreme position on the nature of </w:t>
      </w:r>
      <w:r w:rsidR="002F4564">
        <w:rPr>
          <w:rFonts w:ascii="Baskerville" w:hAnsi="Baskerville"/>
        </w:rPr>
        <w:t>the polity</w:t>
      </w:r>
      <w:r w:rsidR="002F4564" w:rsidRPr="00262092">
        <w:rPr>
          <w:rFonts w:ascii="Baskerville" w:hAnsi="Baskerville"/>
        </w:rPr>
        <w:t xml:space="preserve"> </w:t>
      </w:r>
      <w:r w:rsidRPr="00262092">
        <w:rPr>
          <w:rFonts w:ascii="Baskerville" w:hAnsi="Baskerville"/>
        </w:rPr>
        <w:t xml:space="preserve">stresses some form of substantive common good. Society, despite being made up of many different groups and individual members, is ultimately conceived of as a unit – or at least an inchoate unit – in itself. It has a set of needs and interests that are shared by all its members. Society as a whole will benefit from the realisation of the common good. In this context, the proper purpose of the state is to promote and protect the common good, whatever it may be. </w:t>
      </w:r>
    </w:p>
    <w:p w14:paraId="67F2106D" w14:textId="77777777" w:rsidR="00262092" w:rsidRPr="00262092" w:rsidRDefault="00262092" w:rsidP="00262092">
      <w:pPr>
        <w:spacing w:line="276" w:lineRule="auto"/>
        <w:rPr>
          <w:rFonts w:ascii="Baskerville" w:hAnsi="Baskerville"/>
        </w:rPr>
      </w:pPr>
    </w:p>
    <w:p w14:paraId="4C6D1384" w14:textId="2F81991B" w:rsidR="00262092" w:rsidRPr="00262092" w:rsidRDefault="00262092" w:rsidP="00445102">
      <w:pPr>
        <w:spacing w:line="276" w:lineRule="auto"/>
        <w:rPr>
          <w:rFonts w:ascii="Baskerville" w:hAnsi="Baskerville"/>
        </w:rPr>
      </w:pPr>
      <w:r w:rsidRPr="00262092">
        <w:rPr>
          <w:rFonts w:ascii="Baskerville" w:hAnsi="Baskerville"/>
        </w:rPr>
        <w:t xml:space="preserve">The contrast between these extreme positions might be framed as the difference between </w:t>
      </w:r>
      <w:r w:rsidR="00A67EFA">
        <w:rPr>
          <w:rFonts w:ascii="Baskerville" w:hAnsi="Baskerville"/>
        </w:rPr>
        <w:t xml:space="preserve">‘conflict’ and ‘consensus’ </w:t>
      </w:r>
      <w:r w:rsidR="00A67EFA" w:rsidRPr="00262092">
        <w:rPr>
          <w:rFonts w:ascii="Baskerville" w:hAnsi="Baskerville"/>
        </w:rPr>
        <w:t>perspectives on society</w:t>
      </w:r>
      <w:r w:rsidR="00892CC6">
        <w:rPr>
          <w:rFonts w:ascii="Baskerville" w:hAnsi="Baskerville"/>
        </w:rPr>
        <w:t xml:space="preserve"> (</w:t>
      </w:r>
      <w:proofErr w:type="spellStart"/>
      <w:r w:rsidR="00892CC6">
        <w:rPr>
          <w:rFonts w:ascii="Baskerville" w:hAnsi="Baskerville"/>
        </w:rPr>
        <w:t>Banakar</w:t>
      </w:r>
      <w:proofErr w:type="spellEnd"/>
      <w:r w:rsidR="00892CC6">
        <w:rPr>
          <w:rFonts w:ascii="Baskerville" w:hAnsi="Baskerville"/>
        </w:rPr>
        <w:t xml:space="preserve"> and Travers, 2013</w:t>
      </w:r>
      <w:r w:rsidR="00A67EFA">
        <w:rPr>
          <w:rFonts w:ascii="Baskerville" w:hAnsi="Baskerville"/>
        </w:rPr>
        <w:t>) or, as we prefer,</w:t>
      </w:r>
      <w:r w:rsidR="00A67EFA" w:rsidRPr="00262092">
        <w:rPr>
          <w:rFonts w:ascii="Baskerville" w:hAnsi="Baskerville"/>
        </w:rPr>
        <w:t xml:space="preserve"> </w:t>
      </w:r>
      <w:r w:rsidRPr="00262092">
        <w:rPr>
          <w:rFonts w:ascii="Baskerville" w:hAnsi="Baskerville"/>
        </w:rPr>
        <w:t>‘discord’ and ‘concord’</w:t>
      </w:r>
      <w:r w:rsidR="00A67EFA">
        <w:rPr>
          <w:rFonts w:ascii="Baskerville" w:hAnsi="Baskerville"/>
        </w:rPr>
        <w:t xml:space="preserve"> perspectives</w:t>
      </w:r>
      <w:r w:rsidRPr="00262092">
        <w:rPr>
          <w:rFonts w:ascii="Baskerville" w:hAnsi="Baskerville"/>
        </w:rPr>
        <w:t>.</w:t>
      </w:r>
      <w:r w:rsidR="002E5E58">
        <w:rPr>
          <w:rFonts w:ascii="Baskerville" w:hAnsi="Baskerville"/>
        </w:rPr>
        <w:t xml:space="preserve">  Up-group, there is inherently more room for the law and courts to </w:t>
      </w:r>
      <w:r w:rsidR="00445102">
        <w:rPr>
          <w:rFonts w:ascii="Baskerville" w:hAnsi="Baskerville"/>
        </w:rPr>
        <w:t>take an active shaping role vis-à-vis the administration: the law can and should represent the matters on which there is a consensus in society.  Down-group, the law has a lesser role, confined to areas where the field of contestation can be addressed through argumentation (Fuller, 1978) or which are occupied by established ground-rules that govern the game of contestation and prevent discord spilling over into open conflict.</w:t>
      </w:r>
    </w:p>
    <w:p w14:paraId="0F929AB4" w14:textId="77777777" w:rsidR="00262092" w:rsidRPr="00262092" w:rsidRDefault="00262092" w:rsidP="00262092">
      <w:pPr>
        <w:spacing w:line="276" w:lineRule="auto"/>
        <w:rPr>
          <w:rFonts w:ascii="Baskerville" w:hAnsi="Baskerville"/>
        </w:rPr>
      </w:pPr>
    </w:p>
    <w:p w14:paraId="0645A683" w14:textId="74755D94" w:rsidR="00262092" w:rsidRPr="00262092" w:rsidRDefault="00262092" w:rsidP="001C29D6">
      <w:pPr>
        <w:pStyle w:val="Heading2"/>
      </w:pPr>
      <w:r w:rsidRPr="00262092">
        <w:t>The Character of Administrative Law</w:t>
      </w:r>
      <w:r w:rsidR="002F4564">
        <w:t>: defining the grid dimension</w:t>
      </w:r>
    </w:p>
    <w:p w14:paraId="297340C0" w14:textId="77777777" w:rsidR="001C29D6" w:rsidRDefault="001C29D6" w:rsidP="00262092">
      <w:pPr>
        <w:spacing w:line="276" w:lineRule="auto"/>
        <w:rPr>
          <w:rFonts w:ascii="Baskerville" w:hAnsi="Baskerville"/>
        </w:rPr>
      </w:pPr>
    </w:p>
    <w:p w14:paraId="3911AF21" w14:textId="2CDA6822" w:rsidR="00262092" w:rsidRPr="00262092" w:rsidRDefault="00262092" w:rsidP="00262092">
      <w:pPr>
        <w:spacing w:line="276" w:lineRule="auto"/>
        <w:rPr>
          <w:rFonts w:ascii="Baskerville" w:hAnsi="Baskerville"/>
        </w:rPr>
      </w:pPr>
      <w:r w:rsidRPr="00262092">
        <w:rPr>
          <w:rFonts w:ascii="Baskerville" w:hAnsi="Baskerville"/>
        </w:rPr>
        <w:t xml:space="preserve">In relation to understandings of the character of administrative law, we might similarly contrast two extreme positions: the first seeing administrative law as having only an instrumental remit, limited to examining matters of administrative process; the second seeing administrative law as having non-instrumental capacity, with the ability to intervene in the substance of </w:t>
      </w:r>
      <w:r w:rsidR="00D86199">
        <w:rPr>
          <w:rFonts w:ascii="Baskerville" w:hAnsi="Baskerville"/>
        </w:rPr>
        <w:t>administrative justice</w:t>
      </w:r>
      <w:r w:rsidRPr="00262092">
        <w:rPr>
          <w:rFonts w:ascii="Baskerville" w:hAnsi="Baskerville"/>
        </w:rPr>
        <w:t xml:space="preserve">. </w:t>
      </w:r>
    </w:p>
    <w:p w14:paraId="76786006" w14:textId="77777777" w:rsidR="00262092" w:rsidRPr="00262092" w:rsidRDefault="00262092" w:rsidP="00262092">
      <w:pPr>
        <w:spacing w:line="276" w:lineRule="auto"/>
        <w:rPr>
          <w:rFonts w:ascii="Baskerville" w:hAnsi="Baskerville"/>
        </w:rPr>
      </w:pPr>
    </w:p>
    <w:p w14:paraId="0308BA9F" w14:textId="0C876C0E" w:rsidR="00262092" w:rsidRPr="00262092" w:rsidRDefault="00262092" w:rsidP="00A85620">
      <w:pPr>
        <w:spacing w:line="276" w:lineRule="auto"/>
        <w:rPr>
          <w:rFonts w:ascii="Baskerville" w:hAnsi="Baskerville"/>
        </w:rPr>
      </w:pPr>
      <w:r w:rsidRPr="00262092">
        <w:rPr>
          <w:rFonts w:ascii="Baskerville" w:hAnsi="Baskerville"/>
        </w:rPr>
        <w:t xml:space="preserve">From the first extreme perspective, a stress is placed on the distinctiveness of legality when compared to politics and administration. </w:t>
      </w:r>
      <w:r w:rsidR="00A85620">
        <w:rPr>
          <w:rFonts w:ascii="Baskerville" w:hAnsi="Baskerville"/>
        </w:rPr>
        <w:t>As in Weber’s formal rationality, the emphasis is on the legal system’s systemic autonomy and immunity to external pressures (</w:t>
      </w:r>
      <w:proofErr w:type="spellStart"/>
      <w:r w:rsidR="00A85620">
        <w:rPr>
          <w:rFonts w:ascii="Baskerville" w:hAnsi="Baskerville"/>
        </w:rPr>
        <w:t>Trubek</w:t>
      </w:r>
      <w:proofErr w:type="spellEnd"/>
      <w:r w:rsidR="00A85620">
        <w:rPr>
          <w:rFonts w:ascii="Baskerville" w:hAnsi="Baskerville"/>
        </w:rPr>
        <w:t xml:space="preserve">, 1972:729).  </w:t>
      </w:r>
      <w:r w:rsidRPr="00262092">
        <w:rPr>
          <w:rFonts w:ascii="Baskerville" w:hAnsi="Baskerville"/>
        </w:rPr>
        <w:t xml:space="preserve">Judicial review has a particular job to do, one that marks itself out from the roles of the legislature and the executive. There is, in other words, a strict division of labour within the constitution. Each key constitutional actor enjoys separate powers and must clearly operate within them. The role of the court is to police those boundaries, including the task of self-limiting, avoiding judicial incursion into the executive sphere. So, whereas it is the task of government to implement policy from start to finish, the court must restrict itself to reviewing </w:t>
      </w:r>
      <w:r w:rsidR="00BB504E">
        <w:rPr>
          <w:rFonts w:ascii="Baskerville" w:hAnsi="Baskerville"/>
        </w:rPr>
        <w:t>the processes of</w:t>
      </w:r>
      <w:r w:rsidRPr="00262092">
        <w:rPr>
          <w:rFonts w:ascii="Baskerville" w:hAnsi="Baskerville"/>
        </w:rPr>
        <w:t xml:space="preserve"> implementation after the event. And in doing so, it must hold back from interfering in matters of substance. The key task of administrative law is to engage with </w:t>
      </w:r>
      <w:r w:rsidRPr="00262092">
        <w:rPr>
          <w:rFonts w:ascii="Baskerville" w:hAnsi="Baskerville"/>
          <w:i/>
          <w:iCs/>
        </w:rPr>
        <w:t>how</w:t>
      </w:r>
      <w:r w:rsidRPr="00262092">
        <w:rPr>
          <w:rFonts w:ascii="Baskerville" w:hAnsi="Baskerville"/>
        </w:rPr>
        <w:t xml:space="preserve"> institutional actors operate, rather than whether the outcomes of those operations are good or bad. </w:t>
      </w:r>
      <w:r w:rsidR="002845BC">
        <w:rPr>
          <w:rFonts w:ascii="Baskerville" w:hAnsi="Baskerville"/>
        </w:rPr>
        <w:t>The focus on formal considerations serves to exclude ‘irrelevant substantive noise’ (Shamir, 1993: 47)</w:t>
      </w:r>
      <w:r w:rsidR="002314BF">
        <w:rPr>
          <w:rFonts w:ascii="Baskerville" w:hAnsi="Baskerville"/>
        </w:rPr>
        <w:t xml:space="preserve"> by ‘screening off from a decisionmaker factors that a sensitive decisionmaker would otherwise take into account’ (Schauer: 1988, 510)</w:t>
      </w:r>
      <w:r w:rsidR="002845BC">
        <w:rPr>
          <w:rFonts w:ascii="Baskerville" w:hAnsi="Baskerville"/>
        </w:rPr>
        <w:t>.</w:t>
      </w:r>
    </w:p>
    <w:p w14:paraId="00EC23BB" w14:textId="77777777" w:rsidR="00262092" w:rsidRPr="00262092" w:rsidRDefault="00262092" w:rsidP="00262092">
      <w:pPr>
        <w:spacing w:line="276" w:lineRule="auto"/>
        <w:rPr>
          <w:rFonts w:ascii="Baskerville" w:hAnsi="Baskerville"/>
        </w:rPr>
      </w:pPr>
    </w:p>
    <w:p w14:paraId="33295BA8" w14:textId="046D60B8" w:rsidR="00262092" w:rsidRDefault="00262092" w:rsidP="00A21923">
      <w:pPr>
        <w:spacing w:line="276" w:lineRule="auto"/>
        <w:rPr>
          <w:rFonts w:ascii="Baskerville" w:hAnsi="Baskerville"/>
        </w:rPr>
      </w:pPr>
      <w:r w:rsidRPr="00262092">
        <w:rPr>
          <w:rFonts w:ascii="Baskerville" w:hAnsi="Baskerville"/>
        </w:rPr>
        <w:t xml:space="preserve">By way of contrast, from the contrasting extreme perspective, the conception of administrative law is more expansive and flexible. A loosening – or abandonment, even – of the separation of powers permits the courts greater freedom of movement to intervene substantively in matters of government. Law can be a direct instrument of governance, rather </w:t>
      </w:r>
      <w:r w:rsidRPr="00262092">
        <w:rPr>
          <w:rFonts w:ascii="Baskerville" w:hAnsi="Baskerville"/>
        </w:rPr>
        <w:lastRenderedPageBreak/>
        <w:t>than merely an external check.</w:t>
      </w:r>
      <w:r w:rsidR="00445102">
        <w:rPr>
          <w:rFonts w:ascii="Baskerville" w:hAnsi="Baskerville"/>
        </w:rPr>
        <w:t xml:space="preserve">  As a result, down-grid, there is greater room for the courts to deploy concepts and ideas that relate to substantive policies, positions, and goals.  Up-grid, in contrast, the courts are more focused on setting out principles governing the manner in which, and conditions subject to which, substantive policies, positions, and goals are selected, but not directly involving themselves in the actual process of defining or selecting them.  </w:t>
      </w:r>
      <w:r w:rsidR="00720A70">
        <w:rPr>
          <w:rFonts w:ascii="Baskerville" w:hAnsi="Baskerville"/>
        </w:rPr>
        <w:t>Following Weber, t</w:t>
      </w:r>
      <w:r w:rsidRPr="00262092">
        <w:rPr>
          <w:rFonts w:ascii="Baskerville" w:hAnsi="Baskerville"/>
        </w:rPr>
        <w:t>he contrast between these extreme perspectives might be framed</w:t>
      </w:r>
      <w:r w:rsidR="00252586">
        <w:rPr>
          <w:rFonts w:ascii="Baskerville" w:hAnsi="Baskerville"/>
        </w:rPr>
        <w:t xml:space="preserve"> </w:t>
      </w:r>
      <w:r w:rsidRPr="00262092">
        <w:rPr>
          <w:rFonts w:ascii="Baskerville" w:hAnsi="Baskerville"/>
        </w:rPr>
        <w:t>as the difference between ‘</w:t>
      </w:r>
      <w:r w:rsidR="00720A70">
        <w:rPr>
          <w:rFonts w:ascii="Baskerville" w:hAnsi="Baskerville"/>
        </w:rPr>
        <w:t>formal</w:t>
      </w:r>
      <w:r w:rsidR="00BB504E">
        <w:rPr>
          <w:rFonts w:ascii="Baskerville" w:hAnsi="Baskerville"/>
        </w:rPr>
        <w:t>’</w:t>
      </w:r>
      <w:r w:rsidRPr="00262092">
        <w:rPr>
          <w:rFonts w:ascii="Baskerville" w:hAnsi="Baskerville"/>
        </w:rPr>
        <w:t xml:space="preserve"> and ‘substantive’ legal</w:t>
      </w:r>
      <w:r w:rsidR="00252586">
        <w:rPr>
          <w:rFonts w:ascii="Baskerville" w:hAnsi="Baskerville"/>
        </w:rPr>
        <w:t>ity</w:t>
      </w:r>
      <w:r w:rsidRPr="00262092">
        <w:rPr>
          <w:rFonts w:ascii="Baskerville" w:hAnsi="Baskerville"/>
        </w:rPr>
        <w:t>.</w:t>
      </w:r>
    </w:p>
    <w:p w14:paraId="7324311B" w14:textId="77777777" w:rsidR="00A21923" w:rsidRPr="00262092" w:rsidRDefault="00A21923" w:rsidP="00A21923">
      <w:pPr>
        <w:spacing w:line="276" w:lineRule="auto"/>
        <w:rPr>
          <w:rFonts w:ascii="Baskerville" w:hAnsi="Baskerville"/>
        </w:rPr>
      </w:pPr>
    </w:p>
    <w:p w14:paraId="33F76FCA" w14:textId="77777777" w:rsidR="00262092" w:rsidRPr="00262092" w:rsidRDefault="00262092" w:rsidP="00262092">
      <w:pPr>
        <w:spacing w:line="276" w:lineRule="auto"/>
        <w:rPr>
          <w:rFonts w:ascii="Baskerville" w:hAnsi="Baskerville"/>
        </w:rPr>
      </w:pPr>
      <w:r w:rsidRPr="00262092">
        <w:rPr>
          <w:rFonts w:ascii="Baskerville" w:hAnsi="Baskerville"/>
        </w:rPr>
        <w:t>By combining the above two dimensions, we produce four ideal types as follows:</w:t>
      </w:r>
    </w:p>
    <w:p w14:paraId="36887346" w14:textId="77777777" w:rsidR="00262092" w:rsidRPr="00262092" w:rsidRDefault="00262092" w:rsidP="00262092">
      <w:pPr>
        <w:spacing w:line="276" w:lineRule="auto"/>
        <w:rPr>
          <w:rFonts w:ascii="Baskerville" w:hAnsi="Baskerville"/>
        </w:rPr>
      </w:pPr>
    </w:p>
    <w:p w14:paraId="2BBB0492" w14:textId="77777777" w:rsidR="00262092" w:rsidRPr="00262092" w:rsidRDefault="00262092" w:rsidP="00262092">
      <w:pPr>
        <w:spacing w:line="276" w:lineRule="auto"/>
        <w:rPr>
          <w:rFonts w:ascii="Baskerville" w:hAnsi="Baskerville"/>
        </w:rPr>
      </w:pPr>
      <w:r w:rsidRPr="00262092">
        <w:rPr>
          <w:rFonts w:ascii="Baskerville" w:hAnsi="Baskerville"/>
          <w:noProof/>
          <w:lang w:val="en-GB" w:eastAsia="en-GB"/>
        </w:rPr>
        <w:drawing>
          <wp:inline distT="0" distB="0" distL="0" distR="0" wp14:anchorId="21B54764" wp14:editId="13436137">
            <wp:extent cx="5270500" cy="289816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AB1B19" w14:textId="12D00C9B" w:rsidR="00262092" w:rsidRPr="005B495E" w:rsidRDefault="005B495E" w:rsidP="005B495E">
      <w:pPr>
        <w:spacing w:line="276" w:lineRule="auto"/>
        <w:jc w:val="center"/>
        <w:rPr>
          <w:rFonts w:ascii="Baskerville" w:hAnsi="Baskerville"/>
          <w:b/>
          <w:bCs/>
        </w:rPr>
      </w:pPr>
      <w:r w:rsidRPr="005B495E">
        <w:rPr>
          <w:rFonts w:ascii="Baskerville" w:hAnsi="Baskerville"/>
          <w:b/>
          <w:bCs/>
        </w:rPr>
        <w:t>Figure 1: Four ideal types of society</w:t>
      </w:r>
    </w:p>
    <w:p w14:paraId="19AC7B42" w14:textId="77777777" w:rsidR="005B495E" w:rsidRPr="00262092" w:rsidRDefault="005B495E" w:rsidP="00262092">
      <w:pPr>
        <w:spacing w:line="276" w:lineRule="auto"/>
        <w:rPr>
          <w:rFonts w:ascii="Baskerville" w:hAnsi="Baskerville"/>
        </w:rPr>
      </w:pPr>
    </w:p>
    <w:p w14:paraId="7F3B618C" w14:textId="7E127A4C" w:rsidR="00262092" w:rsidRPr="00262092" w:rsidRDefault="005335D2" w:rsidP="005335D2">
      <w:pPr>
        <w:spacing w:line="276" w:lineRule="auto"/>
        <w:rPr>
          <w:rFonts w:ascii="Baskerville" w:hAnsi="Baskerville"/>
        </w:rPr>
      </w:pPr>
      <w:r>
        <w:rPr>
          <w:rFonts w:ascii="Baskerville" w:hAnsi="Baskerville"/>
        </w:rPr>
        <w:t>In the next section, we consider how, f</w:t>
      </w:r>
      <w:r w:rsidR="006838D5">
        <w:rPr>
          <w:rFonts w:ascii="Baskerville" w:hAnsi="Baskerville"/>
        </w:rPr>
        <w:t>rom</w:t>
      </w:r>
      <w:r w:rsidR="00262092" w:rsidRPr="00262092">
        <w:rPr>
          <w:rFonts w:ascii="Baskerville" w:hAnsi="Baskerville"/>
        </w:rPr>
        <w:t xml:space="preserve"> these perspectives on law and society, </w:t>
      </w:r>
      <w:r>
        <w:rPr>
          <w:rFonts w:ascii="Baskerville" w:hAnsi="Baskerville"/>
        </w:rPr>
        <w:t>one</w:t>
      </w:r>
      <w:r w:rsidR="00262092" w:rsidRPr="00262092">
        <w:rPr>
          <w:rFonts w:ascii="Baskerville" w:hAnsi="Baskerville"/>
        </w:rPr>
        <w:t xml:space="preserve"> might envisage th</w:t>
      </w:r>
      <w:r w:rsidR="006838D5">
        <w:rPr>
          <w:rFonts w:ascii="Baskerville" w:hAnsi="Baskerville"/>
        </w:rPr>
        <w:t xml:space="preserve">e role that judicial review should </w:t>
      </w:r>
      <w:r w:rsidR="00262092" w:rsidRPr="00262092">
        <w:rPr>
          <w:rFonts w:ascii="Baskerville" w:hAnsi="Baskerville"/>
        </w:rPr>
        <w:t>play in relation to the justic</w:t>
      </w:r>
      <w:r>
        <w:rPr>
          <w:rFonts w:ascii="Baskerville" w:hAnsi="Baskerville"/>
        </w:rPr>
        <w:t>e of government administration.</w:t>
      </w:r>
    </w:p>
    <w:p w14:paraId="6B0CFB6C" w14:textId="264ABDAA" w:rsidR="00262092" w:rsidRPr="00262092" w:rsidRDefault="00262092" w:rsidP="002865D8">
      <w:pPr>
        <w:spacing w:line="276" w:lineRule="auto"/>
        <w:rPr>
          <w:rFonts w:ascii="Baskerville" w:hAnsi="Baskerville"/>
        </w:rPr>
      </w:pPr>
    </w:p>
    <w:p w14:paraId="6B649125" w14:textId="30F52660" w:rsidR="00E23A84" w:rsidRPr="001C29D6" w:rsidRDefault="001C29D6" w:rsidP="00B36509">
      <w:pPr>
        <w:pStyle w:val="Heading1"/>
      </w:pPr>
      <w:r w:rsidRPr="001C29D6">
        <w:t>III.</w:t>
      </w:r>
      <w:r w:rsidRPr="001C29D6">
        <w:tab/>
      </w:r>
      <w:r w:rsidR="00E23A84" w:rsidRPr="001C29D6">
        <w:t xml:space="preserve">ADMINISTRATIVE JUSTICE THROUGH THE COURTS: </w:t>
      </w:r>
      <w:r w:rsidR="00B36509" w:rsidRPr="00A42016">
        <w:t>CONNECTING IDEAL TYPES TO THE REAL WORLD</w:t>
      </w:r>
    </w:p>
    <w:p w14:paraId="0C212CE2" w14:textId="77777777" w:rsidR="00E23A84" w:rsidRDefault="00E23A84" w:rsidP="00E23A84">
      <w:pPr>
        <w:spacing w:line="276" w:lineRule="auto"/>
        <w:rPr>
          <w:rFonts w:ascii="Baskerville" w:hAnsi="Baskerville"/>
          <w:iCs/>
        </w:rPr>
      </w:pPr>
    </w:p>
    <w:p w14:paraId="316AED4F" w14:textId="3901EB4B" w:rsidR="00D7535D" w:rsidRDefault="005B495E" w:rsidP="005B495E">
      <w:pPr>
        <w:spacing w:line="276" w:lineRule="auto"/>
        <w:rPr>
          <w:rFonts w:ascii="Baskerville" w:hAnsi="Baskerville"/>
        </w:rPr>
      </w:pPr>
      <w:r>
        <w:rPr>
          <w:rFonts w:ascii="Baskerville" w:hAnsi="Baskerville"/>
          <w:iCs/>
        </w:rPr>
        <w:t>The four perspectives on law and the polity discussed in the previous section generate, in turn, four ideal typical understandings of the role</w:t>
      </w:r>
      <w:r w:rsidR="00E23A84">
        <w:rPr>
          <w:rFonts w:ascii="Baskerville" w:hAnsi="Baskerville"/>
          <w:iCs/>
        </w:rPr>
        <w:t xml:space="preserve"> of judicial review in rel</w:t>
      </w:r>
      <w:r>
        <w:rPr>
          <w:rFonts w:ascii="Baskerville" w:hAnsi="Baskerville"/>
          <w:iCs/>
        </w:rPr>
        <w:t>ation to administrative justice.  The</w:t>
      </w:r>
      <w:r w:rsidR="00E23A84">
        <w:rPr>
          <w:rFonts w:ascii="Baskerville" w:hAnsi="Baskerville"/>
          <w:iCs/>
        </w:rPr>
        <w:t xml:space="preserve"> first, </w:t>
      </w:r>
      <w:r>
        <w:rPr>
          <w:rFonts w:ascii="Baskerville" w:hAnsi="Baskerville"/>
          <w:iCs/>
        </w:rPr>
        <w:t xml:space="preserve">which we term the </w:t>
      </w:r>
      <w:r>
        <w:rPr>
          <w:rFonts w:ascii="Baskerville" w:hAnsi="Baskerville"/>
          <w:i/>
        </w:rPr>
        <w:t>advisory and hortatory function</w:t>
      </w:r>
      <w:r>
        <w:rPr>
          <w:rFonts w:ascii="Baskerville" w:hAnsi="Baskerville"/>
          <w:iCs/>
        </w:rPr>
        <w:t>, envisages judicial review offering</w:t>
      </w:r>
      <w:r w:rsidR="00E23A84">
        <w:rPr>
          <w:rFonts w:ascii="Baskerville" w:hAnsi="Baskerville"/>
          <w:iCs/>
        </w:rPr>
        <w:t xml:space="preserve"> guidance and advice to government about administrative process</w:t>
      </w:r>
      <w:r>
        <w:rPr>
          <w:rFonts w:ascii="Baskerville" w:hAnsi="Baskerville"/>
          <w:iCs/>
        </w:rPr>
        <w:t xml:space="preserve">.  The </w:t>
      </w:r>
      <w:r w:rsidR="00E23A84">
        <w:rPr>
          <w:rFonts w:ascii="Baskerville" w:hAnsi="Baskerville"/>
          <w:iCs/>
        </w:rPr>
        <w:t>second</w:t>
      </w:r>
      <w:r>
        <w:rPr>
          <w:rFonts w:ascii="Baskerville" w:hAnsi="Baskerville"/>
          <w:iCs/>
        </w:rPr>
        <w:t xml:space="preserve">, which we term the </w:t>
      </w:r>
      <w:r>
        <w:rPr>
          <w:rFonts w:ascii="Baskerville" w:hAnsi="Baskerville"/>
          <w:i/>
        </w:rPr>
        <w:t>protective and vindicatory function</w:t>
      </w:r>
      <w:r>
        <w:rPr>
          <w:rFonts w:ascii="Baskerville" w:hAnsi="Baskerville"/>
          <w:iCs/>
        </w:rPr>
        <w:t>,</w:t>
      </w:r>
      <w:r w:rsidR="00E23A84">
        <w:rPr>
          <w:rFonts w:ascii="Baskerville" w:hAnsi="Baskerville"/>
          <w:iCs/>
        </w:rPr>
        <w:t xml:space="preserve"> protects private persons from unwarranted governmental interference with liberty</w:t>
      </w:r>
      <w:r>
        <w:rPr>
          <w:rFonts w:ascii="Baskerville" w:hAnsi="Baskerville"/>
          <w:iCs/>
        </w:rPr>
        <w:t xml:space="preserve">.  The </w:t>
      </w:r>
      <w:r w:rsidR="00E23A84">
        <w:rPr>
          <w:rFonts w:ascii="Baskerville" w:hAnsi="Baskerville"/>
          <w:iCs/>
        </w:rPr>
        <w:t xml:space="preserve">third, </w:t>
      </w:r>
      <w:r>
        <w:rPr>
          <w:rFonts w:ascii="Baskerville" w:hAnsi="Baskerville"/>
          <w:iCs/>
        </w:rPr>
        <w:t xml:space="preserve">the </w:t>
      </w:r>
      <w:r>
        <w:rPr>
          <w:rFonts w:ascii="Baskerville" w:hAnsi="Baskerville"/>
          <w:i/>
        </w:rPr>
        <w:t>mediatory and supervisory function</w:t>
      </w:r>
      <w:r>
        <w:rPr>
          <w:rFonts w:ascii="Baskerville" w:hAnsi="Baskerville"/>
          <w:iCs/>
        </w:rPr>
        <w:t xml:space="preserve">, </w:t>
      </w:r>
      <w:r w:rsidR="00E23A84">
        <w:rPr>
          <w:rFonts w:ascii="Baskerville" w:hAnsi="Baskerville"/>
          <w:iCs/>
        </w:rPr>
        <w:t>co-ordinates more productive relations amongst key actors</w:t>
      </w:r>
      <w:r w:rsidRPr="005B495E">
        <w:rPr>
          <w:rFonts w:ascii="Baskerville" w:hAnsi="Baskerville"/>
          <w:iCs/>
        </w:rPr>
        <w:t xml:space="preserve"> </w:t>
      </w:r>
      <w:r>
        <w:rPr>
          <w:rFonts w:ascii="Baskerville" w:hAnsi="Baskerville"/>
          <w:iCs/>
        </w:rPr>
        <w:t xml:space="preserve">who may have competing interests and perspectives.  The </w:t>
      </w:r>
      <w:r w:rsidR="00E23A84">
        <w:rPr>
          <w:rFonts w:ascii="Baskerville" w:hAnsi="Baskerville"/>
          <w:iCs/>
        </w:rPr>
        <w:t xml:space="preserve">fourth, </w:t>
      </w:r>
      <w:r>
        <w:rPr>
          <w:rFonts w:ascii="Baskerville" w:hAnsi="Baskerville"/>
          <w:iCs/>
        </w:rPr>
        <w:t xml:space="preserve">the </w:t>
      </w:r>
      <w:r>
        <w:rPr>
          <w:rFonts w:ascii="Baskerville" w:hAnsi="Baskerville"/>
          <w:i/>
        </w:rPr>
        <w:t>enforcing and policing function</w:t>
      </w:r>
      <w:r>
        <w:rPr>
          <w:rFonts w:ascii="Baskerville" w:hAnsi="Baskerville"/>
          <w:iCs/>
        </w:rPr>
        <w:t xml:space="preserve">, </w:t>
      </w:r>
      <w:r w:rsidR="00E23A84">
        <w:rPr>
          <w:rFonts w:ascii="Baskerville" w:hAnsi="Baskerville"/>
          <w:iCs/>
        </w:rPr>
        <w:t xml:space="preserve">polices and enforces the will of Parliament. </w:t>
      </w:r>
      <w:r>
        <w:rPr>
          <w:rFonts w:ascii="Baskerville" w:hAnsi="Baskerville"/>
          <w:iCs/>
        </w:rPr>
        <w:t xml:space="preserve"> Figure 2 indicates how these relate to the four </w:t>
      </w:r>
      <w:r w:rsidR="00262092" w:rsidRPr="00262092">
        <w:rPr>
          <w:rFonts w:ascii="Baskerville" w:hAnsi="Baskerville"/>
        </w:rPr>
        <w:t>quadrants</w:t>
      </w:r>
      <w:r>
        <w:rPr>
          <w:rFonts w:ascii="Baskerville" w:hAnsi="Baskerville"/>
        </w:rPr>
        <w:t xml:space="preserve"> discussed in the previous section</w:t>
      </w:r>
      <w:r w:rsidR="00262092" w:rsidRPr="00262092">
        <w:rPr>
          <w:rFonts w:ascii="Baskerville" w:hAnsi="Baskerville"/>
        </w:rPr>
        <w:t>:</w:t>
      </w:r>
    </w:p>
    <w:p w14:paraId="6E1EB5C1" w14:textId="77777777" w:rsidR="00D7535D" w:rsidRPr="00262092" w:rsidRDefault="00D7535D" w:rsidP="00262092">
      <w:pPr>
        <w:spacing w:line="276" w:lineRule="auto"/>
        <w:rPr>
          <w:rFonts w:ascii="Baskerville" w:hAnsi="Baskerville"/>
        </w:rPr>
      </w:pPr>
    </w:p>
    <w:p w14:paraId="6DB1820D" w14:textId="1E468FAE" w:rsidR="00262092" w:rsidRDefault="00D7535D" w:rsidP="00262092">
      <w:pPr>
        <w:spacing w:line="276" w:lineRule="auto"/>
        <w:rPr>
          <w:rFonts w:ascii="Baskerville" w:hAnsi="Baskerville"/>
          <w:iCs/>
        </w:rPr>
      </w:pPr>
      <w:r w:rsidRPr="00262092">
        <w:rPr>
          <w:rFonts w:ascii="Baskerville" w:hAnsi="Baskerville"/>
          <w:noProof/>
          <w:lang w:val="en-GB" w:eastAsia="en-GB"/>
        </w:rPr>
        <w:drawing>
          <wp:inline distT="0" distB="0" distL="0" distR="0" wp14:anchorId="1402C2AE" wp14:editId="78E98D27">
            <wp:extent cx="5270500" cy="289816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89284A" w14:textId="254177EB" w:rsidR="00D7535D" w:rsidRPr="005B495E" w:rsidRDefault="005B495E" w:rsidP="005B495E">
      <w:pPr>
        <w:spacing w:line="276" w:lineRule="auto"/>
        <w:jc w:val="center"/>
        <w:rPr>
          <w:rFonts w:ascii="Baskerville" w:hAnsi="Baskerville"/>
          <w:b/>
          <w:bCs/>
          <w:iCs/>
        </w:rPr>
      </w:pPr>
      <w:r w:rsidRPr="005B495E">
        <w:rPr>
          <w:rFonts w:ascii="Baskerville" w:hAnsi="Baskerville"/>
          <w:b/>
          <w:bCs/>
          <w:iCs/>
        </w:rPr>
        <w:t>Figure 2: Four understandings of the role of judicial review</w:t>
      </w:r>
    </w:p>
    <w:p w14:paraId="79C042E7" w14:textId="77777777" w:rsidR="005B495E" w:rsidRDefault="005B495E" w:rsidP="005B495E">
      <w:pPr>
        <w:spacing w:line="276" w:lineRule="auto"/>
        <w:rPr>
          <w:rFonts w:ascii="Baskerville" w:hAnsi="Baskerville"/>
          <w:iCs/>
        </w:rPr>
      </w:pPr>
    </w:p>
    <w:p w14:paraId="1EF577C4" w14:textId="31B19295" w:rsidR="00A42016" w:rsidRDefault="005B495E" w:rsidP="001C29D6">
      <w:pPr>
        <w:spacing w:line="276" w:lineRule="auto"/>
        <w:rPr>
          <w:rFonts w:ascii="Baskerville" w:hAnsi="Baskerville"/>
          <w:iCs/>
        </w:rPr>
      </w:pPr>
      <w:r>
        <w:rPr>
          <w:rFonts w:ascii="Baskerville" w:hAnsi="Baskerville"/>
          <w:iCs/>
        </w:rPr>
        <w:t>In what follows, we discuss each of these in turn, drawing out their implications for real-world aspects of judicial review doctrine, practice and scholarship.</w:t>
      </w:r>
    </w:p>
    <w:p w14:paraId="56CE40BE" w14:textId="77777777" w:rsidR="00167659" w:rsidRDefault="00167659" w:rsidP="00262092">
      <w:pPr>
        <w:spacing w:line="276" w:lineRule="auto"/>
        <w:rPr>
          <w:rFonts w:ascii="Baskerville" w:hAnsi="Baskerville"/>
          <w:iCs/>
        </w:rPr>
      </w:pPr>
    </w:p>
    <w:p w14:paraId="3ABE621D" w14:textId="7C52EDF0" w:rsidR="00B97FA1" w:rsidRPr="00B97FA1" w:rsidRDefault="00B97FA1" w:rsidP="001C29D6">
      <w:pPr>
        <w:pStyle w:val="Heading2"/>
      </w:pPr>
      <w:r>
        <w:t xml:space="preserve">The </w:t>
      </w:r>
      <w:r w:rsidR="00A21923">
        <w:t xml:space="preserve">Upper Right Quadrant: An </w:t>
      </w:r>
      <w:r>
        <w:t>Advisory and Hortatory Function</w:t>
      </w:r>
    </w:p>
    <w:p w14:paraId="444E1905" w14:textId="77777777" w:rsidR="00A21923" w:rsidRDefault="00A21923" w:rsidP="007F736D">
      <w:pPr>
        <w:spacing w:line="276" w:lineRule="auto"/>
        <w:rPr>
          <w:rFonts w:ascii="Baskerville" w:hAnsi="Baskerville"/>
        </w:rPr>
      </w:pPr>
    </w:p>
    <w:p w14:paraId="53052B3B" w14:textId="5FA698C2" w:rsidR="00A21923" w:rsidRDefault="008102CE" w:rsidP="008102CE">
      <w:pPr>
        <w:spacing w:line="276" w:lineRule="auto"/>
        <w:rPr>
          <w:rFonts w:ascii="Baskerville" w:hAnsi="Baskerville"/>
        </w:rPr>
      </w:pPr>
      <w:r>
        <w:rPr>
          <w:rFonts w:ascii="Baskerville" w:hAnsi="Baskerville"/>
        </w:rPr>
        <w:t>T</w:t>
      </w:r>
      <w:r w:rsidR="00A21923" w:rsidRPr="00262092">
        <w:rPr>
          <w:rFonts w:ascii="Baskerville" w:hAnsi="Baskerville"/>
        </w:rPr>
        <w:t>he upper right-hand quadrant</w:t>
      </w:r>
      <w:r>
        <w:rPr>
          <w:rFonts w:ascii="Baskerville" w:hAnsi="Baskerville"/>
        </w:rPr>
        <w:t xml:space="preserve"> combines</w:t>
      </w:r>
      <w:r w:rsidR="00A21923" w:rsidRPr="00262092">
        <w:rPr>
          <w:rFonts w:ascii="Baskerville" w:hAnsi="Baskerville"/>
        </w:rPr>
        <w:t xml:space="preserve"> </w:t>
      </w:r>
      <w:r>
        <w:rPr>
          <w:rFonts w:ascii="Baskerville" w:hAnsi="Baskerville"/>
        </w:rPr>
        <w:t xml:space="preserve">a formal conception of law with a shared </w:t>
      </w:r>
      <w:r w:rsidR="00A21923" w:rsidRPr="00262092">
        <w:rPr>
          <w:rFonts w:ascii="Baskerville" w:hAnsi="Baskerville"/>
        </w:rPr>
        <w:t>vision of the common good</w:t>
      </w:r>
      <w:r>
        <w:rPr>
          <w:rFonts w:ascii="Baskerville" w:hAnsi="Baskerville"/>
        </w:rPr>
        <w:t xml:space="preserve">.  The </w:t>
      </w:r>
      <w:r w:rsidR="00E27A27">
        <w:rPr>
          <w:rFonts w:ascii="Baskerville" w:hAnsi="Baskerville"/>
        </w:rPr>
        <w:t>formal</w:t>
      </w:r>
      <w:r w:rsidR="00A21923" w:rsidRPr="00262092">
        <w:rPr>
          <w:rFonts w:ascii="Baskerville" w:hAnsi="Baskerville"/>
        </w:rPr>
        <w:t xml:space="preserve"> conception of </w:t>
      </w:r>
      <w:r w:rsidR="00E27A27">
        <w:rPr>
          <w:rFonts w:ascii="Baskerville" w:hAnsi="Baskerville"/>
        </w:rPr>
        <w:t>law</w:t>
      </w:r>
      <w:r w:rsidR="0044092A">
        <w:rPr>
          <w:rFonts w:ascii="Baskerville" w:hAnsi="Baskerville"/>
        </w:rPr>
        <w:t xml:space="preserve"> constrains j</w:t>
      </w:r>
      <w:r w:rsidR="00A21923" w:rsidRPr="00262092">
        <w:rPr>
          <w:rFonts w:ascii="Baskerville" w:hAnsi="Baskerville"/>
        </w:rPr>
        <w:t xml:space="preserve">udicial review </w:t>
      </w:r>
      <w:r w:rsidR="00E27A27">
        <w:rPr>
          <w:rFonts w:ascii="Baskerville" w:hAnsi="Baskerville"/>
        </w:rPr>
        <w:t xml:space="preserve">from engaging directly with </w:t>
      </w:r>
      <w:r w:rsidR="00A21923" w:rsidRPr="00262092">
        <w:rPr>
          <w:rFonts w:ascii="Baskerville" w:hAnsi="Baskerville"/>
        </w:rPr>
        <w:t>the common good</w:t>
      </w:r>
      <w:r w:rsidR="00E27A27">
        <w:rPr>
          <w:rFonts w:ascii="Baskerville" w:hAnsi="Baskerville"/>
        </w:rPr>
        <w:t xml:space="preserve">, but </w:t>
      </w:r>
      <w:r w:rsidR="00A21923" w:rsidRPr="00262092">
        <w:rPr>
          <w:rFonts w:ascii="Baskerville" w:hAnsi="Baskerville"/>
        </w:rPr>
        <w:t xml:space="preserve">the </w:t>
      </w:r>
      <w:r>
        <w:rPr>
          <w:rFonts w:ascii="Baskerville" w:hAnsi="Baskerville"/>
        </w:rPr>
        <w:t xml:space="preserve">existence of that shared vision means that </w:t>
      </w:r>
      <w:r w:rsidR="00A21923" w:rsidRPr="00262092">
        <w:rPr>
          <w:rFonts w:ascii="Baskerville" w:hAnsi="Baskerville"/>
        </w:rPr>
        <w:t xml:space="preserve">courts can and should offer leadership in administrative justice through the development of </w:t>
      </w:r>
      <w:r w:rsidR="00E27A27">
        <w:rPr>
          <w:rFonts w:ascii="Baskerville" w:hAnsi="Baskerville"/>
        </w:rPr>
        <w:t xml:space="preserve">formal </w:t>
      </w:r>
      <w:r w:rsidR="00A21923" w:rsidRPr="00262092">
        <w:rPr>
          <w:rFonts w:ascii="Baskerville" w:hAnsi="Baskerville"/>
        </w:rPr>
        <w:t xml:space="preserve">ideas that </w:t>
      </w:r>
      <w:r w:rsidR="0044092A">
        <w:rPr>
          <w:rFonts w:ascii="Baskerville" w:hAnsi="Baskerville"/>
        </w:rPr>
        <w:t>enhance the administration’s propensity</w:t>
      </w:r>
      <w:r w:rsidR="00A21923" w:rsidRPr="00262092">
        <w:rPr>
          <w:rFonts w:ascii="Baskerville" w:hAnsi="Baskerville"/>
        </w:rPr>
        <w:t xml:space="preserve"> to </w:t>
      </w:r>
      <w:r w:rsidR="0044092A">
        <w:rPr>
          <w:rFonts w:ascii="Baskerville" w:hAnsi="Baskerville"/>
        </w:rPr>
        <w:t xml:space="preserve">contribute to </w:t>
      </w:r>
      <w:r w:rsidR="00A21923" w:rsidRPr="00262092">
        <w:rPr>
          <w:rFonts w:ascii="Baskerville" w:hAnsi="Baskerville"/>
        </w:rPr>
        <w:t xml:space="preserve">the common good. The paramount contribution of judicial review to the justice of public administration is thus </w:t>
      </w:r>
      <w:r w:rsidR="00A21923" w:rsidRPr="000B58E6">
        <w:rPr>
          <w:rFonts w:ascii="Baskerville" w:hAnsi="Baskerville"/>
          <w:i/>
        </w:rPr>
        <w:t>advisory</w:t>
      </w:r>
      <w:r w:rsidR="00A21923" w:rsidRPr="00262092">
        <w:rPr>
          <w:rFonts w:ascii="Baskerville" w:hAnsi="Baskerville"/>
          <w:i/>
        </w:rPr>
        <w:t xml:space="preserve"> </w:t>
      </w:r>
      <w:r w:rsidR="00A21923">
        <w:rPr>
          <w:rFonts w:ascii="Baskerville" w:hAnsi="Baskerville"/>
        </w:rPr>
        <w:t>and</w:t>
      </w:r>
      <w:r w:rsidR="00A21923" w:rsidRPr="00262092">
        <w:rPr>
          <w:rFonts w:ascii="Baskerville" w:hAnsi="Baskerville"/>
          <w:i/>
        </w:rPr>
        <w:t xml:space="preserve"> hortatory</w:t>
      </w:r>
      <w:r w:rsidR="00A21923" w:rsidRPr="00262092">
        <w:rPr>
          <w:rFonts w:ascii="Baskerville" w:hAnsi="Baskerville"/>
        </w:rPr>
        <w:t xml:space="preserve">. The court </w:t>
      </w:r>
      <w:r w:rsidR="00A21923" w:rsidRPr="00262092">
        <w:rPr>
          <w:rFonts w:ascii="Baskerville" w:hAnsi="Baskerville"/>
          <w:i/>
        </w:rPr>
        <w:t>exhorts</w:t>
      </w:r>
      <w:r w:rsidR="00A21923" w:rsidRPr="00262092">
        <w:rPr>
          <w:rFonts w:ascii="Baskerville" w:hAnsi="Baskerville"/>
        </w:rPr>
        <w:t xml:space="preserve"> key actors to conduct themselves in ways that</w:t>
      </w:r>
      <w:r w:rsidR="00A21923">
        <w:rPr>
          <w:rFonts w:ascii="Baskerville" w:hAnsi="Baskerville"/>
        </w:rPr>
        <w:t xml:space="preserve"> will promote the common good, b</w:t>
      </w:r>
      <w:r w:rsidR="00A21923" w:rsidRPr="00262092">
        <w:rPr>
          <w:rFonts w:ascii="Baskerville" w:hAnsi="Baskerville"/>
        </w:rPr>
        <w:t xml:space="preserve">ut it </w:t>
      </w:r>
      <w:r w:rsidR="00A21923">
        <w:rPr>
          <w:rFonts w:ascii="Baskerville" w:hAnsi="Baskerville"/>
        </w:rPr>
        <w:t>does not regard itself as part of the system that generates those ideas of the common good.  The advice it offers deals, accordingly, with how policies, purposes, and goals should be generated, what factors should be weighed in the balance, and so on; but not with what the policies, purposes, and goals should actually be</w:t>
      </w:r>
      <w:r w:rsidR="00A21923" w:rsidRPr="00262092">
        <w:rPr>
          <w:rFonts w:ascii="Baskerville" w:hAnsi="Baskerville"/>
        </w:rPr>
        <w:t xml:space="preserve">. </w:t>
      </w:r>
      <w:r w:rsidR="00A21923">
        <w:rPr>
          <w:rFonts w:ascii="Baskerville" w:hAnsi="Baskerville"/>
        </w:rPr>
        <w:t>The court’s</w:t>
      </w:r>
      <w:r w:rsidR="00A21923" w:rsidRPr="00262092">
        <w:rPr>
          <w:rFonts w:ascii="Baskerville" w:hAnsi="Baskerville"/>
        </w:rPr>
        <w:t xml:space="preserve"> primary mode of engagement with other actors </w:t>
      </w:r>
      <w:r w:rsidR="00A21923">
        <w:rPr>
          <w:rFonts w:ascii="Baskerville" w:hAnsi="Baskerville"/>
        </w:rPr>
        <w:t xml:space="preserve">in the administrative justice domain </w:t>
      </w:r>
      <w:r w:rsidR="00A21923" w:rsidRPr="00262092">
        <w:rPr>
          <w:rFonts w:ascii="Baskerville" w:hAnsi="Baskerville"/>
        </w:rPr>
        <w:t xml:space="preserve">is simply to offer </w:t>
      </w:r>
      <w:r w:rsidR="00A21923">
        <w:rPr>
          <w:rFonts w:ascii="Baskerville" w:hAnsi="Baskerville"/>
        </w:rPr>
        <w:t>advice, counsel</w:t>
      </w:r>
      <w:r w:rsidR="00A21923" w:rsidRPr="00262092">
        <w:rPr>
          <w:rFonts w:ascii="Baskerville" w:hAnsi="Baskerville"/>
        </w:rPr>
        <w:t xml:space="preserve"> and encouragement, something akin to King’s notion of the courts “prodding [them] into action” (King, 201</w:t>
      </w:r>
      <w:r w:rsidR="00A21923">
        <w:rPr>
          <w:rFonts w:ascii="Baskerville" w:hAnsi="Baskerville"/>
        </w:rPr>
        <w:t>8</w:t>
      </w:r>
      <w:r w:rsidR="00A21923" w:rsidRPr="00262092">
        <w:rPr>
          <w:rFonts w:ascii="Baskerville" w:hAnsi="Baskerville"/>
        </w:rPr>
        <w:t>)</w:t>
      </w:r>
      <w:r w:rsidR="0044092A">
        <w:rPr>
          <w:rFonts w:ascii="Baskerville" w:hAnsi="Baskerville"/>
        </w:rPr>
        <w:t xml:space="preserve">, and using </w:t>
      </w:r>
      <w:r w:rsidR="0044092A" w:rsidRPr="00262092">
        <w:rPr>
          <w:rFonts w:ascii="Baskerville" w:hAnsi="Baskerville"/>
        </w:rPr>
        <w:t>the backward-facing task of dispute resolution</w:t>
      </w:r>
      <w:r w:rsidR="0044092A">
        <w:rPr>
          <w:rFonts w:ascii="Baskerville" w:hAnsi="Baskerville"/>
        </w:rPr>
        <w:t xml:space="preserve"> to contribute to a forward-facing agenda.</w:t>
      </w:r>
    </w:p>
    <w:p w14:paraId="21E795B7" w14:textId="77777777" w:rsidR="00D32EAF" w:rsidRDefault="00D32EAF" w:rsidP="008102CE">
      <w:pPr>
        <w:spacing w:line="276" w:lineRule="auto"/>
        <w:rPr>
          <w:rFonts w:ascii="Baskerville" w:hAnsi="Baskerville"/>
        </w:rPr>
      </w:pPr>
    </w:p>
    <w:p w14:paraId="20D677CE" w14:textId="7F6D81DA" w:rsidR="001B54D4" w:rsidRDefault="00D32EAF" w:rsidP="00A56BFA">
      <w:pPr>
        <w:spacing w:line="276" w:lineRule="auto"/>
        <w:rPr>
          <w:rFonts w:ascii="Baskerville" w:hAnsi="Baskerville"/>
        </w:rPr>
      </w:pPr>
      <w:r>
        <w:t xml:space="preserve">A concrete example of how </w:t>
      </w:r>
      <w:r w:rsidRPr="00D32EAF">
        <w:t>formal</w:t>
      </w:r>
      <w:r>
        <w:t xml:space="preserve"> constraints can promote the common good without aiming directly at it is offered by Bentham (</w:t>
      </w:r>
      <w:r w:rsidR="00A56BFA">
        <w:t>1990</w:t>
      </w:r>
      <w:r>
        <w:t xml:space="preserve">: </w:t>
      </w:r>
      <w:r w:rsidR="00A56BFA">
        <w:t>88-102</w:t>
      </w:r>
      <w:r>
        <w:t>)</w:t>
      </w:r>
      <w:r>
        <w:rPr>
          <w:i/>
          <w:iCs/>
        </w:rPr>
        <w:t xml:space="preserve">. </w:t>
      </w:r>
      <w:r>
        <w:t xml:space="preserve">Bentham argues that in order to protect members of the public against misuse of the power of arrest, rather than provide a right against wrongful arrest, it would be better to establish formal criteria regarding, for example, the </w:t>
      </w:r>
      <w:r w:rsidR="00A56BFA">
        <w:t xml:space="preserve">circumstances </w:t>
      </w:r>
      <w:r>
        <w:t xml:space="preserve">to which the power of arrest would attach, </w:t>
      </w:r>
      <w:r w:rsidR="00A56BFA">
        <w:t xml:space="preserve">forms and registers in which </w:t>
      </w:r>
      <w:r w:rsidR="00A56BFA">
        <w:lastRenderedPageBreak/>
        <w:t xml:space="preserve">particulars should be entered, </w:t>
      </w:r>
      <w:r>
        <w:t xml:space="preserve">and so on.  </w:t>
      </w:r>
      <w:r w:rsidR="001B54D4">
        <w:rPr>
          <w:rFonts w:ascii="Baskerville" w:hAnsi="Baskerville"/>
        </w:rPr>
        <w:t>The notion of judicial review having an advisory and hortatory function in relation to administrative justice seems to be latent within</w:t>
      </w:r>
      <w:r w:rsidR="001B54D4" w:rsidRPr="00FC5C2D">
        <w:rPr>
          <w:rFonts w:ascii="Baskerville" w:hAnsi="Baskerville"/>
        </w:rPr>
        <w:t xml:space="preserve"> </w:t>
      </w:r>
      <w:r w:rsidR="001B54D4">
        <w:rPr>
          <w:rFonts w:ascii="Baskerville" w:hAnsi="Baskerville"/>
        </w:rPr>
        <w:t>much</w:t>
      </w:r>
      <w:r w:rsidR="001B54D4" w:rsidRPr="00FC5C2D">
        <w:rPr>
          <w:rFonts w:ascii="Baskerville" w:hAnsi="Baskerville"/>
        </w:rPr>
        <w:t xml:space="preserve"> empirical research on the impact of judicial review on government administration. Studies that explore</w:t>
      </w:r>
      <w:r w:rsidR="001B54D4">
        <w:rPr>
          <w:rFonts w:ascii="Baskerville" w:hAnsi="Baskerville"/>
        </w:rPr>
        <w:t xml:space="preserve"> “administrative law’s hortatory effect” (Loveland, 1996: 280),</w:t>
      </w:r>
      <w:r w:rsidR="001B54D4" w:rsidRPr="00FC5C2D">
        <w:rPr>
          <w:rFonts w:ascii="Baskerville" w:hAnsi="Baskerville"/>
        </w:rPr>
        <w:t xml:space="preserve"> “judicial review’s capacity as a regulator of administrative behaviour” (Halliday, 2004: 4), or judicial review’s ability “to influence the future behaviour of respondent authorities” (Richardson and Machin, 2000: 494), proceed from a starting point that presumes the value to society of a public sector that respects and adheres to legal principles of good administration</w:t>
      </w:r>
      <w:r w:rsidR="001B54D4">
        <w:rPr>
          <w:rFonts w:ascii="Baskerville" w:hAnsi="Baskerville"/>
        </w:rPr>
        <w:t xml:space="preserve"> (see Cane, 2004)</w:t>
      </w:r>
      <w:r w:rsidR="001B54D4" w:rsidRPr="00FC5C2D">
        <w:rPr>
          <w:rFonts w:ascii="Baskerville" w:hAnsi="Baskerville"/>
        </w:rPr>
        <w:t xml:space="preserve">. </w:t>
      </w:r>
    </w:p>
    <w:p w14:paraId="4308D131" w14:textId="77777777" w:rsidR="00A21923" w:rsidRDefault="00A21923" w:rsidP="007F736D">
      <w:pPr>
        <w:spacing w:line="276" w:lineRule="auto"/>
        <w:rPr>
          <w:rFonts w:ascii="Baskerville" w:hAnsi="Baskerville"/>
        </w:rPr>
      </w:pPr>
    </w:p>
    <w:p w14:paraId="3124E9F6" w14:textId="0EE25B25" w:rsidR="003110D7" w:rsidRDefault="00B97FA1" w:rsidP="001B54D4">
      <w:pPr>
        <w:spacing w:line="276" w:lineRule="auto"/>
        <w:rPr>
          <w:rFonts w:ascii="Baskerville" w:hAnsi="Baskerville"/>
        </w:rPr>
      </w:pPr>
      <w:r w:rsidRPr="00FC5C2D">
        <w:rPr>
          <w:rFonts w:ascii="Baskerville" w:hAnsi="Baskerville"/>
        </w:rPr>
        <w:t xml:space="preserve">The development of ideas of procedural fairness – the projection </w:t>
      </w:r>
      <w:r w:rsidR="00B32A57">
        <w:rPr>
          <w:rFonts w:ascii="Baskerville" w:hAnsi="Baskerville"/>
        </w:rPr>
        <w:t xml:space="preserve">and development </w:t>
      </w:r>
      <w:r w:rsidRPr="00FC5C2D">
        <w:rPr>
          <w:rFonts w:ascii="Baskerville" w:hAnsi="Baskerville"/>
        </w:rPr>
        <w:t>of judicial standards of process onto the administrative world – may</w:t>
      </w:r>
      <w:r>
        <w:rPr>
          <w:rFonts w:ascii="Baskerville" w:hAnsi="Baskerville"/>
        </w:rPr>
        <w:t xml:space="preserve"> </w:t>
      </w:r>
      <w:r w:rsidRPr="00FC5C2D">
        <w:rPr>
          <w:rFonts w:ascii="Baskerville" w:hAnsi="Baskerville"/>
        </w:rPr>
        <w:t xml:space="preserve">be </w:t>
      </w:r>
      <w:r>
        <w:rPr>
          <w:rFonts w:ascii="Baskerville" w:hAnsi="Baskerville"/>
        </w:rPr>
        <w:t xml:space="preserve">considered </w:t>
      </w:r>
      <w:r w:rsidR="002A4346">
        <w:rPr>
          <w:rFonts w:ascii="Baskerville" w:hAnsi="Baskerville"/>
        </w:rPr>
        <w:t>the central</w:t>
      </w:r>
      <w:r>
        <w:rPr>
          <w:rFonts w:ascii="Baskerville" w:hAnsi="Baskerville"/>
        </w:rPr>
        <w:t xml:space="preserve"> example of </w:t>
      </w:r>
      <w:r w:rsidR="001B54D4">
        <w:rPr>
          <w:rFonts w:ascii="Baskerville" w:hAnsi="Baskerville"/>
        </w:rPr>
        <w:t>this function</w:t>
      </w:r>
      <w:r w:rsidRPr="00FC5C2D">
        <w:rPr>
          <w:rFonts w:ascii="Baskerville" w:hAnsi="Baskerville"/>
        </w:rPr>
        <w:t>. Given the association between procedural fairness and the dignity of the subjects of public administration</w:t>
      </w:r>
      <w:r w:rsidR="00D57DD6">
        <w:rPr>
          <w:rFonts w:ascii="Baskerville" w:hAnsi="Baskerville"/>
        </w:rPr>
        <w:t xml:space="preserve"> (</w:t>
      </w:r>
      <w:proofErr w:type="spellStart"/>
      <w:r w:rsidR="00D57DD6">
        <w:rPr>
          <w:rFonts w:ascii="Baskerville" w:hAnsi="Baskerville"/>
        </w:rPr>
        <w:t>Mashaw</w:t>
      </w:r>
      <w:proofErr w:type="spellEnd"/>
      <w:r w:rsidR="00D57DD6">
        <w:rPr>
          <w:rFonts w:ascii="Baskerville" w:hAnsi="Baskerville"/>
        </w:rPr>
        <w:t>, 1981)</w:t>
      </w:r>
      <w:r w:rsidRPr="00FC5C2D">
        <w:rPr>
          <w:rFonts w:ascii="Baskerville" w:hAnsi="Baskerville"/>
        </w:rPr>
        <w:t>, the judicial development of these principles may be regarded as a valuable and particular contribution to society’s common good by a range of perspectives on what the wider common good entails.</w:t>
      </w:r>
      <w:r>
        <w:rPr>
          <w:rFonts w:ascii="Baskerville" w:hAnsi="Baskerville"/>
        </w:rPr>
        <w:t xml:space="preserve"> </w:t>
      </w:r>
      <w:r w:rsidR="00B32A57">
        <w:rPr>
          <w:rFonts w:ascii="Baskerville" w:hAnsi="Baskerville"/>
        </w:rPr>
        <w:t xml:space="preserve">Within this function, the conception of administrative justice </w:t>
      </w:r>
      <w:r w:rsidR="00F0336D">
        <w:rPr>
          <w:rFonts w:ascii="Baskerville" w:hAnsi="Baskerville"/>
        </w:rPr>
        <w:t xml:space="preserve">thus </w:t>
      </w:r>
      <w:r w:rsidR="007F736D">
        <w:rPr>
          <w:rFonts w:ascii="Baskerville" w:hAnsi="Baskerville"/>
        </w:rPr>
        <w:t xml:space="preserve">encompasses the familiar </w:t>
      </w:r>
      <w:r w:rsidR="00B32A57">
        <w:rPr>
          <w:rFonts w:ascii="Baskerville" w:hAnsi="Baskerville"/>
        </w:rPr>
        <w:t>one of procedural fairness</w:t>
      </w:r>
      <w:r w:rsidR="007F736D">
        <w:rPr>
          <w:rFonts w:ascii="Baskerville" w:hAnsi="Baskerville"/>
        </w:rPr>
        <w:t>, but it also extends to broader ideas of policy-making fairness</w:t>
      </w:r>
      <w:r w:rsidR="006D5DA1">
        <w:rPr>
          <w:rFonts w:ascii="Baskerville" w:hAnsi="Baskerville"/>
        </w:rPr>
        <w:t>.</w:t>
      </w:r>
    </w:p>
    <w:p w14:paraId="0BF678CE" w14:textId="77777777" w:rsidR="005F2ACF" w:rsidRDefault="005F2ACF" w:rsidP="00B97FA1">
      <w:pPr>
        <w:spacing w:line="276" w:lineRule="auto"/>
        <w:rPr>
          <w:rFonts w:ascii="Baskerville" w:hAnsi="Baskerville"/>
        </w:rPr>
      </w:pPr>
    </w:p>
    <w:p w14:paraId="72005D7A" w14:textId="0119F2B5" w:rsidR="005F2ACF" w:rsidRDefault="00F33242" w:rsidP="00F33242">
      <w:pPr>
        <w:spacing w:line="276" w:lineRule="auto"/>
        <w:rPr>
          <w:rFonts w:ascii="Baskerville" w:hAnsi="Baskerville"/>
        </w:rPr>
      </w:pPr>
      <w:r>
        <w:rPr>
          <w:rFonts w:ascii="Baskerville" w:hAnsi="Baskerville"/>
        </w:rPr>
        <w:t>T</w:t>
      </w:r>
      <w:r w:rsidR="005F2ACF">
        <w:rPr>
          <w:rFonts w:ascii="Baskerville" w:hAnsi="Baskerville"/>
        </w:rPr>
        <w:t>he doctrine of estoppel in Indian administrative law</w:t>
      </w:r>
      <w:r>
        <w:rPr>
          <w:rFonts w:ascii="Baskerville" w:hAnsi="Baskerville"/>
        </w:rPr>
        <w:t xml:space="preserve"> provides a</w:t>
      </w:r>
      <w:r w:rsidRPr="00F33242">
        <w:rPr>
          <w:rFonts w:ascii="Baskerville" w:hAnsi="Baskerville"/>
        </w:rPr>
        <w:t xml:space="preserve"> </w:t>
      </w:r>
      <w:r>
        <w:rPr>
          <w:rFonts w:ascii="Baskerville" w:hAnsi="Baskerville"/>
        </w:rPr>
        <w:t>second illustration of the hortatory function</w:t>
      </w:r>
      <w:r w:rsidR="005F2ACF">
        <w:rPr>
          <w:rFonts w:ascii="Baskerville" w:hAnsi="Baskerville"/>
        </w:rPr>
        <w:t xml:space="preserve">.  </w:t>
      </w:r>
      <w:r w:rsidR="00053967">
        <w:rPr>
          <w:rFonts w:ascii="Baskerville" w:hAnsi="Baskerville"/>
        </w:rPr>
        <w:t>T</w:t>
      </w:r>
      <w:r w:rsidR="005F2ACF">
        <w:rPr>
          <w:rFonts w:ascii="Baskerville" w:hAnsi="Baskerville"/>
        </w:rPr>
        <w:t xml:space="preserve">he Indian Supreme Court has </w:t>
      </w:r>
      <w:r w:rsidR="00053967">
        <w:rPr>
          <w:rFonts w:ascii="Baskerville" w:hAnsi="Baskerville"/>
        </w:rPr>
        <w:t xml:space="preserve">linked </w:t>
      </w:r>
      <w:r w:rsidR="005F2ACF">
        <w:rPr>
          <w:rFonts w:ascii="Baskerville" w:hAnsi="Baskerville"/>
        </w:rPr>
        <w:t xml:space="preserve">the doctrine </w:t>
      </w:r>
      <w:r w:rsidR="00053967">
        <w:rPr>
          <w:rFonts w:ascii="Baskerville" w:hAnsi="Baskerville"/>
        </w:rPr>
        <w:t>to</w:t>
      </w:r>
      <w:r w:rsidR="005F2ACF">
        <w:rPr>
          <w:rFonts w:ascii="Baskerville" w:hAnsi="Baskerville"/>
        </w:rPr>
        <w:t xml:space="preserve"> the principle that</w:t>
      </w:r>
    </w:p>
    <w:p w14:paraId="439EB952" w14:textId="77777777" w:rsidR="005F2ACF" w:rsidRDefault="005F2ACF" w:rsidP="005F2ACF">
      <w:pPr>
        <w:spacing w:line="276" w:lineRule="auto"/>
        <w:rPr>
          <w:rFonts w:ascii="Baskerville" w:hAnsi="Baskerville"/>
        </w:rPr>
      </w:pPr>
    </w:p>
    <w:p w14:paraId="039F66EF" w14:textId="0358055E" w:rsidR="007F736D" w:rsidRDefault="005F2ACF" w:rsidP="00F33242">
      <w:pPr>
        <w:spacing w:line="276" w:lineRule="auto"/>
        <w:ind w:left="720"/>
        <w:rPr>
          <w:rFonts w:ascii="Baskerville" w:hAnsi="Baskerville"/>
        </w:rPr>
      </w:pPr>
      <w:r w:rsidRPr="005F2ACF">
        <w:rPr>
          <w:rFonts w:ascii="Baskerville" w:hAnsi="Baskerville"/>
          <w:lang w:val="en-GB"/>
        </w:rPr>
        <w:t>The</w:t>
      </w:r>
      <w:r>
        <w:rPr>
          <w:rFonts w:ascii="Baskerville" w:hAnsi="Baskerville"/>
          <w:lang w:val="en-GB"/>
        </w:rPr>
        <w:t xml:space="preserve"> </w:t>
      </w:r>
      <w:r w:rsidRPr="005F2ACF">
        <w:rPr>
          <w:rFonts w:ascii="Baskerville" w:hAnsi="Baskerville"/>
          <w:lang w:val="en-GB"/>
        </w:rPr>
        <w:t>Government cannot be heard to say that it is under no</w:t>
      </w:r>
      <w:r>
        <w:rPr>
          <w:rFonts w:ascii="Baskerville" w:hAnsi="Baskerville"/>
          <w:lang w:val="en-GB"/>
        </w:rPr>
        <w:t xml:space="preserve"> </w:t>
      </w:r>
      <w:r w:rsidRPr="005F2ACF">
        <w:rPr>
          <w:rFonts w:ascii="Baskerville" w:hAnsi="Baskerville"/>
          <w:lang w:val="en-GB"/>
        </w:rPr>
        <w:t>obligation to act in a manner that is fair and just or that</w:t>
      </w:r>
      <w:r>
        <w:rPr>
          <w:rFonts w:ascii="Baskerville" w:hAnsi="Baskerville"/>
          <w:lang w:val="en-GB"/>
        </w:rPr>
        <w:t xml:space="preserve"> </w:t>
      </w:r>
      <w:r w:rsidRPr="005F2ACF">
        <w:rPr>
          <w:rFonts w:ascii="Baskerville" w:hAnsi="Baskerville"/>
          <w:lang w:val="en-GB"/>
        </w:rPr>
        <w:t xml:space="preserve">it is </w:t>
      </w:r>
      <w:r w:rsidR="00F33242">
        <w:rPr>
          <w:rFonts w:ascii="Baskerville" w:hAnsi="Baskerville"/>
          <w:lang w:val="en-GB"/>
        </w:rPr>
        <w:t>not bound by considerations of ‘</w:t>
      </w:r>
      <w:r w:rsidRPr="005F2ACF">
        <w:rPr>
          <w:rFonts w:ascii="Baskerville" w:hAnsi="Baskerville"/>
          <w:lang w:val="en-GB"/>
        </w:rPr>
        <w:t>honesty and good</w:t>
      </w:r>
      <w:r>
        <w:rPr>
          <w:rFonts w:ascii="Baskerville" w:hAnsi="Baskerville"/>
          <w:lang w:val="en-GB"/>
        </w:rPr>
        <w:t xml:space="preserve"> </w:t>
      </w:r>
      <w:r w:rsidR="00F33242">
        <w:rPr>
          <w:rFonts w:ascii="Baskerville" w:hAnsi="Baskerville"/>
          <w:lang w:val="en-GB"/>
        </w:rPr>
        <w:t>faith’</w:t>
      </w:r>
      <w:r w:rsidRPr="005F2ACF">
        <w:rPr>
          <w:rFonts w:ascii="Baskerville" w:hAnsi="Baskerville"/>
          <w:lang w:val="en-GB"/>
        </w:rPr>
        <w:t>. In fact the Government should be held to a high</w:t>
      </w:r>
      <w:r>
        <w:rPr>
          <w:rFonts w:ascii="Baskerville" w:hAnsi="Baskerville"/>
          <w:lang w:val="en-GB"/>
        </w:rPr>
        <w:t xml:space="preserve"> </w:t>
      </w:r>
      <w:r w:rsidR="00F33242">
        <w:rPr>
          <w:rFonts w:ascii="Baskerville" w:hAnsi="Baskerville"/>
          <w:lang w:val="en-GB"/>
        </w:rPr>
        <w:t>“</w:t>
      </w:r>
      <w:r w:rsidRPr="005F2ACF">
        <w:rPr>
          <w:rFonts w:ascii="Baskerville" w:hAnsi="Baskerville"/>
          <w:lang w:val="en-GB"/>
        </w:rPr>
        <w:t>standard of rectangular rectitude while dealing with its</w:t>
      </w:r>
      <w:r>
        <w:rPr>
          <w:rFonts w:ascii="Baskerville" w:hAnsi="Baskerville"/>
          <w:lang w:val="en-GB"/>
        </w:rPr>
        <w:t xml:space="preserve"> </w:t>
      </w:r>
      <w:proofErr w:type="gramStart"/>
      <w:r w:rsidRPr="005F2ACF">
        <w:rPr>
          <w:rFonts w:ascii="Baskerville" w:hAnsi="Baskerville"/>
          <w:lang w:val="en-GB"/>
        </w:rPr>
        <w:t>citizens</w:t>
      </w:r>
      <w:r w:rsidR="00F33242">
        <w:rPr>
          <w:rFonts w:ascii="Baskerville" w:hAnsi="Baskerville"/>
          <w:lang w:val="en-GB"/>
        </w:rPr>
        <w:t>”</w:t>
      </w:r>
      <w:r>
        <w:rPr>
          <w:rFonts w:ascii="Baskerville" w:hAnsi="Baskerville"/>
          <w:lang w:val="en-GB"/>
        </w:rPr>
        <w:t>…</w:t>
      </w:r>
      <w:proofErr w:type="gramEnd"/>
      <w:r>
        <w:rPr>
          <w:rFonts w:ascii="Baskerville" w:hAnsi="Baskerville"/>
          <w:lang w:val="en-GB"/>
        </w:rPr>
        <w:t xml:space="preserve"> </w:t>
      </w:r>
      <w:r>
        <w:rPr>
          <w:rFonts w:ascii="Baskerville" w:hAnsi="Baskerville"/>
        </w:rPr>
        <w:t xml:space="preserve"> </w:t>
      </w:r>
      <w:r w:rsidRPr="005F2ACF">
        <w:rPr>
          <w:rFonts w:ascii="Baskerville" w:hAnsi="Baskerville"/>
        </w:rPr>
        <w:t>If the Government wants to preserve its freedom of</w:t>
      </w:r>
      <w:r>
        <w:rPr>
          <w:rFonts w:ascii="Baskerville" w:hAnsi="Baskerville"/>
        </w:rPr>
        <w:t xml:space="preserve"> </w:t>
      </w:r>
      <w:r w:rsidRPr="005F2ACF">
        <w:rPr>
          <w:rFonts w:ascii="Baskerville" w:hAnsi="Baskerville"/>
        </w:rPr>
        <w:t>executive action from being hampered or restricted, the</w:t>
      </w:r>
      <w:r>
        <w:rPr>
          <w:rFonts w:ascii="Baskerville" w:hAnsi="Baskerville"/>
        </w:rPr>
        <w:t xml:space="preserve"> </w:t>
      </w:r>
      <w:r w:rsidRPr="005F2ACF">
        <w:rPr>
          <w:rFonts w:ascii="Baskerville" w:hAnsi="Baskerville"/>
        </w:rPr>
        <w:t>Government should not make a promise knowing or intending</w:t>
      </w:r>
      <w:r>
        <w:rPr>
          <w:rFonts w:ascii="Baskerville" w:hAnsi="Baskerville"/>
          <w:lang w:val="en-GB"/>
        </w:rPr>
        <w:t xml:space="preserve"> </w:t>
      </w:r>
      <w:r w:rsidRPr="005F2ACF">
        <w:rPr>
          <w:rFonts w:ascii="Baskerville" w:hAnsi="Baskerville"/>
        </w:rPr>
        <w:t xml:space="preserve">that it would be acted on by the </w:t>
      </w:r>
      <w:proofErr w:type="spellStart"/>
      <w:r w:rsidRPr="005F2ACF">
        <w:rPr>
          <w:rFonts w:ascii="Baskerville" w:hAnsi="Baskerville"/>
        </w:rPr>
        <w:t>promisee</w:t>
      </w:r>
      <w:proofErr w:type="spellEnd"/>
      <w:r w:rsidRPr="005F2ACF">
        <w:rPr>
          <w:rFonts w:ascii="Baskerville" w:hAnsi="Baskerville"/>
        </w:rPr>
        <w:t xml:space="preserve"> and the </w:t>
      </w:r>
      <w:proofErr w:type="spellStart"/>
      <w:r w:rsidRPr="005F2ACF">
        <w:rPr>
          <w:rFonts w:ascii="Baskerville" w:hAnsi="Baskerville"/>
        </w:rPr>
        <w:t>promisee</w:t>
      </w:r>
      <w:proofErr w:type="spellEnd"/>
      <w:r>
        <w:rPr>
          <w:rFonts w:ascii="Baskerville" w:hAnsi="Baskerville"/>
        </w:rPr>
        <w:t xml:space="preserve"> </w:t>
      </w:r>
      <w:r w:rsidRPr="005F2ACF">
        <w:rPr>
          <w:rFonts w:ascii="Baskerville" w:hAnsi="Baskerville"/>
        </w:rPr>
        <w:t>would alter his position relying upon it.</w:t>
      </w:r>
      <w:r>
        <w:rPr>
          <w:rStyle w:val="FootnoteReference"/>
          <w:rFonts w:ascii="Baskerville" w:hAnsi="Baskerville"/>
        </w:rPr>
        <w:footnoteReference w:id="2"/>
      </w:r>
    </w:p>
    <w:p w14:paraId="068245BF" w14:textId="77777777" w:rsidR="005F2ACF" w:rsidRDefault="005F2ACF" w:rsidP="005F2ACF">
      <w:pPr>
        <w:spacing w:line="276" w:lineRule="auto"/>
        <w:rPr>
          <w:rFonts w:ascii="Baskerville" w:hAnsi="Baskerville"/>
        </w:rPr>
      </w:pPr>
    </w:p>
    <w:p w14:paraId="4EBA7120" w14:textId="702D9CB0" w:rsidR="005F2ACF" w:rsidRPr="005F2ACF" w:rsidRDefault="005F2ACF" w:rsidP="007439ED">
      <w:pPr>
        <w:spacing w:line="276" w:lineRule="auto"/>
        <w:rPr>
          <w:rFonts w:ascii="Baskerville" w:hAnsi="Baskerville"/>
          <w:lang w:val="en-GB"/>
        </w:rPr>
      </w:pPr>
      <w:r>
        <w:rPr>
          <w:rFonts w:ascii="Baskerville" w:hAnsi="Baskerville"/>
        </w:rPr>
        <w:t>Th</w:t>
      </w:r>
      <w:r w:rsidR="00053967">
        <w:rPr>
          <w:rFonts w:ascii="Baskerville" w:hAnsi="Baskerville"/>
        </w:rPr>
        <w:t>is</w:t>
      </w:r>
      <w:r>
        <w:rPr>
          <w:rFonts w:ascii="Baskerville" w:hAnsi="Baskerville"/>
        </w:rPr>
        <w:t xml:space="preserve"> </w:t>
      </w:r>
      <w:r w:rsidR="00053967">
        <w:rPr>
          <w:rFonts w:ascii="Baskerville" w:hAnsi="Baskerville"/>
        </w:rPr>
        <w:t xml:space="preserve">link between </w:t>
      </w:r>
      <w:r>
        <w:rPr>
          <w:rFonts w:ascii="Baskerville" w:hAnsi="Baskerville"/>
        </w:rPr>
        <w:t>good government</w:t>
      </w:r>
      <w:r w:rsidR="00053967">
        <w:rPr>
          <w:rFonts w:ascii="Baskerville" w:hAnsi="Baskerville"/>
        </w:rPr>
        <w:t>,</w:t>
      </w:r>
      <w:r>
        <w:rPr>
          <w:rFonts w:ascii="Baskerville" w:hAnsi="Baskerville"/>
        </w:rPr>
        <w:t xml:space="preserve"> the incidences of citizenship, and </w:t>
      </w:r>
      <w:r w:rsidR="00053967">
        <w:rPr>
          <w:rFonts w:ascii="Baskerville" w:hAnsi="Baskerville"/>
        </w:rPr>
        <w:t xml:space="preserve">the legal standards to which administrative officials are expected to adhere presents perhaps the strongest form which the advisory and hortatory function can take.  But the function can also be exercised in a more pragmatic way.  The </w:t>
      </w:r>
      <w:proofErr w:type="gramStart"/>
      <w:r w:rsidR="00053967">
        <w:rPr>
          <w:rFonts w:ascii="Baskerville" w:hAnsi="Baskerville"/>
        </w:rPr>
        <w:t>eighteenth century</w:t>
      </w:r>
      <w:proofErr w:type="gramEnd"/>
      <w:r w:rsidR="00053967">
        <w:rPr>
          <w:rFonts w:ascii="Baskerville" w:hAnsi="Baskerville"/>
        </w:rPr>
        <w:t xml:space="preserve"> case of </w:t>
      </w:r>
      <w:r w:rsidR="00053967" w:rsidRPr="00053967">
        <w:rPr>
          <w:rFonts w:ascii="Baskerville" w:hAnsi="Baskerville"/>
          <w:i/>
          <w:iCs/>
        </w:rPr>
        <w:t>Leach v Money</w:t>
      </w:r>
      <w:r w:rsidR="00053967">
        <w:rPr>
          <w:rFonts w:ascii="Baskerville" w:hAnsi="Baskerville"/>
        </w:rPr>
        <w:t xml:space="preserve">, which concerned the powers of the nascent administrative branch in relation to searches and seizures, provides an example.  In that case, Lord Mansfield not only set out why the claimed powers could not be exercised purely by administrative officials, but also </w:t>
      </w:r>
      <w:r w:rsidR="001B54D4">
        <w:rPr>
          <w:rFonts w:ascii="Baskerville" w:hAnsi="Baskerville"/>
        </w:rPr>
        <w:t>detailed how warrants should be framed in terms of clarity and specificity, and what type of discretion they could and could not give administrative officers</w:t>
      </w:r>
      <w:r w:rsidR="00053967">
        <w:rPr>
          <w:rFonts w:ascii="Baskerville" w:hAnsi="Baskerville"/>
        </w:rPr>
        <w:t>.</w:t>
      </w:r>
      <w:r w:rsidR="00014F75">
        <w:rPr>
          <w:rStyle w:val="FootnoteReference"/>
          <w:rFonts w:ascii="Baskerville" w:hAnsi="Baskerville"/>
        </w:rPr>
        <w:footnoteReference w:id="3"/>
      </w:r>
      <w:r w:rsidR="00053967">
        <w:rPr>
          <w:rFonts w:ascii="Baskerville" w:hAnsi="Baskerville"/>
        </w:rPr>
        <w:t xml:space="preserve">  As this highlights, the process of institutional dialogue between courts and administrators, in which courts communicate standards to administrators whilst </w:t>
      </w:r>
      <w:r w:rsidR="00053967">
        <w:rPr>
          <w:rFonts w:ascii="Baskerville" w:hAnsi="Baskerville"/>
        </w:rPr>
        <w:lastRenderedPageBreak/>
        <w:t>also leaving the actual formulation of substantive policy based on those standards to administrators, is the most distinctive feature of the hortatory function.</w:t>
      </w:r>
    </w:p>
    <w:p w14:paraId="1E6CE1C6" w14:textId="77777777" w:rsidR="00B97FA1" w:rsidRDefault="00B97FA1" w:rsidP="00B97FA1">
      <w:pPr>
        <w:spacing w:line="276" w:lineRule="auto"/>
        <w:rPr>
          <w:rFonts w:ascii="Baskerville" w:hAnsi="Baskerville"/>
        </w:rPr>
      </w:pPr>
    </w:p>
    <w:p w14:paraId="23A29B9A" w14:textId="1CB9D1E1" w:rsidR="00A42016" w:rsidRDefault="00AE0FCD" w:rsidP="001C29D6">
      <w:pPr>
        <w:pStyle w:val="Heading2"/>
      </w:pPr>
      <w:r>
        <w:t xml:space="preserve">The </w:t>
      </w:r>
      <w:r w:rsidR="00A21923">
        <w:t xml:space="preserve">Lower Left Quadrant: A </w:t>
      </w:r>
      <w:r>
        <w:t>Protective and Vindicatory Function</w:t>
      </w:r>
    </w:p>
    <w:p w14:paraId="747A3840" w14:textId="77777777" w:rsidR="00A21923" w:rsidRDefault="00A21923" w:rsidP="00A21923">
      <w:pPr>
        <w:spacing w:line="276" w:lineRule="auto"/>
        <w:rPr>
          <w:rFonts w:ascii="Baskerville" w:hAnsi="Baskerville"/>
        </w:rPr>
      </w:pPr>
    </w:p>
    <w:p w14:paraId="2A5BECFD" w14:textId="0BB223D1" w:rsidR="005375CE" w:rsidRDefault="00BC38A5" w:rsidP="009C5536">
      <w:pPr>
        <w:spacing w:line="276" w:lineRule="auto"/>
        <w:rPr>
          <w:rFonts w:ascii="Baskerville" w:hAnsi="Baskerville"/>
        </w:rPr>
      </w:pPr>
      <w:r>
        <w:rPr>
          <w:rFonts w:ascii="Baskerville" w:hAnsi="Baskerville"/>
        </w:rPr>
        <w:t>In the</w:t>
      </w:r>
      <w:r w:rsidR="00A21923" w:rsidRPr="00262092">
        <w:rPr>
          <w:rFonts w:ascii="Baskerville" w:hAnsi="Baskerville"/>
        </w:rPr>
        <w:t xml:space="preserve"> diagonally opposite quadrant, the conception of </w:t>
      </w:r>
      <w:r w:rsidR="00A21923">
        <w:rPr>
          <w:rFonts w:ascii="Baskerville" w:hAnsi="Baskerville"/>
        </w:rPr>
        <w:t>the polity</w:t>
      </w:r>
      <w:r w:rsidR="00A21923" w:rsidRPr="00262092">
        <w:rPr>
          <w:rFonts w:ascii="Baskerville" w:hAnsi="Baskerville"/>
        </w:rPr>
        <w:t xml:space="preserve"> is negative</w:t>
      </w:r>
      <w:r w:rsidR="00A21923">
        <w:rPr>
          <w:rFonts w:ascii="Baskerville" w:hAnsi="Baskerville"/>
        </w:rPr>
        <w:t>.  S</w:t>
      </w:r>
      <w:r w:rsidR="00A21923" w:rsidRPr="00262092">
        <w:rPr>
          <w:rFonts w:ascii="Baskerville" w:hAnsi="Baskerville"/>
        </w:rPr>
        <w:t>ociety as a unit does not exist</w:t>
      </w:r>
      <w:r w:rsidR="00A21923">
        <w:rPr>
          <w:rFonts w:ascii="Baskerville" w:hAnsi="Baskerville"/>
        </w:rPr>
        <w:t>, and t</w:t>
      </w:r>
      <w:r w:rsidR="00A21923" w:rsidRPr="00262092">
        <w:rPr>
          <w:rFonts w:ascii="Baskerville" w:hAnsi="Baskerville"/>
        </w:rPr>
        <w:t>here is no image of the good life that society as a whole might enjoy or benefit from. At the same time, however, the distinctiveness of legality that we saw in the upper-right quadrant has disappeared: law can and does concern itself with matters of substance</w:t>
      </w:r>
      <w:r>
        <w:rPr>
          <w:rFonts w:ascii="Baskerville" w:hAnsi="Baskerville"/>
        </w:rPr>
        <w:t>, and i</w:t>
      </w:r>
      <w:r w:rsidR="00A21923" w:rsidRPr="00262092">
        <w:rPr>
          <w:rFonts w:ascii="Baskerville" w:hAnsi="Baskerville"/>
        </w:rPr>
        <w:t xml:space="preserve">ts actions and ambitions </w:t>
      </w:r>
      <w:r>
        <w:rPr>
          <w:rFonts w:ascii="Baskerville" w:hAnsi="Baskerville"/>
        </w:rPr>
        <w:t>can</w:t>
      </w:r>
      <w:r w:rsidR="00A21923" w:rsidRPr="00262092">
        <w:rPr>
          <w:rFonts w:ascii="Baskerville" w:hAnsi="Baskerville"/>
        </w:rPr>
        <w:t xml:space="preserve"> and do overlap with other actors</w:t>
      </w:r>
      <w:r w:rsidR="00A21923">
        <w:rPr>
          <w:rFonts w:ascii="Baskerville" w:hAnsi="Baskerville"/>
        </w:rPr>
        <w:t xml:space="preserve"> in the administrative justice domain</w:t>
      </w:r>
      <w:r w:rsidR="00A21923" w:rsidRPr="00262092">
        <w:rPr>
          <w:rFonts w:ascii="Baskerville" w:hAnsi="Baskerville"/>
        </w:rPr>
        <w:t xml:space="preserve">. </w:t>
      </w:r>
      <w:r w:rsidR="00A21923">
        <w:rPr>
          <w:rFonts w:ascii="Baskerville" w:hAnsi="Baskerville"/>
        </w:rPr>
        <w:t>From this perspective, the</w:t>
      </w:r>
      <w:r w:rsidR="00A21923" w:rsidRPr="00262092">
        <w:rPr>
          <w:rFonts w:ascii="Baskerville" w:hAnsi="Baskerville"/>
        </w:rPr>
        <w:t xml:space="preserve"> aspiration for judicial review</w:t>
      </w:r>
      <w:r w:rsidR="00A21923">
        <w:rPr>
          <w:rFonts w:ascii="Baskerville" w:hAnsi="Baskerville"/>
        </w:rPr>
        <w:t xml:space="preserve"> is</w:t>
      </w:r>
      <w:r w:rsidR="00A21923" w:rsidRPr="00262092">
        <w:rPr>
          <w:rFonts w:ascii="Baskerville" w:hAnsi="Baskerville"/>
        </w:rPr>
        <w:t xml:space="preserve"> that it contributes positively and substantively to the vision of </w:t>
      </w:r>
      <w:r w:rsidR="00A21923" w:rsidRPr="00262092">
        <w:rPr>
          <w:rFonts w:ascii="Baskerville" w:hAnsi="Baskerville" w:cstheme="minorHAnsi"/>
          <w:color w:val="000000" w:themeColor="text1"/>
        </w:rPr>
        <w:t xml:space="preserve">maximum freedom within </w:t>
      </w:r>
      <w:r w:rsidR="00A21923">
        <w:rPr>
          <w:rFonts w:ascii="Baskerville" w:hAnsi="Baskerville" w:cstheme="minorHAnsi"/>
          <w:color w:val="000000" w:themeColor="text1"/>
        </w:rPr>
        <w:t xml:space="preserve">the polity.  </w:t>
      </w:r>
      <w:r w:rsidR="005375CE" w:rsidRPr="00262092">
        <w:rPr>
          <w:rFonts w:ascii="Baskerville" w:hAnsi="Baskerville" w:cstheme="minorHAnsi"/>
          <w:color w:val="000000" w:themeColor="text1"/>
        </w:rPr>
        <w:t xml:space="preserve">Judicial review </w:t>
      </w:r>
      <w:r w:rsidR="009C5536">
        <w:rPr>
          <w:rFonts w:ascii="Baskerville" w:hAnsi="Baskerville" w:cstheme="minorHAnsi"/>
          <w:color w:val="000000" w:themeColor="text1"/>
        </w:rPr>
        <w:t xml:space="preserve">is thus </w:t>
      </w:r>
      <w:r w:rsidR="005375CE" w:rsidRPr="00262092">
        <w:rPr>
          <w:rFonts w:ascii="Baskerville" w:hAnsi="Baskerville" w:cstheme="minorHAnsi"/>
          <w:color w:val="000000" w:themeColor="text1"/>
        </w:rPr>
        <w:t>committed to a substantive legal policy of maximum freedom of manoeuvre for the individuals and groups that co-exist in a shared space</w:t>
      </w:r>
      <w:r w:rsidR="009C5536">
        <w:rPr>
          <w:rFonts w:ascii="Baskerville" w:hAnsi="Baskerville" w:cstheme="minorHAnsi"/>
          <w:color w:val="000000" w:themeColor="text1"/>
        </w:rPr>
        <w:t xml:space="preserve">, and it may </w:t>
      </w:r>
      <w:r w:rsidR="009C5536" w:rsidRPr="00262092">
        <w:rPr>
          <w:rFonts w:ascii="Baskerville" w:hAnsi="Baskerville" w:cstheme="minorHAnsi"/>
          <w:color w:val="000000" w:themeColor="text1"/>
        </w:rPr>
        <w:t>be invoked where this cherished freedom of manoeuvre is curtailed or threatened by government</w:t>
      </w:r>
      <w:r w:rsidR="005375CE" w:rsidRPr="00262092">
        <w:rPr>
          <w:rFonts w:ascii="Baskerville" w:hAnsi="Baskerville" w:cstheme="minorHAnsi"/>
          <w:color w:val="000000" w:themeColor="text1"/>
        </w:rPr>
        <w:t xml:space="preserve">. </w:t>
      </w:r>
      <w:r w:rsidR="005375CE">
        <w:rPr>
          <w:rFonts w:ascii="Baskerville" w:hAnsi="Baskerville" w:cstheme="minorHAnsi"/>
          <w:color w:val="000000" w:themeColor="text1"/>
        </w:rPr>
        <w:t xml:space="preserve"> </w:t>
      </w:r>
      <w:r w:rsidR="005375CE" w:rsidRPr="00262092">
        <w:rPr>
          <w:rFonts w:ascii="Baskerville" w:hAnsi="Baskerville" w:cstheme="minorHAnsi"/>
          <w:color w:val="000000" w:themeColor="text1"/>
        </w:rPr>
        <w:t>It does not matter if the court’s functions overlap with those of other constitutional actors, so long as the substantive vision is supported.</w:t>
      </w:r>
      <w:r w:rsidR="005375CE" w:rsidRPr="00262092">
        <w:rPr>
          <w:rFonts w:ascii="Baskerville" w:hAnsi="Baskerville"/>
        </w:rPr>
        <w:t xml:space="preserve"> </w:t>
      </w:r>
      <w:r w:rsidR="00A21923">
        <w:rPr>
          <w:rFonts w:ascii="Baskerville" w:hAnsi="Baskerville" w:cstheme="minorHAnsi"/>
          <w:color w:val="000000" w:themeColor="text1"/>
        </w:rPr>
        <w:t>Where goals and purposes are contested, justice lies in ensuring that administrative institutions do not arrogate to themselves the power of privileging one vision of what those purposes and principles should be over others</w:t>
      </w:r>
      <w:r w:rsidR="00A21923" w:rsidRPr="00262092">
        <w:rPr>
          <w:rFonts w:ascii="Baskerville" w:hAnsi="Baskerville" w:cstheme="minorHAnsi"/>
          <w:color w:val="000000" w:themeColor="text1"/>
        </w:rPr>
        <w:t>.</w:t>
      </w:r>
      <w:r w:rsidR="00A21923" w:rsidRPr="00262092">
        <w:rPr>
          <w:rFonts w:ascii="Baskerville" w:hAnsi="Baskerville"/>
        </w:rPr>
        <w:t xml:space="preserve"> </w:t>
      </w:r>
    </w:p>
    <w:p w14:paraId="37344E99" w14:textId="77777777" w:rsidR="005375CE" w:rsidRDefault="005375CE" w:rsidP="00BC38A5">
      <w:pPr>
        <w:spacing w:line="276" w:lineRule="auto"/>
        <w:rPr>
          <w:rFonts w:ascii="Baskerville" w:hAnsi="Baskerville"/>
        </w:rPr>
      </w:pPr>
    </w:p>
    <w:p w14:paraId="12FAE410" w14:textId="5C356D82" w:rsidR="00A21923" w:rsidRPr="005375CE" w:rsidRDefault="00A21923" w:rsidP="00456FE1">
      <w:pPr>
        <w:spacing w:line="276" w:lineRule="auto"/>
        <w:rPr>
          <w:rFonts w:ascii="Baskerville" w:hAnsi="Baskerville" w:cstheme="minorHAnsi"/>
          <w:color w:val="000000" w:themeColor="text1"/>
        </w:rPr>
      </w:pPr>
      <w:r>
        <w:rPr>
          <w:rFonts w:ascii="Baskerville" w:hAnsi="Baskerville"/>
        </w:rPr>
        <w:t>Judicial review, accordingly,</w:t>
      </w:r>
      <w:r w:rsidRPr="00262092">
        <w:rPr>
          <w:rFonts w:ascii="Baskerville" w:hAnsi="Baskerville"/>
        </w:rPr>
        <w:t xml:space="preserve"> operate</w:t>
      </w:r>
      <w:r>
        <w:rPr>
          <w:rFonts w:ascii="Baskerville" w:hAnsi="Baskerville"/>
        </w:rPr>
        <w:t>s</w:t>
      </w:r>
      <w:r w:rsidRPr="00262092">
        <w:rPr>
          <w:rFonts w:ascii="Baskerville" w:hAnsi="Baskerville"/>
        </w:rPr>
        <w:t xml:space="preserve"> </w:t>
      </w:r>
      <w:r w:rsidRPr="00262092">
        <w:rPr>
          <w:rFonts w:ascii="Baskerville" w:hAnsi="Baskerville" w:cstheme="minorHAnsi"/>
          <w:color w:val="000000" w:themeColor="text1"/>
        </w:rPr>
        <w:t>flexibly and creatively to maintain the conditions whereby individuals and groups can pursue their respective separate senses of the good life</w:t>
      </w:r>
      <w:r>
        <w:rPr>
          <w:rFonts w:ascii="Baskerville" w:hAnsi="Baskerville" w:cstheme="minorHAnsi"/>
          <w:color w:val="000000" w:themeColor="text1"/>
        </w:rPr>
        <w:t>, and creates ground rules which permit different senses and visions of the good life to co-exist and compete for control of political institutions without that contestation descending into degenerative conflict</w:t>
      </w:r>
      <w:r w:rsidRPr="00262092">
        <w:rPr>
          <w:rFonts w:ascii="Baskerville" w:hAnsi="Baskerville" w:cstheme="minorHAnsi"/>
          <w:color w:val="000000" w:themeColor="text1"/>
        </w:rPr>
        <w:t>. The princip</w:t>
      </w:r>
      <w:r>
        <w:rPr>
          <w:rFonts w:ascii="Baskerville" w:hAnsi="Baskerville" w:cstheme="minorHAnsi"/>
          <w:color w:val="000000" w:themeColor="text1"/>
        </w:rPr>
        <w:t>a</w:t>
      </w:r>
      <w:r w:rsidRPr="00262092">
        <w:rPr>
          <w:rFonts w:ascii="Baskerville" w:hAnsi="Baskerville" w:cstheme="minorHAnsi"/>
          <w:color w:val="000000" w:themeColor="text1"/>
        </w:rPr>
        <w:t xml:space="preserve">l contribution of judicial review to the justice of public administration, then, is its ability to be </w:t>
      </w:r>
      <w:r w:rsidRPr="00262092">
        <w:rPr>
          <w:rFonts w:ascii="Baskerville" w:hAnsi="Baskerville" w:cstheme="minorHAnsi"/>
          <w:i/>
          <w:color w:val="000000" w:themeColor="text1"/>
        </w:rPr>
        <w:t>protective</w:t>
      </w:r>
      <w:r w:rsidRPr="00262092">
        <w:rPr>
          <w:rFonts w:ascii="Baskerville" w:hAnsi="Baskerville" w:cstheme="minorHAnsi"/>
          <w:color w:val="000000" w:themeColor="text1"/>
        </w:rPr>
        <w:t xml:space="preserve"> and </w:t>
      </w:r>
      <w:r w:rsidRPr="00262092">
        <w:rPr>
          <w:rFonts w:ascii="Baskerville" w:hAnsi="Baskerville" w:cstheme="minorHAnsi"/>
          <w:i/>
          <w:color w:val="000000" w:themeColor="text1"/>
        </w:rPr>
        <w:t>vindicatory</w:t>
      </w:r>
      <w:r w:rsidRPr="00262092">
        <w:rPr>
          <w:rFonts w:ascii="Baskerville" w:hAnsi="Baskerville" w:cstheme="minorHAnsi"/>
          <w:color w:val="000000" w:themeColor="text1"/>
        </w:rPr>
        <w:t xml:space="preserve">. Its primary mode of engagement with key </w:t>
      </w:r>
      <w:r>
        <w:rPr>
          <w:rFonts w:ascii="Baskerville" w:hAnsi="Baskerville" w:cstheme="minorHAnsi"/>
          <w:color w:val="000000" w:themeColor="text1"/>
        </w:rPr>
        <w:t xml:space="preserve">public </w:t>
      </w:r>
      <w:r w:rsidRPr="00262092">
        <w:rPr>
          <w:rFonts w:ascii="Baskerville" w:hAnsi="Baskerville" w:cstheme="minorHAnsi"/>
          <w:color w:val="000000" w:themeColor="text1"/>
        </w:rPr>
        <w:t>actors is proscriptive</w:t>
      </w:r>
      <w:r>
        <w:rPr>
          <w:rFonts w:ascii="Baskerville" w:hAnsi="Baskerville" w:cstheme="minorHAnsi"/>
          <w:color w:val="000000" w:themeColor="text1"/>
        </w:rPr>
        <w:t xml:space="preserve"> and prescriptive</w:t>
      </w:r>
      <w:r w:rsidRPr="00262092">
        <w:rPr>
          <w:rFonts w:ascii="Baskerville" w:hAnsi="Baskerville" w:cstheme="minorHAnsi"/>
          <w:color w:val="000000" w:themeColor="text1"/>
        </w:rPr>
        <w:t xml:space="preserve">, </w:t>
      </w:r>
      <w:r>
        <w:rPr>
          <w:rFonts w:ascii="Baskerville" w:hAnsi="Baskerville" w:cstheme="minorHAnsi"/>
          <w:color w:val="000000" w:themeColor="text1"/>
        </w:rPr>
        <w:t xml:space="preserve">determining what private autonomy actually entails and </w:t>
      </w:r>
      <w:r w:rsidRPr="00262092">
        <w:rPr>
          <w:rFonts w:ascii="Baskerville" w:hAnsi="Baskerville" w:cstheme="minorHAnsi"/>
          <w:color w:val="000000" w:themeColor="text1"/>
        </w:rPr>
        <w:t>instructing them to halt and reverse public infringements of private autonomy</w:t>
      </w:r>
      <w:r w:rsidR="00456FE1">
        <w:rPr>
          <w:rFonts w:ascii="Baskerville" w:hAnsi="Baskerville" w:cstheme="minorHAnsi"/>
          <w:color w:val="000000" w:themeColor="text1"/>
        </w:rPr>
        <w:t xml:space="preserve">, and setting limits on the ability of administrative authorities to infringe autonomy by circumscribing or reading down seemingly expansive powers that have the potential to impinge on private persons’ freedom of manoeuvre.  </w:t>
      </w:r>
    </w:p>
    <w:p w14:paraId="3E0BF9A7" w14:textId="77777777" w:rsidR="00A21923" w:rsidRDefault="00A21923" w:rsidP="00054262">
      <w:pPr>
        <w:spacing w:line="276" w:lineRule="auto"/>
        <w:rPr>
          <w:rFonts w:ascii="Baskerville" w:hAnsi="Baskerville" w:cstheme="minorHAnsi"/>
          <w:color w:val="000000" w:themeColor="text1"/>
        </w:rPr>
      </w:pPr>
    </w:p>
    <w:p w14:paraId="418A6CAE" w14:textId="271B8A1F" w:rsidR="00AE0FCD" w:rsidRPr="0064044A" w:rsidRDefault="00F07243" w:rsidP="00456FE1">
      <w:pPr>
        <w:spacing w:line="276" w:lineRule="auto"/>
        <w:rPr>
          <w:rFonts w:ascii="Baskerville" w:hAnsi="Baskerville" w:cstheme="minorHAnsi"/>
          <w:color w:val="000000" w:themeColor="text1"/>
        </w:rPr>
      </w:pPr>
      <w:r>
        <w:rPr>
          <w:rFonts w:ascii="Baskerville" w:hAnsi="Baskerville" w:cstheme="minorHAnsi"/>
          <w:color w:val="000000" w:themeColor="text1"/>
        </w:rPr>
        <w:t xml:space="preserve">The vindicatory function </w:t>
      </w:r>
      <w:r w:rsidR="0064044A">
        <w:rPr>
          <w:rFonts w:ascii="Baskerville" w:hAnsi="Baskerville" w:cstheme="minorHAnsi"/>
          <w:color w:val="000000" w:themeColor="text1"/>
        </w:rPr>
        <w:t xml:space="preserve">is captured well by the </w:t>
      </w:r>
      <w:r>
        <w:rPr>
          <w:rFonts w:ascii="Baskerville" w:hAnsi="Baskerville" w:cstheme="minorHAnsi"/>
          <w:color w:val="000000" w:themeColor="text1"/>
        </w:rPr>
        <w:t>protection</w:t>
      </w:r>
      <w:r w:rsidR="0064044A">
        <w:rPr>
          <w:rFonts w:ascii="Baskerville" w:hAnsi="Baskerville" w:cstheme="minorHAnsi"/>
          <w:color w:val="000000" w:themeColor="text1"/>
        </w:rPr>
        <w:t xml:space="preserve"> of individual rights. </w:t>
      </w:r>
      <w:r w:rsidR="005139B4">
        <w:rPr>
          <w:rFonts w:ascii="Baskerville" w:hAnsi="Baskerville"/>
        </w:rPr>
        <w:t>A</w:t>
      </w:r>
      <w:r w:rsidR="0064044A" w:rsidRPr="00FC5C2D">
        <w:rPr>
          <w:rFonts w:ascii="Baskerville" w:hAnsi="Baskerville"/>
        </w:rPr>
        <w:t>s Sir John Laws has noted</w:t>
      </w:r>
      <w:r w:rsidR="005139B4">
        <w:rPr>
          <w:rFonts w:ascii="Baskerville" w:hAnsi="Baskerville"/>
        </w:rPr>
        <w:t xml:space="preserve">, </w:t>
      </w:r>
      <w:r w:rsidR="006D6F0E">
        <w:rPr>
          <w:rFonts w:ascii="Baskerville" w:hAnsi="Baskerville"/>
        </w:rPr>
        <w:t>affirming</w:t>
      </w:r>
      <w:r w:rsidR="005139B4">
        <w:rPr>
          <w:rFonts w:ascii="Baskerville" w:hAnsi="Baskerville"/>
        </w:rPr>
        <w:t xml:space="preserve"> the correspondence between the notion of rights and a discord view of society</w:t>
      </w:r>
      <w:r w:rsidR="0064044A" w:rsidRPr="00FC5C2D">
        <w:rPr>
          <w:rFonts w:ascii="Baskerville" w:hAnsi="Baskerville"/>
        </w:rPr>
        <w:t>: “the language of rights is not the language of morality but of conflict” (1996: 626).</w:t>
      </w:r>
      <w:r w:rsidR="00F74936" w:rsidRPr="00F74936">
        <w:rPr>
          <w:rFonts w:ascii="Baskerville" w:hAnsi="Baskerville" w:cstheme="minorHAnsi"/>
          <w:color w:val="000000" w:themeColor="text1"/>
        </w:rPr>
        <w:t xml:space="preserve"> </w:t>
      </w:r>
      <w:r w:rsidR="00F74936">
        <w:rPr>
          <w:rFonts w:ascii="Baskerville" w:hAnsi="Baskerville" w:cstheme="minorHAnsi"/>
          <w:color w:val="000000" w:themeColor="text1"/>
        </w:rPr>
        <w:t xml:space="preserve">The fundamental rights discovered within the English common law as part of what is sometimes called ‘common law constitutionalism’ (e.g., Allan, 2011) offer an example. The English courts, on the basis of their interpretation of the common law, have upheld basic rights in order to protect </w:t>
      </w:r>
      <w:r w:rsidR="00054262">
        <w:rPr>
          <w:rFonts w:ascii="Baskerville" w:hAnsi="Baskerville" w:cstheme="minorHAnsi"/>
          <w:color w:val="000000" w:themeColor="text1"/>
        </w:rPr>
        <w:t xml:space="preserve">private persons </w:t>
      </w:r>
      <w:r w:rsidR="00F74936">
        <w:rPr>
          <w:rFonts w:ascii="Baskerville" w:hAnsi="Baskerville" w:cstheme="minorHAnsi"/>
          <w:color w:val="000000" w:themeColor="text1"/>
        </w:rPr>
        <w:t xml:space="preserve">from governmental excess. </w:t>
      </w:r>
      <w:r w:rsidR="004D1EF9">
        <w:rPr>
          <w:rFonts w:ascii="Baskerville" w:hAnsi="Baskerville" w:cstheme="minorHAnsi"/>
          <w:color w:val="000000" w:themeColor="text1"/>
        </w:rPr>
        <w:t>In the</w:t>
      </w:r>
      <w:r w:rsidR="00F74936">
        <w:rPr>
          <w:rFonts w:ascii="Baskerville" w:hAnsi="Baskerville" w:cstheme="minorHAnsi"/>
          <w:color w:val="000000" w:themeColor="text1"/>
        </w:rPr>
        <w:t xml:space="preserve"> case of </w:t>
      </w:r>
      <w:r w:rsidR="004D1EF9" w:rsidRPr="0017094D">
        <w:rPr>
          <w:rFonts w:ascii="Baskerville" w:hAnsi="Baskerville" w:cstheme="minorHAnsi"/>
          <w:i/>
          <w:iCs/>
          <w:color w:val="000000" w:themeColor="text1"/>
        </w:rPr>
        <w:t>Witham</w:t>
      </w:r>
      <w:r w:rsidR="004D1EF9">
        <w:rPr>
          <w:rFonts w:ascii="Baskerville" w:hAnsi="Baskerville" w:cstheme="minorHAnsi"/>
          <w:color w:val="000000" w:themeColor="text1"/>
        </w:rPr>
        <w:t>,</w:t>
      </w:r>
      <w:r w:rsidR="004D1EF9">
        <w:rPr>
          <w:rStyle w:val="FootnoteReference"/>
          <w:rFonts w:ascii="Baskerville" w:hAnsi="Baskerville" w:cstheme="minorHAnsi"/>
          <w:color w:val="000000" w:themeColor="text1"/>
        </w:rPr>
        <w:footnoteReference w:id="4"/>
      </w:r>
      <w:r w:rsidR="004D1EF9">
        <w:rPr>
          <w:rFonts w:ascii="Baskerville" w:hAnsi="Baskerville" w:cstheme="minorHAnsi"/>
          <w:color w:val="000000" w:themeColor="text1"/>
        </w:rPr>
        <w:t xml:space="preserve"> for example, which concerned the liability of those on l</w:t>
      </w:r>
      <w:r w:rsidR="001C71FC">
        <w:rPr>
          <w:rFonts w:ascii="Baskerville" w:hAnsi="Baskerville" w:cstheme="minorHAnsi"/>
          <w:color w:val="000000" w:themeColor="text1"/>
        </w:rPr>
        <w:t>o</w:t>
      </w:r>
      <w:r w:rsidR="004D1EF9">
        <w:rPr>
          <w:rFonts w:ascii="Baskerville" w:hAnsi="Baskerville" w:cstheme="minorHAnsi"/>
          <w:color w:val="000000" w:themeColor="text1"/>
        </w:rPr>
        <w:t xml:space="preserve">w income for court fees, the court </w:t>
      </w:r>
      <w:r w:rsidR="004D1EF9">
        <w:rPr>
          <w:rFonts w:ascii="Baskerville" w:hAnsi="Baskerville" w:cstheme="minorHAnsi"/>
          <w:color w:val="000000" w:themeColor="text1"/>
        </w:rPr>
        <w:lastRenderedPageBreak/>
        <w:t xml:space="preserve">asserted a common law right of unimpeded access to a court. The case of </w:t>
      </w:r>
      <w:r w:rsidR="00F74936" w:rsidRPr="0017094D">
        <w:rPr>
          <w:rFonts w:ascii="Baskerville" w:hAnsi="Baskerville" w:cstheme="minorHAnsi"/>
          <w:i/>
          <w:iCs/>
          <w:color w:val="000000" w:themeColor="text1"/>
        </w:rPr>
        <w:t>Simms</w:t>
      </w:r>
      <w:r w:rsidR="0007128D">
        <w:rPr>
          <w:rFonts w:ascii="Baskerville" w:hAnsi="Baskerville" w:cstheme="minorHAnsi"/>
          <w:color w:val="000000" w:themeColor="text1"/>
        </w:rPr>
        <w:t>,</w:t>
      </w:r>
      <w:r w:rsidR="00F74936">
        <w:rPr>
          <w:rStyle w:val="FootnoteReference"/>
          <w:rFonts w:ascii="Baskerville" w:hAnsi="Baskerville" w:cstheme="minorHAnsi"/>
          <w:color w:val="000000" w:themeColor="text1"/>
        </w:rPr>
        <w:footnoteReference w:id="5"/>
      </w:r>
      <w:r w:rsidR="00F74936">
        <w:rPr>
          <w:rFonts w:ascii="Baskerville" w:hAnsi="Baskerville" w:cstheme="minorHAnsi"/>
          <w:color w:val="000000" w:themeColor="text1"/>
        </w:rPr>
        <w:t xml:space="preserve"> </w:t>
      </w:r>
      <w:r w:rsidR="0007128D">
        <w:rPr>
          <w:rFonts w:ascii="Baskerville" w:hAnsi="Baskerville" w:cstheme="minorHAnsi"/>
          <w:color w:val="000000" w:themeColor="text1"/>
        </w:rPr>
        <w:t xml:space="preserve">which concerned the lawfulness of a prison policy which prohibited prisoners </w:t>
      </w:r>
      <w:r w:rsidR="009218E0">
        <w:rPr>
          <w:rFonts w:ascii="Baskerville" w:hAnsi="Baskerville" w:cstheme="minorHAnsi"/>
          <w:color w:val="000000" w:themeColor="text1"/>
        </w:rPr>
        <w:t xml:space="preserve">from </w:t>
      </w:r>
      <w:r w:rsidR="0007128D">
        <w:rPr>
          <w:rFonts w:ascii="Baskerville" w:hAnsi="Baskerville" w:cstheme="minorHAnsi"/>
          <w:color w:val="000000" w:themeColor="text1"/>
        </w:rPr>
        <w:t xml:space="preserve">being interviewed by journalists, </w:t>
      </w:r>
      <w:r w:rsidR="004D1EF9">
        <w:rPr>
          <w:rFonts w:ascii="Baskerville" w:hAnsi="Baskerville" w:cstheme="minorHAnsi"/>
          <w:color w:val="000000" w:themeColor="text1"/>
        </w:rPr>
        <w:t xml:space="preserve">likewise </w:t>
      </w:r>
      <w:r w:rsidR="00F74936">
        <w:rPr>
          <w:rFonts w:ascii="Baskerville" w:hAnsi="Baskerville" w:cstheme="minorHAnsi"/>
          <w:color w:val="000000" w:themeColor="text1"/>
        </w:rPr>
        <w:t>offers a</w:t>
      </w:r>
      <w:r w:rsidR="004D1EF9">
        <w:rPr>
          <w:rFonts w:ascii="Baskerville" w:hAnsi="Baskerville" w:cstheme="minorHAnsi"/>
          <w:color w:val="000000" w:themeColor="text1"/>
        </w:rPr>
        <w:t>nother</w:t>
      </w:r>
      <w:r w:rsidR="00F74936">
        <w:rPr>
          <w:rFonts w:ascii="Baskerville" w:hAnsi="Baskerville" w:cstheme="minorHAnsi"/>
          <w:color w:val="000000" w:themeColor="text1"/>
        </w:rPr>
        <w:t xml:space="preserve"> example</w:t>
      </w:r>
      <w:r w:rsidR="004D1EF9">
        <w:rPr>
          <w:rFonts w:ascii="Baskerville" w:hAnsi="Baskerville" w:cstheme="minorHAnsi"/>
          <w:color w:val="000000" w:themeColor="text1"/>
        </w:rPr>
        <w:t xml:space="preserve"> of the court’s vindicatory function</w:t>
      </w:r>
      <w:r w:rsidR="00F74936">
        <w:rPr>
          <w:rFonts w:ascii="Baskerville" w:hAnsi="Baskerville" w:cstheme="minorHAnsi"/>
          <w:color w:val="000000" w:themeColor="text1"/>
        </w:rPr>
        <w:t>. As All</w:t>
      </w:r>
      <w:r w:rsidR="00290F98">
        <w:rPr>
          <w:rFonts w:ascii="Baskerville" w:hAnsi="Baskerville" w:cstheme="minorHAnsi"/>
          <w:color w:val="000000" w:themeColor="text1"/>
        </w:rPr>
        <w:t>a</w:t>
      </w:r>
      <w:r w:rsidR="00F74936">
        <w:rPr>
          <w:rFonts w:ascii="Baskerville" w:hAnsi="Baskerville" w:cstheme="minorHAnsi"/>
          <w:color w:val="000000" w:themeColor="text1"/>
        </w:rPr>
        <w:t>n argues</w:t>
      </w:r>
      <w:r w:rsidR="0007128D">
        <w:rPr>
          <w:rFonts w:ascii="Baskerville" w:hAnsi="Baskerville" w:cstheme="minorHAnsi"/>
          <w:color w:val="000000" w:themeColor="text1"/>
        </w:rPr>
        <w:t>,</w:t>
      </w:r>
      <w:r w:rsidR="00F74936">
        <w:rPr>
          <w:rFonts w:ascii="Baskerville" w:hAnsi="Baskerville" w:cstheme="minorHAnsi"/>
          <w:color w:val="000000" w:themeColor="text1"/>
        </w:rPr>
        <w:t xml:space="preserve"> </w:t>
      </w:r>
      <w:r w:rsidR="0007128D">
        <w:rPr>
          <w:rFonts w:ascii="Baskerville" w:hAnsi="Baskerville" w:cstheme="minorHAnsi"/>
          <w:color w:val="000000" w:themeColor="text1"/>
        </w:rPr>
        <w:t>“</w:t>
      </w:r>
      <w:r w:rsidR="00F74936">
        <w:rPr>
          <w:rFonts w:ascii="Baskerville" w:hAnsi="Baskerville" w:cstheme="minorHAnsi"/>
          <w:color w:val="000000" w:themeColor="text1"/>
        </w:rPr>
        <w:t xml:space="preserve">the right of free speech, in </w:t>
      </w:r>
      <w:r w:rsidR="0007128D">
        <w:rPr>
          <w:rFonts w:ascii="Baskerville" w:hAnsi="Baskerville" w:cstheme="minorHAnsi"/>
          <w:color w:val="000000" w:themeColor="text1"/>
        </w:rPr>
        <w:t>the form of access to a journ</w:t>
      </w:r>
      <w:r w:rsidR="005921D2">
        <w:rPr>
          <w:rFonts w:ascii="Baskerville" w:hAnsi="Baskerville" w:cstheme="minorHAnsi"/>
          <w:color w:val="000000" w:themeColor="text1"/>
        </w:rPr>
        <w:t xml:space="preserve">alist, was affirmed at common </w:t>
      </w:r>
      <w:r w:rsidR="0007128D">
        <w:rPr>
          <w:rFonts w:ascii="Baskerville" w:hAnsi="Baskerville" w:cstheme="minorHAnsi"/>
          <w:color w:val="000000" w:themeColor="text1"/>
        </w:rPr>
        <w:t>l</w:t>
      </w:r>
      <w:r w:rsidR="005921D2">
        <w:rPr>
          <w:rFonts w:ascii="Baskerville" w:hAnsi="Baskerville" w:cstheme="minorHAnsi"/>
          <w:color w:val="000000" w:themeColor="text1"/>
        </w:rPr>
        <w:t>aw</w:t>
      </w:r>
      <w:r w:rsidR="0007128D">
        <w:rPr>
          <w:rFonts w:ascii="Baskerville" w:hAnsi="Baskerville" w:cstheme="minorHAnsi"/>
          <w:color w:val="000000" w:themeColor="text1"/>
        </w:rPr>
        <w:t xml:space="preserve"> as an important safeguard of personal liberty…” (2011: 159)</w:t>
      </w:r>
      <w:r w:rsidR="005139B4">
        <w:rPr>
          <w:rFonts w:ascii="Baskerville" w:hAnsi="Baskerville" w:cstheme="minorHAnsi"/>
          <w:color w:val="000000" w:themeColor="text1"/>
        </w:rPr>
        <w:t xml:space="preserve">. </w:t>
      </w:r>
      <w:r w:rsidR="006D5DA1">
        <w:rPr>
          <w:rFonts w:ascii="Baskerville" w:hAnsi="Baskerville" w:cstheme="minorHAnsi"/>
          <w:color w:val="000000" w:themeColor="text1"/>
        </w:rPr>
        <w:t>Here, the corresponding conception of administrative justice is that one that stresses the protection of liberty from, and vindication of rights against, excessive administration.</w:t>
      </w:r>
    </w:p>
    <w:p w14:paraId="36E74D39" w14:textId="77777777" w:rsidR="00A42016" w:rsidRDefault="00A42016" w:rsidP="00262092">
      <w:pPr>
        <w:spacing w:line="276" w:lineRule="auto"/>
        <w:rPr>
          <w:rFonts w:ascii="Baskerville" w:hAnsi="Baskerville"/>
          <w:iCs/>
        </w:rPr>
      </w:pPr>
    </w:p>
    <w:p w14:paraId="628A49FD" w14:textId="296DCDBB" w:rsidR="00A42016" w:rsidRPr="004D1EF9" w:rsidRDefault="00E62446" w:rsidP="001C29D6">
      <w:pPr>
        <w:pStyle w:val="Heading2"/>
      </w:pPr>
      <w:r>
        <w:t xml:space="preserve">The </w:t>
      </w:r>
      <w:r w:rsidR="00A21923">
        <w:t xml:space="preserve">Lower Right Quadrant: A </w:t>
      </w:r>
      <w:r>
        <w:t xml:space="preserve">Mediatory and </w:t>
      </w:r>
      <w:r w:rsidR="00870280">
        <w:t>Supervisory</w:t>
      </w:r>
      <w:r w:rsidR="004D1EF9">
        <w:t xml:space="preserve"> Function</w:t>
      </w:r>
    </w:p>
    <w:p w14:paraId="733EF48F" w14:textId="77777777" w:rsidR="00A21923" w:rsidRDefault="00A21923" w:rsidP="00A21923">
      <w:pPr>
        <w:spacing w:line="276" w:lineRule="auto"/>
        <w:rPr>
          <w:rFonts w:ascii="Baskerville" w:hAnsi="Baskerville"/>
        </w:rPr>
      </w:pPr>
    </w:p>
    <w:p w14:paraId="01CB671A" w14:textId="47DD5759" w:rsidR="00A21923" w:rsidRDefault="00DC791D" w:rsidP="001546BF">
      <w:pPr>
        <w:spacing w:line="276" w:lineRule="auto"/>
        <w:rPr>
          <w:rFonts w:ascii="Baskerville" w:hAnsi="Baskerville"/>
        </w:rPr>
      </w:pPr>
      <w:r>
        <w:rPr>
          <w:rFonts w:ascii="Baskerville" w:hAnsi="Baskerville"/>
        </w:rPr>
        <w:t xml:space="preserve">In the lower right </w:t>
      </w:r>
      <w:r w:rsidR="00A21923" w:rsidRPr="00262092">
        <w:rPr>
          <w:rFonts w:ascii="Baskerville" w:hAnsi="Baskerville"/>
        </w:rPr>
        <w:t>quadrant</w:t>
      </w:r>
      <w:r w:rsidR="00521F2A">
        <w:rPr>
          <w:rFonts w:ascii="Baskerville" w:hAnsi="Baskerville"/>
        </w:rPr>
        <w:t xml:space="preserve">, as with the upper right quadrant, society is conceived positively </w:t>
      </w:r>
      <w:r w:rsidR="002267D1">
        <w:rPr>
          <w:rFonts w:ascii="Baskerville" w:hAnsi="Baskerville"/>
        </w:rPr>
        <w:t>as</w:t>
      </w:r>
      <w:r w:rsidR="00A21923" w:rsidRPr="00262092">
        <w:rPr>
          <w:rFonts w:ascii="Baskerville" w:hAnsi="Baskerville"/>
        </w:rPr>
        <w:t xml:space="preserve"> </w:t>
      </w:r>
      <w:r w:rsidR="00521F2A">
        <w:rPr>
          <w:rFonts w:ascii="Baskerville" w:hAnsi="Baskerville"/>
        </w:rPr>
        <w:t>possessing</w:t>
      </w:r>
      <w:r w:rsidR="002267D1">
        <w:rPr>
          <w:rFonts w:ascii="Baskerville" w:hAnsi="Baskerville"/>
        </w:rPr>
        <w:t xml:space="preserve"> </w:t>
      </w:r>
      <w:r w:rsidR="00A21923" w:rsidRPr="00262092">
        <w:rPr>
          <w:rFonts w:ascii="Baskerville" w:hAnsi="Baskerville"/>
        </w:rPr>
        <w:t>a substan</w:t>
      </w:r>
      <w:r w:rsidR="00A21923">
        <w:rPr>
          <w:rFonts w:ascii="Baskerville" w:hAnsi="Baskerville"/>
        </w:rPr>
        <w:t xml:space="preserve">tive </w:t>
      </w:r>
      <w:r w:rsidR="00521F2A">
        <w:rPr>
          <w:rFonts w:ascii="Baskerville" w:hAnsi="Baskerville"/>
        </w:rPr>
        <w:t xml:space="preserve">shared </w:t>
      </w:r>
      <w:r w:rsidR="00A21923">
        <w:rPr>
          <w:rFonts w:ascii="Baskerville" w:hAnsi="Baskerville"/>
        </w:rPr>
        <w:t>account of the common good</w:t>
      </w:r>
      <w:r w:rsidR="00521F2A">
        <w:rPr>
          <w:rFonts w:ascii="Baskerville" w:hAnsi="Baskerville"/>
        </w:rPr>
        <w:t xml:space="preserve">, but this conception is qualified by the perception </w:t>
      </w:r>
      <w:r w:rsidR="00A21923">
        <w:rPr>
          <w:rFonts w:ascii="Baskerville" w:hAnsi="Baskerville"/>
        </w:rPr>
        <w:t xml:space="preserve">that </w:t>
      </w:r>
      <w:r w:rsidR="00A21923" w:rsidRPr="00262092">
        <w:rPr>
          <w:rFonts w:ascii="Baskerville" w:hAnsi="Baskerville"/>
        </w:rPr>
        <w:t xml:space="preserve">a </w:t>
      </w:r>
      <w:r w:rsidR="00A21923">
        <w:rPr>
          <w:rFonts w:ascii="Baskerville" w:hAnsi="Baskerville"/>
        </w:rPr>
        <w:t xml:space="preserve">polity characterised by </w:t>
      </w:r>
      <w:r w:rsidR="00A21923" w:rsidRPr="00262092">
        <w:rPr>
          <w:rFonts w:ascii="Baskerville" w:hAnsi="Baskerville"/>
        </w:rPr>
        <w:t>concord does</w:t>
      </w:r>
      <w:r w:rsidR="00A21923">
        <w:rPr>
          <w:rFonts w:ascii="Baskerville" w:hAnsi="Baskerville"/>
        </w:rPr>
        <w:t xml:space="preserve"> no</w:t>
      </w:r>
      <w:r w:rsidR="00A21923" w:rsidRPr="00262092">
        <w:rPr>
          <w:rFonts w:ascii="Baskerville" w:hAnsi="Baskerville"/>
        </w:rPr>
        <w:t>t create itself</w:t>
      </w:r>
      <w:r>
        <w:rPr>
          <w:rFonts w:ascii="Baskerville" w:hAnsi="Baskerville"/>
        </w:rPr>
        <w:t xml:space="preserve">.  </w:t>
      </w:r>
      <w:r w:rsidR="00521F2A">
        <w:rPr>
          <w:rFonts w:ascii="Baskerville" w:hAnsi="Baskerville"/>
        </w:rPr>
        <w:t xml:space="preserve">It </w:t>
      </w:r>
      <w:r w:rsidR="00521F2A" w:rsidRPr="00262092">
        <w:rPr>
          <w:rFonts w:ascii="Baskerville" w:hAnsi="Baskerville"/>
        </w:rPr>
        <w:t xml:space="preserve">is part of the purpose of the state to </w:t>
      </w:r>
      <w:r w:rsidR="00521F2A">
        <w:rPr>
          <w:rFonts w:ascii="Baskerville" w:hAnsi="Baskerville"/>
        </w:rPr>
        <w:t xml:space="preserve">define, </w:t>
      </w:r>
      <w:r w:rsidR="00521F2A" w:rsidRPr="00262092">
        <w:rPr>
          <w:rFonts w:ascii="Baskerville" w:hAnsi="Baskerville"/>
        </w:rPr>
        <w:t>realise and protect</w:t>
      </w:r>
      <w:r w:rsidR="00521F2A">
        <w:rPr>
          <w:rFonts w:ascii="Baskerville" w:hAnsi="Baskerville"/>
        </w:rPr>
        <w:t xml:space="preserve"> this common good, which </w:t>
      </w:r>
      <w:r>
        <w:rPr>
          <w:rFonts w:ascii="Baskerville" w:hAnsi="Baskerville"/>
        </w:rPr>
        <w:t>inevitably involves the handling of tensions, where the interests or preferences of private persons, communities</w:t>
      </w:r>
      <w:r w:rsidR="00521F2A">
        <w:rPr>
          <w:rFonts w:ascii="Baskerville" w:hAnsi="Baskerville"/>
        </w:rPr>
        <w:t>,</w:t>
      </w:r>
      <w:r>
        <w:rPr>
          <w:rFonts w:ascii="Baskerville" w:hAnsi="Baskerville"/>
        </w:rPr>
        <w:t xml:space="preserve"> and public bodies pull in different directions</w:t>
      </w:r>
      <w:r w:rsidR="00521F2A">
        <w:rPr>
          <w:rFonts w:ascii="Baskerville" w:hAnsi="Baskerville"/>
        </w:rPr>
        <w:t xml:space="preserve">.  </w:t>
      </w:r>
      <w:r w:rsidR="00A21923">
        <w:rPr>
          <w:rFonts w:ascii="Baskerville" w:hAnsi="Baskerville"/>
        </w:rPr>
        <w:t>However,</w:t>
      </w:r>
      <w:r w:rsidR="00A21923" w:rsidRPr="00262092">
        <w:rPr>
          <w:rFonts w:ascii="Baskerville" w:hAnsi="Baskerville"/>
        </w:rPr>
        <w:t xml:space="preserve"> whereas the upper right quadrant places weight on the </w:t>
      </w:r>
      <w:r>
        <w:rPr>
          <w:rFonts w:ascii="Baskerville" w:hAnsi="Baskerville"/>
        </w:rPr>
        <w:t>separateness</w:t>
      </w:r>
      <w:r w:rsidR="00A21923" w:rsidRPr="00262092">
        <w:rPr>
          <w:rFonts w:ascii="Baskerville" w:hAnsi="Baskerville"/>
        </w:rPr>
        <w:t xml:space="preserve"> of law and politics, the lower right, like the lower left quadrant, denies the specialnes</w:t>
      </w:r>
      <w:r w:rsidR="00A21923">
        <w:rPr>
          <w:rFonts w:ascii="Baskerville" w:hAnsi="Baskerville"/>
        </w:rPr>
        <w:t xml:space="preserve">s of law. Law, like politics, can be concerned with matters of substance. The courts </w:t>
      </w:r>
      <w:r>
        <w:rPr>
          <w:rFonts w:ascii="Baskerville" w:hAnsi="Baskerville"/>
        </w:rPr>
        <w:t xml:space="preserve">are concerned not just with promoting but also with developing the common good and </w:t>
      </w:r>
      <w:r w:rsidR="00A21923">
        <w:rPr>
          <w:rFonts w:ascii="Baskerville" w:hAnsi="Baskerville"/>
        </w:rPr>
        <w:t>should move</w:t>
      </w:r>
      <w:r w:rsidR="00A21923" w:rsidRPr="008503A6">
        <w:rPr>
          <w:rFonts w:ascii="Baskerville" w:hAnsi="Baskerville"/>
        </w:rPr>
        <w:t xml:space="preserve"> </w:t>
      </w:r>
      <w:r w:rsidR="00A21923">
        <w:rPr>
          <w:rFonts w:ascii="Baskerville" w:hAnsi="Baskerville"/>
        </w:rPr>
        <w:t>beyond</w:t>
      </w:r>
      <w:r w:rsidR="00A21923" w:rsidRPr="00262092">
        <w:rPr>
          <w:rFonts w:ascii="Baskerville" w:hAnsi="Baskerville"/>
        </w:rPr>
        <w:t xml:space="preserve"> formalistic procedural distinctions</w:t>
      </w:r>
      <w:r w:rsidR="00A21923">
        <w:rPr>
          <w:rFonts w:ascii="Baskerville" w:hAnsi="Baskerville"/>
        </w:rPr>
        <w:t xml:space="preserve"> that may inhibit </w:t>
      </w:r>
      <w:r>
        <w:rPr>
          <w:rFonts w:ascii="Baskerville" w:hAnsi="Baskerville"/>
        </w:rPr>
        <w:t xml:space="preserve">their </w:t>
      </w:r>
      <w:r w:rsidR="00A21923">
        <w:rPr>
          <w:rFonts w:ascii="Baskerville" w:hAnsi="Baskerville"/>
        </w:rPr>
        <w:t>effectiveness</w:t>
      </w:r>
      <w:r>
        <w:rPr>
          <w:rFonts w:ascii="Baskerville" w:hAnsi="Baskerville"/>
        </w:rPr>
        <w:t xml:space="preserve"> in so doing</w:t>
      </w:r>
      <w:r w:rsidR="00A21923" w:rsidRPr="00262092">
        <w:rPr>
          <w:rFonts w:ascii="Baskerville" w:hAnsi="Baskerville"/>
        </w:rPr>
        <w:t>.</w:t>
      </w:r>
      <w:r w:rsidR="00237CCA">
        <w:rPr>
          <w:rFonts w:ascii="Baskerville" w:hAnsi="Baskerville"/>
        </w:rPr>
        <w:t xml:space="preserve"> </w:t>
      </w:r>
      <w:r w:rsidR="00A21923">
        <w:rPr>
          <w:rFonts w:ascii="Baskerville" w:hAnsi="Baskerville"/>
        </w:rPr>
        <w:t xml:space="preserve">Judicial review thus takes an active and substantive role in </w:t>
      </w:r>
      <w:r>
        <w:rPr>
          <w:rFonts w:ascii="Baskerville" w:hAnsi="Baskerville"/>
        </w:rPr>
        <w:t xml:space="preserve">developing and furthering </w:t>
      </w:r>
      <w:r w:rsidR="00A21923">
        <w:rPr>
          <w:rFonts w:ascii="Baskerville" w:hAnsi="Baskerville"/>
        </w:rPr>
        <w:t xml:space="preserve">the vision of the </w:t>
      </w:r>
      <w:r w:rsidR="00DD5AB3">
        <w:rPr>
          <w:rFonts w:ascii="Baskerville" w:hAnsi="Baskerville"/>
        </w:rPr>
        <w:t xml:space="preserve">common </w:t>
      </w:r>
      <w:r w:rsidR="00A21923">
        <w:rPr>
          <w:rFonts w:ascii="Baskerville" w:hAnsi="Baskerville"/>
        </w:rPr>
        <w:t xml:space="preserve">good </w:t>
      </w:r>
      <w:r>
        <w:rPr>
          <w:rFonts w:ascii="Baskerville" w:hAnsi="Baskerville"/>
        </w:rPr>
        <w:t>by</w:t>
      </w:r>
      <w:r w:rsidR="00A21923">
        <w:rPr>
          <w:rFonts w:ascii="Baskerville" w:hAnsi="Baskerville"/>
        </w:rPr>
        <w:t xml:space="preserve"> managing tensions and mediating conflicting interests and preferences </w:t>
      </w:r>
      <w:r>
        <w:rPr>
          <w:rFonts w:ascii="Baskerville" w:hAnsi="Baskerville"/>
        </w:rPr>
        <w:t>within the polity</w:t>
      </w:r>
      <w:r w:rsidR="00DD5AB3">
        <w:rPr>
          <w:rFonts w:ascii="Baskerville" w:hAnsi="Baskerville"/>
        </w:rPr>
        <w:t xml:space="preserve">, </w:t>
      </w:r>
      <w:r w:rsidR="00A21923">
        <w:rPr>
          <w:rFonts w:ascii="Baskerville" w:hAnsi="Baskerville"/>
        </w:rPr>
        <w:t>support</w:t>
      </w:r>
      <w:r w:rsidR="00DD5AB3">
        <w:rPr>
          <w:rFonts w:ascii="Baskerville" w:hAnsi="Baskerville"/>
        </w:rPr>
        <w:t>ing</w:t>
      </w:r>
      <w:r w:rsidR="00A21923">
        <w:rPr>
          <w:rFonts w:ascii="Baskerville" w:hAnsi="Baskerville"/>
        </w:rPr>
        <w:t xml:space="preserve"> the development of compromise and co-operation, </w:t>
      </w:r>
      <w:r w:rsidR="00DD5AB3">
        <w:rPr>
          <w:rFonts w:ascii="Baskerville" w:hAnsi="Baskerville"/>
        </w:rPr>
        <w:t xml:space="preserve">and </w:t>
      </w:r>
      <w:r w:rsidR="00A21923">
        <w:rPr>
          <w:rFonts w:ascii="Baskerville" w:hAnsi="Baskerville"/>
        </w:rPr>
        <w:t xml:space="preserve">offering frameworks for enduring and productive relations. At times, </w:t>
      </w:r>
      <w:r w:rsidR="00715AA9">
        <w:rPr>
          <w:rFonts w:ascii="Baskerville" w:hAnsi="Baskerville"/>
        </w:rPr>
        <w:t>t</w:t>
      </w:r>
      <w:r w:rsidR="00DD5AB3">
        <w:rPr>
          <w:rFonts w:ascii="Baskerville" w:hAnsi="Baskerville"/>
        </w:rPr>
        <w:t xml:space="preserve">his </w:t>
      </w:r>
      <w:r w:rsidR="00A21923">
        <w:rPr>
          <w:rFonts w:ascii="Baskerville" w:hAnsi="Baskerville"/>
        </w:rPr>
        <w:t xml:space="preserve">may </w:t>
      </w:r>
      <w:r w:rsidR="00DD5AB3">
        <w:rPr>
          <w:rFonts w:ascii="Baskerville" w:hAnsi="Baskerville"/>
        </w:rPr>
        <w:t>require</w:t>
      </w:r>
      <w:r w:rsidR="00A21923">
        <w:rPr>
          <w:rFonts w:ascii="Baskerville" w:hAnsi="Baskerville"/>
        </w:rPr>
        <w:t xml:space="preserve"> </w:t>
      </w:r>
      <w:r w:rsidR="00DD5AB3">
        <w:rPr>
          <w:rFonts w:ascii="Baskerville" w:hAnsi="Baskerville"/>
        </w:rPr>
        <w:t xml:space="preserve">courts to take on </w:t>
      </w:r>
      <w:r w:rsidR="00BD2A1D">
        <w:rPr>
          <w:rFonts w:ascii="Baskerville" w:hAnsi="Baskerville"/>
        </w:rPr>
        <w:t xml:space="preserve">an intrusive and </w:t>
      </w:r>
      <w:r w:rsidR="00A21923">
        <w:rPr>
          <w:rFonts w:ascii="Baskerville" w:hAnsi="Baskerville"/>
        </w:rPr>
        <w:t xml:space="preserve">invasive </w:t>
      </w:r>
      <w:r w:rsidR="00BD2A1D">
        <w:rPr>
          <w:rFonts w:ascii="Baskerville" w:hAnsi="Baskerville"/>
        </w:rPr>
        <w:t>role</w:t>
      </w:r>
      <w:r w:rsidR="00A21923">
        <w:rPr>
          <w:rFonts w:ascii="Baskerville" w:hAnsi="Baskerville"/>
        </w:rPr>
        <w:t xml:space="preserve">, such as </w:t>
      </w:r>
      <w:r w:rsidR="00BD2A1D">
        <w:rPr>
          <w:rFonts w:ascii="Baskerville" w:hAnsi="Baskerville"/>
        </w:rPr>
        <w:t xml:space="preserve">assuming </w:t>
      </w:r>
      <w:r w:rsidR="00A21923">
        <w:rPr>
          <w:rFonts w:ascii="Baskerville" w:hAnsi="Baskerville"/>
        </w:rPr>
        <w:t xml:space="preserve">continuing oversight of a course of reconciliatory action. Thus, in the lower right quadrant, the principal contribution of judicial review to administrative justice is its </w:t>
      </w:r>
      <w:r w:rsidR="00A21923">
        <w:rPr>
          <w:rFonts w:ascii="Baskerville" w:hAnsi="Baskerville"/>
          <w:i/>
        </w:rPr>
        <w:t>mediatory</w:t>
      </w:r>
      <w:r w:rsidR="00A21923">
        <w:rPr>
          <w:rFonts w:ascii="Baskerville" w:hAnsi="Baskerville"/>
        </w:rPr>
        <w:t xml:space="preserve"> and </w:t>
      </w:r>
      <w:r w:rsidR="00A21923">
        <w:rPr>
          <w:rFonts w:ascii="Baskerville" w:hAnsi="Baskerville"/>
          <w:i/>
        </w:rPr>
        <w:t xml:space="preserve">supervisory </w:t>
      </w:r>
      <w:r w:rsidR="00A21923">
        <w:rPr>
          <w:rFonts w:ascii="Baskerville" w:hAnsi="Baskerville"/>
        </w:rPr>
        <w:t>function.</w:t>
      </w:r>
      <w:r w:rsidR="00BD2A1D">
        <w:rPr>
          <w:rFonts w:ascii="Baskerville" w:hAnsi="Baskerville"/>
        </w:rPr>
        <w:t xml:space="preserve"> </w:t>
      </w:r>
    </w:p>
    <w:p w14:paraId="41015434" w14:textId="77777777" w:rsidR="00A21923" w:rsidRDefault="00A21923" w:rsidP="00054262">
      <w:pPr>
        <w:spacing w:line="276" w:lineRule="auto"/>
        <w:rPr>
          <w:rFonts w:ascii="Baskerville" w:hAnsi="Baskerville"/>
          <w:iCs/>
        </w:rPr>
      </w:pPr>
    </w:p>
    <w:p w14:paraId="6CEF64B4" w14:textId="20D8FC60" w:rsidR="00285312" w:rsidRDefault="00401562" w:rsidP="001546BF">
      <w:pPr>
        <w:spacing w:line="276" w:lineRule="auto"/>
        <w:rPr>
          <w:rFonts w:ascii="Baskerville" w:hAnsi="Baskerville"/>
          <w:iCs/>
        </w:rPr>
      </w:pPr>
      <w:r>
        <w:rPr>
          <w:rFonts w:ascii="Baskerville" w:hAnsi="Baskerville"/>
          <w:iCs/>
        </w:rPr>
        <w:t xml:space="preserve">The doctrine of proportionality in European law, now received into UK law in relation to human rights jurisprudence, offers an example of the courts performing a mediatory function. </w:t>
      </w:r>
      <w:r w:rsidR="00B52EAE">
        <w:rPr>
          <w:rFonts w:ascii="Baskerville" w:hAnsi="Baskerville"/>
          <w:iCs/>
        </w:rPr>
        <w:t>Amongst the doctrines of public law, the</w:t>
      </w:r>
      <w:r>
        <w:rPr>
          <w:rFonts w:ascii="Baskerville" w:hAnsi="Baskerville"/>
          <w:iCs/>
        </w:rPr>
        <w:t xml:space="preserve"> proportionality doctrine is </w:t>
      </w:r>
      <w:r w:rsidR="00B52EAE">
        <w:rPr>
          <w:rFonts w:ascii="Baskerville" w:hAnsi="Baskerville"/>
          <w:iCs/>
        </w:rPr>
        <w:t xml:space="preserve">a </w:t>
      </w:r>
      <w:r w:rsidR="00140FF9">
        <w:rPr>
          <w:rFonts w:ascii="Baskerville" w:hAnsi="Baskerville"/>
          <w:iCs/>
        </w:rPr>
        <w:t>particularly good</w:t>
      </w:r>
      <w:r w:rsidR="00B52EAE">
        <w:rPr>
          <w:rFonts w:ascii="Baskerville" w:hAnsi="Baskerville"/>
          <w:iCs/>
        </w:rPr>
        <w:t xml:space="preserve"> example of the </w:t>
      </w:r>
      <w:r w:rsidR="00FB32C9">
        <w:rPr>
          <w:rFonts w:ascii="Baskerville" w:hAnsi="Baskerville"/>
          <w:iCs/>
        </w:rPr>
        <w:t>Janus-faced</w:t>
      </w:r>
      <w:r w:rsidR="00B52EAE">
        <w:rPr>
          <w:rFonts w:ascii="Baskerville" w:hAnsi="Baskerville"/>
          <w:iCs/>
        </w:rPr>
        <w:t xml:space="preserve"> character of </w:t>
      </w:r>
      <w:r w:rsidR="0055463E">
        <w:rPr>
          <w:rFonts w:ascii="Baskerville" w:hAnsi="Baskerville"/>
          <w:iCs/>
        </w:rPr>
        <w:t>administrative law</w:t>
      </w:r>
      <w:r w:rsidR="00DA3029">
        <w:rPr>
          <w:rFonts w:ascii="Baskerville" w:hAnsi="Baskerville"/>
          <w:iCs/>
        </w:rPr>
        <w:t xml:space="preserve"> (Craig, 2017)</w:t>
      </w:r>
      <w:r w:rsidR="00B52EAE">
        <w:rPr>
          <w:rFonts w:ascii="Baskerville" w:hAnsi="Baskerville"/>
          <w:iCs/>
        </w:rPr>
        <w:t>,</w:t>
      </w:r>
      <w:r w:rsidR="00FB32C9">
        <w:rPr>
          <w:rFonts w:ascii="Baskerville" w:hAnsi="Baskerville"/>
          <w:iCs/>
        </w:rPr>
        <w:t xml:space="preserve"> </w:t>
      </w:r>
      <w:r w:rsidR="00B52EAE">
        <w:rPr>
          <w:rFonts w:ascii="Baskerville" w:hAnsi="Baskerville"/>
          <w:iCs/>
        </w:rPr>
        <w:t>attempting</w:t>
      </w:r>
      <w:r w:rsidR="00FB32C9">
        <w:rPr>
          <w:rFonts w:ascii="Baskerville" w:hAnsi="Baskerville"/>
          <w:iCs/>
        </w:rPr>
        <w:t xml:space="preserve"> </w:t>
      </w:r>
      <w:r w:rsidR="00B52EAE">
        <w:rPr>
          <w:rFonts w:ascii="Baskerville" w:hAnsi="Baskerville"/>
          <w:iCs/>
        </w:rPr>
        <w:t xml:space="preserve">as it does </w:t>
      </w:r>
      <w:r w:rsidR="00FB32C9">
        <w:rPr>
          <w:rFonts w:ascii="Baskerville" w:hAnsi="Baskerville"/>
          <w:iCs/>
        </w:rPr>
        <w:t xml:space="preserve">a form of reconciliation between competing </w:t>
      </w:r>
      <w:r w:rsidR="00B52EAE">
        <w:rPr>
          <w:rFonts w:ascii="Baskerville" w:hAnsi="Baskerville"/>
          <w:iCs/>
        </w:rPr>
        <w:t xml:space="preserve">and incommensurable </w:t>
      </w:r>
      <w:r w:rsidR="00FB32C9">
        <w:rPr>
          <w:rFonts w:ascii="Baskerville" w:hAnsi="Baskerville"/>
          <w:iCs/>
        </w:rPr>
        <w:t>interest</w:t>
      </w:r>
      <w:r w:rsidR="00B52EAE">
        <w:rPr>
          <w:rFonts w:ascii="Baskerville" w:hAnsi="Baskerville"/>
          <w:iCs/>
        </w:rPr>
        <w:t>s (Endicott, 2014)</w:t>
      </w:r>
      <w:r w:rsidR="00FB32C9">
        <w:rPr>
          <w:rFonts w:ascii="Baskerville" w:hAnsi="Baskerville"/>
          <w:iCs/>
        </w:rPr>
        <w:t xml:space="preserve">. Facing one way, it seeks to respect the expertise and preferences of government in deciding how to promote the public good; facing the other, it tries to minimise the impact of such public action on the interests of the </w:t>
      </w:r>
      <w:r w:rsidR="007659A8">
        <w:rPr>
          <w:rFonts w:ascii="Baskerville" w:hAnsi="Baskerville"/>
          <w:iCs/>
        </w:rPr>
        <w:t xml:space="preserve">private person </w:t>
      </w:r>
      <w:r w:rsidR="00FB32C9">
        <w:rPr>
          <w:rFonts w:ascii="Baskerville" w:hAnsi="Baskerville"/>
          <w:iCs/>
        </w:rPr>
        <w:t>affected.</w:t>
      </w:r>
      <w:r w:rsidR="001546BF">
        <w:rPr>
          <w:rFonts w:ascii="Baskerville" w:hAnsi="Baskerville"/>
          <w:iCs/>
        </w:rPr>
        <w:t xml:space="preserve">  In doing so, it instantiates a key feature of the mediatory function in which the court is directly involved in balancing the interests of private persons against the interests of government, unlike the hortatory view where the court merely sets out principles to which the government should have regard when taking action which could impinge on the interests of private persons.</w:t>
      </w:r>
    </w:p>
    <w:p w14:paraId="08DED6F8" w14:textId="77777777" w:rsidR="00D45956" w:rsidRDefault="00D45956" w:rsidP="00262092">
      <w:pPr>
        <w:spacing w:line="276" w:lineRule="auto"/>
        <w:rPr>
          <w:rFonts w:ascii="Baskerville" w:hAnsi="Baskerville"/>
          <w:iCs/>
        </w:rPr>
      </w:pPr>
    </w:p>
    <w:p w14:paraId="3F1B63AB" w14:textId="6F41CE8D" w:rsidR="00CC3883" w:rsidRDefault="00CC3883" w:rsidP="00936455">
      <w:pPr>
        <w:spacing w:line="276" w:lineRule="auto"/>
        <w:rPr>
          <w:rFonts w:ascii="Baskerville" w:hAnsi="Baskerville"/>
          <w:iCs/>
        </w:rPr>
      </w:pPr>
      <w:r>
        <w:rPr>
          <w:rFonts w:ascii="Baskerville" w:hAnsi="Baskerville"/>
          <w:iCs/>
        </w:rPr>
        <w:lastRenderedPageBreak/>
        <w:t xml:space="preserve">Article 89 of the Norwegian constitution provides a </w:t>
      </w:r>
      <w:r w:rsidR="00AB19C2">
        <w:rPr>
          <w:rFonts w:ascii="Baskerville" w:hAnsi="Baskerville"/>
          <w:iCs/>
        </w:rPr>
        <w:t>second</w:t>
      </w:r>
      <w:r>
        <w:rPr>
          <w:rFonts w:ascii="Baskerville" w:hAnsi="Baskerville"/>
          <w:iCs/>
        </w:rPr>
        <w:t xml:space="preserve"> example of a legal provision that seeks to give concrete effect to the mediatory and supervisory function of the courts.  The article provides that c</w:t>
      </w:r>
      <w:r w:rsidRPr="00CC3883">
        <w:rPr>
          <w:rFonts w:ascii="Baskerville" w:hAnsi="Baskerville"/>
          <w:iCs/>
        </w:rPr>
        <w:t xml:space="preserve">ourts have </w:t>
      </w:r>
      <w:r>
        <w:rPr>
          <w:rFonts w:ascii="Baskerville" w:hAnsi="Baskerville"/>
          <w:iCs/>
        </w:rPr>
        <w:t>a</w:t>
      </w:r>
      <w:r w:rsidRPr="00CC3883">
        <w:rPr>
          <w:rFonts w:ascii="Baskerville" w:hAnsi="Baskerville"/>
          <w:iCs/>
        </w:rPr>
        <w:t xml:space="preserve"> </w:t>
      </w:r>
      <w:r>
        <w:rPr>
          <w:rFonts w:ascii="Baskerville" w:hAnsi="Baskerville"/>
          <w:iCs/>
        </w:rPr>
        <w:t>‘</w:t>
      </w:r>
      <w:r w:rsidRPr="00CC3883">
        <w:rPr>
          <w:rFonts w:ascii="Baskerville" w:hAnsi="Baskerville"/>
          <w:iCs/>
        </w:rPr>
        <w:t>power and duty</w:t>
      </w:r>
      <w:r>
        <w:rPr>
          <w:rFonts w:ascii="Baskerville" w:hAnsi="Baskerville"/>
          <w:iCs/>
        </w:rPr>
        <w:t>’</w:t>
      </w:r>
      <w:r w:rsidRPr="00CC3883">
        <w:rPr>
          <w:rFonts w:ascii="Baskerville" w:hAnsi="Baskerville"/>
          <w:iCs/>
        </w:rPr>
        <w:t xml:space="preserve"> to review whether </w:t>
      </w:r>
      <w:r w:rsidR="003D2ADE">
        <w:rPr>
          <w:rFonts w:ascii="Baskerville" w:hAnsi="Baskerville"/>
          <w:iCs/>
        </w:rPr>
        <w:t xml:space="preserve">giving effect to a decision taken in exercise of public authority </w:t>
      </w:r>
      <w:r>
        <w:rPr>
          <w:rFonts w:ascii="Baskerville" w:hAnsi="Baskerville"/>
          <w:iCs/>
        </w:rPr>
        <w:t>would ‘contravene</w:t>
      </w:r>
      <w:r w:rsidRPr="00CC3883">
        <w:rPr>
          <w:rFonts w:ascii="Baskerville" w:hAnsi="Baskerville"/>
          <w:iCs/>
        </w:rPr>
        <w:t xml:space="preserve"> the Constitution or the law of the land</w:t>
      </w:r>
      <w:r>
        <w:rPr>
          <w:rFonts w:ascii="Baskerville" w:hAnsi="Baskerville"/>
          <w:iCs/>
        </w:rPr>
        <w:t>’</w:t>
      </w:r>
      <w:r w:rsidRPr="00CC3883">
        <w:rPr>
          <w:rFonts w:ascii="Baskerville" w:hAnsi="Baskerville"/>
          <w:iCs/>
        </w:rPr>
        <w:t>.</w:t>
      </w:r>
      <w:r>
        <w:rPr>
          <w:rFonts w:ascii="Baskerville" w:hAnsi="Baskerville"/>
          <w:iCs/>
        </w:rPr>
        <w:t xml:space="preserve">  </w:t>
      </w:r>
      <w:r w:rsidR="00936455">
        <w:rPr>
          <w:rFonts w:ascii="Baskerville" w:hAnsi="Baskerville"/>
          <w:iCs/>
        </w:rPr>
        <w:t xml:space="preserve">It is important to note that the courts are not the main source of external redress against administrative decisions in Norway: specialised tribunals are.  </w:t>
      </w:r>
      <w:r w:rsidR="00936455">
        <w:rPr>
          <w:rFonts w:ascii="Baskerville" w:hAnsi="Baskerville"/>
          <w:iCs/>
          <w:lang w:val="en-GB"/>
        </w:rPr>
        <w:t>I</w:t>
      </w:r>
      <w:r w:rsidR="00936455" w:rsidRPr="00936455">
        <w:rPr>
          <w:rFonts w:ascii="Baskerville" w:hAnsi="Baskerville"/>
          <w:iCs/>
          <w:lang w:val="en-GB"/>
        </w:rPr>
        <w:t>n a typical year, around 30,000 cases are heard by specialised tribunals</w:t>
      </w:r>
      <w:r w:rsidR="00936455">
        <w:rPr>
          <w:rFonts w:ascii="Baskerville" w:hAnsi="Baskerville"/>
          <w:iCs/>
          <w:lang w:val="en-GB"/>
        </w:rPr>
        <w:t>,</w:t>
      </w:r>
      <w:r w:rsidR="00936455" w:rsidRPr="00936455">
        <w:rPr>
          <w:rFonts w:ascii="Baskerville" w:hAnsi="Baskerville"/>
          <w:iCs/>
          <w:lang w:val="en-GB"/>
        </w:rPr>
        <w:t xml:space="preserve"> as against only 1,000 in judicial review and 1,500 through the ombudsman system (</w:t>
      </w:r>
      <w:proofErr w:type="spellStart"/>
      <w:r w:rsidR="00936455" w:rsidRPr="00936455">
        <w:rPr>
          <w:rFonts w:ascii="Baskerville" w:hAnsi="Baskerville"/>
          <w:iCs/>
          <w:lang w:val="en-GB"/>
        </w:rPr>
        <w:t>Difi</w:t>
      </w:r>
      <w:proofErr w:type="spellEnd"/>
      <w:r w:rsidR="00936455" w:rsidRPr="00936455">
        <w:rPr>
          <w:rFonts w:ascii="Baskerville" w:hAnsi="Baskerville"/>
          <w:iCs/>
          <w:lang w:val="en-GB"/>
        </w:rPr>
        <w:t>, 2014: 8—9).</w:t>
      </w:r>
      <w:r w:rsidR="00936455">
        <w:rPr>
          <w:rFonts w:ascii="Baskerville" w:hAnsi="Baskerville"/>
          <w:iCs/>
          <w:lang w:val="en-GB"/>
        </w:rPr>
        <w:t xml:space="preserve"> </w:t>
      </w:r>
      <w:r w:rsidR="00936455">
        <w:rPr>
          <w:rFonts w:ascii="Baskerville" w:hAnsi="Baskerville"/>
          <w:iCs/>
        </w:rPr>
        <w:t>T</w:t>
      </w:r>
      <w:r w:rsidR="005B351A">
        <w:rPr>
          <w:rFonts w:ascii="Baskerville" w:hAnsi="Baskerville"/>
          <w:iCs/>
        </w:rPr>
        <w:t>he provision’s</w:t>
      </w:r>
      <w:r w:rsidR="00936455">
        <w:rPr>
          <w:rFonts w:ascii="Baskerville" w:hAnsi="Baskerville"/>
          <w:iCs/>
        </w:rPr>
        <w:t xml:space="preserve"> </w:t>
      </w:r>
      <w:r w:rsidR="005B351A">
        <w:rPr>
          <w:rFonts w:ascii="Baskerville" w:hAnsi="Baskerville"/>
          <w:iCs/>
        </w:rPr>
        <w:t xml:space="preserve">emphasis on giving effect to a decision </w:t>
      </w:r>
      <w:r w:rsidR="00936455">
        <w:rPr>
          <w:rFonts w:ascii="Baskerville" w:hAnsi="Baskerville"/>
          <w:iCs/>
        </w:rPr>
        <w:t>structures</w:t>
      </w:r>
      <w:r w:rsidR="005B351A">
        <w:rPr>
          <w:rFonts w:ascii="Baskerville" w:hAnsi="Baskerville"/>
          <w:iCs/>
        </w:rPr>
        <w:t xml:space="preserve"> </w:t>
      </w:r>
      <w:r w:rsidR="00936455">
        <w:rPr>
          <w:rFonts w:ascii="Baskerville" w:hAnsi="Baskerville"/>
          <w:iCs/>
        </w:rPr>
        <w:t xml:space="preserve">the judicial role, stressing </w:t>
      </w:r>
      <w:r w:rsidR="005B351A">
        <w:rPr>
          <w:rFonts w:ascii="Baskerville" w:hAnsi="Baskerville"/>
          <w:iCs/>
        </w:rPr>
        <w:t>that the focus of the courts is intended to be on ‘concrete control’, in the sense of considering the actual application of the law in a specific case, rather than the ‘abstract control’</w:t>
      </w:r>
      <w:r w:rsidR="001F6327">
        <w:rPr>
          <w:rFonts w:ascii="Baskerville" w:hAnsi="Baskerville"/>
          <w:iCs/>
        </w:rPr>
        <w:t>,</w:t>
      </w:r>
      <w:r w:rsidR="005B351A">
        <w:rPr>
          <w:rFonts w:ascii="Baskerville" w:hAnsi="Baskerville"/>
          <w:iCs/>
        </w:rPr>
        <w:t xml:space="preserve"> commonly associated with constitutional courts on the continental model</w:t>
      </w:r>
      <w:r w:rsidR="001F6327">
        <w:rPr>
          <w:rFonts w:ascii="Baskerville" w:hAnsi="Baskerville"/>
          <w:iCs/>
        </w:rPr>
        <w:t>, where the focus is on considering the general validity or legality of a law</w:t>
      </w:r>
      <w:r w:rsidR="005B351A">
        <w:rPr>
          <w:rFonts w:ascii="Baskerville" w:hAnsi="Baskerville"/>
          <w:iCs/>
        </w:rPr>
        <w:t xml:space="preserve"> (</w:t>
      </w:r>
      <w:proofErr w:type="spellStart"/>
      <w:r w:rsidR="005B351A">
        <w:rPr>
          <w:rFonts w:ascii="Baskerville" w:hAnsi="Baskerville"/>
          <w:iCs/>
        </w:rPr>
        <w:t>Storinget</w:t>
      </w:r>
      <w:proofErr w:type="spellEnd"/>
      <w:r w:rsidR="005B351A">
        <w:rPr>
          <w:rFonts w:ascii="Baskerville" w:hAnsi="Baskerville"/>
          <w:iCs/>
        </w:rPr>
        <w:t>, 2016: 2).</w:t>
      </w:r>
      <w:r w:rsidR="00936455">
        <w:rPr>
          <w:rFonts w:ascii="Baskerville" w:hAnsi="Baskerville"/>
          <w:iCs/>
        </w:rPr>
        <w:t xml:space="preserve">  This is canonically a task associated with the supervisory and mediatory function.</w:t>
      </w:r>
    </w:p>
    <w:p w14:paraId="5B075EAC" w14:textId="77777777" w:rsidR="00AB19C2" w:rsidRDefault="00AB19C2" w:rsidP="00AB19C2">
      <w:pPr>
        <w:spacing w:line="276" w:lineRule="auto"/>
        <w:rPr>
          <w:rFonts w:ascii="Baskerville" w:hAnsi="Baskerville"/>
          <w:iCs/>
        </w:rPr>
      </w:pPr>
    </w:p>
    <w:p w14:paraId="44C7C4AD" w14:textId="12D96106" w:rsidR="00AB19C2" w:rsidRDefault="00AB19C2" w:rsidP="003A0DBE">
      <w:pPr>
        <w:spacing w:line="276" w:lineRule="auto"/>
        <w:rPr>
          <w:rFonts w:ascii="Baskerville" w:hAnsi="Baskerville"/>
          <w:iCs/>
        </w:rPr>
      </w:pPr>
      <w:r>
        <w:rPr>
          <w:rFonts w:ascii="Baskerville" w:hAnsi="Baskerville"/>
          <w:iCs/>
        </w:rPr>
        <w:t>We might also detect broader mediatory ambitions for judicial review in some mid-20</w:t>
      </w:r>
      <w:r w:rsidRPr="00A16D7A">
        <w:rPr>
          <w:rFonts w:ascii="Baskerville" w:hAnsi="Baskerville"/>
          <w:iCs/>
          <w:vertAlign w:val="superscript"/>
        </w:rPr>
        <w:t>th</w:t>
      </w:r>
      <w:r>
        <w:rPr>
          <w:rFonts w:ascii="Baskerville" w:hAnsi="Baskerville"/>
          <w:iCs/>
        </w:rPr>
        <w:t xml:space="preserve"> century reform thinking about administrative justice, particularly amongst those influenced by the realist conviction that the judicial review of administrative decisions is itself inevitably an act of administration (Mitchell, 1966: 142). </w:t>
      </w:r>
      <w:r w:rsidR="003A0DBE">
        <w:rPr>
          <w:rFonts w:ascii="Baskerville" w:hAnsi="Baskerville"/>
          <w:iCs/>
        </w:rPr>
        <w:t>As two of the authors have noted elsewhere, s</w:t>
      </w:r>
      <w:r>
        <w:rPr>
          <w:rFonts w:ascii="Baskerville" w:hAnsi="Baskerville"/>
          <w:iCs/>
        </w:rPr>
        <w:t xml:space="preserve">uch realism, combined with an optimism about the capacity of the courts to contribute positively to the betterment of society, led </w:t>
      </w:r>
      <w:r w:rsidR="003A0DBE">
        <w:rPr>
          <w:rFonts w:ascii="Baskerville" w:hAnsi="Baskerville"/>
          <w:iCs/>
        </w:rPr>
        <w:t>many mid-20</w:t>
      </w:r>
      <w:r w:rsidR="003A0DBE" w:rsidRPr="003A0DBE">
        <w:rPr>
          <w:rFonts w:ascii="Baskerville" w:hAnsi="Baskerville"/>
          <w:iCs/>
          <w:vertAlign w:val="superscript"/>
        </w:rPr>
        <w:t>th</w:t>
      </w:r>
      <w:r w:rsidR="003A0DBE">
        <w:rPr>
          <w:rFonts w:ascii="Baskerville" w:hAnsi="Baskerville"/>
          <w:iCs/>
        </w:rPr>
        <w:t xml:space="preserve"> century jurists</w:t>
      </w:r>
      <w:r>
        <w:rPr>
          <w:rFonts w:ascii="Baskerville" w:hAnsi="Baskerville"/>
          <w:iCs/>
        </w:rPr>
        <w:t xml:space="preserve"> to advocate developing a common law of public administration </w:t>
      </w:r>
      <w:r w:rsidR="003A0DBE">
        <w:rPr>
          <w:rFonts w:ascii="Baskerville" w:hAnsi="Baskerville"/>
          <w:iCs/>
        </w:rPr>
        <w:t xml:space="preserve">which would speak directly to the balance between public purposes and private interests, and through mediating conflicts </w:t>
      </w:r>
      <w:r>
        <w:rPr>
          <w:rFonts w:ascii="Baskerville" w:hAnsi="Baskerville"/>
          <w:iCs/>
        </w:rPr>
        <w:t xml:space="preserve">reconcile the tensions between </w:t>
      </w:r>
      <w:r w:rsidR="003A0DBE">
        <w:rPr>
          <w:rFonts w:ascii="Baskerville" w:hAnsi="Baskerville"/>
          <w:iCs/>
        </w:rPr>
        <w:t xml:space="preserve">them </w:t>
      </w:r>
      <w:r>
        <w:rPr>
          <w:rFonts w:ascii="Baskerville" w:hAnsi="Baskerville"/>
          <w:iCs/>
        </w:rPr>
        <w:t xml:space="preserve">(Arvind and </w:t>
      </w:r>
      <w:proofErr w:type="spellStart"/>
      <w:r>
        <w:rPr>
          <w:rFonts w:ascii="Baskerville" w:hAnsi="Baskerville"/>
          <w:iCs/>
        </w:rPr>
        <w:t>Stirton</w:t>
      </w:r>
      <w:proofErr w:type="spellEnd"/>
      <w:r>
        <w:rPr>
          <w:rFonts w:ascii="Baskerville" w:hAnsi="Baskerville"/>
          <w:iCs/>
        </w:rPr>
        <w:t>, 2017: 90-91)</w:t>
      </w:r>
      <w:r w:rsidR="00EC3BE1">
        <w:rPr>
          <w:rFonts w:ascii="Baskerville" w:hAnsi="Baskerville"/>
          <w:iCs/>
        </w:rPr>
        <w:t>.</w:t>
      </w:r>
    </w:p>
    <w:p w14:paraId="18CB7FA6" w14:textId="77777777" w:rsidR="00CC3883" w:rsidRDefault="00CC3883" w:rsidP="00CC3883">
      <w:pPr>
        <w:spacing w:line="276" w:lineRule="auto"/>
        <w:rPr>
          <w:rFonts w:ascii="Baskerville" w:hAnsi="Baskerville"/>
          <w:iCs/>
        </w:rPr>
      </w:pPr>
    </w:p>
    <w:p w14:paraId="42524107" w14:textId="6D6857B6" w:rsidR="00D45956" w:rsidRDefault="00CC3883" w:rsidP="00CC3883">
      <w:pPr>
        <w:spacing w:line="276" w:lineRule="auto"/>
        <w:rPr>
          <w:rFonts w:ascii="Baskerville" w:hAnsi="Baskerville"/>
          <w:iCs/>
        </w:rPr>
      </w:pPr>
      <w:r>
        <w:rPr>
          <w:rFonts w:ascii="Baskerville" w:hAnsi="Baskerville"/>
          <w:iCs/>
        </w:rPr>
        <w:t xml:space="preserve">Alternatively, such </w:t>
      </w:r>
      <w:r w:rsidR="00A16D7A">
        <w:rPr>
          <w:rFonts w:ascii="Baskerville" w:hAnsi="Baskerville"/>
          <w:iCs/>
        </w:rPr>
        <w:t>a con</w:t>
      </w:r>
      <w:r w:rsidR="00EE704D">
        <w:rPr>
          <w:rFonts w:ascii="Baskerville" w:hAnsi="Baskerville"/>
          <w:iCs/>
        </w:rPr>
        <w:t>cern with substance can be seen</w:t>
      </w:r>
      <w:r w:rsidR="00A16D7A">
        <w:rPr>
          <w:rFonts w:ascii="Baskerville" w:hAnsi="Baskerville"/>
          <w:iCs/>
        </w:rPr>
        <w:t xml:space="preserve"> not just in terms of legal principles, but also in terms of remedies – in some jurisdictions, at least. In the USA, for example, </w:t>
      </w:r>
      <w:r w:rsidR="00390B4D">
        <w:rPr>
          <w:rFonts w:ascii="Baskerville" w:hAnsi="Baskerville"/>
          <w:iCs/>
        </w:rPr>
        <w:t>the use of structural reform injunctions</w:t>
      </w:r>
      <w:r w:rsidR="00547F59" w:rsidRPr="00547F59">
        <w:rPr>
          <w:rFonts w:ascii="Baskerville" w:hAnsi="Baskerville"/>
          <w:iCs/>
        </w:rPr>
        <w:t xml:space="preserve"> </w:t>
      </w:r>
      <w:r w:rsidR="00547F59">
        <w:rPr>
          <w:rFonts w:ascii="Baskerville" w:hAnsi="Baskerville"/>
          <w:iCs/>
        </w:rPr>
        <w:t>run deep into matters of substance.</w:t>
      </w:r>
      <w:r w:rsidR="00390B4D">
        <w:rPr>
          <w:rFonts w:ascii="Baskerville" w:hAnsi="Baskerville"/>
          <w:iCs/>
        </w:rPr>
        <w:t xml:space="preserve"> </w:t>
      </w:r>
      <w:r w:rsidR="00547F59">
        <w:rPr>
          <w:rFonts w:ascii="Baskerville" w:hAnsi="Baskerville"/>
          <w:iCs/>
        </w:rPr>
        <w:t>Here,</w:t>
      </w:r>
      <w:r w:rsidR="00390B4D">
        <w:rPr>
          <w:rFonts w:ascii="Baskerville" w:hAnsi="Baskerville"/>
          <w:iCs/>
        </w:rPr>
        <w:t xml:space="preserve"> a defendant institution is ordered to bring about forms of structural change</w:t>
      </w:r>
      <w:r w:rsidR="00547F59">
        <w:rPr>
          <w:rFonts w:ascii="Baskerville" w:hAnsi="Baskerville"/>
          <w:iCs/>
        </w:rPr>
        <w:t>, supervised by a court-appointed ‘special master’,</w:t>
      </w:r>
      <w:r w:rsidR="00390B4D">
        <w:rPr>
          <w:rFonts w:ascii="Baskerville" w:hAnsi="Baskerville"/>
          <w:iCs/>
        </w:rPr>
        <w:t xml:space="preserve"> and </w:t>
      </w:r>
      <w:r w:rsidR="00547F59">
        <w:rPr>
          <w:rFonts w:ascii="Baskerville" w:hAnsi="Baskerville"/>
          <w:iCs/>
        </w:rPr>
        <w:t xml:space="preserve">required </w:t>
      </w:r>
      <w:r w:rsidR="00390B4D">
        <w:rPr>
          <w:rFonts w:ascii="Baskerville" w:hAnsi="Baskerville"/>
          <w:iCs/>
        </w:rPr>
        <w:t>to repor</w:t>
      </w:r>
      <w:r w:rsidR="00547F59">
        <w:rPr>
          <w:rFonts w:ascii="Baskerville" w:hAnsi="Baskerville"/>
          <w:iCs/>
        </w:rPr>
        <w:t>t back to the court on progress</w:t>
      </w:r>
      <w:r w:rsidR="00390B4D">
        <w:rPr>
          <w:rFonts w:ascii="Baskerville" w:hAnsi="Baskerville"/>
          <w:iCs/>
        </w:rPr>
        <w:t xml:space="preserve"> (King, 2018). </w:t>
      </w:r>
      <w:r w:rsidR="00632A05">
        <w:rPr>
          <w:rFonts w:ascii="Baskerville" w:hAnsi="Baskerville"/>
          <w:iCs/>
        </w:rPr>
        <w:t xml:space="preserve">The jurisdiction can last for years (Feeley, 2004). </w:t>
      </w:r>
      <w:r w:rsidR="00390B4D">
        <w:rPr>
          <w:rFonts w:ascii="Baskerville" w:hAnsi="Baskerville"/>
          <w:iCs/>
        </w:rPr>
        <w:t xml:space="preserve">As Feeley has noted, the courts’ use of </w:t>
      </w:r>
      <w:r w:rsidR="00285312">
        <w:rPr>
          <w:rFonts w:ascii="Baskerville" w:hAnsi="Baskerville"/>
          <w:iCs/>
        </w:rPr>
        <w:t>s</w:t>
      </w:r>
      <w:r w:rsidR="00390B4D">
        <w:rPr>
          <w:rFonts w:ascii="Baskerville" w:hAnsi="Baskerville"/>
          <w:iCs/>
        </w:rPr>
        <w:t xml:space="preserve">pecial </w:t>
      </w:r>
      <w:r w:rsidR="00285312">
        <w:rPr>
          <w:rFonts w:ascii="Baskerville" w:hAnsi="Baskerville"/>
          <w:iCs/>
        </w:rPr>
        <w:t>m</w:t>
      </w:r>
      <w:r w:rsidR="00390B4D">
        <w:rPr>
          <w:rFonts w:ascii="Baskerville" w:hAnsi="Baskerville"/>
          <w:iCs/>
        </w:rPr>
        <w:t>asters:</w:t>
      </w:r>
    </w:p>
    <w:p w14:paraId="42F09DF0" w14:textId="77777777" w:rsidR="00390B4D" w:rsidRDefault="00390B4D" w:rsidP="00262092">
      <w:pPr>
        <w:spacing w:line="276" w:lineRule="auto"/>
        <w:rPr>
          <w:rFonts w:ascii="Baskerville" w:hAnsi="Baskerville"/>
          <w:iCs/>
        </w:rPr>
      </w:pPr>
    </w:p>
    <w:p w14:paraId="0DAA527D" w14:textId="4EF167A4" w:rsidR="00390B4D" w:rsidRPr="00401562" w:rsidRDefault="00390B4D" w:rsidP="00390B4D">
      <w:pPr>
        <w:spacing w:line="276" w:lineRule="auto"/>
        <w:ind w:left="720"/>
        <w:rPr>
          <w:rFonts w:ascii="Baskerville" w:hAnsi="Baskerville"/>
          <w:iCs/>
          <w:u w:val="single"/>
        </w:rPr>
      </w:pPr>
      <w:r>
        <w:rPr>
          <w:rFonts w:ascii="Baskerville" w:hAnsi="Baskerville"/>
          <w:iCs/>
        </w:rPr>
        <w:t>make</w:t>
      </w:r>
      <w:r w:rsidR="00285312">
        <w:rPr>
          <w:rFonts w:ascii="Baskerville" w:hAnsi="Baskerville"/>
          <w:iCs/>
        </w:rPr>
        <w:t>[s]</w:t>
      </w:r>
      <w:r>
        <w:rPr>
          <w:rFonts w:ascii="Baskerville" w:hAnsi="Baskerville"/>
          <w:iCs/>
        </w:rPr>
        <w:t xml:space="preserve"> </w:t>
      </w:r>
      <w:proofErr w:type="spellStart"/>
      <w:r>
        <w:rPr>
          <w:rFonts w:ascii="Baskerville" w:hAnsi="Baskerville"/>
          <w:iCs/>
        </w:rPr>
        <w:t>mince meat</w:t>
      </w:r>
      <w:proofErr w:type="spellEnd"/>
      <w:r>
        <w:rPr>
          <w:rFonts w:ascii="Baskerville" w:hAnsi="Baskerville"/>
          <w:iCs/>
        </w:rPr>
        <w:t xml:space="preserve"> of the separation of powers … [J]</w:t>
      </w:r>
      <w:proofErr w:type="spellStart"/>
      <w:r>
        <w:rPr>
          <w:rFonts w:ascii="Baskerville" w:hAnsi="Baskerville"/>
          <w:iCs/>
        </w:rPr>
        <w:t>udges</w:t>
      </w:r>
      <w:proofErr w:type="spellEnd"/>
      <w:r>
        <w:rPr>
          <w:rFonts w:ascii="Baskerville" w:hAnsi="Baskerville"/>
          <w:iCs/>
        </w:rPr>
        <w:t xml:space="preserve"> incorporated the defendant institutions into the policy-making process – working closely with them and requiring them to submit detailed plans for realising the court’s general orders</w:t>
      </w:r>
      <w:r w:rsidR="00285312">
        <w:rPr>
          <w:rFonts w:ascii="Baskerville" w:hAnsi="Baskerville"/>
          <w:iCs/>
        </w:rPr>
        <w:t>… (2004: 224)</w:t>
      </w:r>
    </w:p>
    <w:p w14:paraId="75326654" w14:textId="77777777" w:rsidR="00A42016" w:rsidRDefault="00A42016" w:rsidP="00262092">
      <w:pPr>
        <w:spacing w:line="276" w:lineRule="auto"/>
        <w:rPr>
          <w:rFonts w:ascii="Baskerville" w:hAnsi="Baskerville"/>
          <w:iCs/>
        </w:rPr>
      </w:pPr>
    </w:p>
    <w:p w14:paraId="298CAA6A" w14:textId="73D66B67" w:rsidR="00A42016" w:rsidRDefault="00285312" w:rsidP="00262092">
      <w:pPr>
        <w:spacing w:line="276" w:lineRule="auto"/>
        <w:rPr>
          <w:rFonts w:ascii="Baskerville" w:hAnsi="Baskerville"/>
          <w:iCs/>
        </w:rPr>
      </w:pPr>
      <w:r>
        <w:rPr>
          <w:rFonts w:ascii="Baskerville" w:hAnsi="Baskerville"/>
          <w:iCs/>
        </w:rPr>
        <w:t xml:space="preserve">What we see here is the court performing a </w:t>
      </w:r>
      <w:r w:rsidR="00870280">
        <w:rPr>
          <w:rFonts w:ascii="Baskerville" w:hAnsi="Baskerville"/>
          <w:iCs/>
        </w:rPr>
        <w:t>supervisory</w:t>
      </w:r>
      <w:r>
        <w:rPr>
          <w:rFonts w:ascii="Baskerville" w:hAnsi="Baskerville"/>
          <w:iCs/>
        </w:rPr>
        <w:t xml:space="preserve"> function, overseeing the process of substantive structural reform</w:t>
      </w:r>
      <w:r w:rsidR="00092D1E">
        <w:rPr>
          <w:rFonts w:ascii="Baskerville" w:hAnsi="Baskerville"/>
          <w:iCs/>
        </w:rPr>
        <w:t>s that reconcile private and public interests</w:t>
      </w:r>
      <w:r>
        <w:rPr>
          <w:rFonts w:ascii="Baskerville" w:hAnsi="Baskerville"/>
          <w:iCs/>
        </w:rPr>
        <w:t>.</w:t>
      </w:r>
      <w:r w:rsidR="000579BF">
        <w:rPr>
          <w:rFonts w:ascii="Baskerville" w:hAnsi="Baskerville"/>
          <w:iCs/>
        </w:rPr>
        <w:t xml:space="preserve"> Judicial review, freed from concerns about the particularity and isolation of judicial power, may </w:t>
      </w:r>
      <w:r w:rsidR="00823FFE">
        <w:rPr>
          <w:rFonts w:ascii="Baskerville" w:hAnsi="Baskerville"/>
          <w:iCs/>
        </w:rPr>
        <w:t xml:space="preserve">legitimately </w:t>
      </w:r>
      <w:r w:rsidR="000579BF">
        <w:rPr>
          <w:rFonts w:ascii="Baskerville" w:hAnsi="Baskerville"/>
          <w:iCs/>
        </w:rPr>
        <w:t>get its hands dirty in the business of promoting effective substantive policy.</w:t>
      </w:r>
      <w:r w:rsidR="00B264B6">
        <w:rPr>
          <w:rFonts w:ascii="Baskerville" w:hAnsi="Baskerville"/>
          <w:iCs/>
        </w:rPr>
        <w:t xml:space="preserve"> Indeed, the conception of administrative justice here </w:t>
      </w:r>
      <w:r w:rsidR="000C4387">
        <w:rPr>
          <w:rFonts w:ascii="Baskerville" w:hAnsi="Baskerville"/>
          <w:iCs/>
        </w:rPr>
        <w:t>is one that stresses</w:t>
      </w:r>
      <w:r w:rsidR="002A65BA">
        <w:rPr>
          <w:rFonts w:ascii="Baskerville" w:hAnsi="Baskerville"/>
          <w:iCs/>
        </w:rPr>
        <w:t xml:space="preserve"> the balance, effectiveness and sustainability </w:t>
      </w:r>
      <w:r w:rsidR="00B264B6">
        <w:rPr>
          <w:rFonts w:ascii="Baskerville" w:hAnsi="Baskerville"/>
          <w:iCs/>
        </w:rPr>
        <w:t>of social policy.</w:t>
      </w:r>
    </w:p>
    <w:p w14:paraId="521088F9" w14:textId="77777777" w:rsidR="00285312" w:rsidRDefault="00285312" w:rsidP="00262092">
      <w:pPr>
        <w:spacing w:line="276" w:lineRule="auto"/>
        <w:rPr>
          <w:rFonts w:ascii="Baskerville" w:hAnsi="Baskerville"/>
          <w:iCs/>
        </w:rPr>
      </w:pPr>
    </w:p>
    <w:p w14:paraId="0A85B88F" w14:textId="1D0D70C9" w:rsidR="00285312" w:rsidRPr="00285312" w:rsidRDefault="00285312" w:rsidP="001C29D6">
      <w:pPr>
        <w:pStyle w:val="Heading2"/>
      </w:pPr>
      <w:r>
        <w:t xml:space="preserve">The </w:t>
      </w:r>
      <w:r w:rsidR="00A21923">
        <w:t xml:space="preserve">Upper Left Quadrant: An </w:t>
      </w:r>
      <w:r>
        <w:t>Enforcing and Policing Function</w:t>
      </w:r>
    </w:p>
    <w:p w14:paraId="27AC80B3" w14:textId="77777777" w:rsidR="00A21923" w:rsidRDefault="00A21923" w:rsidP="00060860">
      <w:pPr>
        <w:spacing w:line="276" w:lineRule="auto"/>
        <w:rPr>
          <w:rFonts w:ascii="Baskerville" w:hAnsi="Baskerville"/>
          <w:iCs/>
        </w:rPr>
      </w:pPr>
    </w:p>
    <w:p w14:paraId="518A76E3" w14:textId="66EEAA31" w:rsidR="002B5669" w:rsidRDefault="00A21923" w:rsidP="00AB19C2">
      <w:pPr>
        <w:spacing w:line="276" w:lineRule="auto"/>
        <w:rPr>
          <w:rFonts w:ascii="Baskerville" w:hAnsi="Baskerville"/>
          <w:iCs/>
        </w:rPr>
      </w:pPr>
      <w:r>
        <w:rPr>
          <w:rFonts w:ascii="Baskerville" w:hAnsi="Baskerville"/>
        </w:rPr>
        <w:t>Moving</w:t>
      </w:r>
      <w:r w:rsidRPr="00262092">
        <w:rPr>
          <w:rFonts w:ascii="Baskerville" w:hAnsi="Baskerville"/>
        </w:rPr>
        <w:t xml:space="preserve"> </w:t>
      </w:r>
      <w:r>
        <w:rPr>
          <w:rFonts w:ascii="Baskerville" w:hAnsi="Baskerville"/>
        </w:rPr>
        <w:t>upwards</w:t>
      </w:r>
      <w:r w:rsidRPr="00262092">
        <w:rPr>
          <w:rFonts w:ascii="Baskerville" w:hAnsi="Baskerville"/>
        </w:rPr>
        <w:t xml:space="preserve"> </w:t>
      </w:r>
      <w:r>
        <w:rPr>
          <w:rFonts w:ascii="Baskerville" w:hAnsi="Baskerville"/>
        </w:rPr>
        <w:t>and leftwards</w:t>
      </w:r>
      <w:r w:rsidRPr="00262092">
        <w:rPr>
          <w:rFonts w:ascii="Baskerville" w:hAnsi="Baskerville"/>
        </w:rPr>
        <w:t xml:space="preserve">, we encounter </w:t>
      </w:r>
      <w:r>
        <w:rPr>
          <w:rFonts w:ascii="Baskerville" w:hAnsi="Baskerville"/>
        </w:rPr>
        <w:t>a</w:t>
      </w:r>
      <w:r w:rsidRPr="00262092">
        <w:rPr>
          <w:rFonts w:ascii="Baskerville" w:hAnsi="Baskerville"/>
        </w:rPr>
        <w:t xml:space="preserve"> quadrant</w:t>
      </w:r>
      <w:r>
        <w:rPr>
          <w:rFonts w:ascii="Baskerville" w:hAnsi="Baskerville"/>
        </w:rPr>
        <w:t xml:space="preserve"> which</w:t>
      </w:r>
      <w:r w:rsidRPr="00262092">
        <w:rPr>
          <w:rFonts w:ascii="Baskerville" w:hAnsi="Baskerville"/>
        </w:rPr>
        <w:t xml:space="preserve">, </w:t>
      </w:r>
      <w:r>
        <w:rPr>
          <w:rFonts w:ascii="Baskerville" w:hAnsi="Baskerville"/>
        </w:rPr>
        <w:t xml:space="preserve">like the lower left, </w:t>
      </w:r>
      <w:r w:rsidRPr="00262092">
        <w:rPr>
          <w:rFonts w:ascii="Baskerville" w:hAnsi="Baskerville"/>
        </w:rPr>
        <w:t xml:space="preserve">sees society in negative terms. </w:t>
      </w:r>
      <w:r w:rsidRPr="004B1388">
        <w:rPr>
          <w:rFonts w:ascii="Baskerville" w:hAnsi="Baskerville"/>
        </w:rPr>
        <w:t xml:space="preserve">Society is a space of </w:t>
      </w:r>
      <w:r>
        <w:rPr>
          <w:rFonts w:ascii="Baskerville" w:hAnsi="Baskerville"/>
        </w:rPr>
        <w:t xml:space="preserve">mere </w:t>
      </w:r>
      <w:r w:rsidRPr="004B1388">
        <w:rPr>
          <w:rFonts w:ascii="Baskerville" w:hAnsi="Baskerville"/>
        </w:rPr>
        <w:t xml:space="preserve">co-existence, replete with the risks of conflict and tension. </w:t>
      </w:r>
      <w:r w:rsidR="00AB19C2">
        <w:rPr>
          <w:rFonts w:ascii="Baskerville" w:hAnsi="Baskerville"/>
        </w:rPr>
        <w:t>Unlike the lower left</w:t>
      </w:r>
      <w:r>
        <w:rPr>
          <w:rFonts w:ascii="Baskerville" w:hAnsi="Baskerville"/>
        </w:rPr>
        <w:t xml:space="preserve"> quadrant, however,</w:t>
      </w:r>
      <w:r w:rsidRPr="00262092">
        <w:rPr>
          <w:rFonts w:ascii="Baskerville" w:hAnsi="Baskerville"/>
        </w:rPr>
        <w:t xml:space="preserve"> </w:t>
      </w:r>
      <w:r w:rsidR="00AB19C2">
        <w:rPr>
          <w:rFonts w:ascii="Baskerville" w:hAnsi="Baskerville"/>
        </w:rPr>
        <w:t xml:space="preserve">this quadrant </w:t>
      </w:r>
      <w:r>
        <w:rPr>
          <w:rFonts w:ascii="Baskerville" w:hAnsi="Baskerville"/>
        </w:rPr>
        <w:t>retains</w:t>
      </w:r>
      <w:r w:rsidRPr="00262092">
        <w:rPr>
          <w:rFonts w:ascii="Baskerville" w:hAnsi="Baskerville"/>
        </w:rPr>
        <w:t xml:space="preserve"> a </w:t>
      </w:r>
      <w:r w:rsidR="00AB19C2">
        <w:rPr>
          <w:rFonts w:ascii="Baskerville" w:hAnsi="Baskerville"/>
        </w:rPr>
        <w:t xml:space="preserve">strong </w:t>
      </w:r>
      <w:r w:rsidRPr="00262092">
        <w:rPr>
          <w:rFonts w:ascii="Baskerville" w:hAnsi="Baskerville"/>
        </w:rPr>
        <w:t xml:space="preserve">sense of </w:t>
      </w:r>
      <w:r w:rsidR="00AB19C2">
        <w:rPr>
          <w:rFonts w:ascii="Baskerville" w:hAnsi="Baskerville"/>
        </w:rPr>
        <w:t xml:space="preserve">the </w:t>
      </w:r>
      <w:r w:rsidRPr="00262092">
        <w:rPr>
          <w:rFonts w:ascii="Baskerville" w:hAnsi="Baskerville"/>
        </w:rPr>
        <w:t xml:space="preserve">separateness of the legal </w:t>
      </w:r>
      <w:r w:rsidR="00AB19C2">
        <w:rPr>
          <w:rFonts w:ascii="Baskerville" w:hAnsi="Baskerville"/>
        </w:rPr>
        <w:t>and</w:t>
      </w:r>
      <w:r w:rsidRPr="00262092">
        <w:rPr>
          <w:rFonts w:ascii="Baskerville" w:hAnsi="Baskerville"/>
        </w:rPr>
        <w:t xml:space="preserve"> </w:t>
      </w:r>
      <w:r>
        <w:rPr>
          <w:rFonts w:ascii="Baskerville" w:hAnsi="Baskerville"/>
        </w:rPr>
        <w:t>political</w:t>
      </w:r>
      <w:r w:rsidRPr="00262092">
        <w:rPr>
          <w:rFonts w:ascii="Baskerville" w:hAnsi="Baskerville"/>
        </w:rPr>
        <w:t>.</w:t>
      </w:r>
      <w:r w:rsidRPr="004B1388">
        <w:rPr>
          <w:rFonts w:ascii="Baskerville" w:hAnsi="Baskerville"/>
        </w:rPr>
        <w:t xml:space="preserve"> </w:t>
      </w:r>
      <w:r>
        <w:rPr>
          <w:rFonts w:ascii="Baskerville" w:hAnsi="Baskerville"/>
        </w:rPr>
        <w:t xml:space="preserve">The maintenance of order in a discord society lies firmly within the terrain of politics. </w:t>
      </w:r>
      <w:r w:rsidRPr="004B1388">
        <w:rPr>
          <w:rFonts w:ascii="Baskerville" w:hAnsi="Baskerville"/>
        </w:rPr>
        <w:t>Parliament is</w:t>
      </w:r>
      <w:r>
        <w:rPr>
          <w:rFonts w:ascii="Baskerville" w:hAnsi="Baskerville"/>
        </w:rPr>
        <w:t xml:space="preserve"> thus the appropriate constitutional actor for responding</w:t>
      </w:r>
      <w:r w:rsidRPr="004B1388">
        <w:rPr>
          <w:rFonts w:ascii="Baskerville" w:hAnsi="Baskerville"/>
        </w:rPr>
        <w:t xml:space="preserve"> substantively to the ever-changing demands of individuals and groups</w:t>
      </w:r>
      <w:r w:rsidR="00AB19C2">
        <w:rPr>
          <w:rFonts w:ascii="Baskerville" w:hAnsi="Baskerville"/>
        </w:rPr>
        <w:t>, a</w:t>
      </w:r>
      <w:r>
        <w:rPr>
          <w:rFonts w:ascii="Baskerville" w:hAnsi="Baskerville"/>
        </w:rPr>
        <w:t>nd the Executive is the appropriate actor for implementing the will of Parliament. J</w:t>
      </w:r>
      <w:r w:rsidRPr="004B1388">
        <w:rPr>
          <w:rFonts w:ascii="Baskerville" w:hAnsi="Baskerville"/>
        </w:rPr>
        <w:t xml:space="preserve">udicial review </w:t>
      </w:r>
      <w:r>
        <w:rPr>
          <w:rFonts w:ascii="Baskerville" w:hAnsi="Baskerville"/>
        </w:rPr>
        <w:t xml:space="preserve">thus </w:t>
      </w:r>
      <w:r w:rsidRPr="004B1388">
        <w:rPr>
          <w:rFonts w:ascii="Baskerville" w:hAnsi="Baskerville"/>
        </w:rPr>
        <w:t xml:space="preserve">has a limited </w:t>
      </w:r>
      <w:r>
        <w:rPr>
          <w:rFonts w:ascii="Baskerville" w:hAnsi="Baskerville"/>
        </w:rPr>
        <w:t xml:space="preserve">and non-substantive </w:t>
      </w:r>
      <w:r w:rsidRPr="004B1388">
        <w:rPr>
          <w:rFonts w:ascii="Baskerville" w:hAnsi="Baskerville"/>
        </w:rPr>
        <w:t>role to play</w:t>
      </w:r>
      <w:r>
        <w:rPr>
          <w:rFonts w:ascii="Baskerville" w:hAnsi="Baskerville"/>
        </w:rPr>
        <w:t xml:space="preserve"> in enforcing the will of Parliament on the Executive and policing the constitutional division of labour between the three organs of the state</w:t>
      </w:r>
      <w:r w:rsidR="00AB19C2">
        <w:rPr>
          <w:rFonts w:ascii="Baskerville" w:hAnsi="Baskerville"/>
          <w:iCs/>
        </w:rPr>
        <w:t>, including itself</w:t>
      </w:r>
      <w:r w:rsidRPr="004B1388">
        <w:rPr>
          <w:rFonts w:ascii="Baskerville" w:hAnsi="Baskerville"/>
        </w:rPr>
        <w:t>.</w:t>
      </w:r>
      <w:r>
        <w:rPr>
          <w:rFonts w:ascii="Baskerville" w:hAnsi="Baskerville"/>
        </w:rPr>
        <w:t xml:space="preserve"> </w:t>
      </w:r>
      <w:r w:rsidR="00AB19C2">
        <w:rPr>
          <w:rFonts w:ascii="Baskerville" w:hAnsi="Baskerville"/>
        </w:rPr>
        <w:t>T</w:t>
      </w:r>
      <w:r>
        <w:rPr>
          <w:rFonts w:ascii="Baskerville" w:hAnsi="Baskerville"/>
        </w:rPr>
        <w:t xml:space="preserve">he principal contribution of judicial review to administrative justice is, accordingly, an </w:t>
      </w:r>
      <w:r>
        <w:rPr>
          <w:rFonts w:ascii="Baskerville" w:hAnsi="Baskerville"/>
          <w:i/>
        </w:rPr>
        <w:t xml:space="preserve">enforcing </w:t>
      </w:r>
      <w:r w:rsidRPr="006F1CEF">
        <w:rPr>
          <w:rFonts w:ascii="Baskerville" w:hAnsi="Baskerville"/>
        </w:rPr>
        <w:t>and</w:t>
      </w:r>
      <w:r>
        <w:rPr>
          <w:rFonts w:ascii="Baskerville" w:hAnsi="Baskerville"/>
          <w:i/>
        </w:rPr>
        <w:t xml:space="preserve"> policing </w:t>
      </w:r>
      <w:r w:rsidR="00AB19C2">
        <w:rPr>
          <w:rFonts w:ascii="Baskerville" w:hAnsi="Baskerville"/>
        </w:rPr>
        <w:t xml:space="preserve">function.  </w:t>
      </w:r>
      <w:r w:rsidR="002B5669">
        <w:rPr>
          <w:rFonts w:ascii="Baskerville" w:hAnsi="Baskerville"/>
          <w:iCs/>
        </w:rPr>
        <w:t xml:space="preserve">Although this function may be considered essential to </w:t>
      </w:r>
      <w:r w:rsidR="0091438D">
        <w:rPr>
          <w:rFonts w:ascii="Baskerville" w:hAnsi="Baskerville"/>
          <w:iCs/>
        </w:rPr>
        <w:t xml:space="preserve">a constitutional </w:t>
      </w:r>
      <w:r w:rsidR="003234D1">
        <w:rPr>
          <w:rFonts w:ascii="Baskerville" w:hAnsi="Baskerville"/>
          <w:iCs/>
        </w:rPr>
        <w:t>separation</w:t>
      </w:r>
      <w:r w:rsidR="0091438D">
        <w:rPr>
          <w:rFonts w:ascii="Baskerville" w:hAnsi="Baskerville"/>
          <w:iCs/>
        </w:rPr>
        <w:t xml:space="preserve"> of powers, it renders the role of judicial review rather minimal and largely negative: </w:t>
      </w:r>
      <w:r w:rsidR="00E01C83">
        <w:rPr>
          <w:rFonts w:ascii="Baskerville" w:hAnsi="Baskerville"/>
          <w:iCs/>
        </w:rPr>
        <w:t>the court</w:t>
      </w:r>
      <w:r w:rsidR="0091438D">
        <w:rPr>
          <w:rFonts w:ascii="Baskerville" w:hAnsi="Baskerville"/>
          <w:iCs/>
        </w:rPr>
        <w:t xml:space="preserve"> looks to the legislature to furnish the meaning of administrative justice and plays its part </w:t>
      </w:r>
      <w:r w:rsidR="00E01C83">
        <w:rPr>
          <w:rFonts w:ascii="Baskerville" w:hAnsi="Baskerville"/>
          <w:iCs/>
        </w:rPr>
        <w:t>by</w:t>
      </w:r>
      <w:r w:rsidR="0091438D">
        <w:rPr>
          <w:rFonts w:ascii="Baskerville" w:hAnsi="Baskerville"/>
          <w:iCs/>
        </w:rPr>
        <w:t xml:space="preserve"> imposing that legislative will on the Executive.</w:t>
      </w:r>
      <w:r w:rsidR="00F222A5">
        <w:rPr>
          <w:rFonts w:ascii="Baskerville" w:hAnsi="Baskerville"/>
          <w:iCs/>
        </w:rPr>
        <w:t xml:space="preserve"> The conception</w:t>
      </w:r>
      <w:r w:rsidR="00527B3A">
        <w:rPr>
          <w:rFonts w:ascii="Baskerville" w:hAnsi="Baskerville"/>
          <w:iCs/>
        </w:rPr>
        <w:t xml:space="preserve"> of administrative justice here</w:t>
      </w:r>
      <w:r w:rsidR="00F222A5">
        <w:rPr>
          <w:rFonts w:ascii="Baskerville" w:hAnsi="Baskerville"/>
          <w:iCs/>
        </w:rPr>
        <w:t xml:space="preserve"> stresses the centrality of vires or mandate and the importance of w</w:t>
      </w:r>
      <w:r w:rsidR="00527B3A">
        <w:rPr>
          <w:rFonts w:ascii="Baskerville" w:hAnsi="Baskerville"/>
          <w:iCs/>
        </w:rPr>
        <w:t>orking within authorised powers: all parties must stick to their allotted tasks.</w:t>
      </w:r>
    </w:p>
    <w:p w14:paraId="020A0338" w14:textId="77777777" w:rsidR="00DC4F06" w:rsidRDefault="00DC4F06" w:rsidP="00AB19C2">
      <w:pPr>
        <w:spacing w:line="276" w:lineRule="auto"/>
        <w:rPr>
          <w:rFonts w:ascii="Baskerville" w:hAnsi="Baskerville"/>
          <w:iCs/>
        </w:rPr>
      </w:pPr>
    </w:p>
    <w:p w14:paraId="4DCBE60B" w14:textId="2CEB4726" w:rsidR="00DC4F06" w:rsidRDefault="00DC4F06" w:rsidP="00DC4F06">
      <w:r>
        <w:t>The enforcing and policing function is often invoked negatively. Such was Lord Denning’s characterisation of mid-Twentieth century English administrative law, which he railed against:</w:t>
      </w:r>
    </w:p>
    <w:p w14:paraId="2244FFE7" w14:textId="77777777" w:rsidR="00DC4F06" w:rsidRDefault="00DC4F06" w:rsidP="00DC4F06">
      <w:pPr>
        <w:ind w:left="720"/>
      </w:pPr>
    </w:p>
    <w:p w14:paraId="552A2B4C" w14:textId="308C8BC2" w:rsidR="00DC4F06" w:rsidRPr="00AB19C2" w:rsidRDefault="00DC4F06" w:rsidP="00DC4F06">
      <w:pPr>
        <w:spacing w:line="276" w:lineRule="auto"/>
        <w:ind w:left="720"/>
        <w:rPr>
          <w:rFonts w:ascii="Baskerville" w:hAnsi="Baskerville"/>
        </w:rPr>
      </w:pPr>
      <w:r w:rsidRPr="001775FC">
        <w:rPr>
          <w:rFonts w:eastAsia="Times New Roman"/>
        </w:rPr>
        <w:t>The Government Department which requisitions my house, or compulsorily acquires my land, does not exercise a judicial function. It is exercising a statutory power and performing an administrative function. Once the power is exercised the legal position is transformed</w:t>
      </w:r>
      <w:r>
        <w:rPr>
          <w:rFonts w:eastAsia="Times New Roman"/>
        </w:rPr>
        <w:t>…</w:t>
      </w:r>
      <w:r w:rsidRPr="001775FC">
        <w:rPr>
          <w:rFonts w:eastAsia="Times New Roman"/>
        </w:rPr>
        <w:t xml:space="preserve"> New rights and duties are thus brought into being by the exercise of the power: and once it is exercised the courts must enforce them. But over the power itself the courts have little control</w:t>
      </w:r>
      <w:r>
        <w:rPr>
          <w:rFonts w:eastAsia="Times New Roman"/>
        </w:rPr>
        <w:t xml:space="preserve">… </w:t>
      </w:r>
      <w:r w:rsidRPr="001775FC">
        <w:rPr>
          <w:rFonts w:eastAsia="Times New Roman"/>
        </w:rPr>
        <w:t>All that the courts can do is to see that the powers are not exceeded or abused.</w:t>
      </w:r>
      <w:r w:rsidR="009A3CDA">
        <w:rPr>
          <w:rFonts w:eastAsia="Times New Roman"/>
        </w:rPr>
        <w:t xml:space="preserve"> (Denning, 1949: </w:t>
      </w:r>
      <w:r w:rsidR="004715C4">
        <w:rPr>
          <w:rFonts w:eastAsia="Times New Roman"/>
        </w:rPr>
        <w:t>100)</w:t>
      </w:r>
    </w:p>
    <w:p w14:paraId="37FC189D" w14:textId="77777777" w:rsidR="002B5669" w:rsidRDefault="002B5669" w:rsidP="00060860">
      <w:pPr>
        <w:spacing w:line="276" w:lineRule="auto"/>
        <w:rPr>
          <w:rFonts w:ascii="Baskerville" w:hAnsi="Baskerville"/>
          <w:iCs/>
        </w:rPr>
      </w:pPr>
    </w:p>
    <w:p w14:paraId="3D3B2862" w14:textId="08993631" w:rsidR="0019612C" w:rsidRDefault="00DC4F06" w:rsidP="0019612C">
      <w:pPr>
        <w:spacing w:line="276" w:lineRule="auto"/>
        <w:rPr>
          <w:rFonts w:ascii="Baskerville" w:hAnsi="Baskerville"/>
          <w:iCs/>
        </w:rPr>
      </w:pPr>
      <w:r>
        <w:rPr>
          <w:rFonts w:ascii="Baskerville" w:hAnsi="Baskerville"/>
          <w:iCs/>
        </w:rPr>
        <w:t xml:space="preserve">But positive deployments of this </w:t>
      </w:r>
      <w:r w:rsidR="00AB19C2">
        <w:rPr>
          <w:rFonts w:ascii="Baskerville" w:hAnsi="Baskerville"/>
          <w:iCs/>
        </w:rPr>
        <w:t xml:space="preserve">conception </w:t>
      </w:r>
      <w:r>
        <w:rPr>
          <w:rFonts w:ascii="Baskerville" w:hAnsi="Baskerville"/>
          <w:iCs/>
        </w:rPr>
        <w:t xml:space="preserve">are also seen in the law.  </w:t>
      </w:r>
      <w:r w:rsidR="0019612C">
        <w:rPr>
          <w:rFonts w:ascii="Baskerville" w:hAnsi="Baskerville"/>
          <w:iCs/>
        </w:rPr>
        <w:t>Consider, for example, Lord Diplock’s criticisms of his fellow judges in the ‘</w:t>
      </w:r>
      <w:r w:rsidR="0019612C" w:rsidRPr="00211E03">
        <w:rPr>
          <w:rFonts w:ascii="Baskerville" w:hAnsi="Baskerville"/>
        </w:rPr>
        <w:t>Fares Fair</w:t>
      </w:r>
      <w:r w:rsidR="0019612C">
        <w:rPr>
          <w:rFonts w:ascii="Baskerville" w:hAnsi="Baskerville"/>
          <w:iCs/>
        </w:rPr>
        <w:t>’ case. Whereas the other judges in that case had limited the importance of statutory construction to the issue of vires, Lord Diplock asserted that the intention of Parliament in enacting the legislation was also relevant to the review of administrative discretion: ‘the question of discretion is, in my view, inseparable from the question of construction.’</w:t>
      </w:r>
      <w:r w:rsidR="0019612C">
        <w:rPr>
          <w:rStyle w:val="FootnoteReference"/>
          <w:rFonts w:ascii="Baskerville" w:hAnsi="Baskerville"/>
          <w:iCs/>
        </w:rPr>
        <w:footnoteReference w:id="6"/>
      </w:r>
      <w:r w:rsidR="0019612C">
        <w:rPr>
          <w:rFonts w:ascii="Baskerville" w:hAnsi="Baskerville"/>
          <w:iCs/>
        </w:rPr>
        <w:t xml:space="preserve"> </w:t>
      </w:r>
    </w:p>
    <w:p w14:paraId="7AF71017" w14:textId="77777777" w:rsidR="0019612C" w:rsidRDefault="0019612C" w:rsidP="00DC4F06">
      <w:pPr>
        <w:spacing w:line="276" w:lineRule="auto"/>
        <w:rPr>
          <w:rFonts w:ascii="Baskerville" w:hAnsi="Baskerville"/>
          <w:iCs/>
        </w:rPr>
      </w:pPr>
    </w:p>
    <w:p w14:paraId="6DE36ABE" w14:textId="318882B5" w:rsidR="00060860" w:rsidRDefault="00060860" w:rsidP="0019612C">
      <w:pPr>
        <w:spacing w:line="276" w:lineRule="auto"/>
        <w:rPr>
          <w:rFonts w:ascii="Baskerville" w:hAnsi="Baskerville"/>
          <w:iCs/>
        </w:rPr>
      </w:pPr>
      <w:r>
        <w:rPr>
          <w:rFonts w:ascii="Baskerville" w:hAnsi="Baskerville"/>
          <w:iCs/>
        </w:rPr>
        <w:t>Australian administrative law</w:t>
      </w:r>
      <w:r w:rsidR="0019612C">
        <w:rPr>
          <w:rFonts w:ascii="Baskerville" w:hAnsi="Baskerville"/>
          <w:iCs/>
        </w:rPr>
        <w:t>,</w:t>
      </w:r>
      <w:r>
        <w:rPr>
          <w:rFonts w:ascii="Baskerville" w:hAnsi="Baskerville"/>
          <w:iCs/>
        </w:rPr>
        <w:t xml:space="preserve"> where there is an entrenched constitutional separation of judicial power</w:t>
      </w:r>
      <w:r w:rsidR="0019612C">
        <w:rPr>
          <w:rFonts w:ascii="Baskerville" w:hAnsi="Baskerville"/>
          <w:iCs/>
        </w:rPr>
        <w:t>, presents an even clearer instance of a policing and enforcing approach to judicial review</w:t>
      </w:r>
      <w:r>
        <w:rPr>
          <w:rFonts w:ascii="Baskerville" w:hAnsi="Baskerville"/>
          <w:iCs/>
        </w:rPr>
        <w:t xml:space="preserve">. </w:t>
      </w:r>
      <w:r w:rsidR="00FE451F">
        <w:rPr>
          <w:rFonts w:ascii="Baskerville" w:hAnsi="Baskerville"/>
          <w:iCs/>
        </w:rPr>
        <w:t xml:space="preserve">Although, as Roux notes, the force of ‘strict legalism’ within Australian law is </w:t>
      </w:r>
      <w:r w:rsidR="00FE451F">
        <w:rPr>
          <w:rFonts w:ascii="Baskerville" w:hAnsi="Baskerville"/>
          <w:iCs/>
        </w:rPr>
        <w:lastRenderedPageBreak/>
        <w:t xml:space="preserve">not dependent on the consistent deployment of a particular set of reasoning methods, it is nonetheless very clearly the “legitimating ideology underpinning the contemporary Australian JR regime” (Roux, 2018: 134). </w:t>
      </w:r>
      <w:r>
        <w:rPr>
          <w:rFonts w:ascii="Baskerville" w:hAnsi="Baskerville"/>
          <w:iCs/>
        </w:rPr>
        <w:t xml:space="preserve">As the High Court noted in the case of </w:t>
      </w:r>
      <w:r w:rsidRPr="00060860">
        <w:rPr>
          <w:rFonts w:ascii="Baskerville" w:hAnsi="Baskerville"/>
          <w:i/>
          <w:iCs/>
        </w:rPr>
        <w:t>Lam</w:t>
      </w:r>
      <w:r>
        <w:rPr>
          <w:rFonts w:ascii="Baskerville" w:hAnsi="Baskerville"/>
          <w:iCs/>
        </w:rPr>
        <w:t>,</w:t>
      </w:r>
      <w:r>
        <w:rPr>
          <w:rStyle w:val="FootnoteReference"/>
          <w:rFonts w:ascii="Baskerville" w:hAnsi="Baskerville"/>
          <w:iCs/>
        </w:rPr>
        <w:footnoteReference w:id="7"/>
      </w:r>
      <w:r w:rsidR="00F126C6">
        <w:rPr>
          <w:rFonts w:ascii="Baskerville" w:hAnsi="Baskerville"/>
          <w:iCs/>
        </w:rPr>
        <w:t xml:space="preserve"> for example:</w:t>
      </w:r>
      <w:r>
        <w:rPr>
          <w:rFonts w:ascii="Baskerville" w:hAnsi="Baskerville"/>
          <w:iCs/>
        </w:rPr>
        <w:t xml:space="preserve"> </w:t>
      </w:r>
    </w:p>
    <w:p w14:paraId="4882DC94" w14:textId="77777777" w:rsidR="00060860" w:rsidRDefault="00060860" w:rsidP="00060860">
      <w:pPr>
        <w:spacing w:line="276" w:lineRule="auto"/>
        <w:rPr>
          <w:rFonts w:ascii="Baskerville" w:hAnsi="Baskerville"/>
          <w:iCs/>
        </w:rPr>
      </w:pPr>
    </w:p>
    <w:p w14:paraId="5F5506C9" w14:textId="77777777" w:rsidR="00060860" w:rsidRPr="00060860" w:rsidRDefault="00060860" w:rsidP="00060860">
      <w:pPr>
        <w:spacing w:line="276" w:lineRule="auto"/>
        <w:ind w:left="720"/>
        <w:rPr>
          <w:rFonts w:ascii="Baskerville" w:hAnsi="Baskerville"/>
          <w:iCs/>
        </w:rPr>
      </w:pPr>
      <w:r>
        <w:rPr>
          <w:rFonts w:ascii="Baskerville" w:hAnsi="Baskerville"/>
          <w:iCs/>
        </w:rPr>
        <w:t xml:space="preserve">In Australia, the existence of a written federal constitution, with separation of the judicial power, necessarily presents a frame of reference which differs from both the English and other European systems … An aspect of the rule of law under the </w:t>
      </w:r>
      <w:r>
        <w:rPr>
          <w:rFonts w:ascii="Baskerville" w:hAnsi="Baskerville"/>
          <w:i/>
          <w:iCs/>
        </w:rPr>
        <w:t>Constitution</w:t>
      </w:r>
      <w:r>
        <w:rPr>
          <w:rFonts w:ascii="Baskerville" w:hAnsi="Baskerville"/>
          <w:iCs/>
        </w:rPr>
        <w:t xml:space="preserve"> is that the role or function of Ch III courts does not extend to the performance of the legislative function of translating policy into statutory form or the executive function of administration.</w:t>
      </w:r>
    </w:p>
    <w:p w14:paraId="75702494" w14:textId="77777777" w:rsidR="00060860" w:rsidRDefault="00060860" w:rsidP="00060860">
      <w:pPr>
        <w:spacing w:line="276" w:lineRule="auto"/>
        <w:rPr>
          <w:rFonts w:ascii="Baskerville" w:hAnsi="Baskerville"/>
          <w:iCs/>
        </w:rPr>
      </w:pPr>
    </w:p>
    <w:p w14:paraId="6BC21227" w14:textId="3287D9AE" w:rsidR="004753DC" w:rsidRDefault="004753DC" w:rsidP="0066023C">
      <w:pPr>
        <w:spacing w:line="276" w:lineRule="auto"/>
        <w:rPr>
          <w:rFonts w:ascii="Baskerville" w:hAnsi="Baskerville" w:cstheme="minorHAnsi"/>
        </w:rPr>
      </w:pPr>
      <w:r>
        <w:rPr>
          <w:rFonts w:ascii="Baskerville" w:hAnsi="Baskerville"/>
          <w:iCs/>
        </w:rPr>
        <w:t>Th</w:t>
      </w:r>
      <w:r w:rsidR="00236FD2">
        <w:rPr>
          <w:rFonts w:ascii="Baskerville" w:hAnsi="Baskerville"/>
          <w:iCs/>
        </w:rPr>
        <w:t>is</w:t>
      </w:r>
      <w:r>
        <w:rPr>
          <w:rFonts w:ascii="Baskerville" w:hAnsi="Baskerville"/>
          <w:iCs/>
        </w:rPr>
        <w:t xml:space="preserve"> negative and minimal role of judicial review in relation to administrative justice may also gain traction </w:t>
      </w:r>
      <w:r w:rsidR="003F1C06">
        <w:rPr>
          <w:rFonts w:ascii="Baskerville" w:hAnsi="Baskerville"/>
          <w:iCs/>
        </w:rPr>
        <w:t>amongst</w:t>
      </w:r>
      <w:r>
        <w:rPr>
          <w:rFonts w:ascii="Baskerville" w:hAnsi="Baskerville"/>
          <w:iCs/>
        </w:rPr>
        <w:t xml:space="preserve"> those who share the realist conviction that judicial review, irrespective of the story it may tell of itself, is unavoidably involved in matters of substance. When combined with a scepticism about the capacity of the courts to contribute positively to the betterment of society</w:t>
      </w:r>
      <w:r w:rsidR="00EE704D">
        <w:rPr>
          <w:rFonts w:ascii="Baskerville" w:hAnsi="Baskerville"/>
          <w:iCs/>
        </w:rPr>
        <w:t xml:space="preserve"> (</w:t>
      </w:r>
      <w:proofErr w:type="gramStart"/>
      <w:r w:rsidR="00EE704D">
        <w:rPr>
          <w:rFonts w:ascii="Baskerville" w:hAnsi="Baskerville"/>
          <w:iCs/>
        </w:rPr>
        <w:t>or,</w:t>
      </w:r>
      <w:proofErr w:type="gramEnd"/>
      <w:r w:rsidR="00EE704D">
        <w:rPr>
          <w:rFonts w:ascii="Baskerville" w:hAnsi="Baskerville"/>
          <w:iCs/>
        </w:rPr>
        <w:t xml:space="preserve"> indeed, about there even being a settled societal purpose to which anyone might seek to contribute)</w:t>
      </w:r>
      <w:r w:rsidR="003F1C06">
        <w:rPr>
          <w:rFonts w:ascii="Baskerville" w:hAnsi="Baskerville"/>
          <w:iCs/>
        </w:rPr>
        <w:t>, the realist conviction may lead some to advocate a minimalist role for judicial review. As JAG Griffiths once put it</w:t>
      </w:r>
      <w:r w:rsidR="003F1C06" w:rsidRPr="003F1C06">
        <w:rPr>
          <w:rFonts w:ascii="Baskerville" w:hAnsi="Baskerville"/>
          <w:iCs/>
        </w:rPr>
        <w:t xml:space="preserve">, </w:t>
      </w:r>
      <w:r w:rsidR="003F1C06" w:rsidRPr="003F1C06">
        <w:rPr>
          <w:rFonts w:ascii="Baskerville" w:hAnsi="Baskerville" w:cstheme="minorHAnsi"/>
        </w:rPr>
        <w:t xml:space="preserve">the function of </w:t>
      </w:r>
      <w:r w:rsidR="0066023C">
        <w:rPr>
          <w:rFonts w:ascii="Baskerville" w:hAnsi="Baskerville" w:cstheme="minorHAnsi"/>
        </w:rPr>
        <w:t>the court should be limited to ‘</w:t>
      </w:r>
      <w:r w:rsidR="003F1C06" w:rsidRPr="003F1C06">
        <w:rPr>
          <w:rFonts w:ascii="Baskerville" w:hAnsi="Baskerville" w:cstheme="minorHAnsi"/>
        </w:rPr>
        <w:t>excess of jurisdiction, breach of the rules of natural justice, bad faith, and the absence of any evidence to support the exercise of the powers</w:t>
      </w:r>
      <w:r w:rsidR="0066023C">
        <w:rPr>
          <w:rFonts w:ascii="Baskerville" w:hAnsi="Baskerville" w:cstheme="minorHAnsi"/>
        </w:rPr>
        <w:t>’</w:t>
      </w:r>
      <w:r w:rsidR="003F1C06" w:rsidRPr="003F1C06">
        <w:rPr>
          <w:rFonts w:ascii="Baskerville" w:hAnsi="Baskerville" w:cstheme="minorHAnsi"/>
        </w:rPr>
        <w:t xml:space="preserve"> (quoted in Loughlin, 1992).</w:t>
      </w:r>
    </w:p>
    <w:p w14:paraId="3B1895DB" w14:textId="77777777" w:rsidR="00CF0A7E" w:rsidRDefault="00CF0A7E" w:rsidP="002B5669">
      <w:pPr>
        <w:spacing w:line="276" w:lineRule="auto"/>
        <w:rPr>
          <w:rFonts w:ascii="Baskerville" w:hAnsi="Baskerville" w:cstheme="minorHAnsi"/>
        </w:rPr>
      </w:pPr>
    </w:p>
    <w:p w14:paraId="3939D311" w14:textId="33B69FD1" w:rsidR="00CF0A7E" w:rsidRDefault="001C29D6" w:rsidP="001A2C9B">
      <w:pPr>
        <w:pStyle w:val="Heading1"/>
      </w:pPr>
      <w:r>
        <w:t>IV.</w:t>
      </w:r>
      <w:r>
        <w:tab/>
      </w:r>
      <w:r w:rsidR="00E903EF">
        <w:t xml:space="preserve">ADMINISTRATIVE JUSTICE </w:t>
      </w:r>
      <w:r w:rsidR="001A2C9B">
        <w:t>AND JURISTIC METHOD</w:t>
      </w:r>
      <w:r w:rsidR="00E903EF">
        <w:t xml:space="preserve">: </w:t>
      </w:r>
      <w:r w:rsidR="00A4185F">
        <w:t>TOWARDS RESPONSIVE</w:t>
      </w:r>
      <w:r w:rsidR="00D12078">
        <w:t xml:space="preserve"> </w:t>
      </w:r>
      <w:r w:rsidR="001A2C9B">
        <w:t>JUDICIAL REVIEW</w:t>
      </w:r>
    </w:p>
    <w:p w14:paraId="05A7C473" w14:textId="77777777" w:rsidR="00374D27" w:rsidRDefault="00374D27" w:rsidP="002B5669">
      <w:pPr>
        <w:spacing w:line="276" w:lineRule="auto"/>
        <w:rPr>
          <w:rFonts w:ascii="Baskerville" w:hAnsi="Baskerville" w:cstheme="minorHAnsi"/>
        </w:rPr>
      </w:pPr>
    </w:p>
    <w:p w14:paraId="023502DB" w14:textId="77777777" w:rsidR="00E903EF" w:rsidRDefault="00E903EF" w:rsidP="00E903EF">
      <w:pPr>
        <w:spacing w:line="276" w:lineRule="auto"/>
        <w:rPr>
          <w:rFonts w:ascii="Baskerville" w:hAnsi="Baskerville" w:cstheme="minorHAnsi"/>
        </w:rPr>
      </w:pPr>
      <w:r>
        <w:rPr>
          <w:rFonts w:ascii="Baskerville" w:hAnsi="Baskerville" w:cstheme="minorHAnsi"/>
        </w:rPr>
        <w:t xml:space="preserve">Our purpose in this chapter has been to make two points: firstly, that judicial review can make a contribution to infusing justice into governmental administration; and secondly, that using administrative justice as a framework to think about judicial review can make a significant contribution to our understanding of judicial review itself.   The foregoing discussion has demonstrated the potential for the first of these.  As the previous section has discussed, the </w:t>
      </w:r>
      <w:r w:rsidRPr="00AA31E4">
        <w:rPr>
          <w:rFonts w:ascii="Baskerville" w:hAnsi="Baskerville" w:cstheme="minorHAnsi"/>
          <w:i/>
        </w:rPr>
        <w:t>hortatory</w:t>
      </w:r>
      <w:r>
        <w:rPr>
          <w:rFonts w:ascii="Baskerville" w:hAnsi="Baskerville" w:cstheme="minorHAnsi"/>
        </w:rPr>
        <w:t xml:space="preserve"> and </w:t>
      </w:r>
      <w:r w:rsidRPr="00AA31E4">
        <w:rPr>
          <w:rFonts w:ascii="Baskerville" w:hAnsi="Baskerville" w:cstheme="minorHAnsi"/>
          <w:i/>
        </w:rPr>
        <w:t>advisory</w:t>
      </w:r>
      <w:r>
        <w:rPr>
          <w:rFonts w:ascii="Baskerville" w:hAnsi="Baskerville" w:cstheme="minorHAnsi"/>
        </w:rPr>
        <w:t xml:space="preserve"> function of judicial review can make a useful contribution to administrative justice by enabling the court to reshape governmental processes to avoid procedural deficiencies, whilst at the same time retaining an element of caution, perhaps on grounds of democratic legitimacy, that checks the courts from going too far in intervening in the administrative arena. The </w:t>
      </w:r>
      <w:r w:rsidRPr="00AA31E4">
        <w:rPr>
          <w:rFonts w:ascii="Baskerville" w:hAnsi="Baskerville" w:cstheme="minorHAnsi"/>
          <w:i/>
        </w:rPr>
        <w:t>protective</w:t>
      </w:r>
      <w:r>
        <w:rPr>
          <w:rFonts w:ascii="Baskerville" w:hAnsi="Baskerville" w:cstheme="minorHAnsi"/>
        </w:rPr>
        <w:t xml:space="preserve"> and </w:t>
      </w:r>
      <w:r w:rsidRPr="00AA31E4">
        <w:rPr>
          <w:rFonts w:ascii="Baskerville" w:hAnsi="Baskerville" w:cstheme="minorHAnsi"/>
          <w:i/>
        </w:rPr>
        <w:t>vindicatory</w:t>
      </w:r>
      <w:r>
        <w:rPr>
          <w:rFonts w:ascii="Baskerville" w:hAnsi="Baskerville" w:cstheme="minorHAnsi"/>
        </w:rPr>
        <w:t xml:space="preserve"> function of judicial review may be useful in situations where just administration requires reining back governmental overreach: for example, where collective needs have to an extent blinded government as to the impact on private persons, or where public policy programmes end up having unintended and unanticipated negative impacts on private persons. The </w:t>
      </w:r>
      <w:r>
        <w:rPr>
          <w:rFonts w:ascii="Baskerville" w:hAnsi="Baskerville" w:cstheme="minorHAnsi"/>
          <w:i/>
        </w:rPr>
        <w:t>mediatory</w:t>
      </w:r>
      <w:r>
        <w:rPr>
          <w:rFonts w:ascii="Baskerville" w:hAnsi="Baskerville" w:cstheme="minorHAnsi"/>
        </w:rPr>
        <w:t xml:space="preserve"> and </w:t>
      </w:r>
      <w:r>
        <w:rPr>
          <w:rFonts w:ascii="Baskerville" w:hAnsi="Baskerville" w:cstheme="minorHAnsi"/>
          <w:i/>
        </w:rPr>
        <w:t>supervisory</w:t>
      </w:r>
      <w:r>
        <w:rPr>
          <w:rFonts w:ascii="Baskerville" w:hAnsi="Baskerville" w:cstheme="minorHAnsi"/>
        </w:rPr>
        <w:t xml:space="preserve"> function of judicial review contribute to administrative justice by using the judiciary to nudge key actors out of ingrained patterns of thought or action and bring them into dialogue with others about </w:t>
      </w:r>
      <w:r>
        <w:rPr>
          <w:rFonts w:ascii="Baskerville" w:hAnsi="Baskerville" w:cstheme="minorHAnsi"/>
        </w:rPr>
        <w:lastRenderedPageBreak/>
        <w:t xml:space="preserve">change, for example in cases of executive incapacity or recalcitrance (King, 2018). Finally, the </w:t>
      </w:r>
      <w:r>
        <w:rPr>
          <w:rFonts w:ascii="Baskerville" w:hAnsi="Baskerville" w:cstheme="minorHAnsi"/>
          <w:i/>
        </w:rPr>
        <w:t>policing</w:t>
      </w:r>
      <w:r>
        <w:rPr>
          <w:rFonts w:ascii="Baskerville" w:hAnsi="Baskerville" w:cstheme="minorHAnsi"/>
        </w:rPr>
        <w:t xml:space="preserve"> and </w:t>
      </w:r>
      <w:r>
        <w:rPr>
          <w:rFonts w:ascii="Baskerville" w:hAnsi="Baskerville" w:cstheme="minorHAnsi"/>
          <w:i/>
        </w:rPr>
        <w:t>enforcing</w:t>
      </w:r>
      <w:r>
        <w:rPr>
          <w:rFonts w:ascii="Baskerville" w:hAnsi="Baskerville" w:cstheme="minorHAnsi"/>
        </w:rPr>
        <w:t xml:space="preserve"> role of judicial review contributes to administrative justice in particularly sensitive policy environments where the legitimacy of the court could easily be threatened by perceptions of judicial overreach.  Here, by doing no more than ensuring that administrative processes and outcomes comply with the policy underlying legislation, particularly where policy initiatives are new and largely untested within the administration, the court can avoid sitting in judgment over policy whilst at the same time contributing to its consistent implementation. As Posner has suggested, the pragmatic thing for a court to do, at times, may be to retreat into formalism (Posner, 2004).</w:t>
      </w:r>
    </w:p>
    <w:p w14:paraId="46BB3C90" w14:textId="77777777" w:rsidR="00E903EF" w:rsidRDefault="00E903EF" w:rsidP="00E903EF">
      <w:pPr>
        <w:spacing w:line="276" w:lineRule="auto"/>
        <w:rPr>
          <w:rFonts w:ascii="Baskerville" w:hAnsi="Baskerville" w:cstheme="minorHAnsi"/>
        </w:rPr>
      </w:pPr>
    </w:p>
    <w:p w14:paraId="56A86494" w14:textId="10FCA579" w:rsidR="00B36509" w:rsidRDefault="00E903EF" w:rsidP="00356243">
      <w:pPr>
        <w:spacing w:line="276" w:lineRule="auto"/>
        <w:rPr>
          <w:rFonts w:ascii="Baskerville" w:hAnsi="Baskerville" w:cstheme="minorHAnsi"/>
        </w:rPr>
      </w:pPr>
      <w:r>
        <w:rPr>
          <w:rFonts w:ascii="Baskerville" w:hAnsi="Baskerville" w:cstheme="minorHAnsi"/>
        </w:rPr>
        <w:t xml:space="preserve">In this final section, we turn to the second of the contributions this chapter sought to make, namely, that the analytical scheme we have presented here helps reframe the argument around the </w:t>
      </w:r>
      <w:r w:rsidR="00EF42BE">
        <w:rPr>
          <w:rFonts w:ascii="Baskerville" w:hAnsi="Baskerville" w:cstheme="minorHAnsi"/>
        </w:rPr>
        <w:t xml:space="preserve">tasks, </w:t>
      </w:r>
      <w:r>
        <w:rPr>
          <w:rFonts w:ascii="Baskerville" w:hAnsi="Baskerville" w:cstheme="minorHAnsi"/>
        </w:rPr>
        <w:t>role</w:t>
      </w:r>
      <w:r w:rsidR="00EF42BE">
        <w:rPr>
          <w:rFonts w:ascii="Baskerville" w:hAnsi="Baskerville" w:cstheme="minorHAnsi"/>
        </w:rPr>
        <w:t>, and limits</w:t>
      </w:r>
      <w:r>
        <w:rPr>
          <w:rFonts w:ascii="Baskerville" w:hAnsi="Baskerville" w:cstheme="minorHAnsi"/>
        </w:rPr>
        <w:t xml:space="preserve"> of judicial review</w:t>
      </w:r>
      <w:r w:rsidR="00EF42BE">
        <w:rPr>
          <w:rFonts w:ascii="Baskerville" w:hAnsi="Baskerville" w:cstheme="minorHAnsi"/>
        </w:rPr>
        <w:t>, and of the courts vis-à-vis the administration more generally.</w:t>
      </w:r>
      <w:r>
        <w:rPr>
          <w:rFonts w:ascii="Baskerville" w:hAnsi="Baskerville" w:cstheme="minorHAnsi"/>
        </w:rPr>
        <w:t xml:space="preserve"> </w:t>
      </w:r>
      <w:r w:rsidR="00EF42BE">
        <w:rPr>
          <w:rFonts w:ascii="Baskerville" w:hAnsi="Baskerville" w:cstheme="minorHAnsi"/>
        </w:rPr>
        <w:t xml:space="preserve"> </w:t>
      </w:r>
      <w:r>
        <w:rPr>
          <w:rFonts w:ascii="Baskerville" w:hAnsi="Baskerville" w:cstheme="minorHAnsi"/>
        </w:rPr>
        <w:t xml:space="preserve">As we discuss here, reframing </w:t>
      </w:r>
      <w:r w:rsidR="00EF42BE">
        <w:rPr>
          <w:rFonts w:ascii="Baskerville" w:hAnsi="Baskerville" w:cstheme="minorHAnsi"/>
        </w:rPr>
        <w:t xml:space="preserve">judicial review as being about just administration </w:t>
      </w:r>
      <w:r>
        <w:rPr>
          <w:rFonts w:ascii="Baskerville" w:hAnsi="Baskerville" w:cstheme="minorHAnsi"/>
        </w:rPr>
        <w:t xml:space="preserve">helps us move away from the </w:t>
      </w:r>
      <w:r w:rsidR="00AD2AE8">
        <w:rPr>
          <w:rFonts w:ascii="Baskerville" w:hAnsi="Baskerville" w:cstheme="minorHAnsi"/>
        </w:rPr>
        <w:t xml:space="preserve">limitations </w:t>
      </w:r>
      <w:r>
        <w:rPr>
          <w:rFonts w:ascii="Baskerville" w:hAnsi="Baskerville" w:cstheme="minorHAnsi"/>
        </w:rPr>
        <w:t xml:space="preserve">that have led debates about judicial review to </w:t>
      </w:r>
      <w:r w:rsidR="00193186">
        <w:rPr>
          <w:rFonts w:ascii="Baskerville" w:hAnsi="Baskerville" w:cstheme="minorHAnsi"/>
        </w:rPr>
        <w:t>take the form of a clash of styles</w:t>
      </w:r>
      <w:r>
        <w:rPr>
          <w:rFonts w:ascii="Baskerville" w:hAnsi="Baskerville" w:cstheme="minorHAnsi"/>
        </w:rPr>
        <w:t xml:space="preserve"> </w:t>
      </w:r>
      <w:r w:rsidR="00193186">
        <w:rPr>
          <w:rFonts w:ascii="Baskerville" w:hAnsi="Baskerville" w:cstheme="minorHAnsi"/>
        </w:rPr>
        <w:t>in which</w:t>
      </w:r>
      <w:r>
        <w:rPr>
          <w:rFonts w:ascii="Baskerville" w:hAnsi="Baskerville" w:cstheme="minorHAnsi"/>
        </w:rPr>
        <w:t xml:space="preserve"> little substantive progress </w:t>
      </w:r>
      <w:r w:rsidR="00193186">
        <w:rPr>
          <w:rFonts w:ascii="Baskerville" w:hAnsi="Baskerville" w:cstheme="minorHAnsi"/>
        </w:rPr>
        <w:t>is</w:t>
      </w:r>
      <w:r>
        <w:rPr>
          <w:rFonts w:ascii="Baskerville" w:hAnsi="Baskerville" w:cstheme="minorHAnsi"/>
        </w:rPr>
        <w:t xml:space="preserve"> made.  </w:t>
      </w:r>
      <w:r w:rsidR="00EF42BE">
        <w:rPr>
          <w:rFonts w:ascii="Baskerville" w:hAnsi="Baskerville" w:cstheme="minorHAnsi"/>
        </w:rPr>
        <w:t xml:space="preserve">In particular, </w:t>
      </w:r>
      <w:r>
        <w:rPr>
          <w:rFonts w:ascii="Baskerville" w:hAnsi="Baskerville" w:cstheme="minorHAnsi"/>
        </w:rPr>
        <w:t xml:space="preserve">it creates </w:t>
      </w:r>
      <w:r w:rsidR="00EF42BE">
        <w:rPr>
          <w:rFonts w:ascii="Baskerville" w:hAnsi="Baskerville" w:cstheme="minorHAnsi"/>
        </w:rPr>
        <w:t>a way</w:t>
      </w:r>
      <w:r>
        <w:rPr>
          <w:rFonts w:ascii="Baskerville" w:hAnsi="Baskerville" w:cstheme="minorHAnsi"/>
        </w:rPr>
        <w:t xml:space="preserve"> of viewing the judiciary’s relationship to the other branches </w:t>
      </w:r>
      <w:r w:rsidR="00EF42BE">
        <w:rPr>
          <w:rFonts w:ascii="Baskerville" w:hAnsi="Baskerville" w:cstheme="minorHAnsi"/>
        </w:rPr>
        <w:t xml:space="preserve">as being </w:t>
      </w:r>
      <w:r w:rsidR="00DD5842">
        <w:rPr>
          <w:rFonts w:ascii="Baskerville" w:hAnsi="Baskerville" w:cstheme="minorHAnsi"/>
        </w:rPr>
        <w:t>inherently</w:t>
      </w:r>
      <w:r w:rsidR="00EF42BE">
        <w:rPr>
          <w:rFonts w:ascii="Baskerville" w:hAnsi="Baskerville" w:cstheme="minorHAnsi"/>
        </w:rPr>
        <w:t xml:space="preserve"> co-operative and collaborative rather than confrontational, and which sees</w:t>
      </w:r>
      <w:r w:rsidR="00B35A78">
        <w:rPr>
          <w:rFonts w:ascii="Baskerville" w:hAnsi="Baskerville" w:cstheme="minorHAnsi"/>
        </w:rPr>
        <w:t xml:space="preserve"> </w:t>
      </w:r>
      <w:r>
        <w:rPr>
          <w:rFonts w:ascii="Baskerville" w:hAnsi="Baskerville" w:cstheme="minorHAnsi"/>
        </w:rPr>
        <w:t xml:space="preserve">judiciary, administration, and legislature </w:t>
      </w:r>
      <w:r w:rsidR="00EF42BE">
        <w:rPr>
          <w:rFonts w:ascii="Baskerville" w:hAnsi="Baskerville" w:cstheme="minorHAnsi"/>
        </w:rPr>
        <w:t>as sharing</w:t>
      </w:r>
      <w:r>
        <w:rPr>
          <w:rFonts w:ascii="Baskerville" w:hAnsi="Baskerville" w:cstheme="minorHAnsi"/>
        </w:rPr>
        <w:t xml:space="preserve"> a common task</w:t>
      </w:r>
      <w:r w:rsidR="00EF42BE">
        <w:rPr>
          <w:rFonts w:ascii="Baskerville" w:hAnsi="Baskerville" w:cstheme="minorHAnsi"/>
        </w:rPr>
        <w:t xml:space="preserve"> of</w:t>
      </w:r>
      <w:r w:rsidR="00B35A78">
        <w:rPr>
          <w:rFonts w:ascii="Baskerville" w:hAnsi="Baskerville" w:cstheme="minorHAnsi"/>
        </w:rPr>
        <w:t xml:space="preserve"> </w:t>
      </w:r>
      <w:r>
        <w:rPr>
          <w:rFonts w:ascii="Baskerville" w:hAnsi="Baskerville" w:cstheme="minorHAnsi"/>
        </w:rPr>
        <w:t>infusing the conduct of administrative affairs with a spirit of justice</w:t>
      </w:r>
      <w:r w:rsidR="00EF42BE">
        <w:rPr>
          <w:rFonts w:ascii="Baskerville" w:hAnsi="Baskerville" w:cstheme="minorHAnsi"/>
        </w:rPr>
        <w:t xml:space="preserve">.  </w:t>
      </w:r>
    </w:p>
    <w:p w14:paraId="541C6330" w14:textId="0B40ADC4" w:rsidR="004A3281" w:rsidRDefault="00EF42BE" w:rsidP="001D17BC">
      <w:pPr>
        <w:spacing w:line="276" w:lineRule="auto"/>
        <w:rPr>
          <w:rFonts w:ascii="Baskerville" w:eastAsia="Times New Roman" w:hAnsi="Baskerville"/>
          <w:bdr w:val="none" w:sz="0" w:space="0" w:color="auto" w:frame="1"/>
        </w:rPr>
      </w:pPr>
      <w:r>
        <w:rPr>
          <w:rFonts w:ascii="Baskerville" w:hAnsi="Baskerville" w:cstheme="minorHAnsi"/>
        </w:rPr>
        <w:t>D</w:t>
      </w:r>
      <w:r w:rsidR="00B36509">
        <w:rPr>
          <w:rFonts w:ascii="Baskerville" w:hAnsi="Baskerville" w:cstheme="minorHAnsi"/>
        </w:rPr>
        <w:t xml:space="preserve">ebates around judicial review </w:t>
      </w:r>
      <w:r>
        <w:rPr>
          <w:rFonts w:ascii="Baskerville" w:hAnsi="Baskerville" w:cstheme="minorHAnsi"/>
        </w:rPr>
        <w:t xml:space="preserve">within administrative law present </w:t>
      </w:r>
      <w:r w:rsidR="00245E8D">
        <w:rPr>
          <w:rFonts w:ascii="Baskerville" w:hAnsi="Baskerville" w:cstheme="minorHAnsi"/>
        </w:rPr>
        <w:t xml:space="preserve">approaches to </w:t>
      </w:r>
      <w:r w:rsidR="00B36509">
        <w:rPr>
          <w:rFonts w:ascii="Baskerville" w:hAnsi="Baskerville" w:cstheme="minorHAnsi"/>
        </w:rPr>
        <w:t xml:space="preserve">the role of </w:t>
      </w:r>
      <w:r>
        <w:rPr>
          <w:rFonts w:ascii="Baskerville" w:hAnsi="Baskerville" w:cstheme="minorHAnsi"/>
        </w:rPr>
        <w:t xml:space="preserve">the courts </w:t>
      </w:r>
      <w:r w:rsidR="00B36509">
        <w:rPr>
          <w:rFonts w:ascii="Baskerville" w:hAnsi="Baskerville" w:cstheme="minorHAnsi"/>
        </w:rPr>
        <w:t xml:space="preserve">as </w:t>
      </w:r>
      <w:r w:rsidR="00245E8D">
        <w:rPr>
          <w:rFonts w:ascii="Baskerville" w:hAnsi="Baskerville" w:cstheme="minorHAnsi"/>
        </w:rPr>
        <w:t>if they embody</w:t>
      </w:r>
      <w:r w:rsidR="00B36509">
        <w:rPr>
          <w:rFonts w:ascii="Baskerville" w:hAnsi="Baskerville" w:cstheme="minorHAnsi"/>
        </w:rPr>
        <w:t xml:space="preserve"> </w:t>
      </w:r>
      <w:r w:rsidR="00B36509">
        <w:rPr>
          <w:rFonts w:ascii="Baskerville" w:eastAsia="Times New Roman" w:hAnsi="Baskerville"/>
          <w:bdr w:val="none" w:sz="0" w:space="0" w:color="auto" w:frame="1"/>
        </w:rPr>
        <w:t>incommensurable paradigms,</w:t>
      </w:r>
      <w:r w:rsidR="00B36509" w:rsidRPr="00CE6744">
        <w:rPr>
          <w:rFonts w:ascii="Baskerville" w:eastAsia="Times New Roman" w:hAnsi="Baskerville"/>
          <w:bdr w:val="none" w:sz="0" w:space="0" w:color="auto" w:frame="1"/>
        </w:rPr>
        <w:t xml:space="preserve"> grounded in dif</w:t>
      </w:r>
      <w:r w:rsidR="00781077">
        <w:rPr>
          <w:rFonts w:ascii="Baskerville" w:eastAsia="Times New Roman" w:hAnsi="Baskerville"/>
          <w:bdr w:val="none" w:sz="0" w:space="0" w:color="auto" w:frame="1"/>
        </w:rPr>
        <w:t>ferent theories of institutional legitimacy</w:t>
      </w:r>
      <w:r w:rsidR="00B36509" w:rsidRPr="00CE6744">
        <w:rPr>
          <w:rFonts w:ascii="Baskerville" w:eastAsia="Times New Roman" w:hAnsi="Baskerville"/>
          <w:bdr w:val="none" w:sz="0" w:space="0" w:color="auto" w:frame="1"/>
        </w:rPr>
        <w:t xml:space="preserve"> and different exemplars of the ideal working of institutions.</w:t>
      </w:r>
      <w:r w:rsidR="00B36509">
        <w:rPr>
          <w:rFonts w:ascii="Baskerville" w:eastAsia="Times New Roman" w:hAnsi="Baskerville"/>
          <w:bdr w:val="none" w:sz="0" w:space="0" w:color="auto" w:frame="1"/>
        </w:rPr>
        <w:t xml:space="preserve">  </w:t>
      </w:r>
      <w:r w:rsidR="00781077">
        <w:rPr>
          <w:rFonts w:ascii="Baskerville" w:eastAsia="Times New Roman" w:hAnsi="Baskerville"/>
          <w:bdr w:val="none" w:sz="0" w:space="0" w:color="auto" w:frame="1"/>
        </w:rPr>
        <w:t xml:space="preserve">From this point of view </w:t>
      </w:r>
      <w:r w:rsidR="002B36FA">
        <w:rPr>
          <w:rFonts w:ascii="Baskerville" w:eastAsia="Times New Roman" w:hAnsi="Baskerville"/>
          <w:bdr w:val="none" w:sz="0" w:space="0" w:color="auto" w:frame="1"/>
        </w:rPr>
        <w:t>there is always one</w:t>
      </w:r>
      <w:r w:rsidR="00AB2112">
        <w:rPr>
          <w:rFonts w:ascii="Baskerville" w:eastAsia="Times New Roman" w:hAnsi="Baskerville"/>
          <w:bdr w:val="none" w:sz="0" w:space="0" w:color="auto" w:frame="1"/>
        </w:rPr>
        <w:t>,</w:t>
      </w:r>
      <w:r w:rsidR="002B36FA">
        <w:rPr>
          <w:rFonts w:ascii="Baskerville" w:eastAsia="Times New Roman" w:hAnsi="Baskerville"/>
          <w:bdr w:val="none" w:sz="0" w:space="0" w:color="auto" w:frame="1"/>
        </w:rPr>
        <w:t xml:space="preserve"> and only one</w:t>
      </w:r>
      <w:r w:rsidR="00AB2112">
        <w:rPr>
          <w:rFonts w:ascii="Baskerville" w:eastAsia="Times New Roman" w:hAnsi="Baskerville"/>
          <w:bdr w:val="none" w:sz="0" w:space="0" w:color="auto" w:frame="1"/>
        </w:rPr>
        <w:t>,</w:t>
      </w:r>
      <w:r w:rsidR="002B36FA">
        <w:rPr>
          <w:rFonts w:ascii="Baskerville" w:eastAsia="Times New Roman" w:hAnsi="Baskerville"/>
          <w:bdr w:val="none" w:sz="0" w:space="0" w:color="auto" w:frame="1"/>
        </w:rPr>
        <w:t xml:space="preserve"> paradigm that </w:t>
      </w:r>
      <w:r w:rsidR="001D17BC">
        <w:rPr>
          <w:rFonts w:ascii="Baskerville" w:eastAsia="Times New Roman" w:hAnsi="Baskerville"/>
          <w:bdr w:val="none" w:sz="0" w:space="0" w:color="auto" w:frame="1"/>
        </w:rPr>
        <w:t>will be correct,</w:t>
      </w:r>
      <w:r w:rsidR="002467E9">
        <w:rPr>
          <w:rFonts w:ascii="Baskerville" w:eastAsia="Times New Roman" w:hAnsi="Baskerville"/>
          <w:bdr w:val="none" w:sz="0" w:space="0" w:color="auto" w:frame="1"/>
        </w:rPr>
        <w:t xml:space="preserve"> and</w:t>
      </w:r>
      <w:r w:rsidR="002B36FA">
        <w:rPr>
          <w:rFonts w:ascii="Baskerville" w:eastAsia="Times New Roman" w:hAnsi="Baskerville"/>
          <w:bdr w:val="none" w:sz="0" w:space="0" w:color="auto" w:frame="1"/>
        </w:rPr>
        <w:t xml:space="preserve"> </w:t>
      </w:r>
      <w:r w:rsidR="00781077">
        <w:rPr>
          <w:rFonts w:ascii="Baskerville" w:eastAsia="Times New Roman" w:hAnsi="Baskerville"/>
          <w:bdr w:val="none" w:sz="0" w:space="0" w:color="auto" w:frame="1"/>
        </w:rPr>
        <w:t xml:space="preserve">setting the role and limits of judicial review </w:t>
      </w:r>
      <w:r w:rsidR="00AB2112">
        <w:rPr>
          <w:rFonts w:ascii="Baskerville" w:eastAsia="Times New Roman" w:hAnsi="Baskerville"/>
          <w:bdr w:val="none" w:sz="0" w:space="0" w:color="auto" w:frame="1"/>
        </w:rPr>
        <w:t xml:space="preserve">entails no more than </w:t>
      </w:r>
      <w:r w:rsidR="00781077">
        <w:rPr>
          <w:rFonts w:ascii="Baskerville" w:eastAsia="Times New Roman" w:hAnsi="Baskerville"/>
          <w:bdr w:val="none" w:sz="0" w:space="0" w:color="auto" w:frame="1"/>
        </w:rPr>
        <w:t>choosing the right paradigm</w:t>
      </w:r>
      <w:r w:rsidR="00DD5842">
        <w:rPr>
          <w:rFonts w:ascii="Baskerville" w:eastAsia="Times New Roman" w:hAnsi="Baskerville"/>
          <w:bdr w:val="none" w:sz="0" w:space="0" w:color="auto" w:frame="1"/>
        </w:rPr>
        <w:t xml:space="preserve">.  The task of scholarship, accordingly, </w:t>
      </w:r>
      <w:r w:rsidR="001A2C9B">
        <w:rPr>
          <w:rFonts w:ascii="Baskerville" w:eastAsia="Times New Roman" w:hAnsi="Baskerville"/>
          <w:bdr w:val="none" w:sz="0" w:space="0" w:color="auto" w:frame="1"/>
        </w:rPr>
        <w:t xml:space="preserve">is </w:t>
      </w:r>
      <w:r w:rsidR="004A3281">
        <w:rPr>
          <w:rFonts w:ascii="Baskerville" w:eastAsia="Times New Roman" w:hAnsi="Baskerville"/>
          <w:bdr w:val="none" w:sz="0" w:space="0" w:color="auto" w:frame="1"/>
        </w:rPr>
        <w:t>to</w:t>
      </w:r>
      <w:r w:rsidR="00DD5842">
        <w:rPr>
          <w:rFonts w:ascii="Baskerville" w:eastAsia="Times New Roman" w:hAnsi="Baskerville"/>
          <w:bdr w:val="none" w:sz="0" w:space="0" w:color="auto" w:frame="1"/>
        </w:rPr>
        <w:t xml:space="preserve"> </w:t>
      </w:r>
      <w:r w:rsidR="004A3281">
        <w:rPr>
          <w:rFonts w:ascii="Baskerville" w:eastAsia="Times New Roman" w:hAnsi="Baskerville"/>
          <w:bdr w:val="none" w:sz="0" w:space="0" w:color="auto" w:frame="1"/>
        </w:rPr>
        <w:t>uncover</w:t>
      </w:r>
      <w:r w:rsidR="00DD5842">
        <w:rPr>
          <w:rFonts w:ascii="Baskerville" w:eastAsia="Times New Roman" w:hAnsi="Baskerville"/>
          <w:bdr w:val="none" w:sz="0" w:space="0" w:color="auto" w:frame="1"/>
        </w:rPr>
        <w:t xml:space="preserve"> the </w:t>
      </w:r>
      <w:r w:rsidR="004A3281">
        <w:rPr>
          <w:rFonts w:ascii="Baskerville" w:eastAsia="Times New Roman" w:hAnsi="Baskerville"/>
          <w:bdr w:val="none" w:sz="0" w:space="0" w:color="auto" w:frame="1"/>
        </w:rPr>
        <w:t xml:space="preserve">normative, </w:t>
      </w:r>
      <w:r w:rsidR="00AB2112">
        <w:rPr>
          <w:rFonts w:ascii="Baskerville" w:eastAsia="Times New Roman" w:hAnsi="Baskerville"/>
          <w:bdr w:val="none" w:sz="0" w:space="0" w:color="auto" w:frame="1"/>
        </w:rPr>
        <w:t>theoretical</w:t>
      </w:r>
      <w:r w:rsidR="004A3281">
        <w:rPr>
          <w:rFonts w:ascii="Baskerville" w:eastAsia="Times New Roman" w:hAnsi="Baskerville"/>
          <w:bdr w:val="none" w:sz="0" w:space="0" w:color="auto" w:frame="1"/>
        </w:rPr>
        <w:t>,</w:t>
      </w:r>
      <w:r w:rsidR="00DD5842">
        <w:rPr>
          <w:rFonts w:ascii="Baskerville" w:eastAsia="Times New Roman" w:hAnsi="Baskerville"/>
          <w:bdr w:val="none" w:sz="0" w:space="0" w:color="auto" w:frame="1"/>
        </w:rPr>
        <w:t xml:space="preserve"> and </w:t>
      </w:r>
      <w:r w:rsidR="004A3281">
        <w:rPr>
          <w:rFonts w:ascii="Baskerville" w:eastAsia="Times New Roman" w:hAnsi="Baskerville"/>
          <w:bdr w:val="none" w:sz="0" w:space="0" w:color="auto" w:frame="1"/>
        </w:rPr>
        <w:t>evaluative</w:t>
      </w:r>
      <w:r w:rsidR="00AB2112">
        <w:rPr>
          <w:rFonts w:ascii="Baskerville" w:eastAsia="Times New Roman" w:hAnsi="Baskerville"/>
          <w:bdr w:val="none" w:sz="0" w:space="0" w:color="auto" w:frame="1"/>
        </w:rPr>
        <w:t xml:space="preserve"> </w:t>
      </w:r>
      <w:r w:rsidR="00DD5842">
        <w:rPr>
          <w:rFonts w:ascii="Baskerville" w:eastAsia="Times New Roman" w:hAnsi="Baskerville"/>
          <w:bdr w:val="none" w:sz="0" w:space="0" w:color="auto" w:frame="1"/>
        </w:rPr>
        <w:t>assumptions of each paradigm</w:t>
      </w:r>
      <w:r w:rsidR="004A3281">
        <w:rPr>
          <w:rFonts w:ascii="Baskerville" w:eastAsia="Times New Roman" w:hAnsi="Baskerville"/>
          <w:bdr w:val="none" w:sz="0" w:space="0" w:color="auto" w:frame="1"/>
        </w:rPr>
        <w:t>;</w:t>
      </w:r>
      <w:r w:rsidR="00DD5842">
        <w:rPr>
          <w:rFonts w:ascii="Baskerville" w:eastAsia="Times New Roman" w:hAnsi="Baskerville"/>
          <w:bdr w:val="none" w:sz="0" w:space="0" w:color="auto" w:frame="1"/>
        </w:rPr>
        <w:t xml:space="preserve"> </w:t>
      </w:r>
      <w:r w:rsidR="001D17BC">
        <w:rPr>
          <w:rFonts w:ascii="Baskerville" w:eastAsia="Times New Roman" w:hAnsi="Baskerville"/>
          <w:bdr w:val="none" w:sz="0" w:space="0" w:color="auto" w:frame="1"/>
        </w:rPr>
        <w:t xml:space="preserve">examine their correspondence to reality; </w:t>
      </w:r>
      <w:r w:rsidR="002B36FA">
        <w:rPr>
          <w:rFonts w:ascii="Baskerville" w:eastAsia="Times New Roman" w:hAnsi="Baskerville"/>
          <w:bdr w:val="none" w:sz="0" w:space="0" w:color="auto" w:frame="1"/>
        </w:rPr>
        <w:t>scrutini</w:t>
      </w:r>
      <w:r w:rsidR="004A3281">
        <w:rPr>
          <w:rFonts w:ascii="Baskerville" w:eastAsia="Times New Roman" w:hAnsi="Baskerville"/>
          <w:bdr w:val="none" w:sz="0" w:space="0" w:color="auto" w:frame="1"/>
        </w:rPr>
        <w:t>se</w:t>
      </w:r>
      <w:r w:rsidR="002B36FA">
        <w:rPr>
          <w:rFonts w:ascii="Baskerville" w:eastAsia="Times New Roman" w:hAnsi="Baskerville"/>
          <w:bdr w:val="none" w:sz="0" w:space="0" w:color="auto" w:frame="1"/>
        </w:rPr>
        <w:t xml:space="preserve"> </w:t>
      </w:r>
      <w:r w:rsidR="00DD5842">
        <w:rPr>
          <w:rFonts w:ascii="Baskerville" w:eastAsia="Times New Roman" w:hAnsi="Baskerville"/>
          <w:bdr w:val="none" w:sz="0" w:space="0" w:color="auto" w:frame="1"/>
        </w:rPr>
        <w:t xml:space="preserve">the </w:t>
      </w:r>
      <w:r w:rsidR="004A3281">
        <w:rPr>
          <w:rFonts w:ascii="Baskerville" w:eastAsia="Times New Roman" w:hAnsi="Baskerville"/>
          <w:bdr w:val="none" w:sz="0" w:space="0" w:color="auto" w:frame="1"/>
        </w:rPr>
        <w:t xml:space="preserve">appositeness </w:t>
      </w:r>
      <w:r w:rsidR="00AB2112">
        <w:rPr>
          <w:rFonts w:ascii="Baskerville" w:eastAsia="Times New Roman" w:hAnsi="Baskerville"/>
          <w:bdr w:val="none" w:sz="0" w:space="0" w:color="auto" w:frame="1"/>
        </w:rPr>
        <w:t xml:space="preserve">of the </w:t>
      </w:r>
      <w:r w:rsidR="00DD5842">
        <w:rPr>
          <w:rFonts w:ascii="Baskerville" w:eastAsia="Times New Roman" w:hAnsi="Baskerville"/>
          <w:bdr w:val="none" w:sz="0" w:space="0" w:color="auto" w:frame="1"/>
        </w:rPr>
        <w:t xml:space="preserve">exemplars </w:t>
      </w:r>
      <w:r w:rsidR="001D17BC">
        <w:rPr>
          <w:rFonts w:ascii="Baskerville" w:eastAsia="Times New Roman" w:hAnsi="Baskerville"/>
          <w:bdr w:val="none" w:sz="0" w:space="0" w:color="auto" w:frame="1"/>
        </w:rPr>
        <w:t>each paradigm</w:t>
      </w:r>
      <w:r w:rsidR="00DD5842">
        <w:rPr>
          <w:rFonts w:ascii="Baskerville" w:eastAsia="Times New Roman" w:hAnsi="Baskerville"/>
          <w:bdr w:val="none" w:sz="0" w:space="0" w:color="auto" w:frame="1"/>
        </w:rPr>
        <w:t xml:space="preserve"> </w:t>
      </w:r>
      <w:r w:rsidR="00AB2112">
        <w:rPr>
          <w:rFonts w:ascii="Baskerville" w:eastAsia="Times New Roman" w:hAnsi="Baskerville"/>
          <w:bdr w:val="none" w:sz="0" w:space="0" w:color="auto" w:frame="1"/>
        </w:rPr>
        <w:t>presents</w:t>
      </w:r>
      <w:r w:rsidR="001D17BC">
        <w:rPr>
          <w:rFonts w:ascii="Baskerville" w:eastAsia="Times New Roman" w:hAnsi="Baskerville"/>
          <w:bdr w:val="none" w:sz="0" w:space="0" w:color="auto" w:frame="1"/>
        </w:rPr>
        <w:t>;</w:t>
      </w:r>
      <w:r w:rsidR="00DD5842">
        <w:rPr>
          <w:rFonts w:ascii="Baskerville" w:eastAsia="Times New Roman" w:hAnsi="Baskerville"/>
          <w:bdr w:val="none" w:sz="0" w:space="0" w:color="auto" w:frame="1"/>
        </w:rPr>
        <w:t xml:space="preserve"> and </w:t>
      </w:r>
      <w:r w:rsidR="004A3281">
        <w:rPr>
          <w:rFonts w:ascii="Baskerville" w:eastAsia="Times New Roman" w:hAnsi="Baskerville"/>
          <w:bdr w:val="none" w:sz="0" w:space="0" w:color="auto" w:frame="1"/>
        </w:rPr>
        <w:t xml:space="preserve">critique </w:t>
      </w:r>
      <w:r w:rsidR="00AB2112">
        <w:rPr>
          <w:rFonts w:ascii="Baskerville" w:eastAsia="Times New Roman" w:hAnsi="Baskerville"/>
          <w:bdr w:val="none" w:sz="0" w:space="0" w:color="auto" w:frame="1"/>
        </w:rPr>
        <w:t xml:space="preserve">the </w:t>
      </w:r>
      <w:r w:rsidR="004A3281">
        <w:rPr>
          <w:rFonts w:ascii="Baskerville" w:eastAsia="Times New Roman" w:hAnsi="Baskerville"/>
          <w:bdr w:val="none" w:sz="0" w:space="0" w:color="auto" w:frame="1"/>
        </w:rPr>
        <w:t xml:space="preserve">appropriateness of the </w:t>
      </w:r>
      <w:r w:rsidR="00AB2112">
        <w:rPr>
          <w:rFonts w:ascii="Baskerville" w:eastAsia="Times New Roman" w:hAnsi="Baskerville"/>
          <w:bdr w:val="none" w:sz="0" w:space="0" w:color="auto" w:frame="1"/>
        </w:rPr>
        <w:t xml:space="preserve">outcomes and relationships </w:t>
      </w:r>
      <w:r w:rsidR="001D17BC">
        <w:rPr>
          <w:rFonts w:ascii="Baskerville" w:eastAsia="Times New Roman" w:hAnsi="Baskerville"/>
          <w:bdr w:val="none" w:sz="0" w:space="0" w:color="auto" w:frame="1"/>
        </w:rPr>
        <w:t>they</w:t>
      </w:r>
      <w:r w:rsidR="00AB2112">
        <w:rPr>
          <w:rFonts w:ascii="Baskerville" w:eastAsia="Times New Roman" w:hAnsi="Baskerville"/>
          <w:bdr w:val="none" w:sz="0" w:space="0" w:color="auto" w:frame="1"/>
        </w:rPr>
        <w:t xml:space="preserve"> produce.</w:t>
      </w:r>
      <w:r w:rsidR="00781077">
        <w:rPr>
          <w:rFonts w:ascii="Baskerville" w:eastAsia="Times New Roman" w:hAnsi="Baskerville"/>
          <w:bdr w:val="none" w:sz="0" w:space="0" w:color="auto" w:frame="1"/>
        </w:rPr>
        <w:t xml:space="preserve"> </w:t>
      </w:r>
      <w:r w:rsidR="004A3281">
        <w:rPr>
          <w:rFonts w:ascii="Baskerville" w:eastAsia="Times New Roman" w:hAnsi="Baskerville"/>
          <w:bdr w:val="none" w:sz="0" w:space="0" w:color="auto" w:frame="1"/>
        </w:rPr>
        <w:t xml:space="preserve"> Such a process</w:t>
      </w:r>
      <w:r w:rsidR="001D17BC">
        <w:rPr>
          <w:rFonts w:ascii="Baskerville" w:eastAsia="Times New Roman" w:hAnsi="Baskerville"/>
          <w:bdr w:val="none" w:sz="0" w:space="0" w:color="auto" w:frame="1"/>
        </w:rPr>
        <w:t xml:space="preserve"> is necessarily a zero-sum game</w:t>
      </w:r>
      <w:r w:rsidR="004A3281">
        <w:rPr>
          <w:rFonts w:ascii="Baskerville" w:eastAsia="Times New Roman" w:hAnsi="Baskerville"/>
          <w:bdr w:val="none" w:sz="0" w:space="0" w:color="auto" w:frame="1"/>
        </w:rPr>
        <w:t xml:space="preserve"> wh</w:t>
      </w:r>
      <w:r w:rsidR="001D17BC">
        <w:rPr>
          <w:rFonts w:ascii="Baskerville" w:eastAsia="Times New Roman" w:hAnsi="Baskerville"/>
          <w:bdr w:val="none" w:sz="0" w:space="0" w:color="auto" w:frame="1"/>
        </w:rPr>
        <w:t>ich</w:t>
      </w:r>
      <w:r w:rsidR="004A3281">
        <w:rPr>
          <w:rFonts w:ascii="Baskerville" w:eastAsia="Times New Roman" w:hAnsi="Baskerville"/>
          <w:bdr w:val="none" w:sz="0" w:space="0" w:color="auto" w:frame="1"/>
        </w:rPr>
        <w:t xml:space="preserve"> </w:t>
      </w:r>
      <w:r w:rsidR="001D17BC">
        <w:rPr>
          <w:rFonts w:ascii="Baskerville" w:eastAsia="Times New Roman" w:hAnsi="Baskerville"/>
          <w:bdr w:val="none" w:sz="0" w:space="0" w:color="auto" w:frame="1"/>
        </w:rPr>
        <w:t xml:space="preserve">can </w:t>
      </w:r>
      <w:r w:rsidR="004A3281">
        <w:rPr>
          <w:rFonts w:ascii="Baskerville" w:eastAsia="Times New Roman" w:hAnsi="Baskerville"/>
          <w:bdr w:val="none" w:sz="0" w:space="0" w:color="auto" w:frame="1"/>
        </w:rPr>
        <w:t xml:space="preserve">only </w:t>
      </w:r>
      <w:r w:rsidR="000F7CEC">
        <w:rPr>
          <w:rFonts w:ascii="Baskerville" w:eastAsia="Times New Roman" w:hAnsi="Baskerville"/>
          <w:bdr w:val="none" w:sz="0" w:space="0" w:color="auto" w:frame="1"/>
        </w:rPr>
        <w:t>conclu</w:t>
      </w:r>
      <w:r w:rsidR="001D17BC">
        <w:rPr>
          <w:rFonts w:ascii="Baskerville" w:eastAsia="Times New Roman" w:hAnsi="Baskerville"/>
          <w:bdr w:val="none" w:sz="0" w:space="0" w:color="auto" w:frame="1"/>
        </w:rPr>
        <w:t>de</w:t>
      </w:r>
      <w:r w:rsidR="000F7CEC">
        <w:rPr>
          <w:rFonts w:ascii="Baskerville" w:eastAsia="Times New Roman" w:hAnsi="Baskerville"/>
          <w:bdr w:val="none" w:sz="0" w:space="0" w:color="auto" w:frame="1"/>
        </w:rPr>
        <w:t xml:space="preserve"> </w:t>
      </w:r>
      <w:r w:rsidR="001D17BC">
        <w:rPr>
          <w:rFonts w:ascii="Baskerville" w:eastAsia="Times New Roman" w:hAnsi="Baskerville"/>
          <w:bdr w:val="none" w:sz="0" w:space="0" w:color="auto" w:frame="1"/>
        </w:rPr>
        <w:t xml:space="preserve">with </w:t>
      </w:r>
      <w:r w:rsidR="000F7CEC">
        <w:rPr>
          <w:rFonts w:ascii="Baskerville" w:eastAsia="Times New Roman" w:hAnsi="Baskerville"/>
          <w:bdr w:val="none" w:sz="0" w:space="0" w:color="auto" w:frame="1"/>
        </w:rPr>
        <w:t xml:space="preserve">the victory of </w:t>
      </w:r>
      <w:r w:rsidR="004A3281">
        <w:rPr>
          <w:rFonts w:ascii="Baskerville" w:eastAsia="Times New Roman" w:hAnsi="Baskerville"/>
          <w:bdr w:val="none" w:sz="0" w:space="0" w:color="auto" w:frame="1"/>
        </w:rPr>
        <w:t xml:space="preserve">one paradigm over </w:t>
      </w:r>
      <w:r w:rsidR="000F7CEC">
        <w:rPr>
          <w:rFonts w:ascii="Baskerville" w:eastAsia="Times New Roman" w:hAnsi="Baskerville"/>
          <w:bdr w:val="none" w:sz="0" w:space="0" w:color="auto" w:frame="1"/>
        </w:rPr>
        <w:t>its competitors</w:t>
      </w:r>
      <w:r w:rsidR="004A3281">
        <w:rPr>
          <w:rFonts w:ascii="Baskerville" w:eastAsia="Times New Roman" w:hAnsi="Baskerville"/>
          <w:bdr w:val="none" w:sz="0" w:space="0" w:color="auto" w:frame="1"/>
        </w:rPr>
        <w:t>.</w:t>
      </w:r>
    </w:p>
    <w:p w14:paraId="4828868B" w14:textId="77777777" w:rsidR="004A3281" w:rsidRDefault="004A3281" w:rsidP="004A3281">
      <w:pPr>
        <w:spacing w:line="276" w:lineRule="auto"/>
        <w:rPr>
          <w:rFonts w:ascii="Baskerville" w:eastAsia="Times New Roman" w:hAnsi="Baskerville"/>
          <w:bdr w:val="none" w:sz="0" w:space="0" w:color="auto" w:frame="1"/>
        </w:rPr>
      </w:pPr>
    </w:p>
    <w:p w14:paraId="76E2DD50" w14:textId="06A0BC9A" w:rsidR="000F7CEC" w:rsidRDefault="00B36509" w:rsidP="009E2E21">
      <w:pPr>
        <w:spacing w:line="276" w:lineRule="auto"/>
        <w:rPr>
          <w:rFonts w:ascii="Baskerville" w:eastAsia="Times New Roman" w:hAnsi="Baskerville"/>
          <w:bdr w:val="none" w:sz="0" w:space="0" w:color="auto" w:frame="1"/>
        </w:rPr>
      </w:pPr>
      <w:r>
        <w:rPr>
          <w:rFonts w:ascii="Baskerville" w:eastAsia="Times New Roman" w:hAnsi="Baskerville"/>
          <w:bdr w:val="none" w:sz="0" w:space="0" w:color="auto" w:frame="1"/>
        </w:rPr>
        <w:t xml:space="preserve">Viewing judicial review through the lens of administrative justice, in contrast, </w:t>
      </w:r>
      <w:r w:rsidR="004A3281">
        <w:rPr>
          <w:rFonts w:ascii="Baskerville" w:eastAsia="Times New Roman" w:hAnsi="Baskerville"/>
          <w:bdr w:val="none" w:sz="0" w:space="0" w:color="auto" w:frame="1"/>
        </w:rPr>
        <w:t xml:space="preserve">presents a radically different picture of the role of judicial review.  </w:t>
      </w:r>
      <w:r w:rsidR="00324FBC">
        <w:rPr>
          <w:rFonts w:ascii="Baskerville" w:eastAsia="Times New Roman" w:hAnsi="Baskerville"/>
          <w:bdr w:val="none" w:sz="0" w:space="0" w:color="auto" w:frame="1"/>
        </w:rPr>
        <w:t>Reality is a good deal messier than a typology based on ideal types might suggest, and although the four ideal typical accounts we have discussed above present four different conceptions of the role of the judiciary in making governmental administration more just, the needs of any real-world system of administration cannot be</w:t>
      </w:r>
      <w:r w:rsidR="00324FBC" w:rsidRPr="00B36509">
        <w:rPr>
          <w:rFonts w:ascii="Baskerville" w:eastAsia="Times New Roman" w:hAnsi="Baskerville"/>
          <w:bdr w:val="none" w:sz="0" w:space="0" w:color="auto" w:frame="1"/>
        </w:rPr>
        <w:t xml:space="preserve"> and </w:t>
      </w:r>
      <w:r w:rsidR="00324FBC">
        <w:rPr>
          <w:rFonts w:ascii="Baskerville" w:eastAsia="Times New Roman" w:hAnsi="Baskerville"/>
          <w:bdr w:val="none" w:sz="0" w:space="0" w:color="auto" w:frame="1"/>
        </w:rPr>
        <w:t>will not be met through a system of judicial review that engages in the single-minded pursuit of only one of these ends.  No one approach can by itself serve to make governmental administration more just</w:t>
      </w:r>
      <w:r>
        <w:rPr>
          <w:rFonts w:ascii="Baskerville" w:eastAsia="Times New Roman" w:hAnsi="Baskerville"/>
          <w:bdr w:val="none" w:sz="0" w:space="0" w:color="auto" w:frame="1"/>
        </w:rPr>
        <w:t xml:space="preserve">. </w:t>
      </w:r>
      <w:r w:rsidR="004A3281">
        <w:rPr>
          <w:rFonts w:ascii="Baskerville" w:eastAsia="Times New Roman" w:hAnsi="Baskerville"/>
          <w:bdr w:val="none" w:sz="0" w:space="0" w:color="auto" w:frame="1"/>
        </w:rPr>
        <w:t xml:space="preserve"> </w:t>
      </w:r>
      <w:r w:rsidR="00324FBC">
        <w:rPr>
          <w:rFonts w:ascii="Baskerville" w:eastAsia="Times New Roman" w:hAnsi="Baskerville"/>
          <w:bdr w:val="none" w:sz="0" w:space="0" w:color="auto" w:frame="1"/>
        </w:rPr>
        <w:t xml:space="preserve">Rather, each of the four </w:t>
      </w:r>
      <w:r>
        <w:rPr>
          <w:rFonts w:ascii="Baskerville" w:eastAsia="Times New Roman" w:hAnsi="Baskerville"/>
          <w:bdr w:val="none" w:sz="0" w:space="0" w:color="auto" w:frame="1"/>
        </w:rPr>
        <w:t>plays a different role in relation to administrative justice</w:t>
      </w:r>
      <w:r w:rsidRPr="00CE6744">
        <w:rPr>
          <w:rFonts w:ascii="Baskerville" w:eastAsia="Times New Roman" w:hAnsi="Baskerville"/>
          <w:bdr w:val="none" w:sz="0" w:space="0" w:color="auto" w:frame="1"/>
        </w:rPr>
        <w:t xml:space="preserve">, </w:t>
      </w:r>
      <w:r w:rsidR="00324FBC">
        <w:rPr>
          <w:rFonts w:ascii="Baskerville" w:eastAsia="Times New Roman" w:hAnsi="Baskerville"/>
          <w:bdr w:val="none" w:sz="0" w:space="0" w:color="auto" w:frame="1"/>
        </w:rPr>
        <w:t xml:space="preserve">and </w:t>
      </w:r>
      <w:r w:rsidR="005A0843">
        <w:rPr>
          <w:rFonts w:ascii="Baskerville" w:eastAsia="Times New Roman" w:hAnsi="Baskerville"/>
          <w:bdr w:val="none" w:sz="0" w:space="0" w:color="auto" w:frame="1"/>
        </w:rPr>
        <w:t xml:space="preserve">all four are necessary parts of the legal toolbox.  </w:t>
      </w:r>
      <w:r w:rsidR="004E2EC4">
        <w:rPr>
          <w:rFonts w:ascii="Baskerville" w:eastAsia="Times New Roman" w:hAnsi="Baskerville"/>
          <w:bdr w:val="none" w:sz="0" w:space="0" w:color="auto" w:frame="1"/>
        </w:rPr>
        <w:t>W</w:t>
      </w:r>
      <w:r w:rsidRPr="00CE6744">
        <w:rPr>
          <w:rFonts w:ascii="Baskerville" w:eastAsia="Times New Roman" w:hAnsi="Baskerville"/>
          <w:bdr w:val="none" w:sz="0" w:space="0" w:color="auto" w:frame="1"/>
        </w:rPr>
        <w:t>hat is needed</w:t>
      </w:r>
      <w:r w:rsidR="004E2EC4">
        <w:rPr>
          <w:rFonts w:ascii="Baskerville" w:eastAsia="Times New Roman" w:hAnsi="Baskerville"/>
          <w:bdr w:val="none" w:sz="0" w:space="0" w:color="auto" w:frame="1"/>
        </w:rPr>
        <w:t>, accordingly,</w:t>
      </w:r>
      <w:r w:rsidRPr="00CE6744">
        <w:rPr>
          <w:rFonts w:ascii="Baskerville" w:eastAsia="Times New Roman" w:hAnsi="Baskerville"/>
          <w:bdr w:val="none" w:sz="0" w:space="0" w:color="auto" w:frame="1"/>
        </w:rPr>
        <w:t xml:space="preserve"> is the ability to </w:t>
      </w:r>
      <w:r w:rsidR="004E2EC4">
        <w:rPr>
          <w:rFonts w:ascii="Baskerville" w:eastAsia="Times New Roman" w:hAnsi="Baskerville"/>
          <w:bdr w:val="none" w:sz="0" w:space="0" w:color="auto" w:frame="1"/>
        </w:rPr>
        <w:t xml:space="preserve">see them </w:t>
      </w:r>
      <w:r w:rsidR="006D4CA0">
        <w:rPr>
          <w:rFonts w:ascii="Baskerville" w:eastAsia="Times New Roman" w:hAnsi="Baskerville"/>
          <w:bdr w:val="none" w:sz="0" w:space="0" w:color="auto" w:frame="1"/>
        </w:rPr>
        <w:t>as complementary</w:t>
      </w:r>
      <w:r w:rsidR="006D4CA0" w:rsidRPr="00CE6744">
        <w:rPr>
          <w:rFonts w:ascii="Baskerville" w:eastAsia="Times New Roman" w:hAnsi="Baskerville"/>
          <w:bdr w:val="none" w:sz="0" w:space="0" w:color="auto" w:frame="1"/>
        </w:rPr>
        <w:t xml:space="preserve"> </w:t>
      </w:r>
      <w:r w:rsidR="006D4CA0">
        <w:rPr>
          <w:rFonts w:ascii="Baskerville" w:eastAsia="Times New Roman" w:hAnsi="Baskerville"/>
          <w:bdr w:val="none" w:sz="0" w:space="0" w:color="auto" w:frame="1"/>
        </w:rPr>
        <w:t xml:space="preserve">rather than </w:t>
      </w:r>
      <w:r w:rsidRPr="00CE6744">
        <w:rPr>
          <w:rFonts w:ascii="Baskerville" w:eastAsia="Times New Roman" w:hAnsi="Baskerville"/>
          <w:bdr w:val="none" w:sz="0" w:space="0" w:color="auto" w:frame="1"/>
        </w:rPr>
        <w:t>as alternatives</w:t>
      </w:r>
      <w:r w:rsidR="004E2EC4">
        <w:rPr>
          <w:rFonts w:ascii="Baskerville" w:eastAsia="Times New Roman" w:hAnsi="Baskerville"/>
          <w:bdr w:val="none" w:sz="0" w:space="0" w:color="auto" w:frame="1"/>
        </w:rPr>
        <w:t xml:space="preserve">, with </w:t>
      </w:r>
      <w:r w:rsidRPr="00CE6744">
        <w:rPr>
          <w:rFonts w:ascii="Baskerville" w:eastAsia="Times New Roman" w:hAnsi="Baskerville"/>
          <w:bdr w:val="none" w:sz="0" w:space="0" w:color="auto" w:frame="1"/>
        </w:rPr>
        <w:t xml:space="preserve">the delivery of administrative justice </w:t>
      </w:r>
      <w:r w:rsidR="004E2EC4">
        <w:rPr>
          <w:rFonts w:ascii="Baskerville" w:eastAsia="Times New Roman" w:hAnsi="Baskerville"/>
          <w:bdr w:val="none" w:sz="0" w:space="0" w:color="auto" w:frame="1"/>
        </w:rPr>
        <w:t xml:space="preserve">depending on courts having the ability </w:t>
      </w:r>
      <w:r w:rsidR="00324FBC">
        <w:rPr>
          <w:rFonts w:ascii="Baskerville" w:eastAsia="Times New Roman" w:hAnsi="Baskerville"/>
          <w:bdr w:val="none" w:sz="0" w:space="0" w:color="auto" w:frame="1"/>
        </w:rPr>
        <w:t>to draw on – and, where necessary, combine – all</w:t>
      </w:r>
      <w:r w:rsidRPr="00CE6744">
        <w:rPr>
          <w:rFonts w:ascii="Baskerville" w:eastAsia="Times New Roman" w:hAnsi="Baskerville"/>
          <w:bdr w:val="none" w:sz="0" w:space="0" w:color="auto" w:frame="1"/>
        </w:rPr>
        <w:t xml:space="preserve"> </w:t>
      </w:r>
      <w:r w:rsidR="00324FBC">
        <w:rPr>
          <w:rFonts w:ascii="Baskerville" w:eastAsia="Times New Roman" w:hAnsi="Baskerville"/>
          <w:bdr w:val="none" w:sz="0" w:space="0" w:color="auto" w:frame="1"/>
        </w:rPr>
        <w:t>four approaches.</w:t>
      </w:r>
      <w:r w:rsidR="000F7CEC">
        <w:rPr>
          <w:rFonts w:ascii="Baskerville" w:eastAsia="Times New Roman" w:hAnsi="Baskerville"/>
          <w:bdr w:val="none" w:sz="0" w:space="0" w:color="auto" w:frame="1"/>
        </w:rPr>
        <w:t xml:space="preserve">  </w:t>
      </w:r>
    </w:p>
    <w:p w14:paraId="625A60EE" w14:textId="77777777" w:rsidR="000F7CEC" w:rsidRDefault="000F7CEC" w:rsidP="000F7CEC">
      <w:pPr>
        <w:spacing w:line="276" w:lineRule="auto"/>
        <w:rPr>
          <w:rFonts w:ascii="Baskerville" w:eastAsia="Times New Roman" w:hAnsi="Baskerville"/>
          <w:bdr w:val="none" w:sz="0" w:space="0" w:color="auto" w:frame="1"/>
        </w:rPr>
      </w:pPr>
    </w:p>
    <w:p w14:paraId="01FD3D6D" w14:textId="7A514631" w:rsidR="009E2E21" w:rsidRDefault="00ED54C9" w:rsidP="00C34F19">
      <w:pPr>
        <w:spacing w:line="276" w:lineRule="auto"/>
        <w:rPr>
          <w:rFonts w:ascii="Baskerville" w:hAnsi="Baskerville" w:cstheme="minorHAnsi"/>
        </w:rPr>
      </w:pPr>
      <w:r>
        <w:rPr>
          <w:rFonts w:ascii="Baskerville" w:hAnsi="Baskerville" w:cstheme="minorHAnsi"/>
        </w:rPr>
        <w:lastRenderedPageBreak/>
        <w:t xml:space="preserve">There are strong parallels between this more pragmatic conception of judicial review and Karl Llewellyn’s </w:t>
      </w:r>
      <w:r w:rsidR="009E2E21">
        <w:rPr>
          <w:rFonts w:ascii="Baskerville" w:hAnsi="Baskerville" w:cstheme="minorHAnsi"/>
        </w:rPr>
        <w:t>account</w:t>
      </w:r>
      <w:r>
        <w:rPr>
          <w:rFonts w:ascii="Baskerville" w:hAnsi="Baskerville" w:cstheme="minorHAnsi"/>
        </w:rPr>
        <w:t xml:space="preserve"> of juristic method</w:t>
      </w:r>
      <w:r w:rsidR="00E520CF">
        <w:rPr>
          <w:rFonts w:ascii="Baskerville" w:hAnsi="Baskerville" w:cstheme="minorHAnsi"/>
        </w:rPr>
        <w:t>, which have important implications for how we assess the role of the courts vis-à-vis the administration</w:t>
      </w:r>
      <w:r>
        <w:rPr>
          <w:rFonts w:ascii="Baskerville" w:hAnsi="Baskerville" w:cstheme="minorHAnsi"/>
        </w:rPr>
        <w:t xml:space="preserve">.  In his work on </w:t>
      </w:r>
      <w:r w:rsidR="00E520CF">
        <w:rPr>
          <w:rFonts w:ascii="Baskerville" w:hAnsi="Baskerville" w:cstheme="minorHAnsi"/>
        </w:rPr>
        <w:t>juristic method,</w:t>
      </w:r>
      <w:r>
        <w:rPr>
          <w:rFonts w:ascii="Baskerville" w:hAnsi="Baskerville" w:cstheme="minorHAnsi"/>
        </w:rPr>
        <w:t xml:space="preserve"> Llewellyn </w:t>
      </w:r>
      <w:r w:rsidR="00E520CF">
        <w:rPr>
          <w:rFonts w:ascii="Baskerville" w:hAnsi="Baskerville" w:cstheme="minorHAnsi"/>
        </w:rPr>
        <w:t xml:space="preserve">(1940) classified </w:t>
      </w:r>
      <w:r>
        <w:rPr>
          <w:rFonts w:ascii="Baskerville" w:hAnsi="Baskerville" w:cstheme="minorHAnsi"/>
        </w:rPr>
        <w:t xml:space="preserve">the tasks of any </w:t>
      </w:r>
      <w:r w:rsidR="00CB5A13">
        <w:rPr>
          <w:rFonts w:ascii="Baskerville" w:hAnsi="Baskerville" w:cstheme="minorHAnsi"/>
        </w:rPr>
        <w:t xml:space="preserve">legal system </w:t>
      </w:r>
      <w:r w:rsidR="00E520CF">
        <w:rPr>
          <w:rFonts w:ascii="Baskerville" w:hAnsi="Baskerville" w:cstheme="minorHAnsi"/>
        </w:rPr>
        <w:t xml:space="preserve">into </w:t>
      </w:r>
      <w:r w:rsidR="00CB5A13">
        <w:rPr>
          <w:rFonts w:ascii="Baskerville" w:hAnsi="Baskerville" w:cstheme="minorHAnsi"/>
        </w:rPr>
        <w:t xml:space="preserve">four </w:t>
      </w:r>
      <w:r>
        <w:rPr>
          <w:rFonts w:ascii="Baskerville" w:hAnsi="Baskerville" w:cstheme="minorHAnsi"/>
        </w:rPr>
        <w:t xml:space="preserve">fundamental </w:t>
      </w:r>
      <w:r w:rsidR="00E520CF">
        <w:rPr>
          <w:rFonts w:ascii="Baskerville" w:hAnsi="Baskerville" w:cstheme="minorHAnsi"/>
        </w:rPr>
        <w:t>‘</w:t>
      </w:r>
      <w:r w:rsidR="00CB5A13">
        <w:rPr>
          <w:rFonts w:ascii="Baskerville" w:hAnsi="Baskerville" w:cstheme="minorHAnsi"/>
        </w:rPr>
        <w:t>law-jobs</w:t>
      </w:r>
      <w:r w:rsidR="00E520CF">
        <w:rPr>
          <w:rFonts w:ascii="Baskerville" w:hAnsi="Baskerville" w:cstheme="minorHAnsi"/>
        </w:rPr>
        <w:t>’</w:t>
      </w:r>
      <w:r>
        <w:rPr>
          <w:rFonts w:ascii="Baskerville" w:hAnsi="Baskerville" w:cstheme="minorHAnsi"/>
        </w:rPr>
        <w:t xml:space="preserve">.  The task of juristic method was to devise </w:t>
      </w:r>
      <w:r w:rsidR="009E2E21">
        <w:rPr>
          <w:rFonts w:ascii="Baskerville" w:hAnsi="Baskerville" w:cstheme="minorHAnsi"/>
        </w:rPr>
        <w:t>techniques for</w:t>
      </w:r>
      <w:r w:rsidR="00F41E36">
        <w:rPr>
          <w:rFonts w:ascii="Baskerville" w:hAnsi="Baskerville" w:cstheme="minorHAnsi"/>
        </w:rPr>
        <w:t xml:space="preserve"> </w:t>
      </w:r>
      <w:r w:rsidR="009E2E21">
        <w:rPr>
          <w:rFonts w:ascii="Baskerville" w:hAnsi="Baskerville" w:cstheme="minorHAnsi"/>
        </w:rPr>
        <w:t xml:space="preserve">using </w:t>
      </w:r>
      <w:r w:rsidR="00F41E36">
        <w:rPr>
          <w:rFonts w:ascii="Baskerville" w:hAnsi="Baskerville" w:cstheme="minorHAnsi"/>
        </w:rPr>
        <w:t xml:space="preserve">legal tools to </w:t>
      </w:r>
      <w:r w:rsidR="009E2E21">
        <w:rPr>
          <w:rFonts w:ascii="Baskerville" w:hAnsi="Baskerville" w:cstheme="minorHAnsi"/>
        </w:rPr>
        <w:t>‘</w:t>
      </w:r>
      <w:r w:rsidR="00F41E36">
        <w:rPr>
          <w:rFonts w:ascii="Baskerville" w:hAnsi="Baskerville" w:cstheme="minorHAnsi"/>
        </w:rPr>
        <w:t>law-job ends</w:t>
      </w:r>
      <w:r>
        <w:rPr>
          <w:rFonts w:ascii="Baskerville" w:hAnsi="Baskerville" w:cstheme="minorHAnsi"/>
        </w:rPr>
        <w:t>’</w:t>
      </w:r>
      <w:r w:rsidR="00F41E36">
        <w:rPr>
          <w:rFonts w:ascii="Baskerville" w:hAnsi="Baskerville" w:cstheme="minorHAnsi"/>
        </w:rPr>
        <w:t xml:space="preserve">, </w:t>
      </w:r>
      <w:r w:rsidR="00E520CF">
        <w:rPr>
          <w:rFonts w:ascii="Baskerville" w:hAnsi="Baskerville" w:cstheme="minorHAnsi"/>
        </w:rPr>
        <w:t>and for their</w:t>
      </w:r>
      <w:r w:rsidR="00F41E36">
        <w:rPr>
          <w:rFonts w:ascii="Baskerville" w:hAnsi="Baskerville" w:cstheme="minorHAnsi"/>
        </w:rPr>
        <w:t xml:space="preserve"> </w:t>
      </w:r>
      <w:r>
        <w:rPr>
          <w:rFonts w:ascii="Baskerville" w:hAnsi="Baskerville" w:cstheme="minorHAnsi"/>
        </w:rPr>
        <w:t>‘</w:t>
      </w:r>
      <w:r w:rsidR="00F41E36">
        <w:rPr>
          <w:rFonts w:ascii="Baskerville" w:hAnsi="Baskerville" w:cstheme="minorHAnsi"/>
        </w:rPr>
        <w:t>ongoing upkeep and improvement’ (Llewellyn, 1940: 1392).</w:t>
      </w:r>
      <w:r w:rsidR="0046280F">
        <w:rPr>
          <w:rFonts w:ascii="Baskerville" w:hAnsi="Baskerville" w:cstheme="minorHAnsi"/>
        </w:rPr>
        <w:t xml:space="preserve">  </w:t>
      </w:r>
      <w:r w:rsidR="00BA7A5A">
        <w:rPr>
          <w:rFonts w:ascii="Baskerville" w:hAnsi="Baskerville" w:cstheme="minorHAnsi"/>
        </w:rPr>
        <w:t>Llewellyn’s</w:t>
      </w:r>
      <w:r w:rsidR="009E2E21">
        <w:rPr>
          <w:rFonts w:ascii="Baskerville" w:hAnsi="Baskerville" w:cstheme="minorHAnsi"/>
        </w:rPr>
        <w:t xml:space="preserve"> description of the four law-jobs </w:t>
      </w:r>
      <w:r w:rsidR="0046280F">
        <w:rPr>
          <w:rFonts w:ascii="Baskerville" w:hAnsi="Baskerville" w:cstheme="minorHAnsi"/>
        </w:rPr>
        <w:t>map</w:t>
      </w:r>
      <w:r w:rsidR="009E2E21">
        <w:rPr>
          <w:rFonts w:ascii="Baskerville" w:hAnsi="Baskerville" w:cstheme="minorHAnsi"/>
        </w:rPr>
        <w:t>s</w:t>
      </w:r>
      <w:r w:rsidR="0046280F">
        <w:rPr>
          <w:rFonts w:ascii="Baskerville" w:hAnsi="Baskerville" w:cstheme="minorHAnsi"/>
        </w:rPr>
        <w:t xml:space="preserve"> closely onto the four functions of judicial review </w:t>
      </w:r>
      <w:r w:rsidR="009E2E21">
        <w:rPr>
          <w:rFonts w:ascii="Baskerville" w:hAnsi="Baskerville" w:cstheme="minorHAnsi"/>
        </w:rPr>
        <w:t>discussed</w:t>
      </w:r>
      <w:r w:rsidR="0046280F">
        <w:rPr>
          <w:rFonts w:ascii="Baskerville" w:hAnsi="Baskerville" w:cstheme="minorHAnsi"/>
        </w:rPr>
        <w:t xml:space="preserve"> </w:t>
      </w:r>
      <w:r w:rsidR="00E520CF">
        <w:rPr>
          <w:rFonts w:ascii="Baskerville" w:hAnsi="Baskerville" w:cstheme="minorHAnsi"/>
        </w:rPr>
        <w:t>in this chapter</w:t>
      </w:r>
      <w:r w:rsidR="00BA7A5A">
        <w:rPr>
          <w:rFonts w:ascii="Baskerville" w:hAnsi="Baskerville" w:cstheme="minorHAnsi"/>
        </w:rPr>
        <w:t>.  He saw them as closely intertwined rather than sharply distinct</w:t>
      </w:r>
      <w:r w:rsidR="009E2E21">
        <w:rPr>
          <w:rFonts w:ascii="Baskerville" w:hAnsi="Baskerville" w:cstheme="minorHAnsi"/>
        </w:rPr>
        <w:t xml:space="preserve">, and his account therefore makes an excellent starting point for working out how the four approaches to judicial review </w:t>
      </w:r>
      <w:r w:rsidR="00C34F19">
        <w:rPr>
          <w:rFonts w:ascii="Baskerville" w:hAnsi="Baskerville" w:cstheme="minorHAnsi"/>
        </w:rPr>
        <w:t>might</w:t>
      </w:r>
      <w:r w:rsidR="009E2E21">
        <w:rPr>
          <w:rFonts w:ascii="Baskerville" w:hAnsi="Baskerville" w:cstheme="minorHAnsi"/>
        </w:rPr>
        <w:t xml:space="preserve"> be </w:t>
      </w:r>
      <w:r w:rsidR="00C34F19">
        <w:rPr>
          <w:rFonts w:ascii="Baskerville" w:hAnsi="Baskerville" w:cstheme="minorHAnsi"/>
        </w:rPr>
        <w:t>woven together in administrative law practice</w:t>
      </w:r>
      <w:r w:rsidR="00BA7A5A">
        <w:rPr>
          <w:rFonts w:ascii="Baskerville" w:hAnsi="Baskerville" w:cstheme="minorHAnsi"/>
        </w:rPr>
        <w:t>.</w:t>
      </w:r>
    </w:p>
    <w:p w14:paraId="4C62997E" w14:textId="77777777" w:rsidR="009E2E21" w:rsidRDefault="009E2E21" w:rsidP="009E2E21">
      <w:pPr>
        <w:spacing w:line="276" w:lineRule="auto"/>
        <w:rPr>
          <w:rFonts w:ascii="Baskerville" w:hAnsi="Baskerville" w:cstheme="minorHAnsi"/>
        </w:rPr>
      </w:pPr>
    </w:p>
    <w:p w14:paraId="14103AC6" w14:textId="77777777" w:rsidR="00F91884" w:rsidRDefault="0046280F" w:rsidP="00F91884">
      <w:pPr>
        <w:spacing w:line="276" w:lineRule="auto"/>
        <w:rPr>
          <w:rFonts w:ascii="Baskerville" w:hAnsi="Baskerville" w:cstheme="minorHAnsi"/>
        </w:rPr>
      </w:pPr>
      <w:r>
        <w:rPr>
          <w:rFonts w:ascii="Baskerville" w:hAnsi="Baskerville" w:cstheme="minorHAnsi"/>
        </w:rPr>
        <w:t>The first</w:t>
      </w:r>
      <w:r w:rsidR="00C34F19">
        <w:rPr>
          <w:rFonts w:ascii="Baskerville" w:hAnsi="Baskerville" w:cstheme="minorHAnsi"/>
        </w:rPr>
        <w:t xml:space="preserve"> </w:t>
      </w:r>
      <w:r w:rsidR="00B252B6">
        <w:rPr>
          <w:rFonts w:ascii="Baskerville" w:hAnsi="Baskerville" w:cstheme="minorHAnsi"/>
        </w:rPr>
        <w:t xml:space="preserve">of Llewellyn’s law-jobs, which he termed the ‘adjustment of the trouble-case’ (Llewellyn, 1940: 1375-1376), maps closely on to the enforcing and policing function of judicial review.  The task </w:t>
      </w:r>
      <w:r w:rsidR="00F02A92">
        <w:rPr>
          <w:rFonts w:ascii="Baskerville" w:hAnsi="Baskerville" w:cstheme="minorHAnsi"/>
        </w:rPr>
        <w:t xml:space="preserve">of law </w:t>
      </w:r>
      <w:r w:rsidR="00B252B6">
        <w:rPr>
          <w:rFonts w:ascii="Baskerville" w:hAnsi="Baskerville" w:cstheme="minorHAnsi"/>
        </w:rPr>
        <w:t>here is to undertake ‘garage-repair work’</w:t>
      </w:r>
      <w:r w:rsidR="00F02A92">
        <w:rPr>
          <w:rFonts w:ascii="Baskerville" w:hAnsi="Baskerville" w:cstheme="minorHAnsi"/>
        </w:rPr>
        <w:t xml:space="preserve"> in relation to tensions which might build up ‘potential towards explosion’.  The activities involved here represent no high principle, and the outcome may well be that ‘what Big Fist wants, he </w:t>
      </w:r>
      <w:proofErr w:type="gramStart"/>
      <w:r w:rsidR="00F02A92">
        <w:rPr>
          <w:rFonts w:ascii="Baskerville" w:hAnsi="Baskerville" w:cstheme="minorHAnsi"/>
        </w:rPr>
        <w:t>gets’</w:t>
      </w:r>
      <w:proofErr w:type="gramEnd"/>
      <w:r w:rsidR="00F02A92">
        <w:rPr>
          <w:rFonts w:ascii="Baskerville" w:hAnsi="Baskerville" w:cstheme="minorHAnsi"/>
        </w:rPr>
        <w:t xml:space="preserve">.  Legal rules ‘form a quasi-world of their own’, and </w:t>
      </w:r>
      <w:r w:rsidR="006D3E6D">
        <w:rPr>
          <w:rFonts w:ascii="Baskerville" w:hAnsi="Baskerville" w:cstheme="minorHAnsi"/>
        </w:rPr>
        <w:t xml:space="preserve">what </w:t>
      </w:r>
      <w:r w:rsidR="00F02A92">
        <w:rPr>
          <w:rFonts w:ascii="Baskerville" w:hAnsi="Baskerville" w:cstheme="minorHAnsi"/>
        </w:rPr>
        <w:t xml:space="preserve">matters is </w:t>
      </w:r>
      <w:r w:rsidR="006D3E6D">
        <w:rPr>
          <w:rFonts w:ascii="Baskerville" w:hAnsi="Baskerville" w:cstheme="minorHAnsi"/>
        </w:rPr>
        <w:t xml:space="preserve">not their content but simply </w:t>
      </w:r>
      <w:r w:rsidR="00A602EF">
        <w:rPr>
          <w:rFonts w:ascii="Baskerville" w:hAnsi="Baskerville" w:cstheme="minorHAnsi"/>
        </w:rPr>
        <w:t xml:space="preserve">that </w:t>
      </w:r>
      <w:r w:rsidR="006D3E6D">
        <w:rPr>
          <w:rFonts w:ascii="Baskerville" w:hAnsi="Baskerville" w:cstheme="minorHAnsi"/>
        </w:rPr>
        <w:t>they</w:t>
      </w:r>
      <w:r w:rsidR="00F02A92">
        <w:rPr>
          <w:rFonts w:ascii="Baskerville" w:hAnsi="Baskerville" w:cstheme="minorHAnsi"/>
        </w:rPr>
        <w:t xml:space="preserve"> pre</w:t>
      </w:r>
      <w:r w:rsidR="006D3E6D">
        <w:rPr>
          <w:rFonts w:ascii="Baskerville" w:hAnsi="Baskerville" w:cstheme="minorHAnsi"/>
        </w:rPr>
        <w:t>vent</w:t>
      </w:r>
      <w:r w:rsidR="00F02A92">
        <w:rPr>
          <w:rFonts w:ascii="Baskerville" w:hAnsi="Baskerville" w:cstheme="minorHAnsi"/>
        </w:rPr>
        <w:t xml:space="preserve"> the group from exploding or dribbling into disintegration.  </w:t>
      </w:r>
      <w:r w:rsidR="00A602EF">
        <w:rPr>
          <w:rFonts w:ascii="Baskerville" w:hAnsi="Baskerville" w:cstheme="minorHAnsi"/>
        </w:rPr>
        <w:t xml:space="preserve">This law-job, however, does not subsist in isolation.  In developed legal cultures, it closely coheres with a second law-job, which he terms ‘channelling’ and which maps onto the protective and vindicatory function.  </w:t>
      </w:r>
      <w:r w:rsidR="00D51A4C">
        <w:rPr>
          <w:rFonts w:ascii="Baskerville" w:hAnsi="Baskerville" w:cstheme="minorHAnsi"/>
        </w:rPr>
        <w:t>This law-job is particularly salient in areas of patent or latent conflict of interest, and it operates to produce and maintain ‘a going order instead of a disordered series of collisions’</w:t>
      </w:r>
      <w:r w:rsidR="00E9543E">
        <w:rPr>
          <w:rFonts w:ascii="Baskerville" w:hAnsi="Baskerville" w:cstheme="minorHAnsi"/>
        </w:rPr>
        <w:t xml:space="preserve"> through delineating and actively protecting a substantial domain of ‘free play and leeway’ (ibid: 1376). </w:t>
      </w:r>
      <w:r w:rsidR="00B13DDE">
        <w:rPr>
          <w:rFonts w:ascii="Baskerville" w:hAnsi="Baskerville" w:cstheme="minorHAnsi"/>
        </w:rPr>
        <w:t xml:space="preserve"> The third law-job, which he terms ‘the say’</w:t>
      </w:r>
      <w:r w:rsidR="00B14D0C">
        <w:rPr>
          <w:rFonts w:ascii="Baskerville" w:hAnsi="Baskerville" w:cstheme="minorHAnsi"/>
        </w:rPr>
        <w:t xml:space="preserve">, </w:t>
      </w:r>
      <w:r w:rsidR="00B13DDE">
        <w:rPr>
          <w:rFonts w:ascii="Baskerville" w:hAnsi="Baskerville" w:cstheme="minorHAnsi"/>
        </w:rPr>
        <w:t>corresponds closely to the hortatory and advisory function</w:t>
      </w:r>
      <w:r w:rsidR="00B14D0C">
        <w:rPr>
          <w:rFonts w:ascii="Baskerville" w:hAnsi="Baskerville" w:cstheme="minorHAnsi"/>
        </w:rPr>
        <w:t>.  The focus here is on settling ‘what procedures must be gone through in order to legitimatize a decision and give it standing’</w:t>
      </w:r>
      <w:r w:rsidR="00B13DDE">
        <w:rPr>
          <w:rFonts w:ascii="Baskerville" w:hAnsi="Baskerville" w:cstheme="minorHAnsi"/>
        </w:rPr>
        <w:t xml:space="preserve">, </w:t>
      </w:r>
      <w:r w:rsidR="00B14D0C">
        <w:rPr>
          <w:rFonts w:ascii="Baskerville" w:hAnsi="Baskerville" w:cstheme="minorHAnsi"/>
        </w:rPr>
        <w:t xml:space="preserve">and ‘what the limits are on any person’s authority.’  Its focus is on allocation of powers rather than rights, and on procedure rather than substance </w:t>
      </w:r>
      <w:r w:rsidR="00007C1C">
        <w:rPr>
          <w:rFonts w:ascii="Baskerville" w:hAnsi="Baskerville" w:cstheme="minorHAnsi"/>
        </w:rPr>
        <w:t>(ibid: 1383</w:t>
      </w:r>
      <w:r w:rsidR="00B14D0C">
        <w:rPr>
          <w:rFonts w:ascii="Baskerville" w:hAnsi="Baskerville" w:cstheme="minorHAnsi"/>
        </w:rPr>
        <w:t>)</w:t>
      </w:r>
      <w:r w:rsidR="009A0267">
        <w:rPr>
          <w:rFonts w:ascii="Baskerville" w:hAnsi="Baskerville" w:cstheme="minorHAnsi"/>
        </w:rPr>
        <w:t>, but – crucially – it operates in tandem with the other law-jobs</w:t>
      </w:r>
      <w:r w:rsidR="00B14D0C">
        <w:rPr>
          <w:rFonts w:ascii="Baskerville" w:hAnsi="Baskerville" w:cstheme="minorHAnsi"/>
        </w:rPr>
        <w:t>.</w:t>
      </w:r>
      <w:r w:rsidR="009A0267">
        <w:rPr>
          <w:rFonts w:ascii="Baskerville" w:hAnsi="Baskerville" w:cstheme="minorHAnsi"/>
        </w:rPr>
        <w:t xml:space="preserve">  The fourth and final law-job relates to </w:t>
      </w:r>
      <w:r w:rsidR="003B08BC">
        <w:rPr>
          <w:rFonts w:ascii="Baskerville" w:hAnsi="Baskerville" w:cstheme="minorHAnsi"/>
        </w:rPr>
        <w:t xml:space="preserve">‘net drive’, as Llewellyn termed it, and </w:t>
      </w:r>
      <w:r w:rsidR="004A6075">
        <w:rPr>
          <w:rFonts w:ascii="Baskerville" w:hAnsi="Baskerville" w:cstheme="minorHAnsi"/>
        </w:rPr>
        <w:t>it corresponds to the mediatory and supervisory function.  I</w:t>
      </w:r>
      <w:r w:rsidR="00007C1C">
        <w:rPr>
          <w:rFonts w:ascii="Baskerville" w:hAnsi="Baskerville" w:cstheme="minorHAnsi"/>
        </w:rPr>
        <w:t xml:space="preserve">ts focus is on the ‘whither’: on shaping the direction of enterprise and the choice of one direction over another in a society with its own variety of living unity (ibid: 1387).  </w:t>
      </w:r>
      <w:r w:rsidR="00F91884">
        <w:rPr>
          <w:rFonts w:ascii="Baskerville" w:hAnsi="Baskerville" w:cstheme="minorHAnsi"/>
        </w:rPr>
        <w:t>T</w:t>
      </w:r>
      <w:r w:rsidR="00007C1C">
        <w:rPr>
          <w:rFonts w:ascii="Baskerville" w:hAnsi="Baskerville" w:cstheme="minorHAnsi"/>
        </w:rPr>
        <w:t xml:space="preserve">his </w:t>
      </w:r>
      <w:r w:rsidR="009F5FB4">
        <w:rPr>
          <w:rFonts w:ascii="Baskerville" w:hAnsi="Baskerville" w:cstheme="minorHAnsi"/>
        </w:rPr>
        <w:t>does not in practice represent</w:t>
      </w:r>
      <w:r w:rsidR="00007C1C">
        <w:rPr>
          <w:rFonts w:ascii="Baskerville" w:hAnsi="Baskerville" w:cstheme="minorHAnsi"/>
        </w:rPr>
        <w:t xml:space="preserve"> a distinct law job as much as it </w:t>
      </w:r>
      <w:r w:rsidR="009F5FB4">
        <w:rPr>
          <w:rFonts w:ascii="Baskerville" w:hAnsi="Baskerville" w:cstheme="minorHAnsi"/>
        </w:rPr>
        <w:t>represents ‘the whole net effect of the other three, as performed.’</w:t>
      </w:r>
      <w:r w:rsidR="00F91884">
        <w:rPr>
          <w:rFonts w:ascii="Baskerville" w:hAnsi="Baskerville" w:cstheme="minorHAnsi"/>
        </w:rPr>
        <w:t xml:space="preserve">  </w:t>
      </w:r>
    </w:p>
    <w:p w14:paraId="4519353B" w14:textId="77777777" w:rsidR="00F91884" w:rsidRDefault="00F91884" w:rsidP="00F91884">
      <w:pPr>
        <w:spacing w:line="276" w:lineRule="auto"/>
        <w:rPr>
          <w:rFonts w:ascii="Baskerville" w:hAnsi="Baskerville" w:cstheme="minorHAnsi"/>
        </w:rPr>
      </w:pPr>
    </w:p>
    <w:p w14:paraId="1B37BF6B" w14:textId="77777777" w:rsidR="00F91884" w:rsidRDefault="00F91884" w:rsidP="00F91884">
      <w:pPr>
        <w:spacing w:line="276" w:lineRule="auto"/>
        <w:rPr>
          <w:rFonts w:ascii="Baskerville" w:hAnsi="Baskerville" w:cstheme="minorHAnsi"/>
        </w:rPr>
      </w:pPr>
      <w:r>
        <w:rPr>
          <w:rFonts w:ascii="Baskerville" w:hAnsi="Baskerville" w:cstheme="minorHAnsi"/>
        </w:rPr>
        <w:t>These four law-jobs are not alternatives.</w:t>
      </w:r>
      <w:r w:rsidR="004A6075">
        <w:rPr>
          <w:rFonts w:ascii="Baskerville" w:hAnsi="Baskerville" w:cstheme="minorHAnsi"/>
        </w:rPr>
        <w:t xml:space="preserve"> </w:t>
      </w:r>
      <w:r>
        <w:rPr>
          <w:rFonts w:ascii="Baskerville" w:hAnsi="Baskerville" w:cstheme="minorHAnsi"/>
        </w:rPr>
        <w:t>A</w:t>
      </w:r>
      <w:r w:rsidR="004A6075">
        <w:rPr>
          <w:rFonts w:ascii="Baskerville" w:hAnsi="Baskerville" w:cstheme="minorHAnsi"/>
        </w:rPr>
        <w:t>ll jobs need doing, and all need representing in institutional machinery.  Institutional machinery, however, faces two dangers: th</w:t>
      </w:r>
      <w:r>
        <w:rPr>
          <w:rFonts w:ascii="Baskerville" w:hAnsi="Baskerville" w:cstheme="minorHAnsi"/>
        </w:rPr>
        <w:t>e</w:t>
      </w:r>
      <w:r w:rsidR="004A6075">
        <w:rPr>
          <w:rFonts w:ascii="Baskerville" w:hAnsi="Baskerville" w:cstheme="minorHAnsi"/>
        </w:rPr>
        <w:t xml:space="preserve"> danger of ideological hardening (in which institutional ways ‘crystallize upon their own premises’ and through their dogmatic adherence to past ways of functioning lose track of their living function) and institutional atrophy (in which institutional fetters grow so weak that the institutions are ‘turned to service of their own staff rather than of the people’)</w:t>
      </w:r>
      <w:r>
        <w:rPr>
          <w:rFonts w:ascii="Baskerville" w:hAnsi="Baskerville" w:cstheme="minorHAnsi"/>
        </w:rPr>
        <w:t xml:space="preserve"> (ibid: 1392)</w:t>
      </w:r>
      <w:r w:rsidR="004A6075">
        <w:rPr>
          <w:rFonts w:ascii="Baskerville" w:hAnsi="Baskerville" w:cstheme="minorHAnsi"/>
        </w:rPr>
        <w:t xml:space="preserve">.  </w:t>
      </w:r>
      <w:r>
        <w:rPr>
          <w:rFonts w:ascii="Baskerville" w:hAnsi="Baskerville" w:cstheme="minorHAnsi"/>
        </w:rPr>
        <w:t xml:space="preserve">A focus on the interrelationship between the law-jobs, and a juristic method centred on using tools to achieve them, is a </w:t>
      </w:r>
      <w:proofErr w:type="gramStart"/>
      <w:r>
        <w:rPr>
          <w:rFonts w:ascii="Baskerville" w:hAnsi="Baskerville" w:cstheme="minorHAnsi"/>
        </w:rPr>
        <w:t>key way</w:t>
      </w:r>
      <w:proofErr w:type="gramEnd"/>
      <w:r>
        <w:rPr>
          <w:rFonts w:ascii="Baskerville" w:hAnsi="Baskerville" w:cstheme="minorHAnsi"/>
        </w:rPr>
        <w:t xml:space="preserve"> of avoiding these dangers. </w:t>
      </w:r>
    </w:p>
    <w:p w14:paraId="4209362F" w14:textId="77777777" w:rsidR="00F91884" w:rsidRDefault="00F91884" w:rsidP="00F91884">
      <w:pPr>
        <w:spacing w:line="276" w:lineRule="auto"/>
        <w:rPr>
          <w:rFonts w:ascii="Baskerville" w:hAnsi="Baskerville" w:cstheme="minorHAnsi"/>
        </w:rPr>
      </w:pPr>
    </w:p>
    <w:p w14:paraId="69E572DE" w14:textId="151A87F9" w:rsidR="00F52D3F" w:rsidRDefault="006F70F8" w:rsidP="004F4325">
      <w:pPr>
        <w:spacing w:line="276" w:lineRule="auto"/>
        <w:rPr>
          <w:rFonts w:ascii="Baskerville" w:hAnsi="Baskerville" w:cstheme="minorHAnsi"/>
        </w:rPr>
      </w:pPr>
      <w:r>
        <w:rPr>
          <w:rFonts w:ascii="Baskerville" w:hAnsi="Baskerville" w:cstheme="minorHAnsi"/>
        </w:rPr>
        <w:lastRenderedPageBreak/>
        <w:t>The parallels with the current state of judici</w:t>
      </w:r>
      <w:r w:rsidR="00F91884">
        <w:rPr>
          <w:rFonts w:ascii="Baskerville" w:hAnsi="Baskerville" w:cstheme="minorHAnsi"/>
        </w:rPr>
        <w:t>al review are</w:t>
      </w:r>
      <w:r>
        <w:rPr>
          <w:rFonts w:ascii="Baskerville" w:hAnsi="Baskerville" w:cstheme="minorHAnsi"/>
        </w:rPr>
        <w:t xml:space="preserve"> obvious</w:t>
      </w:r>
      <w:r w:rsidR="00F91884">
        <w:rPr>
          <w:rFonts w:ascii="Baskerville" w:hAnsi="Baskerville" w:cstheme="minorHAnsi"/>
        </w:rPr>
        <w:t xml:space="preserve">.  </w:t>
      </w:r>
      <w:proofErr w:type="gramStart"/>
      <w:r w:rsidR="00F91884">
        <w:rPr>
          <w:rFonts w:ascii="Baskerville" w:hAnsi="Baskerville" w:cstheme="minorHAnsi"/>
        </w:rPr>
        <w:t>C</w:t>
      </w:r>
      <w:r>
        <w:rPr>
          <w:rFonts w:ascii="Baskerville" w:hAnsi="Baskerville" w:cstheme="minorHAnsi"/>
        </w:rPr>
        <w:t>ourts</w:t>
      </w:r>
      <w:proofErr w:type="gramEnd"/>
      <w:r>
        <w:rPr>
          <w:rFonts w:ascii="Baskerville" w:hAnsi="Baskerville" w:cstheme="minorHAnsi"/>
        </w:rPr>
        <w:t xml:space="preserve"> face, on the one hand, the danger of legal fossilization in which law be</w:t>
      </w:r>
      <w:r w:rsidR="00F91884">
        <w:rPr>
          <w:rFonts w:ascii="Baskerville" w:hAnsi="Baskerville" w:cstheme="minorHAnsi"/>
        </w:rPr>
        <w:t>comes</w:t>
      </w:r>
      <w:r>
        <w:rPr>
          <w:rFonts w:ascii="Baskerville" w:hAnsi="Baskerville" w:cstheme="minorHAnsi"/>
        </w:rPr>
        <w:t xml:space="preserve"> inadequate to respond to the needs of administrative justice and, on the other hand, the danger of politicisation, </w:t>
      </w:r>
      <w:r w:rsidR="00F91884">
        <w:rPr>
          <w:rFonts w:ascii="Baskerville" w:hAnsi="Baskerville" w:cstheme="minorHAnsi"/>
        </w:rPr>
        <w:t xml:space="preserve">in which legal control over the administration becomes simply a tool for judges to advance their political preferences.  Much as Llewellyn envisaged for his four law-jobs, a closer focus on the four functions of judicial review, and on the need for juristic methods that can accommodate and balance all four, can play a significant role in enabling administrative law to be responsive to the needs of administrative justice while also avoiding the dangers inherent in </w:t>
      </w:r>
      <w:r w:rsidR="004F4325">
        <w:rPr>
          <w:rFonts w:ascii="Baskerville" w:hAnsi="Baskerville" w:cstheme="minorHAnsi"/>
        </w:rPr>
        <w:t xml:space="preserve">any form of </w:t>
      </w:r>
      <w:r w:rsidR="00F91884">
        <w:rPr>
          <w:rFonts w:ascii="Baskerville" w:hAnsi="Baskerville" w:cstheme="minorHAnsi"/>
        </w:rPr>
        <w:t>institutional machinery.</w:t>
      </w:r>
      <w:r w:rsidR="000C2219">
        <w:rPr>
          <w:rFonts w:ascii="Baskerville" w:hAnsi="Baskerville" w:cstheme="minorHAnsi"/>
        </w:rPr>
        <w:t xml:space="preserve">  </w:t>
      </w:r>
    </w:p>
    <w:p w14:paraId="6692F600" w14:textId="77777777" w:rsidR="004A6075" w:rsidRDefault="004A6075" w:rsidP="004A6075">
      <w:pPr>
        <w:spacing w:line="276" w:lineRule="auto"/>
        <w:rPr>
          <w:rFonts w:ascii="Baskerville" w:hAnsi="Baskerville" w:cstheme="minorHAnsi"/>
        </w:rPr>
      </w:pPr>
    </w:p>
    <w:p w14:paraId="765EBA07" w14:textId="6E002106" w:rsidR="00356243" w:rsidRDefault="000C2219" w:rsidP="00356243">
      <w:pPr>
        <w:spacing w:line="276" w:lineRule="auto"/>
        <w:rPr>
          <w:rFonts w:ascii="Baskerville" w:hAnsi="Baskerville" w:cstheme="minorHAnsi"/>
        </w:rPr>
      </w:pPr>
      <w:r>
        <w:rPr>
          <w:rFonts w:ascii="Baskerville" w:hAnsi="Baskerville" w:cstheme="minorHAnsi"/>
        </w:rPr>
        <w:t xml:space="preserve">This suggests a new agenda for scholarship in administrative law as well as in </w:t>
      </w:r>
      <w:r w:rsidR="004F4325">
        <w:rPr>
          <w:rFonts w:ascii="Baskerville" w:hAnsi="Baskerville" w:cstheme="minorHAnsi"/>
        </w:rPr>
        <w:t xml:space="preserve">administrative justice.  If judicial review is to be able to respond to the needs of administrative justice not only in matters characterised by concord but also in those characterised by discord, its rules and processes must be able to institutionalise incompatible preferences, and to maximise the potential for collaboration without having to first eliminate conflict (Hood, 1996: 218).   </w:t>
      </w:r>
      <w:r w:rsidR="00356243">
        <w:rPr>
          <w:rFonts w:ascii="Baskerville" w:hAnsi="Baskerville" w:cstheme="minorHAnsi"/>
        </w:rPr>
        <w:t xml:space="preserve">This, in turn, requires moving to a model in which the different approaches to the relationship between the judiciary and the administration, and to the role of judicial review in regulating that relationship, are seen as being layered—attached to each other and modifying the ways in which each structures behaviour (Mahoney and </w:t>
      </w:r>
      <w:proofErr w:type="spellStart"/>
      <w:r w:rsidR="00356243">
        <w:rPr>
          <w:rFonts w:ascii="Baskerville" w:hAnsi="Baskerville" w:cstheme="minorHAnsi"/>
        </w:rPr>
        <w:t>Thelen</w:t>
      </w:r>
      <w:proofErr w:type="spellEnd"/>
      <w:r w:rsidR="00356243">
        <w:rPr>
          <w:rFonts w:ascii="Baskerville" w:hAnsi="Baskerville" w:cstheme="minorHAnsi"/>
        </w:rPr>
        <w:t>, 2010)—rather than seeking to use one to displace the other</w:t>
      </w:r>
      <w:r w:rsidR="009E1ED8">
        <w:rPr>
          <w:rFonts w:ascii="Baskerville" w:hAnsi="Baskerville" w:cstheme="minorHAnsi"/>
        </w:rPr>
        <w:t>.</w:t>
      </w:r>
      <w:r w:rsidR="00356243">
        <w:rPr>
          <w:rFonts w:ascii="Baskerville" w:hAnsi="Baskerville" w:cstheme="minorHAnsi"/>
        </w:rPr>
        <w:t xml:space="preserve">  It is the existence of a multiplicity of functions for judicial review, each with its own relationship to administrative justice, that permits the court to be responsive and sensitive to a range of situational needs.</w:t>
      </w:r>
    </w:p>
    <w:p w14:paraId="1CCFCA08" w14:textId="77777777" w:rsidR="00356243" w:rsidRDefault="00356243" w:rsidP="00356243">
      <w:pPr>
        <w:spacing w:line="276" w:lineRule="auto"/>
        <w:rPr>
          <w:rFonts w:ascii="Baskerville" w:hAnsi="Baskerville" w:cstheme="minorHAnsi"/>
        </w:rPr>
      </w:pPr>
    </w:p>
    <w:p w14:paraId="77FACC6A" w14:textId="77777777" w:rsidR="00356243" w:rsidRDefault="00356243" w:rsidP="00356243">
      <w:pPr>
        <w:spacing w:line="276" w:lineRule="auto"/>
        <w:rPr>
          <w:rFonts w:ascii="Baskerville" w:hAnsi="Baskerville" w:cstheme="minorHAnsi"/>
        </w:rPr>
      </w:pPr>
      <w:r>
        <w:rPr>
          <w:rFonts w:ascii="Baskerville" w:hAnsi="Baskerville" w:cstheme="minorHAnsi"/>
        </w:rPr>
        <w:t xml:space="preserve">This also requires a new approach to legitimacy, focusing on function and contribution rather than simply structure.  Each of the functions discussed above carries with it its own </w:t>
      </w:r>
      <w:r w:rsidR="00C21648">
        <w:rPr>
          <w:rFonts w:ascii="Baskerville" w:hAnsi="Baskerville" w:cstheme="minorHAnsi"/>
        </w:rPr>
        <w:t>legitimacy narrative for judicial review</w:t>
      </w:r>
      <w:r>
        <w:rPr>
          <w:rFonts w:ascii="Baskerville" w:hAnsi="Baskerville" w:cstheme="minorHAnsi"/>
        </w:rPr>
        <w:t xml:space="preserve">, but, significantly, </w:t>
      </w:r>
      <w:r w:rsidR="00C21648">
        <w:rPr>
          <w:rFonts w:ascii="Baskerville" w:hAnsi="Baskerville" w:cstheme="minorHAnsi"/>
        </w:rPr>
        <w:t xml:space="preserve">they relate to different forms of legitimacy. </w:t>
      </w:r>
      <w:r>
        <w:rPr>
          <w:rFonts w:ascii="Baskerville" w:hAnsi="Baskerville" w:cstheme="minorHAnsi"/>
        </w:rPr>
        <w:t>P</w:t>
      </w:r>
      <w:r w:rsidR="00C21648">
        <w:rPr>
          <w:rFonts w:ascii="Baskerville" w:hAnsi="Baskerville" w:cstheme="minorHAnsi"/>
        </w:rPr>
        <w:t>olitical science work draws a distinction between three kinds of legitimacy: ‘input’, ‘throughput’ an</w:t>
      </w:r>
      <w:r w:rsidR="008F75BD">
        <w:rPr>
          <w:rFonts w:ascii="Baskerville" w:hAnsi="Baskerville" w:cstheme="minorHAnsi"/>
        </w:rPr>
        <w:t>d ‘output’ (e.g., Schmidt, 2013</w:t>
      </w:r>
      <w:r w:rsidR="00C21648">
        <w:rPr>
          <w:rFonts w:ascii="Baskerville" w:hAnsi="Baskerville" w:cstheme="minorHAnsi"/>
        </w:rPr>
        <w:t xml:space="preserve">). </w:t>
      </w:r>
      <w:r w:rsidR="00C21648" w:rsidRPr="00A377D4">
        <w:rPr>
          <w:rFonts w:ascii="Baskerville" w:hAnsi="Baskerville" w:cstheme="minorHAnsi"/>
        </w:rPr>
        <w:t xml:space="preserve">Input legitimacy concerns the extent to which the </w:t>
      </w:r>
      <w:r w:rsidR="00C21648" w:rsidRPr="00356243">
        <w:rPr>
          <w:rFonts w:ascii="Baskerville" w:hAnsi="Baskerville" w:cstheme="minorHAnsi"/>
          <w:i/>
          <w:iCs/>
        </w:rPr>
        <w:t>demos</w:t>
      </w:r>
      <w:r w:rsidR="00C21648" w:rsidRPr="00A377D4">
        <w:rPr>
          <w:rFonts w:ascii="Baskerville" w:hAnsi="Baskerville" w:cstheme="minorHAnsi"/>
        </w:rPr>
        <w:t xml:space="preserve"> exercises influence and control over the political process and the development of policy; throughput legitimacy relates to the extent to which procedures conform to normative standards; </w:t>
      </w:r>
      <w:r>
        <w:rPr>
          <w:rFonts w:ascii="Baskerville" w:hAnsi="Baskerville" w:cstheme="minorHAnsi"/>
        </w:rPr>
        <w:t xml:space="preserve">while </w:t>
      </w:r>
      <w:r w:rsidR="00C21648" w:rsidRPr="00A377D4">
        <w:rPr>
          <w:rFonts w:ascii="Baskerville" w:hAnsi="Baskerville" w:cstheme="minorHAnsi"/>
        </w:rPr>
        <w:t xml:space="preserve">output legitimacy relates to the </w:t>
      </w:r>
      <w:r w:rsidR="00C21648">
        <w:rPr>
          <w:rFonts w:ascii="Baskerville" w:hAnsi="Baskerville" w:cstheme="minorHAnsi"/>
        </w:rPr>
        <w:t>outcomes</w:t>
      </w:r>
      <w:r w:rsidR="00C21648" w:rsidRPr="00A377D4">
        <w:rPr>
          <w:rFonts w:ascii="Baskerville" w:hAnsi="Baskerville" w:cstheme="minorHAnsi"/>
        </w:rPr>
        <w:t xml:space="preserve"> of government</w:t>
      </w:r>
      <w:r w:rsidR="00C21648">
        <w:rPr>
          <w:rFonts w:ascii="Baskerville" w:hAnsi="Baskerville" w:cstheme="minorHAnsi"/>
        </w:rPr>
        <w:t>al action</w:t>
      </w:r>
      <w:r w:rsidR="00C21648" w:rsidRPr="00A377D4">
        <w:rPr>
          <w:rFonts w:ascii="Baskerville" w:hAnsi="Baskerville" w:cstheme="minorHAnsi"/>
        </w:rPr>
        <w:t xml:space="preserve"> and the quality of benefits</w:t>
      </w:r>
      <w:r w:rsidR="00C21648">
        <w:rPr>
          <w:rFonts w:ascii="Baskerville" w:hAnsi="Baskerville" w:cstheme="minorHAnsi"/>
        </w:rPr>
        <w:t xml:space="preserve"> </w:t>
      </w:r>
      <w:r w:rsidR="00C21648" w:rsidRPr="00A377D4">
        <w:rPr>
          <w:rFonts w:ascii="Baskerville" w:hAnsi="Baskerville" w:cstheme="minorHAnsi"/>
        </w:rPr>
        <w:t xml:space="preserve">that flow from </w:t>
      </w:r>
      <w:r w:rsidR="00C21648">
        <w:rPr>
          <w:rFonts w:ascii="Baskerville" w:hAnsi="Baskerville" w:cstheme="minorHAnsi"/>
        </w:rPr>
        <w:t>it</w:t>
      </w:r>
      <w:r w:rsidR="00C21648" w:rsidRPr="00A377D4">
        <w:rPr>
          <w:rFonts w:ascii="Baskerville" w:hAnsi="Baskerville" w:cstheme="minorHAnsi"/>
        </w:rPr>
        <w:t>.</w:t>
      </w:r>
      <w:r w:rsidR="00C21648">
        <w:rPr>
          <w:rFonts w:ascii="Baskerville" w:hAnsi="Baskerville" w:cstheme="minorHAnsi"/>
        </w:rPr>
        <w:t xml:space="preserve"> </w:t>
      </w:r>
    </w:p>
    <w:p w14:paraId="4F6D75CA" w14:textId="77777777" w:rsidR="00356243" w:rsidRDefault="00356243" w:rsidP="00356243">
      <w:pPr>
        <w:spacing w:line="276" w:lineRule="auto"/>
        <w:rPr>
          <w:rFonts w:ascii="Baskerville" w:hAnsi="Baskerville" w:cstheme="minorHAnsi"/>
        </w:rPr>
      </w:pPr>
    </w:p>
    <w:p w14:paraId="1569B59F" w14:textId="549D3BE0" w:rsidR="00011CC1" w:rsidRDefault="00FA61C4" w:rsidP="00356243">
      <w:pPr>
        <w:spacing w:line="276" w:lineRule="auto"/>
        <w:rPr>
          <w:rFonts w:ascii="Baskerville" w:hAnsi="Baskerville" w:cstheme="minorHAnsi"/>
          <w:lang w:val="en-GB"/>
        </w:rPr>
      </w:pPr>
      <w:r>
        <w:rPr>
          <w:rFonts w:ascii="Baskerville" w:hAnsi="Baskerville" w:cstheme="minorHAnsi"/>
        </w:rPr>
        <w:t>Applying these distincti</w:t>
      </w:r>
      <w:r w:rsidR="00356243">
        <w:rPr>
          <w:rFonts w:ascii="Baskerville" w:hAnsi="Baskerville" w:cstheme="minorHAnsi"/>
        </w:rPr>
        <w:t>ons to judicial review connects</w:t>
      </w:r>
      <w:r>
        <w:rPr>
          <w:rFonts w:ascii="Baskerville" w:hAnsi="Baskerville" w:cstheme="minorHAnsi"/>
        </w:rPr>
        <w:t xml:space="preserve"> the </w:t>
      </w:r>
      <w:r>
        <w:rPr>
          <w:rFonts w:ascii="Baskerville" w:hAnsi="Baskerville" w:cstheme="minorHAnsi"/>
          <w:i/>
        </w:rPr>
        <w:t>hortatory</w:t>
      </w:r>
      <w:r>
        <w:rPr>
          <w:rFonts w:ascii="Baskerville" w:hAnsi="Baskerville" w:cstheme="minorHAnsi"/>
        </w:rPr>
        <w:t xml:space="preserve"> and </w:t>
      </w:r>
      <w:r>
        <w:rPr>
          <w:rFonts w:ascii="Baskerville" w:hAnsi="Baskerville" w:cstheme="minorHAnsi"/>
          <w:i/>
        </w:rPr>
        <w:t>advisory</w:t>
      </w:r>
      <w:r>
        <w:rPr>
          <w:rFonts w:ascii="Baskerville" w:hAnsi="Baskerville" w:cstheme="minorHAnsi"/>
        </w:rPr>
        <w:t xml:space="preserve"> function </w:t>
      </w:r>
      <w:r w:rsidR="006432A0">
        <w:rPr>
          <w:rFonts w:ascii="Baskerville" w:hAnsi="Baskerville" w:cstheme="minorHAnsi"/>
        </w:rPr>
        <w:t xml:space="preserve">of judicial review </w:t>
      </w:r>
      <w:r>
        <w:rPr>
          <w:rFonts w:ascii="Baskerville" w:hAnsi="Baskerville" w:cstheme="minorHAnsi"/>
        </w:rPr>
        <w:t>to ‘throughput’ legitimacy: the advice and exhortations of the court are valued and justified because of the importance of process</w:t>
      </w:r>
      <w:r w:rsidR="002D218F">
        <w:rPr>
          <w:rFonts w:ascii="Baskerville" w:hAnsi="Baskerville" w:cstheme="minorHAnsi"/>
        </w:rPr>
        <w:t xml:space="preserve"> in administration</w:t>
      </w:r>
      <w:r w:rsidR="00356243">
        <w:rPr>
          <w:rFonts w:ascii="Baskerville" w:hAnsi="Baskerville" w:cstheme="minorHAnsi"/>
        </w:rPr>
        <w:t>, and t</w:t>
      </w:r>
      <w:r>
        <w:rPr>
          <w:rFonts w:ascii="Baskerville" w:hAnsi="Baskerville" w:cstheme="minorHAnsi"/>
        </w:rPr>
        <w:t>he courts</w:t>
      </w:r>
      <w:r w:rsidR="006432A0">
        <w:rPr>
          <w:rFonts w:ascii="Baskerville" w:hAnsi="Baskerville" w:cstheme="minorHAnsi"/>
        </w:rPr>
        <w:t xml:space="preserve"> </w:t>
      </w:r>
      <w:r>
        <w:rPr>
          <w:rFonts w:ascii="Baskerville" w:hAnsi="Baskerville" w:cstheme="minorHAnsi"/>
        </w:rPr>
        <w:t>offer leadership through the development of ideas.</w:t>
      </w:r>
      <w:r w:rsidR="006432A0">
        <w:rPr>
          <w:rFonts w:ascii="Baskerville" w:hAnsi="Baskerville" w:cstheme="minorHAnsi"/>
        </w:rPr>
        <w:t xml:space="preserve"> </w:t>
      </w:r>
      <w:r w:rsidR="0041280A">
        <w:rPr>
          <w:rFonts w:ascii="Baskerville" w:hAnsi="Baskerville" w:cstheme="minorHAnsi"/>
          <w:lang w:val="en-GB"/>
        </w:rPr>
        <w:t>T</w:t>
      </w:r>
      <w:r w:rsidR="0041280A">
        <w:rPr>
          <w:rFonts w:ascii="Baskerville" w:hAnsi="Baskerville" w:cstheme="minorHAnsi"/>
        </w:rPr>
        <w:t xml:space="preserve">he </w:t>
      </w:r>
      <w:r w:rsidR="0041280A" w:rsidRPr="006432A0">
        <w:rPr>
          <w:rFonts w:ascii="Baskerville" w:hAnsi="Baskerville" w:cstheme="minorHAnsi"/>
          <w:i/>
        </w:rPr>
        <w:t>protective</w:t>
      </w:r>
      <w:r w:rsidR="0041280A">
        <w:rPr>
          <w:rFonts w:ascii="Baskerville" w:hAnsi="Baskerville" w:cstheme="minorHAnsi"/>
        </w:rPr>
        <w:t xml:space="preserve"> and </w:t>
      </w:r>
      <w:r w:rsidR="0041280A" w:rsidRPr="006432A0">
        <w:rPr>
          <w:rFonts w:ascii="Baskerville" w:hAnsi="Baskerville" w:cstheme="minorHAnsi"/>
          <w:i/>
        </w:rPr>
        <w:t>vindicatory</w:t>
      </w:r>
      <w:r w:rsidR="0041280A">
        <w:rPr>
          <w:rFonts w:ascii="Baskerville" w:hAnsi="Baskerville" w:cstheme="minorHAnsi"/>
        </w:rPr>
        <w:t xml:space="preserve"> function of judicial review</w:t>
      </w:r>
      <w:r w:rsidR="0041280A">
        <w:rPr>
          <w:rFonts w:ascii="Baskerville" w:hAnsi="Baskerville" w:cstheme="minorHAnsi"/>
          <w:lang w:val="en-GB"/>
        </w:rPr>
        <w:t xml:space="preserve"> relates to output legitimacy, </w:t>
      </w:r>
      <w:r w:rsidR="004B23A5">
        <w:rPr>
          <w:rFonts w:ascii="Baskerville" w:hAnsi="Baskerville" w:cstheme="minorHAnsi"/>
          <w:lang w:val="en-GB"/>
        </w:rPr>
        <w:t xml:space="preserve">though it is </w:t>
      </w:r>
      <w:r w:rsidR="0041280A">
        <w:rPr>
          <w:rFonts w:ascii="Baskerville" w:hAnsi="Baskerville" w:cstheme="minorHAnsi"/>
          <w:lang w:val="en-GB"/>
        </w:rPr>
        <w:t xml:space="preserve">articulated more easily in terms of output </w:t>
      </w:r>
      <w:r w:rsidR="0041280A" w:rsidRPr="000306DB">
        <w:rPr>
          <w:rFonts w:ascii="Baskerville" w:hAnsi="Baskerville" w:cstheme="minorHAnsi"/>
          <w:i/>
          <w:lang w:val="en-GB"/>
        </w:rPr>
        <w:t>illegitimacy</w:t>
      </w:r>
      <w:r w:rsidR="004B23A5">
        <w:rPr>
          <w:rFonts w:ascii="Baskerville" w:hAnsi="Baskerville" w:cstheme="minorHAnsi"/>
          <w:lang w:val="en-GB"/>
        </w:rPr>
        <w:t>:</w:t>
      </w:r>
      <w:r w:rsidR="0041280A">
        <w:rPr>
          <w:rFonts w:ascii="Baskerville" w:hAnsi="Baskerville" w:cstheme="minorHAnsi"/>
          <w:lang w:val="en-GB"/>
        </w:rPr>
        <w:t xml:space="preserve"> </w:t>
      </w:r>
      <w:r w:rsidR="004B23A5">
        <w:rPr>
          <w:rFonts w:ascii="Baskerville" w:hAnsi="Baskerville" w:cstheme="minorHAnsi"/>
          <w:lang w:val="en-GB"/>
        </w:rPr>
        <w:t>t</w:t>
      </w:r>
      <w:r w:rsidR="0041280A">
        <w:rPr>
          <w:rFonts w:ascii="Baskerville" w:hAnsi="Baskerville" w:cstheme="minorHAnsi"/>
          <w:lang w:val="en-GB"/>
        </w:rPr>
        <w:t xml:space="preserve">he court is justified in halting and reversing government action where it is illegitimate because it infringes on particular rights and liberties. </w:t>
      </w:r>
      <w:r w:rsidR="000306DB">
        <w:rPr>
          <w:rFonts w:ascii="Baskerville" w:hAnsi="Baskerville" w:cstheme="minorHAnsi"/>
          <w:lang w:val="en-GB"/>
        </w:rPr>
        <w:t xml:space="preserve">The </w:t>
      </w:r>
      <w:r w:rsidR="000306DB" w:rsidRPr="000306DB">
        <w:rPr>
          <w:rFonts w:ascii="Baskerville" w:hAnsi="Baskerville" w:cstheme="minorHAnsi"/>
          <w:i/>
          <w:lang w:val="en-GB"/>
        </w:rPr>
        <w:t>mediatory</w:t>
      </w:r>
      <w:r w:rsidR="000306DB">
        <w:rPr>
          <w:rFonts w:ascii="Baskerville" w:hAnsi="Baskerville" w:cstheme="minorHAnsi"/>
          <w:lang w:val="en-GB"/>
        </w:rPr>
        <w:t xml:space="preserve"> and </w:t>
      </w:r>
      <w:r w:rsidR="000306DB" w:rsidRPr="000306DB">
        <w:rPr>
          <w:rFonts w:ascii="Baskerville" w:hAnsi="Baskerville" w:cstheme="minorHAnsi"/>
          <w:i/>
          <w:lang w:val="en-GB"/>
        </w:rPr>
        <w:t>supervisory</w:t>
      </w:r>
      <w:r w:rsidR="000306DB">
        <w:rPr>
          <w:rFonts w:ascii="Baskerville" w:hAnsi="Baskerville" w:cstheme="minorHAnsi"/>
          <w:lang w:val="en-GB"/>
        </w:rPr>
        <w:t xml:space="preserve"> function of judicial review </w:t>
      </w:r>
      <w:r w:rsidR="0041280A">
        <w:rPr>
          <w:rFonts w:ascii="Baskerville" w:hAnsi="Baskerville" w:cstheme="minorHAnsi"/>
          <w:lang w:val="en-GB"/>
        </w:rPr>
        <w:t xml:space="preserve">similarly </w:t>
      </w:r>
      <w:r w:rsidR="000306DB">
        <w:rPr>
          <w:rFonts w:ascii="Baskerville" w:hAnsi="Baskerville" w:cstheme="minorHAnsi"/>
          <w:lang w:val="en-GB"/>
        </w:rPr>
        <w:t>relates to output legitimacy</w:t>
      </w:r>
      <w:r w:rsidR="00356243">
        <w:rPr>
          <w:rFonts w:ascii="Baskerville" w:hAnsi="Baskerville" w:cstheme="minorHAnsi"/>
          <w:lang w:val="en-GB"/>
        </w:rPr>
        <w:t>:</w:t>
      </w:r>
      <w:r w:rsidR="000306DB">
        <w:rPr>
          <w:rFonts w:ascii="Baskerville" w:hAnsi="Baskerville" w:cstheme="minorHAnsi"/>
          <w:lang w:val="en-GB"/>
        </w:rPr>
        <w:t xml:space="preserve"> </w:t>
      </w:r>
      <w:r w:rsidR="00356243">
        <w:rPr>
          <w:rFonts w:ascii="Baskerville" w:hAnsi="Baskerville" w:cstheme="minorHAnsi"/>
          <w:lang w:val="en-GB"/>
        </w:rPr>
        <w:t>t</w:t>
      </w:r>
      <w:r w:rsidR="000306DB">
        <w:rPr>
          <w:rFonts w:ascii="Baskerville" w:hAnsi="Baskerville" w:cstheme="minorHAnsi"/>
          <w:lang w:val="en-GB"/>
        </w:rPr>
        <w:t xml:space="preserve">he intervention of the courts is acceptable because of the quality of the substantive benefits it brings. </w:t>
      </w:r>
      <w:r w:rsidR="0041280A">
        <w:rPr>
          <w:rFonts w:ascii="Baskerville" w:hAnsi="Baskerville" w:cstheme="minorHAnsi"/>
          <w:lang w:val="en-GB"/>
        </w:rPr>
        <w:t>Finally, t</w:t>
      </w:r>
      <w:r w:rsidR="00FC476A">
        <w:rPr>
          <w:rFonts w:ascii="Baskerville" w:hAnsi="Baskerville" w:cstheme="minorHAnsi"/>
          <w:lang w:val="en-GB"/>
        </w:rPr>
        <w:t>he</w:t>
      </w:r>
      <w:r w:rsidR="000306DB">
        <w:rPr>
          <w:rFonts w:ascii="Baskerville" w:hAnsi="Baskerville" w:cstheme="minorHAnsi"/>
          <w:lang w:val="en-GB"/>
        </w:rPr>
        <w:t xml:space="preserve"> </w:t>
      </w:r>
      <w:r w:rsidR="000306DB" w:rsidRPr="00E00027">
        <w:rPr>
          <w:rFonts w:ascii="Baskerville" w:hAnsi="Baskerville" w:cstheme="minorHAnsi"/>
          <w:i/>
          <w:lang w:val="en-GB"/>
        </w:rPr>
        <w:t>enforcing</w:t>
      </w:r>
      <w:r w:rsidR="000306DB">
        <w:rPr>
          <w:rFonts w:ascii="Baskerville" w:hAnsi="Baskerville" w:cstheme="minorHAnsi"/>
          <w:lang w:val="en-GB"/>
        </w:rPr>
        <w:t xml:space="preserve"> and </w:t>
      </w:r>
      <w:r w:rsidR="000306DB" w:rsidRPr="00E00027">
        <w:rPr>
          <w:rFonts w:ascii="Baskerville" w:hAnsi="Baskerville" w:cstheme="minorHAnsi"/>
          <w:i/>
          <w:lang w:val="en-GB"/>
        </w:rPr>
        <w:t>policing</w:t>
      </w:r>
      <w:r w:rsidR="000306DB">
        <w:rPr>
          <w:rFonts w:ascii="Baskerville" w:hAnsi="Baskerville" w:cstheme="minorHAnsi"/>
          <w:lang w:val="en-GB"/>
        </w:rPr>
        <w:t xml:space="preserve"> function of judicial review concerns input legitimacy</w:t>
      </w:r>
      <w:r w:rsidR="00FC476A">
        <w:rPr>
          <w:rFonts w:ascii="Baskerville" w:hAnsi="Baskerville" w:cstheme="minorHAnsi"/>
          <w:lang w:val="en-GB"/>
        </w:rPr>
        <w:t xml:space="preserve">. </w:t>
      </w:r>
      <w:r w:rsidR="000306DB">
        <w:rPr>
          <w:rFonts w:ascii="Baskerville" w:hAnsi="Baskerville" w:cstheme="minorHAnsi"/>
          <w:lang w:val="en-GB"/>
        </w:rPr>
        <w:t>The minimal and negative role of the court is justified</w:t>
      </w:r>
      <w:r w:rsidR="00BC2C6F">
        <w:rPr>
          <w:rFonts w:ascii="Baskerville" w:hAnsi="Baskerville" w:cstheme="minorHAnsi"/>
          <w:lang w:val="en-GB"/>
        </w:rPr>
        <w:t xml:space="preserve"> because it would be illegitimate to </w:t>
      </w:r>
      <w:r w:rsidR="00356243">
        <w:rPr>
          <w:rFonts w:ascii="Baskerville" w:hAnsi="Baskerville" w:cstheme="minorHAnsi"/>
          <w:lang w:val="en-GB"/>
        </w:rPr>
        <w:t xml:space="preserve">breach the separation of powers </w:t>
      </w:r>
      <w:r w:rsidR="00356243">
        <w:rPr>
          <w:rFonts w:ascii="Baskerville" w:hAnsi="Baskerville" w:cstheme="minorHAnsi"/>
          <w:lang w:val="en-GB"/>
        </w:rPr>
        <w:lastRenderedPageBreak/>
        <w:t>and</w:t>
      </w:r>
      <w:r w:rsidR="00BC2C6F">
        <w:rPr>
          <w:rFonts w:ascii="Baskerville" w:hAnsi="Baskerville" w:cstheme="minorHAnsi"/>
          <w:lang w:val="en-GB"/>
        </w:rPr>
        <w:t xml:space="preserve"> </w:t>
      </w:r>
      <w:r w:rsidR="00356243">
        <w:rPr>
          <w:rFonts w:ascii="Baskerville" w:hAnsi="Baskerville" w:cstheme="minorHAnsi"/>
          <w:lang w:val="en-GB"/>
        </w:rPr>
        <w:t xml:space="preserve">for </w:t>
      </w:r>
      <w:r w:rsidR="00BC2C6F">
        <w:rPr>
          <w:rFonts w:ascii="Baskerville" w:hAnsi="Baskerville" w:cstheme="minorHAnsi"/>
          <w:lang w:val="en-GB"/>
        </w:rPr>
        <w:t xml:space="preserve">a non-democratic institution to impose itself on the </w:t>
      </w:r>
      <w:r w:rsidR="00356243">
        <w:rPr>
          <w:rFonts w:ascii="Baskerville" w:hAnsi="Baskerville" w:cstheme="minorHAnsi"/>
          <w:lang w:val="en-GB"/>
        </w:rPr>
        <w:t>e</w:t>
      </w:r>
      <w:r w:rsidR="00BC2C6F">
        <w:rPr>
          <w:rFonts w:ascii="Baskerville" w:hAnsi="Baskerville" w:cstheme="minorHAnsi"/>
          <w:lang w:val="en-GB"/>
        </w:rPr>
        <w:t>xecutive: such i</w:t>
      </w:r>
      <w:r w:rsidR="00180F41">
        <w:rPr>
          <w:rFonts w:ascii="Baskerville" w:hAnsi="Baskerville" w:cstheme="minorHAnsi"/>
          <w:lang w:val="en-GB"/>
        </w:rPr>
        <w:t>s</w:t>
      </w:r>
      <w:r w:rsidR="00BC2C6F">
        <w:rPr>
          <w:rFonts w:ascii="Baskerville" w:hAnsi="Baskerville" w:cstheme="minorHAnsi"/>
          <w:lang w:val="en-GB"/>
        </w:rPr>
        <w:t xml:space="preserve"> the function of the </w:t>
      </w:r>
      <w:proofErr w:type="gramStart"/>
      <w:r w:rsidR="00BC2C6F">
        <w:rPr>
          <w:rFonts w:ascii="Baskerville" w:hAnsi="Baskerville" w:cstheme="minorHAnsi"/>
          <w:lang w:val="en-GB"/>
        </w:rPr>
        <w:t>democratically-elected</w:t>
      </w:r>
      <w:proofErr w:type="gramEnd"/>
      <w:r w:rsidR="00BC2C6F">
        <w:rPr>
          <w:rFonts w:ascii="Baskerville" w:hAnsi="Baskerville" w:cstheme="minorHAnsi"/>
          <w:lang w:val="en-GB"/>
        </w:rPr>
        <w:t xml:space="preserve"> </w:t>
      </w:r>
      <w:r w:rsidR="00356243">
        <w:rPr>
          <w:rFonts w:ascii="Baskerville" w:hAnsi="Baskerville" w:cstheme="minorHAnsi"/>
          <w:lang w:val="en-GB"/>
        </w:rPr>
        <w:t>l</w:t>
      </w:r>
      <w:r w:rsidR="00BC2C6F">
        <w:rPr>
          <w:rFonts w:ascii="Baskerville" w:hAnsi="Baskerville" w:cstheme="minorHAnsi"/>
          <w:lang w:val="en-GB"/>
        </w:rPr>
        <w:t>egislature alone.</w:t>
      </w:r>
      <w:r w:rsidR="00FC476A">
        <w:rPr>
          <w:rFonts w:ascii="Baskerville" w:hAnsi="Baskerville" w:cstheme="minorHAnsi"/>
          <w:lang w:val="en-GB"/>
        </w:rPr>
        <w:t xml:space="preserve"> </w:t>
      </w:r>
    </w:p>
    <w:p w14:paraId="6C25541C" w14:textId="77777777" w:rsidR="00DA29CC" w:rsidRDefault="00DA29CC" w:rsidP="002B5669">
      <w:pPr>
        <w:spacing w:line="276" w:lineRule="auto"/>
        <w:rPr>
          <w:rFonts w:ascii="Baskerville" w:hAnsi="Baskerville" w:cstheme="minorHAnsi"/>
          <w:lang w:val="en-GB"/>
        </w:rPr>
      </w:pPr>
    </w:p>
    <w:p w14:paraId="2597111F" w14:textId="7A854DA2" w:rsidR="008F53C2" w:rsidRPr="00356243" w:rsidRDefault="008F53C2" w:rsidP="00356243">
      <w:pPr>
        <w:spacing w:line="276" w:lineRule="auto"/>
        <w:rPr>
          <w:rFonts w:ascii="Baskerville" w:hAnsi="Baskerville" w:cstheme="minorHAnsi"/>
        </w:rPr>
      </w:pPr>
      <w:r>
        <w:rPr>
          <w:rFonts w:ascii="Baskerville" w:eastAsia="Times New Roman" w:hAnsi="Baskerville"/>
          <w:bdr w:val="none" w:sz="0" w:space="0" w:color="auto" w:frame="1"/>
        </w:rPr>
        <w:t xml:space="preserve">The practical effect of thinking about judicial review in terms of administrative justice, in other words, is threefold.  Firstly, it turns what would otherwise seem a choice between competing paradigms into the heuristic selection of appropriate legal tools.  Secondly, it turns what would otherwise seem a </w:t>
      </w:r>
      <w:r>
        <w:rPr>
          <w:rFonts w:ascii="Baskerville" w:hAnsi="Baskerville" w:cstheme="minorHAnsi"/>
        </w:rPr>
        <w:t xml:space="preserve">Manichean </w:t>
      </w:r>
      <w:r>
        <w:rPr>
          <w:rFonts w:ascii="Baskerville" w:eastAsia="Times New Roman" w:hAnsi="Baskerville"/>
          <w:bdr w:val="none" w:sz="0" w:space="0" w:color="auto" w:frame="1"/>
        </w:rPr>
        <w:t xml:space="preserve">choice between incommensurable </w:t>
      </w:r>
      <w:r>
        <w:rPr>
          <w:rFonts w:ascii="Baskerville" w:hAnsi="Baskerville" w:cstheme="minorHAnsi"/>
        </w:rPr>
        <w:t xml:space="preserve">dichotomies of right and wrong, or legitimate and illegitimate, into a question of juristic method.  Thirdly and finally, it turns the issue of legitimacy from one of institutional structure </w:t>
      </w:r>
      <w:r w:rsidR="004D03FA">
        <w:rPr>
          <w:rFonts w:ascii="Baskerville" w:hAnsi="Baskerville" w:cstheme="minorHAnsi"/>
        </w:rPr>
        <w:t>in</w:t>
      </w:r>
      <w:r>
        <w:rPr>
          <w:rFonts w:ascii="Baskerville" w:hAnsi="Baskerville" w:cstheme="minorHAnsi"/>
        </w:rPr>
        <w:t xml:space="preserve">to one of institutional functioning and </w:t>
      </w:r>
      <w:r w:rsidR="009755E9">
        <w:rPr>
          <w:rFonts w:ascii="Baskerville" w:hAnsi="Baskerville" w:cstheme="minorHAnsi"/>
        </w:rPr>
        <w:t xml:space="preserve">the </w:t>
      </w:r>
      <w:r>
        <w:rPr>
          <w:rFonts w:ascii="Baskerville" w:hAnsi="Baskerville" w:cstheme="minorHAnsi"/>
        </w:rPr>
        <w:t>contribution</w:t>
      </w:r>
      <w:r w:rsidR="009755E9">
        <w:rPr>
          <w:rFonts w:ascii="Baskerville" w:hAnsi="Baskerville" w:cstheme="minorHAnsi"/>
        </w:rPr>
        <w:t xml:space="preserve"> a given institution can make to </w:t>
      </w:r>
      <w:r w:rsidR="0037653C">
        <w:rPr>
          <w:rFonts w:ascii="Baskerville" w:hAnsi="Baskerville" w:cstheme="minorHAnsi"/>
        </w:rPr>
        <w:t xml:space="preserve">broader </w:t>
      </w:r>
      <w:r w:rsidR="009755E9">
        <w:rPr>
          <w:rFonts w:ascii="Baskerville" w:hAnsi="Baskerville" w:cstheme="minorHAnsi"/>
        </w:rPr>
        <w:t>shared goals</w:t>
      </w:r>
      <w:r>
        <w:rPr>
          <w:rFonts w:ascii="Baskerville" w:hAnsi="Baskerville" w:cstheme="minorHAnsi"/>
        </w:rPr>
        <w:t xml:space="preserve">.  </w:t>
      </w:r>
      <w:r w:rsidR="0044322C">
        <w:rPr>
          <w:rFonts w:ascii="Baskerville" w:hAnsi="Baskerville" w:cstheme="minorHAnsi"/>
        </w:rPr>
        <w:t xml:space="preserve">These, arguably, present a productive reframing </w:t>
      </w:r>
      <w:r w:rsidR="0037653C">
        <w:rPr>
          <w:rFonts w:ascii="Baskerville" w:hAnsi="Baskerville" w:cstheme="minorHAnsi"/>
        </w:rPr>
        <w:t>of the judicial role, which has</w:t>
      </w:r>
      <w:r w:rsidR="0044322C">
        <w:rPr>
          <w:rFonts w:ascii="Baskerville" w:hAnsi="Baskerville" w:cstheme="minorHAnsi"/>
        </w:rPr>
        <w:t xml:space="preserve"> much to offer to scholarship in administrative justice </w:t>
      </w:r>
      <w:r w:rsidR="0037653C">
        <w:rPr>
          <w:rFonts w:ascii="Baskerville" w:hAnsi="Baskerville" w:cstheme="minorHAnsi"/>
        </w:rPr>
        <w:t>as well as</w:t>
      </w:r>
      <w:r w:rsidR="0044322C">
        <w:rPr>
          <w:rFonts w:ascii="Baskerville" w:hAnsi="Baskerville" w:cstheme="minorHAnsi"/>
        </w:rPr>
        <w:t xml:space="preserve"> administrative law.</w:t>
      </w:r>
    </w:p>
    <w:p w14:paraId="13696371" w14:textId="77777777" w:rsidR="00011CC1" w:rsidRDefault="00011CC1" w:rsidP="002B5669">
      <w:pPr>
        <w:spacing w:line="276" w:lineRule="auto"/>
        <w:rPr>
          <w:rFonts w:ascii="Baskerville" w:hAnsi="Baskerville" w:cstheme="minorHAnsi"/>
          <w:b/>
        </w:rPr>
      </w:pPr>
    </w:p>
    <w:p w14:paraId="2AACAAB0" w14:textId="6703E5B1" w:rsidR="00821AA9" w:rsidRPr="006F30ED" w:rsidRDefault="00825F31" w:rsidP="00825F31">
      <w:pPr>
        <w:pStyle w:val="Heading1"/>
      </w:pPr>
      <w:r>
        <w:t>V.</w:t>
      </w:r>
      <w:r>
        <w:tab/>
      </w:r>
      <w:r w:rsidR="006F30ED">
        <w:t>CONCLUSION</w:t>
      </w:r>
    </w:p>
    <w:p w14:paraId="3D1CED3E" w14:textId="77777777" w:rsidR="00821AA9" w:rsidRDefault="00821AA9" w:rsidP="002B5669">
      <w:pPr>
        <w:spacing w:line="276" w:lineRule="auto"/>
        <w:rPr>
          <w:rFonts w:ascii="Baskerville" w:hAnsi="Baskerville" w:cstheme="minorHAnsi"/>
        </w:rPr>
      </w:pPr>
    </w:p>
    <w:p w14:paraId="19C62C0F" w14:textId="37E22A80" w:rsidR="00821AA9" w:rsidRDefault="00686B8D" w:rsidP="00356243">
      <w:pPr>
        <w:spacing w:line="276" w:lineRule="auto"/>
        <w:rPr>
          <w:rFonts w:ascii="Baskerville" w:hAnsi="Baskerville" w:cstheme="minorHAnsi"/>
        </w:rPr>
      </w:pPr>
      <w:r>
        <w:rPr>
          <w:rFonts w:ascii="Baskerville" w:hAnsi="Baskerville" w:cstheme="minorHAnsi"/>
        </w:rPr>
        <w:t>The core argument of this chapter is that judicial review can and does have a relationship to administrative justice</w:t>
      </w:r>
      <w:r w:rsidR="00356243">
        <w:rPr>
          <w:rFonts w:ascii="Baskerville" w:hAnsi="Baskerville" w:cstheme="minorHAnsi"/>
        </w:rPr>
        <w:t>, and that a focus of this relationship leads us to productively reframe the central concerns of scholarship in administrative justice as well as in administrative law</w:t>
      </w:r>
      <w:r>
        <w:rPr>
          <w:rFonts w:ascii="Baskerville" w:hAnsi="Baskerville" w:cstheme="minorHAnsi"/>
        </w:rPr>
        <w:t>. The outline of this argument is represented in tabular form below:</w:t>
      </w:r>
    </w:p>
    <w:p w14:paraId="3DB5650A" w14:textId="77777777" w:rsidR="00BF11AD" w:rsidRDefault="00BF11AD" w:rsidP="002B5669">
      <w:pPr>
        <w:spacing w:line="276" w:lineRule="auto"/>
        <w:rPr>
          <w:rFonts w:ascii="Baskerville" w:hAnsi="Baskerville" w:cstheme="minorHAnsi"/>
        </w:rPr>
      </w:pPr>
    </w:p>
    <w:tbl>
      <w:tblPr>
        <w:tblStyle w:val="GridTable1Light"/>
        <w:tblW w:w="9776" w:type="dxa"/>
        <w:tblLayout w:type="fixed"/>
        <w:tblLook w:val="04A0" w:firstRow="1" w:lastRow="0" w:firstColumn="1" w:lastColumn="0" w:noHBand="0" w:noVBand="1"/>
      </w:tblPr>
      <w:tblGrid>
        <w:gridCol w:w="1271"/>
        <w:gridCol w:w="1418"/>
        <w:gridCol w:w="2126"/>
        <w:gridCol w:w="1843"/>
        <w:gridCol w:w="1275"/>
        <w:gridCol w:w="1843"/>
      </w:tblGrid>
      <w:tr w:rsidR="002A3C5C" w14:paraId="2B360BA8" w14:textId="77777777" w:rsidTr="00941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E836811" w14:textId="77777777" w:rsidR="002A3C5C" w:rsidRPr="00784877" w:rsidRDefault="002A3C5C" w:rsidP="002B5669">
            <w:pPr>
              <w:spacing w:line="276" w:lineRule="auto"/>
              <w:rPr>
                <w:rFonts w:ascii="Baskerville" w:hAnsi="Baskerville" w:cstheme="minorHAnsi"/>
                <w:sz w:val="20"/>
                <w:szCs w:val="20"/>
              </w:rPr>
            </w:pPr>
          </w:p>
        </w:tc>
        <w:tc>
          <w:tcPr>
            <w:tcW w:w="1418" w:type="dxa"/>
          </w:tcPr>
          <w:p w14:paraId="62A92C1C" w14:textId="281D1833" w:rsidR="002A3C5C" w:rsidRPr="00784877" w:rsidRDefault="002A3C5C" w:rsidP="00821AA9">
            <w:pPr>
              <w:spacing w:line="276" w:lineRule="auto"/>
              <w:cnfStyle w:val="100000000000" w:firstRow="1"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 xml:space="preserve">Conception of </w:t>
            </w:r>
            <w:r>
              <w:rPr>
                <w:rFonts w:ascii="Baskerville" w:hAnsi="Baskerville" w:cstheme="minorHAnsi"/>
                <w:sz w:val="20"/>
                <w:szCs w:val="20"/>
              </w:rPr>
              <w:t>AJ</w:t>
            </w:r>
            <w:r w:rsidRPr="00784877">
              <w:rPr>
                <w:rFonts w:ascii="Baskerville" w:hAnsi="Baskerville" w:cstheme="minorHAnsi"/>
                <w:sz w:val="20"/>
                <w:szCs w:val="20"/>
              </w:rPr>
              <w:t xml:space="preserve"> stresses</w:t>
            </w:r>
            <w:r>
              <w:rPr>
                <w:rFonts w:ascii="Baskerville" w:hAnsi="Baskerville" w:cstheme="minorHAnsi"/>
                <w:sz w:val="20"/>
                <w:szCs w:val="20"/>
              </w:rPr>
              <w:t xml:space="preserve"> …</w:t>
            </w:r>
          </w:p>
        </w:tc>
        <w:tc>
          <w:tcPr>
            <w:tcW w:w="2126" w:type="dxa"/>
          </w:tcPr>
          <w:p w14:paraId="2315A19F" w14:textId="7AC30143" w:rsidR="002A3C5C" w:rsidRPr="00784877" w:rsidRDefault="002A3C5C" w:rsidP="00821AA9">
            <w:pPr>
              <w:spacing w:line="276" w:lineRule="auto"/>
              <w:cnfStyle w:val="100000000000" w:firstRow="1"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 xml:space="preserve">Contribution to </w:t>
            </w:r>
            <w:r>
              <w:rPr>
                <w:rFonts w:ascii="Baskerville" w:hAnsi="Baskerville" w:cstheme="minorHAnsi"/>
                <w:sz w:val="20"/>
                <w:szCs w:val="20"/>
              </w:rPr>
              <w:t>AJ</w:t>
            </w:r>
          </w:p>
        </w:tc>
        <w:tc>
          <w:tcPr>
            <w:tcW w:w="1843" w:type="dxa"/>
          </w:tcPr>
          <w:p w14:paraId="66158E1E" w14:textId="677E9AD3" w:rsidR="002A3C5C" w:rsidRPr="00784877" w:rsidRDefault="00B252B6" w:rsidP="00B252B6">
            <w:pPr>
              <w:spacing w:line="276" w:lineRule="auto"/>
              <w:cnfStyle w:val="100000000000" w:firstRow="1"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Corresponding l</w:t>
            </w:r>
            <w:r w:rsidR="002A3C5C">
              <w:rPr>
                <w:rFonts w:ascii="Baskerville" w:hAnsi="Baskerville" w:cstheme="minorHAnsi"/>
                <w:sz w:val="20"/>
                <w:szCs w:val="20"/>
              </w:rPr>
              <w:t>aw-job</w:t>
            </w:r>
          </w:p>
        </w:tc>
        <w:tc>
          <w:tcPr>
            <w:tcW w:w="1275" w:type="dxa"/>
          </w:tcPr>
          <w:p w14:paraId="0FE60657" w14:textId="210C0B2D" w:rsidR="002A3C5C" w:rsidRPr="00784877" w:rsidRDefault="002A3C5C" w:rsidP="002B5669">
            <w:pPr>
              <w:spacing w:line="276" w:lineRule="auto"/>
              <w:cnfStyle w:val="100000000000" w:firstRow="1"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Legitimacy</w:t>
            </w:r>
          </w:p>
        </w:tc>
        <w:tc>
          <w:tcPr>
            <w:tcW w:w="1843" w:type="dxa"/>
          </w:tcPr>
          <w:p w14:paraId="068DE637" w14:textId="2073EE6E" w:rsidR="002A3C5C" w:rsidRPr="00784877" w:rsidRDefault="002A3C5C" w:rsidP="002B5669">
            <w:pPr>
              <w:spacing w:line="276" w:lineRule="auto"/>
              <w:cnfStyle w:val="100000000000" w:firstRow="1"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Useful When</w:t>
            </w:r>
            <w:r>
              <w:rPr>
                <w:rFonts w:ascii="Baskerville" w:hAnsi="Baskerville" w:cstheme="minorHAnsi"/>
                <w:sz w:val="20"/>
                <w:szCs w:val="20"/>
              </w:rPr>
              <w:t xml:space="preserve"> …</w:t>
            </w:r>
          </w:p>
        </w:tc>
      </w:tr>
      <w:tr w:rsidR="002A3C5C" w14:paraId="1C1DF657" w14:textId="77777777" w:rsidTr="00941A50">
        <w:tc>
          <w:tcPr>
            <w:cnfStyle w:val="001000000000" w:firstRow="0" w:lastRow="0" w:firstColumn="1" w:lastColumn="0" w:oddVBand="0" w:evenVBand="0" w:oddHBand="0" w:evenHBand="0" w:firstRowFirstColumn="0" w:firstRowLastColumn="0" w:lastRowFirstColumn="0" w:lastRowLastColumn="0"/>
            <w:tcW w:w="1271" w:type="dxa"/>
          </w:tcPr>
          <w:p w14:paraId="5369F23D" w14:textId="4DA2B7F9" w:rsidR="002A3C5C" w:rsidRPr="00784877" w:rsidRDefault="002A3C5C" w:rsidP="002B5669">
            <w:pPr>
              <w:spacing w:line="276" w:lineRule="auto"/>
              <w:rPr>
                <w:rFonts w:ascii="Baskerville" w:hAnsi="Baskerville" w:cstheme="minorHAnsi"/>
                <w:sz w:val="20"/>
                <w:szCs w:val="20"/>
              </w:rPr>
            </w:pPr>
            <w:r w:rsidRPr="00784877">
              <w:rPr>
                <w:rFonts w:ascii="Baskerville" w:hAnsi="Baskerville" w:cstheme="minorHAnsi"/>
                <w:sz w:val="20"/>
                <w:szCs w:val="20"/>
              </w:rPr>
              <w:t>Hortatory &amp; Advisory</w:t>
            </w:r>
          </w:p>
        </w:tc>
        <w:tc>
          <w:tcPr>
            <w:tcW w:w="1418" w:type="dxa"/>
          </w:tcPr>
          <w:p w14:paraId="2D03683B" w14:textId="46769F90"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Procedurally just administration</w:t>
            </w:r>
          </w:p>
        </w:tc>
        <w:tc>
          <w:tcPr>
            <w:tcW w:w="2126" w:type="dxa"/>
          </w:tcPr>
          <w:p w14:paraId="0F9ABE79" w14:textId="75040C58" w:rsidR="002A3C5C" w:rsidRPr="00784877" w:rsidRDefault="002A3C5C" w:rsidP="00E0068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 xml:space="preserve">Policymaking processes with a propensity to producing just outcomes </w:t>
            </w:r>
          </w:p>
        </w:tc>
        <w:tc>
          <w:tcPr>
            <w:tcW w:w="1843" w:type="dxa"/>
          </w:tcPr>
          <w:p w14:paraId="0AEEA4CB" w14:textId="242CA558" w:rsidR="002A3C5C" w:rsidRPr="00784877" w:rsidRDefault="002A3C5C" w:rsidP="002A3C5C">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The Say: allocating authority and arranging procedures to legitimise action</w:t>
            </w:r>
          </w:p>
        </w:tc>
        <w:tc>
          <w:tcPr>
            <w:tcW w:w="1275" w:type="dxa"/>
          </w:tcPr>
          <w:p w14:paraId="3E89DDD5" w14:textId="63FA0DC2"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Throughput</w:t>
            </w:r>
          </w:p>
        </w:tc>
        <w:tc>
          <w:tcPr>
            <w:tcW w:w="1843" w:type="dxa"/>
          </w:tcPr>
          <w:p w14:paraId="4A0FFEDB" w14:textId="56570855"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Court’s wisdom needs cautious communication</w:t>
            </w:r>
          </w:p>
        </w:tc>
      </w:tr>
      <w:tr w:rsidR="002A3C5C" w14:paraId="14A68E4E" w14:textId="77777777" w:rsidTr="00941A50">
        <w:tc>
          <w:tcPr>
            <w:cnfStyle w:val="001000000000" w:firstRow="0" w:lastRow="0" w:firstColumn="1" w:lastColumn="0" w:oddVBand="0" w:evenVBand="0" w:oddHBand="0" w:evenHBand="0" w:firstRowFirstColumn="0" w:firstRowLastColumn="0" w:lastRowFirstColumn="0" w:lastRowLastColumn="0"/>
            <w:tcW w:w="1271" w:type="dxa"/>
          </w:tcPr>
          <w:p w14:paraId="44802054" w14:textId="1AA23484" w:rsidR="002A3C5C" w:rsidRPr="00784877" w:rsidRDefault="002A3C5C" w:rsidP="00623E97">
            <w:pPr>
              <w:spacing w:line="276" w:lineRule="auto"/>
              <w:rPr>
                <w:rFonts w:ascii="Baskerville" w:hAnsi="Baskerville" w:cstheme="minorHAnsi"/>
                <w:sz w:val="20"/>
                <w:szCs w:val="20"/>
              </w:rPr>
            </w:pPr>
            <w:r w:rsidRPr="00784877">
              <w:rPr>
                <w:rFonts w:ascii="Baskerville" w:hAnsi="Baskerville" w:cstheme="minorHAnsi"/>
                <w:sz w:val="20"/>
                <w:szCs w:val="20"/>
              </w:rPr>
              <w:t xml:space="preserve">Protective </w:t>
            </w:r>
            <w:r>
              <w:rPr>
                <w:rFonts w:ascii="Baskerville" w:hAnsi="Baskerville" w:cstheme="minorHAnsi"/>
                <w:sz w:val="20"/>
                <w:szCs w:val="20"/>
              </w:rPr>
              <w:t>&amp;</w:t>
            </w:r>
            <w:r w:rsidRPr="00784877">
              <w:rPr>
                <w:rFonts w:ascii="Baskerville" w:hAnsi="Baskerville" w:cstheme="minorHAnsi"/>
                <w:sz w:val="20"/>
                <w:szCs w:val="20"/>
              </w:rPr>
              <w:t xml:space="preserve"> Vindicatory</w:t>
            </w:r>
          </w:p>
        </w:tc>
        <w:tc>
          <w:tcPr>
            <w:tcW w:w="1418" w:type="dxa"/>
          </w:tcPr>
          <w:p w14:paraId="4CEAD8C0" w14:textId="2B09F760"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Minimal interference with personal freedom</w:t>
            </w:r>
          </w:p>
        </w:tc>
        <w:tc>
          <w:tcPr>
            <w:tcW w:w="2126" w:type="dxa"/>
          </w:tcPr>
          <w:p w14:paraId="3C544342" w14:textId="247B6C93"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Protection of rights and liberties</w:t>
            </w:r>
          </w:p>
        </w:tc>
        <w:tc>
          <w:tcPr>
            <w:tcW w:w="1843" w:type="dxa"/>
          </w:tcPr>
          <w:p w14:paraId="03C3413E" w14:textId="23D518D9" w:rsidR="002A3C5C" w:rsidRPr="00784877" w:rsidRDefault="002A3C5C" w:rsidP="002A3C5C">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Channelling: Reorienting conduct and expectations to avoid trouble</w:t>
            </w:r>
          </w:p>
        </w:tc>
        <w:tc>
          <w:tcPr>
            <w:tcW w:w="1275" w:type="dxa"/>
          </w:tcPr>
          <w:p w14:paraId="07A50921" w14:textId="0034C702"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Output</w:t>
            </w:r>
          </w:p>
        </w:tc>
        <w:tc>
          <w:tcPr>
            <w:tcW w:w="1843" w:type="dxa"/>
          </w:tcPr>
          <w:p w14:paraId="615BFBC5" w14:textId="69111C06" w:rsidR="002A3C5C" w:rsidRPr="00784877" w:rsidRDefault="002A3C5C" w:rsidP="00E903EF">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There is a tendency to predatory governance, or for collective projects to overreach</w:t>
            </w:r>
          </w:p>
        </w:tc>
      </w:tr>
      <w:tr w:rsidR="002A3C5C" w14:paraId="1B1C9F9B" w14:textId="77777777" w:rsidTr="00941A50">
        <w:tc>
          <w:tcPr>
            <w:cnfStyle w:val="001000000000" w:firstRow="0" w:lastRow="0" w:firstColumn="1" w:lastColumn="0" w:oddVBand="0" w:evenVBand="0" w:oddHBand="0" w:evenHBand="0" w:firstRowFirstColumn="0" w:firstRowLastColumn="0" w:lastRowFirstColumn="0" w:lastRowLastColumn="0"/>
            <w:tcW w:w="1271" w:type="dxa"/>
          </w:tcPr>
          <w:p w14:paraId="54AE1216" w14:textId="3E3B4D03" w:rsidR="002A3C5C" w:rsidRPr="00784877" w:rsidRDefault="002A3C5C" w:rsidP="00623E97">
            <w:pPr>
              <w:spacing w:line="276" w:lineRule="auto"/>
              <w:rPr>
                <w:rFonts w:ascii="Baskerville" w:hAnsi="Baskerville" w:cstheme="minorHAnsi"/>
                <w:sz w:val="20"/>
                <w:szCs w:val="20"/>
              </w:rPr>
            </w:pPr>
            <w:r w:rsidRPr="00784877">
              <w:rPr>
                <w:rFonts w:ascii="Baskerville" w:hAnsi="Baskerville" w:cstheme="minorHAnsi"/>
                <w:sz w:val="20"/>
                <w:szCs w:val="20"/>
              </w:rPr>
              <w:t xml:space="preserve">Mediatory </w:t>
            </w:r>
            <w:r>
              <w:rPr>
                <w:rFonts w:ascii="Baskerville" w:hAnsi="Baskerville" w:cstheme="minorHAnsi"/>
                <w:sz w:val="20"/>
                <w:szCs w:val="20"/>
              </w:rPr>
              <w:t>&amp;</w:t>
            </w:r>
            <w:r w:rsidRPr="00784877">
              <w:rPr>
                <w:rFonts w:ascii="Baskerville" w:hAnsi="Baskerville" w:cstheme="minorHAnsi"/>
                <w:sz w:val="20"/>
                <w:szCs w:val="20"/>
              </w:rPr>
              <w:t xml:space="preserve"> Supervisory</w:t>
            </w:r>
          </w:p>
        </w:tc>
        <w:tc>
          <w:tcPr>
            <w:tcW w:w="1418" w:type="dxa"/>
          </w:tcPr>
          <w:p w14:paraId="47708511" w14:textId="278F24B2" w:rsidR="002A3C5C" w:rsidRPr="00784877" w:rsidRDefault="002A3C5C" w:rsidP="002A65BA">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Balanced, e</w:t>
            </w:r>
            <w:r w:rsidRPr="00784877">
              <w:rPr>
                <w:rFonts w:ascii="Baskerville" w:hAnsi="Baskerville" w:cstheme="minorHAnsi"/>
                <w:sz w:val="20"/>
                <w:szCs w:val="20"/>
              </w:rPr>
              <w:t xml:space="preserve">ffective </w:t>
            </w:r>
            <w:r>
              <w:rPr>
                <w:rFonts w:ascii="Baskerville" w:hAnsi="Baskerville" w:cstheme="minorHAnsi"/>
                <w:sz w:val="20"/>
                <w:szCs w:val="20"/>
              </w:rPr>
              <w:t xml:space="preserve">and sustainable </w:t>
            </w:r>
            <w:r w:rsidRPr="00784877">
              <w:rPr>
                <w:rFonts w:ascii="Baskerville" w:hAnsi="Baskerville" w:cstheme="minorHAnsi"/>
                <w:sz w:val="20"/>
                <w:szCs w:val="20"/>
              </w:rPr>
              <w:t>social policy</w:t>
            </w:r>
          </w:p>
        </w:tc>
        <w:tc>
          <w:tcPr>
            <w:tcW w:w="2126" w:type="dxa"/>
          </w:tcPr>
          <w:p w14:paraId="7764D7E3" w14:textId="77777777" w:rsidR="002A3C5C" w:rsidRPr="00784877" w:rsidRDefault="002A3C5C" w:rsidP="00C22D85">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Legal policy science</w:t>
            </w:r>
          </w:p>
          <w:p w14:paraId="666C0C0C" w14:textId="243407D6"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p>
        </w:tc>
        <w:tc>
          <w:tcPr>
            <w:tcW w:w="1843" w:type="dxa"/>
          </w:tcPr>
          <w:p w14:paraId="4DE7079E" w14:textId="383CDA1F" w:rsidR="002A3C5C" w:rsidRPr="00784877" w:rsidRDefault="002A3C5C" w:rsidP="002A3C5C">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Net Drive: shaping direction towards one ‘Whither’ rather than another</w:t>
            </w:r>
          </w:p>
        </w:tc>
        <w:tc>
          <w:tcPr>
            <w:tcW w:w="1275" w:type="dxa"/>
          </w:tcPr>
          <w:p w14:paraId="5A1726C3" w14:textId="74AA8CC3"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Output</w:t>
            </w:r>
          </w:p>
        </w:tc>
        <w:tc>
          <w:tcPr>
            <w:tcW w:w="1843" w:type="dxa"/>
          </w:tcPr>
          <w:p w14:paraId="4536F117" w14:textId="33983944" w:rsidR="002A3C5C" w:rsidRPr="00784877" w:rsidRDefault="002A3C5C" w:rsidP="00E0068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Other actors have stalled or need new patterns of thought, or need support translating points of consensus into practical measures.</w:t>
            </w:r>
          </w:p>
        </w:tc>
      </w:tr>
      <w:tr w:rsidR="002A3C5C" w14:paraId="4C9D67C4" w14:textId="77777777" w:rsidTr="00941A50">
        <w:tc>
          <w:tcPr>
            <w:cnfStyle w:val="001000000000" w:firstRow="0" w:lastRow="0" w:firstColumn="1" w:lastColumn="0" w:oddVBand="0" w:evenVBand="0" w:oddHBand="0" w:evenHBand="0" w:firstRowFirstColumn="0" w:firstRowLastColumn="0" w:lastRowFirstColumn="0" w:lastRowLastColumn="0"/>
            <w:tcW w:w="1271" w:type="dxa"/>
          </w:tcPr>
          <w:p w14:paraId="3423B68E" w14:textId="7F98CE6C" w:rsidR="002A3C5C" w:rsidRPr="00784877" w:rsidRDefault="002A3C5C" w:rsidP="00623E97">
            <w:pPr>
              <w:spacing w:line="276" w:lineRule="auto"/>
              <w:rPr>
                <w:rFonts w:ascii="Baskerville" w:hAnsi="Baskerville" w:cstheme="minorHAnsi"/>
                <w:sz w:val="20"/>
                <w:szCs w:val="20"/>
              </w:rPr>
            </w:pPr>
            <w:r w:rsidRPr="00784877">
              <w:rPr>
                <w:rFonts w:ascii="Baskerville" w:hAnsi="Baskerville" w:cstheme="minorHAnsi"/>
                <w:sz w:val="20"/>
                <w:szCs w:val="20"/>
              </w:rPr>
              <w:t xml:space="preserve">Policing </w:t>
            </w:r>
            <w:r>
              <w:rPr>
                <w:rFonts w:ascii="Baskerville" w:hAnsi="Baskerville" w:cstheme="minorHAnsi"/>
                <w:sz w:val="20"/>
                <w:szCs w:val="20"/>
              </w:rPr>
              <w:t>&amp;</w:t>
            </w:r>
            <w:r w:rsidRPr="00784877">
              <w:rPr>
                <w:rFonts w:ascii="Baskerville" w:hAnsi="Baskerville" w:cstheme="minorHAnsi"/>
                <w:sz w:val="20"/>
                <w:szCs w:val="20"/>
              </w:rPr>
              <w:t xml:space="preserve"> Enforcing</w:t>
            </w:r>
          </w:p>
        </w:tc>
        <w:tc>
          <w:tcPr>
            <w:tcW w:w="1418" w:type="dxa"/>
          </w:tcPr>
          <w:p w14:paraId="61994935" w14:textId="6B265B8D"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Constitutional division of labour</w:t>
            </w:r>
          </w:p>
        </w:tc>
        <w:tc>
          <w:tcPr>
            <w:tcW w:w="2126" w:type="dxa"/>
          </w:tcPr>
          <w:p w14:paraId="0FDA018D" w14:textId="75B465D6"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Deference to others</w:t>
            </w:r>
          </w:p>
        </w:tc>
        <w:tc>
          <w:tcPr>
            <w:tcW w:w="1843" w:type="dxa"/>
          </w:tcPr>
          <w:p w14:paraId="551D150A" w14:textId="21FA8678" w:rsidR="002A3C5C" w:rsidRPr="00784877" w:rsidRDefault="002A3C5C" w:rsidP="00B252B6">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 xml:space="preserve">The </w:t>
            </w:r>
            <w:r w:rsidR="00B252B6">
              <w:rPr>
                <w:rFonts w:ascii="Baskerville" w:hAnsi="Baskerville" w:cstheme="minorHAnsi"/>
                <w:sz w:val="20"/>
                <w:szCs w:val="20"/>
              </w:rPr>
              <w:t xml:space="preserve">Adjustment of the </w:t>
            </w:r>
            <w:r>
              <w:rPr>
                <w:rFonts w:ascii="Baskerville" w:hAnsi="Baskerville" w:cstheme="minorHAnsi"/>
                <w:sz w:val="20"/>
                <w:szCs w:val="20"/>
              </w:rPr>
              <w:t xml:space="preserve">Trouble-Case: Doing just enough to avoid </w:t>
            </w:r>
            <w:r w:rsidR="00B252B6">
              <w:rPr>
                <w:rFonts w:ascii="Baskerville" w:hAnsi="Baskerville" w:cstheme="minorHAnsi"/>
                <w:sz w:val="20"/>
                <w:szCs w:val="20"/>
              </w:rPr>
              <w:t xml:space="preserve">group </w:t>
            </w:r>
            <w:r>
              <w:rPr>
                <w:rFonts w:ascii="Baskerville" w:hAnsi="Baskerville" w:cstheme="minorHAnsi"/>
                <w:sz w:val="20"/>
                <w:szCs w:val="20"/>
              </w:rPr>
              <w:t>disintegration</w:t>
            </w:r>
          </w:p>
        </w:tc>
        <w:tc>
          <w:tcPr>
            <w:tcW w:w="1275" w:type="dxa"/>
          </w:tcPr>
          <w:p w14:paraId="397A2B68" w14:textId="331C05F3" w:rsidR="002A3C5C" w:rsidRPr="00784877" w:rsidRDefault="002A3C5C" w:rsidP="002B566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sidRPr="00784877">
              <w:rPr>
                <w:rFonts w:ascii="Baskerville" w:hAnsi="Baskerville" w:cstheme="minorHAnsi"/>
                <w:sz w:val="20"/>
                <w:szCs w:val="20"/>
              </w:rPr>
              <w:t>Input</w:t>
            </w:r>
          </w:p>
        </w:tc>
        <w:tc>
          <w:tcPr>
            <w:tcW w:w="1843" w:type="dxa"/>
          </w:tcPr>
          <w:p w14:paraId="1EDFFC91" w14:textId="5F50D332" w:rsidR="002A3C5C" w:rsidRPr="00784877" w:rsidRDefault="002A3C5C" w:rsidP="00E00689">
            <w:pPr>
              <w:spacing w:line="276" w:lineRule="auto"/>
              <w:cnfStyle w:val="000000000000" w:firstRow="0" w:lastRow="0" w:firstColumn="0" w:lastColumn="0" w:oddVBand="0" w:evenVBand="0" w:oddHBand="0" w:evenHBand="0" w:firstRowFirstColumn="0" w:firstRowLastColumn="0" w:lastRowFirstColumn="0" w:lastRowLastColumn="0"/>
              <w:rPr>
                <w:rFonts w:ascii="Baskerville" w:hAnsi="Baskerville" w:cstheme="minorHAnsi"/>
                <w:sz w:val="20"/>
                <w:szCs w:val="20"/>
              </w:rPr>
            </w:pPr>
            <w:r>
              <w:rPr>
                <w:rFonts w:ascii="Baskerville" w:hAnsi="Baskerville" w:cstheme="minorHAnsi"/>
                <w:sz w:val="20"/>
                <w:szCs w:val="20"/>
              </w:rPr>
              <w:t>Social policy is still bedding in or is too hot to handle, or is so contested that argumentation is not an effective way of resolving matters</w:t>
            </w:r>
          </w:p>
        </w:tc>
      </w:tr>
    </w:tbl>
    <w:p w14:paraId="72F21047" w14:textId="77777777" w:rsidR="00BF11AD" w:rsidRDefault="00BF11AD" w:rsidP="002B5669">
      <w:pPr>
        <w:spacing w:line="276" w:lineRule="auto"/>
        <w:rPr>
          <w:rFonts w:ascii="Baskerville" w:hAnsi="Baskerville" w:cstheme="minorHAnsi"/>
        </w:rPr>
      </w:pPr>
    </w:p>
    <w:p w14:paraId="5733997D" w14:textId="2F55CFC2" w:rsidR="00BF11AD" w:rsidRDefault="00125FDD" w:rsidP="00FA2906">
      <w:pPr>
        <w:spacing w:line="276" w:lineRule="auto"/>
        <w:rPr>
          <w:rFonts w:ascii="Baskerville" w:hAnsi="Baskerville" w:cstheme="minorHAnsi"/>
        </w:rPr>
      </w:pPr>
      <w:r>
        <w:rPr>
          <w:rFonts w:ascii="Baskerville" w:hAnsi="Baskerville" w:cstheme="minorHAnsi"/>
        </w:rPr>
        <w:lastRenderedPageBreak/>
        <w:t xml:space="preserve">As we can see, the ideal typical functions of judicial review, represented in the </w:t>
      </w:r>
      <w:proofErr w:type="gramStart"/>
      <w:r>
        <w:rPr>
          <w:rFonts w:ascii="Baskerville" w:hAnsi="Baskerville" w:cstheme="minorHAnsi"/>
        </w:rPr>
        <w:t>far left</w:t>
      </w:r>
      <w:proofErr w:type="gramEnd"/>
      <w:r>
        <w:rPr>
          <w:rFonts w:ascii="Baskerville" w:hAnsi="Baskerville" w:cstheme="minorHAnsi"/>
        </w:rPr>
        <w:t xml:space="preserve"> column</w:t>
      </w:r>
      <w:r w:rsidR="00417FDB">
        <w:rPr>
          <w:rFonts w:ascii="Baskerville" w:hAnsi="Baskerville" w:cstheme="minorHAnsi"/>
        </w:rPr>
        <w:t xml:space="preserve">, </w:t>
      </w:r>
      <w:r w:rsidR="00356243">
        <w:rPr>
          <w:rFonts w:ascii="Baskerville" w:hAnsi="Baskerville" w:cstheme="minorHAnsi"/>
        </w:rPr>
        <w:t>correspond closely to other</w:t>
      </w:r>
      <w:r w:rsidR="00417FDB">
        <w:rPr>
          <w:rFonts w:ascii="Baskerville" w:hAnsi="Baskerville" w:cstheme="minorHAnsi"/>
        </w:rPr>
        <w:t xml:space="preserve"> key features that populate the remainder of our table: the conception </w:t>
      </w:r>
      <w:r w:rsidR="00A66563">
        <w:rPr>
          <w:rFonts w:ascii="Baskerville" w:hAnsi="Baskerville" w:cstheme="minorHAnsi"/>
        </w:rPr>
        <w:t xml:space="preserve">of </w:t>
      </w:r>
      <w:r w:rsidR="00417FDB">
        <w:rPr>
          <w:rFonts w:ascii="Baskerville" w:hAnsi="Baskerville" w:cstheme="minorHAnsi"/>
        </w:rPr>
        <w:t xml:space="preserve">administrative justice; the contribution of judicial review to administrative justice; </w:t>
      </w:r>
      <w:r w:rsidR="00356243">
        <w:rPr>
          <w:rFonts w:ascii="Baskerville" w:hAnsi="Baskerville" w:cstheme="minorHAnsi"/>
        </w:rPr>
        <w:t>the law-job it discharges; its legitimacy narrative</w:t>
      </w:r>
      <w:r w:rsidR="00417FDB">
        <w:rPr>
          <w:rFonts w:ascii="Baskerville" w:hAnsi="Baskerville" w:cstheme="minorHAnsi"/>
        </w:rPr>
        <w:t xml:space="preserve">; and </w:t>
      </w:r>
      <w:r w:rsidR="00A66563">
        <w:rPr>
          <w:rFonts w:ascii="Baskerville" w:hAnsi="Baskerville" w:cstheme="minorHAnsi"/>
        </w:rPr>
        <w:t xml:space="preserve">the </w:t>
      </w:r>
      <w:r w:rsidR="00417FDB">
        <w:rPr>
          <w:rFonts w:ascii="Baskerville" w:hAnsi="Baskerville" w:cstheme="minorHAnsi"/>
        </w:rPr>
        <w:t xml:space="preserve">contexts in which </w:t>
      </w:r>
      <w:r w:rsidR="00356243">
        <w:rPr>
          <w:rFonts w:ascii="Baskerville" w:hAnsi="Baskerville" w:cstheme="minorHAnsi"/>
        </w:rPr>
        <w:t xml:space="preserve">those </w:t>
      </w:r>
      <w:r w:rsidR="00A66563">
        <w:rPr>
          <w:rFonts w:ascii="Baskerville" w:hAnsi="Baskerville" w:cstheme="minorHAnsi"/>
        </w:rPr>
        <w:t>functions</w:t>
      </w:r>
      <w:r w:rsidR="00417FDB">
        <w:rPr>
          <w:rFonts w:ascii="Baskerville" w:hAnsi="Baskerville" w:cstheme="minorHAnsi"/>
        </w:rPr>
        <w:t xml:space="preserve"> prove </w:t>
      </w:r>
      <w:r w:rsidR="00A66563">
        <w:rPr>
          <w:rFonts w:ascii="Baskerville" w:hAnsi="Baskerville" w:cstheme="minorHAnsi"/>
        </w:rPr>
        <w:t xml:space="preserve">particularly </w:t>
      </w:r>
      <w:r w:rsidR="00417FDB">
        <w:rPr>
          <w:rFonts w:ascii="Baskerville" w:hAnsi="Baskerville" w:cstheme="minorHAnsi"/>
        </w:rPr>
        <w:t xml:space="preserve">useful. Such a flexible and pragmatic approach to judicial review </w:t>
      </w:r>
      <w:r w:rsidR="00B02ECD">
        <w:rPr>
          <w:rFonts w:ascii="Baskerville" w:hAnsi="Baskerville" w:cstheme="minorHAnsi"/>
        </w:rPr>
        <w:t>and administrative justice</w:t>
      </w:r>
      <w:r w:rsidR="00356243">
        <w:rPr>
          <w:rFonts w:ascii="Baskerville" w:hAnsi="Baskerville" w:cstheme="minorHAnsi"/>
        </w:rPr>
        <w:t xml:space="preserve">, highlights </w:t>
      </w:r>
      <w:r w:rsidR="00B02ECD">
        <w:rPr>
          <w:rFonts w:ascii="Baskerville" w:hAnsi="Baskerville" w:cstheme="minorHAnsi"/>
        </w:rPr>
        <w:t>its</w:t>
      </w:r>
      <w:r w:rsidR="00417FDB">
        <w:rPr>
          <w:rFonts w:ascii="Baskerville" w:hAnsi="Baskerville" w:cstheme="minorHAnsi"/>
        </w:rPr>
        <w:t xml:space="preserve"> value for </w:t>
      </w:r>
      <w:r w:rsidR="00B02ECD">
        <w:rPr>
          <w:rFonts w:ascii="Baskerville" w:hAnsi="Baskerville" w:cstheme="minorHAnsi"/>
        </w:rPr>
        <w:t>public administration</w:t>
      </w:r>
      <w:r w:rsidR="00FA2906">
        <w:rPr>
          <w:rFonts w:ascii="Baskerville" w:hAnsi="Baskerville" w:cstheme="minorHAnsi"/>
        </w:rPr>
        <w:t>; and it also points to a new agenda for scholarship in administrative law and administrative justice, and to the need for mutual dialogue between them</w:t>
      </w:r>
      <w:r w:rsidR="00417FDB">
        <w:rPr>
          <w:rFonts w:ascii="Baskerville" w:hAnsi="Baskerville" w:cstheme="minorHAnsi"/>
        </w:rPr>
        <w:t>.</w:t>
      </w:r>
    </w:p>
    <w:p w14:paraId="7194345D" w14:textId="77777777" w:rsidR="00BF11AD" w:rsidRDefault="00BF11AD" w:rsidP="002B5669">
      <w:pPr>
        <w:spacing w:line="276" w:lineRule="auto"/>
        <w:rPr>
          <w:rFonts w:ascii="Baskerville" w:hAnsi="Baskerville" w:cstheme="minorHAnsi"/>
        </w:rPr>
      </w:pPr>
    </w:p>
    <w:p w14:paraId="5DA9B976" w14:textId="3269F306" w:rsidR="00BF11AD" w:rsidRDefault="00BF11AD" w:rsidP="002B5669">
      <w:pPr>
        <w:spacing w:line="276" w:lineRule="auto"/>
        <w:rPr>
          <w:rFonts w:ascii="Baskerville" w:hAnsi="Baskerville" w:cstheme="minorHAnsi"/>
        </w:rPr>
      </w:pPr>
    </w:p>
    <w:p w14:paraId="533CD070" w14:textId="77777777" w:rsidR="00BF11AD" w:rsidRDefault="00BF11AD" w:rsidP="002B5669">
      <w:pPr>
        <w:spacing w:line="276" w:lineRule="auto"/>
        <w:rPr>
          <w:rFonts w:ascii="Baskerville" w:hAnsi="Baskerville" w:cstheme="minorHAnsi"/>
        </w:rPr>
      </w:pPr>
    </w:p>
    <w:p w14:paraId="5F153A18" w14:textId="26578DB4" w:rsidR="00BF11AD" w:rsidRDefault="00892CC6" w:rsidP="002B5669">
      <w:pPr>
        <w:spacing w:line="276" w:lineRule="auto"/>
        <w:rPr>
          <w:rFonts w:ascii="Baskerville" w:hAnsi="Baskerville" w:cstheme="minorHAnsi"/>
        </w:rPr>
      </w:pPr>
      <w:r>
        <w:rPr>
          <w:rFonts w:ascii="Baskerville" w:hAnsi="Baskerville" w:cstheme="minorHAnsi"/>
          <w:b/>
        </w:rPr>
        <w:t>References</w:t>
      </w:r>
    </w:p>
    <w:p w14:paraId="588AB532" w14:textId="763DE2C6" w:rsidR="00D01ABF" w:rsidRDefault="00D01ABF" w:rsidP="00892CC6">
      <w:pPr>
        <w:spacing w:line="276" w:lineRule="auto"/>
        <w:ind w:left="720" w:hanging="720"/>
        <w:rPr>
          <w:rFonts w:ascii="Baskerville" w:hAnsi="Baskerville"/>
        </w:rPr>
      </w:pPr>
      <w:r w:rsidRPr="00D01ABF">
        <w:rPr>
          <w:rFonts w:ascii="Baskerville" w:hAnsi="Baskerville"/>
        </w:rPr>
        <w:t xml:space="preserve">M. Adler (ed) </w:t>
      </w:r>
      <w:r w:rsidR="009A641B">
        <w:rPr>
          <w:rFonts w:ascii="Baskerville" w:hAnsi="Baskerville"/>
          <w:i/>
        </w:rPr>
        <w:t>Administrative Justice in Co</w:t>
      </w:r>
      <w:r w:rsidRPr="00D01ABF">
        <w:rPr>
          <w:rFonts w:ascii="Baskerville" w:hAnsi="Baskerville"/>
          <w:i/>
        </w:rPr>
        <w:t>ntext</w:t>
      </w:r>
      <w:r w:rsidRPr="00D01ABF">
        <w:rPr>
          <w:rFonts w:ascii="Baskerville" w:hAnsi="Baskerville"/>
        </w:rPr>
        <w:t xml:space="preserve"> (Oxford: Hart Publishing, 2010)</w:t>
      </w:r>
    </w:p>
    <w:p w14:paraId="2E47534B" w14:textId="718B2F1E" w:rsidR="00D01ABF" w:rsidRPr="00D01ABF" w:rsidRDefault="00D01ABF" w:rsidP="00892CC6">
      <w:pPr>
        <w:spacing w:line="276" w:lineRule="auto"/>
        <w:ind w:left="720" w:hanging="720"/>
        <w:rPr>
          <w:rFonts w:ascii="Baskerville" w:hAnsi="Baskerville" w:cstheme="minorHAnsi"/>
        </w:rPr>
      </w:pPr>
      <w:r>
        <w:rPr>
          <w:rFonts w:ascii="Baskerville" w:hAnsi="Baskerville"/>
        </w:rPr>
        <w:t>M Adler, ‘</w:t>
      </w:r>
      <w:r w:rsidRPr="00D01ABF">
        <w:rPr>
          <w:rFonts w:ascii="Baskerville" w:hAnsi="Baskerville"/>
        </w:rPr>
        <w:t>Understanding and A</w:t>
      </w:r>
      <w:r>
        <w:rPr>
          <w:rFonts w:ascii="Baskerville" w:hAnsi="Baskerville"/>
        </w:rPr>
        <w:t>nalysing Administrative Justice in M</w:t>
      </w:r>
      <w:r w:rsidRPr="00D01ABF">
        <w:rPr>
          <w:rFonts w:ascii="Baskerville" w:hAnsi="Baskerville"/>
        </w:rPr>
        <w:t xml:space="preserve"> Adler (ed) </w:t>
      </w:r>
      <w:r w:rsidR="009A641B">
        <w:rPr>
          <w:rFonts w:ascii="Baskerville" w:hAnsi="Baskerville"/>
          <w:i/>
        </w:rPr>
        <w:t>Administrative Justice in Co</w:t>
      </w:r>
      <w:r w:rsidRPr="00D01ABF">
        <w:rPr>
          <w:rFonts w:ascii="Baskerville" w:hAnsi="Baskerville"/>
          <w:i/>
        </w:rPr>
        <w:t>ntext</w:t>
      </w:r>
      <w:r w:rsidRPr="00D01ABF">
        <w:rPr>
          <w:rFonts w:ascii="Baskerville" w:hAnsi="Baskerville"/>
        </w:rPr>
        <w:t xml:space="preserve"> (Oxford: Hart Publishing, 2010)</w:t>
      </w:r>
    </w:p>
    <w:p w14:paraId="7D4EDEEF" w14:textId="35DF2364" w:rsidR="00BD7D12" w:rsidRPr="00BD7D12" w:rsidRDefault="00BD7D12" w:rsidP="004A6D61">
      <w:pPr>
        <w:spacing w:line="276" w:lineRule="auto"/>
        <w:ind w:left="720" w:hanging="720"/>
        <w:rPr>
          <w:rFonts w:ascii="Baskerville" w:hAnsi="Baskerville" w:cstheme="minorHAnsi"/>
        </w:rPr>
      </w:pPr>
      <w:r>
        <w:rPr>
          <w:rFonts w:ascii="Baskerville" w:hAnsi="Baskerville" w:cstheme="minorHAnsi"/>
        </w:rPr>
        <w:t>TRS All</w:t>
      </w:r>
      <w:r w:rsidR="004A6D61">
        <w:rPr>
          <w:rFonts w:ascii="Baskerville" w:hAnsi="Baskerville" w:cstheme="minorHAnsi"/>
        </w:rPr>
        <w:t>a</w:t>
      </w:r>
      <w:r>
        <w:rPr>
          <w:rFonts w:ascii="Baskerville" w:hAnsi="Baskerville" w:cstheme="minorHAnsi"/>
        </w:rPr>
        <w:t xml:space="preserve">n, ‘Questions of Legality: Form and Substance in British Constitutionalism’ (2011) </w:t>
      </w:r>
      <w:r>
        <w:rPr>
          <w:rFonts w:ascii="Baskerville" w:hAnsi="Baskerville" w:cstheme="minorHAnsi"/>
          <w:i/>
        </w:rPr>
        <w:t>International Journal of Constitutional Law</w:t>
      </w:r>
      <w:r>
        <w:rPr>
          <w:rFonts w:ascii="Baskerville" w:hAnsi="Baskerville" w:cstheme="minorHAnsi"/>
        </w:rPr>
        <w:t xml:space="preserve"> 9(1): 155-162</w:t>
      </w:r>
    </w:p>
    <w:p w14:paraId="4F707D5D" w14:textId="2547E22F" w:rsidR="007C7AB2" w:rsidRDefault="007C7AB2" w:rsidP="00316240">
      <w:pPr>
        <w:spacing w:line="276" w:lineRule="auto"/>
        <w:ind w:left="720" w:hanging="720"/>
        <w:rPr>
          <w:rFonts w:ascii="Baskerville" w:hAnsi="Baskerville" w:cstheme="minorHAnsi"/>
        </w:rPr>
      </w:pPr>
      <w:r>
        <w:rPr>
          <w:rFonts w:ascii="Baskerville" w:hAnsi="Baskerville" w:cstheme="minorHAnsi"/>
        </w:rPr>
        <w:t>TT Arvind and J Steele, ‘</w:t>
      </w:r>
      <w:r w:rsidR="00316240">
        <w:rPr>
          <w:rFonts w:ascii="Baskerville" w:hAnsi="Baskerville" w:cstheme="minorHAnsi"/>
        </w:rPr>
        <w:t xml:space="preserve">Remapping Contract Law: Four Perceptions of Markets’ </w:t>
      </w:r>
      <w:r>
        <w:rPr>
          <w:rFonts w:ascii="Baskerville" w:hAnsi="Baskerville" w:cstheme="minorHAnsi"/>
        </w:rPr>
        <w:t xml:space="preserve">in TT Arvind and J Steele (eds) </w:t>
      </w:r>
      <w:r>
        <w:rPr>
          <w:rFonts w:ascii="Baskerville" w:hAnsi="Baskerville" w:cstheme="minorHAnsi"/>
          <w:i/>
        </w:rPr>
        <w:t>Contract Law and the Legislature</w:t>
      </w:r>
      <w:r>
        <w:rPr>
          <w:rFonts w:ascii="Baskerville" w:hAnsi="Baskerville" w:cstheme="minorHAnsi"/>
        </w:rPr>
        <w:t xml:space="preserve"> (Oxford: Hart Publishing, 2020)</w:t>
      </w:r>
    </w:p>
    <w:p w14:paraId="487C4187" w14:textId="4D521637" w:rsidR="00686B8D" w:rsidRPr="00686B8D" w:rsidRDefault="00686B8D" w:rsidP="00892CC6">
      <w:pPr>
        <w:spacing w:line="276" w:lineRule="auto"/>
        <w:ind w:left="720" w:hanging="720"/>
        <w:rPr>
          <w:rFonts w:ascii="Baskerville" w:hAnsi="Baskerville" w:cstheme="minorHAnsi"/>
        </w:rPr>
      </w:pPr>
      <w:r>
        <w:rPr>
          <w:rFonts w:ascii="Baskerville" w:hAnsi="Baskerville" w:cstheme="minorHAnsi"/>
        </w:rPr>
        <w:t xml:space="preserve">TT Arvind and L </w:t>
      </w:r>
      <w:proofErr w:type="spellStart"/>
      <w:r>
        <w:rPr>
          <w:rFonts w:ascii="Baskerville" w:hAnsi="Baskerville" w:cstheme="minorHAnsi"/>
        </w:rPr>
        <w:t>Stirton</w:t>
      </w:r>
      <w:proofErr w:type="spellEnd"/>
      <w:r>
        <w:rPr>
          <w:rFonts w:ascii="Baskerville" w:hAnsi="Baskerville" w:cstheme="minorHAnsi"/>
        </w:rPr>
        <w:t xml:space="preserve">, ‘The Curious Origins of Judicial Review’ (2017) </w:t>
      </w:r>
      <w:r>
        <w:rPr>
          <w:rFonts w:ascii="Baskerville" w:hAnsi="Baskerville" w:cstheme="minorHAnsi"/>
          <w:i/>
        </w:rPr>
        <w:t>Law Quarterly Review</w:t>
      </w:r>
      <w:r>
        <w:rPr>
          <w:rFonts w:ascii="Baskerville" w:hAnsi="Baskerville" w:cstheme="minorHAnsi"/>
        </w:rPr>
        <w:t xml:space="preserve"> 133: 91-117</w:t>
      </w:r>
    </w:p>
    <w:p w14:paraId="07E405CA" w14:textId="5C399A61" w:rsidR="00892CC6" w:rsidRDefault="00892CC6" w:rsidP="00892CC6">
      <w:pPr>
        <w:spacing w:line="276" w:lineRule="auto"/>
        <w:ind w:left="720" w:hanging="720"/>
        <w:rPr>
          <w:rFonts w:ascii="Baskerville" w:hAnsi="Baskerville" w:cstheme="minorHAnsi"/>
        </w:rPr>
      </w:pPr>
      <w:r>
        <w:rPr>
          <w:rFonts w:ascii="Baskerville" w:hAnsi="Baskerville" w:cstheme="minorHAnsi"/>
        </w:rPr>
        <w:t xml:space="preserve">R </w:t>
      </w:r>
      <w:proofErr w:type="spellStart"/>
      <w:r>
        <w:rPr>
          <w:rFonts w:ascii="Baskerville" w:hAnsi="Baskerville" w:cstheme="minorHAnsi"/>
        </w:rPr>
        <w:t>Banakar</w:t>
      </w:r>
      <w:proofErr w:type="spellEnd"/>
      <w:r>
        <w:rPr>
          <w:rFonts w:ascii="Baskerville" w:hAnsi="Baskerville" w:cstheme="minorHAnsi"/>
        </w:rPr>
        <w:t xml:space="preserve"> and M Travers, ‘Introduction’ in R </w:t>
      </w:r>
      <w:proofErr w:type="spellStart"/>
      <w:r>
        <w:rPr>
          <w:rFonts w:ascii="Baskerville" w:hAnsi="Baskerville" w:cstheme="minorHAnsi"/>
        </w:rPr>
        <w:t>Banakar</w:t>
      </w:r>
      <w:proofErr w:type="spellEnd"/>
      <w:r>
        <w:rPr>
          <w:rFonts w:ascii="Baskerville" w:hAnsi="Baskerville" w:cstheme="minorHAnsi"/>
        </w:rPr>
        <w:t xml:space="preserve"> and M Travers (eds) </w:t>
      </w:r>
      <w:r>
        <w:rPr>
          <w:rFonts w:ascii="Baskerville" w:hAnsi="Baskerville" w:cstheme="minorHAnsi"/>
          <w:i/>
        </w:rPr>
        <w:t>Law and Social Theory</w:t>
      </w:r>
      <w:r>
        <w:rPr>
          <w:rFonts w:ascii="Baskerville" w:hAnsi="Baskerville" w:cstheme="minorHAnsi"/>
        </w:rPr>
        <w:t xml:space="preserve"> (Oxford: Hart Publishing, 2013)</w:t>
      </w:r>
    </w:p>
    <w:p w14:paraId="02C97026" w14:textId="45A39FD1" w:rsidR="004A6D61" w:rsidRDefault="004A6D61" w:rsidP="00892CC6">
      <w:pPr>
        <w:spacing w:line="276" w:lineRule="auto"/>
        <w:ind w:left="720" w:hanging="720"/>
        <w:rPr>
          <w:rFonts w:ascii="Baskerville" w:hAnsi="Baskerville" w:cstheme="minorHAnsi"/>
        </w:rPr>
      </w:pPr>
      <w:r>
        <w:rPr>
          <w:rFonts w:ascii="Baskerville" w:hAnsi="Baskerville" w:cstheme="minorHAnsi"/>
        </w:rPr>
        <w:t xml:space="preserve">J Bentham, </w:t>
      </w:r>
      <w:r w:rsidR="00AE6990" w:rsidRPr="0009562D">
        <w:rPr>
          <w:rFonts w:ascii="Baskerville" w:hAnsi="Baskerville" w:cstheme="minorHAnsi"/>
          <w:i/>
          <w:iCs/>
        </w:rPr>
        <w:t>The Collected Works of Jeremy Bentham: Securities Against Misrule and Other Constitutional Writings for Tripoli and Greece</w:t>
      </w:r>
      <w:r w:rsidR="0009562D">
        <w:rPr>
          <w:rFonts w:ascii="Baskerville" w:hAnsi="Baskerville" w:cstheme="minorHAnsi"/>
        </w:rPr>
        <w:t xml:space="preserve"> (Oxford: Oxford University Press, 1990)</w:t>
      </w:r>
    </w:p>
    <w:p w14:paraId="09F3219B" w14:textId="121D1DB9" w:rsidR="00F217A3" w:rsidRPr="00F217A3" w:rsidRDefault="00F217A3" w:rsidP="00892CC6">
      <w:pPr>
        <w:spacing w:line="276" w:lineRule="auto"/>
        <w:ind w:left="720" w:hanging="720"/>
        <w:rPr>
          <w:rFonts w:ascii="Baskerville" w:hAnsi="Baskerville"/>
          <w:lang w:val="en-GB"/>
        </w:rPr>
      </w:pPr>
      <w:r>
        <w:rPr>
          <w:rFonts w:ascii="Baskerville" w:hAnsi="Baskerville"/>
          <w:lang w:val="en-GB"/>
        </w:rPr>
        <w:t xml:space="preserve">T Buck, R Kirkham and B Thompson, </w:t>
      </w:r>
      <w:r>
        <w:rPr>
          <w:rFonts w:ascii="Baskerville" w:hAnsi="Baskerville"/>
          <w:i/>
          <w:lang w:val="en-GB"/>
        </w:rPr>
        <w:t xml:space="preserve">The Ombudsman Enterprise and </w:t>
      </w:r>
      <w:proofErr w:type="spellStart"/>
      <w:r>
        <w:rPr>
          <w:rFonts w:ascii="Baskerville" w:hAnsi="Baskerville"/>
          <w:i/>
          <w:lang w:val="en-GB"/>
        </w:rPr>
        <w:t>Adminstrative</w:t>
      </w:r>
      <w:proofErr w:type="spellEnd"/>
      <w:r>
        <w:rPr>
          <w:rFonts w:ascii="Baskerville" w:hAnsi="Baskerville"/>
          <w:i/>
          <w:lang w:val="en-GB"/>
        </w:rPr>
        <w:t xml:space="preserve"> Justice</w:t>
      </w:r>
      <w:r>
        <w:rPr>
          <w:rFonts w:ascii="Baskerville" w:hAnsi="Baskerville"/>
          <w:lang w:val="en-GB"/>
        </w:rPr>
        <w:t>, (Farnham: Ashgate, 2011)</w:t>
      </w:r>
    </w:p>
    <w:p w14:paraId="4EFC09EF" w14:textId="422B0AFE" w:rsidR="00FA4701" w:rsidRPr="00FA4701" w:rsidRDefault="00FA4701" w:rsidP="00892CC6">
      <w:pPr>
        <w:spacing w:line="276" w:lineRule="auto"/>
        <w:ind w:left="720" w:hanging="720"/>
        <w:rPr>
          <w:rFonts w:ascii="Baskerville" w:hAnsi="Baskerville"/>
          <w:lang w:val="en-GB"/>
        </w:rPr>
      </w:pPr>
      <w:r>
        <w:rPr>
          <w:rFonts w:ascii="Baskerville" w:hAnsi="Baskerville"/>
          <w:lang w:val="en-GB"/>
        </w:rPr>
        <w:t xml:space="preserve">P Cane, ‘Understanding Judicial Review and its Impact’ in M </w:t>
      </w:r>
      <w:proofErr w:type="spellStart"/>
      <w:r>
        <w:rPr>
          <w:rFonts w:ascii="Baskerville" w:hAnsi="Baskerville"/>
          <w:lang w:val="en-GB"/>
        </w:rPr>
        <w:t>Hertogh</w:t>
      </w:r>
      <w:proofErr w:type="spellEnd"/>
      <w:r>
        <w:rPr>
          <w:rFonts w:ascii="Baskerville" w:hAnsi="Baskerville"/>
          <w:lang w:val="en-GB"/>
        </w:rPr>
        <w:t xml:space="preserve"> and S Halliday (eds) </w:t>
      </w:r>
      <w:r>
        <w:rPr>
          <w:rFonts w:ascii="Baskerville" w:hAnsi="Baskerville"/>
          <w:i/>
          <w:lang w:val="en-GB"/>
        </w:rPr>
        <w:t>Judicial Review and Bureaucratic Impact: International and Interdisciplinary Perspectives</w:t>
      </w:r>
      <w:r>
        <w:rPr>
          <w:rFonts w:ascii="Baskerville" w:hAnsi="Baskerville"/>
          <w:lang w:val="en-GB"/>
        </w:rPr>
        <w:t xml:space="preserve"> (Cambridge: Cambridge University Press, 2004)</w:t>
      </w:r>
    </w:p>
    <w:p w14:paraId="546F3515" w14:textId="4B74154C" w:rsidR="00DA3029" w:rsidRPr="000F644D" w:rsidRDefault="00DA3029" w:rsidP="00892CC6">
      <w:pPr>
        <w:spacing w:line="276" w:lineRule="auto"/>
        <w:ind w:left="720" w:hanging="720"/>
        <w:rPr>
          <w:rFonts w:ascii="Baskerville" w:hAnsi="Baskerville"/>
          <w:lang w:val="en-GB"/>
        </w:rPr>
      </w:pPr>
      <w:r>
        <w:rPr>
          <w:rFonts w:ascii="Baskerville" w:hAnsi="Baskerville"/>
          <w:lang w:val="en-GB"/>
        </w:rPr>
        <w:t xml:space="preserve">PP Craig, ‘Judicial Power, the Judicial Power Project and the UK’ </w:t>
      </w:r>
      <w:r w:rsidR="000F644D">
        <w:rPr>
          <w:rFonts w:ascii="Baskerville" w:hAnsi="Baskerville"/>
          <w:lang w:val="en-GB"/>
        </w:rPr>
        <w:t xml:space="preserve">(2017) </w:t>
      </w:r>
      <w:r w:rsidR="000F644D">
        <w:rPr>
          <w:rFonts w:ascii="Baskerville" w:hAnsi="Baskerville"/>
          <w:i/>
          <w:lang w:val="en-GB"/>
        </w:rPr>
        <w:t>University of Queensland Law Journal</w:t>
      </w:r>
      <w:r w:rsidR="000F644D">
        <w:rPr>
          <w:rFonts w:ascii="Baskerville" w:hAnsi="Baskerville"/>
          <w:lang w:val="en-GB"/>
        </w:rPr>
        <w:t xml:space="preserve"> 36(2): 355-374</w:t>
      </w:r>
    </w:p>
    <w:p w14:paraId="0209FE4E" w14:textId="7AD2FA71" w:rsidR="00F217A3" w:rsidRPr="00F217A3" w:rsidRDefault="00F217A3" w:rsidP="00892CC6">
      <w:pPr>
        <w:spacing w:line="276" w:lineRule="auto"/>
        <w:ind w:left="720" w:hanging="720"/>
        <w:rPr>
          <w:rFonts w:ascii="Baskerville" w:hAnsi="Baskerville"/>
          <w:i/>
          <w:lang w:val="en-GB"/>
        </w:rPr>
      </w:pPr>
      <w:r>
        <w:rPr>
          <w:rFonts w:ascii="Baskerville" w:hAnsi="Baskerville"/>
          <w:lang w:val="en-GB"/>
        </w:rPr>
        <w:t xml:space="preserve">D Cowan and S Halliday, </w:t>
      </w:r>
      <w:r>
        <w:rPr>
          <w:rFonts w:ascii="Baskerville" w:hAnsi="Baskerville"/>
          <w:i/>
          <w:lang w:val="en-GB"/>
        </w:rPr>
        <w:t>The Appeal of Internal Review: Law, Administrative Justice and the (Non)Emergence of Disputes</w:t>
      </w:r>
    </w:p>
    <w:p w14:paraId="4DC35243" w14:textId="6FB7B0E0" w:rsidR="004715C4" w:rsidRDefault="004715C4" w:rsidP="004715C4">
      <w:pPr>
        <w:spacing w:line="276" w:lineRule="auto"/>
        <w:ind w:left="720" w:hanging="720"/>
        <w:rPr>
          <w:rFonts w:ascii="Baskerville" w:hAnsi="Baskerville" w:cstheme="minorHAnsi"/>
        </w:rPr>
      </w:pPr>
      <w:r>
        <w:rPr>
          <w:rFonts w:ascii="Baskerville" w:hAnsi="Baskerville" w:cstheme="minorHAnsi"/>
        </w:rPr>
        <w:t xml:space="preserve">A Denning, </w:t>
      </w:r>
      <w:r>
        <w:rPr>
          <w:rFonts w:ascii="Baskerville" w:hAnsi="Baskerville" w:cstheme="minorHAnsi"/>
          <w:i/>
          <w:iCs/>
        </w:rPr>
        <w:t>Fre</w:t>
      </w:r>
      <w:r w:rsidRPr="0009562D">
        <w:rPr>
          <w:rFonts w:ascii="Baskerville" w:hAnsi="Baskerville" w:cstheme="minorHAnsi"/>
          <w:i/>
          <w:iCs/>
        </w:rPr>
        <w:t>e</w:t>
      </w:r>
      <w:r>
        <w:rPr>
          <w:rFonts w:ascii="Baskerville" w:hAnsi="Baskerville" w:cstheme="minorHAnsi"/>
          <w:i/>
          <w:iCs/>
        </w:rPr>
        <w:t>dom under the Law</w:t>
      </w:r>
      <w:r>
        <w:rPr>
          <w:rFonts w:ascii="Baskerville" w:hAnsi="Baskerville" w:cstheme="minorHAnsi"/>
        </w:rPr>
        <w:t xml:space="preserve"> (London: Stevens &amp; Sons, 1990)</w:t>
      </w:r>
    </w:p>
    <w:p w14:paraId="1EC601BC" w14:textId="5937BA17" w:rsidR="00946FF2" w:rsidRDefault="00946FF2" w:rsidP="004715C4">
      <w:pPr>
        <w:spacing w:line="276" w:lineRule="auto"/>
        <w:ind w:left="720" w:hanging="720"/>
        <w:rPr>
          <w:rFonts w:ascii="Baskerville" w:hAnsi="Baskerville"/>
          <w:lang w:val="en-GB"/>
        </w:rPr>
      </w:pPr>
      <w:proofErr w:type="spellStart"/>
      <w:r>
        <w:rPr>
          <w:rFonts w:ascii="Baskerville" w:hAnsi="Baskerville"/>
          <w:lang w:val="en-GB"/>
        </w:rPr>
        <w:t>Difi</w:t>
      </w:r>
      <w:proofErr w:type="spellEnd"/>
      <w:r>
        <w:rPr>
          <w:rFonts w:ascii="Baskerville" w:hAnsi="Baskerville"/>
          <w:lang w:val="en-GB"/>
        </w:rPr>
        <w:t xml:space="preserve"> [Norwegian Directorate for Administration and IT], </w:t>
      </w:r>
      <w:proofErr w:type="spellStart"/>
      <w:r>
        <w:rPr>
          <w:rFonts w:ascii="Baskerville" w:hAnsi="Baskerville"/>
          <w:i/>
          <w:iCs/>
          <w:lang w:val="en-GB"/>
        </w:rPr>
        <w:t>Forvaltningsdomstoler</w:t>
      </w:r>
      <w:proofErr w:type="spellEnd"/>
      <w:r>
        <w:rPr>
          <w:rFonts w:ascii="Baskerville" w:hAnsi="Baskerville"/>
          <w:i/>
          <w:iCs/>
          <w:lang w:val="en-GB"/>
        </w:rPr>
        <w:t xml:space="preserve"> </w:t>
      </w:r>
      <w:proofErr w:type="spellStart"/>
      <w:r>
        <w:rPr>
          <w:rFonts w:ascii="Baskerville" w:hAnsi="Baskerville"/>
          <w:i/>
          <w:iCs/>
          <w:lang w:val="en-GB"/>
        </w:rPr>
        <w:t>i</w:t>
      </w:r>
      <w:proofErr w:type="spellEnd"/>
      <w:r>
        <w:rPr>
          <w:rFonts w:ascii="Baskerville" w:hAnsi="Baskerville"/>
          <w:i/>
          <w:iCs/>
          <w:lang w:val="en-GB"/>
        </w:rPr>
        <w:t xml:space="preserve"> Norge? </w:t>
      </w:r>
      <w:proofErr w:type="spellStart"/>
      <w:r>
        <w:rPr>
          <w:rFonts w:ascii="Baskerville" w:hAnsi="Baskerville"/>
          <w:i/>
          <w:iCs/>
          <w:lang w:val="en-GB"/>
        </w:rPr>
        <w:t>Kort</w:t>
      </w:r>
      <w:proofErr w:type="spellEnd"/>
      <w:r>
        <w:rPr>
          <w:rFonts w:ascii="Baskerville" w:hAnsi="Baskerville"/>
          <w:i/>
          <w:iCs/>
          <w:lang w:val="en-GB"/>
        </w:rPr>
        <w:t xml:space="preserve"> </w:t>
      </w:r>
      <w:proofErr w:type="spellStart"/>
      <w:r>
        <w:rPr>
          <w:rFonts w:ascii="Baskerville" w:hAnsi="Baskerville"/>
          <w:i/>
          <w:iCs/>
          <w:lang w:val="en-GB"/>
        </w:rPr>
        <w:t>gjennomgang</w:t>
      </w:r>
      <w:proofErr w:type="spellEnd"/>
      <w:r>
        <w:rPr>
          <w:rFonts w:ascii="Baskerville" w:hAnsi="Baskerville"/>
          <w:i/>
          <w:iCs/>
          <w:lang w:val="en-GB"/>
        </w:rPr>
        <w:t xml:space="preserve"> </w:t>
      </w:r>
      <w:proofErr w:type="spellStart"/>
      <w:r>
        <w:rPr>
          <w:rFonts w:ascii="Baskerville" w:hAnsi="Baskerville"/>
          <w:i/>
          <w:iCs/>
          <w:lang w:val="en-GB"/>
        </w:rPr>
        <w:t>av</w:t>
      </w:r>
      <w:proofErr w:type="spellEnd"/>
      <w:r>
        <w:rPr>
          <w:rFonts w:ascii="Baskerville" w:hAnsi="Baskerville"/>
          <w:i/>
          <w:iCs/>
          <w:lang w:val="en-GB"/>
        </w:rPr>
        <w:t xml:space="preserve"> </w:t>
      </w:r>
      <w:proofErr w:type="spellStart"/>
      <w:r>
        <w:rPr>
          <w:rFonts w:ascii="Baskerville" w:hAnsi="Baskerville"/>
          <w:i/>
          <w:iCs/>
          <w:lang w:val="en-GB"/>
        </w:rPr>
        <w:t>begreper</w:t>
      </w:r>
      <w:proofErr w:type="spellEnd"/>
      <w:r>
        <w:rPr>
          <w:rFonts w:ascii="Baskerville" w:hAnsi="Baskerville"/>
          <w:i/>
          <w:iCs/>
          <w:lang w:val="en-GB"/>
        </w:rPr>
        <w:t xml:space="preserve"> </w:t>
      </w:r>
      <w:proofErr w:type="spellStart"/>
      <w:r>
        <w:rPr>
          <w:rFonts w:ascii="Baskerville" w:hAnsi="Baskerville"/>
          <w:i/>
          <w:iCs/>
          <w:lang w:val="en-GB"/>
        </w:rPr>
        <w:t>og</w:t>
      </w:r>
      <w:proofErr w:type="spellEnd"/>
      <w:r>
        <w:rPr>
          <w:rFonts w:ascii="Baskerville" w:hAnsi="Baskerville"/>
          <w:i/>
          <w:iCs/>
          <w:lang w:val="en-GB"/>
        </w:rPr>
        <w:t xml:space="preserve"> </w:t>
      </w:r>
      <w:proofErr w:type="spellStart"/>
      <w:r>
        <w:rPr>
          <w:rFonts w:ascii="Baskerville" w:hAnsi="Baskerville"/>
          <w:i/>
          <w:iCs/>
          <w:lang w:val="en-GB"/>
        </w:rPr>
        <w:t>synspunkter</w:t>
      </w:r>
      <w:proofErr w:type="spellEnd"/>
      <w:r>
        <w:rPr>
          <w:rFonts w:ascii="Baskerville" w:hAnsi="Baskerville"/>
          <w:lang w:val="en-GB"/>
        </w:rPr>
        <w:t xml:space="preserve"> [‘Administrative courts in Norway? A short overview of concepts and perspectives], </w:t>
      </w:r>
      <w:proofErr w:type="spellStart"/>
      <w:r>
        <w:rPr>
          <w:rFonts w:ascii="Baskerville" w:hAnsi="Baskerville"/>
          <w:lang w:val="en-GB"/>
        </w:rPr>
        <w:t>Difi-notat</w:t>
      </w:r>
      <w:proofErr w:type="spellEnd"/>
      <w:r>
        <w:rPr>
          <w:rFonts w:ascii="Baskerville" w:hAnsi="Baskerville"/>
          <w:lang w:val="en-GB"/>
        </w:rPr>
        <w:t xml:space="preserve"> 2013:3 (20 January 2014)</w:t>
      </w:r>
    </w:p>
    <w:p w14:paraId="0ADEABD4" w14:textId="2D3D5606" w:rsidR="007C7AB2" w:rsidRPr="007C7AB2" w:rsidRDefault="007C7AB2" w:rsidP="00946FF2">
      <w:pPr>
        <w:spacing w:line="276" w:lineRule="auto"/>
        <w:ind w:left="720" w:hanging="720"/>
        <w:rPr>
          <w:rFonts w:ascii="Baskerville" w:hAnsi="Baskerville"/>
          <w:lang w:val="en-GB"/>
        </w:rPr>
      </w:pPr>
      <w:r>
        <w:rPr>
          <w:rFonts w:ascii="Baskerville" w:hAnsi="Baskerville"/>
          <w:lang w:val="en-GB"/>
        </w:rPr>
        <w:t xml:space="preserve">M Douglas, ‘Introduction to Grid-Group Analysis’ in M Douglas (ed) </w:t>
      </w:r>
      <w:r>
        <w:rPr>
          <w:rFonts w:ascii="Baskerville" w:hAnsi="Baskerville"/>
          <w:i/>
          <w:lang w:val="en-GB"/>
        </w:rPr>
        <w:t>Essays in the Sociology of Perception</w:t>
      </w:r>
      <w:r>
        <w:rPr>
          <w:rFonts w:ascii="Baskerville" w:hAnsi="Baskerville"/>
          <w:lang w:val="en-GB"/>
        </w:rPr>
        <w:t xml:space="preserve"> (Abingdon: Routledge and Kegan Paul, 1982)</w:t>
      </w:r>
    </w:p>
    <w:p w14:paraId="01A37DC6" w14:textId="28E46E41" w:rsidR="00DE4C1B" w:rsidRPr="00DE4C1B" w:rsidRDefault="00DE4C1B" w:rsidP="00892CC6">
      <w:pPr>
        <w:spacing w:line="276" w:lineRule="auto"/>
        <w:ind w:left="720" w:hanging="720"/>
        <w:rPr>
          <w:rFonts w:ascii="Baskerville" w:hAnsi="Baskerville" w:cstheme="minorHAnsi"/>
        </w:rPr>
      </w:pPr>
      <w:r w:rsidRPr="00DE4C1B">
        <w:rPr>
          <w:rFonts w:ascii="Baskerville" w:hAnsi="Baskerville"/>
          <w:lang w:val="en-GB"/>
        </w:rPr>
        <w:t xml:space="preserve">T Endicott, ‘Proportionality and Incommensurability’ in </w:t>
      </w:r>
      <w:r w:rsidRPr="00DE4C1B">
        <w:rPr>
          <w:rFonts w:ascii="Baskerville" w:hAnsi="Baskerville" w:cs="TimesNewRomanPSMT"/>
        </w:rPr>
        <w:t xml:space="preserve">Grant </w:t>
      </w:r>
      <w:proofErr w:type="spellStart"/>
      <w:r w:rsidRPr="00DE4C1B">
        <w:rPr>
          <w:rFonts w:ascii="Baskerville" w:hAnsi="Baskerville" w:cs="TimesNewRomanPSMT"/>
        </w:rPr>
        <w:t>Huscroft</w:t>
      </w:r>
      <w:proofErr w:type="spellEnd"/>
      <w:r w:rsidRPr="00DE4C1B">
        <w:rPr>
          <w:rFonts w:ascii="Baskerville" w:hAnsi="Baskerville" w:cs="TimesNewRomanPSMT"/>
        </w:rPr>
        <w:t xml:space="preserve">, Bradley W. Miller and Gregoire Webber (eds), </w:t>
      </w:r>
      <w:r w:rsidRPr="00DE4C1B">
        <w:rPr>
          <w:rFonts w:ascii="Baskerville" w:hAnsi="Baskerville"/>
          <w:i/>
          <w:iCs/>
        </w:rPr>
        <w:t xml:space="preserve">Proportionality and the Rule of Law: Rights, Justification, Reasoning </w:t>
      </w:r>
      <w:r w:rsidRPr="00DE4C1B">
        <w:rPr>
          <w:rFonts w:ascii="Baskerville" w:hAnsi="Baskerville" w:cs="TimesNewRomanPSMT"/>
        </w:rPr>
        <w:t>(Cambridge University Press, 2014) pp 311-342</w:t>
      </w:r>
    </w:p>
    <w:p w14:paraId="4A6883A5" w14:textId="3D3045A2" w:rsidR="00786CC3" w:rsidRDefault="00786CC3" w:rsidP="00892CC6">
      <w:pPr>
        <w:spacing w:line="276" w:lineRule="auto"/>
        <w:ind w:left="720" w:hanging="720"/>
        <w:rPr>
          <w:rFonts w:ascii="Baskerville" w:hAnsi="Baskerville"/>
          <w:lang w:val="en-GB"/>
        </w:rPr>
      </w:pPr>
      <w:r>
        <w:rPr>
          <w:rFonts w:ascii="Baskerville" w:hAnsi="Baskerville" w:cstheme="minorHAnsi"/>
        </w:rPr>
        <w:lastRenderedPageBreak/>
        <w:t xml:space="preserve">M Feeley, ‘Implementing Court Orders in the United States: Judges as Executives” in </w:t>
      </w:r>
      <w:r>
        <w:rPr>
          <w:rFonts w:ascii="Baskerville" w:hAnsi="Baskerville"/>
          <w:lang w:val="en-GB"/>
        </w:rPr>
        <w:t xml:space="preserve">M </w:t>
      </w:r>
      <w:proofErr w:type="spellStart"/>
      <w:r>
        <w:rPr>
          <w:rFonts w:ascii="Baskerville" w:hAnsi="Baskerville"/>
          <w:lang w:val="en-GB"/>
        </w:rPr>
        <w:t>Hertogh</w:t>
      </w:r>
      <w:proofErr w:type="spellEnd"/>
      <w:r>
        <w:rPr>
          <w:rFonts w:ascii="Baskerville" w:hAnsi="Baskerville"/>
          <w:lang w:val="en-GB"/>
        </w:rPr>
        <w:t xml:space="preserve"> and S Halliday (eds) </w:t>
      </w:r>
      <w:r>
        <w:rPr>
          <w:rFonts w:ascii="Baskerville" w:hAnsi="Baskerville"/>
          <w:i/>
          <w:lang w:val="en-GB"/>
        </w:rPr>
        <w:t>Judicial Review and Bureaucratic Impact: International and Interdisciplinary Perspectives</w:t>
      </w:r>
      <w:r>
        <w:rPr>
          <w:rFonts w:ascii="Baskerville" w:hAnsi="Baskerville"/>
          <w:lang w:val="en-GB"/>
        </w:rPr>
        <w:t xml:space="preserve"> (Cambridge: Cambridge University Press, 2004)</w:t>
      </w:r>
    </w:p>
    <w:p w14:paraId="19DB7F72" w14:textId="4CEDFE33" w:rsidR="00445102" w:rsidRDefault="00445102" w:rsidP="00892CC6">
      <w:pPr>
        <w:spacing w:line="276" w:lineRule="auto"/>
        <w:ind w:left="720" w:hanging="720"/>
        <w:rPr>
          <w:rFonts w:ascii="Baskerville" w:hAnsi="Baskerville" w:cstheme="minorHAnsi"/>
        </w:rPr>
      </w:pPr>
      <w:r>
        <w:rPr>
          <w:rFonts w:ascii="Baskerville" w:hAnsi="Baskerville" w:cstheme="minorHAnsi"/>
        </w:rPr>
        <w:t>LL Fuller, ‘The Forms and Limits of Adjudication’ (1978) 92 Harvard LR 353.</w:t>
      </w:r>
    </w:p>
    <w:p w14:paraId="290F6D74" w14:textId="0EEF4FE3" w:rsidR="00054F17" w:rsidRPr="00054F17" w:rsidRDefault="00054F17" w:rsidP="00892CC6">
      <w:pPr>
        <w:spacing w:line="276" w:lineRule="auto"/>
        <w:ind w:left="720" w:hanging="720"/>
        <w:rPr>
          <w:rFonts w:ascii="Baskerville" w:hAnsi="Baskerville" w:cstheme="minorHAnsi"/>
        </w:rPr>
      </w:pPr>
      <w:r>
        <w:rPr>
          <w:rFonts w:ascii="Baskerville" w:hAnsi="Baskerville" w:cstheme="minorHAnsi"/>
        </w:rPr>
        <w:t xml:space="preserve">D Galligan, </w:t>
      </w:r>
      <w:r>
        <w:rPr>
          <w:rFonts w:ascii="Baskerville" w:hAnsi="Baskerville" w:cstheme="minorHAnsi"/>
          <w:i/>
        </w:rPr>
        <w:t>Due Process and Fair Procedures: A Study of Administrative Procedures</w:t>
      </w:r>
      <w:r>
        <w:rPr>
          <w:rFonts w:ascii="Baskerville" w:hAnsi="Baskerville" w:cstheme="minorHAnsi"/>
        </w:rPr>
        <w:t xml:space="preserve"> (Oxford: Oxford University Press)</w:t>
      </w:r>
    </w:p>
    <w:p w14:paraId="5E66867C" w14:textId="2253DDFA" w:rsidR="0066286A" w:rsidRPr="0066286A" w:rsidRDefault="0066286A" w:rsidP="00892CC6">
      <w:pPr>
        <w:spacing w:line="276" w:lineRule="auto"/>
        <w:ind w:left="720" w:hanging="720"/>
        <w:rPr>
          <w:rFonts w:ascii="Baskerville" w:hAnsi="Baskerville" w:cstheme="minorHAnsi"/>
        </w:rPr>
      </w:pPr>
      <w:r>
        <w:rPr>
          <w:rFonts w:ascii="Baskerville" w:hAnsi="Baskerville" w:cstheme="minorHAnsi"/>
        </w:rPr>
        <w:t xml:space="preserve">H </w:t>
      </w:r>
      <w:proofErr w:type="spellStart"/>
      <w:r>
        <w:rPr>
          <w:rFonts w:ascii="Baskerville" w:hAnsi="Baskerville" w:cstheme="minorHAnsi"/>
        </w:rPr>
        <w:t>Genn</w:t>
      </w:r>
      <w:proofErr w:type="spellEnd"/>
      <w:r>
        <w:rPr>
          <w:rFonts w:ascii="Baskerville" w:hAnsi="Baskerville" w:cstheme="minorHAnsi"/>
        </w:rPr>
        <w:t xml:space="preserve">, ‘Tribunal Review of Administrative Decision-Making’ in G Richardson and H </w:t>
      </w:r>
      <w:proofErr w:type="spellStart"/>
      <w:r>
        <w:rPr>
          <w:rFonts w:ascii="Baskerville" w:hAnsi="Baskerville" w:cstheme="minorHAnsi"/>
        </w:rPr>
        <w:t>Genn</w:t>
      </w:r>
      <w:proofErr w:type="spellEnd"/>
      <w:r>
        <w:rPr>
          <w:rFonts w:ascii="Baskerville" w:hAnsi="Baskerville" w:cstheme="minorHAnsi"/>
        </w:rPr>
        <w:t xml:space="preserve"> (eds) </w:t>
      </w:r>
      <w:r>
        <w:rPr>
          <w:rFonts w:ascii="Baskerville" w:hAnsi="Baskerville" w:cstheme="minorHAnsi"/>
          <w:i/>
        </w:rPr>
        <w:t>Administrative Law and Government Action</w:t>
      </w:r>
      <w:r>
        <w:rPr>
          <w:rFonts w:ascii="Baskerville" w:hAnsi="Baskerville" w:cstheme="minorHAnsi"/>
        </w:rPr>
        <w:t xml:space="preserve"> (Oxford: Oxford University Press, 1994)</w:t>
      </w:r>
    </w:p>
    <w:p w14:paraId="055644BC" w14:textId="5997A12F" w:rsidR="00054F17" w:rsidRDefault="00874250" w:rsidP="00054F17">
      <w:pPr>
        <w:spacing w:line="276" w:lineRule="auto"/>
        <w:ind w:left="720" w:hanging="720"/>
        <w:rPr>
          <w:rFonts w:ascii="Baskerville" w:hAnsi="Baskerville" w:cstheme="minorHAnsi"/>
        </w:rPr>
      </w:pPr>
      <w:r>
        <w:rPr>
          <w:rFonts w:ascii="Baskerville" w:hAnsi="Baskerville" w:cstheme="minorHAnsi"/>
        </w:rPr>
        <w:t xml:space="preserve">B Hadfield and E Weaver ‘Judicial Review in Perspective: An Investigation of Trends in the Use and Operation of Judicial Review in Northern Ireland’ </w:t>
      </w:r>
      <w:r>
        <w:rPr>
          <w:rFonts w:ascii="Baskerville" w:hAnsi="Baskerville" w:cstheme="minorHAnsi"/>
          <w:i/>
        </w:rPr>
        <w:t>Northern Ireland Legal Quarterly</w:t>
      </w:r>
      <w:r>
        <w:rPr>
          <w:rFonts w:ascii="Baskerville" w:hAnsi="Baskerville" w:cstheme="minorHAnsi"/>
        </w:rPr>
        <w:t>, 46, 113-145</w:t>
      </w:r>
    </w:p>
    <w:p w14:paraId="7CCD20EC" w14:textId="68A874B8" w:rsidR="00A023D7" w:rsidRDefault="00A023D7" w:rsidP="00892CC6">
      <w:pPr>
        <w:spacing w:line="276" w:lineRule="auto"/>
        <w:ind w:left="720" w:hanging="720"/>
        <w:rPr>
          <w:rFonts w:ascii="Baskerville" w:hAnsi="Baskerville" w:cstheme="minorHAnsi"/>
        </w:rPr>
      </w:pPr>
      <w:r>
        <w:rPr>
          <w:rFonts w:ascii="Baskerville" w:hAnsi="Baskerville" w:cstheme="minorHAnsi"/>
        </w:rPr>
        <w:t xml:space="preserve">S Halliday, </w:t>
      </w:r>
      <w:r>
        <w:rPr>
          <w:rFonts w:ascii="Baskerville" w:hAnsi="Baskerville" w:cstheme="minorHAnsi"/>
          <w:i/>
        </w:rPr>
        <w:t>Judicial Review and Compliance with Administrative Law</w:t>
      </w:r>
      <w:r>
        <w:rPr>
          <w:rFonts w:ascii="Baskerville" w:hAnsi="Baskerville" w:cstheme="minorHAnsi"/>
        </w:rPr>
        <w:t xml:space="preserve"> (Oxford: Hart Publishing, 2004)</w:t>
      </w:r>
    </w:p>
    <w:p w14:paraId="0AC87C24" w14:textId="7EE7A1E9" w:rsidR="004F0091" w:rsidRPr="004F0091" w:rsidRDefault="004F0091" w:rsidP="00892CC6">
      <w:pPr>
        <w:spacing w:line="276" w:lineRule="auto"/>
        <w:ind w:left="720" w:hanging="720"/>
        <w:rPr>
          <w:rFonts w:ascii="Baskerville" w:hAnsi="Baskerville" w:cstheme="minorHAnsi"/>
        </w:rPr>
      </w:pPr>
      <w:r>
        <w:rPr>
          <w:rFonts w:ascii="Baskerville" w:hAnsi="Baskerville" w:cstheme="minorHAnsi"/>
        </w:rPr>
        <w:t xml:space="preserve">S Halliday and B Morgan, ‘I Fought the Law and the Law Won? Legal Consciousness and the Critical Imagination’ (2013) </w:t>
      </w:r>
      <w:r>
        <w:rPr>
          <w:rFonts w:ascii="Baskerville" w:hAnsi="Baskerville" w:cstheme="minorHAnsi"/>
          <w:i/>
        </w:rPr>
        <w:t>Current Legal Problems</w:t>
      </w:r>
      <w:r>
        <w:rPr>
          <w:rFonts w:ascii="Baskerville" w:hAnsi="Baskerville" w:cstheme="minorHAnsi"/>
        </w:rPr>
        <w:t>, 66: 1-32</w:t>
      </w:r>
    </w:p>
    <w:p w14:paraId="58BD89CD" w14:textId="51BCF758" w:rsidR="00054F17" w:rsidRDefault="00054F17" w:rsidP="00316240">
      <w:pPr>
        <w:spacing w:line="276" w:lineRule="auto"/>
        <w:ind w:left="720" w:hanging="720"/>
        <w:rPr>
          <w:rFonts w:ascii="Baskerville" w:hAnsi="Baskerville"/>
        </w:rPr>
      </w:pPr>
      <w:r>
        <w:rPr>
          <w:rFonts w:ascii="Baskerville" w:hAnsi="Baskerville" w:cstheme="minorHAnsi"/>
        </w:rPr>
        <w:t xml:space="preserve">S Halliday and C Scott, ‘A Cultural Analysis of Administrative Justice’ in </w:t>
      </w:r>
      <w:r w:rsidRPr="00D01ABF">
        <w:rPr>
          <w:rFonts w:ascii="Baskerville" w:hAnsi="Baskerville"/>
        </w:rPr>
        <w:t xml:space="preserve">M. Adler (ed) </w:t>
      </w:r>
      <w:r w:rsidRPr="00D01ABF">
        <w:rPr>
          <w:rFonts w:ascii="Baskerville" w:hAnsi="Baskerville"/>
          <w:i/>
        </w:rPr>
        <w:t>Administrative Justice in Context</w:t>
      </w:r>
      <w:r w:rsidRPr="00D01ABF">
        <w:rPr>
          <w:rFonts w:ascii="Baskerville" w:hAnsi="Baskerville"/>
        </w:rPr>
        <w:t xml:space="preserve"> (Oxford: Hart Publishing, 2010)</w:t>
      </w:r>
    </w:p>
    <w:p w14:paraId="7C891450" w14:textId="21C1ED2A" w:rsidR="00316240" w:rsidRPr="00316240" w:rsidRDefault="00316240" w:rsidP="00892CC6">
      <w:pPr>
        <w:spacing w:line="276" w:lineRule="auto"/>
        <w:ind w:left="720" w:hanging="720"/>
        <w:rPr>
          <w:rFonts w:ascii="Baskerville" w:hAnsi="Baskerville" w:cstheme="minorHAnsi"/>
        </w:rPr>
      </w:pPr>
      <w:r>
        <w:rPr>
          <w:rFonts w:ascii="Baskerville" w:hAnsi="Baskerville" w:cstheme="minorHAnsi"/>
        </w:rPr>
        <w:t xml:space="preserve">C Harlow and R Rawlings, </w:t>
      </w:r>
      <w:r>
        <w:rPr>
          <w:rFonts w:ascii="Baskerville" w:hAnsi="Baskerville" w:cstheme="minorHAnsi"/>
          <w:i/>
          <w:iCs/>
        </w:rPr>
        <w:t>Law and Administration</w:t>
      </w:r>
      <w:r>
        <w:rPr>
          <w:rFonts w:ascii="Baskerville" w:hAnsi="Baskerville" w:cstheme="minorHAnsi"/>
        </w:rPr>
        <w:t xml:space="preserve"> (2</w:t>
      </w:r>
      <w:r w:rsidRPr="00316240">
        <w:rPr>
          <w:rFonts w:ascii="Baskerville" w:hAnsi="Baskerville" w:cstheme="minorHAnsi"/>
          <w:vertAlign w:val="superscript"/>
        </w:rPr>
        <w:t>nd</w:t>
      </w:r>
      <w:r>
        <w:rPr>
          <w:rFonts w:ascii="Baskerville" w:hAnsi="Baskerville" w:cstheme="minorHAnsi"/>
        </w:rPr>
        <w:t xml:space="preserve"> </w:t>
      </w:r>
      <w:proofErr w:type="spellStart"/>
      <w:r>
        <w:rPr>
          <w:rFonts w:ascii="Baskerville" w:hAnsi="Baskerville" w:cstheme="minorHAnsi"/>
        </w:rPr>
        <w:t>edn</w:t>
      </w:r>
      <w:proofErr w:type="spellEnd"/>
      <w:r>
        <w:rPr>
          <w:rFonts w:ascii="Baskerville" w:hAnsi="Baskerville" w:cstheme="minorHAnsi"/>
        </w:rPr>
        <w:t>, London: Butterworths, 1997).</w:t>
      </w:r>
    </w:p>
    <w:p w14:paraId="1EAF84B0" w14:textId="034BB26D" w:rsidR="004F4325" w:rsidRDefault="004F4325" w:rsidP="006E65DC">
      <w:pPr>
        <w:spacing w:line="276" w:lineRule="auto"/>
        <w:ind w:left="720" w:hanging="720"/>
        <w:rPr>
          <w:rFonts w:ascii="Baskerville" w:hAnsi="Baskerville"/>
        </w:rPr>
      </w:pPr>
      <w:r>
        <w:rPr>
          <w:rFonts w:ascii="Baskerville" w:hAnsi="Baskerville" w:cstheme="minorHAnsi"/>
        </w:rPr>
        <w:t>C Hood, ‘W</w:t>
      </w:r>
      <w:r w:rsidRPr="004F4325">
        <w:rPr>
          <w:rFonts w:ascii="Baskerville" w:hAnsi="Baskerville" w:cstheme="minorHAnsi"/>
        </w:rPr>
        <w:t xml:space="preserve">here </w:t>
      </w:r>
      <w:r>
        <w:rPr>
          <w:rFonts w:ascii="Baskerville" w:hAnsi="Baskerville" w:cstheme="minorHAnsi"/>
        </w:rPr>
        <w:t>E</w:t>
      </w:r>
      <w:r w:rsidRPr="004F4325">
        <w:rPr>
          <w:rFonts w:ascii="Baskerville" w:hAnsi="Baskerville" w:cstheme="minorHAnsi"/>
        </w:rPr>
        <w:t>xtremes meet:</w:t>
      </w:r>
      <w:r>
        <w:rPr>
          <w:rFonts w:ascii="Baskerville" w:hAnsi="Baskerville" w:cstheme="minorHAnsi"/>
        </w:rPr>
        <w:t xml:space="preserve"> </w:t>
      </w:r>
      <w:r w:rsidRPr="004F4325">
        <w:rPr>
          <w:rFonts w:ascii="Baskerville" w:hAnsi="Baskerville" w:cstheme="minorHAnsi"/>
        </w:rPr>
        <w:t>“</w:t>
      </w:r>
      <w:r>
        <w:rPr>
          <w:rFonts w:ascii="Baskerville" w:hAnsi="Baskerville" w:cstheme="minorHAnsi"/>
        </w:rPr>
        <w:t>SPRAT</w:t>
      </w:r>
      <w:r w:rsidRPr="004F4325">
        <w:rPr>
          <w:rFonts w:ascii="Baskerville" w:hAnsi="Baskerville" w:cstheme="minorHAnsi"/>
        </w:rPr>
        <w:t>” versus “</w:t>
      </w:r>
      <w:r>
        <w:rPr>
          <w:rFonts w:ascii="Baskerville" w:hAnsi="Baskerville" w:cstheme="minorHAnsi"/>
        </w:rPr>
        <w:t>SHARK</w:t>
      </w:r>
      <w:r w:rsidRPr="004F4325">
        <w:rPr>
          <w:rFonts w:ascii="Baskerville" w:hAnsi="Baskerville" w:cstheme="minorHAnsi"/>
        </w:rPr>
        <w:t>” in public risk management</w:t>
      </w:r>
      <w:r>
        <w:rPr>
          <w:rFonts w:ascii="Baskerville" w:hAnsi="Baskerville" w:cstheme="minorHAnsi"/>
        </w:rPr>
        <w:t xml:space="preserve">’, in </w:t>
      </w:r>
      <w:r>
        <w:rPr>
          <w:rFonts w:ascii="Baskerville" w:hAnsi="Baskerville"/>
        </w:rPr>
        <w:t>C Hood and DKC Jones</w:t>
      </w:r>
      <w:r w:rsidRPr="00D01ABF">
        <w:rPr>
          <w:rFonts w:ascii="Baskerville" w:hAnsi="Baskerville"/>
        </w:rPr>
        <w:t xml:space="preserve"> (ed</w:t>
      </w:r>
      <w:r>
        <w:rPr>
          <w:rFonts w:ascii="Baskerville" w:hAnsi="Baskerville"/>
        </w:rPr>
        <w:t>s</w:t>
      </w:r>
      <w:r w:rsidRPr="00D01ABF">
        <w:rPr>
          <w:rFonts w:ascii="Baskerville" w:hAnsi="Baskerville"/>
        </w:rPr>
        <w:t xml:space="preserve">) </w:t>
      </w:r>
      <w:r w:rsidRPr="004F4325">
        <w:rPr>
          <w:rFonts w:ascii="Baskerville" w:hAnsi="Baskerville"/>
          <w:i/>
        </w:rPr>
        <w:t xml:space="preserve">Accident </w:t>
      </w:r>
      <w:proofErr w:type="gramStart"/>
      <w:r w:rsidRPr="004F4325">
        <w:rPr>
          <w:rFonts w:ascii="Baskerville" w:hAnsi="Baskerville"/>
          <w:i/>
        </w:rPr>
        <w:t>And</w:t>
      </w:r>
      <w:proofErr w:type="gramEnd"/>
      <w:r w:rsidRPr="004F4325">
        <w:rPr>
          <w:rFonts w:ascii="Baskerville" w:hAnsi="Baskerville"/>
          <w:i/>
        </w:rPr>
        <w:t xml:space="preserve"> Design: Contemporary Debates On Risk Management</w:t>
      </w:r>
      <w:r w:rsidRPr="00D01ABF">
        <w:rPr>
          <w:rFonts w:ascii="Baskerville" w:hAnsi="Baskerville"/>
        </w:rPr>
        <w:t xml:space="preserve"> (</w:t>
      </w:r>
      <w:r w:rsidR="006E65DC">
        <w:rPr>
          <w:rFonts w:ascii="Baskerville" w:hAnsi="Baskerville"/>
        </w:rPr>
        <w:t>London</w:t>
      </w:r>
      <w:r w:rsidRPr="00D01ABF">
        <w:rPr>
          <w:rFonts w:ascii="Baskerville" w:hAnsi="Baskerville"/>
        </w:rPr>
        <w:t xml:space="preserve">: </w:t>
      </w:r>
      <w:r w:rsidR="006E65DC">
        <w:rPr>
          <w:rFonts w:ascii="Baskerville" w:hAnsi="Baskerville"/>
        </w:rPr>
        <w:t>UCL Press</w:t>
      </w:r>
      <w:r w:rsidRPr="00D01ABF">
        <w:rPr>
          <w:rFonts w:ascii="Baskerville" w:hAnsi="Baskerville"/>
        </w:rPr>
        <w:t xml:space="preserve">, </w:t>
      </w:r>
      <w:r w:rsidR="006E65DC">
        <w:rPr>
          <w:rFonts w:ascii="Baskerville" w:hAnsi="Baskerville"/>
        </w:rPr>
        <w:t>1996</w:t>
      </w:r>
      <w:r w:rsidRPr="00D01ABF">
        <w:rPr>
          <w:rFonts w:ascii="Baskerville" w:hAnsi="Baskerville"/>
        </w:rPr>
        <w:t>)</w:t>
      </w:r>
    </w:p>
    <w:p w14:paraId="09160DED" w14:textId="4E8215E0" w:rsidR="00054F17" w:rsidRDefault="00054F17" w:rsidP="00892CC6">
      <w:pPr>
        <w:spacing w:line="276" w:lineRule="auto"/>
        <w:ind w:left="720" w:hanging="720"/>
        <w:rPr>
          <w:rFonts w:ascii="Baskerville" w:hAnsi="Baskerville" w:cstheme="minorHAnsi"/>
        </w:rPr>
      </w:pPr>
      <w:r>
        <w:rPr>
          <w:rFonts w:ascii="Baskerville" w:hAnsi="Baskerville" w:cstheme="minorHAnsi"/>
        </w:rPr>
        <w:t xml:space="preserve">R Kagan, ‘The Organisation of Administrative Justice Systems: The Role of Political Mistrust’, in </w:t>
      </w:r>
      <w:r w:rsidRPr="00D01ABF">
        <w:rPr>
          <w:rFonts w:ascii="Baskerville" w:hAnsi="Baskerville"/>
        </w:rPr>
        <w:t xml:space="preserve">M. Adler (ed) </w:t>
      </w:r>
      <w:r w:rsidR="00FA4701">
        <w:rPr>
          <w:rFonts w:ascii="Baskerville" w:hAnsi="Baskerville"/>
          <w:i/>
        </w:rPr>
        <w:t>Administrative Justice in Co</w:t>
      </w:r>
      <w:r w:rsidRPr="00D01ABF">
        <w:rPr>
          <w:rFonts w:ascii="Baskerville" w:hAnsi="Baskerville"/>
          <w:i/>
        </w:rPr>
        <w:t>ntext</w:t>
      </w:r>
      <w:r w:rsidRPr="00D01ABF">
        <w:rPr>
          <w:rFonts w:ascii="Baskerville" w:hAnsi="Baskerville"/>
        </w:rPr>
        <w:t xml:space="preserve"> (Oxford: Hart Publishing, 2010)</w:t>
      </w:r>
    </w:p>
    <w:p w14:paraId="08517EC7" w14:textId="0B1C2F02" w:rsidR="00FA4701" w:rsidRPr="00FA4701" w:rsidRDefault="00FA4701" w:rsidP="00892CC6">
      <w:pPr>
        <w:spacing w:line="276" w:lineRule="auto"/>
        <w:ind w:left="720" w:hanging="720"/>
        <w:rPr>
          <w:rFonts w:ascii="Baskerville" w:hAnsi="Baskerville" w:cstheme="minorHAnsi"/>
        </w:rPr>
      </w:pPr>
      <w:r>
        <w:rPr>
          <w:rFonts w:ascii="Baskerville" w:hAnsi="Baskerville" w:cstheme="minorHAnsi"/>
        </w:rPr>
        <w:t xml:space="preserve">J King, </w:t>
      </w:r>
      <w:r>
        <w:rPr>
          <w:rFonts w:ascii="Baskerville" w:hAnsi="Baskerville" w:cstheme="minorHAnsi"/>
          <w:i/>
        </w:rPr>
        <w:t>‘</w:t>
      </w:r>
      <w:r>
        <w:rPr>
          <w:rFonts w:ascii="Baskerville" w:hAnsi="Baskerville" w:cstheme="minorHAnsi"/>
        </w:rPr>
        <w:t xml:space="preserve">Social Rights and Welfare Reform in Times of Economic Crisis’ in S </w:t>
      </w:r>
      <w:proofErr w:type="spellStart"/>
      <w:r>
        <w:rPr>
          <w:rFonts w:ascii="Baskerville" w:hAnsi="Baskerville" w:cstheme="minorHAnsi"/>
        </w:rPr>
        <w:t>Civitarese</w:t>
      </w:r>
      <w:proofErr w:type="spellEnd"/>
      <w:r>
        <w:rPr>
          <w:rFonts w:ascii="Baskerville" w:hAnsi="Baskerville" w:cstheme="minorHAnsi"/>
        </w:rPr>
        <w:t xml:space="preserve"> </w:t>
      </w:r>
      <w:proofErr w:type="spellStart"/>
      <w:r>
        <w:rPr>
          <w:rFonts w:ascii="Baskerville" w:hAnsi="Baskerville" w:cstheme="minorHAnsi"/>
        </w:rPr>
        <w:t>Matteucci</w:t>
      </w:r>
      <w:proofErr w:type="spellEnd"/>
      <w:r>
        <w:rPr>
          <w:rFonts w:ascii="Baskerville" w:hAnsi="Baskerville" w:cstheme="minorHAnsi"/>
        </w:rPr>
        <w:t xml:space="preserve"> and S Halliday (eds) </w:t>
      </w:r>
      <w:r>
        <w:rPr>
          <w:rFonts w:ascii="Baskerville" w:hAnsi="Baskerville" w:cstheme="minorHAnsi"/>
          <w:i/>
        </w:rPr>
        <w:t>Social Rights in Europe in an Age of Austerity</w:t>
      </w:r>
      <w:r>
        <w:rPr>
          <w:rFonts w:ascii="Baskerville" w:hAnsi="Baskerville" w:cstheme="minorHAnsi"/>
        </w:rPr>
        <w:t xml:space="preserve"> (Abingdon: Routledge, 2017)</w:t>
      </w:r>
    </w:p>
    <w:p w14:paraId="72FBBBE5" w14:textId="1360FCA2" w:rsidR="004F0091" w:rsidRPr="004F0091" w:rsidRDefault="004F0091" w:rsidP="00892CC6">
      <w:pPr>
        <w:spacing w:line="276" w:lineRule="auto"/>
        <w:ind w:left="720" w:hanging="720"/>
        <w:rPr>
          <w:rFonts w:ascii="Baskerville" w:hAnsi="Baskerville" w:cstheme="minorHAnsi"/>
        </w:rPr>
      </w:pPr>
      <w:r>
        <w:rPr>
          <w:rFonts w:ascii="Baskerville" w:hAnsi="Baskerville" w:cstheme="minorHAnsi"/>
        </w:rPr>
        <w:t xml:space="preserve">A </w:t>
      </w:r>
      <w:proofErr w:type="spellStart"/>
      <w:r>
        <w:rPr>
          <w:rFonts w:ascii="Baskerville" w:hAnsi="Baskerville" w:cstheme="minorHAnsi"/>
        </w:rPr>
        <w:t>Kronman</w:t>
      </w:r>
      <w:proofErr w:type="spellEnd"/>
      <w:r>
        <w:rPr>
          <w:rFonts w:ascii="Baskerville" w:hAnsi="Baskerville" w:cstheme="minorHAnsi"/>
        </w:rPr>
        <w:t xml:space="preserve">, </w:t>
      </w:r>
      <w:r>
        <w:rPr>
          <w:rFonts w:ascii="Baskerville" w:hAnsi="Baskerville" w:cstheme="minorHAnsi"/>
          <w:i/>
        </w:rPr>
        <w:t>Max Weber</w:t>
      </w:r>
      <w:r>
        <w:rPr>
          <w:rFonts w:ascii="Baskerville" w:hAnsi="Baskerville" w:cstheme="minorHAnsi"/>
        </w:rPr>
        <w:t xml:space="preserve"> (Stanford: Stanford University Press: 1983)</w:t>
      </w:r>
    </w:p>
    <w:p w14:paraId="3AAB100C" w14:textId="053000FD" w:rsidR="00FA4701" w:rsidRPr="00FA4701" w:rsidRDefault="00FA4701" w:rsidP="00892CC6">
      <w:pPr>
        <w:spacing w:line="276" w:lineRule="auto"/>
        <w:ind w:left="720" w:hanging="720"/>
        <w:rPr>
          <w:rFonts w:ascii="Baskerville" w:hAnsi="Baskerville" w:cstheme="minorHAnsi"/>
        </w:rPr>
      </w:pPr>
      <w:r>
        <w:rPr>
          <w:rFonts w:ascii="Baskerville" w:hAnsi="Baskerville" w:cstheme="minorHAnsi"/>
        </w:rPr>
        <w:t xml:space="preserve">J Laws, ‘The Constitution: Morals and Rights’ (1996) </w:t>
      </w:r>
      <w:r>
        <w:rPr>
          <w:rFonts w:ascii="Baskerville" w:hAnsi="Baskerville" w:cstheme="minorHAnsi"/>
          <w:i/>
        </w:rPr>
        <w:t>Public Law</w:t>
      </w:r>
      <w:r>
        <w:rPr>
          <w:rFonts w:ascii="Baskerville" w:hAnsi="Baskerville" w:cstheme="minorHAnsi"/>
        </w:rPr>
        <w:t>, 622-635</w:t>
      </w:r>
    </w:p>
    <w:p w14:paraId="51E2EE76" w14:textId="408787F3" w:rsidR="0043002A" w:rsidRDefault="0043002A" w:rsidP="0043002A">
      <w:pPr>
        <w:spacing w:line="276" w:lineRule="auto"/>
        <w:ind w:left="720" w:hanging="720"/>
        <w:rPr>
          <w:rFonts w:ascii="Baskerville" w:hAnsi="Baskerville" w:cstheme="minorHAnsi"/>
        </w:rPr>
      </w:pPr>
      <w:r>
        <w:rPr>
          <w:rFonts w:ascii="Baskerville" w:hAnsi="Baskerville" w:cstheme="minorHAnsi"/>
        </w:rPr>
        <w:t xml:space="preserve">K Llewellyn, ‘The normative, the legal, and the law-jobs: The problem of juristic method’ (1940) </w:t>
      </w:r>
      <w:r>
        <w:rPr>
          <w:rFonts w:ascii="Baskerville" w:hAnsi="Baskerville" w:cstheme="minorHAnsi"/>
          <w:i/>
        </w:rPr>
        <w:t>Yale Law Journal</w:t>
      </w:r>
      <w:r>
        <w:rPr>
          <w:rFonts w:ascii="Baskerville" w:hAnsi="Baskerville" w:cstheme="minorHAnsi"/>
        </w:rPr>
        <w:t xml:space="preserve"> 49: 1355-1400</w:t>
      </w:r>
    </w:p>
    <w:p w14:paraId="18A0A83D" w14:textId="2957548E" w:rsidR="00786CC3" w:rsidRDefault="008266C2" w:rsidP="008266C2">
      <w:pPr>
        <w:spacing w:line="276" w:lineRule="auto"/>
        <w:ind w:left="720" w:hanging="720"/>
        <w:rPr>
          <w:rFonts w:ascii="Baskerville" w:hAnsi="Baskerville" w:cstheme="minorHAnsi"/>
        </w:rPr>
      </w:pPr>
      <w:r>
        <w:rPr>
          <w:rFonts w:ascii="Baskerville" w:hAnsi="Baskerville" w:cstheme="minorHAnsi"/>
        </w:rPr>
        <w:t>M Lodge</w:t>
      </w:r>
      <w:r w:rsidRPr="000C2219">
        <w:rPr>
          <w:rFonts w:ascii="Baskerville" w:hAnsi="Baskerville" w:cstheme="minorHAnsi"/>
        </w:rPr>
        <w:t xml:space="preserve"> and </w:t>
      </w:r>
      <w:r>
        <w:rPr>
          <w:rFonts w:ascii="Baskerville" w:hAnsi="Baskerville" w:cstheme="minorHAnsi"/>
        </w:rPr>
        <w:t xml:space="preserve">L </w:t>
      </w:r>
      <w:proofErr w:type="spellStart"/>
      <w:r>
        <w:rPr>
          <w:rFonts w:ascii="Baskerville" w:hAnsi="Baskerville" w:cstheme="minorHAnsi"/>
        </w:rPr>
        <w:t>Stirton</w:t>
      </w:r>
      <w:proofErr w:type="spellEnd"/>
      <w:r>
        <w:rPr>
          <w:rFonts w:ascii="Baskerville" w:hAnsi="Baskerville" w:cstheme="minorHAnsi"/>
        </w:rPr>
        <w:t>,</w:t>
      </w:r>
      <w:r w:rsidRPr="000C2219">
        <w:rPr>
          <w:rFonts w:ascii="Baskerville" w:hAnsi="Baskerville" w:cstheme="minorHAnsi"/>
        </w:rPr>
        <w:t xml:space="preserve"> </w:t>
      </w:r>
      <w:r>
        <w:rPr>
          <w:rFonts w:ascii="Baskerville" w:hAnsi="Baskerville" w:cstheme="minorHAnsi"/>
        </w:rPr>
        <w:t>‘Accountability in the Regulatory State’</w:t>
      </w:r>
      <w:r w:rsidRPr="000C2219">
        <w:rPr>
          <w:rFonts w:ascii="Baskerville" w:hAnsi="Baskerville" w:cstheme="minorHAnsi"/>
        </w:rPr>
        <w:t xml:space="preserve"> in </w:t>
      </w:r>
      <w:r>
        <w:rPr>
          <w:rFonts w:ascii="Baskerville" w:hAnsi="Baskerville" w:cstheme="minorHAnsi"/>
        </w:rPr>
        <w:t xml:space="preserve">R Baldwin, M Cave, and M Lodge </w:t>
      </w:r>
      <w:r w:rsidRPr="000C2219">
        <w:rPr>
          <w:rFonts w:ascii="Baskerville" w:hAnsi="Baskerville" w:cstheme="minorHAnsi"/>
        </w:rPr>
        <w:t xml:space="preserve">(eds), </w:t>
      </w:r>
      <w:r>
        <w:rPr>
          <w:rFonts w:ascii="Baskerville" w:hAnsi="Baskerville" w:cstheme="minorHAnsi"/>
          <w:i/>
          <w:iCs/>
        </w:rPr>
        <w:t>The O</w:t>
      </w:r>
      <w:r w:rsidRPr="000C2219">
        <w:rPr>
          <w:rFonts w:ascii="Baskerville" w:hAnsi="Baskerville" w:cstheme="minorHAnsi"/>
          <w:i/>
          <w:iCs/>
        </w:rPr>
        <w:t>x</w:t>
      </w:r>
      <w:r>
        <w:rPr>
          <w:rFonts w:ascii="Baskerville" w:hAnsi="Baskerville" w:cstheme="minorHAnsi"/>
          <w:i/>
          <w:iCs/>
        </w:rPr>
        <w:t>ford Handbook of Regulation</w:t>
      </w:r>
      <w:r w:rsidRPr="000C2219">
        <w:rPr>
          <w:rFonts w:ascii="Baskerville" w:hAnsi="Baskerville" w:cstheme="minorHAnsi"/>
        </w:rPr>
        <w:t xml:space="preserve"> </w:t>
      </w:r>
      <w:r>
        <w:rPr>
          <w:rFonts w:ascii="Baskerville" w:hAnsi="Baskerville" w:cstheme="minorHAnsi"/>
        </w:rPr>
        <w:t>(Oxford</w:t>
      </w:r>
      <w:r w:rsidRPr="000C2219">
        <w:rPr>
          <w:rFonts w:ascii="Baskerville" w:hAnsi="Baskerville" w:cstheme="minorHAnsi"/>
        </w:rPr>
        <w:t xml:space="preserve">: </w:t>
      </w:r>
      <w:r>
        <w:rPr>
          <w:rFonts w:ascii="Baskerville" w:hAnsi="Baskerville" w:cstheme="minorHAnsi"/>
        </w:rPr>
        <w:t>Oxford</w:t>
      </w:r>
      <w:r w:rsidRPr="000C2219">
        <w:rPr>
          <w:rFonts w:ascii="Baskerville" w:hAnsi="Baskerville" w:cstheme="minorHAnsi"/>
        </w:rPr>
        <w:t xml:space="preserve"> University Press, </w:t>
      </w:r>
      <w:r>
        <w:rPr>
          <w:rFonts w:ascii="Baskerville" w:hAnsi="Baskerville" w:cstheme="minorHAnsi"/>
        </w:rPr>
        <w:t>2010)</w:t>
      </w:r>
      <w:r w:rsidDel="008266C2">
        <w:rPr>
          <w:rFonts w:ascii="Baskerville" w:hAnsi="Baskerville" w:cstheme="minorHAnsi"/>
        </w:rPr>
        <w:t xml:space="preserve"> </w:t>
      </w:r>
    </w:p>
    <w:p w14:paraId="6DA9AB6C" w14:textId="0F5A59A9" w:rsidR="00C22D85" w:rsidRPr="00786CC3" w:rsidRDefault="00C22D85" w:rsidP="00892CC6">
      <w:pPr>
        <w:spacing w:line="276" w:lineRule="auto"/>
        <w:ind w:left="720" w:hanging="720"/>
        <w:rPr>
          <w:rFonts w:ascii="Baskerville" w:hAnsi="Baskerville" w:cstheme="minorHAnsi"/>
        </w:rPr>
      </w:pPr>
      <w:r>
        <w:rPr>
          <w:rFonts w:ascii="Baskerville" w:hAnsi="Baskerville" w:cstheme="minorHAnsi"/>
        </w:rPr>
        <w:t xml:space="preserve">M Loughlin, </w:t>
      </w:r>
      <w:r w:rsidRPr="00C22D85">
        <w:rPr>
          <w:rFonts w:ascii="Baskerville" w:hAnsi="Baskerville" w:cstheme="minorHAnsi"/>
          <w:i/>
          <w:iCs/>
        </w:rPr>
        <w:t>Sword and Scales: An Examination of the Relationship between Law and Politics</w:t>
      </w:r>
      <w:r w:rsidRPr="00C22D85">
        <w:rPr>
          <w:rFonts w:ascii="Baskerville" w:hAnsi="Baskerville" w:cstheme="minorHAnsi"/>
        </w:rPr>
        <w:t xml:space="preserve"> (</w:t>
      </w:r>
      <w:r>
        <w:rPr>
          <w:rFonts w:ascii="Baskerville" w:hAnsi="Baskerville" w:cstheme="minorHAnsi"/>
        </w:rPr>
        <w:t xml:space="preserve">Oxford: </w:t>
      </w:r>
      <w:r w:rsidRPr="00C22D85">
        <w:rPr>
          <w:rFonts w:ascii="Baskerville" w:hAnsi="Baskerville" w:cstheme="minorHAnsi"/>
        </w:rPr>
        <w:t>Hart, 2000)</w:t>
      </w:r>
    </w:p>
    <w:p w14:paraId="09134397" w14:textId="4CDDA06C" w:rsidR="007C7AB2" w:rsidRDefault="007C7AB2" w:rsidP="00892CC6">
      <w:pPr>
        <w:spacing w:line="276" w:lineRule="auto"/>
        <w:ind w:left="720" w:hanging="720"/>
        <w:rPr>
          <w:rFonts w:ascii="Baskerville" w:hAnsi="Baskerville" w:cstheme="minorHAnsi"/>
        </w:rPr>
      </w:pPr>
      <w:r>
        <w:rPr>
          <w:rFonts w:ascii="Baskerville" w:hAnsi="Baskerville" w:cstheme="minorHAnsi"/>
        </w:rPr>
        <w:t xml:space="preserve">I Loveland </w:t>
      </w:r>
      <w:r>
        <w:rPr>
          <w:rFonts w:ascii="Baskerville" w:hAnsi="Baskerville" w:cstheme="minorHAnsi"/>
          <w:i/>
        </w:rPr>
        <w:t>Housing Homeless Persons</w:t>
      </w:r>
      <w:r>
        <w:rPr>
          <w:rFonts w:ascii="Baskerville" w:hAnsi="Baskerville" w:cstheme="minorHAnsi"/>
        </w:rPr>
        <w:t xml:space="preserve"> (Oxford: Oxford University Press, 1996)</w:t>
      </w:r>
    </w:p>
    <w:p w14:paraId="3F51945B" w14:textId="1653A5BA" w:rsidR="000C2219" w:rsidRPr="007C7AB2" w:rsidRDefault="000C2219" w:rsidP="000C2219">
      <w:pPr>
        <w:spacing w:line="276" w:lineRule="auto"/>
        <w:ind w:left="720" w:hanging="720"/>
        <w:rPr>
          <w:rFonts w:ascii="Baskerville" w:hAnsi="Baskerville" w:cstheme="minorHAnsi"/>
        </w:rPr>
      </w:pPr>
      <w:r>
        <w:rPr>
          <w:rFonts w:ascii="Baskerville" w:hAnsi="Baskerville" w:cstheme="minorHAnsi"/>
        </w:rPr>
        <w:t xml:space="preserve">J </w:t>
      </w:r>
      <w:r w:rsidRPr="000C2219">
        <w:rPr>
          <w:rFonts w:ascii="Baskerville" w:hAnsi="Baskerville" w:cstheme="minorHAnsi"/>
        </w:rPr>
        <w:t xml:space="preserve">Mahoney and </w:t>
      </w:r>
      <w:r>
        <w:rPr>
          <w:rFonts w:ascii="Baskerville" w:hAnsi="Baskerville" w:cstheme="minorHAnsi"/>
        </w:rPr>
        <w:t xml:space="preserve">K </w:t>
      </w:r>
      <w:proofErr w:type="spellStart"/>
      <w:r w:rsidRPr="000C2219">
        <w:rPr>
          <w:rFonts w:ascii="Baskerville" w:hAnsi="Baskerville" w:cstheme="minorHAnsi"/>
        </w:rPr>
        <w:t>Thelen</w:t>
      </w:r>
      <w:proofErr w:type="spellEnd"/>
      <w:r>
        <w:rPr>
          <w:rFonts w:ascii="Baskerville" w:hAnsi="Baskerville" w:cstheme="minorHAnsi"/>
        </w:rPr>
        <w:t>,</w:t>
      </w:r>
      <w:r w:rsidRPr="000C2219">
        <w:rPr>
          <w:rFonts w:ascii="Baskerville" w:hAnsi="Baskerville" w:cstheme="minorHAnsi"/>
        </w:rPr>
        <w:t xml:space="preserve"> </w:t>
      </w:r>
      <w:r>
        <w:rPr>
          <w:rFonts w:ascii="Baskerville" w:hAnsi="Baskerville" w:cstheme="minorHAnsi"/>
        </w:rPr>
        <w:t>‘</w:t>
      </w:r>
      <w:r w:rsidRPr="000C2219">
        <w:rPr>
          <w:rFonts w:ascii="Baskerville" w:hAnsi="Baskerville" w:cstheme="minorHAnsi"/>
        </w:rPr>
        <w:t>A Theory of Gradual Institutional Change</w:t>
      </w:r>
      <w:r>
        <w:rPr>
          <w:rFonts w:ascii="Baskerville" w:hAnsi="Baskerville" w:cstheme="minorHAnsi"/>
        </w:rPr>
        <w:t>’</w:t>
      </w:r>
      <w:r w:rsidRPr="000C2219">
        <w:rPr>
          <w:rFonts w:ascii="Baskerville" w:hAnsi="Baskerville" w:cstheme="minorHAnsi"/>
        </w:rPr>
        <w:t xml:space="preserve"> in J Mahoney and K </w:t>
      </w:r>
      <w:proofErr w:type="spellStart"/>
      <w:r w:rsidRPr="000C2219">
        <w:rPr>
          <w:rFonts w:ascii="Baskerville" w:hAnsi="Baskerville" w:cstheme="minorHAnsi"/>
        </w:rPr>
        <w:t>Thelen</w:t>
      </w:r>
      <w:proofErr w:type="spellEnd"/>
      <w:r w:rsidRPr="000C2219">
        <w:rPr>
          <w:rFonts w:ascii="Baskerville" w:hAnsi="Baskerville" w:cstheme="minorHAnsi"/>
        </w:rPr>
        <w:t xml:space="preserve"> (eds), </w:t>
      </w:r>
      <w:r w:rsidRPr="000C2219">
        <w:rPr>
          <w:rFonts w:ascii="Baskerville" w:hAnsi="Baskerville" w:cstheme="minorHAnsi"/>
          <w:i/>
          <w:iCs/>
        </w:rPr>
        <w:t>Explaining Institutional Change: Ambiguity, Agency, and Power</w:t>
      </w:r>
      <w:r w:rsidRPr="000C2219">
        <w:rPr>
          <w:rFonts w:ascii="Baskerville" w:hAnsi="Baskerville" w:cstheme="minorHAnsi"/>
        </w:rPr>
        <w:t xml:space="preserve"> </w:t>
      </w:r>
      <w:r w:rsidR="004715C4">
        <w:rPr>
          <w:rFonts w:ascii="Baskerville" w:hAnsi="Baskerville" w:cstheme="minorHAnsi"/>
        </w:rPr>
        <w:t>(</w:t>
      </w:r>
      <w:r w:rsidRPr="000C2219">
        <w:rPr>
          <w:rFonts w:ascii="Baskerville" w:hAnsi="Baskerville" w:cstheme="minorHAnsi"/>
        </w:rPr>
        <w:t xml:space="preserve">New York: Cambridge University Press, </w:t>
      </w:r>
      <w:r>
        <w:rPr>
          <w:rFonts w:ascii="Baskerville" w:hAnsi="Baskerville" w:cstheme="minorHAnsi"/>
        </w:rPr>
        <w:t xml:space="preserve">2010) </w:t>
      </w:r>
      <w:r w:rsidRPr="000C2219">
        <w:rPr>
          <w:rFonts w:ascii="Baskerville" w:hAnsi="Baskerville" w:cstheme="minorHAnsi"/>
        </w:rPr>
        <w:t>1-37.</w:t>
      </w:r>
    </w:p>
    <w:p w14:paraId="25DD1810" w14:textId="3E643DFF" w:rsidR="00D57DD6" w:rsidRDefault="00D57DD6" w:rsidP="00892CC6">
      <w:pPr>
        <w:spacing w:line="276" w:lineRule="auto"/>
        <w:ind w:left="720" w:hanging="720"/>
        <w:rPr>
          <w:rFonts w:ascii="Baskerville" w:hAnsi="Baskerville" w:cstheme="minorHAnsi"/>
        </w:rPr>
      </w:pPr>
      <w:r>
        <w:rPr>
          <w:rFonts w:ascii="Baskerville" w:hAnsi="Baskerville" w:cstheme="minorHAnsi"/>
        </w:rPr>
        <w:t xml:space="preserve">J </w:t>
      </w:r>
      <w:proofErr w:type="spellStart"/>
      <w:r>
        <w:rPr>
          <w:rFonts w:ascii="Baskerville" w:hAnsi="Baskerville" w:cstheme="minorHAnsi"/>
        </w:rPr>
        <w:t>Mashaw</w:t>
      </w:r>
      <w:proofErr w:type="spellEnd"/>
      <w:r w:rsidR="00270D64">
        <w:rPr>
          <w:rFonts w:ascii="Baskerville" w:hAnsi="Baskerville" w:cstheme="minorHAnsi"/>
        </w:rPr>
        <w:t xml:space="preserve">, ‘Administrative Due Process: The Quest for a Dignitary Theory’ (1981) </w:t>
      </w:r>
      <w:r w:rsidR="00270D64">
        <w:rPr>
          <w:rFonts w:ascii="Baskerville" w:hAnsi="Baskerville" w:cstheme="minorHAnsi"/>
          <w:i/>
        </w:rPr>
        <w:t>Boston University Law Review</w:t>
      </w:r>
      <w:r w:rsidR="00270D64">
        <w:rPr>
          <w:rFonts w:ascii="Baskerville" w:hAnsi="Baskerville" w:cstheme="minorHAnsi"/>
        </w:rPr>
        <w:t xml:space="preserve"> 61(4), 885-932</w:t>
      </w:r>
    </w:p>
    <w:p w14:paraId="787DDEAF" w14:textId="573C2B3A" w:rsidR="00D01ABF" w:rsidRPr="00D01ABF" w:rsidRDefault="00D01ABF" w:rsidP="00892CC6">
      <w:pPr>
        <w:spacing w:line="276" w:lineRule="auto"/>
        <w:ind w:left="720" w:hanging="720"/>
        <w:rPr>
          <w:rFonts w:ascii="Baskerville" w:hAnsi="Baskerville" w:cstheme="minorHAnsi"/>
        </w:rPr>
      </w:pPr>
      <w:r>
        <w:rPr>
          <w:rFonts w:ascii="Baskerville" w:hAnsi="Baskerville" w:cstheme="minorHAnsi"/>
        </w:rPr>
        <w:lastRenderedPageBreak/>
        <w:t xml:space="preserve">J </w:t>
      </w:r>
      <w:proofErr w:type="spellStart"/>
      <w:r>
        <w:rPr>
          <w:rFonts w:ascii="Baskerville" w:hAnsi="Baskerville" w:cstheme="minorHAnsi"/>
        </w:rPr>
        <w:t>Mashaw</w:t>
      </w:r>
      <w:proofErr w:type="spellEnd"/>
      <w:r>
        <w:rPr>
          <w:rFonts w:ascii="Baskerville" w:hAnsi="Baskerville" w:cstheme="minorHAnsi"/>
        </w:rPr>
        <w:t xml:space="preserve"> </w:t>
      </w:r>
      <w:r>
        <w:rPr>
          <w:rFonts w:ascii="Baskerville" w:hAnsi="Baskerville" w:cstheme="minorHAnsi"/>
          <w:i/>
        </w:rPr>
        <w:t>Bureaucratic Justice: Managing Social Security Disability Claims</w:t>
      </w:r>
      <w:r>
        <w:rPr>
          <w:rFonts w:ascii="Baskerville" w:hAnsi="Baskerville" w:cstheme="minorHAnsi"/>
        </w:rPr>
        <w:t xml:space="preserve"> (New Haven: Yale University Press, 1983)</w:t>
      </w:r>
    </w:p>
    <w:p w14:paraId="38781F45" w14:textId="7F14575D" w:rsidR="00786CC3" w:rsidRPr="00786CC3" w:rsidRDefault="00786CC3" w:rsidP="00892CC6">
      <w:pPr>
        <w:spacing w:line="276" w:lineRule="auto"/>
        <w:ind w:left="720" w:hanging="720"/>
        <w:rPr>
          <w:rFonts w:ascii="Baskerville" w:hAnsi="Baskerville" w:cstheme="minorHAnsi"/>
        </w:rPr>
      </w:pPr>
      <w:r>
        <w:rPr>
          <w:rFonts w:ascii="Baskerville" w:hAnsi="Baskerville" w:cstheme="minorHAnsi"/>
        </w:rPr>
        <w:t xml:space="preserve">JDB Mitchell, ‘The State of Public Law in the United Kingdom’ (1996) </w:t>
      </w:r>
      <w:r>
        <w:rPr>
          <w:rFonts w:ascii="Baskerville" w:hAnsi="Baskerville" w:cstheme="minorHAnsi"/>
          <w:i/>
        </w:rPr>
        <w:t>International and Comparative Law Quarterly</w:t>
      </w:r>
      <w:r>
        <w:rPr>
          <w:rFonts w:ascii="Baskerville" w:hAnsi="Baskerville" w:cstheme="minorHAnsi"/>
        </w:rPr>
        <w:t xml:space="preserve"> 15: 133-149</w:t>
      </w:r>
    </w:p>
    <w:p w14:paraId="3562BF6D" w14:textId="067ED890" w:rsidR="009A641B" w:rsidRDefault="009A641B" w:rsidP="00892CC6">
      <w:pPr>
        <w:spacing w:line="276" w:lineRule="auto"/>
        <w:ind w:left="720" w:hanging="720"/>
        <w:rPr>
          <w:rFonts w:ascii="Baskerville" w:hAnsi="Baskerville" w:cstheme="minorHAnsi"/>
        </w:rPr>
      </w:pPr>
      <w:r>
        <w:rPr>
          <w:rFonts w:ascii="Baskerville" w:hAnsi="Baskerville" w:cstheme="minorHAnsi"/>
        </w:rPr>
        <w:t xml:space="preserve">T Mullen, ‘A Holistic Approach to Administrative Justice’ in </w:t>
      </w:r>
      <w:r w:rsidRPr="00D01ABF">
        <w:rPr>
          <w:rFonts w:ascii="Baskerville" w:hAnsi="Baskerville"/>
        </w:rPr>
        <w:t xml:space="preserve">M. Adler (ed) </w:t>
      </w:r>
      <w:r w:rsidRPr="00D01ABF">
        <w:rPr>
          <w:rFonts w:ascii="Baskerville" w:hAnsi="Baskerville"/>
          <w:i/>
        </w:rPr>
        <w:t>Administrative Justice in Context</w:t>
      </w:r>
      <w:r w:rsidRPr="00D01ABF">
        <w:rPr>
          <w:rFonts w:ascii="Baskerville" w:hAnsi="Baskerville"/>
        </w:rPr>
        <w:t xml:space="preserve"> (Oxford: Hart Publishing, 2010)</w:t>
      </w:r>
    </w:p>
    <w:p w14:paraId="1C8B8CEF" w14:textId="7F164DD1" w:rsidR="00A023D7" w:rsidRPr="00A023D7" w:rsidRDefault="00A023D7" w:rsidP="00892CC6">
      <w:pPr>
        <w:spacing w:line="276" w:lineRule="auto"/>
        <w:ind w:left="720" w:hanging="720"/>
        <w:rPr>
          <w:rFonts w:ascii="Baskerville" w:hAnsi="Baskerville" w:cstheme="minorHAnsi"/>
        </w:rPr>
      </w:pPr>
      <w:r>
        <w:rPr>
          <w:rFonts w:ascii="Baskerville" w:hAnsi="Baskerville" w:cstheme="minorHAnsi"/>
        </w:rPr>
        <w:t xml:space="preserve">T Mullen, K Pick and T Prosser, </w:t>
      </w:r>
      <w:r>
        <w:rPr>
          <w:rFonts w:ascii="Baskerville" w:hAnsi="Baskerville" w:cstheme="minorHAnsi"/>
          <w:i/>
        </w:rPr>
        <w:t>Judicial Review in Scotland</w:t>
      </w:r>
      <w:r>
        <w:rPr>
          <w:rFonts w:ascii="Baskerville" w:hAnsi="Baskerville" w:cstheme="minorHAnsi"/>
        </w:rPr>
        <w:t xml:space="preserve"> (Chichester: Wiley, 1996)</w:t>
      </w:r>
    </w:p>
    <w:p w14:paraId="06777FBD" w14:textId="6A9B0EBC" w:rsidR="0066286A" w:rsidRPr="00B57843" w:rsidRDefault="0066286A" w:rsidP="00892CC6">
      <w:pPr>
        <w:spacing w:line="276" w:lineRule="auto"/>
        <w:ind w:left="720" w:hanging="720"/>
        <w:rPr>
          <w:rFonts w:ascii="Baskerville" w:hAnsi="Baskerville" w:cstheme="minorHAnsi"/>
        </w:rPr>
      </w:pPr>
      <w:r>
        <w:rPr>
          <w:rFonts w:ascii="Baskerville" w:hAnsi="Baskerville" w:cstheme="minorHAnsi"/>
        </w:rPr>
        <w:t xml:space="preserve">M Partington, ‘Restructuring Administrative Justice? The Redress of Citizens’ Grievances’ (1999) </w:t>
      </w:r>
      <w:r>
        <w:rPr>
          <w:rFonts w:ascii="Baskerville" w:hAnsi="Baskerville" w:cstheme="minorHAnsi"/>
          <w:i/>
        </w:rPr>
        <w:t>Current Legal Problems</w:t>
      </w:r>
      <w:r w:rsidR="00B57843">
        <w:rPr>
          <w:rFonts w:ascii="Baskerville" w:hAnsi="Baskerville" w:cstheme="minorHAnsi"/>
        </w:rPr>
        <w:t xml:space="preserve"> 52(1) 173-199</w:t>
      </w:r>
    </w:p>
    <w:p w14:paraId="13CA4171" w14:textId="53081797" w:rsidR="00A023D7" w:rsidRPr="00D01ABF" w:rsidRDefault="00A023D7" w:rsidP="00892CC6">
      <w:pPr>
        <w:spacing w:line="276" w:lineRule="auto"/>
        <w:ind w:left="720" w:hanging="720"/>
        <w:rPr>
          <w:rFonts w:ascii="Baskerville" w:hAnsi="Baskerville" w:cstheme="minorHAnsi"/>
        </w:rPr>
      </w:pPr>
      <w:r>
        <w:rPr>
          <w:rFonts w:ascii="Baskerville" w:hAnsi="Baskerville" w:cstheme="minorHAnsi"/>
        </w:rPr>
        <w:t xml:space="preserve">L Platt, </w:t>
      </w:r>
      <w:proofErr w:type="gramStart"/>
      <w:r>
        <w:rPr>
          <w:rFonts w:ascii="Baskerville" w:hAnsi="Baskerville" w:cstheme="minorHAnsi"/>
        </w:rPr>
        <w:t xml:space="preserve">M  </w:t>
      </w:r>
      <w:proofErr w:type="spellStart"/>
      <w:r>
        <w:rPr>
          <w:rFonts w:ascii="Baskerville" w:hAnsi="Baskerville" w:cstheme="minorHAnsi"/>
        </w:rPr>
        <w:t>Sunkin</w:t>
      </w:r>
      <w:proofErr w:type="spellEnd"/>
      <w:proofErr w:type="gramEnd"/>
      <w:r>
        <w:rPr>
          <w:rFonts w:ascii="Baskerville" w:hAnsi="Baskerville" w:cstheme="minorHAnsi"/>
        </w:rPr>
        <w:t xml:space="preserve"> and K Calvo, ‘Judicial Review Litigation as an Incentive to Change in Local Authority Public Services in England and Wales’ </w:t>
      </w:r>
      <w:r w:rsidR="00D01ABF">
        <w:rPr>
          <w:rFonts w:ascii="Baskerville" w:hAnsi="Baskerville" w:cstheme="minorHAnsi"/>
        </w:rPr>
        <w:t xml:space="preserve">(2010) </w:t>
      </w:r>
      <w:r w:rsidR="00D01ABF">
        <w:rPr>
          <w:rFonts w:ascii="Baskerville" w:hAnsi="Baskerville" w:cstheme="minorHAnsi"/>
          <w:i/>
        </w:rPr>
        <w:t>Journal of Public Administration  Theory and Research</w:t>
      </w:r>
      <w:r w:rsidR="00D01ABF">
        <w:rPr>
          <w:rFonts w:ascii="Baskerville" w:hAnsi="Baskerville" w:cstheme="minorHAnsi"/>
        </w:rPr>
        <w:t xml:space="preserve"> 20(2), 243-260</w:t>
      </w:r>
    </w:p>
    <w:p w14:paraId="5A642703" w14:textId="3CACD4DB" w:rsidR="008F75BD" w:rsidRPr="008F75BD" w:rsidRDefault="008F75BD" w:rsidP="00892CC6">
      <w:pPr>
        <w:spacing w:line="276" w:lineRule="auto"/>
        <w:ind w:left="720" w:hanging="720"/>
        <w:rPr>
          <w:rFonts w:ascii="Baskerville" w:hAnsi="Baskerville" w:cstheme="minorHAnsi"/>
        </w:rPr>
      </w:pPr>
      <w:r>
        <w:rPr>
          <w:rFonts w:ascii="Baskerville" w:hAnsi="Baskerville" w:cstheme="minorHAnsi"/>
        </w:rPr>
        <w:t xml:space="preserve">R Posner, ‘Legal Pragmatism’ (2004) </w:t>
      </w:r>
      <w:proofErr w:type="spellStart"/>
      <w:r>
        <w:rPr>
          <w:rFonts w:ascii="Baskerville" w:hAnsi="Baskerville" w:cstheme="minorHAnsi"/>
          <w:i/>
        </w:rPr>
        <w:t>Metaphilosophy</w:t>
      </w:r>
      <w:proofErr w:type="spellEnd"/>
      <w:r>
        <w:rPr>
          <w:rFonts w:ascii="Baskerville" w:hAnsi="Baskerville" w:cstheme="minorHAnsi"/>
        </w:rPr>
        <w:t xml:space="preserve"> 35(1/2): 147-159</w:t>
      </w:r>
    </w:p>
    <w:p w14:paraId="25A5531A" w14:textId="1B9F7299" w:rsidR="00FA4701" w:rsidRPr="00FA4701" w:rsidRDefault="00FA4701" w:rsidP="00892CC6">
      <w:pPr>
        <w:spacing w:line="276" w:lineRule="auto"/>
        <w:ind w:left="720" w:hanging="720"/>
        <w:rPr>
          <w:rFonts w:ascii="Baskerville" w:hAnsi="Baskerville" w:cstheme="minorHAnsi"/>
        </w:rPr>
      </w:pPr>
      <w:r>
        <w:rPr>
          <w:rFonts w:ascii="Baskerville" w:hAnsi="Baskerville" w:cstheme="minorHAnsi"/>
        </w:rPr>
        <w:t xml:space="preserve">G Richardson and D Machin, ‘Judicial Review and Tribunal Decision-Making: A Study of the Mental Health Tribunal’ (2000) </w:t>
      </w:r>
      <w:r>
        <w:rPr>
          <w:rFonts w:ascii="Baskerville" w:hAnsi="Baskerville" w:cstheme="minorHAnsi"/>
          <w:i/>
        </w:rPr>
        <w:t>Public Law</w:t>
      </w:r>
      <w:r>
        <w:rPr>
          <w:rFonts w:ascii="Baskerville" w:hAnsi="Baskerville" w:cstheme="minorHAnsi"/>
        </w:rPr>
        <w:t xml:space="preserve"> 494-514</w:t>
      </w:r>
    </w:p>
    <w:p w14:paraId="7FEC19B6" w14:textId="7D96F049" w:rsidR="00786CC3" w:rsidRPr="00786CC3" w:rsidRDefault="00786CC3" w:rsidP="00892CC6">
      <w:pPr>
        <w:spacing w:line="276" w:lineRule="auto"/>
        <w:ind w:left="720" w:hanging="720"/>
        <w:rPr>
          <w:rFonts w:ascii="Baskerville" w:hAnsi="Baskerville" w:cstheme="minorHAnsi"/>
        </w:rPr>
      </w:pPr>
      <w:r>
        <w:rPr>
          <w:rFonts w:ascii="Baskerville" w:hAnsi="Baskerville" w:cstheme="minorHAnsi"/>
        </w:rPr>
        <w:t xml:space="preserve">T Roux, </w:t>
      </w:r>
      <w:r>
        <w:rPr>
          <w:rFonts w:ascii="Baskerville" w:hAnsi="Baskerville" w:cstheme="minorHAnsi"/>
          <w:i/>
        </w:rPr>
        <w:t>The Politico-Legal Dynamics of Judicial Review</w:t>
      </w:r>
      <w:r>
        <w:rPr>
          <w:rFonts w:ascii="Baskerville" w:hAnsi="Baskerville" w:cstheme="minorHAnsi"/>
        </w:rPr>
        <w:t xml:space="preserve"> (New York: Cambridge University Press, 2018)</w:t>
      </w:r>
    </w:p>
    <w:p w14:paraId="021BC884" w14:textId="410AC6BD" w:rsidR="00786CC3" w:rsidRDefault="00786CC3" w:rsidP="00892CC6">
      <w:pPr>
        <w:spacing w:line="276" w:lineRule="auto"/>
        <w:ind w:left="720" w:hanging="720"/>
        <w:rPr>
          <w:rFonts w:ascii="Baskerville" w:hAnsi="Baskerville" w:cstheme="minorHAnsi"/>
        </w:rPr>
      </w:pPr>
      <w:r>
        <w:rPr>
          <w:rFonts w:ascii="Baskerville" w:hAnsi="Baskerville" w:cstheme="minorHAnsi"/>
        </w:rPr>
        <w:t xml:space="preserve">VA Schmidt, ‘Democracy and Legitimacy in the European Union Revisited: Input, Output </w:t>
      </w:r>
      <w:r>
        <w:rPr>
          <w:rFonts w:ascii="Baskerville" w:hAnsi="Baskerville" w:cstheme="minorHAnsi"/>
          <w:i/>
        </w:rPr>
        <w:t>and</w:t>
      </w:r>
      <w:r>
        <w:rPr>
          <w:rFonts w:ascii="Baskerville" w:hAnsi="Baskerville" w:cstheme="minorHAnsi"/>
        </w:rPr>
        <w:t xml:space="preserve"> ‘Throughput’</w:t>
      </w:r>
      <w:r w:rsidR="008F75BD">
        <w:rPr>
          <w:rFonts w:ascii="Baskerville" w:hAnsi="Baskerville" w:cstheme="minorHAnsi"/>
        </w:rPr>
        <w:t xml:space="preserve">’ (2013) </w:t>
      </w:r>
      <w:r w:rsidR="008F75BD">
        <w:rPr>
          <w:rFonts w:ascii="Baskerville" w:hAnsi="Baskerville" w:cstheme="minorHAnsi"/>
          <w:i/>
        </w:rPr>
        <w:t>Political Studies</w:t>
      </w:r>
      <w:r w:rsidR="008F75BD">
        <w:rPr>
          <w:rFonts w:ascii="Baskerville" w:hAnsi="Baskerville" w:cstheme="minorHAnsi"/>
        </w:rPr>
        <w:t xml:space="preserve"> 61: 2-22</w:t>
      </w:r>
    </w:p>
    <w:p w14:paraId="619A96EA" w14:textId="4BDCD74E" w:rsidR="002845BC" w:rsidRDefault="002845BC" w:rsidP="002845BC">
      <w:pPr>
        <w:spacing w:line="276" w:lineRule="auto"/>
        <w:ind w:left="720" w:hanging="720"/>
        <w:rPr>
          <w:rFonts w:ascii="Baskerville" w:hAnsi="Baskerville" w:cstheme="minorHAnsi"/>
        </w:rPr>
      </w:pPr>
      <w:r>
        <w:rPr>
          <w:rFonts w:ascii="Baskerville" w:hAnsi="Baskerville" w:cstheme="minorHAnsi"/>
        </w:rPr>
        <w:t xml:space="preserve">R Shamir, ‘Formal and Substantive Rationality in American Law: A Weberian Perspective’ (1993) </w:t>
      </w:r>
      <w:r>
        <w:rPr>
          <w:rFonts w:ascii="Baskerville" w:hAnsi="Baskerville" w:cstheme="minorHAnsi"/>
          <w:i/>
          <w:iCs/>
        </w:rPr>
        <w:t xml:space="preserve">Social &amp; </w:t>
      </w:r>
      <w:r>
        <w:rPr>
          <w:rFonts w:ascii="Baskerville" w:hAnsi="Baskerville" w:cstheme="minorHAnsi"/>
          <w:i/>
        </w:rPr>
        <w:t>Legal Studies</w:t>
      </w:r>
      <w:r>
        <w:rPr>
          <w:rFonts w:ascii="Baskerville" w:hAnsi="Baskerville" w:cstheme="minorHAnsi"/>
        </w:rPr>
        <w:t xml:space="preserve"> 2: 45-72.</w:t>
      </w:r>
    </w:p>
    <w:p w14:paraId="6B6C4EA5" w14:textId="04886C12" w:rsidR="00EE00DD" w:rsidRDefault="00EE00DD" w:rsidP="00EE00DD">
      <w:pPr>
        <w:spacing w:line="276" w:lineRule="auto"/>
        <w:ind w:left="720" w:hanging="720"/>
        <w:rPr>
          <w:rFonts w:ascii="Baskerville" w:hAnsi="Baskerville" w:cstheme="minorHAnsi"/>
        </w:rPr>
      </w:pPr>
      <w:r>
        <w:rPr>
          <w:rFonts w:ascii="Baskerville" w:hAnsi="Baskerville" w:cstheme="minorHAnsi"/>
        </w:rPr>
        <w:t xml:space="preserve">F Schauer, ‘Formalism’ (1988) </w:t>
      </w:r>
      <w:r>
        <w:rPr>
          <w:rFonts w:ascii="Baskerville" w:hAnsi="Baskerville" w:cstheme="minorHAnsi"/>
          <w:i/>
          <w:iCs/>
        </w:rPr>
        <w:t xml:space="preserve">Yale </w:t>
      </w:r>
      <w:r>
        <w:rPr>
          <w:rFonts w:ascii="Baskerville" w:hAnsi="Baskerville" w:cstheme="minorHAnsi"/>
          <w:i/>
        </w:rPr>
        <w:t>Law Journal</w:t>
      </w:r>
      <w:r>
        <w:rPr>
          <w:rFonts w:ascii="Baskerville" w:hAnsi="Baskerville" w:cstheme="minorHAnsi"/>
        </w:rPr>
        <w:t xml:space="preserve"> 97: 509-548.</w:t>
      </w:r>
    </w:p>
    <w:p w14:paraId="6C544887" w14:textId="79A45EAD" w:rsidR="00AD2EA3" w:rsidRDefault="00AD2EA3" w:rsidP="002845BC">
      <w:pPr>
        <w:spacing w:line="276" w:lineRule="auto"/>
        <w:ind w:left="720" w:hanging="720"/>
        <w:rPr>
          <w:rFonts w:ascii="Baskerville" w:hAnsi="Baskerville" w:cstheme="minorHAnsi"/>
        </w:rPr>
      </w:pPr>
      <w:r>
        <w:rPr>
          <w:rFonts w:ascii="Baskerville" w:hAnsi="Baskerville" w:cstheme="minorHAnsi"/>
        </w:rPr>
        <w:t xml:space="preserve">D </w:t>
      </w:r>
      <w:r w:rsidR="002845BC">
        <w:rPr>
          <w:rFonts w:ascii="Baskerville" w:hAnsi="Baskerville" w:cstheme="minorHAnsi"/>
        </w:rPr>
        <w:t>Sheehan</w:t>
      </w:r>
      <w:r>
        <w:rPr>
          <w:rFonts w:ascii="Baskerville" w:hAnsi="Baskerville" w:cstheme="minorHAnsi"/>
        </w:rPr>
        <w:t xml:space="preserve"> and TT Arvind, ‘</w:t>
      </w:r>
      <w:r w:rsidRPr="00AD2EA3">
        <w:rPr>
          <w:rFonts w:ascii="Baskerville" w:hAnsi="Baskerville" w:cstheme="minorHAnsi"/>
        </w:rPr>
        <w:t>Private Law Theory and Taxonomy: Reframing the Debate</w:t>
      </w:r>
      <w:r>
        <w:rPr>
          <w:rFonts w:ascii="Baskerville" w:hAnsi="Baskerville" w:cstheme="minorHAnsi"/>
        </w:rPr>
        <w:t xml:space="preserve">’ (2015) </w:t>
      </w:r>
      <w:r>
        <w:rPr>
          <w:rFonts w:ascii="Baskerville" w:hAnsi="Baskerville" w:cstheme="minorHAnsi"/>
          <w:i/>
        </w:rPr>
        <w:t>Legal Studies</w:t>
      </w:r>
      <w:r>
        <w:rPr>
          <w:rFonts w:ascii="Baskerville" w:hAnsi="Baskerville" w:cstheme="minorHAnsi"/>
        </w:rPr>
        <w:t xml:space="preserve"> 35: 480-501</w:t>
      </w:r>
    </w:p>
    <w:p w14:paraId="78B7B3EB" w14:textId="199E46C2" w:rsidR="00946FF2" w:rsidRPr="008F75BD" w:rsidRDefault="00946FF2" w:rsidP="00946FF2">
      <w:pPr>
        <w:spacing w:line="276" w:lineRule="auto"/>
        <w:ind w:left="720" w:hanging="720"/>
        <w:rPr>
          <w:rFonts w:ascii="Baskerville" w:hAnsi="Baskerville" w:cstheme="minorHAnsi"/>
        </w:rPr>
      </w:pPr>
      <w:proofErr w:type="spellStart"/>
      <w:r>
        <w:rPr>
          <w:rFonts w:ascii="Baskerville" w:hAnsi="Baskerville" w:cstheme="minorHAnsi"/>
        </w:rPr>
        <w:t>Stortinget</w:t>
      </w:r>
      <w:proofErr w:type="spellEnd"/>
      <w:r>
        <w:rPr>
          <w:rFonts w:ascii="Baskerville" w:hAnsi="Baskerville" w:cstheme="minorHAnsi"/>
        </w:rPr>
        <w:t xml:space="preserve"> [Parliament of Norway], </w:t>
      </w:r>
      <w:proofErr w:type="spellStart"/>
      <w:r>
        <w:rPr>
          <w:rFonts w:ascii="Baskerville" w:hAnsi="Baskerville" w:cstheme="minorHAnsi"/>
        </w:rPr>
        <w:t>Grunnlovforslag</w:t>
      </w:r>
      <w:proofErr w:type="spellEnd"/>
      <w:r>
        <w:rPr>
          <w:rFonts w:ascii="Baskerville" w:hAnsi="Baskerville" w:cstheme="minorHAnsi"/>
        </w:rPr>
        <w:t xml:space="preserve"> 19, Document 12:19, 2015-16 session (30 September 2016).</w:t>
      </w:r>
    </w:p>
    <w:p w14:paraId="62E69489" w14:textId="626E30A2" w:rsidR="00874250" w:rsidRDefault="00874250" w:rsidP="00892CC6">
      <w:pPr>
        <w:spacing w:line="276" w:lineRule="auto"/>
        <w:ind w:left="720" w:hanging="720"/>
        <w:rPr>
          <w:rFonts w:ascii="Baskerville" w:hAnsi="Baskerville" w:cstheme="minorHAnsi"/>
        </w:rPr>
      </w:pPr>
      <w:r>
        <w:rPr>
          <w:rFonts w:ascii="Baskerville" w:hAnsi="Baskerville" w:cstheme="minorHAnsi"/>
        </w:rPr>
        <w:t xml:space="preserve">M </w:t>
      </w:r>
      <w:proofErr w:type="spellStart"/>
      <w:r>
        <w:rPr>
          <w:rFonts w:ascii="Baskerville" w:hAnsi="Baskerville" w:cstheme="minorHAnsi"/>
        </w:rPr>
        <w:t>Sunkin</w:t>
      </w:r>
      <w:proofErr w:type="spellEnd"/>
      <w:r>
        <w:rPr>
          <w:rFonts w:ascii="Baskerville" w:hAnsi="Baskerville" w:cstheme="minorHAnsi"/>
        </w:rPr>
        <w:t xml:space="preserve"> ‘What is Happening to Applications for Judicial Review?’ </w:t>
      </w:r>
      <w:r>
        <w:rPr>
          <w:rFonts w:ascii="Baskerville" w:hAnsi="Baskerville" w:cstheme="minorHAnsi"/>
          <w:i/>
        </w:rPr>
        <w:t>Modern Law Review</w:t>
      </w:r>
      <w:r>
        <w:rPr>
          <w:rFonts w:ascii="Baskerville" w:hAnsi="Baskerville" w:cstheme="minorHAnsi"/>
        </w:rPr>
        <w:t xml:space="preserve"> 50 432-467</w:t>
      </w:r>
    </w:p>
    <w:p w14:paraId="222CEEDF" w14:textId="3458AB01" w:rsidR="00A023D7" w:rsidRPr="00A023D7" w:rsidRDefault="00A023D7" w:rsidP="00892CC6">
      <w:pPr>
        <w:spacing w:line="276" w:lineRule="auto"/>
        <w:ind w:left="720" w:hanging="720"/>
        <w:rPr>
          <w:rFonts w:ascii="Baskerville" w:hAnsi="Baskerville" w:cstheme="minorHAnsi"/>
        </w:rPr>
      </w:pPr>
      <w:r>
        <w:rPr>
          <w:rFonts w:ascii="Baskerville" w:hAnsi="Baskerville" w:cstheme="minorHAnsi"/>
        </w:rPr>
        <w:t xml:space="preserve">M </w:t>
      </w:r>
      <w:proofErr w:type="spellStart"/>
      <w:r>
        <w:rPr>
          <w:rFonts w:ascii="Baskerville" w:hAnsi="Baskerville" w:cstheme="minorHAnsi"/>
        </w:rPr>
        <w:t>Sunkin</w:t>
      </w:r>
      <w:proofErr w:type="spellEnd"/>
      <w:r>
        <w:rPr>
          <w:rFonts w:ascii="Baskerville" w:hAnsi="Baskerville" w:cstheme="minorHAnsi"/>
        </w:rPr>
        <w:t xml:space="preserve"> and V </w:t>
      </w:r>
      <w:proofErr w:type="spellStart"/>
      <w:r>
        <w:rPr>
          <w:rFonts w:ascii="Baskerville" w:hAnsi="Baskerville" w:cstheme="minorHAnsi"/>
        </w:rPr>
        <w:t>Bondy</w:t>
      </w:r>
      <w:proofErr w:type="spellEnd"/>
      <w:r>
        <w:rPr>
          <w:rFonts w:ascii="Baskerville" w:hAnsi="Baskerville" w:cstheme="minorHAnsi"/>
        </w:rPr>
        <w:t xml:space="preserve">, ‘Accessing Judicial Review Proceedings’ (2009) </w:t>
      </w:r>
      <w:r>
        <w:rPr>
          <w:rFonts w:ascii="Baskerville" w:hAnsi="Baskerville" w:cstheme="minorHAnsi"/>
          <w:i/>
        </w:rPr>
        <w:t>Public Law,</w:t>
      </w:r>
      <w:r>
        <w:rPr>
          <w:rFonts w:ascii="Baskerville" w:hAnsi="Baskerville" w:cstheme="minorHAnsi"/>
        </w:rPr>
        <w:t xml:space="preserve"> 647-667</w:t>
      </w:r>
    </w:p>
    <w:p w14:paraId="055D7725" w14:textId="040A9A33" w:rsidR="00DE4C1B" w:rsidRDefault="00DE4C1B" w:rsidP="00892CC6">
      <w:pPr>
        <w:spacing w:line="276" w:lineRule="auto"/>
        <w:ind w:left="720" w:hanging="720"/>
        <w:rPr>
          <w:rFonts w:ascii="Baskerville" w:hAnsi="Baskerville" w:cstheme="minorHAnsi"/>
        </w:rPr>
      </w:pPr>
      <w:r>
        <w:rPr>
          <w:rFonts w:ascii="Baskerville" w:hAnsi="Baskerville" w:cstheme="minorHAnsi"/>
        </w:rPr>
        <w:t xml:space="preserve">R Thomas, </w:t>
      </w:r>
      <w:r>
        <w:rPr>
          <w:rFonts w:ascii="Baskerville" w:hAnsi="Baskerville" w:cstheme="minorHAnsi"/>
          <w:i/>
        </w:rPr>
        <w:t>Administrative Justice and Asylum Appeals: A Study of Tribunal Adjudication</w:t>
      </w:r>
      <w:r>
        <w:rPr>
          <w:rFonts w:ascii="Baskerville" w:hAnsi="Baskerville" w:cstheme="minorHAnsi"/>
        </w:rPr>
        <w:t xml:space="preserve"> (Oxford: Hart Publishing, 2011)</w:t>
      </w:r>
    </w:p>
    <w:p w14:paraId="2324FB3B" w14:textId="14CA7121" w:rsidR="009A641B" w:rsidRDefault="009A641B" w:rsidP="00892CC6">
      <w:pPr>
        <w:spacing w:line="276" w:lineRule="auto"/>
        <w:ind w:left="720" w:hanging="720"/>
        <w:rPr>
          <w:rFonts w:ascii="Baskerville" w:hAnsi="Baskerville" w:cstheme="minorHAnsi"/>
        </w:rPr>
      </w:pPr>
      <w:r>
        <w:rPr>
          <w:rFonts w:ascii="Baskerville" w:hAnsi="Baskerville" w:cstheme="minorHAnsi"/>
        </w:rPr>
        <w:t xml:space="preserve">B Thompson, ‘Administrative Justice: Towards the </w:t>
      </w:r>
      <w:proofErr w:type="spellStart"/>
      <w:r>
        <w:rPr>
          <w:rFonts w:ascii="Baskerville" w:hAnsi="Baskerville" w:cstheme="minorHAnsi"/>
        </w:rPr>
        <w:t>Millenium</w:t>
      </w:r>
      <w:proofErr w:type="spellEnd"/>
      <w:r>
        <w:rPr>
          <w:rFonts w:ascii="Baskerville" w:hAnsi="Baskerville" w:cstheme="minorHAnsi"/>
        </w:rPr>
        <w:t xml:space="preserve">, Towards Integration?’ in M Harris and M Partington (eds) </w:t>
      </w:r>
      <w:r>
        <w:rPr>
          <w:rFonts w:ascii="Baskerville" w:hAnsi="Baskerville" w:cstheme="minorHAnsi"/>
          <w:i/>
        </w:rPr>
        <w:t>Administrative Justice in the 21</w:t>
      </w:r>
      <w:r w:rsidRPr="009A641B">
        <w:rPr>
          <w:rFonts w:ascii="Baskerville" w:hAnsi="Baskerville" w:cstheme="minorHAnsi"/>
          <w:i/>
          <w:vertAlign w:val="superscript"/>
        </w:rPr>
        <w:t>st</w:t>
      </w:r>
      <w:r>
        <w:rPr>
          <w:rFonts w:ascii="Baskerville" w:hAnsi="Baskerville" w:cstheme="minorHAnsi"/>
          <w:i/>
        </w:rPr>
        <w:t xml:space="preserve"> Century</w:t>
      </w:r>
      <w:r>
        <w:rPr>
          <w:rFonts w:ascii="Baskerville" w:hAnsi="Baskerville" w:cstheme="minorHAnsi"/>
        </w:rPr>
        <w:t xml:space="preserve"> (Oxford: Hart Publishing, 1999)</w:t>
      </w:r>
    </w:p>
    <w:p w14:paraId="507713E0" w14:textId="3B0BA007" w:rsidR="006F57A0" w:rsidRDefault="006F57A0" w:rsidP="006F57A0">
      <w:pPr>
        <w:spacing w:line="276" w:lineRule="auto"/>
        <w:ind w:left="720" w:hanging="720"/>
        <w:rPr>
          <w:rFonts w:ascii="Baskerville" w:hAnsi="Baskerville" w:cstheme="minorHAnsi"/>
        </w:rPr>
      </w:pPr>
      <w:r>
        <w:rPr>
          <w:rFonts w:ascii="Baskerville" w:hAnsi="Baskerville" w:cstheme="minorHAnsi"/>
        </w:rPr>
        <w:t xml:space="preserve">DM </w:t>
      </w:r>
      <w:proofErr w:type="spellStart"/>
      <w:r>
        <w:rPr>
          <w:rFonts w:ascii="Baskerville" w:hAnsi="Baskerville" w:cstheme="minorHAnsi"/>
        </w:rPr>
        <w:t>Trubek</w:t>
      </w:r>
      <w:proofErr w:type="spellEnd"/>
      <w:r>
        <w:rPr>
          <w:rFonts w:ascii="Baskerville" w:hAnsi="Baskerville" w:cstheme="minorHAnsi"/>
        </w:rPr>
        <w:t xml:space="preserve">, ‘Max Weber on Law and the Rise of Capitalism’ (1972) </w:t>
      </w:r>
      <w:r>
        <w:rPr>
          <w:rFonts w:ascii="Baskerville" w:hAnsi="Baskerville" w:cstheme="minorHAnsi"/>
          <w:i/>
          <w:iCs/>
        </w:rPr>
        <w:t xml:space="preserve">Wisconsin </w:t>
      </w:r>
      <w:r>
        <w:rPr>
          <w:rFonts w:ascii="Baskerville" w:hAnsi="Baskerville" w:cstheme="minorHAnsi"/>
          <w:i/>
        </w:rPr>
        <w:t>Law Review</w:t>
      </w:r>
      <w:r>
        <w:rPr>
          <w:rFonts w:ascii="Baskerville" w:hAnsi="Baskerville" w:cstheme="minorHAnsi"/>
        </w:rPr>
        <w:t xml:space="preserve"> 3:720-753</w:t>
      </w:r>
    </w:p>
    <w:p w14:paraId="2FB90E22" w14:textId="2F59C592" w:rsidR="00D7535D" w:rsidRPr="0043002A" w:rsidRDefault="00AD2EA3" w:rsidP="0043002A">
      <w:pPr>
        <w:spacing w:line="276" w:lineRule="auto"/>
        <w:ind w:left="720" w:hanging="720"/>
        <w:rPr>
          <w:rFonts w:ascii="Baskerville" w:hAnsi="Baskerville" w:cstheme="minorHAnsi"/>
        </w:rPr>
      </w:pPr>
      <w:r>
        <w:rPr>
          <w:rFonts w:ascii="Baskerville" w:hAnsi="Baskerville" w:cstheme="minorHAnsi"/>
        </w:rPr>
        <w:t xml:space="preserve">M Weber, </w:t>
      </w:r>
      <w:r>
        <w:rPr>
          <w:rFonts w:ascii="Baskerville" w:hAnsi="Baskerville" w:cstheme="minorHAnsi"/>
          <w:i/>
          <w:iCs/>
        </w:rPr>
        <w:t>The Methodology of the Social Sciences</w:t>
      </w:r>
      <w:r>
        <w:rPr>
          <w:rFonts w:ascii="Baskerville" w:hAnsi="Baskerville" w:cstheme="minorHAnsi"/>
        </w:rPr>
        <w:t xml:space="preserve"> (New York: Free Press, 1969).</w:t>
      </w:r>
    </w:p>
    <w:sectPr w:rsidR="00D7535D" w:rsidRPr="0043002A" w:rsidSect="0050572D">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5E2ED" w14:textId="77777777" w:rsidR="00A72BD7" w:rsidRDefault="00A72BD7" w:rsidP="00805117">
      <w:r>
        <w:separator/>
      </w:r>
    </w:p>
  </w:endnote>
  <w:endnote w:type="continuationSeparator" w:id="0">
    <w:p w14:paraId="6018F34E" w14:textId="77777777" w:rsidR="00A72BD7" w:rsidRDefault="00A72BD7" w:rsidP="0080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Math"/>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766647"/>
      <w:docPartObj>
        <w:docPartGallery w:val="Page Numbers (Bottom of Page)"/>
        <w:docPartUnique/>
      </w:docPartObj>
    </w:sdtPr>
    <w:sdtEndPr>
      <w:rPr>
        <w:noProof/>
      </w:rPr>
    </w:sdtEndPr>
    <w:sdtContent>
      <w:p w14:paraId="2C8179B6" w14:textId="374B6701" w:rsidR="000C2219" w:rsidRDefault="004715C4">
        <w:pPr>
          <w:pStyle w:val="Footer"/>
          <w:jc w:val="right"/>
        </w:pPr>
        <w:r>
          <w:rPr>
            <w:noProof/>
          </w:rPr>
          <w:t>20</w:t>
        </w:r>
      </w:p>
    </w:sdtContent>
  </w:sdt>
  <w:p w14:paraId="032195AC" w14:textId="77777777" w:rsidR="000C2219" w:rsidRDefault="000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0403D" w14:textId="77777777" w:rsidR="00A72BD7" w:rsidRDefault="00A72BD7" w:rsidP="00805117">
      <w:r>
        <w:separator/>
      </w:r>
    </w:p>
  </w:footnote>
  <w:footnote w:type="continuationSeparator" w:id="0">
    <w:p w14:paraId="13A509DA" w14:textId="77777777" w:rsidR="00A72BD7" w:rsidRDefault="00A72BD7" w:rsidP="00805117">
      <w:r>
        <w:continuationSeparator/>
      </w:r>
    </w:p>
  </w:footnote>
  <w:footnote w:id="1">
    <w:p w14:paraId="2FA90D4F" w14:textId="5D47D440" w:rsidR="001F254B" w:rsidRPr="001F254B" w:rsidRDefault="001F254B">
      <w:pPr>
        <w:pStyle w:val="FootnoteText"/>
        <w:rPr>
          <w:sz w:val="20"/>
          <w:szCs w:val="20"/>
          <w:lang w:val="en-GB"/>
        </w:rPr>
      </w:pPr>
      <w:r w:rsidRPr="001F254B">
        <w:rPr>
          <w:rStyle w:val="FootnoteReference"/>
          <w:sz w:val="20"/>
          <w:szCs w:val="20"/>
        </w:rPr>
        <w:footnoteRef/>
      </w:r>
      <w:r w:rsidRPr="001F254B">
        <w:rPr>
          <w:sz w:val="20"/>
          <w:szCs w:val="20"/>
        </w:rPr>
        <w:t xml:space="preserve"> </w:t>
      </w:r>
      <w:r w:rsidRPr="001F254B">
        <w:rPr>
          <w:sz w:val="20"/>
          <w:szCs w:val="20"/>
          <w:lang w:val="en-GB"/>
        </w:rPr>
        <w:t xml:space="preserve">To be published in M </w:t>
      </w:r>
      <w:proofErr w:type="spellStart"/>
      <w:r w:rsidRPr="001F254B">
        <w:rPr>
          <w:sz w:val="20"/>
          <w:szCs w:val="20"/>
          <w:lang w:val="en-GB"/>
        </w:rPr>
        <w:t>Hertogh</w:t>
      </w:r>
      <w:proofErr w:type="spellEnd"/>
      <w:r w:rsidRPr="001F254B">
        <w:rPr>
          <w:sz w:val="20"/>
          <w:szCs w:val="20"/>
          <w:lang w:val="en-GB"/>
        </w:rPr>
        <w:t xml:space="preserve">, R Kirkland, R Thomas and J Tomlinson (eds) </w:t>
      </w:r>
      <w:r w:rsidRPr="001F254B">
        <w:rPr>
          <w:i/>
          <w:iCs/>
          <w:sz w:val="20"/>
          <w:szCs w:val="20"/>
          <w:lang w:val="en-GB"/>
        </w:rPr>
        <w:t>Oxford Handbook of Administrative Justice</w:t>
      </w:r>
      <w:r w:rsidRPr="001F254B">
        <w:rPr>
          <w:sz w:val="20"/>
          <w:szCs w:val="20"/>
          <w:lang w:val="en-GB"/>
        </w:rPr>
        <w:t xml:space="preserve"> (Oxford: Oxford University Press, 2021)</w:t>
      </w:r>
    </w:p>
  </w:footnote>
  <w:footnote w:id="2">
    <w:p w14:paraId="29E0463E" w14:textId="56D300B6" w:rsidR="000C2219" w:rsidRPr="005F2ACF" w:rsidRDefault="000C2219">
      <w:pPr>
        <w:pStyle w:val="FootnoteText"/>
        <w:rPr>
          <w:sz w:val="20"/>
          <w:szCs w:val="20"/>
          <w:lang w:val="en-GB"/>
        </w:rPr>
      </w:pPr>
      <w:r w:rsidRPr="005F2ACF">
        <w:rPr>
          <w:rStyle w:val="FootnoteReference"/>
          <w:sz w:val="20"/>
          <w:szCs w:val="20"/>
        </w:rPr>
        <w:footnoteRef/>
      </w:r>
      <w:r w:rsidRPr="005F2ACF">
        <w:rPr>
          <w:sz w:val="20"/>
          <w:szCs w:val="20"/>
        </w:rPr>
        <w:t xml:space="preserve"> </w:t>
      </w:r>
      <w:r w:rsidRPr="005F2ACF">
        <w:rPr>
          <w:i/>
          <w:iCs/>
          <w:sz w:val="20"/>
          <w:szCs w:val="20"/>
        </w:rPr>
        <w:t xml:space="preserve">Motilal </w:t>
      </w:r>
      <w:proofErr w:type="spellStart"/>
      <w:r w:rsidRPr="005F2ACF">
        <w:rPr>
          <w:i/>
          <w:iCs/>
          <w:sz w:val="20"/>
          <w:szCs w:val="20"/>
        </w:rPr>
        <w:t>Padampat</w:t>
      </w:r>
      <w:proofErr w:type="spellEnd"/>
      <w:r w:rsidRPr="005F2ACF">
        <w:rPr>
          <w:i/>
          <w:iCs/>
          <w:sz w:val="20"/>
          <w:szCs w:val="20"/>
        </w:rPr>
        <w:t xml:space="preserve"> Sugar Mills v State of Uttar Pradesh</w:t>
      </w:r>
      <w:r>
        <w:rPr>
          <w:sz w:val="20"/>
          <w:szCs w:val="20"/>
        </w:rPr>
        <w:t>, AIR 1979 SC 621, 683 (</w:t>
      </w:r>
      <w:proofErr w:type="spellStart"/>
      <w:r>
        <w:rPr>
          <w:sz w:val="20"/>
          <w:szCs w:val="20"/>
        </w:rPr>
        <w:t>Bhagawati</w:t>
      </w:r>
      <w:proofErr w:type="spellEnd"/>
      <w:r>
        <w:rPr>
          <w:sz w:val="20"/>
          <w:szCs w:val="20"/>
        </w:rPr>
        <w:t xml:space="preserve"> J)</w:t>
      </w:r>
    </w:p>
  </w:footnote>
  <w:footnote w:id="3">
    <w:p w14:paraId="50D8D19E" w14:textId="53546B75" w:rsidR="000C2219" w:rsidRPr="007659A8" w:rsidRDefault="000C2219" w:rsidP="00211E03">
      <w:pPr>
        <w:pStyle w:val="FootnoteText"/>
        <w:rPr>
          <w:sz w:val="20"/>
          <w:szCs w:val="20"/>
          <w:lang w:val="en-GB"/>
        </w:rPr>
      </w:pPr>
      <w:r w:rsidRPr="007659A8">
        <w:rPr>
          <w:rStyle w:val="FootnoteReference"/>
          <w:sz w:val="20"/>
          <w:szCs w:val="20"/>
        </w:rPr>
        <w:footnoteRef/>
      </w:r>
      <w:r w:rsidRPr="007659A8">
        <w:rPr>
          <w:sz w:val="20"/>
          <w:szCs w:val="20"/>
        </w:rPr>
        <w:t xml:space="preserve"> </w:t>
      </w:r>
      <w:r>
        <w:rPr>
          <w:sz w:val="20"/>
          <w:szCs w:val="20"/>
        </w:rPr>
        <w:t xml:space="preserve">MS Rep, </w:t>
      </w:r>
      <w:r w:rsidRPr="007659A8">
        <w:rPr>
          <w:sz w:val="20"/>
          <w:szCs w:val="20"/>
          <w:lang w:val="en-GB"/>
        </w:rPr>
        <w:t>TNA TS 11/923.</w:t>
      </w:r>
      <w:r>
        <w:rPr>
          <w:sz w:val="20"/>
          <w:szCs w:val="20"/>
          <w:lang w:val="en-GB"/>
        </w:rPr>
        <w:t xml:space="preserve"> </w:t>
      </w:r>
      <w:r w:rsidRPr="007659A8">
        <w:rPr>
          <w:sz w:val="20"/>
          <w:szCs w:val="20"/>
          <w:lang w:val="en-GB"/>
        </w:rPr>
        <w:t xml:space="preserve">The passage </w:t>
      </w:r>
      <w:r>
        <w:rPr>
          <w:sz w:val="20"/>
          <w:szCs w:val="20"/>
          <w:lang w:val="en-GB"/>
        </w:rPr>
        <w:t xml:space="preserve">is absent </w:t>
      </w:r>
      <w:r w:rsidRPr="007659A8">
        <w:rPr>
          <w:sz w:val="20"/>
          <w:szCs w:val="20"/>
          <w:lang w:val="en-GB"/>
        </w:rPr>
        <w:t xml:space="preserve">in </w:t>
      </w:r>
      <w:r>
        <w:rPr>
          <w:sz w:val="20"/>
          <w:szCs w:val="20"/>
          <w:lang w:val="en-GB"/>
        </w:rPr>
        <w:t>the printed</w:t>
      </w:r>
      <w:r w:rsidRPr="007659A8">
        <w:rPr>
          <w:sz w:val="20"/>
          <w:szCs w:val="20"/>
          <w:lang w:val="en-GB"/>
        </w:rPr>
        <w:t xml:space="preserve"> report</w:t>
      </w:r>
      <w:r>
        <w:rPr>
          <w:sz w:val="20"/>
          <w:szCs w:val="20"/>
          <w:lang w:val="en-GB"/>
        </w:rPr>
        <w:t>.</w:t>
      </w:r>
    </w:p>
  </w:footnote>
  <w:footnote w:id="4">
    <w:p w14:paraId="49456DFE" w14:textId="12B1B475" w:rsidR="000C2219" w:rsidRPr="00285312" w:rsidRDefault="000C2219">
      <w:pPr>
        <w:pStyle w:val="FootnoteText"/>
        <w:rPr>
          <w:rFonts w:ascii="Baskerville" w:hAnsi="Baskerville"/>
          <w:sz w:val="20"/>
          <w:szCs w:val="20"/>
          <w:lang w:val="en-GB"/>
        </w:rPr>
      </w:pPr>
      <w:r w:rsidRPr="00285312">
        <w:rPr>
          <w:rStyle w:val="FootnoteReference"/>
          <w:rFonts w:ascii="Baskerville" w:hAnsi="Baskerville"/>
          <w:sz w:val="20"/>
          <w:szCs w:val="20"/>
        </w:rPr>
        <w:footnoteRef/>
      </w:r>
      <w:r w:rsidRPr="00285312">
        <w:rPr>
          <w:rFonts w:ascii="Baskerville" w:hAnsi="Baskerville"/>
          <w:sz w:val="20"/>
          <w:szCs w:val="20"/>
        </w:rPr>
        <w:t xml:space="preserve"> </w:t>
      </w:r>
      <w:r w:rsidRPr="00A21923">
        <w:rPr>
          <w:rFonts w:ascii="Baskerville" w:hAnsi="Baskerville"/>
          <w:i/>
          <w:iCs/>
          <w:sz w:val="20"/>
          <w:szCs w:val="20"/>
          <w:lang w:val="en-GB"/>
        </w:rPr>
        <w:t>R v Lord Chancellor, ex p Witham</w:t>
      </w:r>
      <w:r w:rsidRPr="00285312">
        <w:rPr>
          <w:rFonts w:ascii="Baskerville" w:hAnsi="Baskerville"/>
          <w:sz w:val="20"/>
          <w:szCs w:val="20"/>
          <w:lang w:val="en-GB"/>
        </w:rPr>
        <w:t xml:space="preserve"> [1998] QB 575</w:t>
      </w:r>
    </w:p>
  </w:footnote>
  <w:footnote w:id="5">
    <w:p w14:paraId="02D34285" w14:textId="735F5FE3" w:rsidR="000C2219" w:rsidRPr="00285312" w:rsidRDefault="000C2219">
      <w:pPr>
        <w:pStyle w:val="FootnoteText"/>
        <w:rPr>
          <w:rFonts w:ascii="Baskerville" w:hAnsi="Baskerville"/>
          <w:sz w:val="20"/>
          <w:szCs w:val="20"/>
          <w:lang w:val="en-GB"/>
        </w:rPr>
      </w:pPr>
      <w:r w:rsidRPr="00285312">
        <w:rPr>
          <w:rStyle w:val="FootnoteReference"/>
          <w:rFonts w:ascii="Baskerville" w:hAnsi="Baskerville"/>
          <w:sz w:val="20"/>
          <w:szCs w:val="20"/>
        </w:rPr>
        <w:footnoteRef/>
      </w:r>
      <w:r w:rsidRPr="00285312">
        <w:rPr>
          <w:rFonts w:ascii="Baskerville" w:hAnsi="Baskerville"/>
          <w:sz w:val="20"/>
          <w:szCs w:val="20"/>
        </w:rPr>
        <w:t xml:space="preserve"> </w:t>
      </w:r>
      <w:r w:rsidRPr="00A21923">
        <w:rPr>
          <w:rFonts w:ascii="Baskerville" w:hAnsi="Baskerville"/>
          <w:i/>
          <w:iCs/>
          <w:sz w:val="20"/>
          <w:szCs w:val="20"/>
          <w:lang w:val="en-GB"/>
        </w:rPr>
        <w:t>R v Secretary of State for the Home Department, ex p Simms</w:t>
      </w:r>
      <w:r w:rsidRPr="00285312">
        <w:rPr>
          <w:rFonts w:ascii="Baskerville" w:hAnsi="Baskerville"/>
          <w:sz w:val="20"/>
          <w:szCs w:val="20"/>
          <w:lang w:val="en-GB"/>
        </w:rPr>
        <w:t xml:space="preserve"> [2000] 2 AC 115</w:t>
      </w:r>
    </w:p>
  </w:footnote>
  <w:footnote w:id="6">
    <w:p w14:paraId="21891C28" w14:textId="77777777" w:rsidR="0019612C" w:rsidRPr="002B5669" w:rsidRDefault="0019612C" w:rsidP="0019612C">
      <w:pPr>
        <w:pStyle w:val="FootnoteText"/>
        <w:rPr>
          <w:rFonts w:ascii="Baskerville" w:hAnsi="Baskerville"/>
          <w:sz w:val="20"/>
          <w:szCs w:val="20"/>
          <w:lang w:val="en-GB"/>
        </w:rPr>
      </w:pPr>
      <w:r w:rsidRPr="002B5669">
        <w:rPr>
          <w:rStyle w:val="FootnoteReference"/>
          <w:rFonts w:ascii="Baskerville" w:hAnsi="Baskerville"/>
          <w:sz w:val="20"/>
          <w:szCs w:val="20"/>
        </w:rPr>
        <w:footnoteRef/>
      </w:r>
      <w:r>
        <w:t xml:space="preserve"> </w:t>
      </w:r>
      <w:r w:rsidRPr="002B5669">
        <w:rPr>
          <w:rFonts w:ascii="Baskerville" w:hAnsi="Baskerville"/>
          <w:i/>
          <w:sz w:val="20"/>
          <w:szCs w:val="20"/>
          <w:lang w:val="en-GB"/>
        </w:rPr>
        <w:t>Bromley LBC</w:t>
      </w:r>
      <w:r w:rsidRPr="002B5669">
        <w:rPr>
          <w:rFonts w:ascii="Baskerville" w:hAnsi="Baskerville"/>
          <w:sz w:val="20"/>
          <w:szCs w:val="20"/>
          <w:lang w:val="en-GB"/>
        </w:rPr>
        <w:t xml:space="preserve"> v </w:t>
      </w:r>
      <w:r w:rsidRPr="002B5669">
        <w:rPr>
          <w:rFonts w:ascii="Baskerville" w:hAnsi="Baskerville"/>
          <w:i/>
          <w:sz w:val="20"/>
          <w:szCs w:val="20"/>
          <w:lang w:val="en-GB"/>
        </w:rPr>
        <w:t>Greater London Council</w:t>
      </w:r>
      <w:r w:rsidRPr="002B5669">
        <w:rPr>
          <w:rFonts w:ascii="Baskerville" w:hAnsi="Baskerville"/>
          <w:sz w:val="20"/>
          <w:szCs w:val="20"/>
          <w:lang w:val="en-GB"/>
        </w:rPr>
        <w:t xml:space="preserve"> [1983] 1 AC 768</w:t>
      </w:r>
      <w:r>
        <w:rPr>
          <w:rFonts w:ascii="Baskerville" w:hAnsi="Baskerville"/>
          <w:sz w:val="20"/>
          <w:szCs w:val="20"/>
          <w:lang w:val="en-GB"/>
        </w:rPr>
        <w:t>, 821 (HL).</w:t>
      </w:r>
    </w:p>
  </w:footnote>
  <w:footnote w:id="7">
    <w:p w14:paraId="5BF231DF" w14:textId="51E4D526" w:rsidR="000C2219" w:rsidRPr="00060860" w:rsidRDefault="000C2219" w:rsidP="00060860">
      <w:pPr>
        <w:pStyle w:val="FootnoteText"/>
        <w:rPr>
          <w:rFonts w:ascii="Baskerville" w:hAnsi="Baskerville"/>
          <w:sz w:val="20"/>
          <w:szCs w:val="20"/>
          <w:lang w:val="en-GB"/>
        </w:rPr>
      </w:pPr>
      <w:r w:rsidRPr="00060860">
        <w:rPr>
          <w:rStyle w:val="FootnoteReference"/>
          <w:rFonts w:ascii="Baskerville" w:hAnsi="Baskerville"/>
          <w:sz w:val="20"/>
          <w:szCs w:val="20"/>
        </w:rPr>
        <w:footnoteRef/>
      </w:r>
      <w:r w:rsidRPr="00060860">
        <w:rPr>
          <w:rFonts w:ascii="Baskerville" w:hAnsi="Baskerville"/>
          <w:sz w:val="20"/>
          <w:szCs w:val="20"/>
        </w:rPr>
        <w:t xml:space="preserve"> </w:t>
      </w:r>
      <w:r w:rsidRPr="00060860">
        <w:rPr>
          <w:rFonts w:ascii="Baskerville" w:hAnsi="Baskerville"/>
          <w:sz w:val="20"/>
          <w:szCs w:val="20"/>
          <w:lang w:val="en-GB"/>
        </w:rPr>
        <w:t>(2003) 214 CLR 1</w:t>
      </w:r>
      <w:r>
        <w:rPr>
          <w:rFonts w:ascii="Baskerville" w:hAnsi="Baskerville"/>
          <w:sz w:val="20"/>
          <w:szCs w:val="20"/>
          <w:lang w:val="en-GB"/>
        </w:rPr>
        <w:t xml:space="preserve"> (HCA).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67D"/>
    <w:multiLevelType w:val="multilevel"/>
    <w:tmpl w:val="CD6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93603"/>
    <w:multiLevelType w:val="multilevel"/>
    <w:tmpl w:val="8FB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50628"/>
    <w:multiLevelType w:val="multilevel"/>
    <w:tmpl w:val="972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A380A"/>
    <w:multiLevelType w:val="multilevel"/>
    <w:tmpl w:val="342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733C2"/>
    <w:multiLevelType w:val="multilevel"/>
    <w:tmpl w:val="9742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84F2C"/>
    <w:multiLevelType w:val="multilevel"/>
    <w:tmpl w:val="32F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705C0"/>
    <w:multiLevelType w:val="multilevel"/>
    <w:tmpl w:val="793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F584F"/>
    <w:multiLevelType w:val="multilevel"/>
    <w:tmpl w:val="501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06554"/>
    <w:multiLevelType w:val="multilevel"/>
    <w:tmpl w:val="3FB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27A40"/>
    <w:multiLevelType w:val="multilevel"/>
    <w:tmpl w:val="686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CE0666"/>
    <w:multiLevelType w:val="multilevel"/>
    <w:tmpl w:val="312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D47EE"/>
    <w:multiLevelType w:val="multilevel"/>
    <w:tmpl w:val="7C4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05C5D"/>
    <w:multiLevelType w:val="multilevel"/>
    <w:tmpl w:val="324E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E282D"/>
    <w:multiLevelType w:val="multilevel"/>
    <w:tmpl w:val="DCF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B5537"/>
    <w:multiLevelType w:val="multilevel"/>
    <w:tmpl w:val="EF8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43C2B"/>
    <w:multiLevelType w:val="multilevel"/>
    <w:tmpl w:val="F334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82DC9"/>
    <w:multiLevelType w:val="multilevel"/>
    <w:tmpl w:val="43F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440E91"/>
    <w:multiLevelType w:val="multilevel"/>
    <w:tmpl w:val="ED0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A1FE4"/>
    <w:multiLevelType w:val="multilevel"/>
    <w:tmpl w:val="67E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43662B"/>
    <w:multiLevelType w:val="multilevel"/>
    <w:tmpl w:val="9224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37416E"/>
    <w:multiLevelType w:val="multilevel"/>
    <w:tmpl w:val="D3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37356C"/>
    <w:multiLevelType w:val="multilevel"/>
    <w:tmpl w:val="6488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1"/>
  </w:num>
  <w:num w:numId="3">
    <w:abstractNumId w:val="1"/>
  </w:num>
  <w:num w:numId="4">
    <w:abstractNumId w:val="17"/>
  </w:num>
  <w:num w:numId="5">
    <w:abstractNumId w:val="4"/>
  </w:num>
  <w:num w:numId="6">
    <w:abstractNumId w:val="15"/>
  </w:num>
  <w:num w:numId="7">
    <w:abstractNumId w:val="6"/>
  </w:num>
  <w:num w:numId="8">
    <w:abstractNumId w:val="12"/>
  </w:num>
  <w:num w:numId="9">
    <w:abstractNumId w:val="10"/>
  </w:num>
  <w:num w:numId="10">
    <w:abstractNumId w:val="14"/>
  </w:num>
  <w:num w:numId="11">
    <w:abstractNumId w:val="13"/>
  </w:num>
  <w:num w:numId="12">
    <w:abstractNumId w:val="0"/>
  </w:num>
  <w:num w:numId="13">
    <w:abstractNumId w:val="16"/>
  </w:num>
  <w:num w:numId="14">
    <w:abstractNumId w:val="5"/>
  </w:num>
  <w:num w:numId="15">
    <w:abstractNumId w:val="19"/>
  </w:num>
  <w:num w:numId="16">
    <w:abstractNumId w:val="3"/>
  </w:num>
  <w:num w:numId="17">
    <w:abstractNumId w:val="2"/>
  </w:num>
  <w:num w:numId="18">
    <w:abstractNumId w:val="18"/>
  </w:num>
  <w:num w:numId="19">
    <w:abstractNumId w:val="9"/>
  </w:num>
  <w:num w:numId="20">
    <w:abstractNumId w:val="8"/>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E2"/>
    <w:rsid w:val="000003DA"/>
    <w:rsid w:val="000021AB"/>
    <w:rsid w:val="00004F46"/>
    <w:rsid w:val="0000782A"/>
    <w:rsid w:val="000079EA"/>
    <w:rsid w:val="00007C1C"/>
    <w:rsid w:val="0001135C"/>
    <w:rsid w:val="00011CC1"/>
    <w:rsid w:val="00011E38"/>
    <w:rsid w:val="000129B6"/>
    <w:rsid w:val="00014F75"/>
    <w:rsid w:val="00020F5E"/>
    <w:rsid w:val="000256DF"/>
    <w:rsid w:val="000306DB"/>
    <w:rsid w:val="000356EB"/>
    <w:rsid w:val="00035DE7"/>
    <w:rsid w:val="000371FF"/>
    <w:rsid w:val="000415C5"/>
    <w:rsid w:val="00044498"/>
    <w:rsid w:val="00053967"/>
    <w:rsid w:val="00054262"/>
    <w:rsid w:val="00054F17"/>
    <w:rsid w:val="00055DF9"/>
    <w:rsid w:val="00056D5F"/>
    <w:rsid w:val="00056EF9"/>
    <w:rsid w:val="000579BF"/>
    <w:rsid w:val="00060860"/>
    <w:rsid w:val="00060A37"/>
    <w:rsid w:val="00065A79"/>
    <w:rsid w:val="000670EE"/>
    <w:rsid w:val="00070409"/>
    <w:rsid w:val="0007128D"/>
    <w:rsid w:val="0007268C"/>
    <w:rsid w:val="0007317E"/>
    <w:rsid w:val="00076B8A"/>
    <w:rsid w:val="000801BE"/>
    <w:rsid w:val="000903E9"/>
    <w:rsid w:val="000908D4"/>
    <w:rsid w:val="00092D1E"/>
    <w:rsid w:val="000935B0"/>
    <w:rsid w:val="00094289"/>
    <w:rsid w:val="0009562D"/>
    <w:rsid w:val="000962AA"/>
    <w:rsid w:val="0009650E"/>
    <w:rsid w:val="00096ECA"/>
    <w:rsid w:val="000A1C74"/>
    <w:rsid w:val="000A3028"/>
    <w:rsid w:val="000A5C63"/>
    <w:rsid w:val="000A6446"/>
    <w:rsid w:val="000B042E"/>
    <w:rsid w:val="000B3334"/>
    <w:rsid w:val="000B4339"/>
    <w:rsid w:val="000B4F4A"/>
    <w:rsid w:val="000B58E6"/>
    <w:rsid w:val="000C2219"/>
    <w:rsid w:val="000C4018"/>
    <w:rsid w:val="000C4387"/>
    <w:rsid w:val="000C7777"/>
    <w:rsid w:val="000D15A9"/>
    <w:rsid w:val="000D36C7"/>
    <w:rsid w:val="000D3910"/>
    <w:rsid w:val="000D59C3"/>
    <w:rsid w:val="000D73C0"/>
    <w:rsid w:val="000E1D78"/>
    <w:rsid w:val="000E75BF"/>
    <w:rsid w:val="000F25B5"/>
    <w:rsid w:val="000F644D"/>
    <w:rsid w:val="000F7CEC"/>
    <w:rsid w:val="001015CF"/>
    <w:rsid w:val="001028F4"/>
    <w:rsid w:val="0010305F"/>
    <w:rsid w:val="0010314C"/>
    <w:rsid w:val="001032EF"/>
    <w:rsid w:val="00103DB6"/>
    <w:rsid w:val="00111169"/>
    <w:rsid w:val="001131E9"/>
    <w:rsid w:val="0012448F"/>
    <w:rsid w:val="00125FDD"/>
    <w:rsid w:val="001266DE"/>
    <w:rsid w:val="00131711"/>
    <w:rsid w:val="0013494C"/>
    <w:rsid w:val="0013793A"/>
    <w:rsid w:val="00140FF9"/>
    <w:rsid w:val="001438F9"/>
    <w:rsid w:val="00146B5F"/>
    <w:rsid w:val="00146D72"/>
    <w:rsid w:val="00147EBA"/>
    <w:rsid w:val="00150D46"/>
    <w:rsid w:val="001546BF"/>
    <w:rsid w:val="00154910"/>
    <w:rsid w:val="00163863"/>
    <w:rsid w:val="00164720"/>
    <w:rsid w:val="00164872"/>
    <w:rsid w:val="00167659"/>
    <w:rsid w:val="0017094D"/>
    <w:rsid w:val="00174EEC"/>
    <w:rsid w:val="00175E8F"/>
    <w:rsid w:val="00175FF6"/>
    <w:rsid w:val="001802DD"/>
    <w:rsid w:val="00180541"/>
    <w:rsid w:val="00180F41"/>
    <w:rsid w:val="001829A8"/>
    <w:rsid w:val="00184F36"/>
    <w:rsid w:val="0018694E"/>
    <w:rsid w:val="00193186"/>
    <w:rsid w:val="001940E7"/>
    <w:rsid w:val="001950DA"/>
    <w:rsid w:val="00195F3E"/>
    <w:rsid w:val="0019612C"/>
    <w:rsid w:val="001A2C9B"/>
    <w:rsid w:val="001A3796"/>
    <w:rsid w:val="001A4DBC"/>
    <w:rsid w:val="001A54B3"/>
    <w:rsid w:val="001A5689"/>
    <w:rsid w:val="001A6EFF"/>
    <w:rsid w:val="001A7138"/>
    <w:rsid w:val="001A78B0"/>
    <w:rsid w:val="001B1EA3"/>
    <w:rsid w:val="001B2CDA"/>
    <w:rsid w:val="001B54D4"/>
    <w:rsid w:val="001C29D6"/>
    <w:rsid w:val="001C71FC"/>
    <w:rsid w:val="001D17BC"/>
    <w:rsid w:val="001D3FA6"/>
    <w:rsid w:val="001D6D82"/>
    <w:rsid w:val="001D6E5A"/>
    <w:rsid w:val="001E0639"/>
    <w:rsid w:val="001E4341"/>
    <w:rsid w:val="001E5566"/>
    <w:rsid w:val="001E66FF"/>
    <w:rsid w:val="001E6FF8"/>
    <w:rsid w:val="001F1191"/>
    <w:rsid w:val="001F1AB6"/>
    <w:rsid w:val="001F1E49"/>
    <w:rsid w:val="001F254B"/>
    <w:rsid w:val="001F6327"/>
    <w:rsid w:val="00200ECF"/>
    <w:rsid w:val="00211E03"/>
    <w:rsid w:val="00212111"/>
    <w:rsid w:val="00214184"/>
    <w:rsid w:val="00215754"/>
    <w:rsid w:val="00216A26"/>
    <w:rsid w:val="002225BE"/>
    <w:rsid w:val="002267D1"/>
    <w:rsid w:val="002308BE"/>
    <w:rsid w:val="002314BF"/>
    <w:rsid w:val="00233EDB"/>
    <w:rsid w:val="00236FD2"/>
    <w:rsid w:val="00237CCA"/>
    <w:rsid w:val="00237CCE"/>
    <w:rsid w:val="0024325F"/>
    <w:rsid w:val="0024368C"/>
    <w:rsid w:val="00245E8D"/>
    <w:rsid w:val="00246051"/>
    <w:rsid w:val="002467E9"/>
    <w:rsid w:val="00246808"/>
    <w:rsid w:val="00246DBF"/>
    <w:rsid w:val="0025035F"/>
    <w:rsid w:val="00252586"/>
    <w:rsid w:val="00254F34"/>
    <w:rsid w:val="00255943"/>
    <w:rsid w:val="00261F4B"/>
    <w:rsid w:val="00262092"/>
    <w:rsid w:val="002656C7"/>
    <w:rsid w:val="00270D64"/>
    <w:rsid w:val="002845BC"/>
    <w:rsid w:val="00285312"/>
    <w:rsid w:val="002865D8"/>
    <w:rsid w:val="00290F98"/>
    <w:rsid w:val="0029131B"/>
    <w:rsid w:val="00291BBE"/>
    <w:rsid w:val="002923E2"/>
    <w:rsid w:val="00292A58"/>
    <w:rsid w:val="00293EB7"/>
    <w:rsid w:val="002A0552"/>
    <w:rsid w:val="002A0952"/>
    <w:rsid w:val="002A2B54"/>
    <w:rsid w:val="002A32D2"/>
    <w:rsid w:val="002A3C5C"/>
    <w:rsid w:val="002A4346"/>
    <w:rsid w:val="002A489F"/>
    <w:rsid w:val="002A5A32"/>
    <w:rsid w:val="002A65BA"/>
    <w:rsid w:val="002B36FA"/>
    <w:rsid w:val="002B5669"/>
    <w:rsid w:val="002C15EE"/>
    <w:rsid w:val="002C1DC7"/>
    <w:rsid w:val="002C3EFE"/>
    <w:rsid w:val="002C6FFA"/>
    <w:rsid w:val="002D20C1"/>
    <w:rsid w:val="002D218F"/>
    <w:rsid w:val="002D25F2"/>
    <w:rsid w:val="002D6FCB"/>
    <w:rsid w:val="002E0825"/>
    <w:rsid w:val="002E2B66"/>
    <w:rsid w:val="002E5D90"/>
    <w:rsid w:val="002E5E58"/>
    <w:rsid w:val="002F03F5"/>
    <w:rsid w:val="002F0494"/>
    <w:rsid w:val="002F1B51"/>
    <w:rsid w:val="002F2157"/>
    <w:rsid w:val="002F4146"/>
    <w:rsid w:val="002F4447"/>
    <w:rsid w:val="002F4564"/>
    <w:rsid w:val="00301A87"/>
    <w:rsid w:val="00302624"/>
    <w:rsid w:val="00303F2D"/>
    <w:rsid w:val="00304677"/>
    <w:rsid w:val="00304D08"/>
    <w:rsid w:val="00304E73"/>
    <w:rsid w:val="003061DC"/>
    <w:rsid w:val="00310FDA"/>
    <w:rsid w:val="003110D7"/>
    <w:rsid w:val="003121F6"/>
    <w:rsid w:val="00312D79"/>
    <w:rsid w:val="00315744"/>
    <w:rsid w:val="00316240"/>
    <w:rsid w:val="003163ED"/>
    <w:rsid w:val="00320905"/>
    <w:rsid w:val="00320AC1"/>
    <w:rsid w:val="00320BE9"/>
    <w:rsid w:val="003219E6"/>
    <w:rsid w:val="003234D1"/>
    <w:rsid w:val="00324FBC"/>
    <w:rsid w:val="003255B9"/>
    <w:rsid w:val="003271F2"/>
    <w:rsid w:val="00331227"/>
    <w:rsid w:val="00335983"/>
    <w:rsid w:val="00335DE7"/>
    <w:rsid w:val="003401A7"/>
    <w:rsid w:val="0034241A"/>
    <w:rsid w:val="00343A6F"/>
    <w:rsid w:val="0034488D"/>
    <w:rsid w:val="00351A07"/>
    <w:rsid w:val="0035534B"/>
    <w:rsid w:val="00356243"/>
    <w:rsid w:val="00356D2B"/>
    <w:rsid w:val="003638ED"/>
    <w:rsid w:val="00363966"/>
    <w:rsid w:val="00366158"/>
    <w:rsid w:val="00367C36"/>
    <w:rsid w:val="00370A3F"/>
    <w:rsid w:val="003720DA"/>
    <w:rsid w:val="00373C7C"/>
    <w:rsid w:val="00374476"/>
    <w:rsid w:val="003744BC"/>
    <w:rsid w:val="00374D27"/>
    <w:rsid w:val="0037653C"/>
    <w:rsid w:val="003773F4"/>
    <w:rsid w:val="00381EBB"/>
    <w:rsid w:val="0038257D"/>
    <w:rsid w:val="0038258E"/>
    <w:rsid w:val="0038320B"/>
    <w:rsid w:val="00385422"/>
    <w:rsid w:val="00390B4D"/>
    <w:rsid w:val="00393211"/>
    <w:rsid w:val="003940F9"/>
    <w:rsid w:val="003A0DBE"/>
    <w:rsid w:val="003A0EC8"/>
    <w:rsid w:val="003A45CA"/>
    <w:rsid w:val="003A4EA3"/>
    <w:rsid w:val="003A5107"/>
    <w:rsid w:val="003B08BC"/>
    <w:rsid w:val="003B192C"/>
    <w:rsid w:val="003B264D"/>
    <w:rsid w:val="003B5996"/>
    <w:rsid w:val="003C388B"/>
    <w:rsid w:val="003D0912"/>
    <w:rsid w:val="003D2ADE"/>
    <w:rsid w:val="003D4708"/>
    <w:rsid w:val="003D5169"/>
    <w:rsid w:val="003D7F8F"/>
    <w:rsid w:val="003E16C4"/>
    <w:rsid w:val="003E623C"/>
    <w:rsid w:val="003F1C06"/>
    <w:rsid w:val="003F1FB1"/>
    <w:rsid w:val="003F34D1"/>
    <w:rsid w:val="003F6D5D"/>
    <w:rsid w:val="00401562"/>
    <w:rsid w:val="00401CC9"/>
    <w:rsid w:val="004030BB"/>
    <w:rsid w:val="0040417B"/>
    <w:rsid w:val="00405946"/>
    <w:rsid w:val="00410294"/>
    <w:rsid w:val="00410972"/>
    <w:rsid w:val="00410BBA"/>
    <w:rsid w:val="0041280A"/>
    <w:rsid w:val="00413C32"/>
    <w:rsid w:val="00415807"/>
    <w:rsid w:val="00417FDB"/>
    <w:rsid w:val="004216C8"/>
    <w:rsid w:val="004217A6"/>
    <w:rsid w:val="00422A9B"/>
    <w:rsid w:val="004230BD"/>
    <w:rsid w:val="00423471"/>
    <w:rsid w:val="00427B5C"/>
    <w:rsid w:val="0043002A"/>
    <w:rsid w:val="00434C8B"/>
    <w:rsid w:val="0044092A"/>
    <w:rsid w:val="00440BC8"/>
    <w:rsid w:val="0044322C"/>
    <w:rsid w:val="004433D1"/>
    <w:rsid w:val="00444734"/>
    <w:rsid w:val="00444CD0"/>
    <w:rsid w:val="00445102"/>
    <w:rsid w:val="00445B02"/>
    <w:rsid w:val="00446AE9"/>
    <w:rsid w:val="004518C6"/>
    <w:rsid w:val="00452283"/>
    <w:rsid w:val="00456AC1"/>
    <w:rsid w:val="00456FE1"/>
    <w:rsid w:val="00460865"/>
    <w:rsid w:val="0046280F"/>
    <w:rsid w:val="004715C4"/>
    <w:rsid w:val="00471D14"/>
    <w:rsid w:val="004750FC"/>
    <w:rsid w:val="004753DC"/>
    <w:rsid w:val="00475FEE"/>
    <w:rsid w:val="00481A7E"/>
    <w:rsid w:val="00481FE7"/>
    <w:rsid w:val="004823CC"/>
    <w:rsid w:val="00482DFE"/>
    <w:rsid w:val="0048766E"/>
    <w:rsid w:val="00487A4F"/>
    <w:rsid w:val="00496D3C"/>
    <w:rsid w:val="004A138A"/>
    <w:rsid w:val="004A3281"/>
    <w:rsid w:val="004A4442"/>
    <w:rsid w:val="004A47D1"/>
    <w:rsid w:val="004A6075"/>
    <w:rsid w:val="004A6D61"/>
    <w:rsid w:val="004B1388"/>
    <w:rsid w:val="004B23A5"/>
    <w:rsid w:val="004B23C3"/>
    <w:rsid w:val="004B47AB"/>
    <w:rsid w:val="004C0370"/>
    <w:rsid w:val="004C1B2B"/>
    <w:rsid w:val="004D03FA"/>
    <w:rsid w:val="004D1EF9"/>
    <w:rsid w:val="004D39F6"/>
    <w:rsid w:val="004D7A02"/>
    <w:rsid w:val="004E207E"/>
    <w:rsid w:val="004E2EC4"/>
    <w:rsid w:val="004E778E"/>
    <w:rsid w:val="004E7FF1"/>
    <w:rsid w:val="004F0091"/>
    <w:rsid w:val="004F0D1B"/>
    <w:rsid w:val="004F3400"/>
    <w:rsid w:val="004F4325"/>
    <w:rsid w:val="004F4D61"/>
    <w:rsid w:val="00503B15"/>
    <w:rsid w:val="0050572D"/>
    <w:rsid w:val="005122D9"/>
    <w:rsid w:val="005139B4"/>
    <w:rsid w:val="00513E50"/>
    <w:rsid w:val="0051569E"/>
    <w:rsid w:val="005162B4"/>
    <w:rsid w:val="00516D19"/>
    <w:rsid w:val="005179EA"/>
    <w:rsid w:val="00521F2A"/>
    <w:rsid w:val="005253EA"/>
    <w:rsid w:val="00527B3A"/>
    <w:rsid w:val="00527E50"/>
    <w:rsid w:val="00532803"/>
    <w:rsid w:val="00532C28"/>
    <w:rsid w:val="005333C8"/>
    <w:rsid w:val="005335D2"/>
    <w:rsid w:val="00533FE3"/>
    <w:rsid w:val="00534854"/>
    <w:rsid w:val="005375CE"/>
    <w:rsid w:val="00537D7A"/>
    <w:rsid w:val="00542AC7"/>
    <w:rsid w:val="00547F59"/>
    <w:rsid w:val="0055463E"/>
    <w:rsid w:val="00562D1F"/>
    <w:rsid w:val="005645E9"/>
    <w:rsid w:val="00565ED1"/>
    <w:rsid w:val="00566E5D"/>
    <w:rsid w:val="0057095B"/>
    <w:rsid w:val="00572F5B"/>
    <w:rsid w:val="005752DA"/>
    <w:rsid w:val="005772D8"/>
    <w:rsid w:val="00577795"/>
    <w:rsid w:val="005830CE"/>
    <w:rsid w:val="00587194"/>
    <w:rsid w:val="00587B5D"/>
    <w:rsid w:val="00587D12"/>
    <w:rsid w:val="005904BC"/>
    <w:rsid w:val="00591171"/>
    <w:rsid w:val="005921D2"/>
    <w:rsid w:val="005926BA"/>
    <w:rsid w:val="00593026"/>
    <w:rsid w:val="005946EC"/>
    <w:rsid w:val="005979BA"/>
    <w:rsid w:val="005A0843"/>
    <w:rsid w:val="005A4E0E"/>
    <w:rsid w:val="005A5609"/>
    <w:rsid w:val="005B20D1"/>
    <w:rsid w:val="005B351A"/>
    <w:rsid w:val="005B40E8"/>
    <w:rsid w:val="005B495E"/>
    <w:rsid w:val="005C052D"/>
    <w:rsid w:val="005C36CC"/>
    <w:rsid w:val="005C3CB0"/>
    <w:rsid w:val="005C50CA"/>
    <w:rsid w:val="005C6A5C"/>
    <w:rsid w:val="005C6A5D"/>
    <w:rsid w:val="005D35FC"/>
    <w:rsid w:val="005D657A"/>
    <w:rsid w:val="005D7DA9"/>
    <w:rsid w:val="005E031F"/>
    <w:rsid w:val="005F0B40"/>
    <w:rsid w:val="005F1BD4"/>
    <w:rsid w:val="005F2A2B"/>
    <w:rsid w:val="005F2ACF"/>
    <w:rsid w:val="005F55C9"/>
    <w:rsid w:val="005F5A30"/>
    <w:rsid w:val="006004F3"/>
    <w:rsid w:val="006035DC"/>
    <w:rsid w:val="00604FAE"/>
    <w:rsid w:val="00605B83"/>
    <w:rsid w:val="00605C64"/>
    <w:rsid w:val="00614166"/>
    <w:rsid w:val="00623E97"/>
    <w:rsid w:val="00623EF0"/>
    <w:rsid w:val="00630312"/>
    <w:rsid w:val="00632A05"/>
    <w:rsid w:val="0064044A"/>
    <w:rsid w:val="006412F1"/>
    <w:rsid w:val="006419CD"/>
    <w:rsid w:val="006432A0"/>
    <w:rsid w:val="0064368B"/>
    <w:rsid w:val="006451E8"/>
    <w:rsid w:val="006458A5"/>
    <w:rsid w:val="006512CF"/>
    <w:rsid w:val="006521A6"/>
    <w:rsid w:val="00653474"/>
    <w:rsid w:val="00654CFE"/>
    <w:rsid w:val="006579F0"/>
    <w:rsid w:val="0066023C"/>
    <w:rsid w:val="00660B6F"/>
    <w:rsid w:val="0066286A"/>
    <w:rsid w:val="0067131F"/>
    <w:rsid w:val="0067381A"/>
    <w:rsid w:val="00674436"/>
    <w:rsid w:val="006830D7"/>
    <w:rsid w:val="006838D5"/>
    <w:rsid w:val="0068424E"/>
    <w:rsid w:val="00684A08"/>
    <w:rsid w:val="00686B8D"/>
    <w:rsid w:val="00686C19"/>
    <w:rsid w:val="006A07FA"/>
    <w:rsid w:val="006B2D58"/>
    <w:rsid w:val="006B3F9C"/>
    <w:rsid w:val="006B6064"/>
    <w:rsid w:val="006B6AF1"/>
    <w:rsid w:val="006C4B8E"/>
    <w:rsid w:val="006C512B"/>
    <w:rsid w:val="006C513C"/>
    <w:rsid w:val="006D3927"/>
    <w:rsid w:val="006D3E6D"/>
    <w:rsid w:val="006D4CA0"/>
    <w:rsid w:val="006D5DA1"/>
    <w:rsid w:val="006D67FF"/>
    <w:rsid w:val="006D6F0E"/>
    <w:rsid w:val="006E0705"/>
    <w:rsid w:val="006E574B"/>
    <w:rsid w:val="006E65DC"/>
    <w:rsid w:val="006F1CEF"/>
    <w:rsid w:val="006F24CD"/>
    <w:rsid w:val="006F30ED"/>
    <w:rsid w:val="006F57A0"/>
    <w:rsid w:val="006F67D9"/>
    <w:rsid w:val="006F70F8"/>
    <w:rsid w:val="006F7BBB"/>
    <w:rsid w:val="00701B86"/>
    <w:rsid w:val="00702A72"/>
    <w:rsid w:val="00715AA9"/>
    <w:rsid w:val="00715B58"/>
    <w:rsid w:val="00720325"/>
    <w:rsid w:val="00720A70"/>
    <w:rsid w:val="00722C2E"/>
    <w:rsid w:val="00724365"/>
    <w:rsid w:val="00725066"/>
    <w:rsid w:val="00730535"/>
    <w:rsid w:val="00735875"/>
    <w:rsid w:val="00737EB6"/>
    <w:rsid w:val="00740EE2"/>
    <w:rsid w:val="007410D3"/>
    <w:rsid w:val="007439ED"/>
    <w:rsid w:val="00746625"/>
    <w:rsid w:val="007473C3"/>
    <w:rsid w:val="00752A09"/>
    <w:rsid w:val="00752BD4"/>
    <w:rsid w:val="00753C20"/>
    <w:rsid w:val="007562AE"/>
    <w:rsid w:val="00757AC2"/>
    <w:rsid w:val="007659A8"/>
    <w:rsid w:val="00770935"/>
    <w:rsid w:val="007711F2"/>
    <w:rsid w:val="00771AD5"/>
    <w:rsid w:val="0077220F"/>
    <w:rsid w:val="0077264B"/>
    <w:rsid w:val="00774235"/>
    <w:rsid w:val="007772DB"/>
    <w:rsid w:val="00780B82"/>
    <w:rsid w:val="00781077"/>
    <w:rsid w:val="007822CD"/>
    <w:rsid w:val="00784877"/>
    <w:rsid w:val="0078660D"/>
    <w:rsid w:val="00786CC3"/>
    <w:rsid w:val="00787D2E"/>
    <w:rsid w:val="007906B3"/>
    <w:rsid w:val="00790C9E"/>
    <w:rsid w:val="00791BA4"/>
    <w:rsid w:val="00793DF7"/>
    <w:rsid w:val="00797879"/>
    <w:rsid w:val="007A3088"/>
    <w:rsid w:val="007A47DD"/>
    <w:rsid w:val="007A7B41"/>
    <w:rsid w:val="007A7DA7"/>
    <w:rsid w:val="007A7FE3"/>
    <w:rsid w:val="007B4BAF"/>
    <w:rsid w:val="007B683A"/>
    <w:rsid w:val="007B7B99"/>
    <w:rsid w:val="007C17CC"/>
    <w:rsid w:val="007C342E"/>
    <w:rsid w:val="007C7AB2"/>
    <w:rsid w:val="007D614B"/>
    <w:rsid w:val="007E072B"/>
    <w:rsid w:val="007E4479"/>
    <w:rsid w:val="007F11FF"/>
    <w:rsid w:val="007F28B6"/>
    <w:rsid w:val="007F2BB8"/>
    <w:rsid w:val="007F53FB"/>
    <w:rsid w:val="007F736D"/>
    <w:rsid w:val="007F7844"/>
    <w:rsid w:val="00800B53"/>
    <w:rsid w:val="00800C61"/>
    <w:rsid w:val="0080215E"/>
    <w:rsid w:val="00803569"/>
    <w:rsid w:val="008049B1"/>
    <w:rsid w:val="00804CA9"/>
    <w:rsid w:val="00805117"/>
    <w:rsid w:val="00807028"/>
    <w:rsid w:val="008102CE"/>
    <w:rsid w:val="008130A1"/>
    <w:rsid w:val="008133A0"/>
    <w:rsid w:val="008141BE"/>
    <w:rsid w:val="00817365"/>
    <w:rsid w:val="00817C86"/>
    <w:rsid w:val="00821AA9"/>
    <w:rsid w:val="008228D8"/>
    <w:rsid w:val="008230D3"/>
    <w:rsid w:val="008234CD"/>
    <w:rsid w:val="0082397E"/>
    <w:rsid w:val="00823FFE"/>
    <w:rsid w:val="0082418A"/>
    <w:rsid w:val="00825F31"/>
    <w:rsid w:val="008266C2"/>
    <w:rsid w:val="008310B8"/>
    <w:rsid w:val="0083217C"/>
    <w:rsid w:val="00832D26"/>
    <w:rsid w:val="00833C62"/>
    <w:rsid w:val="00833EC0"/>
    <w:rsid w:val="008369B2"/>
    <w:rsid w:val="00840DF1"/>
    <w:rsid w:val="00844368"/>
    <w:rsid w:val="00846D3D"/>
    <w:rsid w:val="008503A6"/>
    <w:rsid w:val="00853333"/>
    <w:rsid w:val="0085444D"/>
    <w:rsid w:val="008546B3"/>
    <w:rsid w:val="00857A7E"/>
    <w:rsid w:val="00862683"/>
    <w:rsid w:val="008650FA"/>
    <w:rsid w:val="00867AB7"/>
    <w:rsid w:val="00870053"/>
    <w:rsid w:val="00870280"/>
    <w:rsid w:val="00874250"/>
    <w:rsid w:val="0087464C"/>
    <w:rsid w:val="00875F2D"/>
    <w:rsid w:val="008774D7"/>
    <w:rsid w:val="00880AD4"/>
    <w:rsid w:val="0088449A"/>
    <w:rsid w:val="00885487"/>
    <w:rsid w:val="00885747"/>
    <w:rsid w:val="00892CC6"/>
    <w:rsid w:val="00894309"/>
    <w:rsid w:val="008A1AEB"/>
    <w:rsid w:val="008A25E9"/>
    <w:rsid w:val="008A2E9F"/>
    <w:rsid w:val="008A30C3"/>
    <w:rsid w:val="008B1F4D"/>
    <w:rsid w:val="008B22DC"/>
    <w:rsid w:val="008B5421"/>
    <w:rsid w:val="008B71A5"/>
    <w:rsid w:val="008C140B"/>
    <w:rsid w:val="008C52A9"/>
    <w:rsid w:val="008C698A"/>
    <w:rsid w:val="008D37A8"/>
    <w:rsid w:val="008D44D5"/>
    <w:rsid w:val="008D5B20"/>
    <w:rsid w:val="008E07EF"/>
    <w:rsid w:val="008E0C3A"/>
    <w:rsid w:val="008F0F63"/>
    <w:rsid w:val="008F40D6"/>
    <w:rsid w:val="008F47AA"/>
    <w:rsid w:val="008F53C2"/>
    <w:rsid w:val="008F5B3E"/>
    <w:rsid w:val="008F6D72"/>
    <w:rsid w:val="008F75BD"/>
    <w:rsid w:val="00902F46"/>
    <w:rsid w:val="009030B6"/>
    <w:rsid w:val="009038B9"/>
    <w:rsid w:val="00903F3C"/>
    <w:rsid w:val="009067B6"/>
    <w:rsid w:val="00913D50"/>
    <w:rsid w:val="0091438D"/>
    <w:rsid w:val="009157FF"/>
    <w:rsid w:val="00916E06"/>
    <w:rsid w:val="00917A4D"/>
    <w:rsid w:val="009218E0"/>
    <w:rsid w:val="009221FF"/>
    <w:rsid w:val="00936455"/>
    <w:rsid w:val="009407A9"/>
    <w:rsid w:val="00941A50"/>
    <w:rsid w:val="00941C53"/>
    <w:rsid w:val="009445EC"/>
    <w:rsid w:val="00945C15"/>
    <w:rsid w:val="00946DF1"/>
    <w:rsid w:val="00946FF2"/>
    <w:rsid w:val="009552FE"/>
    <w:rsid w:val="00955608"/>
    <w:rsid w:val="0095743D"/>
    <w:rsid w:val="0096208B"/>
    <w:rsid w:val="0096286C"/>
    <w:rsid w:val="00970AF1"/>
    <w:rsid w:val="00972392"/>
    <w:rsid w:val="009755E9"/>
    <w:rsid w:val="0098346B"/>
    <w:rsid w:val="0098410A"/>
    <w:rsid w:val="00994DEB"/>
    <w:rsid w:val="0099503F"/>
    <w:rsid w:val="009950AF"/>
    <w:rsid w:val="0099694B"/>
    <w:rsid w:val="0099790F"/>
    <w:rsid w:val="00997937"/>
    <w:rsid w:val="009A0267"/>
    <w:rsid w:val="009A08E2"/>
    <w:rsid w:val="009A29BF"/>
    <w:rsid w:val="009A3CDA"/>
    <w:rsid w:val="009A5531"/>
    <w:rsid w:val="009A641B"/>
    <w:rsid w:val="009A7124"/>
    <w:rsid w:val="009B0731"/>
    <w:rsid w:val="009B2694"/>
    <w:rsid w:val="009B60ED"/>
    <w:rsid w:val="009B780D"/>
    <w:rsid w:val="009C06E2"/>
    <w:rsid w:val="009C2562"/>
    <w:rsid w:val="009C5207"/>
    <w:rsid w:val="009C5536"/>
    <w:rsid w:val="009C752A"/>
    <w:rsid w:val="009C76CF"/>
    <w:rsid w:val="009D2A08"/>
    <w:rsid w:val="009D380B"/>
    <w:rsid w:val="009D5DBB"/>
    <w:rsid w:val="009E00A4"/>
    <w:rsid w:val="009E09A4"/>
    <w:rsid w:val="009E1ED8"/>
    <w:rsid w:val="009E2ABD"/>
    <w:rsid w:val="009E2E21"/>
    <w:rsid w:val="009E3974"/>
    <w:rsid w:val="009E6AAE"/>
    <w:rsid w:val="009F5FB4"/>
    <w:rsid w:val="00A023D7"/>
    <w:rsid w:val="00A0314D"/>
    <w:rsid w:val="00A05A59"/>
    <w:rsid w:val="00A139D3"/>
    <w:rsid w:val="00A16BF7"/>
    <w:rsid w:val="00A16D7A"/>
    <w:rsid w:val="00A17376"/>
    <w:rsid w:val="00A21923"/>
    <w:rsid w:val="00A23A7E"/>
    <w:rsid w:val="00A317FF"/>
    <w:rsid w:val="00A325A4"/>
    <w:rsid w:val="00A358C6"/>
    <w:rsid w:val="00A35A3D"/>
    <w:rsid w:val="00A377D4"/>
    <w:rsid w:val="00A4185F"/>
    <w:rsid w:val="00A41A94"/>
    <w:rsid w:val="00A42016"/>
    <w:rsid w:val="00A44128"/>
    <w:rsid w:val="00A4421C"/>
    <w:rsid w:val="00A456B4"/>
    <w:rsid w:val="00A45F56"/>
    <w:rsid w:val="00A52022"/>
    <w:rsid w:val="00A52E06"/>
    <w:rsid w:val="00A53A5C"/>
    <w:rsid w:val="00A55854"/>
    <w:rsid w:val="00A56BFA"/>
    <w:rsid w:val="00A602EF"/>
    <w:rsid w:val="00A63D62"/>
    <w:rsid w:val="00A6401D"/>
    <w:rsid w:val="00A658BA"/>
    <w:rsid w:val="00A66563"/>
    <w:rsid w:val="00A67EFA"/>
    <w:rsid w:val="00A72767"/>
    <w:rsid w:val="00A72BD7"/>
    <w:rsid w:val="00A73FAF"/>
    <w:rsid w:val="00A74F10"/>
    <w:rsid w:val="00A76878"/>
    <w:rsid w:val="00A7737C"/>
    <w:rsid w:val="00A80585"/>
    <w:rsid w:val="00A80653"/>
    <w:rsid w:val="00A80F0E"/>
    <w:rsid w:val="00A82BCF"/>
    <w:rsid w:val="00A8374B"/>
    <w:rsid w:val="00A85070"/>
    <w:rsid w:val="00A85620"/>
    <w:rsid w:val="00A867B8"/>
    <w:rsid w:val="00A91F96"/>
    <w:rsid w:val="00AA31E4"/>
    <w:rsid w:val="00AB19C2"/>
    <w:rsid w:val="00AB2112"/>
    <w:rsid w:val="00AB21D0"/>
    <w:rsid w:val="00AB2A1C"/>
    <w:rsid w:val="00AB5233"/>
    <w:rsid w:val="00AB6137"/>
    <w:rsid w:val="00AB7649"/>
    <w:rsid w:val="00AB7C58"/>
    <w:rsid w:val="00AC09C3"/>
    <w:rsid w:val="00AC2308"/>
    <w:rsid w:val="00AC2628"/>
    <w:rsid w:val="00AC2951"/>
    <w:rsid w:val="00AC57B0"/>
    <w:rsid w:val="00AC7B2A"/>
    <w:rsid w:val="00AC7D1E"/>
    <w:rsid w:val="00AD2AE8"/>
    <w:rsid w:val="00AD2C96"/>
    <w:rsid w:val="00AD2EA3"/>
    <w:rsid w:val="00AD7086"/>
    <w:rsid w:val="00AD7BB7"/>
    <w:rsid w:val="00AE0FCD"/>
    <w:rsid w:val="00AE3990"/>
    <w:rsid w:val="00AE5025"/>
    <w:rsid w:val="00AE54D0"/>
    <w:rsid w:val="00AE6990"/>
    <w:rsid w:val="00AF3A15"/>
    <w:rsid w:val="00B00253"/>
    <w:rsid w:val="00B0147D"/>
    <w:rsid w:val="00B02ECD"/>
    <w:rsid w:val="00B0343F"/>
    <w:rsid w:val="00B0478A"/>
    <w:rsid w:val="00B1136E"/>
    <w:rsid w:val="00B13DDE"/>
    <w:rsid w:val="00B14B3B"/>
    <w:rsid w:val="00B14D0C"/>
    <w:rsid w:val="00B15426"/>
    <w:rsid w:val="00B223D1"/>
    <w:rsid w:val="00B24F9B"/>
    <w:rsid w:val="00B252B6"/>
    <w:rsid w:val="00B264B6"/>
    <w:rsid w:val="00B26AE4"/>
    <w:rsid w:val="00B31E40"/>
    <w:rsid w:val="00B32A57"/>
    <w:rsid w:val="00B32B19"/>
    <w:rsid w:val="00B35A78"/>
    <w:rsid w:val="00B36509"/>
    <w:rsid w:val="00B3665A"/>
    <w:rsid w:val="00B379EB"/>
    <w:rsid w:val="00B40CFA"/>
    <w:rsid w:val="00B4428A"/>
    <w:rsid w:val="00B4693C"/>
    <w:rsid w:val="00B46AF8"/>
    <w:rsid w:val="00B4730C"/>
    <w:rsid w:val="00B500B3"/>
    <w:rsid w:val="00B5131A"/>
    <w:rsid w:val="00B51402"/>
    <w:rsid w:val="00B52E23"/>
    <w:rsid w:val="00B52EAE"/>
    <w:rsid w:val="00B576E8"/>
    <w:rsid w:val="00B57843"/>
    <w:rsid w:val="00B62EE5"/>
    <w:rsid w:val="00B64F61"/>
    <w:rsid w:val="00B65479"/>
    <w:rsid w:val="00B71829"/>
    <w:rsid w:val="00B71D85"/>
    <w:rsid w:val="00B7283A"/>
    <w:rsid w:val="00B73136"/>
    <w:rsid w:val="00B73AE5"/>
    <w:rsid w:val="00B76F95"/>
    <w:rsid w:val="00B77B85"/>
    <w:rsid w:val="00B85AD5"/>
    <w:rsid w:val="00B86159"/>
    <w:rsid w:val="00B87603"/>
    <w:rsid w:val="00B9201F"/>
    <w:rsid w:val="00B94C70"/>
    <w:rsid w:val="00B95584"/>
    <w:rsid w:val="00B97FA1"/>
    <w:rsid w:val="00BA09F6"/>
    <w:rsid w:val="00BA6198"/>
    <w:rsid w:val="00BA7752"/>
    <w:rsid w:val="00BA7A5A"/>
    <w:rsid w:val="00BB09BA"/>
    <w:rsid w:val="00BB3F69"/>
    <w:rsid w:val="00BB504E"/>
    <w:rsid w:val="00BC228E"/>
    <w:rsid w:val="00BC2C6F"/>
    <w:rsid w:val="00BC2F18"/>
    <w:rsid w:val="00BC38A5"/>
    <w:rsid w:val="00BD2025"/>
    <w:rsid w:val="00BD2A1D"/>
    <w:rsid w:val="00BD69BF"/>
    <w:rsid w:val="00BD69D9"/>
    <w:rsid w:val="00BD6AA1"/>
    <w:rsid w:val="00BD7B6F"/>
    <w:rsid w:val="00BD7D12"/>
    <w:rsid w:val="00BE0ABB"/>
    <w:rsid w:val="00BE0BEC"/>
    <w:rsid w:val="00BE126A"/>
    <w:rsid w:val="00BE156A"/>
    <w:rsid w:val="00BE4554"/>
    <w:rsid w:val="00BE7380"/>
    <w:rsid w:val="00BF11AD"/>
    <w:rsid w:val="00BF19C7"/>
    <w:rsid w:val="00BF2CD0"/>
    <w:rsid w:val="00BF3866"/>
    <w:rsid w:val="00C019C2"/>
    <w:rsid w:val="00C04AF3"/>
    <w:rsid w:val="00C06071"/>
    <w:rsid w:val="00C065CE"/>
    <w:rsid w:val="00C076F2"/>
    <w:rsid w:val="00C120A2"/>
    <w:rsid w:val="00C131E0"/>
    <w:rsid w:val="00C13FDC"/>
    <w:rsid w:val="00C15BDE"/>
    <w:rsid w:val="00C17A7C"/>
    <w:rsid w:val="00C21648"/>
    <w:rsid w:val="00C21CF5"/>
    <w:rsid w:val="00C2218B"/>
    <w:rsid w:val="00C22D85"/>
    <w:rsid w:val="00C24545"/>
    <w:rsid w:val="00C2464A"/>
    <w:rsid w:val="00C326A6"/>
    <w:rsid w:val="00C34F19"/>
    <w:rsid w:val="00C42C94"/>
    <w:rsid w:val="00C43293"/>
    <w:rsid w:val="00C450EA"/>
    <w:rsid w:val="00C46BB5"/>
    <w:rsid w:val="00C52943"/>
    <w:rsid w:val="00C55DD0"/>
    <w:rsid w:val="00C57EA1"/>
    <w:rsid w:val="00C60F0F"/>
    <w:rsid w:val="00C65131"/>
    <w:rsid w:val="00C658A7"/>
    <w:rsid w:val="00C71733"/>
    <w:rsid w:val="00C729C6"/>
    <w:rsid w:val="00C736E8"/>
    <w:rsid w:val="00C76864"/>
    <w:rsid w:val="00C831D6"/>
    <w:rsid w:val="00C92796"/>
    <w:rsid w:val="00C9461A"/>
    <w:rsid w:val="00C97952"/>
    <w:rsid w:val="00CA2CFD"/>
    <w:rsid w:val="00CA4ACF"/>
    <w:rsid w:val="00CA581A"/>
    <w:rsid w:val="00CA5BB4"/>
    <w:rsid w:val="00CB1C33"/>
    <w:rsid w:val="00CB5A13"/>
    <w:rsid w:val="00CC12F8"/>
    <w:rsid w:val="00CC1AF6"/>
    <w:rsid w:val="00CC2D0E"/>
    <w:rsid w:val="00CC3883"/>
    <w:rsid w:val="00CC4A6E"/>
    <w:rsid w:val="00CC5132"/>
    <w:rsid w:val="00CC6ABA"/>
    <w:rsid w:val="00CD19E0"/>
    <w:rsid w:val="00CE0734"/>
    <w:rsid w:val="00CE249E"/>
    <w:rsid w:val="00CE6FDB"/>
    <w:rsid w:val="00CE72F9"/>
    <w:rsid w:val="00CF0A7E"/>
    <w:rsid w:val="00CF2802"/>
    <w:rsid w:val="00D0173A"/>
    <w:rsid w:val="00D01ABF"/>
    <w:rsid w:val="00D100A9"/>
    <w:rsid w:val="00D10F2B"/>
    <w:rsid w:val="00D10F96"/>
    <w:rsid w:val="00D12078"/>
    <w:rsid w:val="00D16A12"/>
    <w:rsid w:val="00D24164"/>
    <w:rsid w:val="00D30662"/>
    <w:rsid w:val="00D32548"/>
    <w:rsid w:val="00D32EAF"/>
    <w:rsid w:val="00D368D0"/>
    <w:rsid w:val="00D41C89"/>
    <w:rsid w:val="00D435ED"/>
    <w:rsid w:val="00D44E47"/>
    <w:rsid w:val="00D44FC5"/>
    <w:rsid w:val="00D458BE"/>
    <w:rsid w:val="00D45956"/>
    <w:rsid w:val="00D5169A"/>
    <w:rsid w:val="00D51A4C"/>
    <w:rsid w:val="00D523B3"/>
    <w:rsid w:val="00D54758"/>
    <w:rsid w:val="00D55350"/>
    <w:rsid w:val="00D56E2E"/>
    <w:rsid w:val="00D57DD6"/>
    <w:rsid w:val="00D648FF"/>
    <w:rsid w:val="00D654F2"/>
    <w:rsid w:val="00D67F96"/>
    <w:rsid w:val="00D70EA3"/>
    <w:rsid w:val="00D7190F"/>
    <w:rsid w:val="00D7275E"/>
    <w:rsid w:val="00D72E90"/>
    <w:rsid w:val="00D737BA"/>
    <w:rsid w:val="00D7464E"/>
    <w:rsid w:val="00D7535D"/>
    <w:rsid w:val="00D7662A"/>
    <w:rsid w:val="00D86199"/>
    <w:rsid w:val="00DA116D"/>
    <w:rsid w:val="00DA1209"/>
    <w:rsid w:val="00DA29CC"/>
    <w:rsid w:val="00DA3029"/>
    <w:rsid w:val="00DA3F75"/>
    <w:rsid w:val="00DA4838"/>
    <w:rsid w:val="00DA4E5A"/>
    <w:rsid w:val="00DB0089"/>
    <w:rsid w:val="00DB328E"/>
    <w:rsid w:val="00DB58EA"/>
    <w:rsid w:val="00DC007A"/>
    <w:rsid w:val="00DC304D"/>
    <w:rsid w:val="00DC4F06"/>
    <w:rsid w:val="00DC527D"/>
    <w:rsid w:val="00DC791D"/>
    <w:rsid w:val="00DC7D16"/>
    <w:rsid w:val="00DD5842"/>
    <w:rsid w:val="00DD5AB3"/>
    <w:rsid w:val="00DD7646"/>
    <w:rsid w:val="00DE41B8"/>
    <w:rsid w:val="00DE4C1B"/>
    <w:rsid w:val="00DF2D1E"/>
    <w:rsid w:val="00DF2DC7"/>
    <w:rsid w:val="00DF66C2"/>
    <w:rsid w:val="00E00027"/>
    <w:rsid w:val="00E00689"/>
    <w:rsid w:val="00E01C83"/>
    <w:rsid w:val="00E01E44"/>
    <w:rsid w:val="00E02DBC"/>
    <w:rsid w:val="00E14A44"/>
    <w:rsid w:val="00E16E20"/>
    <w:rsid w:val="00E20C8D"/>
    <w:rsid w:val="00E23A84"/>
    <w:rsid w:val="00E24744"/>
    <w:rsid w:val="00E250CD"/>
    <w:rsid w:val="00E27A27"/>
    <w:rsid w:val="00E3006B"/>
    <w:rsid w:val="00E30736"/>
    <w:rsid w:val="00E3204F"/>
    <w:rsid w:val="00E34709"/>
    <w:rsid w:val="00E436A9"/>
    <w:rsid w:val="00E47431"/>
    <w:rsid w:val="00E51C9F"/>
    <w:rsid w:val="00E520CF"/>
    <w:rsid w:val="00E52535"/>
    <w:rsid w:val="00E56194"/>
    <w:rsid w:val="00E62446"/>
    <w:rsid w:val="00E627DC"/>
    <w:rsid w:val="00E71063"/>
    <w:rsid w:val="00E805C3"/>
    <w:rsid w:val="00E815C4"/>
    <w:rsid w:val="00E81932"/>
    <w:rsid w:val="00E903EF"/>
    <w:rsid w:val="00E9136C"/>
    <w:rsid w:val="00E9543E"/>
    <w:rsid w:val="00E966B5"/>
    <w:rsid w:val="00E97EB6"/>
    <w:rsid w:val="00EA3096"/>
    <w:rsid w:val="00EA7342"/>
    <w:rsid w:val="00EB4BAA"/>
    <w:rsid w:val="00EB5306"/>
    <w:rsid w:val="00EB5FAA"/>
    <w:rsid w:val="00EC3BE1"/>
    <w:rsid w:val="00EC4367"/>
    <w:rsid w:val="00EC4649"/>
    <w:rsid w:val="00EC6122"/>
    <w:rsid w:val="00EC61D1"/>
    <w:rsid w:val="00EC6C04"/>
    <w:rsid w:val="00ED15A5"/>
    <w:rsid w:val="00ED1D2D"/>
    <w:rsid w:val="00ED54C9"/>
    <w:rsid w:val="00ED6213"/>
    <w:rsid w:val="00ED700D"/>
    <w:rsid w:val="00EE00DD"/>
    <w:rsid w:val="00EE704D"/>
    <w:rsid w:val="00EE7D83"/>
    <w:rsid w:val="00EF42BE"/>
    <w:rsid w:val="00EF461B"/>
    <w:rsid w:val="00F01876"/>
    <w:rsid w:val="00F01DE4"/>
    <w:rsid w:val="00F02793"/>
    <w:rsid w:val="00F02A92"/>
    <w:rsid w:val="00F02D28"/>
    <w:rsid w:val="00F0336D"/>
    <w:rsid w:val="00F036E4"/>
    <w:rsid w:val="00F05822"/>
    <w:rsid w:val="00F0657D"/>
    <w:rsid w:val="00F07243"/>
    <w:rsid w:val="00F10B93"/>
    <w:rsid w:val="00F126C6"/>
    <w:rsid w:val="00F14746"/>
    <w:rsid w:val="00F20CFE"/>
    <w:rsid w:val="00F217A3"/>
    <w:rsid w:val="00F222A5"/>
    <w:rsid w:val="00F266A7"/>
    <w:rsid w:val="00F266DD"/>
    <w:rsid w:val="00F2732D"/>
    <w:rsid w:val="00F33242"/>
    <w:rsid w:val="00F33947"/>
    <w:rsid w:val="00F33DEF"/>
    <w:rsid w:val="00F341D6"/>
    <w:rsid w:val="00F41E36"/>
    <w:rsid w:val="00F41F99"/>
    <w:rsid w:val="00F45E2B"/>
    <w:rsid w:val="00F46277"/>
    <w:rsid w:val="00F46D77"/>
    <w:rsid w:val="00F50B30"/>
    <w:rsid w:val="00F52D3F"/>
    <w:rsid w:val="00F5764F"/>
    <w:rsid w:val="00F659AA"/>
    <w:rsid w:val="00F6701E"/>
    <w:rsid w:val="00F71BDC"/>
    <w:rsid w:val="00F71DDF"/>
    <w:rsid w:val="00F74936"/>
    <w:rsid w:val="00F83D6D"/>
    <w:rsid w:val="00F85ED4"/>
    <w:rsid w:val="00F91884"/>
    <w:rsid w:val="00F91AB6"/>
    <w:rsid w:val="00F93D65"/>
    <w:rsid w:val="00F9423B"/>
    <w:rsid w:val="00F96AC5"/>
    <w:rsid w:val="00FA12B5"/>
    <w:rsid w:val="00FA2906"/>
    <w:rsid w:val="00FA4701"/>
    <w:rsid w:val="00FA61C4"/>
    <w:rsid w:val="00FB32C9"/>
    <w:rsid w:val="00FB3AC6"/>
    <w:rsid w:val="00FB7C34"/>
    <w:rsid w:val="00FC476A"/>
    <w:rsid w:val="00FC5E2F"/>
    <w:rsid w:val="00FD354D"/>
    <w:rsid w:val="00FD3E6F"/>
    <w:rsid w:val="00FD44E6"/>
    <w:rsid w:val="00FD7145"/>
    <w:rsid w:val="00FE0026"/>
    <w:rsid w:val="00FE060C"/>
    <w:rsid w:val="00FE1ADD"/>
    <w:rsid w:val="00FE23CD"/>
    <w:rsid w:val="00FE451F"/>
    <w:rsid w:val="00FE68CD"/>
    <w:rsid w:val="00FE7277"/>
    <w:rsid w:val="00FF315A"/>
    <w:rsid w:val="00FF65D1"/>
    <w:rsid w:val="00FF67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B1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5D"/>
    <w:rPr>
      <w:rFonts w:ascii="Times New Roman" w:hAnsi="Times New Roman" w:cs="Times New Roman"/>
      <w:lang w:eastAsia="en-AU"/>
    </w:rPr>
  </w:style>
  <w:style w:type="paragraph" w:styleId="Heading1">
    <w:name w:val="heading 1"/>
    <w:basedOn w:val="Normal"/>
    <w:next w:val="Normal"/>
    <w:link w:val="Heading1Char"/>
    <w:uiPriority w:val="9"/>
    <w:qFormat/>
    <w:rsid w:val="001C29D6"/>
    <w:pPr>
      <w:spacing w:line="276" w:lineRule="auto"/>
      <w:ind w:left="720" w:hanging="720"/>
      <w:outlineLvl w:val="0"/>
    </w:pPr>
    <w:rPr>
      <w:rFonts w:ascii="Baskerville" w:hAnsi="Baskerville"/>
      <w:b/>
      <w:iCs/>
    </w:rPr>
  </w:style>
  <w:style w:type="paragraph" w:styleId="Heading2">
    <w:name w:val="heading 2"/>
    <w:basedOn w:val="Normal"/>
    <w:next w:val="Normal"/>
    <w:link w:val="Heading2Char"/>
    <w:uiPriority w:val="9"/>
    <w:unhideWhenUsed/>
    <w:qFormat/>
    <w:rsid w:val="001C29D6"/>
    <w:pPr>
      <w:spacing w:line="276" w:lineRule="auto"/>
      <w:outlineLvl w:val="1"/>
    </w:pPr>
    <w:rPr>
      <w:rFonts w:ascii="Baskerville" w:hAnsi="Baskerville"/>
      <w:i/>
      <w:iCs/>
    </w:rPr>
  </w:style>
  <w:style w:type="paragraph" w:styleId="Heading3">
    <w:name w:val="heading 3"/>
    <w:basedOn w:val="Normal"/>
    <w:next w:val="Normal"/>
    <w:link w:val="Heading3Char"/>
    <w:uiPriority w:val="9"/>
    <w:semiHidden/>
    <w:unhideWhenUsed/>
    <w:qFormat/>
    <w:rsid w:val="00AE699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51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117"/>
    <w:rPr>
      <w:rFonts w:asciiTheme="majorHAnsi" w:eastAsiaTheme="majorEastAsia" w:hAnsiTheme="majorHAnsi" w:cstheme="majorBidi"/>
      <w:spacing w:val="-10"/>
      <w:kern w:val="28"/>
      <w:sz w:val="56"/>
      <w:szCs w:val="56"/>
      <w:lang w:val="en-GB"/>
    </w:rPr>
  </w:style>
  <w:style w:type="paragraph" w:styleId="FootnoteText">
    <w:name w:val="footnote text"/>
    <w:basedOn w:val="Normal"/>
    <w:link w:val="FootnoteTextChar"/>
    <w:uiPriority w:val="99"/>
    <w:unhideWhenUsed/>
    <w:rsid w:val="00805117"/>
  </w:style>
  <w:style w:type="character" w:customStyle="1" w:styleId="FootnoteTextChar">
    <w:name w:val="Footnote Text Char"/>
    <w:basedOn w:val="DefaultParagraphFont"/>
    <w:link w:val="FootnoteText"/>
    <w:uiPriority w:val="99"/>
    <w:rsid w:val="00805117"/>
    <w:rPr>
      <w:lang w:val="en-GB"/>
    </w:rPr>
  </w:style>
  <w:style w:type="character" w:styleId="FootnoteReference">
    <w:name w:val="footnote reference"/>
    <w:basedOn w:val="DefaultParagraphFont"/>
    <w:uiPriority w:val="99"/>
    <w:unhideWhenUsed/>
    <w:rsid w:val="00805117"/>
    <w:rPr>
      <w:vertAlign w:val="superscript"/>
    </w:rPr>
  </w:style>
  <w:style w:type="paragraph" w:customStyle="1" w:styleId="paragraph">
    <w:name w:val="paragraph"/>
    <w:basedOn w:val="Normal"/>
    <w:rsid w:val="00D7535D"/>
    <w:pPr>
      <w:spacing w:before="100" w:beforeAutospacing="1" w:after="100" w:afterAutospacing="1"/>
    </w:pPr>
  </w:style>
  <w:style w:type="character" w:customStyle="1" w:styleId="eop">
    <w:name w:val="eop"/>
    <w:basedOn w:val="DefaultParagraphFont"/>
    <w:rsid w:val="00D7535D"/>
  </w:style>
  <w:style w:type="character" w:customStyle="1" w:styleId="normaltextrun">
    <w:name w:val="normaltextrun"/>
    <w:basedOn w:val="DefaultParagraphFont"/>
    <w:rsid w:val="00D7535D"/>
  </w:style>
  <w:style w:type="character" w:customStyle="1" w:styleId="spellingerror">
    <w:name w:val="spellingerror"/>
    <w:basedOn w:val="DefaultParagraphFont"/>
    <w:rsid w:val="00D7535D"/>
  </w:style>
  <w:style w:type="character" w:customStyle="1" w:styleId="apple-converted-space">
    <w:name w:val="apple-converted-space"/>
    <w:basedOn w:val="DefaultParagraphFont"/>
    <w:rsid w:val="00D7535D"/>
  </w:style>
  <w:style w:type="table" w:styleId="TableGrid">
    <w:name w:val="Table Grid"/>
    <w:basedOn w:val="TableNormal"/>
    <w:uiPriority w:val="39"/>
    <w:rsid w:val="00D7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2EAE"/>
    <w:pPr>
      <w:spacing w:before="100" w:beforeAutospacing="1" w:after="100" w:afterAutospacing="1"/>
    </w:pPr>
  </w:style>
  <w:style w:type="paragraph" w:styleId="DocumentMap">
    <w:name w:val="Document Map"/>
    <w:basedOn w:val="Normal"/>
    <w:link w:val="DocumentMapChar"/>
    <w:uiPriority w:val="99"/>
    <w:semiHidden/>
    <w:unhideWhenUsed/>
    <w:rsid w:val="00870280"/>
  </w:style>
  <w:style w:type="character" w:customStyle="1" w:styleId="DocumentMapChar">
    <w:name w:val="Document Map Char"/>
    <w:basedOn w:val="DefaultParagraphFont"/>
    <w:link w:val="DocumentMap"/>
    <w:uiPriority w:val="99"/>
    <w:semiHidden/>
    <w:rsid w:val="00870280"/>
    <w:rPr>
      <w:rFonts w:ascii="Times New Roman" w:hAnsi="Times New Roman" w:cs="Times New Roman"/>
      <w:lang w:eastAsia="en-AU"/>
    </w:rPr>
  </w:style>
  <w:style w:type="paragraph" w:styleId="Revision">
    <w:name w:val="Revision"/>
    <w:hidden/>
    <w:uiPriority w:val="99"/>
    <w:semiHidden/>
    <w:rsid w:val="00BB504E"/>
    <w:rPr>
      <w:rFonts w:ascii="Times New Roman" w:hAnsi="Times New Roman" w:cs="Times New Roman"/>
      <w:lang w:eastAsia="en-AU"/>
    </w:rPr>
  </w:style>
  <w:style w:type="table" w:styleId="GridTable3">
    <w:name w:val="Grid Table 3"/>
    <w:basedOn w:val="TableNormal"/>
    <w:uiPriority w:val="48"/>
    <w:rsid w:val="00623E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623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urfulAccent3">
    <w:name w:val="List Table 7 Colorful Accent 3"/>
    <w:basedOn w:val="TableNormal"/>
    <w:uiPriority w:val="52"/>
    <w:rsid w:val="00623E9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23E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623E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00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1"/>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2E5E58"/>
    <w:rPr>
      <w:sz w:val="16"/>
      <w:szCs w:val="16"/>
    </w:rPr>
  </w:style>
  <w:style w:type="paragraph" w:styleId="CommentText">
    <w:name w:val="annotation text"/>
    <w:basedOn w:val="Normal"/>
    <w:link w:val="CommentTextChar"/>
    <w:uiPriority w:val="99"/>
    <w:semiHidden/>
    <w:unhideWhenUsed/>
    <w:rsid w:val="002E5E58"/>
    <w:rPr>
      <w:sz w:val="20"/>
      <w:szCs w:val="20"/>
    </w:rPr>
  </w:style>
  <w:style w:type="character" w:customStyle="1" w:styleId="CommentTextChar">
    <w:name w:val="Comment Text Char"/>
    <w:basedOn w:val="DefaultParagraphFont"/>
    <w:link w:val="CommentText"/>
    <w:uiPriority w:val="99"/>
    <w:semiHidden/>
    <w:rsid w:val="002E5E5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5E58"/>
    <w:rPr>
      <w:b/>
      <w:bCs/>
    </w:rPr>
  </w:style>
  <w:style w:type="character" w:customStyle="1" w:styleId="CommentSubjectChar">
    <w:name w:val="Comment Subject Char"/>
    <w:basedOn w:val="CommentTextChar"/>
    <w:link w:val="CommentSubject"/>
    <w:uiPriority w:val="99"/>
    <w:semiHidden/>
    <w:rsid w:val="002E5E58"/>
    <w:rPr>
      <w:rFonts w:ascii="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1C29D6"/>
    <w:rPr>
      <w:rFonts w:ascii="Baskerville" w:hAnsi="Baskerville" w:cs="Times New Roman"/>
      <w:b/>
      <w:iCs/>
      <w:lang w:eastAsia="en-AU"/>
    </w:rPr>
  </w:style>
  <w:style w:type="paragraph" w:styleId="ListParagraph">
    <w:name w:val="List Paragraph"/>
    <w:basedOn w:val="Normal"/>
    <w:uiPriority w:val="34"/>
    <w:qFormat/>
    <w:rsid w:val="001C29D6"/>
    <w:pPr>
      <w:ind w:left="720"/>
      <w:contextualSpacing/>
    </w:pPr>
  </w:style>
  <w:style w:type="character" w:customStyle="1" w:styleId="Heading2Char">
    <w:name w:val="Heading 2 Char"/>
    <w:basedOn w:val="DefaultParagraphFont"/>
    <w:link w:val="Heading2"/>
    <w:uiPriority w:val="9"/>
    <w:rsid w:val="001C29D6"/>
    <w:rPr>
      <w:rFonts w:ascii="Baskerville" w:hAnsi="Baskerville" w:cs="Times New Roman"/>
      <w:i/>
      <w:iCs/>
      <w:lang w:eastAsia="en-AU"/>
    </w:rPr>
  </w:style>
  <w:style w:type="paragraph" w:styleId="Header">
    <w:name w:val="header"/>
    <w:basedOn w:val="Normal"/>
    <w:link w:val="HeaderChar"/>
    <w:uiPriority w:val="99"/>
    <w:unhideWhenUsed/>
    <w:rsid w:val="00B379EB"/>
    <w:pPr>
      <w:tabs>
        <w:tab w:val="center" w:pos="4513"/>
        <w:tab w:val="right" w:pos="9026"/>
      </w:tabs>
    </w:pPr>
  </w:style>
  <w:style w:type="character" w:customStyle="1" w:styleId="HeaderChar">
    <w:name w:val="Header Char"/>
    <w:basedOn w:val="DefaultParagraphFont"/>
    <w:link w:val="Header"/>
    <w:uiPriority w:val="99"/>
    <w:rsid w:val="00B379EB"/>
    <w:rPr>
      <w:rFonts w:ascii="Times New Roman" w:hAnsi="Times New Roman" w:cs="Times New Roman"/>
      <w:lang w:eastAsia="en-AU"/>
    </w:rPr>
  </w:style>
  <w:style w:type="paragraph" w:styleId="Footer">
    <w:name w:val="footer"/>
    <w:basedOn w:val="Normal"/>
    <w:link w:val="FooterChar"/>
    <w:uiPriority w:val="99"/>
    <w:unhideWhenUsed/>
    <w:rsid w:val="00B379EB"/>
    <w:pPr>
      <w:tabs>
        <w:tab w:val="center" w:pos="4513"/>
        <w:tab w:val="right" w:pos="9026"/>
      </w:tabs>
    </w:pPr>
  </w:style>
  <w:style w:type="character" w:customStyle="1" w:styleId="FooterChar">
    <w:name w:val="Footer Char"/>
    <w:basedOn w:val="DefaultParagraphFont"/>
    <w:link w:val="Footer"/>
    <w:uiPriority w:val="99"/>
    <w:rsid w:val="00B379EB"/>
    <w:rPr>
      <w:rFonts w:ascii="Times New Roman" w:hAnsi="Times New Roman" w:cs="Times New Roman"/>
      <w:lang w:eastAsia="en-AU"/>
    </w:rPr>
  </w:style>
  <w:style w:type="character" w:customStyle="1" w:styleId="Heading3Char">
    <w:name w:val="Heading 3 Char"/>
    <w:basedOn w:val="DefaultParagraphFont"/>
    <w:link w:val="Heading3"/>
    <w:uiPriority w:val="9"/>
    <w:semiHidden/>
    <w:rsid w:val="00AE6990"/>
    <w:rPr>
      <w:rFonts w:asciiTheme="majorHAnsi" w:eastAsiaTheme="majorEastAsia" w:hAnsiTheme="majorHAnsi" w:cstheme="majorBidi"/>
      <w:color w:val="1F4D78" w:themeColor="accent1" w:themeShade="7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8417">
      <w:bodyDiv w:val="1"/>
      <w:marLeft w:val="0"/>
      <w:marRight w:val="0"/>
      <w:marTop w:val="0"/>
      <w:marBottom w:val="0"/>
      <w:divBdr>
        <w:top w:val="none" w:sz="0" w:space="0" w:color="auto"/>
        <w:left w:val="none" w:sz="0" w:space="0" w:color="auto"/>
        <w:bottom w:val="none" w:sz="0" w:space="0" w:color="auto"/>
        <w:right w:val="none" w:sz="0" w:space="0" w:color="auto"/>
      </w:divBdr>
    </w:div>
    <w:div w:id="1184709344">
      <w:bodyDiv w:val="1"/>
      <w:marLeft w:val="0"/>
      <w:marRight w:val="0"/>
      <w:marTop w:val="0"/>
      <w:marBottom w:val="0"/>
      <w:divBdr>
        <w:top w:val="none" w:sz="0" w:space="0" w:color="auto"/>
        <w:left w:val="none" w:sz="0" w:space="0" w:color="auto"/>
        <w:bottom w:val="none" w:sz="0" w:space="0" w:color="auto"/>
        <w:right w:val="none" w:sz="0" w:space="0" w:color="auto"/>
      </w:divBdr>
      <w:divsChild>
        <w:div w:id="966549175">
          <w:marLeft w:val="0"/>
          <w:marRight w:val="0"/>
          <w:marTop w:val="0"/>
          <w:marBottom w:val="0"/>
          <w:divBdr>
            <w:top w:val="none" w:sz="0" w:space="0" w:color="auto"/>
            <w:left w:val="none" w:sz="0" w:space="0" w:color="auto"/>
            <w:bottom w:val="none" w:sz="0" w:space="0" w:color="auto"/>
            <w:right w:val="none" w:sz="0" w:space="0" w:color="auto"/>
          </w:divBdr>
          <w:divsChild>
            <w:div w:id="1658221838">
              <w:marLeft w:val="0"/>
              <w:marRight w:val="0"/>
              <w:marTop w:val="0"/>
              <w:marBottom w:val="0"/>
              <w:divBdr>
                <w:top w:val="none" w:sz="0" w:space="0" w:color="auto"/>
                <w:left w:val="none" w:sz="0" w:space="0" w:color="auto"/>
                <w:bottom w:val="none" w:sz="0" w:space="0" w:color="auto"/>
                <w:right w:val="none" w:sz="0" w:space="0" w:color="auto"/>
              </w:divBdr>
              <w:divsChild>
                <w:div w:id="5561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353">
      <w:bodyDiv w:val="1"/>
      <w:marLeft w:val="0"/>
      <w:marRight w:val="0"/>
      <w:marTop w:val="0"/>
      <w:marBottom w:val="0"/>
      <w:divBdr>
        <w:top w:val="none" w:sz="0" w:space="0" w:color="auto"/>
        <w:left w:val="none" w:sz="0" w:space="0" w:color="auto"/>
        <w:bottom w:val="none" w:sz="0" w:space="0" w:color="auto"/>
        <w:right w:val="none" w:sz="0" w:space="0" w:color="auto"/>
      </w:divBdr>
      <w:divsChild>
        <w:div w:id="638194480">
          <w:marLeft w:val="0"/>
          <w:marRight w:val="0"/>
          <w:marTop w:val="0"/>
          <w:marBottom w:val="0"/>
          <w:divBdr>
            <w:top w:val="none" w:sz="0" w:space="0" w:color="auto"/>
            <w:left w:val="none" w:sz="0" w:space="0" w:color="auto"/>
            <w:bottom w:val="none" w:sz="0" w:space="0" w:color="auto"/>
            <w:right w:val="none" w:sz="0" w:space="0" w:color="auto"/>
          </w:divBdr>
        </w:div>
        <w:div w:id="1476068107">
          <w:marLeft w:val="0"/>
          <w:marRight w:val="0"/>
          <w:marTop w:val="0"/>
          <w:marBottom w:val="0"/>
          <w:divBdr>
            <w:top w:val="none" w:sz="0" w:space="0" w:color="auto"/>
            <w:left w:val="none" w:sz="0" w:space="0" w:color="auto"/>
            <w:bottom w:val="none" w:sz="0" w:space="0" w:color="auto"/>
            <w:right w:val="none" w:sz="0" w:space="0" w:color="auto"/>
          </w:divBdr>
          <w:divsChild>
            <w:div w:id="768089459">
              <w:marLeft w:val="-75"/>
              <w:marRight w:val="0"/>
              <w:marTop w:val="30"/>
              <w:marBottom w:val="30"/>
              <w:divBdr>
                <w:top w:val="none" w:sz="0" w:space="0" w:color="auto"/>
                <w:left w:val="none" w:sz="0" w:space="0" w:color="auto"/>
                <w:bottom w:val="none" w:sz="0" w:space="0" w:color="auto"/>
                <w:right w:val="none" w:sz="0" w:space="0" w:color="auto"/>
              </w:divBdr>
              <w:divsChild>
                <w:div w:id="1470895863">
                  <w:marLeft w:val="0"/>
                  <w:marRight w:val="0"/>
                  <w:marTop w:val="0"/>
                  <w:marBottom w:val="0"/>
                  <w:divBdr>
                    <w:top w:val="none" w:sz="0" w:space="0" w:color="auto"/>
                    <w:left w:val="none" w:sz="0" w:space="0" w:color="auto"/>
                    <w:bottom w:val="none" w:sz="0" w:space="0" w:color="auto"/>
                    <w:right w:val="none" w:sz="0" w:space="0" w:color="auto"/>
                  </w:divBdr>
                  <w:divsChild>
                    <w:div w:id="761725791">
                      <w:marLeft w:val="0"/>
                      <w:marRight w:val="0"/>
                      <w:marTop w:val="0"/>
                      <w:marBottom w:val="0"/>
                      <w:divBdr>
                        <w:top w:val="none" w:sz="0" w:space="0" w:color="auto"/>
                        <w:left w:val="none" w:sz="0" w:space="0" w:color="auto"/>
                        <w:bottom w:val="none" w:sz="0" w:space="0" w:color="auto"/>
                        <w:right w:val="none" w:sz="0" w:space="0" w:color="auto"/>
                      </w:divBdr>
                    </w:div>
                  </w:divsChild>
                </w:div>
                <w:div w:id="1769889636">
                  <w:marLeft w:val="0"/>
                  <w:marRight w:val="0"/>
                  <w:marTop w:val="0"/>
                  <w:marBottom w:val="0"/>
                  <w:divBdr>
                    <w:top w:val="none" w:sz="0" w:space="0" w:color="auto"/>
                    <w:left w:val="none" w:sz="0" w:space="0" w:color="auto"/>
                    <w:bottom w:val="none" w:sz="0" w:space="0" w:color="auto"/>
                    <w:right w:val="none" w:sz="0" w:space="0" w:color="auto"/>
                  </w:divBdr>
                  <w:divsChild>
                    <w:div w:id="245648115">
                      <w:marLeft w:val="0"/>
                      <w:marRight w:val="0"/>
                      <w:marTop w:val="0"/>
                      <w:marBottom w:val="0"/>
                      <w:divBdr>
                        <w:top w:val="none" w:sz="0" w:space="0" w:color="auto"/>
                        <w:left w:val="none" w:sz="0" w:space="0" w:color="auto"/>
                        <w:bottom w:val="none" w:sz="0" w:space="0" w:color="auto"/>
                        <w:right w:val="none" w:sz="0" w:space="0" w:color="auto"/>
                      </w:divBdr>
                    </w:div>
                  </w:divsChild>
                </w:div>
                <w:div w:id="2078015574">
                  <w:marLeft w:val="0"/>
                  <w:marRight w:val="0"/>
                  <w:marTop w:val="0"/>
                  <w:marBottom w:val="0"/>
                  <w:divBdr>
                    <w:top w:val="none" w:sz="0" w:space="0" w:color="auto"/>
                    <w:left w:val="none" w:sz="0" w:space="0" w:color="auto"/>
                    <w:bottom w:val="none" w:sz="0" w:space="0" w:color="auto"/>
                    <w:right w:val="none" w:sz="0" w:space="0" w:color="auto"/>
                  </w:divBdr>
                  <w:divsChild>
                    <w:div w:id="453211885">
                      <w:marLeft w:val="0"/>
                      <w:marRight w:val="0"/>
                      <w:marTop w:val="0"/>
                      <w:marBottom w:val="0"/>
                      <w:divBdr>
                        <w:top w:val="none" w:sz="0" w:space="0" w:color="auto"/>
                        <w:left w:val="none" w:sz="0" w:space="0" w:color="auto"/>
                        <w:bottom w:val="none" w:sz="0" w:space="0" w:color="auto"/>
                        <w:right w:val="none" w:sz="0" w:space="0" w:color="auto"/>
                      </w:divBdr>
                    </w:div>
                  </w:divsChild>
                </w:div>
                <w:div w:id="1608541007">
                  <w:marLeft w:val="0"/>
                  <w:marRight w:val="0"/>
                  <w:marTop w:val="0"/>
                  <w:marBottom w:val="0"/>
                  <w:divBdr>
                    <w:top w:val="none" w:sz="0" w:space="0" w:color="auto"/>
                    <w:left w:val="none" w:sz="0" w:space="0" w:color="auto"/>
                    <w:bottom w:val="none" w:sz="0" w:space="0" w:color="auto"/>
                    <w:right w:val="none" w:sz="0" w:space="0" w:color="auto"/>
                  </w:divBdr>
                  <w:divsChild>
                    <w:div w:id="1642926300">
                      <w:marLeft w:val="0"/>
                      <w:marRight w:val="0"/>
                      <w:marTop w:val="0"/>
                      <w:marBottom w:val="0"/>
                      <w:divBdr>
                        <w:top w:val="none" w:sz="0" w:space="0" w:color="auto"/>
                        <w:left w:val="none" w:sz="0" w:space="0" w:color="auto"/>
                        <w:bottom w:val="none" w:sz="0" w:space="0" w:color="auto"/>
                        <w:right w:val="none" w:sz="0" w:space="0" w:color="auto"/>
                      </w:divBdr>
                    </w:div>
                  </w:divsChild>
                </w:div>
                <w:div w:id="107704282">
                  <w:marLeft w:val="0"/>
                  <w:marRight w:val="0"/>
                  <w:marTop w:val="0"/>
                  <w:marBottom w:val="0"/>
                  <w:divBdr>
                    <w:top w:val="none" w:sz="0" w:space="0" w:color="auto"/>
                    <w:left w:val="none" w:sz="0" w:space="0" w:color="auto"/>
                    <w:bottom w:val="none" w:sz="0" w:space="0" w:color="auto"/>
                    <w:right w:val="none" w:sz="0" w:space="0" w:color="auto"/>
                  </w:divBdr>
                  <w:divsChild>
                    <w:div w:id="1913659528">
                      <w:marLeft w:val="0"/>
                      <w:marRight w:val="0"/>
                      <w:marTop w:val="0"/>
                      <w:marBottom w:val="0"/>
                      <w:divBdr>
                        <w:top w:val="none" w:sz="0" w:space="0" w:color="auto"/>
                        <w:left w:val="none" w:sz="0" w:space="0" w:color="auto"/>
                        <w:bottom w:val="none" w:sz="0" w:space="0" w:color="auto"/>
                        <w:right w:val="none" w:sz="0" w:space="0" w:color="auto"/>
                      </w:divBdr>
                    </w:div>
                  </w:divsChild>
                </w:div>
                <w:div w:id="1107967876">
                  <w:marLeft w:val="0"/>
                  <w:marRight w:val="0"/>
                  <w:marTop w:val="0"/>
                  <w:marBottom w:val="0"/>
                  <w:divBdr>
                    <w:top w:val="none" w:sz="0" w:space="0" w:color="auto"/>
                    <w:left w:val="none" w:sz="0" w:space="0" w:color="auto"/>
                    <w:bottom w:val="none" w:sz="0" w:space="0" w:color="auto"/>
                    <w:right w:val="none" w:sz="0" w:space="0" w:color="auto"/>
                  </w:divBdr>
                  <w:divsChild>
                    <w:div w:id="958874644">
                      <w:marLeft w:val="0"/>
                      <w:marRight w:val="0"/>
                      <w:marTop w:val="0"/>
                      <w:marBottom w:val="0"/>
                      <w:divBdr>
                        <w:top w:val="none" w:sz="0" w:space="0" w:color="auto"/>
                        <w:left w:val="none" w:sz="0" w:space="0" w:color="auto"/>
                        <w:bottom w:val="none" w:sz="0" w:space="0" w:color="auto"/>
                        <w:right w:val="none" w:sz="0" w:space="0" w:color="auto"/>
                      </w:divBdr>
                    </w:div>
                  </w:divsChild>
                </w:div>
                <w:div w:id="461196892">
                  <w:marLeft w:val="0"/>
                  <w:marRight w:val="0"/>
                  <w:marTop w:val="0"/>
                  <w:marBottom w:val="0"/>
                  <w:divBdr>
                    <w:top w:val="none" w:sz="0" w:space="0" w:color="auto"/>
                    <w:left w:val="none" w:sz="0" w:space="0" w:color="auto"/>
                    <w:bottom w:val="none" w:sz="0" w:space="0" w:color="auto"/>
                    <w:right w:val="none" w:sz="0" w:space="0" w:color="auto"/>
                  </w:divBdr>
                  <w:divsChild>
                    <w:div w:id="1086996342">
                      <w:marLeft w:val="0"/>
                      <w:marRight w:val="0"/>
                      <w:marTop w:val="0"/>
                      <w:marBottom w:val="0"/>
                      <w:divBdr>
                        <w:top w:val="none" w:sz="0" w:space="0" w:color="auto"/>
                        <w:left w:val="none" w:sz="0" w:space="0" w:color="auto"/>
                        <w:bottom w:val="none" w:sz="0" w:space="0" w:color="auto"/>
                        <w:right w:val="none" w:sz="0" w:space="0" w:color="auto"/>
                      </w:divBdr>
                    </w:div>
                  </w:divsChild>
                </w:div>
                <w:div w:id="1335261309">
                  <w:marLeft w:val="0"/>
                  <w:marRight w:val="0"/>
                  <w:marTop w:val="0"/>
                  <w:marBottom w:val="0"/>
                  <w:divBdr>
                    <w:top w:val="none" w:sz="0" w:space="0" w:color="auto"/>
                    <w:left w:val="none" w:sz="0" w:space="0" w:color="auto"/>
                    <w:bottom w:val="none" w:sz="0" w:space="0" w:color="auto"/>
                    <w:right w:val="none" w:sz="0" w:space="0" w:color="auto"/>
                  </w:divBdr>
                  <w:divsChild>
                    <w:div w:id="1005984809">
                      <w:marLeft w:val="0"/>
                      <w:marRight w:val="0"/>
                      <w:marTop w:val="0"/>
                      <w:marBottom w:val="0"/>
                      <w:divBdr>
                        <w:top w:val="none" w:sz="0" w:space="0" w:color="auto"/>
                        <w:left w:val="none" w:sz="0" w:space="0" w:color="auto"/>
                        <w:bottom w:val="none" w:sz="0" w:space="0" w:color="auto"/>
                        <w:right w:val="none" w:sz="0" w:space="0" w:color="auto"/>
                      </w:divBdr>
                    </w:div>
                  </w:divsChild>
                </w:div>
                <w:div w:id="1682781076">
                  <w:marLeft w:val="0"/>
                  <w:marRight w:val="0"/>
                  <w:marTop w:val="0"/>
                  <w:marBottom w:val="0"/>
                  <w:divBdr>
                    <w:top w:val="none" w:sz="0" w:space="0" w:color="auto"/>
                    <w:left w:val="none" w:sz="0" w:space="0" w:color="auto"/>
                    <w:bottom w:val="none" w:sz="0" w:space="0" w:color="auto"/>
                    <w:right w:val="none" w:sz="0" w:space="0" w:color="auto"/>
                  </w:divBdr>
                  <w:divsChild>
                    <w:div w:id="64032495">
                      <w:marLeft w:val="0"/>
                      <w:marRight w:val="0"/>
                      <w:marTop w:val="0"/>
                      <w:marBottom w:val="0"/>
                      <w:divBdr>
                        <w:top w:val="none" w:sz="0" w:space="0" w:color="auto"/>
                        <w:left w:val="none" w:sz="0" w:space="0" w:color="auto"/>
                        <w:bottom w:val="none" w:sz="0" w:space="0" w:color="auto"/>
                        <w:right w:val="none" w:sz="0" w:space="0" w:color="auto"/>
                      </w:divBdr>
                    </w:div>
                  </w:divsChild>
                </w:div>
                <w:div w:id="1771197472">
                  <w:marLeft w:val="0"/>
                  <w:marRight w:val="0"/>
                  <w:marTop w:val="0"/>
                  <w:marBottom w:val="0"/>
                  <w:divBdr>
                    <w:top w:val="none" w:sz="0" w:space="0" w:color="auto"/>
                    <w:left w:val="none" w:sz="0" w:space="0" w:color="auto"/>
                    <w:bottom w:val="none" w:sz="0" w:space="0" w:color="auto"/>
                    <w:right w:val="none" w:sz="0" w:space="0" w:color="auto"/>
                  </w:divBdr>
                  <w:divsChild>
                    <w:div w:id="1412391815">
                      <w:marLeft w:val="0"/>
                      <w:marRight w:val="0"/>
                      <w:marTop w:val="0"/>
                      <w:marBottom w:val="0"/>
                      <w:divBdr>
                        <w:top w:val="none" w:sz="0" w:space="0" w:color="auto"/>
                        <w:left w:val="none" w:sz="0" w:space="0" w:color="auto"/>
                        <w:bottom w:val="none" w:sz="0" w:space="0" w:color="auto"/>
                        <w:right w:val="none" w:sz="0" w:space="0" w:color="auto"/>
                      </w:divBdr>
                    </w:div>
                  </w:divsChild>
                </w:div>
                <w:div w:id="708453362">
                  <w:marLeft w:val="0"/>
                  <w:marRight w:val="0"/>
                  <w:marTop w:val="0"/>
                  <w:marBottom w:val="0"/>
                  <w:divBdr>
                    <w:top w:val="none" w:sz="0" w:space="0" w:color="auto"/>
                    <w:left w:val="none" w:sz="0" w:space="0" w:color="auto"/>
                    <w:bottom w:val="none" w:sz="0" w:space="0" w:color="auto"/>
                    <w:right w:val="none" w:sz="0" w:space="0" w:color="auto"/>
                  </w:divBdr>
                  <w:divsChild>
                    <w:div w:id="347103539">
                      <w:marLeft w:val="0"/>
                      <w:marRight w:val="0"/>
                      <w:marTop w:val="0"/>
                      <w:marBottom w:val="0"/>
                      <w:divBdr>
                        <w:top w:val="none" w:sz="0" w:space="0" w:color="auto"/>
                        <w:left w:val="none" w:sz="0" w:space="0" w:color="auto"/>
                        <w:bottom w:val="none" w:sz="0" w:space="0" w:color="auto"/>
                        <w:right w:val="none" w:sz="0" w:space="0" w:color="auto"/>
                      </w:divBdr>
                    </w:div>
                    <w:div w:id="1991472811">
                      <w:marLeft w:val="0"/>
                      <w:marRight w:val="0"/>
                      <w:marTop w:val="0"/>
                      <w:marBottom w:val="0"/>
                      <w:divBdr>
                        <w:top w:val="none" w:sz="0" w:space="0" w:color="auto"/>
                        <w:left w:val="none" w:sz="0" w:space="0" w:color="auto"/>
                        <w:bottom w:val="none" w:sz="0" w:space="0" w:color="auto"/>
                        <w:right w:val="none" w:sz="0" w:space="0" w:color="auto"/>
                      </w:divBdr>
                    </w:div>
                  </w:divsChild>
                </w:div>
                <w:div w:id="430243982">
                  <w:marLeft w:val="0"/>
                  <w:marRight w:val="0"/>
                  <w:marTop w:val="0"/>
                  <w:marBottom w:val="0"/>
                  <w:divBdr>
                    <w:top w:val="none" w:sz="0" w:space="0" w:color="auto"/>
                    <w:left w:val="none" w:sz="0" w:space="0" w:color="auto"/>
                    <w:bottom w:val="none" w:sz="0" w:space="0" w:color="auto"/>
                    <w:right w:val="none" w:sz="0" w:space="0" w:color="auto"/>
                  </w:divBdr>
                  <w:divsChild>
                    <w:div w:id="166286599">
                      <w:marLeft w:val="0"/>
                      <w:marRight w:val="0"/>
                      <w:marTop w:val="0"/>
                      <w:marBottom w:val="0"/>
                      <w:divBdr>
                        <w:top w:val="none" w:sz="0" w:space="0" w:color="auto"/>
                        <w:left w:val="none" w:sz="0" w:space="0" w:color="auto"/>
                        <w:bottom w:val="none" w:sz="0" w:space="0" w:color="auto"/>
                        <w:right w:val="none" w:sz="0" w:space="0" w:color="auto"/>
                      </w:divBdr>
                    </w:div>
                  </w:divsChild>
                </w:div>
                <w:div w:id="874123439">
                  <w:marLeft w:val="0"/>
                  <w:marRight w:val="0"/>
                  <w:marTop w:val="0"/>
                  <w:marBottom w:val="0"/>
                  <w:divBdr>
                    <w:top w:val="none" w:sz="0" w:space="0" w:color="auto"/>
                    <w:left w:val="none" w:sz="0" w:space="0" w:color="auto"/>
                    <w:bottom w:val="none" w:sz="0" w:space="0" w:color="auto"/>
                    <w:right w:val="none" w:sz="0" w:space="0" w:color="auto"/>
                  </w:divBdr>
                  <w:divsChild>
                    <w:div w:id="1788424994">
                      <w:marLeft w:val="0"/>
                      <w:marRight w:val="0"/>
                      <w:marTop w:val="0"/>
                      <w:marBottom w:val="0"/>
                      <w:divBdr>
                        <w:top w:val="none" w:sz="0" w:space="0" w:color="auto"/>
                        <w:left w:val="none" w:sz="0" w:space="0" w:color="auto"/>
                        <w:bottom w:val="none" w:sz="0" w:space="0" w:color="auto"/>
                        <w:right w:val="none" w:sz="0" w:space="0" w:color="auto"/>
                      </w:divBdr>
                    </w:div>
                  </w:divsChild>
                </w:div>
                <w:div w:id="1258753404">
                  <w:marLeft w:val="0"/>
                  <w:marRight w:val="0"/>
                  <w:marTop w:val="0"/>
                  <w:marBottom w:val="0"/>
                  <w:divBdr>
                    <w:top w:val="none" w:sz="0" w:space="0" w:color="auto"/>
                    <w:left w:val="none" w:sz="0" w:space="0" w:color="auto"/>
                    <w:bottom w:val="none" w:sz="0" w:space="0" w:color="auto"/>
                    <w:right w:val="none" w:sz="0" w:space="0" w:color="auto"/>
                  </w:divBdr>
                  <w:divsChild>
                    <w:div w:id="1582913080">
                      <w:marLeft w:val="0"/>
                      <w:marRight w:val="0"/>
                      <w:marTop w:val="0"/>
                      <w:marBottom w:val="0"/>
                      <w:divBdr>
                        <w:top w:val="none" w:sz="0" w:space="0" w:color="auto"/>
                        <w:left w:val="none" w:sz="0" w:space="0" w:color="auto"/>
                        <w:bottom w:val="none" w:sz="0" w:space="0" w:color="auto"/>
                        <w:right w:val="none" w:sz="0" w:space="0" w:color="auto"/>
                      </w:divBdr>
                    </w:div>
                  </w:divsChild>
                </w:div>
                <w:div w:id="66349304">
                  <w:marLeft w:val="0"/>
                  <w:marRight w:val="0"/>
                  <w:marTop w:val="0"/>
                  <w:marBottom w:val="0"/>
                  <w:divBdr>
                    <w:top w:val="none" w:sz="0" w:space="0" w:color="auto"/>
                    <w:left w:val="none" w:sz="0" w:space="0" w:color="auto"/>
                    <w:bottom w:val="none" w:sz="0" w:space="0" w:color="auto"/>
                    <w:right w:val="none" w:sz="0" w:space="0" w:color="auto"/>
                  </w:divBdr>
                  <w:divsChild>
                    <w:div w:id="1632906947">
                      <w:marLeft w:val="0"/>
                      <w:marRight w:val="0"/>
                      <w:marTop w:val="0"/>
                      <w:marBottom w:val="0"/>
                      <w:divBdr>
                        <w:top w:val="none" w:sz="0" w:space="0" w:color="auto"/>
                        <w:left w:val="none" w:sz="0" w:space="0" w:color="auto"/>
                        <w:bottom w:val="none" w:sz="0" w:space="0" w:color="auto"/>
                        <w:right w:val="none" w:sz="0" w:space="0" w:color="auto"/>
                      </w:divBdr>
                    </w:div>
                  </w:divsChild>
                </w:div>
                <w:div w:id="422191965">
                  <w:marLeft w:val="0"/>
                  <w:marRight w:val="0"/>
                  <w:marTop w:val="0"/>
                  <w:marBottom w:val="0"/>
                  <w:divBdr>
                    <w:top w:val="none" w:sz="0" w:space="0" w:color="auto"/>
                    <w:left w:val="none" w:sz="0" w:space="0" w:color="auto"/>
                    <w:bottom w:val="none" w:sz="0" w:space="0" w:color="auto"/>
                    <w:right w:val="none" w:sz="0" w:space="0" w:color="auto"/>
                  </w:divBdr>
                  <w:divsChild>
                    <w:div w:id="2018460794">
                      <w:marLeft w:val="0"/>
                      <w:marRight w:val="0"/>
                      <w:marTop w:val="0"/>
                      <w:marBottom w:val="0"/>
                      <w:divBdr>
                        <w:top w:val="none" w:sz="0" w:space="0" w:color="auto"/>
                        <w:left w:val="none" w:sz="0" w:space="0" w:color="auto"/>
                        <w:bottom w:val="none" w:sz="0" w:space="0" w:color="auto"/>
                        <w:right w:val="none" w:sz="0" w:space="0" w:color="auto"/>
                      </w:divBdr>
                    </w:div>
                  </w:divsChild>
                </w:div>
                <w:div w:id="684093988">
                  <w:marLeft w:val="0"/>
                  <w:marRight w:val="0"/>
                  <w:marTop w:val="0"/>
                  <w:marBottom w:val="0"/>
                  <w:divBdr>
                    <w:top w:val="none" w:sz="0" w:space="0" w:color="auto"/>
                    <w:left w:val="none" w:sz="0" w:space="0" w:color="auto"/>
                    <w:bottom w:val="none" w:sz="0" w:space="0" w:color="auto"/>
                    <w:right w:val="none" w:sz="0" w:space="0" w:color="auto"/>
                  </w:divBdr>
                  <w:divsChild>
                    <w:div w:id="833566968">
                      <w:marLeft w:val="0"/>
                      <w:marRight w:val="0"/>
                      <w:marTop w:val="0"/>
                      <w:marBottom w:val="0"/>
                      <w:divBdr>
                        <w:top w:val="none" w:sz="0" w:space="0" w:color="auto"/>
                        <w:left w:val="none" w:sz="0" w:space="0" w:color="auto"/>
                        <w:bottom w:val="none" w:sz="0" w:space="0" w:color="auto"/>
                        <w:right w:val="none" w:sz="0" w:space="0" w:color="auto"/>
                      </w:divBdr>
                    </w:div>
                  </w:divsChild>
                </w:div>
                <w:div w:id="1783107400">
                  <w:marLeft w:val="0"/>
                  <w:marRight w:val="0"/>
                  <w:marTop w:val="0"/>
                  <w:marBottom w:val="0"/>
                  <w:divBdr>
                    <w:top w:val="none" w:sz="0" w:space="0" w:color="auto"/>
                    <w:left w:val="none" w:sz="0" w:space="0" w:color="auto"/>
                    <w:bottom w:val="none" w:sz="0" w:space="0" w:color="auto"/>
                    <w:right w:val="none" w:sz="0" w:space="0" w:color="auto"/>
                  </w:divBdr>
                  <w:divsChild>
                    <w:div w:id="1936789458">
                      <w:marLeft w:val="0"/>
                      <w:marRight w:val="0"/>
                      <w:marTop w:val="0"/>
                      <w:marBottom w:val="0"/>
                      <w:divBdr>
                        <w:top w:val="none" w:sz="0" w:space="0" w:color="auto"/>
                        <w:left w:val="none" w:sz="0" w:space="0" w:color="auto"/>
                        <w:bottom w:val="none" w:sz="0" w:space="0" w:color="auto"/>
                        <w:right w:val="none" w:sz="0" w:space="0" w:color="auto"/>
                      </w:divBdr>
                    </w:div>
                  </w:divsChild>
                </w:div>
                <w:div w:id="1926455771">
                  <w:marLeft w:val="0"/>
                  <w:marRight w:val="0"/>
                  <w:marTop w:val="0"/>
                  <w:marBottom w:val="0"/>
                  <w:divBdr>
                    <w:top w:val="none" w:sz="0" w:space="0" w:color="auto"/>
                    <w:left w:val="none" w:sz="0" w:space="0" w:color="auto"/>
                    <w:bottom w:val="none" w:sz="0" w:space="0" w:color="auto"/>
                    <w:right w:val="none" w:sz="0" w:space="0" w:color="auto"/>
                  </w:divBdr>
                  <w:divsChild>
                    <w:div w:id="2012491909">
                      <w:marLeft w:val="0"/>
                      <w:marRight w:val="0"/>
                      <w:marTop w:val="0"/>
                      <w:marBottom w:val="0"/>
                      <w:divBdr>
                        <w:top w:val="none" w:sz="0" w:space="0" w:color="auto"/>
                        <w:left w:val="none" w:sz="0" w:space="0" w:color="auto"/>
                        <w:bottom w:val="none" w:sz="0" w:space="0" w:color="auto"/>
                        <w:right w:val="none" w:sz="0" w:space="0" w:color="auto"/>
                      </w:divBdr>
                    </w:div>
                    <w:div w:id="1846087233">
                      <w:marLeft w:val="0"/>
                      <w:marRight w:val="0"/>
                      <w:marTop w:val="0"/>
                      <w:marBottom w:val="0"/>
                      <w:divBdr>
                        <w:top w:val="none" w:sz="0" w:space="0" w:color="auto"/>
                        <w:left w:val="none" w:sz="0" w:space="0" w:color="auto"/>
                        <w:bottom w:val="none" w:sz="0" w:space="0" w:color="auto"/>
                        <w:right w:val="none" w:sz="0" w:space="0" w:color="auto"/>
                      </w:divBdr>
                    </w:div>
                  </w:divsChild>
                </w:div>
                <w:div w:id="1547716148">
                  <w:marLeft w:val="0"/>
                  <w:marRight w:val="0"/>
                  <w:marTop w:val="0"/>
                  <w:marBottom w:val="0"/>
                  <w:divBdr>
                    <w:top w:val="none" w:sz="0" w:space="0" w:color="auto"/>
                    <w:left w:val="none" w:sz="0" w:space="0" w:color="auto"/>
                    <w:bottom w:val="none" w:sz="0" w:space="0" w:color="auto"/>
                    <w:right w:val="none" w:sz="0" w:space="0" w:color="auto"/>
                  </w:divBdr>
                  <w:divsChild>
                    <w:div w:id="199902822">
                      <w:marLeft w:val="0"/>
                      <w:marRight w:val="0"/>
                      <w:marTop w:val="0"/>
                      <w:marBottom w:val="0"/>
                      <w:divBdr>
                        <w:top w:val="none" w:sz="0" w:space="0" w:color="auto"/>
                        <w:left w:val="none" w:sz="0" w:space="0" w:color="auto"/>
                        <w:bottom w:val="none" w:sz="0" w:space="0" w:color="auto"/>
                        <w:right w:val="none" w:sz="0" w:space="0" w:color="auto"/>
                      </w:divBdr>
                    </w:div>
                  </w:divsChild>
                </w:div>
                <w:div w:id="1988969341">
                  <w:marLeft w:val="0"/>
                  <w:marRight w:val="0"/>
                  <w:marTop w:val="0"/>
                  <w:marBottom w:val="0"/>
                  <w:divBdr>
                    <w:top w:val="none" w:sz="0" w:space="0" w:color="auto"/>
                    <w:left w:val="none" w:sz="0" w:space="0" w:color="auto"/>
                    <w:bottom w:val="none" w:sz="0" w:space="0" w:color="auto"/>
                    <w:right w:val="none" w:sz="0" w:space="0" w:color="auto"/>
                  </w:divBdr>
                  <w:divsChild>
                    <w:div w:id="1365866961">
                      <w:marLeft w:val="0"/>
                      <w:marRight w:val="0"/>
                      <w:marTop w:val="0"/>
                      <w:marBottom w:val="0"/>
                      <w:divBdr>
                        <w:top w:val="none" w:sz="0" w:space="0" w:color="auto"/>
                        <w:left w:val="none" w:sz="0" w:space="0" w:color="auto"/>
                        <w:bottom w:val="none" w:sz="0" w:space="0" w:color="auto"/>
                        <w:right w:val="none" w:sz="0" w:space="0" w:color="auto"/>
                      </w:divBdr>
                    </w:div>
                  </w:divsChild>
                </w:div>
                <w:div w:id="1008025053">
                  <w:marLeft w:val="0"/>
                  <w:marRight w:val="0"/>
                  <w:marTop w:val="0"/>
                  <w:marBottom w:val="0"/>
                  <w:divBdr>
                    <w:top w:val="none" w:sz="0" w:space="0" w:color="auto"/>
                    <w:left w:val="none" w:sz="0" w:space="0" w:color="auto"/>
                    <w:bottom w:val="none" w:sz="0" w:space="0" w:color="auto"/>
                    <w:right w:val="none" w:sz="0" w:space="0" w:color="auto"/>
                  </w:divBdr>
                  <w:divsChild>
                    <w:div w:id="591278081">
                      <w:marLeft w:val="0"/>
                      <w:marRight w:val="0"/>
                      <w:marTop w:val="0"/>
                      <w:marBottom w:val="0"/>
                      <w:divBdr>
                        <w:top w:val="none" w:sz="0" w:space="0" w:color="auto"/>
                        <w:left w:val="none" w:sz="0" w:space="0" w:color="auto"/>
                        <w:bottom w:val="none" w:sz="0" w:space="0" w:color="auto"/>
                        <w:right w:val="none" w:sz="0" w:space="0" w:color="auto"/>
                      </w:divBdr>
                    </w:div>
                  </w:divsChild>
                </w:div>
                <w:div w:id="695347705">
                  <w:marLeft w:val="0"/>
                  <w:marRight w:val="0"/>
                  <w:marTop w:val="0"/>
                  <w:marBottom w:val="0"/>
                  <w:divBdr>
                    <w:top w:val="none" w:sz="0" w:space="0" w:color="auto"/>
                    <w:left w:val="none" w:sz="0" w:space="0" w:color="auto"/>
                    <w:bottom w:val="none" w:sz="0" w:space="0" w:color="auto"/>
                    <w:right w:val="none" w:sz="0" w:space="0" w:color="auto"/>
                  </w:divBdr>
                  <w:divsChild>
                    <w:div w:id="33966486">
                      <w:marLeft w:val="0"/>
                      <w:marRight w:val="0"/>
                      <w:marTop w:val="0"/>
                      <w:marBottom w:val="0"/>
                      <w:divBdr>
                        <w:top w:val="none" w:sz="0" w:space="0" w:color="auto"/>
                        <w:left w:val="none" w:sz="0" w:space="0" w:color="auto"/>
                        <w:bottom w:val="none" w:sz="0" w:space="0" w:color="auto"/>
                        <w:right w:val="none" w:sz="0" w:space="0" w:color="auto"/>
                      </w:divBdr>
                    </w:div>
                  </w:divsChild>
                </w:div>
                <w:div w:id="2048018900">
                  <w:marLeft w:val="0"/>
                  <w:marRight w:val="0"/>
                  <w:marTop w:val="0"/>
                  <w:marBottom w:val="0"/>
                  <w:divBdr>
                    <w:top w:val="none" w:sz="0" w:space="0" w:color="auto"/>
                    <w:left w:val="none" w:sz="0" w:space="0" w:color="auto"/>
                    <w:bottom w:val="none" w:sz="0" w:space="0" w:color="auto"/>
                    <w:right w:val="none" w:sz="0" w:space="0" w:color="auto"/>
                  </w:divBdr>
                  <w:divsChild>
                    <w:div w:id="1330793627">
                      <w:marLeft w:val="0"/>
                      <w:marRight w:val="0"/>
                      <w:marTop w:val="0"/>
                      <w:marBottom w:val="0"/>
                      <w:divBdr>
                        <w:top w:val="none" w:sz="0" w:space="0" w:color="auto"/>
                        <w:left w:val="none" w:sz="0" w:space="0" w:color="auto"/>
                        <w:bottom w:val="none" w:sz="0" w:space="0" w:color="auto"/>
                        <w:right w:val="none" w:sz="0" w:space="0" w:color="auto"/>
                      </w:divBdr>
                    </w:div>
                  </w:divsChild>
                </w:div>
                <w:div w:id="868646358">
                  <w:marLeft w:val="0"/>
                  <w:marRight w:val="0"/>
                  <w:marTop w:val="0"/>
                  <w:marBottom w:val="0"/>
                  <w:divBdr>
                    <w:top w:val="none" w:sz="0" w:space="0" w:color="auto"/>
                    <w:left w:val="none" w:sz="0" w:space="0" w:color="auto"/>
                    <w:bottom w:val="none" w:sz="0" w:space="0" w:color="auto"/>
                    <w:right w:val="none" w:sz="0" w:space="0" w:color="auto"/>
                  </w:divBdr>
                  <w:divsChild>
                    <w:div w:id="2012826354">
                      <w:marLeft w:val="0"/>
                      <w:marRight w:val="0"/>
                      <w:marTop w:val="0"/>
                      <w:marBottom w:val="0"/>
                      <w:divBdr>
                        <w:top w:val="none" w:sz="0" w:space="0" w:color="auto"/>
                        <w:left w:val="none" w:sz="0" w:space="0" w:color="auto"/>
                        <w:bottom w:val="none" w:sz="0" w:space="0" w:color="auto"/>
                        <w:right w:val="none" w:sz="0" w:space="0" w:color="auto"/>
                      </w:divBdr>
                    </w:div>
                  </w:divsChild>
                </w:div>
                <w:div w:id="151802435">
                  <w:marLeft w:val="0"/>
                  <w:marRight w:val="0"/>
                  <w:marTop w:val="0"/>
                  <w:marBottom w:val="0"/>
                  <w:divBdr>
                    <w:top w:val="none" w:sz="0" w:space="0" w:color="auto"/>
                    <w:left w:val="none" w:sz="0" w:space="0" w:color="auto"/>
                    <w:bottom w:val="none" w:sz="0" w:space="0" w:color="auto"/>
                    <w:right w:val="none" w:sz="0" w:space="0" w:color="auto"/>
                  </w:divBdr>
                  <w:divsChild>
                    <w:div w:id="459539900">
                      <w:marLeft w:val="0"/>
                      <w:marRight w:val="0"/>
                      <w:marTop w:val="0"/>
                      <w:marBottom w:val="0"/>
                      <w:divBdr>
                        <w:top w:val="none" w:sz="0" w:space="0" w:color="auto"/>
                        <w:left w:val="none" w:sz="0" w:space="0" w:color="auto"/>
                        <w:bottom w:val="none" w:sz="0" w:space="0" w:color="auto"/>
                        <w:right w:val="none" w:sz="0" w:space="0" w:color="auto"/>
                      </w:divBdr>
                    </w:div>
                  </w:divsChild>
                </w:div>
                <w:div w:id="1066296731">
                  <w:marLeft w:val="0"/>
                  <w:marRight w:val="0"/>
                  <w:marTop w:val="0"/>
                  <w:marBottom w:val="0"/>
                  <w:divBdr>
                    <w:top w:val="none" w:sz="0" w:space="0" w:color="auto"/>
                    <w:left w:val="none" w:sz="0" w:space="0" w:color="auto"/>
                    <w:bottom w:val="none" w:sz="0" w:space="0" w:color="auto"/>
                    <w:right w:val="none" w:sz="0" w:space="0" w:color="auto"/>
                  </w:divBdr>
                  <w:divsChild>
                    <w:div w:id="319819856">
                      <w:marLeft w:val="0"/>
                      <w:marRight w:val="0"/>
                      <w:marTop w:val="0"/>
                      <w:marBottom w:val="0"/>
                      <w:divBdr>
                        <w:top w:val="none" w:sz="0" w:space="0" w:color="auto"/>
                        <w:left w:val="none" w:sz="0" w:space="0" w:color="auto"/>
                        <w:bottom w:val="none" w:sz="0" w:space="0" w:color="auto"/>
                        <w:right w:val="none" w:sz="0" w:space="0" w:color="auto"/>
                      </w:divBdr>
                    </w:div>
                    <w:div w:id="1290625699">
                      <w:marLeft w:val="0"/>
                      <w:marRight w:val="0"/>
                      <w:marTop w:val="0"/>
                      <w:marBottom w:val="0"/>
                      <w:divBdr>
                        <w:top w:val="none" w:sz="0" w:space="0" w:color="auto"/>
                        <w:left w:val="none" w:sz="0" w:space="0" w:color="auto"/>
                        <w:bottom w:val="none" w:sz="0" w:space="0" w:color="auto"/>
                        <w:right w:val="none" w:sz="0" w:space="0" w:color="auto"/>
                      </w:divBdr>
                    </w:div>
                  </w:divsChild>
                </w:div>
                <w:div w:id="999966624">
                  <w:marLeft w:val="0"/>
                  <w:marRight w:val="0"/>
                  <w:marTop w:val="0"/>
                  <w:marBottom w:val="0"/>
                  <w:divBdr>
                    <w:top w:val="none" w:sz="0" w:space="0" w:color="auto"/>
                    <w:left w:val="none" w:sz="0" w:space="0" w:color="auto"/>
                    <w:bottom w:val="none" w:sz="0" w:space="0" w:color="auto"/>
                    <w:right w:val="none" w:sz="0" w:space="0" w:color="auto"/>
                  </w:divBdr>
                  <w:divsChild>
                    <w:div w:id="371615469">
                      <w:marLeft w:val="0"/>
                      <w:marRight w:val="0"/>
                      <w:marTop w:val="0"/>
                      <w:marBottom w:val="0"/>
                      <w:divBdr>
                        <w:top w:val="none" w:sz="0" w:space="0" w:color="auto"/>
                        <w:left w:val="none" w:sz="0" w:space="0" w:color="auto"/>
                        <w:bottom w:val="none" w:sz="0" w:space="0" w:color="auto"/>
                        <w:right w:val="none" w:sz="0" w:space="0" w:color="auto"/>
                      </w:divBdr>
                    </w:div>
                  </w:divsChild>
                </w:div>
                <w:div w:id="1521310861">
                  <w:marLeft w:val="0"/>
                  <w:marRight w:val="0"/>
                  <w:marTop w:val="0"/>
                  <w:marBottom w:val="0"/>
                  <w:divBdr>
                    <w:top w:val="none" w:sz="0" w:space="0" w:color="auto"/>
                    <w:left w:val="none" w:sz="0" w:space="0" w:color="auto"/>
                    <w:bottom w:val="none" w:sz="0" w:space="0" w:color="auto"/>
                    <w:right w:val="none" w:sz="0" w:space="0" w:color="auto"/>
                  </w:divBdr>
                  <w:divsChild>
                    <w:div w:id="843057885">
                      <w:marLeft w:val="0"/>
                      <w:marRight w:val="0"/>
                      <w:marTop w:val="0"/>
                      <w:marBottom w:val="0"/>
                      <w:divBdr>
                        <w:top w:val="none" w:sz="0" w:space="0" w:color="auto"/>
                        <w:left w:val="none" w:sz="0" w:space="0" w:color="auto"/>
                        <w:bottom w:val="none" w:sz="0" w:space="0" w:color="auto"/>
                        <w:right w:val="none" w:sz="0" w:space="0" w:color="auto"/>
                      </w:divBdr>
                    </w:div>
                  </w:divsChild>
                </w:div>
                <w:div w:id="43338760">
                  <w:marLeft w:val="0"/>
                  <w:marRight w:val="0"/>
                  <w:marTop w:val="0"/>
                  <w:marBottom w:val="0"/>
                  <w:divBdr>
                    <w:top w:val="none" w:sz="0" w:space="0" w:color="auto"/>
                    <w:left w:val="none" w:sz="0" w:space="0" w:color="auto"/>
                    <w:bottom w:val="none" w:sz="0" w:space="0" w:color="auto"/>
                    <w:right w:val="none" w:sz="0" w:space="0" w:color="auto"/>
                  </w:divBdr>
                  <w:divsChild>
                    <w:div w:id="1670253305">
                      <w:marLeft w:val="0"/>
                      <w:marRight w:val="0"/>
                      <w:marTop w:val="0"/>
                      <w:marBottom w:val="0"/>
                      <w:divBdr>
                        <w:top w:val="none" w:sz="0" w:space="0" w:color="auto"/>
                        <w:left w:val="none" w:sz="0" w:space="0" w:color="auto"/>
                        <w:bottom w:val="none" w:sz="0" w:space="0" w:color="auto"/>
                        <w:right w:val="none" w:sz="0" w:space="0" w:color="auto"/>
                      </w:divBdr>
                    </w:div>
                  </w:divsChild>
                </w:div>
                <w:div w:id="1076129136">
                  <w:marLeft w:val="0"/>
                  <w:marRight w:val="0"/>
                  <w:marTop w:val="0"/>
                  <w:marBottom w:val="0"/>
                  <w:divBdr>
                    <w:top w:val="none" w:sz="0" w:space="0" w:color="auto"/>
                    <w:left w:val="none" w:sz="0" w:space="0" w:color="auto"/>
                    <w:bottom w:val="none" w:sz="0" w:space="0" w:color="auto"/>
                    <w:right w:val="none" w:sz="0" w:space="0" w:color="auto"/>
                  </w:divBdr>
                  <w:divsChild>
                    <w:div w:id="1656448506">
                      <w:marLeft w:val="0"/>
                      <w:marRight w:val="0"/>
                      <w:marTop w:val="0"/>
                      <w:marBottom w:val="0"/>
                      <w:divBdr>
                        <w:top w:val="none" w:sz="0" w:space="0" w:color="auto"/>
                        <w:left w:val="none" w:sz="0" w:space="0" w:color="auto"/>
                        <w:bottom w:val="none" w:sz="0" w:space="0" w:color="auto"/>
                        <w:right w:val="none" w:sz="0" w:space="0" w:color="auto"/>
                      </w:divBdr>
                    </w:div>
                  </w:divsChild>
                </w:div>
                <w:div w:id="2012176643">
                  <w:marLeft w:val="0"/>
                  <w:marRight w:val="0"/>
                  <w:marTop w:val="0"/>
                  <w:marBottom w:val="0"/>
                  <w:divBdr>
                    <w:top w:val="none" w:sz="0" w:space="0" w:color="auto"/>
                    <w:left w:val="none" w:sz="0" w:space="0" w:color="auto"/>
                    <w:bottom w:val="none" w:sz="0" w:space="0" w:color="auto"/>
                    <w:right w:val="none" w:sz="0" w:space="0" w:color="auto"/>
                  </w:divBdr>
                  <w:divsChild>
                    <w:div w:id="1720010026">
                      <w:marLeft w:val="0"/>
                      <w:marRight w:val="0"/>
                      <w:marTop w:val="0"/>
                      <w:marBottom w:val="0"/>
                      <w:divBdr>
                        <w:top w:val="none" w:sz="0" w:space="0" w:color="auto"/>
                        <w:left w:val="none" w:sz="0" w:space="0" w:color="auto"/>
                        <w:bottom w:val="none" w:sz="0" w:space="0" w:color="auto"/>
                        <w:right w:val="none" w:sz="0" w:space="0" w:color="auto"/>
                      </w:divBdr>
                    </w:div>
                  </w:divsChild>
                </w:div>
                <w:div w:id="495270355">
                  <w:marLeft w:val="0"/>
                  <w:marRight w:val="0"/>
                  <w:marTop w:val="0"/>
                  <w:marBottom w:val="0"/>
                  <w:divBdr>
                    <w:top w:val="none" w:sz="0" w:space="0" w:color="auto"/>
                    <w:left w:val="none" w:sz="0" w:space="0" w:color="auto"/>
                    <w:bottom w:val="none" w:sz="0" w:space="0" w:color="auto"/>
                    <w:right w:val="none" w:sz="0" w:space="0" w:color="auto"/>
                  </w:divBdr>
                  <w:divsChild>
                    <w:div w:id="1236817640">
                      <w:marLeft w:val="0"/>
                      <w:marRight w:val="0"/>
                      <w:marTop w:val="0"/>
                      <w:marBottom w:val="0"/>
                      <w:divBdr>
                        <w:top w:val="none" w:sz="0" w:space="0" w:color="auto"/>
                        <w:left w:val="none" w:sz="0" w:space="0" w:color="auto"/>
                        <w:bottom w:val="none" w:sz="0" w:space="0" w:color="auto"/>
                        <w:right w:val="none" w:sz="0" w:space="0" w:color="auto"/>
                      </w:divBdr>
                    </w:div>
                  </w:divsChild>
                </w:div>
                <w:div w:id="1497843974">
                  <w:marLeft w:val="0"/>
                  <w:marRight w:val="0"/>
                  <w:marTop w:val="0"/>
                  <w:marBottom w:val="0"/>
                  <w:divBdr>
                    <w:top w:val="none" w:sz="0" w:space="0" w:color="auto"/>
                    <w:left w:val="none" w:sz="0" w:space="0" w:color="auto"/>
                    <w:bottom w:val="none" w:sz="0" w:space="0" w:color="auto"/>
                    <w:right w:val="none" w:sz="0" w:space="0" w:color="auto"/>
                  </w:divBdr>
                  <w:divsChild>
                    <w:div w:id="1528985033">
                      <w:marLeft w:val="0"/>
                      <w:marRight w:val="0"/>
                      <w:marTop w:val="0"/>
                      <w:marBottom w:val="0"/>
                      <w:divBdr>
                        <w:top w:val="none" w:sz="0" w:space="0" w:color="auto"/>
                        <w:left w:val="none" w:sz="0" w:space="0" w:color="auto"/>
                        <w:bottom w:val="none" w:sz="0" w:space="0" w:color="auto"/>
                        <w:right w:val="none" w:sz="0" w:space="0" w:color="auto"/>
                      </w:divBdr>
                    </w:div>
                  </w:divsChild>
                </w:div>
                <w:div w:id="1423800951">
                  <w:marLeft w:val="0"/>
                  <w:marRight w:val="0"/>
                  <w:marTop w:val="0"/>
                  <w:marBottom w:val="0"/>
                  <w:divBdr>
                    <w:top w:val="none" w:sz="0" w:space="0" w:color="auto"/>
                    <w:left w:val="none" w:sz="0" w:space="0" w:color="auto"/>
                    <w:bottom w:val="none" w:sz="0" w:space="0" w:color="auto"/>
                    <w:right w:val="none" w:sz="0" w:space="0" w:color="auto"/>
                  </w:divBdr>
                  <w:divsChild>
                    <w:div w:id="825365747">
                      <w:marLeft w:val="0"/>
                      <w:marRight w:val="0"/>
                      <w:marTop w:val="0"/>
                      <w:marBottom w:val="0"/>
                      <w:divBdr>
                        <w:top w:val="none" w:sz="0" w:space="0" w:color="auto"/>
                        <w:left w:val="none" w:sz="0" w:space="0" w:color="auto"/>
                        <w:bottom w:val="none" w:sz="0" w:space="0" w:color="auto"/>
                        <w:right w:val="none" w:sz="0" w:space="0" w:color="auto"/>
                      </w:divBdr>
                    </w:div>
                    <w:div w:id="838035866">
                      <w:marLeft w:val="0"/>
                      <w:marRight w:val="0"/>
                      <w:marTop w:val="0"/>
                      <w:marBottom w:val="0"/>
                      <w:divBdr>
                        <w:top w:val="none" w:sz="0" w:space="0" w:color="auto"/>
                        <w:left w:val="none" w:sz="0" w:space="0" w:color="auto"/>
                        <w:bottom w:val="none" w:sz="0" w:space="0" w:color="auto"/>
                        <w:right w:val="none" w:sz="0" w:space="0" w:color="auto"/>
                      </w:divBdr>
                    </w:div>
                  </w:divsChild>
                </w:div>
                <w:div w:id="1318459175">
                  <w:marLeft w:val="0"/>
                  <w:marRight w:val="0"/>
                  <w:marTop w:val="0"/>
                  <w:marBottom w:val="0"/>
                  <w:divBdr>
                    <w:top w:val="none" w:sz="0" w:space="0" w:color="auto"/>
                    <w:left w:val="none" w:sz="0" w:space="0" w:color="auto"/>
                    <w:bottom w:val="none" w:sz="0" w:space="0" w:color="auto"/>
                    <w:right w:val="none" w:sz="0" w:space="0" w:color="auto"/>
                  </w:divBdr>
                  <w:divsChild>
                    <w:div w:id="160584438">
                      <w:marLeft w:val="0"/>
                      <w:marRight w:val="0"/>
                      <w:marTop w:val="0"/>
                      <w:marBottom w:val="0"/>
                      <w:divBdr>
                        <w:top w:val="none" w:sz="0" w:space="0" w:color="auto"/>
                        <w:left w:val="none" w:sz="0" w:space="0" w:color="auto"/>
                        <w:bottom w:val="none" w:sz="0" w:space="0" w:color="auto"/>
                        <w:right w:val="none" w:sz="0" w:space="0" w:color="auto"/>
                      </w:divBdr>
                    </w:div>
                  </w:divsChild>
                </w:div>
                <w:div w:id="1651130304">
                  <w:marLeft w:val="0"/>
                  <w:marRight w:val="0"/>
                  <w:marTop w:val="0"/>
                  <w:marBottom w:val="0"/>
                  <w:divBdr>
                    <w:top w:val="none" w:sz="0" w:space="0" w:color="auto"/>
                    <w:left w:val="none" w:sz="0" w:space="0" w:color="auto"/>
                    <w:bottom w:val="none" w:sz="0" w:space="0" w:color="auto"/>
                    <w:right w:val="none" w:sz="0" w:space="0" w:color="auto"/>
                  </w:divBdr>
                  <w:divsChild>
                    <w:div w:id="1839996182">
                      <w:marLeft w:val="0"/>
                      <w:marRight w:val="0"/>
                      <w:marTop w:val="0"/>
                      <w:marBottom w:val="0"/>
                      <w:divBdr>
                        <w:top w:val="none" w:sz="0" w:space="0" w:color="auto"/>
                        <w:left w:val="none" w:sz="0" w:space="0" w:color="auto"/>
                        <w:bottom w:val="none" w:sz="0" w:space="0" w:color="auto"/>
                        <w:right w:val="none" w:sz="0" w:space="0" w:color="auto"/>
                      </w:divBdr>
                    </w:div>
                  </w:divsChild>
                </w:div>
                <w:div w:id="1714189810">
                  <w:marLeft w:val="0"/>
                  <w:marRight w:val="0"/>
                  <w:marTop w:val="0"/>
                  <w:marBottom w:val="0"/>
                  <w:divBdr>
                    <w:top w:val="none" w:sz="0" w:space="0" w:color="auto"/>
                    <w:left w:val="none" w:sz="0" w:space="0" w:color="auto"/>
                    <w:bottom w:val="none" w:sz="0" w:space="0" w:color="auto"/>
                    <w:right w:val="none" w:sz="0" w:space="0" w:color="auto"/>
                  </w:divBdr>
                  <w:divsChild>
                    <w:div w:id="503012755">
                      <w:marLeft w:val="0"/>
                      <w:marRight w:val="0"/>
                      <w:marTop w:val="0"/>
                      <w:marBottom w:val="0"/>
                      <w:divBdr>
                        <w:top w:val="none" w:sz="0" w:space="0" w:color="auto"/>
                        <w:left w:val="none" w:sz="0" w:space="0" w:color="auto"/>
                        <w:bottom w:val="none" w:sz="0" w:space="0" w:color="auto"/>
                        <w:right w:val="none" w:sz="0" w:space="0" w:color="auto"/>
                      </w:divBdr>
                    </w:div>
                  </w:divsChild>
                </w:div>
                <w:div w:id="1586114918">
                  <w:marLeft w:val="0"/>
                  <w:marRight w:val="0"/>
                  <w:marTop w:val="0"/>
                  <w:marBottom w:val="0"/>
                  <w:divBdr>
                    <w:top w:val="none" w:sz="0" w:space="0" w:color="auto"/>
                    <w:left w:val="none" w:sz="0" w:space="0" w:color="auto"/>
                    <w:bottom w:val="none" w:sz="0" w:space="0" w:color="auto"/>
                    <w:right w:val="none" w:sz="0" w:space="0" w:color="auto"/>
                  </w:divBdr>
                  <w:divsChild>
                    <w:div w:id="1818914226">
                      <w:marLeft w:val="0"/>
                      <w:marRight w:val="0"/>
                      <w:marTop w:val="0"/>
                      <w:marBottom w:val="0"/>
                      <w:divBdr>
                        <w:top w:val="none" w:sz="0" w:space="0" w:color="auto"/>
                        <w:left w:val="none" w:sz="0" w:space="0" w:color="auto"/>
                        <w:bottom w:val="none" w:sz="0" w:space="0" w:color="auto"/>
                        <w:right w:val="none" w:sz="0" w:space="0" w:color="auto"/>
                      </w:divBdr>
                    </w:div>
                  </w:divsChild>
                </w:div>
                <w:div w:id="422730685">
                  <w:marLeft w:val="0"/>
                  <w:marRight w:val="0"/>
                  <w:marTop w:val="0"/>
                  <w:marBottom w:val="0"/>
                  <w:divBdr>
                    <w:top w:val="none" w:sz="0" w:space="0" w:color="auto"/>
                    <w:left w:val="none" w:sz="0" w:space="0" w:color="auto"/>
                    <w:bottom w:val="none" w:sz="0" w:space="0" w:color="auto"/>
                    <w:right w:val="none" w:sz="0" w:space="0" w:color="auto"/>
                  </w:divBdr>
                  <w:divsChild>
                    <w:div w:id="8009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5266">
          <w:marLeft w:val="0"/>
          <w:marRight w:val="0"/>
          <w:marTop w:val="0"/>
          <w:marBottom w:val="0"/>
          <w:divBdr>
            <w:top w:val="none" w:sz="0" w:space="0" w:color="auto"/>
            <w:left w:val="none" w:sz="0" w:space="0" w:color="auto"/>
            <w:bottom w:val="none" w:sz="0" w:space="0" w:color="auto"/>
            <w:right w:val="none" w:sz="0" w:space="0" w:color="auto"/>
          </w:divBdr>
        </w:div>
        <w:div w:id="852305075">
          <w:marLeft w:val="0"/>
          <w:marRight w:val="0"/>
          <w:marTop w:val="0"/>
          <w:marBottom w:val="0"/>
          <w:divBdr>
            <w:top w:val="none" w:sz="0" w:space="0" w:color="auto"/>
            <w:left w:val="none" w:sz="0" w:space="0" w:color="auto"/>
            <w:bottom w:val="none" w:sz="0" w:space="0" w:color="auto"/>
            <w:right w:val="none" w:sz="0" w:space="0" w:color="auto"/>
          </w:divBdr>
        </w:div>
        <w:div w:id="25984174">
          <w:marLeft w:val="0"/>
          <w:marRight w:val="0"/>
          <w:marTop w:val="0"/>
          <w:marBottom w:val="0"/>
          <w:divBdr>
            <w:top w:val="none" w:sz="0" w:space="0" w:color="auto"/>
            <w:left w:val="none" w:sz="0" w:space="0" w:color="auto"/>
            <w:bottom w:val="none" w:sz="0" w:space="0" w:color="auto"/>
            <w:right w:val="none" w:sz="0" w:space="0" w:color="auto"/>
          </w:divBdr>
        </w:div>
      </w:divsChild>
    </w:div>
    <w:div w:id="1403681563">
      <w:bodyDiv w:val="1"/>
      <w:marLeft w:val="0"/>
      <w:marRight w:val="0"/>
      <w:marTop w:val="0"/>
      <w:marBottom w:val="0"/>
      <w:divBdr>
        <w:top w:val="none" w:sz="0" w:space="0" w:color="auto"/>
        <w:left w:val="none" w:sz="0" w:space="0" w:color="auto"/>
        <w:bottom w:val="none" w:sz="0" w:space="0" w:color="auto"/>
        <w:right w:val="none" w:sz="0" w:space="0" w:color="auto"/>
      </w:divBdr>
    </w:div>
    <w:div w:id="1614166886">
      <w:bodyDiv w:val="1"/>
      <w:marLeft w:val="0"/>
      <w:marRight w:val="0"/>
      <w:marTop w:val="0"/>
      <w:marBottom w:val="0"/>
      <w:divBdr>
        <w:top w:val="none" w:sz="0" w:space="0" w:color="auto"/>
        <w:left w:val="none" w:sz="0" w:space="0" w:color="auto"/>
        <w:bottom w:val="none" w:sz="0" w:space="0" w:color="auto"/>
        <w:right w:val="none" w:sz="0" w:space="0" w:color="auto"/>
      </w:divBdr>
      <w:divsChild>
        <w:div w:id="2134253919">
          <w:marLeft w:val="0"/>
          <w:marRight w:val="0"/>
          <w:marTop w:val="0"/>
          <w:marBottom w:val="0"/>
          <w:divBdr>
            <w:top w:val="none" w:sz="0" w:space="0" w:color="auto"/>
            <w:left w:val="none" w:sz="0" w:space="0" w:color="auto"/>
            <w:bottom w:val="none" w:sz="0" w:space="0" w:color="auto"/>
            <w:right w:val="none" w:sz="0" w:space="0" w:color="auto"/>
          </w:divBdr>
        </w:div>
        <w:div w:id="625505888">
          <w:marLeft w:val="0"/>
          <w:marRight w:val="0"/>
          <w:marTop w:val="0"/>
          <w:marBottom w:val="0"/>
          <w:divBdr>
            <w:top w:val="none" w:sz="0" w:space="0" w:color="auto"/>
            <w:left w:val="none" w:sz="0" w:space="0" w:color="auto"/>
            <w:bottom w:val="none" w:sz="0" w:space="0" w:color="auto"/>
            <w:right w:val="none" w:sz="0" w:space="0" w:color="auto"/>
          </w:divBdr>
          <w:divsChild>
            <w:div w:id="630139297">
              <w:marLeft w:val="-75"/>
              <w:marRight w:val="0"/>
              <w:marTop w:val="30"/>
              <w:marBottom w:val="30"/>
              <w:divBdr>
                <w:top w:val="none" w:sz="0" w:space="0" w:color="auto"/>
                <w:left w:val="none" w:sz="0" w:space="0" w:color="auto"/>
                <w:bottom w:val="none" w:sz="0" w:space="0" w:color="auto"/>
                <w:right w:val="none" w:sz="0" w:space="0" w:color="auto"/>
              </w:divBdr>
              <w:divsChild>
                <w:div w:id="1406760623">
                  <w:marLeft w:val="0"/>
                  <w:marRight w:val="0"/>
                  <w:marTop w:val="0"/>
                  <w:marBottom w:val="0"/>
                  <w:divBdr>
                    <w:top w:val="none" w:sz="0" w:space="0" w:color="auto"/>
                    <w:left w:val="none" w:sz="0" w:space="0" w:color="auto"/>
                    <w:bottom w:val="none" w:sz="0" w:space="0" w:color="auto"/>
                    <w:right w:val="none" w:sz="0" w:space="0" w:color="auto"/>
                  </w:divBdr>
                  <w:divsChild>
                    <w:div w:id="1503396963">
                      <w:marLeft w:val="0"/>
                      <w:marRight w:val="0"/>
                      <w:marTop w:val="0"/>
                      <w:marBottom w:val="0"/>
                      <w:divBdr>
                        <w:top w:val="none" w:sz="0" w:space="0" w:color="auto"/>
                        <w:left w:val="none" w:sz="0" w:space="0" w:color="auto"/>
                        <w:bottom w:val="none" w:sz="0" w:space="0" w:color="auto"/>
                        <w:right w:val="none" w:sz="0" w:space="0" w:color="auto"/>
                      </w:divBdr>
                    </w:div>
                  </w:divsChild>
                </w:div>
                <w:div w:id="95178854">
                  <w:marLeft w:val="0"/>
                  <w:marRight w:val="0"/>
                  <w:marTop w:val="0"/>
                  <w:marBottom w:val="0"/>
                  <w:divBdr>
                    <w:top w:val="none" w:sz="0" w:space="0" w:color="auto"/>
                    <w:left w:val="none" w:sz="0" w:space="0" w:color="auto"/>
                    <w:bottom w:val="none" w:sz="0" w:space="0" w:color="auto"/>
                    <w:right w:val="none" w:sz="0" w:space="0" w:color="auto"/>
                  </w:divBdr>
                  <w:divsChild>
                    <w:div w:id="985548638">
                      <w:marLeft w:val="0"/>
                      <w:marRight w:val="0"/>
                      <w:marTop w:val="0"/>
                      <w:marBottom w:val="0"/>
                      <w:divBdr>
                        <w:top w:val="none" w:sz="0" w:space="0" w:color="auto"/>
                        <w:left w:val="none" w:sz="0" w:space="0" w:color="auto"/>
                        <w:bottom w:val="none" w:sz="0" w:space="0" w:color="auto"/>
                        <w:right w:val="none" w:sz="0" w:space="0" w:color="auto"/>
                      </w:divBdr>
                    </w:div>
                  </w:divsChild>
                </w:div>
                <w:div w:id="259915937">
                  <w:marLeft w:val="0"/>
                  <w:marRight w:val="0"/>
                  <w:marTop w:val="0"/>
                  <w:marBottom w:val="0"/>
                  <w:divBdr>
                    <w:top w:val="none" w:sz="0" w:space="0" w:color="auto"/>
                    <w:left w:val="none" w:sz="0" w:space="0" w:color="auto"/>
                    <w:bottom w:val="none" w:sz="0" w:space="0" w:color="auto"/>
                    <w:right w:val="none" w:sz="0" w:space="0" w:color="auto"/>
                  </w:divBdr>
                  <w:divsChild>
                    <w:div w:id="190188055">
                      <w:marLeft w:val="0"/>
                      <w:marRight w:val="0"/>
                      <w:marTop w:val="0"/>
                      <w:marBottom w:val="0"/>
                      <w:divBdr>
                        <w:top w:val="none" w:sz="0" w:space="0" w:color="auto"/>
                        <w:left w:val="none" w:sz="0" w:space="0" w:color="auto"/>
                        <w:bottom w:val="none" w:sz="0" w:space="0" w:color="auto"/>
                        <w:right w:val="none" w:sz="0" w:space="0" w:color="auto"/>
                      </w:divBdr>
                    </w:div>
                  </w:divsChild>
                </w:div>
                <w:div w:id="1914927706">
                  <w:marLeft w:val="0"/>
                  <w:marRight w:val="0"/>
                  <w:marTop w:val="0"/>
                  <w:marBottom w:val="0"/>
                  <w:divBdr>
                    <w:top w:val="none" w:sz="0" w:space="0" w:color="auto"/>
                    <w:left w:val="none" w:sz="0" w:space="0" w:color="auto"/>
                    <w:bottom w:val="none" w:sz="0" w:space="0" w:color="auto"/>
                    <w:right w:val="none" w:sz="0" w:space="0" w:color="auto"/>
                  </w:divBdr>
                  <w:divsChild>
                    <w:div w:id="750196877">
                      <w:marLeft w:val="0"/>
                      <w:marRight w:val="0"/>
                      <w:marTop w:val="0"/>
                      <w:marBottom w:val="0"/>
                      <w:divBdr>
                        <w:top w:val="none" w:sz="0" w:space="0" w:color="auto"/>
                        <w:left w:val="none" w:sz="0" w:space="0" w:color="auto"/>
                        <w:bottom w:val="none" w:sz="0" w:space="0" w:color="auto"/>
                        <w:right w:val="none" w:sz="0" w:space="0" w:color="auto"/>
                      </w:divBdr>
                    </w:div>
                  </w:divsChild>
                </w:div>
                <w:div w:id="425611731">
                  <w:marLeft w:val="0"/>
                  <w:marRight w:val="0"/>
                  <w:marTop w:val="0"/>
                  <w:marBottom w:val="0"/>
                  <w:divBdr>
                    <w:top w:val="none" w:sz="0" w:space="0" w:color="auto"/>
                    <w:left w:val="none" w:sz="0" w:space="0" w:color="auto"/>
                    <w:bottom w:val="none" w:sz="0" w:space="0" w:color="auto"/>
                    <w:right w:val="none" w:sz="0" w:space="0" w:color="auto"/>
                  </w:divBdr>
                  <w:divsChild>
                    <w:div w:id="2072582019">
                      <w:marLeft w:val="0"/>
                      <w:marRight w:val="0"/>
                      <w:marTop w:val="0"/>
                      <w:marBottom w:val="0"/>
                      <w:divBdr>
                        <w:top w:val="none" w:sz="0" w:space="0" w:color="auto"/>
                        <w:left w:val="none" w:sz="0" w:space="0" w:color="auto"/>
                        <w:bottom w:val="none" w:sz="0" w:space="0" w:color="auto"/>
                        <w:right w:val="none" w:sz="0" w:space="0" w:color="auto"/>
                      </w:divBdr>
                    </w:div>
                  </w:divsChild>
                </w:div>
                <w:div w:id="1026103616">
                  <w:marLeft w:val="0"/>
                  <w:marRight w:val="0"/>
                  <w:marTop w:val="0"/>
                  <w:marBottom w:val="0"/>
                  <w:divBdr>
                    <w:top w:val="none" w:sz="0" w:space="0" w:color="auto"/>
                    <w:left w:val="none" w:sz="0" w:space="0" w:color="auto"/>
                    <w:bottom w:val="none" w:sz="0" w:space="0" w:color="auto"/>
                    <w:right w:val="none" w:sz="0" w:space="0" w:color="auto"/>
                  </w:divBdr>
                  <w:divsChild>
                    <w:div w:id="617102171">
                      <w:marLeft w:val="0"/>
                      <w:marRight w:val="0"/>
                      <w:marTop w:val="0"/>
                      <w:marBottom w:val="0"/>
                      <w:divBdr>
                        <w:top w:val="none" w:sz="0" w:space="0" w:color="auto"/>
                        <w:left w:val="none" w:sz="0" w:space="0" w:color="auto"/>
                        <w:bottom w:val="none" w:sz="0" w:space="0" w:color="auto"/>
                        <w:right w:val="none" w:sz="0" w:space="0" w:color="auto"/>
                      </w:divBdr>
                    </w:div>
                  </w:divsChild>
                </w:div>
                <w:div w:id="1375231535">
                  <w:marLeft w:val="0"/>
                  <w:marRight w:val="0"/>
                  <w:marTop w:val="0"/>
                  <w:marBottom w:val="0"/>
                  <w:divBdr>
                    <w:top w:val="none" w:sz="0" w:space="0" w:color="auto"/>
                    <w:left w:val="none" w:sz="0" w:space="0" w:color="auto"/>
                    <w:bottom w:val="none" w:sz="0" w:space="0" w:color="auto"/>
                    <w:right w:val="none" w:sz="0" w:space="0" w:color="auto"/>
                  </w:divBdr>
                  <w:divsChild>
                    <w:div w:id="922640112">
                      <w:marLeft w:val="0"/>
                      <w:marRight w:val="0"/>
                      <w:marTop w:val="0"/>
                      <w:marBottom w:val="0"/>
                      <w:divBdr>
                        <w:top w:val="none" w:sz="0" w:space="0" w:color="auto"/>
                        <w:left w:val="none" w:sz="0" w:space="0" w:color="auto"/>
                        <w:bottom w:val="none" w:sz="0" w:space="0" w:color="auto"/>
                        <w:right w:val="none" w:sz="0" w:space="0" w:color="auto"/>
                      </w:divBdr>
                    </w:div>
                  </w:divsChild>
                </w:div>
                <w:div w:id="181742866">
                  <w:marLeft w:val="0"/>
                  <w:marRight w:val="0"/>
                  <w:marTop w:val="0"/>
                  <w:marBottom w:val="0"/>
                  <w:divBdr>
                    <w:top w:val="none" w:sz="0" w:space="0" w:color="auto"/>
                    <w:left w:val="none" w:sz="0" w:space="0" w:color="auto"/>
                    <w:bottom w:val="none" w:sz="0" w:space="0" w:color="auto"/>
                    <w:right w:val="none" w:sz="0" w:space="0" w:color="auto"/>
                  </w:divBdr>
                  <w:divsChild>
                    <w:div w:id="1438283234">
                      <w:marLeft w:val="0"/>
                      <w:marRight w:val="0"/>
                      <w:marTop w:val="0"/>
                      <w:marBottom w:val="0"/>
                      <w:divBdr>
                        <w:top w:val="none" w:sz="0" w:space="0" w:color="auto"/>
                        <w:left w:val="none" w:sz="0" w:space="0" w:color="auto"/>
                        <w:bottom w:val="none" w:sz="0" w:space="0" w:color="auto"/>
                        <w:right w:val="none" w:sz="0" w:space="0" w:color="auto"/>
                      </w:divBdr>
                    </w:div>
                  </w:divsChild>
                </w:div>
                <w:div w:id="1344818634">
                  <w:marLeft w:val="0"/>
                  <w:marRight w:val="0"/>
                  <w:marTop w:val="0"/>
                  <w:marBottom w:val="0"/>
                  <w:divBdr>
                    <w:top w:val="none" w:sz="0" w:space="0" w:color="auto"/>
                    <w:left w:val="none" w:sz="0" w:space="0" w:color="auto"/>
                    <w:bottom w:val="none" w:sz="0" w:space="0" w:color="auto"/>
                    <w:right w:val="none" w:sz="0" w:space="0" w:color="auto"/>
                  </w:divBdr>
                  <w:divsChild>
                    <w:div w:id="425033529">
                      <w:marLeft w:val="0"/>
                      <w:marRight w:val="0"/>
                      <w:marTop w:val="0"/>
                      <w:marBottom w:val="0"/>
                      <w:divBdr>
                        <w:top w:val="none" w:sz="0" w:space="0" w:color="auto"/>
                        <w:left w:val="none" w:sz="0" w:space="0" w:color="auto"/>
                        <w:bottom w:val="none" w:sz="0" w:space="0" w:color="auto"/>
                        <w:right w:val="none" w:sz="0" w:space="0" w:color="auto"/>
                      </w:divBdr>
                    </w:div>
                  </w:divsChild>
                </w:div>
                <w:div w:id="275866758">
                  <w:marLeft w:val="0"/>
                  <w:marRight w:val="0"/>
                  <w:marTop w:val="0"/>
                  <w:marBottom w:val="0"/>
                  <w:divBdr>
                    <w:top w:val="none" w:sz="0" w:space="0" w:color="auto"/>
                    <w:left w:val="none" w:sz="0" w:space="0" w:color="auto"/>
                    <w:bottom w:val="none" w:sz="0" w:space="0" w:color="auto"/>
                    <w:right w:val="none" w:sz="0" w:space="0" w:color="auto"/>
                  </w:divBdr>
                  <w:divsChild>
                    <w:div w:id="1548222604">
                      <w:marLeft w:val="0"/>
                      <w:marRight w:val="0"/>
                      <w:marTop w:val="0"/>
                      <w:marBottom w:val="0"/>
                      <w:divBdr>
                        <w:top w:val="none" w:sz="0" w:space="0" w:color="auto"/>
                        <w:left w:val="none" w:sz="0" w:space="0" w:color="auto"/>
                        <w:bottom w:val="none" w:sz="0" w:space="0" w:color="auto"/>
                        <w:right w:val="none" w:sz="0" w:space="0" w:color="auto"/>
                      </w:divBdr>
                    </w:div>
                  </w:divsChild>
                </w:div>
                <w:div w:id="257294843">
                  <w:marLeft w:val="0"/>
                  <w:marRight w:val="0"/>
                  <w:marTop w:val="0"/>
                  <w:marBottom w:val="0"/>
                  <w:divBdr>
                    <w:top w:val="none" w:sz="0" w:space="0" w:color="auto"/>
                    <w:left w:val="none" w:sz="0" w:space="0" w:color="auto"/>
                    <w:bottom w:val="none" w:sz="0" w:space="0" w:color="auto"/>
                    <w:right w:val="none" w:sz="0" w:space="0" w:color="auto"/>
                  </w:divBdr>
                  <w:divsChild>
                    <w:div w:id="1130585230">
                      <w:marLeft w:val="0"/>
                      <w:marRight w:val="0"/>
                      <w:marTop w:val="0"/>
                      <w:marBottom w:val="0"/>
                      <w:divBdr>
                        <w:top w:val="none" w:sz="0" w:space="0" w:color="auto"/>
                        <w:left w:val="none" w:sz="0" w:space="0" w:color="auto"/>
                        <w:bottom w:val="none" w:sz="0" w:space="0" w:color="auto"/>
                        <w:right w:val="none" w:sz="0" w:space="0" w:color="auto"/>
                      </w:divBdr>
                    </w:div>
                    <w:div w:id="1349916711">
                      <w:marLeft w:val="0"/>
                      <w:marRight w:val="0"/>
                      <w:marTop w:val="0"/>
                      <w:marBottom w:val="0"/>
                      <w:divBdr>
                        <w:top w:val="none" w:sz="0" w:space="0" w:color="auto"/>
                        <w:left w:val="none" w:sz="0" w:space="0" w:color="auto"/>
                        <w:bottom w:val="none" w:sz="0" w:space="0" w:color="auto"/>
                        <w:right w:val="none" w:sz="0" w:space="0" w:color="auto"/>
                      </w:divBdr>
                    </w:div>
                  </w:divsChild>
                </w:div>
                <w:div w:id="1957981811">
                  <w:marLeft w:val="0"/>
                  <w:marRight w:val="0"/>
                  <w:marTop w:val="0"/>
                  <w:marBottom w:val="0"/>
                  <w:divBdr>
                    <w:top w:val="none" w:sz="0" w:space="0" w:color="auto"/>
                    <w:left w:val="none" w:sz="0" w:space="0" w:color="auto"/>
                    <w:bottom w:val="none" w:sz="0" w:space="0" w:color="auto"/>
                    <w:right w:val="none" w:sz="0" w:space="0" w:color="auto"/>
                  </w:divBdr>
                  <w:divsChild>
                    <w:div w:id="2031757164">
                      <w:marLeft w:val="0"/>
                      <w:marRight w:val="0"/>
                      <w:marTop w:val="0"/>
                      <w:marBottom w:val="0"/>
                      <w:divBdr>
                        <w:top w:val="none" w:sz="0" w:space="0" w:color="auto"/>
                        <w:left w:val="none" w:sz="0" w:space="0" w:color="auto"/>
                        <w:bottom w:val="none" w:sz="0" w:space="0" w:color="auto"/>
                        <w:right w:val="none" w:sz="0" w:space="0" w:color="auto"/>
                      </w:divBdr>
                    </w:div>
                  </w:divsChild>
                </w:div>
                <w:div w:id="555363164">
                  <w:marLeft w:val="0"/>
                  <w:marRight w:val="0"/>
                  <w:marTop w:val="0"/>
                  <w:marBottom w:val="0"/>
                  <w:divBdr>
                    <w:top w:val="none" w:sz="0" w:space="0" w:color="auto"/>
                    <w:left w:val="none" w:sz="0" w:space="0" w:color="auto"/>
                    <w:bottom w:val="none" w:sz="0" w:space="0" w:color="auto"/>
                    <w:right w:val="none" w:sz="0" w:space="0" w:color="auto"/>
                  </w:divBdr>
                  <w:divsChild>
                    <w:div w:id="1176381757">
                      <w:marLeft w:val="0"/>
                      <w:marRight w:val="0"/>
                      <w:marTop w:val="0"/>
                      <w:marBottom w:val="0"/>
                      <w:divBdr>
                        <w:top w:val="none" w:sz="0" w:space="0" w:color="auto"/>
                        <w:left w:val="none" w:sz="0" w:space="0" w:color="auto"/>
                        <w:bottom w:val="none" w:sz="0" w:space="0" w:color="auto"/>
                        <w:right w:val="none" w:sz="0" w:space="0" w:color="auto"/>
                      </w:divBdr>
                    </w:div>
                  </w:divsChild>
                </w:div>
                <w:div w:id="1952198929">
                  <w:marLeft w:val="0"/>
                  <w:marRight w:val="0"/>
                  <w:marTop w:val="0"/>
                  <w:marBottom w:val="0"/>
                  <w:divBdr>
                    <w:top w:val="none" w:sz="0" w:space="0" w:color="auto"/>
                    <w:left w:val="none" w:sz="0" w:space="0" w:color="auto"/>
                    <w:bottom w:val="none" w:sz="0" w:space="0" w:color="auto"/>
                    <w:right w:val="none" w:sz="0" w:space="0" w:color="auto"/>
                  </w:divBdr>
                  <w:divsChild>
                    <w:div w:id="218201920">
                      <w:marLeft w:val="0"/>
                      <w:marRight w:val="0"/>
                      <w:marTop w:val="0"/>
                      <w:marBottom w:val="0"/>
                      <w:divBdr>
                        <w:top w:val="none" w:sz="0" w:space="0" w:color="auto"/>
                        <w:left w:val="none" w:sz="0" w:space="0" w:color="auto"/>
                        <w:bottom w:val="none" w:sz="0" w:space="0" w:color="auto"/>
                        <w:right w:val="none" w:sz="0" w:space="0" w:color="auto"/>
                      </w:divBdr>
                    </w:div>
                  </w:divsChild>
                </w:div>
                <w:div w:id="1448428606">
                  <w:marLeft w:val="0"/>
                  <w:marRight w:val="0"/>
                  <w:marTop w:val="0"/>
                  <w:marBottom w:val="0"/>
                  <w:divBdr>
                    <w:top w:val="none" w:sz="0" w:space="0" w:color="auto"/>
                    <w:left w:val="none" w:sz="0" w:space="0" w:color="auto"/>
                    <w:bottom w:val="none" w:sz="0" w:space="0" w:color="auto"/>
                    <w:right w:val="none" w:sz="0" w:space="0" w:color="auto"/>
                  </w:divBdr>
                  <w:divsChild>
                    <w:div w:id="1468817807">
                      <w:marLeft w:val="0"/>
                      <w:marRight w:val="0"/>
                      <w:marTop w:val="0"/>
                      <w:marBottom w:val="0"/>
                      <w:divBdr>
                        <w:top w:val="none" w:sz="0" w:space="0" w:color="auto"/>
                        <w:left w:val="none" w:sz="0" w:space="0" w:color="auto"/>
                        <w:bottom w:val="none" w:sz="0" w:space="0" w:color="auto"/>
                        <w:right w:val="none" w:sz="0" w:space="0" w:color="auto"/>
                      </w:divBdr>
                    </w:div>
                  </w:divsChild>
                </w:div>
                <w:div w:id="1963070203">
                  <w:marLeft w:val="0"/>
                  <w:marRight w:val="0"/>
                  <w:marTop w:val="0"/>
                  <w:marBottom w:val="0"/>
                  <w:divBdr>
                    <w:top w:val="none" w:sz="0" w:space="0" w:color="auto"/>
                    <w:left w:val="none" w:sz="0" w:space="0" w:color="auto"/>
                    <w:bottom w:val="none" w:sz="0" w:space="0" w:color="auto"/>
                    <w:right w:val="none" w:sz="0" w:space="0" w:color="auto"/>
                  </w:divBdr>
                  <w:divsChild>
                    <w:div w:id="927344282">
                      <w:marLeft w:val="0"/>
                      <w:marRight w:val="0"/>
                      <w:marTop w:val="0"/>
                      <w:marBottom w:val="0"/>
                      <w:divBdr>
                        <w:top w:val="none" w:sz="0" w:space="0" w:color="auto"/>
                        <w:left w:val="none" w:sz="0" w:space="0" w:color="auto"/>
                        <w:bottom w:val="none" w:sz="0" w:space="0" w:color="auto"/>
                        <w:right w:val="none" w:sz="0" w:space="0" w:color="auto"/>
                      </w:divBdr>
                    </w:div>
                  </w:divsChild>
                </w:div>
                <w:div w:id="519897278">
                  <w:marLeft w:val="0"/>
                  <w:marRight w:val="0"/>
                  <w:marTop w:val="0"/>
                  <w:marBottom w:val="0"/>
                  <w:divBdr>
                    <w:top w:val="none" w:sz="0" w:space="0" w:color="auto"/>
                    <w:left w:val="none" w:sz="0" w:space="0" w:color="auto"/>
                    <w:bottom w:val="none" w:sz="0" w:space="0" w:color="auto"/>
                    <w:right w:val="none" w:sz="0" w:space="0" w:color="auto"/>
                  </w:divBdr>
                  <w:divsChild>
                    <w:div w:id="708722960">
                      <w:marLeft w:val="0"/>
                      <w:marRight w:val="0"/>
                      <w:marTop w:val="0"/>
                      <w:marBottom w:val="0"/>
                      <w:divBdr>
                        <w:top w:val="none" w:sz="0" w:space="0" w:color="auto"/>
                        <w:left w:val="none" w:sz="0" w:space="0" w:color="auto"/>
                        <w:bottom w:val="none" w:sz="0" w:space="0" w:color="auto"/>
                        <w:right w:val="none" w:sz="0" w:space="0" w:color="auto"/>
                      </w:divBdr>
                    </w:div>
                  </w:divsChild>
                </w:div>
                <w:div w:id="269746538">
                  <w:marLeft w:val="0"/>
                  <w:marRight w:val="0"/>
                  <w:marTop w:val="0"/>
                  <w:marBottom w:val="0"/>
                  <w:divBdr>
                    <w:top w:val="none" w:sz="0" w:space="0" w:color="auto"/>
                    <w:left w:val="none" w:sz="0" w:space="0" w:color="auto"/>
                    <w:bottom w:val="none" w:sz="0" w:space="0" w:color="auto"/>
                    <w:right w:val="none" w:sz="0" w:space="0" w:color="auto"/>
                  </w:divBdr>
                  <w:divsChild>
                    <w:div w:id="205682043">
                      <w:marLeft w:val="0"/>
                      <w:marRight w:val="0"/>
                      <w:marTop w:val="0"/>
                      <w:marBottom w:val="0"/>
                      <w:divBdr>
                        <w:top w:val="none" w:sz="0" w:space="0" w:color="auto"/>
                        <w:left w:val="none" w:sz="0" w:space="0" w:color="auto"/>
                        <w:bottom w:val="none" w:sz="0" w:space="0" w:color="auto"/>
                        <w:right w:val="none" w:sz="0" w:space="0" w:color="auto"/>
                      </w:divBdr>
                    </w:div>
                  </w:divsChild>
                </w:div>
                <w:div w:id="2057704939">
                  <w:marLeft w:val="0"/>
                  <w:marRight w:val="0"/>
                  <w:marTop w:val="0"/>
                  <w:marBottom w:val="0"/>
                  <w:divBdr>
                    <w:top w:val="none" w:sz="0" w:space="0" w:color="auto"/>
                    <w:left w:val="none" w:sz="0" w:space="0" w:color="auto"/>
                    <w:bottom w:val="none" w:sz="0" w:space="0" w:color="auto"/>
                    <w:right w:val="none" w:sz="0" w:space="0" w:color="auto"/>
                  </w:divBdr>
                  <w:divsChild>
                    <w:div w:id="978533728">
                      <w:marLeft w:val="0"/>
                      <w:marRight w:val="0"/>
                      <w:marTop w:val="0"/>
                      <w:marBottom w:val="0"/>
                      <w:divBdr>
                        <w:top w:val="none" w:sz="0" w:space="0" w:color="auto"/>
                        <w:left w:val="none" w:sz="0" w:space="0" w:color="auto"/>
                        <w:bottom w:val="none" w:sz="0" w:space="0" w:color="auto"/>
                        <w:right w:val="none" w:sz="0" w:space="0" w:color="auto"/>
                      </w:divBdr>
                    </w:div>
                    <w:div w:id="462970703">
                      <w:marLeft w:val="0"/>
                      <w:marRight w:val="0"/>
                      <w:marTop w:val="0"/>
                      <w:marBottom w:val="0"/>
                      <w:divBdr>
                        <w:top w:val="none" w:sz="0" w:space="0" w:color="auto"/>
                        <w:left w:val="none" w:sz="0" w:space="0" w:color="auto"/>
                        <w:bottom w:val="none" w:sz="0" w:space="0" w:color="auto"/>
                        <w:right w:val="none" w:sz="0" w:space="0" w:color="auto"/>
                      </w:divBdr>
                    </w:div>
                  </w:divsChild>
                </w:div>
                <w:div w:id="1921525249">
                  <w:marLeft w:val="0"/>
                  <w:marRight w:val="0"/>
                  <w:marTop w:val="0"/>
                  <w:marBottom w:val="0"/>
                  <w:divBdr>
                    <w:top w:val="none" w:sz="0" w:space="0" w:color="auto"/>
                    <w:left w:val="none" w:sz="0" w:space="0" w:color="auto"/>
                    <w:bottom w:val="none" w:sz="0" w:space="0" w:color="auto"/>
                    <w:right w:val="none" w:sz="0" w:space="0" w:color="auto"/>
                  </w:divBdr>
                  <w:divsChild>
                    <w:div w:id="2114279176">
                      <w:marLeft w:val="0"/>
                      <w:marRight w:val="0"/>
                      <w:marTop w:val="0"/>
                      <w:marBottom w:val="0"/>
                      <w:divBdr>
                        <w:top w:val="none" w:sz="0" w:space="0" w:color="auto"/>
                        <w:left w:val="none" w:sz="0" w:space="0" w:color="auto"/>
                        <w:bottom w:val="none" w:sz="0" w:space="0" w:color="auto"/>
                        <w:right w:val="none" w:sz="0" w:space="0" w:color="auto"/>
                      </w:divBdr>
                    </w:div>
                  </w:divsChild>
                </w:div>
                <w:div w:id="1004822839">
                  <w:marLeft w:val="0"/>
                  <w:marRight w:val="0"/>
                  <w:marTop w:val="0"/>
                  <w:marBottom w:val="0"/>
                  <w:divBdr>
                    <w:top w:val="none" w:sz="0" w:space="0" w:color="auto"/>
                    <w:left w:val="none" w:sz="0" w:space="0" w:color="auto"/>
                    <w:bottom w:val="none" w:sz="0" w:space="0" w:color="auto"/>
                    <w:right w:val="none" w:sz="0" w:space="0" w:color="auto"/>
                  </w:divBdr>
                  <w:divsChild>
                    <w:div w:id="1443106281">
                      <w:marLeft w:val="0"/>
                      <w:marRight w:val="0"/>
                      <w:marTop w:val="0"/>
                      <w:marBottom w:val="0"/>
                      <w:divBdr>
                        <w:top w:val="none" w:sz="0" w:space="0" w:color="auto"/>
                        <w:left w:val="none" w:sz="0" w:space="0" w:color="auto"/>
                        <w:bottom w:val="none" w:sz="0" w:space="0" w:color="auto"/>
                        <w:right w:val="none" w:sz="0" w:space="0" w:color="auto"/>
                      </w:divBdr>
                    </w:div>
                  </w:divsChild>
                </w:div>
                <w:div w:id="986786019">
                  <w:marLeft w:val="0"/>
                  <w:marRight w:val="0"/>
                  <w:marTop w:val="0"/>
                  <w:marBottom w:val="0"/>
                  <w:divBdr>
                    <w:top w:val="none" w:sz="0" w:space="0" w:color="auto"/>
                    <w:left w:val="none" w:sz="0" w:space="0" w:color="auto"/>
                    <w:bottom w:val="none" w:sz="0" w:space="0" w:color="auto"/>
                    <w:right w:val="none" w:sz="0" w:space="0" w:color="auto"/>
                  </w:divBdr>
                  <w:divsChild>
                    <w:div w:id="1688822525">
                      <w:marLeft w:val="0"/>
                      <w:marRight w:val="0"/>
                      <w:marTop w:val="0"/>
                      <w:marBottom w:val="0"/>
                      <w:divBdr>
                        <w:top w:val="none" w:sz="0" w:space="0" w:color="auto"/>
                        <w:left w:val="none" w:sz="0" w:space="0" w:color="auto"/>
                        <w:bottom w:val="none" w:sz="0" w:space="0" w:color="auto"/>
                        <w:right w:val="none" w:sz="0" w:space="0" w:color="auto"/>
                      </w:divBdr>
                    </w:div>
                  </w:divsChild>
                </w:div>
                <w:div w:id="821196573">
                  <w:marLeft w:val="0"/>
                  <w:marRight w:val="0"/>
                  <w:marTop w:val="0"/>
                  <w:marBottom w:val="0"/>
                  <w:divBdr>
                    <w:top w:val="none" w:sz="0" w:space="0" w:color="auto"/>
                    <w:left w:val="none" w:sz="0" w:space="0" w:color="auto"/>
                    <w:bottom w:val="none" w:sz="0" w:space="0" w:color="auto"/>
                    <w:right w:val="none" w:sz="0" w:space="0" w:color="auto"/>
                  </w:divBdr>
                  <w:divsChild>
                    <w:div w:id="874462420">
                      <w:marLeft w:val="0"/>
                      <w:marRight w:val="0"/>
                      <w:marTop w:val="0"/>
                      <w:marBottom w:val="0"/>
                      <w:divBdr>
                        <w:top w:val="none" w:sz="0" w:space="0" w:color="auto"/>
                        <w:left w:val="none" w:sz="0" w:space="0" w:color="auto"/>
                        <w:bottom w:val="none" w:sz="0" w:space="0" w:color="auto"/>
                        <w:right w:val="none" w:sz="0" w:space="0" w:color="auto"/>
                      </w:divBdr>
                    </w:div>
                  </w:divsChild>
                </w:div>
                <w:div w:id="1809392049">
                  <w:marLeft w:val="0"/>
                  <w:marRight w:val="0"/>
                  <w:marTop w:val="0"/>
                  <w:marBottom w:val="0"/>
                  <w:divBdr>
                    <w:top w:val="none" w:sz="0" w:space="0" w:color="auto"/>
                    <w:left w:val="none" w:sz="0" w:space="0" w:color="auto"/>
                    <w:bottom w:val="none" w:sz="0" w:space="0" w:color="auto"/>
                    <w:right w:val="none" w:sz="0" w:space="0" w:color="auto"/>
                  </w:divBdr>
                  <w:divsChild>
                    <w:div w:id="2026011406">
                      <w:marLeft w:val="0"/>
                      <w:marRight w:val="0"/>
                      <w:marTop w:val="0"/>
                      <w:marBottom w:val="0"/>
                      <w:divBdr>
                        <w:top w:val="none" w:sz="0" w:space="0" w:color="auto"/>
                        <w:left w:val="none" w:sz="0" w:space="0" w:color="auto"/>
                        <w:bottom w:val="none" w:sz="0" w:space="0" w:color="auto"/>
                        <w:right w:val="none" w:sz="0" w:space="0" w:color="auto"/>
                      </w:divBdr>
                    </w:div>
                  </w:divsChild>
                </w:div>
                <w:div w:id="1977829511">
                  <w:marLeft w:val="0"/>
                  <w:marRight w:val="0"/>
                  <w:marTop w:val="0"/>
                  <w:marBottom w:val="0"/>
                  <w:divBdr>
                    <w:top w:val="none" w:sz="0" w:space="0" w:color="auto"/>
                    <w:left w:val="none" w:sz="0" w:space="0" w:color="auto"/>
                    <w:bottom w:val="none" w:sz="0" w:space="0" w:color="auto"/>
                    <w:right w:val="none" w:sz="0" w:space="0" w:color="auto"/>
                  </w:divBdr>
                  <w:divsChild>
                    <w:div w:id="237331142">
                      <w:marLeft w:val="0"/>
                      <w:marRight w:val="0"/>
                      <w:marTop w:val="0"/>
                      <w:marBottom w:val="0"/>
                      <w:divBdr>
                        <w:top w:val="none" w:sz="0" w:space="0" w:color="auto"/>
                        <w:left w:val="none" w:sz="0" w:space="0" w:color="auto"/>
                        <w:bottom w:val="none" w:sz="0" w:space="0" w:color="auto"/>
                        <w:right w:val="none" w:sz="0" w:space="0" w:color="auto"/>
                      </w:divBdr>
                    </w:div>
                  </w:divsChild>
                </w:div>
                <w:div w:id="936981093">
                  <w:marLeft w:val="0"/>
                  <w:marRight w:val="0"/>
                  <w:marTop w:val="0"/>
                  <w:marBottom w:val="0"/>
                  <w:divBdr>
                    <w:top w:val="none" w:sz="0" w:space="0" w:color="auto"/>
                    <w:left w:val="none" w:sz="0" w:space="0" w:color="auto"/>
                    <w:bottom w:val="none" w:sz="0" w:space="0" w:color="auto"/>
                    <w:right w:val="none" w:sz="0" w:space="0" w:color="auto"/>
                  </w:divBdr>
                  <w:divsChild>
                    <w:div w:id="312829544">
                      <w:marLeft w:val="0"/>
                      <w:marRight w:val="0"/>
                      <w:marTop w:val="0"/>
                      <w:marBottom w:val="0"/>
                      <w:divBdr>
                        <w:top w:val="none" w:sz="0" w:space="0" w:color="auto"/>
                        <w:left w:val="none" w:sz="0" w:space="0" w:color="auto"/>
                        <w:bottom w:val="none" w:sz="0" w:space="0" w:color="auto"/>
                        <w:right w:val="none" w:sz="0" w:space="0" w:color="auto"/>
                      </w:divBdr>
                    </w:div>
                  </w:divsChild>
                </w:div>
                <w:div w:id="392049474">
                  <w:marLeft w:val="0"/>
                  <w:marRight w:val="0"/>
                  <w:marTop w:val="0"/>
                  <w:marBottom w:val="0"/>
                  <w:divBdr>
                    <w:top w:val="none" w:sz="0" w:space="0" w:color="auto"/>
                    <w:left w:val="none" w:sz="0" w:space="0" w:color="auto"/>
                    <w:bottom w:val="none" w:sz="0" w:space="0" w:color="auto"/>
                    <w:right w:val="none" w:sz="0" w:space="0" w:color="auto"/>
                  </w:divBdr>
                  <w:divsChild>
                    <w:div w:id="1845584380">
                      <w:marLeft w:val="0"/>
                      <w:marRight w:val="0"/>
                      <w:marTop w:val="0"/>
                      <w:marBottom w:val="0"/>
                      <w:divBdr>
                        <w:top w:val="none" w:sz="0" w:space="0" w:color="auto"/>
                        <w:left w:val="none" w:sz="0" w:space="0" w:color="auto"/>
                        <w:bottom w:val="none" w:sz="0" w:space="0" w:color="auto"/>
                        <w:right w:val="none" w:sz="0" w:space="0" w:color="auto"/>
                      </w:divBdr>
                    </w:div>
                    <w:div w:id="482745036">
                      <w:marLeft w:val="0"/>
                      <w:marRight w:val="0"/>
                      <w:marTop w:val="0"/>
                      <w:marBottom w:val="0"/>
                      <w:divBdr>
                        <w:top w:val="none" w:sz="0" w:space="0" w:color="auto"/>
                        <w:left w:val="none" w:sz="0" w:space="0" w:color="auto"/>
                        <w:bottom w:val="none" w:sz="0" w:space="0" w:color="auto"/>
                        <w:right w:val="none" w:sz="0" w:space="0" w:color="auto"/>
                      </w:divBdr>
                    </w:div>
                  </w:divsChild>
                </w:div>
                <w:div w:id="1660109487">
                  <w:marLeft w:val="0"/>
                  <w:marRight w:val="0"/>
                  <w:marTop w:val="0"/>
                  <w:marBottom w:val="0"/>
                  <w:divBdr>
                    <w:top w:val="none" w:sz="0" w:space="0" w:color="auto"/>
                    <w:left w:val="none" w:sz="0" w:space="0" w:color="auto"/>
                    <w:bottom w:val="none" w:sz="0" w:space="0" w:color="auto"/>
                    <w:right w:val="none" w:sz="0" w:space="0" w:color="auto"/>
                  </w:divBdr>
                  <w:divsChild>
                    <w:div w:id="1905096348">
                      <w:marLeft w:val="0"/>
                      <w:marRight w:val="0"/>
                      <w:marTop w:val="0"/>
                      <w:marBottom w:val="0"/>
                      <w:divBdr>
                        <w:top w:val="none" w:sz="0" w:space="0" w:color="auto"/>
                        <w:left w:val="none" w:sz="0" w:space="0" w:color="auto"/>
                        <w:bottom w:val="none" w:sz="0" w:space="0" w:color="auto"/>
                        <w:right w:val="none" w:sz="0" w:space="0" w:color="auto"/>
                      </w:divBdr>
                    </w:div>
                  </w:divsChild>
                </w:div>
                <w:div w:id="992295914">
                  <w:marLeft w:val="0"/>
                  <w:marRight w:val="0"/>
                  <w:marTop w:val="0"/>
                  <w:marBottom w:val="0"/>
                  <w:divBdr>
                    <w:top w:val="none" w:sz="0" w:space="0" w:color="auto"/>
                    <w:left w:val="none" w:sz="0" w:space="0" w:color="auto"/>
                    <w:bottom w:val="none" w:sz="0" w:space="0" w:color="auto"/>
                    <w:right w:val="none" w:sz="0" w:space="0" w:color="auto"/>
                  </w:divBdr>
                  <w:divsChild>
                    <w:div w:id="1889608845">
                      <w:marLeft w:val="0"/>
                      <w:marRight w:val="0"/>
                      <w:marTop w:val="0"/>
                      <w:marBottom w:val="0"/>
                      <w:divBdr>
                        <w:top w:val="none" w:sz="0" w:space="0" w:color="auto"/>
                        <w:left w:val="none" w:sz="0" w:space="0" w:color="auto"/>
                        <w:bottom w:val="none" w:sz="0" w:space="0" w:color="auto"/>
                        <w:right w:val="none" w:sz="0" w:space="0" w:color="auto"/>
                      </w:divBdr>
                    </w:div>
                  </w:divsChild>
                </w:div>
                <w:div w:id="36466813">
                  <w:marLeft w:val="0"/>
                  <w:marRight w:val="0"/>
                  <w:marTop w:val="0"/>
                  <w:marBottom w:val="0"/>
                  <w:divBdr>
                    <w:top w:val="none" w:sz="0" w:space="0" w:color="auto"/>
                    <w:left w:val="none" w:sz="0" w:space="0" w:color="auto"/>
                    <w:bottom w:val="none" w:sz="0" w:space="0" w:color="auto"/>
                    <w:right w:val="none" w:sz="0" w:space="0" w:color="auto"/>
                  </w:divBdr>
                  <w:divsChild>
                    <w:div w:id="1897469793">
                      <w:marLeft w:val="0"/>
                      <w:marRight w:val="0"/>
                      <w:marTop w:val="0"/>
                      <w:marBottom w:val="0"/>
                      <w:divBdr>
                        <w:top w:val="none" w:sz="0" w:space="0" w:color="auto"/>
                        <w:left w:val="none" w:sz="0" w:space="0" w:color="auto"/>
                        <w:bottom w:val="none" w:sz="0" w:space="0" w:color="auto"/>
                        <w:right w:val="none" w:sz="0" w:space="0" w:color="auto"/>
                      </w:divBdr>
                    </w:div>
                  </w:divsChild>
                </w:div>
                <w:div w:id="1160774020">
                  <w:marLeft w:val="0"/>
                  <w:marRight w:val="0"/>
                  <w:marTop w:val="0"/>
                  <w:marBottom w:val="0"/>
                  <w:divBdr>
                    <w:top w:val="none" w:sz="0" w:space="0" w:color="auto"/>
                    <w:left w:val="none" w:sz="0" w:space="0" w:color="auto"/>
                    <w:bottom w:val="none" w:sz="0" w:space="0" w:color="auto"/>
                    <w:right w:val="none" w:sz="0" w:space="0" w:color="auto"/>
                  </w:divBdr>
                  <w:divsChild>
                    <w:div w:id="601187073">
                      <w:marLeft w:val="0"/>
                      <w:marRight w:val="0"/>
                      <w:marTop w:val="0"/>
                      <w:marBottom w:val="0"/>
                      <w:divBdr>
                        <w:top w:val="none" w:sz="0" w:space="0" w:color="auto"/>
                        <w:left w:val="none" w:sz="0" w:space="0" w:color="auto"/>
                        <w:bottom w:val="none" w:sz="0" w:space="0" w:color="auto"/>
                        <w:right w:val="none" w:sz="0" w:space="0" w:color="auto"/>
                      </w:divBdr>
                    </w:div>
                  </w:divsChild>
                </w:div>
                <w:div w:id="378936584">
                  <w:marLeft w:val="0"/>
                  <w:marRight w:val="0"/>
                  <w:marTop w:val="0"/>
                  <w:marBottom w:val="0"/>
                  <w:divBdr>
                    <w:top w:val="none" w:sz="0" w:space="0" w:color="auto"/>
                    <w:left w:val="none" w:sz="0" w:space="0" w:color="auto"/>
                    <w:bottom w:val="none" w:sz="0" w:space="0" w:color="auto"/>
                    <w:right w:val="none" w:sz="0" w:space="0" w:color="auto"/>
                  </w:divBdr>
                  <w:divsChild>
                    <w:div w:id="2022387642">
                      <w:marLeft w:val="0"/>
                      <w:marRight w:val="0"/>
                      <w:marTop w:val="0"/>
                      <w:marBottom w:val="0"/>
                      <w:divBdr>
                        <w:top w:val="none" w:sz="0" w:space="0" w:color="auto"/>
                        <w:left w:val="none" w:sz="0" w:space="0" w:color="auto"/>
                        <w:bottom w:val="none" w:sz="0" w:space="0" w:color="auto"/>
                        <w:right w:val="none" w:sz="0" w:space="0" w:color="auto"/>
                      </w:divBdr>
                    </w:div>
                  </w:divsChild>
                </w:div>
                <w:div w:id="938681842">
                  <w:marLeft w:val="0"/>
                  <w:marRight w:val="0"/>
                  <w:marTop w:val="0"/>
                  <w:marBottom w:val="0"/>
                  <w:divBdr>
                    <w:top w:val="none" w:sz="0" w:space="0" w:color="auto"/>
                    <w:left w:val="none" w:sz="0" w:space="0" w:color="auto"/>
                    <w:bottom w:val="none" w:sz="0" w:space="0" w:color="auto"/>
                    <w:right w:val="none" w:sz="0" w:space="0" w:color="auto"/>
                  </w:divBdr>
                  <w:divsChild>
                    <w:div w:id="1154298414">
                      <w:marLeft w:val="0"/>
                      <w:marRight w:val="0"/>
                      <w:marTop w:val="0"/>
                      <w:marBottom w:val="0"/>
                      <w:divBdr>
                        <w:top w:val="none" w:sz="0" w:space="0" w:color="auto"/>
                        <w:left w:val="none" w:sz="0" w:space="0" w:color="auto"/>
                        <w:bottom w:val="none" w:sz="0" w:space="0" w:color="auto"/>
                        <w:right w:val="none" w:sz="0" w:space="0" w:color="auto"/>
                      </w:divBdr>
                    </w:div>
                  </w:divsChild>
                </w:div>
                <w:div w:id="1673297905">
                  <w:marLeft w:val="0"/>
                  <w:marRight w:val="0"/>
                  <w:marTop w:val="0"/>
                  <w:marBottom w:val="0"/>
                  <w:divBdr>
                    <w:top w:val="none" w:sz="0" w:space="0" w:color="auto"/>
                    <w:left w:val="none" w:sz="0" w:space="0" w:color="auto"/>
                    <w:bottom w:val="none" w:sz="0" w:space="0" w:color="auto"/>
                    <w:right w:val="none" w:sz="0" w:space="0" w:color="auto"/>
                  </w:divBdr>
                  <w:divsChild>
                    <w:div w:id="1409419120">
                      <w:marLeft w:val="0"/>
                      <w:marRight w:val="0"/>
                      <w:marTop w:val="0"/>
                      <w:marBottom w:val="0"/>
                      <w:divBdr>
                        <w:top w:val="none" w:sz="0" w:space="0" w:color="auto"/>
                        <w:left w:val="none" w:sz="0" w:space="0" w:color="auto"/>
                        <w:bottom w:val="none" w:sz="0" w:space="0" w:color="auto"/>
                        <w:right w:val="none" w:sz="0" w:space="0" w:color="auto"/>
                      </w:divBdr>
                    </w:div>
                  </w:divsChild>
                </w:div>
                <w:div w:id="38479314">
                  <w:marLeft w:val="0"/>
                  <w:marRight w:val="0"/>
                  <w:marTop w:val="0"/>
                  <w:marBottom w:val="0"/>
                  <w:divBdr>
                    <w:top w:val="none" w:sz="0" w:space="0" w:color="auto"/>
                    <w:left w:val="none" w:sz="0" w:space="0" w:color="auto"/>
                    <w:bottom w:val="none" w:sz="0" w:space="0" w:color="auto"/>
                    <w:right w:val="none" w:sz="0" w:space="0" w:color="auto"/>
                  </w:divBdr>
                  <w:divsChild>
                    <w:div w:id="1030453782">
                      <w:marLeft w:val="0"/>
                      <w:marRight w:val="0"/>
                      <w:marTop w:val="0"/>
                      <w:marBottom w:val="0"/>
                      <w:divBdr>
                        <w:top w:val="none" w:sz="0" w:space="0" w:color="auto"/>
                        <w:left w:val="none" w:sz="0" w:space="0" w:color="auto"/>
                        <w:bottom w:val="none" w:sz="0" w:space="0" w:color="auto"/>
                        <w:right w:val="none" w:sz="0" w:space="0" w:color="auto"/>
                      </w:divBdr>
                    </w:div>
                    <w:div w:id="959529145">
                      <w:marLeft w:val="0"/>
                      <w:marRight w:val="0"/>
                      <w:marTop w:val="0"/>
                      <w:marBottom w:val="0"/>
                      <w:divBdr>
                        <w:top w:val="none" w:sz="0" w:space="0" w:color="auto"/>
                        <w:left w:val="none" w:sz="0" w:space="0" w:color="auto"/>
                        <w:bottom w:val="none" w:sz="0" w:space="0" w:color="auto"/>
                        <w:right w:val="none" w:sz="0" w:space="0" w:color="auto"/>
                      </w:divBdr>
                    </w:div>
                  </w:divsChild>
                </w:div>
                <w:div w:id="127406937">
                  <w:marLeft w:val="0"/>
                  <w:marRight w:val="0"/>
                  <w:marTop w:val="0"/>
                  <w:marBottom w:val="0"/>
                  <w:divBdr>
                    <w:top w:val="none" w:sz="0" w:space="0" w:color="auto"/>
                    <w:left w:val="none" w:sz="0" w:space="0" w:color="auto"/>
                    <w:bottom w:val="none" w:sz="0" w:space="0" w:color="auto"/>
                    <w:right w:val="none" w:sz="0" w:space="0" w:color="auto"/>
                  </w:divBdr>
                  <w:divsChild>
                    <w:div w:id="257561521">
                      <w:marLeft w:val="0"/>
                      <w:marRight w:val="0"/>
                      <w:marTop w:val="0"/>
                      <w:marBottom w:val="0"/>
                      <w:divBdr>
                        <w:top w:val="none" w:sz="0" w:space="0" w:color="auto"/>
                        <w:left w:val="none" w:sz="0" w:space="0" w:color="auto"/>
                        <w:bottom w:val="none" w:sz="0" w:space="0" w:color="auto"/>
                        <w:right w:val="none" w:sz="0" w:space="0" w:color="auto"/>
                      </w:divBdr>
                    </w:div>
                  </w:divsChild>
                </w:div>
                <w:div w:id="2101482110">
                  <w:marLeft w:val="0"/>
                  <w:marRight w:val="0"/>
                  <w:marTop w:val="0"/>
                  <w:marBottom w:val="0"/>
                  <w:divBdr>
                    <w:top w:val="none" w:sz="0" w:space="0" w:color="auto"/>
                    <w:left w:val="none" w:sz="0" w:space="0" w:color="auto"/>
                    <w:bottom w:val="none" w:sz="0" w:space="0" w:color="auto"/>
                    <w:right w:val="none" w:sz="0" w:space="0" w:color="auto"/>
                  </w:divBdr>
                  <w:divsChild>
                    <w:div w:id="1680739025">
                      <w:marLeft w:val="0"/>
                      <w:marRight w:val="0"/>
                      <w:marTop w:val="0"/>
                      <w:marBottom w:val="0"/>
                      <w:divBdr>
                        <w:top w:val="none" w:sz="0" w:space="0" w:color="auto"/>
                        <w:left w:val="none" w:sz="0" w:space="0" w:color="auto"/>
                        <w:bottom w:val="none" w:sz="0" w:space="0" w:color="auto"/>
                        <w:right w:val="none" w:sz="0" w:space="0" w:color="auto"/>
                      </w:divBdr>
                    </w:div>
                  </w:divsChild>
                </w:div>
                <w:div w:id="1929148500">
                  <w:marLeft w:val="0"/>
                  <w:marRight w:val="0"/>
                  <w:marTop w:val="0"/>
                  <w:marBottom w:val="0"/>
                  <w:divBdr>
                    <w:top w:val="none" w:sz="0" w:space="0" w:color="auto"/>
                    <w:left w:val="none" w:sz="0" w:space="0" w:color="auto"/>
                    <w:bottom w:val="none" w:sz="0" w:space="0" w:color="auto"/>
                    <w:right w:val="none" w:sz="0" w:space="0" w:color="auto"/>
                  </w:divBdr>
                  <w:divsChild>
                    <w:div w:id="64841424">
                      <w:marLeft w:val="0"/>
                      <w:marRight w:val="0"/>
                      <w:marTop w:val="0"/>
                      <w:marBottom w:val="0"/>
                      <w:divBdr>
                        <w:top w:val="none" w:sz="0" w:space="0" w:color="auto"/>
                        <w:left w:val="none" w:sz="0" w:space="0" w:color="auto"/>
                        <w:bottom w:val="none" w:sz="0" w:space="0" w:color="auto"/>
                        <w:right w:val="none" w:sz="0" w:space="0" w:color="auto"/>
                      </w:divBdr>
                    </w:div>
                  </w:divsChild>
                </w:div>
                <w:div w:id="373584851">
                  <w:marLeft w:val="0"/>
                  <w:marRight w:val="0"/>
                  <w:marTop w:val="0"/>
                  <w:marBottom w:val="0"/>
                  <w:divBdr>
                    <w:top w:val="none" w:sz="0" w:space="0" w:color="auto"/>
                    <w:left w:val="none" w:sz="0" w:space="0" w:color="auto"/>
                    <w:bottom w:val="none" w:sz="0" w:space="0" w:color="auto"/>
                    <w:right w:val="none" w:sz="0" w:space="0" w:color="auto"/>
                  </w:divBdr>
                  <w:divsChild>
                    <w:div w:id="2081320872">
                      <w:marLeft w:val="0"/>
                      <w:marRight w:val="0"/>
                      <w:marTop w:val="0"/>
                      <w:marBottom w:val="0"/>
                      <w:divBdr>
                        <w:top w:val="none" w:sz="0" w:space="0" w:color="auto"/>
                        <w:left w:val="none" w:sz="0" w:space="0" w:color="auto"/>
                        <w:bottom w:val="none" w:sz="0" w:space="0" w:color="auto"/>
                        <w:right w:val="none" w:sz="0" w:space="0" w:color="auto"/>
                      </w:divBdr>
                    </w:div>
                  </w:divsChild>
                </w:div>
                <w:div w:id="469250114">
                  <w:marLeft w:val="0"/>
                  <w:marRight w:val="0"/>
                  <w:marTop w:val="0"/>
                  <w:marBottom w:val="0"/>
                  <w:divBdr>
                    <w:top w:val="none" w:sz="0" w:space="0" w:color="auto"/>
                    <w:left w:val="none" w:sz="0" w:space="0" w:color="auto"/>
                    <w:bottom w:val="none" w:sz="0" w:space="0" w:color="auto"/>
                    <w:right w:val="none" w:sz="0" w:space="0" w:color="auto"/>
                  </w:divBdr>
                  <w:divsChild>
                    <w:div w:id="4716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7403">
          <w:marLeft w:val="0"/>
          <w:marRight w:val="0"/>
          <w:marTop w:val="0"/>
          <w:marBottom w:val="0"/>
          <w:divBdr>
            <w:top w:val="none" w:sz="0" w:space="0" w:color="auto"/>
            <w:left w:val="none" w:sz="0" w:space="0" w:color="auto"/>
            <w:bottom w:val="none" w:sz="0" w:space="0" w:color="auto"/>
            <w:right w:val="none" w:sz="0" w:space="0" w:color="auto"/>
          </w:divBdr>
        </w:div>
        <w:div w:id="1610429103">
          <w:marLeft w:val="0"/>
          <w:marRight w:val="0"/>
          <w:marTop w:val="0"/>
          <w:marBottom w:val="0"/>
          <w:divBdr>
            <w:top w:val="none" w:sz="0" w:space="0" w:color="auto"/>
            <w:left w:val="none" w:sz="0" w:space="0" w:color="auto"/>
            <w:bottom w:val="none" w:sz="0" w:space="0" w:color="auto"/>
            <w:right w:val="none" w:sz="0" w:space="0" w:color="auto"/>
          </w:divBdr>
        </w:div>
        <w:div w:id="101731896">
          <w:marLeft w:val="0"/>
          <w:marRight w:val="0"/>
          <w:marTop w:val="0"/>
          <w:marBottom w:val="0"/>
          <w:divBdr>
            <w:top w:val="none" w:sz="0" w:space="0" w:color="auto"/>
            <w:left w:val="none" w:sz="0" w:space="0" w:color="auto"/>
            <w:bottom w:val="none" w:sz="0" w:space="0" w:color="auto"/>
            <w:right w:val="none" w:sz="0" w:space="0" w:color="auto"/>
          </w:divBdr>
        </w:div>
      </w:divsChild>
    </w:div>
    <w:div w:id="2057461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4507EB-7F60-7A48-B205-4EF886DAE41C}" type="doc">
      <dgm:prSet loTypeId="urn:microsoft.com/office/officeart/2005/8/layout/matrix2" loCatId="" qsTypeId="urn:microsoft.com/office/officeart/2005/8/quickstyle/simple4" qsCatId="simple" csTypeId="urn:microsoft.com/office/officeart/2005/8/colors/accent1_2" csCatId="accent1" phldr="1"/>
      <dgm:spPr/>
      <dgm:t>
        <a:bodyPr/>
        <a:lstStyle/>
        <a:p>
          <a:endParaRPr lang="en-US"/>
        </a:p>
      </dgm:t>
    </dgm:pt>
    <dgm:pt modelId="{39FF4CCD-6273-334D-ADD9-60FC9F094EBA}">
      <dgm:prSet phldrT="[Text]"/>
      <dgm:spPr/>
      <dgm:t>
        <a:bodyPr/>
        <a:lstStyle/>
        <a:p>
          <a:r>
            <a:rPr lang="en-US" dirty="0"/>
            <a:t>Formal Legality + Discord Society</a:t>
          </a:r>
        </a:p>
      </dgm:t>
    </dgm:pt>
    <dgm:pt modelId="{60C95DB0-7EE5-ED49-86AB-371D951E8107}" type="parTrans" cxnId="{629C57FB-569D-F049-BFCC-FF752C4A8B93}">
      <dgm:prSet/>
      <dgm:spPr/>
      <dgm:t>
        <a:bodyPr/>
        <a:lstStyle/>
        <a:p>
          <a:endParaRPr lang="en-US"/>
        </a:p>
      </dgm:t>
    </dgm:pt>
    <dgm:pt modelId="{0195FBA2-68FA-174F-84EC-386E13C85AF6}" type="sibTrans" cxnId="{629C57FB-569D-F049-BFCC-FF752C4A8B93}">
      <dgm:prSet/>
      <dgm:spPr/>
      <dgm:t>
        <a:bodyPr/>
        <a:lstStyle/>
        <a:p>
          <a:endParaRPr lang="en-US"/>
        </a:p>
      </dgm:t>
    </dgm:pt>
    <dgm:pt modelId="{6199C424-C702-4C4F-8F99-96402BE4F3DD}">
      <dgm:prSet phldrT="[Text]"/>
      <dgm:spPr/>
      <dgm:t>
        <a:bodyPr/>
        <a:lstStyle/>
        <a:p>
          <a:r>
            <a:rPr lang="en-US" dirty="0"/>
            <a:t>Formal Legality + Concord Society</a:t>
          </a:r>
        </a:p>
      </dgm:t>
    </dgm:pt>
    <dgm:pt modelId="{0551E3B5-E592-B64C-BEFF-A11FDB7C12AD}" type="parTrans" cxnId="{8D16C654-15BC-3849-B993-AFAEED2E37B8}">
      <dgm:prSet/>
      <dgm:spPr/>
      <dgm:t>
        <a:bodyPr/>
        <a:lstStyle/>
        <a:p>
          <a:endParaRPr lang="en-US"/>
        </a:p>
      </dgm:t>
    </dgm:pt>
    <dgm:pt modelId="{A80118BC-E367-2A47-95BF-B02FB9790BBA}" type="sibTrans" cxnId="{8D16C654-15BC-3849-B993-AFAEED2E37B8}">
      <dgm:prSet/>
      <dgm:spPr/>
      <dgm:t>
        <a:bodyPr/>
        <a:lstStyle/>
        <a:p>
          <a:endParaRPr lang="en-US"/>
        </a:p>
      </dgm:t>
    </dgm:pt>
    <dgm:pt modelId="{C09FC06D-70D6-9044-B159-ABDB65DE4A9C}">
      <dgm:prSet phldrT="[Text]"/>
      <dgm:spPr/>
      <dgm:t>
        <a:bodyPr/>
        <a:lstStyle/>
        <a:p>
          <a:r>
            <a:rPr lang="en-US" dirty="0"/>
            <a:t>Substantive Legality + Discord Society</a:t>
          </a:r>
        </a:p>
      </dgm:t>
    </dgm:pt>
    <dgm:pt modelId="{24C24F73-D3A7-E74A-9DB5-C90A2CA81E60}" type="parTrans" cxnId="{6C6BF48D-E887-B44A-BEEC-9CF2E31CA917}">
      <dgm:prSet/>
      <dgm:spPr/>
      <dgm:t>
        <a:bodyPr/>
        <a:lstStyle/>
        <a:p>
          <a:endParaRPr lang="en-US"/>
        </a:p>
      </dgm:t>
    </dgm:pt>
    <dgm:pt modelId="{C50CA03C-C6EE-9B44-AEA5-1C318F5AEB79}" type="sibTrans" cxnId="{6C6BF48D-E887-B44A-BEEC-9CF2E31CA917}">
      <dgm:prSet/>
      <dgm:spPr/>
      <dgm:t>
        <a:bodyPr/>
        <a:lstStyle/>
        <a:p>
          <a:endParaRPr lang="en-US"/>
        </a:p>
      </dgm:t>
    </dgm:pt>
    <dgm:pt modelId="{E0BED857-B3A4-4849-AC3B-474D0D0D632B}">
      <dgm:prSet phldrT="[Text]"/>
      <dgm:spPr/>
      <dgm:t>
        <a:bodyPr/>
        <a:lstStyle/>
        <a:p>
          <a:r>
            <a:rPr lang="en-US" dirty="0"/>
            <a:t>Substantive Legality + Concord Society</a:t>
          </a:r>
        </a:p>
      </dgm:t>
    </dgm:pt>
    <dgm:pt modelId="{061EBD91-B766-6F47-9878-37FF04A02E1A}" type="parTrans" cxnId="{896B0EF0-6679-CF47-8B2A-0A399A4EC4AC}">
      <dgm:prSet/>
      <dgm:spPr/>
      <dgm:t>
        <a:bodyPr/>
        <a:lstStyle/>
        <a:p>
          <a:endParaRPr lang="en-US"/>
        </a:p>
      </dgm:t>
    </dgm:pt>
    <dgm:pt modelId="{3B6EBA3C-0B76-6D4B-B265-CF8E2F9F3A90}" type="sibTrans" cxnId="{896B0EF0-6679-CF47-8B2A-0A399A4EC4AC}">
      <dgm:prSet/>
      <dgm:spPr/>
      <dgm:t>
        <a:bodyPr/>
        <a:lstStyle/>
        <a:p>
          <a:endParaRPr lang="en-US"/>
        </a:p>
      </dgm:t>
    </dgm:pt>
    <dgm:pt modelId="{5330CA14-7763-6844-879F-8B978F987E43}" type="pres">
      <dgm:prSet presAssocID="{004507EB-7F60-7A48-B205-4EF886DAE41C}" presName="matrix" presStyleCnt="0">
        <dgm:presLayoutVars>
          <dgm:chMax val="1"/>
          <dgm:dir/>
          <dgm:resizeHandles val="exact"/>
        </dgm:presLayoutVars>
      </dgm:prSet>
      <dgm:spPr/>
    </dgm:pt>
    <dgm:pt modelId="{114F2803-FCCA-4B4B-9C85-E5FF93D6F513}" type="pres">
      <dgm:prSet presAssocID="{004507EB-7F60-7A48-B205-4EF886DAE41C}" presName="axisShape" presStyleLbl="bgShp" presStyleIdx="0" presStyleCnt="1"/>
      <dgm:spPr/>
    </dgm:pt>
    <dgm:pt modelId="{243B7ED9-F1FF-5D47-B8E2-D41AB5229BD0}" type="pres">
      <dgm:prSet presAssocID="{004507EB-7F60-7A48-B205-4EF886DAE41C}" presName="rect1" presStyleLbl="node1" presStyleIdx="0" presStyleCnt="4">
        <dgm:presLayoutVars>
          <dgm:chMax val="0"/>
          <dgm:chPref val="0"/>
          <dgm:bulletEnabled val="1"/>
        </dgm:presLayoutVars>
      </dgm:prSet>
      <dgm:spPr/>
    </dgm:pt>
    <dgm:pt modelId="{D6032C6E-473B-B94A-90A7-6B418C68AF48}" type="pres">
      <dgm:prSet presAssocID="{004507EB-7F60-7A48-B205-4EF886DAE41C}" presName="rect2" presStyleLbl="node1" presStyleIdx="1" presStyleCnt="4">
        <dgm:presLayoutVars>
          <dgm:chMax val="0"/>
          <dgm:chPref val="0"/>
          <dgm:bulletEnabled val="1"/>
        </dgm:presLayoutVars>
      </dgm:prSet>
      <dgm:spPr/>
    </dgm:pt>
    <dgm:pt modelId="{02A262AB-7EF0-9349-A2F3-4D08C3DA5123}" type="pres">
      <dgm:prSet presAssocID="{004507EB-7F60-7A48-B205-4EF886DAE41C}" presName="rect3" presStyleLbl="node1" presStyleIdx="2" presStyleCnt="4">
        <dgm:presLayoutVars>
          <dgm:chMax val="0"/>
          <dgm:chPref val="0"/>
          <dgm:bulletEnabled val="1"/>
        </dgm:presLayoutVars>
      </dgm:prSet>
      <dgm:spPr/>
    </dgm:pt>
    <dgm:pt modelId="{C0A0B20B-2AAE-EC42-AD53-5575A6325C80}" type="pres">
      <dgm:prSet presAssocID="{004507EB-7F60-7A48-B205-4EF886DAE41C}" presName="rect4" presStyleLbl="node1" presStyleIdx="3" presStyleCnt="4">
        <dgm:presLayoutVars>
          <dgm:chMax val="0"/>
          <dgm:chPref val="0"/>
          <dgm:bulletEnabled val="1"/>
        </dgm:presLayoutVars>
      </dgm:prSet>
      <dgm:spPr/>
    </dgm:pt>
  </dgm:ptLst>
  <dgm:cxnLst>
    <dgm:cxn modelId="{FBC63826-4AFC-416A-AAF5-2E71D0030EDE}" type="presOf" srcId="{004507EB-7F60-7A48-B205-4EF886DAE41C}" destId="{5330CA14-7763-6844-879F-8B978F987E43}" srcOrd="0" destOrd="0" presId="urn:microsoft.com/office/officeart/2005/8/layout/matrix2"/>
    <dgm:cxn modelId="{0B860551-A007-4F4A-88BC-CFFD6E8C4783}" type="presOf" srcId="{C09FC06D-70D6-9044-B159-ABDB65DE4A9C}" destId="{02A262AB-7EF0-9349-A2F3-4D08C3DA5123}" srcOrd="0" destOrd="0" presId="urn:microsoft.com/office/officeart/2005/8/layout/matrix2"/>
    <dgm:cxn modelId="{8D16C654-15BC-3849-B993-AFAEED2E37B8}" srcId="{004507EB-7F60-7A48-B205-4EF886DAE41C}" destId="{6199C424-C702-4C4F-8F99-96402BE4F3DD}" srcOrd="1" destOrd="0" parTransId="{0551E3B5-E592-B64C-BEFF-A11FDB7C12AD}" sibTransId="{A80118BC-E367-2A47-95BF-B02FB9790BBA}"/>
    <dgm:cxn modelId="{11AB527A-126B-46F5-927B-E930189AD368}" type="presOf" srcId="{E0BED857-B3A4-4849-AC3B-474D0D0D632B}" destId="{C0A0B20B-2AAE-EC42-AD53-5575A6325C80}" srcOrd="0" destOrd="0" presId="urn:microsoft.com/office/officeart/2005/8/layout/matrix2"/>
    <dgm:cxn modelId="{6C6BF48D-E887-B44A-BEEC-9CF2E31CA917}" srcId="{004507EB-7F60-7A48-B205-4EF886DAE41C}" destId="{C09FC06D-70D6-9044-B159-ABDB65DE4A9C}" srcOrd="2" destOrd="0" parTransId="{24C24F73-D3A7-E74A-9DB5-C90A2CA81E60}" sibTransId="{C50CA03C-C6EE-9B44-AEA5-1C318F5AEB79}"/>
    <dgm:cxn modelId="{C8882695-84B0-4FE5-9335-CC74D5C0C0C5}" type="presOf" srcId="{6199C424-C702-4C4F-8F99-96402BE4F3DD}" destId="{D6032C6E-473B-B94A-90A7-6B418C68AF48}" srcOrd="0" destOrd="0" presId="urn:microsoft.com/office/officeart/2005/8/layout/matrix2"/>
    <dgm:cxn modelId="{3B40C09C-C89C-4661-9C0A-CA5C93442065}" type="presOf" srcId="{39FF4CCD-6273-334D-ADD9-60FC9F094EBA}" destId="{243B7ED9-F1FF-5D47-B8E2-D41AB5229BD0}" srcOrd="0" destOrd="0" presId="urn:microsoft.com/office/officeart/2005/8/layout/matrix2"/>
    <dgm:cxn modelId="{896B0EF0-6679-CF47-8B2A-0A399A4EC4AC}" srcId="{004507EB-7F60-7A48-B205-4EF886DAE41C}" destId="{E0BED857-B3A4-4849-AC3B-474D0D0D632B}" srcOrd="3" destOrd="0" parTransId="{061EBD91-B766-6F47-9878-37FF04A02E1A}" sibTransId="{3B6EBA3C-0B76-6D4B-B265-CF8E2F9F3A90}"/>
    <dgm:cxn modelId="{629C57FB-569D-F049-BFCC-FF752C4A8B93}" srcId="{004507EB-7F60-7A48-B205-4EF886DAE41C}" destId="{39FF4CCD-6273-334D-ADD9-60FC9F094EBA}" srcOrd="0" destOrd="0" parTransId="{60C95DB0-7EE5-ED49-86AB-371D951E8107}" sibTransId="{0195FBA2-68FA-174F-84EC-386E13C85AF6}"/>
    <dgm:cxn modelId="{BFD3111F-36E6-40D7-91D6-90599846ED67}" type="presParOf" srcId="{5330CA14-7763-6844-879F-8B978F987E43}" destId="{114F2803-FCCA-4B4B-9C85-E5FF93D6F513}" srcOrd="0" destOrd="0" presId="urn:microsoft.com/office/officeart/2005/8/layout/matrix2"/>
    <dgm:cxn modelId="{DAE9CCC4-8C77-4E79-82C7-9A9EF15A42EE}" type="presParOf" srcId="{5330CA14-7763-6844-879F-8B978F987E43}" destId="{243B7ED9-F1FF-5D47-B8E2-D41AB5229BD0}" srcOrd="1" destOrd="0" presId="urn:microsoft.com/office/officeart/2005/8/layout/matrix2"/>
    <dgm:cxn modelId="{AF81F09A-1EC9-4ED0-9204-00F4FEE1838A}" type="presParOf" srcId="{5330CA14-7763-6844-879F-8B978F987E43}" destId="{D6032C6E-473B-B94A-90A7-6B418C68AF48}" srcOrd="2" destOrd="0" presId="urn:microsoft.com/office/officeart/2005/8/layout/matrix2"/>
    <dgm:cxn modelId="{56EB2111-B9B2-4634-93EB-2B1D61025FCF}" type="presParOf" srcId="{5330CA14-7763-6844-879F-8B978F987E43}" destId="{02A262AB-7EF0-9349-A2F3-4D08C3DA5123}" srcOrd="3" destOrd="0" presId="urn:microsoft.com/office/officeart/2005/8/layout/matrix2"/>
    <dgm:cxn modelId="{324FEAC0-489C-4319-AAD3-985B29D5A83D}" type="presParOf" srcId="{5330CA14-7763-6844-879F-8B978F987E43}" destId="{C0A0B20B-2AAE-EC42-AD53-5575A6325C80}" srcOrd="4" destOrd="0" presId="urn:microsoft.com/office/officeart/2005/8/layout/matrix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4507EB-7F60-7A48-B205-4EF886DAE41C}" type="doc">
      <dgm:prSet loTypeId="urn:microsoft.com/office/officeart/2005/8/layout/matrix2" loCatId="" qsTypeId="urn:microsoft.com/office/officeart/2005/8/quickstyle/simple4" qsCatId="simple" csTypeId="urn:microsoft.com/office/officeart/2005/8/colors/accent1_2" csCatId="accent1" phldr="1"/>
      <dgm:spPr/>
      <dgm:t>
        <a:bodyPr/>
        <a:lstStyle/>
        <a:p>
          <a:endParaRPr lang="en-US"/>
        </a:p>
      </dgm:t>
    </dgm:pt>
    <dgm:pt modelId="{39FF4CCD-6273-334D-ADD9-60FC9F094EBA}">
      <dgm:prSet phldrT="[Text]"/>
      <dgm:spPr/>
      <dgm:t>
        <a:bodyPr/>
        <a:lstStyle/>
        <a:p>
          <a:r>
            <a:rPr lang="en-US" dirty="0"/>
            <a:t>Enforcing &amp; policing</a:t>
          </a:r>
        </a:p>
      </dgm:t>
    </dgm:pt>
    <dgm:pt modelId="{60C95DB0-7EE5-ED49-86AB-371D951E8107}" type="parTrans" cxnId="{629C57FB-569D-F049-BFCC-FF752C4A8B93}">
      <dgm:prSet/>
      <dgm:spPr/>
      <dgm:t>
        <a:bodyPr/>
        <a:lstStyle/>
        <a:p>
          <a:endParaRPr lang="en-US"/>
        </a:p>
      </dgm:t>
    </dgm:pt>
    <dgm:pt modelId="{0195FBA2-68FA-174F-84EC-386E13C85AF6}" type="sibTrans" cxnId="{629C57FB-569D-F049-BFCC-FF752C4A8B93}">
      <dgm:prSet/>
      <dgm:spPr/>
      <dgm:t>
        <a:bodyPr/>
        <a:lstStyle/>
        <a:p>
          <a:endParaRPr lang="en-US"/>
        </a:p>
      </dgm:t>
    </dgm:pt>
    <dgm:pt modelId="{6199C424-C702-4C4F-8F99-96402BE4F3DD}">
      <dgm:prSet phldrT="[Text]"/>
      <dgm:spPr/>
      <dgm:t>
        <a:bodyPr/>
        <a:lstStyle/>
        <a:p>
          <a:r>
            <a:rPr lang="en-US" dirty="0"/>
            <a:t>Advisory &amp; Hortatory</a:t>
          </a:r>
        </a:p>
      </dgm:t>
    </dgm:pt>
    <dgm:pt modelId="{0551E3B5-E592-B64C-BEFF-A11FDB7C12AD}" type="parTrans" cxnId="{8D16C654-15BC-3849-B993-AFAEED2E37B8}">
      <dgm:prSet/>
      <dgm:spPr/>
      <dgm:t>
        <a:bodyPr/>
        <a:lstStyle/>
        <a:p>
          <a:endParaRPr lang="en-US"/>
        </a:p>
      </dgm:t>
    </dgm:pt>
    <dgm:pt modelId="{A80118BC-E367-2A47-95BF-B02FB9790BBA}" type="sibTrans" cxnId="{8D16C654-15BC-3849-B993-AFAEED2E37B8}">
      <dgm:prSet/>
      <dgm:spPr/>
      <dgm:t>
        <a:bodyPr/>
        <a:lstStyle/>
        <a:p>
          <a:endParaRPr lang="en-US"/>
        </a:p>
      </dgm:t>
    </dgm:pt>
    <dgm:pt modelId="{C09FC06D-70D6-9044-B159-ABDB65DE4A9C}">
      <dgm:prSet phldrT="[Text]"/>
      <dgm:spPr/>
      <dgm:t>
        <a:bodyPr/>
        <a:lstStyle/>
        <a:p>
          <a:r>
            <a:rPr lang="en-US" dirty="0"/>
            <a:t>Protective &amp; </a:t>
          </a:r>
          <a:r>
            <a:rPr lang="en-US" baseline="0" dirty="0"/>
            <a:t>Vindicatory</a:t>
          </a:r>
          <a:endParaRPr lang="en-US" dirty="0"/>
        </a:p>
      </dgm:t>
    </dgm:pt>
    <dgm:pt modelId="{24C24F73-D3A7-E74A-9DB5-C90A2CA81E60}" type="parTrans" cxnId="{6C6BF48D-E887-B44A-BEEC-9CF2E31CA917}">
      <dgm:prSet/>
      <dgm:spPr/>
      <dgm:t>
        <a:bodyPr/>
        <a:lstStyle/>
        <a:p>
          <a:endParaRPr lang="en-US"/>
        </a:p>
      </dgm:t>
    </dgm:pt>
    <dgm:pt modelId="{C50CA03C-C6EE-9B44-AEA5-1C318F5AEB79}" type="sibTrans" cxnId="{6C6BF48D-E887-B44A-BEEC-9CF2E31CA917}">
      <dgm:prSet/>
      <dgm:spPr/>
      <dgm:t>
        <a:bodyPr/>
        <a:lstStyle/>
        <a:p>
          <a:endParaRPr lang="en-US"/>
        </a:p>
      </dgm:t>
    </dgm:pt>
    <dgm:pt modelId="{E0BED857-B3A4-4849-AC3B-474D0D0D632B}">
      <dgm:prSet phldrT="[Text]"/>
      <dgm:spPr/>
      <dgm:t>
        <a:bodyPr/>
        <a:lstStyle/>
        <a:p>
          <a:r>
            <a:rPr lang="en-US" dirty="0"/>
            <a:t>Mediatory</a:t>
          </a:r>
          <a:r>
            <a:rPr lang="en-US" baseline="0" dirty="0"/>
            <a:t> &amp; Supervisory</a:t>
          </a:r>
          <a:endParaRPr lang="en-US" dirty="0"/>
        </a:p>
      </dgm:t>
    </dgm:pt>
    <dgm:pt modelId="{061EBD91-B766-6F47-9878-37FF04A02E1A}" type="parTrans" cxnId="{896B0EF0-6679-CF47-8B2A-0A399A4EC4AC}">
      <dgm:prSet/>
      <dgm:spPr/>
      <dgm:t>
        <a:bodyPr/>
        <a:lstStyle/>
        <a:p>
          <a:endParaRPr lang="en-US"/>
        </a:p>
      </dgm:t>
    </dgm:pt>
    <dgm:pt modelId="{3B6EBA3C-0B76-6D4B-B265-CF8E2F9F3A90}" type="sibTrans" cxnId="{896B0EF0-6679-CF47-8B2A-0A399A4EC4AC}">
      <dgm:prSet/>
      <dgm:spPr/>
      <dgm:t>
        <a:bodyPr/>
        <a:lstStyle/>
        <a:p>
          <a:endParaRPr lang="en-US"/>
        </a:p>
      </dgm:t>
    </dgm:pt>
    <dgm:pt modelId="{5330CA14-7763-6844-879F-8B978F987E43}" type="pres">
      <dgm:prSet presAssocID="{004507EB-7F60-7A48-B205-4EF886DAE41C}" presName="matrix" presStyleCnt="0">
        <dgm:presLayoutVars>
          <dgm:chMax val="1"/>
          <dgm:dir/>
          <dgm:resizeHandles val="exact"/>
        </dgm:presLayoutVars>
      </dgm:prSet>
      <dgm:spPr/>
    </dgm:pt>
    <dgm:pt modelId="{114F2803-FCCA-4B4B-9C85-E5FF93D6F513}" type="pres">
      <dgm:prSet presAssocID="{004507EB-7F60-7A48-B205-4EF886DAE41C}" presName="axisShape" presStyleLbl="bgShp" presStyleIdx="0" presStyleCnt="1"/>
      <dgm:spPr/>
    </dgm:pt>
    <dgm:pt modelId="{243B7ED9-F1FF-5D47-B8E2-D41AB5229BD0}" type="pres">
      <dgm:prSet presAssocID="{004507EB-7F60-7A48-B205-4EF886DAE41C}" presName="rect1" presStyleLbl="node1" presStyleIdx="0" presStyleCnt="4">
        <dgm:presLayoutVars>
          <dgm:chMax val="0"/>
          <dgm:chPref val="0"/>
          <dgm:bulletEnabled val="1"/>
        </dgm:presLayoutVars>
      </dgm:prSet>
      <dgm:spPr/>
    </dgm:pt>
    <dgm:pt modelId="{D6032C6E-473B-B94A-90A7-6B418C68AF48}" type="pres">
      <dgm:prSet presAssocID="{004507EB-7F60-7A48-B205-4EF886DAE41C}" presName="rect2" presStyleLbl="node1" presStyleIdx="1" presStyleCnt="4">
        <dgm:presLayoutVars>
          <dgm:chMax val="0"/>
          <dgm:chPref val="0"/>
          <dgm:bulletEnabled val="1"/>
        </dgm:presLayoutVars>
      </dgm:prSet>
      <dgm:spPr/>
    </dgm:pt>
    <dgm:pt modelId="{02A262AB-7EF0-9349-A2F3-4D08C3DA5123}" type="pres">
      <dgm:prSet presAssocID="{004507EB-7F60-7A48-B205-4EF886DAE41C}" presName="rect3" presStyleLbl="node1" presStyleIdx="2" presStyleCnt="4">
        <dgm:presLayoutVars>
          <dgm:chMax val="0"/>
          <dgm:chPref val="0"/>
          <dgm:bulletEnabled val="1"/>
        </dgm:presLayoutVars>
      </dgm:prSet>
      <dgm:spPr/>
    </dgm:pt>
    <dgm:pt modelId="{C0A0B20B-2AAE-EC42-AD53-5575A6325C80}" type="pres">
      <dgm:prSet presAssocID="{004507EB-7F60-7A48-B205-4EF886DAE41C}" presName="rect4" presStyleLbl="node1" presStyleIdx="3" presStyleCnt="4">
        <dgm:presLayoutVars>
          <dgm:chMax val="0"/>
          <dgm:chPref val="0"/>
          <dgm:bulletEnabled val="1"/>
        </dgm:presLayoutVars>
      </dgm:prSet>
      <dgm:spPr/>
    </dgm:pt>
  </dgm:ptLst>
  <dgm:cxnLst>
    <dgm:cxn modelId="{68FEBF43-F6A3-4587-AE86-6AC61694C7CF}" type="presOf" srcId="{6199C424-C702-4C4F-8F99-96402BE4F3DD}" destId="{D6032C6E-473B-B94A-90A7-6B418C68AF48}" srcOrd="0" destOrd="0" presId="urn:microsoft.com/office/officeart/2005/8/layout/matrix2"/>
    <dgm:cxn modelId="{8D16C654-15BC-3849-B993-AFAEED2E37B8}" srcId="{004507EB-7F60-7A48-B205-4EF886DAE41C}" destId="{6199C424-C702-4C4F-8F99-96402BE4F3DD}" srcOrd="1" destOrd="0" parTransId="{0551E3B5-E592-B64C-BEFF-A11FDB7C12AD}" sibTransId="{A80118BC-E367-2A47-95BF-B02FB9790BBA}"/>
    <dgm:cxn modelId="{6C6BF48D-E887-B44A-BEEC-9CF2E31CA917}" srcId="{004507EB-7F60-7A48-B205-4EF886DAE41C}" destId="{C09FC06D-70D6-9044-B159-ABDB65DE4A9C}" srcOrd="2" destOrd="0" parTransId="{24C24F73-D3A7-E74A-9DB5-C90A2CA81E60}" sibTransId="{C50CA03C-C6EE-9B44-AEA5-1C318F5AEB79}"/>
    <dgm:cxn modelId="{9CF55FAA-8714-4461-902E-18F04D75CDDF}" type="presOf" srcId="{004507EB-7F60-7A48-B205-4EF886DAE41C}" destId="{5330CA14-7763-6844-879F-8B978F987E43}" srcOrd="0" destOrd="0" presId="urn:microsoft.com/office/officeart/2005/8/layout/matrix2"/>
    <dgm:cxn modelId="{272443CD-1EC7-490B-8E7E-52AA808A430D}" type="presOf" srcId="{39FF4CCD-6273-334D-ADD9-60FC9F094EBA}" destId="{243B7ED9-F1FF-5D47-B8E2-D41AB5229BD0}" srcOrd="0" destOrd="0" presId="urn:microsoft.com/office/officeart/2005/8/layout/matrix2"/>
    <dgm:cxn modelId="{3AB913E1-ED7E-4544-B39A-9F6F09B905A5}" type="presOf" srcId="{E0BED857-B3A4-4849-AC3B-474D0D0D632B}" destId="{C0A0B20B-2AAE-EC42-AD53-5575A6325C80}" srcOrd="0" destOrd="0" presId="urn:microsoft.com/office/officeart/2005/8/layout/matrix2"/>
    <dgm:cxn modelId="{896B0EF0-6679-CF47-8B2A-0A399A4EC4AC}" srcId="{004507EB-7F60-7A48-B205-4EF886DAE41C}" destId="{E0BED857-B3A4-4849-AC3B-474D0D0D632B}" srcOrd="3" destOrd="0" parTransId="{061EBD91-B766-6F47-9878-37FF04A02E1A}" sibTransId="{3B6EBA3C-0B76-6D4B-B265-CF8E2F9F3A90}"/>
    <dgm:cxn modelId="{947A40F2-22C4-460E-AB79-38B752568178}" type="presOf" srcId="{C09FC06D-70D6-9044-B159-ABDB65DE4A9C}" destId="{02A262AB-7EF0-9349-A2F3-4D08C3DA5123}" srcOrd="0" destOrd="0" presId="urn:microsoft.com/office/officeart/2005/8/layout/matrix2"/>
    <dgm:cxn modelId="{629C57FB-569D-F049-BFCC-FF752C4A8B93}" srcId="{004507EB-7F60-7A48-B205-4EF886DAE41C}" destId="{39FF4CCD-6273-334D-ADD9-60FC9F094EBA}" srcOrd="0" destOrd="0" parTransId="{60C95DB0-7EE5-ED49-86AB-371D951E8107}" sibTransId="{0195FBA2-68FA-174F-84EC-386E13C85AF6}"/>
    <dgm:cxn modelId="{525B59E8-DEA2-4AC2-BF89-0939FF500261}" type="presParOf" srcId="{5330CA14-7763-6844-879F-8B978F987E43}" destId="{114F2803-FCCA-4B4B-9C85-E5FF93D6F513}" srcOrd="0" destOrd="0" presId="urn:microsoft.com/office/officeart/2005/8/layout/matrix2"/>
    <dgm:cxn modelId="{3B49522E-5CA5-4203-BC90-0A412A6B902B}" type="presParOf" srcId="{5330CA14-7763-6844-879F-8B978F987E43}" destId="{243B7ED9-F1FF-5D47-B8E2-D41AB5229BD0}" srcOrd="1" destOrd="0" presId="urn:microsoft.com/office/officeart/2005/8/layout/matrix2"/>
    <dgm:cxn modelId="{F9B719B1-0D7A-44AC-9214-09F238B202AE}" type="presParOf" srcId="{5330CA14-7763-6844-879F-8B978F987E43}" destId="{D6032C6E-473B-B94A-90A7-6B418C68AF48}" srcOrd="2" destOrd="0" presId="urn:microsoft.com/office/officeart/2005/8/layout/matrix2"/>
    <dgm:cxn modelId="{D53DE342-0C96-408F-9494-16345708C9C7}" type="presParOf" srcId="{5330CA14-7763-6844-879F-8B978F987E43}" destId="{02A262AB-7EF0-9349-A2F3-4D08C3DA5123}" srcOrd="3" destOrd="0" presId="urn:microsoft.com/office/officeart/2005/8/layout/matrix2"/>
    <dgm:cxn modelId="{9CDCD4C0-6212-4AA4-89C3-6C4B6B0BBD52}" type="presParOf" srcId="{5330CA14-7763-6844-879F-8B978F987E43}" destId="{C0A0B20B-2AAE-EC42-AD53-5575A6325C80}" srcOrd="4" destOrd="0" presId="urn:microsoft.com/office/officeart/2005/8/layout/matrix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F2803-FCCA-4B4B-9C85-E5FF93D6F513}">
      <dsp:nvSpPr>
        <dsp:cNvPr id="0" name=""/>
        <dsp:cNvSpPr/>
      </dsp:nvSpPr>
      <dsp:spPr>
        <a:xfrm>
          <a:off x="1186167" y="0"/>
          <a:ext cx="2898165" cy="2898165"/>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243B7ED9-F1FF-5D47-B8E2-D41AB5229BD0}">
      <dsp:nvSpPr>
        <dsp:cNvPr id="0" name=""/>
        <dsp:cNvSpPr/>
      </dsp:nvSpPr>
      <dsp:spPr>
        <a:xfrm>
          <a:off x="1374548" y="188380"/>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Formal Legality + Discord Society</a:t>
          </a:r>
        </a:p>
      </dsp:txBody>
      <dsp:txXfrm>
        <a:off x="1431139" y="244971"/>
        <a:ext cx="1046084" cy="1046084"/>
      </dsp:txXfrm>
    </dsp:sp>
    <dsp:sp modelId="{D6032C6E-473B-B94A-90A7-6B418C68AF48}">
      <dsp:nvSpPr>
        <dsp:cNvPr id="0" name=""/>
        <dsp:cNvSpPr/>
      </dsp:nvSpPr>
      <dsp:spPr>
        <a:xfrm>
          <a:off x="2736685" y="188380"/>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Formal Legality + Concord Society</a:t>
          </a:r>
        </a:p>
      </dsp:txBody>
      <dsp:txXfrm>
        <a:off x="2793276" y="244971"/>
        <a:ext cx="1046084" cy="1046084"/>
      </dsp:txXfrm>
    </dsp:sp>
    <dsp:sp modelId="{02A262AB-7EF0-9349-A2F3-4D08C3DA5123}">
      <dsp:nvSpPr>
        <dsp:cNvPr id="0" name=""/>
        <dsp:cNvSpPr/>
      </dsp:nvSpPr>
      <dsp:spPr>
        <a:xfrm>
          <a:off x="1374548" y="1550518"/>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Substantive Legality + Discord Society</a:t>
          </a:r>
        </a:p>
      </dsp:txBody>
      <dsp:txXfrm>
        <a:off x="1431139" y="1607109"/>
        <a:ext cx="1046084" cy="1046084"/>
      </dsp:txXfrm>
    </dsp:sp>
    <dsp:sp modelId="{C0A0B20B-2AAE-EC42-AD53-5575A6325C80}">
      <dsp:nvSpPr>
        <dsp:cNvPr id="0" name=""/>
        <dsp:cNvSpPr/>
      </dsp:nvSpPr>
      <dsp:spPr>
        <a:xfrm>
          <a:off x="2736685" y="1550518"/>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Substantive Legality + Concord Society</a:t>
          </a:r>
        </a:p>
      </dsp:txBody>
      <dsp:txXfrm>
        <a:off x="2793276" y="1607109"/>
        <a:ext cx="1046084" cy="10460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F2803-FCCA-4B4B-9C85-E5FF93D6F513}">
      <dsp:nvSpPr>
        <dsp:cNvPr id="0" name=""/>
        <dsp:cNvSpPr/>
      </dsp:nvSpPr>
      <dsp:spPr>
        <a:xfrm>
          <a:off x="1186167" y="0"/>
          <a:ext cx="2898165" cy="2898165"/>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243B7ED9-F1FF-5D47-B8E2-D41AB5229BD0}">
      <dsp:nvSpPr>
        <dsp:cNvPr id="0" name=""/>
        <dsp:cNvSpPr/>
      </dsp:nvSpPr>
      <dsp:spPr>
        <a:xfrm>
          <a:off x="1374548" y="188380"/>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Enforcing &amp; policing</a:t>
          </a:r>
        </a:p>
      </dsp:txBody>
      <dsp:txXfrm>
        <a:off x="1431139" y="244971"/>
        <a:ext cx="1046084" cy="1046084"/>
      </dsp:txXfrm>
    </dsp:sp>
    <dsp:sp modelId="{D6032C6E-473B-B94A-90A7-6B418C68AF48}">
      <dsp:nvSpPr>
        <dsp:cNvPr id="0" name=""/>
        <dsp:cNvSpPr/>
      </dsp:nvSpPr>
      <dsp:spPr>
        <a:xfrm>
          <a:off x="2736685" y="188380"/>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Advisory &amp; Hortatory</a:t>
          </a:r>
        </a:p>
      </dsp:txBody>
      <dsp:txXfrm>
        <a:off x="2793276" y="244971"/>
        <a:ext cx="1046084" cy="1046084"/>
      </dsp:txXfrm>
    </dsp:sp>
    <dsp:sp modelId="{02A262AB-7EF0-9349-A2F3-4D08C3DA5123}">
      <dsp:nvSpPr>
        <dsp:cNvPr id="0" name=""/>
        <dsp:cNvSpPr/>
      </dsp:nvSpPr>
      <dsp:spPr>
        <a:xfrm>
          <a:off x="1374548" y="1550518"/>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Protective &amp; </a:t>
          </a:r>
          <a:r>
            <a:rPr lang="en-US" sz="1500" kern="1200" baseline="0" dirty="0"/>
            <a:t>Vindicatory</a:t>
          </a:r>
          <a:endParaRPr lang="en-US" sz="1500" kern="1200" dirty="0"/>
        </a:p>
      </dsp:txBody>
      <dsp:txXfrm>
        <a:off x="1431139" y="1607109"/>
        <a:ext cx="1046084" cy="1046084"/>
      </dsp:txXfrm>
    </dsp:sp>
    <dsp:sp modelId="{C0A0B20B-2AAE-EC42-AD53-5575A6325C80}">
      <dsp:nvSpPr>
        <dsp:cNvPr id="0" name=""/>
        <dsp:cNvSpPr/>
      </dsp:nvSpPr>
      <dsp:spPr>
        <a:xfrm>
          <a:off x="2736685" y="1550518"/>
          <a:ext cx="1159266" cy="1159266"/>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dirty="0"/>
            <a:t>Mediatory</a:t>
          </a:r>
          <a:r>
            <a:rPr lang="en-US" sz="1500" kern="1200" baseline="0" dirty="0"/>
            <a:t> &amp; Supervisory</a:t>
          </a:r>
          <a:endParaRPr lang="en-US" sz="1500" kern="1200" dirty="0"/>
        </a:p>
      </dsp:txBody>
      <dsp:txXfrm>
        <a:off x="2793276" y="1607109"/>
        <a:ext cx="1046084" cy="10460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BB93A2-3A97-4A31-9E9E-1D458BFA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9262</Words>
  <Characters>52798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Judicial Review and Administrative Justice</vt:lpstr>
    </vt:vector>
  </TitlesOfParts>
  <Company/>
  <LinksUpToDate>false</LinksUpToDate>
  <CharactersWithSpaces>61937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Review and Administrative Justice</dc:title>
  <dc:subject/>
  <dc:creator>TT Arvind</dc:creator>
  <cp:keywords/>
  <dc:description/>
  <cp:lastModifiedBy>Simon Halliday</cp:lastModifiedBy>
  <cp:revision>3</cp:revision>
  <dcterms:created xsi:type="dcterms:W3CDTF">2021-02-24T15:09:00Z</dcterms:created>
  <dcterms:modified xsi:type="dcterms:W3CDTF">2021-02-25T15:13:00Z</dcterms:modified>
</cp:coreProperties>
</file>