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70A" w:rsidRDefault="00AF370A" w:rsidP="00CE1BD1">
      <w:pPr>
        <w:spacing w:after="0" w:line="240" w:lineRule="auto"/>
        <w:jc w:val="center"/>
        <w:rPr>
          <w:b/>
          <w:highlight w:val="green"/>
        </w:rPr>
      </w:pPr>
    </w:p>
    <w:p w:rsidR="00AF370A" w:rsidRDefault="00AF370A" w:rsidP="00CE1BD1">
      <w:pPr>
        <w:spacing w:after="0" w:line="240" w:lineRule="auto"/>
        <w:jc w:val="center"/>
        <w:rPr>
          <w:b/>
          <w:highlight w:val="green"/>
        </w:rPr>
      </w:pPr>
    </w:p>
    <w:p w:rsidR="00FA5866" w:rsidRPr="00DD7640" w:rsidRDefault="00604E1F" w:rsidP="00E127FE">
      <w:pPr>
        <w:pStyle w:val="ListParagraph"/>
        <w:numPr>
          <w:ilvl w:val="0"/>
          <w:numId w:val="3"/>
        </w:numPr>
        <w:spacing w:after="0" w:line="240" w:lineRule="auto"/>
        <w:jc w:val="center"/>
        <w:rPr>
          <w:b/>
        </w:rPr>
      </w:pPr>
      <w:r w:rsidRPr="00DD7640">
        <w:rPr>
          <w:b/>
        </w:rPr>
        <w:t xml:space="preserve">Naibu Global International Company Plc and </w:t>
      </w:r>
      <w:r w:rsidR="00A95A3A" w:rsidRPr="00DD7640">
        <w:rPr>
          <w:b/>
        </w:rPr>
        <w:t xml:space="preserve">(2) </w:t>
      </w:r>
      <w:r w:rsidRPr="00DD7640">
        <w:rPr>
          <w:b/>
        </w:rPr>
        <w:t>Naibu</w:t>
      </w:r>
      <w:r w:rsidR="002D670B" w:rsidRPr="00DD7640">
        <w:rPr>
          <w:b/>
        </w:rPr>
        <w:t xml:space="preserve"> (HK) International Investment Ltd</w:t>
      </w:r>
      <w:r w:rsidRPr="00DD7640">
        <w:rPr>
          <w:b/>
        </w:rPr>
        <w:t xml:space="preserve"> v </w:t>
      </w:r>
      <w:r w:rsidR="00CC2BA0" w:rsidRPr="00DD7640">
        <w:rPr>
          <w:b/>
        </w:rPr>
        <w:t xml:space="preserve">(1) </w:t>
      </w:r>
      <w:r w:rsidRPr="00DD7640">
        <w:rPr>
          <w:b/>
        </w:rPr>
        <w:t xml:space="preserve">Daniel Stewart &amp; Company Plc and </w:t>
      </w:r>
      <w:r w:rsidR="00CC2BA0" w:rsidRPr="00DD7640">
        <w:rPr>
          <w:b/>
        </w:rPr>
        <w:t xml:space="preserve">(2) </w:t>
      </w:r>
      <w:r w:rsidRPr="00DD7640">
        <w:rPr>
          <w:b/>
        </w:rPr>
        <w:t xml:space="preserve">Pinsent Masons </w:t>
      </w:r>
      <w:r w:rsidR="002D670B" w:rsidRPr="00DD7640">
        <w:rPr>
          <w:b/>
        </w:rPr>
        <w:t>LLP</w:t>
      </w:r>
    </w:p>
    <w:p w:rsidR="00CE1BD1" w:rsidRPr="00DD7640" w:rsidRDefault="00CE1BD1" w:rsidP="00CE1BD1">
      <w:pPr>
        <w:spacing w:after="0" w:line="240" w:lineRule="auto"/>
        <w:jc w:val="center"/>
      </w:pPr>
    </w:p>
    <w:p w:rsidR="009B6FDE" w:rsidRPr="00DD7640" w:rsidRDefault="00FA3CD7" w:rsidP="009B6FDE">
      <w:pPr>
        <w:spacing w:after="0" w:line="240" w:lineRule="auto"/>
      </w:pPr>
      <w:r w:rsidRPr="00DD7640">
        <w:t>Chancery Division (</w:t>
      </w:r>
      <w:r w:rsidR="009B6FDE" w:rsidRPr="00DD7640">
        <w:t>Bacon</w:t>
      </w:r>
      <w:r w:rsidRPr="00DD7640">
        <w:t xml:space="preserve"> J)</w:t>
      </w:r>
    </w:p>
    <w:p w:rsidR="009B6FDE" w:rsidRPr="00DD7640" w:rsidRDefault="009B6FDE" w:rsidP="009B6FDE">
      <w:pPr>
        <w:spacing w:after="0" w:line="240" w:lineRule="auto"/>
      </w:pPr>
    </w:p>
    <w:p w:rsidR="00333880" w:rsidRPr="00DD7640" w:rsidRDefault="009B6FDE" w:rsidP="00333880">
      <w:pPr>
        <w:spacing w:after="0" w:line="240" w:lineRule="auto"/>
      </w:pPr>
      <w:r w:rsidRPr="00DD7640">
        <w:t>14 October 2020</w:t>
      </w:r>
      <w:r w:rsidR="00FA3CD7" w:rsidRPr="00DD7640">
        <w:t xml:space="preserve"> </w:t>
      </w:r>
    </w:p>
    <w:p w:rsidR="00333880" w:rsidRPr="00DD7640" w:rsidRDefault="00333880" w:rsidP="00333880">
      <w:pPr>
        <w:spacing w:after="0" w:line="240" w:lineRule="auto"/>
      </w:pPr>
    </w:p>
    <w:p w:rsidR="00333880" w:rsidRPr="00DD7640" w:rsidRDefault="009B6FDE" w:rsidP="00B4485E">
      <w:pPr>
        <w:spacing w:after="0" w:line="240" w:lineRule="auto"/>
      </w:pPr>
      <w:r w:rsidRPr="00DD7640">
        <w:t xml:space="preserve">[2020] EWHC 2719 (Ch) </w:t>
      </w:r>
      <w:r w:rsidR="00FA3CD7" w:rsidRPr="00DD7640">
        <w:t xml:space="preserve"> </w:t>
      </w:r>
    </w:p>
    <w:p w:rsidR="00186914" w:rsidRPr="00DD7640" w:rsidRDefault="00186914" w:rsidP="00B4485E">
      <w:pPr>
        <w:spacing w:after="0" w:line="240" w:lineRule="auto"/>
      </w:pPr>
    </w:p>
    <w:p w:rsidR="00186914" w:rsidRPr="00DD7640" w:rsidRDefault="00186914" w:rsidP="00B4485E">
      <w:pPr>
        <w:spacing w:after="0" w:line="240" w:lineRule="auto"/>
      </w:pPr>
      <w:r w:rsidRPr="00DD7640">
        <w:t xml:space="preserve">Solicitor – </w:t>
      </w:r>
      <w:r w:rsidR="00F92F37" w:rsidRPr="00DD7640">
        <w:t xml:space="preserve">client – parent company – </w:t>
      </w:r>
      <w:r w:rsidRPr="00DD7640">
        <w:t xml:space="preserve">implied contract – reflective loss – strike out – summary judgment – arbitration – stay – person claiming under or through </w:t>
      </w:r>
    </w:p>
    <w:p w:rsidR="00333880" w:rsidRPr="00DD7640" w:rsidRDefault="00333880" w:rsidP="00B4485E">
      <w:pPr>
        <w:spacing w:after="0" w:line="240" w:lineRule="auto"/>
      </w:pPr>
    </w:p>
    <w:p w:rsidR="00E90D61" w:rsidRPr="00DD7640" w:rsidRDefault="00E90D61" w:rsidP="009E4B8B">
      <w:pPr>
        <w:spacing w:line="240" w:lineRule="auto"/>
      </w:pPr>
      <w:bookmarkStart w:id="0" w:name="para9"/>
      <w:r w:rsidRPr="00DD7640">
        <w:t>Naibu (China) Co Ltd (“N</w:t>
      </w:r>
      <w:r w:rsidR="00593F1D" w:rsidRPr="00DD7640">
        <w:t>C</w:t>
      </w:r>
      <w:r w:rsidRPr="00DD7640">
        <w:t>”) is a Chinese sport</w:t>
      </w:r>
      <w:r w:rsidR="008D4A5C" w:rsidRPr="00DD7640">
        <w:t>s</w:t>
      </w:r>
      <w:r w:rsidRPr="00DD7640">
        <w:t>wear company established by Mr Huoyan Lin. The second claimant</w:t>
      </w:r>
      <w:r w:rsidR="00FA379A" w:rsidRPr="00DD7640">
        <w:t xml:space="preserve"> </w:t>
      </w:r>
      <w:r w:rsidR="002D670B" w:rsidRPr="00DD7640">
        <w:t>Naibu (HK) International Investment Ltd</w:t>
      </w:r>
      <w:r w:rsidRPr="00DD7640">
        <w:t xml:space="preserve"> (“N</w:t>
      </w:r>
      <w:r w:rsidR="00593F1D" w:rsidRPr="00DD7640">
        <w:t>HK</w:t>
      </w:r>
      <w:r w:rsidRPr="00DD7640">
        <w:t>”) is its parent company, and the first claimant</w:t>
      </w:r>
      <w:r w:rsidR="00FA379A" w:rsidRPr="00DD7640">
        <w:t xml:space="preserve"> </w:t>
      </w:r>
      <w:r w:rsidR="002D670B" w:rsidRPr="00DD7640">
        <w:t xml:space="preserve">Naibu Global International Company Plc </w:t>
      </w:r>
      <w:r w:rsidRPr="00DD7640">
        <w:t>(“N</w:t>
      </w:r>
      <w:r w:rsidR="00593F1D" w:rsidRPr="00DD7640">
        <w:t>J</w:t>
      </w:r>
      <w:r w:rsidRPr="00DD7640">
        <w:t>”) is a Jersey company and the holding company for the second claimant, which was incorporated for the purpose of enabling N</w:t>
      </w:r>
      <w:r w:rsidR="00FA2DBD">
        <w:t>C</w:t>
      </w:r>
      <w:r w:rsidRPr="00DD7640">
        <w:t xml:space="preserve">’s business to be floated on </w:t>
      </w:r>
      <w:r w:rsidR="00FA379A" w:rsidRPr="00DD7640">
        <w:t xml:space="preserve">the London </w:t>
      </w:r>
      <w:r w:rsidR="00E7350B" w:rsidRPr="00DD7640">
        <w:t>A</w:t>
      </w:r>
      <w:r w:rsidR="00FA379A" w:rsidRPr="00DD7640">
        <w:t xml:space="preserve">lternative </w:t>
      </w:r>
      <w:r w:rsidR="00E7350B" w:rsidRPr="00DD7640">
        <w:t>I</w:t>
      </w:r>
      <w:r w:rsidR="00FA379A" w:rsidRPr="00DD7640">
        <w:t xml:space="preserve">nvestment </w:t>
      </w:r>
      <w:r w:rsidR="00E7350B" w:rsidRPr="00DD7640">
        <w:t>M</w:t>
      </w:r>
      <w:r w:rsidR="00FA379A" w:rsidRPr="00DD7640">
        <w:t>arket (“</w:t>
      </w:r>
      <w:r w:rsidRPr="00DD7640">
        <w:t>AIM</w:t>
      </w:r>
      <w:r w:rsidR="00FA379A" w:rsidRPr="00DD7640">
        <w:t>”)</w:t>
      </w:r>
      <w:r w:rsidRPr="00DD7640">
        <w:t>.</w:t>
      </w:r>
    </w:p>
    <w:p w:rsidR="00FA379A" w:rsidRPr="00DD7640" w:rsidRDefault="00FA379A" w:rsidP="00FA379A">
      <w:r w:rsidRPr="00DD7640">
        <w:t>Prior to the incorporation of N</w:t>
      </w:r>
      <w:r w:rsidR="00F57B0F" w:rsidRPr="00DD7640">
        <w:t>J</w:t>
      </w:r>
      <w:r w:rsidR="0095795C">
        <w:t>,</w:t>
      </w:r>
      <w:r w:rsidRPr="00DD7640">
        <w:t xml:space="preserve"> the second defendant Pinsent Masons</w:t>
      </w:r>
      <w:r w:rsidR="002D670B" w:rsidRPr="00DD7640">
        <w:t xml:space="preserve"> LLP (“PM”)</w:t>
      </w:r>
      <w:r w:rsidRPr="00DD7640">
        <w:t>, was retained to act as the legal adviser to both N</w:t>
      </w:r>
      <w:r w:rsidR="00593F1D" w:rsidRPr="00DD7640">
        <w:t>C</w:t>
      </w:r>
      <w:r w:rsidRPr="00DD7640">
        <w:t xml:space="preserve"> and N</w:t>
      </w:r>
      <w:r w:rsidR="00593F1D" w:rsidRPr="00DD7640">
        <w:t>HK</w:t>
      </w:r>
      <w:r w:rsidRPr="00DD7640">
        <w:t xml:space="preserve">.  It was envisaged that a </w:t>
      </w:r>
      <w:r w:rsidR="007E2089" w:rsidRPr="00DD7640">
        <w:t xml:space="preserve">new </w:t>
      </w:r>
      <w:r w:rsidRPr="00DD7640">
        <w:t>parent company would be incorporated for the purposes of floatation, and that P</w:t>
      </w:r>
      <w:r w:rsidR="002D670B" w:rsidRPr="00DD7640">
        <w:t>M</w:t>
      </w:r>
      <w:r w:rsidRPr="00DD7640">
        <w:t xml:space="preserve"> would advise that company and its directors.  The letters of engagement between P</w:t>
      </w:r>
      <w:r w:rsidR="002D670B" w:rsidRPr="00DD7640">
        <w:t>M</w:t>
      </w:r>
      <w:r w:rsidRPr="00DD7640">
        <w:t xml:space="preserve"> and N</w:t>
      </w:r>
      <w:r w:rsidR="00593F1D" w:rsidRPr="00DD7640">
        <w:t>C</w:t>
      </w:r>
      <w:r w:rsidRPr="00DD7640">
        <w:t xml:space="preserve"> and N</w:t>
      </w:r>
      <w:r w:rsidR="00593F1D" w:rsidRPr="00DD7640">
        <w:t>HK</w:t>
      </w:r>
      <w:r w:rsidRPr="00DD7640">
        <w:t xml:space="preserve"> incorporated terms confirming that the services are provided only to </w:t>
      </w:r>
      <w:r w:rsidR="00FB0E83">
        <w:t xml:space="preserve">NC and NHK </w:t>
      </w:r>
      <w:r w:rsidRPr="00DD7640">
        <w:t>as customer, limiting third party rights, and</w:t>
      </w:r>
      <w:r w:rsidR="007B689F">
        <w:t xml:space="preserve"> also</w:t>
      </w:r>
      <w:r w:rsidR="00CC2BA0" w:rsidRPr="00DD7640">
        <w:t xml:space="preserve"> included</w:t>
      </w:r>
      <w:r w:rsidRPr="00DD7640">
        <w:t xml:space="preserve"> a</w:t>
      </w:r>
      <w:r w:rsidR="00E7350B" w:rsidRPr="00DD7640">
        <w:t xml:space="preserve"> Hong Kong</w:t>
      </w:r>
      <w:r w:rsidRPr="00DD7640">
        <w:t xml:space="preserve"> arbitration clause.</w:t>
      </w:r>
    </w:p>
    <w:p w:rsidR="00FA379A" w:rsidRPr="00DD7640" w:rsidRDefault="00FA379A" w:rsidP="00FA379A">
      <w:r w:rsidRPr="00DD7640">
        <w:t>N</w:t>
      </w:r>
      <w:r w:rsidR="00593F1D" w:rsidRPr="00DD7640">
        <w:t>J</w:t>
      </w:r>
      <w:r w:rsidRPr="00DD7640">
        <w:t xml:space="preserve"> was subsequently incorporated, and floated on the AIM.</w:t>
      </w:r>
      <w:r w:rsidR="00E7350B" w:rsidRPr="00DD7640">
        <w:t xml:space="preserve">  </w:t>
      </w:r>
      <w:r w:rsidRPr="00DD7640">
        <w:t xml:space="preserve">However, the alleged disposal of </w:t>
      </w:r>
      <w:r w:rsidR="00E7350B" w:rsidRPr="00DD7640">
        <w:t>N</w:t>
      </w:r>
      <w:r w:rsidR="00593F1D" w:rsidRPr="00DD7640">
        <w:t>C</w:t>
      </w:r>
      <w:r w:rsidR="00E7350B" w:rsidRPr="00DD7640">
        <w:t>’s as</w:t>
      </w:r>
      <w:r w:rsidRPr="00DD7640">
        <w:t xml:space="preserve">sets by Mr Lin </w:t>
      </w:r>
      <w:r w:rsidR="00E7350B" w:rsidRPr="00DD7640">
        <w:t xml:space="preserve">using </w:t>
      </w:r>
      <w:r w:rsidR="00FB0E83">
        <w:t>NC’s</w:t>
      </w:r>
      <w:r w:rsidR="00E7350B" w:rsidRPr="00DD7640">
        <w:t xml:space="preserve"> company chop </w:t>
      </w:r>
      <w:r w:rsidRPr="00DD7640">
        <w:t>rendered the claimants’ shares in N</w:t>
      </w:r>
      <w:r w:rsidR="00593F1D" w:rsidRPr="00DD7640">
        <w:t>C</w:t>
      </w:r>
      <w:r w:rsidRPr="00DD7640">
        <w:t xml:space="preserve"> valueless</w:t>
      </w:r>
      <w:r w:rsidR="00E7350B" w:rsidRPr="00DD7640">
        <w:t xml:space="preserve">.  </w:t>
      </w:r>
      <w:r w:rsidRPr="00DD7640">
        <w:t>N</w:t>
      </w:r>
      <w:r w:rsidR="00593F1D" w:rsidRPr="00DD7640">
        <w:t>J</w:t>
      </w:r>
      <w:r w:rsidRPr="00DD7640">
        <w:t xml:space="preserve"> was </w:t>
      </w:r>
      <w:r w:rsidR="00E7350B" w:rsidRPr="00DD7640">
        <w:t xml:space="preserve">subsequently </w:t>
      </w:r>
      <w:r w:rsidRPr="00DD7640">
        <w:t>delisted.  The claimants alleged breaches of duty and/or negligence by the defendants in preparing N</w:t>
      </w:r>
      <w:r w:rsidR="00593F1D" w:rsidRPr="00DD7640">
        <w:t xml:space="preserve">J </w:t>
      </w:r>
      <w:r w:rsidRPr="00DD7640">
        <w:t xml:space="preserve">for its </w:t>
      </w:r>
      <w:r w:rsidR="00E7350B" w:rsidRPr="00DD7640">
        <w:t>initial public offering</w:t>
      </w:r>
      <w:r w:rsidRPr="00DD7640">
        <w:t xml:space="preserve"> on the AIM, and in conducting their due diligence.</w:t>
      </w:r>
      <w:r w:rsidR="00E7350B" w:rsidRPr="00DD7640">
        <w:t xml:space="preserve">  In particular they alleged that the defendants failed to advise them as to the consequences of Mr Lin holding N</w:t>
      </w:r>
      <w:r w:rsidR="00593F1D" w:rsidRPr="00DD7640">
        <w:t>C</w:t>
      </w:r>
      <w:r w:rsidR="00E7350B" w:rsidRPr="00DD7640">
        <w:t>’s chop.</w:t>
      </w:r>
      <w:r w:rsidRPr="00DD7640">
        <w:t xml:space="preserve">  N</w:t>
      </w:r>
      <w:r w:rsidR="00593F1D" w:rsidRPr="00DD7640">
        <w:t>J</w:t>
      </w:r>
      <w:r w:rsidRPr="00DD7640">
        <w:t xml:space="preserve"> argued that P</w:t>
      </w:r>
      <w:r w:rsidR="002D670B" w:rsidRPr="00DD7640">
        <w:t>M</w:t>
      </w:r>
      <w:r w:rsidRPr="00DD7640">
        <w:t>’</w:t>
      </w:r>
      <w:r w:rsidR="002D670B" w:rsidRPr="00DD7640">
        <w:t>s</w:t>
      </w:r>
      <w:r w:rsidRPr="00DD7640">
        <w:t xml:space="preserve"> conduct gave rise to an implied retainer between them, and/or P</w:t>
      </w:r>
      <w:r w:rsidR="002D670B" w:rsidRPr="00DD7640">
        <w:t>M</w:t>
      </w:r>
      <w:r w:rsidRPr="00DD7640">
        <w:t xml:space="preserve"> assumed a duty of care in tort to N</w:t>
      </w:r>
      <w:r w:rsidR="00593F1D" w:rsidRPr="00DD7640">
        <w:t>J</w:t>
      </w:r>
      <w:r w:rsidRPr="00DD7640">
        <w:t>.</w:t>
      </w:r>
    </w:p>
    <w:p w:rsidR="00CC2BA0" w:rsidRPr="00DD7640" w:rsidRDefault="00E7350B" w:rsidP="00A859C0">
      <w:r w:rsidRPr="00DD7640">
        <w:t>P</w:t>
      </w:r>
      <w:r w:rsidR="002D670B" w:rsidRPr="00DD7640">
        <w:t>M</w:t>
      </w:r>
      <w:r w:rsidRPr="00DD7640">
        <w:t xml:space="preserve"> applied to stay N</w:t>
      </w:r>
      <w:r w:rsidR="00593F1D" w:rsidRPr="00DD7640">
        <w:t>HK</w:t>
      </w:r>
      <w:r w:rsidRPr="00DD7640">
        <w:t xml:space="preserve">’s claims pursuant to </w:t>
      </w:r>
      <w:r w:rsidR="00796C50" w:rsidRPr="00DD7640">
        <w:t>Section</w:t>
      </w:r>
      <w:r w:rsidRPr="00DD7640">
        <w:t xml:space="preserve"> 9 of the Arbitration Act 1996, (which the claimants accepted).  P</w:t>
      </w:r>
      <w:r w:rsidR="00796C50" w:rsidRPr="00DD7640">
        <w:t>M</w:t>
      </w:r>
      <w:r w:rsidRPr="00DD7640">
        <w:t xml:space="preserve"> </w:t>
      </w:r>
      <w:r w:rsidR="00796C50" w:rsidRPr="00DD7640">
        <w:t xml:space="preserve">also </w:t>
      </w:r>
      <w:r w:rsidRPr="00DD7640">
        <w:t>applied for N</w:t>
      </w:r>
      <w:r w:rsidR="00593F1D" w:rsidRPr="00DD7640">
        <w:t>J</w:t>
      </w:r>
      <w:r w:rsidRPr="00DD7640">
        <w:t xml:space="preserve">’s claim to be struck out, summarily dismissed, and/or alternatively stayed pursuant to </w:t>
      </w:r>
      <w:r w:rsidR="00796C50" w:rsidRPr="00DD7640">
        <w:t>Section</w:t>
      </w:r>
      <w:r w:rsidRPr="00DD7640">
        <w:t xml:space="preserve"> 9 of the </w:t>
      </w:r>
      <w:r w:rsidR="00796C50" w:rsidRPr="00DD7640">
        <w:t>Arbitration Act 1996</w:t>
      </w:r>
      <w:r w:rsidR="00A859C0" w:rsidRPr="00DD7640">
        <w:t xml:space="preserve"> as a party claiming </w:t>
      </w:r>
      <w:r w:rsidR="00FB0E83">
        <w:t>“</w:t>
      </w:r>
      <w:r w:rsidR="00A859C0" w:rsidRPr="00DD7640">
        <w:t>under or through</w:t>
      </w:r>
      <w:r w:rsidR="00FB0E83">
        <w:t>”</w:t>
      </w:r>
      <w:r w:rsidR="00A859C0" w:rsidRPr="00DD7640">
        <w:t xml:space="preserve"> a party to an arbitration agreement within the meaning of </w:t>
      </w:r>
      <w:r w:rsidR="00796C50" w:rsidRPr="00DD7640">
        <w:t>Section</w:t>
      </w:r>
      <w:r w:rsidR="00A859C0" w:rsidRPr="00DD7640">
        <w:t xml:space="preserve"> 82(2) of the Arbitration Act 1996.  </w:t>
      </w:r>
    </w:p>
    <w:p w:rsidR="00A859C0" w:rsidRPr="00DD7640" w:rsidRDefault="00A859C0" w:rsidP="00A859C0">
      <w:r w:rsidRPr="00DD7640">
        <w:t>P</w:t>
      </w:r>
      <w:r w:rsidR="00796C50" w:rsidRPr="00DD7640">
        <w:t>M</w:t>
      </w:r>
      <w:r w:rsidRPr="00DD7640">
        <w:t xml:space="preserve"> </w:t>
      </w:r>
      <w:r w:rsidR="00E7350B" w:rsidRPr="00DD7640">
        <w:t>argu</w:t>
      </w:r>
      <w:r w:rsidRPr="00DD7640">
        <w:t xml:space="preserve">ed </w:t>
      </w:r>
      <w:r w:rsidR="00E7350B" w:rsidRPr="00DD7640">
        <w:t>that they were only retained to act for N</w:t>
      </w:r>
      <w:r w:rsidR="00593F1D" w:rsidRPr="00DD7640">
        <w:t>HK</w:t>
      </w:r>
      <w:r w:rsidR="00E7350B" w:rsidRPr="00DD7640">
        <w:t xml:space="preserve"> and N</w:t>
      </w:r>
      <w:r w:rsidR="00593F1D" w:rsidRPr="00DD7640">
        <w:t>C</w:t>
      </w:r>
      <w:r w:rsidR="00E7350B" w:rsidRPr="00DD7640">
        <w:t xml:space="preserve"> and that their advi</w:t>
      </w:r>
      <w:r w:rsidRPr="00DD7640">
        <w:t>c</w:t>
      </w:r>
      <w:r w:rsidR="00E7350B" w:rsidRPr="00DD7640">
        <w:t xml:space="preserve">e, including </w:t>
      </w:r>
      <w:r w:rsidR="00FB0E83">
        <w:t xml:space="preserve">that given </w:t>
      </w:r>
      <w:r w:rsidR="00E7350B" w:rsidRPr="00DD7640">
        <w:t>to N</w:t>
      </w:r>
      <w:r w:rsidR="00593F1D" w:rsidRPr="00DD7640">
        <w:t>J</w:t>
      </w:r>
      <w:r w:rsidR="00E7350B" w:rsidRPr="00DD7640">
        <w:t xml:space="preserve"> was provided under these letters of engagement, and that there was no need to imply a retainer</w:t>
      </w:r>
      <w:r w:rsidR="00796C50" w:rsidRPr="00DD7640">
        <w:t xml:space="preserve"> between PM and N</w:t>
      </w:r>
      <w:r w:rsidR="00593F1D" w:rsidRPr="00DD7640">
        <w:t>J</w:t>
      </w:r>
      <w:r w:rsidRPr="00DD7640">
        <w:t xml:space="preserve">.  They therefore were not in </w:t>
      </w:r>
      <w:r w:rsidR="00E7350B" w:rsidRPr="00DD7640">
        <w:t>breach of any express contractual duties to N</w:t>
      </w:r>
      <w:r w:rsidR="00593F1D" w:rsidRPr="00DD7640">
        <w:t>J</w:t>
      </w:r>
      <w:r w:rsidR="00E7350B" w:rsidRPr="00DD7640">
        <w:t>, nor could a tortious d</w:t>
      </w:r>
      <w:r w:rsidRPr="00DD7640">
        <w:t>uty of care</w:t>
      </w:r>
      <w:r w:rsidR="00E7350B" w:rsidRPr="00DD7640">
        <w:t xml:space="preserve"> arise.</w:t>
      </w:r>
      <w:r w:rsidRPr="00DD7640">
        <w:t xml:space="preserve">  They further argued that N</w:t>
      </w:r>
      <w:r w:rsidR="00593F1D" w:rsidRPr="00DD7640">
        <w:t>J</w:t>
      </w:r>
      <w:r w:rsidRPr="00DD7640">
        <w:t xml:space="preserve">’s loss was irrecoverable since it was purely reflective of </w:t>
      </w:r>
      <w:r w:rsidR="00796C50" w:rsidRPr="00DD7640">
        <w:t>NHK’s loss</w:t>
      </w:r>
      <w:r w:rsidR="00CC2BA0" w:rsidRPr="00DD7640">
        <w:t>, and was thus caught by the rule against the recovery of reflective loss</w:t>
      </w:r>
      <w:r w:rsidR="00796C50" w:rsidRPr="00DD7640">
        <w:t>.</w:t>
      </w:r>
      <w:r w:rsidR="00CC2BA0" w:rsidRPr="00DD7640">
        <w:t xml:space="preserve">  </w:t>
      </w:r>
      <w:r w:rsidRPr="00DD7640">
        <w:t>The claimants disputed these applications, and applied to amend their particulars of claim</w:t>
      </w:r>
      <w:r w:rsidR="00DD7640" w:rsidRPr="00DD7640">
        <w:t xml:space="preserve"> to include additional losses</w:t>
      </w:r>
      <w:r w:rsidRPr="00DD7640">
        <w:t>.  They further argued that the reflective loss point was raised late, and should not be decided on this application.</w:t>
      </w:r>
    </w:p>
    <w:p w:rsidR="00F92F37" w:rsidRPr="00DD7640" w:rsidRDefault="007E214A" w:rsidP="00593F1D">
      <w:r w:rsidRPr="00DD7640">
        <w:rPr>
          <w:b/>
        </w:rPr>
        <w:lastRenderedPageBreak/>
        <w:t>Held:</w:t>
      </w:r>
      <w:r w:rsidR="009A10CA" w:rsidRPr="00DD7640">
        <w:rPr>
          <w:b/>
        </w:rPr>
        <w:t xml:space="preserve"> </w:t>
      </w:r>
      <w:r w:rsidR="009E2CD7" w:rsidRPr="00DD7640">
        <w:t>N</w:t>
      </w:r>
      <w:r w:rsidR="00593F1D" w:rsidRPr="00DD7640">
        <w:t>J</w:t>
      </w:r>
      <w:r w:rsidR="009E2CD7" w:rsidRPr="00DD7640">
        <w:t>’s claim partially struck out.  The application for a stay of N</w:t>
      </w:r>
      <w:r w:rsidR="00593F1D" w:rsidRPr="00DD7640">
        <w:t>J</w:t>
      </w:r>
      <w:r w:rsidR="00C853F8" w:rsidRPr="00DD7640">
        <w:t>’s</w:t>
      </w:r>
      <w:r w:rsidR="009A10CA" w:rsidRPr="00DD7640">
        <w:t xml:space="preserve"> claim</w:t>
      </w:r>
      <w:r w:rsidR="00C853F8" w:rsidRPr="00DD7640">
        <w:t xml:space="preserve"> </w:t>
      </w:r>
      <w:r w:rsidR="009E2CD7" w:rsidRPr="00DD7640">
        <w:t xml:space="preserve">under Section 9 of the Arbitration Act </w:t>
      </w:r>
      <w:r w:rsidR="009A10CA" w:rsidRPr="00DD7640">
        <w:t xml:space="preserve">1996 was </w:t>
      </w:r>
      <w:r w:rsidR="009E2CD7" w:rsidRPr="00DD7640">
        <w:t>rejected</w:t>
      </w:r>
      <w:r w:rsidR="009A10CA" w:rsidRPr="00DD7640">
        <w:t xml:space="preserve">. </w:t>
      </w:r>
      <w:r w:rsidR="00FB0E83">
        <w:t xml:space="preserve"> </w:t>
      </w:r>
      <w:r w:rsidR="00F92F37" w:rsidRPr="00DD7640">
        <w:t xml:space="preserve">NJ granted permission to amend </w:t>
      </w:r>
      <w:r w:rsidR="00FA5AF6">
        <w:t xml:space="preserve">its </w:t>
      </w:r>
      <w:r w:rsidR="00F92F37" w:rsidRPr="00DD7640">
        <w:t xml:space="preserve">particulars of claims. </w:t>
      </w:r>
    </w:p>
    <w:p w:rsidR="00823142" w:rsidRPr="00DD7640" w:rsidRDefault="00A4557C" w:rsidP="00E127FE">
      <w:pPr>
        <w:pStyle w:val="ListParagraph"/>
        <w:numPr>
          <w:ilvl w:val="0"/>
          <w:numId w:val="2"/>
        </w:numPr>
      </w:pPr>
      <w:r w:rsidRPr="00DD7640">
        <w:t xml:space="preserve">A court should be slow to find that parties have entered into a contract where the parties could have </w:t>
      </w:r>
      <w:r w:rsidR="00FF6882" w:rsidRPr="00DD7640">
        <w:t xml:space="preserve">done so expressly </w:t>
      </w:r>
      <w:r w:rsidRPr="00DD7640">
        <w:t>but choose not to do so</w:t>
      </w:r>
      <w:r w:rsidR="002730A5" w:rsidRPr="00DD7640">
        <w:t>.</w:t>
      </w:r>
      <w:r w:rsidR="00FB0E83">
        <w:t xml:space="preserve">  </w:t>
      </w:r>
      <w:r w:rsidR="00823142" w:rsidRPr="00DD7640">
        <w:t>Only where the conduct of the parties is consistent with an implied retainer should such a retainer be found (</w:t>
      </w:r>
      <w:r w:rsidR="00823142" w:rsidRPr="00DD7640">
        <w:rPr>
          <w:i/>
        </w:rPr>
        <w:t>Caliendo v Mishcon de Reya</w:t>
      </w:r>
      <w:r w:rsidR="00823142" w:rsidRPr="00DD7640">
        <w:t xml:space="preserve"> [2016] EWHC 150 (Ch), and </w:t>
      </w:r>
      <w:r w:rsidR="00823142" w:rsidRPr="00DD7640">
        <w:rPr>
          <w:i/>
        </w:rPr>
        <w:t>James-Bowen v Commissioner of Police for the Metropolis</w:t>
      </w:r>
      <w:r w:rsidR="00823142" w:rsidRPr="00DD7640">
        <w:t xml:space="preserve"> [2016] EWCA Civ 1217 applied). (Para. [26])</w:t>
      </w:r>
    </w:p>
    <w:p w:rsidR="002730A5" w:rsidRPr="00DD7640" w:rsidRDefault="002730A5" w:rsidP="002730A5">
      <w:pPr>
        <w:pStyle w:val="ListParagraph"/>
      </w:pPr>
    </w:p>
    <w:p w:rsidR="00AB1D91" w:rsidRPr="00DD7640" w:rsidRDefault="007E214A" w:rsidP="00E127FE">
      <w:pPr>
        <w:pStyle w:val="ListParagraph"/>
        <w:numPr>
          <w:ilvl w:val="0"/>
          <w:numId w:val="2"/>
        </w:numPr>
      </w:pPr>
      <w:r w:rsidRPr="00DD7640">
        <w:t>A retainer may be implied from the conduct of the parties where on an objective consideration of</w:t>
      </w:r>
      <w:r w:rsidR="00796C50" w:rsidRPr="00DD7640">
        <w:t xml:space="preserve"> the</w:t>
      </w:r>
      <w:r w:rsidRPr="00DD7640">
        <w:t xml:space="preserve"> circumstances an intention to enter into a contract ought fairly and properly </w:t>
      </w:r>
      <w:r w:rsidR="0095795C">
        <w:t xml:space="preserve">to </w:t>
      </w:r>
      <w:r w:rsidRPr="00DD7640">
        <w:t>be imputed</w:t>
      </w:r>
      <w:r w:rsidR="009A10CA" w:rsidRPr="00DD7640">
        <w:t>.</w:t>
      </w:r>
      <w:r w:rsidR="00FB0E83">
        <w:t xml:space="preserve">  </w:t>
      </w:r>
      <w:r w:rsidR="009A10CA" w:rsidRPr="00DD7640">
        <w:t>T</w:t>
      </w:r>
      <w:r w:rsidRPr="00DD7640">
        <w:t>he test of such an implication is necessity (</w:t>
      </w:r>
      <w:r w:rsidR="00A7090E" w:rsidRPr="00DD7640">
        <w:rPr>
          <w:i/>
        </w:rPr>
        <w:t>Baird Textile Holdings Ltd v Marks &amp; Spencer Plc</w:t>
      </w:r>
      <w:r w:rsidR="00A7090E" w:rsidRPr="00DD7640">
        <w:t xml:space="preserve"> [2001] EWCA Civ 274; [2002] 1 All E.R. (Comm) 737, and</w:t>
      </w:r>
      <w:r w:rsidRPr="00DD7640">
        <w:t xml:space="preserve"> </w:t>
      </w:r>
      <w:r w:rsidR="00A7090E" w:rsidRPr="00DD7640">
        <w:rPr>
          <w:i/>
        </w:rPr>
        <w:t>Dean v Allin &amp; Watts</w:t>
      </w:r>
      <w:r w:rsidR="00A7090E" w:rsidRPr="00DD7640">
        <w:t xml:space="preserve"> [2001] EWCA Civ 758; [2001] 2 Lloyd’s Rep. 249; [2001] P.N.L.R. 39 </w:t>
      </w:r>
      <w:r w:rsidRPr="00DD7640">
        <w:t>applied)</w:t>
      </w:r>
      <w:r w:rsidR="002730A5" w:rsidRPr="00DD7640">
        <w:t>.</w:t>
      </w:r>
      <w:r w:rsidRPr="00DD7640">
        <w:t xml:space="preserve"> (Para</w:t>
      </w:r>
      <w:r w:rsidR="002730A5" w:rsidRPr="00DD7640">
        <w:t>s. [24]-[25]</w:t>
      </w:r>
      <w:r w:rsidRPr="00DD7640">
        <w:t>)</w:t>
      </w:r>
    </w:p>
    <w:p w:rsidR="00A7090E" w:rsidRPr="00DD7640" w:rsidRDefault="00A7090E" w:rsidP="00A7090E">
      <w:pPr>
        <w:pStyle w:val="ListParagraph"/>
      </w:pPr>
    </w:p>
    <w:p w:rsidR="00A7090E" w:rsidRPr="00DD7640" w:rsidRDefault="00A4557C" w:rsidP="00E127FE">
      <w:pPr>
        <w:pStyle w:val="ListParagraph"/>
        <w:numPr>
          <w:ilvl w:val="0"/>
          <w:numId w:val="2"/>
        </w:numPr>
      </w:pPr>
      <w:r w:rsidRPr="00DD7640">
        <w:t>N</w:t>
      </w:r>
      <w:r w:rsidR="00593F1D" w:rsidRPr="00DD7640">
        <w:t>J</w:t>
      </w:r>
      <w:r w:rsidRPr="00DD7640">
        <w:t xml:space="preserve"> ha</w:t>
      </w:r>
      <w:r w:rsidR="00CC2BA0" w:rsidRPr="00DD7640">
        <w:t>d</w:t>
      </w:r>
      <w:r w:rsidRPr="00DD7640">
        <w:t xml:space="preserve"> a real prospect of success of establishing an implied retainer</w:t>
      </w:r>
      <w:r w:rsidR="006D529F" w:rsidRPr="00DD7640">
        <w:t xml:space="preserve"> since </w:t>
      </w:r>
      <w:r w:rsidR="00A859C0" w:rsidRPr="00DD7640">
        <w:t>P</w:t>
      </w:r>
      <w:r w:rsidR="00796C50" w:rsidRPr="00DD7640">
        <w:t xml:space="preserve">M </w:t>
      </w:r>
      <w:r w:rsidR="00A859C0" w:rsidRPr="00DD7640">
        <w:t>repeated</w:t>
      </w:r>
      <w:r w:rsidR="00796C50" w:rsidRPr="00DD7640">
        <w:t>ly</w:t>
      </w:r>
      <w:r w:rsidR="00A859C0" w:rsidRPr="00DD7640">
        <w:t xml:space="preserve"> described, or permitted </w:t>
      </w:r>
      <w:r w:rsidRPr="00DD7640">
        <w:t>them</w:t>
      </w:r>
      <w:r w:rsidR="00A859C0" w:rsidRPr="00DD7640">
        <w:t xml:space="preserve">selves to be described as </w:t>
      </w:r>
      <w:r w:rsidRPr="00DD7640">
        <w:t>the solicitors for</w:t>
      </w:r>
      <w:r w:rsidR="00A859C0" w:rsidRPr="00DD7640">
        <w:t>, or</w:t>
      </w:r>
      <w:r w:rsidR="00796C50" w:rsidRPr="00DD7640">
        <w:t xml:space="preserve"> as</w:t>
      </w:r>
      <w:r w:rsidR="00A859C0" w:rsidRPr="00DD7640">
        <w:t xml:space="preserve"> instructed by N</w:t>
      </w:r>
      <w:r w:rsidR="00593F1D" w:rsidRPr="00DD7640">
        <w:t>J</w:t>
      </w:r>
      <w:r w:rsidRPr="00DD7640">
        <w:t>.</w:t>
      </w:r>
      <w:r w:rsidR="00A859C0" w:rsidRPr="00DD7640">
        <w:t xml:space="preserve"> </w:t>
      </w:r>
      <w:r w:rsidR="00796C50" w:rsidRPr="00DD7640">
        <w:t>(Para</w:t>
      </w:r>
      <w:r w:rsidR="00593F1D" w:rsidRPr="00DD7640">
        <w:t>s</w:t>
      </w:r>
      <w:r w:rsidR="00796C50" w:rsidRPr="00DD7640">
        <w:t>. [27]-[28], [</w:t>
      </w:r>
      <w:r w:rsidR="00A859C0" w:rsidRPr="00DD7640">
        <w:t>30</w:t>
      </w:r>
      <w:r w:rsidR="00796C50" w:rsidRPr="00DD7640">
        <w:t>]</w:t>
      </w:r>
      <w:r w:rsidR="00A859C0" w:rsidRPr="00DD7640">
        <w:t>-</w:t>
      </w:r>
      <w:r w:rsidR="00796C50" w:rsidRPr="00DD7640">
        <w:t>[</w:t>
      </w:r>
      <w:r w:rsidR="00A859C0" w:rsidRPr="00DD7640">
        <w:t>35</w:t>
      </w:r>
      <w:r w:rsidR="00796C50" w:rsidRPr="00DD7640">
        <w:t>]</w:t>
      </w:r>
      <w:r w:rsidR="00A859C0" w:rsidRPr="00DD7640">
        <w:t>)</w:t>
      </w:r>
    </w:p>
    <w:p w:rsidR="00A7090E" w:rsidRPr="00DD7640" w:rsidRDefault="00A7090E" w:rsidP="00A7090E">
      <w:pPr>
        <w:pStyle w:val="ListParagraph"/>
      </w:pPr>
    </w:p>
    <w:p w:rsidR="007E214A" w:rsidRPr="00DD7640" w:rsidRDefault="006675E2" w:rsidP="00E127FE">
      <w:pPr>
        <w:pStyle w:val="ListParagraph"/>
        <w:numPr>
          <w:ilvl w:val="0"/>
          <w:numId w:val="2"/>
        </w:numPr>
      </w:pPr>
      <w:r w:rsidRPr="00DD7640">
        <w:t xml:space="preserve">The claimants </w:t>
      </w:r>
      <w:r w:rsidR="00A859C0" w:rsidRPr="00DD7640">
        <w:t>did not</w:t>
      </w:r>
      <w:r w:rsidR="00FE34CE" w:rsidRPr="00DD7640">
        <w:t xml:space="preserve"> </w:t>
      </w:r>
      <w:r w:rsidR="00A859C0" w:rsidRPr="00DD7640">
        <w:t xml:space="preserve">take </w:t>
      </w:r>
      <w:r w:rsidR="00FF6882" w:rsidRPr="00DD7640">
        <w:t xml:space="preserve">the admissibility point </w:t>
      </w:r>
      <w:r w:rsidR="00AB1D91" w:rsidRPr="00DD7640">
        <w:t xml:space="preserve">on reflective loss </w:t>
      </w:r>
      <w:r w:rsidRPr="00DD7640">
        <w:t>when</w:t>
      </w:r>
      <w:r w:rsidR="00FE34CE" w:rsidRPr="00DD7640">
        <w:t xml:space="preserve"> </w:t>
      </w:r>
      <w:r w:rsidR="006D529F" w:rsidRPr="00DD7640">
        <w:t xml:space="preserve">the issue </w:t>
      </w:r>
      <w:r w:rsidRPr="00DD7640">
        <w:t>was addressed</w:t>
      </w:r>
      <w:r w:rsidR="006D529F" w:rsidRPr="00DD7640">
        <w:t xml:space="preserve"> </w:t>
      </w:r>
      <w:r w:rsidR="00DD7640">
        <w:t>previously, instead the claimants</w:t>
      </w:r>
      <w:r w:rsidR="00FF6882" w:rsidRPr="00DD7640">
        <w:t xml:space="preserve"> </w:t>
      </w:r>
      <w:r w:rsidR="00DD7640">
        <w:t>had</w:t>
      </w:r>
      <w:r w:rsidR="00FF6882" w:rsidRPr="00DD7640">
        <w:t xml:space="preserve"> </w:t>
      </w:r>
      <w:r w:rsidR="00A859C0" w:rsidRPr="00DD7640">
        <w:t xml:space="preserve">submitted that </w:t>
      </w:r>
      <w:r w:rsidRPr="00DD7640">
        <w:t xml:space="preserve">the </w:t>
      </w:r>
      <w:r w:rsidR="00FE34CE" w:rsidRPr="00DD7640">
        <w:t xml:space="preserve">May 2019 </w:t>
      </w:r>
      <w:r w:rsidR="00A859C0" w:rsidRPr="00DD7640">
        <w:t xml:space="preserve">hearing should be adjourned until after </w:t>
      </w:r>
      <w:r w:rsidRPr="00DD7640">
        <w:t xml:space="preserve">the </w:t>
      </w:r>
      <w:r w:rsidR="00A859C0" w:rsidRPr="00DD7640">
        <w:t>UKSC had given judg</w:t>
      </w:r>
      <w:r w:rsidRPr="00DD7640">
        <w:t xml:space="preserve">ment </w:t>
      </w:r>
      <w:r w:rsidR="00A859C0" w:rsidRPr="00DD7640">
        <w:t xml:space="preserve">in </w:t>
      </w:r>
      <w:r w:rsidR="00A7090E" w:rsidRPr="00DD7640">
        <w:rPr>
          <w:i/>
        </w:rPr>
        <w:t xml:space="preserve">Sevilleja v Marex Financial Ltd </w:t>
      </w:r>
      <w:r w:rsidR="00A7090E" w:rsidRPr="00DD7640">
        <w:t>[2020] UKSC 31; [2020] 3 W.L.R. 255</w:t>
      </w:r>
      <w:r w:rsidR="00A859C0" w:rsidRPr="00DD7640">
        <w:t xml:space="preserve"> </w:t>
      </w:r>
      <w:r w:rsidR="00FB0E83">
        <w:t>(</w:t>
      </w:r>
      <w:r w:rsidR="00A859C0" w:rsidRPr="00DD7640">
        <w:t>concerning reflective loss</w:t>
      </w:r>
      <w:r w:rsidR="00FB0E83">
        <w:t>)</w:t>
      </w:r>
      <w:r w:rsidRPr="00DD7640">
        <w:t>, resulting in</w:t>
      </w:r>
      <w:r w:rsidR="00E828E1" w:rsidRPr="00DD7640">
        <w:t xml:space="preserve"> a delay of over a year to the present judgment</w:t>
      </w:r>
      <w:r w:rsidR="00A859C0" w:rsidRPr="00DD7640">
        <w:t xml:space="preserve">.  </w:t>
      </w:r>
      <w:r w:rsidR="00FF6882" w:rsidRPr="00DD7640">
        <w:t xml:space="preserve">The claimants were therefore estopped from raising the admissibility point, or had waived their rights to do so.  </w:t>
      </w:r>
      <w:r w:rsidR="00796C50" w:rsidRPr="00DD7640">
        <w:t>(Para</w:t>
      </w:r>
      <w:r w:rsidR="00593F1D" w:rsidRPr="00DD7640">
        <w:t>s</w:t>
      </w:r>
      <w:r w:rsidR="00796C50" w:rsidRPr="00DD7640">
        <w:t>. [39]-[41])</w:t>
      </w:r>
    </w:p>
    <w:p w:rsidR="007E214A" w:rsidRPr="00DD7640" w:rsidRDefault="007E214A" w:rsidP="007E214A">
      <w:pPr>
        <w:pStyle w:val="ListParagraph"/>
      </w:pPr>
    </w:p>
    <w:p w:rsidR="002730A5" w:rsidRPr="00DD7640" w:rsidRDefault="002972F7" w:rsidP="00E127FE">
      <w:pPr>
        <w:pStyle w:val="ListParagraph"/>
        <w:numPr>
          <w:ilvl w:val="0"/>
          <w:numId w:val="2"/>
        </w:numPr>
      </w:pPr>
      <w:r w:rsidRPr="00DD7640">
        <w:t>For the rule against reflective loss the question is to the nature of the loss</w:t>
      </w:r>
      <w:r>
        <w:t>:</w:t>
      </w:r>
      <w:r w:rsidRPr="00DD7640">
        <w:t xml:space="preserve"> the amount of the company’s loss</w:t>
      </w:r>
      <w:r w:rsidR="00FB0E83">
        <w:t>es</w:t>
      </w:r>
      <w:r w:rsidRPr="00DD7640">
        <w:t xml:space="preserve"> </w:t>
      </w:r>
      <w:proofErr w:type="gramStart"/>
      <w:r w:rsidRPr="00DD7640">
        <w:t>need</w:t>
      </w:r>
      <w:proofErr w:type="gramEnd"/>
      <w:r w:rsidRPr="00DD7640">
        <w:t xml:space="preserve"> not be identical or contiguous to that of the shareholders</w:t>
      </w:r>
      <w:r>
        <w:t xml:space="preserve">.  </w:t>
      </w:r>
      <w:r w:rsidR="00FE34CE" w:rsidRPr="00DD7640">
        <w:t xml:space="preserve">Where losses to a company result in a fall in the value of its shares, or in its distributions, these are not losses </w:t>
      </w:r>
      <w:r w:rsidR="00FF6882" w:rsidRPr="00DD7640">
        <w:t xml:space="preserve">legally </w:t>
      </w:r>
      <w:r w:rsidR="00FE34CE" w:rsidRPr="00DD7640">
        <w:t>recognised as separate from th</w:t>
      </w:r>
      <w:r w:rsidR="00DD7640">
        <w:t>ose</w:t>
      </w:r>
      <w:r w:rsidR="00FE34CE" w:rsidRPr="00DD7640">
        <w:t xml:space="preserve"> sustained by the company, and do not give rise to independent claim</w:t>
      </w:r>
      <w:r w:rsidR="00CC2BA0" w:rsidRPr="00DD7640">
        <w:t>s</w:t>
      </w:r>
      <w:r w:rsidR="00FE34CE" w:rsidRPr="00DD7640">
        <w:t xml:space="preserve"> on the part of the shareholders</w:t>
      </w:r>
      <w:r w:rsidR="00FB0E83">
        <w:t xml:space="preserve"> </w:t>
      </w:r>
      <w:r w:rsidR="002730A5" w:rsidRPr="00DD7640">
        <w:t>(</w:t>
      </w:r>
      <w:r w:rsidR="002730A5" w:rsidRPr="002972F7">
        <w:rPr>
          <w:i/>
        </w:rPr>
        <w:t>Sevilleja v Marex Financial Ltd</w:t>
      </w:r>
      <w:r w:rsidR="002730A5" w:rsidRPr="00DD7640">
        <w:t xml:space="preserve"> [2020] UKSC 31; [2020] 3 W.L.R. 255 and</w:t>
      </w:r>
      <w:r w:rsidR="006D529F" w:rsidRPr="00DD7640">
        <w:t xml:space="preserve"> </w:t>
      </w:r>
      <w:r w:rsidR="002730A5" w:rsidRPr="002972F7">
        <w:rPr>
          <w:i/>
        </w:rPr>
        <w:t>Prudential Assurance Co Ltd v Newman Industries Ltd (No. 2)</w:t>
      </w:r>
      <w:r w:rsidR="002730A5" w:rsidRPr="00DD7640">
        <w:t xml:space="preserve"> [1982] Ch. 204 applied)</w:t>
      </w:r>
      <w:r w:rsidR="00F92F37" w:rsidRPr="00DD7640">
        <w:t>.</w:t>
      </w:r>
      <w:r>
        <w:t xml:space="preserve">  </w:t>
      </w:r>
      <w:r w:rsidR="002730A5" w:rsidRPr="00DD7640">
        <w:t>(Paras. [45], [51]-[52])</w:t>
      </w:r>
    </w:p>
    <w:p w:rsidR="00FE34CE" w:rsidRPr="00DD7640" w:rsidRDefault="00FE34CE" w:rsidP="00FE34CE">
      <w:pPr>
        <w:pStyle w:val="ListParagraph"/>
      </w:pPr>
    </w:p>
    <w:p w:rsidR="006D529F" w:rsidRPr="00DD7640" w:rsidRDefault="002972F7" w:rsidP="00E127FE">
      <w:pPr>
        <w:pStyle w:val="ListParagraph"/>
        <w:numPr>
          <w:ilvl w:val="0"/>
          <w:numId w:val="2"/>
        </w:numPr>
      </w:pPr>
      <w:r w:rsidRPr="002972F7">
        <w:t>NJ’s losses as originally pleaded were entirely composed of the diminution in the value of their shareholding in NHK, and were struck out under the rule against reflective loss.</w:t>
      </w:r>
      <w:r>
        <w:t xml:space="preserve">  </w:t>
      </w:r>
      <w:r w:rsidR="006D529F" w:rsidRPr="00DD7640">
        <w:t>Since t</w:t>
      </w:r>
      <w:r w:rsidR="00FE34CE" w:rsidRPr="00DD7640">
        <w:t>h</w:t>
      </w:r>
      <w:r w:rsidR="006D529F" w:rsidRPr="00DD7640">
        <w:t>e</w:t>
      </w:r>
      <w:r w:rsidR="00FE34CE" w:rsidRPr="00DD7640">
        <w:t xml:space="preserve"> rule is limited to shareholder claims based on the value of their shares, or distributions received as shareholders</w:t>
      </w:r>
      <w:r w:rsidR="00FB0E83">
        <w:t>,</w:t>
      </w:r>
      <w:r w:rsidR="006D529F" w:rsidRPr="00DD7640">
        <w:t xml:space="preserve"> NJ was granted permission to amend the</w:t>
      </w:r>
      <w:r w:rsidR="00FA5AF6">
        <w:t>ir</w:t>
      </w:r>
      <w:r w:rsidR="006D529F" w:rsidRPr="00DD7640">
        <w:t xml:space="preserve"> particulars of claim to add claims relating to alleged losses concerning the steps taken by NJ to assert control over and to investigate the losses suffered by NHK and NC. (Paras. [44], [48]-[54])</w:t>
      </w:r>
    </w:p>
    <w:p w:rsidR="006D529F" w:rsidRPr="00DD7640" w:rsidRDefault="006D529F" w:rsidP="006D529F">
      <w:pPr>
        <w:pStyle w:val="ListParagraph"/>
      </w:pPr>
    </w:p>
    <w:p w:rsidR="00A7090E" w:rsidRPr="00DD7640" w:rsidRDefault="00A859C0" w:rsidP="00E127FE">
      <w:pPr>
        <w:pStyle w:val="ListParagraph"/>
        <w:numPr>
          <w:ilvl w:val="0"/>
          <w:numId w:val="2"/>
        </w:numPr>
      </w:pPr>
      <w:r w:rsidRPr="00DD7640">
        <w:t>N</w:t>
      </w:r>
      <w:r w:rsidR="00593F1D" w:rsidRPr="00DD7640">
        <w:t>J</w:t>
      </w:r>
      <w:r w:rsidR="00FE34CE" w:rsidRPr="00DD7640">
        <w:t>’s</w:t>
      </w:r>
      <w:r w:rsidRPr="00DD7640">
        <w:t xml:space="preserve"> claim is distinct to N</w:t>
      </w:r>
      <w:r w:rsidR="00593F1D" w:rsidRPr="00DD7640">
        <w:t>HK</w:t>
      </w:r>
      <w:r w:rsidRPr="00DD7640">
        <w:t xml:space="preserve">’s and is advanced on the basis of duties owed directly to it either under the implied retainer, or </w:t>
      </w:r>
      <w:r w:rsidR="00FA5AF6">
        <w:t xml:space="preserve">under </w:t>
      </w:r>
      <w:r w:rsidRPr="00DD7640">
        <w:t>a duty of care in tort.</w:t>
      </w:r>
      <w:r w:rsidR="00FB0E83">
        <w:t xml:space="preserve">  </w:t>
      </w:r>
      <w:r w:rsidR="002972F7">
        <w:t xml:space="preserve">Although </w:t>
      </w:r>
      <w:r w:rsidRPr="00DD7640">
        <w:t>the</w:t>
      </w:r>
      <w:r w:rsidR="002972F7">
        <w:t>se</w:t>
      </w:r>
      <w:r w:rsidRPr="00DD7640">
        <w:t xml:space="preserve"> duties are similar to those</w:t>
      </w:r>
      <w:r w:rsidR="00FE34CE" w:rsidRPr="00DD7640">
        <w:t xml:space="preserve"> owed</w:t>
      </w:r>
      <w:r w:rsidRPr="00DD7640">
        <w:t xml:space="preserve"> by P</w:t>
      </w:r>
      <w:r w:rsidR="00A7090E" w:rsidRPr="00DD7640">
        <w:t>M</w:t>
      </w:r>
      <w:r w:rsidR="000A7D77" w:rsidRPr="00DD7640">
        <w:t xml:space="preserve"> </w:t>
      </w:r>
      <w:r w:rsidRPr="00DD7640">
        <w:t>to N</w:t>
      </w:r>
      <w:r w:rsidR="00593F1D" w:rsidRPr="00DD7640">
        <w:t>HK</w:t>
      </w:r>
      <w:r w:rsidRPr="00DD7640">
        <w:t xml:space="preserve">, </w:t>
      </w:r>
      <w:r w:rsidR="003F32E5" w:rsidRPr="00DD7640">
        <w:t>N</w:t>
      </w:r>
      <w:r w:rsidR="00593F1D" w:rsidRPr="00DD7640">
        <w:t>J</w:t>
      </w:r>
      <w:r w:rsidR="003F32E5" w:rsidRPr="00DD7640">
        <w:t xml:space="preserve"> is not a person claiming </w:t>
      </w:r>
      <w:r w:rsidR="00FB0E83">
        <w:t>“</w:t>
      </w:r>
      <w:r w:rsidR="003F32E5" w:rsidRPr="00DD7640">
        <w:t>under or through</w:t>
      </w:r>
      <w:r w:rsidR="00FB0E83">
        <w:t>”</w:t>
      </w:r>
      <w:r w:rsidR="003F32E5" w:rsidRPr="00DD7640">
        <w:t xml:space="preserve"> a party to an </w:t>
      </w:r>
      <w:r w:rsidR="003F32E5" w:rsidRPr="00DD7640">
        <w:lastRenderedPageBreak/>
        <w:t xml:space="preserve">arbitration agreement for the purposes of </w:t>
      </w:r>
      <w:r w:rsidR="00A7090E" w:rsidRPr="00DD7640">
        <w:t xml:space="preserve">Section </w:t>
      </w:r>
      <w:r w:rsidR="003F32E5" w:rsidRPr="00DD7640">
        <w:t xml:space="preserve">82(2) of the </w:t>
      </w:r>
      <w:r w:rsidR="00A7090E" w:rsidRPr="00DD7640">
        <w:t>Arbitration Act 1996</w:t>
      </w:r>
      <w:r w:rsidR="003F32E5" w:rsidRPr="00DD7640">
        <w:t xml:space="preserve"> (</w:t>
      </w:r>
      <w:r w:rsidR="00A7090E" w:rsidRPr="00DD7640">
        <w:rPr>
          <w:i/>
        </w:rPr>
        <w:t xml:space="preserve">Through Transport Mutual Insurance Association (Eurasia) Ltd v New India Assurance Co Ltd (The Hari Bhum) (No.2) </w:t>
      </w:r>
      <w:r w:rsidR="00A7090E" w:rsidRPr="00DD7640">
        <w:t>[2005] EWHC 455 (Comm); [2005] 2 Lloyd's Rep. 378 applied)</w:t>
      </w:r>
      <w:r w:rsidR="002730A5" w:rsidRPr="00DD7640">
        <w:t>.</w:t>
      </w:r>
      <w:r w:rsidR="00593F1D" w:rsidRPr="00DD7640">
        <w:t xml:space="preserve"> (Paras. [56], [62]-[63])</w:t>
      </w:r>
    </w:p>
    <w:p w:rsidR="00E828E1" w:rsidRPr="00DD7640" w:rsidRDefault="00E828E1" w:rsidP="00E828E1">
      <w:pPr>
        <w:pStyle w:val="ListParagraph"/>
      </w:pPr>
    </w:p>
    <w:p w:rsidR="00F92F37" w:rsidRPr="00DD7640" w:rsidRDefault="00F92F37" w:rsidP="00F92F37">
      <w:pPr>
        <w:spacing w:line="240" w:lineRule="auto"/>
        <w:rPr>
          <w:b/>
        </w:rPr>
      </w:pPr>
      <w:r w:rsidRPr="00DD7640">
        <w:rPr>
          <w:b/>
        </w:rPr>
        <w:t>Cases referred to in the judgment:</w:t>
      </w:r>
    </w:p>
    <w:p w:rsidR="00F92F37" w:rsidRPr="00DD7640" w:rsidRDefault="00F92F37" w:rsidP="00F92F37">
      <w:r w:rsidRPr="00DD7640">
        <w:rPr>
          <w:i/>
        </w:rPr>
        <w:t xml:space="preserve">Agents Mutual Ltd v Moginnie James Ltd </w:t>
      </w:r>
      <w:r w:rsidRPr="00DD7640">
        <w:t>[2016] EWHC 3384 (Ch)</w:t>
      </w:r>
    </w:p>
    <w:p w:rsidR="00F92F37" w:rsidRPr="00DD7640" w:rsidRDefault="00F92F37" w:rsidP="00F92F37">
      <w:pPr>
        <w:rPr>
          <w:i/>
        </w:rPr>
      </w:pPr>
      <w:r w:rsidRPr="00DD7640">
        <w:rPr>
          <w:i/>
        </w:rPr>
        <w:t xml:space="preserve">Baird Textile Holdings Ltd v Marks &amp; Spencer Plc </w:t>
      </w:r>
      <w:r w:rsidRPr="00DD7640">
        <w:t>[2001] EWCA Civ 274; [2002] 1 All E.R. (Comm) 737</w:t>
      </w:r>
    </w:p>
    <w:p w:rsidR="00F92F37" w:rsidRPr="00DD7640" w:rsidRDefault="00F92F37" w:rsidP="00F92F37">
      <w:r w:rsidRPr="00DD7640">
        <w:rPr>
          <w:i/>
        </w:rPr>
        <w:t xml:space="preserve">Caliendo v Mishcon de Reya </w:t>
      </w:r>
      <w:r w:rsidRPr="00DD7640">
        <w:t>[2016] EWHC 150 (Ch)</w:t>
      </w:r>
    </w:p>
    <w:p w:rsidR="00F92F37" w:rsidRPr="00DD7640" w:rsidRDefault="00F92F37" w:rsidP="00F92F37">
      <w:r w:rsidRPr="00DD7640">
        <w:rPr>
          <w:i/>
        </w:rPr>
        <w:t xml:space="preserve">Dean v Allin &amp; Watts </w:t>
      </w:r>
      <w:r w:rsidRPr="00DD7640">
        <w:t>[2001] EWCA Civ 758; [2001] 2 Lloyd’s Rep. 249; [2001] P.N.L.R. 39</w:t>
      </w:r>
    </w:p>
    <w:p w:rsidR="00F92F37" w:rsidRPr="00DD7640" w:rsidRDefault="00F92F37" w:rsidP="00F92F37">
      <w:r w:rsidRPr="00DD7640">
        <w:rPr>
          <w:i/>
        </w:rPr>
        <w:t xml:space="preserve">Easyair Ltd (T/A Openair) v Opal Telecom Ltd </w:t>
      </w:r>
      <w:r w:rsidRPr="00DD7640">
        <w:t>[2009] EWHC 339 (Ch)</w:t>
      </w:r>
    </w:p>
    <w:p w:rsidR="00F92F37" w:rsidRPr="00DD7640" w:rsidRDefault="00F92F37" w:rsidP="00F92F37">
      <w:r w:rsidRPr="00DD7640">
        <w:rPr>
          <w:i/>
        </w:rPr>
        <w:t xml:space="preserve">James-Bowen v Commissioner of Police for the Metropolis </w:t>
      </w:r>
      <w:r w:rsidRPr="00DD7640">
        <w:t>[2016] EWCA Civ 1217</w:t>
      </w:r>
    </w:p>
    <w:p w:rsidR="00F92F37" w:rsidRPr="00DD7640" w:rsidRDefault="00F92F37" w:rsidP="00F92F37">
      <w:pPr>
        <w:rPr>
          <w:i/>
        </w:rPr>
      </w:pPr>
      <w:r w:rsidRPr="00DD7640">
        <w:rPr>
          <w:i/>
        </w:rPr>
        <w:t xml:space="preserve">James-Bowen v Commissioner of Police for the Metropolis </w:t>
      </w:r>
      <w:r w:rsidRPr="00DD7640">
        <w:t>[2018] UKSC 40; [2018] 1 W.L.R. 4021</w:t>
      </w:r>
    </w:p>
    <w:p w:rsidR="00F92F37" w:rsidRPr="00DD7640" w:rsidRDefault="00F92F37" w:rsidP="00F92F37">
      <w:pPr>
        <w:rPr>
          <w:i/>
        </w:rPr>
      </w:pPr>
      <w:r w:rsidRPr="00DD7640">
        <w:rPr>
          <w:i/>
        </w:rPr>
        <w:t xml:space="preserve">Prudential Assurance Co Ltd v Newman Industries Ltd (No. 2) </w:t>
      </w:r>
      <w:r w:rsidRPr="00DD7640">
        <w:t>[1982] Ch. 204</w:t>
      </w:r>
    </w:p>
    <w:p w:rsidR="00F92F37" w:rsidRPr="00DD7640" w:rsidRDefault="00F92F37" w:rsidP="00F92F37">
      <w:r w:rsidRPr="00DD7640">
        <w:rPr>
          <w:i/>
        </w:rPr>
        <w:t xml:space="preserve">Schiffahrts–gesellschaft Detlev von Appen GmbH v Voest Alpine Intertrading (The Jay Bola) </w:t>
      </w:r>
      <w:r w:rsidRPr="00DD7640">
        <w:t>[1997] 2 Lloyd’s Rep. 279</w:t>
      </w:r>
    </w:p>
    <w:p w:rsidR="00F92F37" w:rsidRPr="00DD7640" w:rsidRDefault="00F92F37" w:rsidP="00F92F37">
      <w:r w:rsidRPr="00DD7640">
        <w:rPr>
          <w:i/>
        </w:rPr>
        <w:t xml:space="preserve">Searles v Cann and Hallett </w:t>
      </w:r>
      <w:r w:rsidRPr="00DD7640">
        <w:t>[1999] P.N.L.R. 494</w:t>
      </w:r>
    </w:p>
    <w:p w:rsidR="00F92F37" w:rsidRPr="00DD7640" w:rsidRDefault="00F92F37" w:rsidP="00F92F37">
      <w:r w:rsidRPr="00DD7640">
        <w:rPr>
          <w:i/>
        </w:rPr>
        <w:t xml:space="preserve">Sevilleja v Marex Financial Ltd </w:t>
      </w:r>
      <w:r w:rsidRPr="00DD7640">
        <w:t>[2020] UKSC 31; [2020] 3 W.L.R. 255</w:t>
      </w:r>
    </w:p>
    <w:p w:rsidR="00F92F37" w:rsidRPr="00DD7640" w:rsidRDefault="00F92F37" w:rsidP="00F92F37">
      <w:pPr>
        <w:rPr>
          <w:i/>
        </w:rPr>
      </w:pPr>
      <w:r w:rsidRPr="00DD7640">
        <w:rPr>
          <w:i/>
        </w:rPr>
        <w:t xml:space="preserve">Socony Mobil Oil Co Inc v West of England Ship Owners Mutual Insurance Association (London) Ltd (The Padre Island) (No. 1) </w:t>
      </w:r>
      <w:r w:rsidRPr="00DD7640">
        <w:t>[1984] 2 Lloyd’s Rep. 408</w:t>
      </w:r>
    </w:p>
    <w:p w:rsidR="00F92F37" w:rsidRDefault="00F92F37" w:rsidP="00F92F37">
      <w:r w:rsidRPr="00DD7640">
        <w:rPr>
          <w:i/>
        </w:rPr>
        <w:t>Through Transport Mutual Insurance Association (Eurasia) Ltd v New India Assurance Co Ltd (The Hari Bhum) (No.</w:t>
      </w:r>
      <w:r w:rsidR="0095795C">
        <w:rPr>
          <w:i/>
        </w:rPr>
        <w:t xml:space="preserve"> </w:t>
      </w:r>
      <w:r w:rsidRPr="00DD7640">
        <w:rPr>
          <w:i/>
        </w:rPr>
        <w:t xml:space="preserve">2) </w:t>
      </w:r>
      <w:r w:rsidRPr="00DD7640">
        <w:t>[2005] EWHC 455 (Comm); [2005] 2 Lloyd</w:t>
      </w:r>
      <w:r w:rsidR="00DD7640">
        <w:t>’</w:t>
      </w:r>
      <w:r w:rsidRPr="00DD7640">
        <w:t>s Rep. 378</w:t>
      </w:r>
    </w:p>
    <w:p w:rsidR="00E828E1" w:rsidRDefault="00E828E1" w:rsidP="00F92F37">
      <w:pPr>
        <w:spacing w:line="240" w:lineRule="auto"/>
        <w:rPr>
          <w:i/>
        </w:rPr>
      </w:pPr>
    </w:p>
    <w:p w:rsidR="00F92F37" w:rsidRDefault="00F92F37" w:rsidP="00F92F37">
      <w:pPr>
        <w:spacing w:line="240" w:lineRule="auto"/>
      </w:pPr>
      <w:r w:rsidRPr="009B6FDE">
        <w:rPr>
          <w:i/>
        </w:rPr>
        <w:t>Nicholas Davidson QC</w:t>
      </w:r>
      <w:r>
        <w:t xml:space="preserve"> and </w:t>
      </w:r>
      <w:r w:rsidRPr="009B6FDE">
        <w:rPr>
          <w:i/>
        </w:rPr>
        <w:t>Daniel Lewis</w:t>
      </w:r>
      <w:r>
        <w:t xml:space="preserve"> (instructed by PGB Gitlin Baker) for the Claimants</w:t>
      </w:r>
    </w:p>
    <w:p w:rsidR="00F92F37" w:rsidRDefault="00F92F37" w:rsidP="00F92F37">
      <w:pPr>
        <w:spacing w:line="240" w:lineRule="auto"/>
      </w:pPr>
      <w:r w:rsidRPr="009B6FDE">
        <w:rPr>
          <w:i/>
        </w:rPr>
        <w:t>Christopher Smith QC</w:t>
      </w:r>
      <w:r>
        <w:t xml:space="preserve"> and </w:t>
      </w:r>
      <w:r w:rsidRPr="009B6FDE">
        <w:rPr>
          <w:i/>
        </w:rPr>
        <w:t>Bibek Mukherjee</w:t>
      </w:r>
      <w:r>
        <w:t xml:space="preserve"> (instructed by Clyde &amp; Co LLP) for the Second Defendant</w:t>
      </w:r>
    </w:p>
    <w:p w:rsidR="0095795C" w:rsidRDefault="0095795C" w:rsidP="00F92F37">
      <w:pPr>
        <w:spacing w:line="240" w:lineRule="auto"/>
        <w:rPr>
          <w:highlight w:val="green"/>
        </w:rPr>
      </w:pPr>
    </w:p>
    <w:p w:rsidR="00F92F37" w:rsidRPr="00BC51FF" w:rsidRDefault="00F92F37" w:rsidP="00F92F37">
      <w:pPr>
        <w:spacing w:line="240" w:lineRule="auto"/>
      </w:pPr>
      <w:r w:rsidRPr="009B6FDE">
        <w:rPr>
          <w:b/>
        </w:rPr>
        <w:t>Bacon J</w:t>
      </w:r>
      <w:r w:rsidRPr="009B6FDE">
        <w:t>:</w:t>
      </w:r>
    </w:p>
    <w:p w:rsidR="00FA2DBD" w:rsidRDefault="00FA2DBD" w:rsidP="00E45DAC">
      <w:bookmarkStart w:id="1" w:name="_GoBack"/>
      <w:bookmarkEnd w:id="0"/>
      <w:bookmarkEnd w:id="1"/>
    </w:p>
    <w:p w:rsidR="00FA2DBD" w:rsidRDefault="00FA2DBD" w:rsidP="00E45DAC"/>
    <w:sectPr w:rsidR="00FA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bullet"/>
      <w:pStyle w:val="Heading1"/>
      <w:lvlText w:val=""/>
      <w:lvlJc w:val="left"/>
      <w:pPr>
        <w:tabs>
          <w:tab w:val="num" w:pos="707"/>
        </w:tabs>
        <w:ind w:left="707" w:hanging="283"/>
      </w:pPr>
      <w:rPr>
        <w:rFonts w:ascii="Symbol" w:hAnsi="Symbol" w:cs="OpenSymbol"/>
      </w:rPr>
    </w:lvl>
    <w:lvl w:ilvl="1">
      <w:start w:val="1"/>
      <w:numFmt w:val="bullet"/>
      <w:pStyle w:val="Heading2"/>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4643089"/>
    <w:multiLevelType w:val="hybridMultilevel"/>
    <w:tmpl w:val="A70E4268"/>
    <w:lvl w:ilvl="0" w:tplc="EEB685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A677A"/>
    <w:multiLevelType w:val="hybridMultilevel"/>
    <w:tmpl w:val="82B015C8"/>
    <w:lvl w:ilvl="0" w:tplc="EEB685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66"/>
    <w:rsid w:val="000025D4"/>
    <w:rsid w:val="00003DBF"/>
    <w:rsid w:val="00006376"/>
    <w:rsid w:val="00012F54"/>
    <w:rsid w:val="000358FA"/>
    <w:rsid w:val="00045682"/>
    <w:rsid w:val="000836ED"/>
    <w:rsid w:val="000A7D77"/>
    <w:rsid w:val="000B1295"/>
    <w:rsid w:val="00110F65"/>
    <w:rsid w:val="0011322B"/>
    <w:rsid w:val="00167C71"/>
    <w:rsid w:val="001736BA"/>
    <w:rsid w:val="00186914"/>
    <w:rsid w:val="00192BB7"/>
    <w:rsid w:val="00194763"/>
    <w:rsid w:val="001B2A92"/>
    <w:rsid w:val="001C3964"/>
    <w:rsid w:val="001D4419"/>
    <w:rsid w:val="001E72D9"/>
    <w:rsid w:val="001F5B00"/>
    <w:rsid w:val="00234BCE"/>
    <w:rsid w:val="00255DAC"/>
    <w:rsid w:val="002730A5"/>
    <w:rsid w:val="00276053"/>
    <w:rsid w:val="002972F7"/>
    <w:rsid w:val="002B24A5"/>
    <w:rsid w:val="002D670B"/>
    <w:rsid w:val="0031125E"/>
    <w:rsid w:val="00322179"/>
    <w:rsid w:val="00331545"/>
    <w:rsid w:val="00333880"/>
    <w:rsid w:val="0039535D"/>
    <w:rsid w:val="003A453E"/>
    <w:rsid w:val="003B4E0D"/>
    <w:rsid w:val="003C67B4"/>
    <w:rsid w:val="003D4E01"/>
    <w:rsid w:val="003E229D"/>
    <w:rsid w:val="003F32E5"/>
    <w:rsid w:val="003F6FE6"/>
    <w:rsid w:val="004173A9"/>
    <w:rsid w:val="00427303"/>
    <w:rsid w:val="00440783"/>
    <w:rsid w:val="00451B95"/>
    <w:rsid w:val="00454591"/>
    <w:rsid w:val="00463B60"/>
    <w:rsid w:val="00472C96"/>
    <w:rsid w:val="00480054"/>
    <w:rsid w:val="004C2E31"/>
    <w:rsid w:val="004C4DA4"/>
    <w:rsid w:val="004C651A"/>
    <w:rsid w:val="004E7358"/>
    <w:rsid w:val="004F68FA"/>
    <w:rsid w:val="00543C1B"/>
    <w:rsid w:val="00546D26"/>
    <w:rsid w:val="005558C2"/>
    <w:rsid w:val="005622F2"/>
    <w:rsid w:val="00593F1D"/>
    <w:rsid w:val="005960F9"/>
    <w:rsid w:val="005B055A"/>
    <w:rsid w:val="00604E1F"/>
    <w:rsid w:val="00606FCB"/>
    <w:rsid w:val="00613254"/>
    <w:rsid w:val="006360E6"/>
    <w:rsid w:val="0065089C"/>
    <w:rsid w:val="0066601F"/>
    <w:rsid w:val="006675E2"/>
    <w:rsid w:val="006717CE"/>
    <w:rsid w:val="00680D1E"/>
    <w:rsid w:val="006B2B2C"/>
    <w:rsid w:val="006B3B03"/>
    <w:rsid w:val="006D529F"/>
    <w:rsid w:val="006F3AD7"/>
    <w:rsid w:val="00755712"/>
    <w:rsid w:val="007734DF"/>
    <w:rsid w:val="00776A75"/>
    <w:rsid w:val="00796C50"/>
    <w:rsid w:val="007B689F"/>
    <w:rsid w:val="007C5938"/>
    <w:rsid w:val="007C7A22"/>
    <w:rsid w:val="007D4EBA"/>
    <w:rsid w:val="007E2089"/>
    <w:rsid w:val="007E214A"/>
    <w:rsid w:val="008014C1"/>
    <w:rsid w:val="00823142"/>
    <w:rsid w:val="00823472"/>
    <w:rsid w:val="008404EF"/>
    <w:rsid w:val="008973F4"/>
    <w:rsid w:val="008A0B2A"/>
    <w:rsid w:val="008A6585"/>
    <w:rsid w:val="008D4A5C"/>
    <w:rsid w:val="008E09A7"/>
    <w:rsid w:val="00901AA0"/>
    <w:rsid w:val="00920850"/>
    <w:rsid w:val="00927081"/>
    <w:rsid w:val="009435D6"/>
    <w:rsid w:val="0095795C"/>
    <w:rsid w:val="0097073D"/>
    <w:rsid w:val="009A10CA"/>
    <w:rsid w:val="009A4CD9"/>
    <w:rsid w:val="009B44CF"/>
    <w:rsid w:val="009B6FDE"/>
    <w:rsid w:val="009C7314"/>
    <w:rsid w:val="009E2CD7"/>
    <w:rsid w:val="009E3708"/>
    <w:rsid w:val="009E4B8B"/>
    <w:rsid w:val="009F1A87"/>
    <w:rsid w:val="00A07CC6"/>
    <w:rsid w:val="00A427CD"/>
    <w:rsid w:val="00A4557C"/>
    <w:rsid w:val="00A7090E"/>
    <w:rsid w:val="00A859C0"/>
    <w:rsid w:val="00A95A3A"/>
    <w:rsid w:val="00AA15F8"/>
    <w:rsid w:val="00AB1D91"/>
    <w:rsid w:val="00AF370A"/>
    <w:rsid w:val="00B01E3F"/>
    <w:rsid w:val="00B36C84"/>
    <w:rsid w:val="00B37285"/>
    <w:rsid w:val="00B4485E"/>
    <w:rsid w:val="00BA58C2"/>
    <w:rsid w:val="00BC2735"/>
    <w:rsid w:val="00BC51FF"/>
    <w:rsid w:val="00C55D99"/>
    <w:rsid w:val="00C579EC"/>
    <w:rsid w:val="00C63CA5"/>
    <w:rsid w:val="00C72B9C"/>
    <w:rsid w:val="00C77B6C"/>
    <w:rsid w:val="00C853F8"/>
    <w:rsid w:val="00CC2BA0"/>
    <w:rsid w:val="00CE1BD1"/>
    <w:rsid w:val="00D0102B"/>
    <w:rsid w:val="00D448EC"/>
    <w:rsid w:val="00D62A61"/>
    <w:rsid w:val="00D70584"/>
    <w:rsid w:val="00DA16AD"/>
    <w:rsid w:val="00DA3409"/>
    <w:rsid w:val="00DC7DB0"/>
    <w:rsid w:val="00DD7640"/>
    <w:rsid w:val="00DE5CDE"/>
    <w:rsid w:val="00DF291F"/>
    <w:rsid w:val="00DF62E0"/>
    <w:rsid w:val="00E03D25"/>
    <w:rsid w:val="00E127FE"/>
    <w:rsid w:val="00E17737"/>
    <w:rsid w:val="00E421D6"/>
    <w:rsid w:val="00E45DAC"/>
    <w:rsid w:val="00E7350B"/>
    <w:rsid w:val="00E828E1"/>
    <w:rsid w:val="00E863D9"/>
    <w:rsid w:val="00E90D61"/>
    <w:rsid w:val="00EA5F53"/>
    <w:rsid w:val="00EE1134"/>
    <w:rsid w:val="00F57B0F"/>
    <w:rsid w:val="00F65670"/>
    <w:rsid w:val="00F80BE6"/>
    <w:rsid w:val="00F92F37"/>
    <w:rsid w:val="00F978DA"/>
    <w:rsid w:val="00FA2DBD"/>
    <w:rsid w:val="00FA379A"/>
    <w:rsid w:val="00FA3CD7"/>
    <w:rsid w:val="00FA5866"/>
    <w:rsid w:val="00FA5AF6"/>
    <w:rsid w:val="00FB0E83"/>
    <w:rsid w:val="00FB32D7"/>
    <w:rsid w:val="00FB78F8"/>
    <w:rsid w:val="00FC57B6"/>
    <w:rsid w:val="00FE34CE"/>
    <w:rsid w:val="00FE3753"/>
    <w:rsid w:val="00FF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DC60"/>
  <w15:docId w15:val="{3B2D545E-1B45-4533-9749-D00542F9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866"/>
  </w:style>
  <w:style w:type="paragraph" w:styleId="Heading1">
    <w:name w:val="heading 1"/>
    <w:basedOn w:val="Heading"/>
    <w:next w:val="BodyText"/>
    <w:link w:val="Heading1Char"/>
    <w:qFormat/>
    <w:rsid w:val="00FA3CD7"/>
    <w:pPr>
      <w:numPr>
        <w:numId w:val="1"/>
      </w:numPr>
      <w:outlineLvl w:val="0"/>
    </w:pPr>
    <w:rPr>
      <w:rFonts w:ascii="Liberation Serif" w:hAnsi="Liberation Serif"/>
      <w:b/>
      <w:bCs/>
      <w:sz w:val="48"/>
      <w:szCs w:val="48"/>
    </w:rPr>
  </w:style>
  <w:style w:type="paragraph" w:styleId="Heading2">
    <w:name w:val="heading 2"/>
    <w:basedOn w:val="Heading"/>
    <w:next w:val="BodyText"/>
    <w:link w:val="Heading2Char"/>
    <w:qFormat/>
    <w:rsid w:val="00FA3CD7"/>
    <w:pPr>
      <w:numPr>
        <w:ilvl w:val="1"/>
        <w:numId w:val="1"/>
      </w:numPr>
      <w:spacing w:before="200"/>
      <w:outlineLvl w:val="1"/>
    </w:pPr>
    <w:rPr>
      <w:rFonts w:ascii="Liberation Serif"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60"/>
    <w:pPr>
      <w:ind w:left="720"/>
      <w:contextualSpacing/>
    </w:pPr>
  </w:style>
  <w:style w:type="character" w:customStyle="1" w:styleId="Heading1Char">
    <w:name w:val="Heading 1 Char"/>
    <w:basedOn w:val="DefaultParagraphFont"/>
    <w:link w:val="Heading1"/>
    <w:rsid w:val="00FA3CD7"/>
    <w:rPr>
      <w:rFonts w:ascii="Liberation Serif" w:eastAsia="Noto Sans CJK SC" w:hAnsi="Liberation Serif" w:cs="Lohit Devanagari"/>
      <w:b/>
      <w:bCs/>
      <w:kern w:val="2"/>
      <w:sz w:val="48"/>
      <w:szCs w:val="48"/>
      <w:lang w:eastAsia="zh-CN" w:bidi="hi-IN"/>
    </w:rPr>
  </w:style>
  <w:style w:type="character" w:customStyle="1" w:styleId="Heading2Char">
    <w:name w:val="Heading 2 Char"/>
    <w:basedOn w:val="DefaultParagraphFont"/>
    <w:link w:val="Heading2"/>
    <w:rsid w:val="00FA3CD7"/>
    <w:rPr>
      <w:rFonts w:ascii="Liberation Serif" w:eastAsia="Noto Sans CJK SC" w:hAnsi="Liberation Serif" w:cs="Lohit Devanagari"/>
      <w:b/>
      <w:bCs/>
      <w:kern w:val="2"/>
      <w:sz w:val="36"/>
      <w:szCs w:val="36"/>
      <w:lang w:eastAsia="zh-CN" w:bidi="hi-IN"/>
    </w:rPr>
  </w:style>
  <w:style w:type="character" w:styleId="Strong">
    <w:name w:val="Strong"/>
    <w:qFormat/>
    <w:rsid w:val="00FA3CD7"/>
    <w:rPr>
      <w:b/>
      <w:bCs/>
    </w:rPr>
  </w:style>
  <w:style w:type="character" w:customStyle="1" w:styleId="Bullets">
    <w:name w:val="Bullets"/>
    <w:rsid w:val="00FA3CD7"/>
    <w:rPr>
      <w:rFonts w:ascii="OpenSymbol" w:eastAsia="OpenSymbol" w:hAnsi="OpenSymbol" w:cs="OpenSymbol"/>
    </w:rPr>
  </w:style>
  <w:style w:type="character" w:styleId="Hyperlink">
    <w:name w:val="Hyperlink"/>
    <w:rsid w:val="00FA3CD7"/>
    <w:rPr>
      <w:color w:val="000080"/>
      <w:u w:val="single"/>
    </w:rPr>
  </w:style>
  <w:style w:type="character" w:styleId="Emphasis">
    <w:name w:val="Emphasis"/>
    <w:qFormat/>
    <w:rsid w:val="00FA3CD7"/>
    <w:rPr>
      <w:i/>
      <w:iCs/>
    </w:rPr>
  </w:style>
  <w:style w:type="paragraph" w:customStyle="1" w:styleId="Heading">
    <w:name w:val="Heading"/>
    <w:basedOn w:val="Normal"/>
    <w:next w:val="BodyText"/>
    <w:rsid w:val="00FA3CD7"/>
    <w:pPr>
      <w:keepNext/>
      <w:suppressAutoHyphens/>
      <w:spacing w:before="240" w:after="120" w:line="240" w:lineRule="auto"/>
    </w:pPr>
    <w:rPr>
      <w:rFonts w:ascii="Arial" w:eastAsia="Noto Sans CJK SC" w:hAnsi="Arial" w:cs="Lohit Devanagari"/>
      <w:kern w:val="2"/>
      <w:sz w:val="28"/>
      <w:szCs w:val="28"/>
      <w:lang w:eastAsia="zh-CN" w:bidi="hi-IN"/>
    </w:rPr>
  </w:style>
  <w:style w:type="paragraph" w:styleId="BodyText">
    <w:name w:val="Body Text"/>
    <w:basedOn w:val="Normal"/>
    <w:link w:val="BodyTextChar"/>
    <w:rsid w:val="00FA3CD7"/>
    <w:pPr>
      <w:suppressAutoHyphens/>
      <w:spacing w:after="140"/>
    </w:pPr>
    <w:rPr>
      <w:rFonts w:ascii="Arial" w:eastAsia="Noto Sans CJK SC" w:hAnsi="Arial" w:cs="Lohit Devanagari"/>
      <w:kern w:val="2"/>
      <w:sz w:val="24"/>
      <w:szCs w:val="24"/>
      <w:lang w:eastAsia="zh-CN" w:bidi="hi-IN"/>
    </w:rPr>
  </w:style>
  <w:style w:type="character" w:customStyle="1" w:styleId="BodyTextChar">
    <w:name w:val="Body Text Char"/>
    <w:basedOn w:val="DefaultParagraphFont"/>
    <w:link w:val="BodyText"/>
    <w:rsid w:val="00FA3CD7"/>
    <w:rPr>
      <w:rFonts w:ascii="Arial" w:eastAsia="Noto Sans CJK SC" w:hAnsi="Arial" w:cs="Lohit Devanagari"/>
      <w:kern w:val="2"/>
      <w:sz w:val="24"/>
      <w:szCs w:val="24"/>
      <w:lang w:eastAsia="zh-CN" w:bidi="hi-IN"/>
    </w:rPr>
  </w:style>
  <w:style w:type="paragraph" w:styleId="List">
    <w:name w:val="List"/>
    <w:basedOn w:val="BodyText"/>
    <w:rsid w:val="00FA3CD7"/>
  </w:style>
  <w:style w:type="paragraph" w:styleId="Caption">
    <w:name w:val="caption"/>
    <w:basedOn w:val="Normal"/>
    <w:qFormat/>
    <w:rsid w:val="00FA3CD7"/>
    <w:pPr>
      <w:suppressLineNumbers/>
      <w:suppressAutoHyphens/>
      <w:spacing w:before="120" w:after="120" w:line="240" w:lineRule="auto"/>
    </w:pPr>
    <w:rPr>
      <w:rFonts w:ascii="Arial" w:eastAsia="Noto Sans CJK SC" w:hAnsi="Arial" w:cs="Lohit Devanagari"/>
      <w:i/>
      <w:iCs/>
      <w:kern w:val="2"/>
      <w:sz w:val="24"/>
      <w:szCs w:val="24"/>
      <w:lang w:eastAsia="zh-CN" w:bidi="hi-IN"/>
    </w:rPr>
  </w:style>
  <w:style w:type="paragraph" w:customStyle="1" w:styleId="Index">
    <w:name w:val="Index"/>
    <w:basedOn w:val="Normal"/>
    <w:rsid w:val="00FA3CD7"/>
    <w:pPr>
      <w:suppressLineNumbers/>
      <w:suppressAutoHyphens/>
      <w:spacing w:after="0" w:line="240" w:lineRule="auto"/>
    </w:pPr>
    <w:rPr>
      <w:rFonts w:ascii="Arial" w:eastAsia="Noto Sans CJK SC" w:hAnsi="Arial" w:cs="Lohit Devanagari"/>
      <w:kern w:val="2"/>
      <w:sz w:val="24"/>
      <w:szCs w:val="24"/>
      <w:lang w:eastAsia="zh-CN" w:bidi="hi-IN"/>
    </w:rPr>
  </w:style>
  <w:style w:type="paragraph" w:customStyle="1" w:styleId="Quotations">
    <w:name w:val="Quotations"/>
    <w:basedOn w:val="Normal"/>
    <w:rsid w:val="00FA3CD7"/>
    <w:pPr>
      <w:suppressAutoHyphens/>
      <w:spacing w:after="283" w:line="240" w:lineRule="auto"/>
      <w:ind w:left="567" w:right="567"/>
    </w:pPr>
    <w:rPr>
      <w:rFonts w:ascii="Arial" w:eastAsia="Noto Sans CJK SC" w:hAnsi="Arial" w:cs="Lohit Devanagari"/>
      <w:kern w:val="2"/>
      <w:sz w:val="24"/>
      <w:szCs w:val="24"/>
      <w:lang w:eastAsia="zh-CN" w:bidi="hi-IN"/>
    </w:rPr>
  </w:style>
  <w:style w:type="paragraph" w:customStyle="1" w:styleId="TableContents">
    <w:name w:val="Table Contents"/>
    <w:basedOn w:val="Normal"/>
    <w:rsid w:val="00FA3CD7"/>
    <w:pPr>
      <w:suppressLineNumbers/>
      <w:suppressAutoHyphens/>
      <w:spacing w:after="0" w:line="240" w:lineRule="auto"/>
    </w:pPr>
    <w:rPr>
      <w:rFonts w:ascii="Arial" w:eastAsia="Noto Sans CJK SC" w:hAnsi="Arial" w:cs="Lohit Devanagari"/>
      <w:kern w:val="2"/>
      <w:sz w:val="24"/>
      <w:szCs w:val="24"/>
      <w:lang w:eastAsia="zh-CN" w:bidi="hi-IN"/>
    </w:rPr>
  </w:style>
  <w:style w:type="paragraph" w:customStyle="1" w:styleId="TableHeading">
    <w:name w:val="Table Heading"/>
    <w:basedOn w:val="TableContents"/>
    <w:rsid w:val="00FA3CD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66115">
      <w:bodyDiv w:val="1"/>
      <w:marLeft w:val="0"/>
      <w:marRight w:val="0"/>
      <w:marTop w:val="0"/>
      <w:marBottom w:val="0"/>
      <w:divBdr>
        <w:top w:val="none" w:sz="0" w:space="0" w:color="auto"/>
        <w:left w:val="none" w:sz="0" w:space="0" w:color="auto"/>
        <w:bottom w:val="none" w:sz="0" w:space="0" w:color="auto"/>
        <w:right w:val="none" w:sz="0" w:space="0" w:color="auto"/>
      </w:divBdr>
      <w:divsChild>
        <w:div w:id="5481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2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687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38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106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17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7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4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486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4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486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774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2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148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178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89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388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3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40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96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89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44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768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661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2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7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75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316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18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14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17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45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00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7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2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153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94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438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04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88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62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268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966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43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9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1283</Words>
  <Characters>6819</Characters>
  <Application>Microsoft Office Word</Application>
  <DocSecurity>0</DocSecurity>
  <Lines>88</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Phillip Morgan</cp:lastModifiedBy>
  <cp:revision>6</cp:revision>
  <dcterms:created xsi:type="dcterms:W3CDTF">2020-11-04T18:05:00Z</dcterms:created>
  <dcterms:modified xsi:type="dcterms:W3CDTF">2020-11-06T11:12:00Z</dcterms:modified>
</cp:coreProperties>
</file>