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26ED6" w14:textId="52174DFD" w:rsidR="00BC1589" w:rsidRPr="00BC1589" w:rsidRDefault="00BC1589" w:rsidP="00BC1589">
      <w:pPr>
        <w:pStyle w:val="Title"/>
        <w:spacing w:line="360" w:lineRule="auto"/>
        <w:rPr>
          <w:rFonts w:ascii="Arial" w:hAnsi="Arial" w:cs="Arial"/>
          <w:color w:val="000000" w:themeColor="text1"/>
        </w:rPr>
      </w:pPr>
      <w:r w:rsidRPr="00BC1589">
        <w:rPr>
          <w:rFonts w:ascii="Arial" w:hAnsi="Arial" w:cs="Arial"/>
          <w:color w:val="000000" w:themeColor="text1"/>
        </w:rPr>
        <w:t>Supplementary Materials:</w:t>
      </w:r>
    </w:p>
    <w:p w14:paraId="593005F0" w14:textId="4526C4A3" w:rsidR="00BC1589" w:rsidRPr="008C6C8F" w:rsidRDefault="00BC1589" w:rsidP="00BC1589">
      <w:pPr>
        <w:pStyle w:val="Title"/>
        <w:spacing w:line="360" w:lineRule="auto"/>
        <w:rPr>
          <w:rFonts w:ascii="Arial" w:hAnsi="Arial" w:cs="Arial"/>
          <w:sz w:val="32"/>
        </w:rPr>
      </w:pPr>
      <w:r w:rsidRPr="008C6C8F">
        <w:rPr>
          <w:rFonts w:ascii="Arial" w:hAnsi="Arial" w:cs="Arial"/>
          <w:sz w:val="32"/>
        </w:rPr>
        <w:t>An early-morning gene network controlled by phytochromes and cryptochromes regulates photomorphogenesis pathways in Arabidopsis</w:t>
      </w:r>
    </w:p>
    <w:p w14:paraId="2DB8B2FE" w14:textId="77777777" w:rsidR="00D852D9" w:rsidRPr="00F93C0C" w:rsidRDefault="00D852D9" w:rsidP="00D852D9">
      <w:pPr>
        <w:pStyle w:val="Author"/>
        <w:spacing w:line="360" w:lineRule="auto"/>
        <w:rPr>
          <w:rFonts w:ascii="Arial" w:hAnsi="Arial" w:cs="Arial"/>
          <w:vertAlign w:val="superscript"/>
        </w:rPr>
      </w:pPr>
      <w:r w:rsidRPr="005D6489">
        <w:rPr>
          <w:rFonts w:ascii="Arial" w:hAnsi="Arial" w:cs="Arial"/>
        </w:rPr>
        <w:t>Martin Balcerowicz</w:t>
      </w:r>
      <w:r w:rsidRPr="008C6C8F">
        <w:rPr>
          <w:rFonts w:ascii="Arial" w:hAnsi="Arial" w:cs="Arial"/>
          <w:vertAlign w:val="superscript"/>
        </w:rPr>
        <w:t>1,</w:t>
      </w:r>
      <w:r w:rsidRPr="005D6489">
        <w:rPr>
          <w:rFonts w:ascii="Arial" w:hAnsi="Arial" w:cs="Arial"/>
        </w:rPr>
        <w:t xml:space="preserve">*, </w:t>
      </w:r>
      <w:proofErr w:type="spellStart"/>
      <w:r w:rsidRPr="005D6489">
        <w:rPr>
          <w:rFonts w:ascii="Arial" w:hAnsi="Arial" w:cs="Arial"/>
        </w:rPr>
        <w:t>Mahiar</w:t>
      </w:r>
      <w:proofErr w:type="spellEnd"/>
      <w:r w:rsidRPr="005D6489">
        <w:rPr>
          <w:rFonts w:ascii="Arial" w:hAnsi="Arial" w:cs="Arial"/>
        </w:rPr>
        <w:t xml:space="preserve"> Mahjoub</w:t>
      </w:r>
      <w:r w:rsidRPr="006A1C93">
        <w:rPr>
          <w:rFonts w:ascii="Arial" w:hAnsi="Arial" w:cs="Arial"/>
          <w:vertAlign w:val="superscript"/>
        </w:rPr>
        <w:t>1,</w:t>
      </w:r>
      <w:r>
        <w:rPr>
          <w:rFonts w:ascii="Arial" w:hAnsi="Arial" w:cs="Arial"/>
          <w:vertAlign w:val="superscript"/>
        </w:rPr>
        <w:t>2</w:t>
      </w:r>
      <w:r w:rsidRPr="005D6489">
        <w:rPr>
          <w:rFonts w:ascii="Arial" w:hAnsi="Arial" w:cs="Arial"/>
        </w:rPr>
        <w:t xml:space="preserve">*, </w:t>
      </w:r>
      <w:proofErr w:type="spellStart"/>
      <w:r w:rsidRPr="005D6489">
        <w:rPr>
          <w:rFonts w:ascii="Arial" w:hAnsi="Arial" w:cs="Arial"/>
        </w:rPr>
        <w:t>Duy</w:t>
      </w:r>
      <w:proofErr w:type="spellEnd"/>
      <w:r w:rsidRPr="005D6489">
        <w:rPr>
          <w:rFonts w:ascii="Arial" w:hAnsi="Arial" w:cs="Arial"/>
        </w:rPr>
        <w:t xml:space="preserve"> Nguyen</w:t>
      </w:r>
      <w:r w:rsidRPr="006A1C93">
        <w:rPr>
          <w:rFonts w:ascii="Arial" w:hAnsi="Arial" w:cs="Arial"/>
          <w:vertAlign w:val="superscript"/>
        </w:rPr>
        <w:t>1</w:t>
      </w:r>
      <w:r>
        <w:rPr>
          <w:rFonts w:ascii="Arial" w:hAnsi="Arial" w:cs="Arial"/>
          <w:vertAlign w:val="superscript"/>
        </w:rPr>
        <w:t>,3</w:t>
      </w:r>
      <w:r w:rsidRPr="005D6489">
        <w:rPr>
          <w:rFonts w:ascii="Arial" w:hAnsi="Arial" w:cs="Arial"/>
        </w:rPr>
        <w:t>, Hui Lan</w:t>
      </w:r>
      <w:r w:rsidRPr="006A1C93">
        <w:rPr>
          <w:rFonts w:ascii="Arial" w:hAnsi="Arial" w:cs="Arial"/>
          <w:vertAlign w:val="superscript"/>
        </w:rPr>
        <w:t>1</w:t>
      </w:r>
      <w:r>
        <w:rPr>
          <w:rFonts w:ascii="Arial" w:hAnsi="Arial" w:cs="Arial"/>
          <w:vertAlign w:val="superscript"/>
        </w:rPr>
        <w:t>,4</w:t>
      </w:r>
      <w:r w:rsidRPr="005D6489">
        <w:rPr>
          <w:rFonts w:ascii="Arial" w:hAnsi="Arial" w:cs="Arial"/>
        </w:rPr>
        <w:t xml:space="preserve">, </w:t>
      </w:r>
      <w:proofErr w:type="spellStart"/>
      <w:r w:rsidRPr="005D6489">
        <w:rPr>
          <w:rFonts w:ascii="Arial" w:hAnsi="Arial" w:cs="Arial"/>
        </w:rPr>
        <w:t>Dorothee</w:t>
      </w:r>
      <w:proofErr w:type="spellEnd"/>
      <w:r w:rsidRPr="005D6489">
        <w:rPr>
          <w:rFonts w:ascii="Arial" w:hAnsi="Arial" w:cs="Arial"/>
        </w:rPr>
        <w:t xml:space="preserve"> Stoeckle</w:t>
      </w:r>
      <w:r w:rsidRPr="006A1C93">
        <w:rPr>
          <w:rFonts w:ascii="Arial" w:hAnsi="Arial" w:cs="Arial"/>
          <w:vertAlign w:val="superscript"/>
        </w:rPr>
        <w:t>1</w:t>
      </w:r>
      <w:r>
        <w:rPr>
          <w:rFonts w:ascii="Arial" w:hAnsi="Arial" w:cs="Arial"/>
          <w:vertAlign w:val="superscript"/>
        </w:rPr>
        <w:t>,5</w:t>
      </w:r>
      <w:r w:rsidRPr="005D6489">
        <w:rPr>
          <w:rFonts w:ascii="Arial" w:hAnsi="Arial" w:cs="Arial"/>
        </w:rPr>
        <w:t>, Susana Conde</w:t>
      </w:r>
      <w:r>
        <w:rPr>
          <w:rFonts w:ascii="Arial" w:hAnsi="Arial" w:cs="Arial"/>
          <w:vertAlign w:val="superscript"/>
        </w:rPr>
        <w:t>6,7</w:t>
      </w:r>
      <w:r w:rsidRPr="005D6489">
        <w:rPr>
          <w:rFonts w:ascii="Arial" w:hAnsi="Arial" w:cs="Arial"/>
        </w:rPr>
        <w:t xml:space="preserve">, Katja </w:t>
      </w:r>
      <w:r>
        <w:rPr>
          <w:rFonts w:ascii="Arial" w:hAnsi="Arial" w:cs="Arial"/>
        </w:rPr>
        <w:t xml:space="preserve">E. </w:t>
      </w:r>
      <w:r w:rsidRPr="005D6489">
        <w:rPr>
          <w:rFonts w:ascii="Arial" w:hAnsi="Arial" w:cs="Arial"/>
        </w:rPr>
        <w:t>Jaeger</w:t>
      </w:r>
      <w:r>
        <w:rPr>
          <w:rFonts w:ascii="Arial" w:hAnsi="Arial" w:cs="Arial"/>
          <w:vertAlign w:val="superscript"/>
        </w:rPr>
        <w:t>8</w:t>
      </w:r>
      <w:r w:rsidRPr="005D6489">
        <w:rPr>
          <w:rFonts w:ascii="Arial" w:hAnsi="Arial" w:cs="Arial"/>
        </w:rPr>
        <w:t xml:space="preserve">, Philip </w:t>
      </w:r>
      <w:r>
        <w:rPr>
          <w:rFonts w:ascii="Arial" w:hAnsi="Arial" w:cs="Arial"/>
        </w:rPr>
        <w:t xml:space="preserve">A. </w:t>
      </w:r>
      <w:r w:rsidRPr="005D6489">
        <w:rPr>
          <w:rFonts w:ascii="Arial" w:hAnsi="Arial" w:cs="Arial"/>
        </w:rPr>
        <w:t>Wigge</w:t>
      </w:r>
      <w:r>
        <w:rPr>
          <w:rFonts w:ascii="Arial" w:hAnsi="Arial" w:cs="Arial"/>
          <w:vertAlign w:val="superscript"/>
        </w:rPr>
        <w:t>8,9</w:t>
      </w:r>
      <w:r w:rsidRPr="005D6489">
        <w:rPr>
          <w:rFonts w:ascii="Arial" w:hAnsi="Arial" w:cs="Arial"/>
        </w:rPr>
        <w:t>, Daphne Ezer</w:t>
      </w:r>
      <w:r>
        <w:rPr>
          <w:rFonts w:ascii="Arial" w:hAnsi="Arial" w:cs="Arial"/>
          <w:vertAlign w:val="superscript"/>
        </w:rPr>
        <w:t>7,10</w:t>
      </w:r>
    </w:p>
    <w:p w14:paraId="21B77C5D" w14:textId="77777777" w:rsidR="00D852D9" w:rsidRDefault="00D852D9" w:rsidP="00D852D9">
      <w:pPr>
        <w:pStyle w:val="BodyText"/>
        <w:rPr>
          <w:rFonts w:ascii="Arial" w:hAnsi="Arial" w:cs="Arial"/>
          <w:sz w:val="22"/>
        </w:rPr>
      </w:pPr>
      <w:r w:rsidRPr="008C6C8F">
        <w:rPr>
          <w:rFonts w:ascii="Arial" w:hAnsi="Arial" w:cs="Arial"/>
          <w:sz w:val="22"/>
          <w:vertAlign w:val="superscript"/>
        </w:rPr>
        <w:t>1</w:t>
      </w:r>
      <w:r w:rsidRPr="008C6C8F">
        <w:rPr>
          <w:rFonts w:ascii="Arial" w:hAnsi="Arial" w:cs="Arial"/>
          <w:sz w:val="22"/>
        </w:rPr>
        <w:t xml:space="preserve"> Sainsbury Laboratory, University of Cambridge, Cambridge, United Kingdom</w:t>
      </w:r>
    </w:p>
    <w:p w14:paraId="172AB735" w14:textId="77777777" w:rsidR="00D852D9" w:rsidRDefault="00D852D9" w:rsidP="00D852D9">
      <w:pPr>
        <w:pStyle w:val="BodyText"/>
        <w:rPr>
          <w:rFonts w:ascii="Arial" w:hAnsi="Arial" w:cs="Arial"/>
          <w:sz w:val="22"/>
        </w:rPr>
      </w:pPr>
      <w:r>
        <w:rPr>
          <w:rFonts w:ascii="Arial" w:hAnsi="Arial" w:cs="Arial"/>
          <w:sz w:val="22"/>
          <w:vertAlign w:val="superscript"/>
        </w:rPr>
        <w:t>2</w:t>
      </w:r>
      <w:r>
        <w:rPr>
          <w:rFonts w:ascii="Arial" w:hAnsi="Arial" w:cs="Arial"/>
          <w:sz w:val="22"/>
        </w:rPr>
        <w:t xml:space="preserve"> current address: Royal Prince Alfred Hospital, Central Clinical School, University of Sydney, NSW, Australia </w:t>
      </w:r>
    </w:p>
    <w:p w14:paraId="5CC3214D" w14:textId="77777777" w:rsidR="00D852D9" w:rsidRPr="00717ED2" w:rsidRDefault="00D852D9" w:rsidP="00D852D9">
      <w:pPr>
        <w:pStyle w:val="BodyText"/>
        <w:rPr>
          <w:rFonts w:ascii="Arial" w:hAnsi="Arial" w:cs="Arial"/>
          <w:sz w:val="22"/>
          <w:lang w:val="en-GB"/>
        </w:rPr>
      </w:pPr>
      <w:r>
        <w:rPr>
          <w:rFonts w:ascii="Arial" w:hAnsi="Arial" w:cs="Arial"/>
          <w:sz w:val="22"/>
          <w:vertAlign w:val="superscript"/>
        </w:rPr>
        <w:t>3</w:t>
      </w:r>
      <w:r>
        <w:rPr>
          <w:rFonts w:ascii="Arial" w:hAnsi="Arial" w:cs="Arial"/>
          <w:sz w:val="22"/>
        </w:rPr>
        <w:t xml:space="preserve"> current address: </w:t>
      </w:r>
      <w:r w:rsidRPr="00717ED2">
        <w:rPr>
          <w:rFonts w:ascii="Arial" w:hAnsi="Arial" w:cs="Arial"/>
          <w:sz w:val="22"/>
          <w:lang w:val="en-GB"/>
        </w:rPr>
        <w:t>Plant Systems Physiology, Institute for Water and Wetland Research, </w:t>
      </w:r>
    </w:p>
    <w:p w14:paraId="44E177E4" w14:textId="77777777" w:rsidR="00D852D9" w:rsidRPr="008C6C8F" w:rsidRDefault="00D852D9" w:rsidP="00D852D9">
      <w:pPr>
        <w:pStyle w:val="BodyText"/>
        <w:rPr>
          <w:rFonts w:ascii="Arial" w:hAnsi="Arial" w:cs="Arial"/>
          <w:sz w:val="22"/>
          <w:lang w:val="en-GB"/>
        </w:rPr>
      </w:pPr>
      <w:r w:rsidRPr="00717ED2">
        <w:rPr>
          <w:rFonts w:ascii="Arial" w:hAnsi="Arial" w:cs="Arial"/>
          <w:sz w:val="22"/>
          <w:lang w:val="en-GB"/>
        </w:rPr>
        <w:t>Radboud University, Nijmegen, The Netherlands. </w:t>
      </w:r>
    </w:p>
    <w:p w14:paraId="18C13568" w14:textId="77777777" w:rsidR="00D852D9" w:rsidRPr="00F93C0C" w:rsidRDefault="00D852D9" w:rsidP="00D852D9">
      <w:r>
        <w:rPr>
          <w:rFonts w:ascii="Arial" w:hAnsi="Arial" w:cs="Arial"/>
          <w:sz w:val="22"/>
          <w:vertAlign w:val="superscript"/>
        </w:rPr>
        <w:t>4</w:t>
      </w:r>
      <w:r>
        <w:rPr>
          <w:rFonts w:ascii="Arial" w:hAnsi="Arial" w:cs="Arial"/>
          <w:sz w:val="22"/>
        </w:rPr>
        <w:t xml:space="preserve"> current address: </w:t>
      </w:r>
      <w:r w:rsidRPr="00F93C0C">
        <w:rPr>
          <w:rFonts w:ascii="Arial" w:hAnsi="Arial" w:cs="Arial"/>
          <w:color w:val="3C4043"/>
          <w:sz w:val="21"/>
          <w:szCs w:val="21"/>
          <w:shd w:val="clear" w:color="auto" w:fill="FFFFFF"/>
        </w:rPr>
        <w:t>Zhejiang Normal University</w:t>
      </w:r>
      <w:r>
        <w:rPr>
          <w:rFonts w:ascii="Arial" w:hAnsi="Arial" w:cs="Arial"/>
          <w:color w:val="3C4043"/>
          <w:sz w:val="21"/>
          <w:szCs w:val="21"/>
          <w:shd w:val="clear" w:color="auto" w:fill="FFFFFF"/>
        </w:rPr>
        <w:t xml:space="preserve">, </w:t>
      </w:r>
      <w:proofErr w:type="spellStart"/>
      <w:r w:rsidRPr="00F93C0C">
        <w:rPr>
          <w:rFonts w:ascii="Arial" w:hAnsi="Arial" w:cs="Arial"/>
          <w:color w:val="222222"/>
          <w:sz w:val="21"/>
          <w:szCs w:val="21"/>
          <w:shd w:val="clear" w:color="auto" w:fill="FFFFFF"/>
        </w:rPr>
        <w:t>Wucheng</w:t>
      </w:r>
      <w:proofErr w:type="spellEnd"/>
      <w:r w:rsidRPr="00F93C0C">
        <w:rPr>
          <w:rFonts w:ascii="Arial" w:hAnsi="Arial" w:cs="Arial"/>
          <w:color w:val="222222"/>
          <w:sz w:val="21"/>
          <w:szCs w:val="21"/>
          <w:shd w:val="clear" w:color="auto" w:fill="FFFFFF"/>
        </w:rPr>
        <w:t xml:space="preserve"> District, Jinhua, Zhejiang, China</w:t>
      </w:r>
    </w:p>
    <w:p w14:paraId="472A8683" w14:textId="77777777" w:rsidR="00D852D9" w:rsidRDefault="00D852D9" w:rsidP="00D852D9">
      <w:pPr>
        <w:pStyle w:val="BodyText"/>
        <w:rPr>
          <w:rFonts w:ascii="Arial" w:hAnsi="Arial" w:cs="Arial"/>
          <w:sz w:val="22"/>
        </w:rPr>
      </w:pPr>
      <w:r>
        <w:rPr>
          <w:rFonts w:ascii="Arial" w:hAnsi="Arial" w:cs="Arial"/>
          <w:sz w:val="22"/>
          <w:vertAlign w:val="superscript"/>
        </w:rPr>
        <w:t>5</w:t>
      </w:r>
      <w:r>
        <w:rPr>
          <w:rFonts w:ascii="Arial" w:hAnsi="Arial" w:cs="Arial"/>
          <w:sz w:val="22"/>
        </w:rPr>
        <w:t xml:space="preserve"> current address: </w:t>
      </w:r>
      <w:r w:rsidRPr="008756F8">
        <w:rPr>
          <w:rFonts w:ascii="Arial" w:hAnsi="Arial" w:cs="Arial"/>
          <w:sz w:val="22"/>
        </w:rPr>
        <w:t>Department</w:t>
      </w:r>
      <w:r>
        <w:rPr>
          <w:rFonts w:ascii="Arial" w:hAnsi="Arial" w:cs="Arial"/>
          <w:sz w:val="22"/>
        </w:rPr>
        <w:t xml:space="preserve"> of Plant and Microbial Biology, </w:t>
      </w:r>
      <w:r w:rsidRPr="008756F8">
        <w:rPr>
          <w:rFonts w:ascii="Arial" w:hAnsi="Arial" w:cs="Arial"/>
          <w:sz w:val="22"/>
        </w:rPr>
        <w:t>University of Zürich</w:t>
      </w:r>
      <w:r>
        <w:rPr>
          <w:rFonts w:ascii="Arial" w:hAnsi="Arial" w:cs="Arial"/>
          <w:sz w:val="22"/>
        </w:rPr>
        <w:t>, Switzerland</w:t>
      </w:r>
    </w:p>
    <w:p w14:paraId="45771E1D" w14:textId="77777777" w:rsidR="00D852D9" w:rsidRPr="00F93C0C" w:rsidRDefault="00D852D9" w:rsidP="00D852D9">
      <w:r>
        <w:rPr>
          <w:rFonts w:ascii="Arial" w:hAnsi="Arial" w:cs="Arial"/>
          <w:sz w:val="22"/>
          <w:vertAlign w:val="superscript"/>
        </w:rPr>
        <w:t>6</w:t>
      </w:r>
      <w:r>
        <w:rPr>
          <w:rFonts w:ascii="Arial" w:hAnsi="Arial" w:cs="Arial"/>
          <w:sz w:val="22"/>
        </w:rPr>
        <w:t xml:space="preserve"> Department of Statistics, University of Warwick, United Kingdom</w:t>
      </w:r>
    </w:p>
    <w:p w14:paraId="05CB262A" w14:textId="77777777" w:rsidR="00D852D9" w:rsidRDefault="00D852D9" w:rsidP="00D852D9">
      <w:pPr>
        <w:pStyle w:val="BodyText"/>
        <w:rPr>
          <w:rFonts w:ascii="Arial" w:hAnsi="Arial" w:cs="Arial"/>
          <w:sz w:val="22"/>
        </w:rPr>
      </w:pPr>
      <w:r>
        <w:rPr>
          <w:rFonts w:ascii="Arial" w:hAnsi="Arial" w:cs="Arial"/>
          <w:sz w:val="22"/>
          <w:vertAlign w:val="superscript"/>
        </w:rPr>
        <w:t>7</w:t>
      </w:r>
      <w:r>
        <w:rPr>
          <w:rFonts w:ascii="Arial" w:hAnsi="Arial" w:cs="Arial"/>
          <w:sz w:val="22"/>
        </w:rPr>
        <w:t xml:space="preserve"> Alan Turing Institute, London, United Kingdom</w:t>
      </w:r>
    </w:p>
    <w:p w14:paraId="5D83D4C0" w14:textId="77777777" w:rsidR="00D852D9" w:rsidRPr="008C4349" w:rsidRDefault="00D852D9" w:rsidP="00D852D9">
      <w:pPr>
        <w:rPr>
          <w:rFonts w:ascii="Arial" w:hAnsi="Arial" w:cs="Arial"/>
          <w:sz w:val="21"/>
          <w:szCs w:val="21"/>
        </w:rPr>
      </w:pPr>
      <w:r>
        <w:rPr>
          <w:rFonts w:ascii="Arial" w:hAnsi="Arial" w:cs="Arial"/>
          <w:sz w:val="22"/>
          <w:vertAlign w:val="superscript"/>
        </w:rPr>
        <w:t>8</w:t>
      </w:r>
      <w:r w:rsidRPr="0035681A">
        <w:rPr>
          <w:rFonts w:ascii="Arial" w:hAnsi="Arial" w:cs="Arial"/>
          <w:sz w:val="22"/>
        </w:rPr>
        <w:t xml:space="preserve"> </w:t>
      </w:r>
      <w:r w:rsidRPr="008C4349">
        <w:rPr>
          <w:rFonts w:ascii="Arial" w:hAnsi="Arial" w:cs="Arial"/>
          <w:sz w:val="21"/>
          <w:szCs w:val="21"/>
        </w:rPr>
        <w:t xml:space="preserve">Leibniz-Institute of Vegetable and Ornamental Crops (IGZ), 14979 </w:t>
      </w:r>
      <w:proofErr w:type="spellStart"/>
      <w:r w:rsidRPr="008C4349">
        <w:rPr>
          <w:rFonts w:ascii="Arial" w:hAnsi="Arial" w:cs="Arial"/>
          <w:sz w:val="21"/>
          <w:szCs w:val="21"/>
        </w:rPr>
        <w:t>Großbeeren</w:t>
      </w:r>
      <w:proofErr w:type="spellEnd"/>
      <w:r w:rsidRPr="008C4349">
        <w:rPr>
          <w:rFonts w:ascii="Arial" w:hAnsi="Arial" w:cs="Arial"/>
          <w:sz w:val="21"/>
          <w:szCs w:val="21"/>
        </w:rPr>
        <w:t>, Germany</w:t>
      </w:r>
    </w:p>
    <w:p w14:paraId="2585AC22" w14:textId="77777777" w:rsidR="00D852D9" w:rsidRPr="008C4349" w:rsidRDefault="00D852D9" w:rsidP="00D852D9">
      <w:pPr>
        <w:rPr>
          <w:rFonts w:ascii="Arial" w:hAnsi="Arial" w:cs="Arial"/>
          <w:color w:val="737373"/>
          <w:sz w:val="21"/>
          <w:szCs w:val="21"/>
        </w:rPr>
      </w:pPr>
    </w:p>
    <w:p w14:paraId="14295ACA" w14:textId="77777777" w:rsidR="00D852D9" w:rsidRPr="00F93C0C" w:rsidRDefault="00D852D9" w:rsidP="00D852D9">
      <w:r>
        <w:rPr>
          <w:rFonts w:ascii="Arial" w:hAnsi="Arial" w:cs="Arial"/>
          <w:sz w:val="22"/>
          <w:vertAlign w:val="superscript"/>
        </w:rPr>
        <w:t>9</w:t>
      </w:r>
      <w:r>
        <w:rPr>
          <w:rFonts w:ascii="Arial" w:hAnsi="Arial" w:cs="Arial"/>
          <w:sz w:val="22"/>
        </w:rPr>
        <w:t xml:space="preserve"> </w:t>
      </w:r>
      <w:r w:rsidRPr="0035681A">
        <w:t>Institute of Biochemistry and Biology, Unive</w:t>
      </w:r>
      <w:r>
        <w:t>rsity of Potsdam</w:t>
      </w:r>
      <w:r w:rsidRPr="0035681A">
        <w:t>, Germany</w:t>
      </w:r>
    </w:p>
    <w:p w14:paraId="118CA0F9" w14:textId="77777777" w:rsidR="00D852D9" w:rsidRPr="00F93C0C" w:rsidRDefault="00D852D9" w:rsidP="00D852D9">
      <w:pPr>
        <w:pStyle w:val="BodyText"/>
        <w:rPr>
          <w:rFonts w:ascii="Arial" w:hAnsi="Arial" w:cs="Arial"/>
          <w:sz w:val="22"/>
        </w:rPr>
      </w:pPr>
      <w:r>
        <w:rPr>
          <w:rFonts w:ascii="Arial" w:hAnsi="Arial" w:cs="Arial"/>
          <w:sz w:val="22"/>
          <w:vertAlign w:val="superscript"/>
        </w:rPr>
        <w:t>10</w:t>
      </w:r>
      <w:r>
        <w:rPr>
          <w:rFonts w:ascii="Arial" w:hAnsi="Arial" w:cs="Arial"/>
          <w:sz w:val="22"/>
        </w:rPr>
        <w:t xml:space="preserve"> Department of Biology, University of York</w:t>
      </w:r>
    </w:p>
    <w:p w14:paraId="5B081CAA" w14:textId="77777777" w:rsidR="00D852D9" w:rsidRDefault="00D852D9" w:rsidP="00D852D9">
      <w:pPr>
        <w:pStyle w:val="BodyText"/>
        <w:spacing w:line="360" w:lineRule="auto"/>
      </w:pPr>
      <w:r>
        <w:rPr>
          <w:rFonts w:ascii="Arial" w:hAnsi="Arial" w:cs="Arial"/>
          <w:sz w:val="22"/>
        </w:rPr>
        <w:t>* equal contribution</w:t>
      </w:r>
      <w:bookmarkStart w:id="0" w:name="abstract"/>
      <w:bookmarkEnd w:id="0"/>
    </w:p>
    <w:p w14:paraId="3D2BD215" w14:textId="77777777" w:rsidR="008444F0" w:rsidRDefault="008444F0">
      <w:pPr>
        <w:rPr>
          <w:rFonts w:ascii="Arial" w:eastAsiaTheme="minorHAnsi" w:hAnsi="Arial" w:cs="Arial"/>
          <w:sz w:val="22"/>
          <w:lang w:val="en-US"/>
        </w:rPr>
      </w:pPr>
      <w:r>
        <w:rPr>
          <w:rFonts w:ascii="Arial" w:hAnsi="Arial" w:cs="Arial"/>
          <w:sz w:val="22"/>
        </w:rPr>
        <w:br w:type="page"/>
      </w:r>
    </w:p>
    <w:p w14:paraId="5FBF9B52" w14:textId="26DC270D" w:rsidR="00BD4DEF" w:rsidRDefault="00BD4DEF" w:rsidP="008444F0">
      <w:pPr>
        <w:pStyle w:val="BodyText"/>
        <w:rPr>
          <w:rFonts w:ascii="Arial" w:hAnsi="Arial" w:cs="Arial"/>
          <w:b/>
          <w:i/>
        </w:rPr>
      </w:pPr>
      <w:r>
        <w:rPr>
          <w:rFonts w:ascii="Arial" w:hAnsi="Arial" w:cs="Arial"/>
          <w:b/>
          <w:i/>
        </w:rPr>
        <w:lastRenderedPageBreak/>
        <w:t>Summary of supplementary tables:</w:t>
      </w:r>
    </w:p>
    <w:p w14:paraId="6E4663C4" w14:textId="3A170EDA" w:rsidR="00590251" w:rsidRPr="004C1186" w:rsidRDefault="008444F0" w:rsidP="008444F0">
      <w:pPr>
        <w:pStyle w:val="BodyText"/>
        <w:rPr>
          <w:rFonts w:ascii="Arial" w:hAnsi="Arial" w:cs="Arial"/>
          <w:b/>
          <w:i/>
        </w:rPr>
      </w:pPr>
      <w:r w:rsidRPr="005D6489">
        <w:rPr>
          <w:rFonts w:ascii="Arial" w:hAnsi="Arial" w:cs="Arial"/>
          <w:b/>
          <w:i/>
        </w:rPr>
        <w:t xml:space="preserve">Table S1: </w:t>
      </w:r>
      <w:r w:rsidR="00BD4DEF">
        <w:rPr>
          <w:rFonts w:ascii="Arial" w:hAnsi="Arial" w:cs="Arial"/>
          <w:b/>
          <w:i/>
        </w:rPr>
        <w:t>Genes that peak at ZT0 and ZT1 within each GO category investigated in Fig 1 and S1</w:t>
      </w:r>
      <w:r w:rsidRPr="005D6489">
        <w:rPr>
          <w:rFonts w:ascii="Arial" w:hAnsi="Arial" w:cs="Arial"/>
          <w:b/>
          <w:i/>
        </w:rPr>
        <w:t>)</w:t>
      </w:r>
      <w:r>
        <w:rPr>
          <w:rFonts w:ascii="Arial" w:hAnsi="Arial" w:cs="Arial"/>
          <w:b/>
          <w:i/>
        </w:rPr>
        <w:br/>
      </w:r>
      <w:r w:rsidRPr="005D6489">
        <w:rPr>
          <w:rFonts w:ascii="Arial" w:hAnsi="Arial" w:cs="Arial"/>
          <w:b/>
          <w:i/>
        </w:rPr>
        <w:t xml:space="preserve">Table S2: TPM tables for </w:t>
      </w:r>
      <w:r w:rsidR="00BD4DEF">
        <w:rPr>
          <w:rFonts w:ascii="Arial" w:hAnsi="Arial" w:cs="Arial"/>
          <w:b/>
          <w:i/>
        </w:rPr>
        <w:t>RNA-seq data</w:t>
      </w:r>
      <w:r w:rsidR="005754B9">
        <w:rPr>
          <w:rFonts w:ascii="Arial" w:hAnsi="Arial" w:cs="Arial"/>
          <w:b/>
          <w:i/>
        </w:rPr>
        <w:t xml:space="preserve"> and T-tests for temperature sensitivity</w:t>
      </w:r>
      <w:r w:rsidRPr="005D6489">
        <w:rPr>
          <w:rFonts w:ascii="Arial" w:hAnsi="Arial" w:cs="Arial"/>
        </w:rPr>
        <w:br/>
      </w:r>
      <w:r w:rsidRPr="005D6489">
        <w:rPr>
          <w:rFonts w:ascii="Arial" w:hAnsi="Arial" w:cs="Arial"/>
          <w:b/>
          <w:i/>
        </w:rPr>
        <w:t xml:space="preserve">Table S3: </w:t>
      </w:r>
      <w:r w:rsidR="00BD4DEF">
        <w:rPr>
          <w:rFonts w:ascii="Arial" w:hAnsi="Arial" w:cs="Arial"/>
          <w:b/>
          <w:i/>
        </w:rPr>
        <w:t>A list of the genes associated with each</w:t>
      </w:r>
      <w:r w:rsidRPr="005D6489">
        <w:rPr>
          <w:rFonts w:ascii="Arial" w:hAnsi="Arial" w:cs="Arial"/>
          <w:b/>
          <w:i/>
        </w:rPr>
        <w:t xml:space="preserve"> cluster</w:t>
      </w:r>
      <w:r w:rsidR="00BD4DEF">
        <w:rPr>
          <w:rFonts w:ascii="Arial" w:hAnsi="Arial" w:cs="Arial"/>
          <w:b/>
          <w:i/>
        </w:rPr>
        <w:t xml:space="preserve"> in Fig. 2</w:t>
      </w:r>
      <w:r w:rsidRPr="005D6489">
        <w:rPr>
          <w:rFonts w:ascii="Arial" w:hAnsi="Arial" w:cs="Arial"/>
          <w:b/>
          <w:i/>
        </w:rPr>
        <w:t xml:space="preserve"> </w:t>
      </w:r>
      <w:r w:rsidRPr="005D6489">
        <w:rPr>
          <w:rFonts w:ascii="Arial" w:hAnsi="Arial" w:cs="Arial"/>
        </w:rPr>
        <w:br/>
      </w:r>
      <w:r w:rsidRPr="005D6489">
        <w:rPr>
          <w:rFonts w:ascii="Arial" w:hAnsi="Arial" w:cs="Arial"/>
          <w:b/>
          <w:i/>
        </w:rPr>
        <w:t xml:space="preserve">Table S4: </w:t>
      </w:r>
      <w:r w:rsidR="00BD4DEF">
        <w:rPr>
          <w:rFonts w:ascii="Arial" w:hAnsi="Arial" w:cs="Arial"/>
          <w:b/>
          <w:i/>
        </w:rPr>
        <w:t>A</w:t>
      </w:r>
      <w:r w:rsidRPr="005D6489">
        <w:rPr>
          <w:rFonts w:ascii="Arial" w:hAnsi="Arial" w:cs="Arial"/>
          <w:b/>
          <w:i/>
        </w:rPr>
        <w:t>djusted p-values for light sensitivity comparisons</w:t>
      </w:r>
      <w:r>
        <w:rPr>
          <w:rFonts w:ascii="Arial" w:hAnsi="Arial" w:cs="Arial"/>
          <w:b/>
          <w:i/>
        </w:rPr>
        <w:br/>
      </w:r>
      <w:r w:rsidRPr="008C6C8F">
        <w:rPr>
          <w:rFonts w:ascii="Arial" w:hAnsi="Arial" w:cs="Arial"/>
          <w:b/>
        </w:rPr>
        <w:t xml:space="preserve">Table S5: DNA-binding genes </w:t>
      </w:r>
      <w:r w:rsidR="00BD4DEF">
        <w:rPr>
          <w:rFonts w:ascii="Arial" w:hAnsi="Arial" w:cs="Arial"/>
          <w:b/>
        </w:rPr>
        <w:t>associated with the</w:t>
      </w:r>
      <w:r w:rsidRPr="008C6C8F">
        <w:rPr>
          <w:rFonts w:ascii="Arial" w:hAnsi="Arial" w:cs="Arial"/>
          <w:b/>
        </w:rPr>
        <w:t xml:space="preserve"> clusters shown in Fig</w:t>
      </w:r>
      <w:r w:rsidR="00BD4DEF">
        <w:rPr>
          <w:rFonts w:ascii="Arial" w:hAnsi="Arial" w:cs="Arial"/>
          <w:b/>
        </w:rPr>
        <w:t>.</w:t>
      </w:r>
      <w:r w:rsidRPr="008C6C8F">
        <w:rPr>
          <w:rFonts w:ascii="Arial" w:hAnsi="Arial" w:cs="Arial"/>
          <w:b/>
        </w:rPr>
        <w:t xml:space="preserve"> S3</w:t>
      </w:r>
      <w:r w:rsidR="00590251">
        <w:rPr>
          <w:rFonts w:ascii="Arial" w:hAnsi="Arial" w:cs="Arial"/>
          <w:b/>
        </w:rPr>
        <w:br/>
        <w:t xml:space="preserve">Table S6: primers </w:t>
      </w:r>
    </w:p>
    <w:p w14:paraId="3C975E41" w14:textId="65C6B6A4" w:rsidR="008444F0" w:rsidRPr="008444F0" w:rsidRDefault="008444F0" w:rsidP="008444F0">
      <w:pPr>
        <w:pStyle w:val="BodyText"/>
        <w:spacing w:line="360" w:lineRule="auto"/>
        <w:rPr>
          <w:rFonts w:ascii="Arial" w:hAnsi="Arial" w:cs="Arial"/>
          <w:b/>
          <w:i/>
        </w:rPr>
      </w:pPr>
    </w:p>
    <w:p w14:paraId="0A03B62B" w14:textId="51F73514" w:rsidR="007F0AD0" w:rsidRDefault="007F0AD0" w:rsidP="007F0AD0">
      <w:pPr>
        <w:pStyle w:val="BodyText"/>
        <w:keepNext/>
        <w:spacing w:line="360" w:lineRule="auto"/>
      </w:pPr>
    </w:p>
    <w:p w14:paraId="056DA5FD" w14:textId="77777777" w:rsidR="004E1CDB" w:rsidRDefault="0071761E" w:rsidP="007F0AD0">
      <w:pPr>
        <w:pStyle w:val="Caption"/>
        <w:rPr>
          <w:sz w:val="22"/>
        </w:rPr>
      </w:pPr>
      <w:r>
        <w:rPr>
          <w:noProof/>
          <w:lang w:eastAsia="en-GB"/>
        </w:rPr>
        <w:drawing>
          <wp:inline distT="0" distB="0" distL="0" distR="0" wp14:anchorId="2FED3FDB" wp14:editId="01BC132F">
            <wp:extent cx="5406314" cy="3681095"/>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
                      <a:extLst>
                        <a:ext uri="{28A0092B-C50C-407E-A947-70E740481C1C}">
                          <a14:useLocalDpi xmlns:a14="http://schemas.microsoft.com/office/drawing/2010/main" val="0"/>
                        </a:ext>
                      </a:extLst>
                    </a:blip>
                    <a:stretch>
                      <a:fillRect/>
                    </a:stretch>
                  </pic:blipFill>
                  <pic:spPr>
                    <a:xfrm>
                      <a:off x="0" y="0"/>
                      <a:ext cx="5406314" cy="3681095"/>
                    </a:xfrm>
                    <a:prstGeom prst="rect">
                      <a:avLst/>
                    </a:prstGeom>
                  </pic:spPr>
                </pic:pic>
              </a:graphicData>
            </a:graphic>
          </wp:inline>
        </w:drawing>
      </w:r>
    </w:p>
    <w:p w14:paraId="4B704040" w14:textId="7C75AC15" w:rsidR="0056710E" w:rsidRDefault="007F0AD0" w:rsidP="007F0AD0">
      <w:pPr>
        <w:pStyle w:val="Caption"/>
      </w:pPr>
      <w:r w:rsidRPr="004C1186">
        <w:rPr>
          <w:b/>
          <w:sz w:val="22"/>
        </w:rPr>
        <w:t>Figure S1</w:t>
      </w:r>
      <w:r w:rsidRPr="004C1186">
        <w:rPr>
          <w:sz w:val="22"/>
        </w:rPr>
        <w:t xml:space="preserve">: </w:t>
      </w:r>
      <w:r w:rsidR="0071761E" w:rsidRPr="004C1186">
        <w:rPr>
          <w:sz w:val="22"/>
        </w:rPr>
        <w:t xml:space="preserve">(A) </w:t>
      </w:r>
      <w:r w:rsidRPr="004C1186">
        <w:rPr>
          <w:sz w:val="22"/>
        </w:rPr>
        <w:t xml:space="preserve">Gene expression of DNA binding proteins over the course of </w:t>
      </w:r>
      <w:r w:rsidR="00760559" w:rsidRPr="004C1186">
        <w:rPr>
          <w:sz w:val="22"/>
        </w:rPr>
        <w:t>24 hours in Col-0 seedlings grown in short-day conditions</w:t>
      </w:r>
      <w:r w:rsidRPr="004C1186">
        <w:rPr>
          <w:sz w:val="22"/>
        </w:rPr>
        <w:t>. Specifically, we show a heatmap of z-scores of RNA-</w:t>
      </w:r>
      <w:proofErr w:type="spellStart"/>
      <w:r w:rsidRPr="004C1186">
        <w:rPr>
          <w:sz w:val="22"/>
        </w:rPr>
        <w:t>seq</w:t>
      </w:r>
      <w:proofErr w:type="spellEnd"/>
      <w:r w:rsidRPr="004C1186">
        <w:rPr>
          <w:sz w:val="22"/>
        </w:rPr>
        <w:t xml:space="preserve"> data for four different sets of genes (all DNA-binding genes, and DNA binding genes that also have GO terms containing the words ‘circadian’, ‘auxin’ and ‘</w:t>
      </w:r>
      <w:proofErr w:type="spellStart"/>
      <w:r w:rsidRPr="004C1186">
        <w:rPr>
          <w:sz w:val="22"/>
        </w:rPr>
        <w:t>brassinosteroid</w:t>
      </w:r>
      <w:proofErr w:type="spellEnd"/>
      <w:r w:rsidRPr="004C1186">
        <w:rPr>
          <w:sz w:val="22"/>
        </w:rPr>
        <w:t>’.</w:t>
      </w:r>
      <w:r w:rsidR="0071761E" w:rsidRPr="004C1186">
        <w:rPr>
          <w:sz w:val="22"/>
        </w:rPr>
        <w:t xml:space="preserve"> (B) A comparison of gene expression of all genes with peak expression at ZT0 or ZT1 in Col-0 and elf3-1.  This is equivalent to Figure 1B, but for elf3-1, instead of </w:t>
      </w:r>
      <w:proofErr w:type="spellStart"/>
      <w:r w:rsidR="0071761E" w:rsidRPr="004C1186">
        <w:rPr>
          <w:sz w:val="22"/>
        </w:rPr>
        <w:t>phyABCDE</w:t>
      </w:r>
      <w:proofErr w:type="spellEnd"/>
      <w:r w:rsidR="0071761E" w:rsidRPr="004C1186">
        <w:rPr>
          <w:sz w:val="22"/>
        </w:rPr>
        <w:t>.</w:t>
      </w:r>
    </w:p>
    <w:p w14:paraId="10B532D3" w14:textId="7481B7CB" w:rsidR="0056710E" w:rsidRDefault="0056710E" w:rsidP="004C1186"/>
    <w:p w14:paraId="0A3099FB" w14:textId="4C70335F" w:rsidR="00D42DF4" w:rsidRDefault="00A635D1" w:rsidP="004C1186">
      <w:pPr>
        <w:keepNext/>
      </w:pPr>
      <w:r>
        <w:rPr>
          <w:noProof/>
          <w:lang w:eastAsia="en-GB"/>
        </w:rPr>
        <w:lastRenderedPageBreak/>
        <w:drawing>
          <wp:inline distT="0" distB="0" distL="0" distR="0" wp14:anchorId="177C8A29" wp14:editId="5A92CA85">
            <wp:extent cx="5027480" cy="6964822"/>
            <wp:effectExtent l="0" t="0" r="190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5036413" cy="6977198"/>
                    </a:xfrm>
                    <a:prstGeom prst="rect">
                      <a:avLst/>
                    </a:prstGeom>
                  </pic:spPr>
                </pic:pic>
              </a:graphicData>
            </a:graphic>
          </wp:inline>
        </w:drawing>
      </w:r>
    </w:p>
    <w:p w14:paraId="702CE582" w14:textId="77777777" w:rsidR="004E1CDB" w:rsidRDefault="004E1CDB" w:rsidP="00D42DF4">
      <w:pPr>
        <w:pStyle w:val="Caption"/>
      </w:pPr>
    </w:p>
    <w:p w14:paraId="058FF9AB" w14:textId="6BBDC13D" w:rsidR="00AD0C01" w:rsidRPr="004C1186" w:rsidRDefault="00D42DF4" w:rsidP="00D42DF4">
      <w:pPr>
        <w:pStyle w:val="Caption"/>
        <w:rPr>
          <w:sz w:val="22"/>
        </w:rPr>
      </w:pPr>
      <w:r w:rsidRPr="004C1186">
        <w:rPr>
          <w:b/>
          <w:sz w:val="22"/>
        </w:rPr>
        <w:t xml:space="preserve">Figure </w:t>
      </w:r>
      <w:r w:rsidR="00C92789" w:rsidRPr="004C1186">
        <w:rPr>
          <w:b/>
          <w:sz w:val="22"/>
        </w:rPr>
        <w:t>S2</w:t>
      </w:r>
      <w:r w:rsidRPr="004C1186">
        <w:rPr>
          <w:sz w:val="22"/>
        </w:rPr>
        <w:t>: Reproducibility of RNA-seq.  (A) An autocorrelation matrix indicates high correlation rates of gene expression between samples, especially in temporally adjacent time points, supporting the idea that gene expression changes smoothly over time.  (B) Gene expression comparison between corresponding time points in Col-0 22</w:t>
      </w:r>
      <w:r w:rsidRPr="004C1186">
        <w:rPr>
          <w:sz w:val="22"/>
          <w:vertAlign w:val="superscript"/>
        </w:rPr>
        <w:t>o</w:t>
      </w:r>
      <w:r w:rsidRPr="004C1186">
        <w:rPr>
          <w:sz w:val="22"/>
        </w:rPr>
        <w:t>C, in two biological replicates</w:t>
      </w:r>
      <w:r w:rsidR="004669FC" w:rsidRPr="004C1186">
        <w:rPr>
          <w:sz w:val="22"/>
        </w:rPr>
        <w:t>, using two different sequencing protocols: Standard Illumina pipeline (high resolution) vs. 5’ end sequencing with Quant-</w:t>
      </w:r>
      <w:proofErr w:type="spellStart"/>
      <w:r w:rsidR="004669FC" w:rsidRPr="004C1186">
        <w:rPr>
          <w:sz w:val="22"/>
        </w:rPr>
        <w:t>seq</w:t>
      </w:r>
      <w:proofErr w:type="spellEnd"/>
      <w:r w:rsidR="004669FC" w:rsidRPr="004C1186">
        <w:rPr>
          <w:sz w:val="22"/>
        </w:rPr>
        <w:t xml:space="preserve"> (low resolution)—see methods.  TPM refers to transcripts per million.  The diagonal line corresponds to the line with slope 1, y-intercept 0.  The horizontal and vertical lines correspond to the cut</w:t>
      </w:r>
      <w:r w:rsidR="00C92789" w:rsidRPr="004C1186">
        <w:rPr>
          <w:sz w:val="22"/>
        </w:rPr>
        <w:t>-</w:t>
      </w:r>
      <w:r w:rsidR="004669FC" w:rsidRPr="004C1186">
        <w:rPr>
          <w:sz w:val="22"/>
        </w:rPr>
        <w:t xml:space="preserve">offs for low gene expression values </w:t>
      </w:r>
      <w:r w:rsidR="00C92789" w:rsidRPr="004C1186">
        <w:rPr>
          <w:sz w:val="22"/>
        </w:rPr>
        <w:t xml:space="preserve">(5 TPM).  </w:t>
      </w:r>
    </w:p>
    <w:p w14:paraId="69AB2BA2" w14:textId="77777777" w:rsidR="00AD0C01" w:rsidRDefault="00AD0C01">
      <w:pPr>
        <w:rPr>
          <w:i/>
          <w:iCs/>
          <w:color w:val="44546A" w:themeColor="text2"/>
          <w:sz w:val="18"/>
          <w:szCs w:val="18"/>
        </w:rPr>
      </w:pPr>
      <w:r>
        <w:br w:type="page"/>
      </w:r>
    </w:p>
    <w:p w14:paraId="3062461E" w14:textId="77777777" w:rsidR="00AD0C01" w:rsidRDefault="00AD0C01" w:rsidP="004C1186">
      <w:pPr>
        <w:pStyle w:val="Caption"/>
        <w:keepNext/>
      </w:pPr>
      <w:r>
        <w:rPr>
          <w:noProof/>
          <w:lang w:eastAsia="en-GB"/>
        </w:rPr>
        <w:lastRenderedPageBreak/>
        <w:drawing>
          <wp:inline distT="0" distB="0" distL="0" distR="0" wp14:anchorId="1F10B982" wp14:editId="50BE4EB2">
            <wp:extent cx="5727700" cy="714544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7145447"/>
                    </a:xfrm>
                    <a:prstGeom prst="rect">
                      <a:avLst/>
                    </a:prstGeom>
                  </pic:spPr>
                </pic:pic>
              </a:graphicData>
            </a:graphic>
          </wp:inline>
        </w:drawing>
      </w:r>
    </w:p>
    <w:p w14:paraId="5AF1079C" w14:textId="493B88FA" w:rsidR="004815B8" w:rsidRPr="004C1186" w:rsidRDefault="00AD0C01" w:rsidP="00AD0C01">
      <w:pPr>
        <w:pStyle w:val="Caption"/>
        <w:rPr>
          <w:sz w:val="22"/>
        </w:rPr>
      </w:pPr>
      <w:r w:rsidRPr="004C1186">
        <w:rPr>
          <w:b/>
          <w:sz w:val="22"/>
        </w:rPr>
        <w:t>Figure S3</w:t>
      </w:r>
      <w:r w:rsidR="004E1CDB">
        <w:rPr>
          <w:sz w:val="22"/>
        </w:rPr>
        <w:t xml:space="preserve">: </w:t>
      </w:r>
      <w:r w:rsidRPr="004C1186">
        <w:rPr>
          <w:sz w:val="22"/>
        </w:rPr>
        <w:t xml:space="preserve">Bar plots showing the gene expression clusters from Fig 2.  For the purposes of conciseness, pairs of similar clusters are grouped together: clusters 1,2 (early), clusters 3,4 (late), clusters 5,6 (45-105min), clusters 7,8 (16-24 min), clusters 9,10 (18-45 min).  Vertical dotted lines indicate the times at which we consider the ‘burst’ to occur.   </w:t>
      </w:r>
    </w:p>
    <w:p w14:paraId="15C8A623" w14:textId="77777777" w:rsidR="004815B8" w:rsidRDefault="004815B8">
      <w:pPr>
        <w:rPr>
          <w:i/>
          <w:iCs/>
          <w:color w:val="44546A" w:themeColor="text2"/>
          <w:sz w:val="18"/>
          <w:szCs w:val="18"/>
        </w:rPr>
      </w:pPr>
      <w:r>
        <w:br w:type="page"/>
      </w:r>
    </w:p>
    <w:p w14:paraId="5A4C5321" w14:textId="77777777" w:rsidR="009F2F4B" w:rsidRDefault="009F2F4B" w:rsidP="004C1186">
      <w:pPr>
        <w:pStyle w:val="Caption"/>
        <w:keepNext/>
      </w:pPr>
      <w:r>
        <w:rPr>
          <w:noProof/>
          <w:lang w:eastAsia="en-GB"/>
        </w:rPr>
        <w:lastRenderedPageBreak/>
        <w:drawing>
          <wp:inline distT="0" distB="0" distL="0" distR="0" wp14:anchorId="3BB8DF32" wp14:editId="07B570D3">
            <wp:extent cx="5727700" cy="7294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vision_Fig3.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7294245"/>
                    </a:xfrm>
                    <a:prstGeom prst="rect">
                      <a:avLst/>
                    </a:prstGeom>
                  </pic:spPr>
                </pic:pic>
              </a:graphicData>
            </a:graphic>
          </wp:inline>
        </w:drawing>
      </w:r>
    </w:p>
    <w:p w14:paraId="23310E15" w14:textId="32868593" w:rsidR="00D42DF4" w:rsidRPr="004C1186" w:rsidRDefault="009F2F4B">
      <w:pPr>
        <w:pStyle w:val="Caption"/>
        <w:rPr>
          <w:sz w:val="22"/>
        </w:rPr>
      </w:pPr>
      <w:r w:rsidRPr="004C1186">
        <w:rPr>
          <w:b/>
          <w:sz w:val="22"/>
        </w:rPr>
        <w:t xml:space="preserve">Figure </w:t>
      </w:r>
      <w:r w:rsidR="00341C6C" w:rsidRPr="004C1186">
        <w:rPr>
          <w:b/>
          <w:sz w:val="22"/>
        </w:rPr>
        <w:t>S</w:t>
      </w:r>
      <w:r w:rsidR="00205669" w:rsidRPr="004C1186">
        <w:rPr>
          <w:b/>
          <w:sz w:val="22"/>
        </w:rPr>
        <w:t>4</w:t>
      </w:r>
      <w:r w:rsidR="004E1CDB">
        <w:rPr>
          <w:sz w:val="22"/>
        </w:rPr>
        <w:t>:</w:t>
      </w:r>
      <w:r w:rsidR="00341C6C" w:rsidRPr="004C1186">
        <w:rPr>
          <w:sz w:val="22"/>
        </w:rPr>
        <w:t xml:space="preserve"> </w:t>
      </w:r>
      <w:r w:rsidRPr="004C1186">
        <w:rPr>
          <w:sz w:val="22"/>
        </w:rPr>
        <w:t>For every gene within a cluster, the natural log ratio of gene expression (transcripts per million) at a specific time point at 27</w:t>
      </w:r>
      <w:r w:rsidR="00DD7F27">
        <w:rPr>
          <w:sz w:val="22"/>
        </w:rPr>
        <w:t>°</w:t>
      </w:r>
      <w:r w:rsidRPr="004C1186">
        <w:rPr>
          <w:sz w:val="22"/>
        </w:rPr>
        <w:t>C vs 22</w:t>
      </w:r>
      <w:r w:rsidR="00DD7F27">
        <w:rPr>
          <w:sz w:val="22"/>
        </w:rPr>
        <w:t>°</w:t>
      </w:r>
      <w:r w:rsidRPr="004C1186">
        <w:rPr>
          <w:sz w:val="22"/>
        </w:rPr>
        <w:t xml:space="preserve">C.  When the mean log-fold change in expression is positive, the boxplot is shown in pink, and otherwise light blue.  Vertical dotted lines indicate the location of ‘peak’ gene expression.  </w:t>
      </w:r>
    </w:p>
    <w:p w14:paraId="2F74CD2D" w14:textId="1771F780" w:rsidR="0056710E" w:rsidRDefault="0056710E">
      <w:pPr>
        <w:rPr>
          <w:i/>
          <w:iCs/>
          <w:color w:val="44546A" w:themeColor="text2"/>
          <w:sz w:val="18"/>
          <w:szCs w:val="18"/>
        </w:rPr>
      </w:pPr>
      <w:r>
        <w:br w:type="page"/>
      </w:r>
    </w:p>
    <w:p w14:paraId="622C1331" w14:textId="77777777" w:rsidR="00974FD3" w:rsidRDefault="00974FD3" w:rsidP="00974FD3">
      <w:pPr>
        <w:pStyle w:val="FirstParagraph"/>
        <w:keepNext/>
        <w:spacing w:line="360" w:lineRule="auto"/>
      </w:pPr>
      <w:r>
        <w:rPr>
          <w:rFonts w:ascii="Arial" w:hAnsi="Arial" w:cs="Arial"/>
          <w:b/>
          <w:noProof/>
          <w:lang w:val="en-GB" w:eastAsia="en-GB"/>
        </w:rPr>
        <w:lastRenderedPageBreak/>
        <w:drawing>
          <wp:inline distT="0" distB="0" distL="0" distR="0" wp14:anchorId="6CBAB7F6" wp14:editId="61001951">
            <wp:extent cx="5563695" cy="560811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ile_subclustering_inmutants.pdf"/>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63695" cy="5608115"/>
                    </a:xfrm>
                    <a:prstGeom prst="rect">
                      <a:avLst/>
                    </a:prstGeom>
                    <a:ln>
                      <a:noFill/>
                    </a:ln>
                    <a:extLst>
                      <a:ext uri="{53640926-AAD7-44D8-BBD7-CCE9431645EC}">
                        <a14:shadowObscured xmlns:a14="http://schemas.microsoft.com/office/drawing/2010/main"/>
                      </a:ext>
                    </a:extLst>
                  </pic:spPr>
                </pic:pic>
              </a:graphicData>
            </a:graphic>
          </wp:inline>
        </w:drawing>
      </w:r>
    </w:p>
    <w:p w14:paraId="3706469C" w14:textId="6318AE6D" w:rsidR="00262ABE" w:rsidRDefault="00974FD3" w:rsidP="006125EE">
      <w:pPr>
        <w:pStyle w:val="Caption"/>
        <w:rPr>
          <w:sz w:val="22"/>
        </w:rPr>
      </w:pPr>
      <w:r w:rsidRPr="004C1186">
        <w:rPr>
          <w:b/>
          <w:sz w:val="22"/>
        </w:rPr>
        <w:t xml:space="preserve">Figure </w:t>
      </w:r>
      <w:r w:rsidR="007C5FF0" w:rsidRPr="004C1186">
        <w:rPr>
          <w:b/>
          <w:sz w:val="22"/>
        </w:rPr>
        <w:t>S5</w:t>
      </w:r>
      <w:r w:rsidR="001A01C4" w:rsidRPr="004C1186">
        <w:rPr>
          <w:sz w:val="22"/>
        </w:rPr>
        <w:t>: (A)</w:t>
      </w:r>
      <w:r w:rsidRPr="004C1186">
        <w:rPr>
          <w:sz w:val="22"/>
        </w:rPr>
        <w:t xml:space="preserve"> </w:t>
      </w:r>
      <w:r w:rsidRPr="004C1186">
        <w:rPr>
          <w:sz w:val="22"/>
          <w:lang w:val="en-US"/>
        </w:rPr>
        <w:t>To be able to detect common patterns of regulation among these genes, we re-clustered each of the five main gene groups separately</w:t>
      </w:r>
      <w:r w:rsidRPr="004C1186">
        <w:rPr>
          <w:b/>
          <w:sz w:val="22"/>
          <w:lang w:val="en-US"/>
        </w:rPr>
        <w:t>.</w:t>
      </w:r>
      <w:r w:rsidRPr="004C1186">
        <w:rPr>
          <w:sz w:val="22"/>
          <w:lang w:val="en-US"/>
        </w:rPr>
        <w:t xml:space="preserve">  We refer to the clusters by roman numerals, starting from the top.  Of 760 transcription factor genes retained in this analysis, we find that roughly 50% show similar changes in expression patterns in </w:t>
      </w:r>
      <w:proofErr w:type="spellStart"/>
      <w:r w:rsidRPr="004C1186">
        <w:rPr>
          <w:sz w:val="22"/>
          <w:lang w:val="en-US"/>
        </w:rPr>
        <w:t>phyA</w:t>
      </w:r>
      <w:proofErr w:type="spellEnd"/>
      <w:r w:rsidRPr="004C1186">
        <w:rPr>
          <w:sz w:val="22"/>
          <w:lang w:val="en-US"/>
        </w:rPr>
        <w:t xml:space="preserve"> </w:t>
      </w:r>
      <w:proofErr w:type="spellStart"/>
      <w:r w:rsidRPr="004C1186">
        <w:rPr>
          <w:sz w:val="22"/>
          <w:lang w:val="en-US"/>
        </w:rPr>
        <w:t>phyB</w:t>
      </w:r>
      <w:proofErr w:type="spellEnd"/>
      <w:r w:rsidRPr="004C1186">
        <w:rPr>
          <w:sz w:val="22"/>
          <w:lang w:val="en-US"/>
        </w:rPr>
        <w:t xml:space="preserve"> cry1 cry2 and prr5 prr7 prr9 (</w:t>
      </w:r>
      <w:proofErr w:type="gramStart"/>
      <w:r w:rsidRPr="004C1186">
        <w:rPr>
          <w:sz w:val="22"/>
          <w:lang w:val="en-US"/>
        </w:rPr>
        <w:t>e.g.</w:t>
      </w:r>
      <w:proofErr w:type="gramEnd"/>
      <w:r w:rsidRPr="004C1186">
        <w:rPr>
          <w:sz w:val="22"/>
          <w:lang w:val="en-US"/>
        </w:rPr>
        <w:t xml:space="preserve"> the large sub-clusters I</w:t>
      </w:r>
      <w:r w:rsidR="003F1D47">
        <w:rPr>
          <w:sz w:val="22"/>
          <w:lang w:val="en-US"/>
        </w:rPr>
        <w:t>II in cl 1-2 and</w:t>
      </w:r>
      <w:r w:rsidRPr="004C1186">
        <w:rPr>
          <w:sz w:val="22"/>
          <w:lang w:val="en-US"/>
        </w:rPr>
        <w:t xml:space="preserve"> </w:t>
      </w:r>
      <w:r w:rsidR="002A256A">
        <w:rPr>
          <w:sz w:val="22"/>
          <w:lang w:val="en-US"/>
        </w:rPr>
        <w:t>IX</w:t>
      </w:r>
      <w:r w:rsidR="003F1D47">
        <w:rPr>
          <w:sz w:val="22"/>
          <w:lang w:val="en-US"/>
        </w:rPr>
        <w:t xml:space="preserve"> in cl 5-6</w:t>
      </w:r>
      <w:r w:rsidRPr="004C1186">
        <w:rPr>
          <w:sz w:val="22"/>
          <w:lang w:val="en-US"/>
        </w:rPr>
        <w:t xml:space="preserve">), while approximately 200 genes show distinct expression changes in one of the two mutants (e.g. sub-clusters </w:t>
      </w:r>
      <w:r w:rsidR="00390B03">
        <w:rPr>
          <w:sz w:val="22"/>
          <w:lang w:val="en-US"/>
        </w:rPr>
        <w:t>IX in cl 3-4 and</w:t>
      </w:r>
      <w:r w:rsidR="003F1D47">
        <w:rPr>
          <w:sz w:val="22"/>
          <w:lang w:val="en-US"/>
        </w:rPr>
        <w:t xml:space="preserve"> X in cl 5-6</w:t>
      </w:r>
      <w:r w:rsidRPr="004C1186">
        <w:rPr>
          <w:sz w:val="22"/>
          <w:lang w:val="en-US"/>
        </w:rPr>
        <w:t>) compared to the respective wild types. Within the early expression bursts, many genes were up-regulated in both the prr5 prr7 prr9 and </w:t>
      </w:r>
      <w:proofErr w:type="spellStart"/>
      <w:r w:rsidRPr="004C1186">
        <w:rPr>
          <w:sz w:val="22"/>
          <w:lang w:val="en-US"/>
        </w:rPr>
        <w:t>phyA</w:t>
      </w:r>
      <w:proofErr w:type="spellEnd"/>
      <w:r w:rsidRPr="004C1186">
        <w:rPr>
          <w:sz w:val="22"/>
          <w:lang w:val="en-US"/>
        </w:rPr>
        <w:t xml:space="preserve"> </w:t>
      </w:r>
      <w:proofErr w:type="spellStart"/>
      <w:r w:rsidRPr="004C1186">
        <w:rPr>
          <w:sz w:val="22"/>
          <w:lang w:val="en-US"/>
        </w:rPr>
        <w:t>phyB</w:t>
      </w:r>
      <w:proofErr w:type="spellEnd"/>
      <w:r w:rsidRPr="004C1186">
        <w:rPr>
          <w:sz w:val="22"/>
          <w:lang w:val="en-US"/>
        </w:rPr>
        <w:t xml:space="preserve"> cry1 cry2 mutants and were expressed for a larger portion of the time series. Late expressed genes (clusters </w:t>
      </w:r>
      <w:r w:rsidR="003F1D47">
        <w:rPr>
          <w:sz w:val="22"/>
          <w:lang w:val="en-US"/>
        </w:rPr>
        <w:t>3-4</w:t>
      </w:r>
      <w:r w:rsidR="00956BD6">
        <w:rPr>
          <w:sz w:val="22"/>
          <w:lang w:val="en-US"/>
        </w:rPr>
        <w:t xml:space="preserve"> and clusters 5-6</w:t>
      </w:r>
      <w:r w:rsidRPr="004C1186">
        <w:rPr>
          <w:sz w:val="22"/>
          <w:lang w:val="en-US"/>
        </w:rPr>
        <w:t>, which include many light-responsive genes) instead are often expressed later in the time series in both mutants (at 105-120 minutes instead of 45-60 minutes), although in some instances at higher levels. Compared to the photoreceptor and clock mutants, fewer sub-clusters show clear misexpression in hsfa1QK; many of these are found in clusters 3-4 and include both genes with increased (</w:t>
      </w:r>
      <w:r w:rsidR="0040155D">
        <w:rPr>
          <w:sz w:val="22"/>
          <w:lang w:val="en-US"/>
        </w:rPr>
        <w:t>3-4-XIII</w:t>
      </w:r>
      <w:r w:rsidRPr="004C1186">
        <w:rPr>
          <w:sz w:val="22"/>
          <w:lang w:val="en-US"/>
        </w:rPr>
        <w:t>) and decreased (</w:t>
      </w:r>
      <w:r w:rsidR="0040155D">
        <w:rPr>
          <w:sz w:val="22"/>
          <w:lang w:val="en-US"/>
        </w:rPr>
        <w:t>3-4-X</w:t>
      </w:r>
      <w:r w:rsidR="00117C9B">
        <w:rPr>
          <w:sz w:val="22"/>
          <w:lang w:val="en-US"/>
        </w:rPr>
        <w:t>I</w:t>
      </w:r>
      <w:r w:rsidRPr="004C1186">
        <w:rPr>
          <w:sz w:val="22"/>
          <w:lang w:val="en-US"/>
        </w:rPr>
        <w:t xml:space="preserve">) expression level. The smaller number agrees with the fact that HSFA1 regulates mainly non-TF targets, especially heat shock proteins </w:t>
      </w:r>
      <w:r w:rsidRPr="004C1186">
        <w:rPr>
          <w:sz w:val="22"/>
          <w:lang w:val="en-US"/>
        </w:rPr>
        <w:fldChar w:fldCharType="begin"/>
      </w:r>
      <w:r w:rsidRPr="004C1186">
        <w:rPr>
          <w:sz w:val="22"/>
          <w:lang w:val="en-US"/>
        </w:rPr>
        <w:instrText xml:space="preserve"> ADDIN ZOTERO_ITEM CSL_CITATION {"citationID":"qH6IPSPd","properties":{"formattedCitation":"(Dickinson et al., 2018)","plainCitation":"(Dickinson et al., 2018)","noteIndex":0},"citationItems":[{"id":3389,"uris":["http://zotero.org/users/2970095/items/5PWUAVDC"],"uri":["http://zotero.org/users/2970095/items/5PWUAVDC"],"itemData":{"id":3389,"type":"article-journal","abstract":"Temperature is a key environmental variable influencing plant growth and survival. Protection against high temperature stress in eukaryotes is coordinated by heat shock factors (HSFs), transcription factors that activate the expression of protective chaperones such as HEAT SHOCK PROTEIN 70 (HSP70); however, the pathway by which temperature is sensed and integrated with other environmental signals into adaptive responses is not well understood. Plants are exposed to considerable diurnal variation in temperature, and we have found that there is diurnal variation in thermotolerance in Arabidopsis thaliana, with maximal thermotolerance coinciding with higher HSP70 expression during the day. In a forward genetic screen, we identified a key role for the chloroplast in controlling this response, suggesting that light-induced chloroplast signaling plays a key role. Consistent with this, we are able to globally activate binding of HSFA1a to its targets by altering redox status in planta independently of a heat shock.","container-title":"Cell Reports","DOI":"10.1016/j.celrep.2018.01.054","ISSN":"2211-1247","issue":"7","journalAbbreviation":"Cell Reports","language":"en","page":"1657-1665","source":"ScienceDirect","title":"Chloroplast Signaling Gates Thermotolerance in Arabidopsis","volume":"22","author":[{"family":"Dickinson","given":"Patrick J."},{"family":"Kumar","given":"Manoj"},{"family":"Martinho","given":"Claudia"},{"family":"Yoo","given":"Seong Jeon"},{"family":"Lan","given":"Hui"},{"family":"Artavanis","given":"George"},{"family":"Charoensawan","given":"Varodom"},{"family":"Schöttler","given":"Mark Aurel"},{"family":"Bock","given":"Ralph"},{"family":"Jaeger","given":"Katja E."},{"family":"Wigge","given":"Philip A."}],"issued":{"date-parts":[["2018",2,13]]}}}],"schema":"https://github.com/citation-style-language/schema/raw/master/csl-citation.json"} </w:instrText>
      </w:r>
      <w:r w:rsidRPr="004C1186">
        <w:rPr>
          <w:sz w:val="22"/>
          <w:lang w:val="en-US"/>
        </w:rPr>
        <w:fldChar w:fldCharType="separate"/>
      </w:r>
      <w:r w:rsidRPr="004C1186">
        <w:rPr>
          <w:sz w:val="22"/>
          <w:lang w:val="en-US"/>
        </w:rPr>
        <w:t>(Dickinson et al., 2018)</w:t>
      </w:r>
      <w:r w:rsidRPr="004C1186">
        <w:rPr>
          <w:sz w:val="22"/>
        </w:rPr>
        <w:fldChar w:fldCharType="end"/>
      </w:r>
      <w:r w:rsidRPr="004C1186">
        <w:rPr>
          <w:sz w:val="22"/>
          <w:lang w:val="en-US"/>
        </w:rPr>
        <w:t xml:space="preserve">. </w:t>
      </w:r>
      <w:r w:rsidR="001A01C4" w:rsidRPr="004C1186">
        <w:rPr>
          <w:sz w:val="22"/>
          <w:lang w:val="en-US"/>
        </w:rPr>
        <w:t>(B)</w:t>
      </w:r>
      <w:r w:rsidR="001A01C4" w:rsidRPr="004C1186">
        <w:rPr>
          <w:sz w:val="22"/>
        </w:rPr>
        <w:t xml:space="preserve"> This shows the gene expression of a number of TFs that sit at the base of the U in the gene network in Fig. 3.  This data comes from the high resolution RNA-</w:t>
      </w:r>
      <w:proofErr w:type="spellStart"/>
      <w:r w:rsidR="001A01C4" w:rsidRPr="004C1186">
        <w:rPr>
          <w:sz w:val="22"/>
        </w:rPr>
        <w:t>seq</w:t>
      </w:r>
      <w:proofErr w:type="spellEnd"/>
      <w:r w:rsidR="001A01C4" w:rsidRPr="004C1186">
        <w:rPr>
          <w:sz w:val="22"/>
        </w:rPr>
        <w:t xml:space="preserve"> time series experiment in Col-0.</w:t>
      </w:r>
    </w:p>
    <w:p w14:paraId="77ED966D" w14:textId="70B0D4EC" w:rsidR="00641377" w:rsidRDefault="00641377" w:rsidP="00641377"/>
    <w:p w14:paraId="36545CE5" w14:textId="4D93F789" w:rsidR="00641377" w:rsidRPr="008C6C8F" w:rsidRDefault="00F16D91" w:rsidP="00641377">
      <w:pPr>
        <w:pStyle w:val="BodyText"/>
        <w:rPr>
          <w:rFonts w:ascii="Arial" w:hAnsi="Arial" w:cs="Arial"/>
          <w:b/>
        </w:rPr>
      </w:pPr>
      <w:r>
        <w:rPr>
          <w:rFonts w:ascii="Arial" w:hAnsi="Arial" w:cs="Arial"/>
          <w:b/>
          <w:noProof/>
          <w:lang w:val="en-GB" w:eastAsia="en-GB"/>
        </w:rPr>
        <w:lastRenderedPageBreak/>
        <w:drawing>
          <wp:inline distT="0" distB="0" distL="0" distR="0" wp14:anchorId="229819A1" wp14:editId="66EDFE10">
            <wp:extent cx="5727700" cy="3136900"/>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S7.png"/>
                    <pic:cNvPicPr/>
                  </pic:nvPicPr>
                  <pic:blipFill>
                    <a:blip r:embed="rId11">
                      <a:extLst>
                        <a:ext uri="{28A0092B-C50C-407E-A947-70E740481C1C}">
                          <a14:useLocalDpi xmlns:a14="http://schemas.microsoft.com/office/drawing/2010/main" val="0"/>
                        </a:ext>
                      </a:extLst>
                    </a:blip>
                    <a:stretch>
                      <a:fillRect/>
                    </a:stretch>
                  </pic:blipFill>
                  <pic:spPr>
                    <a:xfrm>
                      <a:off x="0" y="0"/>
                      <a:ext cx="5727700" cy="3136900"/>
                    </a:xfrm>
                    <a:prstGeom prst="rect">
                      <a:avLst/>
                    </a:prstGeom>
                  </pic:spPr>
                </pic:pic>
              </a:graphicData>
            </a:graphic>
          </wp:inline>
        </w:drawing>
      </w:r>
    </w:p>
    <w:p w14:paraId="5D7C8067" w14:textId="2FA46BB2" w:rsidR="00641377" w:rsidRPr="00781132" w:rsidRDefault="00641377" w:rsidP="00641377">
      <w:pPr>
        <w:pStyle w:val="BodyText"/>
        <w:rPr>
          <w:rFonts w:ascii="Times New Roman" w:hAnsi="Times New Roman" w:cs="Times New Roman"/>
          <w:i/>
          <w:sz w:val="22"/>
          <w:szCs w:val="18"/>
        </w:rPr>
      </w:pPr>
      <w:r w:rsidRPr="00781132">
        <w:rPr>
          <w:rFonts w:ascii="Times New Roman" w:hAnsi="Times New Roman" w:cs="Times New Roman"/>
          <w:b/>
          <w:i/>
          <w:sz w:val="22"/>
          <w:szCs w:val="18"/>
        </w:rPr>
        <w:t>Figure S</w:t>
      </w:r>
      <w:r>
        <w:rPr>
          <w:rFonts w:ascii="Times New Roman" w:hAnsi="Times New Roman" w:cs="Times New Roman"/>
          <w:b/>
          <w:i/>
          <w:sz w:val="22"/>
          <w:szCs w:val="18"/>
        </w:rPr>
        <w:t>6</w:t>
      </w:r>
      <w:r w:rsidRPr="00781132">
        <w:rPr>
          <w:rFonts w:ascii="Times New Roman" w:hAnsi="Times New Roman" w:cs="Times New Roman"/>
          <w:i/>
          <w:sz w:val="22"/>
          <w:szCs w:val="18"/>
        </w:rPr>
        <w:t xml:space="preserve">: </w:t>
      </w:r>
      <w:r>
        <w:rPr>
          <w:rFonts w:ascii="Times New Roman" w:hAnsi="Times New Roman" w:cs="Times New Roman"/>
          <w:i/>
          <w:sz w:val="22"/>
          <w:szCs w:val="18"/>
        </w:rPr>
        <w:t>Gene expression profiles detected by qPCR for</w:t>
      </w:r>
      <w:r w:rsidRPr="00781132">
        <w:rPr>
          <w:rFonts w:ascii="Times New Roman" w:hAnsi="Times New Roman" w:cs="Times New Roman"/>
          <w:i/>
          <w:sz w:val="22"/>
          <w:szCs w:val="18"/>
        </w:rPr>
        <w:t xml:space="preserve"> </w:t>
      </w:r>
      <w:r>
        <w:rPr>
          <w:rFonts w:ascii="Times New Roman" w:hAnsi="Times New Roman" w:cs="Times New Roman"/>
          <w:i/>
          <w:sz w:val="22"/>
          <w:szCs w:val="18"/>
        </w:rPr>
        <w:t>genes related to the key BBX/HY5</w:t>
      </w:r>
      <w:r w:rsidRPr="00781132">
        <w:rPr>
          <w:rFonts w:ascii="Times New Roman" w:hAnsi="Times New Roman" w:cs="Times New Roman"/>
          <w:i/>
          <w:sz w:val="22"/>
          <w:szCs w:val="18"/>
        </w:rPr>
        <w:t xml:space="preserve"> subnetwork in photoreceptor mutants. Expression was </w:t>
      </w:r>
      <w:proofErr w:type="spellStart"/>
      <w:r w:rsidRPr="00781132">
        <w:rPr>
          <w:rFonts w:ascii="Times New Roman" w:hAnsi="Times New Roman" w:cs="Times New Roman"/>
          <w:i/>
          <w:sz w:val="22"/>
          <w:szCs w:val="18"/>
        </w:rPr>
        <w:t>analysed</w:t>
      </w:r>
      <w:proofErr w:type="spellEnd"/>
      <w:r w:rsidRPr="00781132">
        <w:rPr>
          <w:rFonts w:ascii="Times New Roman" w:hAnsi="Times New Roman" w:cs="Times New Roman"/>
          <w:i/>
          <w:sz w:val="22"/>
          <w:szCs w:val="18"/>
        </w:rPr>
        <w:t xml:space="preserve"> in 7-d-old seedlings grown in short day conditions at 22°C. Genes </w:t>
      </w:r>
      <w:proofErr w:type="spellStart"/>
      <w:r w:rsidRPr="00781132">
        <w:rPr>
          <w:rFonts w:ascii="Times New Roman" w:hAnsi="Times New Roman" w:cs="Times New Roman"/>
          <w:i/>
          <w:sz w:val="22"/>
          <w:szCs w:val="18"/>
        </w:rPr>
        <w:t>analysed</w:t>
      </w:r>
      <w:proofErr w:type="spellEnd"/>
      <w:r w:rsidRPr="00781132">
        <w:rPr>
          <w:rFonts w:ascii="Times New Roman" w:hAnsi="Times New Roman" w:cs="Times New Roman"/>
          <w:i/>
          <w:sz w:val="22"/>
          <w:szCs w:val="18"/>
        </w:rPr>
        <w:t xml:space="preserve"> cover BBX set A (A), HY5/HYH (B) and BBX set B (C)</w:t>
      </w:r>
      <w:r>
        <w:rPr>
          <w:rFonts w:ascii="Times New Roman" w:hAnsi="Times New Roman" w:cs="Times New Roman"/>
          <w:i/>
          <w:sz w:val="22"/>
          <w:szCs w:val="18"/>
        </w:rPr>
        <w:t xml:space="preserve"> in cry1 cry2 (Col-0 background), </w:t>
      </w:r>
      <w:proofErr w:type="spellStart"/>
      <w:r>
        <w:rPr>
          <w:rFonts w:ascii="Times New Roman" w:hAnsi="Times New Roman" w:cs="Times New Roman"/>
          <w:i/>
          <w:sz w:val="22"/>
          <w:szCs w:val="18"/>
        </w:rPr>
        <w:t>phyA</w:t>
      </w:r>
      <w:proofErr w:type="spellEnd"/>
      <w:r>
        <w:rPr>
          <w:rFonts w:ascii="Times New Roman" w:hAnsi="Times New Roman" w:cs="Times New Roman"/>
          <w:i/>
          <w:sz w:val="22"/>
          <w:szCs w:val="18"/>
        </w:rPr>
        <w:t xml:space="preserve"> </w:t>
      </w:r>
      <w:proofErr w:type="spellStart"/>
      <w:r>
        <w:rPr>
          <w:rFonts w:ascii="Times New Roman" w:hAnsi="Times New Roman" w:cs="Times New Roman"/>
          <w:i/>
          <w:sz w:val="22"/>
          <w:szCs w:val="18"/>
        </w:rPr>
        <w:t>phyB</w:t>
      </w:r>
      <w:proofErr w:type="spellEnd"/>
      <w:r>
        <w:rPr>
          <w:rFonts w:ascii="Times New Roman" w:hAnsi="Times New Roman" w:cs="Times New Roman"/>
          <w:i/>
          <w:sz w:val="22"/>
          <w:szCs w:val="18"/>
        </w:rPr>
        <w:t xml:space="preserve"> and </w:t>
      </w:r>
      <w:proofErr w:type="spellStart"/>
      <w:r>
        <w:rPr>
          <w:rFonts w:ascii="Times New Roman" w:hAnsi="Times New Roman" w:cs="Times New Roman"/>
          <w:i/>
          <w:sz w:val="22"/>
          <w:szCs w:val="18"/>
        </w:rPr>
        <w:t>phyA</w:t>
      </w:r>
      <w:proofErr w:type="spellEnd"/>
      <w:r>
        <w:rPr>
          <w:rFonts w:ascii="Times New Roman" w:hAnsi="Times New Roman" w:cs="Times New Roman"/>
          <w:i/>
          <w:sz w:val="22"/>
          <w:szCs w:val="18"/>
        </w:rPr>
        <w:t xml:space="preserve"> </w:t>
      </w:r>
      <w:proofErr w:type="spellStart"/>
      <w:r>
        <w:rPr>
          <w:rFonts w:ascii="Times New Roman" w:hAnsi="Times New Roman" w:cs="Times New Roman"/>
          <w:i/>
          <w:sz w:val="22"/>
          <w:szCs w:val="18"/>
        </w:rPr>
        <w:t>phyB</w:t>
      </w:r>
      <w:proofErr w:type="spellEnd"/>
      <w:r>
        <w:rPr>
          <w:rFonts w:ascii="Times New Roman" w:hAnsi="Times New Roman" w:cs="Times New Roman"/>
          <w:i/>
          <w:sz w:val="22"/>
          <w:szCs w:val="18"/>
        </w:rPr>
        <w:t xml:space="preserve"> cry1 cry2 mutants (both </w:t>
      </w:r>
      <w:proofErr w:type="spellStart"/>
      <w:r>
        <w:rPr>
          <w:rFonts w:ascii="Times New Roman" w:hAnsi="Times New Roman" w:cs="Times New Roman"/>
          <w:i/>
          <w:sz w:val="22"/>
          <w:szCs w:val="18"/>
        </w:rPr>
        <w:t>Ler</w:t>
      </w:r>
      <w:proofErr w:type="spellEnd"/>
      <w:r>
        <w:rPr>
          <w:rFonts w:ascii="Times New Roman" w:hAnsi="Times New Roman" w:cs="Times New Roman"/>
          <w:i/>
          <w:sz w:val="22"/>
          <w:szCs w:val="18"/>
        </w:rPr>
        <w:t xml:space="preserve"> background)</w:t>
      </w:r>
      <w:r w:rsidRPr="00781132">
        <w:rPr>
          <w:rFonts w:ascii="Times New Roman" w:hAnsi="Times New Roman" w:cs="Times New Roman"/>
          <w:i/>
          <w:sz w:val="22"/>
          <w:szCs w:val="18"/>
        </w:rPr>
        <w:t>. Data represent the mean ± SEM of two biological replicates.</w:t>
      </w:r>
    </w:p>
    <w:p w14:paraId="4AE54F5B" w14:textId="77777777" w:rsidR="00641377" w:rsidRPr="004C1186" w:rsidRDefault="00641377" w:rsidP="004C1186"/>
    <w:p w14:paraId="02BFBCE7" w14:textId="4AF1031A" w:rsidR="00A56169" w:rsidRDefault="00A56169" w:rsidP="00A56169">
      <w:pPr>
        <w:pStyle w:val="Caption"/>
        <w:rPr>
          <w:rFonts w:ascii="Arial" w:hAnsi="Arial" w:cs="Arial"/>
          <w:b/>
        </w:rPr>
      </w:pPr>
      <w:r>
        <w:rPr>
          <w:rFonts w:ascii="Arial" w:hAnsi="Arial" w:cs="Arial"/>
          <w:b/>
          <w:noProof/>
          <w:lang w:eastAsia="en-GB"/>
        </w:rPr>
        <w:lastRenderedPageBreak/>
        <w:drawing>
          <wp:inline distT="0" distB="0" distL="0" distR="0" wp14:anchorId="1C18CD97" wp14:editId="7E93D33F">
            <wp:extent cx="5648770" cy="5834081"/>
            <wp:effectExtent l="0" t="0" r="317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S6_Dawn_PPR.pdf"/>
                    <pic:cNvPicPr/>
                  </pic:nvPicPr>
                  <pic:blipFill>
                    <a:blip r:embed="rId12">
                      <a:extLst>
                        <a:ext uri="{28A0092B-C50C-407E-A947-70E740481C1C}">
                          <a14:useLocalDpi xmlns:a14="http://schemas.microsoft.com/office/drawing/2010/main" val="0"/>
                        </a:ext>
                      </a:extLst>
                    </a:blip>
                    <a:stretch>
                      <a:fillRect/>
                    </a:stretch>
                  </pic:blipFill>
                  <pic:spPr>
                    <a:xfrm>
                      <a:off x="0" y="0"/>
                      <a:ext cx="5657086" cy="5842669"/>
                    </a:xfrm>
                    <a:prstGeom prst="rect">
                      <a:avLst/>
                    </a:prstGeom>
                  </pic:spPr>
                </pic:pic>
              </a:graphicData>
            </a:graphic>
          </wp:inline>
        </w:drawing>
      </w:r>
      <w:r w:rsidR="00760559" w:rsidRPr="00760559">
        <w:rPr>
          <w:rFonts w:ascii="Arial" w:hAnsi="Arial" w:cs="Arial"/>
          <w:b/>
        </w:rPr>
        <w:t xml:space="preserve"> </w:t>
      </w:r>
    </w:p>
    <w:p w14:paraId="16A00C09" w14:textId="1B10D982" w:rsidR="00A56169" w:rsidRPr="004C1186" w:rsidRDefault="00A56169" w:rsidP="00A56169">
      <w:pPr>
        <w:pStyle w:val="Caption"/>
        <w:rPr>
          <w:sz w:val="22"/>
        </w:rPr>
      </w:pPr>
      <w:r w:rsidRPr="004C1186">
        <w:rPr>
          <w:b/>
          <w:sz w:val="22"/>
        </w:rPr>
        <w:t>Figure S</w:t>
      </w:r>
      <w:r w:rsidR="00641377">
        <w:rPr>
          <w:b/>
          <w:sz w:val="22"/>
        </w:rPr>
        <w:t>7</w:t>
      </w:r>
      <w:r w:rsidRPr="004C1186">
        <w:rPr>
          <w:sz w:val="22"/>
        </w:rPr>
        <w:t xml:space="preserve">: Expression profiles of PHY, CRY and HY/BBX subnetwork genes (A) These are the gene expression profiles (in transcripts per million, TPM) of the same genes in Fig 4, but for the prr5prr7prr9 mutant and Col-0.  The BBX set B genes are shown in Fig S7 C. (B) These are the gene expression profiles (in TPM) of the same genes in Fig 4, but for the hsfa1QK mutant and Col-0.  The BBX set B genes are shown in Fig S7 C. (C) These are the gene expression profiles for the BBX set B genes (see Fig 4).  </w:t>
      </w:r>
    </w:p>
    <w:p w14:paraId="02AC9535" w14:textId="2AC46204" w:rsidR="006071F2" w:rsidRDefault="006071F2" w:rsidP="006071F2">
      <w:pPr>
        <w:pStyle w:val="BodyText"/>
        <w:keepNext/>
      </w:pPr>
    </w:p>
    <w:p w14:paraId="44272BDA" w14:textId="589C9BE8" w:rsidR="00BC1589" w:rsidRPr="008C6C8F" w:rsidRDefault="008444F0" w:rsidP="00BC1589">
      <w:pPr>
        <w:pStyle w:val="BodyText"/>
        <w:spacing w:line="360" w:lineRule="auto"/>
        <w:rPr>
          <w:rFonts w:ascii="Arial" w:hAnsi="Arial" w:cs="Arial"/>
          <w:sz w:val="22"/>
        </w:rPr>
      </w:pPr>
      <w:r w:rsidRPr="005D6489">
        <w:rPr>
          <w:rFonts w:ascii="Arial" w:hAnsi="Arial" w:cs="Arial"/>
        </w:rPr>
        <w:br/>
      </w:r>
    </w:p>
    <w:p w14:paraId="594B1925" w14:textId="26A13375" w:rsidR="001E0DD7" w:rsidRDefault="004C1186"/>
    <w:p w14:paraId="02804656" w14:textId="77777777" w:rsidR="00C62397" w:rsidRDefault="00C62397"/>
    <w:p w14:paraId="0E17082B" w14:textId="77777777" w:rsidR="00C62397" w:rsidRDefault="00C62397"/>
    <w:p w14:paraId="24A11292" w14:textId="77777777" w:rsidR="00C62397" w:rsidRDefault="00C62397"/>
    <w:p w14:paraId="761783D8" w14:textId="77777777" w:rsidR="00C62397" w:rsidRDefault="00C62397"/>
    <w:p w14:paraId="7F29EA94" w14:textId="20CCA753" w:rsidR="00C62397" w:rsidRDefault="00F16D91">
      <w:r>
        <w:rPr>
          <w:noProof/>
          <w:lang w:eastAsia="en-GB"/>
        </w:rPr>
        <w:lastRenderedPageBreak/>
        <w:drawing>
          <wp:inline distT="0" distB="0" distL="0" distR="0" wp14:anchorId="663BDB4A" wp14:editId="20515DE1">
            <wp:extent cx="5633870" cy="7392112"/>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S8.png"/>
                    <pic:cNvPicPr/>
                  </pic:nvPicPr>
                  <pic:blipFill>
                    <a:blip r:embed="rId13">
                      <a:extLst>
                        <a:ext uri="{28A0092B-C50C-407E-A947-70E740481C1C}">
                          <a14:useLocalDpi xmlns:a14="http://schemas.microsoft.com/office/drawing/2010/main" val="0"/>
                        </a:ext>
                      </a:extLst>
                    </a:blip>
                    <a:stretch>
                      <a:fillRect/>
                    </a:stretch>
                  </pic:blipFill>
                  <pic:spPr>
                    <a:xfrm>
                      <a:off x="0" y="0"/>
                      <a:ext cx="5635640" cy="7394434"/>
                    </a:xfrm>
                    <a:prstGeom prst="rect">
                      <a:avLst/>
                    </a:prstGeom>
                  </pic:spPr>
                </pic:pic>
              </a:graphicData>
            </a:graphic>
          </wp:inline>
        </w:drawing>
      </w:r>
    </w:p>
    <w:p w14:paraId="7F0C9D1D" w14:textId="6564C35D" w:rsidR="004E1CDB" w:rsidRDefault="00C62397">
      <w:r w:rsidRPr="004C1186">
        <w:rPr>
          <w:rFonts w:eastAsiaTheme="minorHAnsi"/>
          <w:b/>
          <w:i/>
          <w:sz w:val="22"/>
          <w:szCs w:val="18"/>
          <w:lang w:val="en-US"/>
        </w:rPr>
        <w:t>Figure S</w:t>
      </w:r>
      <w:r w:rsidR="00096DBA">
        <w:rPr>
          <w:b/>
          <w:i/>
          <w:sz w:val="22"/>
          <w:szCs w:val="18"/>
        </w:rPr>
        <w:t>8</w:t>
      </w:r>
      <w:r w:rsidRPr="004C1186">
        <w:rPr>
          <w:rFonts w:eastAsiaTheme="minorHAnsi"/>
          <w:i/>
          <w:sz w:val="22"/>
          <w:szCs w:val="18"/>
          <w:lang w:val="en-US"/>
        </w:rPr>
        <w:t xml:space="preserve">: </w:t>
      </w:r>
      <w:r w:rsidR="00096DBA" w:rsidRPr="00096DBA">
        <w:rPr>
          <w:i/>
          <w:sz w:val="22"/>
          <w:szCs w:val="18"/>
        </w:rPr>
        <w:t xml:space="preserve">Gene expression profiles monitored by qPCR for genes related to the key BBX/HY5 subnetwork. Expression was </w:t>
      </w:r>
      <w:proofErr w:type="spellStart"/>
      <w:r w:rsidR="00096DBA" w:rsidRPr="00096DBA">
        <w:rPr>
          <w:i/>
          <w:sz w:val="22"/>
          <w:szCs w:val="18"/>
        </w:rPr>
        <w:t>analysed</w:t>
      </w:r>
      <w:proofErr w:type="spellEnd"/>
      <w:r w:rsidR="00096DBA" w:rsidRPr="00096DBA">
        <w:rPr>
          <w:i/>
          <w:sz w:val="22"/>
          <w:szCs w:val="18"/>
        </w:rPr>
        <w:t xml:space="preserve"> in 7-d-old seedlings grown in short day conditions at 22°C. Genes </w:t>
      </w:r>
      <w:proofErr w:type="spellStart"/>
      <w:r w:rsidR="00096DBA" w:rsidRPr="00096DBA">
        <w:rPr>
          <w:i/>
          <w:sz w:val="22"/>
          <w:szCs w:val="18"/>
        </w:rPr>
        <w:t>analysed</w:t>
      </w:r>
      <w:proofErr w:type="spellEnd"/>
      <w:r w:rsidR="00096DBA" w:rsidRPr="00096DBA">
        <w:rPr>
          <w:i/>
          <w:sz w:val="22"/>
          <w:szCs w:val="18"/>
        </w:rPr>
        <w:t xml:space="preserve"> cover rep</w:t>
      </w:r>
      <w:r w:rsidR="00096DBA">
        <w:rPr>
          <w:i/>
          <w:sz w:val="22"/>
          <w:szCs w:val="18"/>
        </w:rPr>
        <w:t>resentatives of BBX set A (BBX24, BBX25,</w:t>
      </w:r>
      <w:r w:rsidR="009D6448">
        <w:rPr>
          <w:i/>
          <w:sz w:val="22"/>
          <w:szCs w:val="18"/>
        </w:rPr>
        <w:t xml:space="preserve"> </w:t>
      </w:r>
      <w:r w:rsidR="00096DBA">
        <w:rPr>
          <w:i/>
          <w:sz w:val="22"/>
          <w:szCs w:val="18"/>
        </w:rPr>
        <w:t>BBX30 and BBX32</w:t>
      </w:r>
      <w:r w:rsidR="00096DBA" w:rsidRPr="00096DBA">
        <w:rPr>
          <w:i/>
          <w:sz w:val="22"/>
          <w:szCs w:val="18"/>
        </w:rPr>
        <w:t>) (A</w:t>
      </w:r>
      <w:r w:rsidR="00096DBA">
        <w:rPr>
          <w:i/>
          <w:sz w:val="22"/>
          <w:szCs w:val="18"/>
        </w:rPr>
        <w:t xml:space="preserve">) </w:t>
      </w:r>
      <w:r w:rsidR="00096DBA" w:rsidRPr="00096DBA">
        <w:rPr>
          <w:i/>
          <w:sz w:val="22"/>
          <w:szCs w:val="18"/>
        </w:rPr>
        <w:t>and the put</w:t>
      </w:r>
      <w:r w:rsidR="00096DBA">
        <w:rPr>
          <w:i/>
          <w:sz w:val="22"/>
          <w:szCs w:val="18"/>
        </w:rPr>
        <w:t>ative HY5/BBX target genes BBX27, CCR1, PIF4 and PYE</w:t>
      </w:r>
      <w:r w:rsidR="00096DBA" w:rsidRPr="00096DBA">
        <w:rPr>
          <w:i/>
          <w:sz w:val="22"/>
          <w:szCs w:val="18"/>
        </w:rPr>
        <w:t xml:space="preserve"> (</w:t>
      </w:r>
      <w:r w:rsidR="009D6448">
        <w:rPr>
          <w:i/>
          <w:sz w:val="22"/>
          <w:szCs w:val="18"/>
        </w:rPr>
        <w:t>B</w:t>
      </w:r>
      <w:r w:rsidR="00096DBA" w:rsidRPr="00096DBA">
        <w:rPr>
          <w:i/>
          <w:sz w:val="22"/>
          <w:szCs w:val="18"/>
        </w:rPr>
        <w:t xml:space="preserve">). Their expression was </w:t>
      </w:r>
      <w:r w:rsidR="009D6448">
        <w:rPr>
          <w:i/>
          <w:sz w:val="22"/>
          <w:szCs w:val="18"/>
        </w:rPr>
        <w:t>monitored</w:t>
      </w:r>
      <w:r w:rsidR="00096DBA" w:rsidRPr="00096DBA">
        <w:rPr>
          <w:i/>
          <w:sz w:val="22"/>
          <w:szCs w:val="18"/>
        </w:rPr>
        <w:t xml:space="preserve"> during an extended night at the start of day 8 (night extension, left column), in </w:t>
      </w:r>
      <w:proofErr w:type="spellStart"/>
      <w:r w:rsidR="00096DBA" w:rsidRPr="00096DBA">
        <w:rPr>
          <w:i/>
          <w:sz w:val="22"/>
          <w:szCs w:val="18"/>
        </w:rPr>
        <w:t>phyA</w:t>
      </w:r>
      <w:proofErr w:type="spellEnd"/>
      <w:r w:rsidR="00096DBA" w:rsidRPr="00096DBA">
        <w:rPr>
          <w:i/>
          <w:sz w:val="22"/>
          <w:szCs w:val="18"/>
        </w:rPr>
        <w:t xml:space="preserve"> </w:t>
      </w:r>
      <w:proofErr w:type="spellStart"/>
      <w:r w:rsidR="00096DBA" w:rsidRPr="00096DBA">
        <w:rPr>
          <w:i/>
          <w:sz w:val="22"/>
          <w:szCs w:val="18"/>
        </w:rPr>
        <w:t>phyB</w:t>
      </w:r>
      <w:proofErr w:type="spellEnd"/>
      <w:r w:rsidR="00096DBA" w:rsidRPr="00096DBA">
        <w:rPr>
          <w:i/>
          <w:sz w:val="22"/>
          <w:szCs w:val="18"/>
        </w:rPr>
        <w:t xml:space="preserve"> cry1 cry2, prr5 prr7 prr9 and hsfa1QK mutants (middle column), in hy5 </w:t>
      </w:r>
      <w:proofErr w:type="spellStart"/>
      <w:r w:rsidR="00096DBA" w:rsidRPr="00096DBA">
        <w:rPr>
          <w:i/>
          <w:sz w:val="22"/>
          <w:szCs w:val="18"/>
        </w:rPr>
        <w:t>hyh</w:t>
      </w:r>
      <w:proofErr w:type="spellEnd"/>
      <w:r w:rsidR="00096DBA" w:rsidRPr="00096DBA">
        <w:rPr>
          <w:i/>
          <w:sz w:val="22"/>
          <w:szCs w:val="18"/>
        </w:rPr>
        <w:t xml:space="preserve"> and bbx30 bbx31 mutants and a </w:t>
      </w:r>
      <w:r w:rsidR="00096DBA">
        <w:rPr>
          <w:i/>
          <w:sz w:val="22"/>
          <w:szCs w:val="18"/>
        </w:rPr>
        <w:t>BBX31-Ox</w:t>
      </w:r>
      <w:r w:rsidR="00096DBA" w:rsidRPr="00096DBA">
        <w:rPr>
          <w:i/>
          <w:sz w:val="22"/>
          <w:szCs w:val="18"/>
        </w:rPr>
        <w:t xml:space="preserve"> line (right column). Data represent the mean ± </w:t>
      </w:r>
      <w:r w:rsidR="00096DBA">
        <w:rPr>
          <w:i/>
          <w:sz w:val="22"/>
          <w:szCs w:val="18"/>
        </w:rPr>
        <w:t>SEM</w:t>
      </w:r>
      <w:r w:rsidR="00096DBA" w:rsidRPr="00096DBA">
        <w:rPr>
          <w:i/>
          <w:sz w:val="22"/>
          <w:szCs w:val="18"/>
        </w:rPr>
        <w:t xml:space="preserve"> of three biological replicates. Note the Col-0 pattern is shown in all panels for comparison.</w:t>
      </w:r>
    </w:p>
    <w:sectPr w:rsidR="004E1CDB" w:rsidSect="005978C9">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DE32BD"/>
    <w:multiLevelType w:val="hybridMultilevel"/>
    <w:tmpl w:val="A4562A02"/>
    <w:lvl w:ilvl="0" w:tplc="3FEEEF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589"/>
    <w:rsid w:val="00076C6B"/>
    <w:rsid w:val="00096DBA"/>
    <w:rsid w:val="00117C9B"/>
    <w:rsid w:val="00153514"/>
    <w:rsid w:val="001A01C4"/>
    <w:rsid w:val="001A095B"/>
    <w:rsid w:val="00205669"/>
    <w:rsid w:val="00262ABE"/>
    <w:rsid w:val="002A256A"/>
    <w:rsid w:val="00341C6C"/>
    <w:rsid w:val="00356A69"/>
    <w:rsid w:val="00390B03"/>
    <w:rsid w:val="003E7A64"/>
    <w:rsid w:val="003F1D47"/>
    <w:rsid w:val="0040155D"/>
    <w:rsid w:val="00421B98"/>
    <w:rsid w:val="0046116C"/>
    <w:rsid w:val="004669FC"/>
    <w:rsid w:val="004815B8"/>
    <w:rsid w:val="00495CBE"/>
    <w:rsid w:val="004A45B4"/>
    <w:rsid w:val="004C1186"/>
    <w:rsid w:val="004E1CDB"/>
    <w:rsid w:val="004F2E66"/>
    <w:rsid w:val="004F31E3"/>
    <w:rsid w:val="0056710E"/>
    <w:rsid w:val="00572BC6"/>
    <w:rsid w:val="005754B9"/>
    <w:rsid w:val="00590251"/>
    <w:rsid w:val="005978C9"/>
    <w:rsid w:val="005D69E1"/>
    <w:rsid w:val="005E3CB7"/>
    <w:rsid w:val="006071F2"/>
    <w:rsid w:val="006125EE"/>
    <w:rsid w:val="00641377"/>
    <w:rsid w:val="006979DD"/>
    <w:rsid w:val="006D1B03"/>
    <w:rsid w:val="0071761E"/>
    <w:rsid w:val="00734020"/>
    <w:rsid w:val="00760559"/>
    <w:rsid w:val="007C0A84"/>
    <w:rsid w:val="007C218B"/>
    <w:rsid w:val="007C5FF0"/>
    <w:rsid w:val="007F0AD0"/>
    <w:rsid w:val="008444F0"/>
    <w:rsid w:val="00892AB4"/>
    <w:rsid w:val="008A1621"/>
    <w:rsid w:val="00956BD6"/>
    <w:rsid w:val="00972146"/>
    <w:rsid w:val="00974FD3"/>
    <w:rsid w:val="009D53CF"/>
    <w:rsid w:val="009D6448"/>
    <w:rsid w:val="009F2F4B"/>
    <w:rsid w:val="00A56169"/>
    <w:rsid w:val="00A635D1"/>
    <w:rsid w:val="00A834E7"/>
    <w:rsid w:val="00AD0C01"/>
    <w:rsid w:val="00B8772E"/>
    <w:rsid w:val="00B96B18"/>
    <w:rsid w:val="00BB41AF"/>
    <w:rsid w:val="00BC1589"/>
    <w:rsid w:val="00BD4DEF"/>
    <w:rsid w:val="00BE21E9"/>
    <w:rsid w:val="00C033B6"/>
    <w:rsid w:val="00C125A3"/>
    <w:rsid w:val="00C156F1"/>
    <w:rsid w:val="00C62397"/>
    <w:rsid w:val="00C84D13"/>
    <w:rsid w:val="00C92789"/>
    <w:rsid w:val="00D1046C"/>
    <w:rsid w:val="00D42DF4"/>
    <w:rsid w:val="00D852D9"/>
    <w:rsid w:val="00D968AC"/>
    <w:rsid w:val="00DA21A6"/>
    <w:rsid w:val="00DD7F27"/>
    <w:rsid w:val="00E031BF"/>
    <w:rsid w:val="00E33FF0"/>
    <w:rsid w:val="00F16D91"/>
    <w:rsid w:val="00F242AA"/>
    <w:rsid w:val="00F3536A"/>
    <w:rsid w:val="00F53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4DA2B"/>
  <w14:defaultImageDpi w14:val="32767"/>
  <w15:chartTrackingRefBased/>
  <w15:docId w15:val="{6CAB50CA-525D-D844-A5E3-4F9BB5A86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58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C1589"/>
    <w:pPr>
      <w:spacing w:before="180" w:after="180"/>
    </w:pPr>
    <w:rPr>
      <w:rFonts w:asciiTheme="minorHAnsi" w:eastAsiaTheme="minorHAnsi" w:hAnsiTheme="minorHAnsi" w:cstheme="minorBidi"/>
      <w:lang w:val="en-US"/>
    </w:rPr>
  </w:style>
  <w:style w:type="character" w:customStyle="1" w:styleId="BodyTextChar">
    <w:name w:val="Body Text Char"/>
    <w:basedOn w:val="DefaultParagraphFont"/>
    <w:link w:val="BodyText"/>
    <w:rsid w:val="00BC1589"/>
    <w:rPr>
      <w:lang w:val="en-US"/>
    </w:rPr>
  </w:style>
  <w:style w:type="paragraph" w:styleId="Title">
    <w:name w:val="Title"/>
    <w:basedOn w:val="Normal"/>
    <w:next w:val="BodyText"/>
    <w:link w:val="TitleChar"/>
    <w:qFormat/>
    <w:rsid w:val="00BC1589"/>
    <w:pPr>
      <w:keepNext/>
      <w:keepLines/>
      <w:spacing w:before="480" w:after="240"/>
      <w:jc w:val="center"/>
    </w:pPr>
    <w:rPr>
      <w:rFonts w:asciiTheme="majorHAnsi" w:eastAsiaTheme="majorEastAsia" w:hAnsiTheme="majorHAnsi" w:cstheme="majorBidi"/>
      <w:b/>
      <w:bCs/>
      <w:color w:val="2D4F8E" w:themeColor="accent1" w:themeShade="B5"/>
      <w:sz w:val="36"/>
      <w:szCs w:val="36"/>
      <w:lang w:val="en-US"/>
    </w:rPr>
  </w:style>
  <w:style w:type="character" w:customStyle="1" w:styleId="TitleChar">
    <w:name w:val="Title Char"/>
    <w:basedOn w:val="DefaultParagraphFont"/>
    <w:link w:val="Title"/>
    <w:rsid w:val="00BC1589"/>
    <w:rPr>
      <w:rFonts w:asciiTheme="majorHAnsi" w:eastAsiaTheme="majorEastAsia" w:hAnsiTheme="majorHAnsi" w:cstheme="majorBidi"/>
      <w:b/>
      <w:bCs/>
      <w:color w:val="2D4F8E" w:themeColor="accent1" w:themeShade="B5"/>
      <w:sz w:val="36"/>
      <w:szCs w:val="36"/>
      <w:lang w:val="en-US"/>
    </w:rPr>
  </w:style>
  <w:style w:type="paragraph" w:customStyle="1" w:styleId="Author">
    <w:name w:val="Author"/>
    <w:next w:val="BodyText"/>
    <w:qFormat/>
    <w:rsid w:val="00BC1589"/>
    <w:pPr>
      <w:keepNext/>
      <w:keepLines/>
      <w:spacing w:after="200"/>
      <w:jc w:val="center"/>
    </w:pPr>
    <w:rPr>
      <w:lang w:val="en-US"/>
    </w:rPr>
  </w:style>
  <w:style w:type="character" w:styleId="CommentReference">
    <w:name w:val="annotation reference"/>
    <w:basedOn w:val="DefaultParagraphFont"/>
    <w:semiHidden/>
    <w:unhideWhenUsed/>
    <w:rsid w:val="00BC1589"/>
    <w:rPr>
      <w:sz w:val="16"/>
      <w:szCs w:val="16"/>
    </w:rPr>
  </w:style>
  <w:style w:type="paragraph" w:styleId="CommentText">
    <w:name w:val="annotation text"/>
    <w:basedOn w:val="Normal"/>
    <w:link w:val="CommentTextChar"/>
    <w:semiHidden/>
    <w:unhideWhenUsed/>
    <w:rsid w:val="00BC1589"/>
    <w:pPr>
      <w:spacing w:after="20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semiHidden/>
    <w:rsid w:val="00BC1589"/>
    <w:rPr>
      <w:sz w:val="20"/>
      <w:szCs w:val="20"/>
      <w:lang w:val="en-US"/>
    </w:rPr>
  </w:style>
  <w:style w:type="paragraph" w:styleId="BalloonText">
    <w:name w:val="Balloon Text"/>
    <w:basedOn w:val="Normal"/>
    <w:link w:val="BalloonTextChar"/>
    <w:uiPriority w:val="99"/>
    <w:semiHidden/>
    <w:unhideWhenUsed/>
    <w:rsid w:val="00BC1589"/>
    <w:rPr>
      <w:sz w:val="18"/>
      <w:szCs w:val="18"/>
    </w:rPr>
  </w:style>
  <w:style w:type="character" w:customStyle="1" w:styleId="BalloonTextChar">
    <w:name w:val="Balloon Text Char"/>
    <w:basedOn w:val="DefaultParagraphFont"/>
    <w:link w:val="BalloonText"/>
    <w:uiPriority w:val="99"/>
    <w:semiHidden/>
    <w:rsid w:val="00BC1589"/>
    <w:rPr>
      <w:rFonts w:ascii="Times New Roman" w:eastAsia="Times New Roman" w:hAnsi="Times New Roman" w:cs="Times New Roman"/>
      <w:sz w:val="18"/>
      <w:szCs w:val="18"/>
    </w:rPr>
  </w:style>
  <w:style w:type="paragraph" w:styleId="Caption">
    <w:name w:val="caption"/>
    <w:basedOn w:val="Normal"/>
    <w:next w:val="Normal"/>
    <w:uiPriority w:val="35"/>
    <w:unhideWhenUsed/>
    <w:qFormat/>
    <w:rsid w:val="007F0AD0"/>
    <w:pPr>
      <w:spacing w:after="200"/>
    </w:pPr>
    <w:rPr>
      <w:i/>
      <w:iCs/>
      <w:color w:val="44546A" w:themeColor="text2"/>
      <w:sz w:val="18"/>
      <w:szCs w:val="18"/>
    </w:rPr>
  </w:style>
  <w:style w:type="paragraph" w:customStyle="1" w:styleId="FirstParagraph">
    <w:name w:val="First Paragraph"/>
    <w:basedOn w:val="BodyText"/>
    <w:next w:val="BodyText"/>
    <w:qFormat/>
    <w:rsid w:val="00974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16CC3-3BB3-4250-B105-8C5C55A9C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1369</Words>
  <Characters>7808</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Ezer</dc:creator>
  <cp:keywords/>
  <dc:description/>
  <cp:lastModifiedBy>Daphne Ezer</cp:lastModifiedBy>
  <cp:revision>5</cp:revision>
  <dcterms:created xsi:type="dcterms:W3CDTF">2021-02-02T09:17:00Z</dcterms:created>
  <dcterms:modified xsi:type="dcterms:W3CDTF">2021-02-03T11:17:00Z</dcterms:modified>
</cp:coreProperties>
</file>