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F69AB" w14:textId="2113D6E1" w:rsidR="007760E9" w:rsidRPr="00B1011A" w:rsidRDefault="007760E9" w:rsidP="007760E9">
      <w:pPr>
        <w:rPr>
          <w:b/>
          <w:bCs/>
          <w:sz w:val="28"/>
          <w:szCs w:val="28"/>
        </w:rPr>
      </w:pPr>
      <w:r w:rsidRPr="009033EC">
        <w:rPr>
          <w:b/>
          <w:bCs/>
          <w:sz w:val="28"/>
          <w:szCs w:val="28"/>
        </w:rPr>
        <w:t>Engagement with health</w:t>
      </w:r>
      <w:r>
        <w:rPr>
          <w:b/>
          <w:bCs/>
          <w:sz w:val="28"/>
          <w:szCs w:val="28"/>
        </w:rPr>
        <w:t xml:space="preserve"> in national climate change commitments under the Paris Agreement</w:t>
      </w:r>
      <w:r w:rsidR="00281ACA">
        <w:rPr>
          <w:b/>
          <w:bCs/>
          <w:sz w:val="28"/>
          <w:szCs w:val="28"/>
        </w:rPr>
        <w:t xml:space="preserve">: </w:t>
      </w:r>
      <w:r w:rsidR="00560490">
        <w:rPr>
          <w:b/>
          <w:bCs/>
          <w:sz w:val="28"/>
          <w:szCs w:val="28"/>
        </w:rPr>
        <w:t>A g</w:t>
      </w:r>
      <w:r w:rsidR="00281ACA">
        <w:rPr>
          <w:b/>
          <w:bCs/>
          <w:sz w:val="28"/>
          <w:szCs w:val="28"/>
        </w:rPr>
        <w:t>lobal mixed-methods analysis of the Nationally Determined Contributions</w:t>
      </w:r>
    </w:p>
    <w:p w14:paraId="1F258E67" w14:textId="77777777" w:rsidR="007760E9" w:rsidRDefault="007760E9" w:rsidP="007760E9"/>
    <w:p w14:paraId="7ED4D19E" w14:textId="77777777" w:rsidR="007760E9" w:rsidRDefault="007760E9" w:rsidP="007760E9"/>
    <w:p w14:paraId="457A9030" w14:textId="77777777" w:rsidR="007760E9" w:rsidRDefault="007760E9" w:rsidP="007760E9">
      <w:r>
        <w:t>Niheer Dasandi, PhD</w:t>
      </w:r>
    </w:p>
    <w:p w14:paraId="09FA4999" w14:textId="77777777" w:rsidR="007760E9" w:rsidRDefault="007760E9" w:rsidP="007760E9">
      <w:r>
        <w:t>University of Birmingham</w:t>
      </w:r>
    </w:p>
    <w:p w14:paraId="61E622FC" w14:textId="77777777" w:rsidR="007760E9" w:rsidRDefault="007760E9" w:rsidP="007760E9"/>
    <w:p w14:paraId="54D9046C" w14:textId="53321635" w:rsidR="007760E9" w:rsidRDefault="005568DD" w:rsidP="007760E9">
      <w:r>
        <w:t xml:space="preserve">Prof </w:t>
      </w:r>
      <w:r w:rsidR="007760E9">
        <w:t>Hilary Graham, PhD</w:t>
      </w:r>
    </w:p>
    <w:p w14:paraId="248B8C23" w14:textId="77777777" w:rsidR="007760E9" w:rsidRDefault="007760E9" w:rsidP="007760E9">
      <w:r>
        <w:t>University of York</w:t>
      </w:r>
    </w:p>
    <w:p w14:paraId="188BD995" w14:textId="77777777" w:rsidR="007760E9" w:rsidRDefault="007760E9" w:rsidP="007760E9"/>
    <w:p w14:paraId="4826EBD1" w14:textId="77777777" w:rsidR="007760E9" w:rsidRDefault="007760E9" w:rsidP="007760E9">
      <w:r>
        <w:t xml:space="preserve">Pete Lampard, PhD </w:t>
      </w:r>
    </w:p>
    <w:p w14:paraId="18317DBB" w14:textId="77777777" w:rsidR="007760E9" w:rsidRDefault="007760E9" w:rsidP="007760E9">
      <w:r>
        <w:t>University of York</w:t>
      </w:r>
    </w:p>
    <w:p w14:paraId="3DB12961" w14:textId="77777777" w:rsidR="007760E9" w:rsidRDefault="007760E9" w:rsidP="007760E9"/>
    <w:p w14:paraId="508D3BCA" w14:textId="5082C98F" w:rsidR="007760E9" w:rsidRDefault="005568DD" w:rsidP="007760E9">
      <w:r>
        <w:t xml:space="preserve">Prof </w:t>
      </w:r>
      <w:r w:rsidR="007760E9">
        <w:t xml:space="preserve">Slava </w:t>
      </w:r>
      <w:proofErr w:type="spellStart"/>
      <w:r w:rsidR="007760E9">
        <w:t>Jankin</w:t>
      </w:r>
      <w:proofErr w:type="spellEnd"/>
      <w:r w:rsidR="007760E9">
        <w:t xml:space="preserve"> </w:t>
      </w:r>
      <w:proofErr w:type="spellStart"/>
      <w:r w:rsidR="007760E9">
        <w:t>Mikhaylov</w:t>
      </w:r>
      <w:proofErr w:type="spellEnd"/>
      <w:r w:rsidR="007760E9">
        <w:t>, PhD</w:t>
      </w:r>
    </w:p>
    <w:p w14:paraId="553B8E25" w14:textId="77777777" w:rsidR="007760E9" w:rsidRDefault="007760E9" w:rsidP="007760E9">
      <w:r>
        <w:t>Hertie School, Berlin</w:t>
      </w:r>
    </w:p>
    <w:p w14:paraId="68C91282" w14:textId="77777777" w:rsidR="007760E9" w:rsidRDefault="007760E9" w:rsidP="007760E9"/>
    <w:p w14:paraId="04D7E2BE" w14:textId="77777777" w:rsidR="007760E9" w:rsidRDefault="007760E9" w:rsidP="007760E9">
      <w:pPr>
        <w:jc w:val="left"/>
      </w:pPr>
    </w:p>
    <w:p w14:paraId="69223A82" w14:textId="77777777" w:rsidR="007760E9" w:rsidRDefault="007760E9" w:rsidP="007760E9">
      <w:pPr>
        <w:jc w:val="left"/>
      </w:pPr>
    </w:p>
    <w:p w14:paraId="612B82DD" w14:textId="77777777" w:rsidR="007760E9" w:rsidRDefault="007760E9" w:rsidP="007760E9">
      <w:pPr>
        <w:jc w:val="left"/>
        <w:rPr>
          <w:b/>
          <w:bCs/>
        </w:rPr>
      </w:pPr>
    </w:p>
    <w:p w14:paraId="5D4838DE" w14:textId="77777777" w:rsidR="007760E9" w:rsidRDefault="007760E9" w:rsidP="007760E9">
      <w:pPr>
        <w:jc w:val="left"/>
        <w:rPr>
          <w:b/>
          <w:bCs/>
        </w:rPr>
      </w:pPr>
    </w:p>
    <w:p w14:paraId="36BA7BA9" w14:textId="77777777" w:rsidR="007760E9" w:rsidRDefault="007760E9" w:rsidP="007760E9">
      <w:pPr>
        <w:jc w:val="left"/>
        <w:rPr>
          <w:b/>
          <w:bCs/>
        </w:rPr>
      </w:pPr>
    </w:p>
    <w:p w14:paraId="2B26C229" w14:textId="77777777" w:rsidR="007760E9" w:rsidRPr="0010253F" w:rsidRDefault="007760E9" w:rsidP="007760E9">
      <w:pPr>
        <w:jc w:val="left"/>
        <w:rPr>
          <w:b/>
          <w:bCs/>
        </w:rPr>
      </w:pPr>
      <w:r w:rsidRPr="0010253F">
        <w:rPr>
          <w:b/>
          <w:bCs/>
        </w:rPr>
        <w:t>Corresponding author:</w:t>
      </w:r>
    </w:p>
    <w:p w14:paraId="08F3687A" w14:textId="77777777" w:rsidR="007760E9" w:rsidRDefault="007760E9" w:rsidP="007760E9">
      <w:pPr>
        <w:jc w:val="left"/>
      </w:pPr>
      <w:r>
        <w:t>Niheer Dasandi</w:t>
      </w:r>
    </w:p>
    <w:p w14:paraId="7CFBD207" w14:textId="77777777" w:rsidR="007760E9" w:rsidRDefault="007760E9" w:rsidP="007760E9">
      <w:pPr>
        <w:jc w:val="left"/>
      </w:pPr>
      <w:r>
        <w:t>Affiliation: School of Government, University of Birmingham</w:t>
      </w:r>
    </w:p>
    <w:p w14:paraId="63B56235" w14:textId="77777777" w:rsidR="007760E9" w:rsidRDefault="007760E9" w:rsidP="007760E9">
      <w:pPr>
        <w:jc w:val="left"/>
      </w:pPr>
      <w:r>
        <w:t>Address: 1143 Muirhead Tower, Edgbaston, Birmingham B15 2TT, UK.</w:t>
      </w:r>
    </w:p>
    <w:p w14:paraId="40857B46" w14:textId="77777777" w:rsidR="007760E9" w:rsidRDefault="007760E9" w:rsidP="007760E9">
      <w:pPr>
        <w:jc w:val="left"/>
      </w:pPr>
      <w:r>
        <w:t xml:space="preserve">Email: </w:t>
      </w:r>
      <w:hyperlink r:id="rId8" w:history="1">
        <w:r w:rsidRPr="00DE432D">
          <w:rPr>
            <w:rStyle w:val="Hyperlink"/>
          </w:rPr>
          <w:t>n.dasandi@bham.ac.uk</w:t>
        </w:r>
      </w:hyperlink>
    </w:p>
    <w:p w14:paraId="5BD6F51C" w14:textId="77777777" w:rsidR="007760E9" w:rsidRDefault="007760E9" w:rsidP="007760E9">
      <w:pPr>
        <w:jc w:val="left"/>
      </w:pPr>
      <w:r>
        <w:t xml:space="preserve">Telephone: </w:t>
      </w:r>
      <w:r w:rsidRPr="0010253F">
        <w:t>+44 (0)121 415 1058</w:t>
      </w:r>
    </w:p>
    <w:p w14:paraId="6086145A" w14:textId="77777777" w:rsidR="007760E9" w:rsidRDefault="007760E9" w:rsidP="007760E9">
      <w:pPr>
        <w:jc w:val="left"/>
        <w:rPr>
          <w:b/>
          <w:bCs/>
        </w:rPr>
      </w:pPr>
    </w:p>
    <w:p w14:paraId="12C7B117" w14:textId="77777777" w:rsidR="007760E9" w:rsidRDefault="007760E9" w:rsidP="007760E9">
      <w:pPr>
        <w:jc w:val="left"/>
        <w:rPr>
          <w:b/>
          <w:bCs/>
        </w:rPr>
      </w:pPr>
    </w:p>
    <w:p w14:paraId="11E18484" w14:textId="77777777" w:rsidR="007760E9" w:rsidRDefault="007760E9" w:rsidP="007760E9">
      <w:pPr>
        <w:jc w:val="left"/>
        <w:rPr>
          <w:b/>
          <w:bCs/>
        </w:rPr>
      </w:pPr>
    </w:p>
    <w:p w14:paraId="13A58888" w14:textId="77777777" w:rsidR="007760E9" w:rsidRDefault="007760E9" w:rsidP="007760E9">
      <w:pPr>
        <w:jc w:val="left"/>
        <w:rPr>
          <w:b/>
          <w:bCs/>
        </w:rPr>
      </w:pPr>
    </w:p>
    <w:p w14:paraId="65273CD9" w14:textId="77777777" w:rsidR="007760E9" w:rsidRDefault="007760E9">
      <w:pPr>
        <w:rPr>
          <w:b/>
          <w:bCs/>
          <w:sz w:val="28"/>
          <w:szCs w:val="28"/>
        </w:rPr>
        <w:sectPr w:rsidR="007760E9" w:rsidSect="008F6911">
          <w:footerReference w:type="even" r:id="rId9"/>
          <w:footerReference w:type="default" r:id="rId10"/>
          <w:endnotePr>
            <w:numFmt w:val="decimal"/>
          </w:endnotePr>
          <w:pgSz w:w="11900" w:h="16840"/>
          <w:pgMar w:top="1440" w:right="1440" w:bottom="1440" w:left="1440" w:header="708" w:footer="708" w:gutter="0"/>
          <w:cols w:space="708"/>
          <w:docGrid w:linePitch="360"/>
        </w:sectPr>
      </w:pPr>
    </w:p>
    <w:p w14:paraId="6D4B7B31" w14:textId="7F788CDE" w:rsidR="007760E9" w:rsidRPr="007760E9" w:rsidRDefault="007760E9" w:rsidP="007760E9">
      <w:pPr>
        <w:rPr>
          <w:b/>
          <w:bCs/>
          <w:sz w:val="28"/>
          <w:szCs w:val="28"/>
        </w:rPr>
      </w:pPr>
      <w:r w:rsidRPr="009033EC">
        <w:rPr>
          <w:b/>
          <w:bCs/>
          <w:sz w:val="28"/>
          <w:szCs w:val="28"/>
        </w:rPr>
        <w:lastRenderedPageBreak/>
        <w:t>Engagement with health</w:t>
      </w:r>
      <w:r>
        <w:rPr>
          <w:b/>
          <w:bCs/>
          <w:sz w:val="28"/>
          <w:szCs w:val="28"/>
        </w:rPr>
        <w:t xml:space="preserve"> in national climate change commitments under the Paris Agreement</w:t>
      </w:r>
    </w:p>
    <w:p w14:paraId="1F7F996F" w14:textId="4D19AE95" w:rsidR="007760E9" w:rsidRDefault="007760E9" w:rsidP="007760E9">
      <w:pPr>
        <w:jc w:val="left"/>
        <w:rPr>
          <w:b/>
          <w:bCs/>
        </w:rPr>
      </w:pPr>
      <w:r w:rsidRPr="00935E63">
        <w:rPr>
          <w:b/>
          <w:bCs/>
        </w:rPr>
        <w:t>ABSTRACT</w:t>
      </w:r>
    </w:p>
    <w:p w14:paraId="7D2DE780" w14:textId="77777777" w:rsidR="007760E9" w:rsidRPr="00B113BD" w:rsidRDefault="007760E9" w:rsidP="00621F9C">
      <w:pPr>
        <w:jc w:val="both"/>
        <w:rPr>
          <w:b/>
          <w:bCs/>
        </w:rPr>
      </w:pPr>
      <w:r>
        <w:rPr>
          <w:b/>
          <w:bCs/>
        </w:rPr>
        <w:t xml:space="preserve">Background: </w:t>
      </w:r>
      <w:r>
        <w:rPr>
          <w:rFonts w:eastAsia="Times New Roman" w:cstheme="minorHAnsi"/>
          <w:color w:val="000000"/>
          <w:lang w:eastAsia="en-GB"/>
        </w:rPr>
        <w:t xml:space="preserve">Instituted under the Paris Agreement, </w:t>
      </w:r>
      <w:r w:rsidRPr="00F9201F">
        <w:rPr>
          <w:rFonts w:eastAsia="Times New Roman" w:cstheme="minorHAnsi"/>
          <w:color w:val="000000"/>
          <w:lang w:eastAsia="en-GB"/>
        </w:rPr>
        <w:t>Nationally Determined Contributions</w:t>
      </w:r>
      <w:r>
        <w:t xml:space="preserve"> (NDCs) outline countries’ plans for mitigating and adapting to climate change. They are the primary policy instrument for protecting people’s health in the face of rising global temperatures. However, evidence on engagement with health in the NDCs is limited.</w:t>
      </w:r>
    </w:p>
    <w:p w14:paraId="651711D5" w14:textId="2DD9DF42" w:rsidR="007760E9" w:rsidRDefault="007760E9" w:rsidP="00621F9C">
      <w:pPr>
        <w:spacing w:after="0"/>
        <w:jc w:val="both"/>
      </w:pPr>
      <w:r w:rsidRPr="00B113BD">
        <w:rPr>
          <w:b/>
          <w:bCs/>
        </w:rPr>
        <w:t>Methods:</w:t>
      </w:r>
      <w:r>
        <w:rPr>
          <w:b/>
          <w:bCs/>
        </w:rPr>
        <w:t xml:space="preserve"> </w:t>
      </w:r>
      <w:r w:rsidRPr="00B113BD">
        <w:t xml:space="preserve">We </w:t>
      </w:r>
      <w:r>
        <w:t xml:space="preserve">analysed the </w:t>
      </w:r>
      <w:r w:rsidRPr="00B113BD">
        <w:t xml:space="preserve">NDCs </w:t>
      </w:r>
      <w:r>
        <w:t>in the UNFCCC registry</w:t>
      </w:r>
      <w:r w:rsidR="00447BD7">
        <w:t xml:space="preserve"> submitted by 185 countries</w:t>
      </w:r>
      <w:r>
        <w:t>. Using content analysis and natural language processing (NLP) methods, we developed measures of health engagement. Multivariate regression analyses examined whether country-level factors (</w:t>
      </w:r>
      <w:proofErr w:type="gramStart"/>
      <w:r>
        <w:t>e.g.</w:t>
      </w:r>
      <w:proofErr w:type="gramEnd"/>
      <w:r>
        <w:t xml:space="preserve"> population size, GDP, climate-related exposures) were associated with greater health engagement. Using NLP methods, we compared health engagement with other climate-related challenges (economy, energy, agriculture) and examined broader differences in the terms used in countries with higher and lower engagement. </w:t>
      </w:r>
    </w:p>
    <w:p w14:paraId="41140DCB" w14:textId="77777777" w:rsidR="007760E9" w:rsidRDefault="007760E9" w:rsidP="00621F9C">
      <w:pPr>
        <w:spacing w:after="0"/>
        <w:jc w:val="both"/>
      </w:pPr>
    </w:p>
    <w:p w14:paraId="3961F06D" w14:textId="77777777" w:rsidR="007760E9" w:rsidRDefault="007760E9" w:rsidP="00621F9C">
      <w:pPr>
        <w:spacing w:after="0"/>
        <w:jc w:val="both"/>
      </w:pPr>
      <w:r>
        <w:rPr>
          <w:b/>
          <w:bCs/>
        </w:rPr>
        <w:t>Finding</w:t>
      </w:r>
      <w:r w:rsidRPr="00EC7463">
        <w:rPr>
          <w:b/>
          <w:bCs/>
        </w:rPr>
        <w:t>s:</w:t>
      </w:r>
      <w:r>
        <w:rPr>
          <w:b/>
          <w:bCs/>
        </w:rPr>
        <w:t xml:space="preserve"> </w:t>
      </w:r>
      <w:r w:rsidRPr="00A77181">
        <w:t>Count</w:t>
      </w:r>
      <w:r>
        <w:t>r</w:t>
      </w:r>
      <w:r w:rsidRPr="00A77181">
        <w:t>ies</w:t>
      </w:r>
      <w:r>
        <w:t xml:space="preserve"> making no mention of health in their NDCs are clustered in the richer Global North while greater health engagement is concentrated in the Global South. Lower GDP per capita and being a Small Island Development State were associated with greater health engagement. In addition, greater population exposure to temperature change and ambient air pollution were associated with more health coverage. Variation in health engagement is greater than for other climate-related </w:t>
      </w:r>
      <w:proofErr w:type="gramStart"/>
      <w:r>
        <w:t>issues, and</w:t>
      </w:r>
      <w:proofErr w:type="gramEnd"/>
      <w:r>
        <w:t xml:space="preserve"> reflects wider differences in countries’ approaches to the NDCs. </w:t>
      </w:r>
    </w:p>
    <w:p w14:paraId="7D514A9A" w14:textId="77777777" w:rsidR="007760E9" w:rsidRDefault="007760E9" w:rsidP="00621F9C">
      <w:pPr>
        <w:spacing w:after="0"/>
        <w:jc w:val="both"/>
      </w:pPr>
    </w:p>
    <w:p w14:paraId="32A80150" w14:textId="77777777" w:rsidR="007760E9" w:rsidRDefault="007760E9" w:rsidP="00621F9C">
      <w:pPr>
        <w:spacing w:after="0"/>
        <w:jc w:val="both"/>
      </w:pPr>
      <w:r w:rsidRPr="0060531E">
        <w:rPr>
          <w:b/>
          <w:bCs/>
        </w:rPr>
        <w:t>Interpretation</w:t>
      </w:r>
      <w:r>
        <w:rPr>
          <w:b/>
          <w:bCs/>
        </w:rPr>
        <w:t xml:space="preserve">: </w:t>
      </w:r>
      <w:r>
        <w:t>A focus on health in the NDCs is patterned in line with broader global inequalities. Poorer and climate-vulnerable countries that contribute least to climate change are more likely to engage with health, while richer countries anchor their NDCs in non-health sectors such as energy and the economy.</w:t>
      </w:r>
    </w:p>
    <w:p w14:paraId="72472E34" w14:textId="77777777" w:rsidR="007760E9" w:rsidRDefault="007760E9" w:rsidP="00621F9C">
      <w:pPr>
        <w:spacing w:after="0"/>
        <w:jc w:val="both"/>
      </w:pPr>
    </w:p>
    <w:p w14:paraId="2FC4806B" w14:textId="77777777" w:rsidR="007760E9" w:rsidRDefault="007760E9" w:rsidP="00167885">
      <w:pPr>
        <w:spacing w:after="0"/>
        <w:jc w:val="both"/>
      </w:pPr>
      <w:r w:rsidRPr="003B3816">
        <w:rPr>
          <w:rFonts w:eastAsia="Times New Roman" w:cstheme="minorHAnsi"/>
          <w:b/>
          <w:bCs/>
          <w:lang w:eastAsia="en-GB"/>
        </w:rPr>
        <w:t>Funding</w:t>
      </w:r>
      <w:r>
        <w:rPr>
          <w:rFonts w:eastAsia="Times New Roman" w:cstheme="minorHAnsi"/>
          <w:b/>
          <w:bCs/>
          <w:lang w:eastAsia="en-GB"/>
        </w:rPr>
        <w:t>:</w:t>
      </w:r>
      <w:r>
        <w:rPr>
          <w:rFonts w:eastAsia="Times New Roman" w:cstheme="minorHAnsi"/>
          <w:lang w:eastAsia="en-GB"/>
        </w:rPr>
        <w:t xml:space="preserve"> </w:t>
      </w:r>
      <w:r>
        <w:t>This work was in part</w:t>
      </w:r>
      <w:r w:rsidRPr="006A5286">
        <w:t xml:space="preserve"> funded through an unrestricted grant from the </w:t>
      </w:r>
      <w:proofErr w:type="spellStart"/>
      <w:r w:rsidRPr="006A5286">
        <w:t>Wellcome</w:t>
      </w:r>
      <w:proofErr w:type="spellEnd"/>
    </w:p>
    <w:p w14:paraId="10870898" w14:textId="77777777" w:rsidR="007760E9" w:rsidRDefault="007760E9">
      <w:pPr>
        <w:spacing w:after="0"/>
        <w:jc w:val="both"/>
        <w:sectPr w:rsidR="007760E9" w:rsidSect="008F6911">
          <w:endnotePr>
            <w:numFmt w:val="decimal"/>
          </w:endnotePr>
          <w:pgSz w:w="11900" w:h="16840"/>
          <w:pgMar w:top="1440" w:right="1440" w:bottom="1440" w:left="1440" w:header="708" w:footer="708" w:gutter="0"/>
          <w:cols w:space="708"/>
          <w:docGrid w:linePitch="360"/>
        </w:sectPr>
      </w:pPr>
      <w:r w:rsidRPr="006A5286">
        <w:t>Trust</w:t>
      </w:r>
      <w:r>
        <w:t xml:space="preserve"> and supported by ESRC grant number ES/S012257/1.</w:t>
      </w:r>
    </w:p>
    <w:p w14:paraId="652BC2C2" w14:textId="2272DD47" w:rsidR="007760E9" w:rsidRPr="00B1011A" w:rsidRDefault="007760E9" w:rsidP="007760E9">
      <w:pPr>
        <w:rPr>
          <w:b/>
          <w:bCs/>
          <w:sz w:val="28"/>
          <w:szCs w:val="28"/>
        </w:rPr>
      </w:pPr>
      <w:r w:rsidRPr="009033EC">
        <w:rPr>
          <w:b/>
          <w:bCs/>
          <w:sz w:val="28"/>
          <w:szCs w:val="28"/>
        </w:rPr>
        <w:lastRenderedPageBreak/>
        <w:t>Engagement with health</w:t>
      </w:r>
      <w:r>
        <w:rPr>
          <w:b/>
          <w:bCs/>
          <w:sz w:val="28"/>
          <w:szCs w:val="28"/>
        </w:rPr>
        <w:t xml:space="preserve"> in national climate change commitments under the Paris Agreement</w:t>
      </w:r>
    </w:p>
    <w:p w14:paraId="7E529ECA" w14:textId="77777777" w:rsidR="007760E9" w:rsidRDefault="007760E9" w:rsidP="007760E9">
      <w:pPr>
        <w:spacing w:before="100" w:beforeAutospacing="1" w:line="235" w:lineRule="atLeast"/>
        <w:jc w:val="left"/>
        <w:rPr>
          <w:rFonts w:eastAsia="Times New Roman" w:cstheme="minorHAnsi"/>
          <w:b/>
          <w:bCs/>
          <w:color w:val="000000"/>
          <w:lang w:eastAsia="en-GB"/>
        </w:rPr>
      </w:pPr>
      <w:r>
        <w:rPr>
          <w:rFonts w:eastAsia="Times New Roman" w:cstheme="minorHAnsi"/>
          <w:b/>
          <w:bCs/>
          <w:color w:val="000000"/>
          <w:lang w:eastAsia="en-GB"/>
        </w:rPr>
        <w:t>RESEARCH IN CONTEXT</w:t>
      </w:r>
    </w:p>
    <w:p w14:paraId="42A2B494" w14:textId="77777777" w:rsidR="007760E9" w:rsidRPr="00F9201F" w:rsidRDefault="007760E9" w:rsidP="007760E9">
      <w:pPr>
        <w:spacing w:before="100" w:beforeAutospacing="1" w:line="235" w:lineRule="atLeast"/>
        <w:jc w:val="left"/>
        <w:rPr>
          <w:rFonts w:eastAsia="Times New Roman" w:cstheme="minorHAnsi"/>
          <w:lang w:eastAsia="en-GB"/>
        </w:rPr>
      </w:pPr>
      <w:r w:rsidRPr="000A210E">
        <w:rPr>
          <w:rFonts w:eastAsia="Times New Roman" w:cstheme="minorHAnsi"/>
          <w:b/>
          <w:bCs/>
          <w:color w:val="000000"/>
          <w:lang w:eastAsia="en-GB"/>
        </w:rPr>
        <w:t>Evidence before this study</w:t>
      </w:r>
    </w:p>
    <w:p w14:paraId="76F65BB8" w14:textId="1E07DBF1" w:rsidR="007760E9" w:rsidRPr="00593F22" w:rsidRDefault="007760E9" w:rsidP="00621F9C">
      <w:pPr>
        <w:spacing w:before="100" w:beforeAutospacing="1" w:line="235" w:lineRule="atLeast"/>
        <w:jc w:val="both"/>
        <w:rPr>
          <w:rFonts w:eastAsia="Times New Roman" w:cstheme="minorHAnsi"/>
          <w:color w:val="000000"/>
          <w:lang w:eastAsia="en-GB"/>
        </w:rPr>
      </w:pPr>
      <w:r>
        <w:rPr>
          <w:rFonts w:eastAsia="Times New Roman" w:cstheme="minorHAnsi"/>
          <w:color w:val="000000"/>
          <w:lang w:eastAsia="en-GB"/>
        </w:rPr>
        <w:t xml:space="preserve">The </w:t>
      </w:r>
      <w:r w:rsidRPr="00F9201F">
        <w:rPr>
          <w:rFonts w:eastAsia="Times New Roman" w:cstheme="minorHAnsi"/>
          <w:color w:val="000000"/>
          <w:lang w:eastAsia="en-GB"/>
        </w:rPr>
        <w:t xml:space="preserve">flexible structure </w:t>
      </w:r>
      <w:r>
        <w:rPr>
          <w:rFonts w:eastAsia="Times New Roman" w:cstheme="minorHAnsi"/>
          <w:color w:val="000000"/>
          <w:lang w:eastAsia="en-GB"/>
        </w:rPr>
        <w:t xml:space="preserve">of the </w:t>
      </w:r>
      <w:r w:rsidRPr="00F9201F">
        <w:rPr>
          <w:rFonts w:eastAsia="Times New Roman" w:cstheme="minorHAnsi"/>
          <w:color w:val="000000"/>
          <w:lang w:eastAsia="en-GB"/>
        </w:rPr>
        <w:t xml:space="preserve">Nationally Determined Contributions (NDCs) </w:t>
      </w:r>
      <w:r>
        <w:rPr>
          <w:rFonts w:eastAsia="Times New Roman" w:cstheme="minorHAnsi"/>
          <w:color w:val="000000"/>
          <w:lang w:eastAsia="en-GB"/>
        </w:rPr>
        <w:t xml:space="preserve">enables </w:t>
      </w:r>
      <w:r w:rsidRPr="00F9201F">
        <w:rPr>
          <w:rFonts w:eastAsia="Times New Roman" w:cstheme="minorHAnsi"/>
          <w:color w:val="000000"/>
          <w:lang w:eastAsia="en-GB"/>
        </w:rPr>
        <w:t xml:space="preserve">countries to include population health in their plans for </w:t>
      </w:r>
      <w:r>
        <w:rPr>
          <w:rFonts w:eastAsia="Times New Roman" w:cstheme="minorHAnsi"/>
          <w:color w:val="000000"/>
          <w:lang w:eastAsia="en-GB"/>
        </w:rPr>
        <w:t xml:space="preserve">climate mitigation and adaptation. An engagement with health may therefore provide a unifying focus for countries committed to realising </w:t>
      </w:r>
      <w:r>
        <w:t>the ambitions of the Paris Agreement.</w:t>
      </w:r>
      <w:r>
        <w:rPr>
          <w:rFonts w:eastAsia="Times New Roman" w:cstheme="minorHAnsi"/>
          <w:color w:val="000000"/>
          <w:lang w:eastAsia="en-GB"/>
        </w:rPr>
        <w:t xml:space="preserve"> A small number of </w:t>
      </w:r>
      <w:r w:rsidRPr="00F9201F">
        <w:rPr>
          <w:rFonts w:eastAsia="Times New Roman" w:cstheme="minorHAnsi"/>
          <w:color w:val="000000"/>
          <w:lang w:eastAsia="en-GB"/>
        </w:rPr>
        <w:t xml:space="preserve">studies </w:t>
      </w:r>
      <w:r>
        <w:rPr>
          <w:rFonts w:eastAsia="Times New Roman" w:cstheme="minorHAnsi"/>
          <w:color w:val="000000"/>
          <w:lang w:eastAsia="en-GB"/>
        </w:rPr>
        <w:t xml:space="preserve">have examined references to health in the NDCs and have pointed to </w:t>
      </w:r>
      <w:r w:rsidRPr="00F9201F">
        <w:rPr>
          <w:rFonts w:cstheme="minorHAnsi"/>
        </w:rPr>
        <w:t xml:space="preserve">marked national and regional variations in the prominence given to health. </w:t>
      </w:r>
      <w:r>
        <w:rPr>
          <w:rFonts w:cstheme="minorHAnsi"/>
        </w:rPr>
        <w:t xml:space="preserve">A </w:t>
      </w:r>
      <w:r>
        <w:t xml:space="preserve">larger body of </w:t>
      </w:r>
      <w:r>
        <w:rPr>
          <w:rFonts w:cstheme="minorHAnsi"/>
        </w:rPr>
        <w:t xml:space="preserve">social science research </w:t>
      </w:r>
      <w:r>
        <w:t xml:space="preserve">has analysed the NDCs as political documents that shed light on the priorities of countries signed up to the Paris Agreement. However, health has not been a focus of this research.  </w:t>
      </w:r>
      <w:r w:rsidR="00D47428">
        <w:t>Our study addresses this gap.</w:t>
      </w:r>
    </w:p>
    <w:p w14:paraId="64298665" w14:textId="77777777" w:rsidR="007760E9" w:rsidRDefault="007760E9" w:rsidP="00621F9C">
      <w:pPr>
        <w:spacing w:before="100" w:beforeAutospacing="1" w:line="235" w:lineRule="atLeast"/>
        <w:jc w:val="both"/>
        <w:rPr>
          <w:b/>
          <w:bCs/>
        </w:rPr>
      </w:pPr>
      <w:r w:rsidRPr="00F2029B">
        <w:rPr>
          <w:b/>
          <w:bCs/>
        </w:rPr>
        <w:t>Added value of this study</w:t>
      </w:r>
    </w:p>
    <w:p w14:paraId="2815C7E7" w14:textId="6CB958B5" w:rsidR="007760E9" w:rsidRDefault="007760E9" w:rsidP="00621F9C">
      <w:pPr>
        <w:jc w:val="both"/>
      </w:pPr>
      <w:r>
        <w:t xml:space="preserve">Our study provides an in-depth analysis of </w:t>
      </w:r>
      <w:r w:rsidRPr="00027BF1">
        <w:t>the place</w:t>
      </w:r>
      <w:r>
        <w:t xml:space="preserve"> of health in the NDCs. It then examines whether country-level factors like national wealth and climate-related exposures are associated with greater health engagement in the NDCs. In addition, it compares the prominence given to health compared to other climate-related sectors (the economy, energy and agriculture) to identify further potential differences between countries. To undertake the analyses, we develop measures of health engagement using content analysis and</w:t>
      </w:r>
      <w:r w:rsidRPr="00F2029B">
        <w:rPr>
          <w:i/>
          <w:iCs/>
        </w:rPr>
        <w:t xml:space="preserve"> </w:t>
      </w:r>
      <w:r>
        <w:t>n</w:t>
      </w:r>
      <w:r w:rsidRPr="00F2029B">
        <w:t xml:space="preserve">atural </w:t>
      </w:r>
      <w:r>
        <w:t>l</w:t>
      </w:r>
      <w:r w:rsidRPr="00F2029B">
        <w:t xml:space="preserve">anguage </w:t>
      </w:r>
      <w:r>
        <w:t>p</w:t>
      </w:r>
      <w:r w:rsidRPr="00F2029B">
        <w:t xml:space="preserve">rocessing </w:t>
      </w:r>
      <w:r>
        <w:t xml:space="preserve">methods, which we use to identify factors associated with greater and lesser engagement with health. Taken together, the findings indicate that lower-income and climate-vulnerable countries are more likely to discuss the health dimensions of climate change while higher-income countries adopt a narrower </w:t>
      </w:r>
      <w:r w:rsidRPr="00927151">
        <w:t>economic</w:t>
      </w:r>
      <w:r>
        <w:t xml:space="preserve"> perspective.</w:t>
      </w:r>
    </w:p>
    <w:p w14:paraId="66A2C261" w14:textId="77777777" w:rsidR="007760E9" w:rsidRDefault="007760E9" w:rsidP="00621F9C">
      <w:pPr>
        <w:jc w:val="both"/>
        <w:rPr>
          <w:b/>
          <w:bCs/>
        </w:rPr>
      </w:pPr>
    </w:p>
    <w:p w14:paraId="0D07FECC" w14:textId="77777777" w:rsidR="007760E9" w:rsidRDefault="007760E9" w:rsidP="00621F9C">
      <w:pPr>
        <w:jc w:val="both"/>
        <w:rPr>
          <w:b/>
          <w:bCs/>
        </w:rPr>
      </w:pPr>
      <w:r w:rsidRPr="00D520F4">
        <w:rPr>
          <w:b/>
          <w:bCs/>
        </w:rPr>
        <w:t>Implications of all the available evidence</w:t>
      </w:r>
    </w:p>
    <w:p w14:paraId="207F68B5" w14:textId="47C6105F" w:rsidR="007760E9" w:rsidRDefault="00D47428" w:rsidP="00621F9C">
      <w:pPr>
        <w:jc w:val="both"/>
      </w:pPr>
      <w:r>
        <w:t>O</w:t>
      </w:r>
      <w:r w:rsidR="007760E9" w:rsidRPr="00F50E39">
        <w:t xml:space="preserve">ur </w:t>
      </w:r>
      <w:r w:rsidR="007760E9">
        <w:t>study add</w:t>
      </w:r>
      <w:r>
        <w:t>s</w:t>
      </w:r>
      <w:r w:rsidR="007760E9">
        <w:t xml:space="preserve"> to evidence on the place of health in the NDCs, which form the backbone of the Paris Agreement. In line with previous studies, the study found that most countries refer to health. But our study suggests that, </w:t>
      </w:r>
      <w:r w:rsidR="007760E9" w:rsidRPr="00161719">
        <w:t xml:space="preserve">in many NDCs, references are </w:t>
      </w:r>
      <w:r w:rsidR="00F46E7E">
        <w:t xml:space="preserve">limited </w:t>
      </w:r>
      <w:r w:rsidR="007760E9" w:rsidRPr="00161719">
        <w:t xml:space="preserve"> </w:t>
      </w:r>
      <w:r w:rsidR="007760E9">
        <w:t xml:space="preserve">and not anchored in a wider alignment between public health and action on climate change. Such evidence can help the research and policy community to appreciate that protecting and promoting people’s health is not currently providing a shared and unifying global focus. Instead, engagement with health in the NDCs varies in systematic ways with wider inequalities between countries. As countries ratchet up their mitigation and adaptation ambitions, the challenge is to ensure that health does not remain the concern of climate-vulnerable regions of the global South but becomes a common platform for action across all countries.  </w:t>
      </w:r>
    </w:p>
    <w:p w14:paraId="0DAA0B62" w14:textId="52E0A771" w:rsidR="007760E9" w:rsidRDefault="007760E9" w:rsidP="007760E9">
      <w:pPr>
        <w:tabs>
          <w:tab w:val="left" w:pos="426"/>
          <w:tab w:val="center" w:pos="4510"/>
        </w:tabs>
        <w:jc w:val="left"/>
        <w:rPr>
          <w:b/>
          <w:bCs/>
          <w:sz w:val="28"/>
          <w:szCs w:val="28"/>
        </w:rPr>
      </w:pPr>
      <w:r>
        <w:rPr>
          <w:b/>
          <w:bCs/>
          <w:sz w:val="28"/>
          <w:szCs w:val="28"/>
        </w:rPr>
        <w:tab/>
      </w:r>
    </w:p>
    <w:p w14:paraId="47696B91" w14:textId="052C4043" w:rsidR="007760E9" w:rsidRPr="007760E9" w:rsidRDefault="007760E9" w:rsidP="007760E9">
      <w:pPr>
        <w:rPr>
          <w:sz w:val="28"/>
          <w:szCs w:val="28"/>
        </w:rPr>
        <w:sectPr w:rsidR="007760E9" w:rsidRPr="007760E9" w:rsidSect="008F6911">
          <w:endnotePr>
            <w:numFmt w:val="decimal"/>
          </w:endnotePr>
          <w:pgSz w:w="11900" w:h="16840"/>
          <w:pgMar w:top="1440" w:right="1440" w:bottom="1440" w:left="1440" w:header="708" w:footer="708" w:gutter="0"/>
          <w:cols w:space="708"/>
          <w:docGrid w:linePitch="360"/>
        </w:sectPr>
      </w:pPr>
    </w:p>
    <w:p w14:paraId="5077CAD9" w14:textId="71DD072E" w:rsidR="00B4668B" w:rsidRPr="00B1011A" w:rsidRDefault="000630C3">
      <w:pPr>
        <w:rPr>
          <w:b/>
          <w:bCs/>
          <w:sz w:val="28"/>
          <w:szCs w:val="28"/>
        </w:rPr>
      </w:pPr>
      <w:r w:rsidRPr="009033EC">
        <w:rPr>
          <w:b/>
          <w:bCs/>
          <w:sz w:val="28"/>
          <w:szCs w:val="28"/>
        </w:rPr>
        <w:lastRenderedPageBreak/>
        <w:t>Engagement</w:t>
      </w:r>
      <w:r w:rsidR="006B54C7" w:rsidRPr="009033EC">
        <w:rPr>
          <w:b/>
          <w:bCs/>
          <w:sz w:val="28"/>
          <w:szCs w:val="28"/>
        </w:rPr>
        <w:t xml:space="preserve"> with Health</w:t>
      </w:r>
      <w:r w:rsidR="005543AB">
        <w:rPr>
          <w:b/>
          <w:bCs/>
          <w:sz w:val="28"/>
          <w:szCs w:val="28"/>
        </w:rPr>
        <w:t xml:space="preserve"> in National</w:t>
      </w:r>
      <w:r w:rsidR="00F3688D">
        <w:rPr>
          <w:b/>
          <w:bCs/>
          <w:sz w:val="28"/>
          <w:szCs w:val="28"/>
        </w:rPr>
        <w:t xml:space="preserve"> Climate Change</w:t>
      </w:r>
      <w:r w:rsidR="005543AB">
        <w:rPr>
          <w:b/>
          <w:bCs/>
          <w:sz w:val="28"/>
          <w:szCs w:val="28"/>
        </w:rPr>
        <w:t xml:space="preserve"> Commitments Under the Paris Agreement</w:t>
      </w:r>
    </w:p>
    <w:p w14:paraId="6D79816E" w14:textId="619ED553" w:rsidR="007547FC" w:rsidRDefault="007547FC" w:rsidP="007547FC">
      <w:pPr>
        <w:jc w:val="left"/>
      </w:pPr>
    </w:p>
    <w:p w14:paraId="44B7AE0B" w14:textId="146EDD96" w:rsidR="00FE1AA8" w:rsidRDefault="00FE1AA8" w:rsidP="003636B4">
      <w:pPr>
        <w:jc w:val="left"/>
        <w:rPr>
          <w:b/>
        </w:rPr>
      </w:pPr>
    </w:p>
    <w:p w14:paraId="2A5FA1AE" w14:textId="77777777" w:rsidR="00743845" w:rsidRPr="00B1011A" w:rsidRDefault="00743845" w:rsidP="00743845">
      <w:pPr>
        <w:jc w:val="left"/>
        <w:rPr>
          <w:b/>
          <w:bCs/>
        </w:rPr>
      </w:pPr>
      <w:r w:rsidRPr="00B1011A">
        <w:rPr>
          <w:b/>
          <w:bCs/>
        </w:rPr>
        <w:t>Introduction</w:t>
      </w:r>
    </w:p>
    <w:p w14:paraId="79808639" w14:textId="53D186DC" w:rsidR="00743845" w:rsidRPr="00C66ACF" w:rsidRDefault="00743845" w:rsidP="00167885">
      <w:pPr>
        <w:jc w:val="both"/>
      </w:pPr>
      <w:r w:rsidRPr="00621F9C">
        <w:t>Climate change is threatening human health; it is irrevocably damaging the planetary systems on which life depends</w:t>
      </w:r>
      <w:r w:rsidR="00F46E7E" w:rsidRPr="00F46E7E">
        <w:t>.</w:t>
      </w:r>
      <w:r w:rsidR="00447BD7">
        <w:rPr>
          <w:rStyle w:val="EndnoteReference"/>
        </w:rPr>
        <w:endnoteReference w:id="1"/>
      </w:r>
      <w:r w:rsidR="00447BD7" w:rsidRPr="00621F9C">
        <w:rPr>
          <w:vertAlign w:val="superscript"/>
        </w:rPr>
        <w:t>,</w:t>
      </w:r>
      <w:r w:rsidR="00447BD7">
        <w:rPr>
          <w:rStyle w:val="EndnoteReference"/>
        </w:rPr>
        <w:endnoteReference w:id="2"/>
      </w:r>
      <w:r w:rsidR="00447BD7">
        <w:rPr>
          <w:vertAlign w:val="superscript"/>
        </w:rPr>
        <w:t>,</w:t>
      </w:r>
      <w:r w:rsidR="00447BD7">
        <w:rPr>
          <w:rStyle w:val="EndnoteReference"/>
        </w:rPr>
        <w:endnoteReference w:id="3"/>
      </w:r>
      <w:r w:rsidR="00F46E7E" w:rsidRPr="00F46E7E">
        <w:t xml:space="preserve"> </w:t>
      </w:r>
      <w:r w:rsidRPr="00621F9C">
        <w:t xml:space="preserve">Addressing these threats is fundamental to the </w:t>
      </w:r>
      <w:r w:rsidRPr="00621F9C">
        <w:rPr>
          <w:rFonts w:cstheme="minorHAnsi"/>
          <w:color w:val="1C1D1E"/>
          <w:shd w:val="clear" w:color="auto" w:fill="FFFFFF"/>
        </w:rPr>
        <w:t>United Nations Framework Convention on Climate Change (UNFCCC), the global climate governance framework designed to protect current and future generations from ‘dangerous anthropogenic interference with the climate system’.</w:t>
      </w:r>
      <w:r w:rsidR="00447BD7">
        <w:rPr>
          <w:rStyle w:val="EndnoteReference"/>
          <w:rFonts w:cstheme="minorHAnsi"/>
          <w:color w:val="1C1D1E"/>
          <w:shd w:val="clear" w:color="auto" w:fill="FFFFFF"/>
        </w:rPr>
        <w:endnoteReference w:id="4"/>
      </w:r>
      <w:r w:rsidRPr="00621F9C">
        <w:rPr>
          <w:rFonts w:cstheme="minorHAnsi"/>
          <w:color w:val="1C1D1E"/>
          <w:shd w:val="clear" w:color="auto" w:fill="FFFFFF"/>
        </w:rPr>
        <w:t xml:space="preserve"> In line with this ambition, the UNFCCC’s 2015 </w:t>
      </w:r>
      <w:r w:rsidRPr="00621F9C">
        <w:t>Paris Agreement seeks</w:t>
      </w:r>
      <w:r w:rsidRPr="00551276">
        <w:t xml:space="preserve"> </w:t>
      </w:r>
      <w:r w:rsidRPr="00C66ACF">
        <w:t>to hold the increase in global temperature to</w:t>
      </w:r>
      <w:r>
        <w:t xml:space="preserve"> well</w:t>
      </w:r>
      <w:r w:rsidRPr="00C66ACF">
        <w:t xml:space="preserve"> below the critical 2°C threshold beyond which the climate system becomes increasing</w:t>
      </w:r>
      <w:r>
        <w:t>ly</w:t>
      </w:r>
      <w:r w:rsidRPr="00C66ACF">
        <w:t xml:space="preserve"> inimical to public health.</w:t>
      </w:r>
      <w:r>
        <w:rPr>
          <w:rStyle w:val="EndnoteReference"/>
        </w:rPr>
        <w:endnoteReference w:id="5"/>
      </w:r>
      <w:r w:rsidR="00447BD7">
        <w:t xml:space="preserve"> </w:t>
      </w:r>
      <w:r>
        <w:t>Achieving this ambitious goal rests on Nationally Determined Contributions (NDCs). As of January 2020, 185 nations had submitted their first NDCs.</w:t>
      </w:r>
      <w:r w:rsidRPr="00C66ACF">
        <w:t xml:space="preserve"> </w:t>
      </w:r>
    </w:p>
    <w:p w14:paraId="192B65E9" w14:textId="12004065" w:rsidR="00743845" w:rsidRDefault="00743845" w:rsidP="00621F9C">
      <w:pPr>
        <w:jc w:val="both"/>
      </w:pPr>
      <w:r w:rsidRPr="00551276">
        <w:t>NDCs are voluntary and non-binding commitments to emissions reduction made by state parties to the Agreement; they are also encouraged, but not required, to include adaptation plans in their NDCs.</w:t>
      </w:r>
      <w:r w:rsidRPr="00551276">
        <w:rPr>
          <w:rStyle w:val="EndnoteReference"/>
        </w:rPr>
        <w:endnoteReference w:id="6"/>
      </w:r>
      <w:r w:rsidRPr="00551276">
        <w:t xml:space="preserve"> Because the NDC regime consolidates the position of state parties as the primary agents of climate action</w:t>
      </w:r>
      <w:r w:rsidR="000429A7">
        <w:rPr>
          <w:rStyle w:val="EndnoteReference"/>
        </w:rPr>
        <w:endnoteReference w:id="7"/>
      </w:r>
      <w:r w:rsidRPr="00551276">
        <w:t>, NDCs are the key global policy instrument for protecting the health of today’s and tomorrow’s population.</w:t>
      </w:r>
      <w:r>
        <w:t xml:space="preserve"> </w:t>
      </w:r>
      <w:r w:rsidR="00F46E7E">
        <w:t>B</w:t>
      </w:r>
      <w:r w:rsidR="004E2E1B">
        <w:t xml:space="preserve">oth mitigation and adaptation are essential </w:t>
      </w:r>
      <w:r w:rsidR="009770E0">
        <w:t>to protect public health.</w:t>
      </w:r>
      <w:r w:rsidR="00625B8D">
        <w:rPr>
          <w:rStyle w:val="EndnoteReference"/>
        </w:rPr>
        <w:endnoteReference w:id="8"/>
      </w:r>
      <w:r w:rsidR="00625B8D" w:rsidRPr="00621F9C">
        <w:rPr>
          <w:vertAlign w:val="superscript"/>
        </w:rPr>
        <w:t>,</w:t>
      </w:r>
      <w:r w:rsidR="00625B8D">
        <w:rPr>
          <w:rStyle w:val="EndnoteReference"/>
        </w:rPr>
        <w:endnoteReference w:id="9"/>
      </w:r>
    </w:p>
    <w:p w14:paraId="30F1580A" w14:textId="1BA7CF13" w:rsidR="00743845" w:rsidRDefault="00743845" w:rsidP="00621F9C">
      <w:pPr>
        <w:jc w:val="both"/>
      </w:pPr>
      <w:r>
        <w:t xml:space="preserve">The flexible structure of the NDCs </w:t>
      </w:r>
      <w:r w:rsidRPr="00621F9C">
        <w:t xml:space="preserve">facilitates this health focus. It enables mitigation, urgently required </w:t>
      </w:r>
      <w:r w:rsidR="00F003CB" w:rsidRPr="00F003CB">
        <w:t>by</w:t>
      </w:r>
      <w:r w:rsidRPr="00621F9C">
        <w:t xml:space="preserve"> high-emitting countries, and adaptation, of particular concern to low</w:t>
      </w:r>
      <w:r w:rsidR="00E62220">
        <w:t>-</w:t>
      </w:r>
      <w:r w:rsidRPr="00621F9C">
        <w:t>income countries,</w:t>
      </w:r>
      <w:r>
        <w:t xml:space="preserve"> to</w:t>
      </w:r>
      <w:r w:rsidRPr="00C66ACF">
        <w:t xml:space="preserve"> be aligned with public health priorities.</w:t>
      </w:r>
      <w:r>
        <w:t xml:space="preserve"> </w:t>
      </w:r>
      <w:r w:rsidRPr="00551276">
        <w:t xml:space="preserve">Indeed, the majority of NDCs do reference ‘health’, though with differences </w:t>
      </w:r>
      <w:r w:rsidRPr="00621F9C">
        <w:t>in the extent to which NDCs include health-related actions and plans.</w:t>
      </w:r>
      <w:r w:rsidRPr="00621F9C">
        <w:rPr>
          <w:rStyle w:val="EndnoteReference"/>
        </w:rPr>
        <w:endnoteReference w:id="10"/>
      </w:r>
      <w:r w:rsidRPr="00621F9C">
        <w:rPr>
          <w:vertAlign w:val="superscript"/>
        </w:rPr>
        <w:t>,</w:t>
      </w:r>
      <w:r w:rsidRPr="00621F9C">
        <w:rPr>
          <w:rStyle w:val="EndnoteReference"/>
        </w:rPr>
        <w:endnoteReference w:id="11"/>
      </w:r>
      <w:r w:rsidRPr="00621F9C">
        <w:rPr>
          <w:vertAlign w:val="superscript"/>
        </w:rPr>
        <w:t>,</w:t>
      </w:r>
      <w:r w:rsidRPr="00621F9C">
        <w:rPr>
          <w:rStyle w:val="EndnoteReference"/>
        </w:rPr>
        <w:endnoteReference w:id="12"/>
      </w:r>
      <w:r>
        <w:t xml:space="preserve"> </w:t>
      </w:r>
      <w:r w:rsidRPr="00551276">
        <w:t>Synergies between health and climate policy are especially important because health is an issue of personal and public concern</w:t>
      </w:r>
      <w:r w:rsidR="000429A7">
        <w:rPr>
          <w:rStyle w:val="EndnoteReference"/>
        </w:rPr>
        <w:endnoteReference w:id="13"/>
      </w:r>
      <w:r w:rsidRPr="00551276">
        <w:t xml:space="preserve">; it therefore offers the potential to </w:t>
      </w:r>
      <w:r w:rsidR="00551276">
        <w:t xml:space="preserve">build </w:t>
      </w:r>
      <w:r w:rsidRPr="00551276">
        <w:t>public and political support for more ambitious c</w:t>
      </w:r>
      <w:r>
        <w:t>limate change mitigation and adaptation</w:t>
      </w:r>
      <w:r w:rsidRPr="00C66ACF">
        <w:t>.</w:t>
      </w:r>
      <w:r>
        <w:rPr>
          <w:rStyle w:val="EndnoteReference"/>
        </w:rPr>
        <w:endnoteReference w:id="14"/>
      </w:r>
      <w:r w:rsidRPr="00912B5C">
        <w:rPr>
          <w:vertAlign w:val="superscript"/>
        </w:rPr>
        <w:t>,</w:t>
      </w:r>
      <w:r>
        <w:rPr>
          <w:rStyle w:val="EndnoteReference"/>
        </w:rPr>
        <w:endnoteReference w:id="15"/>
      </w:r>
      <w:r>
        <w:rPr>
          <w:vertAlign w:val="superscript"/>
        </w:rPr>
        <w:t xml:space="preserve"> </w:t>
      </w:r>
      <w:r w:rsidRPr="00C66ACF">
        <w:t>Such</w:t>
      </w:r>
      <w:r>
        <w:t xml:space="preserve"> buy-in</w:t>
      </w:r>
      <w:r w:rsidRPr="00C66ACF">
        <w:t xml:space="preserve"> is regarded as essential for the long-term success of the Paris Agreement.  With pledges made in the 2015 set of NDCs falling well short of containing global temperature increases to below 2°C, there is an urgent need to strengthen the commitments countries make in the 2020 round of enhanced NDCs. </w:t>
      </w:r>
      <w:r>
        <w:t xml:space="preserve">A </w:t>
      </w:r>
      <w:r w:rsidRPr="00C66ACF">
        <w:t xml:space="preserve">health framing of </w:t>
      </w:r>
      <w:r>
        <w:t xml:space="preserve">action on </w:t>
      </w:r>
      <w:r w:rsidRPr="00C66ACF">
        <w:t xml:space="preserve">climate </w:t>
      </w:r>
      <w:r>
        <w:t>change</w:t>
      </w:r>
      <w:r w:rsidRPr="00C66ACF">
        <w:t xml:space="preserve"> </w:t>
      </w:r>
      <w:r>
        <w:t>could</w:t>
      </w:r>
      <w:r w:rsidRPr="00C66ACF">
        <w:t xml:space="preserve"> help rachet up these ambitions.</w:t>
      </w:r>
      <w:r>
        <w:rPr>
          <w:rStyle w:val="EndnoteReference"/>
        </w:rPr>
        <w:endnoteReference w:id="16"/>
      </w:r>
    </w:p>
    <w:p w14:paraId="35CB460C" w14:textId="237C8456" w:rsidR="00743845" w:rsidRPr="0027399C" w:rsidRDefault="00743845" w:rsidP="00621F9C">
      <w:pPr>
        <w:jc w:val="both"/>
        <w:rPr>
          <w:highlight w:val="yellow"/>
        </w:rPr>
      </w:pPr>
      <w:r w:rsidRPr="00621F9C">
        <w:t>The flexible structure of the NDCs also enables them to serve wider political functions. As well as being aimed at a domestic audience, they can further national  interests in global negotiations, for example by signalling countries’ differential responsibility for climate change and its unequal impacts and the case for economic development and adaptation funding</w:t>
      </w:r>
      <w:r w:rsidR="006E513D">
        <w:t>.</w:t>
      </w:r>
      <w:r w:rsidR="004551FA">
        <w:rPr>
          <w:rStyle w:val="EndnoteReference"/>
        </w:rPr>
        <w:endnoteReference w:id="17"/>
      </w:r>
      <w:r w:rsidR="006E513D" w:rsidRPr="00621F9C">
        <w:rPr>
          <w:vertAlign w:val="superscript"/>
        </w:rPr>
        <w:t>,</w:t>
      </w:r>
      <w:r w:rsidR="006E513D">
        <w:rPr>
          <w:rStyle w:val="EndnoteReference"/>
        </w:rPr>
        <w:endnoteReference w:id="18"/>
      </w:r>
      <w:r w:rsidR="006E513D" w:rsidRPr="00621F9C">
        <w:rPr>
          <w:vertAlign w:val="superscript"/>
        </w:rPr>
        <w:t>,</w:t>
      </w:r>
      <w:r w:rsidR="006E513D">
        <w:rPr>
          <w:rStyle w:val="EndnoteReference"/>
        </w:rPr>
        <w:endnoteReference w:id="19"/>
      </w:r>
      <w:r w:rsidR="006E513D" w:rsidRPr="00621F9C">
        <w:rPr>
          <w:vertAlign w:val="superscript"/>
        </w:rPr>
        <w:t>,</w:t>
      </w:r>
      <w:r w:rsidR="006E513D">
        <w:rPr>
          <w:rStyle w:val="EndnoteReference"/>
        </w:rPr>
        <w:endnoteReference w:id="20"/>
      </w:r>
      <w:r w:rsidRPr="00621F9C">
        <w:t xml:space="preserve"> Important here is </w:t>
      </w:r>
      <w:r w:rsidRPr="00C66ACF">
        <w:t>the wider structure of the UNFC</w:t>
      </w:r>
      <w:r>
        <w:t>C</w:t>
      </w:r>
      <w:r w:rsidRPr="00C66ACF">
        <w:t>C, in which countries exert leverage through membership of negotiating groups, including the Least Developed Countr</w:t>
      </w:r>
      <w:r>
        <w:t>ies</w:t>
      </w:r>
      <w:r w:rsidRPr="00C66ACF">
        <w:t xml:space="preserve"> and Small Island Developing States</w:t>
      </w:r>
      <w:r>
        <w:t xml:space="preserve"> (SIDS)</w:t>
      </w:r>
      <w:r w:rsidRPr="00C66ACF">
        <w:t>.</w:t>
      </w:r>
      <w:r>
        <w:rPr>
          <w:rStyle w:val="EndnoteReference"/>
        </w:rPr>
        <w:endnoteReference w:id="21"/>
      </w:r>
      <w:r>
        <w:t xml:space="preserve"> Studies of the NDCs have found that the climate mitigation and adaptation commitments of low-emitting and climate-vulnerable countries differed markedly from those of high-emitting countries.</w:t>
      </w:r>
      <w:r w:rsidRPr="00E37BFF">
        <w:rPr>
          <w:rStyle w:val="EndnoteReference"/>
        </w:rPr>
        <w:endnoteReference w:id="22"/>
      </w:r>
      <w:r w:rsidRPr="00E37BFF">
        <w:rPr>
          <w:vertAlign w:val="superscript"/>
        </w:rPr>
        <w:t>,</w:t>
      </w:r>
      <w:r>
        <w:rPr>
          <w:rStyle w:val="EndnoteReference"/>
        </w:rPr>
        <w:endnoteReference w:id="23"/>
      </w:r>
      <w:r>
        <w:rPr>
          <w:vertAlign w:val="superscript"/>
        </w:rPr>
        <w:t>,</w:t>
      </w:r>
      <w:r>
        <w:rPr>
          <w:rStyle w:val="EndnoteReference"/>
        </w:rPr>
        <w:endnoteReference w:id="24"/>
      </w:r>
      <w:r w:rsidR="008433D8">
        <w:rPr>
          <w:vertAlign w:val="superscript"/>
        </w:rPr>
        <w:t>,</w:t>
      </w:r>
      <w:r w:rsidR="008433D8">
        <w:rPr>
          <w:rStyle w:val="EndnoteReference"/>
        </w:rPr>
        <w:endnoteReference w:id="25"/>
      </w:r>
      <w:r>
        <w:t xml:space="preserve"> Hence, the NDCs can be read as </w:t>
      </w:r>
      <w:r w:rsidRPr="00882D7F">
        <w:rPr>
          <w:i/>
          <w:iCs/>
        </w:rPr>
        <w:t xml:space="preserve">political </w:t>
      </w:r>
      <w:r>
        <w:t>texts that ‘</w:t>
      </w:r>
      <w:r w:rsidRPr="00F947F5">
        <w:t>reveal deeper tensions, ideas, and values about international climate policy’.</w:t>
      </w:r>
      <w:r w:rsidRPr="00F947F5">
        <w:rPr>
          <w:rStyle w:val="EndnoteReference"/>
        </w:rPr>
        <w:endnoteReference w:id="26"/>
      </w:r>
    </w:p>
    <w:p w14:paraId="524B045A" w14:textId="335A3433" w:rsidR="00743845" w:rsidRDefault="00360D37" w:rsidP="00621F9C">
      <w:pPr>
        <w:jc w:val="both"/>
      </w:pPr>
      <w:r w:rsidRPr="00360D37">
        <w:lastRenderedPageBreak/>
        <w:t>Against this background,</w:t>
      </w:r>
      <w:r>
        <w:t xml:space="preserve"> </w:t>
      </w:r>
      <w:r w:rsidR="00743845" w:rsidRPr="00360D37">
        <w:t>we examine</w:t>
      </w:r>
      <w:r w:rsidR="00743845">
        <w:t xml:space="preserve"> how public health is incorporated in the NDCs</w:t>
      </w:r>
      <w:r w:rsidR="00743845" w:rsidRPr="00273CDF">
        <w:t xml:space="preserve">, and how different patterns of engagement may be related to broader </w:t>
      </w:r>
      <w:r w:rsidR="00743845">
        <w:t xml:space="preserve">inequalities and </w:t>
      </w:r>
      <w:r w:rsidR="00743845" w:rsidRPr="00273CDF">
        <w:t xml:space="preserve">tensions in </w:t>
      </w:r>
      <w:r w:rsidR="00743845">
        <w:t xml:space="preserve">global </w:t>
      </w:r>
      <w:r w:rsidR="00743845" w:rsidRPr="00273CDF">
        <w:t>climate politics.</w:t>
      </w:r>
      <w:r w:rsidR="00743845">
        <w:t xml:space="preserve"> We address this question by </w:t>
      </w:r>
      <w:r w:rsidR="00743845" w:rsidRPr="00C66ACF">
        <w:t>examin</w:t>
      </w:r>
      <w:r w:rsidR="00743845">
        <w:t xml:space="preserve">ing </w:t>
      </w:r>
      <w:r w:rsidR="00743845" w:rsidRPr="00C66ACF">
        <w:t xml:space="preserve">(1) the extent and types of engagement with health; (2) what factors are associated with different levels of health engagement; and (3) whether there are broader differences between NDCs with higher health and lower health engagement.  </w:t>
      </w:r>
    </w:p>
    <w:p w14:paraId="22F2C584" w14:textId="77777777" w:rsidR="00743845" w:rsidRDefault="00743845" w:rsidP="00743845">
      <w:pPr>
        <w:jc w:val="left"/>
      </w:pPr>
    </w:p>
    <w:p w14:paraId="73975A93" w14:textId="17FC6C3B" w:rsidR="004E505D" w:rsidRPr="004E505D" w:rsidRDefault="00B1011A" w:rsidP="004E505D">
      <w:pPr>
        <w:jc w:val="left"/>
        <w:rPr>
          <w:b/>
          <w:bCs/>
        </w:rPr>
      </w:pPr>
      <w:r w:rsidRPr="00B1011A">
        <w:rPr>
          <w:b/>
          <w:bCs/>
        </w:rPr>
        <w:t>Methods</w:t>
      </w:r>
    </w:p>
    <w:p w14:paraId="057D50A1" w14:textId="6B487205" w:rsidR="008D1AD3" w:rsidRPr="008D1AD3" w:rsidRDefault="008D1AD3" w:rsidP="004E505D">
      <w:pPr>
        <w:jc w:val="both"/>
        <w:rPr>
          <w:i/>
          <w:iCs/>
        </w:rPr>
      </w:pPr>
      <w:r>
        <w:rPr>
          <w:i/>
          <w:iCs/>
        </w:rPr>
        <w:t>Study Design</w:t>
      </w:r>
    </w:p>
    <w:p w14:paraId="6A3CA817" w14:textId="01186336" w:rsidR="00AE7CCB" w:rsidRDefault="00991875" w:rsidP="0091459F">
      <w:pPr>
        <w:jc w:val="both"/>
      </w:pPr>
      <w:r>
        <w:t xml:space="preserve">This study is based on </w:t>
      </w:r>
      <w:r w:rsidR="001A5C40">
        <w:t xml:space="preserve">an analysis of </w:t>
      </w:r>
      <w:r>
        <w:t xml:space="preserve">the NDCs submitted by 185 </w:t>
      </w:r>
      <w:r w:rsidR="00AF7882">
        <w:t>countries</w:t>
      </w:r>
      <w:r w:rsidR="00D20E14">
        <w:t xml:space="preserve"> (</w:t>
      </w:r>
      <w:r w:rsidR="00097594">
        <w:t>with EU member states producing a joint NDC</w:t>
      </w:r>
      <w:r w:rsidR="00D20E14">
        <w:t>)</w:t>
      </w:r>
      <w:r>
        <w:t xml:space="preserve">. </w:t>
      </w:r>
      <w:r w:rsidR="0091459F">
        <w:t>We collected the NDCs from</w:t>
      </w:r>
      <w:r w:rsidR="008D1AD3">
        <w:t xml:space="preserve"> the UNFCCC registry</w:t>
      </w:r>
      <w:r w:rsidR="008D1AD3" w:rsidRPr="00F947F5">
        <w:rPr>
          <w:vertAlign w:val="superscript"/>
        </w:rPr>
        <w:endnoteReference w:id="27"/>
      </w:r>
      <w:r w:rsidR="00AF7882">
        <w:t>, and</w:t>
      </w:r>
      <w:r w:rsidR="00AE7CCB">
        <w:t xml:space="preserve"> </w:t>
      </w:r>
      <w:r w:rsidR="0091459F">
        <w:t>examined</w:t>
      </w:r>
      <w:r w:rsidR="00AE7CCB">
        <w:t xml:space="preserve"> levels of health engagement using both content analysis and natural language processing (NLP) methods</w:t>
      </w:r>
      <w:r>
        <w:t xml:space="preserve">. This </w:t>
      </w:r>
      <w:r w:rsidR="0091459F">
        <w:t xml:space="preserve">analysis </w:t>
      </w:r>
      <w:r>
        <w:t>also enable</w:t>
      </w:r>
      <w:r w:rsidR="0091459F">
        <w:t>d</w:t>
      </w:r>
      <w:r>
        <w:t xml:space="preserve"> us to produce two measures of health engagement</w:t>
      </w:r>
      <w:r w:rsidR="001A5C40">
        <w:t>: (1)</w:t>
      </w:r>
      <w:r>
        <w:t xml:space="preserve"> </w:t>
      </w:r>
      <w:r>
        <w:rPr>
          <w:i/>
          <w:iCs/>
        </w:rPr>
        <w:t>Health Engagement Scores</w:t>
      </w:r>
      <w:r>
        <w:t xml:space="preserve"> (HES)</w:t>
      </w:r>
      <w:r w:rsidR="001A5C40">
        <w:t xml:space="preserve">, which </w:t>
      </w:r>
      <w:r>
        <w:t xml:space="preserve">reveals the </w:t>
      </w:r>
      <w:r w:rsidRPr="00991875">
        <w:rPr>
          <w:i/>
          <w:iCs/>
        </w:rPr>
        <w:t>depth</w:t>
      </w:r>
      <w:r>
        <w:t xml:space="preserve"> of countries’ engagement</w:t>
      </w:r>
      <w:r w:rsidR="0091459F">
        <w:t xml:space="preserve"> based on</w:t>
      </w:r>
      <w:r w:rsidR="001A5C40">
        <w:t xml:space="preserve"> the</w:t>
      </w:r>
      <w:r>
        <w:t xml:space="preserve"> specificity and detail of health references</w:t>
      </w:r>
      <w:r w:rsidR="001A5C40">
        <w:t xml:space="preserve">; and (2) </w:t>
      </w:r>
      <w:r>
        <w:rPr>
          <w:i/>
          <w:iCs/>
        </w:rPr>
        <w:t>Health Topic Proportion</w:t>
      </w:r>
      <w:r w:rsidR="001A5C40">
        <w:t xml:space="preserve"> (HTP)</w:t>
      </w:r>
      <w:r>
        <w:t xml:space="preserve">, </w:t>
      </w:r>
      <w:r w:rsidR="001A5C40">
        <w:t xml:space="preserve">which measures the </w:t>
      </w:r>
      <w:r w:rsidR="001A5C40">
        <w:rPr>
          <w:i/>
          <w:iCs/>
        </w:rPr>
        <w:t>breadth</w:t>
      </w:r>
      <w:r w:rsidR="001A5C40">
        <w:t xml:space="preserve"> of health engagement by </w:t>
      </w:r>
      <w:r w:rsidR="0091459F">
        <w:t>measuring</w:t>
      </w:r>
      <w:r w:rsidR="001A5C40">
        <w:t xml:space="preserve"> the proportion of a state’s NDC discussing</w:t>
      </w:r>
      <w:r w:rsidR="00E5081B">
        <w:t xml:space="preserve"> a health theme</w:t>
      </w:r>
      <w:r w:rsidR="001A5C40">
        <w:t xml:space="preserve">. </w:t>
      </w:r>
      <w:r w:rsidR="0066046D">
        <w:t xml:space="preserve">We used </w:t>
      </w:r>
      <w:r w:rsidR="001A5C40">
        <w:t xml:space="preserve">these measures in </w:t>
      </w:r>
      <w:r w:rsidR="0066046D">
        <w:t xml:space="preserve">a multivariate regression analysis to examine </w:t>
      </w:r>
      <w:r w:rsidR="0091459F">
        <w:t>the</w:t>
      </w:r>
      <w:r w:rsidR="0066046D">
        <w:t xml:space="preserve"> country characteristics associated with different levels of health engagement. </w:t>
      </w:r>
      <w:r w:rsidR="00DE5838">
        <w:t>W</w:t>
      </w:r>
      <w:r w:rsidR="0066046D">
        <w:t>e</w:t>
      </w:r>
      <w:r w:rsidR="00DE5838">
        <w:t xml:space="preserve"> then</w:t>
      </w:r>
      <w:r w:rsidR="0066046D">
        <w:t xml:space="preserve"> turned to NLP methods to </w:t>
      </w:r>
      <w:r w:rsidR="001A5C40">
        <w:t>analyse</w:t>
      </w:r>
      <w:r w:rsidR="0066046D">
        <w:t xml:space="preserve"> the differences in the content of NDCs with lower health engagement and NDCs with higher health engagement. </w:t>
      </w:r>
    </w:p>
    <w:p w14:paraId="582D4122" w14:textId="77777777" w:rsidR="006F5135" w:rsidRDefault="006F5135" w:rsidP="006F5135">
      <w:pPr>
        <w:jc w:val="both"/>
      </w:pPr>
    </w:p>
    <w:p w14:paraId="7062EBEC" w14:textId="3CDA5B0B" w:rsidR="00CC044A" w:rsidRDefault="00CD46DF" w:rsidP="007547FC">
      <w:pPr>
        <w:jc w:val="left"/>
      </w:pPr>
      <w:r>
        <w:rPr>
          <w:i/>
          <w:iCs/>
        </w:rPr>
        <w:t>Content Analysis</w:t>
      </w:r>
    </w:p>
    <w:p w14:paraId="4AC74E3B" w14:textId="6C7AF30E" w:rsidR="00444DC8" w:rsidRDefault="000611AC" w:rsidP="00444DC8">
      <w:pPr>
        <w:jc w:val="both"/>
      </w:pPr>
      <w:r w:rsidRPr="00F41DE7">
        <w:t>We</w:t>
      </w:r>
      <w:r w:rsidR="004112B9" w:rsidRPr="00F41DE7">
        <w:t xml:space="preserve"> assessed</w:t>
      </w:r>
      <w:r w:rsidRPr="00F41DE7">
        <w:t xml:space="preserve"> engagement with heal</w:t>
      </w:r>
      <w:r w:rsidR="00B475B8" w:rsidRPr="00F41DE7">
        <w:t>th</w:t>
      </w:r>
      <w:r w:rsidRPr="00F41DE7">
        <w:t xml:space="preserve"> </w:t>
      </w:r>
      <w:r w:rsidR="0092138D" w:rsidRPr="00F41DE7">
        <w:t>by conducting</w:t>
      </w:r>
      <w:r w:rsidRPr="00F41DE7">
        <w:t xml:space="preserve"> a </w:t>
      </w:r>
      <w:r w:rsidR="00404DD0" w:rsidRPr="00F41DE7">
        <w:t>content analysis</w:t>
      </w:r>
      <w:r w:rsidR="003A4947" w:rsidRPr="00F41DE7">
        <w:t xml:space="preserve"> of health references</w:t>
      </w:r>
      <w:r w:rsidR="00B475B8" w:rsidRPr="00F41DE7">
        <w:t xml:space="preserve"> in the NDCs</w:t>
      </w:r>
      <w:r w:rsidR="00404DD0" w:rsidRPr="00F41DE7">
        <w:t xml:space="preserve">. </w:t>
      </w:r>
      <w:r w:rsidR="00444DC8">
        <w:t xml:space="preserve">Two coders independently identified references to health in each NDC based on both automated and manual searches, using search terms developed iteratively through the course of search (appendix p.1; Table A1). </w:t>
      </w:r>
      <w:r w:rsidR="0092138D" w:rsidRPr="00F41DE7">
        <w:t xml:space="preserve">Based on this, each NDC </w:t>
      </w:r>
      <w:r w:rsidR="00E03188" w:rsidRPr="00F41DE7">
        <w:t>was given a</w:t>
      </w:r>
      <w:r w:rsidR="0092138D" w:rsidRPr="00F41DE7">
        <w:t xml:space="preserve"> </w:t>
      </w:r>
      <w:r w:rsidR="0092138D" w:rsidRPr="00F41DE7">
        <w:rPr>
          <w:i/>
          <w:iCs/>
        </w:rPr>
        <w:t>Health Engagement Score</w:t>
      </w:r>
      <w:r w:rsidR="0092138D" w:rsidRPr="00F41DE7">
        <w:t xml:space="preserve"> (HES)</w:t>
      </w:r>
      <w:r w:rsidR="00404DD0" w:rsidRPr="00F41DE7">
        <w:t xml:space="preserve"> between 0 and 5</w:t>
      </w:r>
      <w:r w:rsidR="002902C5" w:rsidRPr="00F41DE7">
        <w:t xml:space="preserve"> –</w:t>
      </w:r>
      <w:r w:rsidR="00404DD0" w:rsidRPr="00F41DE7">
        <w:t xml:space="preserve"> where</w:t>
      </w:r>
      <w:r w:rsidR="002902C5" w:rsidRPr="00F41DE7">
        <w:t xml:space="preserve"> </w:t>
      </w:r>
      <w:r w:rsidR="00404DD0" w:rsidRPr="00F41DE7">
        <w:t>0 indicates no</w:t>
      </w:r>
      <w:r w:rsidR="00A264BF" w:rsidRPr="00F41DE7">
        <w:t xml:space="preserve"> health</w:t>
      </w:r>
      <w:r w:rsidR="00404DD0" w:rsidRPr="00F41DE7">
        <w:t xml:space="preserve"> reference</w:t>
      </w:r>
      <w:r w:rsidR="00A264BF" w:rsidRPr="00F41DE7">
        <w:t>,</w:t>
      </w:r>
      <w:r w:rsidR="00404DD0" w:rsidRPr="00F41DE7">
        <w:t xml:space="preserve"> and 5 represents the highest level of health engagement.</w:t>
      </w:r>
      <w:r w:rsidR="00097594">
        <w:t xml:space="preserve"> </w:t>
      </w:r>
      <w:r w:rsidR="00444DC8">
        <w:t xml:space="preserve">Any mention of health was allocated an initial score of one. This score was amended based on more </w:t>
      </w:r>
      <w:r w:rsidR="00444DC8" w:rsidRPr="00621F9C">
        <w:rPr>
          <w:i/>
          <w:iCs/>
        </w:rPr>
        <w:t>specific</w:t>
      </w:r>
      <w:r w:rsidR="00444DC8">
        <w:t xml:space="preserve"> or </w:t>
      </w:r>
      <w:r w:rsidR="00444DC8" w:rsidRPr="00621F9C">
        <w:rPr>
          <w:i/>
          <w:iCs/>
        </w:rPr>
        <w:t>detailed</w:t>
      </w:r>
      <w:r w:rsidR="00FE51DE">
        <w:t xml:space="preserve"> references</w:t>
      </w:r>
      <w:r w:rsidR="00141922">
        <w:t>, up to</w:t>
      </w:r>
      <w:r w:rsidR="00E561D7">
        <w:t xml:space="preserve"> </w:t>
      </w:r>
      <w:proofErr w:type="gramStart"/>
      <w:r w:rsidR="00E561D7">
        <w:t>a</w:t>
      </w:r>
      <w:proofErr w:type="gramEnd"/>
      <w:r w:rsidR="00141922">
        <w:t xml:space="preserve"> highest score of 5</w:t>
      </w:r>
      <w:r w:rsidR="00444DC8">
        <w:t>:</w:t>
      </w:r>
    </w:p>
    <w:p w14:paraId="4BBF7D1D" w14:textId="77777777" w:rsidR="00444DC8" w:rsidRDefault="00444DC8" w:rsidP="00444DC8">
      <w:pPr>
        <w:pStyle w:val="ListParagraph"/>
        <w:numPr>
          <w:ilvl w:val="0"/>
          <w:numId w:val="3"/>
        </w:numPr>
        <w:jc w:val="both"/>
      </w:pPr>
      <w:r>
        <w:t>Impact</w:t>
      </w:r>
    </w:p>
    <w:p w14:paraId="0C2F9E00" w14:textId="3EA6A24E" w:rsidR="00444DC8" w:rsidRDefault="00444DC8" w:rsidP="00444DC8">
      <w:pPr>
        <w:pStyle w:val="ListParagraph"/>
        <w:numPr>
          <w:ilvl w:val="1"/>
          <w:numId w:val="3"/>
        </w:numPr>
        <w:jc w:val="both"/>
      </w:pPr>
      <w:r>
        <w:t>General: includes the impact of climate change on health generally or the health sector</w:t>
      </w:r>
    </w:p>
    <w:p w14:paraId="19CD1F06" w14:textId="77777777" w:rsidR="00444DC8" w:rsidRDefault="00444DC8" w:rsidP="00444DC8">
      <w:pPr>
        <w:pStyle w:val="ListParagraph"/>
        <w:numPr>
          <w:ilvl w:val="1"/>
          <w:numId w:val="3"/>
        </w:numPr>
        <w:jc w:val="both"/>
      </w:pPr>
      <w:r>
        <w:t>Specific: includes the impact of climate change on specific health outcomes</w:t>
      </w:r>
    </w:p>
    <w:p w14:paraId="6D2BE56B" w14:textId="77777777" w:rsidR="00444DC8" w:rsidRDefault="00444DC8" w:rsidP="00444DC8">
      <w:pPr>
        <w:pStyle w:val="ListParagraph"/>
        <w:numPr>
          <w:ilvl w:val="0"/>
          <w:numId w:val="3"/>
        </w:numPr>
        <w:jc w:val="both"/>
      </w:pPr>
      <w:r>
        <w:t>Adaptation</w:t>
      </w:r>
    </w:p>
    <w:p w14:paraId="480D3B92" w14:textId="5DD1195C" w:rsidR="00444DC8" w:rsidRDefault="00444DC8" w:rsidP="00444DC8">
      <w:pPr>
        <w:pStyle w:val="ListParagraph"/>
        <w:numPr>
          <w:ilvl w:val="1"/>
          <w:numId w:val="3"/>
        </w:numPr>
        <w:jc w:val="both"/>
      </w:pPr>
      <w:r>
        <w:t xml:space="preserve">General: includes the need for an adaptation plan, </w:t>
      </w:r>
      <w:r w:rsidR="00A20801">
        <w:t xml:space="preserve">mentioning health, </w:t>
      </w:r>
      <w:r>
        <w:t>but with no further detail</w:t>
      </w:r>
    </w:p>
    <w:p w14:paraId="582944B7" w14:textId="240222BF" w:rsidR="00A20801" w:rsidRDefault="00A20801" w:rsidP="00444DC8">
      <w:pPr>
        <w:pStyle w:val="ListParagraph"/>
        <w:numPr>
          <w:ilvl w:val="1"/>
          <w:numId w:val="3"/>
        </w:numPr>
        <w:jc w:val="both"/>
      </w:pPr>
      <w:r>
        <w:t>Specific: includes the need for an adaptation plan, mentioning a specific health outcome, but with no further detail</w:t>
      </w:r>
    </w:p>
    <w:p w14:paraId="3EB33A10" w14:textId="6D7C6D27" w:rsidR="00444DC8" w:rsidRDefault="00444DC8" w:rsidP="00444DC8">
      <w:pPr>
        <w:pStyle w:val="ListParagraph"/>
        <w:numPr>
          <w:ilvl w:val="1"/>
          <w:numId w:val="3"/>
        </w:numPr>
        <w:jc w:val="both"/>
      </w:pPr>
      <w:r>
        <w:t>Detailed: includes detail</w:t>
      </w:r>
      <w:r w:rsidR="00FE51DE">
        <w:t>ed information and plans</w:t>
      </w:r>
      <w:r>
        <w:t xml:space="preserve"> a</w:t>
      </w:r>
      <w:r w:rsidR="00FE51DE">
        <w:t>bout</w:t>
      </w:r>
      <w:r>
        <w:t xml:space="preserve"> necessary provisions for adaptation in the area of health</w:t>
      </w:r>
    </w:p>
    <w:p w14:paraId="05B3E3EC" w14:textId="0D84EED9" w:rsidR="00444DC8" w:rsidRDefault="00444DC8" w:rsidP="008072F5">
      <w:pPr>
        <w:pStyle w:val="ListParagraph"/>
        <w:numPr>
          <w:ilvl w:val="0"/>
          <w:numId w:val="3"/>
        </w:numPr>
        <w:jc w:val="both"/>
      </w:pPr>
      <w:r>
        <w:t>Mitigation</w:t>
      </w:r>
      <w:r w:rsidR="00A20801">
        <w:t>: i</w:t>
      </w:r>
      <w:r>
        <w:t>ncludes</w:t>
      </w:r>
      <w:r w:rsidR="00A20801">
        <w:t xml:space="preserve"> </w:t>
      </w:r>
      <w:r>
        <w:t>a link between health and mitigation</w:t>
      </w:r>
    </w:p>
    <w:p w14:paraId="613B80DE" w14:textId="77777777" w:rsidR="00444DC8" w:rsidRDefault="00444DC8" w:rsidP="00444DC8">
      <w:pPr>
        <w:pStyle w:val="ListParagraph"/>
        <w:numPr>
          <w:ilvl w:val="0"/>
          <w:numId w:val="3"/>
        </w:numPr>
        <w:jc w:val="both"/>
      </w:pPr>
      <w:r>
        <w:t xml:space="preserve">Co-benefits </w:t>
      </w:r>
    </w:p>
    <w:p w14:paraId="42CB9DF7" w14:textId="77777777" w:rsidR="00444DC8" w:rsidRDefault="00444DC8" w:rsidP="00444DC8">
      <w:pPr>
        <w:pStyle w:val="ListParagraph"/>
        <w:numPr>
          <w:ilvl w:val="1"/>
          <w:numId w:val="3"/>
        </w:numPr>
        <w:jc w:val="both"/>
      </w:pPr>
      <w:r>
        <w:lastRenderedPageBreak/>
        <w:t>General: includes information about measures that would have co-benefits for health and climate change</w:t>
      </w:r>
    </w:p>
    <w:p w14:paraId="1877D3FD" w14:textId="77777777" w:rsidR="00444DC8" w:rsidRDefault="00444DC8" w:rsidP="00444DC8">
      <w:pPr>
        <w:pStyle w:val="ListParagraph"/>
        <w:numPr>
          <w:ilvl w:val="1"/>
          <w:numId w:val="3"/>
        </w:numPr>
        <w:jc w:val="both"/>
      </w:pPr>
      <w:r>
        <w:t>Specific: includes co-benefit measures with information about specific health benefits</w:t>
      </w:r>
    </w:p>
    <w:p w14:paraId="1DE9CAA0" w14:textId="35B45ABF" w:rsidR="00444DC8" w:rsidRDefault="00444DC8" w:rsidP="008072F5">
      <w:pPr>
        <w:pStyle w:val="ListParagraph"/>
        <w:numPr>
          <w:ilvl w:val="0"/>
          <w:numId w:val="3"/>
        </w:numPr>
        <w:jc w:val="both"/>
      </w:pPr>
      <w:r>
        <w:t>Trade-offs</w:t>
      </w:r>
      <w:r w:rsidR="00A20801">
        <w:t>: r</w:t>
      </w:r>
      <w:r>
        <w:t>efers</w:t>
      </w:r>
      <w:r w:rsidR="00A20801">
        <w:t xml:space="preserve"> </w:t>
      </w:r>
      <w:r>
        <w:t>to mentions of financial trade-offs involved in addressing both climate change and health</w:t>
      </w:r>
    </w:p>
    <w:p w14:paraId="33453CFD" w14:textId="473CDE83" w:rsidR="00444DC8" w:rsidRDefault="00444DC8" w:rsidP="00A20801">
      <w:pPr>
        <w:pStyle w:val="ListParagraph"/>
        <w:numPr>
          <w:ilvl w:val="0"/>
          <w:numId w:val="3"/>
        </w:numPr>
        <w:jc w:val="both"/>
      </w:pPr>
      <w:r>
        <w:t>Background</w:t>
      </w:r>
      <w:r w:rsidR="00A20801">
        <w:t>: r</w:t>
      </w:r>
      <w:r>
        <w:t>efers</w:t>
      </w:r>
      <w:r w:rsidR="00A20801">
        <w:t xml:space="preserve"> </w:t>
      </w:r>
      <w:r>
        <w:t>to descriptions of a country’s health profile and health challenges</w:t>
      </w:r>
    </w:p>
    <w:p w14:paraId="34A4F031" w14:textId="64213DAC" w:rsidR="008072F5" w:rsidRDefault="00444DC8" w:rsidP="00C96B1F">
      <w:pPr>
        <w:jc w:val="both"/>
      </w:pPr>
      <w:r>
        <w:t>This HES measure sheds light on the depth of countries’ engagement with health</w:t>
      </w:r>
      <w:r w:rsidR="00C63345">
        <w:t xml:space="preserve"> (see Table 1)</w:t>
      </w:r>
      <w:r>
        <w:t>.</w:t>
      </w:r>
      <w:r w:rsidR="000E72C4">
        <w:t xml:space="preserve"> It is worth noting that while </w:t>
      </w:r>
      <w:r w:rsidR="00865657">
        <w:t>the</w:t>
      </w:r>
      <w:r w:rsidR="000E72C4">
        <w:t xml:space="preserve"> framework</w:t>
      </w:r>
      <w:r w:rsidR="00865657">
        <w:t xml:space="preserve"> distinguishes</w:t>
      </w:r>
      <w:r w:rsidR="000E72C4">
        <w:t xml:space="preserve"> between </w:t>
      </w:r>
      <w:r w:rsidR="000E72C4" w:rsidRPr="00621F9C">
        <w:rPr>
          <w:i/>
          <w:iCs/>
        </w:rPr>
        <w:t>mitigation</w:t>
      </w:r>
      <w:r w:rsidR="000E72C4">
        <w:t xml:space="preserve"> and </w:t>
      </w:r>
      <w:r w:rsidR="000E72C4" w:rsidRPr="00621F9C">
        <w:rPr>
          <w:i/>
          <w:iCs/>
        </w:rPr>
        <w:t>co-benefits</w:t>
      </w:r>
      <w:r w:rsidR="00F3584B">
        <w:rPr>
          <w:i/>
          <w:iCs/>
        </w:rPr>
        <w:t>,</w:t>
      </w:r>
      <w:r w:rsidR="00865657">
        <w:t xml:space="preserve"> they are closely connected in that </w:t>
      </w:r>
      <w:r w:rsidR="00865657">
        <w:rPr>
          <w:i/>
          <w:iCs/>
        </w:rPr>
        <w:t>co-benefit</w:t>
      </w:r>
      <w:r w:rsidR="00865657">
        <w:t xml:space="preserve"> refers to mentions of</w:t>
      </w:r>
      <w:r w:rsidR="000E72C4">
        <w:t xml:space="preserve"> mitigation measures that have a health co-benefit.</w:t>
      </w:r>
      <w:r>
        <w:t xml:space="preserve"> We provide a more detailed discussion of the scoring framework with examples of different types of health mentions in the appendix (pp.1-3). </w:t>
      </w:r>
    </w:p>
    <w:p w14:paraId="1D541588" w14:textId="77777777" w:rsidR="001C7E82" w:rsidRDefault="001C7E82" w:rsidP="001C7E82">
      <w:pPr>
        <w:jc w:val="left"/>
      </w:pPr>
    </w:p>
    <w:tbl>
      <w:tblPr>
        <w:tblStyle w:val="TableGridLight"/>
        <w:tblpPr w:leftFromText="180" w:rightFromText="180" w:vertAnchor="text" w:horzAnchor="margin" w:tblpY="338"/>
        <w:tblW w:w="9209" w:type="dxa"/>
        <w:tblLook w:val="04A0" w:firstRow="1" w:lastRow="0" w:firstColumn="1" w:lastColumn="0" w:noHBand="0" w:noVBand="1"/>
      </w:tblPr>
      <w:tblGrid>
        <w:gridCol w:w="1413"/>
        <w:gridCol w:w="1146"/>
        <w:gridCol w:w="1122"/>
        <w:gridCol w:w="5528"/>
      </w:tblGrid>
      <w:tr w:rsidR="001C7E82" w:rsidRPr="00F85752" w14:paraId="74BF6385" w14:textId="77777777" w:rsidTr="001C7E82">
        <w:tc>
          <w:tcPr>
            <w:tcW w:w="1413" w:type="dxa"/>
          </w:tcPr>
          <w:p w14:paraId="77FDC357" w14:textId="77777777" w:rsidR="001C7E82" w:rsidRPr="00F85752" w:rsidRDefault="001C7E82" w:rsidP="001C7E82">
            <w:pPr>
              <w:rPr>
                <w:b/>
                <w:bCs/>
                <w:sz w:val="20"/>
                <w:szCs w:val="20"/>
              </w:rPr>
            </w:pPr>
            <w:r w:rsidRPr="00F85752">
              <w:rPr>
                <w:b/>
                <w:bCs/>
                <w:sz w:val="20"/>
                <w:szCs w:val="20"/>
              </w:rPr>
              <w:t>Type</w:t>
            </w:r>
          </w:p>
        </w:tc>
        <w:tc>
          <w:tcPr>
            <w:tcW w:w="1146" w:type="dxa"/>
          </w:tcPr>
          <w:p w14:paraId="5D3BD5B8" w14:textId="77777777" w:rsidR="001C7E82" w:rsidRPr="00F85752" w:rsidRDefault="001C7E82" w:rsidP="001C7E82">
            <w:pPr>
              <w:rPr>
                <w:b/>
                <w:bCs/>
                <w:sz w:val="20"/>
                <w:szCs w:val="20"/>
              </w:rPr>
            </w:pPr>
            <w:r w:rsidRPr="00F85752">
              <w:rPr>
                <w:b/>
                <w:bCs/>
                <w:sz w:val="20"/>
                <w:szCs w:val="20"/>
              </w:rPr>
              <w:t>Specificity</w:t>
            </w:r>
          </w:p>
        </w:tc>
        <w:tc>
          <w:tcPr>
            <w:tcW w:w="1122" w:type="dxa"/>
          </w:tcPr>
          <w:p w14:paraId="5B82CA16" w14:textId="05976B52" w:rsidR="001C7E82" w:rsidRPr="00F85752" w:rsidRDefault="001C7E82" w:rsidP="001C7E82">
            <w:pPr>
              <w:rPr>
                <w:b/>
                <w:bCs/>
                <w:sz w:val="20"/>
                <w:szCs w:val="20"/>
              </w:rPr>
            </w:pPr>
            <w:r w:rsidRPr="00F85752">
              <w:rPr>
                <w:b/>
                <w:bCs/>
                <w:sz w:val="20"/>
                <w:szCs w:val="20"/>
              </w:rPr>
              <w:t xml:space="preserve">HES </w:t>
            </w:r>
            <w:r w:rsidR="00BB6532">
              <w:rPr>
                <w:b/>
                <w:bCs/>
                <w:sz w:val="20"/>
                <w:szCs w:val="20"/>
              </w:rPr>
              <w:t>entry</w:t>
            </w:r>
            <w:r w:rsidRPr="00F85752">
              <w:rPr>
                <w:b/>
                <w:bCs/>
                <w:sz w:val="20"/>
                <w:szCs w:val="20"/>
              </w:rPr>
              <w:t>:</w:t>
            </w:r>
          </w:p>
        </w:tc>
        <w:tc>
          <w:tcPr>
            <w:tcW w:w="5528" w:type="dxa"/>
          </w:tcPr>
          <w:p w14:paraId="438F8A74" w14:textId="77777777" w:rsidR="001C7E82" w:rsidRPr="00F85752" w:rsidRDefault="001C7E82" w:rsidP="001C7E82">
            <w:pPr>
              <w:rPr>
                <w:b/>
                <w:bCs/>
                <w:sz w:val="20"/>
                <w:szCs w:val="20"/>
              </w:rPr>
            </w:pPr>
            <w:r w:rsidRPr="00F85752">
              <w:rPr>
                <w:b/>
                <w:bCs/>
                <w:sz w:val="20"/>
                <w:szCs w:val="20"/>
              </w:rPr>
              <w:t>Example</w:t>
            </w:r>
          </w:p>
        </w:tc>
      </w:tr>
      <w:tr w:rsidR="001C7E82" w:rsidRPr="00F85752" w14:paraId="72FA0B57" w14:textId="77777777" w:rsidTr="001C7E82">
        <w:tc>
          <w:tcPr>
            <w:tcW w:w="1413" w:type="dxa"/>
            <w:shd w:val="clear" w:color="auto" w:fill="auto"/>
            <w:vAlign w:val="center"/>
          </w:tcPr>
          <w:p w14:paraId="6D59EE48" w14:textId="77777777" w:rsidR="001C7E82" w:rsidRPr="00F85752" w:rsidRDefault="001C7E82" w:rsidP="001C7E82">
            <w:pPr>
              <w:rPr>
                <w:sz w:val="20"/>
                <w:szCs w:val="20"/>
              </w:rPr>
            </w:pPr>
            <w:r w:rsidRPr="00F85752">
              <w:rPr>
                <w:sz w:val="20"/>
                <w:szCs w:val="20"/>
              </w:rPr>
              <w:t>Any mention</w:t>
            </w:r>
          </w:p>
        </w:tc>
        <w:tc>
          <w:tcPr>
            <w:tcW w:w="1146" w:type="dxa"/>
            <w:shd w:val="clear" w:color="auto" w:fill="auto"/>
            <w:vAlign w:val="center"/>
          </w:tcPr>
          <w:p w14:paraId="2E1741DC" w14:textId="77777777" w:rsidR="001C7E82" w:rsidRPr="00F85752" w:rsidRDefault="001C7E82" w:rsidP="001C7E82">
            <w:pPr>
              <w:rPr>
                <w:sz w:val="20"/>
                <w:szCs w:val="20"/>
              </w:rPr>
            </w:pPr>
          </w:p>
        </w:tc>
        <w:tc>
          <w:tcPr>
            <w:tcW w:w="1122" w:type="dxa"/>
            <w:shd w:val="clear" w:color="auto" w:fill="auto"/>
            <w:vAlign w:val="center"/>
          </w:tcPr>
          <w:p w14:paraId="4D465895" w14:textId="77777777" w:rsidR="001C7E82" w:rsidRPr="00F85752" w:rsidRDefault="001C7E82" w:rsidP="001C7E82">
            <w:pPr>
              <w:rPr>
                <w:sz w:val="20"/>
                <w:szCs w:val="20"/>
              </w:rPr>
            </w:pPr>
            <w:r w:rsidRPr="00F85752">
              <w:rPr>
                <w:sz w:val="20"/>
                <w:szCs w:val="20"/>
              </w:rPr>
              <w:t>1</w:t>
            </w:r>
          </w:p>
        </w:tc>
        <w:tc>
          <w:tcPr>
            <w:tcW w:w="5528" w:type="dxa"/>
            <w:shd w:val="clear" w:color="auto" w:fill="auto"/>
          </w:tcPr>
          <w:p w14:paraId="1EC126CB" w14:textId="77777777" w:rsidR="001C7E82" w:rsidRPr="00F85752" w:rsidRDefault="001C7E82" w:rsidP="001C7E82">
            <w:pPr>
              <w:rPr>
                <w:sz w:val="20"/>
                <w:szCs w:val="20"/>
              </w:rPr>
            </w:pPr>
          </w:p>
        </w:tc>
      </w:tr>
      <w:tr w:rsidR="001C7E82" w:rsidRPr="00F85752" w14:paraId="2D8BE90E" w14:textId="77777777" w:rsidTr="001C7E82">
        <w:tc>
          <w:tcPr>
            <w:tcW w:w="1413" w:type="dxa"/>
            <w:vMerge w:val="restart"/>
            <w:shd w:val="clear" w:color="auto" w:fill="auto"/>
            <w:vAlign w:val="center"/>
          </w:tcPr>
          <w:p w14:paraId="7D920163" w14:textId="77777777" w:rsidR="001C7E82" w:rsidRPr="00F85752" w:rsidRDefault="001C7E82" w:rsidP="001C7E82">
            <w:pPr>
              <w:rPr>
                <w:sz w:val="20"/>
                <w:szCs w:val="20"/>
              </w:rPr>
            </w:pPr>
            <w:r w:rsidRPr="00F85752">
              <w:rPr>
                <w:sz w:val="20"/>
                <w:szCs w:val="20"/>
              </w:rPr>
              <w:t>Impact</w:t>
            </w:r>
          </w:p>
        </w:tc>
        <w:tc>
          <w:tcPr>
            <w:tcW w:w="1146" w:type="dxa"/>
            <w:shd w:val="clear" w:color="auto" w:fill="auto"/>
            <w:vAlign w:val="center"/>
          </w:tcPr>
          <w:p w14:paraId="654C2BAC" w14:textId="77777777" w:rsidR="001C7E82" w:rsidRPr="00F85752" w:rsidRDefault="001C7E82" w:rsidP="001C7E82">
            <w:pPr>
              <w:rPr>
                <w:sz w:val="20"/>
                <w:szCs w:val="20"/>
              </w:rPr>
            </w:pPr>
            <w:r w:rsidRPr="00F85752">
              <w:rPr>
                <w:sz w:val="20"/>
                <w:szCs w:val="20"/>
              </w:rPr>
              <w:t>General</w:t>
            </w:r>
          </w:p>
        </w:tc>
        <w:tc>
          <w:tcPr>
            <w:tcW w:w="1122" w:type="dxa"/>
            <w:shd w:val="clear" w:color="auto" w:fill="auto"/>
            <w:vAlign w:val="center"/>
          </w:tcPr>
          <w:p w14:paraId="3634574D" w14:textId="46ABD622" w:rsidR="001C7E82" w:rsidRPr="00F85752" w:rsidRDefault="00BB6532" w:rsidP="001C7E82">
            <w:pPr>
              <w:rPr>
                <w:sz w:val="20"/>
                <w:szCs w:val="20"/>
              </w:rPr>
            </w:pPr>
            <w:r>
              <w:rPr>
                <w:sz w:val="20"/>
                <w:szCs w:val="20"/>
              </w:rPr>
              <w:t>1</w:t>
            </w:r>
          </w:p>
        </w:tc>
        <w:tc>
          <w:tcPr>
            <w:tcW w:w="5528" w:type="dxa"/>
            <w:shd w:val="clear" w:color="auto" w:fill="auto"/>
          </w:tcPr>
          <w:p w14:paraId="1105FB71" w14:textId="77777777" w:rsidR="001C7E82" w:rsidRPr="00F85752" w:rsidRDefault="001C7E82" w:rsidP="001C7E82">
            <w:pPr>
              <w:jc w:val="left"/>
              <w:rPr>
                <w:sz w:val="20"/>
                <w:szCs w:val="20"/>
              </w:rPr>
            </w:pPr>
            <w:r w:rsidRPr="00F85752">
              <w:rPr>
                <w:sz w:val="20"/>
                <w:szCs w:val="20"/>
              </w:rPr>
              <w:t>“Other effects [of climate change] have been observed or measured in the sectors of agriculture and</w:t>
            </w:r>
            <w:r w:rsidRPr="00F85752">
              <w:rPr>
                <w:b/>
                <w:bCs/>
                <w:sz w:val="20"/>
                <w:szCs w:val="20"/>
              </w:rPr>
              <w:t xml:space="preserve"> human</w:t>
            </w:r>
            <w:r w:rsidRPr="00F85752">
              <w:rPr>
                <w:sz w:val="20"/>
                <w:szCs w:val="20"/>
              </w:rPr>
              <w:t xml:space="preserve"> </w:t>
            </w:r>
            <w:r w:rsidRPr="00F85752">
              <w:rPr>
                <w:b/>
                <w:bCs/>
                <w:sz w:val="20"/>
                <w:szCs w:val="20"/>
              </w:rPr>
              <w:t>health</w:t>
            </w:r>
            <w:r w:rsidRPr="00F85752">
              <w:rPr>
                <w:sz w:val="20"/>
                <w:szCs w:val="20"/>
              </w:rPr>
              <w:t>, as well as biodiversity” (Cuba’s NDC)</w:t>
            </w:r>
          </w:p>
        </w:tc>
      </w:tr>
      <w:tr w:rsidR="001C7E82" w:rsidRPr="00F85752" w14:paraId="22228D80" w14:textId="77777777" w:rsidTr="001C7E82">
        <w:tc>
          <w:tcPr>
            <w:tcW w:w="1413" w:type="dxa"/>
            <w:vMerge/>
            <w:shd w:val="clear" w:color="auto" w:fill="auto"/>
            <w:vAlign w:val="center"/>
          </w:tcPr>
          <w:p w14:paraId="6B78911B" w14:textId="77777777" w:rsidR="001C7E82" w:rsidRPr="00F85752" w:rsidRDefault="001C7E82" w:rsidP="001C7E82">
            <w:pPr>
              <w:rPr>
                <w:sz w:val="20"/>
                <w:szCs w:val="20"/>
              </w:rPr>
            </w:pPr>
          </w:p>
        </w:tc>
        <w:tc>
          <w:tcPr>
            <w:tcW w:w="1146" w:type="dxa"/>
            <w:shd w:val="clear" w:color="auto" w:fill="auto"/>
            <w:vAlign w:val="center"/>
          </w:tcPr>
          <w:p w14:paraId="0B639C8B" w14:textId="77777777" w:rsidR="001C7E82" w:rsidRPr="00F85752" w:rsidRDefault="001C7E82" w:rsidP="001C7E82">
            <w:pPr>
              <w:rPr>
                <w:sz w:val="20"/>
                <w:szCs w:val="20"/>
              </w:rPr>
            </w:pPr>
            <w:r w:rsidRPr="00F85752">
              <w:rPr>
                <w:sz w:val="20"/>
                <w:szCs w:val="20"/>
              </w:rPr>
              <w:t>Specific</w:t>
            </w:r>
          </w:p>
        </w:tc>
        <w:tc>
          <w:tcPr>
            <w:tcW w:w="1122" w:type="dxa"/>
            <w:shd w:val="clear" w:color="auto" w:fill="auto"/>
            <w:vAlign w:val="center"/>
          </w:tcPr>
          <w:p w14:paraId="07792AFC" w14:textId="77777777" w:rsidR="001C7E82" w:rsidRPr="00F85752" w:rsidRDefault="001C7E82" w:rsidP="001C7E82">
            <w:pPr>
              <w:rPr>
                <w:sz w:val="20"/>
                <w:szCs w:val="20"/>
              </w:rPr>
            </w:pPr>
            <w:r w:rsidRPr="00F85752">
              <w:rPr>
                <w:sz w:val="20"/>
                <w:szCs w:val="20"/>
              </w:rPr>
              <w:t>3</w:t>
            </w:r>
          </w:p>
        </w:tc>
        <w:tc>
          <w:tcPr>
            <w:tcW w:w="5528" w:type="dxa"/>
            <w:shd w:val="clear" w:color="auto" w:fill="auto"/>
          </w:tcPr>
          <w:p w14:paraId="4E72B8A6" w14:textId="77777777" w:rsidR="001C7E82" w:rsidRPr="00F85752" w:rsidRDefault="001C7E82" w:rsidP="001C7E82">
            <w:pPr>
              <w:jc w:val="left"/>
              <w:rPr>
                <w:sz w:val="20"/>
                <w:szCs w:val="20"/>
              </w:rPr>
            </w:pPr>
            <w:r w:rsidRPr="00F85752">
              <w:rPr>
                <w:sz w:val="20"/>
                <w:szCs w:val="20"/>
              </w:rPr>
              <w:t xml:space="preserve">“Examples of direct impacts include </w:t>
            </w:r>
            <w:r w:rsidRPr="00F85752">
              <w:rPr>
                <w:b/>
                <w:bCs/>
                <w:sz w:val="20"/>
                <w:szCs w:val="20"/>
              </w:rPr>
              <w:t>death, injury, psychological disorders</w:t>
            </w:r>
            <w:r w:rsidRPr="00F85752">
              <w:rPr>
                <w:sz w:val="20"/>
                <w:szCs w:val="20"/>
              </w:rPr>
              <w:t xml:space="preserve"> and </w:t>
            </w:r>
            <w:r w:rsidRPr="00F85752">
              <w:rPr>
                <w:b/>
                <w:bCs/>
                <w:sz w:val="20"/>
                <w:szCs w:val="20"/>
              </w:rPr>
              <w:t>damage to public health infrastructure</w:t>
            </w:r>
            <w:r w:rsidRPr="00F85752">
              <w:rPr>
                <w:sz w:val="20"/>
                <w:szCs w:val="20"/>
              </w:rPr>
              <w:t>” (Cambodia’s NDC)</w:t>
            </w:r>
          </w:p>
        </w:tc>
      </w:tr>
      <w:tr w:rsidR="001C7E82" w:rsidRPr="00F85752" w14:paraId="3223D449" w14:textId="77777777" w:rsidTr="001C7E82">
        <w:tc>
          <w:tcPr>
            <w:tcW w:w="1413" w:type="dxa"/>
            <w:vMerge w:val="restart"/>
            <w:shd w:val="clear" w:color="auto" w:fill="auto"/>
            <w:vAlign w:val="center"/>
          </w:tcPr>
          <w:p w14:paraId="229B2F22" w14:textId="77777777" w:rsidR="001C7E82" w:rsidRPr="00F85752" w:rsidRDefault="001C7E82" w:rsidP="001C7E82">
            <w:pPr>
              <w:rPr>
                <w:sz w:val="20"/>
                <w:szCs w:val="20"/>
              </w:rPr>
            </w:pPr>
            <w:r w:rsidRPr="00F85752">
              <w:rPr>
                <w:sz w:val="20"/>
                <w:szCs w:val="20"/>
              </w:rPr>
              <w:t>Adaptation</w:t>
            </w:r>
          </w:p>
          <w:p w14:paraId="366BF7B4" w14:textId="77777777" w:rsidR="001C7E82" w:rsidRPr="00F85752" w:rsidRDefault="001C7E82" w:rsidP="001C7E82">
            <w:pPr>
              <w:rPr>
                <w:sz w:val="20"/>
                <w:szCs w:val="20"/>
              </w:rPr>
            </w:pPr>
          </w:p>
        </w:tc>
        <w:tc>
          <w:tcPr>
            <w:tcW w:w="1146" w:type="dxa"/>
            <w:shd w:val="clear" w:color="auto" w:fill="auto"/>
            <w:vAlign w:val="center"/>
          </w:tcPr>
          <w:p w14:paraId="670A91C0" w14:textId="77777777" w:rsidR="001C7E82" w:rsidRPr="00F85752" w:rsidRDefault="001C7E82" w:rsidP="001C7E82">
            <w:pPr>
              <w:rPr>
                <w:sz w:val="20"/>
                <w:szCs w:val="20"/>
              </w:rPr>
            </w:pPr>
            <w:r w:rsidRPr="00F85752">
              <w:rPr>
                <w:sz w:val="20"/>
                <w:szCs w:val="20"/>
              </w:rPr>
              <w:t>General</w:t>
            </w:r>
          </w:p>
        </w:tc>
        <w:tc>
          <w:tcPr>
            <w:tcW w:w="1122" w:type="dxa"/>
            <w:shd w:val="clear" w:color="auto" w:fill="auto"/>
            <w:vAlign w:val="center"/>
          </w:tcPr>
          <w:p w14:paraId="1B865908" w14:textId="77777777" w:rsidR="001C7E82" w:rsidRPr="00F85752" w:rsidRDefault="001C7E82" w:rsidP="001C7E82">
            <w:pPr>
              <w:rPr>
                <w:sz w:val="20"/>
                <w:szCs w:val="20"/>
              </w:rPr>
            </w:pPr>
            <w:r w:rsidRPr="00F85752">
              <w:rPr>
                <w:sz w:val="20"/>
                <w:szCs w:val="20"/>
              </w:rPr>
              <w:t>2</w:t>
            </w:r>
          </w:p>
        </w:tc>
        <w:tc>
          <w:tcPr>
            <w:tcW w:w="5528" w:type="dxa"/>
            <w:shd w:val="clear" w:color="auto" w:fill="auto"/>
          </w:tcPr>
          <w:p w14:paraId="0C123910" w14:textId="77777777" w:rsidR="001C7E82" w:rsidRPr="00F85752" w:rsidRDefault="001C7E82" w:rsidP="001C7E82">
            <w:pPr>
              <w:jc w:val="left"/>
              <w:rPr>
                <w:sz w:val="20"/>
                <w:szCs w:val="20"/>
              </w:rPr>
            </w:pPr>
            <w:r w:rsidRPr="00F85752">
              <w:rPr>
                <w:sz w:val="20"/>
                <w:szCs w:val="20"/>
              </w:rPr>
              <w:t xml:space="preserve">“El Salvador has resorted to sectoral adaptation strategies with an emphasis on agriculture, resources, infrastructure and </w:t>
            </w:r>
            <w:r w:rsidRPr="00F85752">
              <w:rPr>
                <w:b/>
                <w:bCs/>
                <w:sz w:val="20"/>
                <w:szCs w:val="20"/>
              </w:rPr>
              <w:t>health</w:t>
            </w:r>
            <w:r w:rsidRPr="00F85752">
              <w:rPr>
                <w:sz w:val="20"/>
                <w:szCs w:val="20"/>
              </w:rPr>
              <w:t>, contained in the National Strategy for Climate Change and in the Plan National Climate Change” (El Salvador’s NDC)</w:t>
            </w:r>
          </w:p>
        </w:tc>
      </w:tr>
      <w:tr w:rsidR="001C7E82" w:rsidRPr="00F85752" w14:paraId="43DC59D4" w14:textId="77777777" w:rsidTr="001C7E82">
        <w:tc>
          <w:tcPr>
            <w:tcW w:w="1413" w:type="dxa"/>
            <w:vMerge/>
            <w:shd w:val="clear" w:color="auto" w:fill="auto"/>
            <w:vAlign w:val="center"/>
          </w:tcPr>
          <w:p w14:paraId="2393B436" w14:textId="77777777" w:rsidR="001C7E82" w:rsidRPr="00F85752" w:rsidRDefault="001C7E82" w:rsidP="001C7E82">
            <w:pPr>
              <w:rPr>
                <w:sz w:val="20"/>
                <w:szCs w:val="20"/>
              </w:rPr>
            </w:pPr>
          </w:p>
        </w:tc>
        <w:tc>
          <w:tcPr>
            <w:tcW w:w="1146" w:type="dxa"/>
            <w:shd w:val="clear" w:color="auto" w:fill="auto"/>
            <w:vAlign w:val="center"/>
          </w:tcPr>
          <w:p w14:paraId="74753E3A" w14:textId="77777777" w:rsidR="001C7E82" w:rsidRPr="00F85752" w:rsidRDefault="001C7E82" w:rsidP="001C7E82">
            <w:pPr>
              <w:rPr>
                <w:sz w:val="20"/>
                <w:szCs w:val="20"/>
              </w:rPr>
            </w:pPr>
            <w:r w:rsidRPr="00F85752">
              <w:rPr>
                <w:sz w:val="20"/>
                <w:szCs w:val="20"/>
              </w:rPr>
              <w:t>Detailed</w:t>
            </w:r>
          </w:p>
        </w:tc>
        <w:tc>
          <w:tcPr>
            <w:tcW w:w="1122" w:type="dxa"/>
            <w:shd w:val="clear" w:color="auto" w:fill="auto"/>
            <w:vAlign w:val="center"/>
          </w:tcPr>
          <w:p w14:paraId="50E12344" w14:textId="77777777" w:rsidR="001C7E82" w:rsidRPr="00F85752" w:rsidRDefault="001C7E82" w:rsidP="001C7E82">
            <w:pPr>
              <w:rPr>
                <w:sz w:val="20"/>
                <w:szCs w:val="20"/>
              </w:rPr>
            </w:pPr>
            <w:r w:rsidRPr="00F85752">
              <w:rPr>
                <w:sz w:val="20"/>
                <w:szCs w:val="20"/>
              </w:rPr>
              <w:t>3</w:t>
            </w:r>
          </w:p>
        </w:tc>
        <w:tc>
          <w:tcPr>
            <w:tcW w:w="5528" w:type="dxa"/>
            <w:shd w:val="clear" w:color="auto" w:fill="auto"/>
          </w:tcPr>
          <w:p w14:paraId="6812CCA1" w14:textId="77777777" w:rsidR="001C7E82" w:rsidRPr="00F85752" w:rsidRDefault="001C7E82" w:rsidP="001C7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theme="minorHAnsi"/>
                <w:color w:val="000000" w:themeColor="text1"/>
                <w:sz w:val="20"/>
                <w:szCs w:val="20"/>
              </w:rPr>
            </w:pPr>
            <w:r w:rsidRPr="00F85752">
              <w:rPr>
                <w:rFonts w:cstheme="minorHAnsi"/>
                <w:color w:val="000000" w:themeColor="text1"/>
                <w:sz w:val="20"/>
                <w:szCs w:val="20"/>
              </w:rPr>
              <w:t xml:space="preserve">“Minimize climate‐related </w:t>
            </w:r>
            <w:r w:rsidRPr="00F85752">
              <w:rPr>
                <w:rFonts w:cstheme="minorHAnsi"/>
                <w:b/>
                <w:bCs/>
                <w:color w:val="000000" w:themeColor="text1"/>
                <w:sz w:val="20"/>
                <w:szCs w:val="20"/>
              </w:rPr>
              <w:t>health risks</w:t>
            </w:r>
            <w:r w:rsidRPr="00F85752">
              <w:rPr>
                <w:rFonts w:cstheme="minorHAnsi"/>
                <w:color w:val="000000" w:themeColor="text1"/>
                <w:sz w:val="20"/>
                <w:szCs w:val="20"/>
              </w:rPr>
              <w:t xml:space="preserve"> through:</w:t>
            </w:r>
          </w:p>
          <w:p w14:paraId="34413007" w14:textId="77777777" w:rsidR="001C7E82" w:rsidRPr="00F85752" w:rsidRDefault="001C7E82" w:rsidP="001C7E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 w:val="20"/>
                <w:szCs w:val="20"/>
              </w:rPr>
            </w:pPr>
            <w:r w:rsidRPr="00F85752">
              <w:rPr>
                <w:rFonts w:cstheme="minorHAnsi"/>
                <w:color w:val="000000" w:themeColor="text1"/>
                <w:sz w:val="20"/>
                <w:szCs w:val="20"/>
              </w:rPr>
              <w:t xml:space="preserve">• Strengthening integrated risk monitoring and early warning systems and </w:t>
            </w:r>
            <w:r w:rsidRPr="00F85752">
              <w:rPr>
                <w:rFonts w:cstheme="minorHAnsi"/>
                <w:b/>
                <w:bCs/>
                <w:color w:val="000000" w:themeColor="text1"/>
                <w:sz w:val="20"/>
                <w:szCs w:val="20"/>
              </w:rPr>
              <w:t>response for climate sensitive diseases</w:t>
            </w:r>
            <w:r w:rsidRPr="00F85752">
              <w:rPr>
                <w:rFonts w:cstheme="minorHAnsi"/>
                <w:color w:val="000000" w:themeColor="text1"/>
                <w:sz w:val="20"/>
                <w:szCs w:val="20"/>
              </w:rPr>
              <w:t>” (Bhutan’s NDC)</w:t>
            </w:r>
          </w:p>
        </w:tc>
      </w:tr>
      <w:tr w:rsidR="001C7E82" w:rsidRPr="00F85752" w14:paraId="090D3531" w14:textId="77777777" w:rsidTr="001C7E82">
        <w:tc>
          <w:tcPr>
            <w:tcW w:w="1413" w:type="dxa"/>
            <w:vAlign w:val="center"/>
          </w:tcPr>
          <w:p w14:paraId="776EF952" w14:textId="77777777" w:rsidR="001C7E82" w:rsidRPr="00F85752" w:rsidRDefault="001C7E82" w:rsidP="001C7E82">
            <w:pPr>
              <w:rPr>
                <w:sz w:val="20"/>
                <w:szCs w:val="20"/>
              </w:rPr>
            </w:pPr>
            <w:r w:rsidRPr="00F85752">
              <w:rPr>
                <w:sz w:val="20"/>
                <w:szCs w:val="20"/>
              </w:rPr>
              <w:t>Mitigation</w:t>
            </w:r>
          </w:p>
        </w:tc>
        <w:tc>
          <w:tcPr>
            <w:tcW w:w="1146" w:type="dxa"/>
            <w:vAlign w:val="center"/>
          </w:tcPr>
          <w:p w14:paraId="775FC0C9" w14:textId="77777777" w:rsidR="001C7E82" w:rsidRPr="00F85752" w:rsidRDefault="001C7E82" w:rsidP="001C7E82">
            <w:pPr>
              <w:rPr>
                <w:sz w:val="20"/>
                <w:szCs w:val="20"/>
              </w:rPr>
            </w:pPr>
          </w:p>
        </w:tc>
        <w:tc>
          <w:tcPr>
            <w:tcW w:w="1122" w:type="dxa"/>
            <w:vAlign w:val="center"/>
          </w:tcPr>
          <w:p w14:paraId="2F73E4EB" w14:textId="77777777" w:rsidR="001C7E82" w:rsidRPr="00F85752" w:rsidRDefault="001C7E82" w:rsidP="001C7E82">
            <w:pPr>
              <w:rPr>
                <w:sz w:val="20"/>
                <w:szCs w:val="20"/>
              </w:rPr>
            </w:pPr>
            <w:r w:rsidRPr="00F85752">
              <w:rPr>
                <w:sz w:val="20"/>
                <w:szCs w:val="20"/>
              </w:rPr>
              <w:t>2</w:t>
            </w:r>
          </w:p>
        </w:tc>
        <w:tc>
          <w:tcPr>
            <w:tcW w:w="5528" w:type="dxa"/>
          </w:tcPr>
          <w:p w14:paraId="0C21D5A1" w14:textId="77777777" w:rsidR="001C7E82" w:rsidRPr="00F85752" w:rsidRDefault="001C7E82" w:rsidP="001C7E82">
            <w:pPr>
              <w:jc w:val="left"/>
              <w:rPr>
                <w:sz w:val="20"/>
                <w:szCs w:val="20"/>
              </w:rPr>
            </w:pPr>
            <w:r w:rsidRPr="00F85752">
              <w:rPr>
                <w:sz w:val="20"/>
                <w:szCs w:val="20"/>
              </w:rPr>
              <w:t xml:space="preserve">“This strategy seeks to articulate and link effective energy and environmental plans by establishing goals and objectives in the area of energy, water, waste and </w:t>
            </w:r>
            <w:r w:rsidRPr="00F85752">
              <w:rPr>
                <w:b/>
                <w:bCs/>
                <w:sz w:val="20"/>
                <w:szCs w:val="20"/>
              </w:rPr>
              <w:t>health</w:t>
            </w:r>
            <w:r w:rsidRPr="00F85752">
              <w:rPr>
                <w:sz w:val="20"/>
                <w:szCs w:val="20"/>
              </w:rPr>
              <w:t xml:space="preserve"> for the long, medium and long-term” (Chile’s NDC)</w:t>
            </w:r>
          </w:p>
        </w:tc>
      </w:tr>
      <w:tr w:rsidR="001C7E82" w:rsidRPr="00F85752" w14:paraId="01902A65" w14:textId="77777777" w:rsidTr="001C7E82">
        <w:tc>
          <w:tcPr>
            <w:tcW w:w="1413" w:type="dxa"/>
            <w:vMerge w:val="restart"/>
            <w:vAlign w:val="center"/>
          </w:tcPr>
          <w:p w14:paraId="5ABE5903" w14:textId="77777777" w:rsidR="001C7E82" w:rsidRPr="00F85752" w:rsidRDefault="001C7E82" w:rsidP="001C7E82">
            <w:pPr>
              <w:rPr>
                <w:sz w:val="20"/>
                <w:szCs w:val="20"/>
              </w:rPr>
            </w:pPr>
            <w:r w:rsidRPr="00F85752">
              <w:rPr>
                <w:sz w:val="20"/>
                <w:szCs w:val="20"/>
              </w:rPr>
              <w:t>Co-Benefit</w:t>
            </w:r>
          </w:p>
        </w:tc>
        <w:tc>
          <w:tcPr>
            <w:tcW w:w="1146" w:type="dxa"/>
            <w:vAlign w:val="center"/>
          </w:tcPr>
          <w:p w14:paraId="5369BB7B" w14:textId="77777777" w:rsidR="001C7E82" w:rsidRPr="00F85752" w:rsidRDefault="001C7E82" w:rsidP="001C7E82">
            <w:pPr>
              <w:rPr>
                <w:sz w:val="20"/>
                <w:szCs w:val="20"/>
              </w:rPr>
            </w:pPr>
            <w:r w:rsidRPr="00F85752">
              <w:rPr>
                <w:sz w:val="20"/>
                <w:szCs w:val="20"/>
              </w:rPr>
              <w:t>General</w:t>
            </w:r>
          </w:p>
        </w:tc>
        <w:tc>
          <w:tcPr>
            <w:tcW w:w="1122" w:type="dxa"/>
            <w:vAlign w:val="center"/>
          </w:tcPr>
          <w:p w14:paraId="1A4A2D09" w14:textId="77777777" w:rsidR="001C7E82" w:rsidRPr="00F85752" w:rsidRDefault="001C7E82" w:rsidP="001C7E82">
            <w:pPr>
              <w:rPr>
                <w:sz w:val="20"/>
                <w:szCs w:val="20"/>
              </w:rPr>
            </w:pPr>
            <w:r w:rsidRPr="00F85752">
              <w:rPr>
                <w:sz w:val="20"/>
                <w:szCs w:val="20"/>
              </w:rPr>
              <w:t>2</w:t>
            </w:r>
          </w:p>
        </w:tc>
        <w:tc>
          <w:tcPr>
            <w:tcW w:w="5528" w:type="dxa"/>
          </w:tcPr>
          <w:p w14:paraId="2AAE7375" w14:textId="77777777" w:rsidR="001C7E82" w:rsidRPr="00F85752" w:rsidRDefault="001C7E82" w:rsidP="001C7E82">
            <w:pPr>
              <w:jc w:val="left"/>
              <w:rPr>
                <w:sz w:val="20"/>
                <w:szCs w:val="20"/>
              </w:rPr>
            </w:pPr>
            <w:r w:rsidRPr="00F85752">
              <w:rPr>
                <w:sz w:val="20"/>
                <w:szCs w:val="20"/>
              </w:rPr>
              <w:t xml:space="preserve">“Regarding mitigation… sets a clear obligation to give priority to the least costly mitigation actions, that at the same time derived in </w:t>
            </w:r>
            <w:r w:rsidRPr="00F85752">
              <w:rPr>
                <w:b/>
                <w:bCs/>
                <w:sz w:val="20"/>
                <w:szCs w:val="20"/>
              </w:rPr>
              <w:t>health and well-being</w:t>
            </w:r>
            <w:r w:rsidRPr="00F85752">
              <w:rPr>
                <w:sz w:val="20"/>
                <w:szCs w:val="20"/>
              </w:rPr>
              <w:t xml:space="preserve"> co-benefits to the Mexican population” (Mexico’s NDC)</w:t>
            </w:r>
          </w:p>
        </w:tc>
      </w:tr>
      <w:tr w:rsidR="001C7E82" w:rsidRPr="00F85752" w14:paraId="34CF026B" w14:textId="77777777" w:rsidTr="001C7E82">
        <w:tc>
          <w:tcPr>
            <w:tcW w:w="1413" w:type="dxa"/>
            <w:vMerge/>
            <w:vAlign w:val="center"/>
          </w:tcPr>
          <w:p w14:paraId="12B724D5" w14:textId="77777777" w:rsidR="001C7E82" w:rsidRPr="00F85752" w:rsidRDefault="001C7E82" w:rsidP="001C7E82">
            <w:pPr>
              <w:rPr>
                <w:sz w:val="20"/>
                <w:szCs w:val="20"/>
              </w:rPr>
            </w:pPr>
          </w:p>
        </w:tc>
        <w:tc>
          <w:tcPr>
            <w:tcW w:w="1146" w:type="dxa"/>
            <w:vAlign w:val="center"/>
          </w:tcPr>
          <w:p w14:paraId="170CC571" w14:textId="77777777" w:rsidR="001C7E82" w:rsidRPr="00F85752" w:rsidRDefault="001C7E82" w:rsidP="001C7E82">
            <w:pPr>
              <w:rPr>
                <w:sz w:val="20"/>
                <w:szCs w:val="20"/>
              </w:rPr>
            </w:pPr>
            <w:r w:rsidRPr="00F85752">
              <w:rPr>
                <w:sz w:val="20"/>
                <w:szCs w:val="20"/>
              </w:rPr>
              <w:t>Specific</w:t>
            </w:r>
          </w:p>
        </w:tc>
        <w:tc>
          <w:tcPr>
            <w:tcW w:w="1122" w:type="dxa"/>
            <w:vAlign w:val="center"/>
          </w:tcPr>
          <w:p w14:paraId="5FFF38A8" w14:textId="77777777" w:rsidR="001C7E82" w:rsidRPr="00F85752" w:rsidRDefault="001C7E82" w:rsidP="001C7E82">
            <w:pPr>
              <w:rPr>
                <w:sz w:val="20"/>
                <w:szCs w:val="20"/>
              </w:rPr>
            </w:pPr>
            <w:r w:rsidRPr="00F85752">
              <w:rPr>
                <w:sz w:val="20"/>
                <w:szCs w:val="20"/>
              </w:rPr>
              <w:t>3</w:t>
            </w:r>
          </w:p>
        </w:tc>
        <w:tc>
          <w:tcPr>
            <w:tcW w:w="5528" w:type="dxa"/>
          </w:tcPr>
          <w:p w14:paraId="5D2D7ADB" w14:textId="77777777" w:rsidR="001C7E82" w:rsidRPr="00F85752" w:rsidRDefault="001C7E82" w:rsidP="001C7E82">
            <w:pPr>
              <w:jc w:val="left"/>
              <w:rPr>
                <w:sz w:val="20"/>
                <w:szCs w:val="20"/>
              </w:rPr>
            </w:pPr>
            <w:r w:rsidRPr="00F85752">
              <w:rPr>
                <w:sz w:val="20"/>
                <w:szCs w:val="20"/>
              </w:rPr>
              <w:t xml:space="preserve">“Create a market for clean and efficient household cooking solutions in order to </w:t>
            </w:r>
            <w:r w:rsidRPr="00F85752">
              <w:rPr>
                <w:b/>
                <w:bCs/>
                <w:sz w:val="20"/>
                <w:szCs w:val="20"/>
              </w:rPr>
              <w:t>save lives</w:t>
            </w:r>
            <w:r w:rsidRPr="00F85752">
              <w:rPr>
                <w:sz w:val="20"/>
                <w:szCs w:val="20"/>
              </w:rPr>
              <w:t xml:space="preserve">, improve livelihoods, empower women, and </w:t>
            </w:r>
            <w:r w:rsidRPr="00F85752">
              <w:rPr>
                <w:i/>
                <w:iCs/>
                <w:sz w:val="20"/>
                <w:szCs w:val="20"/>
              </w:rPr>
              <w:t>protect the environment</w:t>
            </w:r>
            <w:r w:rsidRPr="00F85752">
              <w:rPr>
                <w:sz w:val="20"/>
                <w:szCs w:val="20"/>
              </w:rPr>
              <w:t>” (Lesotho’s NDC)</w:t>
            </w:r>
          </w:p>
        </w:tc>
      </w:tr>
      <w:tr w:rsidR="001C7E82" w:rsidRPr="00F85752" w14:paraId="572AF72A" w14:textId="77777777" w:rsidTr="001C7E82">
        <w:tc>
          <w:tcPr>
            <w:tcW w:w="1413" w:type="dxa"/>
            <w:vAlign w:val="center"/>
          </w:tcPr>
          <w:p w14:paraId="049C9B11" w14:textId="77777777" w:rsidR="001C7E82" w:rsidRPr="00F85752" w:rsidRDefault="001C7E82" w:rsidP="001C7E82">
            <w:pPr>
              <w:rPr>
                <w:sz w:val="20"/>
                <w:szCs w:val="20"/>
              </w:rPr>
            </w:pPr>
            <w:r w:rsidRPr="00F85752">
              <w:rPr>
                <w:sz w:val="20"/>
                <w:szCs w:val="20"/>
              </w:rPr>
              <w:t>Trade-off</w:t>
            </w:r>
          </w:p>
        </w:tc>
        <w:tc>
          <w:tcPr>
            <w:tcW w:w="1146" w:type="dxa"/>
            <w:vAlign w:val="center"/>
          </w:tcPr>
          <w:p w14:paraId="06F586A3" w14:textId="77777777" w:rsidR="001C7E82" w:rsidRPr="00F85752" w:rsidRDefault="001C7E82" w:rsidP="001C7E82">
            <w:pPr>
              <w:rPr>
                <w:sz w:val="20"/>
                <w:szCs w:val="20"/>
              </w:rPr>
            </w:pPr>
          </w:p>
        </w:tc>
        <w:tc>
          <w:tcPr>
            <w:tcW w:w="1122" w:type="dxa"/>
            <w:vAlign w:val="center"/>
          </w:tcPr>
          <w:p w14:paraId="143ADC2E" w14:textId="77777777" w:rsidR="001C7E82" w:rsidRPr="00F85752" w:rsidRDefault="001C7E82" w:rsidP="001C7E82">
            <w:pPr>
              <w:rPr>
                <w:sz w:val="20"/>
                <w:szCs w:val="20"/>
              </w:rPr>
            </w:pPr>
            <w:r w:rsidRPr="00F85752">
              <w:rPr>
                <w:sz w:val="20"/>
                <w:szCs w:val="20"/>
              </w:rPr>
              <w:t>2</w:t>
            </w:r>
          </w:p>
        </w:tc>
        <w:tc>
          <w:tcPr>
            <w:tcW w:w="5528" w:type="dxa"/>
          </w:tcPr>
          <w:p w14:paraId="311D96B2" w14:textId="77777777" w:rsidR="001C7E82" w:rsidRPr="00F85752" w:rsidRDefault="001C7E82" w:rsidP="001C7E82">
            <w:pPr>
              <w:jc w:val="left"/>
              <w:rPr>
                <w:sz w:val="20"/>
                <w:szCs w:val="20"/>
              </w:rPr>
            </w:pPr>
            <w:r w:rsidRPr="00F85752">
              <w:rPr>
                <w:sz w:val="20"/>
                <w:szCs w:val="20"/>
              </w:rPr>
              <w:t xml:space="preserve">“As a developing country, the lack of fiscal space to finance priority issues including poverty reduction policies including investments in education, </w:t>
            </w:r>
            <w:r w:rsidRPr="00F85752">
              <w:rPr>
                <w:b/>
                <w:bCs/>
                <w:sz w:val="20"/>
                <w:szCs w:val="20"/>
              </w:rPr>
              <w:t>health</w:t>
            </w:r>
            <w:r w:rsidRPr="00F85752">
              <w:rPr>
                <w:sz w:val="20"/>
                <w:szCs w:val="20"/>
              </w:rPr>
              <w:t xml:space="preserve"> and basic infrastructure constrains the country's effort to finance and implement climate mitigation and adaptation policies” (Ghana’s NDC)</w:t>
            </w:r>
          </w:p>
        </w:tc>
      </w:tr>
      <w:tr w:rsidR="001C7E82" w:rsidRPr="00F85752" w14:paraId="21115716" w14:textId="77777777" w:rsidTr="001C7E82">
        <w:tc>
          <w:tcPr>
            <w:tcW w:w="1413" w:type="dxa"/>
            <w:vAlign w:val="center"/>
          </w:tcPr>
          <w:p w14:paraId="2658F18F" w14:textId="77777777" w:rsidR="001C7E82" w:rsidRPr="00F85752" w:rsidRDefault="001C7E82" w:rsidP="001C7E82">
            <w:pPr>
              <w:rPr>
                <w:sz w:val="20"/>
                <w:szCs w:val="20"/>
              </w:rPr>
            </w:pPr>
            <w:r w:rsidRPr="00F85752">
              <w:rPr>
                <w:sz w:val="20"/>
                <w:szCs w:val="20"/>
              </w:rPr>
              <w:t>Background</w:t>
            </w:r>
          </w:p>
        </w:tc>
        <w:tc>
          <w:tcPr>
            <w:tcW w:w="1146" w:type="dxa"/>
            <w:vAlign w:val="center"/>
          </w:tcPr>
          <w:p w14:paraId="3D37B29F" w14:textId="77777777" w:rsidR="001C7E82" w:rsidRPr="00F85752" w:rsidRDefault="001C7E82" w:rsidP="001C7E82">
            <w:pPr>
              <w:rPr>
                <w:sz w:val="20"/>
                <w:szCs w:val="20"/>
              </w:rPr>
            </w:pPr>
          </w:p>
        </w:tc>
        <w:tc>
          <w:tcPr>
            <w:tcW w:w="1122" w:type="dxa"/>
            <w:vAlign w:val="center"/>
          </w:tcPr>
          <w:p w14:paraId="1CCC5608" w14:textId="77777777" w:rsidR="001C7E82" w:rsidRPr="00F85752" w:rsidRDefault="001C7E82" w:rsidP="001C7E82">
            <w:pPr>
              <w:rPr>
                <w:sz w:val="20"/>
                <w:szCs w:val="20"/>
              </w:rPr>
            </w:pPr>
            <w:r w:rsidRPr="00F85752">
              <w:rPr>
                <w:sz w:val="20"/>
                <w:szCs w:val="20"/>
              </w:rPr>
              <w:t>1</w:t>
            </w:r>
          </w:p>
        </w:tc>
        <w:tc>
          <w:tcPr>
            <w:tcW w:w="5528" w:type="dxa"/>
          </w:tcPr>
          <w:p w14:paraId="660D2355" w14:textId="77777777" w:rsidR="001C7E82" w:rsidRPr="00F85752" w:rsidRDefault="001C7E82" w:rsidP="001C7E82">
            <w:pPr>
              <w:jc w:val="left"/>
              <w:rPr>
                <w:sz w:val="20"/>
                <w:szCs w:val="20"/>
              </w:rPr>
            </w:pPr>
            <w:r w:rsidRPr="00F85752">
              <w:rPr>
                <w:sz w:val="20"/>
                <w:szCs w:val="20"/>
              </w:rPr>
              <w:t xml:space="preserve">“Equatorial Guinea is a developing country, whose economy depends exclusively on extractive industries and has to face a series of development challenges, such as: poverty, education, </w:t>
            </w:r>
            <w:r w:rsidRPr="00F85752">
              <w:rPr>
                <w:b/>
                <w:bCs/>
                <w:sz w:val="20"/>
                <w:szCs w:val="20"/>
              </w:rPr>
              <w:t>health</w:t>
            </w:r>
            <w:r w:rsidRPr="00F85752">
              <w:rPr>
                <w:sz w:val="20"/>
                <w:szCs w:val="20"/>
              </w:rPr>
              <w:t>, road infrastructure, etc.” (Equatorial Guinea’s NDC)</w:t>
            </w:r>
          </w:p>
        </w:tc>
      </w:tr>
    </w:tbl>
    <w:p w14:paraId="5D365FA2" w14:textId="6D112A51" w:rsidR="008072F5" w:rsidRDefault="001C7E82" w:rsidP="00621F9C">
      <w:pPr>
        <w:spacing w:after="0"/>
        <w:jc w:val="left"/>
      </w:pPr>
      <w:r w:rsidRPr="001406F3">
        <w:rPr>
          <w:b/>
          <w:bCs/>
          <w:sz w:val="20"/>
          <w:szCs w:val="20"/>
        </w:rPr>
        <w:t>Table 1.</w:t>
      </w:r>
      <w:r w:rsidRPr="001406F3">
        <w:rPr>
          <w:sz w:val="20"/>
          <w:szCs w:val="20"/>
        </w:rPr>
        <w:t xml:space="preserve"> Types of </w:t>
      </w:r>
      <w:r>
        <w:rPr>
          <w:sz w:val="20"/>
          <w:szCs w:val="20"/>
        </w:rPr>
        <w:t xml:space="preserve">health </w:t>
      </w:r>
      <w:r w:rsidRPr="001406F3">
        <w:rPr>
          <w:sz w:val="20"/>
          <w:szCs w:val="20"/>
        </w:rPr>
        <w:t>reference</w:t>
      </w:r>
      <w:r>
        <w:rPr>
          <w:sz w:val="20"/>
          <w:szCs w:val="20"/>
        </w:rPr>
        <w:t xml:space="preserve"> in the NDCs</w:t>
      </w:r>
      <w:r w:rsidRPr="001406F3">
        <w:rPr>
          <w:sz w:val="20"/>
          <w:szCs w:val="20"/>
        </w:rPr>
        <w:t xml:space="preserve"> and their impact on </w:t>
      </w:r>
      <w:r w:rsidR="00BB6532">
        <w:rPr>
          <w:sz w:val="20"/>
          <w:szCs w:val="20"/>
        </w:rPr>
        <w:t>initial entry</w:t>
      </w:r>
      <w:r w:rsidRPr="001406F3">
        <w:rPr>
          <w:sz w:val="20"/>
          <w:szCs w:val="20"/>
        </w:rPr>
        <w:t xml:space="preserve"> HES.</w:t>
      </w:r>
      <w:r w:rsidR="008072F5">
        <w:br w:type="page"/>
      </w:r>
    </w:p>
    <w:p w14:paraId="64A6E61E" w14:textId="535B395F" w:rsidR="00C96B1F" w:rsidRPr="00621F9C" w:rsidRDefault="00C96B1F" w:rsidP="00C96B1F">
      <w:pPr>
        <w:jc w:val="both"/>
        <w:rPr>
          <w:sz w:val="20"/>
          <w:szCs w:val="20"/>
        </w:rPr>
      </w:pPr>
    </w:p>
    <w:p w14:paraId="00695EC5" w14:textId="77777777" w:rsidR="008072F5" w:rsidRDefault="008072F5" w:rsidP="00621F9C">
      <w:pPr>
        <w:jc w:val="both"/>
      </w:pPr>
    </w:p>
    <w:p w14:paraId="46029629" w14:textId="3D015333" w:rsidR="00C5354B" w:rsidRPr="00574B2C" w:rsidRDefault="00574B2C" w:rsidP="007547FC">
      <w:pPr>
        <w:jc w:val="left"/>
        <w:rPr>
          <w:i/>
          <w:iCs/>
        </w:rPr>
      </w:pPr>
      <w:r>
        <w:rPr>
          <w:i/>
          <w:iCs/>
        </w:rPr>
        <w:t>Natural Language Process</w:t>
      </w:r>
      <w:r w:rsidR="006F7F67">
        <w:rPr>
          <w:i/>
          <w:iCs/>
        </w:rPr>
        <w:t>ing</w:t>
      </w:r>
      <w:r>
        <w:rPr>
          <w:i/>
          <w:iCs/>
        </w:rPr>
        <w:t xml:space="preserve"> (NLP)</w:t>
      </w:r>
    </w:p>
    <w:p w14:paraId="5B353026" w14:textId="2D5266CF" w:rsidR="00C36238" w:rsidRPr="0098285D" w:rsidRDefault="00B475B8" w:rsidP="00A73EE2">
      <w:pPr>
        <w:jc w:val="both"/>
        <w:rPr>
          <w:highlight w:val="yellow"/>
        </w:rPr>
      </w:pPr>
      <w:r>
        <w:t>We</w:t>
      </w:r>
      <w:r w:rsidR="00AF7E79">
        <w:t xml:space="preserve"> also </w:t>
      </w:r>
      <w:r w:rsidR="009976BC">
        <w:t>use</w:t>
      </w:r>
      <w:r w:rsidR="00D722E4">
        <w:t>d</w:t>
      </w:r>
      <w:r w:rsidR="00C4478E">
        <w:t xml:space="preserve"> NLP methods</w:t>
      </w:r>
      <w:r w:rsidR="00225C79">
        <w:t>, which</w:t>
      </w:r>
      <w:r w:rsidR="00A73EE2">
        <w:t xml:space="preserve"> have been applied more widely to political texts to examine </w:t>
      </w:r>
      <w:r w:rsidR="00506CEF">
        <w:t>government</w:t>
      </w:r>
      <w:r w:rsidR="00A73EE2">
        <w:t xml:space="preserve"> engagement and position on</w:t>
      </w:r>
      <w:r w:rsidR="00631294">
        <w:t xml:space="preserve"> various</w:t>
      </w:r>
      <w:r w:rsidR="00A73EE2">
        <w:t xml:space="preserve"> issues </w:t>
      </w:r>
      <w:r w:rsidR="0082499C">
        <w:t>in world politics.</w:t>
      </w:r>
      <w:r w:rsidR="0082499C">
        <w:rPr>
          <w:rStyle w:val="EndnoteReference"/>
        </w:rPr>
        <w:endnoteReference w:id="28"/>
      </w:r>
      <w:r w:rsidR="0082499C">
        <w:t xml:space="preserve"> </w:t>
      </w:r>
      <w:r w:rsidR="00A73EE2">
        <w:t>We</w:t>
      </w:r>
      <w:r w:rsidR="00852905">
        <w:t xml:space="preserve"> employ</w:t>
      </w:r>
      <w:r w:rsidR="00E03188">
        <w:t>ed</w:t>
      </w:r>
      <w:r w:rsidR="00852905">
        <w:t xml:space="preserve"> two different NLP methods. </w:t>
      </w:r>
      <w:r w:rsidR="00CB145B" w:rsidRPr="001F70C4">
        <w:t xml:space="preserve">The first </w:t>
      </w:r>
      <w:r w:rsidR="00C33EA2">
        <w:t>was an application of</w:t>
      </w:r>
      <w:r w:rsidR="00015901" w:rsidRPr="001F70C4">
        <w:rPr>
          <w:i/>
          <w:iCs/>
        </w:rPr>
        <w:t xml:space="preserve"> </w:t>
      </w:r>
      <w:r w:rsidR="00162A30" w:rsidRPr="001F70C4">
        <w:t xml:space="preserve">a version of the </w:t>
      </w:r>
      <w:r w:rsidR="00F3688D">
        <w:t xml:space="preserve">frequently used </w:t>
      </w:r>
      <w:r w:rsidR="00015901" w:rsidRPr="007E0111">
        <w:t xml:space="preserve">Latent </w:t>
      </w:r>
      <w:r w:rsidR="00162A30" w:rsidRPr="007E0111">
        <w:t>D</w:t>
      </w:r>
      <w:r w:rsidR="00015901" w:rsidRPr="007E0111">
        <w:t xml:space="preserve">irichlet </w:t>
      </w:r>
      <w:r w:rsidR="00162A30" w:rsidRPr="007E0111">
        <w:t>A</w:t>
      </w:r>
      <w:r w:rsidR="00015901" w:rsidRPr="007E0111">
        <w:t>llocation</w:t>
      </w:r>
      <w:r w:rsidR="00015901" w:rsidRPr="001F70C4">
        <w:t xml:space="preserve"> probabilistic topic model</w:t>
      </w:r>
      <w:r w:rsidR="00C33EA2">
        <w:t xml:space="preserve"> to the NDC corpus</w:t>
      </w:r>
      <w:r w:rsidR="00EE4F1A" w:rsidRPr="001F70C4">
        <w:t>.</w:t>
      </w:r>
      <w:r w:rsidR="00015901" w:rsidRPr="001F70C4">
        <w:rPr>
          <w:rStyle w:val="EndnoteReference"/>
        </w:rPr>
        <w:endnoteReference w:id="29"/>
      </w:r>
      <w:r w:rsidR="00015901" w:rsidRPr="001F70C4">
        <w:t xml:space="preserve"> </w:t>
      </w:r>
      <w:r w:rsidR="00162A30" w:rsidRPr="001F70C4">
        <w:t xml:space="preserve">Probabilistic topic models are algorithms for discovering the main themes in large unstructured collections of textual data </w:t>
      </w:r>
      <w:r>
        <w:t>and have</w:t>
      </w:r>
      <w:r w:rsidR="00162A30" w:rsidRPr="001F70C4">
        <w:t xml:space="preserve"> been widely applied to genetic </w:t>
      </w:r>
      <w:r w:rsidR="00EE4F1A" w:rsidRPr="001F70C4">
        <w:t xml:space="preserve">and medical </w:t>
      </w:r>
      <w:r w:rsidR="00162A30" w:rsidRPr="001F70C4">
        <w:t>data, images, and social networks. Here</w:t>
      </w:r>
      <w:r w:rsidR="00EE4F1A" w:rsidRPr="001F70C4">
        <w:t>,</w:t>
      </w:r>
      <w:r w:rsidR="00162A30" w:rsidRPr="001F70C4">
        <w:t xml:space="preserve"> we use</w:t>
      </w:r>
      <w:r w:rsidR="00C36238" w:rsidRPr="001F70C4">
        <w:t xml:space="preserve"> the keyword assisted topic model (</w:t>
      </w:r>
      <w:proofErr w:type="spellStart"/>
      <w:r w:rsidR="00C36238" w:rsidRPr="001F70C4">
        <w:t>keyATM</w:t>
      </w:r>
      <w:proofErr w:type="spellEnd"/>
      <w:r w:rsidR="00C36238" w:rsidRPr="001F70C4">
        <w:t xml:space="preserve">), </w:t>
      </w:r>
      <w:r>
        <w:t>which</w:t>
      </w:r>
      <w:r w:rsidR="00C36238" w:rsidRPr="001F70C4">
        <w:t xml:space="preserve"> allows </w:t>
      </w:r>
      <w:r>
        <w:t xml:space="preserve">us </w:t>
      </w:r>
      <w:r w:rsidR="00C36238" w:rsidRPr="001F70C4">
        <w:t>to</w:t>
      </w:r>
      <w:r w:rsidR="001D58A2">
        <w:t xml:space="preserve"> provide the topic model</w:t>
      </w:r>
      <w:r w:rsidR="00C36238" w:rsidRPr="001F70C4">
        <w:t xml:space="preserve"> with a small number of keywords to improve topic identification and labelling</w:t>
      </w:r>
      <w:r w:rsidR="001D58A2">
        <w:t xml:space="preserve">, </w:t>
      </w:r>
      <w:r w:rsidR="00394E70">
        <w:t>and</w:t>
      </w:r>
      <w:r w:rsidR="001D58A2">
        <w:t xml:space="preserve"> </w:t>
      </w:r>
      <w:r w:rsidR="00394E70">
        <w:t xml:space="preserve">enhance </w:t>
      </w:r>
      <w:r w:rsidR="001D58A2">
        <w:t>the stability</w:t>
      </w:r>
      <w:r w:rsidR="00394E70">
        <w:t xml:space="preserve"> and reproducibility</w:t>
      </w:r>
      <w:r w:rsidR="001D58A2">
        <w:t xml:space="preserve"> of the model</w:t>
      </w:r>
      <w:r w:rsidR="00420439">
        <w:t xml:space="preserve"> (see appendix</w:t>
      </w:r>
      <w:r w:rsidR="00FA6645">
        <w:t xml:space="preserve"> p.5; Table A2</w:t>
      </w:r>
      <w:r w:rsidR="00420439">
        <w:t>)</w:t>
      </w:r>
      <w:r w:rsidR="00C36238" w:rsidRPr="001F70C4">
        <w:t>.</w:t>
      </w:r>
      <w:r w:rsidR="001D58A2" w:rsidRPr="001D58A2">
        <w:rPr>
          <w:rStyle w:val="EndnoteReference"/>
          <w:i/>
          <w:iCs/>
        </w:rPr>
        <w:t xml:space="preserve"> </w:t>
      </w:r>
      <w:r w:rsidR="001D58A2" w:rsidRPr="001F70C4">
        <w:rPr>
          <w:rStyle w:val="EndnoteReference"/>
          <w:i/>
          <w:iCs/>
        </w:rPr>
        <w:endnoteReference w:id="30"/>
      </w:r>
      <w:r w:rsidR="00C36238" w:rsidRPr="001F70C4">
        <w:t xml:space="preserve"> </w:t>
      </w:r>
      <w:r w:rsidR="004820E8">
        <w:t xml:space="preserve">We identified keywords in the corpus of NDC documents associated with four themes </w:t>
      </w:r>
      <w:r w:rsidR="00995AF3">
        <w:t>(</w:t>
      </w:r>
      <w:r w:rsidR="0098285D" w:rsidRPr="001F70C4">
        <w:rPr>
          <w:i/>
          <w:iCs/>
        </w:rPr>
        <w:t>health</w:t>
      </w:r>
      <w:r w:rsidR="0098285D" w:rsidRPr="001F70C4">
        <w:t xml:space="preserve">, </w:t>
      </w:r>
      <w:r w:rsidR="0098285D" w:rsidRPr="001F70C4">
        <w:rPr>
          <w:i/>
          <w:iCs/>
        </w:rPr>
        <w:t>economics</w:t>
      </w:r>
      <w:r w:rsidR="0098285D" w:rsidRPr="001F70C4">
        <w:t xml:space="preserve">, </w:t>
      </w:r>
      <w:r w:rsidR="0098285D" w:rsidRPr="001F70C4">
        <w:rPr>
          <w:i/>
          <w:iCs/>
        </w:rPr>
        <w:t>energy</w:t>
      </w:r>
      <w:r w:rsidR="0098285D" w:rsidRPr="001F70C4">
        <w:t xml:space="preserve">, and </w:t>
      </w:r>
      <w:r w:rsidR="0098285D" w:rsidRPr="001F70C4">
        <w:rPr>
          <w:i/>
          <w:iCs/>
        </w:rPr>
        <w:t>agriculture</w:t>
      </w:r>
      <w:r w:rsidR="00995AF3">
        <w:t>),</w:t>
      </w:r>
      <w:r w:rsidR="004820E8">
        <w:t xml:space="preserve"> </w:t>
      </w:r>
      <w:r w:rsidR="00995AF3">
        <w:t xml:space="preserve">which were used in the </w:t>
      </w:r>
      <w:proofErr w:type="spellStart"/>
      <w:r w:rsidR="00995AF3">
        <w:t>keyATM</w:t>
      </w:r>
      <w:proofErr w:type="spellEnd"/>
      <w:r w:rsidR="00995AF3">
        <w:t xml:space="preserve"> to produce six topics (consisting of four topics based on the specified themes and two </w:t>
      </w:r>
      <w:r w:rsidR="00E7447A">
        <w:t>residual</w:t>
      </w:r>
      <w:r w:rsidR="00995AF3">
        <w:t xml:space="preserve"> topics</w:t>
      </w:r>
      <w:r w:rsidR="00E7447A">
        <w:t xml:space="preserve"> that capture any remaining semantic content</w:t>
      </w:r>
      <w:r w:rsidR="00995AF3">
        <w:t>)</w:t>
      </w:r>
      <w:r w:rsidR="004820E8">
        <w:t xml:space="preserve">. </w:t>
      </w:r>
      <w:r w:rsidR="00995AF3">
        <w:t>We used t</w:t>
      </w:r>
      <w:r w:rsidR="0098285D" w:rsidRPr="001F70C4">
        <w:t>he proportion of the</w:t>
      </w:r>
      <w:r w:rsidR="00995AF3">
        <w:t xml:space="preserve"> </w:t>
      </w:r>
      <w:r w:rsidR="00995AF3">
        <w:rPr>
          <w:i/>
          <w:iCs/>
        </w:rPr>
        <w:t>health</w:t>
      </w:r>
      <w:r w:rsidR="00995AF3" w:rsidRPr="00621F9C">
        <w:rPr>
          <w:i/>
          <w:iCs/>
        </w:rPr>
        <w:t xml:space="preserve"> </w:t>
      </w:r>
      <w:r w:rsidR="00995AF3" w:rsidRPr="00631294">
        <w:t>t</w:t>
      </w:r>
      <w:r w:rsidR="00995AF3" w:rsidRPr="00493362">
        <w:t>o</w:t>
      </w:r>
      <w:r w:rsidR="00995AF3" w:rsidRPr="00327F1D">
        <w:t>p</w:t>
      </w:r>
      <w:r w:rsidR="00995AF3" w:rsidRPr="00A14AE3">
        <w:t>i</w:t>
      </w:r>
      <w:r w:rsidR="00995AF3" w:rsidRPr="00167885">
        <w:t>c</w:t>
      </w:r>
      <w:r w:rsidR="00995AF3" w:rsidRPr="00631294">
        <w:t xml:space="preserve"> </w:t>
      </w:r>
      <w:r w:rsidR="00995AF3">
        <w:t>in each NDC document</w:t>
      </w:r>
      <w:r w:rsidR="0098285D" w:rsidRPr="001F70C4">
        <w:t xml:space="preserve"> as an alternative measure of health engagement</w:t>
      </w:r>
      <w:r w:rsidR="00420439">
        <w:t xml:space="preserve">, the </w:t>
      </w:r>
      <w:r w:rsidR="00420439">
        <w:rPr>
          <w:i/>
          <w:iCs/>
        </w:rPr>
        <w:t xml:space="preserve">Health Topic Proportion </w:t>
      </w:r>
      <w:r w:rsidR="00420439">
        <w:t>(HTP)</w:t>
      </w:r>
      <w:r w:rsidR="0098285D" w:rsidRPr="001F70C4">
        <w:t xml:space="preserve">. We provide a more detailed discussion of the </w:t>
      </w:r>
      <w:proofErr w:type="spellStart"/>
      <w:r w:rsidR="0098285D" w:rsidRPr="001F70C4">
        <w:t>keyATM</w:t>
      </w:r>
      <w:proofErr w:type="spellEnd"/>
      <w:r w:rsidR="0098285D" w:rsidRPr="001F70C4">
        <w:t xml:space="preserve"> topic model analysis</w:t>
      </w:r>
      <w:r w:rsidR="00420439">
        <w:t xml:space="preserve"> and</w:t>
      </w:r>
      <w:r w:rsidR="0098285D" w:rsidRPr="001F70C4">
        <w:t xml:space="preserve"> the </w:t>
      </w:r>
      <w:r w:rsidR="00D2428E">
        <w:t>HTP measure</w:t>
      </w:r>
      <w:r w:rsidR="0098285D" w:rsidRPr="001F70C4">
        <w:t xml:space="preserve"> in the appendix.</w:t>
      </w:r>
    </w:p>
    <w:p w14:paraId="555C4D1D" w14:textId="22702639" w:rsidR="000B22BB" w:rsidRDefault="00906A22" w:rsidP="003B7E08">
      <w:pPr>
        <w:jc w:val="both"/>
      </w:pPr>
      <w:r>
        <w:t>The second NLP method</w:t>
      </w:r>
      <w:r w:rsidR="00D722E4">
        <w:t xml:space="preserve"> </w:t>
      </w:r>
      <w:r>
        <w:t xml:space="preserve">is based on the </w:t>
      </w:r>
      <w:r w:rsidR="00E12FC9" w:rsidRPr="005970CC">
        <w:t>concept</w:t>
      </w:r>
      <w:r w:rsidRPr="005970CC">
        <w:t xml:space="preserve"> of </w:t>
      </w:r>
      <w:proofErr w:type="spellStart"/>
      <w:r w:rsidRPr="005970CC">
        <w:rPr>
          <w:i/>
          <w:iCs/>
        </w:rPr>
        <w:t>keyness</w:t>
      </w:r>
      <w:proofErr w:type="spellEnd"/>
      <w:r w:rsidR="005970CC" w:rsidRPr="005970CC">
        <w:t>,</w:t>
      </w:r>
      <w:r w:rsidR="005970CC">
        <w:t xml:space="preserve"> a concept used in </w:t>
      </w:r>
      <w:r w:rsidR="00097594">
        <w:t>text</w:t>
      </w:r>
      <w:r w:rsidR="005970CC">
        <w:t xml:space="preserve"> analysis to indicate that particular words and phrases reflect important themes within a </w:t>
      </w:r>
      <w:proofErr w:type="gramStart"/>
      <w:r w:rsidR="005970CC">
        <w:t>document</w:t>
      </w:r>
      <w:r w:rsidR="00F3688D">
        <w:t>, and</w:t>
      </w:r>
      <w:proofErr w:type="gramEnd"/>
      <w:r w:rsidR="00463BB9">
        <w:t xml:space="preserve"> can</w:t>
      </w:r>
      <w:r w:rsidR="00F3688D">
        <w:t xml:space="preserve"> </w:t>
      </w:r>
      <w:r w:rsidR="00463BB9">
        <w:t>be used to uncover the principal differences between groups of documents</w:t>
      </w:r>
      <w:r w:rsidRPr="005970CC">
        <w:t>.</w:t>
      </w:r>
      <w:r w:rsidR="002A1B39" w:rsidRPr="005970CC">
        <w:rPr>
          <w:rStyle w:val="EndnoteReference"/>
        </w:rPr>
        <w:endnoteReference w:id="31"/>
      </w:r>
      <w:r>
        <w:t xml:space="preserve"> </w:t>
      </w:r>
      <w:r w:rsidR="00A73EE2">
        <w:t>Specifically, we identif</w:t>
      </w:r>
      <w:r w:rsidR="00D722E4">
        <w:t>ied</w:t>
      </w:r>
      <w:r w:rsidR="00A73EE2">
        <w:t xml:space="preserve"> the</w:t>
      </w:r>
      <w:r w:rsidR="00A854F3">
        <w:t xml:space="preserve"> terms that are statistically most distinct</w:t>
      </w:r>
      <w:r w:rsidR="00A73EE2">
        <w:t xml:space="preserve"> in NDCs</w:t>
      </w:r>
      <w:r w:rsidR="00A854F3">
        <w:t xml:space="preserve"> </w:t>
      </w:r>
      <w:r w:rsidR="00463BB9">
        <w:t xml:space="preserve">with higher </w:t>
      </w:r>
      <w:r w:rsidR="00464588">
        <w:t xml:space="preserve">health </w:t>
      </w:r>
      <w:r w:rsidR="00463BB9">
        <w:t xml:space="preserve">engagement </w:t>
      </w:r>
      <w:r w:rsidR="00464588">
        <w:t xml:space="preserve">compared to NDCs with </w:t>
      </w:r>
      <w:r w:rsidR="00DF4FBD">
        <w:t xml:space="preserve">lower </w:t>
      </w:r>
      <w:r w:rsidR="00464588">
        <w:t>health engagement</w:t>
      </w:r>
      <w:r w:rsidR="00A854F3">
        <w:t xml:space="preserve">. </w:t>
      </w:r>
      <w:r w:rsidR="00463BB9">
        <w:t>Hence, the</w:t>
      </w:r>
      <w:r w:rsidR="00A854F3">
        <w:t xml:space="preserve"> </w:t>
      </w:r>
      <w:proofErr w:type="spellStart"/>
      <w:r w:rsidR="00A854F3">
        <w:t>keyness</w:t>
      </w:r>
      <w:proofErr w:type="spellEnd"/>
      <w:r w:rsidR="00A854F3">
        <w:t xml:space="preserve"> analysis shed</w:t>
      </w:r>
      <w:r w:rsidR="00F3688D">
        <w:t>s</w:t>
      </w:r>
      <w:r w:rsidR="00A854F3">
        <w:t xml:space="preserve"> light on broader differences in the content of NDCs with higher </w:t>
      </w:r>
      <w:r w:rsidR="00463BB9">
        <w:t>HES</w:t>
      </w:r>
      <w:r w:rsidR="00A854F3">
        <w:t xml:space="preserve"> compared to those with lower </w:t>
      </w:r>
      <w:r w:rsidR="00463BB9">
        <w:t>HES</w:t>
      </w:r>
      <w:r w:rsidR="00A854F3">
        <w:t xml:space="preserve">. </w:t>
      </w:r>
    </w:p>
    <w:p w14:paraId="1D315B5E" w14:textId="77777777" w:rsidR="000B22BB" w:rsidRDefault="000B22BB" w:rsidP="003B7E08">
      <w:pPr>
        <w:jc w:val="both"/>
      </w:pPr>
    </w:p>
    <w:p w14:paraId="7C243EBE" w14:textId="51073963" w:rsidR="00CC044A" w:rsidRDefault="00CC044A" w:rsidP="003B7E08">
      <w:pPr>
        <w:jc w:val="both"/>
      </w:pPr>
      <w:r>
        <w:rPr>
          <w:i/>
          <w:iCs/>
        </w:rPr>
        <w:t xml:space="preserve">Statistical </w:t>
      </w:r>
      <w:r w:rsidR="006F7F67">
        <w:rPr>
          <w:i/>
          <w:iCs/>
        </w:rPr>
        <w:t>a</w:t>
      </w:r>
      <w:r>
        <w:rPr>
          <w:i/>
          <w:iCs/>
        </w:rPr>
        <w:t>nalysis</w:t>
      </w:r>
    </w:p>
    <w:p w14:paraId="65DA5D3A" w14:textId="4D3ED98E" w:rsidR="00DE4594" w:rsidRDefault="00A73EE2" w:rsidP="00A73EE2">
      <w:pPr>
        <w:jc w:val="both"/>
      </w:pPr>
      <w:r>
        <w:t>We examine</w:t>
      </w:r>
      <w:r w:rsidR="00D722E4">
        <w:t>d</w:t>
      </w:r>
      <w:r>
        <w:t xml:space="preserve"> the factors associated with higher levels of health engagement in the NDCs using a multivariate regression analysis. </w:t>
      </w:r>
      <w:r w:rsidR="00DE4594">
        <w:t>We use</w:t>
      </w:r>
      <w:r w:rsidR="00D722E4">
        <w:t>d</w:t>
      </w:r>
      <w:r w:rsidR="00DE4594">
        <w:t xml:space="preserve"> </w:t>
      </w:r>
      <w:r w:rsidR="00E72E0D">
        <w:t xml:space="preserve">three </w:t>
      </w:r>
      <w:r w:rsidR="00DE4594">
        <w:t>different outcome variables to measure health engagement:</w:t>
      </w:r>
      <w:r w:rsidR="00D76D57">
        <w:t xml:space="preserve"> (1) any reference to health</w:t>
      </w:r>
      <w:r w:rsidR="00DE4594">
        <w:t>;</w:t>
      </w:r>
      <w:r w:rsidR="00D76D57">
        <w:t xml:space="preserve"> (2) </w:t>
      </w:r>
      <w:r w:rsidR="007964A6">
        <w:t>HES</w:t>
      </w:r>
      <w:r w:rsidR="00BD34C2">
        <w:t xml:space="preserve">; and (3) </w:t>
      </w:r>
      <w:r w:rsidR="00D93FD1">
        <w:t>HTP</w:t>
      </w:r>
      <w:r w:rsidR="00D76D57">
        <w:t>. We use</w:t>
      </w:r>
      <w:r w:rsidR="00D722E4">
        <w:t>d</w:t>
      </w:r>
      <w:r w:rsidR="00D76D57">
        <w:t xml:space="preserve"> a logi</w:t>
      </w:r>
      <w:r w:rsidR="007964A6">
        <w:t>stic</w:t>
      </w:r>
      <w:r w:rsidR="00801925">
        <w:t xml:space="preserve"> regression</w:t>
      </w:r>
      <w:r w:rsidR="00D76D57">
        <w:t xml:space="preserve"> for</w:t>
      </w:r>
      <w:r w:rsidR="00BD34C2">
        <w:t xml:space="preserve"> the first,</w:t>
      </w:r>
      <w:r w:rsidR="00DE4594">
        <w:t xml:space="preserve"> and </w:t>
      </w:r>
      <w:r w:rsidR="000B22BB">
        <w:t>ordinary least squares (</w:t>
      </w:r>
      <w:r w:rsidR="00DE4594">
        <w:t>OLS</w:t>
      </w:r>
      <w:r w:rsidR="000B22BB">
        <w:t>)</w:t>
      </w:r>
      <w:r w:rsidR="00DE4594">
        <w:t xml:space="preserve"> regression</w:t>
      </w:r>
      <w:r w:rsidR="00BD34C2">
        <w:t>s</w:t>
      </w:r>
      <w:r w:rsidR="00DE4594">
        <w:t xml:space="preserve"> for the latter</w:t>
      </w:r>
      <w:r w:rsidR="00BD34C2">
        <w:t xml:space="preserve"> two</w:t>
      </w:r>
      <w:r w:rsidR="00DE4594">
        <w:t xml:space="preserve">. </w:t>
      </w:r>
      <w:r w:rsidR="002F597D">
        <w:t xml:space="preserve">In the appendix, we provide results from additional analysis </w:t>
      </w:r>
      <w:r w:rsidR="00DE4594">
        <w:t>using alternative outcome variables</w:t>
      </w:r>
      <w:r w:rsidR="00E03188">
        <w:t xml:space="preserve"> (</w:t>
      </w:r>
      <w:proofErr w:type="gramStart"/>
      <w:r w:rsidR="00E03188">
        <w:t>e.g.</w:t>
      </w:r>
      <w:proofErr w:type="gramEnd"/>
      <w:r w:rsidR="00DE4594">
        <w:t xml:space="preserve"> the </w:t>
      </w:r>
      <w:r w:rsidR="00BD34C2">
        <w:t xml:space="preserve">total count of health terms in </w:t>
      </w:r>
      <w:r w:rsidR="00E03188">
        <w:t xml:space="preserve">the </w:t>
      </w:r>
      <w:r w:rsidR="00BD34C2">
        <w:t>NDC</w:t>
      </w:r>
      <w:r w:rsidR="007964A6">
        <w:t>s</w:t>
      </w:r>
      <w:r w:rsidR="00E03188">
        <w:t>)</w:t>
      </w:r>
      <w:r w:rsidR="00DE4594">
        <w:t xml:space="preserve"> </w:t>
      </w:r>
      <w:r w:rsidR="000B22BB">
        <w:t>to conduct a sensitivity analysis of our findings.</w:t>
      </w:r>
    </w:p>
    <w:p w14:paraId="2DDE066B" w14:textId="7F2D0BED" w:rsidR="00DE4594" w:rsidRDefault="002A1B39" w:rsidP="00DE4594">
      <w:pPr>
        <w:jc w:val="both"/>
      </w:pPr>
      <w:r>
        <w:t>We include</w:t>
      </w:r>
      <w:r w:rsidR="00D722E4">
        <w:t>d</w:t>
      </w:r>
      <w:r>
        <w:t xml:space="preserve"> several country co-variates in our regression models linked to political and economic factors, as well as variables associated with climate change and health</w:t>
      </w:r>
      <w:r w:rsidR="00C0726B">
        <w:t>, which could influence health engagement</w:t>
      </w:r>
      <w:r w:rsidR="006543F3">
        <w:t xml:space="preserve">. Selection of variables is </w:t>
      </w:r>
      <w:r w:rsidR="00A954A4">
        <w:t>discuss</w:t>
      </w:r>
      <w:r w:rsidR="006543F3">
        <w:t>ed</w:t>
      </w:r>
      <w:r w:rsidR="00A954A4">
        <w:t xml:space="preserve"> further in the appendix. </w:t>
      </w:r>
      <w:r>
        <w:t xml:space="preserve">This includes the size of a country’s population, GDP per capita, and level of democracy. Previous studies </w:t>
      </w:r>
      <w:r w:rsidR="00B62CE7">
        <w:t xml:space="preserve">have found </w:t>
      </w:r>
      <w:r>
        <w:t>that</w:t>
      </w:r>
      <w:r w:rsidR="00B27336">
        <w:t xml:space="preserve"> the SIDS</w:t>
      </w:r>
      <w:r>
        <w:t xml:space="preserve"> lead engagement on climate change and health in multilateral for</w:t>
      </w:r>
      <w:r w:rsidR="002836BE">
        <w:t>a</w:t>
      </w:r>
      <w:r w:rsidR="00B27336">
        <w:rPr>
          <w:rStyle w:val="EndnoteReference"/>
        </w:rPr>
        <w:endnoteReference w:id="32"/>
      </w:r>
      <w:r>
        <w:t xml:space="preserve">, so we include a dummy variable </w:t>
      </w:r>
      <w:r w:rsidR="00EE4144">
        <w:t xml:space="preserve">for </w:t>
      </w:r>
      <w:r w:rsidR="00B27336">
        <w:t xml:space="preserve">whether a country belongs to the </w:t>
      </w:r>
      <w:r w:rsidR="00EE4144">
        <w:t>SIDS</w:t>
      </w:r>
      <w:r>
        <w:t xml:space="preserve">. </w:t>
      </w:r>
      <w:r w:rsidR="00453DE1">
        <w:t>Our climate change and health variables include health spending (% of GDP), coal rents (% of GDP)</w:t>
      </w:r>
      <w:r w:rsidR="002A57B9">
        <w:t xml:space="preserve"> as a measure of the importance of fossil fuel revenues for the national economy</w:t>
      </w:r>
      <w:r w:rsidR="00453DE1">
        <w:t xml:space="preserve">, </w:t>
      </w:r>
      <w:r w:rsidR="00453DE1">
        <w:lastRenderedPageBreak/>
        <w:t xml:space="preserve">population-weighted change in a country’s temperature, and exposure to air pollution. The last two variables </w:t>
      </w:r>
      <w:r w:rsidR="002A57B9">
        <w:t xml:space="preserve">relate </w:t>
      </w:r>
      <w:r w:rsidR="008D7DCA">
        <w:t>directly</w:t>
      </w:r>
      <w:r w:rsidR="00453DE1">
        <w:t xml:space="preserve"> to the </w:t>
      </w:r>
      <w:r w:rsidR="00EE4144">
        <w:t>connection between</w:t>
      </w:r>
      <w:r w:rsidR="00453DE1">
        <w:t xml:space="preserve"> health and climate change. </w:t>
      </w:r>
    </w:p>
    <w:p w14:paraId="75EEB04D" w14:textId="2621D916" w:rsidR="00CD46DF" w:rsidRPr="007760E9" w:rsidRDefault="001078C2" w:rsidP="007760E9">
      <w:pPr>
        <w:spacing w:before="120"/>
        <w:jc w:val="left"/>
        <w:rPr>
          <w:sz w:val="20"/>
          <w:szCs w:val="20"/>
        </w:rPr>
      </w:pPr>
      <w:r>
        <w:t>The data for most of the</w:t>
      </w:r>
      <w:r w:rsidR="00E4165B">
        <w:t>se</w:t>
      </w:r>
      <w:r>
        <w:t xml:space="preserve"> variables </w:t>
      </w:r>
      <w:r w:rsidR="002D5241">
        <w:t>comes</w:t>
      </w:r>
      <w:r>
        <w:t xml:space="preserve"> from the World Bank’s World Development Indicators.</w:t>
      </w:r>
      <w:r>
        <w:rPr>
          <w:rStyle w:val="EndnoteReference"/>
        </w:rPr>
        <w:endnoteReference w:id="33"/>
      </w:r>
      <w:r>
        <w:t xml:space="preserve"> </w:t>
      </w:r>
      <w:r w:rsidR="00EE4144">
        <w:t>T</w:t>
      </w:r>
      <w:r w:rsidR="005E30C5">
        <w:t>he</w:t>
      </w:r>
      <w:r>
        <w:t xml:space="preserve"> democracy</w:t>
      </w:r>
      <w:r w:rsidR="00453DE1">
        <w:t xml:space="preserve"> </w:t>
      </w:r>
      <w:r w:rsidR="005E30C5">
        <w:t xml:space="preserve">measure </w:t>
      </w:r>
      <w:r w:rsidR="004D2630">
        <w:t>combines</w:t>
      </w:r>
      <w:r w:rsidR="00453DE1">
        <w:t xml:space="preserve"> Freedom House and Polity </w:t>
      </w:r>
      <w:r w:rsidR="008D7DCA">
        <w:t>score</w:t>
      </w:r>
      <w:r w:rsidR="005E30C5">
        <w:t>s</w:t>
      </w:r>
      <w:r w:rsidR="00453DE1">
        <w:rPr>
          <w:rStyle w:val="EndnoteReference"/>
        </w:rPr>
        <w:endnoteReference w:id="34"/>
      </w:r>
      <w:r w:rsidR="005E30C5">
        <w:t xml:space="preserve">; </w:t>
      </w:r>
      <w:r>
        <w:t>the air pollution measure is from the WHO’s data on average country exposure to ambient air pollution based on concentrations of fine particle matter (PM2.5)</w:t>
      </w:r>
      <w:r>
        <w:rPr>
          <w:rStyle w:val="EndnoteReference"/>
        </w:rPr>
        <w:endnoteReference w:id="35"/>
      </w:r>
      <w:r w:rsidR="005E30C5">
        <w:t>; and the</w:t>
      </w:r>
      <w:r>
        <w:t xml:space="preserve"> population-weighted temperature change</w:t>
      </w:r>
      <w:r w:rsidR="00C16538">
        <w:t xml:space="preserve"> variable</w:t>
      </w:r>
      <w:r w:rsidR="005E30C5">
        <w:t>, which measures average temperature change experienced by human populations,</w:t>
      </w:r>
      <w:r>
        <w:t xml:space="preserve"> is from the</w:t>
      </w:r>
      <w:r w:rsidR="004F4E51">
        <w:t xml:space="preserve"> report of the</w:t>
      </w:r>
      <w:r>
        <w:t xml:space="preserve"> </w:t>
      </w:r>
      <w:r w:rsidRPr="00C36C34">
        <w:t>Lancet Countdown on Health and Climate Change</w:t>
      </w:r>
      <w:r>
        <w:t>.</w:t>
      </w:r>
      <w:r w:rsidR="005E30C5">
        <w:rPr>
          <w:rStyle w:val="EndnoteReference"/>
        </w:rPr>
        <w:endnoteReference w:id="36"/>
      </w:r>
      <w:r w:rsidR="00993175">
        <w:t xml:space="preserve"> </w:t>
      </w:r>
      <w:r w:rsidR="00B27336">
        <w:t xml:space="preserve">We use data from 2016, as </w:t>
      </w:r>
      <w:r w:rsidR="002D5241">
        <w:t>most</w:t>
      </w:r>
      <w:r w:rsidR="00B27336">
        <w:t xml:space="preserve"> NDCs were published in that year,</w:t>
      </w:r>
      <w:r w:rsidR="00993175">
        <w:t xml:space="preserve"> and fill any missing observations with data from 2014 or 2015</w:t>
      </w:r>
      <w:r w:rsidR="002D5241">
        <w:t>.</w:t>
      </w:r>
      <w:r w:rsidR="00993175">
        <w:t xml:space="preserve"> As data is unavailable for some countries</w:t>
      </w:r>
      <w:r w:rsidR="00EE4144">
        <w:t>, the sample size</w:t>
      </w:r>
      <w:r w:rsidR="00993175">
        <w:t xml:space="preserve"> in the regression analysis is 175. Summary statistics are provided in</w:t>
      </w:r>
      <w:r w:rsidR="00F45EE2">
        <w:t xml:space="preserve"> </w:t>
      </w:r>
      <w:r w:rsidR="00F45EE2" w:rsidRPr="002E5814">
        <w:t>the appendix (p.1</w:t>
      </w:r>
      <w:r w:rsidR="00624BC8" w:rsidRPr="00887747">
        <w:t>4</w:t>
      </w:r>
      <w:r w:rsidR="00F45EE2" w:rsidRPr="002E5814">
        <w:t>; Table S</w:t>
      </w:r>
      <w:r w:rsidR="00624BC8" w:rsidRPr="00887747">
        <w:t>10</w:t>
      </w:r>
      <w:r w:rsidR="00F45EE2" w:rsidRPr="002E5814">
        <w:t>).</w:t>
      </w:r>
    </w:p>
    <w:p w14:paraId="2680057D" w14:textId="77777777" w:rsidR="00443559" w:rsidRDefault="00443559" w:rsidP="007547FC">
      <w:pPr>
        <w:jc w:val="left"/>
      </w:pPr>
    </w:p>
    <w:p w14:paraId="3F4B1404" w14:textId="34BFDA2A" w:rsidR="006F7F67" w:rsidRPr="00C36C34" w:rsidRDefault="006F7F67" w:rsidP="007547FC">
      <w:pPr>
        <w:jc w:val="left"/>
        <w:rPr>
          <w:i/>
          <w:iCs/>
        </w:rPr>
      </w:pPr>
      <w:r w:rsidRPr="00C36C34">
        <w:rPr>
          <w:i/>
          <w:iCs/>
        </w:rPr>
        <w:t>Role of the funding source</w:t>
      </w:r>
    </w:p>
    <w:p w14:paraId="0630D530" w14:textId="102EB508" w:rsidR="00B1011A" w:rsidRDefault="008228A7" w:rsidP="008228A7">
      <w:pPr>
        <w:jc w:val="both"/>
      </w:pPr>
      <w:r w:rsidRPr="00C36C34">
        <w:t>The</w:t>
      </w:r>
      <w:r w:rsidR="00CB0DAC" w:rsidRPr="00C36C34">
        <w:t xml:space="preserve"> funders had no specific role in study design, data collection, data analysis, data interpretation, or writing of the report</w:t>
      </w:r>
      <w:r w:rsidRPr="00C36C34">
        <w:t>.</w:t>
      </w:r>
    </w:p>
    <w:p w14:paraId="014345FE" w14:textId="77777777" w:rsidR="008228A7" w:rsidRDefault="008228A7" w:rsidP="007547FC">
      <w:pPr>
        <w:jc w:val="left"/>
      </w:pPr>
    </w:p>
    <w:p w14:paraId="3BAB9EBB" w14:textId="6A3CA451" w:rsidR="00B1011A" w:rsidRPr="00B1011A" w:rsidRDefault="00B1011A" w:rsidP="007547FC">
      <w:pPr>
        <w:jc w:val="left"/>
        <w:rPr>
          <w:b/>
          <w:bCs/>
        </w:rPr>
      </w:pPr>
      <w:r w:rsidRPr="00B1011A">
        <w:rPr>
          <w:b/>
          <w:bCs/>
        </w:rPr>
        <w:t>Results</w:t>
      </w:r>
    </w:p>
    <w:p w14:paraId="624E938C" w14:textId="5B0B2667" w:rsidR="00B72F3C" w:rsidRDefault="00890692" w:rsidP="00F06CBC">
      <w:pPr>
        <w:jc w:val="both"/>
      </w:pPr>
      <w:r w:rsidRPr="00147BA0">
        <w:t>The majority of NDCs (73%</w:t>
      </w:r>
      <w:r w:rsidR="004F0C16" w:rsidRPr="00147BA0">
        <w:t>, 135 countries</w:t>
      </w:r>
      <w:r w:rsidRPr="00147BA0">
        <w:t xml:space="preserve">) </w:t>
      </w:r>
      <w:r w:rsidR="00011061" w:rsidRPr="00C36FAD">
        <w:t>include a reference to</w:t>
      </w:r>
      <w:r w:rsidRPr="00147BA0">
        <w:t xml:space="preserve"> health</w:t>
      </w:r>
      <w:r w:rsidR="00B72F3C" w:rsidRPr="00147BA0">
        <w:t xml:space="preserve">. However, there </w:t>
      </w:r>
      <w:r w:rsidR="002A57B9" w:rsidRPr="00147BA0">
        <w:t>are</w:t>
      </w:r>
      <w:r w:rsidR="00B72F3C" w:rsidRPr="00147BA0">
        <w:t xml:space="preserve"> significant difference</w:t>
      </w:r>
      <w:r w:rsidR="002A57B9" w:rsidRPr="00147BA0">
        <w:t>s</w:t>
      </w:r>
      <w:r w:rsidR="00B72F3C" w:rsidRPr="00147BA0">
        <w:t xml:space="preserve"> in the </w:t>
      </w:r>
      <w:r w:rsidR="002A57B9" w:rsidRPr="00147BA0">
        <w:t xml:space="preserve">extent </w:t>
      </w:r>
      <w:r w:rsidR="00B72F3C" w:rsidRPr="00147BA0">
        <w:t>of health engagement (see Figure 1). For example, 51%</w:t>
      </w:r>
      <w:r w:rsidR="004F0C16" w:rsidRPr="00147BA0">
        <w:t xml:space="preserve"> (94 countries)</w:t>
      </w:r>
      <w:r w:rsidR="00B72F3C" w:rsidRPr="00147BA0">
        <w:t xml:space="preserve"> make a brief general reference to health or do not mention health at all. Examples of </w:t>
      </w:r>
      <w:r w:rsidR="009E5940" w:rsidRPr="00147BA0">
        <w:t xml:space="preserve">limited </w:t>
      </w:r>
      <w:r w:rsidR="00B72F3C" w:rsidRPr="00147BA0">
        <w:t>engagement can be seen in the</w:t>
      </w:r>
      <w:r w:rsidR="00F0702B" w:rsidRPr="00147BA0">
        <w:t xml:space="preserve"> NDCs of countries such as Saudi Arabia, Switzerland, and South Korea</w:t>
      </w:r>
      <w:r w:rsidR="009E5940" w:rsidRPr="00147BA0">
        <w:t>; for instance, the lat</w:t>
      </w:r>
      <w:r w:rsidR="00AE0A20" w:rsidRPr="00147BA0">
        <w:t>t</w:t>
      </w:r>
      <w:r w:rsidR="009E5940" w:rsidRPr="00147BA0">
        <w:t xml:space="preserve">er </w:t>
      </w:r>
      <w:r w:rsidR="00F0702B" w:rsidRPr="00147BA0">
        <w:t xml:space="preserve">makes a brief </w:t>
      </w:r>
      <w:r w:rsidR="00011061" w:rsidRPr="00147BA0">
        <w:t xml:space="preserve">single </w:t>
      </w:r>
      <w:r w:rsidR="00F0702B" w:rsidRPr="00147BA0">
        <w:t>reference to</w:t>
      </w:r>
      <w:r w:rsidR="009D5B2D" w:rsidRPr="00147BA0">
        <w:t xml:space="preserve"> </w:t>
      </w:r>
      <w:r w:rsidR="00F0702B" w:rsidRPr="00147BA0">
        <w:t>strengthening</w:t>
      </w:r>
      <w:r w:rsidR="009D5B2D" w:rsidRPr="00147BA0">
        <w:t xml:space="preserve"> adaptation </w:t>
      </w:r>
      <w:r w:rsidR="00F0702B" w:rsidRPr="00147BA0">
        <w:t>‘for the management of the negative impacts of climate change on health’.</w:t>
      </w:r>
      <w:r w:rsidR="00F0702B" w:rsidRPr="00147BA0">
        <w:rPr>
          <w:rStyle w:val="EndnoteReference"/>
        </w:rPr>
        <w:endnoteReference w:id="37"/>
      </w:r>
      <w:r w:rsidR="00F0702B" w:rsidRPr="00147BA0">
        <w:t xml:space="preserve"> </w:t>
      </w:r>
      <w:r w:rsidR="009E5940" w:rsidRPr="00C36FAD">
        <w:t>One in three NDCs (</w:t>
      </w:r>
      <w:r w:rsidR="00B72F3C" w:rsidRPr="00147BA0">
        <w:t>32%</w:t>
      </w:r>
      <w:r w:rsidR="004F0C16" w:rsidRPr="00147BA0">
        <w:t>, 60 countries</w:t>
      </w:r>
      <w:r w:rsidR="009E5940" w:rsidRPr="00147BA0">
        <w:t>)</w:t>
      </w:r>
      <w:r w:rsidR="00B72F3C" w:rsidRPr="00C36FAD">
        <w:t xml:space="preserve"> make specific mentions of health</w:t>
      </w:r>
      <w:r w:rsidR="009E5940" w:rsidRPr="00147BA0">
        <w:t xml:space="preserve"> and note specific climate-related health outcomes and/or adaptation measures</w:t>
      </w:r>
      <w:r w:rsidR="00F0702B" w:rsidRPr="00147BA0">
        <w:t xml:space="preserve"> (e.g. Argentina, Canada, and Bangladesh),</w:t>
      </w:r>
      <w:r w:rsidR="00B72F3C" w:rsidRPr="00147BA0">
        <w:t xml:space="preserve"> 22% </w:t>
      </w:r>
      <w:r w:rsidR="004F0C16" w:rsidRPr="00147BA0">
        <w:t xml:space="preserve">(40 countries) </w:t>
      </w:r>
      <w:r w:rsidR="00B72F3C" w:rsidRPr="00147BA0">
        <w:t>contain detailed health adaptation plans</w:t>
      </w:r>
      <w:r w:rsidR="00F0702B" w:rsidRPr="00C36FAD">
        <w:t xml:space="preserve"> (e.g. Burkina Faso, India, and Vanuatu)</w:t>
      </w:r>
      <w:r w:rsidR="006D66C4" w:rsidRPr="00147BA0">
        <w:t>.</w:t>
      </w:r>
      <w:r w:rsidR="005F6C39" w:rsidRPr="00147BA0">
        <w:t xml:space="preserve"> </w:t>
      </w:r>
      <w:r w:rsidR="006D66C4" w:rsidRPr="00147BA0">
        <w:t>The</w:t>
      </w:r>
      <w:r w:rsidR="00B04B75" w:rsidRPr="00147BA0">
        <w:t>refore, the</w:t>
      </w:r>
      <w:r w:rsidR="006D66C4" w:rsidRPr="00147BA0">
        <w:t xml:space="preserve"> NDCs </w:t>
      </w:r>
      <w:r w:rsidR="00B04B75" w:rsidRPr="00147BA0">
        <w:t xml:space="preserve">also </w:t>
      </w:r>
      <w:r w:rsidR="006D66C4" w:rsidRPr="00147BA0">
        <w:t>vary in terms of the types of health references included</w:t>
      </w:r>
      <w:r w:rsidR="00F06CBC" w:rsidRPr="00147BA0">
        <w:t xml:space="preserve"> (see Figure 1)</w:t>
      </w:r>
      <w:r w:rsidR="006D66C4" w:rsidRPr="00147BA0">
        <w:t xml:space="preserve">. </w:t>
      </w:r>
      <w:r w:rsidR="00F06CBC" w:rsidRPr="00147BA0">
        <w:t>T</w:t>
      </w:r>
      <w:r w:rsidR="00493362" w:rsidRPr="00147BA0">
        <w:t xml:space="preserve">he most frequent type of health reference is to the general </w:t>
      </w:r>
      <w:r w:rsidR="004F0C16" w:rsidRPr="00147BA0">
        <w:t>adaptation</w:t>
      </w:r>
      <w:r w:rsidR="00493362" w:rsidRPr="00147BA0">
        <w:t xml:space="preserve"> of climate change on health, which is included in </w:t>
      </w:r>
      <w:r w:rsidR="004F0C16" w:rsidRPr="00147BA0">
        <w:t>46</w:t>
      </w:r>
      <w:r w:rsidR="00493362" w:rsidRPr="00147BA0">
        <w:t>% of NDCs</w:t>
      </w:r>
      <w:r w:rsidR="004F0C16" w:rsidRPr="00147BA0">
        <w:t xml:space="preserve"> (86 countries)</w:t>
      </w:r>
      <w:r w:rsidR="00493362" w:rsidRPr="00147BA0">
        <w:t xml:space="preserve">. </w:t>
      </w:r>
      <w:r w:rsidR="00EC1143" w:rsidRPr="00C36FAD">
        <w:t xml:space="preserve">Just </w:t>
      </w:r>
      <w:r w:rsidR="00F06CBC" w:rsidRPr="00147BA0">
        <w:t>over</w:t>
      </w:r>
      <w:r w:rsidR="00EC1143" w:rsidRPr="00147BA0">
        <w:t xml:space="preserve"> half of NDCs (</w:t>
      </w:r>
      <w:r w:rsidR="00F06CBC" w:rsidRPr="00147BA0">
        <w:t>51</w:t>
      </w:r>
      <w:r w:rsidR="00EC1143" w:rsidRPr="00147BA0">
        <w:t>%</w:t>
      </w:r>
      <w:r w:rsidR="004F0C16" w:rsidRPr="00147BA0">
        <w:t>, 95 countries</w:t>
      </w:r>
      <w:r w:rsidR="00EC1143" w:rsidRPr="00147BA0">
        <w:t xml:space="preserve">) </w:t>
      </w:r>
      <w:r w:rsidR="00F06CBC" w:rsidRPr="00C36FAD">
        <w:t>refer to health adaptation (general or specific)</w:t>
      </w:r>
      <w:r w:rsidR="00493362" w:rsidRPr="00147BA0">
        <w:t xml:space="preserve">, and </w:t>
      </w:r>
      <w:r w:rsidR="00EC1143" w:rsidRPr="00147BA0">
        <w:t>18%</w:t>
      </w:r>
      <w:r w:rsidR="00493362" w:rsidRPr="00147BA0">
        <w:t xml:space="preserve"> of NDCs</w:t>
      </w:r>
      <w:r w:rsidR="004F0C16" w:rsidRPr="00147BA0">
        <w:t xml:space="preserve"> (34 countries)</w:t>
      </w:r>
      <w:r w:rsidR="006D66C4" w:rsidRPr="00147BA0">
        <w:t xml:space="preserve"> refer to health co-benefits of</w:t>
      </w:r>
      <w:r w:rsidR="006D66C4" w:rsidRPr="00C36FAD">
        <w:t xml:space="preserve"> climate action, including Antigua, Cameroon, and Mexico.</w:t>
      </w:r>
    </w:p>
    <w:p w14:paraId="099991BB" w14:textId="6DA1677A" w:rsidR="00AD0B76" w:rsidRDefault="00AD0B76" w:rsidP="00890692">
      <w:pPr>
        <w:jc w:val="both"/>
      </w:pPr>
    </w:p>
    <w:p w14:paraId="640B93D3" w14:textId="1DFF5C60" w:rsidR="00AD0B76" w:rsidRDefault="00C86809" w:rsidP="00890692">
      <w:pPr>
        <w:jc w:val="both"/>
      </w:pPr>
      <w:r>
        <w:rPr>
          <w:noProof/>
        </w:rPr>
        <w:lastRenderedPageBreak/>
        <w:drawing>
          <wp:inline distT="0" distB="0" distL="0" distR="0" wp14:anchorId="6887965B" wp14:editId="38A4B62B">
            <wp:extent cx="5727700" cy="3597275"/>
            <wp:effectExtent l="0" t="0" r="12700" b="9525"/>
            <wp:docPr id="5" name="Chart 5">
              <a:extLst xmlns:a="http://schemas.openxmlformats.org/drawingml/2006/main">
                <a:ext uri="{FF2B5EF4-FFF2-40B4-BE49-F238E27FC236}">
                  <a16:creationId xmlns:a16="http://schemas.microsoft.com/office/drawing/2014/main" id="{0D48D48B-8F61-1740-A703-52C5DD3B0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283759" w14:textId="74342D53" w:rsidR="00AD0B76" w:rsidRPr="00E51EEE" w:rsidRDefault="00AD0B76" w:rsidP="00890692">
      <w:pPr>
        <w:jc w:val="both"/>
        <w:rPr>
          <w:sz w:val="22"/>
          <w:szCs w:val="22"/>
        </w:rPr>
      </w:pPr>
      <w:r w:rsidRPr="00E51EEE">
        <w:rPr>
          <w:b/>
          <w:bCs/>
          <w:sz w:val="22"/>
          <w:szCs w:val="22"/>
        </w:rPr>
        <w:t>Figure 1</w:t>
      </w:r>
      <w:r w:rsidRPr="00E51EEE">
        <w:rPr>
          <w:sz w:val="22"/>
          <w:szCs w:val="22"/>
        </w:rPr>
        <w:t xml:space="preserve">. </w:t>
      </w:r>
      <w:bookmarkStart w:id="0" w:name="OLE_LINK2"/>
      <w:r w:rsidRPr="00E51EEE">
        <w:rPr>
          <w:sz w:val="22"/>
          <w:szCs w:val="22"/>
        </w:rPr>
        <w:t xml:space="preserve">Proportion of NDCs using different types of health reference. Based on content analysis of NDCs. </w:t>
      </w:r>
      <w:bookmarkEnd w:id="0"/>
    </w:p>
    <w:p w14:paraId="4E249CD5" w14:textId="0F33809D" w:rsidR="00AD0B76" w:rsidRDefault="00AD0B76" w:rsidP="00890692">
      <w:pPr>
        <w:jc w:val="both"/>
      </w:pPr>
    </w:p>
    <w:p w14:paraId="6974C12A" w14:textId="68AEE83F" w:rsidR="00FF359A" w:rsidRDefault="00FF359A" w:rsidP="006F3526">
      <w:pPr>
        <w:jc w:val="both"/>
      </w:pPr>
      <w:r>
        <w:t xml:space="preserve">To examine how engagement with health in the NDCs compares to other topics, we turn to the </w:t>
      </w:r>
      <w:r w:rsidR="00E72E0D">
        <w:t xml:space="preserve">topic model </w:t>
      </w:r>
      <w:r>
        <w:t xml:space="preserve">analysis. Figure 2 shows a frequency polygon of the four fitted topics: </w:t>
      </w:r>
      <w:r w:rsidRPr="00AB130E">
        <w:rPr>
          <w:i/>
          <w:iCs/>
        </w:rPr>
        <w:t>health</w:t>
      </w:r>
      <w:r>
        <w:t xml:space="preserve">, </w:t>
      </w:r>
      <w:r w:rsidRPr="00AB130E">
        <w:rPr>
          <w:i/>
          <w:iCs/>
        </w:rPr>
        <w:t>economy</w:t>
      </w:r>
      <w:r>
        <w:t xml:space="preserve">, </w:t>
      </w:r>
      <w:r w:rsidRPr="00AB130E">
        <w:rPr>
          <w:i/>
          <w:iCs/>
        </w:rPr>
        <w:t>energy</w:t>
      </w:r>
      <w:r>
        <w:t xml:space="preserve">, and </w:t>
      </w:r>
      <w:r w:rsidRPr="00AB130E">
        <w:rPr>
          <w:i/>
          <w:iCs/>
        </w:rPr>
        <w:t>agriculture</w:t>
      </w:r>
      <w:r>
        <w:t xml:space="preserve">. The figure shows the total number of NDCs with different topic proportions for each of the four topics. </w:t>
      </w:r>
      <w:r w:rsidR="00AB130E">
        <w:t>F</w:t>
      </w:r>
      <w:r>
        <w:t xml:space="preserve">or </w:t>
      </w:r>
      <w:r w:rsidRPr="00AB130E">
        <w:rPr>
          <w:i/>
          <w:iCs/>
        </w:rPr>
        <w:t>health</w:t>
      </w:r>
      <w:r w:rsidR="002140F4">
        <w:t>,</w:t>
      </w:r>
      <w:r>
        <w:t xml:space="preserve"> we find that </w:t>
      </w:r>
      <w:r w:rsidR="00082CBA">
        <w:t xml:space="preserve">the </w:t>
      </w:r>
      <w:r>
        <w:t>highest concentration of NDCs at a very low topic proportion, further demonstrating that most NDCs make only brief references to health. In contrast, we find</w:t>
      </w:r>
      <w:r w:rsidR="00AB130E">
        <w:t xml:space="preserve"> that a greater number of</w:t>
      </w:r>
      <w:r>
        <w:t xml:space="preserve"> NDCs have higher topic proportions for </w:t>
      </w:r>
      <w:r w:rsidRPr="00AB130E">
        <w:rPr>
          <w:i/>
          <w:iCs/>
        </w:rPr>
        <w:t>agriculture</w:t>
      </w:r>
      <w:r>
        <w:t xml:space="preserve"> and </w:t>
      </w:r>
      <w:r w:rsidRPr="00AB130E">
        <w:rPr>
          <w:i/>
          <w:iCs/>
        </w:rPr>
        <w:t>economy</w:t>
      </w:r>
      <w:r>
        <w:t xml:space="preserve">, </w:t>
      </w:r>
      <w:r w:rsidR="006F3526">
        <w:t xml:space="preserve">and </w:t>
      </w:r>
      <w:r w:rsidR="006F3526" w:rsidRPr="006F3526">
        <w:rPr>
          <w:i/>
          <w:iCs/>
        </w:rPr>
        <w:t>energy</w:t>
      </w:r>
      <w:r w:rsidR="006F3526">
        <w:t xml:space="preserve"> is discussed most in the NDCs</w:t>
      </w:r>
      <w:r>
        <w:t>.</w:t>
      </w:r>
      <w:r w:rsidR="00B018BE">
        <w:t xml:space="preserve"> The figure also</w:t>
      </w:r>
      <w:r w:rsidR="00AB130E">
        <w:t xml:space="preserve"> indicates that there is much higher variation in the topic proportion for </w:t>
      </w:r>
      <w:r w:rsidR="00AB130E" w:rsidRPr="00AB130E">
        <w:rPr>
          <w:i/>
          <w:iCs/>
        </w:rPr>
        <w:t>health</w:t>
      </w:r>
      <w:r w:rsidR="00AB130E">
        <w:t xml:space="preserve"> compared to the other three topics</w:t>
      </w:r>
      <w:r w:rsidR="00ED2D5F">
        <w:t xml:space="preserve">. </w:t>
      </w:r>
      <w:r>
        <w:t>This can also be seen in</w:t>
      </w:r>
      <w:r w:rsidR="000C301A">
        <w:t xml:space="preserve"> a density plot of the four topics, which is presented in the appendix </w:t>
      </w:r>
      <w:r w:rsidR="000C301A" w:rsidRPr="00CF26A8">
        <w:t>(</w:t>
      </w:r>
      <w:r w:rsidR="00E60D2C" w:rsidRPr="00CF26A8">
        <w:t>p.</w:t>
      </w:r>
      <w:r w:rsidR="00624BC8" w:rsidRPr="00887747">
        <w:t>7</w:t>
      </w:r>
      <w:r w:rsidR="00E60D2C" w:rsidRPr="00CF26A8">
        <w:t xml:space="preserve">; Figure </w:t>
      </w:r>
      <w:r w:rsidR="00624BC8" w:rsidRPr="00887747">
        <w:t>S10</w:t>
      </w:r>
      <w:r w:rsidR="00E60D2C" w:rsidRPr="00CF26A8">
        <w:t>)</w:t>
      </w:r>
      <w:r w:rsidRPr="00CF26A8">
        <w:t>,</w:t>
      </w:r>
      <w:r>
        <w:t xml:space="preserve"> </w:t>
      </w:r>
      <w:r w:rsidR="00E60D2C">
        <w:t>in which</w:t>
      </w:r>
      <w:r>
        <w:t xml:space="preserve"> the area under the curve is normalised for each </w:t>
      </w:r>
      <w:r w:rsidR="00196AC5">
        <w:t>topic</w:t>
      </w:r>
      <w:r>
        <w:t>, enabling more direct comparison</w:t>
      </w:r>
      <w:r w:rsidR="006F3526">
        <w:t>s</w:t>
      </w:r>
      <w:r>
        <w:t>.</w:t>
      </w:r>
      <w:r w:rsidR="00AB130E">
        <w:t xml:space="preserve"> </w:t>
      </w:r>
      <w:r w:rsidR="00CC14D1">
        <w:t xml:space="preserve">It </w:t>
      </w:r>
      <w:r w:rsidR="006F3526">
        <w:t>further</w:t>
      </w:r>
      <w:r w:rsidR="00196AC5">
        <w:t xml:space="preserve"> demonstrates</w:t>
      </w:r>
      <w:r w:rsidR="00AB130E">
        <w:t xml:space="preserve"> the higher variation </w:t>
      </w:r>
      <w:r w:rsidR="00ED2D5F">
        <w:t>in how much countries discuss</w:t>
      </w:r>
      <w:r w:rsidR="00AB130E">
        <w:t xml:space="preserve"> </w:t>
      </w:r>
      <w:r w:rsidR="00AB130E" w:rsidRPr="00AB130E">
        <w:rPr>
          <w:i/>
          <w:iCs/>
        </w:rPr>
        <w:t>health</w:t>
      </w:r>
      <w:r w:rsidR="00AB130E">
        <w:t xml:space="preserve"> compared to other topics. I</w:t>
      </w:r>
      <w:r w:rsidR="00196AC5">
        <w:t>t also shows</w:t>
      </w:r>
      <w:r w:rsidR="002140F4">
        <w:t xml:space="preserve"> that fewer countries discuss </w:t>
      </w:r>
      <w:r w:rsidR="002140F4" w:rsidRPr="00C36C34">
        <w:rPr>
          <w:i/>
          <w:iCs/>
        </w:rPr>
        <w:t>health</w:t>
      </w:r>
      <w:r w:rsidR="002140F4">
        <w:t xml:space="preserve"> in detail</w:t>
      </w:r>
      <w:r w:rsidR="00AB130E">
        <w:t xml:space="preserve"> compared to other topics</w:t>
      </w:r>
      <w:r w:rsidR="00196AC5">
        <w:t>, and</w:t>
      </w:r>
      <w:r w:rsidR="00AB130E">
        <w:t xml:space="preserve"> that countries devote a higher proportion of their NDCs to discuss</w:t>
      </w:r>
      <w:r w:rsidR="006F3526">
        <w:t>ing</w:t>
      </w:r>
      <w:r w:rsidR="00AB130E">
        <w:t xml:space="preserve"> </w:t>
      </w:r>
      <w:r w:rsidR="00AB130E" w:rsidRPr="00AB130E">
        <w:rPr>
          <w:i/>
          <w:iCs/>
        </w:rPr>
        <w:t>energy</w:t>
      </w:r>
      <w:r w:rsidR="00AB130E">
        <w:t xml:space="preserve"> </w:t>
      </w:r>
      <w:r w:rsidR="006F3526">
        <w:t>than</w:t>
      </w:r>
      <w:r w:rsidR="00AB130E">
        <w:t xml:space="preserve"> other topics. </w:t>
      </w:r>
      <w:r>
        <w:t xml:space="preserve"> </w:t>
      </w:r>
    </w:p>
    <w:p w14:paraId="57BC0C48" w14:textId="2E915BF2" w:rsidR="00555B79" w:rsidRDefault="002C053E" w:rsidP="007547FC">
      <w:pPr>
        <w:jc w:val="left"/>
      </w:pPr>
      <w:r>
        <w:rPr>
          <w:noProof/>
        </w:rPr>
        <w:lastRenderedPageBreak/>
        <w:drawing>
          <wp:inline distT="0" distB="0" distL="0" distR="0" wp14:anchorId="4FD064CD" wp14:editId="7CF65314">
            <wp:extent cx="3877792" cy="3877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891621" cy="3891621"/>
                    </a:xfrm>
                    <a:prstGeom prst="rect">
                      <a:avLst/>
                    </a:prstGeom>
                  </pic:spPr>
                </pic:pic>
              </a:graphicData>
            </a:graphic>
          </wp:inline>
        </w:drawing>
      </w:r>
    </w:p>
    <w:p w14:paraId="23008E57" w14:textId="6998869B" w:rsidR="00555B79" w:rsidRPr="00E51EEE" w:rsidRDefault="00555B79" w:rsidP="007547FC">
      <w:pPr>
        <w:jc w:val="left"/>
        <w:rPr>
          <w:sz w:val="22"/>
          <w:szCs w:val="22"/>
        </w:rPr>
      </w:pPr>
      <w:r w:rsidRPr="00E51EEE">
        <w:rPr>
          <w:b/>
          <w:bCs/>
          <w:sz w:val="22"/>
          <w:szCs w:val="22"/>
        </w:rPr>
        <w:t xml:space="preserve">Figure </w:t>
      </w:r>
      <w:r w:rsidR="00AD0B76" w:rsidRPr="00E51EEE">
        <w:rPr>
          <w:b/>
          <w:bCs/>
          <w:sz w:val="22"/>
          <w:szCs w:val="22"/>
        </w:rPr>
        <w:t>2</w:t>
      </w:r>
      <w:r w:rsidRPr="00E51EEE">
        <w:rPr>
          <w:sz w:val="22"/>
          <w:szCs w:val="22"/>
        </w:rPr>
        <w:t xml:space="preserve">. </w:t>
      </w:r>
      <w:r w:rsidR="003A36A3" w:rsidRPr="00E51EEE">
        <w:rPr>
          <w:sz w:val="22"/>
          <w:szCs w:val="22"/>
        </w:rPr>
        <w:t>Frequency polygon</w:t>
      </w:r>
      <w:r w:rsidRPr="00E51EEE">
        <w:rPr>
          <w:sz w:val="22"/>
          <w:szCs w:val="22"/>
        </w:rPr>
        <w:t xml:space="preserve"> of topics in NDCs.</w:t>
      </w:r>
      <w:r w:rsidR="002A1EA0" w:rsidRPr="00E51EEE">
        <w:rPr>
          <w:sz w:val="22"/>
          <w:szCs w:val="22"/>
        </w:rPr>
        <w:t xml:space="preserve"> Based on </w:t>
      </w:r>
      <w:r w:rsidR="00E72E0D" w:rsidRPr="00E51EEE">
        <w:rPr>
          <w:sz w:val="22"/>
          <w:szCs w:val="22"/>
        </w:rPr>
        <w:t xml:space="preserve">topic model </w:t>
      </w:r>
      <w:r w:rsidR="002A1EA0" w:rsidRPr="00E51EEE">
        <w:rPr>
          <w:sz w:val="22"/>
          <w:szCs w:val="22"/>
        </w:rPr>
        <w:t>analysis.</w:t>
      </w:r>
    </w:p>
    <w:p w14:paraId="1C7AF951" w14:textId="77777777" w:rsidR="000C301A" w:rsidRDefault="000C301A" w:rsidP="007547FC">
      <w:pPr>
        <w:jc w:val="left"/>
      </w:pPr>
    </w:p>
    <w:p w14:paraId="6CCD5501" w14:textId="2165140F" w:rsidR="00B90121" w:rsidRDefault="000A342B" w:rsidP="0045461C">
      <w:pPr>
        <w:jc w:val="both"/>
      </w:pPr>
      <w:r>
        <w:t xml:space="preserve">The </w:t>
      </w:r>
      <w:r w:rsidR="00082CBA">
        <w:t xml:space="preserve">marked </w:t>
      </w:r>
      <w:r>
        <w:t xml:space="preserve">variation in </w:t>
      </w:r>
      <w:r w:rsidR="00254C96">
        <w:t xml:space="preserve">health engagement </w:t>
      </w:r>
      <w:r w:rsidR="0045461C">
        <w:t xml:space="preserve">across NDCs </w:t>
      </w:r>
      <w:r w:rsidR="00254C96">
        <w:t>can be seen</w:t>
      </w:r>
      <w:r w:rsidR="0045461C">
        <w:t xml:space="preserve"> when we consider differences in countries’ HES, as in Figure </w:t>
      </w:r>
      <w:r w:rsidR="00E60D2C">
        <w:t>3</w:t>
      </w:r>
      <w:r w:rsidR="0045461C">
        <w:t>. The figure</w:t>
      </w:r>
      <w:r w:rsidR="00200852">
        <w:t xml:space="preserve"> </w:t>
      </w:r>
      <w:r w:rsidR="00082CBA">
        <w:t xml:space="preserve">points to </w:t>
      </w:r>
      <w:r w:rsidR="00F5732B">
        <w:t xml:space="preserve">a </w:t>
      </w:r>
      <w:r w:rsidR="00CA01F0">
        <w:t>divide between high-income countries that have no or low</w:t>
      </w:r>
      <w:r w:rsidR="001B1BEA">
        <w:t>er</w:t>
      </w:r>
      <w:r w:rsidR="00CA01F0">
        <w:t xml:space="preserve"> engagement</w:t>
      </w:r>
      <w:r w:rsidR="001B1BEA">
        <w:t xml:space="preserve"> with health</w:t>
      </w:r>
      <w:r w:rsidR="00CA01F0">
        <w:t xml:space="preserve">, and low- and middle-income countries that have higher levels of </w:t>
      </w:r>
      <w:r w:rsidR="001B1BEA">
        <w:t xml:space="preserve">health </w:t>
      </w:r>
      <w:r w:rsidR="00CA01F0">
        <w:t>engagement.</w:t>
      </w:r>
      <w:r w:rsidR="00F5732B">
        <w:t xml:space="preserve"> The countries that </w:t>
      </w:r>
      <w:r w:rsidR="004E505D">
        <w:t>make no</w:t>
      </w:r>
      <w:r w:rsidR="00F5732B">
        <w:t xml:space="preserve"> mention</w:t>
      </w:r>
      <w:r w:rsidR="004E505D">
        <w:t xml:space="preserve"> of health</w:t>
      </w:r>
      <w:r w:rsidR="00F5732B">
        <w:t xml:space="preserve"> are predominantly </w:t>
      </w:r>
      <w:r w:rsidR="002F597D">
        <w:t>high-income</w:t>
      </w:r>
      <w:r w:rsidR="004E505D">
        <w:t xml:space="preserve"> countries</w:t>
      </w:r>
      <w:r w:rsidR="00CA01F0">
        <w:t xml:space="preserve">, </w:t>
      </w:r>
      <w:r w:rsidR="001B1BEA">
        <w:t>including</w:t>
      </w:r>
      <w:r w:rsidR="00CA01F0">
        <w:t xml:space="preserve"> the USA, Japan, Australia, New Zealand, and the EU </w:t>
      </w:r>
      <w:r w:rsidR="00ED2D5F">
        <w:t>member states</w:t>
      </w:r>
      <w:r w:rsidR="00F5732B">
        <w:t>. In contrast, most countries in Africa, Asia, and Latin America make some reference to health</w:t>
      </w:r>
      <w:r w:rsidR="004E505D">
        <w:t xml:space="preserve"> in their NDCs</w:t>
      </w:r>
      <w:r w:rsidR="00F5732B">
        <w:t xml:space="preserve">. </w:t>
      </w:r>
      <w:r w:rsidR="00D722E4">
        <w:t>The figure also indicates the degree of health engagement based on the HES, showing</w:t>
      </w:r>
      <w:r w:rsidR="004E505D">
        <w:t xml:space="preserve"> that countries in Sub-Saharan Africa</w:t>
      </w:r>
      <w:r w:rsidR="00F5732B">
        <w:t>, South Asia, and parts of South-East Asia</w:t>
      </w:r>
      <w:r w:rsidR="00147CF9">
        <w:t xml:space="preserve"> </w:t>
      </w:r>
      <w:r w:rsidR="004E505D">
        <w:t>have highe</w:t>
      </w:r>
      <w:r w:rsidR="00D722E4">
        <w:t>r</w:t>
      </w:r>
      <w:r w:rsidR="004E505D">
        <w:t xml:space="preserve"> health engagement</w:t>
      </w:r>
      <w:r w:rsidR="00F5732B">
        <w:t xml:space="preserve">. </w:t>
      </w:r>
      <w:r w:rsidR="00D722E4">
        <w:t>The SIDS also have</w:t>
      </w:r>
      <w:r w:rsidR="00B90121">
        <w:t xml:space="preserve"> higher HES</w:t>
      </w:r>
      <w:r w:rsidR="00147CF9">
        <w:t>;</w:t>
      </w:r>
      <w:r w:rsidR="00B90121">
        <w:t xml:space="preserve"> however, </w:t>
      </w:r>
      <w:r w:rsidR="00A553AA">
        <w:t>most</w:t>
      </w:r>
      <w:r w:rsidR="00B90121">
        <w:t xml:space="preserve"> </w:t>
      </w:r>
      <w:r w:rsidR="00D722E4">
        <w:t>are not visible on the</w:t>
      </w:r>
      <w:r w:rsidR="00B90121">
        <w:t xml:space="preserve"> map due to their</w:t>
      </w:r>
      <w:r w:rsidR="00A553AA">
        <w:t xml:space="preserve"> small</w:t>
      </w:r>
      <w:r w:rsidR="00B90121">
        <w:t xml:space="preserve"> size. </w:t>
      </w:r>
      <w:r w:rsidR="001F7A51">
        <w:t xml:space="preserve">We provide additional analysis of the distribution of HES across the NDCs in the appendix (pp. 3-4). </w:t>
      </w:r>
    </w:p>
    <w:p w14:paraId="1FD731C7" w14:textId="6B99B48B" w:rsidR="000C301A" w:rsidRDefault="006461A8" w:rsidP="007547FC">
      <w:pPr>
        <w:jc w:val="left"/>
        <w:rPr>
          <w:b/>
          <w:bCs/>
          <w:sz w:val="22"/>
          <w:szCs w:val="22"/>
        </w:rPr>
      </w:pPr>
      <w:r>
        <w:rPr>
          <w:noProof/>
          <w:lang w:eastAsia="en-GB"/>
        </w:rPr>
        <w:lastRenderedPageBreak/>
        <w:drawing>
          <wp:inline distT="0" distB="0" distL="0" distR="0" wp14:anchorId="0B285977" wp14:editId="6F510BC1">
            <wp:extent cx="5727700" cy="290830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png"/>
                    <pic:cNvPicPr/>
                  </pic:nvPicPr>
                  <pic:blipFill>
                    <a:blip r:embed="rId13">
                      <a:extLst>
                        <a:ext uri="{28A0092B-C50C-407E-A947-70E740481C1C}">
                          <a14:useLocalDpi xmlns:a14="http://schemas.microsoft.com/office/drawing/2010/main" val="0"/>
                        </a:ext>
                      </a:extLst>
                    </a:blip>
                    <a:stretch>
                      <a:fillRect/>
                    </a:stretch>
                  </pic:blipFill>
                  <pic:spPr>
                    <a:xfrm>
                      <a:off x="0" y="0"/>
                      <a:ext cx="5727700" cy="2908300"/>
                    </a:xfrm>
                    <a:prstGeom prst="rect">
                      <a:avLst/>
                    </a:prstGeom>
                  </pic:spPr>
                </pic:pic>
              </a:graphicData>
            </a:graphic>
          </wp:inline>
        </w:drawing>
      </w:r>
    </w:p>
    <w:p w14:paraId="6336E55D" w14:textId="02B02A9E" w:rsidR="00A51AEF" w:rsidRPr="00694BE3" w:rsidRDefault="00694BE3" w:rsidP="007547FC">
      <w:pPr>
        <w:jc w:val="left"/>
        <w:rPr>
          <w:sz w:val="22"/>
          <w:szCs w:val="22"/>
        </w:rPr>
      </w:pPr>
      <w:r w:rsidRPr="00E51EEE">
        <w:rPr>
          <w:b/>
          <w:bCs/>
          <w:sz w:val="22"/>
          <w:szCs w:val="22"/>
        </w:rPr>
        <w:t xml:space="preserve">Figure </w:t>
      </w:r>
      <w:r w:rsidR="008D1DC2">
        <w:rPr>
          <w:b/>
          <w:bCs/>
          <w:sz w:val="22"/>
          <w:szCs w:val="22"/>
        </w:rPr>
        <w:t>3</w:t>
      </w:r>
      <w:r w:rsidRPr="00694BE3">
        <w:rPr>
          <w:sz w:val="22"/>
          <w:szCs w:val="22"/>
        </w:rPr>
        <w:t>. World map showing</w:t>
      </w:r>
      <w:r w:rsidR="00C67152">
        <w:rPr>
          <w:sz w:val="22"/>
          <w:szCs w:val="22"/>
        </w:rPr>
        <w:t xml:space="preserve"> countries’ </w:t>
      </w:r>
      <w:r w:rsidR="00C67152" w:rsidRPr="00804C6B">
        <w:rPr>
          <w:i/>
          <w:iCs/>
          <w:sz w:val="22"/>
          <w:szCs w:val="22"/>
        </w:rPr>
        <w:t>H</w:t>
      </w:r>
      <w:r w:rsidR="00804C6B" w:rsidRPr="00804C6B">
        <w:rPr>
          <w:i/>
          <w:iCs/>
          <w:sz w:val="22"/>
          <w:szCs w:val="22"/>
        </w:rPr>
        <w:t>ealth Engagement Scores</w:t>
      </w:r>
      <w:r w:rsidR="00E87763">
        <w:rPr>
          <w:i/>
          <w:iCs/>
          <w:sz w:val="22"/>
          <w:szCs w:val="22"/>
        </w:rPr>
        <w:t xml:space="preserve"> </w:t>
      </w:r>
      <w:r w:rsidR="00E87763">
        <w:rPr>
          <w:sz w:val="22"/>
          <w:szCs w:val="22"/>
        </w:rPr>
        <w:t>(HES)</w:t>
      </w:r>
      <w:r w:rsidR="00C67152">
        <w:rPr>
          <w:sz w:val="22"/>
          <w:szCs w:val="22"/>
        </w:rPr>
        <w:t>, 0-5</w:t>
      </w:r>
      <w:r w:rsidRPr="00694BE3">
        <w:rPr>
          <w:sz w:val="22"/>
          <w:szCs w:val="22"/>
        </w:rPr>
        <w:t>.</w:t>
      </w:r>
      <w:r w:rsidR="00EE6640">
        <w:rPr>
          <w:sz w:val="22"/>
          <w:szCs w:val="22"/>
        </w:rPr>
        <w:t xml:space="preserve"> Grey indicates count</w:t>
      </w:r>
      <w:r w:rsidR="00B417B5">
        <w:rPr>
          <w:sz w:val="22"/>
          <w:szCs w:val="22"/>
        </w:rPr>
        <w:t>ries</w:t>
      </w:r>
      <w:r w:rsidR="00EE6640">
        <w:rPr>
          <w:sz w:val="22"/>
          <w:szCs w:val="22"/>
        </w:rPr>
        <w:t xml:space="preserve"> </w:t>
      </w:r>
      <w:r w:rsidR="00B417B5">
        <w:rPr>
          <w:sz w:val="22"/>
          <w:szCs w:val="22"/>
        </w:rPr>
        <w:t>that are either</w:t>
      </w:r>
      <w:r w:rsidR="00EE6640">
        <w:rPr>
          <w:sz w:val="22"/>
          <w:szCs w:val="22"/>
        </w:rPr>
        <w:t xml:space="preserve"> not parties to the Paris Agreement or </w:t>
      </w:r>
      <w:r w:rsidR="00B417B5">
        <w:rPr>
          <w:sz w:val="22"/>
          <w:szCs w:val="22"/>
        </w:rPr>
        <w:t xml:space="preserve">have </w:t>
      </w:r>
      <w:r w:rsidR="00EE6640">
        <w:rPr>
          <w:sz w:val="22"/>
          <w:szCs w:val="22"/>
        </w:rPr>
        <w:t xml:space="preserve">not submitted an NDC as of January 2020. </w:t>
      </w:r>
    </w:p>
    <w:p w14:paraId="2FE4344C" w14:textId="77777777" w:rsidR="00F5732B" w:rsidRDefault="00F5732B" w:rsidP="004322CE">
      <w:pPr>
        <w:jc w:val="both"/>
      </w:pPr>
    </w:p>
    <w:p w14:paraId="7BCE2D94" w14:textId="19833CF7" w:rsidR="0002125E" w:rsidRDefault="00200852" w:rsidP="00200852">
      <w:pPr>
        <w:jc w:val="both"/>
      </w:pPr>
      <w:r>
        <w:t xml:space="preserve">To </w:t>
      </w:r>
      <w:r w:rsidR="00EB0B53">
        <w:t xml:space="preserve">further investigate </w:t>
      </w:r>
      <w:r>
        <w:t>the</w:t>
      </w:r>
      <w:r w:rsidR="00CA01F0">
        <w:t xml:space="preserve"> </w:t>
      </w:r>
      <w:r w:rsidR="00EB0B53">
        <w:t xml:space="preserve">patterning of </w:t>
      </w:r>
      <w:r w:rsidR="00CA01F0">
        <w:t>health engagement scores and topic proportion</w:t>
      </w:r>
      <w:r>
        <w:t>, w</w:t>
      </w:r>
      <w:r w:rsidR="00426D4F">
        <w:t>e</w:t>
      </w:r>
      <w:r w:rsidR="00E85B60">
        <w:t xml:space="preserve"> consider the factors associated with health engagement in the NDCs </w:t>
      </w:r>
      <w:r>
        <w:t>using</w:t>
      </w:r>
      <w:r w:rsidR="00176933">
        <w:t xml:space="preserve"> a</w:t>
      </w:r>
      <w:r w:rsidR="00E85B60">
        <w:t xml:space="preserve"> multivariate regression analysis. Table 2 </w:t>
      </w:r>
      <w:r w:rsidR="00147CF9">
        <w:t xml:space="preserve">presents </w:t>
      </w:r>
      <w:r w:rsidR="00E85B60">
        <w:t>the results</w:t>
      </w:r>
      <w:r w:rsidR="00E60D2C">
        <w:t xml:space="preserve"> of the regression analysis</w:t>
      </w:r>
      <w:r w:rsidR="00E85B60">
        <w:t xml:space="preserve"> looking at country characteristics associated with health</w:t>
      </w:r>
      <w:r w:rsidR="00E60D2C">
        <w:t xml:space="preserve"> engagement</w:t>
      </w:r>
      <w:r w:rsidR="00E85B60">
        <w:t xml:space="preserve"> in the NDCs.</w:t>
      </w:r>
      <w:r w:rsidR="00E60D2C">
        <w:t xml:space="preserve"> The first model presents the results of a logistic regression to examine factors associated with any mention of health in the NDCs. The second and third models</w:t>
      </w:r>
      <w:r w:rsidR="00E85B60">
        <w:t xml:space="preserve"> </w:t>
      </w:r>
      <w:r w:rsidR="00147CF9" w:rsidRPr="00147CF9">
        <w:rPr>
          <w:rFonts w:cstheme="minorHAnsi"/>
        </w:rPr>
        <w:t xml:space="preserve">use an </w:t>
      </w:r>
      <w:r w:rsidR="00147CF9" w:rsidRPr="003B7E08">
        <w:rPr>
          <w:rFonts w:cstheme="minorHAnsi"/>
          <w:color w:val="222222"/>
          <w:shd w:val="clear" w:color="auto" w:fill="FFFFFF"/>
        </w:rPr>
        <w:t>ordinary least squares</w:t>
      </w:r>
      <w:r w:rsidR="00147CF9">
        <w:t xml:space="preserve"> (OLS) regression to </w:t>
      </w:r>
      <w:r w:rsidR="00E85B60">
        <w:t>examine factors linked to higher engagement with health</w:t>
      </w:r>
      <w:r w:rsidR="00E60D2C">
        <w:t>,</w:t>
      </w:r>
      <w:r w:rsidR="00E85B60">
        <w:t xml:space="preserve"> based on</w:t>
      </w:r>
      <w:r w:rsidR="004322CE">
        <w:t xml:space="preserve"> two alternative outcome variables, the HES and the</w:t>
      </w:r>
      <w:r w:rsidR="007A7F22">
        <w:t xml:space="preserve"> HTP</w:t>
      </w:r>
      <w:r w:rsidR="004322CE">
        <w:t>.</w:t>
      </w:r>
    </w:p>
    <w:p w14:paraId="4C5D1E2C" w14:textId="77777777" w:rsidR="00F61231" w:rsidRDefault="00F61231" w:rsidP="00200852">
      <w:pPr>
        <w:jc w:val="both"/>
      </w:pPr>
    </w:p>
    <w:p w14:paraId="73572E73" w14:textId="746445A7" w:rsidR="0059270E" w:rsidRDefault="0059270E" w:rsidP="00200852">
      <w:pPr>
        <w:jc w:val="both"/>
        <w:rPr>
          <w:sz w:val="22"/>
          <w:szCs w:val="22"/>
        </w:rPr>
      </w:pPr>
      <w:r w:rsidRPr="00E51EEE">
        <w:rPr>
          <w:b/>
          <w:bCs/>
          <w:sz w:val="22"/>
          <w:szCs w:val="22"/>
        </w:rPr>
        <w:t xml:space="preserve">Table </w:t>
      </w:r>
      <w:r w:rsidR="008D1DC2">
        <w:rPr>
          <w:b/>
          <w:bCs/>
          <w:sz w:val="22"/>
          <w:szCs w:val="22"/>
        </w:rPr>
        <w:t>2</w:t>
      </w:r>
      <w:r w:rsidRPr="00E51EEE">
        <w:rPr>
          <w:sz w:val="22"/>
          <w:szCs w:val="22"/>
        </w:rPr>
        <w:t>:  Association between country characteristics and health engagement in NDCs</w:t>
      </w:r>
      <w:r>
        <w:rPr>
          <w:sz w:val="22"/>
          <w:szCs w:val="22"/>
        </w:rPr>
        <w:t xml:space="preserve"> using (1) logistic regression and (2) OLS regression with </w:t>
      </w:r>
      <w:r w:rsidRPr="00E51EEE">
        <w:rPr>
          <w:sz w:val="22"/>
          <w:szCs w:val="22"/>
        </w:rPr>
        <w:t>heteroscedasticity-robust standard errors.</w:t>
      </w:r>
    </w:p>
    <w:tbl>
      <w:tblPr>
        <w:tblStyle w:val="PlainTable4"/>
        <w:tblpPr w:leftFromText="180" w:rightFromText="180" w:vertAnchor="page" w:horzAnchor="margin" w:tblpY="10981"/>
        <w:tblW w:w="10065" w:type="dxa"/>
        <w:tblLayout w:type="fixed"/>
        <w:tblLook w:val="04A0" w:firstRow="1" w:lastRow="0" w:firstColumn="1" w:lastColumn="0" w:noHBand="0" w:noVBand="1"/>
      </w:tblPr>
      <w:tblGrid>
        <w:gridCol w:w="1437"/>
        <w:gridCol w:w="1438"/>
        <w:gridCol w:w="1438"/>
        <w:gridCol w:w="1438"/>
        <w:gridCol w:w="1438"/>
        <w:gridCol w:w="1438"/>
        <w:gridCol w:w="1438"/>
      </w:tblGrid>
      <w:tr w:rsidR="00F61231" w:rsidRPr="00E555F7" w14:paraId="57D430EA" w14:textId="77777777" w:rsidTr="008877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11E3701" w14:textId="77777777" w:rsidR="00F61231" w:rsidRPr="00182853" w:rsidRDefault="00F61231" w:rsidP="00F61231">
            <w:pPr>
              <w:jc w:val="left"/>
              <w:rPr>
                <w:sz w:val="15"/>
                <w:szCs w:val="15"/>
              </w:rPr>
            </w:pPr>
          </w:p>
        </w:tc>
        <w:tc>
          <w:tcPr>
            <w:tcW w:w="0" w:type="dxa"/>
            <w:gridSpan w:val="2"/>
          </w:tcPr>
          <w:p w14:paraId="0F310B04" w14:textId="77777777" w:rsidR="00F61231" w:rsidRDefault="00F61231" w:rsidP="00F61231">
            <w:pPr>
              <w:cnfStyle w:val="100000000000" w:firstRow="1" w:lastRow="0" w:firstColumn="0" w:lastColumn="0" w:oddVBand="0" w:evenVBand="0" w:oddHBand="0" w:evenHBand="0" w:firstRowFirstColumn="0" w:firstRowLastColumn="0" w:lastRowFirstColumn="0" w:lastRowLastColumn="0"/>
              <w:rPr>
                <w:b w:val="0"/>
                <w:bCs w:val="0"/>
                <w:sz w:val="15"/>
                <w:szCs w:val="15"/>
              </w:rPr>
            </w:pPr>
            <w:r w:rsidRPr="00182853">
              <w:rPr>
                <w:sz w:val="15"/>
                <w:szCs w:val="15"/>
              </w:rPr>
              <w:t xml:space="preserve">Any mention of health </w:t>
            </w:r>
          </w:p>
          <w:p w14:paraId="67805046" w14:textId="77777777" w:rsidR="00F61231" w:rsidRPr="00182853" w:rsidRDefault="00F61231" w:rsidP="00F61231">
            <w:pPr>
              <w:cnfStyle w:val="100000000000" w:firstRow="1" w:lastRow="0" w:firstColumn="0" w:lastColumn="0" w:oddVBand="0" w:evenVBand="0" w:oddHBand="0" w:evenHBand="0" w:firstRowFirstColumn="0" w:firstRowLastColumn="0" w:lastRowFirstColumn="0" w:lastRowLastColumn="0"/>
              <w:rPr>
                <w:sz w:val="15"/>
                <w:szCs w:val="15"/>
              </w:rPr>
            </w:pPr>
            <w:r w:rsidRPr="00182853">
              <w:rPr>
                <w:sz w:val="15"/>
                <w:szCs w:val="15"/>
              </w:rPr>
              <w:t>(logistic regression)</w:t>
            </w:r>
          </w:p>
        </w:tc>
        <w:tc>
          <w:tcPr>
            <w:tcW w:w="0" w:type="dxa"/>
            <w:gridSpan w:val="2"/>
          </w:tcPr>
          <w:p w14:paraId="409473A2" w14:textId="77777777" w:rsidR="00F61231" w:rsidRDefault="00F61231" w:rsidP="00F61231">
            <w:pPr>
              <w:cnfStyle w:val="100000000000" w:firstRow="1" w:lastRow="0" w:firstColumn="0" w:lastColumn="0" w:oddVBand="0" w:evenVBand="0" w:oddHBand="0" w:evenHBand="0" w:firstRowFirstColumn="0" w:firstRowLastColumn="0" w:lastRowFirstColumn="0" w:lastRowLastColumn="0"/>
              <w:rPr>
                <w:b w:val="0"/>
                <w:bCs w:val="0"/>
                <w:sz w:val="15"/>
                <w:szCs w:val="15"/>
              </w:rPr>
            </w:pPr>
            <w:r w:rsidRPr="00182853">
              <w:rPr>
                <w:sz w:val="15"/>
                <w:szCs w:val="15"/>
              </w:rPr>
              <w:t xml:space="preserve">Health Engagement Score </w:t>
            </w:r>
          </w:p>
          <w:p w14:paraId="1A24DE67" w14:textId="77777777" w:rsidR="00F61231" w:rsidRPr="00182853" w:rsidRDefault="00F61231" w:rsidP="00F61231">
            <w:pPr>
              <w:cnfStyle w:val="100000000000" w:firstRow="1" w:lastRow="0" w:firstColumn="0" w:lastColumn="0" w:oddVBand="0" w:evenVBand="0" w:oddHBand="0" w:evenHBand="0" w:firstRowFirstColumn="0" w:firstRowLastColumn="0" w:lastRowFirstColumn="0" w:lastRowLastColumn="0"/>
              <w:rPr>
                <w:sz w:val="15"/>
                <w:szCs w:val="15"/>
              </w:rPr>
            </w:pPr>
            <w:r w:rsidRPr="00182853">
              <w:rPr>
                <w:sz w:val="15"/>
                <w:szCs w:val="15"/>
              </w:rPr>
              <w:t>(OLS regression)</w:t>
            </w:r>
          </w:p>
        </w:tc>
        <w:tc>
          <w:tcPr>
            <w:tcW w:w="0" w:type="dxa"/>
            <w:gridSpan w:val="2"/>
          </w:tcPr>
          <w:p w14:paraId="1374D303" w14:textId="77777777" w:rsidR="00F61231" w:rsidRDefault="00F61231" w:rsidP="00F61231">
            <w:pPr>
              <w:cnfStyle w:val="100000000000" w:firstRow="1" w:lastRow="0" w:firstColumn="0" w:lastColumn="0" w:oddVBand="0" w:evenVBand="0" w:oddHBand="0" w:evenHBand="0" w:firstRowFirstColumn="0" w:firstRowLastColumn="0" w:lastRowFirstColumn="0" w:lastRowLastColumn="0"/>
              <w:rPr>
                <w:b w:val="0"/>
                <w:bCs w:val="0"/>
                <w:sz w:val="15"/>
                <w:szCs w:val="15"/>
              </w:rPr>
            </w:pPr>
            <w:r w:rsidRPr="00182853">
              <w:rPr>
                <w:sz w:val="15"/>
                <w:szCs w:val="15"/>
              </w:rPr>
              <w:t xml:space="preserve">Health Topic Proportion </w:t>
            </w:r>
          </w:p>
          <w:p w14:paraId="03CFD969" w14:textId="77777777" w:rsidR="00F61231" w:rsidRPr="00182853" w:rsidRDefault="00F61231" w:rsidP="00F61231">
            <w:pPr>
              <w:cnfStyle w:val="100000000000" w:firstRow="1" w:lastRow="0" w:firstColumn="0" w:lastColumn="0" w:oddVBand="0" w:evenVBand="0" w:oddHBand="0" w:evenHBand="0" w:firstRowFirstColumn="0" w:firstRowLastColumn="0" w:lastRowFirstColumn="0" w:lastRowLastColumn="0"/>
              <w:rPr>
                <w:sz w:val="15"/>
                <w:szCs w:val="15"/>
              </w:rPr>
            </w:pPr>
            <w:r w:rsidRPr="00182853">
              <w:rPr>
                <w:sz w:val="15"/>
                <w:szCs w:val="15"/>
              </w:rPr>
              <w:t>(OLS regression)</w:t>
            </w:r>
          </w:p>
        </w:tc>
      </w:tr>
      <w:tr w:rsidR="00F61231" w:rsidRPr="00E555F7" w14:paraId="378EF49F" w14:textId="77777777" w:rsidTr="00887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2655B73" w14:textId="77777777" w:rsidR="00F61231" w:rsidRPr="00182853" w:rsidRDefault="00F61231" w:rsidP="00F61231">
            <w:pPr>
              <w:jc w:val="left"/>
              <w:rPr>
                <w:sz w:val="15"/>
                <w:szCs w:val="15"/>
              </w:rPr>
            </w:pPr>
          </w:p>
        </w:tc>
        <w:tc>
          <w:tcPr>
            <w:tcW w:w="0" w:type="dxa"/>
          </w:tcPr>
          <w:p w14:paraId="05720779"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i/>
                <w:iCs/>
                <w:sz w:val="15"/>
                <w:szCs w:val="15"/>
              </w:rPr>
            </w:pPr>
            <w:r w:rsidRPr="00182853">
              <w:rPr>
                <w:i/>
                <w:iCs/>
                <w:sz w:val="15"/>
                <w:szCs w:val="15"/>
              </w:rPr>
              <w:t>Coefficient (95% CI)</w:t>
            </w:r>
          </w:p>
        </w:tc>
        <w:tc>
          <w:tcPr>
            <w:tcW w:w="0" w:type="dxa"/>
          </w:tcPr>
          <w:p w14:paraId="02956562"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i/>
                <w:iCs/>
                <w:sz w:val="15"/>
                <w:szCs w:val="15"/>
              </w:rPr>
            </w:pPr>
            <w:r w:rsidRPr="00182853">
              <w:rPr>
                <w:i/>
                <w:iCs/>
                <w:sz w:val="15"/>
                <w:szCs w:val="15"/>
              </w:rPr>
              <w:t>p value</w:t>
            </w:r>
          </w:p>
        </w:tc>
        <w:tc>
          <w:tcPr>
            <w:tcW w:w="0" w:type="dxa"/>
          </w:tcPr>
          <w:p w14:paraId="385F2274"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i/>
                <w:iCs/>
                <w:sz w:val="15"/>
                <w:szCs w:val="15"/>
              </w:rPr>
            </w:pPr>
            <w:r w:rsidRPr="00182853">
              <w:rPr>
                <w:i/>
                <w:iCs/>
                <w:sz w:val="15"/>
                <w:szCs w:val="15"/>
              </w:rPr>
              <w:t>Coefficient (95% CI)</w:t>
            </w:r>
          </w:p>
        </w:tc>
        <w:tc>
          <w:tcPr>
            <w:tcW w:w="0" w:type="dxa"/>
          </w:tcPr>
          <w:p w14:paraId="34B9A020"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i/>
                <w:iCs/>
                <w:sz w:val="15"/>
                <w:szCs w:val="15"/>
              </w:rPr>
            </w:pPr>
            <w:r w:rsidRPr="00182853">
              <w:rPr>
                <w:i/>
                <w:iCs/>
                <w:sz w:val="15"/>
                <w:szCs w:val="15"/>
              </w:rPr>
              <w:t>p value</w:t>
            </w:r>
          </w:p>
        </w:tc>
        <w:tc>
          <w:tcPr>
            <w:tcW w:w="0" w:type="dxa"/>
          </w:tcPr>
          <w:p w14:paraId="5040C95C"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i/>
                <w:iCs/>
                <w:sz w:val="15"/>
                <w:szCs w:val="15"/>
              </w:rPr>
            </w:pPr>
            <w:r w:rsidRPr="00182853">
              <w:rPr>
                <w:i/>
                <w:iCs/>
                <w:sz w:val="15"/>
                <w:szCs w:val="15"/>
              </w:rPr>
              <w:t>Coefficient (95% CI)</w:t>
            </w:r>
          </w:p>
        </w:tc>
        <w:tc>
          <w:tcPr>
            <w:tcW w:w="0" w:type="dxa"/>
          </w:tcPr>
          <w:p w14:paraId="6079B12D"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i/>
                <w:iCs/>
                <w:sz w:val="15"/>
                <w:szCs w:val="15"/>
              </w:rPr>
            </w:pPr>
            <w:r w:rsidRPr="00182853">
              <w:rPr>
                <w:i/>
                <w:iCs/>
                <w:sz w:val="15"/>
                <w:szCs w:val="15"/>
              </w:rPr>
              <w:t>p value</w:t>
            </w:r>
          </w:p>
        </w:tc>
      </w:tr>
      <w:tr w:rsidR="00F61231" w:rsidRPr="00E555F7" w14:paraId="7BA257FC" w14:textId="77777777" w:rsidTr="00887747">
        <w:trPr>
          <w:trHeight w:val="153"/>
        </w:trPr>
        <w:tc>
          <w:tcPr>
            <w:cnfStyle w:val="001000000000" w:firstRow="0" w:lastRow="0" w:firstColumn="1" w:lastColumn="0" w:oddVBand="0" w:evenVBand="0" w:oddHBand="0" w:evenHBand="0" w:firstRowFirstColumn="0" w:firstRowLastColumn="0" w:lastRowFirstColumn="0" w:lastRowLastColumn="0"/>
            <w:tcW w:w="0" w:type="dxa"/>
          </w:tcPr>
          <w:p w14:paraId="024B5979" w14:textId="77777777" w:rsidR="00F61231" w:rsidRPr="00182853" w:rsidRDefault="00F61231" w:rsidP="00F61231">
            <w:pPr>
              <w:jc w:val="left"/>
              <w:rPr>
                <w:sz w:val="15"/>
                <w:szCs w:val="15"/>
              </w:rPr>
            </w:pPr>
            <w:r w:rsidRPr="00182853">
              <w:rPr>
                <w:sz w:val="15"/>
                <w:szCs w:val="15"/>
              </w:rPr>
              <w:t>Population (logged)</w:t>
            </w:r>
          </w:p>
        </w:tc>
        <w:tc>
          <w:tcPr>
            <w:tcW w:w="0" w:type="dxa"/>
          </w:tcPr>
          <w:p w14:paraId="1FB4250A"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0.206 (-0.100 to 0.512)</w:t>
            </w:r>
          </w:p>
        </w:tc>
        <w:tc>
          <w:tcPr>
            <w:tcW w:w="0" w:type="dxa"/>
          </w:tcPr>
          <w:p w14:paraId="5CFDBF4F"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0.1</w:t>
            </w:r>
            <w:r>
              <w:rPr>
                <w:sz w:val="15"/>
                <w:szCs w:val="15"/>
              </w:rPr>
              <w:t>9</w:t>
            </w:r>
          </w:p>
        </w:tc>
        <w:tc>
          <w:tcPr>
            <w:tcW w:w="0" w:type="dxa"/>
          </w:tcPr>
          <w:p w14:paraId="0DA11FE8"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0.048 (-0.070 to 0.165)</w:t>
            </w:r>
          </w:p>
        </w:tc>
        <w:tc>
          <w:tcPr>
            <w:tcW w:w="0" w:type="dxa"/>
          </w:tcPr>
          <w:p w14:paraId="7951B176"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0.4</w:t>
            </w:r>
            <w:r>
              <w:rPr>
                <w:sz w:val="15"/>
                <w:szCs w:val="15"/>
              </w:rPr>
              <w:t>3</w:t>
            </w:r>
          </w:p>
        </w:tc>
        <w:tc>
          <w:tcPr>
            <w:tcW w:w="0" w:type="dxa"/>
          </w:tcPr>
          <w:p w14:paraId="4E12062F"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-0.002 (-0.006 to 0.003)</w:t>
            </w:r>
          </w:p>
        </w:tc>
        <w:tc>
          <w:tcPr>
            <w:tcW w:w="0" w:type="dxa"/>
          </w:tcPr>
          <w:p w14:paraId="24841EE7"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0.4</w:t>
            </w:r>
            <w:r>
              <w:rPr>
                <w:sz w:val="15"/>
                <w:szCs w:val="15"/>
              </w:rPr>
              <w:t>3</w:t>
            </w:r>
          </w:p>
        </w:tc>
      </w:tr>
      <w:tr w:rsidR="00F61231" w:rsidRPr="00E555F7" w14:paraId="6F255D6E" w14:textId="77777777" w:rsidTr="00887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16571C" w14:textId="77777777" w:rsidR="00F61231" w:rsidRPr="00182853" w:rsidRDefault="00F61231" w:rsidP="00F61231">
            <w:pPr>
              <w:jc w:val="left"/>
              <w:rPr>
                <w:sz w:val="15"/>
                <w:szCs w:val="15"/>
              </w:rPr>
            </w:pPr>
            <w:r w:rsidRPr="00182853">
              <w:rPr>
                <w:sz w:val="15"/>
                <w:szCs w:val="15"/>
              </w:rPr>
              <w:t>SIDS</w:t>
            </w:r>
          </w:p>
        </w:tc>
        <w:tc>
          <w:tcPr>
            <w:tcW w:w="0" w:type="dxa"/>
          </w:tcPr>
          <w:p w14:paraId="5A188AB0"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3.594 (1.520 to 5.667)</w:t>
            </w:r>
          </w:p>
        </w:tc>
        <w:tc>
          <w:tcPr>
            <w:tcW w:w="0" w:type="dxa"/>
          </w:tcPr>
          <w:p w14:paraId="7A8D60A5"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0.001</w:t>
            </w:r>
          </w:p>
        </w:tc>
        <w:tc>
          <w:tcPr>
            <w:tcW w:w="0" w:type="dxa"/>
          </w:tcPr>
          <w:p w14:paraId="1CC18A90"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0.880 (0.214 to 1.546)</w:t>
            </w:r>
          </w:p>
        </w:tc>
        <w:tc>
          <w:tcPr>
            <w:tcW w:w="0" w:type="dxa"/>
          </w:tcPr>
          <w:p w14:paraId="47ED6A16"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0.010</w:t>
            </w:r>
          </w:p>
        </w:tc>
        <w:tc>
          <w:tcPr>
            <w:tcW w:w="0" w:type="dxa"/>
          </w:tcPr>
          <w:p w14:paraId="7A0BBB89"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0.111 (0.086 to 0.136)</w:t>
            </w:r>
          </w:p>
        </w:tc>
        <w:tc>
          <w:tcPr>
            <w:tcW w:w="0" w:type="dxa"/>
          </w:tcPr>
          <w:p w14:paraId="2F26660A"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7363D8">
              <w:rPr>
                <w:sz w:val="15"/>
                <w:szCs w:val="15"/>
              </w:rPr>
              <w:t>&lt;0.0001</w:t>
            </w:r>
          </w:p>
        </w:tc>
      </w:tr>
      <w:tr w:rsidR="00F61231" w:rsidRPr="00E555F7" w14:paraId="34E260B5" w14:textId="77777777" w:rsidTr="00887747">
        <w:tc>
          <w:tcPr>
            <w:cnfStyle w:val="001000000000" w:firstRow="0" w:lastRow="0" w:firstColumn="1" w:lastColumn="0" w:oddVBand="0" w:evenVBand="0" w:oddHBand="0" w:evenHBand="0" w:firstRowFirstColumn="0" w:firstRowLastColumn="0" w:lastRowFirstColumn="0" w:lastRowLastColumn="0"/>
            <w:tcW w:w="0" w:type="dxa"/>
          </w:tcPr>
          <w:p w14:paraId="077E2FF6" w14:textId="77777777" w:rsidR="00F61231" w:rsidRPr="00182853" w:rsidRDefault="00F61231" w:rsidP="00F61231">
            <w:pPr>
              <w:jc w:val="left"/>
              <w:rPr>
                <w:sz w:val="15"/>
                <w:szCs w:val="15"/>
              </w:rPr>
            </w:pPr>
            <w:r w:rsidRPr="00182853">
              <w:rPr>
                <w:sz w:val="15"/>
                <w:szCs w:val="15"/>
              </w:rPr>
              <w:t>GDP per capita (logged)</w:t>
            </w:r>
          </w:p>
        </w:tc>
        <w:tc>
          <w:tcPr>
            <w:tcW w:w="0" w:type="dxa"/>
          </w:tcPr>
          <w:p w14:paraId="0F02B288"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-0.532 (-0.971 to -0.093)</w:t>
            </w:r>
          </w:p>
        </w:tc>
        <w:tc>
          <w:tcPr>
            <w:tcW w:w="0" w:type="dxa"/>
          </w:tcPr>
          <w:p w14:paraId="7587CDCA"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0.018</w:t>
            </w:r>
          </w:p>
        </w:tc>
        <w:tc>
          <w:tcPr>
            <w:tcW w:w="0" w:type="dxa"/>
          </w:tcPr>
          <w:p w14:paraId="75EEBC09"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-0.453 (-0.589 to -0.318)</w:t>
            </w:r>
          </w:p>
        </w:tc>
        <w:tc>
          <w:tcPr>
            <w:tcW w:w="0" w:type="dxa"/>
          </w:tcPr>
          <w:p w14:paraId="62B096A2"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7363D8">
              <w:rPr>
                <w:sz w:val="15"/>
                <w:szCs w:val="15"/>
              </w:rPr>
              <w:t>&lt;0.0001</w:t>
            </w:r>
          </w:p>
        </w:tc>
        <w:tc>
          <w:tcPr>
            <w:tcW w:w="0" w:type="dxa"/>
          </w:tcPr>
          <w:p w14:paraId="2B8FBE50"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-0.016 (-0.022 to -0.011)</w:t>
            </w:r>
          </w:p>
        </w:tc>
        <w:tc>
          <w:tcPr>
            <w:tcW w:w="0" w:type="dxa"/>
          </w:tcPr>
          <w:p w14:paraId="4484C766"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7363D8">
              <w:rPr>
                <w:sz w:val="15"/>
                <w:szCs w:val="15"/>
              </w:rPr>
              <w:t>&lt;0.0001</w:t>
            </w:r>
          </w:p>
        </w:tc>
      </w:tr>
      <w:tr w:rsidR="00F61231" w:rsidRPr="00E555F7" w14:paraId="2396C9D3" w14:textId="77777777" w:rsidTr="00887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BA4D29F" w14:textId="77777777" w:rsidR="00F61231" w:rsidRPr="00182853" w:rsidRDefault="00F61231" w:rsidP="00F61231">
            <w:pPr>
              <w:jc w:val="left"/>
              <w:rPr>
                <w:sz w:val="15"/>
                <w:szCs w:val="15"/>
              </w:rPr>
            </w:pPr>
            <w:r w:rsidRPr="00182853">
              <w:rPr>
                <w:sz w:val="15"/>
                <w:szCs w:val="15"/>
              </w:rPr>
              <w:t>Democracy</w:t>
            </w:r>
          </w:p>
        </w:tc>
        <w:tc>
          <w:tcPr>
            <w:tcW w:w="0" w:type="dxa"/>
          </w:tcPr>
          <w:p w14:paraId="2D3119EB"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-0.119 (-0.356 to 0.119)</w:t>
            </w:r>
          </w:p>
        </w:tc>
        <w:tc>
          <w:tcPr>
            <w:tcW w:w="0" w:type="dxa"/>
          </w:tcPr>
          <w:p w14:paraId="4FBC2576"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0.3</w:t>
            </w:r>
            <w:r>
              <w:rPr>
                <w:sz w:val="15"/>
                <w:szCs w:val="15"/>
              </w:rPr>
              <w:t>3</w:t>
            </w:r>
          </w:p>
        </w:tc>
        <w:tc>
          <w:tcPr>
            <w:tcW w:w="0" w:type="dxa"/>
          </w:tcPr>
          <w:p w14:paraId="7FF5F894"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0.012 (-0.086 to 0.110)</w:t>
            </w:r>
          </w:p>
        </w:tc>
        <w:tc>
          <w:tcPr>
            <w:tcW w:w="0" w:type="dxa"/>
          </w:tcPr>
          <w:p w14:paraId="1A4E485E"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0.81</w:t>
            </w:r>
          </w:p>
        </w:tc>
        <w:tc>
          <w:tcPr>
            <w:tcW w:w="0" w:type="dxa"/>
          </w:tcPr>
          <w:p w14:paraId="483B08B4"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-0.002 (-0.006 to 0.001)</w:t>
            </w:r>
          </w:p>
        </w:tc>
        <w:tc>
          <w:tcPr>
            <w:tcW w:w="0" w:type="dxa"/>
          </w:tcPr>
          <w:p w14:paraId="1BC9B0F8"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0.2</w:t>
            </w:r>
            <w:r>
              <w:rPr>
                <w:sz w:val="15"/>
                <w:szCs w:val="15"/>
              </w:rPr>
              <w:t>2</w:t>
            </w:r>
          </w:p>
        </w:tc>
      </w:tr>
      <w:tr w:rsidR="00F61231" w:rsidRPr="00E555F7" w14:paraId="3FF13EAA" w14:textId="77777777" w:rsidTr="00887747">
        <w:tc>
          <w:tcPr>
            <w:cnfStyle w:val="001000000000" w:firstRow="0" w:lastRow="0" w:firstColumn="1" w:lastColumn="0" w:oddVBand="0" w:evenVBand="0" w:oddHBand="0" w:evenHBand="0" w:firstRowFirstColumn="0" w:firstRowLastColumn="0" w:lastRowFirstColumn="0" w:lastRowLastColumn="0"/>
            <w:tcW w:w="0" w:type="dxa"/>
          </w:tcPr>
          <w:p w14:paraId="6AC9722D" w14:textId="77777777" w:rsidR="00F61231" w:rsidRPr="00182853" w:rsidRDefault="00F61231" w:rsidP="00F61231">
            <w:pPr>
              <w:jc w:val="left"/>
              <w:rPr>
                <w:sz w:val="15"/>
                <w:szCs w:val="15"/>
              </w:rPr>
            </w:pPr>
            <w:r w:rsidRPr="00182853">
              <w:rPr>
                <w:sz w:val="15"/>
                <w:szCs w:val="15"/>
              </w:rPr>
              <w:t>Health expenditure (% of GDP)</w:t>
            </w:r>
          </w:p>
        </w:tc>
        <w:tc>
          <w:tcPr>
            <w:tcW w:w="0" w:type="dxa"/>
          </w:tcPr>
          <w:p w14:paraId="4D2E0FF9"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-0.092 (-0.274 to 0.089)</w:t>
            </w:r>
          </w:p>
        </w:tc>
        <w:tc>
          <w:tcPr>
            <w:tcW w:w="0" w:type="dxa"/>
          </w:tcPr>
          <w:p w14:paraId="7B27A563"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0.3</w:t>
            </w:r>
            <w:r>
              <w:rPr>
                <w:sz w:val="15"/>
                <w:szCs w:val="15"/>
              </w:rPr>
              <w:t>2</w:t>
            </w:r>
          </w:p>
        </w:tc>
        <w:tc>
          <w:tcPr>
            <w:tcW w:w="0" w:type="dxa"/>
          </w:tcPr>
          <w:p w14:paraId="3B00B051"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-0.019 (-0.113 to 0.076)</w:t>
            </w:r>
          </w:p>
        </w:tc>
        <w:tc>
          <w:tcPr>
            <w:tcW w:w="0" w:type="dxa"/>
          </w:tcPr>
          <w:p w14:paraId="2478D5E4"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w:t>
            </w:r>
            <w:r>
              <w:rPr>
                <w:sz w:val="15"/>
                <w:szCs w:val="15"/>
              </w:rPr>
              <w:t>70</w:t>
            </w:r>
          </w:p>
        </w:tc>
        <w:tc>
          <w:tcPr>
            <w:tcW w:w="0" w:type="dxa"/>
          </w:tcPr>
          <w:p w14:paraId="4AB243B9"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-0.003 (-0.006 to 0.000)</w:t>
            </w:r>
          </w:p>
        </w:tc>
        <w:tc>
          <w:tcPr>
            <w:tcW w:w="0" w:type="dxa"/>
          </w:tcPr>
          <w:p w14:paraId="33DCFD61"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0.052</w:t>
            </w:r>
          </w:p>
        </w:tc>
      </w:tr>
      <w:tr w:rsidR="00F61231" w:rsidRPr="00E555F7" w14:paraId="13018EEF" w14:textId="77777777" w:rsidTr="00887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4FDE417" w14:textId="77777777" w:rsidR="00F61231" w:rsidRPr="00182853" w:rsidRDefault="00F61231" w:rsidP="00F61231">
            <w:pPr>
              <w:jc w:val="left"/>
              <w:rPr>
                <w:sz w:val="15"/>
                <w:szCs w:val="15"/>
              </w:rPr>
            </w:pPr>
            <w:r w:rsidRPr="00182853">
              <w:rPr>
                <w:sz w:val="15"/>
                <w:szCs w:val="15"/>
              </w:rPr>
              <w:t>Coal rents (% of GDP)</w:t>
            </w:r>
          </w:p>
        </w:tc>
        <w:tc>
          <w:tcPr>
            <w:tcW w:w="0" w:type="dxa"/>
          </w:tcPr>
          <w:p w14:paraId="3B240226"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-0.103 (-1.258 to 1.052)</w:t>
            </w:r>
          </w:p>
        </w:tc>
        <w:tc>
          <w:tcPr>
            <w:tcW w:w="0" w:type="dxa"/>
          </w:tcPr>
          <w:p w14:paraId="6F7343B1"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0.86</w:t>
            </w:r>
          </w:p>
        </w:tc>
        <w:tc>
          <w:tcPr>
            <w:tcW w:w="0" w:type="dxa"/>
          </w:tcPr>
          <w:p w14:paraId="33F8DFFA"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-0.473 (-0.793 to -0.153)</w:t>
            </w:r>
          </w:p>
        </w:tc>
        <w:tc>
          <w:tcPr>
            <w:tcW w:w="0" w:type="dxa"/>
          </w:tcPr>
          <w:p w14:paraId="6DB54B44"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0.004</w:t>
            </w:r>
            <w:r>
              <w:rPr>
                <w:sz w:val="15"/>
                <w:szCs w:val="15"/>
              </w:rPr>
              <w:t>1</w:t>
            </w:r>
          </w:p>
        </w:tc>
        <w:tc>
          <w:tcPr>
            <w:tcW w:w="0" w:type="dxa"/>
          </w:tcPr>
          <w:p w14:paraId="5F155A8D"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0.012 (-0.010 to 0.034)</w:t>
            </w:r>
          </w:p>
        </w:tc>
        <w:tc>
          <w:tcPr>
            <w:tcW w:w="0" w:type="dxa"/>
          </w:tcPr>
          <w:p w14:paraId="513FADF6"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0.27</w:t>
            </w:r>
          </w:p>
        </w:tc>
      </w:tr>
      <w:tr w:rsidR="00F61231" w:rsidRPr="00E555F7" w14:paraId="113B5516" w14:textId="77777777" w:rsidTr="00887747">
        <w:tc>
          <w:tcPr>
            <w:cnfStyle w:val="001000000000" w:firstRow="0" w:lastRow="0" w:firstColumn="1" w:lastColumn="0" w:oddVBand="0" w:evenVBand="0" w:oddHBand="0" w:evenHBand="0" w:firstRowFirstColumn="0" w:firstRowLastColumn="0" w:lastRowFirstColumn="0" w:lastRowLastColumn="0"/>
            <w:tcW w:w="0" w:type="dxa"/>
          </w:tcPr>
          <w:p w14:paraId="3DD53520" w14:textId="77777777" w:rsidR="00F61231" w:rsidRPr="00182853" w:rsidRDefault="00F61231" w:rsidP="00F61231">
            <w:pPr>
              <w:jc w:val="left"/>
              <w:rPr>
                <w:sz w:val="15"/>
                <w:szCs w:val="15"/>
              </w:rPr>
            </w:pPr>
            <w:r w:rsidRPr="00182853">
              <w:rPr>
                <w:sz w:val="15"/>
                <w:szCs w:val="15"/>
              </w:rPr>
              <w:t>Temperature change</w:t>
            </w:r>
          </w:p>
        </w:tc>
        <w:tc>
          <w:tcPr>
            <w:tcW w:w="0" w:type="dxa"/>
          </w:tcPr>
          <w:p w14:paraId="3763DF59"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0.704 (-0.528 to 1.937)</w:t>
            </w:r>
          </w:p>
        </w:tc>
        <w:tc>
          <w:tcPr>
            <w:tcW w:w="0" w:type="dxa"/>
          </w:tcPr>
          <w:p w14:paraId="0D7C2131"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0.26</w:t>
            </w:r>
          </w:p>
        </w:tc>
        <w:tc>
          <w:tcPr>
            <w:tcW w:w="0" w:type="dxa"/>
          </w:tcPr>
          <w:p w14:paraId="6E120FB1"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0.551 (-0.036 to 1.139)</w:t>
            </w:r>
          </w:p>
        </w:tc>
        <w:tc>
          <w:tcPr>
            <w:tcW w:w="0" w:type="dxa"/>
          </w:tcPr>
          <w:p w14:paraId="45F0F0A9"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0.066</w:t>
            </w:r>
          </w:p>
        </w:tc>
        <w:tc>
          <w:tcPr>
            <w:tcW w:w="0" w:type="dxa"/>
          </w:tcPr>
          <w:p w14:paraId="474D6ADF"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0.026 (0.005 to 0.047)</w:t>
            </w:r>
          </w:p>
        </w:tc>
        <w:tc>
          <w:tcPr>
            <w:tcW w:w="0" w:type="dxa"/>
          </w:tcPr>
          <w:p w14:paraId="0009C0F0"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0.016</w:t>
            </w:r>
          </w:p>
        </w:tc>
      </w:tr>
      <w:tr w:rsidR="00F61231" w:rsidRPr="00E555F7" w14:paraId="766BFEFC" w14:textId="77777777" w:rsidTr="00887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3BF2AE" w14:textId="77777777" w:rsidR="00F61231" w:rsidRPr="00182853" w:rsidRDefault="00F61231" w:rsidP="00F61231">
            <w:pPr>
              <w:jc w:val="left"/>
              <w:rPr>
                <w:sz w:val="15"/>
                <w:szCs w:val="15"/>
              </w:rPr>
            </w:pPr>
            <w:r w:rsidRPr="00182853">
              <w:rPr>
                <w:sz w:val="15"/>
                <w:szCs w:val="15"/>
              </w:rPr>
              <w:t>Air pollution exposure</w:t>
            </w:r>
          </w:p>
        </w:tc>
        <w:tc>
          <w:tcPr>
            <w:tcW w:w="0" w:type="dxa"/>
          </w:tcPr>
          <w:p w14:paraId="12D9BB80"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0.062 (-0.002 to 0.126)</w:t>
            </w:r>
          </w:p>
        </w:tc>
        <w:tc>
          <w:tcPr>
            <w:tcW w:w="0" w:type="dxa"/>
          </w:tcPr>
          <w:p w14:paraId="45FAC6EF"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0.059</w:t>
            </w:r>
          </w:p>
        </w:tc>
        <w:tc>
          <w:tcPr>
            <w:tcW w:w="0" w:type="dxa"/>
          </w:tcPr>
          <w:p w14:paraId="40AEA9D2"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0.011 (-0.007 to 0.028)</w:t>
            </w:r>
          </w:p>
        </w:tc>
        <w:tc>
          <w:tcPr>
            <w:tcW w:w="0" w:type="dxa"/>
          </w:tcPr>
          <w:p w14:paraId="07B5C5D1"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0.2</w:t>
            </w:r>
            <w:r>
              <w:rPr>
                <w:sz w:val="15"/>
                <w:szCs w:val="15"/>
              </w:rPr>
              <w:t>3</w:t>
            </w:r>
          </w:p>
        </w:tc>
        <w:tc>
          <w:tcPr>
            <w:tcW w:w="0" w:type="dxa"/>
          </w:tcPr>
          <w:p w14:paraId="6372A54F"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0.001 (0.000 to 0.001)</w:t>
            </w:r>
          </w:p>
        </w:tc>
        <w:tc>
          <w:tcPr>
            <w:tcW w:w="0" w:type="dxa"/>
          </w:tcPr>
          <w:p w14:paraId="403CC55B"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0.033</w:t>
            </w:r>
          </w:p>
        </w:tc>
      </w:tr>
      <w:tr w:rsidR="00F61231" w:rsidRPr="00E555F7" w14:paraId="4D909054" w14:textId="77777777" w:rsidTr="00887747">
        <w:tc>
          <w:tcPr>
            <w:cnfStyle w:val="001000000000" w:firstRow="0" w:lastRow="0" w:firstColumn="1" w:lastColumn="0" w:oddVBand="0" w:evenVBand="0" w:oddHBand="0" w:evenHBand="0" w:firstRowFirstColumn="0" w:firstRowLastColumn="0" w:lastRowFirstColumn="0" w:lastRowLastColumn="0"/>
            <w:tcW w:w="0" w:type="dxa"/>
          </w:tcPr>
          <w:p w14:paraId="2821FBF7" w14:textId="77777777" w:rsidR="00F61231" w:rsidRPr="0075613E" w:rsidRDefault="00F61231" w:rsidP="00F61231">
            <w:pPr>
              <w:jc w:val="left"/>
              <w:rPr>
                <w:sz w:val="15"/>
                <w:szCs w:val="15"/>
                <w:vertAlign w:val="superscript"/>
              </w:rPr>
            </w:pPr>
            <w:r>
              <w:rPr>
                <w:sz w:val="15"/>
                <w:szCs w:val="15"/>
              </w:rPr>
              <w:t>Pseudo-R</w:t>
            </w:r>
            <w:r>
              <w:rPr>
                <w:sz w:val="15"/>
                <w:szCs w:val="15"/>
                <w:vertAlign w:val="superscript"/>
              </w:rPr>
              <w:t>2</w:t>
            </w:r>
          </w:p>
        </w:tc>
        <w:tc>
          <w:tcPr>
            <w:tcW w:w="0" w:type="dxa"/>
          </w:tcPr>
          <w:p w14:paraId="3ACBF44B"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0.55</w:t>
            </w:r>
          </w:p>
        </w:tc>
        <w:tc>
          <w:tcPr>
            <w:tcW w:w="0" w:type="dxa"/>
          </w:tcPr>
          <w:p w14:paraId="3D67B89D"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c>
          <w:tcPr>
            <w:tcW w:w="0" w:type="dxa"/>
          </w:tcPr>
          <w:p w14:paraId="4F2230EE"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c>
          <w:tcPr>
            <w:tcW w:w="0" w:type="dxa"/>
          </w:tcPr>
          <w:p w14:paraId="6DBC08C1"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c>
          <w:tcPr>
            <w:tcW w:w="0" w:type="dxa"/>
          </w:tcPr>
          <w:p w14:paraId="61A8BC56"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c>
          <w:tcPr>
            <w:tcW w:w="0" w:type="dxa"/>
          </w:tcPr>
          <w:p w14:paraId="214E228F"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w:t>
            </w:r>
          </w:p>
        </w:tc>
      </w:tr>
      <w:tr w:rsidR="00F61231" w:rsidRPr="00E555F7" w14:paraId="472FCD92" w14:textId="77777777" w:rsidTr="008877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DFDD230" w14:textId="77777777" w:rsidR="00F61231" w:rsidRPr="00182853" w:rsidRDefault="00F61231" w:rsidP="00F61231">
            <w:pPr>
              <w:jc w:val="left"/>
              <w:rPr>
                <w:sz w:val="15"/>
                <w:szCs w:val="15"/>
                <w:vertAlign w:val="superscript"/>
              </w:rPr>
            </w:pPr>
            <w:r w:rsidRPr="00182853">
              <w:rPr>
                <w:sz w:val="15"/>
                <w:szCs w:val="15"/>
              </w:rPr>
              <w:t>R</w:t>
            </w:r>
            <w:r w:rsidRPr="00182853">
              <w:rPr>
                <w:sz w:val="15"/>
                <w:szCs w:val="15"/>
                <w:vertAlign w:val="superscript"/>
              </w:rPr>
              <w:t>2</w:t>
            </w:r>
          </w:p>
        </w:tc>
        <w:tc>
          <w:tcPr>
            <w:tcW w:w="0" w:type="dxa"/>
          </w:tcPr>
          <w:p w14:paraId="4D7555F3"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w:t>
            </w:r>
          </w:p>
        </w:tc>
        <w:tc>
          <w:tcPr>
            <w:tcW w:w="0" w:type="dxa"/>
          </w:tcPr>
          <w:p w14:paraId="296F354D"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w:t>
            </w:r>
          </w:p>
        </w:tc>
        <w:tc>
          <w:tcPr>
            <w:tcW w:w="0" w:type="dxa"/>
          </w:tcPr>
          <w:p w14:paraId="2A5CA5A3"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0.30</w:t>
            </w:r>
          </w:p>
        </w:tc>
        <w:tc>
          <w:tcPr>
            <w:tcW w:w="0" w:type="dxa"/>
          </w:tcPr>
          <w:p w14:paraId="3F4B2FD0"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w:t>
            </w:r>
          </w:p>
        </w:tc>
        <w:tc>
          <w:tcPr>
            <w:tcW w:w="0" w:type="dxa"/>
          </w:tcPr>
          <w:p w14:paraId="427610FC"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0.53</w:t>
            </w:r>
          </w:p>
        </w:tc>
        <w:tc>
          <w:tcPr>
            <w:tcW w:w="0" w:type="dxa"/>
          </w:tcPr>
          <w:p w14:paraId="467665E5" w14:textId="77777777" w:rsidR="00F61231" w:rsidRPr="00182853" w:rsidRDefault="00F61231" w:rsidP="00F61231">
            <w:pPr>
              <w:cnfStyle w:val="000000100000" w:firstRow="0" w:lastRow="0" w:firstColumn="0" w:lastColumn="0" w:oddVBand="0" w:evenVBand="0" w:oddHBand="1" w:evenHBand="0" w:firstRowFirstColumn="0" w:firstRowLastColumn="0" w:lastRowFirstColumn="0" w:lastRowLastColumn="0"/>
              <w:rPr>
                <w:sz w:val="15"/>
                <w:szCs w:val="15"/>
              </w:rPr>
            </w:pPr>
            <w:r w:rsidRPr="00182853">
              <w:rPr>
                <w:sz w:val="15"/>
                <w:szCs w:val="15"/>
              </w:rPr>
              <w:t>--</w:t>
            </w:r>
          </w:p>
        </w:tc>
      </w:tr>
      <w:tr w:rsidR="00F61231" w:rsidRPr="00E555F7" w14:paraId="2D89A67A" w14:textId="77777777" w:rsidTr="00887747">
        <w:tc>
          <w:tcPr>
            <w:cnfStyle w:val="001000000000" w:firstRow="0" w:lastRow="0" w:firstColumn="1" w:lastColumn="0" w:oddVBand="0" w:evenVBand="0" w:oddHBand="0" w:evenHBand="0" w:firstRowFirstColumn="0" w:firstRowLastColumn="0" w:lastRowFirstColumn="0" w:lastRowLastColumn="0"/>
            <w:tcW w:w="0" w:type="dxa"/>
          </w:tcPr>
          <w:p w14:paraId="0FEE298B" w14:textId="77777777" w:rsidR="00F61231" w:rsidRPr="00182853" w:rsidRDefault="00F61231" w:rsidP="00F61231">
            <w:pPr>
              <w:jc w:val="left"/>
              <w:rPr>
                <w:sz w:val="15"/>
                <w:szCs w:val="15"/>
              </w:rPr>
            </w:pPr>
            <w:r w:rsidRPr="00182853">
              <w:rPr>
                <w:sz w:val="15"/>
                <w:szCs w:val="15"/>
              </w:rPr>
              <w:t>N</w:t>
            </w:r>
          </w:p>
        </w:tc>
        <w:tc>
          <w:tcPr>
            <w:tcW w:w="0" w:type="dxa"/>
          </w:tcPr>
          <w:p w14:paraId="3EBC6242"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175</w:t>
            </w:r>
          </w:p>
        </w:tc>
        <w:tc>
          <w:tcPr>
            <w:tcW w:w="0" w:type="dxa"/>
          </w:tcPr>
          <w:p w14:paraId="5C12509F"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w:t>
            </w:r>
          </w:p>
        </w:tc>
        <w:tc>
          <w:tcPr>
            <w:tcW w:w="0" w:type="dxa"/>
          </w:tcPr>
          <w:p w14:paraId="45ABCB03"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175</w:t>
            </w:r>
          </w:p>
        </w:tc>
        <w:tc>
          <w:tcPr>
            <w:tcW w:w="0" w:type="dxa"/>
          </w:tcPr>
          <w:p w14:paraId="6A981777"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w:t>
            </w:r>
          </w:p>
        </w:tc>
        <w:tc>
          <w:tcPr>
            <w:tcW w:w="0" w:type="dxa"/>
          </w:tcPr>
          <w:p w14:paraId="67C92737"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175</w:t>
            </w:r>
          </w:p>
        </w:tc>
        <w:tc>
          <w:tcPr>
            <w:tcW w:w="0" w:type="dxa"/>
          </w:tcPr>
          <w:p w14:paraId="2AF253E8" w14:textId="77777777" w:rsidR="00F61231" w:rsidRPr="00182853" w:rsidRDefault="00F61231" w:rsidP="00F61231">
            <w:pPr>
              <w:cnfStyle w:val="000000000000" w:firstRow="0" w:lastRow="0" w:firstColumn="0" w:lastColumn="0" w:oddVBand="0" w:evenVBand="0" w:oddHBand="0" w:evenHBand="0" w:firstRowFirstColumn="0" w:firstRowLastColumn="0" w:lastRowFirstColumn="0" w:lastRowLastColumn="0"/>
              <w:rPr>
                <w:sz w:val="15"/>
                <w:szCs w:val="15"/>
              </w:rPr>
            </w:pPr>
            <w:r w:rsidRPr="00182853">
              <w:rPr>
                <w:sz w:val="15"/>
                <w:szCs w:val="15"/>
              </w:rPr>
              <w:t>--</w:t>
            </w:r>
          </w:p>
        </w:tc>
      </w:tr>
    </w:tbl>
    <w:p w14:paraId="51407E09" w14:textId="73BDD2A4" w:rsidR="007760E9" w:rsidRDefault="007760E9" w:rsidP="00200852">
      <w:pPr>
        <w:jc w:val="both"/>
      </w:pPr>
    </w:p>
    <w:p w14:paraId="5446E26D" w14:textId="2D59B289" w:rsidR="00F61231" w:rsidRDefault="00F61231" w:rsidP="00200852">
      <w:pPr>
        <w:jc w:val="both"/>
      </w:pPr>
    </w:p>
    <w:p w14:paraId="6522FAE6" w14:textId="2B718DA5" w:rsidR="00F61231" w:rsidRDefault="00F61231" w:rsidP="00200852">
      <w:pPr>
        <w:jc w:val="both"/>
      </w:pPr>
    </w:p>
    <w:p w14:paraId="3E53BBFF" w14:textId="233181AD" w:rsidR="00F61231" w:rsidRDefault="00F61231" w:rsidP="00200852">
      <w:pPr>
        <w:jc w:val="both"/>
      </w:pPr>
    </w:p>
    <w:p w14:paraId="3D48A170" w14:textId="4C5A1280" w:rsidR="00F61231" w:rsidRDefault="00F61231" w:rsidP="00200852">
      <w:pPr>
        <w:jc w:val="both"/>
      </w:pPr>
    </w:p>
    <w:p w14:paraId="3684A3F3" w14:textId="77777777" w:rsidR="00F61231" w:rsidRDefault="00F61231" w:rsidP="00200852">
      <w:pPr>
        <w:jc w:val="both"/>
      </w:pPr>
    </w:p>
    <w:p w14:paraId="2E8539DD" w14:textId="02212425" w:rsidR="00424603" w:rsidRDefault="005F7DF2" w:rsidP="006D415A">
      <w:pPr>
        <w:jc w:val="both"/>
      </w:pPr>
      <w:r>
        <w:t>I</w:t>
      </w:r>
      <w:r w:rsidR="005715E1">
        <w:t>n</w:t>
      </w:r>
      <w:r w:rsidR="00E60D2C">
        <w:t xml:space="preserve"> the first model in</w:t>
      </w:r>
      <w:r w:rsidR="005715E1">
        <w:t xml:space="preserve"> Table </w:t>
      </w:r>
      <w:r w:rsidR="00E60D2C">
        <w:t>2</w:t>
      </w:r>
      <w:r>
        <w:t>,</w:t>
      </w:r>
      <w:r w:rsidR="005715E1">
        <w:t xml:space="preserve"> there are </w:t>
      </w:r>
      <w:r w:rsidR="004322CE">
        <w:t>two</w:t>
      </w:r>
      <w:r w:rsidR="005715E1">
        <w:t xml:space="preserve"> factors </w:t>
      </w:r>
      <w:r w:rsidR="004322CE">
        <w:t>that have statistically significant relationship</w:t>
      </w:r>
      <w:r w:rsidR="00F023F9">
        <w:t>s</w:t>
      </w:r>
      <w:r w:rsidR="00896002">
        <w:t xml:space="preserve"> </w:t>
      </w:r>
      <w:r w:rsidR="00F023F9">
        <w:t>with</w:t>
      </w:r>
      <w:r w:rsidR="005715E1">
        <w:t xml:space="preserve"> whether a country mentions health in its NDC. These are whether the country is a SIDS </w:t>
      </w:r>
      <w:r w:rsidR="00896002">
        <w:t>(</w:t>
      </w:r>
      <w:r w:rsidR="008B782E">
        <w:t>3.594,</w:t>
      </w:r>
      <w:r w:rsidR="00B839CC">
        <w:t xml:space="preserve"> </w:t>
      </w:r>
      <w:r w:rsidR="00CC1E9B">
        <w:t>95% CI 1.520 to 5.667)</w:t>
      </w:r>
      <w:r w:rsidR="005715E1">
        <w:t>,</w:t>
      </w:r>
      <w:r w:rsidR="004322CE">
        <w:t xml:space="preserve"> and</w:t>
      </w:r>
      <w:r w:rsidR="005715E1">
        <w:t xml:space="preserve"> GDP per capita</w:t>
      </w:r>
      <w:r w:rsidR="00896002">
        <w:t xml:space="preserve"> (</w:t>
      </w:r>
      <w:r w:rsidR="008B782E">
        <w:t xml:space="preserve">-0.532, </w:t>
      </w:r>
      <w:r w:rsidR="00D07ACA">
        <w:t xml:space="preserve">95% CI </w:t>
      </w:r>
      <w:r w:rsidR="00CC1E9B">
        <w:t>-0.971 to -0.093</w:t>
      </w:r>
      <w:r w:rsidR="00896002">
        <w:t>)</w:t>
      </w:r>
      <w:r w:rsidR="00C36C34">
        <w:t>, demonstrating</w:t>
      </w:r>
      <w:r w:rsidR="005715E1">
        <w:t xml:space="preserve"> that SIDS have a higher likelihood of referring to health</w:t>
      </w:r>
      <w:r w:rsidR="004322CE">
        <w:t>, and</w:t>
      </w:r>
      <w:r w:rsidR="005715E1">
        <w:t xml:space="preserve"> that richer countries are less likely to mention health</w:t>
      </w:r>
      <w:r w:rsidR="00896002">
        <w:t xml:space="preserve"> in their NDCs</w:t>
      </w:r>
      <w:r w:rsidR="005715E1">
        <w:t xml:space="preserve"> than poorer </w:t>
      </w:r>
      <w:r w:rsidR="00896002">
        <w:t>countries</w:t>
      </w:r>
      <w:r w:rsidR="004322CE">
        <w:t xml:space="preserve">. The results </w:t>
      </w:r>
      <w:r w:rsidR="00147CF9">
        <w:t xml:space="preserve">indicate </w:t>
      </w:r>
      <w:r w:rsidR="004322CE">
        <w:t xml:space="preserve">that exposure to ambient air pollution has a </w:t>
      </w:r>
      <w:r w:rsidR="006D415A">
        <w:t>positive relationship with mentioning health in NDCs, however this falls outside the 95% CI (p=0.062).</w:t>
      </w:r>
      <w:r w:rsidR="004322CE">
        <w:t xml:space="preserve"> </w:t>
      </w:r>
      <w:r w:rsidR="00A67F84">
        <w:t>P</w:t>
      </w:r>
      <w:r w:rsidR="005715E1">
        <w:t>opulation size, level of democracy, health expenditure, coal rents, and population-weighted temperature change</w:t>
      </w:r>
      <w:r w:rsidR="002F597D">
        <w:t xml:space="preserve"> are not associated with</w:t>
      </w:r>
      <w:r w:rsidR="005715E1">
        <w:t xml:space="preserve"> </w:t>
      </w:r>
      <w:r w:rsidR="002F597D">
        <w:t>whether a country mentions</w:t>
      </w:r>
      <w:r w:rsidR="005715E1">
        <w:t xml:space="preserve"> health in its NDC.</w:t>
      </w:r>
    </w:p>
    <w:p w14:paraId="6D938741" w14:textId="77777777" w:rsidR="007760E9" w:rsidRDefault="007760E9" w:rsidP="00F555D2">
      <w:pPr>
        <w:jc w:val="both"/>
      </w:pPr>
    </w:p>
    <w:p w14:paraId="31DA3B76" w14:textId="1DA2A331" w:rsidR="000F1597" w:rsidRDefault="005715E1" w:rsidP="00F555D2">
      <w:pPr>
        <w:jc w:val="both"/>
      </w:pPr>
      <w:r>
        <w:t xml:space="preserve">Table </w:t>
      </w:r>
      <w:r w:rsidR="00E60D2C">
        <w:t>2 also</w:t>
      </w:r>
      <w:r>
        <w:t xml:space="preserve"> presents the results of the OLS regression analysis looking at factors associated with </w:t>
      </w:r>
      <w:r w:rsidR="001A076B">
        <w:t>health</w:t>
      </w:r>
      <w:r>
        <w:t xml:space="preserve"> engagement </w:t>
      </w:r>
      <w:r w:rsidR="004322CE">
        <w:t>using</w:t>
      </w:r>
      <w:r>
        <w:t xml:space="preserve"> the HES</w:t>
      </w:r>
      <w:r w:rsidR="004322CE">
        <w:t xml:space="preserve"> and </w:t>
      </w:r>
      <w:r w:rsidR="000B36B7">
        <w:t>HTP</w:t>
      </w:r>
      <w:r w:rsidR="001A076B">
        <w:t xml:space="preserve"> measures</w:t>
      </w:r>
      <w:r w:rsidR="00E94F41">
        <w:t xml:space="preserve">. </w:t>
      </w:r>
      <w:r w:rsidR="001A076B">
        <w:t xml:space="preserve">The results here also </w:t>
      </w:r>
      <w:r w:rsidR="00915ADD">
        <w:t>indicate</w:t>
      </w:r>
      <w:r w:rsidR="001A076B">
        <w:t xml:space="preserve"> that SIDS and GDP per capita have statistically significant </w:t>
      </w:r>
      <w:r w:rsidR="008A047B">
        <w:t>associations with</w:t>
      </w:r>
      <w:r w:rsidR="001A076B">
        <w:t xml:space="preserve"> both measures of health engagement</w:t>
      </w:r>
      <w:r w:rsidR="00915ADD">
        <w:t xml:space="preserve"> (HES and HTP)</w:t>
      </w:r>
      <w:r w:rsidR="001A076B">
        <w:t xml:space="preserve">. </w:t>
      </w:r>
      <w:r w:rsidR="00915ADD">
        <w:t>T</w:t>
      </w:r>
      <w:r w:rsidR="001A076B">
        <w:t>he higher a country’s GDP per capita</w:t>
      </w:r>
      <w:r w:rsidR="00915ADD">
        <w:t>,</w:t>
      </w:r>
      <w:r w:rsidR="001A076B">
        <w:t xml:space="preserve"> the less it engages with health</w:t>
      </w:r>
      <w:r w:rsidR="00915ADD">
        <w:t>,</w:t>
      </w:r>
      <w:r w:rsidR="00F555D2">
        <w:t xml:space="preserve"> </w:t>
      </w:r>
      <w:r w:rsidR="00147CF9">
        <w:t xml:space="preserve">indicating </w:t>
      </w:r>
      <w:r w:rsidR="00F555D2">
        <w:t>that income is closely related t</w:t>
      </w:r>
      <w:r w:rsidR="00497A0C">
        <w:t>o</w:t>
      </w:r>
      <w:r w:rsidR="00F555D2">
        <w:t xml:space="preserve"> engage</w:t>
      </w:r>
      <w:r w:rsidR="004E62AA">
        <w:t>ment</w:t>
      </w:r>
      <w:r w:rsidR="00F555D2">
        <w:t xml:space="preserve"> with health in the NDCs</w:t>
      </w:r>
      <w:r w:rsidR="000F1597">
        <w:t>.</w:t>
      </w:r>
    </w:p>
    <w:p w14:paraId="67B9E2DA" w14:textId="241756D9" w:rsidR="00FB5DD7" w:rsidRDefault="00F555D2" w:rsidP="008A047B">
      <w:pPr>
        <w:jc w:val="both"/>
      </w:pPr>
      <w:r>
        <w:t xml:space="preserve">The results </w:t>
      </w:r>
      <w:r w:rsidR="00890692">
        <w:t>suggest additional factors</w:t>
      </w:r>
      <w:r w:rsidR="003A685B">
        <w:t xml:space="preserve"> may be</w:t>
      </w:r>
      <w:r w:rsidR="00890692">
        <w:t xml:space="preserve"> </w:t>
      </w:r>
      <w:r w:rsidR="009038D1">
        <w:t>related</w:t>
      </w:r>
      <w:r w:rsidR="003A685B">
        <w:t xml:space="preserve"> to</w:t>
      </w:r>
      <w:r w:rsidR="00890692">
        <w:t xml:space="preserve"> health engagement</w:t>
      </w:r>
      <w:r w:rsidR="00180196">
        <w:t>, although these are statistically significant for either HES or HT</w:t>
      </w:r>
      <w:r w:rsidR="008B782E">
        <w:t>P</w:t>
      </w:r>
      <w:r w:rsidR="009038D1">
        <w:t>,</w:t>
      </w:r>
      <w:r w:rsidR="00FF2392">
        <w:t xml:space="preserve"> rather than both</w:t>
      </w:r>
      <w:r w:rsidR="00180196">
        <w:t>.</w:t>
      </w:r>
      <w:r w:rsidR="00EF2059">
        <w:t xml:space="preserve"> </w:t>
      </w:r>
      <w:r w:rsidR="00B306B6">
        <w:t>C</w:t>
      </w:r>
      <w:r w:rsidR="00EF2059">
        <w:t>oal rents (% of GDP) has a negative</w:t>
      </w:r>
      <w:r w:rsidR="00D07ACA">
        <w:t xml:space="preserve"> effect of -0.473 on the</w:t>
      </w:r>
      <w:r w:rsidR="00EF2059">
        <w:t xml:space="preserve"> HES (</w:t>
      </w:r>
      <w:r w:rsidR="001D6788">
        <w:t>95% CI -0.793 to -0.153)</w:t>
      </w:r>
      <w:r w:rsidR="00EF2059">
        <w:t>, suggestin</w:t>
      </w:r>
      <w:r w:rsidR="001207E3">
        <w:t xml:space="preserve">g countries with higher coal revenues engage in less depth with health in the NDCs. </w:t>
      </w:r>
      <w:r w:rsidR="00F15564">
        <w:t>Greater</w:t>
      </w:r>
      <w:r w:rsidR="000B3E93">
        <w:t xml:space="preserve"> temperature change</w:t>
      </w:r>
      <w:r w:rsidR="00EF2059">
        <w:t xml:space="preserve"> and exposure</w:t>
      </w:r>
      <w:r w:rsidR="009038D1">
        <w:t xml:space="preserve"> to</w:t>
      </w:r>
      <w:r w:rsidR="00EF2059">
        <w:t xml:space="preserve"> air pollution </w:t>
      </w:r>
      <w:r w:rsidR="008A047B">
        <w:t>are</w:t>
      </w:r>
      <w:r w:rsidR="00EF2059">
        <w:t xml:space="preserve"> associated with</w:t>
      </w:r>
      <w:r w:rsidR="008A047B">
        <w:t xml:space="preserve"> more discussion of health in countries’ NDCs. </w:t>
      </w:r>
      <w:r w:rsidR="00EF2059">
        <w:t>The population-weighted temperature change has a statistically significant</w:t>
      </w:r>
      <w:r>
        <w:t xml:space="preserve"> </w:t>
      </w:r>
      <w:r w:rsidR="00180196">
        <w:t>positive</w:t>
      </w:r>
      <w:r w:rsidR="00EF2059">
        <w:t xml:space="preserve"> </w:t>
      </w:r>
      <w:r w:rsidR="00D07ACA">
        <w:t>effect of 0.016</w:t>
      </w:r>
      <w:r w:rsidR="00EF2059">
        <w:t xml:space="preserve"> </w:t>
      </w:r>
      <w:r w:rsidR="00D07ACA">
        <w:t>on the</w:t>
      </w:r>
      <w:r w:rsidR="00EF2059">
        <w:t xml:space="preserve"> HTP </w:t>
      </w:r>
      <w:r w:rsidR="00180196">
        <w:t>(p=0.016, p=0.066 for HES).</w:t>
      </w:r>
      <w:r w:rsidR="001207E3">
        <w:t xml:space="preserve"> W</w:t>
      </w:r>
      <w:r w:rsidR="008A047B">
        <w:t>hen we use</w:t>
      </w:r>
      <w:r w:rsidR="00FF2392">
        <w:t xml:space="preserve"> the total count of health terms as an outcome variable (appendix</w:t>
      </w:r>
      <w:r w:rsidR="003B7E08">
        <w:t xml:space="preserve"> p.1</w:t>
      </w:r>
      <w:r w:rsidR="000E2C3E">
        <w:t>3</w:t>
      </w:r>
      <w:r w:rsidR="003B7E08">
        <w:t xml:space="preserve">; Table </w:t>
      </w:r>
      <w:r w:rsidR="000E2C3E">
        <w:t>S8</w:t>
      </w:r>
      <w:r w:rsidR="00FF2392">
        <w:t xml:space="preserve">), </w:t>
      </w:r>
      <w:r w:rsidR="008A047B">
        <w:t>we</w:t>
      </w:r>
      <w:r w:rsidR="001207E3">
        <w:t xml:space="preserve"> also</w:t>
      </w:r>
      <w:r w:rsidR="008A047B">
        <w:t xml:space="preserve"> find </w:t>
      </w:r>
      <w:r w:rsidR="00FF2392">
        <w:t>temperature change has a significant effect</w:t>
      </w:r>
      <w:r w:rsidR="00180196">
        <w:t xml:space="preserve">. </w:t>
      </w:r>
      <w:r w:rsidR="008A047B">
        <w:t>The results show that</w:t>
      </w:r>
      <w:r>
        <w:t xml:space="preserve"> higher exposure to ambient air pollution </w:t>
      </w:r>
      <w:r w:rsidR="008A047B">
        <w:t>is</w:t>
      </w:r>
      <w:r w:rsidR="00FF2392">
        <w:t xml:space="preserve"> positive</w:t>
      </w:r>
      <w:r w:rsidR="008A047B">
        <w:t>ly</w:t>
      </w:r>
      <w:r w:rsidR="00FF2392">
        <w:t xml:space="preserve"> </w:t>
      </w:r>
      <w:r w:rsidR="008A047B">
        <w:t>associated</w:t>
      </w:r>
      <w:r w:rsidR="00FF2392">
        <w:t xml:space="preserve"> with HTP</w:t>
      </w:r>
      <w:r w:rsidR="00C63C82">
        <w:t>,</w:t>
      </w:r>
      <w:r w:rsidR="00FF2392">
        <w:t xml:space="preserve"> </w:t>
      </w:r>
      <w:r w:rsidR="008A047B">
        <w:t>though</w:t>
      </w:r>
      <w:r w:rsidR="00FF2392">
        <w:t xml:space="preserve"> </w:t>
      </w:r>
      <w:r w:rsidR="009038D1">
        <w:t>not with</w:t>
      </w:r>
      <w:r w:rsidR="00FF2392">
        <w:t xml:space="preserve"> HES. </w:t>
      </w:r>
      <w:r w:rsidR="00890692">
        <w:t>P</w:t>
      </w:r>
      <w:r w:rsidR="00E94F41">
        <w:t>opulation size, democracy,</w:t>
      </w:r>
      <w:r w:rsidR="004E62AA">
        <w:t xml:space="preserve"> and</w:t>
      </w:r>
      <w:r w:rsidR="00E94F41">
        <w:t xml:space="preserve"> health expenditure </w:t>
      </w:r>
      <w:r w:rsidR="00091946">
        <w:t>are not related</w:t>
      </w:r>
      <w:r w:rsidR="00E94F41">
        <w:t xml:space="preserve"> </w:t>
      </w:r>
      <w:r w:rsidR="00091946">
        <w:t>to</w:t>
      </w:r>
      <w:r w:rsidR="00E94F41">
        <w:t xml:space="preserve"> </w:t>
      </w:r>
      <w:r w:rsidR="00091946">
        <w:t>health engagement</w:t>
      </w:r>
      <w:r w:rsidR="008A047B">
        <w:t xml:space="preserve"> with either measure</w:t>
      </w:r>
      <w:r w:rsidR="00E94F41">
        <w:t xml:space="preserve">. </w:t>
      </w:r>
      <w:r w:rsidR="00F32985">
        <w:t>The results</w:t>
      </w:r>
      <w:r w:rsidR="001207E3">
        <w:t xml:space="preserve"> of the</w:t>
      </w:r>
      <w:r w:rsidR="00654023">
        <w:t xml:space="preserve"> sensitivity analysis </w:t>
      </w:r>
      <w:r w:rsidR="008A047B">
        <w:t xml:space="preserve">broadly support the findings here, </w:t>
      </w:r>
      <w:r w:rsidR="009038D1">
        <w:t xml:space="preserve">in particular </w:t>
      </w:r>
      <w:r w:rsidR="008A047B">
        <w:t xml:space="preserve">providing further evidence </w:t>
      </w:r>
      <w:r w:rsidR="00F32985">
        <w:t>that</w:t>
      </w:r>
      <w:r w:rsidR="005108B1">
        <w:t xml:space="preserve"> GDP per capita</w:t>
      </w:r>
      <w:r w:rsidR="00F32985">
        <w:t xml:space="preserve"> </w:t>
      </w:r>
      <w:r w:rsidR="008A047B">
        <w:t xml:space="preserve">is negatively </w:t>
      </w:r>
      <w:r w:rsidR="00654023">
        <w:t>correlated with</w:t>
      </w:r>
      <w:r w:rsidR="00F828B0">
        <w:t xml:space="preserve"> health engagement. </w:t>
      </w:r>
    </w:p>
    <w:p w14:paraId="2645893B" w14:textId="7B41C863" w:rsidR="00E15CC3" w:rsidRDefault="00A560F7" w:rsidP="00E15CC3">
      <w:pPr>
        <w:jc w:val="both"/>
      </w:pPr>
      <w:r>
        <w:t>We n</w:t>
      </w:r>
      <w:r w:rsidR="00890692">
        <w:t>ext</w:t>
      </w:r>
      <w:r>
        <w:t xml:space="preserve"> turn to </w:t>
      </w:r>
      <w:r w:rsidR="00FF158E">
        <w:t>consider</w:t>
      </w:r>
      <w:r w:rsidR="00F15564">
        <w:t xml:space="preserve"> </w:t>
      </w:r>
      <w:r w:rsidR="007556BB">
        <w:t>whe</w:t>
      </w:r>
      <w:r w:rsidR="00BA5A6B">
        <w:t xml:space="preserve">ther </w:t>
      </w:r>
      <w:r w:rsidR="00020242">
        <w:t>differences</w:t>
      </w:r>
      <w:r w:rsidR="00BA5A6B">
        <w:t xml:space="preserve"> in levels of health engagement reflect wider </w:t>
      </w:r>
      <w:r w:rsidR="00020242">
        <w:t>dissimilarities</w:t>
      </w:r>
      <w:r w:rsidR="00BA5A6B">
        <w:t xml:space="preserve"> in the content of NDCs. In other words, we examine the</w:t>
      </w:r>
      <w:r w:rsidR="00F15564">
        <w:t xml:space="preserve"> more general differences</w:t>
      </w:r>
      <w:r w:rsidR="00BA5A6B">
        <w:t xml:space="preserve"> </w:t>
      </w:r>
      <w:r w:rsidR="0077506C">
        <w:t>in the approach taken in</w:t>
      </w:r>
      <w:r w:rsidR="00F15564">
        <w:t xml:space="preserve"> </w:t>
      </w:r>
      <w:r>
        <w:t xml:space="preserve">NDCs </w:t>
      </w:r>
      <w:r w:rsidR="00F15564">
        <w:t>that have</w:t>
      </w:r>
      <w:r w:rsidR="00FF158E">
        <w:t xml:space="preserve"> higher </w:t>
      </w:r>
      <w:r w:rsidR="00F15564">
        <w:t xml:space="preserve">health </w:t>
      </w:r>
      <w:r>
        <w:t>engage</w:t>
      </w:r>
      <w:r w:rsidR="00FF158E">
        <w:t xml:space="preserve">ment </w:t>
      </w:r>
      <w:r w:rsidR="0077506C">
        <w:t>compared to</w:t>
      </w:r>
      <w:r w:rsidR="00FF158E">
        <w:t xml:space="preserve"> those with lower</w:t>
      </w:r>
      <w:r>
        <w:t xml:space="preserve"> health engagement</w:t>
      </w:r>
      <w:r w:rsidR="00FF158E">
        <w:t>.</w:t>
      </w:r>
      <w:r w:rsidR="00F828B0">
        <w:t xml:space="preserve"> We </w:t>
      </w:r>
      <w:r w:rsidR="00F15564">
        <w:t>do this</w:t>
      </w:r>
      <w:r w:rsidR="00F828B0">
        <w:t xml:space="preserve"> </w:t>
      </w:r>
      <w:r w:rsidR="00F15564">
        <w:t>through</w:t>
      </w:r>
      <w:r w:rsidR="00F828B0">
        <w:t xml:space="preserve"> the NLP </w:t>
      </w:r>
      <w:proofErr w:type="spellStart"/>
      <w:r w:rsidR="00F828B0" w:rsidRPr="001328DC">
        <w:rPr>
          <w:i/>
          <w:iCs/>
        </w:rPr>
        <w:t>keyness</w:t>
      </w:r>
      <w:proofErr w:type="spellEnd"/>
      <w:r w:rsidR="00F828B0" w:rsidRPr="001328DC">
        <w:rPr>
          <w:i/>
          <w:iCs/>
        </w:rPr>
        <w:t xml:space="preserve"> </w:t>
      </w:r>
      <w:r w:rsidR="00F828B0">
        <w:t xml:space="preserve">analysis. </w:t>
      </w:r>
      <w:r w:rsidR="00E15CC3">
        <w:t>Figure 6 presents</w:t>
      </w:r>
      <w:r w:rsidR="005343CB">
        <w:t xml:space="preserve"> the </w:t>
      </w:r>
      <w:r w:rsidR="00B66691">
        <w:t xml:space="preserve">terms in the NDCs that are statistically most likely to appear in the NDCs with lower health engagement </w:t>
      </w:r>
      <w:r w:rsidR="000054EE">
        <w:t>in comparison</w:t>
      </w:r>
      <w:r w:rsidR="00B66691">
        <w:t xml:space="preserve"> to terms most likely to appear in NDCs with higher engagements</w:t>
      </w:r>
      <w:r w:rsidR="005343CB">
        <w:t>.</w:t>
      </w:r>
      <w:r w:rsidR="000054EE">
        <w:t xml:space="preserve"> </w:t>
      </w:r>
      <w:r w:rsidR="00E15CC3">
        <w:t xml:space="preserve">It shows the most statistically distinct terms that appear in NDCs with low engagement with health, with an HES of 0-1 compared to the most statistically distinct terms that appear in the NDCs with an HES of 2-5. We provide additional </w:t>
      </w:r>
      <w:proofErr w:type="spellStart"/>
      <w:r w:rsidR="00E15CC3">
        <w:t>keyness</w:t>
      </w:r>
      <w:proofErr w:type="spellEnd"/>
      <w:r w:rsidR="00E15CC3">
        <w:t xml:space="preserve"> analysis</w:t>
      </w:r>
      <w:r w:rsidR="007B6B7B">
        <w:t xml:space="preserve"> comparing </w:t>
      </w:r>
      <w:r w:rsidR="007B6B7B">
        <w:lastRenderedPageBreak/>
        <w:t xml:space="preserve">the differences in the content of NDCs with higher and lower engagement with health in the appendix </w:t>
      </w:r>
      <w:r w:rsidR="007B6B7B" w:rsidRPr="000E2C3E">
        <w:t>(</w:t>
      </w:r>
      <w:r w:rsidR="007B6B7B" w:rsidRPr="002E5814">
        <w:t>p</w:t>
      </w:r>
      <w:r w:rsidR="007B6B7B" w:rsidRPr="004239B3">
        <w:t>p.14-</w:t>
      </w:r>
      <w:r w:rsidR="007B6B7B" w:rsidRPr="000E2C3E">
        <w:t>1</w:t>
      </w:r>
      <w:r w:rsidR="000E2C3E" w:rsidRPr="00887747">
        <w:t>7</w:t>
      </w:r>
      <w:r w:rsidR="007B6B7B" w:rsidRPr="000E2C3E">
        <w:t>)</w:t>
      </w:r>
      <w:r w:rsidR="007B6B7B" w:rsidRPr="002E5814">
        <w:t>.</w:t>
      </w:r>
    </w:p>
    <w:p w14:paraId="15E0D912" w14:textId="77777777" w:rsidR="00F84DFC" w:rsidRDefault="00F84DFC" w:rsidP="00FF158E">
      <w:pPr>
        <w:jc w:val="both"/>
      </w:pPr>
    </w:p>
    <w:p w14:paraId="0E40D0E4" w14:textId="2267EA38" w:rsidR="00FB5DD7" w:rsidRDefault="00FB5DD7" w:rsidP="00FB5DD7">
      <w:pPr>
        <w:jc w:val="both"/>
      </w:pPr>
    </w:p>
    <w:p w14:paraId="3628572C" w14:textId="3F4510B2" w:rsidR="00D818E6" w:rsidRDefault="00F84DFC" w:rsidP="007547FC">
      <w:pPr>
        <w:jc w:val="left"/>
      </w:pPr>
      <w:r>
        <w:rPr>
          <w:noProof/>
          <w:lang w:eastAsia="en-GB"/>
        </w:rPr>
        <w:drawing>
          <wp:inline distT="0" distB="0" distL="0" distR="0" wp14:anchorId="579E51DB" wp14:editId="1E9EB3D0">
            <wp:extent cx="3615397" cy="3615397"/>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yness_hes_2.pdf"/>
                    <pic:cNvPicPr/>
                  </pic:nvPicPr>
                  <pic:blipFill>
                    <a:blip r:embed="rId14">
                      <a:extLst>
                        <a:ext uri="{28A0092B-C50C-407E-A947-70E740481C1C}">
                          <a14:useLocalDpi xmlns:a14="http://schemas.microsoft.com/office/drawing/2010/main" val="0"/>
                        </a:ext>
                      </a:extLst>
                    </a:blip>
                    <a:stretch>
                      <a:fillRect/>
                    </a:stretch>
                  </pic:blipFill>
                  <pic:spPr>
                    <a:xfrm>
                      <a:off x="0" y="0"/>
                      <a:ext cx="3622614" cy="3622614"/>
                    </a:xfrm>
                    <a:prstGeom prst="rect">
                      <a:avLst/>
                    </a:prstGeom>
                  </pic:spPr>
                </pic:pic>
              </a:graphicData>
            </a:graphic>
          </wp:inline>
        </w:drawing>
      </w:r>
    </w:p>
    <w:p w14:paraId="6DF0C6F3" w14:textId="2EBE6F9F" w:rsidR="00F84DFC" w:rsidRDefault="00D818E6" w:rsidP="007547FC">
      <w:pPr>
        <w:jc w:val="left"/>
        <w:rPr>
          <w:sz w:val="22"/>
          <w:szCs w:val="22"/>
        </w:rPr>
      </w:pPr>
      <w:r w:rsidRPr="00E51EEE">
        <w:rPr>
          <w:b/>
          <w:bCs/>
          <w:sz w:val="22"/>
          <w:szCs w:val="22"/>
        </w:rPr>
        <w:t xml:space="preserve">Figure </w:t>
      </w:r>
      <w:r w:rsidR="008D1DC2">
        <w:rPr>
          <w:b/>
          <w:bCs/>
          <w:sz w:val="22"/>
          <w:szCs w:val="22"/>
        </w:rPr>
        <w:t>4</w:t>
      </w:r>
      <w:r w:rsidRPr="00E51EEE">
        <w:rPr>
          <w:sz w:val="22"/>
          <w:szCs w:val="22"/>
        </w:rPr>
        <w:t xml:space="preserve">. </w:t>
      </w:r>
      <w:r w:rsidR="00190E15" w:rsidRPr="00E51EEE">
        <w:rPr>
          <w:sz w:val="22"/>
          <w:szCs w:val="22"/>
        </w:rPr>
        <w:t xml:space="preserve">Keywords distinguishing countries </w:t>
      </w:r>
      <w:r w:rsidR="001328DC" w:rsidRPr="00E51EEE">
        <w:rPr>
          <w:sz w:val="22"/>
          <w:szCs w:val="22"/>
        </w:rPr>
        <w:t>with</w:t>
      </w:r>
      <w:r w:rsidR="00190E15" w:rsidRPr="00E51EEE">
        <w:rPr>
          <w:sz w:val="22"/>
          <w:szCs w:val="22"/>
        </w:rPr>
        <w:t xml:space="preserve"> low health</w:t>
      </w:r>
      <w:r w:rsidR="00967565" w:rsidRPr="00E51EEE">
        <w:rPr>
          <w:sz w:val="22"/>
          <w:szCs w:val="22"/>
        </w:rPr>
        <w:t xml:space="preserve"> engagement</w:t>
      </w:r>
      <w:r w:rsidR="00190E15" w:rsidRPr="00E51EEE">
        <w:rPr>
          <w:sz w:val="22"/>
          <w:szCs w:val="22"/>
        </w:rPr>
        <w:t xml:space="preserve"> and those </w:t>
      </w:r>
      <w:r w:rsidR="001328DC" w:rsidRPr="00E51EEE">
        <w:rPr>
          <w:sz w:val="22"/>
          <w:szCs w:val="22"/>
        </w:rPr>
        <w:t>with</w:t>
      </w:r>
      <w:r w:rsidR="00190E15" w:rsidRPr="00E51EEE">
        <w:rPr>
          <w:sz w:val="22"/>
          <w:szCs w:val="22"/>
        </w:rPr>
        <w:t xml:space="preserve"> higher </w:t>
      </w:r>
      <w:r w:rsidR="00C949DB" w:rsidRPr="00E51EEE">
        <w:rPr>
          <w:sz w:val="22"/>
          <w:szCs w:val="22"/>
        </w:rPr>
        <w:t xml:space="preserve">health </w:t>
      </w:r>
      <w:r w:rsidR="00190E15" w:rsidRPr="00E51EEE">
        <w:rPr>
          <w:sz w:val="22"/>
          <w:szCs w:val="22"/>
        </w:rPr>
        <w:t xml:space="preserve">engagement. Bigram of statistically distinct words in NDCs </w:t>
      </w:r>
      <w:r w:rsidR="00C67152" w:rsidRPr="00E51EEE">
        <w:rPr>
          <w:sz w:val="22"/>
          <w:szCs w:val="22"/>
        </w:rPr>
        <w:t>for</w:t>
      </w:r>
      <w:r w:rsidR="00C949DB" w:rsidRPr="00E51EEE">
        <w:rPr>
          <w:sz w:val="22"/>
          <w:szCs w:val="22"/>
        </w:rPr>
        <w:t xml:space="preserve"> </w:t>
      </w:r>
      <w:r w:rsidR="00190E15" w:rsidRPr="00E51EEE">
        <w:rPr>
          <w:sz w:val="22"/>
          <w:szCs w:val="22"/>
        </w:rPr>
        <w:t>HES</w:t>
      </w:r>
      <w:r w:rsidR="00C949DB" w:rsidRPr="00E51EEE">
        <w:rPr>
          <w:sz w:val="22"/>
          <w:szCs w:val="22"/>
        </w:rPr>
        <w:t xml:space="preserve"> 0-1</w:t>
      </w:r>
      <w:r w:rsidR="00190E15" w:rsidRPr="00E51EEE">
        <w:rPr>
          <w:sz w:val="22"/>
          <w:szCs w:val="22"/>
        </w:rPr>
        <w:t xml:space="preserve"> (blue) </w:t>
      </w:r>
      <w:r w:rsidR="00C67152" w:rsidRPr="00E51EEE">
        <w:rPr>
          <w:sz w:val="22"/>
          <w:szCs w:val="22"/>
        </w:rPr>
        <w:t>vs. HES</w:t>
      </w:r>
      <w:r w:rsidR="00190E15" w:rsidRPr="00E51EEE">
        <w:rPr>
          <w:sz w:val="22"/>
          <w:szCs w:val="22"/>
        </w:rPr>
        <w:t xml:space="preserve"> 2-5 (red).</w:t>
      </w:r>
    </w:p>
    <w:p w14:paraId="5B56FE75" w14:textId="6C8DACB3" w:rsidR="00D818E6" w:rsidRPr="00FB5DD7" w:rsidRDefault="00D818E6" w:rsidP="007547FC">
      <w:pPr>
        <w:jc w:val="left"/>
      </w:pPr>
    </w:p>
    <w:p w14:paraId="0F084166" w14:textId="6476FDA2" w:rsidR="000F0515" w:rsidRPr="000F0515" w:rsidRDefault="00F5309D" w:rsidP="00FF062F">
      <w:pPr>
        <w:jc w:val="both"/>
      </w:pPr>
      <w:r>
        <w:t xml:space="preserve">The keywords identified </w:t>
      </w:r>
      <w:r w:rsidR="00541CAA">
        <w:t xml:space="preserve">in the </w:t>
      </w:r>
      <w:proofErr w:type="spellStart"/>
      <w:r w:rsidR="00541CAA" w:rsidRPr="00C36C34">
        <w:rPr>
          <w:i/>
          <w:iCs/>
        </w:rPr>
        <w:t>keyness</w:t>
      </w:r>
      <w:proofErr w:type="spellEnd"/>
      <w:r w:rsidR="00541CAA">
        <w:t xml:space="preserve"> analysis </w:t>
      </w:r>
      <w:r>
        <w:t xml:space="preserve">are closely </w:t>
      </w:r>
      <w:r w:rsidR="0052019E">
        <w:t>related</w:t>
      </w:r>
      <w:r>
        <w:t xml:space="preserve"> to</w:t>
      </w:r>
      <w:r w:rsidR="00AC3448">
        <w:t xml:space="preserve"> issues </w:t>
      </w:r>
      <w:r w:rsidR="00125A37">
        <w:t>included in the Paris Agreement.</w:t>
      </w:r>
      <w:r w:rsidR="00610CA6">
        <w:rPr>
          <w:rStyle w:val="EndnoteReference"/>
        </w:rPr>
        <w:endnoteReference w:id="38"/>
      </w:r>
      <w:r w:rsidR="00125A37">
        <w:t xml:space="preserve"> However, </w:t>
      </w:r>
      <w:r w:rsidR="0052019E">
        <w:t xml:space="preserve">there are significant differences </w:t>
      </w:r>
      <w:r w:rsidR="00541CAA">
        <w:t xml:space="preserve">in </w:t>
      </w:r>
      <w:r w:rsidR="0052019E">
        <w:t xml:space="preserve">the aspects of the Paris Agreement that countries with lower health engagement emphasise in their NDCs compared to those with </w:t>
      </w:r>
      <w:r w:rsidR="00541CAA">
        <w:t xml:space="preserve">higher </w:t>
      </w:r>
      <w:r w:rsidR="0052019E">
        <w:t xml:space="preserve">engagement. </w:t>
      </w:r>
      <w:r w:rsidR="009261DA" w:rsidRPr="00FF062F">
        <w:t xml:space="preserve">The </w:t>
      </w:r>
      <w:r w:rsidR="007A5CBF">
        <w:t xml:space="preserve">results indicate </w:t>
      </w:r>
      <w:r w:rsidR="00FF062F" w:rsidRPr="00FF062F">
        <w:t>that</w:t>
      </w:r>
      <w:r w:rsidR="00FF062F">
        <w:t xml:space="preserve"> NDCs with no or low health engagement have </w:t>
      </w:r>
      <w:r w:rsidR="00693697">
        <w:t>a</w:t>
      </w:r>
      <w:r w:rsidR="00FF062F">
        <w:t xml:space="preserve"> narrower focus</w:t>
      </w:r>
      <w:r w:rsidR="00125A37">
        <w:t xml:space="preserve"> </w:t>
      </w:r>
      <w:r w:rsidR="00FF062F">
        <w:t>on emissions, energy use, and the UNFCCC framework itself.</w:t>
      </w:r>
      <w:r w:rsidR="000F0515">
        <w:t xml:space="preserve"> This can be seen in Figure </w:t>
      </w:r>
      <w:r w:rsidR="003058F5">
        <w:t xml:space="preserve">4 (and in </w:t>
      </w:r>
      <w:r w:rsidR="007B6B7B">
        <w:t xml:space="preserve">the additional analysis provided in the </w:t>
      </w:r>
      <w:r w:rsidR="003058F5">
        <w:t>appendix p</w:t>
      </w:r>
      <w:r w:rsidR="000E2C3E">
        <w:t>p.15-16</w:t>
      </w:r>
      <w:r w:rsidR="003058F5">
        <w:t xml:space="preserve">; Figures </w:t>
      </w:r>
      <w:r w:rsidR="000E2C3E">
        <w:t>S19-S21</w:t>
      </w:r>
      <w:r w:rsidR="003058F5">
        <w:t>)</w:t>
      </w:r>
      <w:r w:rsidR="000F0515">
        <w:t xml:space="preserve"> with terms such as </w:t>
      </w:r>
      <w:proofErr w:type="spellStart"/>
      <w:r w:rsidR="000F0515">
        <w:rPr>
          <w:i/>
          <w:iCs/>
        </w:rPr>
        <w:t>greenhouse_gas</w:t>
      </w:r>
      <w:proofErr w:type="spellEnd"/>
      <w:r w:rsidR="00702B95">
        <w:t>,</w:t>
      </w:r>
      <w:r w:rsidR="00FD14BA">
        <w:t xml:space="preserve"> </w:t>
      </w:r>
      <w:proofErr w:type="spellStart"/>
      <w:r w:rsidR="00FD14BA">
        <w:rPr>
          <w:i/>
          <w:iCs/>
        </w:rPr>
        <w:t>emissions_level</w:t>
      </w:r>
      <w:proofErr w:type="spellEnd"/>
      <w:r w:rsidR="00FD14BA">
        <w:t>,</w:t>
      </w:r>
      <w:r w:rsidR="00702B95">
        <w:t xml:space="preserve"> </w:t>
      </w:r>
      <w:proofErr w:type="spellStart"/>
      <w:r w:rsidR="00702B95">
        <w:rPr>
          <w:i/>
          <w:iCs/>
        </w:rPr>
        <w:t>base_scenario</w:t>
      </w:r>
      <w:proofErr w:type="spellEnd"/>
      <w:r w:rsidR="000F6556">
        <w:rPr>
          <w:i/>
          <w:iCs/>
        </w:rPr>
        <w:t>,</w:t>
      </w:r>
      <w:r w:rsidR="00702B95">
        <w:t xml:space="preserve"> and </w:t>
      </w:r>
      <w:proofErr w:type="spellStart"/>
      <w:r w:rsidR="00702B95">
        <w:rPr>
          <w:i/>
          <w:iCs/>
        </w:rPr>
        <w:t>energy_consumption</w:t>
      </w:r>
      <w:proofErr w:type="spellEnd"/>
      <w:r w:rsidR="00702B95">
        <w:t xml:space="preserve">. The emphasis on the framework around the Paris Agreement is demonstrated by terms such as </w:t>
      </w:r>
      <w:proofErr w:type="spellStart"/>
      <w:r w:rsidR="00CC091B">
        <w:rPr>
          <w:i/>
          <w:iCs/>
        </w:rPr>
        <w:t>level</w:t>
      </w:r>
      <w:r w:rsidR="00702B95">
        <w:rPr>
          <w:i/>
          <w:iCs/>
        </w:rPr>
        <w:t>_</w:t>
      </w:r>
      <w:r w:rsidR="00CC091B">
        <w:rPr>
          <w:i/>
          <w:iCs/>
        </w:rPr>
        <w:t>conference</w:t>
      </w:r>
      <w:proofErr w:type="spellEnd"/>
      <w:r w:rsidR="000F6556">
        <w:t xml:space="preserve"> and</w:t>
      </w:r>
      <w:r w:rsidR="00702B95">
        <w:t xml:space="preserve"> </w:t>
      </w:r>
      <w:proofErr w:type="spellStart"/>
      <w:r w:rsidR="00702B95">
        <w:rPr>
          <w:i/>
          <w:iCs/>
        </w:rPr>
        <w:t>kyoto_protocol</w:t>
      </w:r>
      <w:proofErr w:type="spellEnd"/>
      <w:r w:rsidR="00702B95">
        <w:t xml:space="preserve">. </w:t>
      </w:r>
      <w:r w:rsidR="001961C8">
        <w:t>T</w:t>
      </w:r>
      <w:r w:rsidR="00FF062F">
        <w:t>hese NDCs also m</w:t>
      </w:r>
      <w:r w:rsidR="00702B95">
        <w:t>ake greater</w:t>
      </w:r>
      <w:r w:rsidR="00FF062F">
        <w:t xml:space="preserve"> reference to economic </w:t>
      </w:r>
      <w:r w:rsidR="00702B95">
        <w:t>factors</w:t>
      </w:r>
      <w:r w:rsidR="000F6556">
        <w:t xml:space="preserve"> (</w:t>
      </w:r>
      <w:proofErr w:type="gramStart"/>
      <w:r w:rsidR="000F6556">
        <w:t>e.g.</w:t>
      </w:r>
      <w:proofErr w:type="gramEnd"/>
      <w:r w:rsidR="000F0515">
        <w:t xml:space="preserve"> </w:t>
      </w:r>
      <w:proofErr w:type="spellStart"/>
      <w:r w:rsidR="000F0515">
        <w:rPr>
          <w:i/>
          <w:iCs/>
        </w:rPr>
        <w:t>economic_diversification</w:t>
      </w:r>
      <w:proofErr w:type="spellEnd"/>
      <w:r w:rsidR="000F0515">
        <w:t xml:space="preserve"> and </w:t>
      </w:r>
      <w:proofErr w:type="spellStart"/>
      <w:r w:rsidR="000F0515">
        <w:rPr>
          <w:i/>
          <w:iCs/>
        </w:rPr>
        <w:t>gdp_g</w:t>
      </w:r>
      <w:r w:rsidR="000F6556">
        <w:rPr>
          <w:i/>
          <w:iCs/>
        </w:rPr>
        <w:t>rowth</w:t>
      </w:r>
      <w:proofErr w:type="spellEnd"/>
      <w:r w:rsidR="000F6556">
        <w:t>)</w:t>
      </w:r>
      <w:r w:rsidR="000F0515">
        <w:t xml:space="preserve">. </w:t>
      </w:r>
    </w:p>
    <w:p w14:paraId="5E2CC793" w14:textId="408A624D" w:rsidR="00C949DB" w:rsidRDefault="00FF062F" w:rsidP="00823BF0">
      <w:pPr>
        <w:jc w:val="both"/>
      </w:pPr>
      <w:r>
        <w:t>In contrast, NDCs with higher health engagement tend to have a much broader focus on</w:t>
      </w:r>
      <w:r w:rsidR="00125A37">
        <w:t xml:space="preserve"> issues related to</w:t>
      </w:r>
      <w:r>
        <w:t xml:space="preserve"> climate change mitigation and adaptation</w:t>
      </w:r>
      <w:r w:rsidR="00125A37">
        <w:t xml:space="preserve"> included in the Paris Agreement</w:t>
      </w:r>
      <w:r>
        <w:t>.</w:t>
      </w:r>
      <w:r w:rsidR="00C35BD7">
        <w:t xml:space="preserve"> This includes, for example, </w:t>
      </w:r>
      <w:proofErr w:type="spellStart"/>
      <w:r w:rsidR="00C35BD7">
        <w:rPr>
          <w:i/>
          <w:iCs/>
        </w:rPr>
        <w:t>climate_adaptation</w:t>
      </w:r>
      <w:proofErr w:type="spellEnd"/>
      <w:r w:rsidR="00C35BD7">
        <w:t xml:space="preserve">, </w:t>
      </w:r>
      <w:proofErr w:type="spellStart"/>
      <w:r w:rsidR="00C35BD7">
        <w:rPr>
          <w:i/>
          <w:iCs/>
        </w:rPr>
        <w:t>climate</w:t>
      </w:r>
      <w:r w:rsidR="00C35BD7">
        <w:t>_</w:t>
      </w:r>
      <w:r w:rsidR="00C35BD7">
        <w:rPr>
          <w:i/>
          <w:iCs/>
        </w:rPr>
        <w:t>resilient</w:t>
      </w:r>
      <w:proofErr w:type="spellEnd"/>
      <w:r w:rsidR="00C35BD7">
        <w:t xml:space="preserve">, </w:t>
      </w:r>
      <w:proofErr w:type="spellStart"/>
      <w:r w:rsidR="00C35BD7">
        <w:rPr>
          <w:i/>
          <w:iCs/>
        </w:rPr>
        <w:t>mitigation_adaptation</w:t>
      </w:r>
      <w:proofErr w:type="spellEnd"/>
      <w:r w:rsidR="00C35BD7">
        <w:t>. There</w:t>
      </w:r>
      <w:r w:rsidR="00651815">
        <w:t xml:space="preserve"> is also more reference to </w:t>
      </w:r>
      <w:r w:rsidR="005B03EA">
        <w:t xml:space="preserve">health-related domains </w:t>
      </w:r>
      <w:r w:rsidR="00651815">
        <w:t xml:space="preserve">impacted by climate change. </w:t>
      </w:r>
      <w:r w:rsidR="005B03EA">
        <w:t>Thus, i</w:t>
      </w:r>
      <w:r w:rsidR="00C35BD7">
        <w:t>n addition to</w:t>
      </w:r>
      <w:r w:rsidR="00651815">
        <w:t xml:space="preserve"> health</w:t>
      </w:r>
      <w:r w:rsidR="00C35BD7">
        <w:t xml:space="preserve">, </w:t>
      </w:r>
      <w:r w:rsidR="00651815">
        <w:t>we find keywords linked to</w:t>
      </w:r>
      <w:r w:rsidR="00C35BD7">
        <w:t xml:space="preserve"> agriculture and food (</w:t>
      </w:r>
      <w:proofErr w:type="gramStart"/>
      <w:r w:rsidR="00C35BD7">
        <w:t>e.g.</w:t>
      </w:r>
      <w:proofErr w:type="gramEnd"/>
      <w:r w:rsidR="00C35BD7">
        <w:t xml:space="preserve"> </w:t>
      </w:r>
      <w:proofErr w:type="spellStart"/>
      <w:r w:rsidR="003D098A">
        <w:rPr>
          <w:i/>
          <w:iCs/>
        </w:rPr>
        <w:t>smart_agriculture</w:t>
      </w:r>
      <w:proofErr w:type="spellEnd"/>
      <w:r w:rsidR="000F6556">
        <w:t xml:space="preserve"> and</w:t>
      </w:r>
      <w:r w:rsidR="003D098A">
        <w:t xml:space="preserve"> </w:t>
      </w:r>
      <w:proofErr w:type="spellStart"/>
      <w:r w:rsidR="003D098A">
        <w:rPr>
          <w:i/>
          <w:iCs/>
        </w:rPr>
        <w:t>food_security</w:t>
      </w:r>
      <w:proofErr w:type="spellEnd"/>
      <w:r w:rsidR="003D098A" w:rsidRPr="003D098A">
        <w:t>)</w:t>
      </w:r>
      <w:r w:rsidR="003D098A">
        <w:t xml:space="preserve">, </w:t>
      </w:r>
      <w:r w:rsidR="0086039A">
        <w:t>water and wast</w:t>
      </w:r>
      <w:r w:rsidR="00557426">
        <w:t>e</w:t>
      </w:r>
      <w:r w:rsidR="0086039A">
        <w:t>,</w:t>
      </w:r>
      <w:r w:rsidR="00E87763">
        <w:t xml:space="preserve"> and</w:t>
      </w:r>
      <w:r w:rsidR="00651815">
        <w:t xml:space="preserve"> </w:t>
      </w:r>
      <w:r w:rsidR="00C16538">
        <w:t>references to</w:t>
      </w:r>
      <w:r w:rsidR="0086039A">
        <w:t xml:space="preserve"> </w:t>
      </w:r>
      <w:proofErr w:type="spellStart"/>
      <w:r w:rsidR="0086039A">
        <w:rPr>
          <w:i/>
          <w:iCs/>
        </w:rPr>
        <w:t>rural_electrification</w:t>
      </w:r>
      <w:proofErr w:type="spellEnd"/>
      <w:r w:rsidR="007B7F19">
        <w:t>,</w:t>
      </w:r>
      <w:r w:rsidR="0086039A">
        <w:t xml:space="preserve"> </w:t>
      </w:r>
      <w:proofErr w:type="spellStart"/>
      <w:r w:rsidR="0086039A">
        <w:rPr>
          <w:i/>
          <w:iCs/>
        </w:rPr>
        <w:t>disaster_ris</w:t>
      </w:r>
      <w:r w:rsidR="000F6556">
        <w:rPr>
          <w:i/>
          <w:iCs/>
        </w:rPr>
        <w:t>k</w:t>
      </w:r>
      <w:proofErr w:type="spellEnd"/>
      <w:r w:rsidR="0086039A">
        <w:t xml:space="preserve">, and </w:t>
      </w:r>
      <w:proofErr w:type="spellStart"/>
      <w:r w:rsidR="0086039A">
        <w:rPr>
          <w:i/>
          <w:iCs/>
        </w:rPr>
        <w:t>urban_development</w:t>
      </w:r>
      <w:proofErr w:type="spellEnd"/>
      <w:r w:rsidR="0086039A">
        <w:t xml:space="preserve">. </w:t>
      </w:r>
      <w:r w:rsidR="00C16538">
        <w:t xml:space="preserve">An important feature of NDCs with higher health engagement is the </w:t>
      </w:r>
      <w:r w:rsidR="00C16538">
        <w:lastRenderedPageBreak/>
        <w:t>emp</w:t>
      </w:r>
      <w:r w:rsidR="00BD57B9">
        <w:t>hasis</w:t>
      </w:r>
      <w:r w:rsidR="00C16538">
        <w:t xml:space="preserve"> on </w:t>
      </w:r>
      <w:r w:rsidR="00BD57B9">
        <w:t>international finance</w:t>
      </w:r>
      <w:r w:rsidR="00610CA6">
        <w:t xml:space="preserve"> and technology transfer,</w:t>
      </w:r>
      <w:r w:rsidR="00BD57B9">
        <w:t xml:space="preserve"> included in Articles 9-11 of the Paris Agreement. This</w:t>
      </w:r>
      <w:r w:rsidR="0086039A">
        <w:t xml:space="preserve"> can be seen by terms such as </w:t>
      </w:r>
      <w:proofErr w:type="spellStart"/>
      <w:r w:rsidR="0086039A">
        <w:rPr>
          <w:i/>
          <w:iCs/>
        </w:rPr>
        <w:t>finance_building</w:t>
      </w:r>
      <w:proofErr w:type="spellEnd"/>
      <w:r w:rsidR="0086039A">
        <w:t xml:space="preserve">, </w:t>
      </w:r>
      <w:proofErr w:type="spellStart"/>
      <w:r w:rsidR="0086039A">
        <w:rPr>
          <w:i/>
          <w:iCs/>
        </w:rPr>
        <w:t>technology_building</w:t>
      </w:r>
      <w:proofErr w:type="spellEnd"/>
      <w:r w:rsidR="0086039A">
        <w:t xml:space="preserve">, and </w:t>
      </w:r>
      <w:proofErr w:type="spellStart"/>
      <w:r w:rsidR="0086039A">
        <w:rPr>
          <w:i/>
          <w:iCs/>
        </w:rPr>
        <w:t>conditional</w:t>
      </w:r>
      <w:r w:rsidR="0086039A">
        <w:t>_</w:t>
      </w:r>
      <w:r w:rsidR="0086039A">
        <w:rPr>
          <w:i/>
          <w:iCs/>
        </w:rPr>
        <w:t>unconditional</w:t>
      </w:r>
      <w:proofErr w:type="spellEnd"/>
      <w:r w:rsidR="005F3B1C">
        <w:t xml:space="preserve"> (referring</w:t>
      </w:r>
      <w:r w:rsidR="0086039A">
        <w:t xml:space="preserve"> to</w:t>
      </w:r>
      <w:r w:rsidR="005F3B1C">
        <w:t xml:space="preserve"> plans</w:t>
      </w:r>
      <w:r w:rsidR="0086039A">
        <w:t xml:space="preserve"> that are conditional on external funding</w:t>
      </w:r>
      <w:r w:rsidR="005F3B1C">
        <w:t>)</w:t>
      </w:r>
      <w:r w:rsidR="0086039A">
        <w:t xml:space="preserve">. </w:t>
      </w:r>
    </w:p>
    <w:p w14:paraId="21E6E266" w14:textId="31882238" w:rsidR="00C949DB" w:rsidRDefault="00C949DB" w:rsidP="007547FC">
      <w:pPr>
        <w:jc w:val="left"/>
      </w:pPr>
    </w:p>
    <w:p w14:paraId="767E3C77" w14:textId="5595E50C" w:rsidR="00B1011A" w:rsidRDefault="00B1011A" w:rsidP="007547FC">
      <w:pPr>
        <w:jc w:val="left"/>
      </w:pPr>
      <w:r w:rsidRPr="00B1011A">
        <w:rPr>
          <w:b/>
          <w:bCs/>
        </w:rPr>
        <w:t>Discussion</w:t>
      </w:r>
    </w:p>
    <w:p w14:paraId="1035075A" w14:textId="71BE4F16" w:rsidR="00826936" w:rsidRDefault="00D64351" w:rsidP="0052019E">
      <w:pPr>
        <w:jc w:val="both"/>
      </w:pPr>
      <w:r>
        <w:t>Our analysis has shown that</w:t>
      </w:r>
      <w:r w:rsidR="00541CAA">
        <w:t>,</w:t>
      </w:r>
      <w:r>
        <w:t xml:space="preserve"> </w:t>
      </w:r>
      <w:r w:rsidR="00E27065">
        <w:t xml:space="preserve">while </w:t>
      </w:r>
      <w:r w:rsidR="00063E2B">
        <w:t xml:space="preserve">the majority of NDCs mention health, there is considerable variation in the types and depth of this engagement. </w:t>
      </w:r>
      <w:r w:rsidR="00826936">
        <w:t>Furthermore, we find th</w:t>
      </w:r>
      <w:r w:rsidR="0052019E">
        <w:t xml:space="preserve">at this variation in countries’ engagement with health is much greater than for other topics, such as </w:t>
      </w:r>
      <w:r w:rsidR="0047503E">
        <w:t xml:space="preserve">the </w:t>
      </w:r>
      <w:r w:rsidR="0052019E">
        <w:t>econom</w:t>
      </w:r>
      <w:r w:rsidR="0047503E">
        <w:t>y</w:t>
      </w:r>
      <w:r w:rsidR="0052019E">
        <w:t xml:space="preserve"> or energy. </w:t>
      </w:r>
      <w:r w:rsidR="00D23270">
        <w:t xml:space="preserve">This variation is </w:t>
      </w:r>
      <w:r w:rsidR="005F3B1C">
        <w:t xml:space="preserve">largely </w:t>
      </w:r>
      <w:r w:rsidR="00BA0B16">
        <w:t xml:space="preserve">explained by </w:t>
      </w:r>
      <w:r w:rsidR="00D23270">
        <w:t xml:space="preserve">differences in countries’ income levels, whereby poor </w:t>
      </w:r>
      <w:r w:rsidR="00823BF0">
        <w:t xml:space="preserve">low-emitting </w:t>
      </w:r>
      <w:r w:rsidR="00D23270">
        <w:t xml:space="preserve">countries, particularly the SIDS, </w:t>
      </w:r>
      <w:r w:rsidR="00823BF0">
        <w:t xml:space="preserve">engage much more with health compared </w:t>
      </w:r>
      <w:r w:rsidR="00D23270">
        <w:t xml:space="preserve">to richer </w:t>
      </w:r>
      <w:r w:rsidR="00823BF0">
        <w:t xml:space="preserve">high-emitting </w:t>
      </w:r>
      <w:r w:rsidR="00D23270">
        <w:t xml:space="preserve">countries, </w:t>
      </w:r>
      <w:r w:rsidR="005F3B1C">
        <w:t>who make little or no mention of</w:t>
      </w:r>
      <w:r w:rsidR="00D23270">
        <w:t xml:space="preserve"> health in their NDCs. </w:t>
      </w:r>
      <w:r w:rsidR="005F3B1C" w:rsidRPr="001A398B">
        <w:t>Furthermore</w:t>
      </w:r>
      <w:r w:rsidR="00D23270" w:rsidRPr="001A398B">
        <w:t>, we find some</w:t>
      </w:r>
      <w:r w:rsidR="003C61ED" w:rsidRPr="001A398B">
        <w:t xml:space="preserve"> </w:t>
      </w:r>
      <w:r w:rsidR="00D23270" w:rsidRPr="001A398B">
        <w:t xml:space="preserve">evidence that those countries more exposed to the effects of climate change </w:t>
      </w:r>
      <w:r w:rsidR="0052019E" w:rsidRPr="001A398B">
        <w:t>(</w:t>
      </w:r>
      <w:proofErr w:type="gramStart"/>
      <w:r w:rsidR="0052019E" w:rsidRPr="001A398B">
        <w:t>e.g.</w:t>
      </w:r>
      <w:proofErr w:type="gramEnd"/>
      <w:r w:rsidR="00826936" w:rsidRPr="001A398B">
        <w:t xml:space="preserve"> with populations experiencing</w:t>
      </w:r>
      <w:r w:rsidR="00541CAA" w:rsidRPr="001A398B">
        <w:t xml:space="preserve"> greater</w:t>
      </w:r>
      <w:r w:rsidR="00D23270" w:rsidRPr="001A398B">
        <w:t xml:space="preserve"> temperature change</w:t>
      </w:r>
      <w:r w:rsidR="0052019E" w:rsidRPr="001A398B">
        <w:t>)</w:t>
      </w:r>
      <w:r w:rsidR="006B7166">
        <w:t xml:space="preserve"> engage more with health, while</w:t>
      </w:r>
      <w:r w:rsidR="0052019E" w:rsidRPr="001A398B">
        <w:t xml:space="preserve"> </w:t>
      </w:r>
      <w:r w:rsidR="006B7166">
        <w:t>those</w:t>
      </w:r>
      <w:r w:rsidR="0052019E" w:rsidRPr="001A398B">
        <w:t xml:space="preserve"> receiving higher coal rents</w:t>
      </w:r>
      <w:r w:rsidR="00826936" w:rsidRPr="001A398B">
        <w:t xml:space="preserve"> engage less with health in their NDCs</w:t>
      </w:r>
      <w:r w:rsidR="00826936">
        <w:t xml:space="preserve">. </w:t>
      </w:r>
    </w:p>
    <w:p w14:paraId="2ABD9267" w14:textId="16D815D5" w:rsidR="00766224" w:rsidRDefault="00766224" w:rsidP="00CD401E">
      <w:pPr>
        <w:jc w:val="both"/>
      </w:pPr>
      <w:r>
        <w:t>We also find that these</w:t>
      </w:r>
      <w:r w:rsidR="00826936">
        <w:t xml:space="preserve"> differences</w:t>
      </w:r>
      <w:r w:rsidR="005F3B1C">
        <w:t xml:space="preserve"> in</w:t>
      </w:r>
      <w:r w:rsidR="00826936">
        <w:t xml:space="preserve"> </w:t>
      </w:r>
      <w:r w:rsidR="002614BA">
        <w:t>health engagement</w:t>
      </w:r>
      <w:r>
        <w:t xml:space="preserve"> ar</w:t>
      </w:r>
      <w:r w:rsidR="005F3B1C">
        <w:t>e</w:t>
      </w:r>
      <w:r>
        <w:t xml:space="preserve"> grounded</w:t>
      </w:r>
      <w:r w:rsidR="005F3B1C">
        <w:t xml:space="preserve"> more broadly</w:t>
      </w:r>
      <w:r>
        <w:t xml:space="preserve"> in different approaches </w:t>
      </w:r>
      <w:r w:rsidR="005F3B1C">
        <w:t>to</w:t>
      </w:r>
      <w:r>
        <w:t xml:space="preserve"> the NDCs.</w:t>
      </w:r>
      <w:r w:rsidR="003C61ED">
        <w:t xml:space="preserve"> </w:t>
      </w:r>
      <w:r w:rsidR="00D23270">
        <w:t>Those countries that engage less with health in their NDCs tend to have a narrow</w:t>
      </w:r>
      <w:r w:rsidR="00A31AF3">
        <w:t>er</w:t>
      </w:r>
      <w:r w:rsidR="00D23270">
        <w:t xml:space="preserve"> focus on the objectives set out in the Paris Agreement, </w:t>
      </w:r>
      <w:r w:rsidR="002614BA">
        <w:t>and</w:t>
      </w:r>
      <w:r w:rsidR="00D23270">
        <w:t xml:space="preserve"> a more economic-centred </w:t>
      </w:r>
      <w:r w:rsidR="008A277D">
        <w:t>approach</w:t>
      </w:r>
      <w:r w:rsidR="00D23270">
        <w:t>. In contrast, countries that engage more with health in their NDCs</w:t>
      </w:r>
      <w:r>
        <w:t xml:space="preserve"> </w:t>
      </w:r>
      <w:r w:rsidR="000E1DB0">
        <w:t xml:space="preserve">embrace the Paris Agreement’s </w:t>
      </w:r>
      <w:r w:rsidRPr="000A78C2">
        <w:t xml:space="preserve">a </w:t>
      </w:r>
      <w:r w:rsidR="002614BA" w:rsidRPr="000A78C2">
        <w:t>broader</w:t>
      </w:r>
      <w:r w:rsidRPr="000A78C2">
        <w:t xml:space="preserve"> </w:t>
      </w:r>
      <w:r w:rsidR="000A78C2" w:rsidRPr="000A78C2">
        <w:t>societal perspective on climate impacts,</w:t>
      </w:r>
      <w:r w:rsidR="000A78C2">
        <w:t xml:space="preserve"> </w:t>
      </w:r>
      <w:r>
        <w:t>mitigation and adaptation</w:t>
      </w:r>
      <w:r w:rsidR="002614BA">
        <w:t>. They also emphasise the need for</w:t>
      </w:r>
      <w:r>
        <w:t xml:space="preserve"> international funding and technology transfers in meeting the goals of the Paris Agreement.</w:t>
      </w:r>
      <w:r w:rsidR="009C0E6B">
        <w:t xml:space="preserve"> </w:t>
      </w:r>
      <w:r w:rsidR="002B4B12">
        <w:t xml:space="preserve">These differences </w:t>
      </w:r>
      <w:r w:rsidR="009C0E6B">
        <w:t xml:space="preserve">are consistent with differences noted elsewhere in the weight that higher and lower income countries give </w:t>
      </w:r>
      <w:r w:rsidR="005D1C6E">
        <w:t xml:space="preserve">to </w:t>
      </w:r>
      <w:r w:rsidR="009C0E6B">
        <w:t>adaptation</w:t>
      </w:r>
      <w:r w:rsidR="005D1C6E">
        <w:t xml:space="preserve">, </w:t>
      </w:r>
      <w:r w:rsidR="005C68BF">
        <w:t xml:space="preserve">sustainable development and </w:t>
      </w:r>
      <w:r w:rsidR="005D1C6E">
        <w:t>climate finance</w:t>
      </w:r>
      <w:r w:rsidR="009C0E6B">
        <w:t xml:space="preserve"> </w:t>
      </w:r>
      <w:r w:rsidR="003C5898">
        <w:t>in their NDCs</w:t>
      </w:r>
      <w:r w:rsidR="005D1C6E">
        <w:t>.</w:t>
      </w:r>
      <w:r w:rsidR="002D167D">
        <w:rPr>
          <w:rStyle w:val="EndnoteReference"/>
        </w:rPr>
        <w:endnoteReference w:id="39"/>
      </w:r>
      <w:r w:rsidR="002D167D" w:rsidRPr="00621F9C">
        <w:rPr>
          <w:vertAlign w:val="superscript"/>
        </w:rPr>
        <w:t>,</w:t>
      </w:r>
      <w:r w:rsidR="009C0E6B" w:rsidRPr="00621F9C">
        <w:rPr>
          <w:vertAlign w:val="superscript"/>
        </w:rPr>
        <w:t xml:space="preserve"> </w:t>
      </w:r>
      <w:r w:rsidR="002D167D">
        <w:rPr>
          <w:rStyle w:val="EndnoteReference"/>
        </w:rPr>
        <w:endnoteReference w:id="40"/>
      </w:r>
      <w:r w:rsidR="002D167D">
        <w:rPr>
          <w:vertAlign w:val="superscript"/>
        </w:rPr>
        <w:t>,</w:t>
      </w:r>
      <w:r w:rsidR="002D167D">
        <w:rPr>
          <w:rStyle w:val="EndnoteReference"/>
        </w:rPr>
        <w:endnoteReference w:id="41"/>
      </w:r>
    </w:p>
    <w:p w14:paraId="625ABAA6" w14:textId="6928C4DC" w:rsidR="00CC044A" w:rsidRDefault="000616E4" w:rsidP="00963604">
      <w:pPr>
        <w:jc w:val="both"/>
      </w:pPr>
      <w:r>
        <w:t>Our study add</w:t>
      </w:r>
      <w:r w:rsidR="007574D7">
        <w:t>s</w:t>
      </w:r>
      <w:r>
        <w:t xml:space="preserve"> a health perspective to these earlier studies. </w:t>
      </w:r>
      <w:r w:rsidR="003C5898">
        <w:t>As an issue that resonates strongly with the public, references to health in the NDCs could strengthen commitment to climate action at national and global level. However, our study suggests that</w:t>
      </w:r>
      <w:r w:rsidR="00C31128">
        <w:t xml:space="preserve"> </w:t>
      </w:r>
      <w:r w:rsidR="00766224">
        <w:t xml:space="preserve">health is being mobilised </w:t>
      </w:r>
      <w:r w:rsidR="00541CAA">
        <w:t xml:space="preserve">in ways that reflect </w:t>
      </w:r>
      <w:r w:rsidR="00766224">
        <w:t xml:space="preserve">existing divides in global climate politics. </w:t>
      </w:r>
      <w:r w:rsidR="000C0062">
        <w:t xml:space="preserve">It is the poorest and most vulnerable countries that emphasise the health </w:t>
      </w:r>
      <w:r w:rsidR="00541CAA">
        <w:t xml:space="preserve">dimensions of climate change </w:t>
      </w:r>
      <w:r w:rsidR="000C0062">
        <w:t>in their NDCs</w:t>
      </w:r>
      <w:r w:rsidR="00D4032A">
        <w:t xml:space="preserve"> –</w:t>
      </w:r>
      <w:r w:rsidR="000C0062">
        <w:t xml:space="preserve"> and</w:t>
      </w:r>
      <w:r w:rsidR="00D4032A">
        <w:t xml:space="preserve"> </w:t>
      </w:r>
      <w:r w:rsidR="00541CAA">
        <w:t xml:space="preserve">do so </w:t>
      </w:r>
      <w:r w:rsidR="000C0062">
        <w:t>in part</w:t>
      </w:r>
      <w:r w:rsidR="00D4032A">
        <w:t xml:space="preserve"> </w:t>
      </w:r>
      <w:r w:rsidR="000C0062">
        <w:t>to remind wealthy nations of their commitment</w:t>
      </w:r>
      <w:r w:rsidR="00817FA2">
        <w:t>s</w:t>
      </w:r>
      <w:r w:rsidR="000C0062">
        <w:t xml:space="preserve"> in the Paris Agreement</w:t>
      </w:r>
      <w:r w:rsidR="00817FA2">
        <w:t xml:space="preserve">, particularly </w:t>
      </w:r>
      <w:r w:rsidR="00D4032A">
        <w:t xml:space="preserve">providing </w:t>
      </w:r>
      <w:r w:rsidR="000C0062">
        <w:t xml:space="preserve">financial and technological resources to developing countries. </w:t>
      </w:r>
      <w:r w:rsidR="00541CAA">
        <w:t xml:space="preserve">Thus, </w:t>
      </w:r>
      <w:r w:rsidR="00963604">
        <w:t>low-income</w:t>
      </w:r>
      <w:r w:rsidR="00766224">
        <w:t xml:space="preserve"> countries such as </w:t>
      </w:r>
      <w:r w:rsidR="006A102F">
        <w:t>the Comoros</w:t>
      </w:r>
      <w:r w:rsidR="00766224">
        <w:t xml:space="preserve"> and </w:t>
      </w:r>
      <w:r w:rsidR="006A102F">
        <w:t>Ethiopia</w:t>
      </w:r>
      <w:r w:rsidR="00766224">
        <w:t xml:space="preserve"> </w:t>
      </w:r>
      <w:r w:rsidR="00817FA2">
        <w:t>explicitly connect</w:t>
      </w:r>
      <w:r w:rsidR="007754D2">
        <w:t xml:space="preserve"> health impacts and adaptation plans</w:t>
      </w:r>
      <w:r w:rsidR="00817FA2">
        <w:t xml:space="preserve"> in their NDCs</w:t>
      </w:r>
      <w:r w:rsidR="007754D2">
        <w:t xml:space="preserve"> to calls for</w:t>
      </w:r>
      <w:r w:rsidR="00766224">
        <w:t xml:space="preserve"> wealthier nations to </w:t>
      </w:r>
      <w:r w:rsidR="00963604">
        <w:t>provide f</w:t>
      </w:r>
      <w:r w:rsidR="00506191">
        <w:t>inancial and technological assistance</w:t>
      </w:r>
      <w:r w:rsidR="00963604">
        <w:t xml:space="preserve">. </w:t>
      </w:r>
      <w:r w:rsidR="000C0062">
        <w:t>In contrast, we see little engagement with health by the richer high-emitting states</w:t>
      </w:r>
      <w:r w:rsidR="007754D2">
        <w:t xml:space="preserve">, </w:t>
      </w:r>
      <w:r w:rsidR="00506191">
        <w:t xml:space="preserve">with countries such as the </w:t>
      </w:r>
      <w:r w:rsidR="00963604">
        <w:t xml:space="preserve">USA, </w:t>
      </w:r>
      <w:r w:rsidR="00F06FC3">
        <w:t>Australia</w:t>
      </w:r>
      <w:r w:rsidR="00963604">
        <w:t xml:space="preserve">, and the EU members </w:t>
      </w:r>
      <w:r w:rsidR="007754D2">
        <w:t>making no reference at all to</w:t>
      </w:r>
      <w:r w:rsidR="00963604">
        <w:t xml:space="preserve"> health. </w:t>
      </w:r>
      <w:r w:rsidR="007754D2">
        <w:t xml:space="preserve">Very few </w:t>
      </w:r>
      <w:r w:rsidR="00963604">
        <w:t xml:space="preserve">governments of high-income countries discuss health adaptations plans in their NDCs, </w:t>
      </w:r>
      <w:r w:rsidR="00360826">
        <w:t>although they</w:t>
      </w:r>
      <w:r w:rsidR="009E4AF6">
        <w:t xml:space="preserve"> published</w:t>
      </w:r>
      <w:r w:rsidR="000667BC">
        <w:t xml:space="preserve"> detailed national health adaptation plans</w:t>
      </w:r>
      <w:r w:rsidR="000C0062">
        <w:t xml:space="preserve"> elsewhere</w:t>
      </w:r>
      <w:r w:rsidR="000667BC">
        <w:t>.</w:t>
      </w:r>
      <w:r w:rsidR="000667BC">
        <w:rPr>
          <w:rStyle w:val="EndnoteReference"/>
        </w:rPr>
        <w:endnoteReference w:id="42"/>
      </w:r>
      <w:r w:rsidR="000667BC">
        <w:t xml:space="preserve"> </w:t>
      </w:r>
    </w:p>
    <w:p w14:paraId="6081B0D0" w14:textId="51B57C3F" w:rsidR="00A72C8F" w:rsidRDefault="00EF5A78" w:rsidP="00B142AF">
      <w:pPr>
        <w:jc w:val="both"/>
      </w:pPr>
      <w:r w:rsidRPr="00F14E50">
        <w:t xml:space="preserve">Our study has several limitations. </w:t>
      </w:r>
      <w:r w:rsidR="009D53FF" w:rsidRPr="00F14E50">
        <w:t xml:space="preserve">First, as we have noted </w:t>
      </w:r>
      <w:r w:rsidR="007109B0" w:rsidRPr="00F14E50">
        <w:t xml:space="preserve">in the methods section, the EU member states submitted a single joint NDC. In our analysis, we </w:t>
      </w:r>
      <w:r w:rsidR="00924563" w:rsidRPr="00F14E50">
        <w:t>assess</w:t>
      </w:r>
      <w:r w:rsidR="007109B0" w:rsidRPr="00F14E50">
        <w:t xml:space="preserve"> the individual EU member states separately</w:t>
      </w:r>
      <w:r w:rsidR="00F0207A" w:rsidRPr="00887747">
        <w:t>;</w:t>
      </w:r>
      <w:r w:rsidR="007109B0" w:rsidRPr="00F14E50">
        <w:t xml:space="preserve"> however, this assumes that all 28 countries (the UK was included in the EU’s </w:t>
      </w:r>
      <w:r w:rsidR="008061DE" w:rsidRPr="00F14E50">
        <w:t xml:space="preserve">first </w:t>
      </w:r>
      <w:r w:rsidR="007109B0" w:rsidRPr="00F14E50">
        <w:t xml:space="preserve">NDC) </w:t>
      </w:r>
      <w:r w:rsidR="008061DE" w:rsidRPr="00F14E50">
        <w:t xml:space="preserve">have an identical position on approaches to climate change adaptation and mitigation, which is unlikely to be the case. Hence, due to the submission of a single NDC for </w:t>
      </w:r>
      <w:r w:rsidR="00F0207A" w:rsidRPr="00887747">
        <w:t>the</w:t>
      </w:r>
      <w:r w:rsidR="008061DE" w:rsidRPr="00F14E50">
        <w:t xml:space="preserve"> E</w:t>
      </w:r>
      <w:r w:rsidR="00F0207A" w:rsidRPr="00887747">
        <w:t>U</w:t>
      </w:r>
      <w:r w:rsidR="008061DE" w:rsidRPr="00F14E50">
        <w:t xml:space="preserve">, we </w:t>
      </w:r>
      <w:r w:rsidR="0074779B" w:rsidRPr="00F14E50">
        <w:t>were</w:t>
      </w:r>
      <w:r w:rsidR="008061DE" w:rsidRPr="00F14E50">
        <w:t xml:space="preserve"> unable to capture </w:t>
      </w:r>
      <w:r w:rsidR="0074779B" w:rsidRPr="00F14E50">
        <w:t xml:space="preserve">potential </w:t>
      </w:r>
      <w:r w:rsidR="008061DE" w:rsidRPr="00F14E50">
        <w:t>variation</w:t>
      </w:r>
      <w:r w:rsidR="00F0207A" w:rsidRPr="00887747">
        <w:t>s</w:t>
      </w:r>
      <w:r w:rsidR="008061DE" w:rsidRPr="00F14E50">
        <w:t xml:space="preserve"> in health engagement across </w:t>
      </w:r>
      <w:r w:rsidR="00F0207A" w:rsidRPr="00887747">
        <w:t xml:space="preserve">the </w:t>
      </w:r>
      <w:r w:rsidR="00F0207A" w:rsidRPr="00887747">
        <w:lastRenderedPageBreak/>
        <w:t>member states</w:t>
      </w:r>
      <w:r w:rsidR="008061DE" w:rsidRPr="00F14E50">
        <w:t xml:space="preserve">. Second, for several variables included in our regression </w:t>
      </w:r>
      <w:r w:rsidR="00924563" w:rsidRPr="00F14E50">
        <w:t>models</w:t>
      </w:r>
      <w:r w:rsidR="008061DE" w:rsidRPr="00F14E50">
        <w:t xml:space="preserve">, </w:t>
      </w:r>
      <w:r w:rsidR="00924563" w:rsidRPr="00F14E50">
        <w:t xml:space="preserve">there was missing data for </w:t>
      </w:r>
      <w:r w:rsidR="008061DE" w:rsidRPr="00F14E50">
        <w:t>some countries</w:t>
      </w:r>
      <w:r w:rsidR="005B3E3D" w:rsidRPr="00F14E50">
        <w:t>, which</w:t>
      </w:r>
      <w:r w:rsidR="008061DE" w:rsidRPr="00F14E50">
        <w:t xml:space="preserve"> meant that these countries were excluded from the regression analysis</w:t>
      </w:r>
      <w:r w:rsidR="00841952" w:rsidRPr="00F14E50">
        <w:t>, reduc</w:t>
      </w:r>
      <w:r w:rsidR="005B3E3D" w:rsidRPr="00F14E50">
        <w:t>ing</w:t>
      </w:r>
      <w:r w:rsidR="00841952" w:rsidRPr="00F14E50">
        <w:t xml:space="preserve"> our sample size to 175</w:t>
      </w:r>
      <w:r w:rsidR="0074779B" w:rsidRPr="00F14E50">
        <w:t xml:space="preserve">. </w:t>
      </w:r>
      <w:r w:rsidR="00841952" w:rsidRPr="00F14E50">
        <w:t>The</w:t>
      </w:r>
      <w:r w:rsidR="00F0207A" w:rsidRPr="00887747">
        <w:t xml:space="preserve">se countries </w:t>
      </w:r>
      <w:r w:rsidR="00841952" w:rsidRPr="00F14E50">
        <w:t>were either low-income countries (</w:t>
      </w:r>
      <w:proofErr w:type="gramStart"/>
      <w:r w:rsidR="00841952" w:rsidRPr="00F14E50">
        <w:t>e.g.</w:t>
      </w:r>
      <w:proofErr w:type="gramEnd"/>
      <w:r w:rsidR="00841952" w:rsidRPr="00F14E50">
        <w:t xml:space="preserve"> Eritrea</w:t>
      </w:r>
      <w:r w:rsidR="00C73107" w:rsidRPr="00F14E50">
        <w:t xml:space="preserve"> and Somalia)</w:t>
      </w:r>
      <w:r w:rsidR="00841952" w:rsidRPr="00F14E50">
        <w:t xml:space="preserve"> or small states</w:t>
      </w:r>
      <w:r w:rsidR="00C73107" w:rsidRPr="00F14E50">
        <w:t xml:space="preserve"> (e.g. Grenada)</w:t>
      </w:r>
      <w:r w:rsidR="00841952" w:rsidRPr="00F14E50">
        <w:t xml:space="preserve">, which introduces some </w:t>
      </w:r>
      <w:r w:rsidR="005B3E3D" w:rsidRPr="00F14E50">
        <w:t xml:space="preserve">potential </w:t>
      </w:r>
      <w:r w:rsidR="00841952" w:rsidRPr="00F14E50">
        <w:t>bias into our analysis.</w:t>
      </w:r>
      <w:r w:rsidR="008061DE" w:rsidRPr="00F14E50">
        <w:t xml:space="preserve"> </w:t>
      </w:r>
      <w:r w:rsidR="009D53FF" w:rsidRPr="00F14E50">
        <w:t>Third,</w:t>
      </w:r>
      <w:r w:rsidR="00D11028" w:rsidRPr="00F14E50">
        <w:t xml:space="preserve"> </w:t>
      </w:r>
      <w:r w:rsidR="006A262A" w:rsidRPr="00F14E50">
        <w:t xml:space="preserve">as we have discussed, </w:t>
      </w:r>
      <w:r w:rsidR="00B142AF" w:rsidRPr="00F14E50">
        <w:t xml:space="preserve">the Health Engagement Scores (HES) developed in this analysis is based on the manual content analysis </w:t>
      </w:r>
      <w:r w:rsidR="006A262A" w:rsidRPr="00F14E50">
        <w:t xml:space="preserve">of health references in the NDCs, which were scored according to </w:t>
      </w:r>
      <w:r w:rsidR="005B3E3D" w:rsidRPr="00F14E50">
        <w:t>the</w:t>
      </w:r>
      <w:r w:rsidR="006A262A" w:rsidRPr="00F14E50">
        <w:t xml:space="preserve"> framework</w:t>
      </w:r>
      <w:r w:rsidR="005B3E3D" w:rsidRPr="00F14E50">
        <w:t xml:space="preserve"> we developed</w:t>
      </w:r>
      <w:r w:rsidR="006A262A" w:rsidRPr="00F14E50">
        <w:t xml:space="preserve"> (see appendix pp.1-3). This introduces a degree of subjectivity in interpreting and scoring each health reference, which we have sought to minimize by using a detailed scoring framework and ensuring two coders independently scored each NDC. </w:t>
      </w:r>
      <w:r w:rsidR="00B142AF" w:rsidRPr="00F14E50">
        <w:t>Fourth, our analysis includes the application of probabilistic topic models to the NDC corpus. As we have discussed, we have sought to address th</w:t>
      </w:r>
      <w:r w:rsidR="00F0207A" w:rsidRPr="00887747">
        <w:t>e potential unreliability of this approach</w:t>
      </w:r>
      <w:r w:rsidR="00B142AF" w:rsidRPr="00F14E50">
        <w:t xml:space="preserve"> </w:t>
      </w:r>
      <w:r w:rsidR="00F0207A" w:rsidRPr="00887747">
        <w:t>through</w:t>
      </w:r>
      <w:r w:rsidR="00B142AF" w:rsidRPr="00F14E50">
        <w:t xml:space="preserve"> the use of a keyword</w:t>
      </w:r>
      <w:r w:rsidR="00F0207A" w:rsidRPr="00887747">
        <w:t xml:space="preserve"> </w:t>
      </w:r>
      <w:r w:rsidR="00B142AF" w:rsidRPr="00F14E50">
        <w:t>assisted topic model (</w:t>
      </w:r>
      <w:proofErr w:type="spellStart"/>
      <w:r w:rsidR="00B142AF" w:rsidRPr="00F14E50">
        <w:t>keyATM</w:t>
      </w:r>
      <w:proofErr w:type="spellEnd"/>
      <w:r w:rsidR="00B142AF" w:rsidRPr="00F14E50">
        <w:t xml:space="preserve">), which has been shown to </w:t>
      </w:r>
      <w:r w:rsidR="00F0207A" w:rsidRPr="00887747">
        <w:t>yield</w:t>
      </w:r>
      <w:r w:rsidR="00B142AF" w:rsidRPr="00F14E50">
        <w:t xml:space="preserve"> more stable and reproducible results. However, some degree of variability in the results remains. Despite these limitations, the results of our analysis produce strong evidence that poorer and more vulnerable countries emphasise the health </w:t>
      </w:r>
      <w:r w:rsidR="006A262A" w:rsidRPr="00F14E50">
        <w:t>impacts</w:t>
      </w:r>
      <w:r w:rsidR="00B142AF" w:rsidRPr="00F14E50">
        <w:t xml:space="preserve"> of climate change in their NDCs, while wealthy high-emitting countries make little or no reference to health.</w:t>
      </w:r>
      <w:r w:rsidR="00B142AF">
        <w:t xml:space="preserve"> </w:t>
      </w:r>
    </w:p>
    <w:p w14:paraId="46F30113" w14:textId="3105F36C" w:rsidR="006F6534" w:rsidRDefault="009D53FF" w:rsidP="006F6534">
      <w:pPr>
        <w:jc w:val="both"/>
      </w:pPr>
      <w:r>
        <w:t>These findings</w:t>
      </w:r>
      <w:r w:rsidR="0034415E">
        <w:t xml:space="preserve"> </w:t>
      </w:r>
      <w:r w:rsidR="00CC1E9B">
        <w:t xml:space="preserve">suggest that engagement in the health </w:t>
      </w:r>
      <w:r w:rsidR="0034415E">
        <w:t xml:space="preserve">dimensions of </w:t>
      </w:r>
      <w:r w:rsidR="00CC1E9B">
        <w:t xml:space="preserve">climate change </w:t>
      </w:r>
      <w:r w:rsidR="00246878">
        <w:t xml:space="preserve">in the current round of NDCs </w:t>
      </w:r>
      <w:r w:rsidR="00CC1E9B">
        <w:t>is a</w:t>
      </w:r>
      <w:r w:rsidR="00CD3903">
        <w:t>n</w:t>
      </w:r>
      <w:r w:rsidR="00CC1E9B">
        <w:t xml:space="preserve"> </w:t>
      </w:r>
      <w:r w:rsidR="00CC1E9B" w:rsidRPr="00BA0B16">
        <w:t xml:space="preserve">indication of </w:t>
      </w:r>
      <w:r w:rsidR="00445F09" w:rsidRPr="00BA0B16">
        <w:t xml:space="preserve">a country’s </w:t>
      </w:r>
      <w:r w:rsidR="00246878" w:rsidRPr="00BA0B16">
        <w:t xml:space="preserve">broader </w:t>
      </w:r>
      <w:r w:rsidR="00CC1E9B" w:rsidRPr="00BA0B16">
        <w:t xml:space="preserve">response to climate </w:t>
      </w:r>
      <w:proofErr w:type="gramStart"/>
      <w:r w:rsidR="00CC1E9B" w:rsidRPr="00BA0B16">
        <w:t xml:space="preserve">change, </w:t>
      </w:r>
      <w:r w:rsidR="00445F09" w:rsidRPr="00BA0B16">
        <w:t>and</w:t>
      </w:r>
      <w:proofErr w:type="gramEnd"/>
      <w:r w:rsidR="00445F09" w:rsidRPr="00BA0B16">
        <w:t xml:space="preserve"> reflects deeper inequalities </w:t>
      </w:r>
      <w:r w:rsidR="00CC1E9B" w:rsidRPr="00BA0B16">
        <w:t>across the world.</w:t>
      </w:r>
      <w:r w:rsidR="00494D12" w:rsidRPr="00BA0B16">
        <w:t xml:space="preserve"> </w:t>
      </w:r>
      <w:r w:rsidR="008A277D" w:rsidRPr="00445F09">
        <w:t>From</w:t>
      </w:r>
      <w:r w:rsidR="008A277D">
        <w:t xml:space="preserve"> this perspective, the lack of </w:t>
      </w:r>
      <w:r w:rsidR="00BD53DE">
        <w:t>engagement with health</w:t>
      </w:r>
      <w:r w:rsidR="008A277D">
        <w:t xml:space="preserve"> by wealthy high-emitting nations is part of a more general </w:t>
      </w:r>
      <w:r w:rsidR="00817FA2">
        <w:t>effort</w:t>
      </w:r>
      <w:r w:rsidR="008A277D">
        <w:t xml:space="preserve"> to </w:t>
      </w:r>
      <w:r w:rsidR="00817FA2">
        <w:t xml:space="preserve">frame </w:t>
      </w:r>
      <w:r w:rsidR="00A16648">
        <w:t xml:space="preserve">climate change </w:t>
      </w:r>
      <w:r w:rsidR="00817FA2">
        <w:t>as</w:t>
      </w:r>
      <w:r w:rsidR="008A277D">
        <w:t xml:space="preserve"> a</w:t>
      </w:r>
      <w:r w:rsidR="00BD53DE">
        <w:t xml:space="preserve">n issue that can be addressed </w:t>
      </w:r>
      <w:r w:rsidR="000D284C">
        <w:t xml:space="preserve">without </w:t>
      </w:r>
      <w:r w:rsidR="00BD53DE">
        <w:t>far-reaching political action</w:t>
      </w:r>
      <w:r w:rsidR="00A16648">
        <w:t xml:space="preserve"> and resource transfers from richer to poorer nations</w:t>
      </w:r>
      <w:r w:rsidR="00BD53DE">
        <w:t>.</w:t>
      </w:r>
      <w:r w:rsidR="00E608E0">
        <w:rPr>
          <w:rStyle w:val="EndnoteReference"/>
        </w:rPr>
        <w:endnoteReference w:id="43"/>
      </w:r>
      <w:r w:rsidR="00BD53DE">
        <w:t xml:space="preserve"> This</w:t>
      </w:r>
      <w:r w:rsidR="00817FA2">
        <w:t xml:space="preserve"> </w:t>
      </w:r>
      <w:r w:rsidR="00CC1E9B">
        <w:t>also means that</w:t>
      </w:r>
      <w:r w:rsidR="000E70EF">
        <w:t>,</w:t>
      </w:r>
      <w:r w:rsidR="00494D12">
        <w:t xml:space="preserve"> as countries ramp up their NDCs,</w:t>
      </w:r>
      <w:r w:rsidR="00333E4B">
        <w:t xml:space="preserve"> </w:t>
      </w:r>
      <w:r w:rsidR="00CC1E9B">
        <w:t xml:space="preserve">there is a risk that </w:t>
      </w:r>
      <w:r w:rsidR="001D00C0">
        <w:t>health is</w:t>
      </w:r>
      <w:r w:rsidR="00817FA2">
        <w:t xml:space="preserve"> </w:t>
      </w:r>
      <w:r w:rsidR="00494D12">
        <w:t xml:space="preserve">again </w:t>
      </w:r>
      <w:r w:rsidR="00817FA2">
        <w:t>side</w:t>
      </w:r>
      <w:r w:rsidR="00333E4B">
        <w:t>-</w:t>
      </w:r>
      <w:r w:rsidR="00817FA2">
        <w:t>lined</w:t>
      </w:r>
      <w:r w:rsidR="00494D12">
        <w:t xml:space="preserve"> by higher-income countries</w:t>
      </w:r>
      <w:r w:rsidR="001D00C0">
        <w:t xml:space="preserve">, </w:t>
      </w:r>
      <w:r w:rsidR="00494D12">
        <w:t xml:space="preserve">with lower-income and climate-vulnerable countries left to draw attention to </w:t>
      </w:r>
      <w:r w:rsidR="001D00C0">
        <w:t>the significant health impacts of climate change that many countries</w:t>
      </w:r>
      <w:r w:rsidR="000459C4">
        <w:t xml:space="preserve"> experience</w:t>
      </w:r>
      <w:r w:rsidR="001D00C0">
        <w:t xml:space="preserve">. </w:t>
      </w:r>
      <w:r w:rsidR="00B025BC">
        <w:t>Health</w:t>
      </w:r>
      <w:r w:rsidR="00360826">
        <w:t>,</w:t>
      </w:r>
      <w:r w:rsidR="00B025BC" w:rsidRPr="00B025BC">
        <w:t xml:space="preserve"> </w:t>
      </w:r>
      <w:r w:rsidR="00B025BC" w:rsidRPr="00621F9C">
        <w:rPr>
          <w:rFonts w:eastAsia="Times New Roman" w:cstheme="minorHAnsi"/>
          <w:lang w:eastAsia="en-GB"/>
        </w:rPr>
        <w:t>an issue of concern for peoples across the world</w:t>
      </w:r>
      <w:r w:rsidR="00B025BC">
        <w:rPr>
          <w:rFonts w:eastAsia="Times New Roman" w:cstheme="minorHAnsi"/>
          <w:lang w:eastAsia="en-GB"/>
        </w:rPr>
        <w:t>,</w:t>
      </w:r>
      <w:r w:rsidR="00360826">
        <w:rPr>
          <w:rFonts w:eastAsia="Times New Roman" w:cstheme="minorHAnsi"/>
          <w:lang w:eastAsia="en-GB"/>
        </w:rPr>
        <w:t xml:space="preserve"> is not currently providing a shared and unifying focus in the major instrument of global climate action.</w:t>
      </w:r>
      <w:r w:rsidR="00B025BC" w:rsidRPr="00B025BC">
        <w:t xml:space="preserve"> </w:t>
      </w:r>
      <w:r w:rsidR="00360826">
        <w:t>I</w:t>
      </w:r>
      <w:r w:rsidR="001D00C0" w:rsidRPr="00B025BC">
        <w:t xml:space="preserve">n </w:t>
      </w:r>
      <w:r w:rsidR="001D00C0">
        <w:t>this regard,</w:t>
      </w:r>
      <w:r w:rsidR="008A277D">
        <w:t xml:space="preserve"> the C</w:t>
      </w:r>
      <w:r w:rsidR="006128CE">
        <w:t>OVID</w:t>
      </w:r>
      <w:r w:rsidR="008A277D">
        <w:t xml:space="preserve">-19 pandemic has provided a stark reminder </w:t>
      </w:r>
      <w:r w:rsidR="00333E4B">
        <w:t>that global health challenges</w:t>
      </w:r>
      <w:r w:rsidR="008A277D">
        <w:t xml:space="preserve"> do not respect national boundaries. As such, it may offer an important opportunity to reintegrate health into the politics of climat</w:t>
      </w:r>
      <w:r w:rsidR="00BD53DE">
        <w:t xml:space="preserve">e change in ways that </w:t>
      </w:r>
      <w:r w:rsidR="00817FA2">
        <w:t xml:space="preserve">can </w:t>
      </w:r>
      <w:r w:rsidR="00BD53DE">
        <w:t>motivate global cooperation</w:t>
      </w:r>
      <w:r w:rsidR="00B66691">
        <w:t xml:space="preserve"> and rachet up countries’ </w:t>
      </w:r>
      <w:r w:rsidR="003D653E">
        <w:t xml:space="preserve">climate change </w:t>
      </w:r>
      <w:r w:rsidR="00B66691">
        <w:t>ambitions</w:t>
      </w:r>
      <w:r w:rsidR="00BD53DE">
        <w:t xml:space="preserve">. </w:t>
      </w:r>
    </w:p>
    <w:p w14:paraId="4F952855" w14:textId="6F4CAD0A" w:rsidR="00CD7400" w:rsidRDefault="00CD7400" w:rsidP="007547FC">
      <w:pPr>
        <w:jc w:val="left"/>
      </w:pPr>
    </w:p>
    <w:p w14:paraId="6B974DF8" w14:textId="45E9CE06" w:rsidR="002E5814" w:rsidRDefault="002E5814" w:rsidP="007547FC">
      <w:pPr>
        <w:jc w:val="left"/>
        <w:rPr>
          <w:b/>
          <w:bCs/>
        </w:rPr>
      </w:pPr>
      <w:r>
        <w:rPr>
          <w:b/>
          <w:bCs/>
        </w:rPr>
        <w:t>Contributors</w:t>
      </w:r>
    </w:p>
    <w:p w14:paraId="3031741B" w14:textId="3C6FE23B" w:rsidR="002E5814" w:rsidRDefault="002E5814" w:rsidP="00887747">
      <w:pPr>
        <w:jc w:val="both"/>
      </w:pPr>
      <w:r>
        <w:t>All authors contributed to the study design. PL did the data collection of NDCs. ND and PL did the content analysis, and SJM did the NLP analysis. SJM and ND conducted the statistical analysis, with all authors contributing to data interpretation. ND and HG wrote the first drafts of the manuscript. All authors contributed to the final manuscript</w:t>
      </w:r>
      <w:r w:rsidR="00F24B4C">
        <w:t>. Furthermore, all authors</w:t>
      </w:r>
      <w:r w:rsidR="00C244BF">
        <w:t xml:space="preserve"> had access to all </w:t>
      </w:r>
      <w:r w:rsidR="00F24B4C">
        <w:t xml:space="preserve">of </w:t>
      </w:r>
      <w:r w:rsidR="00C244BF">
        <w:t xml:space="preserve">the data used in the </w:t>
      </w:r>
      <w:proofErr w:type="gramStart"/>
      <w:r w:rsidR="00C244BF">
        <w:t>study</w:t>
      </w:r>
      <w:r w:rsidR="00F24B4C">
        <w:t>,</w:t>
      </w:r>
      <w:r>
        <w:t xml:space="preserve"> and</w:t>
      </w:r>
      <w:proofErr w:type="gramEnd"/>
      <w:r>
        <w:t xml:space="preserve"> a</w:t>
      </w:r>
      <w:r w:rsidR="00C244BF">
        <w:t xml:space="preserve">ccept responsibility to submit </w:t>
      </w:r>
      <w:r>
        <w:t xml:space="preserve">for publication. </w:t>
      </w:r>
    </w:p>
    <w:p w14:paraId="35918A68" w14:textId="078B7131" w:rsidR="002E5814" w:rsidRDefault="002E5814" w:rsidP="007547FC">
      <w:pPr>
        <w:jc w:val="left"/>
        <w:rPr>
          <w:b/>
          <w:bCs/>
        </w:rPr>
      </w:pPr>
    </w:p>
    <w:p w14:paraId="0B820A1F" w14:textId="059957BB" w:rsidR="004239B3" w:rsidRDefault="004239B3" w:rsidP="007547FC">
      <w:pPr>
        <w:jc w:val="left"/>
      </w:pPr>
      <w:r>
        <w:rPr>
          <w:b/>
          <w:bCs/>
        </w:rPr>
        <w:t>Declaration of Interests</w:t>
      </w:r>
    </w:p>
    <w:p w14:paraId="1D12232B" w14:textId="77777777" w:rsidR="004239B3" w:rsidRPr="0010253F" w:rsidRDefault="004239B3" w:rsidP="004239B3">
      <w:pPr>
        <w:spacing w:after="0"/>
        <w:jc w:val="both"/>
      </w:pPr>
      <w:r>
        <w:t>This work was in part</w:t>
      </w:r>
      <w:r w:rsidRPr="006A5286">
        <w:t xml:space="preserve"> </w:t>
      </w:r>
      <w:r>
        <w:t>funded</w:t>
      </w:r>
      <w:r w:rsidRPr="006A5286">
        <w:t xml:space="preserve"> through an unrestricted grant from the </w:t>
      </w:r>
      <w:proofErr w:type="spellStart"/>
      <w:r w:rsidRPr="006A5286">
        <w:t>Wellcome</w:t>
      </w:r>
      <w:proofErr w:type="spellEnd"/>
      <w:r>
        <w:t xml:space="preserve"> </w:t>
      </w:r>
      <w:r w:rsidRPr="006A5286">
        <w:t>Trust</w:t>
      </w:r>
      <w:r>
        <w:t>. HG was supported by the ESRC (grant no. ES/S012257/1).</w:t>
      </w:r>
    </w:p>
    <w:p w14:paraId="66C75A8D" w14:textId="77777777" w:rsidR="004239B3" w:rsidRPr="004239B3" w:rsidRDefault="004239B3" w:rsidP="007547FC">
      <w:pPr>
        <w:jc w:val="left"/>
      </w:pPr>
    </w:p>
    <w:p w14:paraId="79AE13BD" w14:textId="4C584416" w:rsidR="004239B3" w:rsidRDefault="004239B3" w:rsidP="004239B3">
      <w:pPr>
        <w:spacing w:after="0"/>
        <w:jc w:val="both"/>
        <w:rPr>
          <w:b/>
          <w:bCs/>
        </w:rPr>
      </w:pPr>
      <w:r>
        <w:rPr>
          <w:b/>
          <w:bCs/>
        </w:rPr>
        <w:t xml:space="preserve">Acknowledgements </w:t>
      </w:r>
    </w:p>
    <w:p w14:paraId="5C0B0EFD" w14:textId="1EE95D54" w:rsidR="004239B3" w:rsidRPr="0010253F" w:rsidRDefault="004239B3" w:rsidP="004239B3">
      <w:pPr>
        <w:spacing w:after="0"/>
        <w:jc w:val="both"/>
      </w:pPr>
      <w:r>
        <w:t xml:space="preserve">We are grateful to Alice </w:t>
      </w:r>
      <w:proofErr w:type="spellStart"/>
      <w:r>
        <w:t>McGushin</w:t>
      </w:r>
      <w:proofErr w:type="spellEnd"/>
      <w:r>
        <w:t xml:space="preserve">, Marina </w:t>
      </w:r>
      <w:proofErr w:type="spellStart"/>
      <w:r>
        <w:t>Romanello</w:t>
      </w:r>
      <w:proofErr w:type="spellEnd"/>
      <w:r>
        <w:t xml:space="preserve">, and Nick Watts for their advice and feedback on this study. </w:t>
      </w:r>
    </w:p>
    <w:p w14:paraId="72AD8A8B" w14:textId="77777777" w:rsidR="002E5814" w:rsidRDefault="002E5814" w:rsidP="007547FC">
      <w:pPr>
        <w:jc w:val="left"/>
      </w:pPr>
    </w:p>
    <w:p w14:paraId="23AAA431" w14:textId="693A6672" w:rsidR="007760E9" w:rsidRPr="007760E9" w:rsidRDefault="007760E9" w:rsidP="007547FC">
      <w:pPr>
        <w:jc w:val="left"/>
        <w:rPr>
          <w:b/>
          <w:bCs/>
        </w:rPr>
      </w:pPr>
      <w:r>
        <w:rPr>
          <w:b/>
          <w:bCs/>
        </w:rPr>
        <w:t>References</w:t>
      </w:r>
    </w:p>
    <w:sectPr w:rsidR="007760E9" w:rsidRPr="007760E9" w:rsidSect="007760E9">
      <w:endnotePr>
        <w:numFmt w:val="decimal"/>
      </w:endnotePr>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54A1" w14:textId="77777777" w:rsidR="00835167" w:rsidRDefault="00835167" w:rsidP="0043679E">
      <w:pPr>
        <w:spacing w:after="0"/>
      </w:pPr>
      <w:r>
        <w:separator/>
      </w:r>
    </w:p>
  </w:endnote>
  <w:endnote w:type="continuationSeparator" w:id="0">
    <w:p w14:paraId="1E33E05E" w14:textId="77777777" w:rsidR="00835167" w:rsidRDefault="00835167" w:rsidP="0043679E">
      <w:pPr>
        <w:spacing w:after="0"/>
      </w:pPr>
      <w:r>
        <w:continuationSeparator/>
      </w:r>
    </w:p>
  </w:endnote>
  <w:endnote w:id="1">
    <w:p w14:paraId="2CA90949" w14:textId="25D1E3BF" w:rsidR="00560490" w:rsidRDefault="00560490">
      <w:pPr>
        <w:pStyle w:val="EndnoteText"/>
      </w:pPr>
      <w:r>
        <w:rPr>
          <w:rStyle w:val="EndnoteReference"/>
        </w:rPr>
        <w:endnoteRef/>
      </w:r>
      <w:r>
        <w:t xml:space="preserve"> Hansen J, Kharecha P, Sato, M. Assessing ‘dangerous climate change’: Required reduction of carbon emissions to protect young people, future generations and nature. </w:t>
      </w:r>
      <w:r>
        <w:rPr>
          <w:i/>
          <w:iCs/>
        </w:rPr>
        <w:t xml:space="preserve">PLOS One </w:t>
      </w:r>
      <w:r>
        <w:t xml:space="preserve">2013; </w:t>
      </w:r>
      <w:r>
        <w:rPr>
          <w:b/>
          <w:bCs/>
        </w:rPr>
        <w:t>8</w:t>
      </w:r>
      <w:r>
        <w:t>: e81648.</w:t>
      </w:r>
    </w:p>
  </w:endnote>
  <w:endnote w:id="2">
    <w:p w14:paraId="13E35986" w14:textId="274DC59D" w:rsidR="00560490" w:rsidRDefault="00560490">
      <w:pPr>
        <w:pStyle w:val="EndnoteText"/>
      </w:pPr>
      <w:r>
        <w:rPr>
          <w:rStyle w:val="EndnoteReference"/>
        </w:rPr>
        <w:endnoteRef/>
      </w:r>
      <w:r>
        <w:t xml:space="preserve"> </w:t>
      </w:r>
      <w:r w:rsidRPr="00D20366">
        <w:t>Smith KR</w:t>
      </w:r>
      <w:r>
        <w:t>,</w:t>
      </w:r>
      <w:r w:rsidRPr="00D20366">
        <w:t xml:space="preserve"> Woodward</w:t>
      </w:r>
      <w:r>
        <w:t xml:space="preserve"> </w:t>
      </w:r>
      <w:r w:rsidRPr="00D20366">
        <w:t>A</w:t>
      </w:r>
      <w:r>
        <w:t>,</w:t>
      </w:r>
      <w:r w:rsidRPr="00D20366">
        <w:t xml:space="preserve"> Campbell-Lendrum D</w:t>
      </w:r>
      <w:r>
        <w:t>, et al</w:t>
      </w:r>
      <w:r w:rsidRPr="00D20366">
        <w:t xml:space="preserve">. Human health: Impacts, adaptation and co-beneﬁts. In </w:t>
      </w:r>
      <w:r w:rsidRPr="00D20366">
        <w:rPr>
          <w:i/>
          <w:iCs/>
        </w:rPr>
        <w:t>Climate Change 2014: Impacts, Adaptation and Vulnerability. Part A: Global and Sectoral Aspects. Contribution of Working Group II to the Fifth Assessment Report of the Intergovernmental Panel on Climate Change</w:t>
      </w:r>
      <w:r>
        <w:t>.</w:t>
      </w:r>
      <w:r w:rsidRPr="00D20366">
        <w:t xml:space="preserve"> Field C, Barros V, Dokken D,</w:t>
      </w:r>
      <w:r>
        <w:t xml:space="preserve"> et al.</w:t>
      </w:r>
      <w:r w:rsidRPr="00D20366">
        <w:t>, Eds</w:t>
      </w:r>
      <w:r>
        <w:t>.</w:t>
      </w:r>
      <w:r w:rsidRPr="00D20366">
        <w:t xml:space="preserve"> Cambridge University Press: Cambridge, UK, 2014; pp. 709–754.</w:t>
      </w:r>
    </w:p>
  </w:endnote>
  <w:endnote w:id="3">
    <w:p w14:paraId="6DA243C7" w14:textId="605608BB" w:rsidR="00560490" w:rsidRDefault="00560490">
      <w:pPr>
        <w:pStyle w:val="EndnoteText"/>
      </w:pPr>
      <w:r>
        <w:rPr>
          <w:rStyle w:val="EndnoteReference"/>
        </w:rPr>
        <w:endnoteRef/>
      </w:r>
      <w:r>
        <w:t xml:space="preserve"> </w:t>
      </w:r>
      <w:r w:rsidRPr="003E10D0">
        <w:t>Watts N, Amann M, Arnell, N,</w:t>
      </w:r>
      <w:r>
        <w:t xml:space="preserve"> et al.</w:t>
      </w:r>
      <w:r w:rsidRPr="003E10D0">
        <w:t xml:space="preserve"> The 2019 report of The Lancet Countdown on health and climate change: ensuring that the health of a child born today is not defined by a changing climate. </w:t>
      </w:r>
      <w:r w:rsidRPr="003E10D0">
        <w:rPr>
          <w:i/>
          <w:iCs/>
        </w:rPr>
        <w:t>The Lancet</w:t>
      </w:r>
      <w:r>
        <w:t xml:space="preserve"> 2019;</w:t>
      </w:r>
      <w:r w:rsidRPr="003E10D0">
        <w:t xml:space="preserve"> </w:t>
      </w:r>
      <w:r w:rsidRPr="003E10D0">
        <w:rPr>
          <w:b/>
          <w:bCs/>
        </w:rPr>
        <w:t>394</w:t>
      </w:r>
      <w:r>
        <w:t xml:space="preserve">: </w:t>
      </w:r>
      <w:r w:rsidRPr="003E10D0">
        <w:t>1836-1878.</w:t>
      </w:r>
    </w:p>
  </w:endnote>
  <w:endnote w:id="4">
    <w:p w14:paraId="5482D74C" w14:textId="2031280E" w:rsidR="00560490" w:rsidRDefault="00560490">
      <w:pPr>
        <w:pStyle w:val="EndnoteText"/>
      </w:pPr>
      <w:r>
        <w:rPr>
          <w:rStyle w:val="EndnoteReference"/>
        </w:rPr>
        <w:endnoteRef/>
      </w:r>
      <w:r>
        <w:t xml:space="preserve"> </w:t>
      </w:r>
      <w:r w:rsidRPr="00D20366">
        <w:t xml:space="preserve">UNFCCC [United Nations Framework Convention on Climate Change]. </w:t>
      </w:r>
      <w:r>
        <w:t xml:space="preserve"> NDC Registry 2020. </w:t>
      </w:r>
      <w:hyperlink r:id="rId1" w:history="1">
        <w:r w:rsidRPr="00092F1F">
          <w:rPr>
            <w:rStyle w:val="Hyperlink"/>
          </w:rPr>
          <w:t>https://www4.unfccc.int/sites/NDCStaging/Pages/All.aspx</w:t>
        </w:r>
      </w:hyperlink>
      <w:r>
        <w:t xml:space="preserve"> (accessed May15, 2020).</w:t>
      </w:r>
    </w:p>
  </w:endnote>
  <w:endnote w:id="5">
    <w:p w14:paraId="17869778" w14:textId="77777777" w:rsidR="00560490" w:rsidRPr="00323BE2" w:rsidRDefault="00560490" w:rsidP="00743845">
      <w:pPr>
        <w:pStyle w:val="EndnoteText"/>
      </w:pPr>
      <w:r>
        <w:rPr>
          <w:rStyle w:val="EndnoteReference"/>
        </w:rPr>
        <w:endnoteRef/>
      </w:r>
      <w:r>
        <w:t xml:space="preserve"> Hansen J, Kharecha P, Sato, M. Assessing ‘dangerous climate change’: Required reduction of carbon emissions to protect young people, future generations and nature. </w:t>
      </w:r>
      <w:r>
        <w:rPr>
          <w:i/>
          <w:iCs/>
        </w:rPr>
        <w:t xml:space="preserve">PLOS One </w:t>
      </w:r>
      <w:r>
        <w:t xml:space="preserve">2013; </w:t>
      </w:r>
      <w:r>
        <w:rPr>
          <w:b/>
          <w:bCs/>
        </w:rPr>
        <w:t>8</w:t>
      </w:r>
      <w:r>
        <w:t>: e81648.</w:t>
      </w:r>
    </w:p>
  </w:endnote>
  <w:endnote w:id="6">
    <w:p w14:paraId="72C600C3" w14:textId="77777777" w:rsidR="00560490" w:rsidRDefault="00560490" w:rsidP="00743845">
      <w:pPr>
        <w:pStyle w:val="EndnoteText"/>
      </w:pPr>
      <w:r>
        <w:rPr>
          <w:rStyle w:val="EndnoteReference"/>
        </w:rPr>
        <w:endnoteRef/>
      </w:r>
      <w:r>
        <w:t xml:space="preserve"> </w:t>
      </w:r>
      <w:r w:rsidRPr="006749A7">
        <w:t xml:space="preserve">United Nations (UN). </w:t>
      </w:r>
      <w:r w:rsidRPr="006749A7">
        <w:rPr>
          <w:i/>
        </w:rPr>
        <w:t>Paris Agreement</w:t>
      </w:r>
      <w:r w:rsidRPr="006749A7">
        <w:t xml:space="preserve"> [Online]</w:t>
      </w:r>
      <w:r>
        <w:t xml:space="preserve"> 2015</w:t>
      </w:r>
      <w:r w:rsidRPr="006749A7">
        <w:t>.</w:t>
      </w:r>
      <w:r>
        <w:t xml:space="preserve"> </w:t>
      </w:r>
      <w:hyperlink r:id="rId2" w:history="1">
        <w:r w:rsidRPr="00092F1F">
          <w:rPr>
            <w:rStyle w:val="Hyperlink"/>
          </w:rPr>
          <w:t>https://unfccc.int/sites/default/files/english_paris_agreement.pdf</w:t>
        </w:r>
      </w:hyperlink>
      <w:r>
        <w:t xml:space="preserve"> (</w:t>
      </w:r>
      <w:r w:rsidRPr="006749A7">
        <w:t>Accessed May</w:t>
      </w:r>
      <w:r>
        <w:t xml:space="preserve"> 8,</w:t>
      </w:r>
      <w:r w:rsidRPr="006749A7">
        <w:t xml:space="preserve"> 2020</w:t>
      </w:r>
      <w:r>
        <w:t>)</w:t>
      </w:r>
      <w:r w:rsidRPr="006749A7">
        <w:t>.</w:t>
      </w:r>
    </w:p>
  </w:endnote>
  <w:endnote w:id="7">
    <w:p w14:paraId="5F487FBC" w14:textId="1129F8C4" w:rsidR="00560490" w:rsidRPr="000429A7" w:rsidRDefault="00560490">
      <w:pPr>
        <w:pStyle w:val="EndnoteText"/>
      </w:pPr>
      <w:r>
        <w:rPr>
          <w:rStyle w:val="EndnoteReference"/>
        </w:rPr>
        <w:endnoteRef/>
      </w:r>
      <w:r>
        <w:t xml:space="preserve"> Dietzel A. The Paris Agreement – protecting the human right to health? </w:t>
      </w:r>
      <w:r>
        <w:rPr>
          <w:i/>
          <w:iCs/>
        </w:rPr>
        <w:t>Global Policy</w:t>
      </w:r>
      <w:r>
        <w:t xml:space="preserve"> 2017; </w:t>
      </w:r>
      <w:r>
        <w:rPr>
          <w:b/>
          <w:bCs/>
        </w:rPr>
        <w:t>8</w:t>
      </w:r>
      <w:r>
        <w:t>: 313-321.</w:t>
      </w:r>
    </w:p>
  </w:endnote>
  <w:endnote w:id="8">
    <w:p w14:paraId="00B02F74" w14:textId="324CDF3A" w:rsidR="00560490" w:rsidRDefault="00560490">
      <w:pPr>
        <w:pStyle w:val="EndnoteText"/>
      </w:pPr>
      <w:r>
        <w:rPr>
          <w:rStyle w:val="EndnoteReference"/>
        </w:rPr>
        <w:endnoteRef/>
      </w:r>
      <w:r>
        <w:t xml:space="preserve"> </w:t>
      </w:r>
      <w:r w:rsidRPr="00D20366">
        <w:t>Smith KR</w:t>
      </w:r>
      <w:r>
        <w:t>,</w:t>
      </w:r>
      <w:r w:rsidRPr="00D20366">
        <w:t xml:space="preserve"> Woodward</w:t>
      </w:r>
      <w:r>
        <w:t xml:space="preserve"> </w:t>
      </w:r>
      <w:r w:rsidRPr="00D20366">
        <w:t>A</w:t>
      </w:r>
      <w:r>
        <w:t>,</w:t>
      </w:r>
      <w:r w:rsidRPr="00D20366">
        <w:t xml:space="preserve"> Campbell-Lendrum D</w:t>
      </w:r>
      <w:r>
        <w:t>, et al</w:t>
      </w:r>
      <w:r w:rsidRPr="00D20366">
        <w:t xml:space="preserve">. Human health: Impacts, adaptation and co-beneﬁts. In </w:t>
      </w:r>
      <w:r w:rsidRPr="00D20366">
        <w:rPr>
          <w:i/>
          <w:iCs/>
        </w:rPr>
        <w:t>Climate Change 2014: Impacts, Adaptation and Vulnerability. Part A: Global and Sectoral Aspects. Contribution of Working Group II to the Fifth Assessment Report of the Intergovernmental Panel on Climate Change</w:t>
      </w:r>
      <w:r>
        <w:t>.</w:t>
      </w:r>
      <w:r w:rsidRPr="00D20366">
        <w:t xml:space="preserve"> Field C, Barros V, Dokken D,</w:t>
      </w:r>
      <w:r>
        <w:t xml:space="preserve"> et al.</w:t>
      </w:r>
      <w:r w:rsidRPr="00D20366">
        <w:t>, Eds</w:t>
      </w:r>
      <w:r>
        <w:t>.</w:t>
      </w:r>
      <w:r w:rsidRPr="00D20366">
        <w:t xml:space="preserve"> Cambridge University Press: Cambridge, UK, 2014; pp. 709–754.</w:t>
      </w:r>
    </w:p>
  </w:endnote>
  <w:endnote w:id="9">
    <w:p w14:paraId="52D88B19" w14:textId="6B7626B5" w:rsidR="00560490" w:rsidRDefault="00560490">
      <w:pPr>
        <w:pStyle w:val="EndnoteText"/>
      </w:pPr>
      <w:r>
        <w:rPr>
          <w:rStyle w:val="EndnoteReference"/>
        </w:rPr>
        <w:endnoteRef/>
      </w:r>
      <w:r>
        <w:t xml:space="preserve"> </w:t>
      </w:r>
      <w:r w:rsidRPr="003E10D0">
        <w:t>Watts N, Amann M, Arnell, N,</w:t>
      </w:r>
      <w:r>
        <w:t xml:space="preserve"> et al.</w:t>
      </w:r>
      <w:r w:rsidRPr="003E10D0">
        <w:t xml:space="preserve"> The 2019 report of The Lancet Countdown on health and climate change: ensuring that the health of a child born today is not defined by a changing climate. </w:t>
      </w:r>
      <w:r w:rsidRPr="003E10D0">
        <w:rPr>
          <w:i/>
          <w:iCs/>
        </w:rPr>
        <w:t>The Lancet</w:t>
      </w:r>
      <w:r>
        <w:t xml:space="preserve"> 2019;</w:t>
      </w:r>
      <w:r w:rsidRPr="003E10D0">
        <w:t xml:space="preserve"> </w:t>
      </w:r>
      <w:r w:rsidRPr="003E10D0">
        <w:rPr>
          <w:b/>
          <w:bCs/>
        </w:rPr>
        <w:t>394</w:t>
      </w:r>
      <w:r>
        <w:t xml:space="preserve">: </w:t>
      </w:r>
      <w:r w:rsidRPr="003E10D0">
        <w:t>1836-1878.</w:t>
      </w:r>
    </w:p>
  </w:endnote>
  <w:endnote w:id="10">
    <w:p w14:paraId="31183AB1" w14:textId="77777777" w:rsidR="00560490" w:rsidRDefault="00560490" w:rsidP="00743845">
      <w:pPr>
        <w:pStyle w:val="EndnoteText"/>
      </w:pPr>
      <w:r>
        <w:rPr>
          <w:rStyle w:val="EndnoteReference"/>
        </w:rPr>
        <w:endnoteRef/>
      </w:r>
      <w:r>
        <w:t xml:space="preserve"> World Health Organization. WHO review: Health in the NDCs 2019. Geneva: WHO. </w:t>
      </w:r>
      <w:r w:rsidRPr="00385781">
        <w:t>https://www.who.int/docs/default-source/climate-change/health-in-ndcs---a-who-review.pdf?sfvrsn=43b6b2c6_1</w:t>
      </w:r>
      <w:r>
        <w:t xml:space="preserve"> (accessed May 6, 2020). </w:t>
      </w:r>
    </w:p>
  </w:endnote>
  <w:endnote w:id="11">
    <w:p w14:paraId="099069E7" w14:textId="77777777" w:rsidR="00560490" w:rsidRDefault="00560490" w:rsidP="00743845">
      <w:pPr>
        <w:pStyle w:val="EndnoteText"/>
      </w:pPr>
      <w:r>
        <w:rPr>
          <w:rStyle w:val="EndnoteReference"/>
        </w:rPr>
        <w:endnoteRef/>
      </w:r>
      <w:r>
        <w:t xml:space="preserve"> </w:t>
      </w:r>
      <w:r w:rsidRPr="00687498">
        <w:t xml:space="preserve">Pauw, WP, Cassanmagnano D, Mbeva K, </w:t>
      </w:r>
      <w:r>
        <w:t>et al</w:t>
      </w:r>
      <w:r w:rsidRPr="00687498">
        <w:t>. NDC Explorer. German Development Institute/Deutsches, S.E.I.</w:t>
      </w:r>
      <w:r>
        <w:t xml:space="preserve"> 2018</w:t>
      </w:r>
      <w:r w:rsidRPr="00687498">
        <w:t xml:space="preserve"> </w:t>
      </w:r>
      <w:hyperlink r:id="rId3" w:history="1">
        <w:r w:rsidRPr="00810277">
          <w:rPr>
            <w:rStyle w:val="Hyperlink"/>
          </w:rPr>
          <w:t>https://klimalog.die-gdi.de/ndc/#</w:t>
        </w:r>
      </w:hyperlink>
      <w:r w:rsidRPr="00810277">
        <w:rPr>
          <w:rStyle w:val="Hyperlink"/>
        </w:rPr>
        <w:t xml:space="preserve">  (</w:t>
      </w:r>
      <w:r w:rsidRPr="00392C8E">
        <w:t xml:space="preserve">Accessed </w:t>
      </w:r>
      <w:r>
        <w:t>May 10</w:t>
      </w:r>
      <w:r w:rsidRPr="00392C8E">
        <w:t>, 2020</w:t>
      </w:r>
      <w:r>
        <w:t>).</w:t>
      </w:r>
    </w:p>
  </w:endnote>
  <w:endnote w:id="12">
    <w:p w14:paraId="043B6EFB" w14:textId="77777777" w:rsidR="00560490" w:rsidRPr="008102B2" w:rsidRDefault="00560490" w:rsidP="00743845">
      <w:pPr>
        <w:pStyle w:val="EndnoteText"/>
      </w:pPr>
      <w:r>
        <w:rPr>
          <w:rStyle w:val="EndnoteReference"/>
        </w:rPr>
        <w:endnoteRef/>
      </w:r>
      <w:r>
        <w:t xml:space="preserve"> Dickin S, Dzebo A. Missing in climate action: concrete health activities in nationally determined contributions. </w:t>
      </w:r>
      <w:r>
        <w:rPr>
          <w:i/>
          <w:iCs/>
        </w:rPr>
        <w:t>The Lancet Planetary Health</w:t>
      </w:r>
      <w:r>
        <w:t xml:space="preserve"> 2018; </w:t>
      </w:r>
      <w:r>
        <w:rPr>
          <w:b/>
          <w:bCs/>
        </w:rPr>
        <w:t>2</w:t>
      </w:r>
      <w:r>
        <w:t>: e144.</w:t>
      </w:r>
    </w:p>
  </w:endnote>
  <w:endnote w:id="13">
    <w:p w14:paraId="573C6E44" w14:textId="23F55C12" w:rsidR="00560490" w:rsidRPr="000429A7" w:rsidRDefault="00560490">
      <w:pPr>
        <w:pStyle w:val="EndnoteText"/>
      </w:pPr>
      <w:r>
        <w:rPr>
          <w:rStyle w:val="EndnoteReference"/>
        </w:rPr>
        <w:endnoteRef/>
      </w:r>
      <w:r>
        <w:t xml:space="preserve"> Hathaway J, Maibach EW. Health implications of climate change: a review of the literature about the perception of the public and health professionals. </w:t>
      </w:r>
      <w:r>
        <w:rPr>
          <w:i/>
          <w:iCs/>
        </w:rPr>
        <w:t>Current Environmental Health Reports</w:t>
      </w:r>
      <w:r>
        <w:t xml:space="preserve"> 2018; </w:t>
      </w:r>
      <w:r>
        <w:rPr>
          <w:b/>
          <w:bCs/>
        </w:rPr>
        <w:t>5</w:t>
      </w:r>
      <w:r>
        <w:t xml:space="preserve">: 197-204. </w:t>
      </w:r>
    </w:p>
  </w:endnote>
  <w:endnote w:id="14">
    <w:p w14:paraId="771D3F2A" w14:textId="77777777" w:rsidR="00560490" w:rsidRDefault="00560490" w:rsidP="00743845">
      <w:pPr>
        <w:pStyle w:val="EndnoteText"/>
      </w:pPr>
      <w:r>
        <w:rPr>
          <w:rStyle w:val="EndnoteReference"/>
        </w:rPr>
        <w:endnoteRef/>
      </w:r>
      <w:r>
        <w:t xml:space="preserve"> </w:t>
      </w:r>
      <w:r w:rsidRPr="00D20366">
        <w:t>Smith KR</w:t>
      </w:r>
      <w:r>
        <w:t>,</w:t>
      </w:r>
      <w:r w:rsidRPr="00D20366">
        <w:t xml:space="preserve"> Woodward</w:t>
      </w:r>
      <w:r>
        <w:t xml:space="preserve"> </w:t>
      </w:r>
      <w:r w:rsidRPr="00D20366">
        <w:t>A</w:t>
      </w:r>
      <w:r>
        <w:t>,</w:t>
      </w:r>
      <w:r w:rsidRPr="00D20366">
        <w:t xml:space="preserve"> Campbell-Lendrum D</w:t>
      </w:r>
      <w:r>
        <w:t>, et al</w:t>
      </w:r>
      <w:r w:rsidRPr="00D20366">
        <w:t xml:space="preserve">. Human health: Impacts, adaptation and co-beneﬁts. In </w:t>
      </w:r>
      <w:r w:rsidRPr="00D20366">
        <w:rPr>
          <w:i/>
          <w:iCs/>
        </w:rPr>
        <w:t>Climate Change 2014: Impacts, Adaptation and Vulnerability. Part A: Global and Sectoral Aspects. Contribution of Working Group II to the Fifth Assessment Report of the Intergovernmental Panel on Climate Change</w:t>
      </w:r>
      <w:r>
        <w:t>.</w:t>
      </w:r>
      <w:r w:rsidRPr="00D20366">
        <w:t xml:space="preserve"> Field C, Barros V, Dokken D,</w:t>
      </w:r>
      <w:r>
        <w:t xml:space="preserve"> et al.</w:t>
      </w:r>
      <w:r w:rsidRPr="00D20366">
        <w:t>, Eds</w:t>
      </w:r>
      <w:r>
        <w:t>.</w:t>
      </w:r>
      <w:r w:rsidRPr="00D20366">
        <w:t xml:space="preserve"> Cambridge University Press: Cambridge, UK, 2014; pp. 709–754.</w:t>
      </w:r>
    </w:p>
  </w:endnote>
  <w:endnote w:id="15">
    <w:p w14:paraId="380D2000" w14:textId="77777777" w:rsidR="00560490" w:rsidRDefault="00560490" w:rsidP="00743845">
      <w:pPr>
        <w:pStyle w:val="EndnoteText"/>
      </w:pPr>
      <w:r>
        <w:rPr>
          <w:rStyle w:val="EndnoteReference"/>
        </w:rPr>
        <w:endnoteRef/>
      </w:r>
      <w:r>
        <w:t xml:space="preserve"> </w:t>
      </w:r>
      <w:r w:rsidRPr="00912B5C">
        <w:t xml:space="preserve">Workman, A, Blashki, G, Bowen, KJ, et al. The political economy of health co-benefits: embedding health in the climate change agenda. </w:t>
      </w:r>
      <w:r w:rsidRPr="00912B5C">
        <w:rPr>
          <w:i/>
          <w:iCs/>
        </w:rPr>
        <w:t xml:space="preserve">International Journal of Environmental Research and Public Health </w:t>
      </w:r>
      <w:r w:rsidRPr="00912B5C">
        <w:t xml:space="preserve">2018, </w:t>
      </w:r>
      <w:r w:rsidRPr="00912B5C">
        <w:rPr>
          <w:b/>
          <w:bCs/>
        </w:rPr>
        <w:t>15</w:t>
      </w:r>
      <w:r w:rsidRPr="00912B5C">
        <w:t>: 674.</w:t>
      </w:r>
    </w:p>
  </w:endnote>
  <w:endnote w:id="16">
    <w:p w14:paraId="6A916FA6" w14:textId="77777777" w:rsidR="00560490" w:rsidRDefault="00560490" w:rsidP="00743845">
      <w:pPr>
        <w:pStyle w:val="EndnoteText"/>
      </w:pPr>
      <w:r>
        <w:rPr>
          <w:rStyle w:val="EndnoteReference"/>
        </w:rPr>
        <w:endnoteRef/>
      </w:r>
      <w:r>
        <w:t xml:space="preserve"> </w:t>
      </w:r>
      <w:r w:rsidRPr="003E10D0">
        <w:t>Watts N, Amann M, Arnell, N,</w:t>
      </w:r>
      <w:r>
        <w:t xml:space="preserve"> et al.</w:t>
      </w:r>
      <w:r w:rsidRPr="003E10D0">
        <w:t xml:space="preserve"> The 2019 report of The Lancet Countdown on health and climate change: ensuring that the health of a child born today is not defined by a changing climate. </w:t>
      </w:r>
      <w:r w:rsidRPr="003E10D0">
        <w:rPr>
          <w:i/>
          <w:iCs/>
        </w:rPr>
        <w:t>The Lancet</w:t>
      </w:r>
      <w:r>
        <w:t xml:space="preserve"> 2019;</w:t>
      </w:r>
      <w:r w:rsidRPr="003E10D0">
        <w:t xml:space="preserve"> </w:t>
      </w:r>
      <w:r w:rsidRPr="003E10D0">
        <w:rPr>
          <w:b/>
          <w:bCs/>
        </w:rPr>
        <w:t>394</w:t>
      </w:r>
      <w:r>
        <w:t xml:space="preserve">: </w:t>
      </w:r>
      <w:r w:rsidRPr="003E10D0">
        <w:t>1836-1878.</w:t>
      </w:r>
    </w:p>
  </w:endnote>
  <w:endnote w:id="17">
    <w:p w14:paraId="45AB7634" w14:textId="24BEE6A3" w:rsidR="00560490" w:rsidRPr="004551FA" w:rsidRDefault="00560490">
      <w:pPr>
        <w:pStyle w:val="EndnoteText"/>
      </w:pPr>
      <w:r>
        <w:rPr>
          <w:rStyle w:val="EndnoteReference"/>
        </w:rPr>
        <w:endnoteRef/>
      </w:r>
      <w:r>
        <w:t xml:space="preserve"> Leinaweaver J, Thomson R. The elusive governance of climate change: Nationally Determined Contributions as commitments and negotiating positions. </w:t>
      </w:r>
      <w:r>
        <w:rPr>
          <w:i/>
          <w:iCs/>
        </w:rPr>
        <w:t xml:space="preserve">Global Environmental Politics </w:t>
      </w:r>
      <w:r>
        <w:t xml:space="preserve">2020, forthcoming. </w:t>
      </w:r>
    </w:p>
  </w:endnote>
  <w:endnote w:id="18">
    <w:p w14:paraId="230B3A36" w14:textId="541BDDF1" w:rsidR="00560490" w:rsidRDefault="00560490">
      <w:pPr>
        <w:pStyle w:val="EndnoteText"/>
      </w:pPr>
      <w:r>
        <w:rPr>
          <w:rStyle w:val="EndnoteReference"/>
        </w:rPr>
        <w:endnoteRef/>
      </w:r>
      <w:r>
        <w:t xml:space="preserve"> </w:t>
      </w:r>
      <w:r w:rsidRPr="003E10D0">
        <w:t>Atteridge</w:t>
      </w:r>
      <w:r>
        <w:t xml:space="preserve"> A</w:t>
      </w:r>
      <w:r w:rsidRPr="003E10D0">
        <w:t>, Verkuijlb</w:t>
      </w:r>
      <w:r>
        <w:t xml:space="preserve"> C,</w:t>
      </w:r>
      <w:r w:rsidRPr="003E10D0">
        <w:t xml:space="preserve"> and Dzeboa</w:t>
      </w:r>
      <w:r>
        <w:t xml:space="preserve"> A. </w:t>
      </w:r>
      <w:r w:rsidRPr="003E10D0">
        <w:t>Nationally determined contributions (NDCs) as instruments for promoting national development agendas? An analysis of small island developing states (SIDS)</w:t>
      </w:r>
      <w:r>
        <w:t xml:space="preserve">. </w:t>
      </w:r>
      <w:r>
        <w:rPr>
          <w:i/>
          <w:iCs/>
        </w:rPr>
        <w:t>Climate Policy</w:t>
      </w:r>
      <w:r>
        <w:t xml:space="preserve"> </w:t>
      </w:r>
      <w:r w:rsidRPr="003E10D0">
        <w:t>2020</w:t>
      </w:r>
      <w:r>
        <w:t>;</w:t>
      </w:r>
      <w:r w:rsidRPr="003E10D0">
        <w:t xml:space="preserve"> </w:t>
      </w:r>
      <w:r w:rsidRPr="003E10D0">
        <w:rPr>
          <w:b/>
          <w:bCs/>
        </w:rPr>
        <w:t>20</w:t>
      </w:r>
      <w:r>
        <w:t>:</w:t>
      </w:r>
      <w:r w:rsidRPr="003E10D0">
        <w:t xml:space="preserve"> 485–498</w:t>
      </w:r>
    </w:p>
  </w:endnote>
  <w:endnote w:id="19">
    <w:p w14:paraId="5E192247" w14:textId="1033B8D3" w:rsidR="00560490" w:rsidRDefault="00560490">
      <w:pPr>
        <w:pStyle w:val="EndnoteText"/>
      </w:pPr>
      <w:r>
        <w:rPr>
          <w:rStyle w:val="EndnoteReference"/>
        </w:rPr>
        <w:endnoteRef/>
      </w:r>
      <w:r>
        <w:t xml:space="preserve"> Tobin P, Schmidt NM, Tosun J, Burns C. Mapping states’ Paris climate pledges: Analysing targets and groups at COP 21. </w:t>
      </w:r>
      <w:r>
        <w:rPr>
          <w:i/>
          <w:iCs/>
        </w:rPr>
        <w:t>Global Environmental Change</w:t>
      </w:r>
      <w:r>
        <w:t xml:space="preserve"> 2018; </w:t>
      </w:r>
      <w:r>
        <w:rPr>
          <w:b/>
          <w:bCs/>
        </w:rPr>
        <w:t>48</w:t>
      </w:r>
      <w:r>
        <w:t>: 11-21.</w:t>
      </w:r>
    </w:p>
  </w:endnote>
  <w:endnote w:id="20">
    <w:p w14:paraId="7C3C6670" w14:textId="52A305BC" w:rsidR="00560490" w:rsidRDefault="00560490">
      <w:pPr>
        <w:pStyle w:val="EndnoteText"/>
      </w:pPr>
      <w:r>
        <w:rPr>
          <w:rStyle w:val="EndnoteReference"/>
        </w:rPr>
        <w:endnoteRef/>
      </w:r>
      <w:r>
        <w:t xml:space="preserve"> </w:t>
      </w:r>
      <w:r w:rsidRPr="00E37BFF">
        <w:t>Tørstad V</w:t>
      </w:r>
      <w:r>
        <w:t>,</w:t>
      </w:r>
      <w:r w:rsidRPr="00E37BFF">
        <w:t xml:space="preserve"> Sælen</w:t>
      </w:r>
      <w:r>
        <w:t xml:space="preserve"> H</w:t>
      </w:r>
      <w:r w:rsidRPr="00E37BFF">
        <w:t>, and Bøyum</w:t>
      </w:r>
      <w:r>
        <w:t xml:space="preserve"> LS</w:t>
      </w:r>
      <w:r w:rsidRPr="00E37BFF">
        <w:t>. The domestic politics of international climate commitments: which factors explain cross-country variation in NDC ambition? </w:t>
      </w:r>
      <w:r w:rsidRPr="00E37BFF">
        <w:rPr>
          <w:i/>
          <w:iCs/>
        </w:rPr>
        <w:t>Environmental Research Letters</w:t>
      </w:r>
      <w:r w:rsidRPr="00E37BFF">
        <w:t> </w:t>
      </w:r>
      <w:r>
        <w:t xml:space="preserve">2020; </w:t>
      </w:r>
      <w:r w:rsidRPr="00E37BFF">
        <w:rPr>
          <w:b/>
          <w:bCs/>
        </w:rPr>
        <w:t>15</w:t>
      </w:r>
      <w:r w:rsidRPr="00E37BFF">
        <w:t>: 024021.</w:t>
      </w:r>
    </w:p>
  </w:endnote>
  <w:endnote w:id="21">
    <w:p w14:paraId="6875105D" w14:textId="77777777" w:rsidR="00560490" w:rsidRDefault="00560490" w:rsidP="00743845">
      <w:pPr>
        <w:pStyle w:val="EndnoteText"/>
      </w:pPr>
      <w:r>
        <w:rPr>
          <w:rStyle w:val="EndnoteReference"/>
        </w:rPr>
        <w:endnoteRef/>
      </w:r>
      <w:r>
        <w:t xml:space="preserve"> </w:t>
      </w:r>
      <w:r w:rsidRPr="00D20366">
        <w:t>UNFCCC [United Nations Framework Convention on Climate Change]. Party Group</w:t>
      </w:r>
      <w:r>
        <w:t>ing</w:t>
      </w:r>
      <w:r w:rsidRPr="00D20366">
        <w:t>s</w:t>
      </w:r>
      <w:r>
        <w:t>. 2014</w:t>
      </w:r>
      <w:r w:rsidRPr="00D20366">
        <w:t xml:space="preserve"> </w:t>
      </w:r>
      <w:hyperlink r:id="rId4" w:history="1">
        <w:r w:rsidRPr="00092F1F">
          <w:rPr>
            <w:rStyle w:val="Hyperlink"/>
          </w:rPr>
          <w:t>https://unfccc.int/process-and-meetings/parties-non-party-stakeholders/parties/party-groupings</w:t>
        </w:r>
      </w:hyperlink>
      <w:r>
        <w:t xml:space="preserve"> (</w:t>
      </w:r>
      <w:r w:rsidRPr="00D20366">
        <w:t>Accessed May</w:t>
      </w:r>
      <w:r>
        <w:t xml:space="preserve"> 8,</w:t>
      </w:r>
      <w:r w:rsidRPr="00D20366">
        <w:t xml:space="preserve"> 2020</w:t>
      </w:r>
      <w:r>
        <w:t>).</w:t>
      </w:r>
    </w:p>
  </w:endnote>
  <w:endnote w:id="22">
    <w:p w14:paraId="6E01B08D" w14:textId="77777777" w:rsidR="00560490" w:rsidRDefault="00560490" w:rsidP="00743845">
      <w:pPr>
        <w:pStyle w:val="EndnoteText"/>
      </w:pPr>
      <w:r>
        <w:rPr>
          <w:rStyle w:val="EndnoteReference"/>
        </w:rPr>
        <w:endnoteRef/>
      </w:r>
      <w:r>
        <w:t xml:space="preserve"> Tobin P, Schmidt NM, Tosun J, Burns C. Mapping states’ Paris climate pledges: Analysing targets and groups at COP 21. </w:t>
      </w:r>
      <w:r>
        <w:rPr>
          <w:i/>
          <w:iCs/>
        </w:rPr>
        <w:t>Global Environmental Change</w:t>
      </w:r>
      <w:r>
        <w:t xml:space="preserve"> 2018; </w:t>
      </w:r>
      <w:r>
        <w:rPr>
          <w:b/>
          <w:bCs/>
        </w:rPr>
        <w:t>48</w:t>
      </w:r>
      <w:r>
        <w:t>: 11-21.</w:t>
      </w:r>
    </w:p>
  </w:endnote>
  <w:endnote w:id="23">
    <w:p w14:paraId="51DEF939" w14:textId="77777777" w:rsidR="00560490" w:rsidRDefault="00560490" w:rsidP="00743845">
      <w:pPr>
        <w:pStyle w:val="EndnoteText"/>
      </w:pPr>
      <w:r>
        <w:rPr>
          <w:rStyle w:val="EndnoteReference"/>
        </w:rPr>
        <w:endnoteRef/>
      </w:r>
      <w:r>
        <w:t xml:space="preserve"> </w:t>
      </w:r>
      <w:r w:rsidRPr="00E37BFF">
        <w:t>Tørstad V</w:t>
      </w:r>
      <w:r>
        <w:t>,</w:t>
      </w:r>
      <w:r w:rsidRPr="00E37BFF">
        <w:t xml:space="preserve"> Sælen</w:t>
      </w:r>
      <w:r>
        <w:t xml:space="preserve"> H</w:t>
      </w:r>
      <w:r w:rsidRPr="00E37BFF">
        <w:t>, and Bøyum</w:t>
      </w:r>
      <w:r>
        <w:t xml:space="preserve"> LS</w:t>
      </w:r>
      <w:r w:rsidRPr="00E37BFF">
        <w:t>. The domestic politics of international climate commitments: which factors explain cross-country variation in NDC ambition? </w:t>
      </w:r>
      <w:r w:rsidRPr="00E37BFF">
        <w:rPr>
          <w:i/>
          <w:iCs/>
        </w:rPr>
        <w:t>Environmental Research Letters</w:t>
      </w:r>
      <w:r w:rsidRPr="00E37BFF">
        <w:t> </w:t>
      </w:r>
      <w:r>
        <w:t xml:space="preserve">2020; </w:t>
      </w:r>
      <w:r w:rsidRPr="00E37BFF">
        <w:rPr>
          <w:b/>
          <w:bCs/>
        </w:rPr>
        <w:t>15</w:t>
      </w:r>
      <w:r w:rsidRPr="00E37BFF">
        <w:t>: 024021.</w:t>
      </w:r>
    </w:p>
  </w:endnote>
  <w:endnote w:id="24">
    <w:p w14:paraId="720BDE0A" w14:textId="77777777" w:rsidR="00560490" w:rsidRPr="00D42062" w:rsidRDefault="00560490" w:rsidP="00743845">
      <w:pPr>
        <w:pStyle w:val="EndnoteText"/>
      </w:pPr>
      <w:r>
        <w:rPr>
          <w:rStyle w:val="EndnoteReference"/>
        </w:rPr>
        <w:endnoteRef/>
      </w:r>
      <w:r>
        <w:t xml:space="preserve"> Pauw, WP, Klein RJT, Mbeva K, et al. </w:t>
      </w:r>
      <w:r w:rsidRPr="00D42062">
        <w:t>Beyond headline mitigation numbers: we need more transparent and comparable NDCs to achieve the Paris Agreement on climate change</w:t>
      </w:r>
      <w:r>
        <w:t xml:space="preserve">. </w:t>
      </w:r>
      <w:r>
        <w:rPr>
          <w:i/>
          <w:iCs/>
        </w:rPr>
        <w:t>Climate Change</w:t>
      </w:r>
      <w:r>
        <w:t xml:space="preserve"> 2018; </w:t>
      </w:r>
      <w:r>
        <w:rPr>
          <w:b/>
          <w:bCs/>
        </w:rPr>
        <w:t>147</w:t>
      </w:r>
      <w:r>
        <w:t>: 23-19.</w:t>
      </w:r>
    </w:p>
  </w:endnote>
  <w:endnote w:id="25">
    <w:p w14:paraId="7AEDA876" w14:textId="59360FAF" w:rsidR="00560490" w:rsidRDefault="00560490">
      <w:pPr>
        <w:pStyle w:val="EndnoteText"/>
      </w:pPr>
      <w:r>
        <w:rPr>
          <w:rStyle w:val="EndnoteReference"/>
        </w:rPr>
        <w:endnoteRef/>
      </w:r>
      <w:r>
        <w:t xml:space="preserve"> Dasandi N, Graham H, Lampard P, and Jankin Mikhaylov S. Intergovernmental engagement on health impacts of climate change, </w:t>
      </w:r>
      <w:r>
        <w:rPr>
          <w:i/>
          <w:iCs/>
        </w:rPr>
        <w:t>Bulletin of the World Health Organization</w:t>
      </w:r>
      <w:r>
        <w:t xml:space="preserve"> 2020. Online first. </w:t>
      </w:r>
      <w:hyperlink r:id="rId5" w:history="1">
        <w:r w:rsidRPr="002D76CD">
          <w:rPr>
            <w:rStyle w:val="Hyperlink"/>
          </w:rPr>
          <w:t>https://www.who.int/bulletin/online_first/BLT.20.270033.pdf?ua=1</w:t>
        </w:r>
      </w:hyperlink>
      <w:r>
        <w:t xml:space="preserve"> (accessed  November 17, 2020).  </w:t>
      </w:r>
    </w:p>
  </w:endnote>
  <w:endnote w:id="26">
    <w:p w14:paraId="4C5219C5" w14:textId="77777777" w:rsidR="00560490" w:rsidRPr="002828CB" w:rsidRDefault="00560490" w:rsidP="00743845">
      <w:pPr>
        <w:pStyle w:val="EndnoteText"/>
      </w:pPr>
      <w:r>
        <w:rPr>
          <w:rStyle w:val="EndnoteReference"/>
        </w:rPr>
        <w:endnoteRef/>
      </w:r>
      <w:r>
        <w:t xml:space="preserve"> Mills-Nova M, and Liverman DM. Nationally Determined Contributions: material climate commitments and discursive positioning in the NDCs. </w:t>
      </w:r>
      <w:r>
        <w:rPr>
          <w:i/>
          <w:iCs/>
        </w:rPr>
        <w:t xml:space="preserve">WIREs Climate Change </w:t>
      </w:r>
      <w:r>
        <w:t xml:space="preserve">2019, </w:t>
      </w:r>
      <w:r w:rsidRPr="001744CF">
        <w:rPr>
          <w:b/>
          <w:bCs/>
        </w:rPr>
        <w:t>10</w:t>
      </w:r>
      <w:r>
        <w:t>: e589.</w:t>
      </w:r>
    </w:p>
  </w:endnote>
  <w:endnote w:id="27">
    <w:p w14:paraId="4B522E46" w14:textId="14464868" w:rsidR="00560490" w:rsidRDefault="00560490" w:rsidP="008D1AD3">
      <w:pPr>
        <w:pStyle w:val="EndnoteText"/>
      </w:pPr>
      <w:r>
        <w:rPr>
          <w:rStyle w:val="EndnoteReference"/>
        </w:rPr>
        <w:endnoteRef/>
      </w:r>
      <w:r>
        <w:t xml:space="preserve"> </w:t>
      </w:r>
      <w:r w:rsidRPr="00D20366">
        <w:t xml:space="preserve">UNFCCC [United Nations Framework Convention on Climate Change]. </w:t>
      </w:r>
      <w:r>
        <w:t xml:space="preserve"> NDC Registry 2020. </w:t>
      </w:r>
      <w:hyperlink r:id="rId6" w:history="1">
        <w:r w:rsidRPr="00092F1F">
          <w:rPr>
            <w:rStyle w:val="Hyperlink"/>
          </w:rPr>
          <w:t>https://www4.unfccc.int/sites/NDCStaging/Pages/All.aspx</w:t>
        </w:r>
      </w:hyperlink>
      <w:r>
        <w:t xml:space="preserve"> (accessed May 15, 2020).</w:t>
      </w:r>
    </w:p>
  </w:endnote>
  <w:endnote w:id="28">
    <w:p w14:paraId="2F44F5A0" w14:textId="22FB5CF7" w:rsidR="00560490" w:rsidRPr="00D521A1" w:rsidRDefault="00560490">
      <w:pPr>
        <w:pStyle w:val="EndnoteText"/>
      </w:pPr>
      <w:r>
        <w:rPr>
          <w:rStyle w:val="EndnoteReference"/>
        </w:rPr>
        <w:endnoteRef/>
      </w:r>
      <w:r>
        <w:t xml:space="preserve"> Baturo A, Dasandi N, Jankin Mikhaylov S. Understanding state preferences with Text As Data: Introducing the UN General Debate Corpus. </w:t>
      </w:r>
      <w:r>
        <w:rPr>
          <w:i/>
          <w:iCs/>
        </w:rPr>
        <w:t>Research &amp; Politics</w:t>
      </w:r>
      <w:r>
        <w:t xml:space="preserve"> 2017; </w:t>
      </w:r>
      <w:r>
        <w:rPr>
          <w:b/>
          <w:bCs/>
        </w:rPr>
        <w:t>4</w:t>
      </w:r>
      <w:r>
        <w:t>: 2053168017712821.</w:t>
      </w:r>
    </w:p>
  </w:endnote>
  <w:endnote w:id="29">
    <w:p w14:paraId="087A4B22" w14:textId="705C0389" w:rsidR="00560490" w:rsidRPr="00B07AE3" w:rsidRDefault="00560490" w:rsidP="00015901">
      <w:pPr>
        <w:pStyle w:val="EndnoteText"/>
        <w:rPr>
          <w:i/>
          <w:iCs/>
        </w:rPr>
      </w:pPr>
      <w:r>
        <w:rPr>
          <w:rStyle w:val="EndnoteReference"/>
        </w:rPr>
        <w:endnoteRef/>
      </w:r>
      <w:r>
        <w:t xml:space="preserve"> Blei DM, Ng AY, and Jordan MI. Latent dirichlet allocation. </w:t>
      </w:r>
      <w:r w:rsidRPr="00B07AE3">
        <w:rPr>
          <w:i/>
          <w:iCs/>
        </w:rPr>
        <w:t>Journal</w:t>
      </w:r>
    </w:p>
    <w:p w14:paraId="78F0953A" w14:textId="6F02D6E6" w:rsidR="00560490" w:rsidRDefault="00560490" w:rsidP="00015901">
      <w:pPr>
        <w:pStyle w:val="EndnoteText"/>
      </w:pPr>
      <w:r w:rsidRPr="00B07AE3">
        <w:rPr>
          <w:i/>
          <w:iCs/>
        </w:rPr>
        <w:t>of Machine Learning Research</w:t>
      </w:r>
      <w:r>
        <w:t xml:space="preserve"> 2003; </w:t>
      </w:r>
      <w:r w:rsidRPr="00B07AE3">
        <w:rPr>
          <w:b/>
          <w:bCs/>
        </w:rPr>
        <w:t>3</w:t>
      </w:r>
      <w:r>
        <w:t>:993–1022.</w:t>
      </w:r>
    </w:p>
  </w:endnote>
  <w:endnote w:id="30">
    <w:p w14:paraId="7314AD93" w14:textId="77777777" w:rsidR="00560490" w:rsidRDefault="00560490" w:rsidP="001D58A2">
      <w:pPr>
        <w:pStyle w:val="EndnoteText"/>
      </w:pPr>
      <w:r>
        <w:rPr>
          <w:rStyle w:val="EndnoteReference"/>
        </w:rPr>
        <w:endnoteRef/>
      </w:r>
      <w:r>
        <w:t xml:space="preserve"> </w:t>
      </w:r>
      <w:r w:rsidRPr="002A1B39">
        <w:t>Eshima</w:t>
      </w:r>
      <w:r>
        <w:t xml:space="preserve"> </w:t>
      </w:r>
      <w:r w:rsidRPr="002A1B39">
        <w:t>S, Imai</w:t>
      </w:r>
      <w:r>
        <w:t xml:space="preserve"> K</w:t>
      </w:r>
      <w:r w:rsidRPr="002A1B39">
        <w:t>, and Sasaki</w:t>
      </w:r>
      <w:r>
        <w:t xml:space="preserve"> T</w:t>
      </w:r>
      <w:r w:rsidRPr="002A1B39">
        <w:t xml:space="preserve">. Keyword </w:t>
      </w:r>
      <w:r>
        <w:t>a</w:t>
      </w:r>
      <w:r w:rsidRPr="002A1B39">
        <w:t xml:space="preserve">ssisted </w:t>
      </w:r>
      <w:r>
        <w:t>t</w:t>
      </w:r>
      <w:r w:rsidRPr="002A1B39">
        <w:t xml:space="preserve">opic </w:t>
      </w:r>
      <w:r>
        <w:t>m</w:t>
      </w:r>
      <w:r w:rsidRPr="002A1B39">
        <w:t>odels. </w:t>
      </w:r>
      <w:r w:rsidRPr="002A1B39">
        <w:rPr>
          <w:i/>
          <w:iCs/>
        </w:rPr>
        <w:t>arXiv preprint arXiv:2004.05964</w:t>
      </w:r>
      <w:r w:rsidRPr="002A1B39">
        <w:t> 2020.</w:t>
      </w:r>
    </w:p>
  </w:endnote>
  <w:endnote w:id="31">
    <w:p w14:paraId="6AF4C412" w14:textId="3AF7D365" w:rsidR="00560490" w:rsidRPr="002A1B39" w:rsidRDefault="00560490">
      <w:pPr>
        <w:pStyle w:val="EndnoteText"/>
      </w:pPr>
      <w:r>
        <w:rPr>
          <w:rStyle w:val="EndnoteReference"/>
        </w:rPr>
        <w:endnoteRef/>
      </w:r>
      <w:r>
        <w:t xml:space="preserve"> Bondi M and Scott M (eds.). </w:t>
      </w:r>
      <w:r>
        <w:rPr>
          <w:i/>
          <w:iCs/>
        </w:rPr>
        <w:t>Keyness in texts</w:t>
      </w:r>
      <w:r>
        <w:t xml:space="preserve">. Amsterdam: John Benjamins. </w:t>
      </w:r>
    </w:p>
  </w:endnote>
  <w:endnote w:id="32">
    <w:p w14:paraId="13A45C52" w14:textId="398F8872" w:rsidR="00560490" w:rsidRPr="00B07AE3" w:rsidRDefault="00560490" w:rsidP="00B07AE3">
      <w:pPr>
        <w:pStyle w:val="EndnoteText"/>
      </w:pPr>
      <w:r>
        <w:rPr>
          <w:rStyle w:val="EndnoteReference"/>
        </w:rPr>
        <w:endnoteRef/>
      </w:r>
      <w:r>
        <w:t xml:space="preserve"> Watts N, Amann M, Arnell N, et al. </w:t>
      </w:r>
      <w:r w:rsidRPr="00B07AE3">
        <w:t>The 2018 report of the Lancet Countdown on health and</w:t>
      </w:r>
      <w:r>
        <w:t xml:space="preserve"> </w:t>
      </w:r>
      <w:r w:rsidRPr="00B07AE3">
        <w:t>climate change: shaping the health of nations for centuries</w:t>
      </w:r>
      <w:r>
        <w:t xml:space="preserve"> </w:t>
      </w:r>
      <w:r w:rsidRPr="00B07AE3">
        <w:t>to come</w:t>
      </w:r>
      <w:r>
        <w:t xml:space="preserve">. </w:t>
      </w:r>
      <w:r>
        <w:rPr>
          <w:i/>
          <w:iCs/>
        </w:rPr>
        <w:t>The Lancet</w:t>
      </w:r>
      <w:r>
        <w:t xml:space="preserve"> 2018; </w:t>
      </w:r>
      <w:r w:rsidRPr="00B07AE3">
        <w:rPr>
          <w:b/>
          <w:bCs/>
        </w:rPr>
        <w:t>392</w:t>
      </w:r>
      <w:r w:rsidRPr="00B07AE3">
        <w:t>: 2479-2514</w:t>
      </w:r>
    </w:p>
  </w:endnote>
  <w:endnote w:id="33">
    <w:p w14:paraId="096E9651" w14:textId="0947C2E2" w:rsidR="00560490" w:rsidRDefault="00560490">
      <w:pPr>
        <w:pStyle w:val="EndnoteText"/>
      </w:pPr>
      <w:r>
        <w:rPr>
          <w:rStyle w:val="EndnoteReference"/>
        </w:rPr>
        <w:endnoteRef/>
      </w:r>
      <w:r>
        <w:t xml:space="preserve"> </w:t>
      </w:r>
      <w:r w:rsidRPr="001078C2">
        <w:t>World Bank Group. World development indicators 201</w:t>
      </w:r>
      <w:r>
        <w:t>6</w:t>
      </w:r>
      <w:r w:rsidRPr="001078C2">
        <w:t xml:space="preserve">. https://data.worldbank.org/products/wdi (accessed </w:t>
      </w:r>
      <w:r>
        <w:t>May 1</w:t>
      </w:r>
      <w:r w:rsidRPr="001078C2">
        <w:t>, 20</w:t>
      </w:r>
      <w:r>
        <w:t>20</w:t>
      </w:r>
      <w:r w:rsidRPr="001078C2">
        <w:t>)</w:t>
      </w:r>
    </w:p>
  </w:endnote>
  <w:endnote w:id="34">
    <w:p w14:paraId="5E9A7FAF" w14:textId="45C8A7E0" w:rsidR="00560490" w:rsidRPr="00453DE1" w:rsidRDefault="00560490">
      <w:pPr>
        <w:pStyle w:val="EndnoteText"/>
      </w:pPr>
      <w:r>
        <w:rPr>
          <w:rStyle w:val="EndnoteReference"/>
        </w:rPr>
        <w:endnoteRef/>
      </w:r>
      <w:r>
        <w:t xml:space="preserve"> Hadenius A and Teorell J. Asessing alternative indices of democracy. </w:t>
      </w:r>
      <w:r>
        <w:rPr>
          <w:i/>
          <w:iCs/>
        </w:rPr>
        <w:t>C&amp;M Working Paper</w:t>
      </w:r>
      <w:r>
        <w:t xml:space="preserve"> 2005. </w:t>
      </w:r>
    </w:p>
  </w:endnote>
  <w:endnote w:id="35">
    <w:p w14:paraId="0A5A960D" w14:textId="374241AB" w:rsidR="00560490" w:rsidRDefault="00560490">
      <w:pPr>
        <w:pStyle w:val="EndnoteText"/>
      </w:pPr>
      <w:r>
        <w:rPr>
          <w:rStyle w:val="EndnoteReference"/>
        </w:rPr>
        <w:endnoteRef/>
      </w:r>
      <w:r>
        <w:t xml:space="preserve"> World Health Organization. Global health observatory repository 2016. </w:t>
      </w:r>
      <w:hyperlink r:id="rId7" w:history="1">
        <w:r w:rsidRPr="00921987">
          <w:rPr>
            <w:rStyle w:val="Hyperlink"/>
          </w:rPr>
          <w:t>https://apps.who.int/gho/data/node.main.152?lang=en</w:t>
        </w:r>
      </w:hyperlink>
      <w:r>
        <w:t xml:space="preserve"> (accessed May 1, 2020). </w:t>
      </w:r>
    </w:p>
  </w:endnote>
  <w:endnote w:id="36">
    <w:p w14:paraId="433B0D3E" w14:textId="11B7933A" w:rsidR="00560490" w:rsidRPr="00B07AE3" w:rsidRDefault="00560490" w:rsidP="00B07AE3">
      <w:pPr>
        <w:pStyle w:val="EndnoteText"/>
      </w:pPr>
      <w:r>
        <w:rPr>
          <w:rStyle w:val="EndnoteReference"/>
        </w:rPr>
        <w:endnoteRef/>
      </w:r>
      <w:r>
        <w:t xml:space="preserve"> Watts N, Amann M, Ayeb-Karlsson S, et al. </w:t>
      </w:r>
      <w:r w:rsidRPr="00B07AE3">
        <w:t>The Lancet Countdown on health and climate change:</w:t>
      </w:r>
      <w:r>
        <w:t xml:space="preserve"> F</w:t>
      </w:r>
      <w:r w:rsidRPr="00B07AE3">
        <w:t>rom 25 years of inaction to a global transformation for</w:t>
      </w:r>
      <w:r>
        <w:t xml:space="preserve"> </w:t>
      </w:r>
      <w:r w:rsidRPr="00B07AE3">
        <w:t>public health</w:t>
      </w:r>
      <w:r>
        <w:t xml:space="preserve">. </w:t>
      </w:r>
      <w:r>
        <w:rPr>
          <w:i/>
          <w:iCs/>
        </w:rPr>
        <w:t>The Lancet</w:t>
      </w:r>
      <w:r>
        <w:t xml:space="preserve"> 2018; </w:t>
      </w:r>
      <w:r w:rsidRPr="00B07AE3">
        <w:rPr>
          <w:b/>
          <w:bCs/>
        </w:rPr>
        <w:t>391</w:t>
      </w:r>
      <w:r w:rsidRPr="00B07AE3">
        <w:t>: 581-630</w:t>
      </w:r>
      <w:r>
        <w:t>.</w:t>
      </w:r>
    </w:p>
  </w:endnote>
  <w:endnote w:id="37">
    <w:p w14:paraId="36B4D94F" w14:textId="7A6360C4" w:rsidR="00560490" w:rsidRDefault="00560490">
      <w:pPr>
        <w:pStyle w:val="EndnoteText"/>
      </w:pPr>
      <w:r>
        <w:rPr>
          <w:rStyle w:val="EndnoteReference"/>
        </w:rPr>
        <w:endnoteRef/>
      </w:r>
      <w:r>
        <w:t xml:space="preserve"> Republic of Korea. Nationally Determined Contribution (NDC). 2016. </w:t>
      </w:r>
      <w:hyperlink r:id="rId8" w:history="1">
        <w:r w:rsidRPr="00EF3D87">
          <w:rPr>
            <w:rStyle w:val="Hyperlink"/>
          </w:rPr>
          <w:t>https://www4.unfccc.int/sites/ndcstaging/PublishedDocuments/Republic%20of%20Korea%20First/INDC%20Submission%20by%20the%20Republic%20of%20Korea%20on%20June%2030.pdf</w:t>
        </w:r>
      </w:hyperlink>
      <w:r>
        <w:t xml:space="preserve"> (accessed May 15, 2020).</w:t>
      </w:r>
    </w:p>
  </w:endnote>
  <w:endnote w:id="38">
    <w:p w14:paraId="41451921" w14:textId="666B7FDF" w:rsidR="00560490" w:rsidRDefault="00560490">
      <w:pPr>
        <w:pStyle w:val="EndnoteText"/>
      </w:pPr>
      <w:r>
        <w:rPr>
          <w:rStyle w:val="EndnoteReference"/>
        </w:rPr>
        <w:endnoteRef/>
      </w:r>
      <w:r>
        <w:t xml:space="preserve"> </w:t>
      </w:r>
      <w:r w:rsidRPr="006749A7">
        <w:t xml:space="preserve">United Nations (UN). </w:t>
      </w:r>
      <w:r w:rsidRPr="006749A7">
        <w:rPr>
          <w:i/>
        </w:rPr>
        <w:t>Paris Agreement</w:t>
      </w:r>
      <w:r w:rsidRPr="006749A7">
        <w:t xml:space="preserve"> [Online]</w:t>
      </w:r>
      <w:r>
        <w:t xml:space="preserve"> 2015</w:t>
      </w:r>
      <w:r w:rsidRPr="006749A7">
        <w:t>.</w:t>
      </w:r>
      <w:r>
        <w:t xml:space="preserve"> </w:t>
      </w:r>
      <w:hyperlink r:id="rId9" w:history="1">
        <w:r w:rsidRPr="00092F1F">
          <w:rPr>
            <w:rStyle w:val="Hyperlink"/>
          </w:rPr>
          <w:t>https://unfccc.int/sites/default/files/english_paris_agreement.pdf</w:t>
        </w:r>
      </w:hyperlink>
      <w:r>
        <w:t xml:space="preserve"> (</w:t>
      </w:r>
      <w:r w:rsidRPr="006749A7">
        <w:t>Accessed May</w:t>
      </w:r>
      <w:r>
        <w:t xml:space="preserve"> 8,</w:t>
      </w:r>
      <w:r w:rsidRPr="006749A7">
        <w:t xml:space="preserve"> 2020</w:t>
      </w:r>
      <w:r>
        <w:t>)</w:t>
      </w:r>
      <w:r w:rsidRPr="006749A7">
        <w:t>.</w:t>
      </w:r>
    </w:p>
  </w:endnote>
  <w:endnote w:id="39">
    <w:p w14:paraId="6318FB4C" w14:textId="1FAA802B" w:rsidR="00560490" w:rsidRDefault="00560490">
      <w:pPr>
        <w:pStyle w:val="EndnoteText"/>
      </w:pPr>
      <w:r>
        <w:rPr>
          <w:rStyle w:val="EndnoteReference"/>
        </w:rPr>
        <w:endnoteRef/>
      </w:r>
      <w:r>
        <w:t xml:space="preserve"> </w:t>
      </w:r>
      <w:r w:rsidRPr="003E10D0">
        <w:t>Atteridge</w:t>
      </w:r>
      <w:r>
        <w:t xml:space="preserve"> A</w:t>
      </w:r>
      <w:r w:rsidRPr="003E10D0">
        <w:t>, Verkuijlb</w:t>
      </w:r>
      <w:r>
        <w:t xml:space="preserve"> C,</w:t>
      </w:r>
      <w:r w:rsidRPr="003E10D0">
        <w:t xml:space="preserve"> and Dzeboa</w:t>
      </w:r>
      <w:r>
        <w:t xml:space="preserve"> A. </w:t>
      </w:r>
      <w:r w:rsidRPr="003E10D0">
        <w:t>Nationally determined contributions (NDCs) as instruments for promoting national development agendas? An analysis of small island developing states (SIDS)</w:t>
      </w:r>
      <w:r>
        <w:t xml:space="preserve">. </w:t>
      </w:r>
      <w:r>
        <w:rPr>
          <w:i/>
          <w:iCs/>
        </w:rPr>
        <w:t>Climate Policy</w:t>
      </w:r>
      <w:r>
        <w:t xml:space="preserve"> </w:t>
      </w:r>
      <w:r w:rsidRPr="003E10D0">
        <w:t>2020</w:t>
      </w:r>
      <w:r>
        <w:t>;</w:t>
      </w:r>
      <w:r w:rsidRPr="003E10D0">
        <w:t xml:space="preserve"> </w:t>
      </w:r>
      <w:r w:rsidRPr="003E10D0">
        <w:rPr>
          <w:b/>
          <w:bCs/>
        </w:rPr>
        <w:t>20</w:t>
      </w:r>
      <w:r>
        <w:t>:</w:t>
      </w:r>
      <w:r w:rsidRPr="003E10D0">
        <w:t xml:space="preserve"> 485–498</w:t>
      </w:r>
      <w:r>
        <w:t>.</w:t>
      </w:r>
    </w:p>
  </w:endnote>
  <w:endnote w:id="40">
    <w:p w14:paraId="67F93FC1" w14:textId="6839C0F3" w:rsidR="00560490" w:rsidRDefault="00560490">
      <w:pPr>
        <w:pStyle w:val="EndnoteText"/>
      </w:pPr>
      <w:r>
        <w:rPr>
          <w:rStyle w:val="EndnoteReference"/>
        </w:rPr>
        <w:endnoteRef/>
      </w:r>
      <w:r>
        <w:t xml:space="preserve"> Mills-Nova M, and Liverman DM. Nationally Determined Contributions: material climate commitments and discursive positioning in the NDCs. </w:t>
      </w:r>
      <w:r>
        <w:rPr>
          <w:i/>
          <w:iCs/>
        </w:rPr>
        <w:t xml:space="preserve">WIREs Climate Change </w:t>
      </w:r>
      <w:r>
        <w:t xml:space="preserve">2019, </w:t>
      </w:r>
      <w:r w:rsidRPr="001744CF">
        <w:rPr>
          <w:b/>
          <w:bCs/>
        </w:rPr>
        <w:t>10</w:t>
      </w:r>
      <w:r>
        <w:t>: e589.</w:t>
      </w:r>
    </w:p>
  </w:endnote>
  <w:endnote w:id="41">
    <w:p w14:paraId="2DF9C165" w14:textId="24B7C9F7" w:rsidR="00560490" w:rsidRDefault="00560490">
      <w:pPr>
        <w:pStyle w:val="EndnoteText"/>
      </w:pPr>
      <w:r>
        <w:rPr>
          <w:rStyle w:val="EndnoteReference"/>
        </w:rPr>
        <w:endnoteRef/>
      </w:r>
      <w:r>
        <w:t xml:space="preserve"> Leinaweaver J, Thomson R. The elusive governance of climate change: Nationally Determined Contributions as commitments and negotiating positions. </w:t>
      </w:r>
      <w:r>
        <w:rPr>
          <w:i/>
          <w:iCs/>
        </w:rPr>
        <w:t xml:space="preserve">Global Environmental Politics </w:t>
      </w:r>
      <w:r>
        <w:t>2020, forthcoming.</w:t>
      </w:r>
    </w:p>
  </w:endnote>
  <w:endnote w:id="42">
    <w:p w14:paraId="082AF421" w14:textId="065D86B6" w:rsidR="00560490" w:rsidRPr="000667BC" w:rsidRDefault="00560490">
      <w:pPr>
        <w:pStyle w:val="EndnoteText"/>
      </w:pPr>
      <w:r>
        <w:rPr>
          <w:rStyle w:val="EndnoteReference"/>
        </w:rPr>
        <w:endnoteRef/>
      </w:r>
      <w:r>
        <w:t xml:space="preserve"> Austin SE, Biesbroek R, Berrang-Ford L, et al. Public health adaptation to climate change in OECD countries. </w:t>
      </w:r>
      <w:r>
        <w:rPr>
          <w:i/>
          <w:iCs/>
        </w:rPr>
        <w:t>International Journal of Environmental Research and Public Health</w:t>
      </w:r>
      <w:r>
        <w:t xml:space="preserve"> 2016; </w:t>
      </w:r>
      <w:r>
        <w:rPr>
          <w:b/>
          <w:bCs/>
        </w:rPr>
        <w:t>13</w:t>
      </w:r>
      <w:r>
        <w:t>: 889.</w:t>
      </w:r>
    </w:p>
  </w:endnote>
  <w:endnote w:id="43">
    <w:p w14:paraId="59552457" w14:textId="7451D013" w:rsidR="00560490" w:rsidRPr="00E608E0" w:rsidRDefault="00560490" w:rsidP="00E608E0">
      <w:pPr>
        <w:pStyle w:val="EndnoteText"/>
      </w:pPr>
      <w:r>
        <w:rPr>
          <w:rStyle w:val="EndnoteReference"/>
        </w:rPr>
        <w:endnoteRef/>
      </w:r>
      <w:r>
        <w:t xml:space="preserve"> </w:t>
      </w:r>
      <w:r w:rsidRPr="00E608E0">
        <w:t>MacDonald KI</w:t>
      </w:r>
      <w:r>
        <w:t>.</w:t>
      </w:r>
      <w:r w:rsidRPr="00E608E0">
        <w:t xml:space="preserve"> Grabbing ‘green’: Cynical reason, instrumental ethics and the production of ‘the green economy’. </w:t>
      </w:r>
      <w:r w:rsidRPr="00E608E0">
        <w:rPr>
          <w:i/>
          <w:iCs/>
        </w:rPr>
        <w:t>Human Geography</w:t>
      </w:r>
      <w:r>
        <w:t xml:space="preserve"> 2013;</w:t>
      </w:r>
      <w:r w:rsidRPr="00E608E0">
        <w:rPr>
          <w:i/>
          <w:iCs/>
        </w:rPr>
        <w:t xml:space="preserve"> </w:t>
      </w:r>
      <w:r w:rsidRPr="00E608E0">
        <w:rPr>
          <w:b/>
          <w:bCs/>
        </w:rPr>
        <w:t>6</w:t>
      </w:r>
      <w:r>
        <w:t>:</w:t>
      </w:r>
      <w:r w:rsidRPr="00E608E0">
        <w:t> 46-63.</w:t>
      </w:r>
    </w:p>
    <w:p w14:paraId="5924E4F0" w14:textId="32600C93" w:rsidR="00560490" w:rsidRDefault="0056049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3059895"/>
      <w:docPartObj>
        <w:docPartGallery w:val="Page Numbers (Bottom of Page)"/>
        <w:docPartUnique/>
      </w:docPartObj>
    </w:sdtPr>
    <w:sdtEndPr>
      <w:rPr>
        <w:rStyle w:val="PageNumber"/>
      </w:rPr>
    </w:sdtEndPr>
    <w:sdtContent>
      <w:p w14:paraId="4D309E57" w14:textId="2C7F724C" w:rsidR="00560490" w:rsidRDefault="00560490" w:rsidP="00076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2407530"/>
      <w:docPartObj>
        <w:docPartGallery w:val="Page Numbers (Bottom of Page)"/>
        <w:docPartUnique/>
      </w:docPartObj>
    </w:sdtPr>
    <w:sdtEndPr>
      <w:rPr>
        <w:rStyle w:val="PageNumber"/>
      </w:rPr>
    </w:sdtEndPr>
    <w:sdtContent>
      <w:p w14:paraId="6D5CAD33" w14:textId="5983D9E5" w:rsidR="00560490" w:rsidRDefault="00835167" w:rsidP="00076255">
        <w:pPr>
          <w:pStyle w:val="Footer"/>
          <w:framePr w:wrap="none" w:vAnchor="text" w:hAnchor="margin" w:xAlign="right" w:y="1"/>
          <w:ind w:right="360"/>
          <w:rPr>
            <w:rStyle w:val="PageNumber"/>
          </w:rPr>
        </w:pPr>
      </w:p>
    </w:sdtContent>
  </w:sdt>
  <w:p w14:paraId="0F954AA1" w14:textId="77777777" w:rsidR="00560490" w:rsidRDefault="00560490" w:rsidP="00AA7E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9901555"/>
      <w:docPartObj>
        <w:docPartGallery w:val="Page Numbers (Bottom of Page)"/>
        <w:docPartUnique/>
      </w:docPartObj>
    </w:sdtPr>
    <w:sdtEndPr>
      <w:rPr>
        <w:noProof/>
      </w:rPr>
    </w:sdtEndPr>
    <w:sdtContent>
      <w:p w14:paraId="3052F9F4" w14:textId="1701E5F0" w:rsidR="00560490" w:rsidRDefault="0056049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0352D81" w14:textId="77777777" w:rsidR="00560490" w:rsidRDefault="00560490" w:rsidP="00FD692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A1267" w14:textId="77777777" w:rsidR="00835167" w:rsidRDefault="00835167" w:rsidP="0043679E">
      <w:pPr>
        <w:spacing w:after="0"/>
      </w:pPr>
      <w:r>
        <w:separator/>
      </w:r>
    </w:p>
  </w:footnote>
  <w:footnote w:type="continuationSeparator" w:id="0">
    <w:p w14:paraId="106A959D" w14:textId="77777777" w:rsidR="00835167" w:rsidRDefault="00835167" w:rsidP="004367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00043"/>
    <w:multiLevelType w:val="hybridMultilevel"/>
    <w:tmpl w:val="B944E1AC"/>
    <w:lvl w:ilvl="0" w:tplc="9A6CB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200EC"/>
    <w:multiLevelType w:val="hybridMultilevel"/>
    <w:tmpl w:val="1FDE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E5978"/>
    <w:multiLevelType w:val="hybridMultilevel"/>
    <w:tmpl w:val="062C2958"/>
    <w:lvl w:ilvl="0" w:tplc="4CA24066">
      <w:numFmt w:val="bullet"/>
      <w:lvlText w:val="-"/>
      <w:lvlJc w:val="left"/>
      <w:pPr>
        <w:ind w:left="720" w:hanging="360"/>
      </w:pPr>
      <w:rPr>
        <w:rFonts w:ascii="Calibri" w:eastAsiaTheme="minorHAnsi" w:hAnsi="Calibri" w:cs="Calibr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FC"/>
    <w:rsid w:val="00004320"/>
    <w:rsid w:val="000049DF"/>
    <w:rsid w:val="000051E6"/>
    <w:rsid w:val="000054EE"/>
    <w:rsid w:val="00005DDF"/>
    <w:rsid w:val="00011061"/>
    <w:rsid w:val="00011760"/>
    <w:rsid w:val="00015901"/>
    <w:rsid w:val="00020175"/>
    <w:rsid w:val="00020242"/>
    <w:rsid w:val="00021036"/>
    <w:rsid w:val="0002125E"/>
    <w:rsid w:val="00021377"/>
    <w:rsid w:val="00024767"/>
    <w:rsid w:val="0002764A"/>
    <w:rsid w:val="000428A1"/>
    <w:rsid w:val="000429A7"/>
    <w:rsid w:val="000459C4"/>
    <w:rsid w:val="000611AC"/>
    <w:rsid w:val="000616E4"/>
    <w:rsid w:val="00062736"/>
    <w:rsid w:val="000630C3"/>
    <w:rsid w:val="00063E2B"/>
    <w:rsid w:val="000667BC"/>
    <w:rsid w:val="0007210A"/>
    <w:rsid w:val="00076255"/>
    <w:rsid w:val="000819CB"/>
    <w:rsid w:val="00082CBA"/>
    <w:rsid w:val="00091946"/>
    <w:rsid w:val="00092988"/>
    <w:rsid w:val="00094D57"/>
    <w:rsid w:val="00096ED8"/>
    <w:rsid w:val="00097594"/>
    <w:rsid w:val="000A260E"/>
    <w:rsid w:val="000A2F0A"/>
    <w:rsid w:val="000A342B"/>
    <w:rsid w:val="000A78C2"/>
    <w:rsid w:val="000B22BB"/>
    <w:rsid w:val="000B36B7"/>
    <w:rsid w:val="000B3E93"/>
    <w:rsid w:val="000B4405"/>
    <w:rsid w:val="000B6AF0"/>
    <w:rsid w:val="000C0062"/>
    <w:rsid w:val="000C301A"/>
    <w:rsid w:val="000D284C"/>
    <w:rsid w:val="000E1C24"/>
    <w:rsid w:val="000E1DB0"/>
    <w:rsid w:val="000E2C3E"/>
    <w:rsid w:val="000E70EF"/>
    <w:rsid w:val="000E72C4"/>
    <w:rsid w:val="000F0515"/>
    <w:rsid w:val="000F1597"/>
    <w:rsid w:val="000F6556"/>
    <w:rsid w:val="00106612"/>
    <w:rsid w:val="001078C2"/>
    <w:rsid w:val="00110C48"/>
    <w:rsid w:val="00112B24"/>
    <w:rsid w:val="00114E70"/>
    <w:rsid w:val="001166C4"/>
    <w:rsid w:val="00117C68"/>
    <w:rsid w:val="00120404"/>
    <w:rsid w:val="001207E3"/>
    <w:rsid w:val="00121311"/>
    <w:rsid w:val="00122FCD"/>
    <w:rsid w:val="00125A37"/>
    <w:rsid w:val="00126A72"/>
    <w:rsid w:val="001328DC"/>
    <w:rsid w:val="00141922"/>
    <w:rsid w:val="00143248"/>
    <w:rsid w:val="00147BA0"/>
    <w:rsid w:val="00147CF9"/>
    <w:rsid w:val="001576EB"/>
    <w:rsid w:val="00162A30"/>
    <w:rsid w:val="001646F6"/>
    <w:rsid w:val="00167885"/>
    <w:rsid w:val="001744CC"/>
    <w:rsid w:val="001744CF"/>
    <w:rsid w:val="00174587"/>
    <w:rsid w:val="00176933"/>
    <w:rsid w:val="00180196"/>
    <w:rsid w:val="001837D5"/>
    <w:rsid w:val="00184032"/>
    <w:rsid w:val="001845BB"/>
    <w:rsid w:val="001855EA"/>
    <w:rsid w:val="001875D9"/>
    <w:rsid w:val="00190B74"/>
    <w:rsid w:val="00190E15"/>
    <w:rsid w:val="001961C8"/>
    <w:rsid w:val="00196AC5"/>
    <w:rsid w:val="001A076B"/>
    <w:rsid w:val="001A398B"/>
    <w:rsid w:val="001A5C40"/>
    <w:rsid w:val="001B1577"/>
    <w:rsid w:val="001B1BEA"/>
    <w:rsid w:val="001B2C55"/>
    <w:rsid w:val="001C4214"/>
    <w:rsid w:val="001C42BD"/>
    <w:rsid w:val="001C7E82"/>
    <w:rsid w:val="001D00C0"/>
    <w:rsid w:val="001D1184"/>
    <w:rsid w:val="001D4361"/>
    <w:rsid w:val="001D453B"/>
    <w:rsid w:val="001D58A2"/>
    <w:rsid w:val="001D5DAE"/>
    <w:rsid w:val="001D6788"/>
    <w:rsid w:val="001D6837"/>
    <w:rsid w:val="001D73EC"/>
    <w:rsid w:val="001E0BCD"/>
    <w:rsid w:val="001E129D"/>
    <w:rsid w:val="001E3B96"/>
    <w:rsid w:val="001F08C7"/>
    <w:rsid w:val="001F1408"/>
    <w:rsid w:val="001F4064"/>
    <w:rsid w:val="001F4F5C"/>
    <w:rsid w:val="001F70C4"/>
    <w:rsid w:val="001F7A51"/>
    <w:rsid w:val="00200852"/>
    <w:rsid w:val="0020222A"/>
    <w:rsid w:val="002038E7"/>
    <w:rsid w:val="00203FD1"/>
    <w:rsid w:val="002041BD"/>
    <w:rsid w:val="002140F4"/>
    <w:rsid w:val="00225C79"/>
    <w:rsid w:val="0022793C"/>
    <w:rsid w:val="002453F8"/>
    <w:rsid w:val="00245B9B"/>
    <w:rsid w:val="00246601"/>
    <w:rsid w:val="00246878"/>
    <w:rsid w:val="00254C96"/>
    <w:rsid w:val="00256453"/>
    <w:rsid w:val="002614BA"/>
    <w:rsid w:val="00261C0E"/>
    <w:rsid w:val="0027399C"/>
    <w:rsid w:val="00273CDF"/>
    <w:rsid w:val="00276E0A"/>
    <w:rsid w:val="002770BB"/>
    <w:rsid w:val="00281ACA"/>
    <w:rsid w:val="002836BE"/>
    <w:rsid w:val="00287E2A"/>
    <w:rsid w:val="002902C5"/>
    <w:rsid w:val="0029296B"/>
    <w:rsid w:val="002A1B39"/>
    <w:rsid w:val="002A1EA0"/>
    <w:rsid w:val="002A221F"/>
    <w:rsid w:val="002A57B9"/>
    <w:rsid w:val="002B357B"/>
    <w:rsid w:val="002B3F6F"/>
    <w:rsid w:val="002B4B12"/>
    <w:rsid w:val="002C053E"/>
    <w:rsid w:val="002C2884"/>
    <w:rsid w:val="002C38DC"/>
    <w:rsid w:val="002C43BB"/>
    <w:rsid w:val="002C521A"/>
    <w:rsid w:val="002D167D"/>
    <w:rsid w:val="002D378E"/>
    <w:rsid w:val="002D5241"/>
    <w:rsid w:val="002D7E84"/>
    <w:rsid w:val="002E252F"/>
    <w:rsid w:val="002E5814"/>
    <w:rsid w:val="002E5C18"/>
    <w:rsid w:val="002E5CAA"/>
    <w:rsid w:val="002E61B3"/>
    <w:rsid w:val="002F09F2"/>
    <w:rsid w:val="002F597D"/>
    <w:rsid w:val="002F676E"/>
    <w:rsid w:val="002F71E1"/>
    <w:rsid w:val="00303326"/>
    <w:rsid w:val="00305304"/>
    <w:rsid w:val="003058F5"/>
    <w:rsid w:val="00314DE6"/>
    <w:rsid w:val="00323BE2"/>
    <w:rsid w:val="00324044"/>
    <w:rsid w:val="00327F1D"/>
    <w:rsid w:val="00333E4B"/>
    <w:rsid w:val="0034415E"/>
    <w:rsid w:val="003462FB"/>
    <w:rsid w:val="00360826"/>
    <w:rsid w:val="00360D37"/>
    <w:rsid w:val="0036125E"/>
    <w:rsid w:val="003636B4"/>
    <w:rsid w:val="00367E7A"/>
    <w:rsid w:val="003739ED"/>
    <w:rsid w:val="00373A50"/>
    <w:rsid w:val="00380345"/>
    <w:rsid w:val="00385781"/>
    <w:rsid w:val="00392009"/>
    <w:rsid w:val="00392E21"/>
    <w:rsid w:val="00394E70"/>
    <w:rsid w:val="0039614C"/>
    <w:rsid w:val="00396F1B"/>
    <w:rsid w:val="003A03BE"/>
    <w:rsid w:val="003A36A3"/>
    <w:rsid w:val="003A4947"/>
    <w:rsid w:val="003A685B"/>
    <w:rsid w:val="003B4B35"/>
    <w:rsid w:val="003B7520"/>
    <w:rsid w:val="003B7E08"/>
    <w:rsid w:val="003C5898"/>
    <w:rsid w:val="003C61ED"/>
    <w:rsid w:val="003C68F6"/>
    <w:rsid w:val="003D098A"/>
    <w:rsid w:val="003D4F01"/>
    <w:rsid w:val="003D653E"/>
    <w:rsid w:val="003E10D0"/>
    <w:rsid w:val="003E1E13"/>
    <w:rsid w:val="003E5727"/>
    <w:rsid w:val="003E5E9E"/>
    <w:rsid w:val="00402AB0"/>
    <w:rsid w:val="00404DD0"/>
    <w:rsid w:val="00406F42"/>
    <w:rsid w:val="00407FEE"/>
    <w:rsid w:val="004112B9"/>
    <w:rsid w:val="00412940"/>
    <w:rsid w:val="00414A5D"/>
    <w:rsid w:val="00417628"/>
    <w:rsid w:val="00420439"/>
    <w:rsid w:val="004239B3"/>
    <w:rsid w:val="00424603"/>
    <w:rsid w:val="00426D4F"/>
    <w:rsid w:val="004322CE"/>
    <w:rsid w:val="00436383"/>
    <w:rsid w:val="0043679E"/>
    <w:rsid w:val="004375A4"/>
    <w:rsid w:val="00440B29"/>
    <w:rsid w:val="00443559"/>
    <w:rsid w:val="00444DC8"/>
    <w:rsid w:val="00445F09"/>
    <w:rsid w:val="00447BD7"/>
    <w:rsid w:val="00453DE1"/>
    <w:rsid w:val="0045461C"/>
    <w:rsid w:val="004551FA"/>
    <w:rsid w:val="00463BB9"/>
    <w:rsid w:val="00464588"/>
    <w:rsid w:val="00465D2C"/>
    <w:rsid w:val="004660E8"/>
    <w:rsid w:val="00467042"/>
    <w:rsid w:val="0047503E"/>
    <w:rsid w:val="00480862"/>
    <w:rsid w:val="00481474"/>
    <w:rsid w:val="004820E8"/>
    <w:rsid w:val="00491AAB"/>
    <w:rsid w:val="00493362"/>
    <w:rsid w:val="00494019"/>
    <w:rsid w:val="00494D12"/>
    <w:rsid w:val="00497A0C"/>
    <w:rsid w:val="00497CF1"/>
    <w:rsid w:val="004B59B0"/>
    <w:rsid w:val="004B7524"/>
    <w:rsid w:val="004B7685"/>
    <w:rsid w:val="004C3706"/>
    <w:rsid w:val="004C602B"/>
    <w:rsid w:val="004C66B3"/>
    <w:rsid w:val="004D1CDF"/>
    <w:rsid w:val="004D2630"/>
    <w:rsid w:val="004D5885"/>
    <w:rsid w:val="004E2A37"/>
    <w:rsid w:val="004E2E1B"/>
    <w:rsid w:val="004E505D"/>
    <w:rsid w:val="004E5C6A"/>
    <w:rsid w:val="004E62AA"/>
    <w:rsid w:val="004E6B03"/>
    <w:rsid w:val="004F0C16"/>
    <w:rsid w:val="004F1A90"/>
    <w:rsid w:val="004F4E51"/>
    <w:rsid w:val="00503617"/>
    <w:rsid w:val="00504E0E"/>
    <w:rsid w:val="00506191"/>
    <w:rsid w:val="00506CEF"/>
    <w:rsid w:val="005108B1"/>
    <w:rsid w:val="005154F9"/>
    <w:rsid w:val="00516826"/>
    <w:rsid w:val="0052019E"/>
    <w:rsid w:val="00523A92"/>
    <w:rsid w:val="00523E52"/>
    <w:rsid w:val="0053284A"/>
    <w:rsid w:val="005343CB"/>
    <w:rsid w:val="00541CAA"/>
    <w:rsid w:val="005463A2"/>
    <w:rsid w:val="00547B23"/>
    <w:rsid w:val="00551276"/>
    <w:rsid w:val="00553B63"/>
    <w:rsid w:val="005543AB"/>
    <w:rsid w:val="00555B79"/>
    <w:rsid w:val="005568DD"/>
    <w:rsid w:val="00557426"/>
    <w:rsid w:val="00557BA6"/>
    <w:rsid w:val="00560490"/>
    <w:rsid w:val="00561757"/>
    <w:rsid w:val="00561F02"/>
    <w:rsid w:val="00562847"/>
    <w:rsid w:val="00562ED9"/>
    <w:rsid w:val="00563BCB"/>
    <w:rsid w:val="00567F2C"/>
    <w:rsid w:val="005715E1"/>
    <w:rsid w:val="00572E55"/>
    <w:rsid w:val="00574B2C"/>
    <w:rsid w:val="00576B40"/>
    <w:rsid w:val="00583EC6"/>
    <w:rsid w:val="0059270E"/>
    <w:rsid w:val="005970CC"/>
    <w:rsid w:val="005A380B"/>
    <w:rsid w:val="005A546B"/>
    <w:rsid w:val="005B03EA"/>
    <w:rsid w:val="005B2FB2"/>
    <w:rsid w:val="005B3E3D"/>
    <w:rsid w:val="005C68BF"/>
    <w:rsid w:val="005D1C6E"/>
    <w:rsid w:val="005E027D"/>
    <w:rsid w:val="005E30C5"/>
    <w:rsid w:val="005E4359"/>
    <w:rsid w:val="005E58A8"/>
    <w:rsid w:val="005F3B1C"/>
    <w:rsid w:val="005F429E"/>
    <w:rsid w:val="005F6A48"/>
    <w:rsid w:val="005F6C39"/>
    <w:rsid w:val="005F7DF2"/>
    <w:rsid w:val="006022BB"/>
    <w:rsid w:val="00607B9C"/>
    <w:rsid w:val="00610CA6"/>
    <w:rsid w:val="006128CE"/>
    <w:rsid w:val="00621F9C"/>
    <w:rsid w:val="00623112"/>
    <w:rsid w:val="006241BB"/>
    <w:rsid w:val="00624BC8"/>
    <w:rsid w:val="00625B8D"/>
    <w:rsid w:val="00631294"/>
    <w:rsid w:val="00633557"/>
    <w:rsid w:val="00635F82"/>
    <w:rsid w:val="00642EE8"/>
    <w:rsid w:val="006461A8"/>
    <w:rsid w:val="00650E5E"/>
    <w:rsid w:val="00651815"/>
    <w:rsid w:val="00654023"/>
    <w:rsid w:val="006543F3"/>
    <w:rsid w:val="0066046D"/>
    <w:rsid w:val="00662A9B"/>
    <w:rsid w:val="006719BD"/>
    <w:rsid w:val="006724F3"/>
    <w:rsid w:val="00672A3B"/>
    <w:rsid w:val="00674209"/>
    <w:rsid w:val="006749A7"/>
    <w:rsid w:val="0069007C"/>
    <w:rsid w:val="00690CE2"/>
    <w:rsid w:val="00693697"/>
    <w:rsid w:val="00694BE3"/>
    <w:rsid w:val="0069634D"/>
    <w:rsid w:val="00697E34"/>
    <w:rsid w:val="006A102F"/>
    <w:rsid w:val="006A262A"/>
    <w:rsid w:val="006A5217"/>
    <w:rsid w:val="006A6A58"/>
    <w:rsid w:val="006B0B64"/>
    <w:rsid w:val="006B54C7"/>
    <w:rsid w:val="006B7166"/>
    <w:rsid w:val="006C1C86"/>
    <w:rsid w:val="006C36D2"/>
    <w:rsid w:val="006C466C"/>
    <w:rsid w:val="006D415A"/>
    <w:rsid w:val="006D66C4"/>
    <w:rsid w:val="006E513D"/>
    <w:rsid w:val="006E7EF2"/>
    <w:rsid w:val="006F3526"/>
    <w:rsid w:val="006F5135"/>
    <w:rsid w:val="006F6534"/>
    <w:rsid w:val="006F7F67"/>
    <w:rsid w:val="00702B95"/>
    <w:rsid w:val="00706A9B"/>
    <w:rsid w:val="007109B0"/>
    <w:rsid w:val="0071379E"/>
    <w:rsid w:val="007303BC"/>
    <w:rsid w:val="00732939"/>
    <w:rsid w:val="00743756"/>
    <w:rsid w:val="00743845"/>
    <w:rsid w:val="0074779B"/>
    <w:rsid w:val="0075148C"/>
    <w:rsid w:val="00751636"/>
    <w:rsid w:val="007547FC"/>
    <w:rsid w:val="007556BB"/>
    <w:rsid w:val="007574D7"/>
    <w:rsid w:val="007611EA"/>
    <w:rsid w:val="0076138F"/>
    <w:rsid w:val="007653B0"/>
    <w:rsid w:val="00766224"/>
    <w:rsid w:val="00772AE3"/>
    <w:rsid w:val="00772DA6"/>
    <w:rsid w:val="0077506C"/>
    <w:rsid w:val="007754D2"/>
    <w:rsid w:val="007760E9"/>
    <w:rsid w:val="0078087B"/>
    <w:rsid w:val="00793071"/>
    <w:rsid w:val="0079551C"/>
    <w:rsid w:val="007964A6"/>
    <w:rsid w:val="00797679"/>
    <w:rsid w:val="00797683"/>
    <w:rsid w:val="007A4E2E"/>
    <w:rsid w:val="007A5CBF"/>
    <w:rsid w:val="007A62A1"/>
    <w:rsid w:val="007A7F22"/>
    <w:rsid w:val="007B55A2"/>
    <w:rsid w:val="007B6845"/>
    <w:rsid w:val="007B6B7B"/>
    <w:rsid w:val="007B7F19"/>
    <w:rsid w:val="007C4055"/>
    <w:rsid w:val="007C4C18"/>
    <w:rsid w:val="007D6847"/>
    <w:rsid w:val="007E0111"/>
    <w:rsid w:val="007E0F76"/>
    <w:rsid w:val="007E7A2F"/>
    <w:rsid w:val="00800189"/>
    <w:rsid w:val="00801925"/>
    <w:rsid w:val="00804708"/>
    <w:rsid w:val="00804C6B"/>
    <w:rsid w:val="008061DE"/>
    <w:rsid w:val="008072F5"/>
    <w:rsid w:val="008102B2"/>
    <w:rsid w:val="00811804"/>
    <w:rsid w:val="00817FA2"/>
    <w:rsid w:val="008228A7"/>
    <w:rsid w:val="00823BF0"/>
    <w:rsid w:val="0082499C"/>
    <w:rsid w:val="00826936"/>
    <w:rsid w:val="00835167"/>
    <w:rsid w:val="008365A1"/>
    <w:rsid w:val="00841952"/>
    <w:rsid w:val="008433D8"/>
    <w:rsid w:val="008475D9"/>
    <w:rsid w:val="00847794"/>
    <w:rsid w:val="00847DB7"/>
    <w:rsid w:val="00850E54"/>
    <w:rsid w:val="00852422"/>
    <w:rsid w:val="00852905"/>
    <w:rsid w:val="0085529A"/>
    <w:rsid w:val="00856B69"/>
    <w:rsid w:val="0086039A"/>
    <w:rsid w:val="00865657"/>
    <w:rsid w:val="00873046"/>
    <w:rsid w:val="00882D7F"/>
    <w:rsid w:val="008846A2"/>
    <w:rsid w:val="00887747"/>
    <w:rsid w:val="00890692"/>
    <w:rsid w:val="008942A3"/>
    <w:rsid w:val="00896002"/>
    <w:rsid w:val="008960E1"/>
    <w:rsid w:val="008A047B"/>
    <w:rsid w:val="008A277D"/>
    <w:rsid w:val="008B5B4D"/>
    <w:rsid w:val="008B5CC9"/>
    <w:rsid w:val="008B782E"/>
    <w:rsid w:val="008B79D6"/>
    <w:rsid w:val="008C53DC"/>
    <w:rsid w:val="008D1AD3"/>
    <w:rsid w:val="008D1DC2"/>
    <w:rsid w:val="008D7DCA"/>
    <w:rsid w:val="008E1C2A"/>
    <w:rsid w:val="008E69D0"/>
    <w:rsid w:val="008E7A50"/>
    <w:rsid w:val="008F6911"/>
    <w:rsid w:val="009033EC"/>
    <w:rsid w:val="009038D1"/>
    <w:rsid w:val="00906A22"/>
    <w:rsid w:val="00912B5C"/>
    <w:rsid w:val="0091459F"/>
    <w:rsid w:val="00915ADD"/>
    <w:rsid w:val="0092138D"/>
    <w:rsid w:val="00921522"/>
    <w:rsid w:val="00924563"/>
    <w:rsid w:val="009254C1"/>
    <w:rsid w:val="00925C85"/>
    <w:rsid w:val="009261DA"/>
    <w:rsid w:val="00926D4E"/>
    <w:rsid w:val="00927151"/>
    <w:rsid w:val="00932EFB"/>
    <w:rsid w:val="009418C9"/>
    <w:rsid w:val="00945FBE"/>
    <w:rsid w:val="00946926"/>
    <w:rsid w:val="00950691"/>
    <w:rsid w:val="009511F3"/>
    <w:rsid w:val="00952D3C"/>
    <w:rsid w:val="00956255"/>
    <w:rsid w:val="0096229F"/>
    <w:rsid w:val="009631C3"/>
    <w:rsid w:val="00963228"/>
    <w:rsid w:val="00963604"/>
    <w:rsid w:val="00967565"/>
    <w:rsid w:val="00967A99"/>
    <w:rsid w:val="00974D12"/>
    <w:rsid w:val="009770E0"/>
    <w:rsid w:val="0098285D"/>
    <w:rsid w:val="00984F87"/>
    <w:rsid w:val="00985140"/>
    <w:rsid w:val="009861E7"/>
    <w:rsid w:val="00991875"/>
    <w:rsid w:val="00993175"/>
    <w:rsid w:val="00995AF3"/>
    <w:rsid w:val="009976BC"/>
    <w:rsid w:val="00997AAF"/>
    <w:rsid w:val="009A0BF1"/>
    <w:rsid w:val="009A7A08"/>
    <w:rsid w:val="009B4329"/>
    <w:rsid w:val="009B6C04"/>
    <w:rsid w:val="009C0E6B"/>
    <w:rsid w:val="009C5885"/>
    <w:rsid w:val="009D53FF"/>
    <w:rsid w:val="009D5B2D"/>
    <w:rsid w:val="009E0912"/>
    <w:rsid w:val="009E4AF6"/>
    <w:rsid w:val="009E5940"/>
    <w:rsid w:val="009E5A8E"/>
    <w:rsid w:val="009F19E8"/>
    <w:rsid w:val="009F6038"/>
    <w:rsid w:val="009F7C03"/>
    <w:rsid w:val="00A138E3"/>
    <w:rsid w:val="00A13DFD"/>
    <w:rsid w:val="00A141D8"/>
    <w:rsid w:val="00A14AE3"/>
    <w:rsid w:val="00A16648"/>
    <w:rsid w:val="00A20801"/>
    <w:rsid w:val="00A209C3"/>
    <w:rsid w:val="00A264BF"/>
    <w:rsid w:val="00A31248"/>
    <w:rsid w:val="00A31AF3"/>
    <w:rsid w:val="00A5065C"/>
    <w:rsid w:val="00A51275"/>
    <w:rsid w:val="00A51AEF"/>
    <w:rsid w:val="00A51AFA"/>
    <w:rsid w:val="00A54B6B"/>
    <w:rsid w:val="00A553AA"/>
    <w:rsid w:val="00A560F7"/>
    <w:rsid w:val="00A62CB1"/>
    <w:rsid w:val="00A67F84"/>
    <w:rsid w:val="00A710A5"/>
    <w:rsid w:val="00A72797"/>
    <w:rsid w:val="00A72C8F"/>
    <w:rsid w:val="00A73197"/>
    <w:rsid w:val="00A73EE2"/>
    <w:rsid w:val="00A8285C"/>
    <w:rsid w:val="00A854F3"/>
    <w:rsid w:val="00A954A4"/>
    <w:rsid w:val="00AA1754"/>
    <w:rsid w:val="00AA4C3A"/>
    <w:rsid w:val="00AA7E51"/>
    <w:rsid w:val="00AB130E"/>
    <w:rsid w:val="00AB1820"/>
    <w:rsid w:val="00AB41E6"/>
    <w:rsid w:val="00AB695B"/>
    <w:rsid w:val="00AB735E"/>
    <w:rsid w:val="00AC3448"/>
    <w:rsid w:val="00AD0B76"/>
    <w:rsid w:val="00AD257F"/>
    <w:rsid w:val="00AD2FB7"/>
    <w:rsid w:val="00AE0A20"/>
    <w:rsid w:val="00AE2F81"/>
    <w:rsid w:val="00AE6F75"/>
    <w:rsid w:val="00AE7CCB"/>
    <w:rsid w:val="00AF0A19"/>
    <w:rsid w:val="00AF7882"/>
    <w:rsid w:val="00AF7E79"/>
    <w:rsid w:val="00B018BE"/>
    <w:rsid w:val="00B025BC"/>
    <w:rsid w:val="00B04B75"/>
    <w:rsid w:val="00B07130"/>
    <w:rsid w:val="00B07AE3"/>
    <w:rsid w:val="00B1011A"/>
    <w:rsid w:val="00B11991"/>
    <w:rsid w:val="00B142AF"/>
    <w:rsid w:val="00B14E2E"/>
    <w:rsid w:val="00B16199"/>
    <w:rsid w:val="00B25FDD"/>
    <w:rsid w:val="00B27336"/>
    <w:rsid w:val="00B306B6"/>
    <w:rsid w:val="00B3135E"/>
    <w:rsid w:val="00B32A79"/>
    <w:rsid w:val="00B33E05"/>
    <w:rsid w:val="00B35C07"/>
    <w:rsid w:val="00B417B5"/>
    <w:rsid w:val="00B4480A"/>
    <w:rsid w:val="00B4668B"/>
    <w:rsid w:val="00B466F1"/>
    <w:rsid w:val="00B475B8"/>
    <w:rsid w:val="00B50A5D"/>
    <w:rsid w:val="00B53456"/>
    <w:rsid w:val="00B54E7E"/>
    <w:rsid w:val="00B61B05"/>
    <w:rsid w:val="00B62952"/>
    <w:rsid w:val="00B62CE7"/>
    <w:rsid w:val="00B62DF7"/>
    <w:rsid w:val="00B665AE"/>
    <w:rsid w:val="00B66691"/>
    <w:rsid w:val="00B72F3C"/>
    <w:rsid w:val="00B839CC"/>
    <w:rsid w:val="00B855EC"/>
    <w:rsid w:val="00B85FB9"/>
    <w:rsid w:val="00B90121"/>
    <w:rsid w:val="00B9240E"/>
    <w:rsid w:val="00BA013B"/>
    <w:rsid w:val="00BA0B16"/>
    <w:rsid w:val="00BA0CDA"/>
    <w:rsid w:val="00BA120A"/>
    <w:rsid w:val="00BA5A6B"/>
    <w:rsid w:val="00BB5AF3"/>
    <w:rsid w:val="00BB5BB9"/>
    <w:rsid w:val="00BB6532"/>
    <w:rsid w:val="00BB7B3E"/>
    <w:rsid w:val="00BC00F9"/>
    <w:rsid w:val="00BC118E"/>
    <w:rsid w:val="00BC6382"/>
    <w:rsid w:val="00BD2FB4"/>
    <w:rsid w:val="00BD34C2"/>
    <w:rsid w:val="00BD53DE"/>
    <w:rsid w:val="00BD57B9"/>
    <w:rsid w:val="00BE1939"/>
    <w:rsid w:val="00BF44F1"/>
    <w:rsid w:val="00BF4ABB"/>
    <w:rsid w:val="00C026AD"/>
    <w:rsid w:val="00C0726B"/>
    <w:rsid w:val="00C16538"/>
    <w:rsid w:val="00C244BF"/>
    <w:rsid w:val="00C249E9"/>
    <w:rsid w:val="00C266DB"/>
    <w:rsid w:val="00C31128"/>
    <w:rsid w:val="00C33EA2"/>
    <w:rsid w:val="00C35BD7"/>
    <w:rsid w:val="00C36238"/>
    <w:rsid w:val="00C36C34"/>
    <w:rsid w:val="00C36FAD"/>
    <w:rsid w:val="00C44269"/>
    <w:rsid w:val="00C443B5"/>
    <w:rsid w:val="00C4478E"/>
    <w:rsid w:val="00C45B09"/>
    <w:rsid w:val="00C50D90"/>
    <w:rsid w:val="00C5354B"/>
    <w:rsid w:val="00C54369"/>
    <w:rsid w:val="00C553F7"/>
    <w:rsid w:val="00C55D2A"/>
    <w:rsid w:val="00C6191A"/>
    <w:rsid w:val="00C63345"/>
    <w:rsid w:val="00C63C82"/>
    <w:rsid w:val="00C66ACF"/>
    <w:rsid w:val="00C67152"/>
    <w:rsid w:val="00C73107"/>
    <w:rsid w:val="00C805CA"/>
    <w:rsid w:val="00C82E7F"/>
    <w:rsid w:val="00C86809"/>
    <w:rsid w:val="00C92C67"/>
    <w:rsid w:val="00C949DB"/>
    <w:rsid w:val="00C96B1F"/>
    <w:rsid w:val="00CA01F0"/>
    <w:rsid w:val="00CA1CD2"/>
    <w:rsid w:val="00CA2CD7"/>
    <w:rsid w:val="00CA4D3F"/>
    <w:rsid w:val="00CB0DAC"/>
    <w:rsid w:val="00CB145B"/>
    <w:rsid w:val="00CB25F7"/>
    <w:rsid w:val="00CB4060"/>
    <w:rsid w:val="00CC044A"/>
    <w:rsid w:val="00CC091B"/>
    <w:rsid w:val="00CC0C17"/>
    <w:rsid w:val="00CC14D1"/>
    <w:rsid w:val="00CC1E9B"/>
    <w:rsid w:val="00CD3903"/>
    <w:rsid w:val="00CD401E"/>
    <w:rsid w:val="00CD46DF"/>
    <w:rsid w:val="00CD7400"/>
    <w:rsid w:val="00CE3AAF"/>
    <w:rsid w:val="00CE54EC"/>
    <w:rsid w:val="00CF26A8"/>
    <w:rsid w:val="00CF4CBC"/>
    <w:rsid w:val="00D00DC8"/>
    <w:rsid w:val="00D06BF5"/>
    <w:rsid w:val="00D07ACA"/>
    <w:rsid w:val="00D11028"/>
    <w:rsid w:val="00D20366"/>
    <w:rsid w:val="00D20E14"/>
    <w:rsid w:val="00D21581"/>
    <w:rsid w:val="00D22156"/>
    <w:rsid w:val="00D23270"/>
    <w:rsid w:val="00D2428E"/>
    <w:rsid w:val="00D245B0"/>
    <w:rsid w:val="00D2488A"/>
    <w:rsid w:val="00D24A6D"/>
    <w:rsid w:val="00D270C8"/>
    <w:rsid w:val="00D27771"/>
    <w:rsid w:val="00D35AC8"/>
    <w:rsid w:val="00D3769A"/>
    <w:rsid w:val="00D37EC8"/>
    <w:rsid w:val="00D4032A"/>
    <w:rsid w:val="00D41124"/>
    <w:rsid w:val="00D42062"/>
    <w:rsid w:val="00D4621D"/>
    <w:rsid w:val="00D47428"/>
    <w:rsid w:val="00D50684"/>
    <w:rsid w:val="00D519BB"/>
    <w:rsid w:val="00D521A1"/>
    <w:rsid w:val="00D64351"/>
    <w:rsid w:val="00D6649B"/>
    <w:rsid w:val="00D671F3"/>
    <w:rsid w:val="00D722E4"/>
    <w:rsid w:val="00D7317E"/>
    <w:rsid w:val="00D73D23"/>
    <w:rsid w:val="00D76127"/>
    <w:rsid w:val="00D76D57"/>
    <w:rsid w:val="00D76D5A"/>
    <w:rsid w:val="00D777E1"/>
    <w:rsid w:val="00D8042E"/>
    <w:rsid w:val="00D818E6"/>
    <w:rsid w:val="00D93FD1"/>
    <w:rsid w:val="00D96539"/>
    <w:rsid w:val="00D9740C"/>
    <w:rsid w:val="00DA6C04"/>
    <w:rsid w:val="00DC1D27"/>
    <w:rsid w:val="00DC69ED"/>
    <w:rsid w:val="00DD0C39"/>
    <w:rsid w:val="00DE4594"/>
    <w:rsid w:val="00DE5838"/>
    <w:rsid w:val="00DE7A72"/>
    <w:rsid w:val="00DF4FBD"/>
    <w:rsid w:val="00E003A2"/>
    <w:rsid w:val="00E00DFC"/>
    <w:rsid w:val="00E03188"/>
    <w:rsid w:val="00E034F1"/>
    <w:rsid w:val="00E03DEB"/>
    <w:rsid w:val="00E05D56"/>
    <w:rsid w:val="00E1193C"/>
    <w:rsid w:val="00E12FC9"/>
    <w:rsid w:val="00E1561A"/>
    <w:rsid w:val="00E15CC3"/>
    <w:rsid w:val="00E26A21"/>
    <w:rsid w:val="00E27065"/>
    <w:rsid w:val="00E27BB6"/>
    <w:rsid w:val="00E3263D"/>
    <w:rsid w:val="00E3621C"/>
    <w:rsid w:val="00E37BFF"/>
    <w:rsid w:val="00E4084E"/>
    <w:rsid w:val="00E4165B"/>
    <w:rsid w:val="00E431E7"/>
    <w:rsid w:val="00E478E1"/>
    <w:rsid w:val="00E5081B"/>
    <w:rsid w:val="00E51BF3"/>
    <w:rsid w:val="00E51EEE"/>
    <w:rsid w:val="00E561D7"/>
    <w:rsid w:val="00E608E0"/>
    <w:rsid w:val="00E60D2C"/>
    <w:rsid w:val="00E62220"/>
    <w:rsid w:val="00E653D8"/>
    <w:rsid w:val="00E70463"/>
    <w:rsid w:val="00E70CE0"/>
    <w:rsid w:val="00E718DE"/>
    <w:rsid w:val="00E72E0D"/>
    <w:rsid w:val="00E7447A"/>
    <w:rsid w:val="00E74E18"/>
    <w:rsid w:val="00E74ECA"/>
    <w:rsid w:val="00E7774E"/>
    <w:rsid w:val="00E80059"/>
    <w:rsid w:val="00E85B60"/>
    <w:rsid w:val="00E87763"/>
    <w:rsid w:val="00E94F41"/>
    <w:rsid w:val="00E974F3"/>
    <w:rsid w:val="00EA02FB"/>
    <w:rsid w:val="00EA0FFB"/>
    <w:rsid w:val="00EA3356"/>
    <w:rsid w:val="00EA3678"/>
    <w:rsid w:val="00EA616B"/>
    <w:rsid w:val="00EB0B53"/>
    <w:rsid w:val="00EB5306"/>
    <w:rsid w:val="00EC1143"/>
    <w:rsid w:val="00ED2D5F"/>
    <w:rsid w:val="00ED40D1"/>
    <w:rsid w:val="00EE1C5D"/>
    <w:rsid w:val="00EE4144"/>
    <w:rsid w:val="00EE4F1A"/>
    <w:rsid w:val="00EE6640"/>
    <w:rsid w:val="00EE71E7"/>
    <w:rsid w:val="00EF2059"/>
    <w:rsid w:val="00EF3D87"/>
    <w:rsid w:val="00EF5A78"/>
    <w:rsid w:val="00F003CB"/>
    <w:rsid w:val="00F0207A"/>
    <w:rsid w:val="00F023F9"/>
    <w:rsid w:val="00F0299A"/>
    <w:rsid w:val="00F05BE0"/>
    <w:rsid w:val="00F06CBC"/>
    <w:rsid w:val="00F06FC3"/>
    <w:rsid w:val="00F0702B"/>
    <w:rsid w:val="00F14AC2"/>
    <w:rsid w:val="00F14E50"/>
    <w:rsid w:val="00F15564"/>
    <w:rsid w:val="00F1569F"/>
    <w:rsid w:val="00F224D6"/>
    <w:rsid w:val="00F24B4C"/>
    <w:rsid w:val="00F252DC"/>
    <w:rsid w:val="00F31CF8"/>
    <w:rsid w:val="00F32985"/>
    <w:rsid w:val="00F3584B"/>
    <w:rsid w:val="00F3688D"/>
    <w:rsid w:val="00F41DE7"/>
    <w:rsid w:val="00F43AD5"/>
    <w:rsid w:val="00F45EE2"/>
    <w:rsid w:val="00F46E7E"/>
    <w:rsid w:val="00F5309D"/>
    <w:rsid w:val="00F53D15"/>
    <w:rsid w:val="00F55475"/>
    <w:rsid w:val="00F555D2"/>
    <w:rsid w:val="00F5732B"/>
    <w:rsid w:val="00F57BE6"/>
    <w:rsid w:val="00F61231"/>
    <w:rsid w:val="00F8005F"/>
    <w:rsid w:val="00F828B0"/>
    <w:rsid w:val="00F84DFC"/>
    <w:rsid w:val="00F84F49"/>
    <w:rsid w:val="00F85472"/>
    <w:rsid w:val="00F85800"/>
    <w:rsid w:val="00F97339"/>
    <w:rsid w:val="00F97BB0"/>
    <w:rsid w:val="00FA2D34"/>
    <w:rsid w:val="00FA6645"/>
    <w:rsid w:val="00FA7254"/>
    <w:rsid w:val="00FB5DD7"/>
    <w:rsid w:val="00FB6103"/>
    <w:rsid w:val="00FB6EFE"/>
    <w:rsid w:val="00FC0423"/>
    <w:rsid w:val="00FD0502"/>
    <w:rsid w:val="00FD14BA"/>
    <w:rsid w:val="00FD692B"/>
    <w:rsid w:val="00FE1AA8"/>
    <w:rsid w:val="00FE3CCF"/>
    <w:rsid w:val="00FE4655"/>
    <w:rsid w:val="00FE51DE"/>
    <w:rsid w:val="00FE7BFA"/>
    <w:rsid w:val="00FF062F"/>
    <w:rsid w:val="00FF158E"/>
    <w:rsid w:val="00FF1D2A"/>
    <w:rsid w:val="00FF2392"/>
    <w:rsid w:val="00FF2408"/>
    <w:rsid w:val="00FF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10B7"/>
  <w15:chartTrackingRefBased/>
  <w15:docId w15:val="{C6C80B19-45BA-1F48-BAA6-7DD3A69D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6A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DB7"/>
    <w:rPr>
      <w:rFonts w:ascii="Times New Roman" w:hAnsi="Times New Roman" w:cs="Times New Roman"/>
      <w:sz w:val="18"/>
      <w:szCs w:val="18"/>
    </w:rPr>
  </w:style>
  <w:style w:type="character" w:styleId="Hyperlink">
    <w:name w:val="Hyperlink"/>
    <w:basedOn w:val="DefaultParagraphFont"/>
    <w:uiPriority w:val="99"/>
    <w:unhideWhenUsed/>
    <w:rsid w:val="0043679E"/>
    <w:rPr>
      <w:color w:val="0000FF"/>
      <w:u w:val="single"/>
    </w:rPr>
  </w:style>
  <w:style w:type="paragraph" w:styleId="EndnoteText">
    <w:name w:val="endnote text"/>
    <w:basedOn w:val="Normal"/>
    <w:link w:val="EndnoteTextChar"/>
    <w:uiPriority w:val="99"/>
    <w:semiHidden/>
    <w:unhideWhenUsed/>
    <w:rsid w:val="0043679E"/>
    <w:pPr>
      <w:spacing w:after="0"/>
      <w:jc w:val="left"/>
    </w:pPr>
    <w:rPr>
      <w:sz w:val="20"/>
      <w:szCs w:val="20"/>
    </w:rPr>
  </w:style>
  <w:style w:type="character" w:customStyle="1" w:styleId="EndnoteTextChar">
    <w:name w:val="Endnote Text Char"/>
    <w:basedOn w:val="DefaultParagraphFont"/>
    <w:link w:val="EndnoteText"/>
    <w:uiPriority w:val="99"/>
    <w:semiHidden/>
    <w:rsid w:val="0043679E"/>
    <w:rPr>
      <w:sz w:val="20"/>
      <w:szCs w:val="20"/>
    </w:rPr>
  </w:style>
  <w:style w:type="character" w:styleId="EndnoteReference">
    <w:name w:val="endnote reference"/>
    <w:basedOn w:val="DefaultParagraphFont"/>
    <w:uiPriority w:val="99"/>
    <w:semiHidden/>
    <w:unhideWhenUsed/>
    <w:rsid w:val="0043679E"/>
    <w:rPr>
      <w:vertAlign w:val="superscript"/>
    </w:rPr>
  </w:style>
  <w:style w:type="paragraph" w:styleId="FootnoteText">
    <w:name w:val="footnote text"/>
    <w:basedOn w:val="Normal"/>
    <w:link w:val="FootnoteTextChar"/>
    <w:uiPriority w:val="99"/>
    <w:semiHidden/>
    <w:unhideWhenUsed/>
    <w:rsid w:val="00092988"/>
    <w:pPr>
      <w:spacing w:after="0"/>
    </w:pPr>
    <w:rPr>
      <w:sz w:val="20"/>
      <w:szCs w:val="20"/>
    </w:rPr>
  </w:style>
  <w:style w:type="character" w:customStyle="1" w:styleId="FootnoteTextChar">
    <w:name w:val="Footnote Text Char"/>
    <w:basedOn w:val="DefaultParagraphFont"/>
    <w:link w:val="FootnoteText"/>
    <w:uiPriority w:val="99"/>
    <w:semiHidden/>
    <w:rsid w:val="00092988"/>
    <w:rPr>
      <w:sz w:val="20"/>
      <w:szCs w:val="20"/>
    </w:rPr>
  </w:style>
  <w:style w:type="character" w:styleId="FootnoteReference">
    <w:name w:val="footnote reference"/>
    <w:basedOn w:val="DefaultParagraphFont"/>
    <w:uiPriority w:val="99"/>
    <w:semiHidden/>
    <w:unhideWhenUsed/>
    <w:rsid w:val="00092988"/>
    <w:rPr>
      <w:vertAlign w:val="superscript"/>
    </w:rPr>
  </w:style>
  <w:style w:type="paragraph" w:styleId="ListParagraph">
    <w:name w:val="List Paragraph"/>
    <w:basedOn w:val="Normal"/>
    <w:uiPriority w:val="34"/>
    <w:qFormat/>
    <w:rsid w:val="000630C3"/>
    <w:pPr>
      <w:ind w:left="720"/>
      <w:contextualSpacing/>
    </w:pPr>
  </w:style>
  <w:style w:type="paragraph" w:styleId="Footer">
    <w:name w:val="footer"/>
    <w:basedOn w:val="Normal"/>
    <w:link w:val="FooterChar"/>
    <w:uiPriority w:val="99"/>
    <w:unhideWhenUsed/>
    <w:rsid w:val="00AA7E51"/>
    <w:pPr>
      <w:tabs>
        <w:tab w:val="center" w:pos="4680"/>
        <w:tab w:val="right" w:pos="9360"/>
      </w:tabs>
      <w:spacing w:after="0"/>
    </w:pPr>
  </w:style>
  <w:style w:type="character" w:customStyle="1" w:styleId="FooterChar">
    <w:name w:val="Footer Char"/>
    <w:basedOn w:val="DefaultParagraphFont"/>
    <w:link w:val="Footer"/>
    <w:uiPriority w:val="99"/>
    <w:rsid w:val="00AA7E51"/>
  </w:style>
  <w:style w:type="character" w:styleId="PageNumber">
    <w:name w:val="page number"/>
    <w:basedOn w:val="DefaultParagraphFont"/>
    <w:uiPriority w:val="99"/>
    <w:semiHidden/>
    <w:unhideWhenUsed/>
    <w:rsid w:val="00AA7E51"/>
  </w:style>
  <w:style w:type="character" w:customStyle="1" w:styleId="UnresolvedMention1">
    <w:name w:val="Unresolved Mention1"/>
    <w:basedOn w:val="DefaultParagraphFont"/>
    <w:uiPriority w:val="99"/>
    <w:semiHidden/>
    <w:unhideWhenUsed/>
    <w:rsid w:val="001078C2"/>
    <w:rPr>
      <w:color w:val="605E5C"/>
      <w:shd w:val="clear" w:color="auto" w:fill="E1DFDD"/>
    </w:rPr>
  </w:style>
  <w:style w:type="character" w:styleId="FollowedHyperlink">
    <w:name w:val="FollowedHyperlink"/>
    <w:basedOn w:val="DefaultParagraphFont"/>
    <w:uiPriority w:val="99"/>
    <w:semiHidden/>
    <w:unhideWhenUsed/>
    <w:rsid w:val="001078C2"/>
    <w:rPr>
      <w:color w:val="954F72" w:themeColor="followedHyperlink"/>
      <w:u w:val="single"/>
    </w:rPr>
  </w:style>
  <w:style w:type="table" w:styleId="TableGrid">
    <w:name w:val="Table Grid"/>
    <w:basedOn w:val="TableNormal"/>
    <w:uiPriority w:val="39"/>
    <w:rsid w:val="00A51A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51AE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51AE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50A5D"/>
    <w:rPr>
      <w:sz w:val="16"/>
      <w:szCs w:val="16"/>
    </w:rPr>
  </w:style>
  <w:style w:type="paragraph" w:styleId="CommentText">
    <w:name w:val="annotation text"/>
    <w:basedOn w:val="Normal"/>
    <w:link w:val="CommentTextChar"/>
    <w:uiPriority w:val="99"/>
    <w:semiHidden/>
    <w:unhideWhenUsed/>
    <w:rsid w:val="00B50A5D"/>
    <w:rPr>
      <w:sz w:val="20"/>
      <w:szCs w:val="20"/>
    </w:rPr>
  </w:style>
  <w:style w:type="character" w:customStyle="1" w:styleId="CommentTextChar">
    <w:name w:val="Comment Text Char"/>
    <w:basedOn w:val="DefaultParagraphFont"/>
    <w:link w:val="CommentText"/>
    <w:uiPriority w:val="99"/>
    <w:semiHidden/>
    <w:rsid w:val="00B50A5D"/>
    <w:rPr>
      <w:sz w:val="20"/>
      <w:szCs w:val="20"/>
    </w:rPr>
  </w:style>
  <w:style w:type="paragraph" w:styleId="CommentSubject">
    <w:name w:val="annotation subject"/>
    <w:basedOn w:val="CommentText"/>
    <w:next w:val="CommentText"/>
    <w:link w:val="CommentSubjectChar"/>
    <w:uiPriority w:val="99"/>
    <w:semiHidden/>
    <w:unhideWhenUsed/>
    <w:rsid w:val="00B50A5D"/>
    <w:rPr>
      <w:b/>
      <w:bCs/>
    </w:rPr>
  </w:style>
  <w:style w:type="character" w:customStyle="1" w:styleId="CommentSubjectChar">
    <w:name w:val="Comment Subject Char"/>
    <w:basedOn w:val="CommentTextChar"/>
    <w:link w:val="CommentSubject"/>
    <w:uiPriority w:val="99"/>
    <w:semiHidden/>
    <w:rsid w:val="00B50A5D"/>
    <w:rPr>
      <w:b/>
      <w:bCs/>
      <w:sz w:val="20"/>
      <w:szCs w:val="20"/>
    </w:rPr>
  </w:style>
  <w:style w:type="character" w:customStyle="1" w:styleId="Heading2Char">
    <w:name w:val="Heading 2 Char"/>
    <w:basedOn w:val="DefaultParagraphFont"/>
    <w:link w:val="Heading2"/>
    <w:uiPriority w:val="9"/>
    <w:semiHidden/>
    <w:rsid w:val="00C66AC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6ACF"/>
    <w:rPr>
      <w:i/>
      <w:iCs/>
    </w:rPr>
  </w:style>
  <w:style w:type="table" w:styleId="PlainTable1">
    <w:name w:val="Plain Table 1"/>
    <w:basedOn w:val="TableNormal"/>
    <w:uiPriority w:val="41"/>
    <w:rsid w:val="00C5436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436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436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097594"/>
    <w:pPr>
      <w:spacing w:after="0"/>
      <w:jc w:val="left"/>
    </w:pPr>
  </w:style>
  <w:style w:type="paragraph" w:styleId="Header">
    <w:name w:val="header"/>
    <w:basedOn w:val="Normal"/>
    <w:link w:val="HeaderChar"/>
    <w:uiPriority w:val="99"/>
    <w:unhideWhenUsed/>
    <w:rsid w:val="00FD692B"/>
    <w:pPr>
      <w:tabs>
        <w:tab w:val="center" w:pos="4680"/>
        <w:tab w:val="right" w:pos="9360"/>
      </w:tabs>
      <w:spacing w:after="0"/>
    </w:pPr>
  </w:style>
  <w:style w:type="character" w:customStyle="1" w:styleId="HeaderChar">
    <w:name w:val="Header Char"/>
    <w:basedOn w:val="DefaultParagraphFont"/>
    <w:link w:val="Header"/>
    <w:uiPriority w:val="99"/>
    <w:rsid w:val="00FD692B"/>
  </w:style>
  <w:style w:type="character" w:styleId="LineNumber">
    <w:name w:val="line number"/>
    <w:basedOn w:val="DefaultParagraphFont"/>
    <w:uiPriority w:val="99"/>
    <w:semiHidden/>
    <w:unhideWhenUsed/>
    <w:rsid w:val="007760E9"/>
  </w:style>
  <w:style w:type="character" w:styleId="UnresolvedMention">
    <w:name w:val="Unresolved Mention"/>
    <w:basedOn w:val="DefaultParagraphFont"/>
    <w:uiPriority w:val="99"/>
    <w:semiHidden/>
    <w:unhideWhenUsed/>
    <w:rsid w:val="0084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2698">
      <w:bodyDiv w:val="1"/>
      <w:marLeft w:val="0"/>
      <w:marRight w:val="0"/>
      <w:marTop w:val="0"/>
      <w:marBottom w:val="0"/>
      <w:divBdr>
        <w:top w:val="none" w:sz="0" w:space="0" w:color="auto"/>
        <w:left w:val="none" w:sz="0" w:space="0" w:color="auto"/>
        <w:bottom w:val="none" w:sz="0" w:space="0" w:color="auto"/>
        <w:right w:val="none" w:sz="0" w:space="0" w:color="auto"/>
      </w:divBdr>
    </w:div>
    <w:div w:id="247152522">
      <w:bodyDiv w:val="1"/>
      <w:marLeft w:val="0"/>
      <w:marRight w:val="0"/>
      <w:marTop w:val="0"/>
      <w:marBottom w:val="0"/>
      <w:divBdr>
        <w:top w:val="none" w:sz="0" w:space="0" w:color="auto"/>
        <w:left w:val="none" w:sz="0" w:space="0" w:color="auto"/>
        <w:bottom w:val="none" w:sz="0" w:space="0" w:color="auto"/>
        <w:right w:val="none" w:sz="0" w:space="0" w:color="auto"/>
      </w:divBdr>
    </w:div>
    <w:div w:id="251134194">
      <w:bodyDiv w:val="1"/>
      <w:marLeft w:val="0"/>
      <w:marRight w:val="0"/>
      <w:marTop w:val="0"/>
      <w:marBottom w:val="0"/>
      <w:divBdr>
        <w:top w:val="none" w:sz="0" w:space="0" w:color="auto"/>
        <w:left w:val="none" w:sz="0" w:space="0" w:color="auto"/>
        <w:bottom w:val="none" w:sz="0" w:space="0" w:color="auto"/>
        <w:right w:val="none" w:sz="0" w:space="0" w:color="auto"/>
      </w:divBdr>
    </w:div>
    <w:div w:id="434247533">
      <w:bodyDiv w:val="1"/>
      <w:marLeft w:val="0"/>
      <w:marRight w:val="0"/>
      <w:marTop w:val="0"/>
      <w:marBottom w:val="0"/>
      <w:divBdr>
        <w:top w:val="none" w:sz="0" w:space="0" w:color="auto"/>
        <w:left w:val="none" w:sz="0" w:space="0" w:color="auto"/>
        <w:bottom w:val="none" w:sz="0" w:space="0" w:color="auto"/>
        <w:right w:val="none" w:sz="0" w:space="0" w:color="auto"/>
      </w:divBdr>
    </w:div>
    <w:div w:id="670525593">
      <w:bodyDiv w:val="1"/>
      <w:marLeft w:val="0"/>
      <w:marRight w:val="0"/>
      <w:marTop w:val="0"/>
      <w:marBottom w:val="0"/>
      <w:divBdr>
        <w:top w:val="none" w:sz="0" w:space="0" w:color="auto"/>
        <w:left w:val="none" w:sz="0" w:space="0" w:color="auto"/>
        <w:bottom w:val="none" w:sz="0" w:space="0" w:color="auto"/>
        <w:right w:val="none" w:sz="0" w:space="0" w:color="auto"/>
      </w:divBdr>
    </w:div>
    <w:div w:id="684870953">
      <w:bodyDiv w:val="1"/>
      <w:marLeft w:val="0"/>
      <w:marRight w:val="0"/>
      <w:marTop w:val="0"/>
      <w:marBottom w:val="0"/>
      <w:divBdr>
        <w:top w:val="none" w:sz="0" w:space="0" w:color="auto"/>
        <w:left w:val="none" w:sz="0" w:space="0" w:color="auto"/>
        <w:bottom w:val="none" w:sz="0" w:space="0" w:color="auto"/>
        <w:right w:val="none" w:sz="0" w:space="0" w:color="auto"/>
      </w:divBdr>
    </w:div>
    <w:div w:id="695733302">
      <w:bodyDiv w:val="1"/>
      <w:marLeft w:val="0"/>
      <w:marRight w:val="0"/>
      <w:marTop w:val="0"/>
      <w:marBottom w:val="0"/>
      <w:divBdr>
        <w:top w:val="none" w:sz="0" w:space="0" w:color="auto"/>
        <w:left w:val="none" w:sz="0" w:space="0" w:color="auto"/>
        <w:bottom w:val="none" w:sz="0" w:space="0" w:color="auto"/>
        <w:right w:val="none" w:sz="0" w:space="0" w:color="auto"/>
      </w:divBdr>
    </w:div>
    <w:div w:id="857541533">
      <w:bodyDiv w:val="1"/>
      <w:marLeft w:val="0"/>
      <w:marRight w:val="0"/>
      <w:marTop w:val="0"/>
      <w:marBottom w:val="0"/>
      <w:divBdr>
        <w:top w:val="none" w:sz="0" w:space="0" w:color="auto"/>
        <w:left w:val="none" w:sz="0" w:space="0" w:color="auto"/>
        <w:bottom w:val="none" w:sz="0" w:space="0" w:color="auto"/>
        <w:right w:val="none" w:sz="0" w:space="0" w:color="auto"/>
      </w:divBdr>
    </w:div>
    <w:div w:id="895165221">
      <w:bodyDiv w:val="1"/>
      <w:marLeft w:val="0"/>
      <w:marRight w:val="0"/>
      <w:marTop w:val="0"/>
      <w:marBottom w:val="0"/>
      <w:divBdr>
        <w:top w:val="none" w:sz="0" w:space="0" w:color="auto"/>
        <w:left w:val="none" w:sz="0" w:space="0" w:color="auto"/>
        <w:bottom w:val="none" w:sz="0" w:space="0" w:color="auto"/>
        <w:right w:val="none" w:sz="0" w:space="0" w:color="auto"/>
      </w:divBdr>
    </w:div>
    <w:div w:id="952513352">
      <w:bodyDiv w:val="1"/>
      <w:marLeft w:val="0"/>
      <w:marRight w:val="0"/>
      <w:marTop w:val="0"/>
      <w:marBottom w:val="0"/>
      <w:divBdr>
        <w:top w:val="none" w:sz="0" w:space="0" w:color="auto"/>
        <w:left w:val="none" w:sz="0" w:space="0" w:color="auto"/>
        <w:bottom w:val="none" w:sz="0" w:space="0" w:color="auto"/>
        <w:right w:val="none" w:sz="0" w:space="0" w:color="auto"/>
      </w:divBdr>
    </w:div>
    <w:div w:id="1052000274">
      <w:bodyDiv w:val="1"/>
      <w:marLeft w:val="0"/>
      <w:marRight w:val="0"/>
      <w:marTop w:val="0"/>
      <w:marBottom w:val="0"/>
      <w:divBdr>
        <w:top w:val="none" w:sz="0" w:space="0" w:color="auto"/>
        <w:left w:val="none" w:sz="0" w:space="0" w:color="auto"/>
        <w:bottom w:val="none" w:sz="0" w:space="0" w:color="auto"/>
        <w:right w:val="none" w:sz="0" w:space="0" w:color="auto"/>
      </w:divBdr>
    </w:div>
    <w:div w:id="1075399763">
      <w:bodyDiv w:val="1"/>
      <w:marLeft w:val="0"/>
      <w:marRight w:val="0"/>
      <w:marTop w:val="0"/>
      <w:marBottom w:val="0"/>
      <w:divBdr>
        <w:top w:val="none" w:sz="0" w:space="0" w:color="auto"/>
        <w:left w:val="none" w:sz="0" w:space="0" w:color="auto"/>
        <w:bottom w:val="none" w:sz="0" w:space="0" w:color="auto"/>
        <w:right w:val="none" w:sz="0" w:space="0" w:color="auto"/>
      </w:divBdr>
    </w:div>
    <w:div w:id="1224607637">
      <w:bodyDiv w:val="1"/>
      <w:marLeft w:val="0"/>
      <w:marRight w:val="0"/>
      <w:marTop w:val="0"/>
      <w:marBottom w:val="0"/>
      <w:divBdr>
        <w:top w:val="none" w:sz="0" w:space="0" w:color="auto"/>
        <w:left w:val="none" w:sz="0" w:space="0" w:color="auto"/>
        <w:bottom w:val="none" w:sz="0" w:space="0" w:color="auto"/>
        <w:right w:val="none" w:sz="0" w:space="0" w:color="auto"/>
      </w:divBdr>
    </w:div>
    <w:div w:id="1474130263">
      <w:bodyDiv w:val="1"/>
      <w:marLeft w:val="0"/>
      <w:marRight w:val="0"/>
      <w:marTop w:val="0"/>
      <w:marBottom w:val="0"/>
      <w:divBdr>
        <w:top w:val="none" w:sz="0" w:space="0" w:color="auto"/>
        <w:left w:val="none" w:sz="0" w:space="0" w:color="auto"/>
        <w:bottom w:val="none" w:sz="0" w:space="0" w:color="auto"/>
        <w:right w:val="none" w:sz="0" w:space="0" w:color="auto"/>
      </w:divBdr>
    </w:div>
    <w:div w:id="1588071820">
      <w:bodyDiv w:val="1"/>
      <w:marLeft w:val="0"/>
      <w:marRight w:val="0"/>
      <w:marTop w:val="0"/>
      <w:marBottom w:val="0"/>
      <w:divBdr>
        <w:top w:val="none" w:sz="0" w:space="0" w:color="auto"/>
        <w:left w:val="none" w:sz="0" w:space="0" w:color="auto"/>
        <w:bottom w:val="none" w:sz="0" w:space="0" w:color="auto"/>
        <w:right w:val="none" w:sz="0" w:space="0" w:color="auto"/>
      </w:divBdr>
    </w:div>
    <w:div w:id="1613777620">
      <w:bodyDiv w:val="1"/>
      <w:marLeft w:val="0"/>
      <w:marRight w:val="0"/>
      <w:marTop w:val="0"/>
      <w:marBottom w:val="0"/>
      <w:divBdr>
        <w:top w:val="none" w:sz="0" w:space="0" w:color="auto"/>
        <w:left w:val="none" w:sz="0" w:space="0" w:color="auto"/>
        <w:bottom w:val="none" w:sz="0" w:space="0" w:color="auto"/>
        <w:right w:val="none" w:sz="0" w:space="0" w:color="auto"/>
      </w:divBdr>
    </w:div>
    <w:div w:id="1642927222">
      <w:bodyDiv w:val="1"/>
      <w:marLeft w:val="0"/>
      <w:marRight w:val="0"/>
      <w:marTop w:val="0"/>
      <w:marBottom w:val="0"/>
      <w:divBdr>
        <w:top w:val="none" w:sz="0" w:space="0" w:color="auto"/>
        <w:left w:val="none" w:sz="0" w:space="0" w:color="auto"/>
        <w:bottom w:val="none" w:sz="0" w:space="0" w:color="auto"/>
        <w:right w:val="none" w:sz="0" w:space="0" w:color="auto"/>
      </w:divBdr>
    </w:div>
    <w:div w:id="1920751754">
      <w:bodyDiv w:val="1"/>
      <w:marLeft w:val="0"/>
      <w:marRight w:val="0"/>
      <w:marTop w:val="0"/>
      <w:marBottom w:val="0"/>
      <w:divBdr>
        <w:top w:val="none" w:sz="0" w:space="0" w:color="auto"/>
        <w:left w:val="none" w:sz="0" w:space="0" w:color="auto"/>
        <w:bottom w:val="none" w:sz="0" w:space="0" w:color="auto"/>
        <w:right w:val="none" w:sz="0" w:space="0" w:color="auto"/>
      </w:divBdr>
    </w:div>
    <w:div w:id="2005738767">
      <w:bodyDiv w:val="1"/>
      <w:marLeft w:val="0"/>
      <w:marRight w:val="0"/>
      <w:marTop w:val="0"/>
      <w:marBottom w:val="0"/>
      <w:divBdr>
        <w:top w:val="none" w:sz="0" w:space="0" w:color="auto"/>
        <w:left w:val="none" w:sz="0" w:space="0" w:color="auto"/>
        <w:bottom w:val="none" w:sz="0" w:space="0" w:color="auto"/>
        <w:right w:val="none" w:sz="0" w:space="0" w:color="auto"/>
      </w:divBdr>
    </w:div>
    <w:div w:id="20942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sandi@bham.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end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https://www.who.int/bulletin/online_first/BLT.20.270033.pdf?ua=1"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dasandin/Dropbox/CLIMATE%20CHANGE%20AND%20HEALTH/NDCs%20Climate%20Change-Health/Manuscript/LPH%20Submission/Revised%20Documents/3rd%20Revisions/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Sheet1!$B$3:$B$13</c:f>
              <c:strCache>
                <c:ptCount val="11"/>
                <c:pt idx="0">
                  <c:v>Any mention</c:v>
                </c:pt>
                <c:pt idx="1">
                  <c:v>General impact</c:v>
                </c:pt>
                <c:pt idx="2">
                  <c:v>Specific impact</c:v>
                </c:pt>
                <c:pt idx="3">
                  <c:v>General adaptation</c:v>
                </c:pt>
                <c:pt idx="4">
                  <c:v>Specific adaptation</c:v>
                </c:pt>
                <c:pt idx="5">
                  <c:v>Detailed adaptation</c:v>
                </c:pt>
                <c:pt idx="6">
                  <c:v>Mitigation</c:v>
                </c:pt>
                <c:pt idx="7">
                  <c:v>Trade off</c:v>
                </c:pt>
                <c:pt idx="8">
                  <c:v>Co-benefits</c:v>
                </c:pt>
                <c:pt idx="9">
                  <c:v>Health section</c:v>
                </c:pt>
                <c:pt idx="10">
                  <c:v>Background</c:v>
                </c:pt>
              </c:strCache>
            </c:strRef>
          </c:cat>
          <c:val>
            <c:numRef>
              <c:f>Sheet1!$D$3:$D$13</c:f>
              <c:numCache>
                <c:formatCode>0%</c:formatCode>
                <c:ptCount val="11"/>
                <c:pt idx="0">
                  <c:v>0.72972972972972971</c:v>
                </c:pt>
                <c:pt idx="1">
                  <c:v>0.38918918918918921</c:v>
                </c:pt>
                <c:pt idx="2">
                  <c:v>0.26486486486486488</c:v>
                </c:pt>
                <c:pt idx="3">
                  <c:v>0.46486486486486489</c:v>
                </c:pt>
                <c:pt idx="4">
                  <c:v>9.7297297297297303E-2</c:v>
                </c:pt>
                <c:pt idx="5">
                  <c:v>0.21621621621621623</c:v>
                </c:pt>
                <c:pt idx="6">
                  <c:v>2.1621621621621623E-2</c:v>
                </c:pt>
                <c:pt idx="7">
                  <c:v>4.8648648648648651E-2</c:v>
                </c:pt>
                <c:pt idx="8">
                  <c:v>0.18378378378378379</c:v>
                </c:pt>
                <c:pt idx="9">
                  <c:v>0.25405405405405407</c:v>
                </c:pt>
                <c:pt idx="10">
                  <c:v>0.36756756756756759</c:v>
                </c:pt>
              </c:numCache>
            </c:numRef>
          </c:val>
          <c:extLst>
            <c:ext xmlns:c16="http://schemas.microsoft.com/office/drawing/2014/chart" uri="{C3380CC4-5D6E-409C-BE32-E72D297353CC}">
              <c16:uniqueId val="{00000000-B6D0-4344-906B-48D3396CCC0F}"/>
            </c:ext>
          </c:extLst>
        </c:ser>
        <c:dLbls>
          <c:dLblPos val="outEnd"/>
          <c:showLegendKey val="0"/>
          <c:showVal val="1"/>
          <c:showCatName val="0"/>
          <c:showSerName val="0"/>
          <c:showPercent val="0"/>
          <c:showBubbleSize val="0"/>
        </c:dLbls>
        <c:gapWidth val="101"/>
        <c:overlap val="-27"/>
        <c:axId val="460852943"/>
        <c:axId val="460854591"/>
      </c:barChart>
      <c:catAx>
        <c:axId val="4608529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Type of health</a:t>
                </a:r>
                <a:r>
                  <a:rPr lang="en-GB" baseline="0"/>
                  <a:t> reference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854591"/>
        <c:crosses val="autoZero"/>
        <c:auto val="1"/>
        <c:lblAlgn val="ctr"/>
        <c:lblOffset val="100"/>
        <c:noMultiLvlLbl val="0"/>
      </c:catAx>
      <c:valAx>
        <c:axId val="460854591"/>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Proportion of NDCs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852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D026-E1ED-44C1-98C2-047D4990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5561</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Niheer Dasandi (International Development)</dc:creator>
  <cp:keywords/>
  <dc:description/>
  <cp:lastModifiedBy>Pete Lampard</cp:lastModifiedBy>
  <cp:revision>2</cp:revision>
  <dcterms:created xsi:type="dcterms:W3CDTF">2020-12-18T10:36:00Z</dcterms:created>
  <dcterms:modified xsi:type="dcterms:W3CDTF">2020-12-18T10:36:00Z</dcterms:modified>
</cp:coreProperties>
</file>