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1EA2A" w14:textId="485E04A7" w:rsidR="00CF244D" w:rsidRPr="00496130" w:rsidRDefault="00D573DD" w:rsidP="007E057D">
      <w:pPr>
        <w:pStyle w:val="Heading1"/>
      </w:pPr>
      <w:r w:rsidRPr="00496130">
        <w:t xml:space="preserve">Urban </w:t>
      </w:r>
      <w:r w:rsidR="001D7DFC" w:rsidRPr="00496130">
        <w:t xml:space="preserve">Chronology at a Human Scale on the Coast of </w:t>
      </w:r>
      <w:r w:rsidRPr="00496130">
        <w:t xml:space="preserve">East Africa </w:t>
      </w:r>
      <w:r w:rsidR="001D7DFC" w:rsidRPr="00496130">
        <w:t xml:space="preserve">in the First Millennium </w:t>
      </w:r>
      <w:r w:rsidR="00210AE3" w:rsidRPr="00496130">
        <w:rPr>
          <w:smallCaps/>
        </w:rPr>
        <w:t>a.d.</w:t>
      </w:r>
    </w:p>
    <w:p w14:paraId="1530F725" w14:textId="77777777" w:rsidR="00CF244D" w:rsidRPr="00496130" w:rsidRDefault="00CF244D" w:rsidP="008469E1">
      <w:r w:rsidRPr="00496130">
        <w:t>Corresponding author: Stephanie Wynne-Jones</w:t>
      </w:r>
    </w:p>
    <w:p w14:paraId="2BFAB919" w14:textId="19036927" w:rsidR="00EC4838" w:rsidRPr="00496130" w:rsidRDefault="00EC4838" w:rsidP="008469E1">
      <w:r w:rsidRPr="00496130">
        <w:t>Address: Department of Archaeology, University of York, King’s Manor, York YO1 7EP, UK</w:t>
      </w:r>
    </w:p>
    <w:p w14:paraId="792F9F21" w14:textId="114E54A9" w:rsidR="00EC4838" w:rsidRPr="00496130" w:rsidRDefault="00625C1C" w:rsidP="008469E1">
      <w:hyperlink r:id="rId7" w:history="1">
        <w:r w:rsidR="00EC4838" w:rsidRPr="00496130">
          <w:rPr>
            <w:rStyle w:val="Hyperlink"/>
          </w:rPr>
          <w:t>stephanie.wynne-jones@york.ac.uk</w:t>
        </w:r>
      </w:hyperlink>
    </w:p>
    <w:p w14:paraId="4211A840" w14:textId="77777777" w:rsidR="00EC4838" w:rsidRPr="00496130" w:rsidRDefault="00CF244D" w:rsidP="008469E1">
      <w:r w:rsidRPr="00496130">
        <w:t>Author list</w:t>
      </w:r>
      <w:r w:rsidR="00EC4838" w:rsidRPr="00496130">
        <w:t xml:space="preserve"> and affiliations</w:t>
      </w:r>
      <w:r w:rsidRPr="00496130">
        <w:t xml:space="preserve">: </w:t>
      </w:r>
    </w:p>
    <w:p w14:paraId="21FDF70B" w14:textId="60593438" w:rsidR="00EC4838" w:rsidRPr="00496130" w:rsidRDefault="00CF244D" w:rsidP="008469E1">
      <w:r w:rsidRPr="00496130">
        <w:rPr>
          <w:b/>
          <w:bCs/>
        </w:rPr>
        <w:t>Stephanie Wynne-Jones</w:t>
      </w:r>
      <w:r w:rsidR="00E97498" w:rsidRPr="00496130">
        <w:t xml:space="preserve">, </w:t>
      </w:r>
      <w:r w:rsidR="00EC4838" w:rsidRPr="00496130">
        <w:t xml:space="preserve">University of York, </w:t>
      </w:r>
      <w:r w:rsidR="000B4952" w:rsidRPr="00496130">
        <w:t xml:space="preserve">York, </w:t>
      </w:r>
      <w:r w:rsidR="00EC4838" w:rsidRPr="00496130">
        <w:t xml:space="preserve">UK, Aarhus University, </w:t>
      </w:r>
      <w:r w:rsidR="000B4952" w:rsidRPr="00496130">
        <w:t xml:space="preserve">Aarhus, </w:t>
      </w:r>
      <w:r w:rsidR="00EC4838" w:rsidRPr="00496130">
        <w:t xml:space="preserve">Denmark and University of South Africa (UNISA), </w:t>
      </w:r>
      <w:r w:rsidR="000B4952" w:rsidRPr="00496130">
        <w:t xml:space="preserve">Pretoria, </w:t>
      </w:r>
      <w:r w:rsidR="00EC4838" w:rsidRPr="00496130">
        <w:t>Republic of South Africa</w:t>
      </w:r>
    </w:p>
    <w:p w14:paraId="77F16887" w14:textId="3B985103" w:rsidR="00EC4838" w:rsidRPr="00496130" w:rsidRDefault="00CF244D" w:rsidP="008469E1">
      <w:r w:rsidRPr="00496130">
        <w:rPr>
          <w:b/>
          <w:bCs/>
        </w:rPr>
        <w:t>Federica Sulas</w:t>
      </w:r>
      <w:r w:rsidR="00E97498" w:rsidRPr="00496130">
        <w:t xml:space="preserve">, </w:t>
      </w:r>
      <w:r w:rsidR="00EC4838" w:rsidRPr="00496130">
        <w:t xml:space="preserve">University of Cambridge, </w:t>
      </w:r>
      <w:r w:rsidR="000B4952" w:rsidRPr="00496130">
        <w:t xml:space="preserve">Cambridge, </w:t>
      </w:r>
      <w:r w:rsidR="00EC4838" w:rsidRPr="00496130">
        <w:t>UK</w:t>
      </w:r>
    </w:p>
    <w:p w14:paraId="28FA92BB" w14:textId="07E9BC06" w:rsidR="00E97498" w:rsidRPr="00496130" w:rsidRDefault="00CF244D" w:rsidP="008469E1">
      <w:r w:rsidRPr="00496130">
        <w:rPr>
          <w:b/>
          <w:bCs/>
        </w:rPr>
        <w:t xml:space="preserve">Welmoed </w:t>
      </w:r>
      <w:r w:rsidR="00E97498" w:rsidRPr="00496130">
        <w:rPr>
          <w:b/>
          <w:bCs/>
        </w:rPr>
        <w:t xml:space="preserve">A. </w:t>
      </w:r>
      <w:r w:rsidRPr="00496130">
        <w:rPr>
          <w:b/>
          <w:bCs/>
        </w:rPr>
        <w:t>Out</w:t>
      </w:r>
      <w:r w:rsidR="00E97498" w:rsidRPr="00496130">
        <w:t xml:space="preserve">, Moesgaard Museum, </w:t>
      </w:r>
      <w:r w:rsidR="000B4952" w:rsidRPr="00496130">
        <w:t xml:space="preserve">Aarhus, </w:t>
      </w:r>
      <w:r w:rsidR="00E97498" w:rsidRPr="00496130">
        <w:t>Denmark</w:t>
      </w:r>
    </w:p>
    <w:p w14:paraId="6801BCF7" w14:textId="56F4EC68" w:rsidR="00E97498" w:rsidRPr="00496130" w:rsidRDefault="00CF244D" w:rsidP="008469E1">
      <w:r w:rsidRPr="00496130">
        <w:rPr>
          <w:b/>
          <w:bCs/>
        </w:rPr>
        <w:t>Søren Munch Kristiansen</w:t>
      </w:r>
      <w:r w:rsidR="00E97498" w:rsidRPr="00496130">
        <w:t xml:space="preserve">, Aarhus University, </w:t>
      </w:r>
      <w:r w:rsidR="000B4952" w:rsidRPr="00496130">
        <w:t xml:space="preserve">Aarhus, </w:t>
      </w:r>
      <w:r w:rsidR="00E97498" w:rsidRPr="00496130">
        <w:t>Denmark</w:t>
      </w:r>
    </w:p>
    <w:p w14:paraId="0C000D1A" w14:textId="72973DF4" w:rsidR="00E97498" w:rsidRPr="00496130" w:rsidRDefault="00CF244D" w:rsidP="008469E1">
      <w:r w:rsidRPr="00496130">
        <w:rPr>
          <w:b/>
          <w:bCs/>
        </w:rPr>
        <w:t>Tom Fitton</w:t>
      </w:r>
      <w:r w:rsidR="00E97498" w:rsidRPr="00496130">
        <w:t xml:space="preserve">, University of York, </w:t>
      </w:r>
      <w:r w:rsidR="000B4952" w:rsidRPr="00496130">
        <w:t xml:space="preserve">York, </w:t>
      </w:r>
      <w:r w:rsidR="00E97498" w:rsidRPr="00496130">
        <w:t>UK</w:t>
      </w:r>
    </w:p>
    <w:p w14:paraId="7138076D" w14:textId="6819D5A1" w:rsidR="00E97498" w:rsidRPr="00496130" w:rsidRDefault="00CF244D" w:rsidP="008469E1">
      <w:r w:rsidRPr="00496130">
        <w:rPr>
          <w:b/>
          <w:bCs/>
        </w:rPr>
        <w:t>Abdallah K. Ali</w:t>
      </w:r>
      <w:r w:rsidR="00E97498" w:rsidRPr="00496130">
        <w:t xml:space="preserve">, Ministry of Information, Tourism and Antiquities, </w:t>
      </w:r>
      <w:r w:rsidR="000B4952" w:rsidRPr="00496130">
        <w:t xml:space="preserve">Zanzibar Town, </w:t>
      </w:r>
      <w:r w:rsidR="00E97498" w:rsidRPr="00496130">
        <w:t>Zanzibar</w:t>
      </w:r>
      <w:r w:rsidR="00E97498" w:rsidRPr="00496130">
        <w:rPr>
          <w:rStyle w:val="FootnoteReference"/>
        </w:rPr>
        <w:t xml:space="preserve"> </w:t>
      </w:r>
    </w:p>
    <w:p w14:paraId="69B5DCF3" w14:textId="3FC7BEC4" w:rsidR="0053230F" w:rsidRPr="00496130" w:rsidRDefault="00CF244D" w:rsidP="008469E1">
      <w:r w:rsidRPr="00496130">
        <w:rPr>
          <w:b/>
          <w:bCs/>
        </w:rPr>
        <w:t>Jesper Olsen</w:t>
      </w:r>
      <w:r w:rsidR="00E97498" w:rsidRPr="00496130">
        <w:t xml:space="preserve">, Aarhus University, </w:t>
      </w:r>
      <w:r w:rsidR="000B4952" w:rsidRPr="00496130">
        <w:t xml:space="preserve">Aarhus, </w:t>
      </w:r>
      <w:r w:rsidR="00E97498" w:rsidRPr="00496130">
        <w:t>Denmark</w:t>
      </w:r>
    </w:p>
    <w:p w14:paraId="467AB0FE" w14:textId="21A90C02" w:rsidR="008469E1" w:rsidRPr="00496130" w:rsidRDefault="0053230F" w:rsidP="008469E1">
      <w:pPr>
        <w:pStyle w:val="Heading2"/>
      </w:pPr>
      <w:r w:rsidRPr="00496130">
        <w:br w:type="page"/>
      </w:r>
      <w:r w:rsidR="008469E1" w:rsidRPr="00496130">
        <w:lastRenderedPageBreak/>
        <w:t>Abstract</w:t>
      </w:r>
    </w:p>
    <w:p w14:paraId="183EC0AE" w14:textId="77777777" w:rsidR="008469E1" w:rsidRPr="00496130" w:rsidRDefault="008469E1" w:rsidP="008469E1">
      <w:r w:rsidRPr="00496130">
        <w:t xml:space="preserve">This paper presents a new high-resolution excavation sequence of a house at the first millennium site of Unguja Ukuu, Zanzibar, with implications for a new and detailed understanding of the period between the 7th and 9th centuries CE on the East African coast. This is an important period associated with a broad and distinctive cultural tradition, often seen as a pre- or proto-urban phase. Household excavations at Unguja Ukuu revealed two occupation phases, spanning less than 40 years each. The results here thus present an unprecedented temporal resolution on the site, at the scale of human experience. </w:t>
      </w:r>
    </w:p>
    <w:p w14:paraId="5231A78D" w14:textId="6D3E6963" w:rsidR="008469E1" w:rsidRPr="00496130" w:rsidRDefault="008469E1" w:rsidP="008469E1">
      <w:r w:rsidRPr="00496130">
        <w:t>Excavation and microstratigraphic analyses of multiple floor layers reveal decadal change in occupation at this house. Positioning this house into the broader settlement sequence, we argue for episodic settlement at the site of Unguja Ukuu and draw out detail on how we can explore change at this generational scale.</w:t>
      </w:r>
    </w:p>
    <w:p w14:paraId="0E5DF1CE" w14:textId="4512229C" w:rsidR="008469E1" w:rsidRPr="00496130" w:rsidRDefault="008469E1" w:rsidP="008469E1"/>
    <w:p w14:paraId="63C68C0B" w14:textId="3184A1E7" w:rsidR="008469E1" w:rsidRPr="00496130" w:rsidRDefault="008469E1" w:rsidP="008469E1">
      <w:pPr>
        <w:pStyle w:val="Heading2"/>
      </w:pPr>
      <w:r w:rsidRPr="00496130">
        <w:t>Keywords</w:t>
      </w:r>
    </w:p>
    <w:p w14:paraId="4843E3F9" w14:textId="360A05F6" w:rsidR="008469E1" w:rsidRPr="00496130" w:rsidRDefault="006D50B1" w:rsidP="008469E1">
      <w:proofErr w:type="gramStart"/>
      <w:r w:rsidRPr="00496130">
        <w:t>radiocarbon</w:t>
      </w:r>
      <w:proofErr w:type="gramEnd"/>
      <w:r w:rsidRPr="00496130">
        <w:t>; Bayesian analysis; Swahili; geoarchaeology; spatial analysis</w:t>
      </w:r>
    </w:p>
    <w:p w14:paraId="0D553B37" w14:textId="554B57F8" w:rsidR="008469E1" w:rsidRPr="00496130" w:rsidRDefault="008469E1" w:rsidP="008469E1">
      <w:r w:rsidRPr="00496130">
        <w:br w:type="page"/>
      </w:r>
    </w:p>
    <w:p w14:paraId="346ED22F" w14:textId="77777777" w:rsidR="001F649F" w:rsidRPr="00496130" w:rsidRDefault="001F649F" w:rsidP="001F649F">
      <w:pPr>
        <w:pStyle w:val="Heading2"/>
        <w:rPr>
          <w:lang w:eastAsia="en-GB"/>
        </w:rPr>
      </w:pPr>
      <w:r w:rsidRPr="00496130">
        <w:rPr>
          <w:lang w:eastAsia="en-GB"/>
        </w:rPr>
        <w:lastRenderedPageBreak/>
        <w:t>Introduction</w:t>
      </w:r>
    </w:p>
    <w:p w14:paraId="1A822972" w14:textId="3C5597F0" w:rsidR="001F649F" w:rsidRPr="00496130" w:rsidRDefault="001F649F" w:rsidP="001F649F">
      <w:r w:rsidRPr="00496130">
        <w:t>This paper presents a high-resolution sequence from a single house at the site of Unguja Ukuu (Figure 1), as a point of insight into a fascinating time on the eastern African coast. These excavations offer contextual detail on a place and time where there was the vibrant and sudden flourishing of a widespread cultural tradition. Sites like Unguja Ukuu were settled from the 7</w:t>
      </w:r>
      <w:r w:rsidRPr="00496130">
        <w:rPr>
          <w:vertAlign w:val="superscript"/>
        </w:rPr>
        <w:t>th</w:t>
      </w:r>
      <w:r w:rsidRPr="00496130">
        <w:t xml:space="preserve"> century onward along the East African coast, offshore islands and neighboring regions inland, linked to particular types of ceramics, the production of iron and beads and with a deep engagement with trade networks that connected them to the Persian Gulf (LaViolette and Wynne-Jones 2018). These trade connections are often used as evidence that 7</w:t>
      </w:r>
      <w:r w:rsidRPr="00496130">
        <w:rPr>
          <w:vertAlign w:val="superscript"/>
        </w:rPr>
        <w:t>th</w:t>
      </w:r>
      <w:r w:rsidRPr="00496130">
        <w:t xml:space="preserve"> – 10th century sites were precursors to second millennium Swahili stonetowns, which </w:t>
      </w:r>
      <w:r w:rsidR="00496130" w:rsidRPr="00496130">
        <w:t xml:space="preserve">have </w:t>
      </w:r>
      <w:r w:rsidRPr="00496130">
        <w:t xml:space="preserve">themselves often </w:t>
      </w:r>
      <w:r w:rsidR="00496130" w:rsidRPr="00496130">
        <w:t xml:space="preserve">been </w:t>
      </w:r>
      <w:r w:rsidRPr="00496130">
        <w:t xml:space="preserve">defined through material exchanges with the Indian Ocean world and by their adoption of Islam (LaViolette 2018; Wright 1993; for critique see Fleisher and LaViolette 2013). Unguja Ukuu itself has seen multiple investigations, with the most extensive conducted as part of the investigation of ‘urban origins’ on the Swahili coast (Horton and Clark 1985; Juma 2004). Yet recent archaeological investigation has meant that it is increasingly possible to speak about the first millennium in its own right, with detailed study of ceramics (Fleisher and Wynne-Jones 2011), trade relationships (Priestman 2018; Boivin and Fuller 2009), and subsistence economy (Crowther et al. 2016a; Walshaw 2005, 2010; Prendergast et al. 2017; Faulkner et al. 2017) relating to sites of this period. </w:t>
      </w:r>
    </w:p>
    <w:p w14:paraId="0E7CC220" w14:textId="7139B456" w:rsidR="001F649F" w:rsidRPr="00496130" w:rsidRDefault="001F649F" w:rsidP="001F649F">
      <w:r w:rsidRPr="00496130">
        <w:t>Yet within the late first millennium it remains challenging to describe significant spatial or chronological definition. In fact, the 300 years between the 7</w:t>
      </w:r>
      <w:r w:rsidRPr="00496130">
        <w:rPr>
          <w:vertAlign w:val="superscript"/>
        </w:rPr>
        <w:t>th</w:t>
      </w:r>
      <w:r w:rsidRPr="00496130">
        <w:t xml:space="preserve"> and the 10</w:t>
      </w:r>
      <w:r w:rsidRPr="00496130">
        <w:rPr>
          <w:vertAlign w:val="superscript"/>
        </w:rPr>
        <w:t>th</w:t>
      </w:r>
      <w:r w:rsidRPr="00496130">
        <w:t xml:space="preserve"> centuries are often understood only through the presence of a particular locally produced ceramic tradition. The project reported here set out to change this, adopting a method for exploring social contexts in detail through excavations in domestic settings. In particular here we report on the high-resolution dating of a domestic sequence and how that offers a new understanding of the </w:t>
      </w:r>
      <w:r w:rsidRPr="00496130">
        <w:lastRenderedPageBreak/>
        <w:t>rhythms of social life during this vibrant period. By focusing at a more human scale of change, we are more able to consider the structuring of social life and how it shifted and coalesced through the occupation of Unguja Ukuu. These excavations are part of a broader project exploring local resource landscapes associated with the development of urbanism on the eastern African coast (Wynne-Jones and Sulas 2017).  Detailed dating has also exposed how the broad span chronology offered by the art</w:t>
      </w:r>
      <w:r w:rsidR="00496130" w:rsidRPr="00496130">
        <w:t>i</w:t>
      </w:r>
      <w:r w:rsidRPr="00496130">
        <w:t xml:space="preserve">fact sequence has led to a sense of greater continuity through time than may actually have existed, supporting and refining chronometric dates from across the region. </w:t>
      </w:r>
    </w:p>
    <w:p w14:paraId="632FF295" w14:textId="77777777" w:rsidR="001F649F" w:rsidRPr="00496130" w:rsidRDefault="001F649F" w:rsidP="001F649F"/>
    <w:p w14:paraId="417A175E" w14:textId="77777777" w:rsidR="001F649F" w:rsidRPr="00496130" w:rsidRDefault="001F649F" w:rsidP="001F649F">
      <w:pPr>
        <w:pStyle w:val="Heading2"/>
      </w:pPr>
      <w:r w:rsidRPr="00496130">
        <w:t>Research context</w:t>
      </w:r>
    </w:p>
    <w:p w14:paraId="03DF57CE" w14:textId="3AD74FBB" w:rsidR="001F649F" w:rsidRPr="00496130" w:rsidRDefault="001F649F" w:rsidP="001F649F">
      <w:r w:rsidRPr="00496130">
        <w:t>The site of Unguja Ukuu holds a special position in reconstructions of the East African coastal past. When a novel and recognizable cultural tradition emerged along the east African coast between the 7</w:t>
      </w:r>
      <w:r w:rsidRPr="00496130">
        <w:rPr>
          <w:vertAlign w:val="superscript"/>
        </w:rPr>
        <w:t>th</w:t>
      </w:r>
      <w:r w:rsidRPr="00496130">
        <w:t xml:space="preserve"> and 10</w:t>
      </w:r>
      <w:r w:rsidRPr="00496130">
        <w:rPr>
          <w:vertAlign w:val="superscript"/>
        </w:rPr>
        <w:t>th</w:t>
      </w:r>
      <w:r w:rsidRPr="00496130">
        <w:t xml:space="preserve"> centuries </w:t>
      </w:r>
      <w:r w:rsidR="00A94A4A" w:rsidRPr="00496130">
        <w:rPr>
          <w:smallCaps/>
        </w:rPr>
        <w:t>a.d.</w:t>
      </w:r>
      <w:r w:rsidRPr="00496130">
        <w:t xml:space="preserve">, Unguja Ukuu was among the earliest places occupied. It has also consistently returned some of the highest quantities of imported goods from any site of this period (Priestman 2018). Settlements of this period contained a common suite of material culture, notably a shared ceramic tradition known as Early Tana Tradition or Triangular-Incised Ware (ETT/TIW), evidence for the production of shell beads, iron and cloth, and consistent evidence for trade with external partners, particularly in the Persian Gulf. The population of these sites were undoubtedly derived from the Early Iron Age inhabitants of the region, who had already adapted to maritime settings (Chami 2000; Crowther et al. 2016a; Sinclair et al. 1993), yet they also had a distinctive and innovative character. Attention has often been focused on the suite of imported goods that testify to the integration of these sites into Indian Ocean networks of trade. These were, however, only a small part of a material assemblage that contained rich evidence for a mixed economy of </w:t>
      </w:r>
      <w:r w:rsidRPr="00496130">
        <w:lastRenderedPageBreak/>
        <w:t>fishing and farming and the manufacture and consumption of crafts such as potting and ironworking.</w:t>
      </w:r>
    </w:p>
    <w:p w14:paraId="2A382778" w14:textId="468DC5A2" w:rsidR="001F649F" w:rsidRPr="00496130" w:rsidRDefault="001F649F" w:rsidP="001F649F">
      <w:r w:rsidRPr="00496130">
        <w:t xml:space="preserve">Unguja Ukuu was first investigated during the survey of sites on the Zanzibar archipelago (Horton and Clark 1985) and later significantly excavated under the aegis of the “Urban Origins” project during the 1990s (Sinclair and Wandibba 1988; Juma 2004). Data from these excavations has been supplemented in recent years by detailed studies of artifacts and bioarcheological material from middens.  Study of the imported ceramics and beads has suggested that the site held a prominent place in international trade networks (Juma 2004; Crowther et al. 2015; Priestman 2018; Wood 2018; Wood et al. 2016). This is complemented by botanical data for early imported rice (Crowther et al. 2016a, 2016b; see also Walshaw 2005, 2010).  The site has also yielded some of the earliest chronometric dates obtained from sites of this cultural tradition, with radiocarbon dates from archaeological charcoal reaching the 5th century </w:t>
      </w:r>
      <w:r w:rsidR="00A94A4A" w:rsidRPr="00496130">
        <w:rPr>
          <w:smallCaps/>
        </w:rPr>
        <w:t>a.d.</w:t>
      </w:r>
      <w:r w:rsidRPr="00496130">
        <w:t xml:space="preserve"> and -- with greater confidence -- the early 7th centuries </w:t>
      </w:r>
      <w:r w:rsidR="00A94A4A" w:rsidRPr="00496130">
        <w:rPr>
          <w:smallCaps/>
        </w:rPr>
        <w:t>a.d.</w:t>
      </w:r>
      <w:r w:rsidR="00210AE3" w:rsidRPr="00496130">
        <w:t xml:space="preserve"> </w:t>
      </w:r>
      <w:r w:rsidRPr="00496130">
        <w:t>The latter was first suggested via the ceramic record (Juma 1996) and recently elaborated via a series of radiocarbon dates taken from a dense midden deposit on the western edge of the site (Crowther et al. 2016b). It is thus one of the earliest instances of this type of settlement linked into Indian Ocean networks of trade.</w:t>
      </w:r>
    </w:p>
    <w:p w14:paraId="474EF1D2" w14:textId="6AB75E04" w:rsidR="001F649F" w:rsidRPr="00496130" w:rsidRDefault="001F649F" w:rsidP="001F649F">
      <w:r w:rsidRPr="00496130">
        <w:t>Yet it is surprisingly difficult to tease out the internal chronological sequence across the several centuries of the site’s occupation. Juma’s (2004) excavations were combined with a program of coring, establishing the depth and extent of archaeological deposits. Phosphate levels in the sediments were measured as a proxy for estimating population density and intensity of occupation. In combination with the da</w:t>
      </w:r>
      <w:r w:rsidR="00496130">
        <w:t>ta from excavations, Juma (2004:</w:t>
      </w:r>
      <w:r w:rsidRPr="00496130">
        <w:t xml:space="preserve"> 84–85) created an argument for a two-phase occupation of the site: an early occupation from the 6th to the 10th centuries CE, followed by a sudden break and then a reoccupation between the 15th and 16th centuries.  This later occupation does not, then, follow directly from the first </w:t>
      </w:r>
      <w:r w:rsidRPr="00496130">
        <w:lastRenderedPageBreak/>
        <w:t>millennium layers; in fact, a different area of the site seems to have been occupied in the 15</w:t>
      </w:r>
      <w:r w:rsidRPr="00496130">
        <w:rPr>
          <w:vertAlign w:val="superscript"/>
        </w:rPr>
        <w:t>th</w:t>
      </w:r>
      <w:r w:rsidRPr="00496130">
        <w:t xml:space="preserve"> century and on a much smaller scale (Fitton and Wynne-Jones 2017).  During the primary occupation of the 6th – 10th centuries, Juma postulated a gradual growth of the site and the population contained within it, peaking </w:t>
      </w:r>
      <w:r w:rsidR="00A94A4A" w:rsidRPr="00496130">
        <w:t>after</w:t>
      </w:r>
      <w:r w:rsidRPr="00496130">
        <w:t xml:space="preserve"> </w:t>
      </w:r>
      <w:r w:rsidR="00A94A4A" w:rsidRPr="00496130">
        <w:rPr>
          <w:smallCaps/>
        </w:rPr>
        <w:t>a.d.</w:t>
      </w:r>
      <w:r w:rsidR="00A94A4A" w:rsidRPr="00496130">
        <w:t xml:space="preserve"> 800</w:t>
      </w:r>
      <w:r w:rsidRPr="00496130">
        <w:t>.</w:t>
      </w:r>
    </w:p>
    <w:p w14:paraId="3A9FED37" w14:textId="67A7D495" w:rsidR="001F649F" w:rsidRPr="00496130" w:rsidRDefault="001F649F" w:rsidP="001F649F">
      <w:r w:rsidRPr="00496130">
        <w:t xml:space="preserve">Bayesian modelling of 31 radiocarbon dates from a 3-meter deep midden deposit confirmed these estimates (Crowther et al. 2016b; Faulkner </w:t>
      </w:r>
      <w:r w:rsidRPr="00496130">
        <w:rPr>
          <w:iCs/>
        </w:rPr>
        <w:t>et al.</w:t>
      </w:r>
      <w:r w:rsidRPr="00496130">
        <w:t xml:space="preserve"> 2017). Dates on economic taxa span the 7</w:t>
      </w:r>
      <w:r w:rsidRPr="00496130">
        <w:rPr>
          <w:vertAlign w:val="superscript"/>
        </w:rPr>
        <w:t>th</w:t>
      </w:r>
      <w:r w:rsidRPr="00496130">
        <w:t xml:space="preserve"> – 10</w:t>
      </w:r>
      <w:r w:rsidRPr="00496130">
        <w:rPr>
          <w:vertAlign w:val="superscript"/>
        </w:rPr>
        <w:t>th</w:t>
      </w:r>
      <w:r w:rsidRPr="00496130">
        <w:t xml:space="preserve"> centuries </w:t>
      </w:r>
      <w:r w:rsidR="00A94A4A" w:rsidRPr="00496130">
        <w:rPr>
          <w:smallCaps/>
        </w:rPr>
        <w:t>a.d.</w:t>
      </w:r>
      <w:r w:rsidRPr="00496130">
        <w:t xml:space="preserve"> (Prendergast</w:t>
      </w:r>
      <w:r w:rsidRPr="00496130">
        <w:rPr>
          <w:iCs/>
        </w:rPr>
        <w:t xml:space="preserve"> et al.</w:t>
      </w:r>
      <w:r w:rsidRPr="00496130">
        <w:rPr>
          <w:i/>
        </w:rPr>
        <w:t xml:space="preserve"> </w:t>
      </w:r>
      <w:r w:rsidR="00F103A5" w:rsidRPr="00496130">
        <w:t xml:space="preserve">2016, </w:t>
      </w:r>
      <w:r w:rsidRPr="00496130">
        <w:t>2017a: 634</w:t>
      </w:r>
      <w:r w:rsidR="00F103A5" w:rsidRPr="00496130">
        <w:t>, 2017b</w:t>
      </w:r>
      <w:r w:rsidRPr="00496130">
        <w:t>). The associated midden deposits are densest, thickest and most diverse in the 8</w:t>
      </w:r>
      <w:r w:rsidRPr="00496130">
        <w:rPr>
          <w:vertAlign w:val="superscript"/>
        </w:rPr>
        <w:t>th</w:t>
      </w:r>
      <w:r w:rsidRPr="00496130">
        <w:t xml:space="preserve"> – 9</w:t>
      </w:r>
      <w:r w:rsidRPr="00496130">
        <w:rPr>
          <w:vertAlign w:val="superscript"/>
        </w:rPr>
        <w:t>th</w:t>
      </w:r>
      <w:r w:rsidRPr="00496130">
        <w:t xml:space="preserve"> centuries </w:t>
      </w:r>
      <w:r w:rsidR="00A94A4A" w:rsidRPr="00496130">
        <w:rPr>
          <w:smallCaps/>
        </w:rPr>
        <w:t>a.d.</w:t>
      </w:r>
      <w:r w:rsidRPr="00496130">
        <w:t>, suggesting the greatest intensity of occupation at that time.</w:t>
      </w:r>
    </w:p>
    <w:p w14:paraId="245C2E59" w14:textId="413F20A3" w:rsidR="001F649F" w:rsidRPr="00496130" w:rsidRDefault="001F649F" w:rsidP="001F649F">
      <w:r w:rsidRPr="00496130">
        <w:t>Yet these chronological sequences cannot account for change and development across those centuries, seemingly demonstrating only periods of greater and lesser intensity of occupation. This particular site was then largely abandoned in the 10</w:t>
      </w:r>
      <w:r w:rsidRPr="00496130">
        <w:rPr>
          <w:vertAlign w:val="superscript"/>
        </w:rPr>
        <w:t>th</w:t>
      </w:r>
      <w:r w:rsidRPr="00496130">
        <w:t xml:space="preserve"> century and only partially reoccupied later. Accounting for change remains challenging in this setting, where the subsistence base, ceramic record and suite of imported goods do not undergo transformative change over these 300 years. For the current research, households were targeted as a means of incorporating </w:t>
      </w:r>
      <w:r w:rsidRPr="00496130">
        <w:rPr>
          <w:i/>
          <w:iCs/>
        </w:rPr>
        <w:t>context</w:t>
      </w:r>
      <w:r w:rsidRPr="00496130">
        <w:t>, with the aim of exploring transformations in lifeways an</w:t>
      </w:r>
      <w:r w:rsidR="00496130">
        <w:t xml:space="preserve">d household practices over time.  </w:t>
      </w:r>
      <w:r w:rsidRPr="00496130">
        <w:t>Detailed chronology was central to that level of understanding, allowing us to explore changing practice over time.</w:t>
      </w:r>
      <w:r w:rsidR="00496130">
        <w:t xml:space="preserve">  Ultimately, it is expected that this type of household-level dat</w:t>
      </w:r>
      <w:r w:rsidR="00D04E1E">
        <w:t>a can create a new insight into</w:t>
      </w:r>
      <w:r w:rsidR="00D04E1E" w:rsidRPr="00496130">
        <w:t xml:space="preserve"> what the transition to urbanism</w:t>
      </w:r>
      <w:r w:rsidR="00D04E1E">
        <w:t xml:space="preserve"> and what it</w:t>
      </w:r>
      <w:r w:rsidR="00D04E1E" w:rsidRPr="00496130">
        <w:t xml:space="preserve"> really meant for the ways people lived their lives.</w:t>
      </w:r>
    </w:p>
    <w:p w14:paraId="7F6ADE3A" w14:textId="77777777" w:rsidR="001F649F" w:rsidRPr="00496130" w:rsidRDefault="001F649F" w:rsidP="001F649F"/>
    <w:p w14:paraId="41DC455D" w14:textId="77777777" w:rsidR="001F649F" w:rsidRPr="00496130" w:rsidRDefault="001F649F" w:rsidP="001F649F">
      <w:pPr>
        <w:pStyle w:val="Heading2"/>
      </w:pPr>
      <w:r w:rsidRPr="00496130">
        <w:t>Excavation and sampling methods</w:t>
      </w:r>
    </w:p>
    <w:p w14:paraId="3A5DE903" w14:textId="3508F6EE" w:rsidR="001F649F" w:rsidRPr="00496130" w:rsidRDefault="001F649F" w:rsidP="001F649F">
      <w:r w:rsidRPr="00496130">
        <w:t>Sites of thi</w:t>
      </w:r>
      <w:r w:rsidR="00D04E1E">
        <w:t>s period were built from wattle-and-</w:t>
      </w:r>
      <w:r w:rsidRPr="00496130">
        <w:t xml:space="preserve">daub architecture of which no trace stands above ground. Archaeology has most frequently recovered only traces of structural materials </w:t>
      </w:r>
      <w:r w:rsidRPr="00496130">
        <w:lastRenderedPageBreak/>
        <w:t>including burnt daub; consequently there are very few examples of excavated houses for the 7</w:t>
      </w:r>
      <w:r w:rsidRPr="00496130">
        <w:rPr>
          <w:vertAlign w:val="superscript"/>
        </w:rPr>
        <w:t>th</w:t>
      </w:r>
      <w:r w:rsidRPr="00496130">
        <w:t xml:space="preserve"> – 10</w:t>
      </w:r>
      <w:r w:rsidRPr="00496130">
        <w:rPr>
          <w:vertAlign w:val="superscript"/>
        </w:rPr>
        <w:t>th</w:t>
      </w:r>
      <w:r w:rsidRPr="00496130">
        <w:t xml:space="preserve"> century coast (Fleisher and LaViolette 2013; Horton 1996), and none from Unguja Ukuu itself. Previous studies have explored the culture history, economy and external connections of the site through midden sequences (Crowther </w:t>
      </w:r>
      <w:r w:rsidRPr="00496130">
        <w:rPr>
          <w:iCs/>
        </w:rPr>
        <w:t>et al.</w:t>
      </w:r>
      <w:r w:rsidRPr="00496130">
        <w:t xml:space="preserve"> 2015, 2016a; Horton and Clark 1985; Wood </w:t>
      </w:r>
      <w:r w:rsidRPr="00496130">
        <w:rPr>
          <w:iCs/>
        </w:rPr>
        <w:t>et al.</w:t>
      </w:r>
      <w:r w:rsidRPr="00496130">
        <w:t xml:space="preserve"> 2016) and area excavations (Juma 2004), which have encountered walls and floors only incidentally. </w:t>
      </w:r>
    </w:p>
    <w:p w14:paraId="3FC0E4F7" w14:textId="77777777" w:rsidR="001F649F" w:rsidRPr="00496130" w:rsidRDefault="001F649F" w:rsidP="001F649F">
      <w:r w:rsidRPr="00496130">
        <w:t>Previous work at Unguja Ukuu provided a guide for locating the excavations. The spatial layout of the site has been clarified by drawing together existing data, augmented with geophysical survey (Figure 2; Fitton and Wynne-Jones 2017). The site occupies a spit of land called Ras Makime, on the south-western edge of Zanzibar (Unguja) Island. The spit is bordered to the west by the Indian Ocean, via a protected shallow beach that probably functioned as the harbor area for local and foreign vessels. To the east, the spit is delineated by a mangrove-lined creek. The central zone of the site lies along a ridge between those areas of seawater. Previous excavations have investigated rich midden deposits that lie along the edges of the site, particularly on the seaward side (Crowther et al</w:t>
      </w:r>
      <w:r w:rsidRPr="00496130">
        <w:rPr>
          <w:i/>
        </w:rPr>
        <w:t>.</w:t>
      </w:r>
      <w:r w:rsidRPr="00496130">
        <w:t xml:space="preserve"> 2015, 2016; Horton and Clark 1985). Yet both Juma’s (2004) excavations and our own survey had pointed to the central area as the most likely location for finding domestic structures. </w:t>
      </w:r>
    </w:p>
    <w:p w14:paraId="661CBF81" w14:textId="77777777" w:rsidR="001F649F" w:rsidRPr="00496130" w:rsidRDefault="001F649F" w:rsidP="001F649F">
      <w:r w:rsidRPr="00496130">
        <w:t>Our excavations, conducted during July 2017, consisted of two trenches positioned to examine domestic structures directly (Figure 2). The first (UZ001) encountered a rich but disturbed stratigraphy with material culture from the 7</w:t>
      </w:r>
      <w:r w:rsidRPr="00496130">
        <w:rPr>
          <w:vertAlign w:val="superscript"/>
        </w:rPr>
        <w:t>th</w:t>
      </w:r>
      <w:r w:rsidRPr="00496130">
        <w:t xml:space="preserve"> – 10</w:t>
      </w:r>
      <w:r w:rsidRPr="00496130">
        <w:rPr>
          <w:vertAlign w:val="superscript"/>
        </w:rPr>
        <w:t>th</w:t>
      </w:r>
      <w:r w:rsidRPr="00496130">
        <w:t xml:space="preserve"> centuries, while the second (UZ002) encompassed an undisturbed house indicated by the presence of successive packed-earth floors and postholes. </w:t>
      </w:r>
    </w:p>
    <w:p w14:paraId="77EBA7A7" w14:textId="6FA82E7C" w:rsidR="001F649F" w:rsidRPr="00496130" w:rsidRDefault="001F649F" w:rsidP="001F649F">
      <w:r w:rsidRPr="00496130">
        <w:t xml:space="preserve">UZ002 was a 3 x 5 m trench positioned over a house sequence. Excavation encountered a series of packed earth floors, with domestic debris in and around. These were excavated using a single-context system, with multi-proxy sampling and analysis to access detail on the use of </w:t>
      </w:r>
      <w:r w:rsidRPr="00496130">
        <w:lastRenderedPageBreak/>
        <w:t xml:space="preserve">environmental resources.  The methods were based on those developed at the second millennium site of Songo Mnara, where they had proven valuable for exploring the use of space inside and </w:t>
      </w:r>
      <w:r w:rsidR="00F512CD" w:rsidRPr="00496130">
        <w:t xml:space="preserve">outside built structures (Sulas, Fleisher and Wynne-Jones </w:t>
      </w:r>
      <w:r w:rsidRPr="00496130">
        <w:t xml:space="preserve">2017; Wynne-Jones and Fleisher 2010, 2011). </w:t>
      </w:r>
      <w:r w:rsidRPr="00496130">
        <w:rPr>
          <w:color w:val="auto"/>
        </w:rPr>
        <w:t xml:space="preserve">In particular, </w:t>
      </w:r>
      <w:r w:rsidRPr="00496130">
        <w:t xml:space="preserve">floors were sampled on a grid to explore spatial variation and allow characterization of differing archaeological features (Figure 3). </w:t>
      </w:r>
    </w:p>
    <w:p w14:paraId="268BB22C" w14:textId="77777777" w:rsidR="001F649F" w:rsidRPr="00496130" w:rsidRDefault="001F649F" w:rsidP="001F649F">
      <w:pPr>
        <w:pStyle w:val="Heading3"/>
      </w:pPr>
      <w:r w:rsidRPr="00496130">
        <w:t>Excavation</w:t>
      </w:r>
    </w:p>
    <w:p w14:paraId="583F093D" w14:textId="77777777" w:rsidR="001F649F" w:rsidRPr="00496130" w:rsidRDefault="001F649F" w:rsidP="001F649F">
      <w:r w:rsidRPr="00496130">
        <w:t xml:space="preserve">Excavation was by single context and 100% of the material removed was dry-sieved through a 2 mm-mesh. Artifacts were recorded </w:t>
      </w:r>
      <w:r w:rsidRPr="00496130">
        <w:rPr>
          <w:i/>
        </w:rPr>
        <w:t>in situ</w:t>
      </w:r>
      <w:r w:rsidRPr="00496130">
        <w:t xml:space="preserve"> where possible and by context when recovered from the sieve. </w:t>
      </w:r>
    </w:p>
    <w:p w14:paraId="05525F67" w14:textId="77777777" w:rsidR="001F649F" w:rsidRPr="00496130" w:rsidRDefault="001F649F" w:rsidP="001F649F">
      <w:r w:rsidRPr="00496130">
        <w:t xml:space="preserve">All deposits were sampled for flotation to retrieve charred botanical macroremains and charcoal, a sample of which was then processed for specialist analysis. Systematic sampling across house floors (at 0.5m intervals) produced sediment samples for the further characterization of space. </w:t>
      </w:r>
    </w:p>
    <w:p w14:paraId="442297A8" w14:textId="77777777" w:rsidR="001F649F" w:rsidRPr="00496130" w:rsidRDefault="001F649F" w:rsidP="001F649F">
      <w:pPr>
        <w:pStyle w:val="Heading3"/>
      </w:pPr>
      <w:r w:rsidRPr="00496130">
        <w:t>Post-excavation analyses</w:t>
      </w:r>
    </w:p>
    <w:p w14:paraId="7E20EC6F" w14:textId="77777777" w:rsidR="001F649F" w:rsidRPr="00496130" w:rsidRDefault="001F649F" w:rsidP="001F649F">
      <w:r w:rsidRPr="00496130">
        <w:t xml:space="preserve">Post-excavation analyses focused on the study of daub, ceramics, glass and metal finds, charcoal, phytoliths, and archaeological sediments. </w:t>
      </w:r>
    </w:p>
    <w:p w14:paraId="501B4773" w14:textId="77777777" w:rsidR="001F649F" w:rsidRPr="00496130" w:rsidRDefault="001F649F" w:rsidP="001F649F">
      <w:r w:rsidRPr="00496130">
        <w:t xml:space="preserve">All ceramics were counted and weighed; diagnostic sherds were analyzed as part of a developing ceramic typology for the site, following the methodology outlined by Fleisher and Wynne-Jones (2011). Numbers of diagnostic ceramics from UZ002 were low, but they can be incorporated into a series developed from other excavations at Unguja Ukuu and along the eastern African coast.  Imported ceramics were identified and recorded. Glass vessel finds were weighed by context and glass beads were identified following the typology established by Wood (2011; Wood et al. 2016). Iron slag was weighed and characterized using morphometric criteria (Baužyté 2019). </w:t>
      </w:r>
    </w:p>
    <w:p w14:paraId="4190DA9F" w14:textId="2F25DE78" w:rsidR="001F649F" w:rsidRPr="00496130" w:rsidRDefault="001F649F" w:rsidP="001F649F">
      <w:r w:rsidRPr="00496130">
        <w:lastRenderedPageBreak/>
        <w:t>Geoarchaeological analyses focused on characterizing the sediments of every context using laser diffraction, pH and Loss-on-ignition, while soil chemistry was measured using Inductively Coupled Plasma Mass Spectrometry (ICP-MS). The wide range of elements considered (n=59) magnified the potential to detect chemical signatures deriving from a variety of processes, activities, and conditions wit</w:t>
      </w:r>
      <w:r w:rsidR="00F103A5" w:rsidRPr="00496130">
        <w:t xml:space="preserve">hin and between contexts (Sulas, Kristiansen and Wynne-Jones </w:t>
      </w:r>
      <w:r w:rsidRPr="00496130">
        <w:t>2019). Microstratigraphy was studied using soil micromorphology. Samples were processed following the procedure described in French and Rajkovaca (2013). Thin sections were studied under a polarizing microscope under different magnification views and using plane polarized light (PPL), crossed polarized light (XPL), and oblique incident light (OIL). The description and interpretation follow international standards for terminology (Bullock et al. 1985; Stoops 2003), and guidelines from reference studies (Macphail and Goldberg 2018; Nicosia and Stoops 2017; Stoops</w:t>
      </w:r>
      <w:r w:rsidR="00F512CD" w:rsidRPr="00496130">
        <w:t>, Marcelino and Mees</w:t>
      </w:r>
      <w:r w:rsidRPr="00496130">
        <w:t xml:space="preserve"> 2010).</w:t>
      </w:r>
    </w:p>
    <w:p w14:paraId="6D1FE96A" w14:textId="77777777" w:rsidR="001F649F" w:rsidRPr="00496130" w:rsidRDefault="001F649F" w:rsidP="001F649F">
      <w:r w:rsidRPr="00496130">
        <w:t>Analysis of botanical remains focused on charcoal and phytolith samples. Charcoal was picked by hand from the trench and the sieve during excavation, as well as being recovered from flotation.  . In the laboratory, further gentle wet-sieving on a 1-mm screen produced 29 charcoal samples that were studied for classification and radiocarbon dating.  Full protocols for analysis, classification and interpretation are given elsewhere (Out 2018)</w:t>
      </w:r>
    </w:p>
    <w:p w14:paraId="7C4A77AC" w14:textId="77777777" w:rsidR="001F649F" w:rsidRPr="00496130" w:rsidRDefault="001F649F" w:rsidP="001F649F">
      <w:r w:rsidRPr="00496130">
        <w:t xml:space="preserve">Charcoal fragments were studied using a microscope with a maximum magnification of 40X and a reflected light microscope with a maximum magnification of 500X. In total, 339 charcoal fragments were weighed and studied in transversal, tangential and radial section and classified by means of  InsideWood (2004 onwards; Wheeler 2011) and the CSIRO wood atlas (Ilic 1991). </w:t>
      </w:r>
    </w:p>
    <w:p w14:paraId="4FDDFE8A" w14:textId="643955B5" w:rsidR="001F649F" w:rsidRPr="00496130" w:rsidRDefault="001F649F" w:rsidP="001F649F">
      <w:r w:rsidRPr="00496130">
        <w:t>Phytoliths were extracted from bulk soil samples and</w:t>
      </w:r>
      <w:r w:rsidR="00EA5F5E" w:rsidRPr="00496130">
        <w:t xml:space="preserve"> analyzed as described in Sulas, Kristiansen and Wynne-Jones </w:t>
      </w:r>
      <w:r w:rsidRPr="00496130">
        <w:t xml:space="preserve">(2019). Summary of phytolith findings mentioned here adopt </w:t>
      </w:r>
      <w:r w:rsidRPr="00496130">
        <w:lastRenderedPageBreak/>
        <w:t xml:space="preserve">the latest </w:t>
      </w:r>
      <w:bookmarkStart w:id="0" w:name="_Hlk38183607"/>
      <w:r w:rsidRPr="00496130">
        <w:t>International Code for Phytolith Identification 2.0 (ICPT 2019</w:t>
      </w:r>
      <w:bookmarkEnd w:id="0"/>
      <w:r w:rsidRPr="00496130">
        <w:t>), which was published after our first study (</w:t>
      </w:r>
      <w:r w:rsidR="00EA5F5E" w:rsidRPr="00496130">
        <w:t>Sulas, Kristiansen and Wynne-Jones</w:t>
      </w:r>
      <w:r w:rsidR="00EA5F5E" w:rsidRPr="00496130">
        <w:t xml:space="preserve"> </w:t>
      </w:r>
      <w:r w:rsidRPr="00496130">
        <w:t xml:space="preserve">2019).  </w:t>
      </w:r>
    </w:p>
    <w:p w14:paraId="127AD41E" w14:textId="77777777" w:rsidR="001F649F" w:rsidRPr="00496130" w:rsidRDefault="001F649F" w:rsidP="001F649F">
      <w:pPr>
        <w:pStyle w:val="Heading3"/>
      </w:pPr>
      <w:r w:rsidRPr="00496130">
        <w:t>Dating</w:t>
      </w:r>
    </w:p>
    <w:p w14:paraId="0D285087" w14:textId="5A0F811D" w:rsidR="001F649F" w:rsidRPr="00496130" w:rsidRDefault="001F649F" w:rsidP="001F649F">
      <w:r w:rsidRPr="00496130">
        <w:t>Samples for Accelerator Mass Spectrometry (AMS) radiocarbon dating were taken from stratified deposits and selected on the basis of stratigraphic consistency and relations (</w:t>
      </w:r>
      <w:r w:rsidRPr="00496130">
        <w:rPr>
          <w:color w:val="auto"/>
        </w:rPr>
        <w:t>Table 1</w:t>
      </w:r>
      <w:r w:rsidRPr="00496130">
        <w:t xml:space="preserve">). Paired samples were taken from the same stratigraphic unit but in different, connected contexts such as, for example, a floor and an </w:t>
      </w:r>
      <w:r w:rsidR="00496130" w:rsidRPr="00496130">
        <w:t>artifact</w:t>
      </w:r>
      <w:r w:rsidRPr="00496130">
        <w:t xml:space="preserve"> concentration within it. Radiocarbon measurements were performed using the HVE 1MV tandetron accelerator AMS system at the Aarhus AMS Centre. </w:t>
      </w:r>
      <w:r w:rsidRPr="00496130">
        <w:rPr>
          <w:vertAlign w:val="superscript"/>
        </w:rPr>
        <w:t>14</w:t>
      </w:r>
      <w:r w:rsidRPr="00496130">
        <w:t xml:space="preserve">C dates are reported as conventional </w:t>
      </w:r>
      <w:r w:rsidRPr="00496130">
        <w:rPr>
          <w:vertAlign w:val="superscript"/>
        </w:rPr>
        <w:t>14</w:t>
      </w:r>
      <w:r w:rsidRPr="00496130">
        <w:t xml:space="preserve">C ages BP normalized to −25‰ according to international convention using online </w:t>
      </w:r>
      <w:r w:rsidRPr="00496130">
        <w:rPr>
          <w:vertAlign w:val="superscript"/>
        </w:rPr>
        <w:t>13</w:t>
      </w:r>
      <w:r w:rsidRPr="00496130">
        <w:t>C/</w:t>
      </w:r>
      <w:r w:rsidRPr="00496130">
        <w:rPr>
          <w:vertAlign w:val="superscript"/>
        </w:rPr>
        <w:t>12</w:t>
      </w:r>
      <w:r w:rsidRPr="00496130">
        <w:t xml:space="preserve">C ratios (Stuiver and Polach 1977). The </w:t>
      </w:r>
      <w:r w:rsidRPr="00496130">
        <w:rPr>
          <w:vertAlign w:val="superscript"/>
        </w:rPr>
        <w:t>14</w:t>
      </w:r>
      <w:r w:rsidRPr="00496130">
        <w:t>C concentration for modern samples (after 1950 AD) are provided as F</w:t>
      </w:r>
      <w:r w:rsidRPr="00496130">
        <w:rPr>
          <w:vertAlign w:val="superscript"/>
        </w:rPr>
        <w:t>14</w:t>
      </w:r>
      <w:r w:rsidRPr="00496130">
        <w:t>C. Charcoal samples were pretreated using the acid-base-acid (ABA) procedure to remove carbonates and humic acids. Subsequently CO</w:t>
      </w:r>
      <w:r w:rsidRPr="00496130">
        <w:rPr>
          <w:vertAlign w:val="subscript"/>
        </w:rPr>
        <w:t>2</w:t>
      </w:r>
      <w:r w:rsidRPr="00496130">
        <w:t xml:space="preserve"> was produced by combustion in vacuum sealed vials containing CuO and then graphitized. Shell samples were mechanically cleaned and 10% of the surface was etched off using HCl prior to dissolution in 85% phosphoric acid for CO</w:t>
      </w:r>
      <w:r w:rsidRPr="00496130">
        <w:rPr>
          <w:vertAlign w:val="subscript"/>
        </w:rPr>
        <w:t>2</w:t>
      </w:r>
      <w:r w:rsidRPr="00496130">
        <w:t xml:space="preserve"> production and graphitization. All samples were calibrated to calendar ages using OxCal 4.3 (Bronk Ramsey 2009). Modern </w:t>
      </w:r>
      <w:r w:rsidRPr="00496130">
        <w:rPr>
          <w:vertAlign w:val="superscript"/>
        </w:rPr>
        <w:t>14</w:t>
      </w:r>
      <w:r w:rsidRPr="00496130">
        <w:t>C age were calibrated using the Bomb13NH3 calibration curve (</w:t>
      </w:r>
      <w:r w:rsidR="00F512CD" w:rsidRPr="00496130">
        <w:t>Hua</w:t>
      </w:r>
      <w:r w:rsidR="00F512CD" w:rsidRPr="00496130">
        <w:t>,</w:t>
      </w:r>
      <w:r w:rsidR="00F512CD" w:rsidRPr="00496130">
        <w:t xml:space="preserve"> Barbetti and </w:t>
      </w:r>
      <w:r w:rsidR="00F512CD" w:rsidRPr="00496130">
        <w:t>Rakowski</w:t>
      </w:r>
      <w:r w:rsidR="00F512CD" w:rsidRPr="00496130">
        <w:t xml:space="preserve"> </w:t>
      </w:r>
      <w:r w:rsidRPr="00496130">
        <w:t xml:space="preserve">2013), and shell samples using the global marine calibration curve, Marine13 (Reimer et al. 2013). Non-modern charcoal samples were calibrated using a mixed calibration curve consisting of the Northern atmosphere (IntCal13, 70%) and the Southern Hemisphere (SHCal13, 30%) (Hogg et al. 2013; Reimer et al. 2013) to take into account the effects of the Intertropical Convergence Zone (Crowther et al. 2017; Wright 2017). </w:t>
      </w:r>
      <w:r w:rsidRPr="00496130">
        <w:rPr>
          <w:b/>
          <w:bCs/>
        </w:rPr>
        <w:t xml:space="preserve"> </w:t>
      </w:r>
    </w:p>
    <w:p w14:paraId="5EA60569" w14:textId="77777777" w:rsidR="001F649F" w:rsidRPr="00496130" w:rsidRDefault="001F649F" w:rsidP="001F649F">
      <w:pPr>
        <w:rPr>
          <w:b/>
          <w:bCs/>
        </w:rPr>
      </w:pPr>
    </w:p>
    <w:p w14:paraId="222A7A18" w14:textId="77777777" w:rsidR="001F649F" w:rsidRPr="00496130" w:rsidRDefault="001F649F" w:rsidP="001F649F">
      <w:pPr>
        <w:pStyle w:val="Heading2"/>
      </w:pPr>
      <w:r w:rsidRPr="00496130">
        <w:lastRenderedPageBreak/>
        <w:t>Results</w:t>
      </w:r>
    </w:p>
    <w:p w14:paraId="529AA23D" w14:textId="77777777" w:rsidR="001F649F" w:rsidRPr="00496130" w:rsidRDefault="001F649F" w:rsidP="001F649F">
      <w:pPr>
        <w:pStyle w:val="Heading3"/>
      </w:pPr>
      <w:r w:rsidRPr="00496130">
        <w:t>Stratigraphy</w:t>
      </w:r>
    </w:p>
    <w:p w14:paraId="114EEEDB" w14:textId="159DC6DB" w:rsidR="001F649F" w:rsidRPr="00496130" w:rsidRDefault="001F649F" w:rsidP="001F649F">
      <w:r w:rsidRPr="00496130">
        <w:t>The archaeological stratigraphy reached a variable depth of c. 50-</w:t>
      </w:r>
      <w:r w:rsidRPr="00496130">
        <w:rPr>
          <w:color w:val="auto"/>
        </w:rPr>
        <w:t xml:space="preserve">70 cm (Figure 4). </w:t>
      </w:r>
      <w:r w:rsidRPr="00496130">
        <w:t xml:space="preserve">Three main macro-stratigraphic units were found over sterile, lateritic bedrock. These were comprised of a mixed and </w:t>
      </w:r>
      <w:r w:rsidR="00496130" w:rsidRPr="00496130">
        <w:t>artifact</w:t>
      </w:r>
      <w:r w:rsidRPr="00496130">
        <w:t xml:space="preserve">-rich topsoil, covering two packed-earth floors separated by sandy fills. Each of the two packed-earth floors was defined by a clay-like texture, with </w:t>
      </w:r>
      <w:r w:rsidRPr="00496130">
        <w:rPr>
          <w:color w:val="auto"/>
        </w:rPr>
        <w:t xml:space="preserve">daub remains suggestive of previous walls. The edges of these floors were not apparent </w:t>
      </w:r>
      <w:r w:rsidRPr="00496130">
        <w:t xml:space="preserve">on all sides but were delimited by sandy sediments at the eastern and northern sides.  Although the floors represented separate periods of occupation, they were almost perfectly superimposed, suggesting a continuity of the basic structure and a moment of renovation (Figure 5). It also seems that the layout of the structures had some basic spatial continuities. In particular, on each floor we recorded a shallow pit with a concentration of artifacts, charcoal and ash (contexts #2009, #2012, #2017) in approximately the same position on both floors but separated by a layer of cleaner fill, in which no cut was present. </w:t>
      </w:r>
    </w:p>
    <w:p w14:paraId="1C2E023B" w14:textId="77777777" w:rsidR="001F649F" w:rsidRPr="00496130" w:rsidRDefault="001F649F" w:rsidP="001F649F"/>
    <w:p w14:paraId="2C184D87" w14:textId="77777777" w:rsidR="001F649F" w:rsidRPr="00496130" w:rsidRDefault="001F649F" w:rsidP="001F649F">
      <w:pPr>
        <w:pStyle w:val="Heading3"/>
      </w:pPr>
      <w:r w:rsidRPr="00496130">
        <w:t>Chronology</w:t>
      </w:r>
    </w:p>
    <w:p w14:paraId="3B630172" w14:textId="781549B7" w:rsidR="001F649F" w:rsidRPr="00496130" w:rsidRDefault="001F649F" w:rsidP="001F649F">
      <w:r w:rsidRPr="00496130">
        <w:t>The</w:t>
      </w:r>
      <w:r w:rsidRPr="00496130">
        <w:rPr>
          <w:color w:val="FF0000"/>
        </w:rPr>
        <w:t xml:space="preserve"> </w:t>
      </w:r>
      <w:r w:rsidRPr="00496130">
        <w:rPr>
          <w:color w:val="auto"/>
        </w:rPr>
        <w:t>15</w:t>
      </w:r>
      <w:r w:rsidRPr="00496130">
        <w:t xml:space="preserve"> AMS dates discussed here were obtained from charcoal and shell fragments. While we recognize the desirability of using economic taxa, such as charred seeds, for the purposes of dating, these were not available from this trench (see discussion of archeobotany, below). To mitigate the possibilities of dating older charcoal, we worked to identify what kind of tree part</w:t>
      </w:r>
      <w:r w:rsidR="00210AE3" w:rsidRPr="00496130">
        <w:t xml:space="preserve"> </w:t>
      </w:r>
      <w:r w:rsidRPr="00496130">
        <w:t xml:space="preserve">each fragment represented and to choose younger branches whenever possible. Fragments of shell that were subjected to AMS dating returned consistently earlier dates, reflecting a clear reservoir effect (see Table 1). Because the local reservoir age is unknown the four shell samples will not be discussed any further. Attempts to date associated bone were hampered by a lack of collagen. </w:t>
      </w:r>
    </w:p>
    <w:p w14:paraId="603B3E3D" w14:textId="23F6E55A" w:rsidR="001F649F" w:rsidRPr="00496130" w:rsidRDefault="001F649F" w:rsidP="001F649F">
      <w:r w:rsidRPr="00496130">
        <w:lastRenderedPageBreak/>
        <w:t xml:space="preserve">The stratigraphy allowed us to construct a sequence to model the occupation history of the house using the </w:t>
      </w:r>
      <w:r w:rsidRPr="00496130">
        <w:rPr>
          <w:vertAlign w:val="superscript"/>
        </w:rPr>
        <w:t>14</w:t>
      </w:r>
      <w:r w:rsidRPr="00496130">
        <w:t>C samples from context #2017, #2015, #2012, #2009 and #2004</w:t>
      </w:r>
      <w:r w:rsidRPr="00496130">
        <w:rPr>
          <w:color w:val="auto"/>
        </w:rPr>
        <w:t xml:space="preserve">. </w:t>
      </w:r>
      <w:r w:rsidRPr="00496130">
        <w:t xml:space="preserve">The </w:t>
      </w:r>
      <w:r w:rsidRPr="00496130">
        <w:rPr>
          <w:color w:val="auto"/>
        </w:rPr>
        <w:t xml:space="preserve">Bayesian model (Table 1 and Figure 4) returned a relatively compact timeframe of occupation lasting between 0 and 200 years. The </w:t>
      </w:r>
      <w:r w:rsidRPr="00496130">
        <w:t>deepest packed-earth floor (#2018 and a pit within it #2017) produced dates ranging from 1283±27 (AAR</w:t>
      </w:r>
      <w:r w:rsidRPr="00496130">
        <w:noBreakHyphen/>
        <w:t>28404) to 1257±36 BP (AAR</w:t>
      </w:r>
      <w:r w:rsidRPr="00496130">
        <w:noBreakHyphen/>
        <w:t xml:space="preserve">28409) that, when modelled, place the start of </w:t>
      </w:r>
      <w:r w:rsidR="00A94A4A" w:rsidRPr="00496130">
        <w:t>the occupation sometime between</w:t>
      </w:r>
      <w:r w:rsidRPr="00496130">
        <w:t xml:space="preserve"> </w:t>
      </w:r>
      <w:r w:rsidR="00A94A4A" w:rsidRPr="00496130">
        <w:rPr>
          <w:smallCaps/>
        </w:rPr>
        <w:t>cal</w:t>
      </w:r>
      <w:r w:rsidR="00A94A4A" w:rsidRPr="00496130">
        <w:t xml:space="preserve"> </w:t>
      </w:r>
      <w:r w:rsidR="00A94A4A" w:rsidRPr="00496130">
        <w:rPr>
          <w:smallCaps/>
        </w:rPr>
        <w:t>a.d.</w:t>
      </w:r>
      <w:r w:rsidR="00A94A4A" w:rsidRPr="00496130">
        <w:t xml:space="preserve"> 599</w:t>
      </w:r>
      <w:r w:rsidRPr="00496130">
        <w:t xml:space="preserve"> </w:t>
      </w:r>
      <w:r w:rsidR="00496130" w:rsidRPr="00496130">
        <w:t>–</w:t>
      </w:r>
      <w:r w:rsidR="00496130" w:rsidRPr="00496130">
        <w:rPr>
          <w:smallCaps/>
        </w:rPr>
        <w:t xml:space="preserve"> 825</w:t>
      </w:r>
      <w:r w:rsidR="00A94A4A" w:rsidRPr="00496130">
        <w:t xml:space="preserve"> </w:t>
      </w:r>
      <w:r w:rsidRPr="00496130">
        <w:t xml:space="preserve">(95.4% confidence). The upper deposits (#2004 and #2009) returned dates ranging between around 1240 </w:t>
      </w:r>
      <w:r w:rsidR="00A94A4A" w:rsidRPr="00496130">
        <w:rPr>
          <w:smallCaps/>
        </w:rPr>
        <w:t>b.p</w:t>
      </w:r>
      <w:r w:rsidR="00A94A4A" w:rsidRPr="00496130">
        <w:t>.</w:t>
      </w:r>
      <w:r w:rsidRPr="00496130">
        <w:t xml:space="preserve"> (AAR</w:t>
      </w:r>
      <w:r w:rsidRPr="00496130">
        <w:noBreakHyphen/>
        <w:t xml:space="preserve">28407, </w:t>
      </w:r>
      <w:r w:rsidRPr="00496130">
        <w:noBreakHyphen/>
        <w:t xml:space="preserve">28408), leading to a modelled end of occupation between </w:t>
      </w:r>
      <w:r w:rsidR="00A94A4A" w:rsidRPr="00496130">
        <w:rPr>
          <w:smallCaps/>
        </w:rPr>
        <w:t>cal</w:t>
      </w:r>
      <w:r w:rsidR="00A94A4A" w:rsidRPr="00496130">
        <w:t xml:space="preserve"> </w:t>
      </w:r>
      <w:r w:rsidR="00A94A4A" w:rsidRPr="00496130">
        <w:rPr>
          <w:smallCaps/>
        </w:rPr>
        <w:t xml:space="preserve">a.d </w:t>
      </w:r>
      <w:r w:rsidRPr="00496130">
        <w:t>718</w:t>
      </w:r>
      <w:r w:rsidR="00A94A4A" w:rsidRPr="00496130">
        <w:t xml:space="preserve"> </w:t>
      </w:r>
      <w:r w:rsidRPr="00496130">
        <w:t>–</w:t>
      </w:r>
      <w:r w:rsidR="00A94A4A" w:rsidRPr="00496130">
        <w:t xml:space="preserve"> </w:t>
      </w:r>
      <w:r w:rsidRPr="00496130">
        <w:t xml:space="preserve">951 (95.4% confidence). The sequence with two packed earth floors allows the Bayesian model to estimate the duration of two occupations each spanning approximately 35 years (Figure 4). This enables us to explore change </w:t>
      </w:r>
      <w:r w:rsidRPr="00496130">
        <w:rPr>
          <w:i/>
        </w:rPr>
        <w:t xml:space="preserve">within </w:t>
      </w:r>
      <w:r w:rsidRPr="00496130">
        <w:t>the 7</w:t>
      </w:r>
      <w:r w:rsidRPr="00496130">
        <w:rPr>
          <w:vertAlign w:val="superscript"/>
        </w:rPr>
        <w:t>th</w:t>
      </w:r>
      <w:r w:rsidRPr="00496130">
        <w:t xml:space="preserve"> and 8</w:t>
      </w:r>
      <w:r w:rsidRPr="00496130">
        <w:rPr>
          <w:vertAlign w:val="superscript"/>
        </w:rPr>
        <w:t>th</w:t>
      </w:r>
      <w:r w:rsidRPr="00496130">
        <w:t xml:space="preserve"> centuries, rather than regarding them as one phase. </w:t>
      </w:r>
    </w:p>
    <w:p w14:paraId="5BCFA378" w14:textId="56C5EB29" w:rsidR="001F649F" w:rsidRPr="00496130" w:rsidRDefault="001F649F" w:rsidP="001F649F">
      <w:r w:rsidRPr="00496130">
        <w:t xml:space="preserve">Several of the dates were discounted from our analysis. Two </w:t>
      </w:r>
      <w:r w:rsidRPr="00496130">
        <w:rPr>
          <w:vertAlign w:val="superscript"/>
        </w:rPr>
        <w:t>14</w:t>
      </w:r>
      <w:r w:rsidRPr="00496130">
        <w:t xml:space="preserve">C samples yielded modern (post </w:t>
      </w:r>
      <w:r w:rsidR="00A94A4A" w:rsidRPr="00496130">
        <w:rPr>
          <w:smallCaps/>
        </w:rPr>
        <w:t>a.d</w:t>
      </w:r>
      <w:r w:rsidR="00A94A4A" w:rsidRPr="00496130">
        <w:t xml:space="preserve">. </w:t>
      </w:r>
      <w:r w:rsidRPr="00496130">
        <w:t xml:space="preserve">1950) ages: AAR-28506 from (topsoil) context #2001 can be expected to yield a young age, whereas sample AAR-28403 from (packed earth floor) context #2006 is reworked. Further, three (AAR-28410, AAR-28405, AAR-29060) samples yielded ages older than 900 </w:t>
      </w:r>
      <w:r w:rsidR="00210AE3" w:rsidRPr="00496130">
        <w:rPr>
          <w:smallCaps/>
        </w:rPr>
        <w:t>b.c</w:t>
      </w:r>
      <w:r w:rsidR="00210AE3" w:rsidRPr="00496130">
        <w:t xml:space="preserve">. </w:t>
      </w:r>
      <w:r w:rsidRPr="00496130">
        <w:t xml:space="preserve">These are interpreted to originate from older deposits which are probably unrelated to any archaeological activity (Figure 4). The charcoal samples from context #2005, #2006 and #2003 consistently yield ages around </w:t>
      </w:r>
      <w:r w:rsidR="00A94A4A" w:rsidRPr="00496130">
        <w:rPr>
          <w:smallCaps/>
        </w:rPr>
        <w:t>cal</w:t>
      </w:r>
      <w:r w:rsidR="00A94A4A" w:rsidRPr="00496130">
        <w:t xml:space="preserve"> </w:t>
      </w:r>
      <w:r w:rsidR="00A94A4A" w:rsidRPr="00496130">
        <w:rPr>
          <w:smallCaps/>
        </w:rPr>
        <w:t xml:space="preserve">a.d </w:t>
      </w:r>
      <w:r w:rsidRPr="00496130">
        <w:t>350 to 500.</w:t>
      </w:r>
      <w:r w:rsidR="00210AE3" w:rsidRPr="00496130">
        <w:t xml:space="preserve"> </w:t>
      </w:r>
      <w:r w:rsidRPr="00496130">
        <w:t xml:space="preserve"> However, the age range from </w:t>
      </w:r>
      <w:r w:rsidR="00A94A4A" w:rsidRPr="00496130">
        <w:rPr>
          <w:smallCaps/>
        </w:rPr>
        <w:t>a.d</w:t>
      </w:r>
      <w:r w:rsidR="00A94A4A" w:rsidRPr="00496130">
        <w:t xml:space="preserve">. </w:t>
      </w:r>
      <w:r w:rsidRPr="00496130">
        <w:t>350 to 500 conflicts with the cultural material from #2005 and #2006 which is firmly associated with the 7</w:t>
      </w:r>
      <w:r w:rsidRPr="00496130">
        <w:rPr>
          <w:vertAlign w:val="superscript"/>
        </w:rPr>
        <w:t>th</w:t>
      </w:r>
      <w:r w:rsidRPr="00496130">
        <w:t xml:space="preserve"> and 8</w:t>
      </w:r>
      <w:r w:rsidRPr="00496130">
        <w:rPr>
          <w:vertAlign w:val="superscript"/>
        </w:rPr>
        <w:t>th</w:t>
      </w:r>
      <w:r w:rsidRPr="00496130">
        <w:t xml:space="preserve"> centuries. It also conflicts with the dates from the hearth features on the same floors. We interpret the ceramics and hearths to reflect the activity on the site and, as a consequence, we believe that the material used for constructing the upper floor (#2005, #2006) may have been brought in from deposits elsewhere and that the older charcoal must have come with it. However, the consistency of the age range, also considering </w:t>
      </w:r>
      <w:r w:rsidRPr="00496130">
        <w:lastRenderedPageBreak/>
        <w:t xml:space="preserve">the shell ages, may point towards an earlier occupation period at the site around </w:t>
      </w:r>
      <w:r w:rsidR="00A94A4A" w:rsidRPr="00496130">
        <w:rPr>
          <w:smallCaps/>
        </w:rPr>
        <w:t>a.d</w:t>
      </w:r>
      <w:r w:rsidR="00A94A4A" w:rsidRPr="00496130">
        <w:t xml:space="preserve">. </w:t>
      </w:r>
      <w:r w:rsidRPr="00496130">
        <w:t>350 to 500, of which we have no further evidence. The age range is also consistent with an “anomalous” 5</w:t>
      </w:r>
      <w:r w:rsidRPr="00496130">
        <w:rPr>
          <w:vertAlign w:val="superscript"/>
        </w:rPr>
        <w:t>th</w:t>
      </w:r>
      <w:r w:rsidRPr="00496130">
        <w:t xml:space="preserve"> century date produced </w:t>
      </w:r>
      <w:r w:rsidR="00A94A4A" w:rsidRPr="00496130">
        <w:t>during Juma’s excavations (2004,</w:t>
      </w:r>
      <w:r w:rsidRPr="00496130">
        <w:t xml:space="preserve"> 84–85). Together the three dates may suggest 5</w:t>
      </w:r>
      <w:r w:rsidRPr="00496130">
        <w:rPr>
          <w:vertAlign w:val="superscript"/>
        </w:rPr>
        <w:t>th</w:t>
      </w:r>
      <w:r w:rsidRPr="00496130">
        <w:t xml:space="preserve">-century activity on or around this site that has left charcoal within the sediments later used for building. </w:t>
      </w:r>
    </w:p>
    <w:p w14:paraId="47BF0F5B" w14:textId="77777777" w:rsidR="001F649F" w:rsidRPr="00496130" w:rsidRDefault="001F649F" w:rsidP="001F649F"/>
    <w:p w14:paraId="07BCEAF5" w14:textId="77777777" w:rsidR="001F649F" w:rsidRPr="00496130" w:rsidRDefault="001F649F" w:rsidP="001F649F">
      <w:pPr>
        <w:pStyle w:val="Heading3"/>
      </w:pPr>
      <w:r w:rsidRPr="00496130">
        <w:t>Artifacts</w:t>
      </w:r>
    </w:p>
    <w:p w14:paraId="758E64C2" w14:textId="6C71FA46" w:rsidR="001F649F" w:rsidRPr="00496130" w:rsidRDefault="001F649F" w:rsidP="001F649F">
      <w:r w:rsidRPr="00496130">
        <w:t>The quantity of artifacts was low throughout, as might be expected of household excavations, which encounter spaces normally kept fairly clean by the inhabitants. Nonetheless, two aspects of the artifact assemblage deserve further mention. First, the range of artifacts encountered is diagnostic of the entire period 7</w:t>
      </w:r>
      <w:r w:rsidRPr="00496130">
        <w:rPr>
          <w:vertAlign w:val="superscript"/>
        </w:rPr>
        <w:t>th</w:t>
      </w:r>
      <w:r w:rsidRPr="00496130">
        <w:t xml:space="preserve"> – 10</w:t>
      </w:r>
      <w:r w:rsidRPr="00496130">
        <w:rPr>
          <w:vertAlign w:val="superscript"/>
        </w:rPr>
        <w:t>th</w:t>
      </w:r>
      <w:r w:rsidRPr="00496130">
        <w:t xml:space="preserve"> centuries </w:t>
      </w:r>
      <w:r w:rsidR="00210AE3" w:rsidRPr="00496130">
        <w:rPr>
          <w:smallCaps/>
        </w:rPr>
        <w:t>a.d</w:t>
      </w:r>
      <w:r w:rsidRPr="00496130">
        <w:t xml:space="preserve">. From the artifact data alone, it would not be possible to tease apart the type of chronological detail that we see in the </w:t>
      </w:r>
      <w:r w:rsidRPr="00496130">
        <w:rPr>
          <w:vertAlign w:val="superscript"/>
        </w:rPr>
        <w:t>14</w:t>
      </w:r>
      <w:r w:rsidRPr="00496130">
        <w:t>C</w:t>
      </w:r>
      <w:r w:rsidRPr="00496130" w:rsidDel="00AB0A4E">
        <w:t xml:space="preserve"> </w:t>
      </w:r>
      <w:r w:rsidRPr="00496130">
        <w:t xml:space="preserve">results. Second, it is possible to discern variation in quantity and </w:t>
      </w:r>
      <w:r w:rsidR="00496130" w:rsidRPr="00496130">
        <w:t>artifact</w:t>
      </w:r>
      <w:r w:rsidRPr="00496130">
        <w:t xml:space="preserve"> category over time and space, even within this relatively restricted assemblage.</w:t>
      </w:r>
    </w:p>
    <w:p w14:paraId="72BC69AC" w14:textId="5CC5F0E3" w:rsidR="001F649F" w:rsidRPr="00496130" w:rsidRDefault="001F649F" w:rsidP="001F649F">
      <w:r w:rsidRPr="00496130">
        <w:t>The ceramic record is dominated by locally produced types (</w:t>
      </w:r>
      <w:r w:rsidR="00C40A2B" w:rsidRPr="00496130">
        <w:t>Table 2</w:t>
      </w:r>
      <w:r w:rsidRPr="00496130">
        <w:t xml:space="preserve">). The numbers were low and there were no diagnostic sherds from the lower levels. In the upper floor only 18 sherds were diagnostic; of these 9 were identifiable as coming from necked jars characteristic of the Early Tana Tradition. The range of imported ceramics contains a massive majority of Turquoise Glazed jars from the Persian Gulf (75 of 88; 85% of the diagnostic sherds). Torpedo jars made up the remainder. This assemblage is comparable with that recovered from excavations across the middens (Horton, pers. comm. 2017). </w:t>
      </w:r>
    </w:p>
    <w:p w14:paraId="412EEDC9" w14:textId="15B5C417" w:rsidR="001F649F" w:rsidRPr="00496130" w:rsidRDefault="001F649F" w:rsidP="001F649F">
      <w:r w:rsidRPr="00496130">
        <w:t>The assemblage did, however, vary over time.  The upper floor contained a greater variety of artifacts, in particular those that suggest craft activity, such as bead grinders used for smooth</w:t>
      </w:r>
      <w:r w:rsidR="00B85DC9" w:rsidRPr="00496130">
        <w:t xml:space="preserve">ing marine shell beads (Flexner, Fleisher and LaViolette </w:t>
      </w:r>
      <w:r w:rsidRPr="00496130">
        <w:t xml:space="preserve">2008) and iron slag related to </w:t>
      </w:r>
      <w:r w:rsidRPr="00496130">
        <w:lastRenderedPageBreak/>
        <w:t xml:space="preserve">smithing (Baužyté 2019). All types of </w:t>
      </w:r>
      <w:r w:rsidR="00496130" w:rsidRPr="00496130">
        <w:t>artifact</w:t>
      </w:r>
      <w:r w:rsidRPr="00496130">
        <w:t xml:space="preserve"> were more numerous in the upper floor layer, suggesting perhaps a more intensive occupation, although this may have been affected by clearing of the earlier floor before laying fill for the second structure. The post-occupation sediments that overlay the house were noticeably richer in all types of </w:t>
      </w:r>
      <w:r w:rsidR="00496130" w:rsidRPr="00496130">
        <w:t>artifact</w:t>
      </w:r>
      <w:r w:rsidRPr="00496130">
        <w:t xml:space="preserve">, indicating that after abandonment the area became a diffuse midden. </w:t>
      </w:r>
    </w:p>
    <w:p w14:paraId="40650D10" w14:textId="78EDE2F0" w:rsidR="001F649F" w:rsidRPr="00496130" w:rsidRDefault="001F649F" w:rsidP="001F649F">
      <w:r w:rsidRPr="00496130">
        <w:t>In addition, it is possible to discern a pattern of indoor and outdoor discard for some artifact types. Imported sherds were significantly more numerous within the house. To a lesser extent this was true of vessel glass. Local ceramics were more numerous inside the later house, but in earlier periods were found outside the walls. Crafting debris was significantly more common outside the house</w:t>
      </w:r>
      <w:r w:rsidR="00382A22" w:rsidRPr="00496130">
        <w:t xml:space="preserve"> (Figure 6)</w:t>
      </w:r>
      <w:r w:rsidRPr="00496130">
        <w:t>. Much higher quantities of charcoal and shell fragments were also recovered from the sandy sediments immediately outside the walls.</w:t>
      </w:r>
    </w:p>
    <w:p w14:paraId="7FB2FEDE" w14:textId="77777777" w:rsidR="001F649F" w:rsidRPr="00496130" w:rsidRDefault="001F649F" w:rsidP="001F649F"/>
    <w:p w14:paraId="10E8859C" w14:textId="77777777" w:rsidR="001F649F" w:rsidRPr="00496130" w:rsidRDefault="001F649F" w:rsidP="001F649F">
      <w:pPr>
        <w:pStyle w:val="Heading3"/>
      </w:pPr>
      <w:r w:rsidRPr="00496130">
        <w:t>Archaeological sediments</w:t>
      </w:r>
    </w:p>
    <w:p w14:paraId="435A67FF" w14:textId="7AB515DD" w:rsidR="001F649F" w:rsidRPr="00496130" w:rsidRDefault="001F649F" w:rsidP="001F649F">
      <w:r w:rsidRPr="00496130">
        <w:t>Analysis of soil physical and chemical properties established a baseline for local conditions and characterization of the nature and history of the archaeological sediments (</w:t>
      </w:r>
      <w:r w:rsidR="00EA5F5E" w:rsidRPr="00496130">
        <w:t>Sulas, Kristiansen and Wynne-Jones</w:t>
      </w:r>
      <w:r w:rsidR="00EA5F5E" w:rsidRPr="00496130">
        <w:t xml:space="preserve"> </w:t>
      </w:r>
      <w:r w:rsidRPr="00496130">
        <w:t xml:space="preserve">2019). The results also illuminated aspects of resource use associated with the occupation. In UZ002, two main archaeological sediment types were found, and their properties appear to remain consistent through depth. The floors were made of compact red (2.5YR to 5YR), fine sand clayey sediments with neutral pH (&gt;6) and organic matter. The bordering sandy deposits consisted of looser, brown-pale brown (7.5YR), fine sand silty sediments with slightly lower pH (&lt;6) and lower </w:t>
      </w:r>
      <w:r w:rsidRPr="00496130">
        <w:rPr>
          <w:color w:val="auto"/>
        </w:rPr>
        <w:t>organic matter content (</w:t>
      </w:r>
      <w:r w:rsidR="00C40A2B" w:rsidRPr="00496130">
        <w:rPr>
          <w:color w:val="auto"/>
        </w:rPr>
        <w:t>Figure 7</w:t>
      </w:r>
      <w:r w:rsidRPr="00496130">
        <w:rPr>
          <w:color w:val="auto"/>
        </w:rPr>
        <w:t xml:space="preserve">). These results suggest that, although different, both archaeological sediments developed over local (colluvial) lateritic soil </w:t>
      </w:r>
      <w:r w:rsidRPr="00496130">
        <w:t>material.</w:t>
      </w:r>
    </w:p>
    <w:p w14:paraId="7E546F8F" w14:textId="49EAD00C" w:rsidR="001F649F" w:rsidRPr="00496130" w:rsidRDefault="001F649F" w:rsidP="001F649F">
      <w:r w:rsidRPr="00496130">
        <w:lastRenderedPageBreak/>
        <w:t>The resolution of chemical mapping was instrumental in capturing clustered associations between element concentrations. One of the main outcomes of the chemical mapping was the identification of distinctly different signatures between the floors and outdoor deposits with no significant change through depth. In addition, distinctive clusters of chemical concentrations, when considered together with other contextual data, could be linked to specific activities and conditions. In general, packed-earth floors were characterized by enhanced concentrations of elements reflecting the input of lateritic sands (e.g. Al, Cs, and Zr) and selected rare earth elements (REEs - e.g. Ce, La, Sm), which are likely to reflect intensity of occupation. Sandy deposits, instead, were marked by enriched salts (Ba, K, Na) and generally depleted for most of the other elements, including low contents of REEs (</w:t>
      </w:r>
      <w:r w:rsidR="00EA5F5E" w:rsidRPr="00496130">
        <w:t>Sulas, Kristiansen and Wynne-Jones</w:t>
      </w:r>
      <w:r w:rsidR="00EA5F5E" w:rsidRPr="00496130">
        <w:t xml:space="preserve"> </w:t>
      </w:r>
      <w:r w:rsidRPr="00496130">
        <w:t>2019).</w:t>
      </w:r>
    </w:p>
    <w:p w14:paraId="0848BD8F" w14:textId="77777777" w:rsidR="001F649F" w:rsidRPr="00496130" w:rsidRDefault="001F649F" w:rsidP="001F649F"/>
    <w:p w14:paraId="699CCD1F" w14:textId="77777777" w:rsidR="001F649F" w:rsidRPr="00496130" w:rsidRDefault="001F649F" w:rsidP="001F649F">
      <w:pPr>
        <w:pStyle w:val="Heading3"/>
      </w:pPr>
      <w:r w:rsidRPr="00496130">
        <w:t>Micromorphology</w:t>
      </w:r>
    </w:p>
    <w:p w14:paraId="3F76049D" w14:textId="67045851" w:rsidR="001F649F" w:rsidRPr="00496130" w:rsidRDefault="001F649F" w:rsidP="001F649F">
      <w:r w:rsidRPr="00496130">
        <w:t>Soil micromorphology established that both packed-earth floors were made using the same materials</w:t>
      </w:r>
      <w:r w:rsidRPr="00496130">
        <w:rPr>
          <w:color w:val="auto"/>
        </w:rPr>
        <w:t xml:space="preserve"> and, in thin section, they look virtually identical (Figure 7). T</w:t>
      </w:r>
      <w:r w:rsidRPr="00496130">
        <w:t xml:space="preserve">hese floors were characterized by lateritic (colluvial) fine sand-clay fabric, massive microstructure, mixed fabrics, common organics and low porosity. The presence of moldic pores, often horizontally oriented, together with fibrous plant remains suggested the input of plant material for tempering the sandy matrix. These voids, together with the presence of illuvial clay pedofeatures and mixed fabrics were diagnostic features of manufacturing/making of the earth floor (see </w:t>
      </w:r>
      <w:r w:rsidR="00B85DC9" w:rsidRPr="00496130">
        <w:t xml:space="preserve">Friesem, Wattez and Onfray </w:t>
      </w:r>
      <w:r w:rsidRPr="00496130">
        <w:t xml:space="preserve">2017). Anthropogenic inclusions consisted of small amounts of fine charcoal (and microcharcoal), rare fragments of daub and possibly also coalesced excremental (phosphatic) matter reminiscent of herbivore dung. Whilst clear dung indicators (e.g. vivianite, spherulites) were not recorded, the conditions and distribution of coalesced excremental matter might originate from dung additions to the clayey matrix </w:t>
      </w:r>
      <w:r w:rsidRPr="00496130">
        <w:lastRenderedPageBreak/>
        <w:t>during the preparation of the floor mix. The addition of dung would have enhanced binding and, upon drying, the strength of the final product.</w:t>
      </w:r>
    </w:p>
    <w:p w14:paraId="2D9BD985" w14:textId="77777777" w:rsidR="001F649F" w:rsidRPr="00496130" w:rsidRDefault="001F649F" w:rsidP="001F649F">
      <w:r w:rsidRPr="00496130">
        <w:t>Thin-section analysis of samples from the exterior sandy deposits revealed a far coarser texture and higher organic content, especially charcoal (Figure 7). These deposits exhibited a crumb microstructure with a higher degree of porosity, deriving from biological activity enhanced by the higher organic content. The organic fraction is here more diverse and includes excremental matter, fungal spores and abundant charcoal. The presence of silty clay coatings and crust fragments was indicative of unroofed conditions exposed to wind and rain (</w:t>
      </w:r>
      <w:r w:rsidRPr="00496130">
        <w:rPr>
          <w:color w:val="auto"/>
        </w:rPr>
        <w:t>Banerjea et al. 2015</w:t>
      </w:r>
      <w:r w:rsidRPr="00496130">
        <w:t>).</w:t>
      </w:r>
    </w:p>
    <w:p w14:paraId="4EF49F07" w14:textId="77777777" w:rsidR="001F649F" w:rsidRPr="00496130" w:rsidRDefault="001F649F" w:rsidP="001F649F"/>
    <w:p w14:paraId="1985B5F9" w14:textId="77777777" w:rsidR="001F649F" w:rsidRPr="00496130" w:rsidRDefault="001F649F" w:rsidP="001F649F">
      <w:pPr>
        <w:pStyle w:val="Heading3"/>
      </w:pPr>
      <w:r w:rsidRPr="00496130">
        <w:t>Charcoal and phytolith analysis</w:t>
      </w:r>
    </w:p>
    <w:p w14:paraId="39A2D08C" w14:textId="422AAAAA" w:rsidR="001F649F" w:rsidRPr="00496130" w:rsidRDefault="001F649F" w:rsidP="001F649F">
      <w:r w:rsidRPr="00496130">
        <w:t xml:space="preserve">Contextual analysis of charcoal remains and phytoliths detected patterns of different concentrations and range of plants represented (Table 3; Out 2018; </w:t>
      </w:r>
      <w:r w:rsidR="00EA5F5E" w:rsidRPr="00496130">
        <w:t>Sulas, Kristiansen and Wynne-Jones</w:t>
      </w:r>
      <w:r w:rsidR="00EA5F5E" w:rsidRPr="00496130">
        <w:t xml:space="preserve"> </w:t>
      </w:r>
      <w:r w:rsidRPr="00496130">
        <w:t>2019). The botanical signatures highlight the differences between the floors and sandy deposits. Across the excavation, charred seeds were rare; the focus here is therefore on the wood charcoal recovered during flotation and on the evidence of phytoliths.</w:t>
      </w:r>
    </w:p>
    <w:p w14:paraId="36276274" w14:textId="78424F6E" w:rsidR="001F649F" w:rsidRPr="00496130" w:rsidRDefault="001F649F" w:rsidP="001F649F">
      <w:r w:rsidRPr="00496130">
        <w:t xml:space="preserve">In general, three hardwood (Angiospermae) groups were identified in the charcoal, including Fabaceae and possible Fabaceae characterized by the clear presence of typical axial parenchyma, a second group consisting of possibly six different types that may represent mangrove vegetation, and a third group consisting of a single anatomically very distinct type. Fabaceae (Leguminosae) is a large family and includes many different taxa, including those typical of </w:t>
      </w:r>
      <w:r w:rsidRPr="00496130">
        <w:rPr>
          <w:i/>
          <w:iCs/>
        </w:rPr>
        <w:t>miombo</w:t>
      </w:r>
      <w:r w:rsidRPr="00496130">
        <w:t xml:space="preserve"> woodlands in Tanzania (e.g. </w:t>
      </w:r>
      <w:r w:rsidRPr="00496130">
        <w:rPr>
          <w:i/>
          <w:iCs/>
        </w:rPr>
        <w:t>Brachystegia</w:t>
      </w:r>
      <w:r w:rsidRPr="00496130">
        <w:t xml:space="preserve"> sp., </w:t>
      </w:r>
      <w:r w:rsidRPr="00496130">
        <w:rPr>
          <w:i/>
          <w:iCs/>
        </w:rPr>
        <w:t>Julbernardia globiflora</w:t>
      </w:r>
      <w:r w:rsidRPr="00496130">
        <w:t xml:space="preserve"> and </w:t>
      </w:r>
      <w:r w:rsidRPr="00496130">
        <w:rPr>
          <w:i/>
          <w:iCs/>
        </w:rPr>
        <w:t>Isoberlina</w:t>
      </w:r>
      <w:r w:rsidRPr="00496130">
        <w:t xml:space="preserve"> sp.; see Abdallah and Monela 2007; Chikumbirike 2014). The Fabaceae family includes taxa that are used today for fuel for iron working, timber and carving (Lyaya 2015; </w:t>
      </w:r>
      <w:r w:rsidRPr="00496130">
        <w:lastRenderedPageBreak/>
        <w:t xml:space="preserve">Malimbwi &amp; Zahabu 2008). However, this family also includes </w:t>
      </w:r>
      <w:r w:rsidRPr="00496130">
        <w:rPr>
          <w:i/>
          <w:iCs/>
        </w:rPr>
        <w:t>Hymenaea verrucosa</w:t>
      </w:r>
      <w:r w:rsidRPr="00496130">
        <w:t xml:space="preserve"> (Zanzibar copal), which has been found at Unguja Ukuu in midden deposits dated to the 7th</w:t>
      </w:r>
      <w:r w:rsidRPr="00496130">
        <w:sym w:font="Symbol" w:char="F02D"/>
      </w:r>
      <w:r w:rsidRPr="00496130">
        <w:t xml:space="preserve">8th century </w:t>
      </w:r>
      <w:r w:rsidR="00210AE3" w:rsidRPr="00496130">
        <w:rPr>
          <w:smallCaps/>
        </w:rPr>
        <w:t>a.d.</w:t>
      </w:r>
      <w:r w:rsidRPr="00496130">
        <w:t xml:space="preserve"> (Crowther et al. 2015). Notably, Fabaceae are not part of the taxa that dominate the modern-day mangrove vege</w:t>
      </w:r>
      <w:r w:rsidR="00B85DC9" w:rsidRPr="00496130">
        <w:t xml:space="preserve">tation at Zanzibar (cf. Punwong, Marchant and Selby </w:t>
      </w:r>
      <w:r w:rsidRPr="00496130">
        <w:t xml:space="preserve">2013a, b). The presence of mangrove wood is indicated by fragments (including some showing scalariform perforation plates) that potentially represent taxa like </w:t>
      </w:r>
      <w:r w:rsidRPr="00496130">
        <w:rPr>
          <w:i/>
          <w:iCs/>
        </w:rPr>
        <w:t>Bruguiera gymnorhiza</w:t>
      </w:r>
      <w:r w:rsidRPr="00496130">
        <w:t xml:space="preserve">, </w:t>
      </w:r>
      <w:r w:rsidRPr="00496130">
        <w:rPr>
          <w:i/>
          <w:iCs/>
        </w:rPr>
        <w:t>Ceriops tagal</w:t>
      </w:r>
      <w:r w:rsidRPr="00496130">
        <w:t xml:space="preserve"> and </w:t>
      </w:r>
      <w:r w:rsidRPr="00496130">
        <w:rPr>
          <w:i/>
          <w:iCs/>
        </w:rPr>
        <w:t>Rhizophora mucronata</w:t>
      </w:r>
      <w:r w:rsidRPr="00496130">
        <w:t>, which grew in the area in the past and</w:t>
      </w:r>
      <w:r w:rsidR="00B85DC9" w:rsidRPr="00496130">
        <w:t xml:space="preserve"> occur on Zanzibar now (Punwong, Marchant and Selby </w:t>
      </w:r>
      <w:r w:rsidRPr="00496130">
        <w:t xml:space="preserve">2013b). Charcoal fragments of the third group (a single type), possibly also representing mangrove vegetation, were found to be filled with iron-rich clay known from the site landscape; some of these also look partly shiny and molten. </w:t>
      </w:r>
    </w:p>
    <w:p w14:paraId="1FF8BC95" w14:textId="4F045146" w:rsidR="001F649F" w:rsidRPr="00496130" w:rsidRDefault="001F649F" w:rsidP="001F649F">
      <w:r w:rsidRPr="00496130">
        <w:t xml:space="preserve">Charcoal was in general more common in the exterior deposits than those from the house floor. This complements the </w:t>
      </w:r>
      <w:r w:rsidR="00496130" w:rsidRPr="00496130">
        <w:t>artifact</w:t>
      </w:r>
      <w:r w:rsidRPr="00496130">
        <w:t xml:space="preserve"> data suggesting more craft and productive activity outside the house. C</w:t>
      </w:r>
      <w:r w:rsidRPr="00496130">
        <w:rPr>
          <w:color w:val="auto"/>
        </w:rPr>
        <w:t xml:space="preserve">harcoal of the third type was only found in the exterior sandy deposits </w:t>
      </w:r>
      <w:r w:rsidRPr="00496130">
        <w:t xml:space="preserve">(Out 2018). </w:t>
      </w:r>
    </w:p>
    <w:p w14:paraId="24675BB3" w14:textId="77777777" w:rsidR="001F649F" w:rsidRPr="00496130" w:rsidRDefault="001F649F" w:rsidP="001F649F">
      <w:r w:rsidRPr="00496130">
        <w:t xml:space="preserve">The phytolith signature of the floors was dominated by grass morphotypes, woody types being hardly present. Grass short cell types (trapezoid, saddle) derived from grass culms or leaves were here relatively common and might reflect the use or storing of harvested plants or derive from other sources of grasses such as dung and vegetal temper for daub (Lancelotti and Madella 2012; Piperno 2006; Portillo </w:t>
      </w:r>
      <w:r w:rsidRPr="00496130">
        <w:rPr>
          <w:iCs/>
        </w:rPr>
        <w:t>et al.</w:t>
      </w:r>
      <w:r w:rsidRPr="00496130">
        <w:rPr>
          <w:i/>
        </w:rPr>
        <w:t xml:space="preserve"> </w:t>
      </w:r>
      <w:r w:rsidRPr="00496130">
        <w:t xml:space="preserve">2017). In the later floor, grasses still dominate the assemblage but </w:t>
      </w:r>
      <w:r w:rsidRPr="00496130">
        <w:rPr>
          <w:color w:val="auto"/>
        </w:rPr>
        <w:t>here we find a higher number of saddle</w:t>
      </w:r>
      <w:r w:rsidRPr="00496130">
        <w:t xml:space="preserve"> morphotypes from C4 plants and fewer spheroid (rugose and echinate) morphotypes from dicot plants and palms. A number of morphotypes might be associated with food crops (echinate elongate, bilobate, bulliform) such as sorghum and rice, and gathered seeds and fruits (sedge-type and honey-comb irregular cells). The scarcity of these remains suggests that the processing and cooking of </w:t>
      </w:r>
      <w:r w:rsidRPr="00496130">
        <w:lastRenderedPageBreak/>
        <w:t>these crops were not happening indoors. Instead, the exterior sandy deposits yielded more diverse phytolith assemblages, including over twice the number of non-grass morphotypes that were detected in the floor. Spheroid (rugose and echinate) phytoliths are abundant reflecting the presence of leaves from woody and monocotyledonous plants, including palms (</w:t>
      </w:r>
      <w:r w:rsidRPr="00496130">
        <w:rPr>
          <w:color w:val="auto"/>
        </w:rPr>
        <w:t>Piperno 2006</w:t>
      </w:r>
      <w:r w:rsidRPr="00496130">
        <w:t>). Rare grass inflorescence phytoliths may be linked to plant food resources (Harvey and Fuller 2005).  In sum, the phytolith assemblage suggests that there was increasingly intense activity in the upper floor of the house, but that the processing of plants and cooking happened outdoors.</w:t>
      </w:r>
    </w:p>
    <w:p w14:paraId="2C35A504" w14:textId="77777777" w:rsidR="001F649F" w:rsidRPr="00496130" w:rsidRDefault="001F649F" w:rsidP="00210AE3"/>
    <w:p w14:paraId="21084CC4" w14:textId="77777777" w:rsidR="001F649F" w:rsidRPr="00496130" w:rsidRDefault="001F649F" w:rsidP="001F649F">
      <w:pPr>
        <w:pStyle w:val="Heading2"/>
      </w:pPr>
      <w:r w:rsidRPr="00496130">
        <w:t>A house through time</w:t>
      </w:r>
    </w:p>
    <w:p w14:paraId="5675CB86" w14:textId="77777777" w:rsidR="001F649F" w:rsidRPr="00496130" w:rsidRDefault="001F649F" w:rsidP="001F649F">
      <w:r w:rsidRPr="00496130">
        <w:t>The dates recovered from UZ002 fall within the range of variation described by chronometric dating and artifact sequences elsewhere at Unguja Ukuu (Figure 8) and do not require a reassessment of the site’s overall timeline. Bayesian analysis positions this house at the earlier end of the site occupation, coinciding with the period during which midden deposits (Faulkner</w:t>
      </w:r>
      <w:r w:rsidRPr="00496130">
        <w:rPr>
          <w:i/>
        </w:rPr>
        <w:t xml:space="preserve"> </w:t>
      </w:r>
      <w:r w:rsidRPr="00496130">
        <w:rPr>
          <w:iCs/>
        </w:rPr>
        <w:t>et al.</w:t>
      </w:r>
      <w:r w:rsidRPr="00496130">
        <w:t xml:space="preserve"> 2017) and soil phosphate enrichment (Juma 2004) are suggestive of less dense occupation. Yet the ability to reach generational-scale resolution from a single house allows us to examine social life at this site at a new scale of detail.  It becomes possible to consider the households that made up the settlement and thus to explore the ways that domestic and productive life was structured through the spaces of the house. The narrowing down of the timescale of activity also enables a new consideration of the overall settlement chronology as intense and short-lived rather than long and cumulative. </w:t>
      </w:r>
    </w:p>
    <w:p w14:paraId="000DC919" w14:textId="77777777" w:rsidR="001F649F" w:rsidRPr="00496130" w:rsidRDefault="001F649F" w:rsidP="001F649F">
      <w:pPr>
        <w:pStyle w:val="Heading3"/>
      </w:pPr>
      <w:r w:rsidRPr="00496130">
        <w:t>The use of space</w:t>
      </w:r>
    </w:p>
    <w:p w14:paraId="2BE86966" w14:textId="069CADC8" w:rsidR="001F649F" w:rsidRPr="00496130" w:rsidRDefault="001F649F" w:rsidP="001F649F">
      <w:r w:rsidRPr="00496130">
        <w:t>The first house on this spot was built in the early 8</w:t>
      </w:r>
      <w:r w:rsidRPr="00496130">
        <w:rPr>
          <w:vertAlign w:val="superscript"/>
        </w:rPr>
        <w:t>th</w:t>
      </w:r>
      <w:r w:rsidRPr="00496130">
        <w:t xml:space="preserve"> century </w:t>
      </w:r>
      <w:r w:rsidR="00210AE3" w:rsidRPr="00496130">
        <w:rPr>
          <w:smallCaps/>
        </w:rPr>
        <w:t>a.d.</w:t>
      </w:r>
      <w:r w:rsidRPr="00496130">
        <w:t xml:space="preserve">, using wattle and daub and with a floor of packed earth. The walls have left no physical trace beyond a single posthole (and a chemical footprint; </w:t>
      </w:r>
      <w:r w:rsidR="00EA5F5E" w:rsidRPr="00496130">
        <w:t>Sulas, Kristiansen and Wynne-Jones</w:t>
      </w:r>
      <w:r w:rsidR="00EA5F5E" w:rsidRPr="00496130">
        <w:t xml:space="preserve"> </w:t>
      </w:r>
      <w:r w:rsidRPr="00496130">
        <w:t xml:space="preserve">2019) and yet the </w:t>
      </w:r>
      <w:r w:rsidRPr="00496130">
        <w:lastRenderedPageBreak/>
        <w:t xml:space="preserve">characteristics of the structure can be discerned through the shape of the floor and the patterning of the data. The second house was constructed just a couple of generations later on the exact same footprint, and using the same building technologies and materials. A new, thicker and denser floor was laid, separated from the first by a layer of beach sand. In thin section, this later packed-earth floor is almost indistinguishable from the one recorded below. Both were built using local lateritic soils, brought in from the surrounding landscape.  </w:t>
      </w:r>
    </w:p>
    <w:p w14:paraId="0E203312" w14:textId="5F7CC658" w:rsidR="001F649F" w:rsidRPr="00496130" w:rsidRDefault="001F649F" w:rsidP="001F649F">
      <w:r w:rsidRPr="00496130">
        <w:t xml:space="preserve">As well as sharing the same spatial layout, the two iterations of this house shared similar spatial organization, and probably the same walls. Throughout the life of this house, a hearth was located in the same position, approximately in the center of the structure. It also seems that similar types of activity were concentrated indoors and outdoors. Food preparation and possibly </w:t>
      </w:r>
      <w:r w:rsidR="00496130" w:rsidRPr="00496130">
        <w:t>craft working</w:t>
      </w:r>
      <w:r w:rsidRPr="00496130">
        <w:t xml:space="preserve"> may have happened immediately outdoors; imported ceramics and glass were more likely to be kept indoors. Inside the house, matting, the processing of cereals, or even the use of animal dung meant that the floor contained higher amounts of grass culm and leaf phytoliths than outdoors. This distinction between indoor and outdoor space is echoed in the soil chemistry, which has demonstrated consistent differences between roofed and unroofed spaces (</w:t>
      </w:r>
      <w:r w:rsidR="00EA5F5E" w:rsidRPr="00496130">
        <w:t>Sulas, Kristiansen and Wynne-Jones</w:t>
      </w:r>
      <w:r w:rsidR="00EA5F5E" w:rsidRPr="00496130">
        <w:t xml:space="preserve"> </w:t>
      </w:r>
      <w:r w:rsidRPr="00496130">
        <w:t xml:space="preserve">2019). </w:t>
      </w:r>
    </w:p>
    <w:p w14:paraId="0453DF75" w14:textId="14A645FB" w:rsidR="001F649F" w:rsidRPr="00496130" w:rsidRDefault="001F649F" w:rsidP="001F649F">
      <w:pPr>
        <w:rPr>
          <w:i/>
          <w:iCs/>
        </w:rPr>
      </w:pPr>
      <w:r w:rsidRPr="00496130">
        <w:t>Over the life of the house it is possible to discern an increase in the density and diversity of material culture. The house itself seems to have become busier, and in later levels the quantities of ceramics (both local and imported) and glass beads found inside the structure outnumber those found outdoors</w:t>
      </w:r>
      <w:r w:rsidRPr="00496130">
        <w:rPr>
          <w:color w:val="auto"/>
        </w:rPr>
        <w:t xml:space="preserve">. Rather than simply having cleared out the </w:t>
      </w:r>
      <w:r w:rsidR="00496130" w:rsidRPr="00496130">
        <w:rPr>
          <w:color w:val="auto"/>
        </w:rPr>
        <w:t>artifact</w:t>
      </w:r>
      <w:r w:rsidRPr="00496130">
        <w:rPr>
          <w:color w:val="auto"/>
        </w:rPr>
        <w:t>s for rebuilding, there does seem to have been more activity concentrated inside the house during the later occupation, evidenced by charcoal, which was significantly more abundant in the upper floor than in the lower floor and increased quantities of phytoliths. Together these suggest more intense or more prolonged occupation.</w:t>
      </w:r>
    </w:p>
    <w:p w14:paraId="20B03B89" w14:textId="0C1A9657" w:rsidR="001F649F" w:rsidRPr="00496130" w:rsidRDefault="001F649F" w:rsidP="001F649F">
      <w:r w:rsidRPr="00496130">
        <w:lastRenderedPageBreak/>
        <w:t>Over time there was also an increase in the amount of activity seen in the deposits outside the house, particularly in traces of production. Iron slag is appreciably higher than inside the house. Slag from these and previous excavations has been analyzed for morphology and microstructure; it seems to relate to small-scale smithing activity in and around the houses, rather than large-scale production or smelting (Baužyté 2019).  Another key indicator of craft activity in these levels is the appearance of bead grinders in exterior contexts. These are grooved sherds, common on coastal sites of this period and thought to relate to the production of marine shell beads (Flexner</w:t>
      </w:r>
      <w:r w:rsidR="00F103A5" w:rsidRPr="00496130">
        <w:rPr>
          <w:iCs/>
        </w:rPr>
        <w:t>, Fleisher and LaViolette 2008</w:t>
      </w:r>
      <w:r w:rsidRPr="00496130">
        <w:t xml:space="preserve">). At Unguja Ukuu, they are mainly made from sherds of imported ceramics, notably Torpedo jars. Their appearance at this upper level, in these spaces exterior and adjacent to the house, suggests not only that this production became more common over the first century of the site’s occupation, but also hints at the location of craft activity outside and near to the houses. Charcoal and phytoliths were also more abundant and diverse in these exterior spaces. </w:t>
      </w:r>
    </w:p>
    <w:p w14:paraId="23E8BACE" w14:textId="77777777" w:rsidR="001F649F" w:rsidRPr="00496130" w:rsidRDefault="001F649F" w:rsidP="001F649F"/>
    <w:p w14:paraId="325347FB" w14:textId="77777777" w:rsidR="001F649F" w:rsidRPr="00496130" w:rsidRDefault="001F649F" w:rsidP="001F649F">
      <w:pPr>
        <w:pStyle w:val="Heading3"/>
      </w:pPr>
      <w:r w:rsidRPr="00496130">
        <w:t>Destruction</w:t>
      </w:r>
    </w:p>
    <w:p w14:paraId="3FFD252D" w14:textId="77777777" w:rsidR="001F649F" w:rsidRPr="00496130" w:rsidRDefault="001F649F" w:rsidP="001F649F">
      <w:r w:rsidRPr="00496130">
        <w:t xml:space="preserve">The upper floor was covered by a mixed deposit containing artifacts and large amounts of daub, probably deriving from structural collapse of the house. Here we find local pottery, abundant imported pottery, a few bead grinders, iron slag and iron fragments, common glass (vessel) fragments and glass beads. Glass beads are significantly numerous (n=67) and primarily of the same types recorded elsewhere across the site (Wood </w:t>
      </w:r>
      <w:r w:rsidRPr="00496130">
        <w:rPr>
          <w:iCs/>
        </w:rPr>
        <w:t>et al.</w:t>
      </w:r>
      <w:r w:rsidRPr="00496130">
        <w:t xml:space="preserve"> 2016) and along the coast more generally (Wood 2018). They also include several Zhizo-type blue beads: the same types found inside the house layers. Zhizo beads are chronologically sensitive and related to the 8</w:t>
      </w:r>
      <w:r w:rsidRPr="00496130">
        <w:rPr>
          <w:vertAlign w:val="superscript"/>
        </w:rPr>
        <w:t>th</w:t>
      </w:r>
      <w:r w:rsidRPr="00496130">
        <w:t xml:space="preserve"> century, thus the repurposing of the area as a midden apparently occurred relatively swiftly after it was abandoned, within the same century it was occupied. The artifact record is indistinguishable from the layers below in terms of chronology, differing </w:t>
      </w:r>
      <w:r w:rsidRPr="00496130">
        <w:lastRenderedPageBreak/>
        <w:t>only in density. This points again to the limitations of categorizing periods and dates on the basis of artifact repertoires, as the construction, renovation, destruction and post-abandonment use of the house would have fallen within a single ‘horizon’.</w:t>
      </w:r>
    </w:p>
    <w:p w14:paraId="6D8803A4" w14:textId="77777777" w:rsidR="001F649F" w:rsidRPr="00496130" w:rsidRDefault="001F649F" w:rsidP="001F649F"/>
    <w:p w14:paraId="160091AF" w14:textId="77777777" w:rsidR="001F649F" w:rsidRPr="00496130" w:rsidRDefault="001F649F" w:rsidP="001F649F">
      <w:pPr>
        <w:pStyle w:val="Heading2"/>
      </w:pPr>
      <w:r w:rsidRPr="00496130">
        <w:t>Discussion</w:t>
      </w:r>
    </w:p>
    <w:p w14:paraId="2EE197A7" w14:textId="77777777" w:rsidR="001F649F" w:rsidRPr="00496130" w:rsidRDefault="001F649F" w:rsidP="001F649F">
      <w:pPr>
        <w:pStyle w:val="Heading3"/>
      </w:pPr>
      <w:r w:rsidRPr="00496130">
        <w:t>Houses and households</w:t>
      </w:r>
    </w:p>
    <w:p w14:paraId="1F83BA89" w14:textId="51071B4F" w:rsidR="001F649F" w:rsidRPr="00496130" w:rsidRDefault="001F649F" w:rsidP="001F649F">
      <w:r w:rsidRPr="00496130">
        <w:t xml:space="preserve">The archaeology of a house at Unguja Ukuu allows us to explore two aspects of the site. The house was the setting for domestic life, a space where we can explore resource use in context. The house is also a guide to the structuring of social life around the social institution of the household.  There are hints of the beginning of an investment in particular places; the house itself is an enduring form of space, with its internal organization recreated in the second iteration. We can also begin to see hints of the ways that domestic life and production were structured, with a set of activities conducted outside the walls. The debris of production in the exterior spaces can be put in the context of a site where consistent production of beads, iron and pottery has been attested by excavations in the deep midden deposits, but where significant survey, geophysics and excavation have not identified any exclusive </w:t>
      </w:r>
      <w:r w:rsidR="00D04E1E">
        <w:t>craft-</w:t>
      </w:r>
      <w:r w:rsidR="00496130" w:rsidRPr="00496130">
        <w:t>working</w:t>
      </w:r>
      <w:r w:rsidRPr="00496130">
        <w:t xml:space="preserve"> locations.  Instead, archaeology has found evidence for small-scale iron working across the site (Baužyté 2019). Bead grinders have not been reported in detail but seem also to have been retrieved from multiple domestic locations. This pattern of household production has also been intimated by excavations at the contemporary site of Tumbe on Pemba (</w:t>
      </w:r>
      <w:r w:rsidR="00F103A5" w:rsidRPr="00496130">
        <w:t>Flexner, Fleisher and LaViolette</w:t>
      </w:r>
      <w:r w:rsidRPr="00496130">
        <w:t xml:space="preserve"> 2008; Fleisher and LaViolette 2013). Put together we might see this as evidence for small-scale production across the site of Unguja Ukuu and this particular house gives us a sense of how those activities were organized around household exteriors, alongside cooking and possibly eating.  </w:t>
      </w:r>
    </w:p>
    <w:p w14:paraId="1B97DD95" w14:textId="77777777" w:rsidR="001F649F" w:rsidRPr="00496130" w:rsidRDefault="001F649F" w:rsidP="001F649F"/>
    <w:p w14:paraId="2C1C5F5E" w14:textId="77777777" w:rsidR="001F649F" w:rsidRPr="00496130" w:rsidRDefault="001F649F" w:rsidP="001F649F">
      <w:pPr>
        <w:pStyle w:val="Heading3"/>
      </w:pPr>
      <w:r w:rsidRPr="00496130">
        <w:lastRenderedPageBreak/>
        <w:t>The chronology of settlement</w:t>
      </w:r>
    </w:p>
    <w:p w14:paraId="57836281" w14:textId="453DA4B3" w:rsidR="001F649F" w:rsidRPr="00496130" w:rsidRDefault="001F649F" w:rsidP="001F649F">
      <w:r w:rsidRPr="00496130">
        <w:t>The evidence for construction, rebuilding and destruction within a single century also allows a new focus on the chronology of settlement here. As described, it demonstrates the inadequacy of artifact sequences for dating settlement as they can give only an estimate of the century or centuries during which the site was occupied. In this case, studies that have depended on artifacts for dating cannot</w:t>
      </w:r>
      <w:r w:rsidR="00F103A5" w:rsidRPr="00496130">
        <w:t xml:space="preserve"> </w:t>
      </w:r>
      <w:r w:rsidRPr="00496130">
        <w:t>distinguish within the period 7</w:t>
      </w:r>
      <w:r w:rsidRPr="00496130">
        <w:rPr>
          <w:vertAlign w:val="superscript"/>
        </w:rPr>
        <w:t>th</w:t>
      </w:r>
      <w:r w:rsidRPr="00496130">
        <w:t xml:space="preserve"> – 10</w:t>
      </w:r>
      <w:r w:rsidRPr="00496130">
        <w:rPr>
          <w:vertAlign w:val="superscript"/>
        </w:rPr>
        <w:t>th</w:t>
      </w:r>
      <w:r w:rsidRPr="00496130">
        <w:t xml:space="preserve"> centuries, giving a 200-300 year window. Thinking through the lens of this house sequence, we might begin to imagine the history of the site at a generational scale, as each generation rebuilds, perhaps on the same spot or perhaps elsewhere on the site. Previous chronometric dates on the midden deposits already challenge the idea of a long, slow, urban trajectory, showing a peak of activity in the 7</w:t>
      </w:r>
      <w:r w:rsidRPr="00496130">
        <w:rPr>
          <w:vertAlign w:val="superscript"/>
        </w:rPr>
        <w:t>th</w:t>
      </w:r>
      <w:r w:rsidRPr="00496130">
        <w:t xml:space="preserve"> and 8</w:t>
      </w:r>
      <w:r w:rsidRPr="00496130">
        <w:rPr>
          <w:vertAlign w:val="superscript"/>
        </w:rPr>
        <w:t>th</w:t>
      </w:r>
      <w:r w:rsidRPr="00496130">
        <w:t xml:space="preserve"> century (Figure 8) followed by an assumed continuity into the 10</w:t>
      </w:r>
      <w:r w:rsidRPr="00496130">
        <w:rPr>
          <w:vertAlign w:val="superscript"/>
        </w:rPr>
        <w:t>th</w:t>
      </w:r>
      <w:r w:rsidRPr="00496130">
        <w:t xml:space="preserve"> century and beyond. Understanding this chronology through generational-scale rebuilding helps us visualize this peak in occupation and might draw attention to its episodic nature and how that might have been produced. </w:t>
      </w:r>
    </w:p>
    <w:p w14:paraId="6666C208" w14:textId="4F57C352" w:rsidR="001F649F" w:rsidRPr="00496130" w:rsidRDefault="001F649F" w:rsidP="001F649F">
      <w:r w:rsidRPr="00496130">
        <w:t>Here a comparison with Tumbe on neighboring Pemba is again interesting. The dates on the Unguja Ukuu house parallel those obtained on an excavated house at Tumbe (</w:t>
      </w:r>
      <w:r w:rsidR="00D04E1E" w:rsidRPr="00D04E1E">
        <w:rPr>
          <w:smallCaps/>
        </w:rPr>
        <w:t xml:space="preserve">cal. </w:t>
      </w:r>
      <w:r w:rsidR="00D04E1E">
        <w:rPr>
          <w:smallCaps/>
        </w:rPr>
        <w:t>a</w:t>
      </w:r>
      <w:r w:rsidR="00D04E1E" w:rsidRPr="00D04E1E">
        <w:rPr>
          <w:smallCaps/>
        </w:rPr>
        <w:t>.d</w:t>
      </w:r>
      <w:r w:rsidR="00D04E1E">
        <w:t>.</w:t>
      </w:r>
      <w:r w:rsidRPr="00496130">
        <w:t xml:space="preserve"> 780–980 (95.4% confidence); </w:t>
      </w:r>
      <w:r w:rsidR="00D04E1E" w:rsidRPr="00D04E1E">
        <w:rPr>
          <w:smallCaps/>
        </w:rPr>
        <w:t xml:space="preserve">cal. </w:t>
      </w:r>
      <w:r w:rsidR="00D04E1E">
        <w:rPr>
          <w:smallCaps/>
        </w:rPr>
        <w:t>a</w:t>
      </w:r>
      <w:r w:rsidR="00D04E1E" w:rsidRPr="00D04E1E">
        <w:rPr>
          <w:smallCaps/>
        </w:rPr>
        <w:t>.d</w:t>
      </w:r>
      <w:r w:rsidR="00D04E1E">
        <w:t>.</w:t>
      </w:r>
      <w:r w:rsidR="00D04E1E" w:rsidRPr="00496130">
        <w:t xml:space="preserve"> </w:t>
      </w:r>
      <w:r w:rsidRPr="00496130">
        <w:t xml:space="preserve">770–980 (95.4% confidence); </w:t>
      </w:r>
      <w:r w:rsidR="00D04E1E" w:rsidRPr="00D04E1E">
        <w:rPr>
          <w:smallCaps/>
        </w:rPr>
        <w:t xml:space="preserve">cal. </w:t>
      </w:r>
      <w:r w:rsidR="00D04E1E">
        <w:rPr>
          <w:smallCaps/>
        </w:rPr>
        <w:t>a</w:t>
      </w:r>
      <w:r w:rsidR="00D04E1E" w:rsidRPr="00D04E1E">
        <w:rPr>
          <w:smallCaps/>
        </w:rPr>
        <w:t>.d</w:t>
      </w:r>
      <w:r w:rsidR="00D04E1E">
        <w:t>.</w:t>
      </w:r>
      <w:r w:rsidR="00D04E1E" w:rsidRPr="00496130">
        <w:t xml:space="preserve"> </w:t>
      </w:r>
      <w:r w:rsidRPr="00496130">
        <w:t>770–980 (95.4% confidence); Fleisher and LaViolette 2013). Tumbe as a site was abandoned in the 10</w:t>
      </w:r>
      <w:r w:rsidRPr="00496130">
        <w:rPr>
          <w:vertAlign w:val="superscript"/>
        </w:rPr>
        <w:t>th</w:t>
      </w:r>
      <w:r w:rsidRPr="00496130">
        <w:t xml:space="preserve"> century and the excavators have argued that this was a distinctive settlement of the first millennium, better understood as a village than as an early form of a Swahili town and distinct from the reoccupation that occurred a century later at adjacent Chwaka (Fleisher and LaViolette 2013). At Unguja Ukuu, further periods of occupation have resulted in debris from the </w:t>
      </w:r>
      <w:r w:rsidR="00496130" w:rsidRPr="00496130">
        <w:t>mid-2</w:t>
      </w:r>
      <w:r w:rsidR="00496130" w:rsidRPr="00496130">
        <w:rPr>
          <w:vertAlign w:val="superscript"/>
        </w:rPr>
        <w:t>nd</w:t>
      </w:r>
      <w:r w:rsidRPr="00496130">
        <w:t xml:space="preserve"> millennium and beyond at locations across the site and thus the first millennium has less often been considered as a distinctive iteration. Yet the archaeological data from these later centuries is slight: Juma (2004) concluded that the primary period of </w:t>
      </w:r>
      <w:r w:rsidRPr="00496130">
        <w:lastRenderedPageBreak/>
        <w:t>occupation here was in the 8</w:t>
      </w:r>
      <w:r w:rsidRPr="00496130">
        <w:rPr>
          <w:vertAlign w:val="superscript"/>
        </w:rPr>
        <w:t>th</w:t>
      </w:r>
      <w:r w:rsidRPr="00496130">
        <w:t xml:space="preserve"> – 9th centuries. Data on the spatial patterning of remains across the site has likewise suggested only limited and sporadic occupation during later centuries (Fitton and Wynne-Jones 2017).</w:t>
      </w:r>
    </w:p>
    <w:p w14:paraId="0F2E9E93" w14:textId="77777777" w:rsidR="001F649F" w:rsidRPr="00496130" w:rsidRDefault="001F649F" w:rsidP="001F649F">
      <w:r w:rsidRPr="00496130">
        <w:t>The dates from Unguja Ukuu and from Tumbe together suggest an intense century on the Zanzibar archipelago, when settlements were built and became locations for craft and trade activity, which waned in the 9</w:t>
      </w:r>
      <w:r w:rsidRPr="00496130">
        <w:rPr>
          <w:vertAlign w:val="superscript"/>
        </w:rPr>
        <w:t>th</w:t>
      </w:r>
      <w:r w:rsidRPr="00496130">
        <w:t xml:space="preserve"> century. The archaeology of this structure at Unguja Ukuu begins to give an insight into human-scale activity within that intense century that can inform on the ways that sites of this period were structured and created.</w:t>
      </w:r>
    </w:p>
    <w:p w14:paraId="0A8635F0" w14:textId="77777777" w:rsidR="001F649F" w:rsidRPr="00496130" w:rsidRDefault="001F649F" w:rsidP="001F649F"/>
    <w:p w14:paraId="59CFE511" w14:textId="77777777" w:rsidR="001F649F" w:rsidRPr="00496130" w:rsidRDefault="001F649F" w:rsidP="001F649F">
      <w:pPr>
        <w:pStyle w:val="Heading3"/>
      </w:pPr>
      <w:r w:rsidRPr="00496130">
        <w:t>Examining ‘urban origins’</w:t>
      </w:r>
    </w:p>
    <w:p w14:paraId="1793B5D0" w14:textId="77777777" w:rsidR="001F649F" w:rsidRPr="00496130" w:rsidRDefault="001F649F" w:rsidP="001F649F">
      <w:r w:rsidRPr="00496130">
        <w:t xml:space="preserve">The high-resolution excavation and dating of this house sequence at Unguja Ukuu invite reflection on the process of settlement. The level of resolution, with occupation lenses of less than 40 years, is unique for this region and demonstrates the potential of high-resolution sampling. First, it ties the founding and life of this house to local resources such as lateritic soils, mangrove, and other local plants, which are suggestive of more local reasons for occupation based on proximity to particular materials. This is crucial in a region where the narrative of settlement has revolved around positioning for external trade and the exploitation of connections with a broader Indian Ocean network. The evidence for these long-distance connections litters the archaeology of Unguja Ukuu but cannot tell the whole story. Instead, there is now evidence for using a set of local environmental resources to build houses that were used over the course of a century or so and then abandoned. </w:t>
      </w:r>
    </w:p>
    <w:p w14:paraId="18B2B0FA" w14:textId="129136D0" w:rsidR="001F649F" w:rsidRPr="00496130" w:rsidRDefault="001F649F" w:rsidP="001F649F">
      <w:r w:rsidRPr="00496130">
        <w:t xml:space="preserve">Second, the high-resolution chronology of this house fits into a recent move towards understanding the centers of coastal trade as part of an episodic and halting trajectory of development. Here we can see that the house was occupied for only a few generations. It was </w:t>
      </w:r>
      <w:r w:rsidRPr="00496130">
        <w:lastRenderedPageBreak/>
        <w:t>then abandoned. Occupation of the site continued along similar lines (producing the sheet midden that covers the structure) across the southern area of the site and then this part of the site was largely abandoned. The northern areas of Unguja Ukuu were reoccupied much later, probably in the 14</w:t>
      </w:r>
      <w:r w:rsidRPr="00496130">
        <w:rPr>
          <w:vertAlign w:val="superscript"/>
        </w:rPr>
        <w:t>th</w:t>
      </w:r>
      <w:r w:rsidRPr="00496130">
        <w:t xml:space="preserve"> or 15</w:t>
      </w:r>
      <w:r w:rsidRPr="00496130">
        <w:rPr>
          <w:vertAlign w:val="superscript"/>
        </w:rPr>
        <w:t>th</w:t>
      </w:r>
      <w:r w:rsidRPr="00496130">
        <w:t xml:space="preserve"> centuries. This creates a fascinating picture of a brief but distinguished moment on the Zanzibar archipelago, whe</w:t>
      </w:r>
      <w:bookmarkStart w:id="1" w:name="_GoBack"/>
      <w:bookmarkEnd w:id="1"/>
      <w:r w:rsidRPr="00496130">
        <w:t>n inhabitants laid down houses at the site of Unguja Ukuu and lived, created and traded so intensely that they shaped the way the site of Unguja Ukuu, or ‘Great Unguja’, was understood well into the 21</w:t>
      </w:r>
      <w:r w:rsidRPr="00496130">
        <w:rPr>
          <w:vertAlign w:val="superscript"/>
        </w:rPr>
        <w:t>st</w:t>
      </w:r>
      <w:r w:rsidRPr="00496130">
        <w:t xml:space="preserve"> century.</w:t>
      </w:r>
    </w:p>
    <w:p w14:paraId="2A2639E6" w14:textId="77777777" w:rsidR="0053230F" w:rsidRPr="00496130" w:rsidRDefault="0053230F" w:rsidP="008469E1"/>
    <w:p w14:paraId="623FF109" w14:textId="77777777" w:rsidR="000618A4" w:rsidRPr="00496130" w:rsidRDefault="000618A4">
      <w:pPr>
        <w:tabs>
          <w:tab w:val="clear" w:pos="284"/>
        </w:tabs>
        <w:spacing w:after="160" w:line="259" w:lineRule="auto"/>
        <w:rPr>
          <w:rFonts w:eastAsiaTheme="majorEastAsia"/>
          <w:b/>
          <w:color w:val="auto"/>
        </w:rPr>
      </w:pPr>
      <w:r w:rsidRPr="00496130">
        <w:br w:type="page"/>
      </w:r>
    </w:p>
    <w:p w14:paraId="50F1EFC1" w14:textId="57A7C6F8" w:rsidR="000B4952" w:rsidRPr="00496130" w:rsidRDefault="000B4952" w:rsidP="00A94A4A">
      <w:pPr>
        <w:pStyle w:val="Heading2"/>
      </w:pPr>
      <w:r w:rsidRPr="00496130">
        <w:lastRenderedPageBreak/>
        <w:t xml:space="preserve">Author </w:t>
      </w:r>
      <w:r w:rsidR="008469E1" w:rsidRPr="00496130">
        <w:t>Biographies</w:t>
      </w:r>
    </w:p>
    <w:p w14:paraId="0FB7E22B" w14:textId="25A3AE06" w:rsidR="000B4952" w:rsidRPr="00496130" w:rsidRDefault="000B4952" w:rsidP="008469E1">
      <w:r w:rsidRPr="00496130">
        <w:rPr>
          <w:b/>
        </w:rPr>
        <w:t>Stephanie Wynne-Jones</w:t>
      </w:r>
      <w:r w:rsidRPr="00496130">
        <w:t xml:space="preserve"> </w:t>
      </w:r>
      <w:r w:rsidR="00A94A4A" w:rsidRPr="00496130">
        <w:t xml:space="preserve">(Ph.D. University of Cambridge 2005) </w:t>
      </w:r>
      <w:r w:rsidRPr="00496130">
        <w:t>is Senior Lecturer in Archaeology at the University of York. She specializes in the archaeology of the eastern African coast, with a particular focus on urbanism and material culture. Stephanie is a core group members of the Centre for Urban Network Evolutions, Aarhus University, and is an Honorary Research Fellow at the University of South Africa (UNISA). This manuscript draws on the DNRF-funded project Urban Ecology and Transitions in the Zanzibar Archipelago which has recently been awarded a Leverhulme Research Grant for continued fieldwork.</w:t>
      </w:r>
    </w:p>
    <w:p w14:paraId="1C6C35A9" w14:textId="20CEFD4B" w:rsidR="000B4952" w:rsidRPr="00496130" w:rsidRDefault="000B4952" w:rsidP="008469E1">
      <w:r w:rsidRPr="00496130">
        <w:rPr>
          <w:b/>
        </w:rPr>
        <w:t>Federica Sulas</w:t>
      </w:r>
      <w:r w:rsidRPr="00496130">
        <w:t xml:space="preserve"> </w:t>
      </w:r>
      <w:r w:rsidR="00A94A4A" w:rsidRPr="00496130">
        <w:t>(Ph.D. University of Cambridge 20</w:t>
      </w:r>
      <w:r w:rsidR="00F35AB4" w:rsidRPr="00496130">
        <w:t>10</w:t>
      </w:r>
      <w:r w:rsidR="00A94A4A" w:rsidRPr="00496130">
        <w:t xml:space="preserve">) </w:t>
      </w:r>
      <w:r w:rsidRPr="00496130">
        <w:t>is Senior Research Associate, McDonald Institute for Archaeological Research at the University of Cambridge. At the time of writing, Federica was an Assistant Professor at the Centre for Urban Network Evolutions and is co-investigator on the Zanzibar project.</w:t>
      </w:r>
    </w:p>
    <w:p w14:paraId="7E53440C" w14:textId="4AA2E17D" w:rsidR="000B4952" w:rsidRPr="00496130" w:rsidRDefault="000B4952" w:rsidP="008469E1">
      <w:r w:rsidRPr="00496130">
        <w:rPr>
          <w:b/>
        </w:rPr>
        <w:t xml:space="preserve">Welmoed </w:t>
      </w:r>
      <w:r w:rsidR="00A94A4A" w:rsidRPr="00496130">
        <w:rPr>
          <w:b/>
        </w:rPr>
        <w:t xml:space="preserve">A. </w:t>
      </w:r>
      <w:r w:rsidRPr="00496130">
        <w:rPr>
          <w:b/>
        </w:rPr>
        <w:t>Out</w:t>
      </w:r>
      <w:r w:rsidRPr="00496130">
        <w:t xml:space="preserve"> </w:t>
      </w:r>
      <w:r w:rsidR="00A94A4A" w:rsidRPr="00496130">
        <w:t xml:space="preserve">(Ph.D. Leiden University, 2009) </w:t>
      </w:r>
      <w:r w:rsidRPr="00496130">
        <w:t>is an archaeobotanist at the Department of Archaeological Science and Conservation, Moesgaard Museum, where she applies phytolith and wood/charcoal analysis within the framework of development-led archaeology. Her research focusses on the Neolithic and woodland management.</w:t>
      </w:r>
    </w:p>
    <w:p w14:paraId="5B666E47" w14:textId="19059693" w:rsidR="000B4952" w:rsidRPr="00496130" w:rsidRDefault="000B4952" w:rsidP="008469E1">
      <w:r w:rsidRPr="00496130">
        <w:rPr>
          <w:b/>
        </w:rPr>
        <w:t>Søren Munch Kristiansen</w:t>
      </w:r>
      <w:r w:rsidRPr="00496130">
        <w:t xml:space="preserve"> </w:t>
      </w:r>
      <w:r w:rsidR="00F35AB4" w:rsidRPr="00496130">
        <w:t xml:space="preserve">(Ph.D. Aarhus University, 2000) </w:t>
      </w:r>
      <w:r w:rsidRPr="00496130">
        <w:t>is an Associate Professor at the Institute for Geoscience of Aarhus University. He is a core group member of the Centre for Urban Network Evolutions. He has published extensively on the use of geoscience and geoarchaeology to assist in the interpretation of ancient sites.</w:t>
      </w:r>
    </w:p>
    <w:p w14:paraId="660D20D3" w14:textId="0CF6B546" w:rsidR="00F35AB4" w:rsidRPr="00496130" w:rsidRDefault="00F35AB4" w:rsidP="008469E1">
      <w:r w:rsidRPr="00496130">
        <w:rPr>
          <w:b/>
          <w:bCs/>
        </w:rPr>
        <w:t>Tom Fitton</w:t>
      </w:r>
      <w:r w:rsidRPr="00496130">
        <w:t xml:space="preserve"> (Ph.D. University of York 2017) is a Post-Doctoral Research Associate on the </w:t>
      </w:r>
      <w:r w:rsidRPr="00496130">
        <w:rPr>
          <w:i/>
          <w:iCs/>
        </w:rPr>
        <w:t>Urban Ecology and Transitions in the Zanzibar Archipelago Project</w:t>
      </w:r>
      <w:r w:rsidRPr="00496130">
        <w:t xml:space="preserve"> (UETZAP), and specializes in archaeological landscape survey and GIS of the eastern African coast.</w:t>
      </w:r>
    </w:p>
    <w:p w14:paraId="03A1859E" w14:textId="77777777" w:rsidR="000B4952" w:rsidRPr="00496130" w:rsidRDefault="000B4952" w:rsidP="008469E1">
      <w:r w:rsidRPr="00496130">
        <w:rPr>
          <w:b/>
        </w:rPr>
        <w:lastRenderedPageBreak/>
        <w:t>Abdallah K. Ali</w:t>
      </w:r>
      <w:r w:rsidRPr="00496130">
        <w:t xml:space="preserve"> is Director of Antiquities, Ministry of Information, Tourism and Antiquities, Zanzibar. </w:t>
      </w:r>
    </w:p>
    <w:p w14:paraId="00EA3F08" w14:textId="2F2F2421" w:rsidR="00A400DF" w:rsidRPr="00496130" w:rsidRDefault="000B4952" w:rsidP="008469E1">
      <w:r w:rsidRPr="00496130">
        <w:rPr>
          <w:b/>
        </w:rPr>
        <w:t>Jesper Olsen</w:t>
      </w:r>
      <w:r w:rsidRPr="00496130">
        <w:t xml:space="preserve"> </w:t>
      </w:r>
      <w:r w:rsidR="00F35AB4" w:rsidRPr="00496130">
        <w:t xml:space="preserve">(Ph.D. Aarhus University, 2003) </w:t>
      </w:r>
      <w:r w:rsidRPr="00496130">
        <w:t>is an Associate Professor at the Department of Physics and Astronomy, Aarhus University. He is a core group member of the Centre for Urban Network Evolutions. He works on high-resolution chronometric dating in archaeological contexts.</w:t>
      </w:r>
    </w:p>
    <w:p w14:paraId="3E89D0EB" w14:textId="77777777" w:rsidR="00A400DF" w:rsidRPr="00496130" w:rsidRDefault="00A400DF">
      <w:pPr>
        <w:tabs>
          <w:tab w:val="clear" w:pos="284"/>
        </w:tabs>
        <w:spacing w:after="160" w:line="259" w:lineRule="auto"/>
      </w:pPr>
      <w:r w:rsidRPr="00496130">
        <w:br w:type="page"/>
      </w:r>
    </w:p>
    <w:p w14:paraId="5CD33F45" w14:textId="1033B2DC" w:rsidR="007D6085" w:rsidRPr="00496130" w:rsidRDefault="00A400DF" w:rsidP="00A400DF">
      <w:pPr>
        <w:pStyle w:val="Heading2"/>
      </w:pPr>
      <w:r w:rsidRPr="00496130">
        <w:lastRenderedPageBreak/>
        <w:t>References</w:t>
      </w:r>
    </w:p>
    <w:p w14:paraId="17790447" w14:textId="77777777" w:rsidR="00A400DF" w:rsidRPr="00496130" w:rsidRDefault="00A400DF" w:rsidP="00A400DF">
      <w:r w:rsidRPr="00496130">
        <w:t xml:space="preserve">Abdallah, J., and G. Monela. 2007. “Overview of Miombo woodlands in Tanzania. MITMIOMBO–Management of indigenous tree species for ecosystem restoration and wood production in semi-arid Miombo woodlands in Eastern Africa.” </w:t>
      </w:r>
      <w:r w:rsidRPr="00496130">
        <w:rPr>
          <w:i/>
        </w:rPr>
        <w:t xml:space="preserve">Working Papers Finnish Forest Research Institute </w:t>
      </w:r>
      <w:r w:rsidRPr="00496130">
        <w:t>50: 9–23.</w:t>
      </w:r>
    </w:p>
    <w:p w14:paraId="18A5D370" w14:textId="77777777" w:rsidR="00A400DF" w:rsidRPr="00496130" w:rsidRDefault="00A400DF" w:rsidP="00A400DF">
      <w:r w:rsidRPr="00496130">
        <w:t xml:space="preserve">Banerjea, R.Y., M. Bell, W. Matthews, and H. Brown. 2015. “Applications of micromorphology to understanding activity areas and site formation processes in experimental hut floors.” </w:t>
      </w:r>
      <w:r w:rsidRPr="00496130">
        <w:rPr>
          <w:i/>
        </w:rPr>
        <w:t>Archaeological and Anthropological Sciences</w:t>
      </w:r>
      <w:r w:rsidRPr="00496130">
        <w:t xml:space="preserve"> 7: 89–112.</w:t>
      </w:r>
    </w:p>
    <w:p w14:paraId="2CAD39A5" w14:textId="107A7D9B" w:rsidR="00A400DF" w:rsidRPr="00496130" w:rsidRDefault="00A400DF" w:rsidP="00A400DF">
      <w:r w:rsidRPr="00496130">
        <w:t>Baužyté, E. 2019. “</w:t>
      </w:r>
      <w:r w:rsidRPr="00496130">
        <w:rPr>
          <w:iCs/>
        </w:rPr>
        <w:t>Making and trading iron in the Swahili world</w:t>
      </w:r>
      <w:r w:rsidRPr="00496130">
        <w:t>.” Ph</w:t>
      </w:r>
      <w:r w:rsidR="00F103A5" w:rsidRPr="00496130">
        <w:t>.</w:t>
      </w:r>
      <w:r w:rsidRPr="00496130">
        <w:t>D</w:t>
      </w:r>
      <w:r w:rsidR="00F103A5" w:rsidRPr="00496130">
        <w:t>.</w:t>
      </w:r>
      <w:r w:rsidRPr="00496130">
        <w:t xml:space="preserve"> diss</w:t>
      </w:r>
      <w:r w:rsidR="00F103A5" w:rsidRPr="00496130">
        <w:t xml:space="preserve">., </w:t>
      </w:r>
      <w:r w:rsidRPr="00496130">
        <w:t>Aarhus University.</w:t>
      </w:r>
    </w:p>
    <w:p w14:paraId="0C892D23" w14:textId="1880E281" w:rsidR="00A400DF" w:rsidRPr="00496130" w:rsidRDefault="00A400DF" w:rsidP="00A400DF">
      <w:r w:rsidRPr="00496130">
        <w:t>Boivin, N. &amp; Fuller, D.Q. 2009. “Shell middens, ships and seeds: Exploring coastal subsistence, maritime trade and the dispersal of domesticates in and aroun</w:t>
      </w:r>
      <w:r w:rsidR="00F103A5" w:rsidRPr="00496130">
        <w:t>d the ancient Arabian peninsula.</w:t>
      </w:r>
      <w:r w:rsidRPr="00496130">
        <w:t xml:space="preserve">” </w:t>
      </w:r>
      <w:r w:rsidRPr="00496130">
        <w:rPr>
          <w:i/>
          <w:iCs/>
        </w:rPr>
        <w:t>Journal of World Prehistory</w:t>
      </w:r>
      <w:r w:rsidRPr="00496130">
        <w:t xml:space="preserve"> 22: 113-180.</w:t>
      </w:r>
    </w:p>
    <w:p w14:paraId="0595420E" w14:textId="77777777" w:rsidR="00A400DF" w:rsidRPr="00496130" w:rsidRDefault="00A400DF" w:rsidP="00A400DF">
      <w:r w:rsidRPr="00496130">
        <w:t xml:space="preserve">Bullock, P., N. Fedoroff, A. Jongerius, G. Stoops and T. Tursina. 1985. </w:t>
      </w:r>
      <w:r w:rsidRPr="00496130">
        <w:rPr>
          <w:i/>
          <w:iCs/>
        </w:rPr>
        <w:t>Handbook for Soil Thin Section Description</w:t>
      </w:r>
      <w:r w:rsidRPr="00496130">
        <w:t>. Albrighton, UK: Waine Research Publication.</w:t>
      </w:r>
    </w:p>
    <w:p w14:paraId="4A13B840" w14:textId="3A84E36E" w:rsidR="00A400DF" w:rsidRPr="00496130" w:rsidRDefault="00A400DF" w:rsidP="00A400DF">
      <w:r w:rsidRPr="00496130">
        <w:t xml:space="preserve">Chami, F. A. 2000. “Further Archaeological Research on Mafia Island.” </w:t>
      </w:r>
      <w:r w:rsidRPr="00496130">
        <w:rPr>
          <w:i/>
          <w:iCs/>
        </w:rPr>
        <w:t>Azania</w:t>
      </w:r>
      <w:r w:rsidRPr="00496130">
        <w:t xml:space="preserve"> 35</w:t>
      </w:r>
      <w:r w:rsidR="00F103A5" w:rsidRPr="00496130">
        <w:t xml:space="preserve"> </w:t>
      </w:r>
      <w:r w:rsidRPr="00496130">
        <w:t xml:space="preserve">(1): 208–214. </w:t>
      </w:r>
    </w:p>
    <w:p w14:paraId="4948AF1B" w14:textId="4F9BB4A3" w:rsidR="00F512CD" w:rsidRPr="00496130" w:rsidRDefault="00A400DF" w:rsidP="00A400DF">
      <w:r w:rsidRPr="00496130">
        <w:t>Chikumbirike, J. 2014. “Archaeological and palaeoecological implications of charcoal assemblages dated to the Holocene from Great Zimbabwe and its hinterland.” Ph</w:t>
      </w:r>
      <w:r w:rsidR="00F103A5" w:rsidRPr="00496130">
        <w:t>.</w:t>
      </w:r>
      <w:r w:rsidRPr="00496130">
        <w:t>D</w:t>
      </w:r>
      <w:r w:rsidR="00F103A5" w:rsidRPr="00496130">
        <w:t>.</w:t>
      </w:r>
      <w:r w:rsidRPr="00496130">
        <w:t xml:space="preserve"> diss</w:t>
      </w:r>
      <w:r w:rsidR="00F103A5" w:rsidRPr="00496130">
        <w:t>.</w:t>
      </w:r>
      <w:r w:rsidRPr="00496130">
        <w:t>, University of the Witwatersrand.</w:t>
      </w:r>
    </w:p>
    <w:p w14:paraId="47DAC2D2" w14:textId="77777777" w:rsidR="00A400DF" w:rsidRPr="00496130" w:rsidRDefault="00A400DF" w:rsidP="00A400DF">
      <w:r w:rsidRPr="00496130">
        <w:t>Crowther A., M.-A. Veal, N. Boivin, M. Horton, A. Kotarba-Morley, D. Q. Fuller, T. Fenn, O. Haji, C. D. Matheson. 2015. “Use of Zanzibar copal (</w:t>
      </w:r>
      <w:r w:rsidRPr="00496130">
        <w:rPr>
          <w:i/>
        </w:rPr>
        <w:t>Hymenaea verrucosa</w:t>
      </w:r>
      <w:r w:rsidRPr="00496130">
        <w:t xml:space="preserve"> Gaertn.) </w:t>
      </w:r>
      <w:proofErr w:type="gramStart"/>
      <w:r w:rsidRPr="00496130">
        <w:t>as</w:t>
      </w:r>
      <w:proofErr w:type="gramEnd"/>
      <w:r w:rsidRPr="00496130">
        <w:t xml:space="preserve"> incense at Unguja Ukuu, Tanzania in the 7–8th century CE: chemical insights into trade and Indian Ocean interactions.” </w:t>
      </w:r>
      <w:r w:rsidRPr="00496130">
        <w:rPr>
          <w:i/>
        </w:rPr>
        <w:t>Journal of Archaeological Science</w:t>
      </w:r>
      <w:r w:rsidRPr="00496130">
        <w:t xml:space="preserve"> 53: 374</w:t>
      </w:r>
      <w:r w:rsidRPr="00496130">
        <w:sym w:font="Symbol" w:char="F02D"/>
      </w:r>
      <w:r w:rsidRPr="00496130">
        <w:t>390.</w:t>
      </w:r>
    </w:p>
    <w:p w14:paraId="2E70C5D6" w14:textId="236DA80F" w:rsidR="00A400DF" w:rsidRPr="00496130" w:rsidRDefault="00A400DF" w:rsidP="00A400DF">
      <w:r w:rsidRPr="00496130">
        <w:lastRenderedPageBreak/>
        <w:t xml:space="preserve">Crowther, A., P. Faulkner, M. E. Prendergast, E. M. Quintana Morales, M. Horton, E. Wilmsen, A. M. Kotarba-Morley, A. Christie, N. Petek, R. Tibesasa, K. Douka, L. Picornell-Gelabert, X. Carah and N. Boivin. 2016a. “Coastal Subsistence, Maritime Trade, and the Colonization of Small Offshore Islands in Eastern African Prehistory.” </w:t>
      </w:r>
      <w:r w:rsidRPr="00496130">
        <w:rPr>
          <w:i/>
        </w:rPr>
        <w:t>The Journal of Island and Coastal Archaeology</w:t>
      </w:r>
      <w:r w:rsidRPr="00496130">
        <w:t xml:space="preserve"> 11</w:t>
      </w:r>
      <w:r w:rsidR="00F103A5" w:rsidRPr="00496130">
        <w:t xml:space="preserve"> </w:t>
      </w:r>
      <w:r w:rsidRPr="00496130">
        <w:t>(2): 211–237.</w:t>
      </w:r>
    </w:p>
    <w:p w14:paraId="37626A86" w14:textId="40D50EEE" w:rsidR="00A400DF" w:rsidRPr="00496130" w:rsidRDefault="00A400DF" w:rsidP="00A400DF">
      <w:r w:rsidRPr="00496130">
        <w:t xml:space="preserve">Crowther, A., L. Lucas, R. Helm, M. C. Horton, C. Shipton, H. T. Wright, S. Walshaw, M. C. Pawlowicz, C. Radimilahy, K. Douka, L. Picornell-Gelabert, X. Carah, and N. Boivin. 2016b. “Ancient crops provide first archaeological signature of the westward Austronesian expansion.” </w:t>
      </w:r>
      <w:r w:rsidRPr="00496130">
        <w:rPr>
          <w:i/>
        </w:rPr>
        <w:t xml:space="preserve">Proceedings of the national Academy of Sciences of the United States of America </w:t>
      </w:r>
      <w:r w:rsidRPr="00496130">
        <w:t>13</w:t>
      </w:r>
      <w:r w:rsidR="00F103A5" w:rsidRPr="00496130">
        <w:t xml:space="preserve"> </w:t>
      </w:r>
      <w:r w:rsidRPr="00496130">
        <w:t>(24): 6635–6640.</w:t>
      </w:r>
    </w:p>
    <w:p w14:paraId="589C012A" w14:textId="7F40D2BE" w:rsidR="00264CF3" w:rsidRPr="00496130" w:rsidRDefault="00264CF3" w:rsidP="00A400DF">
      <w:r w:rsidRPr="00496130">
        <w:t xml:space="preserve">Crowther, A., M. E. Prendergast, D. Q. Fuller, N. Boivin. 2017. “Subsistence mosaics, forager-farmer interactions, and the transition to food production in eastern Africa.” </w:t>
      </w:r>
      <w:r w:rsidRPr="00496130">
        <w:rPr>
          <w:i/>
        </w:rPr>
        <w:t>Quaternary International</w:t>
      </w:r>
      <w:r w:rsidRPr="00496130">
        <w:t xml:space="preserve"> 489: 101-120.</w:t>
      </w:r>
    </w:p>
    <w:p w14:paraId="559D70F8" w14:textId="5C4DF05E" w:rsidR="00A400DF" w:rsidRPr="00496130" w:rsidRDefault="00A400DF" w:rsidP="00A400DF">
      <w:r w:rsidRPr="00496130">
        <w:t xml:space="preserve">Faulkner P., M. Harris, A. K. Ali, Haji O., A. Crowther, M. C. Horton, and N. L. Boivin. 2017. “Characterising marine mollusc exploitation in the eastern African Iron Age: Archaeomalacological evidence from Unguja Ukuu and Fukuchani, Zanzibar.” </w:t>
      </w:r>
      <w:r w:rsidRPr="00496130">
        <w:rPr>
          <w:i/>
        </w:rPr>
        <w:t>Quaternary International</w:t>
      </w:r>
      <w:r w:rsidR="00F103A5" w:rsidRPr="00496130">
        <w:t xml:space="preserve"> 471(Part A): 66–80.</w:t>
      </w:r>
    </w:p>
    <w:p w14:paraId="1403AF37" w14:textId="350B24B5" w:rsidR="00A400DF" w:rsidRPr="00496130" w:rsidRDefault="00A400DF" w:rsidP="00A400DF">
      <w:r w:rsidRPr="00496130">
        <w:t>Fitton T. and S. Wynne-Jones. 2017. “Understanding the layout of early coastal settlement at Unguja Ukuu, Zanzibar.”</w:t>
      </w:r>
      <w:r w:rsidRPr="00496130">
        <w:rPr>
          <w:i/>
        </w:rPr>
        <w:t xml:space="preserve"> Antiquity</w:t>
      </w:r>
      <w:r w:rsidRPr="00496130">
        <w:t xml:space="preserve"> 91</w:t>
      </w:r>
      <w:r w:rsidR="00F103A5" w:rsidRPr="00496130">
        <w:t xml:space="preserve"> </w:t>
      </w:r>
      <w:r w:rsidRPr="00496130">
        <w:t>(359): 1268–1284.</w:t>
      </w:r>
    </w:p>
    <w:p w14:paraId="6C6591A4" w14:textId="77777777" w:rsidR="00A400DF" w:rsidRPr="00496130" w:rsidRDefault="00A400DF" w:rsidP="00A400DF">
      <w:r w:rsidRPr="00496130">
        <w:t xml:space="preserve">Fleisher, J. and S. Wynne-Jones. 2011. “Ceramics and the early Swahili: deconstructing the Early Tana Tradition.” </w:t>
      </w:r>
      <w:r w:rsidRPr="00496130">
        <w:rPr>
          <w:i/>
        </w:rPr>
        <w:t>African Archaeological Review</w:t>
      </w:r>
      <w:r w:rsidRPr="00496130">
        <w:t xml:space="preserve"> 28: 245–278.</w:t>
      </w:r>
    </w:p>
    <w:p w14:paraId="0F91376B" w14:textId="078C1670" w:rsidR="00A400DF" w:rsidRPr="00496130" w:rsidRDefault="00A400DF" w:rsidP="00A400DF">
      <w:r w:rsidRPr="00496130">
        <w:t xml:space="preserve">Fleisher, J. and A. LaViolette. 2013. “The early Swahili trade village of Tumbe, Pemba Island, Tanzania, AD600–950.” </w:t>
      </w:r>
      <w:r w:rsidRPr="00496130">
        <w:rPr>
          <w:i/>
        </w:rPr>
        <w:t xml:space="preserve">Antiquity </w:t>
      </w:r>
      <w:r w:rsidRPr="00496130">
        <w:t>87</w:t>
      </w:r>
      <w:r w:rsidR="00F103A5" w:rsidRPr="00496130">
        <w:t xml:space="preserve"> </w:t>
      </w:r>
      <w:r w:rsidRPr="00496130">
        <w:t>(338): 1151–1168.</w:t>
      </w:r>
    </w:p>
    <w:p w14:paraId="5107BAA5" w14:textId="687301AE" w:rsidR="00A400DF" w:rsidRPr="00496130" w:rsidRDefault="00A400DF" w:rsidP="00A400DF">
      <w:r w:rsidRPr="00496130">
        <w:lastRenderedPageBreak/>
        <w:t xml:space="preserve">Flexner, J. L., J. </w:t>
      </w:r>
      <w:r w:rsidR="00F103A5" w:rsidRPr="00496130">
        <w:t xml:space="preserve">B. Fleisher and A. LaViolette. </w:t>
      </w:r>
      <w:r w:rsidRPr="00496130">
        <w:t xml:space="preserve">2008. </w:t>
      </w:r>
      <w:r w:rsidR="00F103A5" w:rsidRPr="00496130">
        <w:t>“</w:t>
      </w:r>
      <w:r w:rsidRPr="00496130">
        <w:t xml:space="preserve">Bead grinders and early Swahili household economy: analysis of an assemblage from Tumbe, Pemba Island, Tanzania, 7th–10th centuries AD.” </w:t>
      </w:r>
      <w:r w:rsidRPr="00496130">
        <w:rPr>
          <w:i/>
        </w:rPr>
        <w:t>Journal of African Archaeology</w:t>
      </w:r>
      <w:r w:rsidRPr="00496130">
        <w:t xml:space="preserve"> 6: 161–181.</w:t>
      </w:r>
    </w:p>
    <w:p w14:paraId="30901D51" w14:textId="77777777" w:rsidR="00A400DF" w:rsidRPr="00496130" w:rsidRDefault="00A400DF" w:rsidP="00A400DF">
      <w:r w:rsidRPr="00496130">
        <w:t xml:space="preserve">French C. and T. Rajkovaca 2013. </w:t>
      </w:r>
      <w:r w:rsidRPr="00496130">
        <w:rPr>
          <w:i/>
          <w:iCs/>
        </w:rPr>
        <w:t>A step-by-step guide to the making of soil thin sections</w:t>
      </w:r>
      <w:r w:rsidRPr="00496130">
        <w:t>. Cambridge [available online: https://www.arch.cam.ac.uk/files/guide-thin-sections.pdf].</w:t>
      </w:r>
    </w:p>
    <w:p w14:paraId="23C169F2" w14:textId="6DD8E7CC" w:rsidR="00A400DF" w:rsidRPr="00496130" w:rsidRDefault="00A400DF" w:rsidP="00A400DF">
      <w:r w:rsidRPr="00496130">
        <w:t>Friesem, D. E, J. Wattez, and M. Onfray. 2017. “Ea</w:t>
      </w:r>
      <w:r w:rsidR="00F103A5" w:rsidRPr="00496130">
        <w:t>rth construction materials.” In</w:t>
      </w:r>
      <w:r w:rsidRPr="00496130">
        <w:t xml:space="preserve"> </w:t>
      </w:r>
      <w:r w:rsidRPr="00496130">
        <w:rPr>
          <w:i/>
        </w:rPr>
        <w:t>Archaeological soil and sediment micromorphology</w:t>
      </w:r>
      <w:r w:rsidRPr="00496130">
        <w:rPr>
          <w:iCs/>
        </w:rPr>
        <w:t>, edited by</w:t>
      </w:r>
      <w:r w:rsidRPr="00496130">
        <w:t xml:space="preserve"> C. Nicosia and G. Stoops, 99</w:t>
      </w:r>
      <w:r w:rsidRPr="00496130">
        <w:sym w:font="Symbol" w:char="F02D"/>
      </w:r>
      <w:r w:rsidRPr="00496130">
        <w:t>110. Hoboken, NJ: Wiley.</w:t>
      </w:r>
    </w:p>
    <w:p w14:paraId="4E0A2142" w14:textId="54A78B03" w:rsidR="00A400DF" w:rsidRPr="00496130" w:rsidRDefault="00A400DF" w:rsidP="00A400DF">
      <w:r w:rsidRPr="00496130">
        <w:t>Harvey, E. L. and D. Q. Fuller. 2005. “Investigating crop processing using phytolith analysis: the example of rice and millets.”</w:t>
      </w:r>
      <w:r w:rsidRPr="00496130">
        <w:rPr>
          <w:i/>
        </w:rPr>
        <w:t xml:space="preserve"> Journal of Archaeological Science</w:t>
      </w:r>
      <w:r w:rsidRPr="00496130">
        <w:t xml:space="preserve"> 32: 739–752.</w:t>
      </w:r>
    </w:p>
    <w:p w14:paraId="3A8CCCAE" w14:textId="35417D2A" w:rsidR="00F512CD" w:rsidRPr="00496130" w:rsidRDefault="00F512CD" w:rsidP="00A400DF">
      <w:r w:rsidRPr="00496130">
        <w:t xml:space="preserve">Hogg, </w:t>
      </w:r>
      <w:r w:rsidR="0024017C" w:rsidRPr="00496130">
        <w:t xml:space="preserve">A. G., </w:t>
      </w:r>
      <w:r w:rsidRPr="00496130">
        <w:t xml:space="preserve">Quan Hua, </w:t>
      </w:r>
      <w:r w:rsidR="0024017C" w:rsidRPr="00496130">
        <w:t xml:space="preserve">P. G. </w:t>
      </w:r>
      <w:r w:rsidRPr="00496130">
        <w:t xml:space="preserve">Blackwell, Mu Niu, </w:t>
      </w:r>
      <w:r w:rsidR="0024017C" w:rsidRPr="00496130">
        <w:t xml:space="preserve">C. E. </w:t>
      </w:r>
      <w:r w:rsidRPr="00496130">
        <w:t xml:space="preserve">Buck, </w:t>
      </w:r>
      <w:r w:rsidR="0024017C" w:rsidRPr="00496130">
        <w:t>T. P.</w:t>
      </w:r>
      <w:r w:rsidRPr="00496130">
        <w:t xml:space="preserve"> Guilderson, </w:t>
      </w:r>
      <w:r w:rsidR="0024017C" w:rsidRPr="00496130">
        <w:t>T. J.</w:t>
      </w:r>
      <w:r w:rsidRPr="00496130">
        <w:t xml:space="preserve"> Heaton, </w:t>
      </w:r>
      <w:r w:rsidR="0024017C" w:rsidRPr="00496130">
        <w:t>J. G.</w:t>
      </w:r>
      <w:r w:rsidRPr="00496130">
        <w:t xml:space="preserve"> Palmer, </w:t>
      </w:r>
      <w:r w:rsidR="0024017C" w:rsidRPr="00496130">
        <w:t>P. J.</w:t>
      </w:r>
      <w:r w:rsidRPr="00496130">
        <w:t xml:space="preserve"> Reimer, </w:t>
      </w:r>
      <w:r w:rsidR="0024017C" w:rsidRPr="00496130">
        <w:t>R. W.</w:t>
      </w:r>
      <w:r w:rsidRPr="00496130">
        <w:t xml:space="preserve"> Reimer, </w:t>
      </w:r>
      <w:r w:rsidR="0024017C" w:rsidRPr="00496130">
        <w:t>C. S. M.</w:t>
      </w:r>
      <w:r w:rsidRPr="00496130">
        <w:t xml:space="preserve"> Turney, </w:t>
      </w:r>
      <w:r w:rsidR="0024017C" w:rsidRPr="00496130">
        <w:t>S. R. H.</w:t>
      </w:r>
      <w:r w:rsidRPr="00496130">
        <w:t xml:space="preserve"> Zimmerman</w:t>
      </w:r>
      <w:r w:rsidR="0024017C" w:rsidRPr="00496130">
        <w:t xml:space="preserve">. 2013. “SHCal13 Southern Hemisphere Calibration, 0–50,000 Years cal BP.” </w:t>
      </w:r>
      <w:r w:rsidR="0024017C" w:rsidRPr="00496130">
        <w:rPr>
          <w:i/>
        </w:rPr>
        <w:t xml:space="preserve">Radiocarbon </w:t>
      </w:r>
      <w:r w:rsidR="0024017C" w:rsidRPr="00496130">
        <w:t>55</w:t>
      </w:r>
      <w:r w:rsidR="00F103A5" w:rsidRPr="00496130">
        <w:t xml:space="preserve"> </w:t>
      </w:r>
      <w:r w:rsidR="0024017C" w:rsidRPr="00496130">
        <w:t>(4): 1889-1903.</w:t>
      </w:r>
    </w:p>
    <w:p w14:paraId="75AAD197" w14:textId="77777777" w:rsidR="00A400DF" w:rsidRPr="00496130" w:rsidRDefault="00A400DF" w:rsidP="00A400DF">
      <w:r w:rsidRPr="00496130">
        <w:t xml:space="preserve">Horton, M. C. 1996. </w:t>
      </w:r>
      <w:r w:rsidRPr="00496130">
        <w:rPr>
          <w:i/>
        </w:rPr>
        <w:t>Shanga: the archaeology of a Muslim trading community on the coast of East Africa</w:t>
      </w:r>
      <w:r w:rsidRPr="00496130">
        <w:t>. London and Nairobi: British Institute in Eastern Africa.</w:t>
      </w:r>
    </w:p>
    <w:p w14:paraId="35378E49" w14:textId="77777777" w:rsidR="00A400DF" w:rsidRPr="00496130" w:rsidRDefault="00A400DF" w:rsidP="00A400DF">
      <w:r w:rsidRPr="00496130">
        <w:t xml:space="preserve">Horton, M. C. and C. M. Clark. 1985. “Archaeological survey of Zanzibar.” </w:t>
      </w:r>
      <w:r w:rsidRPr="00496130">
        <w:rPr>
          <w:i/>
        </w:rPr>
        <w:t>Azania</w:t>
      </w:r>
      <w:r w:rsidRPr="00496130">
        <w:t xml:space="preserve"> 20(1): 167–171.</w:t>
      </w:r>
    </w:p>
    <w:p w14:paraId="2F5A46E2" w14:textId="2C6B7812" w:rsidR="00A400DF" w:rsidRPr="00496130" w:rsidRDefault="00A400DF" w:rsidP="00A400DF">
      <w:r w:rsidRPr="00496130">
        <w:t xml:space="preserve">Hua, Q., M. Barbetti and A. J. Rakowski. 2013. “Atmospheric Radiocarbon for the Period 1950–2010.” </w:t>
      </w:r>
      <w:r w:rsidRPr="00496130">
        <w:rPr>
          <w:i/>
        </w:rPr>
        <w:t>Radiocarbon</w:t>
      </w:r>
      <w:r w:rsidRPr="00496130">
        <w:t xml:space="preserve"> 55</w:t>
      </w:r>
      <w:r w:rsidR="00F103A5" w:rsidRPr="00496130">
        <w:t xml:space="preserve"> </w:t>
      </w:r>
      <w:r w:rsidRPr="00496130">
        <w:t>(4): 2059–2071.</w:t>
      </w:r>
    </w:p>
    <w:p w14:paraId="355E2711" w14:textId="77777777" w:rsidR="00A400DF" w:rsidRPr="00496130" w:rsidRDefault="00A400DF" w:rsidP="00A400DF">
      <w:r w:rsidRPr="00496130">
        <w:t>InsideWood 2004-onwards. Published on the Internet. http://insidewood.lib.ncsu.edu/search [accessed in 2018].</w:t>
      </w:r>
    </w:p>
    <w:p w14:paraId="780D7E48" w14:textId="77777777" w:rsidR="00A400DF" w:rsidRPr="00496130" w:rsidRDefault="00A400DF" w:rsidP="00A400DF">
      <w:r w:rsidRPr="00496130">
        <w:t xml:space="preserve">Ilic, J. 1991. </w:t>
      </w:r>
      <w:r w:rsidRPr="00496130">
        <w:rPr>
          <w:i/>
        </w:rPr>
        <w:t>CSIRO atlas of hardwoods</w:t>
      </w:r>
      <w:r w:rsidRPr="00496130">
        <w:t>. Berlin: Springer.</w:t>
      </w:r>
    </w:p>
    <w:p w14:paraId="38B27875" w14:textId="31EA0CC7" w:rsidR="00A400DF" w:rsidRPr="00496130" w:rsidRDefault="00A400DF" w:rsidP="00A400DF">
      <w:pPr>
        <w:rPr>
          <w:rStyle w:val="Hyperlink"/>
        </w:rPr>
      </w:pPr>
      <w:r w:rsidRPr="00496130">
        <w:lastRenderedPageBreak/>
        <w:t xml:space="preserve">International Committee for Phytolith Taxonomy (ICPT) 2019. “International Code for Phytolith Nomenclature (ICPN) 2.0.” </w:t>
      </w:r>
      <w:r w:rsidRPr="00496130">
        <w:rPr>
          <w:rStyle w:val="Emphasis"/>
        </w:rPr>
        <w:t>Annals of Botany</w:t>
      </w:r>
      <w:r w:rsidRPr="00496130">
        <w:t xml:space="preserve"> 124</w:t>
      </w:r>
      <w:r w:rsidR="00F103A5" w:rsidRPr="00496130">
        <w:t xml:space="preserve"> </w:t>
      </w:r>
      <w:r w:rsidRPr="00496130">
        <w:t xml:space="preserve">(2): 189–199. </w:t>
      </w:r>
    </w:p>
    <w:p w14:paraId="31C3F45A" w14:textId="7AF8F7A5" w:rsidR="00A400DF" w:rsidRPr="00496130" w:rsidRDefault="00A400DF" w:rsidP="00A400DF">
      <w:r w:rsidRPr="00496130">
        <w:t xml:space="preserve">Juma, A. M. 1996. “The Swahili and Mediterranean worlds: pottery of the late Roman period from Zanzibar.” </w:t>
      </w:r>
      <w:r w:rsidRPr="00496130">
        <w:rPr>
          <w:i/>
        </w:rPr>
        <w:t xml:space="preserve">Antiquity </w:t>
      </w:r>
      <w:r w:rsidRPr="00496130">
        <w:t>70</w:t>
      </w:r>
      <w:r w:rsidR="00F103A5" w:rsidRPr="00496130">
        <w:t xml:space="preserve"> </w:t>
      </w:r>
      <w:r w:rsidRPr="00496130">
        <w:t>(267): 148–154.</w:t>
      </w:r>
    </w:p>
    <w:p w14:paraId="4581DDFD" w14:textId="77777777" w:rsidR="00A400DF" w:rsidRPr="00496130" w:rsidRDefault="00A400DF" w:rsidP="00A400DF">
      <w:r w:rsidRPr="00496130">
        <w:t xml:space="preserve">Juma, A. 2004. </w:t>
      </w:r>
      <w:r w:rsidRPr="00496130">
        <w:rPr>
          <w:i/>
        </w:rPr>
        <w:t>Unguja Ukuu on Zanzibar</w:t>
      </w:r>
      <w:r w:rsidRPr="00496130">
        <w:t>. Uppsala: Societas Archaeologica Upsaliensis.</w:t>
      </w:r>
    </w:p>
    <w:p w14:paraId="222DFCB7" w14:textId="77777777" w:rsidR="00A400DF" w:rsidRPr="00496130" w:rsidRDefault="00A400DF" w:rsidP="00A400DF">
      <w:r w:rsidRPr="00496130">
        <w:t xml:space="preserve">Lancelotti, C., and M. Madella. 2012. “The ‘invisible’ product: developing markers for identifying dung in archaeological contexts.” </w:t>
      </w:r>
      <w:r w:rsidRPr="00496130">
        <w:rPr>
          <w:i/>
        </w:rPr>
        <w:t xml:space="preserve">Journal of Archaeological Science </w:t>
      </w:r>
      <w:r w:rsidRPr="00496130">
        <w:t>39: 953–963.</w:t>
      </w:r>
    </w:p>
    <w:p w14:paraId="5944CF19" w14:textId="52493507" w:rsidR="00A400DF" w:rsidRPr="00496130" w:rsidRDefault="00A400DF" w:rsidP="00A400DF">
      <w:r w:rsidRPr="00496130">
        <w:t>LaViolette, A. 20</w:t>
      </w:r>
      <w:r w:rsidR="00F103A5" w:rsidRPr="00496130">
        <w:t>0</w:t>
      </w:r>
      <w:r w:rsidRPr="00496130">
        <w:t xml:space="preserve">8. </w:t>
      </w:r>
      <w:r w:rsidR="00F103A5" w:rsidRPr="00496130">
        <w:t>“</w:t>
      </w:r>
      <w:r w:rsidRPr="00496130">
        <w:t>Swahili Cosmopolitanism in Africa and the Indian Ocean World, A.D. 600–1500.</w:t>
      </w:r>
      <w:r w:rsidR="00F103A5" w:rsidRPr="00496130">
        <w:t>”</w:t>
      </w:r>
      <w:r w:rsidRPr="00496130">
        <w:t xml:space="preserve"> </w:t>
      </w:r>
      <w:r w:rsidRPr="00496130">
        <w:rPr>
          <w:i/>
          <w:iCs/>
        </w:rPr>
        <w:t>Archaeologies</w:t>
      </w:r>
      <w:r w:rsidRPr="00496130">
        <w:t xml:space="preserve"> 4: 24–49. </w:t>
      </w:r>
    </w:p>
    <w:p w14:paraId="3FC9CB06" w14:textId="413ADDD8" w:rsidR="00A400DF" w:rsidRPr="00496130" w:rsidRDefault="00A400DF" w:rsidP="00A400DF">
      <w:r w:rsidRPr="00496130">
        <w:t xml:space="preserve">LaViolette, A. and S. Wynne-Jones 2018. “Swahili worlds.” </w:t>
      </w:r>
      <w:r w:rsidR="00F103A5" w:rsidRPr="00496130">
        <w:t xml:space="preserve">In </w:t>
      </w:r>
      <w:r w:rsidRPr="00496130">
        <w:rPr>
          <w:i/>
        </w:rPr>
        <w:t>The Swahili World</w:t>
      </w:r>
      <w:r w:rsidRPr="00496130">
        <w:rPr>
          <w:iCs/>
        </w:rPr>
        <w:t xml:space="preserve">, edited by </w:t>
      </w:r>
      <w:r w:rsidR="00F103A5" w:rsidRPr="00496130">
        <w:rPr>
          <w:iCs/>
        </w:rPr>
        <w:t>S. Wynne-Jones and A. LaViolette</w:t>
      </w:r>
      <w:r w:rsidRPr="00496130">
        <w:rPr>
          <w:iCs/>
        </w:rPr>
        <w:t>, 1–14</w:t>
      </w:r>
      <w:r w:rsidRPr="00496130">
        <w:rPr>
          <w:i/>
        </w:rPr>
        <w:t xml:space="preserve">. </w:t>
      </w:r>
      <w:r w:rsidRPr="00496130">
        <w:t>London: Routledge.</w:t>
      </w:r>
    </w:p>
    <w:p w14:paraId="3B7E6FF5" w14:textId="7FF6E33D" w:rsidR="00A400DF" w:rsidRPr="00496130" w:rsidRDefault="00A400DF" w:rsidP="00A400DF">
      <w:r w:rsidRPr="00496130">
        <w:t xml:space="preserve">Lyaya, E. C. 2015. “Use of charcoal species for ironworking in Tanzania.” </w:t>
      </w:r>
      <w:r w:rsidR="00F103A5" w:rsidRPr="00496130">
        <w:t xml:space="preserve">In </w:t>
      </w:r>
      <w:r w:rsidR="00F103A5" w:rsidRPr="00496130">
        <w:rPr>
          <w:i/>
          <w:iCs/>
        </w:rPr>
        <w:t>The W</w:t>
      </w:r>
      <w:r w:rsidRPr="00496130">
        <w:rPr>
          <w:i/>
          <w:iCs/>
        </w:rPr>
        <w:t>orld of Iron</w:t>
      </w:r>
      <w:r w:rsidRPr="00496130">
        <w:t>, edited by J. Humphris and T. Rehren, 444–453. London: Archetype.</w:t>
      </w:r>
    </w:p>
    <w:p w14:paraId="7C99EE7B" w14:textId="77777777" w:rsidR="00A400DF" w:rsidRPr="00496130" w:rsidRDefault="00A400DF" w:rsidP="00A400DF">
      <w:r w:rsidRPr="00496130">
        <w:t xml:space="preserve">MacPhail, R.I. and P. Goldberg 2018. </w:t>
      </w:r>
      <w:r w:rsidRPr="00496130">
        <w:rPr>
          <w:i/>
          <w:iCs/>
        </w:rPr>
        <w:t>Applied Soils and Micromorphology in Archaeology</w:t>
      </w:r>
      <w:r w:rsidRPr="00496130">
        <w:t>. Cambridge: Cambridge University Press.</w:t>
      </w:r>
    </w:p>
    <w:p w14:paraId="385ED4C7" w14:textId="6C3F1CE8" w:rsidR="00A400DF" w:rsidRPr="00496130" w:rsidRDefault="00A400DF" w:rsidP="00A400DF">
      <w:r w:rsidRPr="00496130">
        <w:t>Mali</w:t>
      </w:r>
      <w:r w:rsidR="00F103A5" w:rsidRPr="00496130">
        <w:t xml:space="preserve">mbwi, R. E., and E. M. Zahabu. </w:t>
      </w:r>
      <w:r w:rsidRPr="00496130">
        <w:t xml:space="preserve">2008. </w:t>
      </w:r>
      <w:r w:rsidR="00F103A5" w:rsidRPr="00496130">
        <w:t>“</w:t>
      </w:r>
      <w:r w:rsidRPr="00496130">
        <w:t xml:space="preserve">Woodlands and the charcoal trade: the case of Dar es Salaam City.” </w:t>
      </w:r>
      <w:r w:rsidRPr="00496130">
        <w:rPr>
          <w:i/>
        </w:rPr>
        <w:t>Working Papers of the Finnish Forest Research Institute</w:t>
      </w:r>
      <w:r w:rsidRPr="00496130">
        <w:t xml:space="preserve"> 98: 93</w:t>
      </w:r>
      <w:r w:rsidRPr="00496130">
        <w:sym w:font="Symbol" w:char="F02D"/>
      </w:r>
      <w:r w:rsidRPr="00496130">
        <w:t>114.</w:t>
      </w:r>
    </w:p>
    <w:p w14:paraId="2915A5F2" w14:textId="385DEA18" w:rsidR="00A400DF" w:rsidRPr="00496130" w:rsidRDefault="00A400DF" w:rsidP="00A400DF">
      <w:pPr>
        <w:rPr>
          <w:color w:val="auto"/>
        </w:rPr>
      </w:pPr>
      <w:r w:rsidRPr="00496130">
        <w:rPr>
          <w:color w:val="auto"/>
        </w:rPr>
        <w:t xml:space="preserve">Nicosia, C. and G. Stoops 2017. </w:t>
      </w:r>
      <w:r w:rsidRPr="00496130">
        <w:rPr>
          <w:i/>
          <w:iCs/>
          <w:color w:val="auto"/>
        </w:rPr>
        <w:t>Archaeological Soil and Sediment Micromorphology</w:t>
      </w:r>
      <w:r w:rsidRPr="00496130">
        <w:rPr>
          <w:color w:val="auto"/>
        </w:rPr>
        <w:t xml:space="preserve">. John Wiley &amp; Sons. </w:t>
      </w:r>
    </w:p>
    <w:p w14:paraId="3E8BEB9D" w14:textId="6748DC60" w:rsidR="00A400DF" w:rsidRPr="00496130" w:rsidRDefault="00A400DF" w:rsidP="00A400DF">
      <w:r w:rsidRPr="00496130">
        <w:t>Out, W</w:t>
      </w:r>
      <w:r w:rsidR="00F103A5" w:rsidRPr="00496130">
        <w:t>. A</w:t>
      </w:r>
      <w:r w:rsidRPr="00496130">
        <w:t xml:space="preserve">. 2018. Unguja Ukuu, Zanzibar (FHM 4296/2540). Preliminary analysis of charcoal samples from </w:t>
      </w:r>
      <w:r w:rsidR="00496130" w:rsidRPr="00496130">
        <w:t>artifact</w:t>
      </w:r>
      <w:r w:rsidRPr="00496130">
        <w:t xml:space="preserve"> concentrations and domestic structures. Højbjerg, Denmark: </w:t>
      </w:r>
      <w:r w:rsidRPr="00496130">
        <w:lastRenderedPageBreak/>
        <w:t>Department of Archaeological Science and Conservation, Moesgaard Museum, report 2018-24.</w:t>
      </w:r>
    </w:p>
    <w:p w14:paraId="18DAB071" w14:textId="77777777" w:rsidR="00A400DF" w:rsidRPr="00496130" w:rsidRDefault="00A400DF" w:rsidP="00A400DF">
      <w:r w:rsidRPr="00496130">
        <w:t xml:space="preserve">Piperno, D. 2006. </w:t>
      </w:r>
      <w:r w:rsidRPr="00496130">
        <w:rPr>
          <w:i/>
        </w:rPr>
        <w:t>Phytoliths</w:t>
      </w:r>
      <w:r w:rsidRPr="00496130">
        <w:t>. Rowman: Altamira.</w:t>
      </w:r>
    </w:p>
    <w:p w14:paraId="18AFA0B1" w14:textId="77777777" w:rsidR="00A400DF" w:rsidRPr="00496130" w:rsidRDefault="00A400DF" w:rsidP="00A400DF">
      <w:r w:rsidRPr="00496130">
        <w:t xml:space="preserve">Portillo, M., M. C. Belarte, J. Ramon, N. Kallala, J. Sanmartí, and R. M. Albert 2017. “An ethnoarchaeological study of livestock dung fuels from cooking installations in northern Tunisia.” </w:t>
      </w:r>
      <w:r w:rsidRPr="00496130">
        <w:rPr>
          <w:i/>
        </w:rPr>
        <w:t>Quaternary International</w:t>
      </w:r>
      <w:r w:rsidRPr="00496130">
        <w:t xml:space="preserve"> 431: 133–144.</w:t>
      </w:r>
    </w:p>
    <w:p w14:paraId="24B45E46" w14:textId="3916C19C" w:rsidR="00A400DF" w:rsidRPr="00496130" w:rsidRDefault="00A400DF" w:rsidP="00A400DF">
      <w:r w:rsidRPr="00496130">
        <w:t xml:space="preserve">Prendergast, M. E., H. Rouby, P. Punnwong, R. Marchant, A. Crowther, N. Kourampas, C. Shipton, M. Walsh, K. Lambeck,  and N. L. Boivin. 2016. “Continental island formation and the archaeology of defaunation on Zanzibar, eastern Africa.” </w:t>
      </w:r>
      <w:r w:rsidRPr="00496130">
        <w:rPr>
          <w:i/>
        </w:rPr>
        <w:t>PLoS One</w:t>
      </w:r>
      <w:r w:rsidRPr="00496130">
        <w:t xml:space="preserve"> 11 (2). </w:t>
      </w:r>
    </w:p>
    <w:p w14:paraId="36917135" w14:textId="390E4D8C" w:rsidR="00A400DF" w:rsidRPr="00496130" w:rsidRDefault="00A400DF" w:rsidP="00A400DF">
      <w:r w:rsidRPr="00496130">
        <w:t xml:space="preserve">Prendergast, M., E. M. Quintana Morales, A. Crowther, M. C. Horton and N. L. Boivin. 2017a. “Dietary Diversity on the Swahili Coast: The Fauna from Two Zanzibar Trading Locales.” </w:t>
      </w:r>
      <w:r w:rsidRPr="00496130">
        <w:rPr>
          <w:i/>
        </w:rPr>
        <w:t xml:space="preserve">International Journal of Osteoarchaeology </w:t>
      </w:r>
      <w:r w:rsidRPr="00496130">
        <w:t>27</w:t>
      </w:r>
      <w:r w:rsidR="00F103A5" w:rsidRPr="00496130">
        <w:t xml:space="preserve"> </w:t>
      </w:r>
      <w:r w:rsidRPr="00496130">
        <w:t>(4): 621-637.</w:t>
      </w:r>
    </w:p>
    <w:p w14:paraId="04B0C690" w14:textId="74C1BF76" w:rsidR="00A400DF" w:rsidRPr="00496130" w:rsidRDefault="00A400DF" w:rsidP="00A400DF">
      <w:r w:rsidRPr="00496130">
        <w:t xml:space="preserve">Prendergast, M. E., M. Buckley, A. Crowther, L. Frantz, H. Eager, O. Lebrasseur, </w:t>
      </w:r>
      <w:r w:rsidR="00963A8E" w:rsidRPr="00496130">
        <w:t>R. Hutterer, A. Hulme-Beaman, W. Van Neer, K. Douka, M.-A. Veall, E. Quintana Morales, V.J. Sc</w:t>
      </w:r>
      <w:r w:rsidR="00625C1C" w:rsidRPr="00496130">
        <w:t>h</w:t>
      </w:r>
      <w:r w:rsidR="00963A8E" w:rsidRPr="00496130">
        <w:t>uenemann, E. Reiter, R. Allen, E. A. Dimopoulos, R. M. Helm, C. Shipton, O. Mwebi, C. Denys, M. Horton, S. Wynne-Jones, J. Fleisher, C. Radimilahy, H. Wright, J. B. Searle, J. Krause, G. Larson, N. L. Boivin</w:t>
      </w:r>
      <w:r w:rsidRPr="00496130">
        <w:t xml:space="preserve"> 2017b. “Reconstructing Asian faunal introductions to eastern Africa from multi-proxy biomolecular and archaeological datasets.” </w:t>
      </w:r>
      <w:r w:rsidRPr="00496130">
        <w:rPr>
          <w:i/>
        </w:rPr>
        <w:t>PLoS ONE</w:t>
      </w:r>
      <w:r w:rsidRPr="00496130">
        <w:t xml:space="preserve"> 12</w:t>
      </w:r>
      <w:r w:rsidR="00F103A5" w:rsidRPr="00496130">
        <w:t xml:space="preserve"> </w:t>
      </w:r>
      <w:r w:rsidRPr="00496130">
        <w:t xml:space="preserve">(8): e0182565. </w:t>
      </w:r>
    </w:p>
    <w:p w14:paraId="0CBE40A8" w14:textId="47DAF645" w:rsidR="00A400DF" w:rsidRPr="00496130" w:rsidRDefault="00A400DF" w:rsidP="00A400DF">
      <w:r w:rsidRPr="00496130">
        <w:t xml:space="preserve">Priestman, S. 2018. “Quantitative evidence for early long-distance exchange in eastern Africa: the consumption volume of ceramic imports.” In </w:t>
      </w:r>
      <w:r w:rsidRPr="00496130">
        <w:rPr>
          <w:i/>
        </w:rPr>
        <w:t>The Swahili World</w:t>
      </w:r>
      <w:r w:rsidRPr="00496130">
        <w:rPr>
          <w:iCs/>
        </w:rPr>
        <w:t>, edited by S. Wynne-Jones and A. LaViolette, 472–484</w:t>
      </w:r>
      <w:r w:rsidRPr="00496130">
        <w:t>. London: Routledge.</w:t>
      </w:r>
    </w:p>
    <w:p w14:paraId="79C3254D" w14:textId="77777777" w:rsidR="00A400DF" w:rsidRPr="00496130" w:rsidRDefault="00A400DF" w:rsidP="00A400DF">
      <w:r w:rsidRPr="00496130">
        <w:t xml:space="preserve">Punwong, P., R. Marchant, and K. Selby 2013a. “Holocene mangrove dynamics in Makoba Bay, Zanzibar.” </w:t>
      </w:r>
      <w:r w:rsidRPr="00496130">
        <w:rPr>
          <w:i/>
        </w:rPr>
        <w:t>Palaeogeography, Palaeoclimatology, Palaeoecology</w:t>
      </w:r>
      <w:r w:rsidRPr="00496130">
        <w:t xml:space="preserve"> 379-380: 54</w:t>
      </w:r>
      <w:r w:rsidRPr="00496130">
        <w:sym w:font="Symbol" w:char="F02D"/>
      </w:r>
      <w:r w:rsidRPr="00496130">
        <w:t>67.</w:t>
      </w:r>
    </w:p>
    <w:p w14:paraId="4E7AE49F" w14:textId="77777777" w:rsidR="00A400DF" w:rsidRPr="00496130" w:rsidRDefault="00A400DF" w:rsidP="00A400DF">
      <w:r w:rsidRPr="00496130">
        <w:lastRenderedPageBreak/>
        <w:t xml:space="preserve">Punwong, P., R. Marchant, and K. Selby. 2013b. “Holocene mangrove dynamics from Unguja Ukuu, Zanzibar.” </w:t>
      </w:r>
      <w:r w:rsidRPr="00496130">
        <w:rPr>
          <w:i/>
        </w:rPr>
        <w:t xml:space="preserve">Quaternary International </w:t>
      </w:r>
      <w:r w:rsidRPr="00496130">
        <w:t>298: 4–19.</w:t>
      </w:r>
    </w:p>
    <w:p w14:paraId="5BA18618" w14:textId="327A0862" w:rsidR="00A400DF" w:rsidRPr="00496130" w:rsidRDefault="00A400DF" w:rsidP="00A400DF">
      <w:r w:rsidRPr="00496130">
        <w:t xml:space="preserve">Reimer, P., Bard, E., Bayliss, A., Beck, J., Blackwell, P., Ramsey, C., Van der Plicht, J. 2013. “IntCal13 and Marine13 Radiocarbon Age Calibration Curves 0–50,000 Years cal BP,” </w:t>
      </w:r>
      <w:r w:rsidRPr="00496130">
        <w:rPr>
          <w:i/>
          <w:iCs/>
        </w:rPr>
        <w:t>Radiocarbon</w:t>
      </w:r>
      <w:r w:rsidRPr="00496130">
        <w:t xml:space="preserve"> 55</w:t>
      </w:r>
      <w:r w:rsidR="00F103A5" w:rsidRPr="00496130">
        <w:t xml:space="preserve"> (4)</w:t>
      </w:r>
      <w:r w:rsidRPr="00496130">
        <w:t>:</w:t>
      </w:r>
      <w:r w:rsidR="00F103A5" w:rsidRPr="00496130">
        <w:t xml:space="preserve"> </w:t>
      </w:r>
      <w:r w:rsidRPr="00496130">
        <w:t xml:space="preserve">1869-1887. </w:t>
      </w:r>
    </w:p>
    <w:p w14:paraId="5EA23ADB" w14:textId="56B60F80" w:rsidR="00A400DF" w:rsidRPr="00496130" w:rsidRDefault="001A46A1" w:rsidP="00A400DF">
      <w:r w:rsidRPr="00496130">
        <w:t xml:space="preserve">Sinclair, P.J.J., J.M.F. Morais, L. Adamowicz, and R.T. Duarte </w:t>
      </w:r>
      <w:r w:rsidR="00A400DF" w:rsidRPr="00496130">
        <w:t xml:space="preserve">1993. “A perspective on archaeological research in Mozambique.” In </w:t>
      </w:r>
      <w:r w:rsidR="00A400DF" w:rsidRPr="00496130">
        <w:rPr>
          <w:i/>
          <w:iCs/>
        </w:rPr>
        <w:t xml:space="preserve">The Archaeology of Africa: food, metals, and towns, </w:t>
      </w:r>
      <w:r w:rsidR="00A400DF" w:rsidRPr="00496130">
        <w:rPr>
          <w:iCs/>
        </w:rPr>
        <w:t xml:space="preserve">edited by </w:t>
      </w:r>
      <w:r w:rsidR="00A400DF" w:rsidRPr="00496130">
        <w:t>T. Shaw, P. Sinclair, B. Andah and A. Okpoko, 409-443</w:t>
      </w:r>
      <w:r w:rsidR="00A400DF" w:rsidRPr="00496130">
        <w:rPr>
          <w:i/>
          <w:iCs/>
        </w:rPr>
        <w:t xml:space="preserve">. </w:t>
      </w:r>
      <w:r w:rsidR="00A400DF" w:rsidRPr="00496130">
        <w:t>London: Routledge.</w:t>
      </w:r>
    </w:p>
    <w:p w14:paraId="10B8D23B" w14:textId="77777777" w:rsidR="00A400DF" w:rsidRPr="00496130" w:rsidRDefault="00A400DF" w:rsidP="00A400DF">
      <w:r w:rsidRPr="00496130">
        <w:t xml:space="preserve">Sinclair, P. J. J. and S. Wandibba 1988. </w:t>
      </w:r>
      <w:r w:rsidRPr="00496130">
        <w:rPr>
          <w:i/>
        </w:rPr>
        <w:t>Urban origins in Eastern Africa: project proposals and workshop summaries</w:t>
      </w:r>
      <w:r w:rsidRPr="00496130">
        <w:t>. Stockholm: Central Board of Antiquities.</w:t>
      </w:r>
    </w:p>
    <w:p w14:paraId="1D65DFC7" w14:textId="77777777" w:rsidR="00A400DF" w:rsidRPr="00496130" w:rsidRDefault="00A400DF" w:rsidP="00A400DF">
      <w:r w:rsidRPr="00496130">
        <w:t xml:space="preserve">Stoops, G. 2003. </w:t>
      </w:r>
      <w:r w:rsidRPr="00496130">
        <w:rPr>
          <w:i/>
          <w:iCs/>
        </w:rPr>
        <w:t>Guidelines for analysis and description of soil and regolith thin sections</w:t>
      </w:r>
      <w:r w:rsidRPr="00496130">
        <w:t>. Madison, WI: Soil Science Society of America.</w:t>
      </w:r>
    </w:p>
    <w:p w14:paraId="68468D90" w14:textId="77777777" w:rsidR="00A400DF" w:rsidRPr="00496130" w:rsidRDefault="00A400DF" w:rsidP="00A400DF">
      <w:r w:rsidRPr="00496130">
        <w:t>Stoops, G., V. Marcelino and F. Mees (</w:t>
      </w:r>
      <w:proofErr w:type="gramStart"/>
      <w:r w:rsidRPr="00496130">
        <w:t>eds</w:t>
      </w:r>
      <w:proofErr w:type="gramEnd"/>
      <w:r w:rsidRPr="00496130">
        <w:t xml:space="preserve">.). 2010. </w:t>
      </w:r>
      <w:r w:rsidRPr="00496130">
        <w:rPr>
          <w:i/>
          <w:iCs/>
        </w:rPr>
        <w:t>Interpretation of Micromorphological Features of Soils and Regoliths</w:t>
      </w:r>
      <w:r w:rsidRPr="00496130">
        <w:t>. Amsterdam: Elsevier</w:t>
      </w:r>
    </w:p>
    <w:p w14:paraId="75B1B6F5" w14:textId="77777777" w:rsidR="00A400DF" w:rsidRPr="00496130" w:rsidRDefault="00A400DF" w:rsidP="00A400DF">
      <w:r w:rsidRPr="00496130">
        <w:t xml:space="preserve">Sulas, F., J. Fleisher and S. Wynne-Jones. 2017. “Geoarchaeology of urban space in tropical island environments: Songo Mnara, Tanzania.” </w:t>
      </w:r>
      <w:r w:rsidRPr="00496130">
        <w:rPr>
          <w:i/>
        </w:rPr>
        <w:t>Journal of Archaeological Science</w:t>
      </w:r>
      <w:r w:rsidRPr="00496130">
        <w:t xml:space="preserve"> 77: 52–63.</w:t>
      </w:r>
    </w:p>
    <w:p w14:paraId="3DC4D98D" w14:textId="77777777" w:rsidR="00A400DF" w:rsidRPr="00496130" w:rsidRDefault="00A400DF" w:rsidP="00A400DF">
      <w:r w:rsidRPr="00496130">
        <w:t xml:space="preserve">Sulas, F. and S. Wynne-Jones, 2018. “Defining space in house contexts: Chemical mapping at Unguja Ukuu, Zanzibar.” In: </w:t>
      </w:r>
      <w:r w:rsidRPr="00496130">
        <w:rPr>
          <w:i/>
        </w:rPr>
        <w:t>Urban Network Evolutions: Towards and High-Definition Archaeology</w:t>
      </w:r>
      <w:r w:rsidRPr="00496130">
        <w:rPr>
          <w:iCs/>
        </w:rPr>
        <w:t>, edited by</w:t>
      </w:r>
      <w:r w:rsidRPr="00496130">
        <w:t xml:space="preserve"> R. Raja and S. Sindbæk, 263–270</w:t>
      </w:r>
      <w:r w:rsidRPr="00496130">
        <w:rPr>
          <w:i/>
        </w:rPr>
        <w:t xml:space="preserve">. </w:t>
      </w:r>
      <w:r w:rsidRPr="00496130">
        <w:t>Aarhus: Aarhus University Press.</w:t>
      </w:r>
    </w:p>
    <w:p w14:paraId="43DADC80" w14:textId="77777777" w:rsidR="00A400DF" w:rsidRPr="00496130" w:rsidRDefault="00A400DF" w:rsidP="00A400DF">
      <w:r w:rsidRPr="00496130">
        <w:t xml:space="preserve">Sulas, F., S. M.  Kristiansen and S. Wynne-Jones. 2019. “Soil geochemistry, phytoliths and artefacts from an early Swahili daub house, Unguja Ukuu, Zanzibar.” </w:t>
      </w:r>
      <w:r w:rsidRPr="00496130">
        <w:rPr>
          <w:i/>
        </w:rPr>
        <w:t>Journal of Archaeological Science</w:t>
      </w:r>
      <w:r w:rsidRPr="00496130">
        <w:t xml:space="preserve"> 103: 32–45.</w:t>
      </w:r>
    </w:p>
    <w:p w14:paraId="3E49F204" w14:textId="59187AF7" w:rsidR="00A400DF" w:rsidRPr="00496130" w:rsidRDefault="00A400DF" w:rsidP="00A400DF">
      <w:r w:rsidRPr="00496130">
        <w:lastRenderedPageBreak/>
        <w:t>Walshaw, S. C. 2005. “Swahili urbanization, trade and food production: Botanical perspectives from Pemba Island, Tanzania, AD700–1500.” Ph</w:t>
      </w:r>
      <w:r w:rsidR="00EA5F5E" w:rsidRPr="00496130">
        <w:t>.</w:t>
      </w:r>
      <w:r w:rsidRPr="00496130">
        <w:t>D</w:t>
      </w:r>
      <w:r w:rsidR="00EA5F5E" w:rsidRPr="00496130">
        <w:t>.</w:t>
      </w:r>
      <w:r w:rsidRPr="00496130">
        <w:t xml:space="preserve"> diss</w:t>
      </w:r>
      <w:r w:rsidR="00EA5F5E" w:rsidRPr="00496130">
        <w:t xml:space="preserve">., </w:t>
      </w:r>
      <w:r w:rsidRPr="00496130">
        <w:t>Washington University.</w:t>
      </w:r>
    </w:p>
    <w:p w14:paraId="35D6634A" w14:textId="1B324E71" w:rsidR="00A400DF" w:rsidRPr="00496130" w:rsidRDefault="00A400DF" w:rsidP="00A400DF">
      <w:r w:rsidRPr="00496130">
        <w:t xml:space="preserve">Walshaw, S. C. 2010. “Converting to Rice: Urbanization, Islamization and Crops on Pemba Island, Tanzania AD 700–1500.” </w:t>
      </w:r>
      <w:r w:rsidRPr="00496130">
        <w:rPr>
          <w:i/>
        </w:rPr>
        <w:t>World Archaeology</w:t>
      </w:r>
      <w:r w:rsidRPr="00496130">
        <w:t xml:space="preserve"> 42</w:t>
      </w:r>
      <w:r w:rsidR="00EA5F5E" w:rsidRPr="00496130">
        <w:t xml:space="preserve"> </w:t>
      </w:r>
      <w:r w:rsidRPr="00496130">
        <w:t>(1): 137–153.</w:t>
      </w:r>
    </w:p>
    <w:p w14:paraId="7CABCD92" w14:textId="6F794D10" w:rsidR="00A400DF" w:rsidRPr="00496130" w:rsidRDefault="00A400DF" w:rsidP="00A400DF">
      <w:r w:rsidRPr="00496130">
        <w:t xml:space="preserve">Wheeler, E. A. 2011. “InsideWood - a web resource for hardwood anatomy.” </w:t>
      </w:r>
      <w:r w:rsidRPr="00496130">
        <w:rPr>
          <w:i/>
        </w:rPr>
        <w:t>IAWA Journal</w:t>
      </w:r>
      <w:r w:rsidR="00EA5F5E" w:rsidRPr="00496130">
        <w:t xml:space="preserve"> 32 (2):</w:t>
      </w:r>
      <w:r w:rsidRPr="00496130">
        <w:t xml:space="preserve"> s. 199–211.</w:t>
      </w:r>
    </w:p>
    <w:p w14:paraId="65FA4303" w14:textId="77777777" w:rsidR="00A400DF" w:rsidRPr="00496130" w:rsidRDefault="00A400DF" w:rsidP="00A400DF">
      <w:r w:rsidRPr="00496130">
        <w:t xml:space="preserve">Wood, M. 2011. </w:t>
      </w:r>
      <w:r w:rsidRPr="00496130">
        <w:rPr>
          <w:i/>
          <w:iCs/>
        </w:rPr>
        <w:t xml:space="preserve">Interconnections. Glass beads and trade in southern and eastern Africa and the Indian Ocean. </w:t>
      </w:r>
      <w:r w:rsidRPr="00496130">
        <w:t>Uppsala: Uppsala University.</w:t>
      </w:r>
    </w:p>
    <w:p w14:paraId="4CE9B65C" w14:textId="77777777" w:rsidR="00A400DF" w:rsidRPr="00496130" w:rsidRDefault="00A400DF" w:rsidP="00A400DF">
      <w:r w:rsidRPr="00496130">
        <w:t xml:space="preserve">Wood, M. 2018. “Glass beads and Indian Ocean trade.” In </w:t>
      </w:r>
      <w:r w:rsidRPr="00496130">
        <w:rPr>
          <w:i/>
        </w:rPr>
        <w:t>The Swahili World</w:t>
      </w:r>
      <w:r w:rsidRPr="00496130">
        <w:rPr>
          <w:iCs/>
        </w:rPr>
        <w:t>, edited by S. Wynne-Jones and A. LaViolette, 458–471</w:t>
      </w:r>
      <w:r w:rsidRPr="00496130">
        <w:rPr>
          <w:i/>
        </w:rPr>
        <w:t xml:space="preserve">. </w:t>
      </w:r>
      <w:r w:rsidRPr="00496130">
        <w:t>London: Routledge.</w:t>
      </w:r>
    </w:p>
    <w:p w14:paraId="3D05D352" w14:textId="77777777" w:rsidR="00A400DF" w:rsidRPr="00496130" w:rsidRDefault="00A400DF" w:rsidP="00A400DF">
      <w:r w:rsidRPr="00496130">
        <w:t xml:space="preserve">Wood, M., S. Panighello, E. F. Orsega, P. Robertshaw, J. T. van Elteren, A. Crowther, M. C. Horton, and N. Boivin. 2016. “Zanzibar and Indian Ocean trade in the first millennium CE: the glass bead evidence.” </w:t>
      </w:r>
      <w:r w:rsidRPr="00496130">
        <w:rPr>
          <w:i/>
        </w:rPr>
        <w:t>Archaeological and Anthropological Science</w:t>
      </w:r>
      <w:r w:rsidRPr="00496130">
        <w:t xml:space="preserve"> 9 (5): 871–901.</w:t>
      </w:r>
    </w:p>
    <w:p w14:paraId="2388B9D9" w14:textId="1B8E5ECB" w:rsidR="00A400DF" w:rsidRPr="00496130" w:rsidRDefault="00A400DF" w:rsidP="00A400DF">
      <w:r w:rsidRPr="00496130">
        <w:t>Wright, H.</w:t>
      </w:r>
      <w:r w:rsidR="00EA5F5E" w:rsidRPr="00496130">
        <w:t xml:space="preserve"> </w:t>
      </w:r>
      <w:r w:rsidRPr="00496130">
        <w:t xml:space="preserve">T. 1993. “Trade and Politics on the Eastern Littoral of Africa, A.D.800-1300.” In </w:t>
      </w:r>
      <w:r w:rsidRPr="00496130">
        <w:rPr>
          <w:i/>
          <w:iCs/>
        </w:rPr>
        <w:t xml:space="preserve">The Archaeology of Africa: Food, Metals and Towns, </w:t>
      </w:r>
      <w:r w:rsidRPr="00496130">
        <w:rPr>
          <w:iCs/>
        </w:rPr>
        <w:t xml:space="preserve">edited by </w:t>
      </w:r>
      <w:r w:rsidRPr="00496130">
        <w:t>T. Shaw, P. Sinclair, B. Andah, and A. Okpoko, 658-672</w:t>
      </w:r>
      <w:r w:rsidRPr="00496130">
        <w:rPr>
          <w:i/>
          <w:iCs/>
        </w:rPr>
        <w:t xml:space="preserve">. </w:t>
      </w:r>
      <w:r w:rsidRPr="00496130">
        <w:t>London: Routledge.</w:t>
      </w:r>
    </w:p>
    <w:p w14:paraId="4F4E7121" w14:textId="41EBDD58" w:rsidR="00A400DF" w:rsidRPr="00496130" w:rsidRDefault="00A400DF" w:rsidP="00A400DF">
      <w:r w:rsidRPr="00496130">
        <w:t xml:space="preserve">Wright, D. K. 2017. “Accuracy vs. Precision: Understanding Potential Errors from Radiocarbon Dating on African Landscapes.” </w:t>
      </w:r>
      <w:r w:rsidRPr="00496130">
        <w:rPr>
          <w:i/>
        </w:rPr>
        <w:t>African Archaeological Review</w:t>
      </w:r>
      <w:r w:rsidRPr="00496130">
        <w:t xml:space="preserve"> 34</w:t>
      </w:r>
      <w:r w:rsidR="00EA5F5E" w:rsidRPr="00496130">
        <w:t>:</w:t>
      </w:r>
      <w:r w:rsidRPr="00496130">
        <w:t xml:space="preserve"> 303–319.</w:t>
      </w:r>
    </w:p>
    <w:p w14:paraId="0F56DAC7" w14:textId="77777777" w:rsidR="00A400DF" w:rsidRPr="00496130" w:rsidRDefault="00A400DF" w:rsidP="00A400DF">
      <w:r w:rsidRPr="00496130">
        <w:t xml:space="preserve">Wynne-Jones, S. and J. Fleisher. 2010. “Archaeological Investigations at Songo Mnara, Tanzania, 2009.” </w:t>
      </w:r>
      <w:r w:rsidRPr="00496130">
        <w:rPr>
          <w:i/>
        </w:rPr>
        <w:t>Nyame Akuma</w:t>
      </w:r>
      <w:r w:rsidRPr="00496130">
        <w:t xml:space="preserve"> 73: 2–8.</w:t>
      </w:r>
    </w:p>
    <w:p w14:paraId="1213CB54" w14:textId="77777777" w:rsidR="00A400DF" w:rsidRPr="00496130" w:rsidRDefault="00A400DF" w:rsidP="00A400DF">
      <w:r w:rsidRPr="00496130">
        <w:t>Wynne-Jones, S. and J. Fleisher. 2011. “Archaeological Investigations at Songo Mnara, Tanzania, 2011.”</w:t>
      </w:r>
      <w:r w:rsidRPr="00496130">
        <w:rPr>
          <w:i/>
        </w:rPr>
        <w:t xml:space="preserve"> Nyame Akuma</w:t>
      </w:r>
      <w:r w:rsidRPr="00496130">
        <w:t xml:space="preserve"> 76: 3–8</w:t>
      </w:r>
    </w:p>
    <w:p w14:paraId="1C6C107D" w14:textId="77777777" w:rsidR="00A400DF" w:rsidRPr="00496130" w:rsidRDefault="00A400DF" w:rsidP="00A400DF">
      <w:r w:rsidRPr="00496130">
        <w:lastRenderedPageBreak/>
        <w:t>Wynne-Jones, S. and A. LaViolette (</w:t>
      </w:r>
      <w:proofErr w:type="gramStart"/>
      <w:r w:rsidRPr="00496130">
        <w:t>eds</w:t>
      </w:r>
      <w:proofErr w:type="gramEnd"/>
      <w:r w:rsidRPr="00496130">
        <w:t xml:space="preserve">.). 2018. </w:t>
      </w:r>
      <w:r w:rsidRPr="00496130">
        <w:rPr>
          <w:i/>
        </w:rPr>
        <w:t xml:space="preserve">The Swahili World. </w:t>
      </w:r>
      <w:r w:rsidRPr="00496130">
        <w:t>London: Routledge.</w:t>
      </w:r>
    </w:p>
    <w:p w14:paraId="78C13D02" w14:textId="51BCD8D6" w:rsidR="00A400DF" w:rsidRPr="00496130" w:rsidRDefault="00A400DF" w:rsidP="00A400DF">
      <w:pPr>
        <w:rPr>
          <w:rStyle w:val="Hyperlink"/>
        </w:rPr>
      </w:pPr>
      <w:r w:rsidRPr="00496130">
        <w:t xml:space="preserve">Wynne-Jones, S. and F. Sulas. 2017. </w:t>
      </w:r>
      <w:r w:rsidRPr="00496130">
        <w:rPr>
          <w:i/>
          <w:iCs/>
        </w:rPr>
        <w:t xml:space="preserve">Archaeological Fieldwork at Unguja Ukuu, Zanzibar, July 2017: Interim Report. </w:t>
      </w:r>
      <w:r w:rsidRPr="00496130">
        <w:t>Aarhus: Aarhus University</w:t>
      </w:r>
      <w:proofErr w:type="gramStart"/>
      <w:r w:rsidRPr="00496130">
        <w:t xml:space="preserve">,  </w:t>
      </w:r>
      <w:proofErr w:type="gramEnd"/>
      <w:r w:rsidR="00625C1C" w:rsidRPr="00496130">
        <w:fldChar w:fldCharType="begin"/>
      </w:r>
      <w:r w:rsidR="00625C1C" w:rsidRPr="00496130">
        <w:instrText xml:space="preserve"> HYPERLINK "http://ebooks.au.dk/index.php/aul/catalog/book/276" </w:instrText>
      </w:r>
      <w:r w:rsidR="00625C1C" w:rsidRPr="00496130">
        <w:fldChar w:fldCharType="separate"/>
      </w:r>
      <w:r w:rsidRPr="00496130">
        <w:rPr>
          <w:rStyle w:val="Hyperlink"/>
        </w:rPr>
        <w:t>http://ebooks.au.dk/index.php/aul/catalog/book/276</w:t>
      </w:r>
      <w:r w:rsidR="00625C1C" w:rsidRPr="00496130">
        <w:rPr>
          <w:rStyle w:val="Hyperlink"/>
        </w:rPr>
        <w:fldChar w:fldCharType="end"/>
      </w:r>
    </w:p>
    <w:p w14:paraId="54D75CB0" w14:textId="77777777" w:rsidR="00A400DF" w:rsidRPr="00496130" w:rsidRDefault="00A400DF">
      <w:pPr>
        <w:tabs>
          <w:tab w:val="clear" w:pos="284"/>
        </w:tabs>
        <w:spacing w:after="160" w:line="259" w:lineRule="auto"/>
        <w:rPr>
          <w:rStyle w:val="Hyperlink"/>
        </w:rPr>
      </w:pPr>
      <w:r w:rsidRPr="00496130">
        <w:rPr>
          <w:rStyle w:val="Hyperlink"/>
        </w:rPr>
        <w:br w:type="page"/>
      </w:r>
    </w:p>
    <w:p w14:paraId="52BAA0D9" w14:textId="77777777" w:rsidR="00E43D3E" w:rsidRPr="00496130" w:rsidRDefault="00E43D3E" w:rsidP="00E17E0B">
      <w:pPr>
        <w:pStyle w:val="Heading2"/>
        <w:sectPr w:rsidR="00E43D3E" w:rsidRPr="00496130" w:rsidSect="00E43D3E">
          <w:pgSz w:w="11906" w:h="16838"/>
          <w:pgMar w:top="1440" w:right="1440" w:bottom="1440" w:left="1440" w:header="708" w:footer="708" w:gutter="0"/>
          <w:cols w:space="708"/>
          <w:docGrid w:linePitch="360"/>
        </w:sectPr>
      </w:pPr>
    </w:p>
    <w:p w14:paraId="66792CE9" w14:textId="230F656B" w:rsidR="00A400DF" w:rsidRPr="00496130" w:rsidRDefault="00E17E0B" w:rsidP="00E17E0B">
      <w:pPr>
        <w:pStyle w:val="Heading2"/>
      </w:pPr>
      <w:r w:rsidRPr="00496130">
        <w:lastRenderedPageBreak/>
        <w:t>Tables</w:t>
      </w:r>
    </w:p>
    <w:p w14:paraId="20B27D89" w14:textId="576DCDF1" w:rsidR="00E43D3E" w:rsidRPr="00496130" w:rsidRDefault="00E43D3E" w:rsidP="00B5118F">
      <w:r w:rsidRPr="00496130">
        <w:rPr>
          <w:b/>
        </w:rPr>
        <w:t xml:space="preserve">Table 1: </w:t>
      </w:r>
      <w:r w:rsidR="00B5118F" w:rsidRPr="00496130">
        <w:rPr>
          <w:b/>
        </w:rPr>
        <w:t>Unguja Ukuu</w:t>
      </w:r>
      <w:r w:rsidRPr="00496130">
        <w:rPr>
          <w:b/>
        </w:rPr>
        <w:t xml:space="preserve"> AMS results organized by phase.</w:t>
      </w:r>
      <w:r w:rsidRPr="00496130">
        <w:t xml:space="preserve"> Outlying dates on shell (discussed in the text) are shaded </w:t>
      </w:r>
      <w:r w:rsidR="00B5118F" w:rsidRPr="00496130">
        <w:t>gray. Samples marked with * were collected from sieving of deposits, others were collected at the trowel’s edge.</w:t>
      </w:r>
    </w:p>
    <w:tbl>
      <w:tblPr>
        <w:tblStyle w:val="TableGrid"/>
        <w:tblW w:w="5000" w:type="pct"/>
        <w:tblLook w:val="04A0" w:firstRow="1" w:lastRow="0" w:firstColumn="1" w:lastColumn="0" w:noHBand="0" w:noVBand="1"/>
      </w:tblPr>
      <w:tblGrid>
        <w:gridCol w:w="1010"/>
        <w:gridCol w:w="1099"/>
        <w:gridCol w:w="968"/>
        <w:gridCol w:w="819"/>
        <w:gridCol w:w="1048"/>
        <w:gridCol w:w="1879"/>
        <w:gridCol w:w="1083"/>
        <w:gridCol w:w="3021"/>
        <w:gridCol w:w="3021"/>
      </w:tblGrid>
      <w:tr w:rsidR="00B5118F" w:rsidRPr="00496130" w14:paraId="7C2DE1BC" w14:textId="77777777" w:rsidTr="00F068BD">
        <w:trPr>
          <w:trHeight w:val="300"/>
        </w:trPr>
        <w:tc>
          <w:tcPr>
            <w:tcW w:w="360" w:type="pct"/>
            <w:noWrap/>
            <w:hideMark/>
          </w:tcPr>
          <w:p w14:paraId="2966ACA0" w14:textId="77777777" w:rsidR="00E43D3E" w:rsidRPr="00496130" w:rsidRDefault="00E43D3E" w:rsidP="00E43D3E">
            <w:pPr>
              <w:rPr>
                <w:b/>
                <w:bCs/>
                <w:sz w:val="20"/>
                <w:szCs w:val="20"/>
              </w:rPr>
            </w:pPr>
            <w:r w:rsidRPr="00496130">
              <w:rPr>
                <w:b/>
                <w:bCs/>
                <w:sz w:val="20"/>
                <w:szCs w:val="20"/>
              </w:rPr>
              <w:t>Lab ID</w:t>
            </w:r>
          </w:p>
        </w:tc>
        <w:tc>
          <w:tcPr>
            <w:tcW w:w="400" w:type="pct"/>
            <w:noWrap/>
            <w:hideMark/>
          </w:tcPr>
          <w:p w14:paraId="62F95043" w14:textId="77777777" w:rsidR="00E43D3E" w:rsidRPr="00496130" w:rsidRDefault="00E43D3E" w:rsidP="00E43D3E">
            <w:pPr>
              <w:rPr>
                <w:b/>
                <w:bCs/>
                <w:sz w:val="20"/>
                <w:szCs w:val="20"/>
              </w:rPr>
            </w:pPr>
            <w:r w:rsidRPr="00496130">
              <w:rPr>
                <w:b/>
                <w:bCs/>
                <w:sz w:val="20"/>
                <w:szCs w:val="20"/>
              </w:rPr>
              <w:t>Name</w:t>
            </w:r>
          </w:p>
        </w:tc>
        <w:tc>
          <w:tcPr>
            <w:tcW w:w="345" w:type="pct"/>
            <w:noWrap/>
            <w:hideMark/>
          </w:tcPr>
          <w:p w14:paraId="118907E3" w14:textId="77777777" w:rsidR="00E43D3E" w:rsidRPr="00496130" w:rsidRDefault="00E43D3E" w:rsidP="00E43D3E">
            <w:pPr>
              <w:rPr>
                <w:b/>
                <w:bCs/>
                <w:sz w:val="20"/>
                <w:szCs w:val="20"/>
              </w:rPr>
            </w:pPr>
            <w:r w:rsidRPr="00496130">
              <w:rPr>
                <w:b/>
                <w:bCs/>
                <w:sz w:val="20"/>
                <w:szCs w:val="20"/>
              </w:rPr>
              <w:t>Context</w:t>
            </w:r>
          </w:p>
        </w:tc>
        <w:tc>
          <w:tcPr>
            <w:tcW w:w="317" w:type="pct"/>
            <w:hideMark/>
          </w:tcPr>
          <w:p w14:paraId="5100585F" w14:textId="77777777" w:rsidR="00E43D3E" w:rsidRPr="00496130" w:rsidRDefault="00E43D3E" w:rsidP="00E43D3E">
            <w:pPr>
              <w:rPr>
                <w:b/>
                <w:bCs/>
                <w:sz w:val="20"/>
                <w:szCs w:val="20"/>
              </w:rPr>
            </w:pPr>
            <w:r w:rsidRPr="00496130">
              <w:rPr>
                <w:b/>
                <w:bCs/>
                <w:sz w:val="20"/>
                <w:szCs w:val="20"/>
              </w:rPr>
              <w:t>Phase</w:t>
            </w:r>
          </w:p>
        </w:tc>
        <w:tc>
          <w:tcPr>
            <w:tcW w:w="374" w:type="pct"/>
            <w:hideMark/>
          </w:tcPr>
          <w:p w14:paraId="154B043D" w14:textId="77777777" w:rsidR="00E43D3E" w:rsidRPr="00496130" w:rsidRDefault="00E43D3E" w:rsidP="00E43D3E">
            <w:pPr>
              <w:rPr>
                <w:b/>
                <w:bCs/>
                <w:sz w:val="20"/>
                <w:szCs w:val="20"/>
              </w:rPr>
            </w:pPr>
            <w:r w:rsidRPr="00496130">
              <w:rPr>
                <w:b/>
                <w:bCs/>
                <w:sz w:val="20"/>
                <w:szCs w:val="20"/>
              </w:rPr>
              <w:t>Type</w:t>
            </w:r>
          </w:p>
        </w:tc>
        <w:tc>
          <w:tcPr>
            <w:tcW w:w="669" w:type="pct"/>
            <w:hideMark/>
          </w:tcPr>
          <w:p w14:paraId="79EE55D3" w14:textId="77777777" w:rsidR="00E43D3E" w:rsidRPr="00496130" w:rsidRDefault="00E43D3E" w:rsidP="00E43D3E">
            <w:pPr>
              <w:rPr>
                <w:b/>
                <w:bCs/>
                <w:sz w:val="20"/>
                <w:szCs w:val="20"/>
              </w:rPr>
            </w:pPr>
            <w:r w:rsidRPr="00496130">
              <w:rPr>
                <w:b/>
                <w:bCs/>
                <w:sz w:val="20"/>
                <w:szCs w:val="20"/>
              </w:rPr>
              <w:t>Material</w:t>
            </w:r>
          </w:p>
        </w:tc>
        <w:tc>
          <w:tcPr>
            <w:tcW w:w="386" w:type="pct"/>
            <w:noWrap/>
            <w:hideMark/>
          </w:tcPr>
          <w:p w14:paraId="475F6C4C" w14:textId="6EBA761F" w:rsidR="00E43D3E" w:rsidRPr="00496130" w:rsidRDefault="00E43D3E" w:rsidP="00B5118F">
            <w:pPr>
              <w:rPr>
                <w:b/>
                <w:bCs/>
                <w:sz w:val="20"/>
                <w:szCs w:val="20"/>
              </w:rPr>
            </w:pPr>
            <w:r w:rsidRPr="00496130">
              <w:rPr>
                <w:b/>
                <w:bCs/>
                <w:sz w:val="20"/>
                <w:szCs w:val="20"/>
                <w:vertAlign w:val="superscript"/>
              </w:rPr>
              <w:t>14</w:t>
            </w:r>
            <w:r w:rsidRPr="00496130">
              <w:rPr>
                <w:b/>
                <w:bCs/>
                <w:sz w:val="20"/>
                <w:szCs w:val="20"/>
              </w:rPr>
              <w:t xml:space="preserve">C </w:t>
            </w:r>
            <w:r w:rsidR="00B5118F" w:rsidRPr="00496130">
              <w:rPr>
                <w:b/>
                <w:bCs/>
                <w:sz w:val="20"/>
                <w:szCs w:val="20"/>
              </w:rPr>
              <w:t xml:space="preserve">years </w:t>
            </w:r>
            <w:r w:rsidR="00B5118F" w:rsidRPr="00496130">
              <w:rPr>
                <w:b/>
                <w:bCs/>
                <w:smallCaps/>
                <w:sz w:val="20"/>
                <w:szCs w:val="20"/>
              </w:rPr>
              <w:t>b.p.</w:t>
            </w:r>
          </w:p>
        </w:tc>
        <w:tc>
          <w:tcPr>
            <w:tcW w:w="1075" w:type="pct"/>
            <w:noWrap/>
            <w:hideMark/>
          </w:tcPr>
          <w:p w14:paraId="32CA8823" w14:textId="23BA99C5" w:rsidR="00E43D3E" w:rsidRPr="00496130" w:rsidRDefault="00E43D3E" w:rsidP="00B5118F">
            <w:pPr>
              <w:rPr>
                <w:b/>
                <w:bCs/>
                <w:sz w:val="20"/>
                <w:szCs w:val="20"/>
              </w:rPr>
            </w:pPr>
            <w:r w:rsidRPr="00496130">
              <w:rPr>
                <w:b/>
                <w:bCs/>
                <w:sz w:val="20"/>
                <w:szCs w:val="20"/>
              </w:rPr>
              <w:t>Calibrated age</w:t>
            </w:r>
            <w:r w:rsidR="00B5118F" w:rsidRPr="00496130">
              <w:rPr>
                <w:b/>
                <w:bCs/>
                <w:sz w:val="20"/>
                <w:szCs w:val="20"/>
              </w:rPr>
              <w:t xml:space="preserve"> (68.2% confidence interval)</w:t>
            </w:r>
          </w:p>
        </w:tc>
        <w:tc>
          <w:tcPr>
            <w:tcW w:w="1075" w:type="pct"/>
            <w:noWrap/>
            <w:hideMark/>
          </w:tcPr>
          <w:p w14:paraId="1ED5691B" w14:textId="7ADF5948" w:rsidR="00E43D3E" w:rsidRPr="00496130" w:rsidRDefault="00E43D3E" w:rsidP="00E43D3E">
            <w:pPr>
              <w:rPr>
                <w:b/>
                <w:bCs/>
                <w:sz w:val="20"/>
                <w:szCs w:val="20"/>
              </w:rPr>
            </w:pPr>
            <w:r w:rsidRPr="00496130">
              <w:rPr>
                <w:b/>
                <w:bCs/>
                <w:sz w:val="20"/>
                <w:szCs w:val="20"/>
              </w:rPr>
              <w:t>Calibrated age</w:t>
            </w:r>
            <w:r w:rsidR="00B5118F" w:rsidRPr="00496130">
              <w:rPr>
                <w:b/>
                <w:bCs/>
                <w:sz w:val="20"/>
                <w:szCs w:val="20"/>
              </w:rPr>
              <w:t xml:space="preserve"> (95.4% confidence interval)</w:t>
            </w:r>
          </w:p>
        </w:tc>
      </w:tr>
      <w:tr w:rsidR="00B5118F" w:rsidRPr="00496130" w14:paraId="641FDDDD" w14:textId="77777777" w:rsidTr="00F068BD">
        <w:trPr>
          <w:trHeight w:val="300"/>
        </w:trPr>
        <w:tc>
          <w:tcPr>
            <w:tcW w:w="360" w:type="pct"/>
            <w:hideMark/>
          </w:tcPr>
          <w:p w14:paraId="0739DA98" w14:textId="74C2866F" w:rsidR="00B5118F" w:rsidRPr="00496130" w:rsidRDefault="00B5118F">
            <w:pPr>
              <w:rPr>
                <w:b/>
                <w:bCs/>
                <w:sz w:val="18"/>
                <w:szCs w:val="18"/>
              </w:rPr>
            </w:pPr>
            <w:r w:rsidRPr="00496130">
              <w:rPr>
                <w:sz w:val="18"/>
                <w:szCs w:val="18"/>
              </w:rPr>
              <w:t>AAR-28406</w:t>
            </w:r>
          </w:p>
        </w:tc>
        <w:tc>
          <w:tcPr>
            <w:tcW w:w="400" w:type="pct"/>
            <w:noWrap/>
            <w:hideMark/>
          </w:tcPr>
          <w:p w14:paraId="51839EE8" w14:textId="558915CE" w:rsidR="00B5118F" w:rsidRPr="00496130" w:rsidRDefault="00B5118F" w:rsidP="00E43D3E">
            <w:pPr>
              <w:rPr>
                <w:b/>
                <w:bCs/>
                <w:sz w:val="18"/>
                <w:szCs w:val="18"/>
              </w:rPr>
            </w:pPr>
            <w:r w:rsidRPr="00496130">
              <w:rPr>
                <w:sz w:val="18"/>
                <w:szCs w:val="18"/>
              </w:rPr>
              <w:t>ZNZ17-C21</w:t>
            </w:r>
          </w:p>
        </w:tc>
        <w:tc>
          <w:tcPr>
            <w:tcW w:w="345" w:type="pct"/>
            <w:noWrap/>
            <w:hideMark/>
          </w:tcPr>
          <w:p w14:paraId="41741222" w14:textId="002A6BA3" w:rsidR="00B5118F" w:rsidRPr="00496130" w:rsidRDefault="00B5118F" w:rsidP="00E43D3E">
            <w:pPr>
              <w:rPr>
                <w:b/>
                <w:bCs/>
                <w:sz w:val="18"/>
                <w:szCs w:val="18"/>
              </w:rPr>
            </w:pPr>
            <w:r w:rsidRPr="00496130">
              <w:rPr>
                <w:sz w:val="18"/>
                <w:szCs w:val="18"/>
              </w:rPr>
              <w:t>2001</w:t>
            </w:r>
          </w:p>
        </w:tc>
        <w:tc>
          <w:tcPr>
            <w:tcW w:w="317" w:type="pct"/>
            <w:hideMark/>
          </w:tcPr>
          <w:p w14:paraId="1CE872C1" w14:textId="3E72405A" w:rsidR="00B5118F" w:rsidRPr="00496130" w:rsidRDefault="00B5118F" w:rsidP="00E43D3E">
            <w:pPr>
              <w:rPr>
                <w:b/>
                <w:bCs/>
                <w:sz w:val="18"/>
                <w:szCs w:val="18"/>
              </w:rPr>
            </w:pPr>
            <w:r w:rsidRPr="00496130">
              <w:rPr>
                <w:sz w:val="18"/>
                <w:szCs w:val="18"/>
              </w:rPr>
              <w:t>Mixed Topsoils</w:t>
            </w:r>
          </w:p>
        </w:tc>
        <w:tc>
          <w:tcPr>
            <w:tcW w:w="374" w:type="pct"/>
            <w:hideMark/>
          </w:tcPr>
          <w:p w14:paraId="1C8705C5" w14:textId="7A06BE7F" w:rsidR="00B5118F" w:rsidRPr="00496130" w:rsidRDefault="00B5118F" w:rsidP="00E43D3E">
            <w:pPr>
              <w:rPr>
                <w:b/>
                <w:bCs/>
                <w:sz w:val="18"/>
                <w:szCs w:val="18"/>
              </w:rPr>
            </w:pPr>
            <w:r w:rsidRPr="00496130">
              <w:rPr>
                <w:sz w:val="18"/>
                <w:szCs w:val="18"/>
              </w:rPr>
              <w:t>topsoil</w:t>
            </w:r>
          </w:p>
        </w:tc>
        <w:tc>
          <w:tcPr>
            <w:tcW w:w="669" w:type="pct"/>
            <w:hideMark/>
          </w:tcPr>
          <w:p w14:paraId="02F51E21" w14:textId="3F36971E" w:rsidR="00B5118F" w:rsidRPr="00496130" w:rsidRDefault="00B5118F" w:rsidP="00E43D3E">
            <w:pPr>
              <w:rPr>
                <w:b/>
                <w:bCs/>
                <w:sz w:val="18"/>
                <w:szCs w:val="18"/>
              </w:rPr>
            </w:pPr>
            <w:r w:rsidRPr="00496130">
              <w:rPr>
                <w:sz w:val="18"/>
                <w:szCs w:val="18"/>
              </w:rPr>
              <w:t>charcoal (type C)</w:t>
            </w:r>
          </w:p>
        </w:tc>
        <w:tc>
          <w:tcPr>
            <w:tcW w:w="386" w:type="pct"/>
            <w:noWrap/>
            <w:hideMark/>
          </w:tcPr>
          <w:p w14:paraId="10917703" w14:textId="193749DB" w:rsidR="00B5118F" w:rsidRPr="00496130" w:rsidRDefault="00B5118F" w:rsidP="00E43D3E">
            <w:pPr>
              <w:rPr>
                <w:b/>
                <w:bCs/>
                <w:sz w:val="18"/>
                <w:szCs w:val="18"/>
              </w:rPr>
            </w:pPr>
            <w:r w:rsidRPr="00496130">
              <w:rPr>
                <w:sz w:val="18"/>
                <w:szCs w:val="18"/>
              </w:rPr>
              <w:t>1 ±0</w:t>
            </w:r>
          </w:p>
        </w:tc>
        <w:tc>
          <w:tcPr>
            <w:tcW w:w="1075" w:type="pct"/>
            <w:noWrap/>
            <w:hideMark/>
          </w:tcPr>
          <w:p w14:paraId="1DDED773" w14:textId="77777777" w:rsidR="00B5118F" w:rsidRPr="00496130" w:rsidRDefault="00B5118F" w:rsidP="00B5118F">
            <w:pPr>
              <w:rPr>
                <w:sz w:val="18"/>
                <w:szCs w:val="18"/>
              </w:rPr>
            </w:pPr>
            <w:r w:rsidRPr="00496130">
              <w:rPr>
                <w:smallCaps/>
                <w:sz w:val="18"/>
                <w:szCs w:val="18"/>
              </w:rPr>
              <w:t>a.d.</w:t>
            </w:r>
            <w:r w:rsidRPr="00496130">
              <w:rPr>
                <w:sz w:val="18"/>
                <w:szCs w:val="18"/>
              </w:rPr>
              <w:t xml:space="preserve"> 1962 – 1963 [34.6%]</w:t>
            </w:r>
          </w:p>
          <w:p w14:paraId="378F6936" w14:textId="08FC17E5" w:rsidR="00B5118F" w:rsidRPr="00496130" w:rsidRDefault="00B5118F" w:rsidP="00B5118F">
            <w:pPr>
              <w:rPr>
                <w:b/>
                <w:bCs/>
                <w:sz w:val="18"/>
                <w:szCs w:val="18"/>
              </w:rPr>
            </w:pPr>
            <w:r w:rsidRPr="00496130">
              <w:rPr>
                <w:smallCaps/>
                <w:sz w:val="18"/>
                <w:szCs w:val="18"/>
              </w:rPr>
              <w:t>a.d.</w:t>
            </w:r>
            <w:r w:rsidRPr="00496130">
              <w:rPr>
                <w:sz w:val="18"/>
                <w:szCs w:val="18"/>
              </w:rPr>
              <w:t xml:space="preserve"> 1980 – 1981 [33.6%]</w:t>
            </w:r>
          </w:p>
        </w:tc>
        <w:tc>
          <w:tcPr>
            <w:tcW w:w="1075" w:type="pct"/>
            <w:noWrap/>
            <w:hideMark/>
          </w:tcPr>
          <w:p w14:paraId="1531F1ED" w14:textId="77777777" w:rsidR="00B5118F" w:rsidRPr="00496130" w:rsidRDefault="00B5118F" w:rsidP="00B5118F">
            <w:pPr>
              <w:rPr>
                <w:sz w:val="18"/>
                <w:szCs w:val="18"/>
              </w:rPr>
            </w:pPr>
            <w:r w:rsidRPr="00496130">
              <w:rPr>
                <w:smallCaps/>
                <w:sz w:val="18"/>
                <w:szCs w:val="18"/>
              </w:rPr>
              <w:t>a.d.</w:t>
            </w:r>
            <w:r w:rsidRPr="00496130">
              <w:rPr>
                <w:sz w:val="18"/>
                <w:szCs w:val="18"/>
              </w:rPr>
              <w:t xml:space="preserve"> 1962 – 1963 [44.6%]</w:t>
            </w:r>
          </w:p>
          <w:p w14:paraId="13C4132A" w14:textId="381AC027" w:rsidR="00B5118F" w:rsidRPr="00496130" w:rsidRDefault="00B5118F" w:rsidP="00B5118F">
            <w:pPr>
              <w:rPr>
                <w:b/>
                <w:bCs/>
                <w:sz w:val="18"/>
                <w:szCs w:val="18"/>
              </w:rPr>
            </w:pPr>
            <w:r w:rsidRPr="00496130">
              <w:rPr>
                <w:smallCaps/>
                <w:sz w:val="18"/>
                <w:szCs w:val="18"/>
              </w:rPr>
              <w:t>a.d.</w:t>
            </w:r>
            <w:r w:rsidRPr="00496130">
              <w:rPr>
                <w:sz w:val="18"/>
                <w:szCs w:val="18"/>
              </w:rPr>
              <w:t xml:space="preserve"> 1979 – 1981 [50.8%]</w:t>
            </w:r>
          </w:p>
        </w:tc>
      </w:tr>
      <w:tr w:rsidR="00B5118F" w:rsidRPr="00496130" w14:paraId="6C5A7760" w14:textId="77777777" w:rsidTr="00F068BD">
        <w:trPr>
          <w:trHeight w:val="300"/>
        </w:trPr>
        <w:tc>
          <w:tcPr>
            <w:tcW w:w="360" w:type="pct"/>
            <w:noWrap/>
            <w:hideMark/>
          </w:tcPr>
          <w:p w14:paraId="358F5C8D" w14:textId="36F19488" w:rsidR="00B5118F" w:rsidRPr="00496130" w:rsidRDefault="00B5118F" w:rsidP="00E43D3E">
            <w:pPr>
              <w:rPr>
                <w:sz w:val="20"/>
                <w:szCs w:val="20"/>
              </w:rPr>
            </w:pPr>
            <w:r w:rsidRPr="00496130">
              <w:rPr>
                <w:sz w:val="20"/>
                <w:szCs w:val="20"/>
              </w:rPr>
              <w:t>AAR-29061</w:t>
            </w:r>
          </w:p>
        </w:tc>
        <w:tc>
          <w:tcPr>
            <w:tcW w:w="400" w:type="pct"/>
            <w:noWrap/>
            <w:hideMark/>
          </w:tcPr>
          <w:p w14:paraId="57DE4AF6" w14:textId="1352A8A0" w:rsidR="00B5118F" w:rsidRPr="00496130" w:rsidRDefault="00B5118F" w:rsidP="00E43D3E">
            <w:pPr>
              <w:rPr>
                <w:sz w:val="20"/>
                <w:szCs w:val="20"/>
              </w:rPr>
            </w:pPr>
            <w:r w:rsidRPr="00496130">
              <w:rPr>
                <w:sz w:val="20"/>
                <w:szCs w:val="20"/>
              </w:rPr>
              <w:t>ZNZ17-C23</w:t>
            </w:r>
          </w:p>
        </w:tc>
        <w:tc>
          <w:tcPr>
            <w:tcW w:w="345" w:type="pct"/>
            <w:noWrap/>
            <w:hideMark/>
          </w:tcPr>
          <w:p w14:paraId="05EEB2FC" w14:textId="75BEC7D6" w:rsidR="00B5118F" w:rsidRPr="00496130" w:rsidRDefault="00B5118F" w:rsidP="00E43D3E">
            <w:pPr>
              <w:rPr>
                <w:sz w:val="20"/>
                <w:szCs w:val="20"/>
              </w:rPr>
            </w:pPr>
            <w:r w:rsidRPr="00496130">
              <w:rPr>
                <w:sz w:val="20"/>
                <w:szCs w:val="20"/>
              </w:rPr>
              <w:t>2003</w:t>
            </w:r>
          </w:p>
        </w:tc>
        <w:tc>
          <w:tcPr>
            <w:tcW w:w="317" w:type="pct"/>
            <w:hideMark/>
          </w:tcPr>
          <w:p w14:paraId="31552B70" w14:textId="6C78A7F0" w:rsidR="00B5118F" w:rsidRPr="00496130" w:rsidRDefault="00B5118F" w:rsidP="00E43D3E">
            <w:pPr>
              <w:rPr>
                <w:sz w:val="20"/>
                <w:szCs w:val="20"/>
              </w:rPr>
            </w:pPr>
            <w:r w:rsidRPr="00496130">
              <w:rPr>
                <w:sz w:val="20"/>
                <w:szCs w:val="20"/>
              </w:rPr>
              <w:t>Mixed Topsoils</w:t>
            </w:r>
          </w:p>
        </w:tc>
        <w:tc>
          <w:tcPr>
            <w:tcW w:w="374" w:type="pct"/>
            <w:hideMark/>
          </w:tcPr>
          <w:p w14:paraId="2B7042E0" w14:textId="1764CA5A" w:rsidR="00B5118F" w:rsidRPr="00496130" w:rsidRDefault="00B5118F" w:rsidP="00E43D3E">
            <w:pPr>
              <w:rPr>
                <w:sz w:val="20"/>
                <w:szCs w:val="20"/>
              </w:rPr>
            </w:pPr>
            <w:r w:rsidRPr="00496130">
              <w:rPr>
                <w:sz w:val="20"/>
                <w:szCs w:val="20"/>
              </w:rPr>
              <w:t>midden</w:t>
            </w:r>
          </w:p>
        </w:tc>
        <w:tc>
          <w:tcPr>
            <w:tcW w:w="669" w:type="pct"/>
            <w:hideMark/>
          </w:tcPr>
          <w:p w14:paraId="0CC26764" w14:textId="5503E7C2" w:rsidR="00B5118F" w:rsidRPr="00496130" w:rsidRDefault="00B5118F" w:rsidP="00E43D3E">
            <w:pPr>
              <w:rPr>
                <w:sz w:val="20"/>
                <w:szCs w:val="20"/>
              </w:rPr>
            </w:pPr>
            <w:r w:rsidRPr="00496130">
              <w:rPr>
                <w:sz w:val="20"/>
                <w:szCs w:val="20"/>
              </w:rPr>
              <w:t>charcoal, CS#2003 (frg 3, type I)</w:t>
            </w:r>
          </w:p>
        </w:tc>
        <w:tc>
          <w:tcPr>
            <w:tcW w:w="386" w:type="pct"/>
            <w:noWrap/>
            <w:hideMark/>
          </w:tcPr>
          <w:p w14:paraId="19051CE8" w14:textId="3BBCA8A7" w:rsidR="00B5118F" w:rsidRPr="00496130" w:rsidRDefault="00B5118F" w:rsidP="00E43D3E">
            <w:pPr>
              <w:rPr>
                <w:sz w:val="20"/>
                <w:szCs w:val="20"/>
              </w:rPr>
            </w:pPr>
            <w:r w:rsidRPr="00496130">
              <w:rPr>
                <w:sz w:val="20"/>
                <w:szCs w:val="20"/>
              </w:rPr>
              <w:t>1610 ±26</w:t>
            </w:r>
          </w:p>
        </w:tc>
        <w:tc>
          <w:tcPr>
            <w:tcW w:w="1075" w:type="pct"/>
            <w:noWrap/>
            <w:hideMark/>
          </w:tcPr>
          <w:p w14:paraId="708C23BA" w14:textId="77777777" w:rsidR="00B5118F" w:rsidRPr="00496130" w:rsidRDefault="00E56354" w:rsidP="00E56354">
            <w:pPr>
              <w:rPr>
                <w:sz w:val="20"/>
                <w:szCs w:val="20"/>
              </w:rPr>
            </w:pPr>
            <w:r w:rsidRPr="00496130">
              <w:rPr>
                <w:smallCaps/>
                <w:sz w:val="18"/>
                <w:szCs w:val="18"/>
              </w:rPr>
              <w:t>a.d.</w:t>
            </w:r>
            <w:r w:rsidRPr="00496130">
              <w:rPr>
                <w:sz w:val="18"/>
                <w:szCs w:val="18"/>
              </w:rPr>
              <w:t xml:space="preserve"> </w:t>
            </w:r>
            <w:r w:rsidR="00B5118F" w:rsidRPr="00496130">
              <w:rPr>
                <w:sz w:val="20"/>
                <w:szCs w:val="20"/>
              </w:rPr>
              <w:t>439 – 453 [10.7%]</w:t>
            </w:r>
          </w:p>
          <w:p w14:paraId="74329EE2" w14:textId="4B43902E" w:rsidR="00E56354" w:rsidRPr="00496130" w:rsidRDefault="00E56354" w:rsidP="00E56354">
            <w:pPr>
              <w:rPr>
                <w:sz w:val="20"/>
                <w:szCs w:val="20"/>
              </w:rPr>
            </w:pPr>
            <w:r w:rsidRPr="00496130">
              <w:rPr>
                <w:smallCaps/>
                <w:sz w:val="18"/>
                <w:szCs w:val="18"/>
              </w:rPr>
              <w:t>a.d.</w:t>
            </w:r>
            <w:r w:rsidRPr="00496130">
              <w:rPr>
                <w:sz w:val="18"/>
                <w:szCs w:val="18"/>
              </w:rPr>
              <w:t xml:space="preserve"> </w:t>
            </w:r>
            <w:r w:rsidRPr="00496130">
              <w:rPr>
                <w:sz w:val="20"/>
                <w:szCs w:val="20"/>
              </w:rPr>
              <w:t>462 - 532 [57.5%]</w:t>
            </w:r>
          </w:p>
        </w:tc>
        <w:tc>
          <w:tcPr>
            <w:tcW w:w="1075" w:type="pct"/>
            <w:noWrap/>
            <w:hideMark/>
          </w:tcPr>
          <w:p w14:paraId="6E429DD7" w14:textId="77777777" w:rsidR="00B5118F" w:rsidRPr="00496130" w:rsidRDefault="00E56354" w:rsidP="00E56354">
            <w:pPr>
              <w:rPr>
                <w:sz w:val="20"/>
                <w:szCs w:val="20"/>
              </w:rPr>
            </w:pPr>
            <w:r w:rsidRPr="00496130">
              <w:rPr>
                <w:smallCaps/>
                <w:sz w:val="18"/>
                <w:szCs w:val="18"/>
              </w:rPr>
              <w:t>a.d.</w:t>
            </w:r>
            <w:r w:rsidRPr="00496130">
              <w:rPr>
                <w:sz w:val="18"/>
                <w:szCs w:val="18"/>
              </w:rPr>
              <w:t xml:space="preserve"> </w:t>
            </w:r>
            <w:r w:rsidR="00B5118F" w:rsidRPr="00496130">
              <w:rPr>
                <w:sz w:val="20"/>
                <w:szCs w:val="20"/>
              </w:rPr>
              <w:t>420 – 549 [92.2%]</w:t>
            </w:r>
          </w:p>
          <w:p w14:paraId="5506438E" w14:textId="0CAE370C" w:rsidR="00E56354" w:rsidRPr="00496130" w:rsidRDefault="00E56354" w:rsidP="00E56354">
            <w:pPr>
              <w:rPr>
                <w:sz w:val="20"/>
                <w:szCs w:val="20"/>
              </w:rPr>
            </w:pPr>
            <w:r w:rsidRPr="00496130">
              <w:rPr>
                <w:smallCaps/>
                <w:sz w:val="18"/>
                <w:szCs w:val="18"/>
              </w:rPr>
              <w:t>a.d.</w:t>
            </w:r>
            <w:r w:rsidRPr="00496130">
              <w:rPr>
                <w:sz w:val="18"/>
                <w:szCs w:val="18"/>
              </w:rPr>
              <w:t xml:space="preserve"> </w:t>
            </w:r>
            <w:r w:rsidRPr="00496130">
              <w:rPr>
                <w:sz w:val="20"/>
                <w:szCs w:val="20"/>
              </w:rPr>
              <w:t>559 - 571 [3.2%]</w:t>
            </w:r>
          </w:p>
        </w:tc>
      </w:tr>
      <w:tr w:rsidR="00E56354" w:rsidRPr="00496130" w14:paraId="51841C3D" w14:textId="77777777" w:rsidTr="00F068BD">
        <w:trPr>
          <w:trHeight w:val="70"/>
        </w:trPr>
        <w:tc>
          <w:tcPr>
            <w:tcW w:w="360" w:type="pct"/>
            <w:shd w:val="clear" w:color="auto" w:fill="E7E6E6" w:themeFill="background2"/>
            <w:hideMark/>
          </w:tcPr>
          <w:p w14:paraId="65A28114" w14:textId="2F2CCC39" w:rsidR="00E56354" w:rsidRPr="00496130" w:rsidRDefault="00E56354">
            <w:pPr>
              <w:rPr>
                <w:sz w:val="20"/>
                <w:szCs w:val="20"/>
              </w:rPr>
            </w:pPr>
            <w:r w:rsidRPr="00496130">
              <w:rPr>
                <w:sz w:val="20"/>
                <w:szCs w:val="20"/>
              </w:rPr>
              <w:t>AAR-29063</w:t>
            </w:r>
          </w:p>
        </w:tc>
        <w:tc>
          <w:tcPr>
            <w:tcW w:w="400" w:type="pct"/>
            <w:shd w:val="clear" w:color="auto" w:fill="E7E6E6" w:themeFill="background2"/>
            <w:noWrap/>
            <w:hideMark/>
          </w:tcPr>
          <w:p w14:paraId="263EC8FD" w14:textId="053F085A" w:rsidR="00E56354" w:rsidRPr="00496130" w:rsidRDefault="00E56354" w:rsidP="00E43D3E">
            <w:pPr>
              <w:rPr>
                <w:sz w:val="20"/>
                <w:szCs w:val="20"/>
              </w:rPr>
            </w:pPr>
            <w:r w:rsidRPr="00496130">
              <w:rPr>
                <w:sz w:val="20"/>
                <w:szCs w:val="20"/>
              </w:rPr>
              <w:t>ZNZ17-S1</w:t>
            </w:r>
          </w:p>
        </w:tc>
        <w:tc>
          <w:tcPr>
            <w:tcW w:w="345" w:type="pct"/>
            <w:shd w:val="clear" w:color="auto" w:fill="E7E6E6" w:themeFill="background2"/>
            <w:noWrap/>
            <w:hideMark/>
          </w:tcPr>
          <w:p w14:paraId="51B15AE4" w14:textId="7707D70C" w:rsidR="00E56354" w:rsidRPr="00496130" w:rsidRDefault="00E56354" w:rsidP="00E43D3E">
            <w:pPr>
              <w:rPr>
                <w:sz w:val="20"/>
                <w:szCs w:val="20"/>
              </w:rPr>
            </w:pPr>
            <w:r w:rsidRPr="00496130">
              <w:rPr>
                <w:sz w:val="20"/>
                <w:szCs w:val="20"/>
              </w:rPr>
              <w:t>2005</w:t>
            </w:r>
          </w:p>
        </w:tc>
        <w:tc>
          <w:tcPr>
            <w:tcW w:w="317" w:type="pct"/>
            <w:shd w:val="clear" w:color="auto" w:fill="E7E6E6" w:themeFill="background2"/>
            <w:hideMark/>
          </w:tcPr>
          <w:p w14:paraId="1BF8B386" w14:textId="4AB5C529" w:rsidR="00E56354" w:rsidRPr="00496130" w:rsidRDefault="00E56354" w:rsidP="00E43D3E">
            <w:pPr>
              <w:rPr>
                <w:sz w:val="20"/>
                <w:szCs w:val="20"/>
              </w:rPr>
            </w:pPr>
            <w:r w:rsidRPr="00496130">
              <w:rPr>
                <w:sz w:val="20"/>
                <w:szCs w:val="20"/>
              </w:rPr>
              <w:t>Upper Floor (Exterior)</w:t>
            </w:r>
          </w:p>
        </w:tc>
        <w:tc>
          <w:tcPr>
            <w:tcW w:w="374" w:type="pct"/>
            <w:shd w:val="clear" w:color="auto" w:fill="E7E6E6" w:themeFill="background2"/>
            <w:hideMark/>
          </w:tcPr>
          <w:p w14:paraId="2F0BD53A" w14:textId="1A9294F7" w:rsidR="00E56354" w:rsidRPr="00496130" w:rsidRDefault="00E56354" w:rsidP="00E43D3E">
            <w:pPr>
              <w:rPr>
                <w:sz w:val="20"/>
                <w:szCs w:val="20"/>
              </w:rPr>
            </w:pPr>
            <w:r w:rsidRPr="00496130">
              <w:rPr>
                <w:sz w:val="20"/>
                <w:szCs w:val="20"/>
              </w:rPr>
              <w:t>outdoor/open floor</w:t>
            </w:r>
          </w:p>
        </w:tc>
        <w:tc>
          <w:tcPr>
            <w:tcW w:w="669" w:type="pct"/>
            <w:shd w:val="clear" w:color="auto" w:fill="E7E6E6" w:themeFill="background2"/>
            <w:hideMark/>
          </w:tcPr>
          <w:p w14:paraId="73FFD8BA" w14:textId="5D6EF483" w:rsidR="00E56354" w:rsidRPr="00496130" w:rsidRDefault="00E56354" w:rsidP="00E43D3E">
            <w:pPr>
              <w:rPr>
                <w:sz w:val="20"/>
                <w:szCs w:val="20"/>
              </w:rPr>
            </w:pPr>
            <w:r w:rsidRPr="00496130">
              <w:rPr>
                <w:sz w:val="20"/>
                <w:szCs w:val="20"/>
              </w:rPr>
              <w:t xml:space="preserve">shell frg </w:t>
            </w:r>
            <w:r w:rsidRPr="00496130">
              <w:rPr>
                <w:i/>
                <w:iCs/>
                <w:sz w:val="20"/>
                <w:szCs w:val="20"/>
              </w:rPr>
              <w:t xml:space="preserve">(Pleuroploca trapezium) </w:t>
            </w:r>
            <w:r w:rsidRPr="00496130">
              <w:rPr>
                <w:sz w:val="20"/>
                <w:szCs w:val="20"/>
              </w:rPr>
              <w:t>[best pres. high columella]</w:t>
            </w:r>
          </w:p>
        </w:tc>
        <w:tc>
          <w:tcPr>
            <w:tcW w:w="386" w:type="pct"/>
            <w:shd w:val="clear" w:color="auto" w:fill="E7E6E6" w:themeFill="background2"/>
            <w:hideMark/>
          </w:tcPr>
          <w:p w14:paraId="392A3C6D" w14:textId="3E33D235" w:rsidR="00E56354" w:rsidRPr="00496130" w:rsidRDefault="00E56354">
            <w:pPr>
              <w:rPr>
                <w:sz w:val="20"/>
                <w:szCs w:val="20"/>
              </w:rPr>
            </w:pPr>
            <w:r w:rsidRPr="00496130">
              <w:rPr>
                <w:sz w:val="20"/>
                <w:szCs w:val="20"/>
              </w:rPr>
              <w:t>2084 ±26</w:t>
            </w:r>
          </w:p>
        </w:tc>
        <w:tc>
          <w:tcPr>
            <w:tcW w:w="1075" w:type="pct"/>
            <w:shd w:val="clear" w:color="auto" w:fill="E7E6E6" w:themeFill="background2"/>
            <w:noWrap/>
            <w:hideMark/>
          </w:tcPr>
          <w:p w14:paraId="245CE7F5" w14:textId="08328323" w:rsidR="00E56354" w:rsidRPr="00496130" w:rsidRDefault="00E56354" w:rsidP="00E56354">
            <w:pPr>
              <w:rPr>
                <w:sz w:val="20"/>
                <w:szCs w:val="20"/>
              </w:rPr>
            </w:pPr>
            <w:r w:rsidRPr="00496130">
              <w:rPr>
                <w:smallCaps/>
                <w:sz w:val="18"/>
                <w:szCs w:val="18"/>
              </w:rPr>
              <w:t>a.d.</w:t>
            </w:r>
            <w:r w:rsidRPr="00496130">
              <w:rPr>
                <w:sz w:val="18"/>
                <w:szCs w:val="18"/>
              </w:rPr>
              <w:t xml:space="preserve"> </w:t>
            </w:r>
            <w:r w:rsidRPr="00496130">
              <w:rPr>
                <w:sz w:val="20"/>
                <w:szCs w:val="20"/>
              </w:rPr>
              <w:t>415 - 539 [68.2%]</w:t>
            </w:r>
          </w:p>
        </w:tc>
        <w:tc>
          <w:tcPr>
            <w:tcW w:w="1075" w:type="pct"/>
            <w:shd w:val="clear" w:color="auto" w:fill="E7E6E6" w:themeFill="background2"/>
            <w:noWrap/>
            <w:hideMark/>
          </w:tcPr>
          <w:p w14:paraId="1B3B6AFD" w14:textId="09A9A7CA" w:rsidR="00E56354" w:rsidRPr="00496130" w:rsidRDefault="00E56354" w:rsidP="00E56354">
            <w:pPr>
              <w:rPr>
                <w:sz w:val="20"/>
                <w:szCs w:val="20"/>
              </w:rPr>
            </w:pPr>
            <w:r w:rsidRPr="00496130">
              <w:rPr>
                <w:smallCaps/>
                <w:sz w:val="18"/>
                <w:szCs w:val="18"/>
              </w:rPr>
              <w:t>a.d.</w:t>
            </w:r>
            <w:r w:rsidRPr="00496130">
              <w:rPr>
                <w:sz w:val="18"/>
                <w:szCs w:val="18"/>
              </w:rPr>
              <w:t xml:space="preserve"> </w:t>
            </w:r>
            <w:r w:rsidRPr="00496130">
              <w:rPr>
                <w:sz w:val="20"/>
                <w:szCs w:val="20"/>
              </w:rPr>
              <w:t>349 – 593 [95.4%]</w:t>
            </w:r>
          </w:p>
        </w:tc>
      </w:tr>
      <w:tr w:rsidR="00E56354" w:rsidRPr="00496130" w14:paraId="208D4348" w14:textId="77777777" w:rsidTr="00F068BD">
        <w:trPr>
          <w:trHeight w:val="510"/>
        </w:trPr>
        <w:tc>
          <w:tcPr>
            <w:tcW w:w="360" w:type="pct"/>
            <w:shd w:val="clear" w:color="auto" w:fill="E7E6E6" w:themeFill="background2"/>
            <w:noWrap/>
            <w:hideMark/>
          </w:tcPr>
          <w:p w14:paraId="543C3011" w14:textId="11B5A654" w:rsidR="00E56354" w:rsidRPr="00496130" w:rsidRDefault="00E56354" w:rsidP="00E43D3E">
            <w:pPr>
              <w:rPr>
                <w:sz w:val="20"/>
                <w:szCs w:val="20"/>
              </w:rPr>
            </w:pPr>
            <w:r w:rsidRPr="00496130">
              <w:rPr>
                <w:sz w:val="20"/>
                <w:szCs w:val="20"/>
              </w:rPr>
              <w:lastRenderedPageBreak/>
              <w:t> </w:t>
            </w:r>
            <w:r w:rsidR="0002426C" w:rsidRPr="00496130">
              <w:rPr>
                <w:sz w:val="20"/>
                <w:szCs w:val="20"/>
              </w:rPr>
              <w:t>AAR-29064</w:t>
            </w:r>
          </w:p>
        </w:tc>
        <w:tc>
          <w:tcPr>
            <w:tcW w:w="400" w:type="pct"/>
            <w:shd w:val="clear" w:color="auto" w:fill="E7E6E6" w:themeFill="background2"/>
            <w:noWrap/>
            <w:hideMark/>
          </w:tcPr>
          <w:p w14:paraId="240CE933" w14:textId="28EF0D11" w:rsidR="00E56354" w:rsidRPr="00496130" w:rsidRDefault="00E56354" w:rsidP="00E43D3E">
            <w:pPr>
              <w:rPr>
                <w:sz w:val="20"/>
                <w:szCs w:val="20"/>
              </w:rPr>
            </w:pPr>
            <w:r w:rsidRPr="00496130">
              <w:rPr>
                <w:sz w:val="20"/>
                <w:szCs w:val="20"/>
              </w:rPr>
              <w:t>ZNZ17-S2</w:t>
            </w:r>
          </w:p>
        </w:tc>
        <w:tc>
          <w:tcPr>
            <w:tcW w:w="345" w:type="pct"/>
            <w:shd w:val="clear" w:color="auto" w:fill="E7E6E6" w:themeFill="background2"/>
            <w:noWrap/>
            <w:hideMark/>
          </w:tcPr>
          <w:p w14:paraId="1E5B0805" w14:textId="07200729" w:rsidR="00E56354" w:rsidRPr="00496130" w:rsidRDefault="00E56354" w:rsidP="00E43D3E">
            <w:pPr>
              <w:rPr>
                <w:sz w:val="20"/>
                <w:szCs w:val="20"/>
              </w:rPr>
            </w:pPr>
            <w:r w:rsidRPr="00496130">
              <w:rPr>
                <w:sz w:val="20"/>
                <w:szCs w:val="20"/>
              </w:rPr>
              <w:t>2005</w:t>
            </w:r>
          </w:p>
        </w:tc>
        <w:tc>
          <w:tcPr>
            <w:tcW w:w="317" w:type="pct"/>
            <w:shd w:val="clear" w:color="auto" w:fill="E7E6E6" w:themeFill="background2"/>
            <w:hideMark/>
          </w:tcPr>
          <w:p w14:paraId="254F6E07" w14:textId="356AAD21" w:rsidR="00E56354" w:rsidRPr="00496130" w:rsidRDefault="00E56354" w:rsidP="00E43D3E">
            <w:pPr>
              <w:rPr>
                <w:sz w:val="20"/>
                <w:szCs w:val="20"/>
              </w:rPr>
            </w:pPr>
            <w:r w:rsidRPr="00496130">
              <w:rPr>
                <w:sz w:val="20"/>
                <w:szCs w:val="20"/>
              </w:rPr>
              <w:t>Upper Floor (Exterior)</w:t>
            </w:r>
          </w:p>
        </w:tc>
        <w:tc>
          <w:tcPr>
            <w:tcW w:w="374" w:type="pct"/>
            <w:shd w:val="clear" w:color="auto" w:fill="E7E6E6" w:themeFill="background2"/>
            <w:hideMark/>
          </w:tcPr>
          <w:p w14:paraId="733CBD95" w14:textId="5A4BAA2B" w:rsidR="00E56354" w:rsidRPr="00496130" w:rsidRDefault="00E56354" w:rsidP="00E43D3E">
            <w:pPr>
              <w:rPr>
                <w:sz w:val="20"/>
                <w:szCs w:val="20"/>
              </w:rPr>
            </w:pPr>
            <w:r w:rsidRPr="00496130">
              <w:rPr>
                <w:sz w:val="20"/>
                <w:szCs w:val="20"/>
              </w:rPr>
              <w:t>outdoor/open floor</w:t>
            </w:r>
          </w:p>
        </w:tc>
        <w:tc>
          <w:tcPr>
            <w:tcW w:w="669" w:type="pct"/>
            <w:shd w:val="clear" w:color="auto" w:fill="E7E6E6" w:themeFill="background2"/>
            <w:hideMark/>
          </w:tcPr>
          <w:p w14:paraId="7C42026C" w14:textId="6963548D" w:rsidR="00E56354" w:rsidRPr="00496130" w:rsidRDefault="00E56354" w:rsidP="00E43D3E">
            <w:pPr>
              <w:rPr>
                <w:sz w:val="20"/>
                <w:szCs w:val="20"/>
              </w:rPr>
            </w:pPr>
            <w:r w:rsidRPr="00496130">
              <w:rPr>
                <w:sz w:val="20"/>
                <w:szCs w:val="20"/>
              </w:rPr>
              <w:t xml:space="preserve">shell frg </w:t>
            </w:r>
            <w:r w:rsidRPr="00496130">
              <w:rPr>
                <w:i/>
                <w:iCs/>
                <w:sz w:val="20"/>
                <w:szCs w:val="20"/>
              </w:rPr>
              <w:t>(Pleuroploca trapezium)</w:t>
            </w:r>
          </w:p>
        </w:tc>
        <w:tc>
          <w:tcPr>
            <w:tcW w:w="386" w:type="pct"/>
            <w:shd w:val="clear" w:color="auto" w:fill="E7E6E6" w:themeFill="background2"/>
            <w:noWrap/>
            <w:hideMark/>
          </w:tcPr>
          <w:p w14:paraId="0B63EED6" w14:textId="49E8BF66" w:rsidR="00E56354" w:rsidRPr="00496130" w:rsidRDefault="00E56354" w:rsidP="00E43D3E">
            <w:pPr>
              <w:rPr>
                <w:sz w:val="20"/>
                <w:szCs w:val="20"/>
              </w:rPr>
            </w:pPr>
            <w:r w:rsidRPr="00496130">
              <w:rPr>
                <w:sz w:val="20"/>
                <w:szCs w:val="20"/>
              </w:rPr>
              <w:t> </w:t>
            </w:r>
            <w:r w:rsidR="0002426C" w:rsidRPr="00496130">
              <w:rPr>
                <w:sz w:val="20"/>
                <w:szCs w:val="20"/>
              </w:rPr>
              <w:t>2056 ±32</w:t>
            </w:r>
          </w:p>
        </w:tc>
        <w:tc>
          <w:tcPr>
            <w:tcW w:w="1075" w:type="pct"/>
            <w:shd w:val="clear" w:color="auto" w:fill="E7E6E6" w:themeFill="background2"/>
            <w:noWrap/>
            <w:hideMark/>
          </w:tcPr>
          <w:p w14:paraId="13CE3620" w14:textId="7CAF9E36" w:rsidR="00E56354" w:rsidRPr="00496130" w:rsidRDefault="00E56354" w:rsidP="00E56354">
            <w:pPr>
              <w:rPr>
                <w:sz w:val="20"/>
                <w:szCs w:val="20"/>
              </w:rPr>
            </w:pPr>
            <w:r w:rsidRPr="00496130">
              <w:rPr>
                <w:smallCaps/>
                <w:sz w:val="18"/>
                <w:szCs w:val="18"/>
              </w:rPr>
              <w:t>a.d.</w:t>
            </w:r>
            <w:r w:rsidRPr="00496130">
              <w:rPr>
                <w:sz w:val="18"/>
                <w:szCs w:val="18"/>
              </w:rPr>
              <w:t xml:space="preserve"> </w:t>
            </w:r>
            <w:r w:rsidRPr="00496130">
              <w:rPr>
                <w:sz w:val="20"/>
                <w:szCs w:val="20"/>
              </w:rPr>
              <w:t>435 – 559 [68.2%]</w:t>
            </w:r>
          </w:p>
        </w:tc>
        <w:tc>
          <w:tcPr>
            <w:tcW w:w="1075" w:type="pct"/>
            <w:shd w:val="clear" w:color="auto" w:fill="E7E6E6" w:themeFill="background2"/>
            <w:noWrap/>
            <w:hideMark/>
          </w:tcPr>
          <w:p w14:paraId="68FF2DCF" w14:textId="3FC19F7C" w:rsidR="00E56354" w:rsidRPr="00496130" w:rsidRDefault="00E56354" w:rsidP="00E56354">
            <w:pPr>
              <w:rPr>
                <w:sz w:val="20"/>
                <w:szCs w:val="20"/>
              </w:rPr>
            </w:pPr>
            <w:r w:rsidRPr="00496130">
              <w:rPr>
                <w:smallCaps/>
                <w:sz w:val="18"/>
                <w:szCs w:val="18"/>
              </w:rPr>
              <w:t>a.d.</w:t>
            </w:r>
            <w:r w:rsidRPr="00496130">
              <w:rPr>
                <w:sz w:val="18"/>
                <w:szCs w:val="18"/>
              </w:rPr>
              <w:t xml:space="preserve"> </w:t>
            </w:r>
            <w:r w:rsidRPr="00496130">
              <w:rPr>
                <w:sz w:val="20"/>
                <w:szCs w:val="20"/>
              </w:rPr>
              <w:t>379 – 625 [95.4%]</w:t>
            </w:r>
          </w:p>
        </w:tc>
      </w:tr>
      <w:tr w:rsidR="0002426C" w:rsidRPr="00496130" w14:paraId="34D71694" w14:textId="77777777" w:rsidTr="00F068BD">
        <w:trPr>
          <w:trHeight w:val="300"/>
        </w:trPr>
        <w:tc>
          <w:tcPr>
            <w:tcW w:w="360" w:type="pct"/>
            <w:noWrap/>
            <w:hideMark/>
          </w:tcPr>
          <w:p w14:paraId="5574E310" w14:textId="5C494D20" w:rsidR="0002426C" w:rsidRPr="00496130" w:rsidRDefault="0002426C" w:rsidP="00E43D3E">
            <w:pPr>
              <w:rPr>
                <w:sz w:val="20"/>
                <w:szCs w:val="20"/>
              </w:rPr>
            </w:pPr>
            <w:r w:rsidRPr="00496130">
              <w:rPr>
                <w:sz w:val="20"/>
                <w:szCs w:val="20"/>
              </w:rPr>
              <w:t>AAR-28407</w:t>
            </w:r>
          </w:p>
        </w:tc>
        <w:tc>
          <w:tcPr>
            <w:tcW w:w="400" w:type="pct"/>
            <w:noWrap/>
            <w:hideMark/>
          </w:tcPr>
          <w:p w14:paraId="0037C15F" w14:textId="19664855" w:rsidR="0002426C" w:rsidRPr="00496130" w:rsidRDefault="0002426C" w:rsidP="00E43D3E">
            <w:pPr>
              <w:rPr>
                <w:sz w:val="20"/>
                <w:szCs w:val="20"/>
              </w:rPr>
            </w:pPr>
            <w:r w:rsidRPr="00496130">
              <w:rPr>
                <w:sz w:val="20"/>
                <w:szCs w:val="20"/>
              </w:rPr>
              <w:t>ZNZ17-C25</w:t>
            </w:r>
          </w:p>
        </w:tc>
        <w:tc>
          <w:tcPr>
            <w:tcW w:w="345" w:type="pct"/>
            <w:noWrap/>
            <w:hideMark/>
          </w:tcPr>
          <w:p w14:paraId="760203D8" w14:textId="6594368F" w:rsidR="0002426C" w:rsidRPr="00496130" w:rsidRDefault="0002426C" w:rsidP="00E43D3E">
            <w:pPr>
              <w:rPr>
                <w:sz w:val="20"/>
                <w:szCs w:val="20"/>
              </w:rPr>
            </w:pPr>
            <w:r w:rsidRPr="00496130">
              <w:rPr>
                <w:sz w:val="20"/>
                <w:szCs w:val="20"/>
              </w:rPr>
              <w:t>2004</w:t>
            </w:r>
          </w:p>
        </w:tc>
        <w:tc>
          <w:tcPr>
            <w:tcW w:w="317" w:type="pct"/>
            <w:hideMark/>
          </w:tcPr>
          <w:p w14:paraId="465A675C" w14:textId="05457DF9" w:rsidR="0002426C" w:rsidRPr="00496130" w:rsidRDefault="0002426C" w:rsidP="00E43D3E">
            <w:pPr>
              <w:rPr>
                <w:sz w:val="20"/>
                <w:szCs w:val="20"/>
              </w:rPr>
            </w:pPr>
            <w:r w:rsidRPr="00496130">
              <w:rPr>
                <w:sz w:val="20"/>
                <w:szCs w:val="20"/>
              </w:rPr>
              <w:t>Upper Floor (Interior)</w:t>
            </w:r>
          </w:p>
        </w:tc>
        <w:tc>
          <w:tcPr>
            <w:tcW w:w="374" w:type="pct"/>
            <w:hideMark/>
          </w:tcPr>
          <w:p w14:paraId="153C203F" w14:textId="1A670F5C" w:rsidR="0002426C" w:rsidRPr="00496130" w:rsidRDefault="0002426C" w:rsidP="00E43D3E">
            <w:pPr>
              <w:rPr>
                <w:sz w:val="20"/>
                <w:szCs w:val="20"/>
              </w:rPr>
            </w:pPr>
            <w:r w:rsidRPr="00496130">
              <w:rPr>
                <w:sz w:val="20"/>
                <w:szCs w:val="20"/>
              </w:rPr>
              <w:t>shell concentration</w:t>
            </w:r>
          </w:p>
        </w:tc>
        <w:tc>
          <w:tcPr>
            <w:tcW w:w="669" w:type="pct"/>
            <w:hideMark/>
          </w:tcPr>
          <w:p w14:paraId="3EADD2F9" w14:textId="634586F5" w:rsidR="0002426C" w:rsidRPr="00496130" w:rsidRDefault="0002426C" w:rsidP="00E43D3E">
            <w:pPr>
              <w:rPr>
                <w:sz w:val="20"/>
                <w:szCs w:val="20"/>
              </w:rPr>
            </w:pPr>
            <w:proofErr w:type="gramStart"/>
            <w:r w:rsidRPr="00496130">
              <w:rPr>
                <w:sz w:val="20"/>
                <w:szCs w:val="20"/>
              </w:rPr>
              <w:t>charcoal</w:t>
            </w:r>
            <w:proofErr w:type="gramEnd"/>
            <w:r w:rsidRPr="00496130">
              <w:rPr>
                <w:sz w:val="20"/>
                <w:szCs w:val="20"/>
              </w:rPr>
              <w:t xml:space="preserve"> (type K), Rhizoporaceae-mangrove?</w:t>
            </w:r>
          </w:p>
        </w:tc>
        <w:tc>
          <w:tcPr>
            <w:tcW w:w="386" w:type="pct"/>
            <w:noWrap/>
            <w:hideMark/>
          </w:tcPr>
          <w:p w14:paraId="2D837C3D" w14:textId="6408A015" w:rsidR="0002426C" w:rsidRPr="00496130" w:rsidRDefault="0002426C" w:rsidP="00E43D3E">
            <w:pPr>
              <w:rPr>
                <w:sz w:val="20"/>
                <w:szCs w:val="20"/>
              </w:rPr>
            </w:pPr>
            <w:r w:rsidRPr="00496130">
              <w:rPr>
                <w:sz w:val="20"/>
                <w:szCs w:val="20"/>
              </w:rPr>
              <w:t>1233 ±26</w:t>
            </w:r>
          </w:p>
        </w:tc>
        <w:tc>
          <w:tcPr>
            <w:tcW w:w="1075" w:type="pct"/>
            <w:noWrap/>
            <w:hideMark/>
          </w:tcPr>
          <w:p w14:paraId="3D10839E" w14:textId="469F280F" w:rsidR="0002426C" w:rsidRPr="00496130" w:rsidRDefault="0002426C" w:rsidP="00E43D3E">
            <w:pPr>
              <w:rPr>
                <w:sz w:val="20"/>
                <w:szCs w:val="20"/>
              </w:rPr>
            </w:pPr>
            <w:r w:rsidRPr="00496130">
              <w:rPr>
                <w:smallCaps/>
                <w:sz w:val="18"/>
                <w:szCs w:val="18"/>
              </w:rPr>
              <w:t>a.d.</w:t>
            </w:r>
            <w:r w:rsidRPr="00496130">
              <w:rPr>
                <w:sz w:val="18"/>
                <w:szCs w:val="18"/>
              </w:rPr>
              <w:t xml:space="preserve"> </w:t>
            </w:r>
            <w:r w:rsidRPr="00496130">
              <w:rPr>
                <w:sz w:val="20"/>
                <w:szCs w:val="20"/>
              </w:rPr>
              <w:t>777 - 812 [28.8%]</w:t>
            </w:r>
          </w:p>
          <w:p w14:paraId="28420B93" w14:textId="059A0F51" w:rsidR="0002426C" w:rsidRPr="00496130" w:rsidRDefault="0002426C" w:rsidP="0002426C">
            <w:pPr>
              <w:rPr>
                <w:sz w:val="20"/>
                <w:szCs w:val="20"/>
              </w:rPr>
            </w:pPr>
            <w:r w:rsidRPr="00496130">
              <w:rPr>
                <w:smallCaps/>
                <w:sz w:val="18"/>
                <w:szCs w:val="18"/>
              </w:rPr>
              <w:t>a.d.</w:t>
            </w:r>
            <w:r w:rsidRPr="00496130">
              <w:rPr>
                <w:sz w:val="18"/>
                <w:szCs w:val="18"/>
              </w:rPr>
              <w:t xml:space="preserve"> </w:t>
            </w:r>
            <w:r w:rsidRPr="00496130">
              <w:rPr>
                <w:sz w:val="20"/>
                <w:szCs w:val="20"/>
              </w:rPr>
              <w:t xml:space="preserve">841 </w:t>
            </w:r>
            <w:r w:rsidR="00B555EA" w:rsidRPr="00496130">
              <w:rPr>
                <w:sz w:val="20"/>
                <w:szCs w:val="20"/>
              </w:rPr>
              <w:t>- 887</w:t>
            </w:r>
            <w:r w:rsidRPr="00496130">
              <w:rPr>
                <w:sz w:val="20"/>
                <w:szCs w:val="20"/>
              </w:rPr>
              <w:t xml:space="preserve"> [39.4%]</w:t>
            </w:r>
          </w:p>
        </w:tc>
        <w:tc>
          <w:tcPr>
            <w:tcW w:w="1075" w:type="pct"/>
            <w:noWrap/>
            <w:hideMark/>
          </w:tcPr>
          <w:p w14:paraId="16C03B7D" w14:textId="60E5DD29" w:rsidR="0002426C" w:rsidRPr="00496130" w:rsidRDefault="0002426C" w:rsidP="00E43D3E">
            <w:pPr>
              <w:rPr>
                <w:sz w:val="20"/>
                <w:szCs w:val="20"/>
              </w:rPr>
            </w:pPr>
            <w:r w:rsidRPr="00496130">
              <w:rPr>
                <w:smallCaps/>
                <w:sz w:val="18"/>
                <w:szCs w:val="18"/>
              </w:rPr>
              <w:t>a.d.</w:t>
            </w:r>
            <w:r w:rsidRPr="00496130">
              <w:rPr>
                <w:sz w:val="18"/>
                <w:szCs w:val="18"/>
              </w:rPr>
              <w:t xml:space="preserve"> </w:t>
            </w:r>
            <w:r w:rsidRPr="00496130">
              <w:rPr>
                <w:sz w:val="20"/>
                <w:szCs w:val="20"/>
              </w:rPr>
              <w:t>770 - 896 [90.0%]</w:t>
            </w:r>
          </w:p>
          <w:p w14:paraId="08C2D0F6" w14:textId="265E1114" w:rsidR="0002426C" w:rsidRPr="00496130" w:rsidRDefault="0002426C" w:rsidP="0002426C">
            <w:pPr>
              <w:rPr>
                <w:sz w:val="20"/>
                <w:szCs w:val="20"/>
              </w:rPr>
            </w:pPr>
            <w:r w:rsidRPr="00496130">
              <w:rPr>
                <w:smallCaps/>
                <w:sz w:val="18"/>
                <w:szCs w:val="18"/>
              </w:rPr>
              <w:t>a.d.</w:t>
            </w:r>
            <w:r w:rsidRPr="00496130">
              <w:rPr>
                <w:sz w:val="18"/>
                <w:szCs w:val="18"/>
              </w:rPr>
              <w:t xml:space="preserve"> </w:t>
            </w:r>
            <w:r w:rsidRPr="00496130">
              <w:rPr>
                <w:sz w:val="20"/>
                <w:szCs w:val="20"/>
              </w:rPr>
              <w:t xml:space="preserve">933 </w:t>
            </w:r>
            <w:r w:rsidR="00B555EA" w:rsidRPr="00496130">
              <w:rPr>
                <w:sz w:val="20"/>
                <w:szCs w:val="20"/>
              </w:rPr>
              <w:t>- 957</w:t>
            </w:r>
            <w:r w:rsidRPr="00496130">
              <w:rPr>
                <w:sz w:val="20"/>
                <w:szCs w:val="20"/>
              </w:rPr>
              <w:t xml:space="preserve"> [ 5.4%]</w:t>
            </w:r>
          </w:p>
        </w:tc>
      </w:tr>
      <w:tr w:rsidR="0002426C" w:rsidRPr="00496130" w14:paraId="191B735A" w14:textId="77777777" w:rsidTr="00F068BD">
        <w:trPr>
          <w:trHeight w:val="300"/>
        </w:trPr>
        <w:tc>
          <w:tcPr>
            <w:tcW w:w="360" w:type="pct"/>
            <w:shd w:val="clear" w:color="auto" w:fill="E7E6E6" w:themeFill="background2"/>
            <w:noWrap/>
            <w:hideMark/>
          </w:tcPr>
          <w:p w14:paraId="3A8A01DC" w14:textId="18468FC9" w:rsidR="0002426C" w:rsidRPr="00496130" w:rsidRDefault="0002426C" w:rsidP="00E43D3E">
            <w:pPr>
              <w:rPr>
                <w:sz w:val="20"/>
                <w:szCs w:val="20"/>
              </w:rPr>
            </w:pPr>
            <w:r w:rsidRPr="00496130">
              <w:rPr>
                <w:sz w:val="20"/>
                <w:szCs w:val="20"/>
              </w:rPr>
              <w:t>AAR-29065</w:t>
            </w:r>
          </w:p>
        </w:tc>
        <w:tc>
          <w:tcPr>
            <w:tcW w:w="400" w:type="pct"/>
            <w:shd w:val="clear" w:color="auto" w:fill="E7E6E6" w:themeFill="background2"/>
            <w:noWrap/>
            <w:hideMark/>
          </w:tcPr>
          <w:p w14:paraId="5B762372" w14:textId="2D1195F3" w:rsidR="0002426C" w:rsidRPr="00496130" w:rsidRDefault="0002426C" w:rsidP="00E43D3E">
            <w:pPr>
              <w:rPr>
                <w:sz w:val="20"/>
                <w:szCs w:val="20"/>
              </w:rPr>
            </w:pPr>
            <w:r w:rsidRPr="00496130">
              <w:rPr>
                <w:sz w:val="20"/>
                <w:szCs w:val="20"/>
              </w:rPr>
              <w:t> ZNZ17-S3</w:t>
            </w:r>
          </w:p>
        </w:tc>
        <w:tc>
          <w:tcPr>
            <w:tcW w:w="345" w:type="pct"/>
            <w:shd w:val="clear" w:color="auto" w:fill="E7E6E6" w:themeFill="background2"/>
            <w:noWrap/>
            <w:hideMark/>
          </w:tcPr>
          <w:p w14:paraId="5E3AB40A" w14:textId="3CCD4031" w:rsidR="0002426C" w:rsidRPr="00496130" w:rsidRDefault="0002426C" w:rsidP="00E43D3E">
            <w:pPr>
              <w:rPr>
                <w:sz w:val="20"/>
                <w:szCs w:val="20"/>
              </w:rPr>
            </w:pPr>
            <w:r w:rsidRPr="00496130">
              <w:rPr>
                <w:sz w:val="20"/>
                <w:szCs w:val="20"/>
              </w:rPr>
              <w:t> 2004</w:t>
            </w:r>
          </w:p>
        </w:tc>
        <w:tc>
          <w:tcPr>
            <w:tcW w:w="317" w:type="pct"/>
            <w:shd w:val="clear" w:color="auto" w:fill="E7E6E6" w:themeFill="background2"/>
            <w:hideMark/>
          </w:tcPr>
          <w:p w14:paraId="0D19C57E" w14:textId="797BF2BA" w:rsidR="0002426C" w:rsidRPr="00496130" w:rsidRDefault="0002426C" w:rsidP="00E43D3E">
            <w:pPr>
              <w:rPr>
                <w:sz w:val="20"/>
                <w:szCs w:val="20"/>
              </w:rPr>
            </w:pPr>
            <w:r w:rsidRPr="00496130">
              <w:rPr>
                <w:sz w:val="20"/>
                <w:szCs w:val="20"/>
              </w:rPr>
              <w:t>Upper Floor (Interior)</w:t>
            </w:r>
          </w:p>
        </w:tc>
        <w:tc>
          <w:tcPr>
            <w:tcW w:w="374" w:type="pct"/>
            <w:shd w:val="clear" w:color="auto" w:fill="E7E6E6" w:themeFill="background2"/>
            <w:hideMark/>
          </w:tcPr>
          <w:p w14:paraId="30BA2ECB" w14:textId="78416EE7" w:rsidR="0002426C" w:rsidRPr="00496130" w:rsidRDefault="0002426C" w:rsidP="00E43D3E">
            <w:pPr>
              <w:rPr>
                <w:sz w:val="20"/>
                <w:szCs w:val="20"/>
              </w:rPr>
            </w:pPr>
            <w:r w:rsidRPr="00496130">
              <w:rPr>
                <w:sz w:val="20"/>
                <w:szCs w:val="20"/>
              </w:rPr>
              <w:t>shell concentration</w:t>
            </w:r>
          </w:p>
        </w:tc>
        <w:tc>
          <w:tcPr>
            <w:tcW w:w="669" w:type="pct"/>
            <w:shd w:val="clear" w:color="auto" w:fill="E7E6E6" w:themeFill="background2"/>
            <w:hideMark/>
          </w:tcPr>
          <w:p w14:paraId="71A1E82D" w14:textId="57E02103" w:rsidR="0002426C" w:rsidRPr="00496130" w:rsidRDefault="0002426C" w:rsidP="00E43D3E">
            <w:pPr>
              <w:rPr>
                <w:sz w:val="20"/>
                <w:szCs w:val="20"/>
              </w:rPr>
            </w:pPr>
            <w:r w:rsidRPr="00496130">
              <w:rPr>
                <w:sz w:val="20"/>
                <w:szCs w:val="20"/>
              </w:rPr>
              <w:t xml:space="preserve">shell frg </w:t>
            </w:r>
            <w:r w:rsidRPr="00496130">
              <w:rPr>
                <w:i/>
                <w:iCs/>
                <w:sz w:val="20"/>
                <w:szCs w:val="20"/>
              </w:rPr>
              <w:t>(Pleuroploca trapezium)</w:t>
            </w:r>
          </w:p>
        </w:tc>
        <w:tc>
          <w:tcPr>
            <w:tcW w:w="386" w:type="pct"/>
            <w:shd w:val="clear" w:color="auto" w:fill="E7E6E6" w:themeFill="background2"/>
            <w:noWrap/>
            <w:hideMark/>
          </w:tcPr>
          <w:p w14:paraId="6B54FCA8" w14:textId="48CF3BCA" w:rsidR="0002426C" w:rsidRPr="00496130" w:rsidRDefault="0002426C" w:rsidP="00E43D3E">
            <w:pPr>
              <w:rPr>
                <w:sz w:val="20"/>
                <w:szCs w:val="20"/>
              </w:rPr>
            </w:pPr>
            <w:r w:rsidRPr="00496130">
              <w:rPr>
                <w:sz w:val="20"/>
                <w:szCs w:val="20"/>
              </w:rPr>
              <w:t>1925 ±26</w:t>
            </w:r>
          </w:p>
        </w:tc>
        <w:tc>
          <w:tcPr>
            <w:tcW w:w="1075" w:type="pct"/>
            <w:shd w:val="clear" w:color="auto" w:fill="E7E6E6" w:themeFill="background2"/>
            <w:noWrap/>
            <w:hideMark/>
          </w:tcPr>
          <w:p w14:paraId="366DB20B" w14:textId="1B6CBB97" w:rsidR="0002426C" w:rsidRPr="00496130" w:rsidRDefault="0002426C" w:rsidP="0002426C">
            <w:pPr>
              <w:rPr>
                <w:sz w:val="20"/>
                <w:szCs w:val="20"/>
              </w:rPr>
            </w:pPr>
            <w:r w:rsidRPr="00496130">
              <w:rPr>
                <w:smallCaps/>
                <w:sz w:val="18"/>
                <w:szCs w:val="18"/>
              </w:rPr>
              <w:t>a.d.</w:t>
            </w:r>
            <w:r w:rsidRPr="00496130">
              <w:rPr>
                <w:sz w:val="18"/>
                <w:szCs w:val="18"/>
              </w:rPr>
              <w:t xml:space="preserve"> </w:t>
            </w:r>
            <w:r w:rsidRPr="00496130">
              <w:rPr>
                <w:sz w:val="20"/>
                <w:szCs w:val="20"/>
              </w:rPr>
              <w:t>587 - 676 [68.2%]</w:t>
            </w:r>
          </w:p>
        </w:tc>
        <w:tc>
          <w:tcPr>
            <w:tcW w:w="1075" w:type="pct"/>
            <w:shd w:val="clear" w:color="auto" w:fill="E7E6E6" w:themeFill="background2"/>
            <w:noWrap/>
            <w:hideMark/>
          </w:tcPr>
          <w:p w14:paraId="295410F6" w14:textId="5EE371E2" w:rsidR="0002426C" w:rsidRPr="00496130" w:rsidRDefault="0002426C" w:rsidP="0002426C">
            <w:pPr>
              <w:rPr>
                <w:sz w:val="20"/>
                <w:szCs w:val="20"/>
              </w:rPr>
            </w:pPr>
            <w:r w:rsidRPr="00496130">
              <w:rPr>
                <w:smallCaps/>
                <w:sz w:val="18"/>
                <w:szCs w:val="18"/>
              </w:rPr>
              <w:t>a.d.</w:t>
            </w:r>
            <w:r w:rsidRPr="00496130">
              <w:rPr>
                <w:sz w:val="18"/>
                <w:szCs w:val="18"/>
              </w:rPr>
              <w:t xml:space="preserve"> </w:t>
            </w:r>
            <w:r w:rsidRPr="00496130">
              <w:rPr>
                <w:sz w:val="20"/>
                <w:szCs w:val="20"/>
              </w:rPr>
              <w:t>515 - 722 [95.4%]</w:t>
            </w:r>
          </w:p>
        </w:tc>
      </w:tr>
      <w:tr w:rsidR="006A0380" w:rsidRPr="00496130" w14:paraId="6095EBF2" w14:textId="77777777" w:rsidTr="00F068BD">
        <w:trPr>
          <w:trHeight w:val="2672"/>
        </w:trPr>
        <w:tc>
          <w:tcPr>
            <w:tcW w:w="360" w:type="pct"/>
            <w:shd w:val="clear" w:color="auto" w:fill="E7E6E6" w:themeFill="background2"/>
            <w:noWrap/>
            <w:hideMark/>
          </w:tcPr>
          <w:p w14:paraId="135ACD20" w14:textId="77777777" w:rsidR="006A0380" w:rsidRPr="00496130" w:rsidRDefault="006A0380" w:rsidP="00E43D3E">
            <w:pPr>
              <w:rPr>
                <w:sz w:val="20"/>
                <w:szCs w:val="20"/>
              </w:rPr>
            </w:pPr>
            <w:r w:rsidRPr="00496130">
              <w:rPr>
                <w:sz w:val="20"/>
                <w:szCs w:val="20"/>
              </w:rPr>
              <w:t>AAR-29066</w:t>
            </w:r>
          </w:p>
          <w:p w14:paraId="4D251032" w14:textId="35685823" w:rsidR="006A0380" w:rsidRPr="00496130" w:rsidRDefault="006A0380" w:rsidP="00E43D3E">
            <w:pPr>
              <w:rPr>
                <w:sz w:val="20"/>
                <w:szCs w:val="20"/>
              </w:rPr>
            </w:pPr>
          </w:p>
        </w:tc>
        <w:tc>
          <w:tcPr>
            <w:tcW w:w="400" w:type="pct"/>
            <w:shd w:val="clear" w:color="auto" w:fill="E7E6E6" w:themeFill="background2"/>
            <w:noWrap/>
            <w:hideMark/>
          </w:tcPr>
          <w:p w14:paraId="21EB3977" w14:textId="581C8BB3" w:rsidR="006A0380" w:rsidRPr="00496130" w:rsidRDefault="006A0380" w:rsidP="00E43D3E">
            <w:pPr>
              <w:rPr>
                <w:sz w:val="20"/>
                <w:szCs w:val="20"/>
              </w:rPr>
            </w:pPr>
            <w:r w:rsidRPr="00496130">
              <w:rPr>
                <w:sz w:val="20"/>
                <w:szCs w:val="20"/>
              </w:rPr>
              <w:t>ZNZ17-S4</w:t>
            </w:r>
          </w:p>
        </w:tc>
        <w:tc>
          <w:tcPr>
            <w:tcW w:w="345" w:type="pct"/>
            <w:shd w:val="clear" w:color="auto" w:fill="E7E6E6" w:themeFill="background2"/>
            <w:noWrap/>
            <w:hideMark/>
          </w:tcPr>
          <w:p w14:paraId="580841E7" w14:textId="0F70CCDF" w:rsidR="006A0380" w:rsidRPr="00496130" w:rsidRDefault="006A0380" w:rsidP="00E43D3E">
            <w:pPr>
              <w:rPr>
                <w:sz w:val="20"/>
                <w:szCs w:val="20"/>
              </w:rPr>
            </w:pPr>
            <w:r w:rsidRPr="00496130">
              <w:rPr>
                <w:sz w:val="20"/>
                <w:szCs w:val="20"/>
              </w:rPr>
              <w:t>2004</w:t>
            </w:r>
          </w:p>
        </w:tc>
        <w:tc>
          <w:tcPr>
            <w:tcW w:w="317" w:type="pct"/>
            <w:shd w:val="clear" w:color="auto" w:fill="E7E6E6" w:themeFill="background2"/>
            <w:hideMark/>
          </w:tcPr>
          <w:p w14:paraId="4FD5132F" w14:textId="7EDAAA23" w:rsidR="006A0380" w:rsidRPr="00496130" w:rsidRDefault="006A0380" w:rsidP="00E43D3E">
            <w:pPr>
              <w:rPr>
                <w:sz w:val="20"/>
                <w:szCs w:val="20"/>
              </w:rPr>
            </w:pPr>
            <w:r w:rsidRPr="00496130">
              <w:rPr>
                <w:sz w:val="20"/>
                <w:szCs w:val="20"/>
              </w:rPr>
              <w:t>Upper Floor (Interior)</w:t>
            </w:r>
          </w:p>
        </w:tc>
        <w:tc>
          <w:tcPr>
            <w:tcW w:w="374" w:type="pct"/>
            <w:shd w:val="clear" w:color="auto" w:fill="E7E6E6" w:themeFill="background2"/>
            <w:hideMark/>
          </w:tcPr>
          <w:p w14:paraId="3C4DCADD" w14:textId="03B4DA74" w:rsidR="006A0380" w:rsidRPr="00496130" w:rsidRDefault="006A0380" w:rsidP="00E43D3E">
            <w:pPr>
              <w:rPr>
                <w:sz w:val="20"/>
                <w:szCs w:val="20"/>
              </w:rPr>
            </w:pPr>
            <w:r w:rsidRPr="00496130">
              <w:rPr>
                <w:sz w:val="20"/>
                <w:szCs w:val="20"/>
              </w:rPr>
              <w:t>shell concentration</w:t>
            </w:r>
          </w:p>
        </w:tc>
        <w:tc>
          <w:tcPr>
            <w:tcW w:w="669" w:type="pct"/>
            <w:shd w:val="clear" w:color="auto" w:fill="E7E6E6" w:themeFill="background2"/>
            <w:hideMark/>
          </w:tcPr>
          <w:p w14:paraId="0F6C637E" w14:textId="7DA046E8" w:rsidR="006A0380" w:rsidRPr="00496130" w:rsidRDefault="006A0380" w:rsidP="00E43D3E">
            <w:pPr>
              <w:rPr>
                <w:i/>
                <w:iCs/>
                <w:sz w:val="20"/>
                <w:szCs w:val="20"/>
              </w:rPr>
            </w:pPr>
            <w:r w:rsidRPr="00496130">
              <w:rPr>
                <w:sz w:val="20"/>
                <w:szCs w:val="20"/>
              </w:rPr>
              <w:t xml:space="preserve">shell frg </w:t>
            </w:r>
            <w:r w:rsidRPr="00496130">
              <w:rPr>
                <w:i/>
                <w:iCs/>
                <w:sz w:val="20"/>
                <w:szCs w:val="20"/>
              </w:rPr>
              <w:t>(Terebralia palustris)</w:t>
            </w:r>
          </w:p>
        </w:tc>
        <w:tc>
          <w:tcPr>
            <w:tcW w:w="386" w:type="pct"/>
            <w:shd w:val="clear" w:color="auto" w:fill="E7E6E6" w:themeFill="background2"/>
            <w:noWrap/>
            <w:hideMark/>
          </w:tcPr>
          <w:p w14:paraId="4C319F21" w14:textId="254378C8" w:rsidR="006A0380" w:rsidRPr="00496130" w:rsidRDefault="006A0380" w:rsidP="00E43D3E">
            <w:pPr>
              <w:rPr>
                <w:sz w:val="20"/>
                <w:szCs w:val="20"/>
              </w:rPr>
            </w:pPr>
            <w:r w:rsidRPr="00496130">
              <w:rPr>
                <w:sz w:val="20"/>
                <w:szCs w:val="20"/>
              </w:rPr>
              <w:t>1799 ±25</w:t>
            </w:r>
          </w:p>
        </w:tc>
        <w:tc>
          <w:tcPr>
            <w:tcW w:w="1075" w:type="pct"/>
            <w:shd w:val="clear" w:color="auto" w:fill="E7E6E6" w:themeFill="background2"/>
            <w:noWrap/>
            <w:hideMark/>
          </w:tcPr>
          <w:p w14:paraId="26B2A455" w14:textId="5E6D56DF" w:rsidR="006A0380" w:rsidRPr="00496130" w:rsidRDefault="006A0380" w:rsidP="006A0380">
            <w:pPr>
              <w:rPr>
                <w:sz w:val="20"/>
                <w:szCs w:val="20"/>
              </w:rPr>
            </w:pPr>
            <w:r w:rsidRPr="00496130">
              <w:rPr>
                <w:smallCaps/>
                <w:sz w:val="18"/>
                <w:szCs w:val="18"/>
              </w:rPr>
              <w:t>a.d.</w:t>
            </w:r>
            <w:r w:rsidRPr="00496130">
              <w:rPr>
                <w:sz w:val="18"/>
                <w:szCs w:val="18"/>
              </w:rPr>
              <w:t xml:space="preserve"> </w:t>
            </w:r>
            <w:r w:rsidRPr="00496130">
              <w:rPr>
                <w:sz w:val="20"/>
                <w:szCs w:val="20"/>
              </w:rPr>
              <w:t>687 - 781 [68.2%]</w:t>
            </w:r>
          </w:p>
        </w:tc>
        <w:tc>
          <w:tcPr>
            <w:tcW w:w="1075" w:type="pct"/>
            <w:shd w:val="clear" w:color="auto" w:fill="E7E6E6" w:themeFill="background2"/>
            <w:noWrap/>
            <w:hideMark/>
          </w:tcPr>
          <w:p w14:paraId="2E572793" w14:textId="30AF67A6" w:rsidR="006A0380" w:rsidRPr="00496130" w:rsidRDefault="006A0380" w:rsidP="006A0380">
            <w:pPr>
              <w:rPr>
                <w:sz w:val="20"/>
                <w:szCs w:val="20"/>
              </w:rPr>
            </w:pPr>
            <w:r w:rsidRPr="00496130">
              <w:rPr>
                <w:smallCaps/>
                <w:sz w:val="18"/>
                <w:szCs w:val="18"/>
              </w:rPr>
              <w:t>a.d.</w:t>
            </w:r>
            <w:r w:rsidRPr="00496130">
              <w:rPr>
                <w:sz w:val="18"/>
                <w:szCs w:val="18"/>
              </w:rPr>
              <w:t xml:space="preserve"> </w:t>
            </w:r>
            <w:r w:rsidRPr="00496130">
              <w:rPr>
                <w:sz w:val="20"/>
                <w:szCs w:val="20"/>
              </w:rPr>
              <w:t>656 - 861 [95.4%]</w:t>
            </w:r>
          </w:p>
        </w:tc>
      </w:tr>
      <w:tr w:rsidR="006A0380" w:rsidRPr="00496130" w14:paraId="5C0B73D1" w14:textId="77777777" w:rsidTr="00F068BD">
        <w:trPr>
          <w:trHeight w:val="1042"/>
        </w:trPr>
        <w:tc>
          <w:tcPr>
            <w:tcW w:w="360" w:type="pct"/>
            <w:noWrap/>
          </w:tcPr>
          <w:p w14:paraId="0C31914A" w14:textId="59867D0C" w:rsidR="006A0380" w:rsidRPr="00496130" w:rsidRDefault="006A0380" w:rsidP="00E43D3E">
            <w:pPr>
              <w:rPr>
                <w:sz w:val="20"/>
                <w:szCs w:val="20"/>
              </w:rPr>
            </w:pPr>
            <w:r w:rsidRPr="00496130">
              <w:rPr>
                <w:sz w:val="20"/>
                <w:szCs w:val="20"/>
              </w:rPr>
              <w:lastRenderedPageBreak/>
              <w:t>AAR-28403</w:t>
            </w:r>
          </w:p>
        </w:tc>
        <w:tc>
          <w:tcPr>
            <w:tcW w:w="400" w:type="pct"/>
            <w:noWrap/>
          </w:tcPr>
          <w:p w14:paraId="649F8777" w14:textId="614804FA" w:rsidR="006A0380" w:rsidRPr="00496130" w:rsidRDefault="006A0380" w:rsidP="00E43D3E">
            <w:pPr>
              <w:rPr>
                <w:sz w:val="20"/>
                <w:szCs w:val="20"/>
              </w:rPr>
            </w:pPr>
            <w:r w:rsidRPr="00496130">
              <w:rPr>
                <w:sz w:val="20"/>
                <w:szCs w:val="20"/>
              </w:rPr>
              <w:t>ZNZ17-C12</w:t>
            </w:r>
          </w:p>
        </w:tc>
        <w:tc>
          <w:tcPr>
            <w:tcW w:w="345" w:type="pct"/>
            <w:noWrap/>
          </w:tcPr>
          <w:p w14:paraId="571CDA4A" w14:textId="152B9B04" w:rsidR="006A0380" w:rsidRPr="00496130" w:rsidRDefault="006A0380" w:rsidP="00E43D3E">
            <w:pPr>
              <w:rPr>
                <w:sz w:val="20"/>
                <w:szCs w:val="20"/>
              </w:rPr>
            </w:pPr>
            <w:r w:rsidRPr="00496130">
              <w:rPr>
                <w:sz w:val="20"/>
                <w:szCs w:val="20"/>
              </w:rPr>
              <w:t>2006</w:t>
            </w:r>
          </w:p>
        </w:tc>
        <w:tc>
          <w:tcPr>
            <w:tcW w:w="317" w:type="pct"/>
          </w:tcPr>
          <w:p w14:paraId="08EF1E9B" w14:textId="0E5ABC4A" w:rsidR="006A0380" w:rsidRPr="00496130" w:rsidRDefault="006A0380" w:rsidP="00E43D3E">
            <w:pPr>
              <w:rPr>
                <w:sz w:val="20"/>
                <w:szCs w:val="20"/>
              </w:rPr>
            </w:pPr>
            <w:r w:rsidRPr="00496130">
              <w:rPr>
                <w:sz w:val="20"/>
                <w:szCs w:val="20"/>
              </w:rPr>
              <w:t>Upper Floor (Interior)</w:t>
            </w:r>
          </w:p>
        </w:tc>
        <w:tc>
          <w:tcPr>
            <w:tcW w:w="374" w:type="pct"/>
          </w:tcPr>
          <w:p w14:paraId="5875CBFE" w14:textId="133D7493" w:rsidR="006A0380" w:rsidRPr="00496130" w:rsidRDefault="006A0380" w:rsidP="00E43D3E">
            <w:pPr>
              <w:rPr>
                <w:sz w:val="20"/>
                <w:szCs w:val="20"/>
              </w:rPr>
            </w:pPr>
            <w:r w:rsidRPr="00496130">
              <w:rPr>
                <w:sz w:val="20"/>
                <w:szCs w:val="20"/>
              </w:rPr>
              <w:t>earth floor</w:t>
            </w:r>
          </w:p>
        </w:tc>
        <w:tc>
          <w:tcPr>
            <w:tcW w:w="669" w:type="pct"/>
          </w:tcPr>
          <w:p w14:paraId="3A1FA524" w14:textId="073F0850" w:rsidR="006A0380" w:rsidRPr="00496130" w:rsidRDefault="006A0380" w:rsidP="00E43D3E">
            <w:pPr>
              <w:rPr>
                <w:sz w:val="20"/>
                <w:szCs w:val="20"/>
              </w:rPr>
            </w:pPr>
            <w:proofErr w:type="gramStart"/>
            <w:r w:rsidRPr="00496130">
              <w:rPr>
                <w:sz w:val="20"/>
                <w:szCs w:val="20"/>
              </w:rPr>
              <w:t>charcoal</w:t>
            </w:r>
            <w:proofErr w:type="gramEnd"/>
            <w:r w:rsidRPr="00496130">
              <w:rPr>
                <w:sz w:val="20"/>
                <w:szCs w:val="20"/>
              </w:rPr>
              <w:t xml:space="preserve"> (type C), Leguminoseae/Malvaceae?</w:t>
            </w:r>
          </w:p>
        </w:tc>
        <w:tc>
          <w:tcPr>
            <w:tcW w:w="386" w:type="pct"/>
            <w:noWrap/>
          </w:tcPr>
          <w:p w14:paraId="6B0F360F" w14:textId="29C73B9F" w:rsidR="006A0380" w:rsidRPr="00496130" w:rsidRDefault="006A0380" w:rsidP="00E43D3E">
            <w:pPr>
              <w:rPr>
                <w:sz w:val="20"/>
                <w:szCs w:val="20"/>
              </w:rPr>
            </w:pPr>
            <w:r w:rsidRPr="00496130">
              <w:rPr>
                <w:sz w:val="20"/>
                <w:szCs w:val="20"/>
              </w:rPr>
              <w:t>1 ±0</w:t>
            </w:r>
          </w:p>
        </w:tc>
        <w:tc>
          <w:tcPr>
            <w:tcW w:w="1075" w:type="pct"/>
            <w:noWrap/>
          </w:tcPr>
          <w:p w14:paraId="4199D170" w14:textId="2C781E10" w:rsidR="006A0380" w:rsidRPr="00496130" w:rsidRDefault="006A0380" w:rsidP="006A0380">
            <w:pPr>
              <w:rPr>
                <w:sz w:val="20"/>
                <w:szCs w:val="20"/>
              </w:rPr>
            </w:pPr>
            <w:r w:rsidRPr="00496130">
              <w:rPr>
                <w:smallCaps/>
                <w:sz w:val="18"/>
                <w:szCs w:val="18"/>
              </w:rPr>
              <w:t>a.d.</w:t>
            </w:r>
            <w:r w:rsidRPr="00496130">
              <w:rPr>
                <w:sz w:val="18"/>
                <w:szCs w:val="18"/>
              </w:rPr>
              <w:t xml:space="preserve"> </w:t>
            </w:r>
            <w:r w:rsidRPr="00496130">
              <w:rPr>
                <w:sz w:val="20"/>
                <w:szCs w:val="20"/>
              </w:rPr>
              <w:t>1979 - 1980 [68.2%]</w:t>
            </w:r>
          </w:p>
        </w:tc>
        <w:tc>
          <w:tcPr>
            <w:tcW w:w="1075" w:type="pct"/>
            <w:noWrap/>
          </w:tcPr>
          <w:p w14:paraId="4504966C" w14:textId="2916E46F" w:rsidR="006A0380" w:rsidRPr="00496130" w:rsidRDefault="006A0380" w:rsidP="006A0380">
            <w:pPr>
              <w:rPr>
                <w:sz w:val="20"/>
                <w:szCs w:val="20"/>
              </w:rPr>
            </w:pPr>
            <w:r w:rsidRPr="00496130">
              <w:rPr>
                <w:smallCaps/>
                <w:sz w:val="18"/>
                <w:szCs w:val="18"/>
              </w:rPr>
              <w:t>a.d.</w:t>
            </w:r>
            <w:r w:rsidRPr="00496130">
              <w:rPr>
                <w:sz w:val="18"/>
                <w:szCs w:val="18"/>
              </w:rPr>
              <w:t xml:space="preserve"> </w:t>
            </w:r>
            <w:r w:rsidRPr="00496130">
              <w:rPr>
                <w:sz w:val="20"/>
                <w:szCs w:val="20"/>
              </w:rPr>
              <w:t>1978 - 1980 [95.4%]</w:t>
            </w:r>
          </w:p>
        </w:tc>
      </w:tr>
      <w:tr w:rsidR="006A0380" w:rsidRPr="00496130" w14:paraId="53BAA6E6" w14:textId="77777777" w:rsidTr="00F068BD">
        <w:trPr>
          <w:trHeight w:val="300"/>
        </w:trPr>
        <w:tc>
          <w:tcPr>
            <w:tcW w:w="360" w:type="pct"/>
            <w:noWrap/>
            <w:hideMark/>
          </w:tcPr>
          <w:p w14:paraId="72898FEF" w14:textId="68F47F72" w:rsidR="006A0380" w:rsidRPr="00496130" w:rsidRDefault="006A0380" w:rsidP="00E43D3E">
            <w:pPr>
              <w:rPr>
                <w:sz w:val="20"/>
                <w:szCs w:val="20"/>
              </w:rPr>
            </w:pPr>
            <w:r w:rsidRPr="00496130">
              <w:rPr>
                <w:sz w:val="20"/>
                <w:szCs w:val="20"/>
              </w:rPr>
              <w:t>AAR-29067 </w:t>
            </w:r>
          </w:p>
        </w:tc>
        <w:tc>
          <w:tcPr>
            <w:tcW w:w="400" w:type="pct"/>
            <w:noWrap/>
            <w:hideMark/>
          </w:tcPr>
          <w:p w14:paraId="2263A8AE" w14:textId="7E0EF3DB" w:rsidR="006A0380" w:rsidRPr="00496130" w:rsidRDefault="006A0380" w:rsidP="00E43D3E">
            <w:pPr>
              <w:rPr>
                <w:sz w:val="20"/>
                <w:szCs w:val="20"/>
              </w:rPr>
            </w:pPr>
            <w:r w:rsidRPr="00496130">
              <w:rPr>
                <w:sz w:val="20"/>
                <w:szCs w:val="20"/>
              </w:rPr>
              <w:t>ZNZ17-C12-2</w:t>
            </w:r>
          </w:p>
        </w:tc>
        <w:tc>
          <w:tcPr>
            <w:tcW w:w="345" w:type="pct"/>
            <w:noWrap/>
            <w:hideMark/>
          </w:tcPr>
          <w:p w14:paraId="644AE191" w14:textId="0BF729FE" w:rsidR="006A0380" w:rsidRPr="00496130" w:rsidRDefault="006A0380" w:rsidP="00E43D3E">
            <w:pPr>
              <w:rPr>
                <w:sz w:val="20"/>
                <w:szCs w:val="20"/>
              </w:rPr>
            </w:pPr>
            <w:r w:rsidRPr="00496130">
              <w:rPr>
                <w:sz w:val="20"/>
                <w:szCs w:val="20"/>
              </w:rPr>
              <w:t>2006</w:t>
            </w:r>
          </w:p>
        </w:tc>
        <w:tc>
          <w:tcPr>
            <w:tcW w:w="317" w:type="pct"/>
            <w:hideMark/>
          </w:tcPr>
          <w:p w14:paraId="27BC6705" w14:textId="42C3349F" w:rsidR="006A0380" w:rsidRPr="00496130" w:rsidRDefault="006A0380" w:rsidP="00E43D3E">
            <w:pPr>
              <w:rPr>
                <w:sz w:val="20"/>
                <w:szCs w:val="20"/>
              </w:rPr>
            </w:pPr>
            <w:r w:rsidRPr="00496130">
              <w:rPr>
                <w:sz w:val="20"/>
                <w:szCs w:val="20"/>
              </w:rPr>
              <w:t>Upper Floor (Interior)</w:t>
            </w:r>
          </w:p>
        </w:tc>
        <w:tc>
          <w:tcPr>
            <w:tcW w:w="374" w:type="pct"/>
            <w:hideMark/>
          </w:tcPr>
          <w:p w14:paraId="01C90183" w14:textId="71EBB571" w:rsidR="006A0380" w:rsidRPr="00496130" w:rsidRDefault="006A0380" w:rsidP="00E43D3E">
            <w:pPr>
              <w:rPr>
                <w:sz w:val="20"/>
                <w:szCs w:val="20"/>
              </w:rPr>
            </w:pPr>
            <w:r w:rsidRPr="00496130">
              <w:rPr>
                <w:sz w:val="20"/>
                <w:szCs w:val="20"/>
              </w:rPr>
              <w:t>earth floor</w:t>
            </w:r>
          </w:p>
        </w:tc>
        <w:tc>
          <w:tcPr>
            <w:tcW w:w="669" w:type="pct"/>
            <w:hideMark/>
          </w:tcPr>
          <w:p w14:paraId="174BB823" w14:textId="668771C7" w:rsidR="006A0380" w:rsidRPr="00496130" w:rsidRDefault="006A0380" w:rsidP="00E43D3E">
            <w:pPr>
              <w:rPr>
                <w:sz w:val="20"/>
                <w:szCs w:val="20"/>
              </w:rPr>
            </w:pPr>
            <w:r w:rsidRPr="00496130">
              <w:rPr>
                <w:sz w:val="20"/>
                <w:szCs w:val="20"/>
              </w:rPr>
              <w:t>*charcoal (frg 29, type I)</w:t>
            </w:r>
          </w:p>
        </w:tc>
        <w:tc>
          <w:tcPr>
            <w:tcW w:w="386" w:type="pct"/>
            <w:noWrap/>
            <w:hideMark/>
          </w:tcPr>
          <w:p w14:paraId="4EE3DD60" w14:textId="258C3984" w:rsidR="006A0380" w:rsidRPr="00496130" w:rsidRDefault="006A0380" w:rsidP="00E43D3E">
            <w:pPr>
              <w:rPr>
                <w:sz w:val="20"/>
                <w:szCs w:val="20"/>
              </w:rPr>
            </w:pPr>
            <w:r w:rsidRPr="00496130">
              <w:rPr>
                <w:sz w:val="20"/>
                <w:szCs w:val="20"/>
              </w:rPr>
              <w:t>1659 ±27</w:t>
            </w:r>
          </w:p>
        </w:tc>
        <w:tc>
          <w:tcPr>
            <w:tcW w:w="1075" w:type="pct"/>
            <w:noWrap/>
            <w:hideMark/>
          </w:tcPr>
          <w:p w14:paraId="7F05F7B8" w14:textId="056E4575" w:rsidR="006A0380" w:rsidRPr="00496130" w:rsidRDefault="006A0380" w:rsidP="00E43D3E">
            <w:pPr>
              <w:rPr>
                <w:sz w:val="20"/>
                <w:szCs w:val="20"/>
              </w:rPr>
            </w:pPr>
            <w:r w:rsidRPr="00496130">
              <w:rPr>
                <w:smallCaps/>
                <w:sz w:val="18"/>
                <w:szCs w:val="18"/>
              </w:rPr>
              <w:t>a.d.</w:t>
            </w:r>
            <w:r w:rsidRPr="00496130">
              <w:rPr>
                <w:sz w:val="18"/>
                <w:szCs w:val="18"/>
              </w:rPr>
              <w:t xml:space="preserve"> </w:t>
            </w:r>
            <w:r w:rsidRPr="00496130">
              <w:rPr>
                <w:sz w:val="20"/>
                <w:szCs w:val="20"/>
              </w:rPr>
              <w:t>391 - 400 [5.2%]</w:t>
            </w:r>
          </w:p>
          <w:p w14:paraId="24E17A29" w14:textId="17504DC9" w:rsidR="006A0380" w:rsidRPr="00496130" w:rsidRDefault="006A0380" w:rsidP="00E43D3E">
            <w:pPr>
              <w:rPr>
                <w:sz w:val="20"/>
                <w:szCs w:val="20"/>
              </w:rPr>
            </w:pPr>
            <w:r w:rsidRPr="00496130">
              <w:rPr>
                <w:smallCaps/>
                <w:sz w:val="18"/>
                <w:szCs w:val="18"/>
              </w:rPr>
              <w:t>a.d.</w:t>
            </w:r>
            <w:r w:rsidRPr="00496130">
              <w:rPr>
                <w:sz w:val="18"/>
                <w:szCs w:val="18"/>
              </w:rPr>
              <w:t xml:space="preserve"> </w:t>
            </w:r>
            <w:r w:rsidRPr="00496130">
              <w:rPr>
                <w:sz w:val="20"/>
                <w:szCs w:val="20"/>
              </w:rPr>
              <w:t>406 - 477 [60.1%]</w:t>
            </w:r>
          </w:p>
          <w:p w14:paraId="16B0815F" w14:textId="40BACEAF" w:rsidR="006A0380" w:rsidRPr="00496130" w:rsidRDefault="006A0380" w:rsidP="006A0380">
            <w:pPr>
              <w:rPr>
                <w:sz w:val="20"/>
                <w:szCs w:val="20"/>
              </w:rPr>
            </w:pPr>
            <w:r w:rsidRPr="00496130">
              <w:rPr>
                <w:smallCaps/>
                <w:sz w:val="18"/>
                <w:szCs w:val="18"/>
              </w:rPr>
              <w:t>a.d.</w:t>
            </w:r>
            <w:r w:rsidRPr="00496130">
              <w:rPr>
                <w:sz w:val="18"/>
                <w:szCs w:val="18"/>
              </w:rPr>
              <w:t xml:space="preserve"> </w:t>
            </w:r>
            <w:r w:rsidRPr="00496130">
              <w:rPr>
                <w:sz w:val="20"/>
                <w:szCs w:val="20"/>
              </w:rPr>
              <w:t>512 - 517 [3.0%]</w:t>
            </w:r>
          </w:p>
        </w:tc>
        <w:tc>
          <w:tcPr>
            <w:tcW w:w="1075" w:type="pct"/>
            <w:noWrap/>
            <w:hideMark/>
          </w:tcPr>
          <w:p w14:paraId="0C5FD6A8" w14:textId="4C1FF600" w:rsidR="006A0380" w:rsidRPr="00496130" w:rsidRDefault="006A0380" w:rsidP="006A0380">
            <w:pPr>
              <w:rPr>
                <w:sz w:val="20"/>
                <w:szCs w:val="20"/>
              </w:rPr>
            </w:pPr>
            <w:r w:rsidRPr="00496130">
              <w:rPr>
                <w:smallCaps/>
                <w:sz w:val="18"/>
                <w:szCs w:val="18"/>
              </w:rPr>
              <w:t>a.d.</w:t>
            </w:r>
            <w:r w:rsidRPr="00496130">
              <w:rPr>
                <w:sz w:val="18"/>
                <w:szCs w:val="18"/>
              </w:rPr>
              <w:t xml:space="preserve"> </w:t>
            </w:r>
            <w:r w:rsidRPr="00496130">
              <w:rPr>
                <w:sz w:val="20"/>
                <w:szCs w:val="20"/>
              </w:rPr>
              <w:t>380 - 526 [95.4%]</w:t>
            </w:r>
          </w:p>
        </w:tc>
      </w:tr>
      <w:tr w:rsidR="00715DC6" w:rsidRPr="00496130" w14:paraId="52B0E7C0" w14:textId="77777777" w:rsidTr="00F068BD">
        <w:trPr>
          <w:trHeight w:val="300"/>
        </w:trPr>
        <w:tc>
          <w:tcPr>
            <w:tcW w:w="360" w:type="pct"/>
            <w:noWrap/>
            <w:hideMark/>
          </w:tcPr>
          <w:p w14:paraId="26E420D4" w14:textId="77777777" w:rsidR="00715DC6" w:rsidRPr="00496130" w:rsidRDefault="00715DC6" w:rsidP="00E43D3E">
            <w:pPr>
              <w:rPr>
                <w:sz w:val="20"/>
                <w:szCs w:val="20"/>
              </w:rPr>
            </w:pPr>
            <w:r w:rsidRPr="00496130">
              <w:rPr>
                <w:sz w:val="20"/>
                <w:szCs w:val="20"/>
              </w:rPr>
              <w:t>AAR-28408</w:t>
            </w:r>
          </w:p>
          <w:p w14:paraId="3AA1A46A" w14:textId="113AB730" w:rsidR="00715DC6" w:rsidRPr="00496130" w:rsidRDefault="00715DC6" w:rsidP="00E43D3E">
            <w:pPr>
              <w:rPr>
                <w:sz w:val="20"/>
                <w:szCs w:val="20"/>
              </w:rPr>
            </w:pPr>
          </w:p>
        </w:tc>
        <w:tc>
          <w:tcPr>
            <w:tcW w:w="400" w:type="pct"/>
            <w:noWrap/>
            <w:hideMark/>
          </w:tcPr>
          <w:p w14:paraId="662D4EB2" w14:textId="1E9A6298" w:rsidR="00715DC6" w:rsidRPr="00496130" w:rsidRDefault="00715DC6" w:rsidP="00E43D3E">
            <w:pPr>
              <w:rPr>
                <w:sz w:val="20"/>
                <w:szCs w:val="20"/>
              </w:rPr>
            </w:pPr>
            <w:r w:rsidRPr="00496130">
              <w:rPr>
                <w:sz w:val="20"/>
                <w:szCs w:val="20"/>
              </w:rPr>
              <w:t>ZNZ17-C26</w:t>
            </w:r>
          </w:p>
        </w:tc>
        <w:tc>
          <w:tcPr>
            <w:tcW w:w="345" w:type="pct"/>
            <w:noWrap/>
            <w:hideMark/>
          </w:tcPr>
          <w:p w14:paraId="7330FAD9" w14:textId="6BDDE65B" w:rsidR="00715DC6" w:rsidRPr="00496130" w:rsidRDefault="00715DC6" w:rsidP="00E43D3E">
            <w:pPr>
              <w:rPr>
                <w:sz w:val="20"/>
                <w:szCs w:val="20"/>
              </w:rPr>
            </w:pPr>
            <w:r w:rsidRPr="00496130">
              <w:rPr>
                <w:sz w:val="20"/>
                <w:szCs w:val="20"/>
              </w:rPr>
              <w:t>2009</w:t>
            </w:r>
          </w:p>
        </w:tc>
        <w:tc>
          <w:tcPr>
            <w:tcW w:w="317" w:type="pct"/>
            <w:hideMark/>
          </w:tcPr>
          <w:p w14:paraId="39143E29" w14:textId="75506A71" w:rsidR="00715DC6" w:rsidRPr="00496130" w:rsidRDefault="00715DC6" w:rsidP="00E43D3E">
            <w:pPr>
              <w:rPr>
                <w:sz w:val="20"/>
                <w:szCs w:val="20"/>
              </w:rPr>
            </w:pPr>
            <w:r w:rsidRPr="00496130">
              <w:rPr>
                <w:sz w:val="20"/>
                <w:szCs w:val="20"/>
              </w:rPr>
              <w:t>Upper Floor (Interior)</w:t>
            </w:r>
          </w:p>
        </w:tc>
        <w:tc>
          <w:tcPr>
            <w:tcW w:w="374" w:type="pct"/>
            <w:hideMark/>
          </w:tcPr>
          <w:p w14:paraId="58A170F4" w14:textId="3BBFACA7" w:rsidR="00715DC6" w:rsidRPr="00496130" w:rsidRDefault="00715DC6" w:rsidP="00E43D3E">
            <w:pPr>
              <w:rPr>
                <w:sz w:val="20"/>
                <w:szCs w:val="20"/>
              </w:rPr>
            </w:pPr>
            <w:proofErr w:type="gramStart"/>
            <w:r w:rsidRPr="00496130">
              <w:rPr>
                <w:sz w:val="20"/>
                <w:szCs w:val="20"/>
              </w:rPr>
              <w:t>burnt</w:t>
            </w:r>
            <w:proofErr w:type="gramEnd"/>
            <w:r w:rsidRPr="00496130">
              <w:rPr>
                <w:sz w:val="20"/>
                <w:szCs w:val="20"/>
              </w:rPr>
              <w:t xml:space="preserve"> feature (hearth?)</w:t>
            </w:r>
          </w:p>
        </w:tc>
        <w:tc>
          <w:tcPr>
            <w:tcW w:w="669" w:type="pct"/>
            <w:hideMark/>
          </w:tcPr>
          <w:p w14:paraId="4477141C" w14:textId="585764FB" w:rsidR="00715DC6" w:rsidRPr="00496130" w:rsidRDefault="00715DC6" w:rsidP="00E43D3E">
            <w:pPr>
              <w:rPr>
                <w:sz w:val="20"/>
                <w:szCs w:val="20"/>
              </w:rPr>
            </w:pPr>
            <w:proofErr w:type="gramStart"/>
            <w:r w:rsidRPr="00496130">
              <w:rPr>
                <w:sz w:val="20"/>
                <w:szCs w:val="20"/>
              </w:rPr>
              <w:t>charcoal</w:t>
            </w:r>
            <w:proofErr w:type="gramEnd"/>
            <w:r w:rsidRPr="00496130">
              <w:rPr>
                <w:sz w:val="20"/>
                <w:szCs w:val="20"/>
              </w:rPr>
              <w:t xml:space="preserve"> (type K), Rhizoporaceae- mangrove?</w:t>
            </w:r>
          </w:p>
        </w:tc>
        <w:tc>
          <w:tcPr>
            <w:tcW w:w="386" w:type="pct"/>
            <w:noWrap/>
            <w:hideMark/>
          </w:tcPr>
          <w:p w14:paraId="274B5D5A" w14:textId="24F5F326" w:rsidR="00715DC6" w:rsidRPr="00496130" w:rsidRDefault="00715DC6" w:rsidP="00E43D3E">
            <w:pPr>
              <w:rPr>
                <w:sz w:val="20"/>
                <w:szCs w:val="20"/>
              </w:rPr>
            </w:pPr>
            <w:r w:rsidRPr="00496130">
              <w:rPr>
                <w:sz w:val="20"/>
                <w:szCs w:val="20"/>
              </w:rPr>
              <w:t>1245 ±33</w:t>
            </w:r>
          </w:p>
        </w:tc>
        <w:tc>
          <w:tcPr>
            <w:tcW w:w="1075" w:type="pct"/>
            <w:noWrap/>
            <w:hideMark/>
          </w:tcPr>
          <w:p w14:paraId="0CCEBAEF" w14:textId="197971A2" w:rsidR="00715DC6" w:rsidRPr="00496130" w:rsidRDefault="00715DC6" w:rsidP="00E43D3E">
            <w:pPr>
              <w:rPr>
                <w:sz w:val="20"/>
                <w:szCs w:val="20"/>
              </w:rPr>
            </w:pPr>
            <w:r w:rsidRPr="00496130">
              <w:rPr>
                <w:smallCaps/>
                <w:sz w:val="18"/>
                <w:szCs w:val="18"/>
              </w:rPr>
              <w:t>a.d.</w:t>
            </w:r>
            <w:r w:rsidRPr="00496130">
              <w:rPr>
                <w:sz w:val="18"/>
                <w:szCs w:val="18"/>
              </w:rPr>
              <w:t xml:space="preserve"> </w:t>
            </w:r>
            <w:r w:rsidRPr="00496130">
              <w:rPr>
                <w:sz w:val="20"/>
                <w:szCs w:val="20"/>
              </w:rPr>
              <w:t xml:space="preserve">774 </w:t>
            </w:r>
            <w:r w:rsidR="00B555EA" w:rsidRPr="00496130">
              <w:rPr>
                <w:sz w:val="20"/>
                <w:szCs w:val="20"/>
              </w:rPr>
              <w:t>- 818</w:t>
            </w:r>
            <w:r w:rsidRPr="00496130">
              <w:rPr>
                <w:sz w:val="20"/>
                <w:szCs w:val="20"/>
              </w:rPr>
              <w:t xml:space="preserve"> [32.8%]</w:t>
            </w:r>
          </w:p>
          <w:p w14:paraId="1148FDBF" w14:textId="312011E6" w:rsidR="00715DC6" w:rsidRPr="00496130" w:rsidRDefault="00715DC6" w:rsidP="00715DC6">
            <w:pPr>
              <w:rPr>
                <w:sz w:val="20"/>
                <w:szCs w:val="20"/>
              </w:rPr>
            </w:pPr>
            <w:r w:rsidRPr="00496130">
              <w:rPr>
                <w:smallCaps/>
                <w:sz w:val="18"/>
                <w:szCs w:val="18"/>
              </w:rPr>
              <w:t>a.d.</w:t>
            </w:r>
            <w:r w:rsidRPr="00496130">
              <w:rPr>
                <w:sz w:val="18"/>
                <w:szCs w:val="18"/>
              </w:rPr>
              <w:t xml:space="preserve"> </w:t>
            </w:r>
            <w:r w:rsidRPr="00496130">
              <w:rPr>
                <w:sz w:val="20"/>
                <w:szCs w:val="20"/>
              </w:rPr>
              <w:t>836 - 883 [35.4%]</w:t>
            </w:r>
          </w:p>
        </w:tc>
        <w:tc>
          <w:tcPr>
            <w:tcW w:w="1075" w:type="pct"/>
            <w:noWrap/>
            <w:hideMark/>
          </w:tcPr>
          <w:p w14:paraId="6BA0DB94" w14:textId="6FD2EF18" w:rsidR="00715DC6" w:rsidRPr="00496130" w:rsidRDefault="00715DC6" w:rsidP="00E43D3E">
            <w:pPr>
              <w:rPr>
                <w:sz w:val="20"/>
                <w:szCs w:val="20"/>
              </w:rPr>
            </w:pPr>
            <w:r w:rsidRPr="00496130">
              <w:rPr>
                <w:smallCaps/>
                <w:sz w:val="18"/>
                <w:szCs w:val="18"/>
              </w:rPr>
              <w:t>a.d.</w:t>
            </w:r>
            <w:r w:rsidRPr="00496130">
              <w:rPr>
                <w:sz w:val="18"/>
                <w:szCs w:val="18"/>
              </w:rPr>
              <w:t xml:space="preserve"> </w:t>
            </w:r>
            <w:r w:rsidRPr="00496130">
              <w:rPr>
                <w:sz w:val="20"/>
                <w:szCs w:val="20"/>
              </w:rPr>
              <w:t>690 - 704 [ 1.5%]</w:t>
            </w:r>
          </w:p>
          <w:p w14:paraId="77C2973C" w14:textId="10295466" w:rsidR="00715DC6" w:rsidRPr="00496130" w:rsidRDefault="00715DC6" w:rsidP="00715DC6">
            <w:pPr>
              <w:rPr>
                <w:sz w:val="20"/>
                <w:szCs w:val="20"/>
              </w:rPr>
            </w:pPr>
            <w:r w:rsidRPr="00496130">
              <w:rPr>
                <w:smallCaps/>
                <w:sz w:val="18"/>
                <w:szCs w:val="18"/>
              </w:rPr>
              <w:t>a.d.</w:t>
            </w:r>
            <w:r w:rsidRPr="00496130">
              <w:rPr>
                <w:sz w:val="18"/>
                <w:szCs w:val="18"/>
              </w:rPr>
              <w:t xml:space="preserve"> </w:t>
            </w:r>
            <w:r w:rsidRPr="00496130">
              <w:rPr>
                <w:sz w:val="20"/>
                <w:szCs w:val="20"/>
              </w:rPr>
              <w:t>711 - 734 [ 2.5%]</w:t>
            </w:r>
          </w:p>
          <w:p w14:paraId="1C97980F" w14:textId="160650C1" w:rsidR="00715DC6" w:rsidRPr="00496130" w:rsidRDefault="00715DC6" w:rsidP="00715DC6">
            <w:pPr>
              <w:rPr>
                <w:sz w:val="20"/>
                <w:szCs w:val="20"/>
              </w:rPr>
            </w:pPr>
            <w:r w:rsidRPr="00496130">
              <w:rPr>
                <w:smallCaps/>
                <w:sz w:val="18"/>
                <w:szCs w:val="18"/>
              </w:rPr>
              <w:t>a.d.</w:t>
            </w:r>
            <w:r w:rsidRPr="00496130">
              <w:rPr>
                <w:sz w:val="18"/>
                <w:szCs w:val="18"/>
              </w:rPr>
              <w:t xml:space="preserve"> </w:t>
            </w:r>
            <w:r w:rsidRPr="00496130">
              <w:rPr>
                <w:sz w:val="20"/>
                <w:szCs w:val="20"/>
              </w:rPr>
              <w:t>765 - 897 [86.9%]</w:t>
            </w:r>
          </w:p>
          <w:p w14:paraId="383B36C5" w14:textId="7F30D194" w:rsidR="00715DC6" w:rsidRPr="00496130" w:rsidRDefault="00715DC6" w:rsidP="00715DC6">
            <w:pPr>
              <w:rPr>
                <w:sz w:val="20"/>
                <w:szCs w:val="20"/>
              </w:rPr>
            </w:pPr>
            <w:r w:rsidRPr="00496130">
              <w:rPr>
                <w:smallCaps/>
                <w:sz w:val="18"/>
                <w:szCs w:val="18"/>
              </w:rPr>
              <w:t>a.d.</w:t>
            </w:r>
            <w:r w:rsidRPr="00496130">
              <w:rPr>
                <w:sz w:val="18"/>
                <w:szCs w:val="18"/>
              </w:rPr>
              <w:t xml:space="preserve"> </w:t>
            </w:r>
            <w:r w:rsidRPr="00496130">
              <w:rPr>
                <w:sz w:val="20"/>
                <w:szCs w:val="20"/>
              </w:rPr>
              <w:t>931 - 960 [ 4.5%]</w:t>
            </w:r>
          </w:p>
        </w:tc>
      </w:tr>
      <w:tr w:rsidR="00715DC6" w:rsidRPr="00496130" w14:paraId="5B2E4F16" w14:textId="77777777" w:rsidTr="00F068BD">
        <w:trPr>
          <w:trHeight w:val="510"/>
        </w:trPr>
        <w:tc>
          <w:tcPr>
            <w:tcW w:w="360" w:type="pct"/>
            <w:noWrap/>
          </w:tcPr>
          <w:p w14:paraId="67B795D3" w14:textId="33FDCD3F" w:rsidR="00715DC6" w:rsidRPr="00496130" w:rsidRDefault="00715DC6" w:rsidP="00E43D3E">
            <w:pPr>
              <w:rPr>
                <w:sz w:val="20"/>
                <w:szCs w:val="20"/>
              </w:rPr>
            </w:pPr>
            <w:r w:rsidRPr="00496130">
              <w:rPr>
                <w:sz w:val="20"/>
                <w:szCs w:val="20"/>
              </w:rPr>
              <w:t>AAR-29059</w:t>
            </w:r>
          </w:p>
        </w:tc>
        <w:tc>
          <w:tcPr>
            <w:tcW w:w="400" w:type="pct"/>
            <w:noWrap/>
            <w:hideMark/>
          </w:tcPr>
          <w:p w14:paraId="08FBC122" w14:textId="55793ED0" w:rsidR="00715DC6" w:rsidRPr="00496130" w:rsidRDefault="00715DC6" w:rsidP="00E43D3E">
            <w:pPr>
              <w:rPr>
                <w:sz w:val="20"/>
                <w:szCs w:val="20"/>
              </w:rPr>
            </w:pPr>
            <w:r w:rsidRPr="00496130">
              <w:rPr>
                <w:sz w:val="20"/>
                <w:szCs w:val="20"/>
              </w:rPr>
              <w:t> ZNZ17-C15</w:t>
            </w:r>
          </w:p>
        </w:tc>
        <w:tc>
          <w:tcPr>
            <w:tcW w:w="345" w:type="pct"/>
            <w:noWrap/>
            <w:hideMark/>
          </w:tcPr>
          <w:p w14:paraId="3D2CE408" w14:textId="589E2B35" w:rsidR="00715DC6" w:rsidRPr="00496130" w:rsidRDefault="00715DC6" w:rsidP="00E43D3E">
            <w:pPr>
              <w:rPr>
                <w:sz w:val="20"/>
                <w:szCs w:val="20"/>
              </w:rPr>
            </w:pPr>
            <w:r w:rsidRPr="00496130">
              <w:rPr>
                <w:sz w:val="20"/>
                <w:szCs w:val="20"/>
              </w:rPr>
              <w:t>2012</w:t>
            </w:r>
          </w:p>
        </w:tc>
        <w:tc>
          <w:tcPr>
            <w:tcW w:w="317" w:type="pct"/>
            <w:hideMark/>
          </w:tcPr>
          <w:p w14:paraId="7E34E6F6" w14:textId="5A84BF0F" w:rsidR="00715DC6" w:rsidRPr="00496130" w:rsidRDefault="00715DC6" w:rsidP="00E43D3E">
            <w:pPr>
              <w:rPr>
                <w:sz w:val="20"/>
                <w:szCs w:val="20"/>
              </w:rPr>
            </w:pPr>
            <w:r w:rsidRPr="00496130">
              <w:rPr>
                <w:sz w:val="20"/>
                <w:szCs w:val="20"/>
              </w:rPr>
              <w:t>Upper Floor (Interior)</w:t>
            </w:r>
          </w:p>
        </w:tc>
        <w:tc>
          <w:tcPr>
            <w:tcW w:w="374" w:type="pct"/>
            <w:hideMark/>
          </w:tcPr>
          <w:p w14:paraId="4E8D6653" w14:textId="5DB174FF" w:rsidR="00715DC6" w:rsidRPr="00496130" w:rsidRDefault="00715DC6" w:rsidP="00E43D3E">
            <w:pPr>
              <w:rPr>
                <w:sz w:val="20"/>
                <w:szCs w:val="20"/>
              </w:rPr>
            </w:pPr>
            <w:proofErr w:type="gramStart"/>
            <w:r w:rsidRPr="00496130">
              <w:rPr>
                <w:sz w:val="20"/>
                <w:szCs w:val="20"/>
              </w:rPr>
              <w:t>charcoal-rich</w:t>
            </w:r>
            <w:proofErr w:type="gramEnd"/>
            <w:r w:rsidRPr="00496130">
              <w:rPr>
                <w:sz w:val="20"/>
                <w:szCs w:val="20"/>
              </w:rPr>
              <w:t xml:space="preserve"> (hearth?)</w:t>
            </w:r>
          </w:p>
        </w:tc>
        <w:tc>
          <w:tcPr>
            <w:tcW w:w="669" w:type="pct"/>
            <w:hideMark/>
          </w:tcPr>
          <w:p w14:paraId="219B5AD7" w14:textId="3384D5A5" w:rsidR="00715DC6" w:rsidRPr="00496130" w:rsidRDefault="00715DC6" w:rsidP="00E43D3E">
            <w:pPr>
              <w:rPr>
                <w:sz w:val="20"/>
                <w:szCs w:val="20"/>
              </w:rPr>
            </w:pPr>
            <w:r w:rsidRPr="00496130">
              <w:rPr>
                <w:sz w:val="20"/>
                <w:szCs w:val="20"/>
              </w:rPr>
              <w:t>*charcoal (frg 10, type K2)</w:t>
            </w:r>
          </w:p>
        </w:tc>
        <w:tc>
          <w:tcPr>
            <w:tcW w:w="386" w:type="pct"/>
            <w:noWrap/>
            <w:hideMark/>
          </w:tcPr>
          <w:p w14:paraId="0299C030" w14:textId="77777777" w:rsidR="00715DC6" w:rsidRPr="00496130" w:rsidRDefault="00715DC6" w:rsidP="00E43D3E">
            <w:pPr>
              <w:rPr>
                <w:sz w:val="20"/>
                <w:szCs w:val="20"/>
              </w:rPr>
            </w:pPr>
            <w:r w:rsidRPr="00496130">
              <w:rPr>
                <w:sz w:val="20"/>
                <w:szCs w:val="20"/>
              </w:rPr>
              <w:t>1240 ±22</w:t>
            </w:r>
          </w:p>
          <w:p w14:paraId="5FF8B807" w14:textId="4B6BBD82" w:rsidR="00715DC6" w:rsidRPr="00496130" w:rsidRDefault="00715DC6" w:rsidP="00E43D3E">
            <w:pPr>
              <w:rPr>
                <w:sz w:val="20"/>
                <w:szCs w:val="20"/>
              </w:rPr>
            </w:pPr>
          </w:p>
        </w:tc>
        <w:tc>
          <w:tcPr>
            <w:tcW w:w="1075" w:type="pct"/>
            <w:noWrap/>
            <w:hideMark/>
          </w:tcPr>
          <w:p w14:paraId="63B8E126" w14:textId="7F51FA8A" w:rsidR="00715DC6" w:rsidRPr="00496130" w:rsidRDefault="00715DC6" w:rsidP="00E43D3E">
            <w:pPr>
              <w:rPr>
                <w:sz w:val="20"/>
                <w:szCs w:val="20"/>
              </w:rPr>
            </w:pPr>
          </w:p>
        </w:tc>
        <w:tc>
          <w:tcPr>
            <w:tcW w:w="1075" w:type="pct"/>
            <w:noWrap/>
            <w:hideMark/>
          </w:tcPr>
          <w:p w14:paraId="46A24B44" w14:textId="070589EE" w:rsidR="00715DC6" w:rsidRPr="00496130" w:rsidRDefault="00715DC6" w:rsidP="00E43D3E">
            <w:pPr>
              <w:rPr>
                <w:sz w:val="20"/>
                <w:szCs w:val="20"/>
              </w:rPr>
            </w:pPr>
          </w:p>
        </w:tc>
      </w:tr>
      <w:tr w:rsidR="00F068BD" w:rsidRPr="00496130" w14:paraId="121A7082" w14:textId="77777777" w:rsidTr="00F068BD">
        <w:trPr>
          <w:trHeight w:val="300"/>
        </w:trPr>
        <w:tc>
          <w:tcPr>
            <w:tcW w:w="360" w:type="pct"/>
            <w:shd w:val="clear" w:color="auto" w:fill="E7E6E6" w:themeFill="background2"/>
            <w:hideMark/>
          </w:tcPr>
          <w:p w14:paraId="1A9CE19A" w14:textId="44904C6F" w:rsidR="00715DC6" w:rsidRPr="00496130" w:rsidRDefault="00715DC6">
            <w:pPr>
              <w:rPr>
                <w:sz w:val="20"/>
                <w:szCs w:val="20"/>
              </w:rPr>
            </w:pPr>
            <w:r w:rsidRPr="00496130">
              <w:rPr>
                <w:sz w:val="20"/>
                <w:szCs w:val="20"/>
              </w:rPr>
              <w:lastRenderedPageBreak/>
              <w:t>AAR-29062</w:t>
            </w:r>
          </w:p>
        </w:tc>
        <w:tc>
          <w:tcPr>
            <w:tcW w:w="400" w:type="pct"/>
            <w:shd w:val="clear" w:color="auto" w:fill="E7E6E6" w:themeFill="background2"/>
            <w:noWrap/>
            <w:hideMark/>
          </w:tcPr>
          <w:p w14:paraId="0F8785EC" w14:textId="1764DBB5" w:rsidR="00715DC6" w:rsidRPr="00496130" w:rsidRDefault="00715DC6" w:rsidP="00E43D3E">
            <w:pPr>
              <w:rPr>
                <w:sz w:val="20"/>
                <w:szCs w:val="20"/>
              </w:rPr>
            </w:pPr>
            <w:r w:rsidRPr="00496130">
              <w:rPr>
                <w:sz w:val="20"/>
                <w:szCs w:val="20"/>
              </w:rPr>
              <w:t> ZNZ-C28</w:t>
            </w:r>
          </w:p>
        </w:tc>
        <w:tc>
          <w:tcPr>
            <w:tcW w:w="345" w:type="pct"/>
            <w:shd w:val="clear" w:color="auto" w:fill="E7E6E6" w:themeFill="background2"/>
            <w:noWrap/>
            <w:hideMark/>
          </w:tcPr>
          <w:p w14:paraId="5D297251" w14:textId="19E3CCF0" w:rsidR="00715DC6" w:rsidRPr="00496130" w:rsidRDefault="00715DC6" w:rsidP="00E43D3E">
            <w:pPr>
              <w:rPr>
                <w:sz w:val="20"/>
                <w:szCs w:val="20"/>
              </w:rPr>
            </w:pPr>
            <w:r w:rsidRPr="00496130">
              <w:rPr>
                <w:sz w:val="20"/>
                <w:szCs w:val="20"/>
              </w:rPr>
              <w:t>2014</w:t>
            </w:r>
          </w:p>
        </w:tc>
        <w:tc>
          <w:tcPr>
            <w:tcW w:w="317" w:type="pct"/>
            <w:shd w:val="clear" w:color="auto" w:fill="E7E6E6" w:themeFill="background2"/>
            <w:hideMark/>
          </w:tcPr>
          <w:p w14:paraId="1A13877D" w14:textId="6B676F57" w:rsidR="00715DC6" w:rsidRPr="00496130" w:rsidRDefault="00715DC6" w:rsidP="00E43D3E">
            <w:pPr>
              <w:rPr>
                <w:sz w:val="20"/>
                <w:szCs w:val="20"/>
              </w:rPr>
            </w:pPr>
            <w:r w:rsidRPr="00496130">
              <w:rPr>
                <w:sz w:val="20"/>
                <w:szCs w:val="20"/>
              </w:rPr>
              <w:t>Lower Floor (Exterior)</w:t>
            </w:r>
          </w:p>
        </w:tc>
        <w:tc>
          <w:tcPr>
            <w:tcW w:w="374" w:type="pct"/>
            <w:shd w:val="clear" w:color="auto" w:fill="E7E6E6" w:themeFill="background2"/>
          </w:tcPr>
          <w:p w14:paraId="7A4175C3" w14:textId="7A274DD2" w:rsidR="00715DC6" w:rsidRPr="00496130" w:rsidRDefault="00715DC6" w:rsidP="00E43D3E">
            <w:pPr>
              <w:rPr>
                <w:sz w:val="20"/>
                <w:szCs w:val="20"/>
              </w:rPr>
            </w:pPr>
            <w:r w:rsidRPr="00496130">
              <w:rPr>
                <w:sz w:val="20"/>
                <w:szCs w:val="20"/>
              </w:rPr>
              <w:t>outdoor/open floor</w:t>
            </w:r>
          </w:p>
        </w:tc>
        <w:tc>
          <w:tcPr>
            <w:tcW w:w="669" w:type="pct"/>
            <w:shd w:val="clear" w:color="auto" w:fill="E7E6E6" w:themeFill="background2"/>
          </w:tcPr>
          <w:p w14:paraId="3C4FB240" w14:textId="50E15CCF" w:rsidR="00715DC6" w:rsidRPr="00496130" w:rsidRDefault="00715DC6" w:rsidP="00E43D3E">
            <w:pPr>
              <w:rPr>
                <w:sz w:val="20"/>
                <w:szCs w:val="20"/>
              </w:rPr>
            </w:pPr>
            <w:r w:rsidRPr="00496130">
              <w:rPr>
                <w:sz w:val="20"/>
                <w:szCs w:val="20"/>
              </w:rPr>
              <w:t>charcoal, CS#2006 (frg 1, type I)</w:t>
            </w:r>
          </w:p>
        </w:tc>
        <w:tc>
          <w:tcPr>
            <w:tcW w:w="386" w:type="pct"/>
            <w:shd w:val="clear" w:color="auto" w:fill="E7E6E6" w:themeFill="background2"/>
            <w:hideMark/>
          </w:tcPr>
          <w:p w14:paraId="58761731" w14:textId="77777777" w:rsidR="00715DC6" w:rsidRPr="00496130" w:rsidRDefault="00715DC6">
            <w:pPr>
              <w:rPr>
                <w:sz w:val="20"/>
                <w:szCs w:val="20"/>
              </w:rPr>
            </w:pPr>
          </w:p>
        </w:tc>
        <w:tc>
          <w:tcPr>
            <w:tcW w:w="1075" w:type="pct"/>
            <w:shd w:val="clear" w:color="auto" w:fill="E7E6E6" w:themeFill="background2"/>
            <w:noWrap/>
            <w:hideMark/>
          </w:tcPr>
          <w:p w14:paraId="3B7B65F6" w14:textId="515D9E5C" w:rsidR="00715DC6" w:rsidRPr="00496130" w:rsidRDefault="00B555EA" w:rsidP="00E43D3E">
            <w:pPr>
              <w:rPr>
                <w:sz w:val="20"/>
                <w:szCs w:val="20"/>
              </w:rPr>
            </w:pPr>
            <w:r w:rsidRPr="00496130">
              <w:rPr>
                <w:smallCaps/>
                <w:sz w:val="18"/>
                <w:szCs w:val="18"/>
              </w:rPr>
              <w:t>a.d.</w:t>
            </w:r>
            <w:r w:rsidRPr="00496130">
              <w:rPr>
                <w:sz w:val="18"/>
                <w:szCs w:val="18"/>
              </w:rPr>
              <w:t xml:space="preserve"> </w:t>
            </w:r>
            <w:r w:rsidR="00715DC6" w:rsidRPr="00496130">
              <w:rPr>
                <w:sz w:val="20"/>
                <w:szCs w:val="20"/>
              </w:rPr>
              <w:t xml:space="preserve">438 </w:t>
            </w:r>
            <w:r w:rsidRPr="00496130">
              <w:rPr>
                <w:sz w:val="20"/>
                <w:szCs w:val="20"/>
              </w:rPr>
              <w:t>-</w:t>
            </w:r>
            <w:r w:rsidR="00715DC6" w:rsidRPr="00496130">
              <w:rPr>
                <w:sz w:val="20"/>
                <w:szCs w:val="20"/>
              </w:rPr>
              <w:t xml:space="preserve"> 453 [12.3%]</w:t>
            </w:r>
          </w:p>
          <w:p w14:paraId="456499C1" w14:textId="1E1E970E" w:rsidR="00715DC6" w:rsidRPr="00496130" w:rsidRDefault="00B555EA" w:rsidP="00E43D3E">
            <w:pPr>
              <w:rPr>
                <w:sz w:val="20"/>
                <w:szCs w:val="20"/>
              </w:rPr>
            </w:pPr>
            <w:r w:rsidRPr="00496130">
              <w:rPr>
                <w:smallCaps/>
                <w:sz w:val="18"/>
                <w:szCs w:val="18"/>
              </w:rPr>
              <w:t>a.d.</w:t>
            </w:r>
            <w:r w:rsidRPr="00496130">
              <w:rPr>
                <w:sz w:val="18"/>
                <w:szCs w:val="18"/>
              </w:rPr>
              <w:t xml:space="preserve"> </w:t>
            </w:r>
            <w:r w:rsidR="00715DC6" w:rsidRPr="00496130">
              <w:rPr>
                <w:sz w:val="20"/>
                <w:szCs w:val="20"/>
              </w:rPr>
              <w:t xml:space="preserve">462 </w:t>
            </w:r>
            <w:r w:rsidRPr="00496130">
              <w:rPr>
                <w:sz w:val="20"/>
                <w:szCs w:val="20"/>
              </w:rPr>
              <w:t>-</w:t>
            </w:r>
            <w:r w:rsidR="00715DC6" w:rsidRPr="00496130">
              <w:rPr>
                <w:sz w:val="20"/>
                <w:szCs w:val="20"/>
              </w:rPr>
              <w:t xml:space="preserve"> 525 [55.9%]</w:t>
            </w:r>
          </w:p>
        </w:tc>
        <w:tc>
          <w:tcPr>
            <w:tcW w:w="1075" w:type="pct"/>
            <w:shd w:val="clear" w:color="auto" w:fill="E7E6E6" w:themeFill="background2"/>
            <w:noWrap/>
            <w:hideMark/>
          </w:tcPr>
          <w:p w14:paraId="3FC7A4BC" w14:textId="3B12F3AE" w:rsidR="00715DC6" w:rsidRPr="00496130" w:rsidRDefault="00B555EA" w:rsidP="00E43D3E">
            <w:pPr>
              <w:rPr>
                <w:sz w:val="20"/>
                <w:szCs w:val="20"/>
              </w:rPr>
            </w:pPr>
            <w:r w:rsidRPr="00496130">
              <w:rPr>
                <w:smallCaps/>
                <w:sz w:val="18"/>
                <w:szCs w:val="18"/>
              </w:rPr>
              <w:t>a.d.</w:t>
            </w:r>
            <w:r w:rsidRPr="00496130">
              <w:rPr>
                <w:sz w:val="18"/>
                <w:szCs w:val="18"/>
              </w:rPr>
              <w:t xml:space="preserve"> </w:t>
            </w:r>
            <w:r w:rsidR="00715DC6" w:rsidRPr="00496130">
              <w:rPr>
                <w:sz w:val="20"/>
                <w:szCs w:val="20"/>
              </w:rPr>
              <w:t xml:space="preserve">419 </w:t>
            </w:r>
            <w:r w:rsidRPr="00496130">
              <w:rPr>
                <w:sz w:val="20"/>
                <w:szCs w:val="20"/>
              </w:rPr>
              <w:t>-</w:t>
            </w:r>
            <w:r w:rsidR="00715DC6" w:rsidRPr="00496130">
              <w:rPr>
                <w:sz w:val="20"/>
                <w:szCs w:val="20"/>
              </w:rPr>
              <w:t xml:space="preserve"> 543 [95.4%]</w:t>
            </w:r>
          </w:p>
          <w:p w14:paraId="3F6B4A9E" w14:textId="6907A2E6" w:rsidR="00715DC6" w:rsidRPr="00496130" w:rsidRDefault="00715DC6" w:rsidP="00715DC6">
            <w:pPr>
              <w:rPr>
                <w:sz w:val="20"/>
                <w:szCs w:val="20"/>
              </w:rPr>
            </w:pPr>
            <w:r w:rsidRPr="00496130">
              <w:rPr>
                <w:sz w:val="20"/>
                <w:szCs w:val="20"/>
              </w:rPr>
              <w:t> </w:t>
            </w:r>
          </w:p>
        </w:tc>
      </w:tr>
      <w:tr w:rsidR="00F068BD" w:rsidRPr="00496130" w14:paraId="3CD7BCFE" w14:textId="77777777" w:rsidTr="00F068BD">
        <w:trPr>
          <w:trHeight w:val="300"/>
        </w:trPr>
        <w:tc>
          <w:tcPr>
            <w:tcW w:w="360" w:type="pct"/>
            <w:shd w:val="clear" w:color="auto" w:fill="auto"/>
          </w:tcPr>
          <w:p w14:paraId="6E5BB757" w14:textId="003E0C85" w:rsidR="00F068BD" w:rsidRPr="00496130" w:rsidRDefault="00F068BD">
            <w:pPr>
              <w:rPr>
                <w:sz w:val="20"/>
                <w:szCs w:val="20"/>
              </w:rPr>
            </w:pPr>
            <w:r w:rsidRPr="00496130">
              <w:rPr>
                <w:sz w:val="20"/>
                <w:szCs w:val="20"/>
              </w:rPr>
              <w:t>AAR-29060</w:t>
            </w:r>
          </w:p>
        </w:tc>
        <w:tc>
          <w:tcPr>
            <w:tcW w:w="400" w:type="pct"/>
            <w:shd w:val="clear" w:color="auto" w:fill="auto"/>
            <w:noWrap/>
          </w:tcPr>
          <w:p w14:paraId="4F956E07" w14:textId="262CCA89" w:rsidR="00F068BD" w:rsidRPr="00496130" w:rsidRDefault="00F068BD" w:rsidP="00E43D3E">
            <w:pPr>
              <w:rPr>
                <w:sz w:val="20"/>
                <w:szCs w:val="20"/>
              </w:rPr>
            </w:pPr>
            <w:r w:rsidRPr="00496130">
              <w:rPr>
                <w:sz w:val="20"/>
                <w:szCs w:val="20"/>
              </w:rPr>
              <w:t>ZNZ17-C18-2</w:t>
            </w:r>
          </w:p>
        </w:tc>
        <w:tc>
          <w:tcPr>
            <w:tcW w:w="345" w:type="pct"/>
            <w:shd w:val="clear" w:color="auto" w:fill="auto"/>
            <w:noWrap/>
          </w:tcPr>
          <w:p w14:paraId="32AAF243" w14:textId="4E971CB8" w:rsidR="00F068BD" w:rsidRPr="00496130" w:rsidRDefault="00F068BD" w:rsidP="00E43D3E">
            <w:pPr>
              <w:rPr>
                <w:sz w:val="20"/>
                <w:szCs w:val="20"/>
              </w:rPr>
            </w:pPr>
            <w:r w:rsidRPr="00496130">
              <w:rPr>
                <w:sz w:val="20"/>
                <w:szCs w:val="20"/>
              </w:rPr>
              <w:t>2015</w:t>
            </w:r>
          </w:p>
        </w:tc>
        <w:tc>
          <w:tcPr>
            <w:tcW w:w="317" w:type="pct"/>
            <w:shd w:val="clear" w:color="auto" w:fill="auto"/>
          </w:tcPr>
          <w:p w14:paraId="631CC782" w14:textId="3B039CA3" w:rsidR="00F068BD" w:rsidRPr="00496130" w:rsidRDefault="00F068BD" w:rsidP="00E43D3E">
            <w:pPr>
              <w:rPr>
                <w:sz w:val="20"/>
                <w:szCs w:val="20"/>
              </w:rPr>
            </w:pPr>
            <w:r w:rsidRPr="00496130">
              <w:rPr>
                <w:sz w:val="20"/>
                <w:szCs w:val="20"/>
              </w:rPr>
              <w:t>Lower Floor (Exterior)</w:t>
            </w:r>
          </w:p>
        </w:tc>
        <w:tc>
          <w:tcPr>
            <w:tcW w:w="374" w:type="pct"/>
            <w:shd w:val="clear" w:color="auto" w:fill="auto"/>
          </w:tcPr>
          <w:p w14:paraId="621EB7E4" w14:textId="7777B711" w:rsidR="00F068BD" w:rsidRPr="00496130" w:rsidRDefault="00F068BD" w:rsidP="00E43D3E">
            <w:pPr>
              <w:rPr>
                <w:sz w:val="20"/>
                <w:szCs w:val="20"/>
              </w:rPr>
            </w:pPr>
            <w:proofErr w:type="gramStart"/>
            <w:r w:rsidRPr="00496130">
              <w:rPr>
                <w:sz w:val="20"/>
                <w:szCs w:val="20"/>
              </w:rPr>
              <w:t>bottom</w:t>
            </w:r>
            <w:proofErr w:type="gramEnd"/>
            <w:r w:rsidRPr="00496130">
              <w:rPr>
                <w:sz w:val="20"/>
                <w:szCs w:val="20"/>
              </w:rPr>
              <w:t xml:space="preserve"> of earth floor?</w:t>
            </w:r>
          </w:p>
        </w:tc>
        <w:tc>
          <w:tcPr>
            <w:tcW w:w="669" w:type="pct"/>
            <w:shd w:val="clear" w:color="auto" w:fill="auto"/>
          </w:tcPr>
          <w:p w14:paraId="4F8194B9" w14:textId="2D0535BF" w:rsidR="00F068BD" w:rsidRPr="00496130" w:rsidRDefault="00F068BD" w:rsidP="00E43D3E">
            <w:pPr>
              <w:rPr>
                <w:sz w:val="20"/>
                <w:szCs w:val="20"/>
              </w:rPr>
            </w:pPr>
            <w:r w:rsidRPr="00496130">
              <w:rPr>
                <w:sz w:val="20"/>
                <w:szCs w:val="20"/>
              </w:rPr>
              <w:t>*charcoal (frg 1, type G)</w:t>
            </w:r>
          </w:p>
        </w:tc>
        <w:tc>
          <w:tcPr>
            <w:tcW w:w="386" w:type="pct"/>
            <w:shd w:val="clear" w:color="auto" w:fill="auto"/>
          </w:tcPr>
          <w:p w14:paraId="39335074" w14:textId="17DC9CC2" w:rsidR="00F068BD" w:rsidRPr="00496130" w:rsidRDefault="00F068BD">
            <w:pPr>
              <w:rPr>
                <w:sz w:val="20"/>
                <w:szCs w:val="20"/>
              </w:rPr>
            </w:pPr>
            <w:r w:rsidRPr="00496130">
              <w:rPr>
                <w:sz w:val="20"/>
                <w:szCs w:val="20"/>
              </w:rPr>
              <w:t>2856 ±26</w:t>
            </w:r>
          </w:p>
        </w:tc>
        <w:tc>
          <w:tcPr>
            <w:tcW w:w="1075" w:type="pct"/>
            <w:shd w:val="clear" w:color="auto" w:fill="auto"/>
            <w:noWrap/>
          </w:tcPr>
          <w:p w14:paraId="00A2446B" w14:textId="14246AB5" w:rsidR="00F068BD" w:rsidRPr="00496130" w:rsidRDefault="00F068BD" w:rsidP="00E43D3E">
            <w:pPr>
              <w:rPr>
                <w:sz w:val="20"/>
                <w:szCs w:val="20"/>
              </w:rPr>
            </w:pPr>
            <w:r w:rsidRPr="00496130">
              <w:rPr>
                <w:sz w:val="20"/>
                <w:szCs w:val="20"/>
              </w:rPr>
              <w:t xml:space="preserve">1003– 920 </w:t>
            </w:r>
            <w:r w:rsidR="00B555EA" w:rsidRPr="00496130">
              <w:rPr>
                <w:smallCaps/>
                <w:sz w:val="20"/>
                <w:szCs w:val="20"/>
              </w:rPr>
              <w:t>b.c.</w:t>
            </w:r>
            <w:r w:rsidR="00B555EA" w:rsidRPr="00496130">
              <w:rPr>
                <w:sz w:val="20"/>
                <w:szCs w:val="20"/>
              </w:rPr>
              <w:t xml:space="preserve"> </w:t>
            </w:r>
            <w:r w:rsidRPr="00496130">
              <w:rPr>
                <w:sz w:val="20"/>
                <w:szCs w:val="20"/>
              </w:rPr>
              <w:t>[68.2%]</w:t>
            </w:r>
          </w:p>
        </w:tc>
        <w:tc>
          <w:tcPr>
            <w:tcW w:w="1075" w:type="pct"/>
            <w:shd w:val="clear" w:color="auto" w:fill="auto"/>
            <w:noWrap/>
          </w:tcPr>
          <w:p w14:paraId="64CEAC16" w14:textId="2ED77AA5" w:rsidR="00F068BD" w:rsidRPr="00496130" w:rsidRDefault="00F068BD" w:rsidP="00E43D3E">
            <w:pPr>
              <w:rPr>
                <w:sz w:val="20"/>
                <w:szCs w:val="20"/>
              </w:rPr>
            </w:pPr>
            <w:r w:rsidRPr="00496130">
              <w:rPr>
                <w:sz w:val="20"/>
                <w:szCs w:val="20"/>
              </w:rPr>
              <w:t>1054</w:t>
            </w:r>
            <w:r w:rsidR="00B555EA" w:rsidRPr="00496130">
              <w:rPr>
                <w:smallCaps/>
                <w:sz w:val="20"/>
                <w:szCs w:val="20"/>
              </w:rPr>
              <w:t xml:space="preserve"> </w:t>
            </w:r>
            <w:r w:rsidRPr="00496130">
              <w:rPr>
                <w:sz w:val="20"/>
                <w:szCs w:val="20"/>
              </w:rPr>
              <w:t xml:space="preserve">– 890 </w:t>
            </w:r>
            <w:r w:rsidR="00B555EA" w:rsidRPr="00496130">
              <w:rPr>
                <w:smallCaps/>
                <w:sz w:val="20"/>
                <w:szCs w:val="20"/>
              </w:rPr>
              <w:t>b.c.</w:t>
            </w:r>
            <w:r w:rsidRPr="00496130">
              <w:rPr>
                <w:sz w:val="20"/>
                <w:szCs w:val="20"/>
              </w:rPr>
              <w:t xml:space="preserve"> [92.8%]</w:t>
            </w:r>
          </w:p>
          <w:p w14:paraId="6C275AEA" w14:textId="6B62F82A" w:rsidR="00F068BD" w:rsidRPr="00496130" w:rsidRDefault="00F068BD" w:rsidP="00E43D3E">
            <w:pPr>
              <w:rPr>
                <w:sz w:val="20"/>
                <w:szCs w:val="20"/>
              </w:rPr>
            </w:pPr>
            <w:r w:rsidRPr="00496130">
              <w:rPr>
                <w:sz w:val="20"/>
                <w:szCs w:val="20"/>
              </w:rPr>
              <w:t>876</w:t>
            </w:r>
            <w:r w:rsidR="00B555EA" w:rsidRPr="00496130">
              <w:rPr>
                <w:smallCaps/>
                <w:sz w:val="20"/>
                <w:szCs w:val="20"/>
              </w:rPr>
              <w:t xml:space="preserve"> </w:t>
            </w:r>
            <w:r w:rsidRPr="00496130">
              <w:rPr>
                <w:sz w:val="20"/>
                <w:szCs w:val="20"/>
              </w:rPr>
              <w:t xml:space="preserve">– 847 </w:t>
            </w:r>
            <w:r w:rsidR="00B555EA" w:rsidRPr="00496130">
              <w:rPr>
                <w:smallCaps/>
                <w:sz w:val="20"/>
                <w:szCs w:val="20"/>
              </w:rPr>
              <w:t>b.c.</w:t>
            </w:r>
            <w:r w:rsidRPr="00496130">
              <w:rPr>
                <w:sz w:val="20"/>
                <w:szCs w:val="20"/>
              </w:rPr>
              <w:t xml:space="preserve"> [2.6%]</w:t>
            </w:r>
          </w:p>
        </w:tc>
      </w:tr>
      <w:tr w:rsidR="00F068BD" w:rsidRPr="00496130" w14:paraId="2354BAF8" w14:textId="77777777" w:rsidTr="00F068BD">
        <w:trPr>
          <w:trHeight w:val="300"/>
        </w:trPr>
        <w:tc>
          <w:tcPr>
            <w:tcW w:w="360" w:type="pct"/>
            <w:shd w:val="clear" w:color="auto" w:fill="auto"/>
          </w:tcPr>
          <w:p w14:paraId="20EE3DDB" w14:textId="7C94FB8C" w:rsidR="00F068BD" w:rsidRPr="00496130" w:rsidRDefault="00F068BD">
            <w:pPr>
              <w:rPr>
                <w:sz w:val="20"/>
                <w:szCs w:val="20"/>
              </w:rPr>
            </w:pPr>
            <w:r w:rsidRPr="00496130">
              <w:rPr>
                <w:sz w:val="20"/>
                <w:szCs w:val="20"/>
              </w:rPr>
              <w:t>AAR-28404</w:t>
            </w:r>
          </w:p>
        </w:tc>
        <w:tc>
          <w:tcPr>
            <w:tcW w:w="400" w:type="pct"/>
            <w:shd w:val="clear" w:color="auto" w:fill="auto"/>
            <w:noWrap/>
          </w:tcPr>
          <w:p w14:paraId="6EC7AE8F" w14:textId="0E9FF237" w:rsidR="00F068BD" w:rsidRPr="00496130" w:rsidRDefault="00F068BD" w:rsidP="00E43D3E">
            <w:pPr>
              <w:rPr>
                <w:sz w:val="20"/>
                <w:szCs w:val="20"/>
              </w:rPr>
            </w:pPr>
            <w:r w:rsidRPr="00496130">
              <w:rPr>
                <w:sz w:val="20"/>
                <w:szCs w:val="20"/>
              </w:rPr>
              <w:t>ZNZ17-C18</w:t>
            </w:r>
          </w:p>
        </w:tc>
        <w:tc>
          <w:tcPr>
            <w:tcW w:w="345" w:type="pct"/>
            <w:shd w:val="clear" w:color="auto" w:fill="auto"/>
            <w:noWrap/>
          </w:tcPr>
          <w:p w14:paraId="7D809709" w14:textId="3DF41874" w:rsidR="00F068BD" w:rsidRPr="00496130" w:rsidRDefault="00F068BD" w:rsidP="00E43D3E">
            <w:pPr>
              <w:rPr>
                <w:sz w:val="20"/>
                <w:szCs w:val="20"/>
              </w:rPr>
            </w:pPr>
            <w:r w:rsidRPr="00496130">
              <w:rPr>
                <w:sz w:val="20"/>
                <w:szCs w:val="20"/>
              </w:rPr>
              <w:t>2015 (2006)</w:t>
            </w:r>
          </w:p>
        </w:tc>
        <w:tc>
          <w:tcPr>
            <w:tcW w:w="317" w:type="pct"/>
            <w:shd w:val="clear" w:color="auto" w:fill="auto"/>
          </w:tcPr>
          <w:p w14:paraId="492F3479" w14:textId="1755A021" w:rsidR="00F068BD" w:rsidRPr="00496130" w:rsidRDefault="00F068BD" w:rsidP="00E43D3E">
            <w:pPr>
              <w:rPr>
                <w:sz w:val="20"/>
                <w:szCs w:val="20"/>
              </w:rPr>
            </w:pPr>
            <w:r w:rsidRPr="00496130">
              <w:rPr>
                <w:sz w:val="20"/>
                <w:szCs w:val="20"/>
              </w:rPr>
              <w:t>Lower Floor (Exterior)</w:t>
            </w:r>
          </w:p>
        </w:tc>
        <w:tc>
          <w:tcPr>
            <w:tcW w:w="374" w:type="pct"/>
            <w:shd w:val="clear" w:color="auto" w:fill="auto"/>
          </w:tcPr>
          <w:p w14:paraId="32FCD7B4" w14:textId="69D00EB8" w:rsidR="00F068BD" w:rsidRPr="00496130" w:rsidRDefault="00F068BD" w:rsidP="00E43D3E">
            <w:pPr>
              <w:rPr>
                <w:sz w:val="20"/>
                <w:szCs w:val="20"/>
              </w:rPr>
            </w:pPr>
            <w:r w:rsidRPr="00496130">
              <w:rPr>
                <w:sz w:val="20"/>
                <w:szCs w:val="20"/>
              </w:rPr>
              <w:t>earth floor</w:t>
            </w:r>
          </w:p>
        </w:tc>
        <w:tc>
          <w:tcPr>
            <w:tcW w:w="669" w:type="pct"/>
            <w:shd w:val="clear" w:color="auto" w:fill="auto"/>
          </w:tcPr>
          <w:p w14:paraId="28EBF4C0" w14:textId="223F410B" w:rsidR="00F068BD" w:rsidRPr="00496130" w:rsidRDefault="00F068BD" w:rsidP="00E43D3E">
            <w:pPr>
              <w:rPr>
                <w:sz w:val="20"/>
                <w:szCs w:val="20"/>
              </w:rPr>
            </w:pPr>
            <w:r w:rsidRPr="00496130">
              <w:rPr>
                <w:sz w:val="20"/>
                <w:szCs w:val="20"/>
              </w:rPr>
              <w:t>*charcoal (indet.)</w:t>
            </w:r>
          </w:p>
        </w:tc>
        <w:tc>
          <w:tcPr>
            <w:tcW w:w="386" w:type="pct"/>
            <w:shd w:val="clear" w:color="auto" w:fill="auto"/>
          </w:tcPr>
          <w:p w14:paraId="7272732A" w14:textId="77777777" w:rsidR="00F068BD" w:rsidRPr="00496130" w:rsidRDefault="00F068BD" w:rsidP="00F068BD">
            <w:pPr>
              <w:rPr>
                <w:sz w:val="20"/>
                <w:szCs w:val="20"/>
              </w:rPr>
            </w:pPr>
            <w:r w:rsidRPr="00496130">
              <w:rPr>
                <w:sz w:val="20"/>
                <w:szCs w:val="20"/>
              </w:rPr>
              <w:t>1283 ±27</w:t>
            </w:r>
          </w:p>
          <w:p w14:paraId="2BB914DC" w14:textId="77777777" w:rsidR="00F068BD" w:rsidRPr="00496130" w:rsidRDefault="00F068BD" w:rsidP="00F068BD">
            <w:pPr>
              <w:rPr>
                <w:sz w:val="20"/>
                <w:szCs w:val="20"/>
              </w:rPr>
            </w:pPr>
          </w:p>
          <w:p w14:paraId="7F1933DA" w14:textId="77777777" w:rsidR="00F068BD" w:rsidRPr="00496130" w:rsidRDefault="00F068BD">
            <w:pPr>
              <w:rPr>
                <w:sz w:val="20"/>
                <w:szCs w:val="20"/>
              </w:rPr>
            </w:pPr>
          </w:p>
        </w:tc>
        <w:tc>
          <w:tcPr>
            <w:tcW w:w="1075" w:type="pct"/>
            <w:shd w:val="clear" w:color="auto" w:fill="auto"/>
            <w:noWrap/>
          </w:tcPr>
          <w:p w14:paraId="66328B41" w14:textId="71ADCBB2"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 xml:space="preserve">692 </w:t>
            </w:r>
            <w:r w:rsidRPr="00496130">
              <w:rPr>
                <w:sz w:val="20"/>
                <w:szCs w:val="20"/>
              </w:rPr>
              <w:t>-</w:t>
            </w:r>
            <w:r w:rsidR="00F068BD" w:rsidRPr="00496130">
              <w:rPr>
                <w:sz w:val="20"/>
                <w:szCs w:val="20"/>
              </w:rPr>
              <w:t xml:space="preserve"> 699 [ 3.5%]</w:t>
            </w:r>
          </w:p>
          <w:p w14:paraId="23A36147" w14:textId="324A6AE2"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 xml:space="preserve">723 </w:t>
            </w:r>
            <w:r w:rsidRPr="00496130">
              <w:rPr>
                <w:sz w:val="20"/>
                <w:szCs w:val="20"/>
              </w:rPr>
              <w:t>-</w:t>
            </w:r>
            <w:r w:rsidR="00F068BD" w:rsidRPr="00496130">
              <w:rPr>
                <w:sz w:val="20"/>
                <w:szCs w:val="20"/>
              </w:rPr>
              <w:t xml:space="preserve"> 731 [ 3.9%]</w:t>
            </w:r>
          </w:p>
          <w:p w14:paraId="04E724B1" w14:textId="6D645FD3"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766 AD – 860 [60.9%]</w:t>
            </w:r>
          </w:p>
        </w:tc>
        <w:tc>
          <w:tcPr>
            <w:tcW w:w="1075" w:type="pct"/>
            <w:shd w:val="clear" w:color="auto" w:fill="auto"/>
            <w:noWrap/>
          </w:tcPr>
          <w:p w14:paraId="382A3FF8" w14:textId="0ABEE1FB"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 xml:space="preserve">685 </w:t>
            </w:r>
            <w:r w:rsidRPr="00496130">
              <w:rPr>
                <w:sz w:val="20"/>
                <w:szCs w:val="20"/>
              </w:rPr>
              <w:t>-</w:t>
            </w:r>
            <w:r w:rsidR="00F068BD" w:rsidRPr="00496130">
              <w:rPr>
                <w:sz w:val="20"/>
                <w:szCs w:val="20"/>
              </w:rPr>
              <w:t xml:space="preserve"> 740 [24.9%]</w:t>
            </w:r>
          </w:p>
          <w:p w14:paraId="32773C65" w14:textId="34EB4E69"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 xml:space="preserve">762 </w:t>
            </w:r>
            <w:r w:rsidRPr="00496130">
              <w:rPr>
                <w:sz w:val="20"/>
                <w:szCs w:val="20"/>
              </w:rPr>
              <w:t>-</w:t>
            </w:r>
            <w:r w:rsidR="00F068BD" w:rsidRPr="00496130">
              <w:rPr>
                <w:sz w:val="20"/>
                <w:szCs w:val="20"/>
              </w:rPr>
              <w:t xml:space="preserve"> 880 [70.5%]</w:t>
            </w:r>
          </w:p>
        </w:tc>
      </w:tr>
      <w:tr w:rsidR="00F068BD" w:rsidRPr="00496130" w14:paraId="421F424E" w14:textId="77777777" w:rsidTr="00F068BD">
        <w:trPr>
          <w:trHeight w:val="300"/>
        </w:trPr>
        <w:tc>
          <w:tcPr>
            <w:tcW w:w="360" w:type="pct"/>
            <w:shd w:val="clear" w:color="auto" w:fill="auto"/>
          </w:tcPr>
          <w:p w14:paraId="6929AF60" w14:textId="6FD5FF03" w:rsidR="00F068BD" w:rsidRPr="00496130" w:rsidRDefault="00F068BD">
            <w:pPr>
              <w:rPr>
                <w:sz w:val="20"/>
                <w:szCs w:val="20"/>
              </w:rPr>
            </w:pPr>
            <w:r w:rsidRPr="00496130">
              <w:rPr>
                <w:sz w:val="20"/>
                <w:szCs w:val="20"/>
              </w:rPr>
              <w:t>AAR-28409</w:t>
            </w:r>
          </w:p>
        </w:tc>
        <w:tc>
          <w:tcPr>
            <w:tcW w:w="400" w:type="pct"/>
            <w:shd w:val="clear" w:color="auto" w:fill="auto"/>
            <w:noWrap/>
          </w:tcPr>
          <w:p w14:paraId="7F39F314" w14:textId="566B44CE" w:rsidR="00F068BD" w:rsidRPr="00496130" w:rsidRDefault="00F068BD" w:rsidP="00E43D3E">
            <w:pPr>
              <w:rPr>
                <w:sz w:val="20"/>
                <w:szCs w:val="20"/>
              </w:rPr>
            </w:pPr>
            <w:r w:rsidRPr="00496130">
              <w:rPr>
                <w:sz w:val="20"/>
                <w:szCs w:val="20"/>
              </w:rPr>
              <w:t>ZNZ17-C29</w:t>
            </w:r>
          </w:p>
        </w:tc>
        <w:tc>
          <w:tcPr>
            <w:tcW w:w="345" w:type="pct"/>
            <w:shd w:val="clear" w:color="auto" w:fill="auto"/>
            <w:noWrap/>
          </w:tcPr>
          <w:p w14:paraId="6D2F341C" w14:textId="3479EFF8" w:rsidR="00F068BD" w:rsidRPr="00496130" w:rsidRDefault="00F068BD" w:rsidP="00E43D3E">
            <w:pPr>
              <w:rPr>
                <w:sz w:val="20"/>
                <w:szCs w:val="20"/>
              </w:rPr>
            </w:pPr>
            <w:r w:rsidRPr="00496130">
              <w:rPr>
                <w:sz w:val="20"/>
                <w:szCs w:val="20"/>
              </w:rPr>
              <w:t>2017</w:t>
            </w:r>
          </w:p>
        </w:tc>
        <w:tc>
          <w:tcPr>
            <w:tcW w:w="317" w:type="pct"/>
            <w:shd w:val="clear" w:color="auto" w:fill="auto"/>
          </w:tcPr>
          <w:p w14:paraId="46EEFB1A" w14:textId="64D13789" w:rsidR="00F068BD" w:rsidRPr="00496130" w:rsidRDefault="00F068BD" w:rsidP="00E43D3E">
            <w:pPr>
              <w:rPr>
                <w:sz w:val="20"/>
                <w:szCs w:val="20"/>
              </w:rPr>
            </w:pPr>
            <w:r w:rsidRPr="00496130">
              <w:rPr>
                <w:sz w:val="20"/>
                <w:szCs w:val="20"/>
              </w:rPr>
              <w:t>Lower Floor (Interior)</w:t>
            </w:r>
          </w:p>
        </w:tc>
        <w:tc>
          <w:tcPr>
            <w:tcW w:w="374" w:type="pct"/>
            <w:shd w:val="clear" w:color="auto" w:fill="auto"/>
          </w:tcPr>
          <w:p w14:paraId="5923E1B2" w14:textId="738F808F" w:rsidR="00F068BD" w:rsidRPr="00496130" w:rsidRDefault="00F068BD" w:rsidP="00E43D3E">
            <w:pPr>
              <w:rPr>
                <w:sz w:val="20"/>
                <w:szCs w:val="20"/>
              </w:rPr>
            </w:pPr>
            <w:r w:rsidRPr="00496130">
              <w:rPr>
                <w:sz w:val="20"/>
                <w:szCs w:val="20"/>
              </w:rPr>
              <w:t>pit</w:t>
            </w:r>
          </w:p>
        </w:tc>
        <w:tc>
          <w:tcPr>
            <w:tcW w:w="669" w:type="pct"/>
            <w:shd w:val="clear" w:color="auto" w:fill="auto"/>
          </w:tcPr>
          <w:p w14:paraId="50964DEB" w14:textId="2B13EFF1" w:rsidR="00F068BD" w:rsidRPr="00496130" w:rsidRDefault="00F068BD" w:rsidP="00E43D3E">
            <w:pPr>
              <w:rPr>
                <w:sz w:val="20"/>
                <w:szCs w:val="20"/>
              </w:rPr>
            </w:pPr>
            <w:proofErr w:type="gramStart"/>
            <w:r w:rsidRPr="00496130">
              <w:rPr>
                <w:sz w:val="20"/>
                <w:szCs w:val="20"/>
              </w:rPr>
              <w:t>charcoal</w:t>
            </w:r>
            <w:proofErr w:type="gramEnd"/>
            <w:r w:rsidRPr="00496130">
              <w:rPr>
                <w:sz w:val="20"/>
                <w:szCs w:val="20"/>
              </w:rPr>
              <w:t xml:space="preserve"> (indet.)</w:t>
            </w:r>
          </w:p>
        </w:tc>
        <w:tc>
          <w:tcPr>
            <w:tcW w:w="386" w:type="pct"/>
            <w:shd w:val="clear" w:color="auto" w:fill="auto"/>
          </w:tcPr>
          <w:p w14:paraId="31380B8F" w14:textId="1AF46800" w:rsidR="00F068BD" w:rsidRPr="00496130" w:rsidRDefault="00F068BD" w:rsidP="00F068BD">
            <w:pPr>
              <w:rPr>
                <w:sz w:val="20"/>
                <w:szCs w:val="20"/>
              </w:rPr>
            </w:pPr>
            <w:r w:rsidRPr="00496130">
              <w:rPr>
                <w:sz w:val="20"/>
                <w:szCs w:val="20"/>
              </w:rPr>
              <w:t>1257 ±36</w:t>
            </w:r>
          </w:p>
        </w:tc>
        <w:tc>
          <w:tcPr>
            <w:tcW w:w="1075" w:type="pct"/>
            <w:shd w:val="clear" w:color="auto" w:fill="auto"/>
            <w:noWrap/>
          </w:tcPr>
          <w:p w14:paraId="4747E4E4" w14:textId="0E929759"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773 – 823 [35.4%]</w:t>
            </w:r>
          </w:p>
          <w:p w14:paraId="4E2048F6" w14:textId="28C4E0D7"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830 – 878 [32.8%]</w:t>
            </w:r>
          </w:p>
        </w:tc>
        <w:tc>
          <w:tcPr>
            <w:tcW w:w="1075" w:type="pct"/>
            <w:shd w:val="clear" w:color="auto" w:fill="auto"/>
            <w:noWrap/>
          </w:tcPr>
          <w:p w14:paraId="3C5F3CF1" w14:textId="1097D0E6"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684 – 741 [11.3%]</w:t>
            </w:r>
          </w:p>
          <w:p w14:paraId="70F0F6A7" w14:textId="78F40675"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 xml:space="preserve">762 </w:t>
            </w:r>
            <w:r w:rsidRPr="00496130">
              <w:rPr>
                <w:sz w:val="20"/>
                <w:szCs w:val="20"/>
              </w:rPr>
              <w:t>-</w:t>
            </w:r>
            <w:r w:rsidR="00F068BD" w:rsidRPr="00496130">
              <w:rPr>
                <w:sz w:val="20"/>
                <w:szCs w:val="20"/>
              </w:rPr>
              <w:t xml:space="preserve"> 894 [82.5%]</w:t>
            </w:r>
          </w:p>
          <w:p w14:paraId="479BE14E" w14:textId="7C3FF68B" w:rsidR="00F068BD" w:rsidRPr="00496130" w:rsidRDefault="00B555EA" w:rsidP="00E43D3E">
            <w:pPr>
              <w:rPr>
                <w:sz w:val="20"/>
                <w:szCs w:val="20"/>
              </w:rPr>
            </w:pPr>
            <w:r w:rsidRPr="00496130">
              <w:rPr>
                <w:smallCaps/>
                <w:sz w:val="18"/>
                <w:szCs w:val="18"/>
              </w:rPr>
              <w:t>a.d.</w:t>
            </w:r>
            <w:r w:rsidRPr="00496130">
              <w:rPr>
                <w:sz w:val="18"/>
                <w:szCs w:val="18"/>
              </w:rPr>
              <w:t xml:space="preserve"> </w:t>
            </w:r>
            <w:r w:rsidR="00F068BD" w:rsidRPr="00496130">
              <w:rPr>
                <w:sz w:val="20"/>
                <w:szCs w:val="20"/>
              </w:rPr>
              <w:t xml:space="preserve">938 </w:t>
            </w:r>
            <w:r w:rsidRPr="00496130">
              <w:rPr>
                <w:sz w:val="20"/>
                <w:szCs w:val="20"/>
              </w:rPr>
              <w:t>-</w:t>
            </w:r>
            <w:r w:rsidR="00F068BD" w:rsidRPr="00496130">
              <w:rPr>
                <w:sz w:val="20"/>
                <w:szCs w:val="20"/>
              </w:rPr>
              <w:t xml:space="preserve"> 952 [ 1.6%]</w:t>
            </w:r>
          </w:p>
        </w:tc>
      </w:tr>
      <w:tr w:rsidR="00F068BD" w:rsidRPr="00496130" w14:paraId="0720F473" w14:textId="77777777" w:rsidTr="00F068BD">
        <w:trPr>
          <w:trHeight w:val="300"/>
        </w:trPr>
        <w:tc>
          <w:tcPr>
            <w:tcW w:w="360" w:type="pct"/>
            <w:shd w:val="clear" w:color="auto" w:fill="auto"/>
          </w:tcPr>
          <w:p w14:paraId="591947C1" w14:textId="143A6427" w:rsidR="00F068BD" w:rsidRPr="00496130" w:rsidRDefault="00F068BD" w:rsidP="00F068BD">
            <w:pPr>
              <w:rPr>
                <w:sz w:val="18"/>
                <w:szCs w:val="18"/>
              </w:rPr>
            </w:pPr>
            <w:r w:rsidRPr="00496130">
              <w:rPr>
                <w:sz w:val="18"/>
                <w:szCs w:val="18"/>
              </w:rPr>
              <w:t>AAR-28405</w:t>
            </w:r>
          </w:p>
        </w:tc>
        <w:tc>
          <w:tcPr>
            <w:tcW w:w="400" w:type="pct"/>
            <w:shd w:val="clear" w:color="auto" w:fill="auto"/>
            <w:noWrap/>
          </w:tcPr>
          <w:p w14:paraId="39E298E5" w14:textId="1F20F334" w:rsidR="00F068BD" w:rsidRPr="00496130" w:rsidRDefault="00F068BD" w:rsidP="00F068BD">
            <w:pPr>
              <w:rPr>
                <w:sz w:val="18"/>
                <w:szCs w:val="18"/>
              </w:rPr>
            </w:pPr>
            <w:r w:rsidRPr="00496130">
              <w:rPr>
                <w:sz w:val="18"/>
                <w:szCs w:val="18"/>
              </w:rPr>
              <w:t>ZNZ17-C20</w:t>
            </w:r>
          </w:p>
        </w:tc>
        <w:tc>
          <w:tcPr>
            <w:tcW w:w="345" w:type="pct"/>
            <w:shd w:val="clear" w:color="auto" w:fill="auto"/>
            <w:noWrap/>
          </w:tcPr>
          <w:p w14:paraId="4510649B" w14:textId="4E1ECCDC" w:rsidR="00F068BD" w:rsidRPr="00496130" w:rsidRDefault="00F068BD" w:rsidP="00F068BD">
            <w:pPr>
              <w:rPr>
                <w:sz w:val="18"/>
                <w:szCs w:val="18"/>
              </w:rPr>
            </w:pPr>
            <w:r w:rsidRPr="00496130">
              <w:rPr>
                <w:sz w:val="18"/>
                <w:szCs w:val="18"/>
              </w:rPr>
              <w:t>2018</w:t>
            </w:r>
          </w:p>
        </w:tc>
        <w:tc>
          <w:tcPr>
            <w:tcW w:w="317" w:type="pct"/>
            <w:shd w:val="clear" w:color="auto" w:fill="auto"/>
          </w:tcPr>
          <w:p w14:paraId="20F058DD" w14:textId="0EA5EBE4" w:rsidR="00F068BD" w:rsidRPr="00496130" w:rsidRDefault="00F068BD" w:rsidP="00F068BD">
            <w:pPr>
              <w:rPr>
                <w:sz w:val="18"/>
                <w:szCs w:val="18"/>
              </w:rPr>
            </w:pPr>
            <w:r w:rsidRPr="00496130">
              <w:rPr>
                <w:sz w:val="18"/>
                <w:szCs w:val="18"/>
              </w:rPr>
              <w:t xml:space="preserve">Lower Floor </w:t>
            </w:r>
            <w:r w:rsidRPr="00496130">
              <w:rPr>
                <w:sz w:val="18"/>
                <w:szCs w:val="18"/>
              </w:rPr>
              <w:lastRenderedPageBreak/>
              <w:t>(Interior)</w:t>
            </w:r>
          </w:p>
        </w:tc>
        <w:tc>
          <w:tcPr>
            <w:tcW w:w="374" w:type="pct"/>
            <w:shd w:val="clear" w:color="auto" w:fill="auto"/>
          </w:tcPr>
          <w:p w14:paraId="3F8DE5DC" w14:textId="0E5746C0" w:rsidR="00F068BD" w:rsidRPr="00496130" w:rsidRDefault="00F068BD" w:rsidP="00F068BD">
            <w:pPr>
              <w:rPr>
                <w:sz w:val="18"/>
                <w:szCs w:val="18"/>
              </w:rPr>
            </w:pPr>
            <w:r w:rsidRPr="00496130">
              <w:rPr>
                <w:sz w:val="18"/>
                <w:szCs w:val="18"/>
              </w:rPr>
              <w:lastRenderedPageBreak/>
              <w:t>earth floor</w:t>
            </w:r>
          </w:p>
        </w:tc>
        <w:tc>
          <w:tcPr>
            <w:tcW w:w="669" w:type="pct"/>
            <w:shd w:val="clear" w:color="auto" w:fill="auto"/>
          </w:tcPr>
          <w:p w14:paraId="41B7FF04" w14:textId="4541DAB6" w:rsidR="00F068BD" w:rsidRPr="00496130" w:rsidRDefault="00F068BD" w:rsidP="00F068BD">
            <w:pPr>
              <w:rPr>
                <w:sz w:val="18"/>
                <w:szCs w:val="18"/>
              </w:rPr>
            </w:pPr>
            <w:r w:rsidRPr="00496130">
              <w:rPr>
                <w:sz w:val="18"/>
                <w:szCs w:val="18"/>
              </w:rPr>
              <w:t>*charcoal (type B/H), Fabaceae</w:t>
            </w:r>
          </w:p>
        </w:tc>
        <w:tc>
          <w:tcPr>
            <w:tcW w:w="386" w:type="pct"/>
            <w:shd w:val="clear" w:color="auto" w:fill="auto"/>
          </w:tcPr>
          <w:p w14:paraId="4ABF0AFA" w14:textId="0A706358" w:rsidR="00F068BD" w:rsidRPr="00496130" w:rsidRDefault="00F068BD" w:rsidP="00F068BD">
            <w:pPr>
              <w:rPr>
                <w:sz w:val="18"/>
                <w:szCs w:val="18"/>
              </w:rPr>
            </w:pPr>
            <w:r w:rsidRPr="00496130">
              <w:rPr>
                <w:sz w:val="18"/>
                <w:szCs w:val="18"/>
              </w:rPr>
              <w:t>4362 ±35</w:t>
            </w:r>
          </w:p>
        </w:tc>
        <w:tc>
          <w:tcPr>
            <w:tcW w:w="1075" w:type="pct"/>
            <w:shd w:val="clear" w:color="auto" w:fill="auto"/>
            <w:noWrap/>
          </w:tcPr>
          <w:p w14:paraId="1E150073" w14:textId="3B6331BA" w:rsidR="00F068BD" w:rsidRPr="00496130" w:rsidRDefault="00F068BD" w:rsidP="00F068BD">
            <w:pPr>
              <w:rPr>
                <w:sz w:val="18"/>
                <w:szCs w:val="18"/>
              </w:rPr>
            </w:pPr>
            <w:r w:rsidRPr="00496130">
              <w:rPr>
                <w:sz w:val="18"/>
                <w:szCs w:val="18"/>
              </w:rPr>
              <w:t xml:space="preserve">3008– 2978 </w:t>
            </w:r>
            <w:r w:rsidR="00B555EA" w:rsidRPr="00496130">
              <w:rPr>
                <w:smallCaps/>
                <w:sz w:val="20"/>
                <w:szCs w:val="20"/>
              </w:rPr>
              <w:t>b.c.</w:t>
            </w:r>
            <w:r w:rsidR="00B555EA" w:rsidRPr="00496130">
              <w:rPr>
                <w:sz w:val="20"/>
                <w:szCs w:val="20"/>
              </w:rPr>
              <w:t xml:space="preserve"> </w:t>
            </w:r>
            <w:r w:rsidRPr="00496130">
              <w:rPr>
                <w:sz w:val="18"/>
                <w:szCs w:val="18"/>
              </w:rPr>
              <w:t>[19.6%]</w:t>
            </w:r>
          </w:p>
        </w:tc>
        <w:tc>
          <w:tcPr>
            <w:tcW w:w="1075" w:type="pct"/>
            <w:shd w:val="clear" w:color="auto" w:fill="auto"/>
            <w:noWrap/>
          </w:tcPr>
          <w:p w14:paraId="26BEF746" w14:textId="1737FDAF" w:rsidR="00F068BD" w:rsidRPr="00496130" w:rsidRDefault="00F068BD" w:rsidP="00F068BD">
            <w:pPr>
              <w:rPr>
                <w:sz w:val="18"/>
                <w:szCs w:val="18"/>
              </w:rPr>
            </w:pPr>
            <w:r w:rsidRPr="00496130">
              <w:rPr>
                <w:sz w:val="18"/>
                <w:szCs w:val="18"/>
              </w:rPr>
              <w:t>3080</w:t>
            </w:r>
            <w:r w:rsidR="00B555EA" w:rsidRPr="00496130">
              <w:rPr>
                <w:sz w:val="18"/>
                <w:szCs w:val="18"/>
              </w:rPr>
              <w:t xml:space="preserve"> </w:t>
            </w:r>
            <w:r w:rsidRPr="00496130">
              <w:rPr>
                <w:sz w:val="18"/>
                <w:szCs w:val="18"/>
              </w:rPr>
              <w:t xml:space="preserve">– 3067 </w:t>
            </w:r>
            <w:r w:rsidR="00B555EA" w:rsidRPr="00496130">
              <w:rPr>
                <w:smallCaps/>
                <w:sz w:val="20"/>
                <w:szCs w:val="20"/>
              </w:rPr>
              <w:t>b.c.</w:t>
            </w:r>
            <w:r w:rsidR="00B555EA" w:rsidRPr="00496130">
              <w:rPr>
                <w:sz w:val="20"/>
                <w:szCs w:val="20"/>
              </w:rPr>
              <w:t xml:space="preserve"> </w:t>
            </w:r>
            <w:r w:rsidRPr="00496130">
              <w:rPr>
                <w:sz w:val="18"/>
                <w:szCs w:val="18"/>
              </w:rPr>
              <w:t>[ 2.1%]</w:t>
            </w:r>
          </w:p>
        </w:tc>
      </w:tr>
      <w:tr w:rsidR="00F068BD" w:rsidRPr="00496130" w14:paraId="2DEB431C" w14:textId="77777777" w:rsidTr="00F068BD">
        <w:trPr>
          <w:trHeight w:val="300"/>
        </w:trPr>
        <w:tc>
          <w:tcPr>
            <w:tcW w:w="360" w:type="pct"/>
            <w:shd w:val="clear" w:color="auto" w:fill="auto"/>
          </w:tcPr>
          <w:p w14:paraId="3F1BE03C" w14:textId="5FE1E570" w:rsidR="00F068BD" w:rsidRPr="00496130" w:rsidRDefault="00F068BD" w:rsidP="00F068BD">
            <w:pPr>
              <w:rPr>
                <w:sz w:val="18"/>
                <w:szCs w:val="18"/>
              </w:rPr>
            </w:pPr>
            <w:r w:rsidRPr="00496130">
              <w:rPr>
                <w:sz w:val="18"/>
                <w:szCs w:val="18"/>
              </w:rPr>
              <w:t>AAR-28410</w:t>
            </w:r>
          </w:p>
        </w:tc>
        <w:tc>
          <w:tcPr>
            <w:tcW w:w="400" w:type="pct"/>
            <w:shd w:val="clear" w:color="auto" w:fill="auto"/>
            <w:noWrap/>
          </w:tcPr>
          <w:p w14:paraId="2B76320E" w14:textId="782BE342" w:rsidR="00F068BD" w:rsidRPr="00496130" w:rsidRDefault="00F068BD" w:rsidP="00F068BD">
            <w:pPr>
              <w:rPr>
                <w:sz w:val="18"/>
                <w:szCs w:val="18"/>
              </w:rPr>
            </w:pPr>
            <w:r w:rsidRPr="00496130">
              <w:rPr>
                <w:sz w:val="18"/>
                <w:szCs w:val="18"/>
              </w:rPr>
              <w:t>ZNZ17-C30</w:t>
            </w:r>
          </w:p>
        </w:tc>
        <w:tc>
          <w:tcPr>
            <w:tcW w:w="345" w:type="pct"/>
            <w:shd w:val="clear" w:color="auto" w:fill="auto"/>
            <w:noWrap/>
          </w:tcPr>
          <w:p w14:paraId="706B138E" w14:textId="46BA588E" w:rsidR="00F068BD" w:rsidRPr="00496130" w:rsidRDefault="00F068BD" w:rsidP="00F068BD">
            <w:pPr>
              <w:rPr>
                <w:sz w:val="18"/>
                <w:szCs w:val="18"/>
              </w:rPr>
            </w:pPr>
            <w:r w:rsidRPr="00496130">
              <w:rPr>
                <w:sz w:val="18"/>
                <w:szCs w:val="18"/>
              </w:rPr>
              <w:t>2024 (2018)</w:t>
            </w:r>
          </w:p>
        </w:tc>
        <w:tc>
          <w:tcPr>
            <w:tcW w:w="317" w:type="pct"/>
            <w:shd w:val="clear" w:color="auto" w:fill="auto"/>
          </w:tcPr>
          <w:p w14:paraId="56DA31EF" w14:textId="75E429E8" w:rsidR="00F068BD" w:rsidRPr="00496130" w:rsidRDefault="00F068BD" w:rsidP="00F068BD">
            <w:pPr>
              <w:rPr>
                <w:sz w:val="18"/>
                <w:szCs w:val="18"/>
              </w:rPr>
            </w:pPr>
            <w:r w:rsidRPr="00496130">
              <w:rPr>
                <w:sz w:val="18"/>
                <w:szCs w:val="18"/>
              </w:rPr>
              <w:t>Lower Floor (Interior)</w:t>
            </w:r>
          </w:p>
        </w:tc>
        <w:tc>
          <w:tcPr>
            <w:tcW w:w="374" w:type="pct"/>
            <w:shd w:val="clear" w:color="auto" w:fill="auto"/>
          </w:tcPr>
          <w:p w14:paraId="0BBA87B4" w14:textId="4D289FD1" w:rsidR="00F068BD" w:rsidRPr="00496130" w:rsidRDefault="00F068BD" w:rsidP="00F068BD">
            <w:pPr>
              <w:rPr>
                <w:sz w:val="18"/>
                <w:szCs w:val="18"/>
              </w:rPr>
            </w:pPr>
            <w:r w:rsidRPr="00496130">
              <w:rPr>
                <w:sz w:val="18"/>
                <w:szCs w:val="18"/>
              </w:rPr>
              <w:t>earth floor</w:t>
            </w:r>
          </w:p>
        </w:tc>
        <w:tc>
          <w:tcPr>
            <w:tcW w:w="669" w:type="pct"/>
            <w:shd w:val="clear" w:color="auto" w:fill="auto"/>
          </w:tcPr>
          <w:p w14:paraId="0DF4AAC2" w14:textId="2A87FC8E" w:rsidR="00F068BD" w:rsidRPr="00496130" w:rsidRDefault="00F068BD" w:rsidP="00F068BD">
            <w:pPr>
              <w:rPr>
                <w:sz w:val="18"/>
                <w:szCs w:val="18"/>
              </w:rPr>
            </w:pPr>
            <w:r w:rsidRPr="00496130">
              <w:rPr>
                <w:sz w:val="18"/>
                <w:szCs w:val="18"/>
              </w:rPr>
              <w:t>charcoal (type B/H/I), Fabaceae</w:t>
            </w:r>
          </w:p>
        </w:tc>
        <w:tc>
          <w:tcPr>
            <w:tcW w:w="386" w:type="pct"/>
            <w:shd w:val="clear" w:color="auto" w:fill="auto"/>
          </w:tcPr>
          <w:p w14:paraId="7E4787F3" w14:textId="3DF08F14" w:rsidR="00F068BD" w:rsidRPr="00496130" w:rsidRDefault="00F068BD" w:rsidP="00F068BD">
            <w:pPr>
              <w:rPr>
                <w:sz w:val="18"/>
                <w:szCs w:val="18"/>
              </w:rPr>
            </w:pPr>
            <w:r w:rsidRPr="00496130">
              <w:rPr>
                <w:sz w:val="18"/>
                <w:szCs w:val="18"/>
              </w:rPr>
              <w:t>4687 ±32</w:t>
            </w:r>
          </w:p>
        </w:tc>
        <w:tc>
          <w:tcPr>
            <w:tcW w:w="1075" w:type="pct"/>
            <w:shd w:val="clear" w:color="auto" w:fill="auto"/>
            <w:noWrap/>
          </w:tcPr>
          <w:p w14:paraId="19376D51" w14:textId="4D2FE88B" w:rsidR="00F068BD" w:rsidRPr="00496130" w:rsidRDefault="00F068BD" w:rsidP="00F068BD">
            <w:pPr>
              <w:rPr>
                <w:sz w:val="18"/>
                <w:szCs w:val="18"/>
              </w:rPr>
            </w:pPr>
            <w:r w:rsidRPr="00496130">
              <w:rPr>
                <w:sz w:val="18"/>
                <w:szCs w:val="18"/>
              </w:rPr>
              <w:t xml:space="preserve">3500 </w:t>
            </w:r>
            <w:r w:rsidR="00B555EA" w:rsidRPr="00496130">
              <w:rPr>
                <w:sz w:val="18"/>
                <w:szCs w:val="18"/>
              </w:rPr>
              <w:t>-</w:t>
            </w:r>
            <w:r w:rsidRPr="00496130">
              <w:rPr>
                <w:sz w:val="18"/>
                <w:szCs w:val="18"/>
              </w:rPr>
              <w:t xml:space="preserve"> 3427 </w:t>
            </w:r>
            <w:r w:rsidR="00B555EA" w:rsidRPr="00496130">
              <w:rPr>
                <w:smallCaps/>
                <w:sz w:val="20"/>
                <w:szCs w:val="20"/>
              </w:rPr>
              <w:t>b.c.</w:t>
            </w:r>
            <w:r w:rsidR="00B555EA" w:rsidRPr="00496130">
              <w:rPr>
                <w:sz w:val="20"/>
                <w:szCs w:val="20"/>
              </w:rPr>
              <w:t xml:space="preserve"> </w:t>
            </w:r>
            <w:r w:rsidRPr="00496130">
              <w:rPr>
                <w:sz w:val="18"/>
                <w:szCs w:val="18"/>
              </w:rPr>
              <w:t>[56.5%]</w:t>
            </w:r>
          </w:p>
        </w:tc>
        <w:tc>
          <w:tcPr>
            <w:tcW w:w="1075" w:type="pct"/>
            <w:shd w:val="clear" w:color="auto" w:fill="auto"/>
            <w:noWrap/>
          </w:tcPr>
          <w:p w14:paraId="7E696F99" w14:textId="2FC85A24" w:rsidR="00F068BD" w:rsidRPr="00496130" w:rsidRDefault="00F068BD" w:rsidP="00F068BD">
            <w:pPr>
              <w:rPr>
                <w:sz w:val="18"/>
                <w:szCs w:val="18"/>
              </w:rPr>
            </w:pPr>
            <w:r w:rsidRPr="00496130">
              <w:rPr>
                <w:sz w:val="18"/>
                <w:szCs w:val="18"/>
              </w:rPr>
              <w:t xml:space="preserve">3618 </w:t>
            </w:r>
            <w:r w:rsidR="00B555EA" w:rsidRPr="00496130">
              <w:rPr>
                <w:sz w:val="18"/>
                <w:szCs w:val="18"/>
              </w:rPr>
              <w:t>-</w:t>
            </w:r>
            <w:r w:rsidRPr="00496130">
              <w:rPr>
                <w:sz w:val="18"/>
                <w:szCs w:val="18"/>
              </w:rPr>
              <w:t xml:space="preserve"> 3611 </w:t>
            </w:r>
            <w:r w:rsidR="00B555EA" w:rsidRPr="00496130">
              <w:rPr>
                <w:smallCaps/>
                <w:sz w:val="20"/>
                <w:szCs w:val="20"/>
              </w:rPr>
              <w:t>b.c.</w:t>
            </w:r>
            <w:r w:rsidR="00B555EA" w:rsidRPr="00496130">
              <w:rPr>
                <w:sz w:val="20"/>
                <w:szCs w:val="20"/>
              </w:rPr>
              <w:t xml:space="preserve"> </w:t>
            </w:r>
            <w:r w:rsidRPr="00496130">
              <w:rPr>
                <w:sz w:val="18"/>
                <w:szCs w:val="18"/>
              </w:rPr>
              <w:t>[ 0.9%]</w:t>
            </w:r>
          </w:p>
        </w:tc>
      </w:tr>
    </w:tbl>
    <w:p w14:paraId="55D91EAD" w14:textId="77777777" w:rsidR="00C40A2B" w:rsidRPr="00496130" w:rsidRDefault="00C40A2B" w:rsidP="00751CDB"/>
    <w:p w14:paraId="4FA63013" w14:textId="7FAD70DE" w:rsidR="00751CDB" w:rsidRPr="00496130" w:rsidRDefault="00751CDB" w:rsidP="00751CDB">
      <w:pPr>
        <w:rPr>
          <w:b/>
          <w:bCs/>
        </w:rPr>
      </w:pPr>
      <w:r w:rsidRPr="00496130">
        <w:rPr>
          <w:b/>
        </w:rPr>
        <w:t xml:space="preserve">Table </w:t>
      </w:r>
      <w:proofErr w:type="gramStart"/>
      <w:r w:rsidRPr="00496130">
        <w:rPr>
          <w:b/>
        </w:rPr>
        <w:t>2</w:t>
      </w:r>
      <w:r w:rsidR="00C40A2B" w:rsidRPr="00496130">
        <w:rPr>
          <w:b/>
        </w:rPr>
        <w:t xml:space="preserve">  </w:t>
      </w:r>
      <w:r w:rsidR="00C40A2B" w:rsidRPr="00496130">
        <w:rPr>
          <w:b/>
          <w:bCs/>
        </w:rPr>
        <w:t>Artifacts</w:t>
      </w:r>
      <w:proofErr w:type="gramEnd"/>
      <w:r w:rsidR="00C40A2B" w:rsidRPr="00496130">
        <w:rPr>
          <w:b/>
          <w:bCs/>
        </w:rPr>
        <w:t xml:space="preserve"> organized by context and context type</w:t>
      </w:r>
    </w:p>
    <w:tbl>
      <w:tblPr>
        <w:tblStyle w:val="TableGrid"/>
        <w:tblW w:w="0" w:type="auto"/>
        <w:tblLook w:val="04A0" w:firstRow="1" w:lastRow="0" w:firstColumn="1" w:lastColumn="0" w:noHBand="0" w:noVBand="1"/>
      </w:tblPr>
      <w:tblGrid>
        <w:gridCol w:w="2370"/>
        <w:gridCol w:w="1097"/>
        <w:gridCol w:w="2059"/>
        <w:gridCol w:w="2059"/>
        <w:gridCol w:w="1509"/>
        <w:gridCol w:w="1509"/>
        <w:gridCol w:w="1509"/>
        <w:gridCol w:w="1836"/>
      </w:tblGrid>
      <w:tr w:rsidR="0010125C" w:rsidRPr="00496130" w14:paraId="4A5B96F3" w14:textId="77777777" w:rsidTr="0010125C">
        <w:trPr>
          <w:trHeight w:val="300"/>
        </w:trPr>
        <w:tc>
          <w:tcPr>
            <w:tcW w:w="2370" w:type="dxa"/>
            <w:tcBorders>
              <w:bottom w:val="single" w:sz="4" w:space="0" w:color="auto"/>
            </w:tcBorders>
            <w:noWrap/>
            <w:hideMark/>
          </w:tcPr>
          <w:p w14:paraId="2D4B3B8D" w14:textId="77777777" w:rsidR="0010125C" w:rsidRPr="00496130" w:rsidRDefault="0010125C" w:rsidP="0010125C">
            <w:pPr>
              <w:rPr>
                <w:b/>
                <w:bCs/>
                <w:sz w:val="18"/>
                <w:szCs w:val="18"/>
              </w:rPr>
            </w:pPr>
            <w:r w:rsidRPr="00496130">
              <w:rPr>
                <w:b/>
                <w:bCs/>
                <w:sz w:val="18"/>
                <w:szCs w:val="18"/>
              </w:rPr>
              <w:t>Phase</w:t>
            </w:r>
          </w:p>
        </w:tc>
        <w:tc>
          <w:tcPr>
            <w:tcW w:w="1097" w:type="dxa"/>
            <w:tcBorders>
              <w:bottom w:val="single" w:sz="4" w:space="0" w:color="auto"/>
            </w:tcBorders>
            <w:noWrap/>
            <w:hideMark/>
          </w:tcPr>
          <w:p w14:paraId="3A386DCF" w14:textId="77777777" w:rsidR="0010125C" w:rsidRPr="00496130" w:rsidRDefault="0010125C" w:rsidP="0010125C">
            <w:pPr>
              <w:rPr>
                <w:b/>
                <w:bCs/>
                <w:sz w:val="18"/>
                <w:szCs w:val="18"/>
              </w:rPr>
            </w:pPr>
            <w:r w:rsidRPr="00496130">
              <w:rPr>
                <w:b/>
                <w:bCs/>
                <w:sz w:val="18"/>
                <w:szCs w:val="18"/>
              </w:rPr>
              <w:t>Context</w:t>
            </w:r>
          </w:p>
        </w:tc>
        <w:tc>
          <w:tcPr>
            <w:tcW w:w="2059" w:type="dxa"/>
            <w:tcBorders>
              <w:bottom w:val="single" w:sz="4" w:space="0" w:color="auto"/>
            </w:tcBorders>
            <w:noWrap/>
            <w:hideMark/>
          </w:tcPr>
          <w:p w14:paraId="21D97305" w14:textId="77777777" w:rsidR="0010125C" w:rsidRPr="00496130" w:rsidRDefault="0010125C" w:rsidP="0010125C">
            <w:pPr>
              <w:rPr>
                <w:b/>
                <w:bCs/>
                <w:sz w:val="18"/>
                <w:szCs w:val="18"/>
              </w:rPr>
            </w:pPr>
            <w:r w:rsidRPr="00496130">
              <w:rPr>
                <w:b/>
                <w:bCs/>
                <w:sz w:val="18"/>
                <w:szCs w:val="18"/>
              </w:rPr>
              <w:t>Local Ceramics (g)</w:t>
            </w:r>
          </w:p>
        </w:tc>
        <w:tc>
          <w:tcPr>
            <w:tcW w:w="2059" w:type="dxa"/>
            <w:tcBorders>
              <w:bottom w:val="single" w:sz="4" w:space="0" w:color="auto"/>
            </w:tcBorders>
            <w:noWrap/>
            <w:hideMark/>
          </w:tcPr>
          <w:p w14:paraId="2E1E51F9" w14:textId="77777777" w:rsidR="0010125C" w:rsidRPr="00496130" w:rsidRDefault="0010125C" w:rsidP="0010125C">
            <w:pPr>
              <w:rPr>
                <w:b/>
                <w:bCs/>
                <w:sz w:val="18"/>
                <w:szCs w:val="18"/>
              </w:rPr>
            </w:pPr>
            <w:r w:rsidRPr="00496130">
              <w:rPr>
                <w:b/>
                <w:bCs/>
                <w:sz w:val="18"/>
                <w:szCs w:val="18"/>
              </w:rPr>
              <w:t>Imported Ceramics (g)</w:t>
            </w:r>
          </w:p>
        </w:tc>
        <w:tc>
          <w:tcPr>
            <w:tcW w:w="1509" w:type="dxa"/>
            <w:tcBorders>
              <w:bottom w:val="single" w:sz="4" w:space="0" w:color="auto"/>
            </w:tcBorders>
            <w:noWrap/>
            <w:hideMark/>
          </w:tcPr>
          <w:p w14:paraId="5C3B780D" w14:textId="77777777" w:rsidR="0010125C" w:rsidRPr="00496130" w:rsidRDefault="0010125C" w:rsidP="0010125C">
            <w:pPr>
              <w:rPr>
                <w:b/>
                <w:bCs/>
                <w:sz w:val="18"/>
                <w:szCs w:val="18"/>
              </w:rPr>
            </w:pPr>
            <w:r w:rsidRPr="00496130">
              <w:rPr>
                <w:b/>
                <w:bCs/>
                <w:sz w:val="18"/>
                <w:szCs w:val="18"/>
              </w:rPr>
              <w:t>Glass Beads (#)</w:t>
            </w:r>
          </w:p>
        </w:tc>
        <w:tc>
          <w:tcPr>
            <w:tcW w:w="1509" w:type="dxa"/>
            <w:tcBorders>
              <w:bottom w:val="single" w:sz="4" w:space="0" w:color="auto"/>
            </w:tcBorders>
            <w:noWrap/>
            <w:hideMark/>
          </w:tcPr>
          <w:p w14:paraId="70796635" w14:textId="77777777" w:rsidR="0010125C" w:rsidRPr="00496130" w:rsidRDefault="0010125C" w:rsidP="0010125C">
            <w:pPr>
              <w:rPr>
                <w:b/>
                <w:bCs/>
                <w:sz w:val="18"/>
                <w:szCs w:val="18"/>
              </w:rPr>
            </w:pPr>
            <w:r w:rsidRPr="00496130">
              <w:rPr>
                <w:b/>
                <w:bCs/>
                <w:sz w:val="18"/>
                <w:szCs w:val="18"/>
              </w:rPr>
              <w:t>Vessel Glass (g)</w:t>
            </w:r>
          </w:p>
        </w:tc>
        <w:tc>
          <w:tcPr>
            <w:tcW w:w="1509" w:type="dxa"/>
            <w:tcBorders>
              <w:bottom w:val="single" w:sz="4" w:space="0" w:color="auto"/>
            </w:tcBorders>
            <w:noWrap/>
            <w:hideMark/>
          </w:tcPr>
          <w:p w14:paraId="7C52F723" w14:textId="77777777" w:rsidR="0010125C" w:rsidRPr="00496130" w:rsidRDefault="0010125C" w:rsidP="0010125C">
            <w:pPr>
              <w:rPr>
                <w:b/>
                <w:bCs/>
                <w:sz w:val="18"/>
                <w:szCs w:val="18"/>
              </w:rPr>
            </w:pPr>
            <w:r w:rsidRPr="00496130">
              <w:rPr>
                <w:b/>
                <w:bCs/>
                <w:sz w:val="18"/>
                <w:szCs w:val="18"/>
              </w:rPr>
              <w:t>Iron Slag (kg)</w:t>
            </w:r>
          </w:p>
        </w:tc>
        <w:tc>
          <w:tcPr>
            <w:tcW w:w="1836" w:type="dxa"/>
            <w:tcBorders>
              <w:bottom w:val="single" w:sz="4" w:space="0" w:color="auto"/>
            </w:tcBorders>
            <w:noWrap/>
            <w:hideMark/>
          </w:tcPr>
          <w:p w14:paraId="15DFEB89" w14:textId="77777777" w:rsidR="0010125C" w:rsidRPr="00496130" w:rsidRDefault="0010125C" w:rsidP="0010125C">
            <w:pPr>
              <w:rPr>
                <w:b/>
                <w:bCs/>
                <w:sz w:val="18"/>
                <w:szCs w:val="18"/>
              </w:rPr>
            </w:pPr>
            <w:r w:rsidRPr="00496130">
              <w:rPr>
                <w:b/>
                <w:bCs/>
                <w:sz w:val="18"/>
                <w:szCs w:val="18"/>
              </w:rPr>
              <w:t>Bead Grinders (#)</w:t>
            </w:r>
          </w:p>
        </w:tc>
      </w:tr>
      <w:tr w:rsidR="0010125C" w:rsidRPr="00496130" w14:paraId="5CF64236" w14:textId="77777777" w:rsidTr="0010125C">
        <w:trPr>
          <w:trHeight w:val="300"/>
        </w:trPr>
        <w:tc>
          <w:tcPr>
            <w:tcW w:w="2370"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31340F68" w14:textId="77777777" w:rsidR="0010125C" w:rsidRPr="00496130" w:rsidRDefault="0010125C" w:rsidP="0010125C">
            <w:pPr>
              <w:rPr>
                <w:sz w:val="18"/>
                <w:szCs w:val="18"/>
              </w:rPr>
            </w:pPr>
            <w:r w:rsidRPr="00496130">
              <w:rPr>
                <w:sz w:val="18"/>
                <w:szCs w:val="18"/>
              </w:rPr>
              <w:t>Mixed Topsoils</w:t>
            </w:r>
          </w:p>
        </w:tc>
        <w:tc>
          <w:tcPr>
            <w:tcW w:w="1097"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353FE17F" w14:textId="77777777" w:rsidR="0010125C" w:rsidRPr="00496130" w:rsidRDefault="0010125C" w:rsidP="0010125C">
            <w:pPr>
              <w:rPr>
                <w:sz w:val="18"/>
                <w:szCs w:val="18"/>
              </w:rPr>
            </w:pPr>
            <w:r w:rsidRPr="00496130">
              <w:rPr>
                <w:sz w:val="18"/>
                <w:szCs w:val="18"/>
              </w:rPr>
              <w:t>2001</w:t>
            </w:r>
          </w:p>
        </w:tc>
        <w:tc>
          <w:tcPr>
            <w:tcW w:w="2059"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6EBAA15F" w14:textId="77777777" w:rsidR="0010125C" w:rsidRPr="00496130" w:rsidRDefault="0010125C" w:rsidP="0010125C">
            <w:pPr>
              <w:rPr>
                <w:sz w:val="18"/>
                <w:szCs w:val="18"/>
              </w:rPr>
            </w:pPr>
            <w:r w:rsidRPr="00496130">
              <w:rPr>
                <w:sz w:val="18"/>
                <w:szCs w:val="18"/>
              </w:rPr>
              <w:t>4681</w:t>
            </w:r>
          </w:p>
        </w:tc>
        <w:tc>
          <w:tcPr>
            <w:tcW w:w="2059"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08CDAA5C" w14:textId="77777777" w:rsidR="0010125C" w:rsidRPr="00496130" w:rsidRDefault="0010125C" w:rsidP="0010125C">
            <w:pPr>
              <w:rPr>
                <w:sz w:val="18"/>
                <w:szCs w:val="18"/>
              </w:rPr>
            </w:pPr>
            <w:r w:rsidRPr="00496130">
              <w:rPr>
                <w:sz w:val="18"/>
                <w:szCs w:val="18"/>
              </w:rPr>
              <w:t>0.65</w:t>
            </w:r>
          </w:p>
        </w:tc>
        <w:tc>
          <w:tcPr>
            <w:tcW w:w="1509"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550D2DD0" w14:textId="77777777" w:rsidR="0010125C" w:rsidRPr="00496130" w:rsidRDefault="0010125C" w:rsidP="0010125C">
            <w:pPr>
              <w:rPr>
                <w:sz w:val="18"/>
                <w:szCs w:val="18"/>
              </w:rPr>
            </w:pPr>
            <w:r w:rsidRPr="00496130">
              <w:rPr>
                <w:sz w:val="18"/>
                <w:szCs w:val="18"/>
              </w:rPr>
              <w:t>27</w:t>
            </w:r>
          </w:p>
        </w:tc>
        <w:tc>
          <w:tcPr>
            <w:tcW w:w="1509"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75A36CB6" w14:textId="77777777" w:rsidR="0010125C" w:rsidRPr="00496130" w:rsidRDefault="0010125C" w:rsidP="0010125C">
            <w:pPr>
              <w:rPr>
                <w:sz w:val="18"/>
                <w:szCs w:val="18"/>
              </w:rPr>
            </w:pPr>
            <w:r w:rsidRPr="00496130">
              <w:rPr>
                <w:sz w:val="18"/>
                <w:szCs w:val="18"/>
              </w:rPr>
              <w:t>73</w:t>
            </w:r>
          </w:p>
        </w:tc>
        <w:tc>
          <w:tcPr>
            <w:tcW w:w="1509"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198E6E64" w14:textId="77777777" w:rsidR="0010125C" w:rsidRPr="00496130" w:rsidRDefault="0010125C" w:rsidP="0010125C">
            <w:pPr>
              <w:rPr>
                <w:sz w:val="18"/>
                <w:szCs w:val="18"/>
              </w:rPr>
            </w:pPr>
            <w:r w:rsidRPr="00496130">
              <w:rPr>
                <w:sz w:val="18"/>
                <w:szCs w:val="18"/>
              </w:rPr>
              <w:t>9.43</w:t>
            </w:r>
          </w:p>
        </w:tc>
        <w:tc>
          <w:tcPr>
            <w:tcW w:w="1836" w:type="dxa"/>
            <w:tcBorders>
              <w:top w:val="single" w:sz="4" w:space="0" w:color="auto"/>
              <w:left w:val="single" w:sz="4" w:space="0" w:color="auto"/>
              <w:bottom w:val="dashSmallGap" w:sz="4" w:space="0" w:color="auto"/>
              <w:right w:val="single" w:sz="4" w:space="0" w:color="auto"/>
            </w:tcBorders>
            <w:shd w:val="clear" w:color="auto" w:fill="E7E6E6" w:themeFill="background2"/>
            <w:noWrap/>
            <w:hideMark/>
          </w:tcPr>
          <w:p w14:paraId="082DB7F1" w14:textId="77777777" w:rsidR="0010125C" w:rsidRPr="00496130" w:rsidRDefault="0010125C" w:rsidP="0010125C">
            <w:pPr>
              <w:rPr>
                <w:sz w:val="18"/>
                <w:szCs w:val="18"/>
              </w:rPr>
            </w:pPr>
            <w:r w:rsidRPr="00496130">
              <w:rPr>
                <w:sz w:val="18"/>
                <w:szCs w:val="18"/>
              </w:rPr>
              <w:t>3</w:t>
            </w:r>
          </w:p>
        </w:tc>
      </w:tr>
      <w:tr w:rsidR="0010125C" w:rsidRPr="00496130" w14:paraId="44C559FF" w14:textId="77777777" w:rsidTr="0010125C">
        <w:trPr>
          <w:trHeight w:val="300"/>
        </w:trPr>
        <w:tc>
          <w:tcPr>
            <w:tcW w:w="2370"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6E56EB27" w14:textId="77777777" w:rsidR="0010125C" w:rsidRPr="00496130" w:rsidRDefault="0010125C" w:rsidP="0010125C">
            <w:pPr>
              <w:rPr>
                <w:sz w:val="18"/>
                <w:szCs w:val="18"/>
              </w:rPr>
            </w:pPr>
            <w:r w:rsidRPr="00496130">
              <w:rPr>
                <w:sz w:val="18"/>
                <w:szCs w:val="18"/>
              </w:rPr>
              <w:t>Mixed Topsoils</w:t>
            </w:r>
          </w:p>
        </w:tc>
        <w:tc>
          <w:tcPr>
            <w:tcW w:w="1097"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178839B2" w14:textId="77777777" w:rsidR="0010125C" w:rsidRPr="00496130" w:rsidRDefault="0010125C" w:rsidP="0010125C">
            <w:pPr>
              <w:rPr>
                <w:sz w:val="18"/>
                <w:szCs w:val="18"/>
              </w:rPr>
            </w:pPr>
            <w:r w:rsidRPr="00496130">
              <w:rPr>
                <w:sz w:val="18"/>
                <w:szCs w:val="18"/>
              </w:rPr>
              <w:t>2002</w:t>
            </w:r>
          </w:p>
        </w:tc>
        <w:tc>
          <w:tcPr>
            <w:tcW w:w="2059"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601A2553" w14:textId="77777777" w:rsidR="0010125C" w:rsidRPr="00496130" w:rsidRDefault="0010125C" w:rsidP="0010125C">
            <w:pPr>
              <w:rPr>
                <w:sz w:val="18"/>
                <w:szCs w:val="18"/>
              </w:rPr>
            </w:pPr>
            <w:r w:rsidRPr="00496130">
              <w:rPr>
                <w:sz w:val="18"/>
                <w:szCs w:val="18"/>
              </w:rPr>
              <w:t>1522</w:t>
            </w:r>
          </w:p>
        </w:tc>
        <w:tc>
          <w:tcPr>
            <w:tcW w:w="2059"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6616BBD0" w14:textId="77777777" w:rsidR="0010125C" w:rsidRPr="00496130" w:rsidRDefault="0010125C" w:rsidP="0010125C">
            <w:pPr>
              <w:rPr>
                <w:sz w:val="18"/>
                <w:szCs w:val="18"/>
              </w:rPr>
            </w:pPr>
            <w:r w:rsidRPr="00496130">
              <w:rPr>
                <w:sz w:val="18"/>
                <w:szCs w:val="18"/>
              </w:rPr>
              <w:t>0.03</w:t>
            </w:r>
          </w:p>
        </w:tc>
        <w:tc>
          <w:tcPr>
            <w:tcW w:w="1509"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11301287" w14:textId="77777777" w:rsidR="0010125C" w:rsidRPr="00496130" w:rsidRDefault="0010125C" w:rsidP="0010125C">
            <w:pPr>
              <w:rPr>
                <w:sz w:val="18"/>
                <w:szCs w:val="18"/>
              </w:rPr>
            </w:pPr>
            <w:r w:rsidRPr="00496130">
              <w:rPr>
                <w:sz w:val="18"/>
                <w:szCs w:val="18"/>
              </w:rPr>
              <w:t>4</w:t>
            </w:r>
          </w:p>
        </w:tc>
        <w:tc>
          <w:tcPr>
            <w:tcW w:w="1509"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7C437119" w14:textId="77777777" w:rsidR="0010125C" w:rsidRPr="00496130" w:rsidRDefault="0010125C" w:rsidP="0010125C">
            <w:pPr>
              <w:rPr>
                <w:sz w:val="18"/>
                <w:szCs w:val="18"/>
              </w:rPr>
            </w:pPr>
            <w:r w:rsidRPr="00496130">
              <w:rPr>
                <w:sz w:val="18"/>
                <w:szCs w:val="18"/>
              </w:rPr>
              <w:t>12</w:t>
            </w:r>
          </w:p>
        </w:tc>
        <w:tc>
          <w:tcPr>
            <w:tcW w:w="1509"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4256C4CB" w14:textId="77777777" w:rsidR="0010125C" w:rsidRPr="00496130" w:rsidRDefault="0010125C" w:rsidP="0010125C">
            <w:pPr>
              <w:rPr>
                <w:sz w:val="18"/>
                <w:szCs w:val="18"/>
              </w:rPr>
            </w:pPr>
            <w:r w:rsidRPr="00496130">
              <w:rPr>
                <w:sz w:val="18"/>
                <w:szCs w:val="18"/>
              </w:rPr>
              <w:t>23.29</w:t>
            </w:r>
          </w:p>
        </w:tc>
        <w:tc>
          <w:tcPr>
            <w:tcW w:w="1836" w:type="dxa"/>
            <w:tcBorders>
              <w:top w:val="dashSmallGap" w:sz="4" w:space="0" w:color="auto"/>
              <w:left w:val="single" w:sz="4" w:space="0" w:color="auto"/>
              <w:bottom w:val="dashSmallGap" w:sz="4" w:space="0" w:color="auto"/>
              <w:right w:val="single" w:sz="4" w:space="0" w:color="auto"/>
            </w:tcBorders>
            <w:shd w:val="clear" w:color="auto" w:fill="E7E6E6" w:themeFill="background2"/>
            <w:noWrap/>
            <w:hideMark/>
          </w:tcPr>
          <w:p w14:paraId="15C86B34" w14:textId="77777777" w:rsidR="0010125C" w:rsidRPr="00496130" w:rsidRDefault="0010125C" w:rsidP="0010125C">
            <w:pPr>
              <w:rPr>
                <w:sz w:val="18"/>
                <w:szCs w:val="18"/>
              </w:rPr>
            </w:pPr>
            <w:r w:rsidRPr="00496130">
              <w:rPr>
                <w:sz w:val="18"/>
                <w:szCs w:val="18"/>
              </w:rPr>
              <w:t> </w:t>
            </w:r>
          </w:p>
        </w:tc>
      </w:tr>
      <w:tr w:rsidR="0010125C" w:rsidRPr="00496130" w14:paraId="1BD3CA55" w14:textId="77777777" w:rsidTr="0010125C">
        <w:trPr>
          <w:trHeight w:val="300"/>
        </w:trPr>
        <w:tc>
          <w:tcPr>
            <w:tcW w:w="2370"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621A56A3" w14:textId="77777777" w:rsidR="0010125C" w:rsidRPr="00496130" w:rsidRDefault="0010125C" w:rsidP="0010125C">
            <w:pPr>
              <w:rPr>
                <w:sz w:val="18"/>
                <w:szCs w:val="18"/>
              </w:rPr>
            </w:pPr>
            <w:r w:rsidRPr="00496130">
              <w:rPr>
                <w:sz w:val="18"/>
                <w:szCs w:val="18"/>
              </w:rPr>
              <w:t>Mixed Topsoils</w:t>
            </w:r>
          </w:p>
        </w:tc>
        <w:tc>
          <w:tcPr>
            <w:tcW w:w="1097"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277AA49A" w14:textId="77777777" w:rsidR="0010125C" w:rsidRPr="00496130" w:rsidRDefault="0010125C" w:rsidP="0010125C">
            <w:pPr>
              <w:rPr>
                <w:sz w:val="18"/>
                <w:szCs w:val="18"/>
              </w:rPr>
            </w:pPr>
            <w:r w:rsidRPr="00496130">
              <w:rPr>
                <w:sz w:val="18"/>
                <w:szCs w:val="18"/>
              </w:rPr>
              <w:t>2003</w:t>
            </w:r>
          </w:p>
        </w:tc>
        <w:tc>
          <w:tcPr>
            <w:tcW w:w="2059"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27096550" w14:textId="77777777" w:rsidR="0010125C" w:rsidRPr="00496130" w:rsidRDefault="0010125C" w:rsidP="0010125C">
            <w:pPr>
              <w:rPr>
                <w:sz w:val="18"/>
                <w:szCs w:val="18"/>
              </w:rPr>
            </w:pPr>
            <w:r w:rsidRPr="00496130">
              <w:rPr>
                <w:sz w:val="18"/>
                <w:szCs w:val="18"/>
              </w:rPr>
              <w:t>7000</w:t>
            </w:r>
          </w:p>
        </w:tc>
        <w:tc>
          <w:tcPr>
            <w:tcW w:w="2059"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2E807ED6" w14:textId="77777777" w:rsidR="0010125C" w:rsidRPr="00496130" w:rsidRDefault="0010125C" w:rsidP="0010125C">
            <w:pPr>
              <w:rPr>
                <w:sz w:val="18"/>
                <w:szCs w:val="18"/>
              </w:rPr>
            </w:pPr>
            <w:r w:rsidRPr="00496130">
              <w:rPr>
                <w:sz w:val="18"/>
                <w:szCs w:val="18"/>
              </w:rPr>
              <w:t>1.19</w:t>
            </w:r>
          </w:p>
        </w:tc>
        <w:tc>
          <w:tcPr>
            <w:tcW w:w="1509"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128EAA3E" w14:textId="77777777" w:rsidR="0010125C" w:rsidRPr="00496130" w:rsidRDefault="0010125C" w:rsidP="0010125C">
            <w:pPr>
              <w:rPr>
                <w:sz w:val="18"/>
                <w:szCs w:val="18"/>
              </w:rPr>
            </w:pPr>
            <w:r w:rsidRPr="00496130">
              <w:rPr>
                <w:sz w:val="18"/>
                <w:szCs w:val="18"/>
              </w:rPr>
              <w:t>36</w:t>
            </w:r>
          </w:p>
        </w:tc>
        <w:tc>
          <w:tcPr>
            <w:tcW w:w="1509"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0625BF7B" w14:textId="77777777" w:rsidR="0010125C" w:rsidRPr="00496130" w:rsidRDefault="0010125C" w:rsidP="0010125C">
            <w:pPr>
              <w:rPr>
                <w:sz w:val="18"/>
                <w:szCs w:val="18"/>
              </w:rPr>
            </w:pPr>
            <w:r w:rsidRPr="00496130">
              <w:rPr>
                <w:sz w:val="18"/>
                <w:szCs w:val="18"/>
              </w:rPr>
              <w:t>158</w:t>
            </w:r>
          </w:p>
        </w:tc>
        <w:tc>
          <w:tcPr>
            <w:tcW w:w="1509"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712F7293" w14:textId="77777777" w:rsidR="0010125C" w:rsidRPr="00496130" w:rsidRDefault="0010125C" w:rsidP="0010125C">
            <w:pPr>
              <w:rPr>
                <w:sz w:val="18"/>
                <w:szCs w:val="18"/>
              </w:rPr>
            </w:pPr>
            <w:r w:rsidRPr="00496130">
              <w:rPr>
                <w:sz w:val="18"/>
                <w:szCs w:val="18"/>
              </w:rPr>
              <w:t>10.52</w:t>
            </w:r>
          </w:p>
        </w:tc>
        <w:tc>
          <w:tcPr>
            <w:tcW w:w="1836" w:type="dxa"/>
            <w:tcBorders>
              <w:top w:val="dashSmallGap" w:sz="4" w:space="0" w:color="auto"/>
              <w:left w:val="single" w:sz="4" w:space="0" w:color="auto"/>
              <w:bottom w:val="single" w:sz="4" w:space="0" w:color="auto"/>
              <w:right w:val="single" w:sz="4" w:space="0" w:color="auto"/>
            </w:tcBorders>
            <w:shd w:val="clear" w:color="auto" w:fill="E7E6E6" w:themeFill="background2"/>
            <w:noWrap/>
            <w:hideMark/>
          </w:tcPr>
          <w:p w14:paraId="444B67A4" w14:textId="77777777" w:rsidR="0010125C" w:rsidRPr="00496130" w:rsidRDefault="0010125C" w:rsidP="0010125C">
            <w:pPr>
              <w:rPr>
                <w:sz w:val="18"/>
                <w:szCs w:val="18"/>
              </w:rPr>
            </w:pPr>
            <w:r w:rsidRPr="00496130">
              <w:rPr>
                <w:sz w:val="18"/>
                <w:szCs w:val="18"/>
              </w:rPr>
              <w:t>3</w:t>
            </w:r>
          </w:p>
        </w:tc>
      </w:tr>
      <w:tr w:rsidR="0010125C" w:rsidRPr="00496130" w14:paraId="0F92A8D2" w14:textId="77777777" w:rsidTr="0010125C">
        <w:trPr>
          <w:trHeight w:val="300"/>
        </w:trPr>
        <w:tc>
          <w:tcPr>
            <w:tcW w:w="2370" w:type="dxa"/>
            <w:tcBorders>
              <w:top w:val="single" w:sz="4" w:space="0" w:color="auto"/>
              <w:bottom w:val="dashSmallGap" w:sz="4" w:space="0" w:color="auto"/>
            </w:tcBorders>
            <w:noWrap/>
            <w:hideMark/>
          </w:tcPr>
          <w:p w14:paraId="2705EADC" w14:textId="77777777" w:rsidR="0010125C" w:rsidRPr="00496130" w:rsidRDefault="0010125C" w:rsidP="0010125C">
            <w:pPr>
              <w:rPr>
                <w:sz w:val="18"/>
                <w:szCs w:val="18"/>
              </w:rPr>
            </w:pPr>
            <w:r w:rsidRPr="00496130">
              <w:rPr>
                <w:sz w:val="18"/>
                <w:szCs w:val="18"/>
              </w:rPr>
              <w:t>Upper Floor (Exterior)</w:t>
            </w:r>
          </w:p>
        </w:tc>
        <w:tc>
          <w:tcPr>
            <w:tcW w:w="1097" w:type="dxa"/>
            <w:tcBorders>
              <w:top w:val="single" w:sz="4" w:space="0" w:color="auto"/>
              <w:bottom w:val="dashSmallGap" w:sz="4" w:space="0" w:color="auto"/>
            </w:tcBorders>
            <w:noWrap/>
            <w:hideMark/>
          </w:tcPr>
          <w:p w14:paraId="290FB471" w14:textId="77777777" w:rsidR="0010125C" w:rsidRPr="00496130" w:rsidRDefault="0010125C" w:rsidP="0010125C">
            <w:pPr>
              <w:rPr>
                <w:sz w:val="18"/>
                <w:szCs w:val="18"/>
              </w:rPr>
            </w:pPr>
            <w:r w:rsidRPr="00496130">
              <w:rPr>
                <w:sz w:val="18"/>
                <w:szCs w:val="18"/>
              </w:rPr>
              <w:t>2005</w:t>
            </w:r>
          </w:p>
        </w:tc>
        <w:tc>
          <w:tcPr>
            <w:tcW w:w="2059" w:type="dxa"/>
            <w:tcBorders>
              <w:top w:val="single" w:sz="4" w:space="0" w:color="auto"/>
              <w:bottom w:val="dashSmallGap" w:sz="4" w:space="0" w:color="auto"/>
            </w:tcBorders>
            <w:noWrap/>
            <w:hideMark/>
          </w:tcPr>
          <w:p w14:paraId="5A8A2792" w14:textId="77777777" w:rsidR="0010125C" w:rsidRPr="00496130" w:rsidRDefault="0010125C" w:rsidP="0010125C">
            <w:pPr>
              <w:rPr>
                <w:sz w:val="18"/>
                <w:szCs w:val="18"/>
              </w:rPr>
            </w:pPr>
            <w:r w:rsidRPr="00496130">
              <w:rPr>
                <w:sz w:val="18"/>
                <w:szCs w:val="18"/>
              </w:rPr>
              <w:t>1405</w:t>
            </w:r>
          </w:p>
        </w:tc>
        <w:tc>
          <w:tcPr>
            <w:tcW w:w="2059" w:type="dxa"/>
            <w:tcBorders>
              <w:top w:val="single" w:sz="4" w:space="0" w:color="auto"/>
              <w:bottom w:val="dashSmallGap" w:sz="4" w:space="0" w:color="auto"/>
            </w:tcBorders>
            <w:noWrap/>
            <w:hideMark/>
          </w:tcPr>
          <w:p w14:paraId="011CE1B0" w14:textId="77777777" w:rsidR="0010125C" w:rsidRPr="00496130" w:rsidRDefault="0010125C" w:rsidP="0010125C">
            <w:pPr>
              <w:rPr>
                <w:sz w:val="18"/>
                <w:szCs w:val="18"/>
              </w:rPr>
            </w:pPr>
            <w:r w:rsidRPr="00496130">
              <w:rPr>
                <w:sz w:val="18"/>
                <w:szCs w:val="18"/>
              </w:rPr>
              <w:t>0.12</w:t>
            </w:r>
          </w:p>
        </w:tc>
        <w:tc>
          <w:tcPr>
            <w:tcW w:w="1509" w:type="dxa"/>
            <w:tcBorders>
              <w:top w:val="single" w:sz="4" w:space="0" w:color="auto"/>
              <w:bottom w:val="dashSmallGap" w:sz="4" w:space="0" w:color="auto"/>
            </w:tcBorders>
            <w:noWrap/>
            <w:hideMark/>
          </w:tcPr>
          <w:p w14:paraId="4C0AC1A7" w14:textId="77777777" w:rsidR="0010125C" w:rsidRPr="00496130" w:rsidRDefault="0010125C" w:rsidP="0010125C">
            <w:pPr>
              <w:rPr>
                <w:sz w:val="18"/>
                <w:szCs w:val="18"/>
              </w:rPr>
            </w:pPr>
            <w:r w:rsidRPr="00496130">
              <w:rPr>
                <w:sz w:val="18"/>
                <w:szCs w:val="18"/>
              </w:rPr>
              <w:t>1</w:t>
            </w:r>
          </w:p>
        </w:tc>
        <w:tc>
          <w:tcPr>
            <w:tcW w:w="1509" w:type="dxa"/>
            <w:tcBorders>
              <w:top w:val="single" w:sz="4" w:space="0" w:color="auto"/>
              <w:bottom w:val="dashSmallGap" w:sz="4" w:space="0" w:color="auto"/>
            </w:tcBorders>
            <w:noWrap/>
            <w:hideMark/>
          </w:tcPr>
          <w:p w14:paraId="53B3FDA8" w14:textId="77777777" w:rsidR="0010125C" w:rsidRPr="00496130" w:rsidRDefault="0010125C" w:rsidP="0010125C">
            <w:pPr>
              <w:rPr>
                <w:sz w:val="18"/>
                <w:szCs w:val="18"/>
              </w:rPr>
            </w:pPr>
            <w:r w:rsidRPr="00496130">
              <w:rPr>
                <w:sz w:val="18"/>
                <w:szCs w:val="18"/>
              </w:rPr>
              <w:t>31</w:t>
            </w:r>
          </w:p>
        </w:tc>
        <w:tc>
          <w:tcPr>
            <w:tcW w:w="1509" w:type="dxa"/>
            <w:tcBorders>
              <w:top w:val="single" w:sz="4" w:space="0" w:color="auto"/>
              <w:bottom w:val="dashSmallGap" w:sz="4" w:space="0" w:color="auto"/>
            </w:tcBorders>
            <w:noWrap/>
            <w:hideMark/>
          </w:tcPr>
          <w:p w14:paraId="3B17011B" w14:textId="77777777" w:rsidR="0010125C" w:rsidRPr="00496130" w:rsidRDefault="0010125C" w:rsidP="0010125C">
            <w:pPr>
              <w:rPr>
                <w:sz w:val="18"/>
                <w:szCs w:val="18"/>
              </w:rPr>
            </w:pPr>
            <w:r w:rsidRPr="00496130">
              <w:rPr>
                <w:sz w:val="18"/>
                <w:szCs w:val="18"/>
              </w:rPr>
              <w:t>0.24</w:t>
            </w:r>
          </w:p>
        </w:tc>
        <w:tc>
          <w:tcPr>
            <w:tcW w:w="1836" w:type="dxa"/>
            <w:tcBorders>
              <w:top w:val="single" w:sz="4" w:space="0" w:color="auto"/>
              <w:bottom w:val="dashSmallGap" w:sz="4" w:space="0" w:color="auto"/>
            </w:tcBorders>
            <w:noWrap/>
            <w:hideMark/>
          </w:tcPr>
          <w:p w14:paraId="7C9231EF" w14:textId="77777777" w:rsidR="0010125C" w:rsidRPr="00496130" w:rsidRDefault="0010125C" w:rsidP="0010125C">
            <w:pPr>
              <w:rPr>
                <w:sz w:val="18"/>
                <w:szCs w:val="18"/>
              </w:rPr>
            </w:pPr>
            <w:r w:rsidRPr="00496130">
              <w:rPr>
                <w:sz w:val="18"/>
                <w:szCs w:val="18"/>
              </w:rPr>
              <w:t>4</w:t>
            </w:r>
          </w:p>
        </w:tc>
      </w:tr>
      <w:tr w:rsidR="0010125C" w:rsidRPr="00496130" w14:paraId="7C62F78E" w14:textId="77777777" w:rsidTr="0010125C">
        <w:trPr>
          <w:trHeight w:val="300"/>
        </w:trPr>
        <w:tc>
          <w:tcPr>
            <w:tcW w:w="2370" w:type="dxa"/>
            <w:tcBorders>
              <w:top w:val="dashSmallGap" w:sz="4" w:space="0" w:color="auto"/>
              <w:bottom w:val="single" w:sz="4" w:space="0" w:color="auto"/>
            </w:tcBorders>
            <w:noWrap/>
            <w:hideMark/>
          </w:tcPr>
          <w:p w14:paraId="086331AC" w14:textId="77777777" w:rsidR="0010125C" w:rsidRPr="00496130" w:rsidRDefault="0010125C" w:rsidP="0010125C">
            <w:pPr>
              <w:rPr>
                <w:sz w:val="18"/>
                <w:szCs w:val="18"/>
              </w:rPr>
            </w:pPr>
            <w:r w:rsidRPr="00496130">
              <w:rPr>
                <w:sz w:val="18"/>
                <w:szCs w:val="18"/>
              </w:rPr>
              <w:t>Upper Floor (Exterior)</w:t>
            </w:r>
          </w:p>
        </w:tc>
        <w:tc>
          <w:tcPr>
            <w:tcW w:w="1097" w:type="dxa"/>
            <w:tcBorders>
              <w:top w:val="dashSmallGap" w:sz="4" w:space="0" w:color="auto"/>
              <w:bottom w:val="single" w:sz="4" w:space="0" w:color="auto"/>
            </w:tcBorders>
            <w:noWrap/>
            <w:hideMark/>
          </w:tcPr>
          <w:p w14:paraId="60753B7F" w14:textId="77777777" w:rsidR="0010125C" w:rsidRPr="00496130" w:rsidRDefault="0010125C" w:rsidP="0010125C">
            <w:pPr>
              <w:rPr>
                <w:sz w:val="18"/>
                <w:szCs w:val="18"/>
              </w:rPr>
            </w:pPr>
            <w:r w:rsidRPr="00496130">
              <w:rPr>
                <w:sz w:val="18"/>
                <w:szCs w:val="18"/>
              </w:rPr>
              <w:t>2008</w:t>
            </w:r>
          </w:p>
        </w:tc>
        <w:tc>
          <w:tcPr>
            <w:tcW w:w="2059" w:type="dxa"/>
            <w:tcBorders>
              <w:top w:val="dashSmallGap" w:sz="4" w:space="0" w:color="auto"/>
              <w:bottom w:val="single" w:sz="4" w:space="0" w:color="auto"/>
            </w:tcBorders>
            <w:noWrap/>
            <w:hideMark/>
          </w:tcPr>
          <w:p w14:paraId="0C7850D4" w14:textId="77777777" w:rsidR="0010125C" w:rsidRPr="00496130" w:rsidRDefault="0010125C" w:rsidP="0010125C">
            <w:pPr>
              <w:rPr>
                <w:sz w:val="18"/>
                <w:szCs w:val="18"/>
              </w:rPr>
            </w:pPr>
            <w:r w:rsidRPr="00496130">
              <w:rPr>
                <w:sz w:val="18"/>
                <w:szCs w:val="18"/>
              </w:rPr>
              <w:t>112</w:t>
            </w:r>
          </w:p>
        </w:tc>
        <w:tc>
          <w:tcPr>
            <w:tcW w:w="2059" w:type="dxa"/>
            <w:tcBorders>
              <w:top w:val="dashSmallGap" w:sz="4" w:space="0" w:color="auto"/>
              <w:bottom w:val="single" w:sz="4" w:space="0" w:color="auto"/>
            </w:tcBorders>
            <w:noWrap/>
            <w:hideMark/>
          </w:tcPr>
          <w:p w14:paraId="7EC198BF"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bottom w:val="single" w:sz="4" w:space="0" w:color="auto"/>
            </w:tcBorders>
            <w:noWrap/>
            <w:hideMark/>
          </w:tcPr>
          <w:p w14:paraId="640DDF61" w14:textId="77777777" w:rsidR="0010125C" w:rsidRPr="00496130" w:rsidRDefault="0010125C" w:rsidP="0010125C">
            <w:pPr>
              <w:rPr>
                <w:sz w:val="18"/>
                <w:szCs w:val="18"/>
              </w:rPr>
            </w:pPr>
            <w:r w:rsidRPr="00496130">
              <w:rPr>
                <w:sz w:val="18"/>
                <w:szCs w:val="18"/>
              </w:rPr>
              <w:t>4</w:t>
            </w:r>
          </w:p>
        </w:tc>
        <w:tc>
          <w:tcPr>
            <w:tcW w:w="1509" w:type="dxa"/>
            <w:tcBorders>
              <w:top w:val="dashSmallGap" w:sz="4" w:space="0" w:color="auto"/>
              <w:bottom w:val="single" w:sz="4" w:space="0" w:color="auto"/>
            </w:tcBorders>
            <w:noWrap/>
            <w:hideMark/>
          </w:tcPr>
          <w:p w14:paraId="033F8028" w14:textId="77777777" w:rsidR="0010125C" w:rsidRPr="00496130" w:rsidRDefault="0010125C" w:rsidP="0010125C">
            <w:pPr>
              <w:rPr>
                <w:sz w:val="18"/>
                <w:szCs w:val="18"/>
              </w:rPr>
            </w:pPr>
            <w:r w:rsidRPr="00496130">
              <w:rPr>
                <w:sz w:val="18"/>
                <w:szCs w:val="18"/>
              </w:rPr>
              <w:t>8</w:t>
            </w:r>
          </w:p>
        </w:tc>
        <w:tc>
          <w:tcPr>
            <w:tcW w:w="1509" w:type="dxa"/>
            <w:tcBorders>
              <w:top w:val="dashSmallGap" w:sz="4" w:space="0" w:color="auto"/>
              <w:bottom w:val="single" w:sz="4" w:space="0" w:color="auto"/>
            </w:tcBorders>
            <w:noWrap/>
            <w:hideMark/>
          </w:tcPr>
          <w:p w14:paraId="362431EF" w14:textId="77777777" w:rsidR="0010125C" w:rsidRPr="00496130" w:rsidRDefault="0010125C" w:rsidP="0010125C">
            <w:pPr>
              <w:rPr>
                <w:sz w:val="18"/>
                <w:szCs w:val="18"/>
              </w:rPr>
            </w:pPr>
            <w:r w:rsidRPr="00496130">
              <w:rPr>
                <w:sz w:val="18"/>
                <w:szCs w:val="18"/>
              </w:rPr>
              <w:t>0.27</w:t>
            </w:r>
          </w:p>
        </w:tc>
        <w:tc>
          <w:tcPr>
            <w:tcW w:w="1836" w:type="dxa"/>
            <w:tcBorders>
              <w:top w:val="dashSmallGap" w:sz="4" w:space="0" w:color="auto"/>
              <w:bottom w:val="single" w:sz="4" w:space="0" w:color="auto"/>
            </w:tcBorders>
            <w:noWrap/>
            <w:hideMark/>
          </w:tcPr>
          <w:p w14:paraId="259C6888" w14:textId="77777777" w:rsidR="0010125C" w:rsidRPr="00496130" w:rsidRDefault="0010125C" w:rsidP="0010125C">
            <w:pPr>
              <w:rPr>
                <w:sz w:val="18"/>
                <w:szCs w:val="18"/>
              </w:rPr>
            </w:pPr>
            <w:r w:rsidRPr="00496130">
              <w:rPr>
                <w:sz w:val="18"/>
                <w:szCs w:val="18"/>
              </w:rPr>
              <w:t> </w:t>
            </w:r>
          </w:p>
        </w:tc>
      </w:tr>
      <w:tr w:rsidR="0010125C" w:rsidRPr="00496130" w14:paraId="059CD247" w14:textId="77777777" w:rsidTr="0010125C">
        <w:trPr>
          <w:trHeight w:val="300"/>
        </w:trPr>
        <w:tc>
          <w:tcPr>
            <w:tcW w:w="2370" w:type="dxa"/>
            <w:tcBorders>
              <w:bottom w:val="dashSmallGap" w:sz="4" w:space="0" w:color="auto"/>
            </w:tcBorders>
            <w:shd w:val="clear" w:color="auto" w:fill="E7E6E6" w:themeFill="background2"/>
            <w:noWrap/>
            <w:hideMark/>
          </w:tcPr>
          <w:p w14:paraId="7BBFEDBB" w14:textId="77777777" w:rsidR="0010125C" w:rsidRPr="00496130" w:rsidRDefault="0010125C" w:rsidP="0010125C">
            <w:pPr>
              <w:rPr>
                <w:sz w:val="18"/>
                <w:szCs w:val="18"/>
              </w:rPr>
            </w:pPr>
            <w:r w:rsidRPr="00496130">
              <w:rPr>
                <w:sz w:val="18"/>
                <w:szCs w:val="18"/>
              </w:rPr>
              <w:t>Upper Floor (Interior)</w:t>
            </w:r>
          </w:p>
        </w:tc>
        <w:tc>
          <w:tcPr>
            <w:tcW w:w="1097" w:type="dxa"/>
            <w:tcBorders>
              <w:bottom w:val="dashSmallGap" w:sz="4" w:space="0" w:color="auto"/>
            </w:tcBorders>
            <w:shd w:val="clear" w:color="auto" w:fill="E7E6E6" w:themeFill="background2"/>
            <w:noWrap/>
            <w:hideMark/>
          </w:tcPr>
          <w:p w14:paraId="0D10158C" w14:textId="77777777" w:rsidR="0010125C" w:rsidRPr="00496130" w:rsidRDefault="0010125C" w:rsidP="0010125C">
            <w:pPr>
              <w:rPr>
                <w:sz w:val="18"/>
                <w:szCs w:val="18"/>
              </w:rPr>
            </w:pPr>
            <w:r w:rsidRPr="00496130">
              <w:rPr>
                <w:sz w:val="18"/>
                <w:szCs w:val="18"/>
              </w:rPr>
              <w:t>2004</w:t>
            </w:r>
          </w:p>
        </w:tc>
        <w:tc>
          <w:tcPr>
            <w:tcW w:w="2059" w:type="dxa"/>
            <w:tcBorders>
              <w:bottom w:val="dashSmallGap" w:sz="4" w:space="0" w:color="auto"/>
            </w:tcBorders>
            <w:shd w:val="clear" w:color="auto" w:fill="E7E6E6" w:themeFill="background2"/>
            <w:noWrap/>
            <w:hideMark/>
          </w:tcPr>
          <w:p w14:paraId="3D176404" w14:textId="77777777" w:rsidR="0010125C" w:rsidRPr="00496130" w:rsidRDefault="0010125C" w:rsidP="0010125C">
            <w:pPr>
              <w:rPr>
                <w:sz w:val="18"/>
                <w:szCs w:val="18"/>
              </w:rPr>
            </w:pPr>
            <w:r w:rsidRPr="00496130">
              <w:rPr>
                <w:sz w:val="18"/>
                <w:szCs w:val="18"/>
              </w:rPr>
              <w:t>250</w:t>
            </w:r>
          </w:p>
        </w:tc>
        <w:tc>
          <w:tcPr>
            <w:tcW w:w="2059" w:type="dxa"/>
            <w:tcBorders>
              <w:bottom w:val="dashSmallGap" w:sz="4" w:space="0" w:color="auto"/>
            </w:tcBorders>
            <w:shd w:val="clear" w:color="auto" w:fill="E7E6E6" w:themeFill="background2"/>
            <w:noWrap/>
            <w:hideMark/>
          </w:tcPr>
          <w:p w14:paraId="4564C438" w14:textId="77777777" w:rsidR="0010125C" w:rsidRPr="00496130" w:rsidRDefault="0010125C" w:rsidP="0010125C">
            <w:pPr>
              <w:rPr>
                <w:sz w:val="18"/>
                <w:szCs w:val="18"/>
              </w:rPr>
            </w:pPr>
            <w:r w:rsidRPr="00496130">
              <w:rPr>
                <w:sz w:val="18"/>
                <w:szCs w:val="18"/>
              </w:rPr>
              <w:t>0.03</w:t>
            </w:r>
          </w:p>
        </w:tc>
        <w:tc>
          <w:tcPr>
            <w:tcW w:w="1509" w:type="dxa"/>
            <w:tcBorders>
              <w:bottom w:val="dashSmallGap" w:sz="4" w:space="0" w:color="auto"/>
            </w:tcBorders>
            <w:shd w:val="clear" w:color="auto" w:fill="E7E6E6" w:themeFill="background2"/>
            <w:noWrap/>
            <w:hideMark/>
          </w:tcPr>
          <w:p w14:paraId="45C87F38" w14:textId="77777777" w:rsidR="0010125C" w:rsidRPr="00496130" w:rsidRDefault="0010125C" w:rsidP="0010125C">
            <w:pPr>
              <w:rPr>
                <w:sz w:val="18"/>
                <w:szCs w:val="18"/>
              </w:rPr>
            </w:pPr>
            <w:r w:rsidRPr="00496130">
              <w:rPr>
                <w:sz w:val="18"/>
                <w:szCs w:val="18"/>
              </w:rPr>
              <w:t> </w:t>
            </w:r>
          </w:p>
        </w:tc>
        <w:tc>
          <w:tcPr>
            <w:tcW w:w="1509" w:type="dxa"/>
            <w:tcBorders>
              <w:bottom w:val="dashSmallGap" w:sz="4" w:space="0" w:color="auto"/>
            </w:tcBorders>
            <w:shd w:val="clear" w:color="auto" w:fill="E7E6E6" w:themeFill="background2"/>
            <w:noWrap/>
            <w:hideMark/>
          </w:tcPr>
          <w:p w14:paraId="37C5703F" w14:textId="77777777" w:rsidR="0010125C" w:rsidRPr="00496130" w:rsidRDefault="0010125C" w:rsidP="0010125C">
            <w:pPr>
              <w:rPr>
                <w:sz w:val="18"/>
                <w:szCs w:val="18"/>
              </w:rPr>
            </w:pPr>
            <w:r w:rsidRPr="00496130">
              <w:rPr>
                <w:sz w:val="18"/>
                <w:szCs w:val="18"/>
              </w:rPr>
              <w:t>2</w:t>
            </w:r>
          </w:p>
        </w:tc>
        <w:tc>
          <w:tcPr>
            <w:tcW w:w="1509" w:type="dxa"/>
            <w:tcBorders>
              <w:bottom w:val="dashSmallGap" w:sz="4" w:space="0" w:color="auto"/>
            </w:tcBorders>
            <w:shd w:val="clear" w:color="auto" w:fill="E7E6E6" w:themeFill="background2"/>
            <w:noWrap/>
            <w:hideMark/>
          </w:tcPr>
          <w:p w14:paraId="2C6FDFC1" w14:textId="77777777" w:rsidR="0010125C" w:rsidRPr="00496130" w:rsidRDefault="0010125C" w:rsidP="0010125C">
            <w:pPr>
              <w:rPr>
                <w:sz w:val="18"/>
                <w:szCs w:val="18"/>
              </w:rPr>
            </w:pPr>
            <w:r w:rsidRPr="00496130">
              <w:rPr>
                <w:sz w:val="18"/>
                <w:szCs w:val="18"/>
              </w:rPr>
              <w:t>0.02</w:t>
            </w:r>
          </w:p>
        </w:tc>
        <w:tc>
          <w:tcPr>
            <w:tcW w:w="1836" w:type="dxa"/>
            <w:tcBorders>
              <w:bottom w:val="dashSmallGap" w:sz="4" w:space="0" w:color="auto"/>
            </w:tcBorders>
            <w:shd w:val="clear" w:color="auto" w:fill="E7E6E6" w:themeFill="background2"/>
            <w:noWrap/>
            <w:hideMark/>
          </w:tcPr>
          <w:p w14:paraId="5AE7B1CC" w14:textId="77777777" w:rsidR="0010125C" w:rsidRPr="00496130" w:rsidRDefault="0010125C" w:rsidP="0010125C">
            <w:pPr>
              <w:rPr>
                <w:sz w:val="18"/>
                <w:szCs w:val="18"/>
              </w:rPr>
            </w:pPr>
            <w:r w:rsidRPr="00496130">
              <w:rPr>
                <w:sz w:val="18"/>
                <w:szCs w:val="18"/>
              </w:rPr>
              <w:t> </w:t>
            </w:r>
          </w:p>
        </w:tc>
      </w:tr>
      <w:tr w:rsidR="0010125C" w:rsidRPr="00496130" w14:paraId="106EA42D" w14:textId="77777777" w:rsidTr="0010125C">
        <w:trPr>
          <w:trHeight w:val="300"/>
        </w:trPr>
        <w:tc>
          <w:tcPr>
            <w:tcW w:w="2370" w:type="dxa"/>
            <w:tcBorders>
              <w:top w:val="dashSmallGap" w:sz="4" w:space="0" w:color="auto"/>
              <w:bottom w:val="dashSmallGap" w:sz="4" w:space="0" w:color="auto"/>
            </w:tcBorders>
            <w:shd w:val="clear" w:color="auto" w:fill="E7E6E6" w:themeFill="background2"/>
            <w:noWrap/>
            <w:hideMark/>
          </w:tcPr>
          <w:p w14:paraId="6C3BA83C" w14:textId="77777777" w:rsidR="0010125C" w:rsidRPr="00496130" w:rsidRDefault="0010125C" w:rsidP="0010125C">
            <w:pPr>
              <w:rPr>
                <w:sz w:val="18"/>
                <w:szCs w:val="18"/>
              </w:rPr>
            </w:pPr>
            <w:r w:rsidRPr="00496130">
              <w:rPr>
                <w:sz w:val="18"/>
                <w:szCs w:val="18"/>
              </w:rPr>
              <w:t>Upper Floor (Interior)</w:t>
            </w:r>
          </w:p>
        </w:tc>
        <w:tc>
          <w:tcPr>
            <w:tcW w:w="1097" w:type="dxa"/>
            <w:tcBorders>
              <w:top w:val="dashSmallGap" w:sz="4" w:space="0" w:color="auto"/>
              <w:bottom w:val="dashSmallGap" w:sz="4" w:space="0" w:color="auto"/>
            </w:tcBorders>
            <w:shd w:val="clear" w:color="auto" w:fill="E7E6E6" w:themeFill="background2"/>
            <w:noWrap/>
            <w:hideMark/>
          </w:tcPr>
          <w:p w14:paraId="47B1F9B6" w14:textId="77777777" w:rsidR="0010125C" w:rsidRPr="00496130" w:rsidRDefault="0010125C" w:rsidP="0010125C">
            <w:pPr>
              <w:rPr>
                <w:sz w:val="18"/>
                <w:szCs w:val="18"/>
              </w:rPr>
            </w:pPr>
            <w:r w:rsidRPr="00496130">
              <w:rPr>
                <w:sz w:val="18"/>
                <w:szCs w:val="18"/>
              </w:rPr>
              <w:t>2006</w:t>
            </w:r>
          </w:p>
        </w:tc>
        <w:tc>
          <w:tcPr>
            <w:tcW w:w="2059" w:type="dxa"/>
            <w:tcBorders>
              <w:top w:val="dashSmallGap" w:sz="4" w:space="0" w:color="auto"/>
              <w:bottom w:val="dashSmallGap" w:sz="4" w:space="0" w:color="auto"/>
            </w:tcBorders>
            <w:shd w:val="clear" w:color="auto" w:fill="E7E6E6" w:themeFill="background2"/>
            <w:noWrap/>
            <w:hideMark/>
          </w:tcPr>
          <w:p w14:paraId="11C594F6" w14:textId="77777777" w:rsidR="0010125C" w:rsidRPr="00496130" w:rsidRDefault="0010125C" w:rsidP="0010125C">
            <w:pPr>
              <w:rPr>
                <w:sz w:val="18"/>
                <w:szCs w:val="18"/>
              </w:rPr>
            </w:pPr>
            <w:r w:rsidRPr="00496130">
              <w:rPr>
                <w:sz w:val="18"/>
                <w:szCs w:val="18"/>
              </w:rPr>
              <w:t>2424</w:t>
            </w:r>
          </w:p>
        </w:tc>
        <w:tc>
          <w:tcPr>
            <w:tcW w:w="2059" w:type="dxa"/>
            <w:tcBorders>
              <w:top w:val="dashSmallGap" w:sz="4" w:space="0" w:color="auto"/>
              <w:bottom w:val="dashSmallGap" w:sz="4" w:space="0" w:color="auto"/>
            </w:tcBorders>
            <w:shd w:val="clear" w:color="auto" w:fill="E7E6E6" w:themeFill="background2"/>
            <w:noWrap/>
            <w:hideMark/>
          </w:tcPr>
          <w:p w14:paraId="63F04CAD" w14:textId="77777777" w:rsidR="0010125C" w:rsidRPr="00496130" w:rsidRDefault="0010125C" w:rsidP="0010125C">
            <w:pPr>
              <w:rPr>
                <w:sz w:val="18"/>
                <w:szCs w:val="18"/>
              </w:rPr>
            </w:pPr>
            <w:r w:rsidRPr="00496130">
              <w:rPr>
                <w:sz w:val="18"/>
                <w:szCs w:val="18"/>
              </w:rPr>
              <w:t>1.22</w:t>
            </w:r>
          </w:p>
        </w:tc>
        <w:tc>
          <w:tcPr>
            <w:tcW w:w="1509" w:type="dxa"/>
            <w:tcBorders>
              <w:top w:val="dashSmallGap" w:sz="4" w:space="0" w:color="auto"/>
              <w:bottom w:val="dashSmallGap" w:sz="4" w:space="0" w:color="auto"/>
            </w:tcBorders>
            <w:shd w:val="clear" w:color="auto" w:fill="E7E6E6" w:themeFill="background2"/>
            <w:noWrap/>
            <w:hideMark/>
          </w:tcPr>
          <w:p w14:paraId="14BA623D" w14:textId="77777777" w:rsidR="0010125C" w:rsidRPr="00496130" w:rsidRDefault="0010125C" w:rsidP="0010125C">
            <w:pPr>
              <w:rPr>
                <w:sz w:val="18"/>
                <w:szCs w:val="18"/>
              </w:rPr>
            </w:pPr>
            <w:r w:rsidRPr="00496130">
              <w:rPr>
                <w:sz w:val="18"/>
                <w:szCs w:val="18"/>
              </w:rPr>
              <w:t>4</w:t>
            </w:r>
          </w:p>
        </w:tc>
        <w:tc>
          <w:tcPr>
            <w:tcW w:w="1509" w:type="dxa"/>
            <w:tcBorders>
              <w:top w:val="dashSmallGap" w:sz="4" w:space="0" w:color="auto"/>
              <w:bottom w:val="dashSmallGap" w:sz="4" w:space="0" w:color="auto"/>
            </w:tcBorders>
            <w:shd w:val="clear" w:color="auto" w:fill="E7E6E6" w:themeFill="background2"/>
            <w:noWrap/>
            <w:hideMark/>
          </w:tcPr>
          <w:p w14:paraId="4D578C63" w14:textId="77777777" w:rsidR="0010125C" w:rsidRPr="00496130" w:rsidRDefault="0010125C" w:rsidP="0010125C">
            <w:pPr>
              <w:rPr>
                <w:sz w:val="18"/>
                <w:szCs w:val="18"/>
              </w:rPr>
            </w:pPr>
            <w:r w:rsidRPr="00496130">
              <w:rPr>
                <w:sz w:val="18"/>
                <w:szCs w:val="18"/>
              </w:rPr>
              <w:t>52</w:t>
            </w:r>
          </w:p>
        </w:tc>
        <w:tc>
          <w:tcPr>
            <w:tcW w:w="1509" w:type="dxa"/>
            <w:tcBorders>
              <w:top w:val="dashSmallGap" w:sz="4" w:space="0" w:color="auto"/>
              <w:bottom w:val="dashSmallGap" w:sz="4" w:space="0" w:color="auto"/>
            </w:tcBorders>
            <w:shd w:val="clear" w:color="auto" w:fill="E7E6E6" w:themeFill="background2"/>
            <w:noWrap/>
            <w:hideMark/>
          </w:tcPr>
          <w:p w14:paraId="32B17DB8" w14:textId="77777777" w:rsidR="0010125C" w:rsidRPr="00496130" w:rsidRDefault="0010125C" w:rsidP="0010125C">
            <w:pPr>
              <w:rPr>
                <w:sz w:val="18"/>
                <w:szCs w:val="18"/>
              </w:rPr>
            </w:pPr>
            <w:r w:rsidRPr="00496130">
              <w:rPr>
                <w:sz w:val="18"/>
                <w:szCs w:val="18"/>
              </w:rPr>
              <w:t>1.08</w:t>
            </w:r>
          </w:p>
        </w:tc>
        <w:tc>
          <w:tcPr>
            <w:tcW w:w="1836" w:type="dxa"/>
            <w:tcBorders>
              <w:top w:val="dashSmallGap" w:sz="4" w:space="0" w:color="auto"/>
              <w:bottom w:val="dashSmallGap" w:sz="4" w:space="0" w:color="auto"/>
            </w:tcBorders>
            <w:shd w:val="clear" w:color="auto" w:fill="E7E6E6" w:themeFill="background2"/>
            <w:noWrap/>
            <w:hideMark/>
          </w:tcPr>
          <w:p w14:paraId="5E30C7D2" w14:textId="77777777" w:rsidR="0010125C" w:rsidRPr="00496130" w:rsidRDefault="0010125C" w:rsidP="0010125C">
            <w:pPr>
              <w:rPr>
                <w:sz w:val="18"/>
                <w:szCs w:val="18"/>
              </w:rPr>
            </w:pPr>
            <w:r w:rsidRPr="00496130">
              <w:rPr>
                <w:sz w:val="18"/>
                <w:szCs w:val="18"/>
              </w:rPr>
              <w:t>2</w:t>
            </w:r>
          </w:p>
        </w:tc>
      </w:tr>
      <w:tr w:rsidR="0010125C" w:rsidRPr="00496130" w14:paraId="7B8961CC" w14:textId="77777777" w:rsidTr="0010125C">
        <w:trPr>
          <w:trHeight w:val="300"/>
        </w:trPr>
        <w:tc>
          <w:tcPr>
            <w:tcW w:w="2370" w:type="dxa"/>
            <w:tcBorders>
              <w:top w:val="dashSmallGap" w:sz="4" w:space="0" w:color="auto"/>
              <w:bottom w:val="dashSmallGap" w:sz="4" w:space="0" w:color="auto"/>
            </w:tcBorders>
            <w:shd w:val="clear" w:color="auto" w:fill="E7E6E6" w:themeFill="background2"/>
            <w:noWrap/>
            <w:hideMark/>
          </w:tcPr>
          <w:p w14:paraId="7F9D0080" w14:textId="77777777" w:rsidR="0010125C" w:rsidRPr="00496130" w:rsidRDefault="0010125C" w:rsidP="0010125C">
            <w:pPr>
              <w:rPr>
                <w:sz w:val="18"/>
                <w:szCs w:val="18"/>
              </w:rPr>
            </w:pPr>
            <w:r w:rsidRPr="00496130">
              <w:rPr>
                <w:sz w:val="18"/>
                <w:szCs w:val="18"/>
              </w:rPr>
              <w:t>Upper Floor (Interior)</w:t>
            </w:r>
          </w:p>
        </w:tc>
        <w:tc>
          <w:tcPr>
            <w:tcW w:w="1097" w:type="dxa"/>
            <w:tcBorders>
              <w:top w:val="dashSmallGap" w:sz="4" w:space="0" w:color="auto"/>
              <w:bottom w:val="dashSmallGap" w:sz="4" w:space="0" w:color="auto"/>
            </w:tcBorders>
            <w:shd w:val="clear" w:color="auto" w:fill="E7E6E6" w:themeFill="background2"/>
            <w:noWrap/>
            <w:hideMark/>
          </w:tcPr>
          <w:p w14:paraId="45292A82" w14:textId="77777777" w:rsidR="0010125C" w:rsidRPr="00496130" w:rsidRDefault="0010125C" w:rsidP="0010125C">
            <w:pPr>
              <w:rPr>
                <w:sz w:val="18"/>
                <w:szCs w:val="18"/>
              </w:rPr>
            </w:pPr>
            <w:r w:rsidRPr="00496130">
              <w:rPr>
                <w:sz w:val="18"/>
                <w:szCs w:val="18"/>
              </w:rPr>
              <w:t>2009</w:t>
            </w:r>
          </w:p>
        </w:tc>
        <w:tc>
          <w:tcPr>
            <w:tcW w:w="2059" w:type="dxa"/>
            <w:tcBorders>
              <w:top w:val="dashSmallGap" w:sz="4" w:space="0" w:color="auto"/>
              <w:bottom w:val="dashSmallGap" w:sz="4" w:space="0" w:color="auto"/>
            </w:tcBorders>
            <w:shd w:val="clear" w:color="auto" w:fill="E7E6E6" w:themeFill="background2"/>
            <w:noWrap/>
            <w:hideMark/>
          </w:tcPr>
          <w:p w14:paraId="57508861" w14:textId="77777777" w:rsidR="0010125C" w:rsidRPr="00496130" w:rsidRDefault="0010125C" w:rsidP="0010125C">
            <w:pPr>
              <w:rPr>
                <w:sz w:val="18"/>
                <w:szCs w:val="18"/>
              </w:rPr>
            </w:pPr>
            <w:r w:rsidRPr="00496130">
              <w:rPr>
                <w:sz w:val="18"/>
                <w:szCs w:val="18"/>
              </w:rPr>
              <w:t>19</w:t>
            </w:r>
          </w:p>
        </w:tc>
        <w:tc>
          <w:tcPr>
            <w:tcW w:w="2059" w:type="dxa"/>
            <w:tcBorders>
              <w:top w:val="dashSmallGap" w:sz="4" w:space="0" w:color="auto"/>
              <w:bottom w:val="dashSmallGap" w:sz="4" w:space="0" w:color="auto"/>
            </w:tcBorders>
            <w:shd w:val="clear" w:color="auto" w:fill="E7E6E6" w:themeFill="background2"/>
            <w:noWrap/>
            <w:hideMark/>
          </w:tcPr>
          <w:p w14:paraId="478CD232" w14:textId="77777777" w:rsidR="0010125C" w:rsidRPr="00496130" w:rsidRDefault="0010125C" w:rsidP="0010125C">
            <w:pPr>
              <w:rPr>
                <w:sz w:val="18"/>
                <w:szCs w:val="18"/>
              </w:rPr>
            </w:pPr>
            <w:r w:rsidRPr="00496130">
              <w:rPr>
                <w:sz w:val="18"/>
                <w:szCs w:val="18"/>
              </w:rPr>
              <w:t>0.1</w:t>
            </w:r>
          </w:p>
        </w:tc>
        <w:tc>
          <w:tcPr>
            <w:tcW w:w="1509" w:type="dxa"/>
            <w:tcBorders>
              <w:top w:val="dashSmallGap" w:sz="4" w:space="0" w:color="auto"/>
              <w:bottom w:val="dashSmallGap" w:sz="4" w:space="0" w:color="auto"/>
            </w:tcBorders>
            <w:shd w:val="clear" w:color="auto" w:fill="E7E6E6" w:themeFill="background2"/>
            <w:noWrap/>
            <w:hideMark/>
          </w:tcPr>
          <w:p w14:paraId="0068A3A8" w14:textId="77777777" w:rsidR="0010125C" w:rsidRPr="00496130" w:rsidRDefault="0010125C" w:rsidP="0010125C">
            <w:pPr>
              <w:rPr>
                <w:sz w:val="18"/>
                <w:szCs w:val="18"/>
              </w:rPr>
            </w:pPr>
            <w:r w:rsidRPr="00496130">
              <w:rPr>
                <w:sz w:val="18"/>
                <w:szCs w:val="18"/>
              </w:rPr>
              <w:t>1</w:t>
            </w:r>
          </w:p>
        </w:tc>
        <w:tc>
          <w:tcPr>
            <w:tcW w:w="1509" w:type="dxa"/>
            <w:tcBorders>
              <w:top w:val="dashSmallGap" w:sz="4" w:space="0" w:color="auto"/>
              <w:bottom w:val="dashSmallGap" w:sz="4" w:space="0" w:color="auto"/>
            </w:tcBorders>
            <w:shd w:val="clear" w:color="auto" w:fill="E7E6E6" w:themeFill="background2"/>
            <w:noWrap/>
            <w:hideMark/>
          </w:tcPr>
          <w:p w14:paraId="495B0F31" w14:textId="77777777" w:rsidR="0010125C" w:rsidRPr="00496130" w:rsidRDefault="0010125C" w:rsidP="0010125C">
            <w:pPr>
              <w:rPr>
                <w:sz w:val="18"/>
                <w:szCs w:val="18"/>
              </w:rPr>
            </w:pPr>
            <w:r w:rsidRPr="00496130">
              <w:rPr>
                <w:sz w:val="18"/>
                <w:szCs w:val="18"/>
              </w:rPr>
              <w:t>2</w:t>
            </w:r>
          </w:p>
        </w:tc>
        <w:tc>
          <w:tcPr>
            <w:tcW w:w="1509" w:type="dxa"/>
            <w:tcBorders>
              <w:top w:val="dashSmallGap" w:sz="4" w:space="0" w:color="auto"/>
              <w:bottom w:val="dashSmallGap" w:sz="4" w:space="0" w:color="auto"/>
            </w:tcBorders>
            <w:shd w:val="clear" w:color="auto" w:fill="E7E6E6" w:themeFill="background2"/>
            <w:noWrap/>
            <w:hideMark/>
          </w:tcPr>
          <w:p w14:paraId="45629641" w14:textId="77777777" w:rsidR="0010125C" w:rsidRPr="00496130" w:rsidRDefault="0010125C" w:rsidP="0010125C">
            <w:pPr>
              <w:rPr>
                <w:sz w:val="18"/>
                <w:szCs w:val="18"/>
              </w:rPr>
            </w:pPr>
            <w:r w:rsidRPr="00496130">
              <w:rPr>
                <w:sz w:val="18"/>
                <w:szCs w:val="18"/>
              </w:rPr>
              <w:t> </w:t>
            </w:r>
          </w:p>
        </w:tc>
        <w:tc>
          <w:tcPr>
            <w:tcW w:w="1836" w:type="dxa"/>
            <w:tcBorders>
              <w:top w:val="dashSmallGap" w:sz="4" w:space="0" w:color="auto"/>
              <w:bottom w:val="dashSmallGap" w:sz="4" w:space="0" w:color="auto"/>
            </w:tcBorders>
            <w:shd w:val="clear" w:color="auto" w:fill="E7E6E6" w:themeFill="background2"/>
            <w:noWrap/>
            <w:hideMark/>
          </w:tcPr>
          <w:p w14:paraId="722B2077" w14:textId="77777777" w:rsidR="0010125C" w:rsidRPr="00496130" w:rsidRDefault="0010125C" w:rsidP="0010125C">
            <w:pPr>
              <w:rPr>
                <w:sz w:val="18"/>
                <w:szCs w:val="18"/>
              </w:rPr>
            </w:pPr>
            <w:r w:rsidRPr="00496130">
              <w:rPr>
                <w:sz w:val="18"/>
                <w:szCs w:val="18"/>
              </w:rPr>
              <w:t> </w:t>
            </w:r>
          </w:p>
        </w:tc>
      </w:tr>
      <w:tr w:rsidR="0010125C" w:rsidRPr="00496130" w14:paraId="2474E20A" w14:textId="77777777" w:rsidTr="0010125C">
        <w:trPr>
          <w:trHeight w:val="300"/>
        </w:trPr>
        <w:tc>
          <w:tcPr>
            <w:tcW w:w="2370" w:type="dxa"/>
            <w:tcBorders>
              <w:top w:val="dashSmallGap" w:sz="4" w:space="0" w:color="auto"/>
              <w:bottom w:val="single" w:sz="4" w:space="0" w:color="auto"/>
            </w:tcBorders>
            <w:shd w:val="clear" w:color="auto" w:fill="E7E6E6" w:themeFill="background2"/>
            <w:noWrap/>
            <w:hideMark/>
          </w:tcPr>
          <w:p w14:paraId="6079D6F4" w14:textId="77777777" w:rsidR="0010125C" w:rsidRPr="00496130" w:rsidRDefault="0010125C" w:rsidP="0010125C">
            <w:pPr>
              <w:rPr>
                <w:sz w:val="18"/>
                <w:szCs w:val="18"/>
              </w:rPr>
            </w:pPr>
            <w:r w:rsidRPr="00496130">
              <w:rPr>
                <w:sz w:val="18"/>
                <w:szCs w:val="18"/>
              </w:rPr>
              <w:lastRenderedPageBreak/>
              <w:t>Upper Floor (Interior)</w:t>
            </w:r>
          </w:p>
        </w:tc>
        <w:tc>
          <w:tcPr>
            <w:tcW w:w="1097" w:type="dxa"/>
            <w:tcBorders>
              <w:top w:val="dashSmallGap" w:sz="4" w:space="0" w:color="auto"/>
              <w:bottom w:val="single" w:sz="4" w:space="0" w:color="auto"/>
            </w:tcBorders>
            <w:shd w:val="clear" w:color="auto" w:fill="E7E6E6" w:themeFill="background2"/>
            <w:noWrap/>
            <w:hideMark/>
          </w:tcPr>
          <w:p w14:paraId="3D38349E" w14:textId="77777777" w:rsidR="0010125C" w:rsidRPr="00496130" w:rsidRDefault="0010125C" w:rsidP="0010125C">
            <w:pPr>
              <w:rPr>
                <w:sz w:val="18"/>
                <w:szCs w:val="18"/>
              </w:rPr>
            </w:pPr>
            <w:r w:rsidRPr="00496130">
              <w:rPr>
                <w:sz w:val="18"/>
                <w:szCs w:val="18"/>
              </w:rPr>
              <w:t>2012</w:t>
            </w:r>
          </w:p>
        </w:tc>
        <w:tc>
          <w:tcPr>
            <w:tcW w:w="2059" w:type="dxa"/>
            <w:tcBorders>
              <w:top w:val="dashSmallGap" w:sz="4" w:space="0" w:color="auto"/>
              <w:bottom w:val="single" w:sz="4" w:space="0" w:color="auto"/>
            </w:tcBorders>
            <w:shd w:val="clear" w:color="auto" w:fill="E7E6E6" w:themeFill="background2"/>
            <w:noWrap/>
            <w:hideMark/>
          </w:tcPr>
          <w:p w14:paraId="30477368" w14:textId="77777777" w:rsidR="0010125C" w:rsidRPr="00496130" w:rsidRDefault="0010125C" w:rsidP="0010125C">
            <w:pPr>
              <w:rPr>
                <w:sz w:val="18"/>
                <w:szCs w:val="18"/>
              </w:rPr>
            </w:pPr>
            <w:r w:rsidRPr="00496130">
              <w:rPr>
                <w:sz w:val="18"/>
                <w:szCs w:val="18"/>
              </w:rPr>
              <w:t> </w:t>
            </w:r>
          </w:p>
        </w:tc>
        <w:tc>
          <w:tcPr>
            <w:tcW w:w="2059" w:type="dxa"/>
            <w:tcBorders>
              <w:top w:val="dashSmallGap" w:sz="4" w:space="0" w:color="auto"/>
              <w:bottom w:val="single" w:sz="4" w:space="0" w:color="auto"/>
            </w:tcBorders>
            <w:shd w:val="clear" w:color="auto" w:fill="E7E6E6" w:themeFill="background2"/>
            <w:noWrap/>
            <w:hideMark/>
          </w:tcPr>
          <w:p w14:paraId="402326BC" w14:textId="77777777" w:rsidR="0010125C" w:rsidRPr="00496130" w:rsidRDefault="0010125C" w:rsidP="0010125C">
            <w:pPr>
              <w:rPr>
                <w:sz w:val="18"/>
                <w:szCs w:val="18"/>
              </w:rPr>
            </w:pPr>
            <w:r w:rsidRPr="00496130">
              <w:rPr>
                <w:sz w:val="18"/>
                <w:szCs w:val="18"/>
              </w:rPr>
              <w:t>0.05</w:t>
            </w:r>
          </w:p>
        </w:tc>
        <w:tc>
          <w:tcPr>
            <w:tcW w:w="1509" w:type="dxa"/>
            <w:tcBorders>
              <w:top w:val="dashSmallGap" w:sz="4" w:space="0" w:color="auto"/>
              <w:bottom w:val="single" w:sz="4" w:space="0" w:color="auto"/>
            </w:tcBorders>
            <w:shd w:val="clear" w:color="auto" w:fill="E7E6E6" w:themeFill="background2"/>
            <w:noWrap/>
            <w:hideMark/>
          </w:tcPr>
          <w:p w14:paraId="1F91DEDA"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bottom w:val="single" w:sz="4" w:space="0" w:color="auto"/>
            </w:tcBorders>
            <w:shd w:val="clear" w:color="auto" w:fill="E7E6E6" w:themeFill="background2"/>
            <w:noWrap/>
            <w:hideMark/>
          </w:tcPr>
          <w:p w14:paraId="3A1F21E5"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bottom w:val="single" w:sz="4" w:space="0" w:color="auto"/>
            </w:tcBorders>
            <w:shd w:val="clear" w:color="auto" w:fill="E7E6E6" w:themeFill="background2"/>
            <w:noWrap/>
            <w:hideMark/>
          </w:tcPr>
          <w:p w14:paraId="576419B8" w14:textId="77777777" w:rsidR="0010125C" w:rsidRPr="00496130" w:rsidRDefault="0010125C" w:rsidP="0010125C">
            <w:pPr>
              <w:rPr>
                <w:sz w:val="18"/>
                <w:szCs w:val="18"/>
              </w:rPr>
            </w:pPr>
            <w:r w:rsidRPr="00496130">
              <w:rPr>
                <w:sz w:val="18"/>
                <w:szCs w:val="18"/>
              </w:rPr>
              <w:t> </w:t>
            </w:r>
          </w:p>
        </w:tc>
        <w:tc>
          <w:tcPr>
            <w:tcW w:w="1836" w:type="dxa"/>
            <w:tcBorders>
              <w:top w:val="dashSmallGap" w:sz="4" w:space="0" w:color="auto"/>
              <w:bottom w:val="single" w:sz="4" w:space="0" w:color="auto"/>
            </w:tcBorders>
            <w:shd w:val="clear" w:color="auto" w:fill="E7E6E6" w:themeFill="background2"/>
            <w:noWrap/>
            <w:hideMark/>
          </w:tcPr>
          <w:p w14:paraId="363B8548" w14:textId="77777777" w:rsidR="0010125C" w:rsidRPr="00496130" w:rsidRDefault="0010125C" w:rsidP="0010125C">
            <w:pPr>
              <w:rPr>
                <w:sz w:val="18"/>
                <w:szCs w:val="18"/>
              </w:rPr>
            </w:pPr>
            <w:r w:rsidRPr="00496130">
              <w:rPr>
                <w:sz w:val="18"/>
                <w:szCs w:val="18"/>
              </w:rPr>
              <w:t> </w:t>
            </w:r>
          </w:p>
        </w:tc>
      </w:tr>
      <w:tr w:rsidR="0010125C" w:rsidRPr="00496130" w14:paraId="0CF9991D" w14:textId="77777777" w:rsidTr="0010125C">
        <w:trPr>
          <w:trHeight w:val="300"/>
        </w:trPr>
        <w:tc>
          <w:tcPr>
            <w:tcW w:w="2370" w:type="dxa"/>
            <w:tcBorders>
              <w:bottom w:val="dashSmallGap" w:sz="4" w:space="0" w:color="auto"/>
            </w:tcBorders>
            <w:noWrap/>
            <w:hideMark/>
          </w:tcPr>
          <w:p w14:paraId="33106D07" w14:textId="77777777" w:rsidR="0010125C" w:rsidRPr="00496130" w:rsidRDefault="0010125C" w:rsidP="0010125C">
            <w:pPr>
              <w:rPr>
                <w:sz w:val="18"/>
                <w:szCs w:val="18"/>
              </w:rPr>
            </w:pPr>
            <w:r w:rsidRPr="00496130">
              <w:rPr>
                <w:sz w:val="18"/>
                <w:szCs w:val="18"/>
              </w:rPr>
              <w:t>Lower Floor (Exterior)</w:t>
            </w:r>
          </w:p>
        </w:tc>
        <w:tc>
          <w:tcPr>
            <w:tcW w:w="1097" w:type="dxa"/>
            <w:tcBorders>
              <w:bottom w:val="dashSmallGap" w:sz="4" w:space="0" w:color="auto"/>
            </w:tcBorders>
            <w:noWrap/>
            <w:hideMark/>
          </w:tcPr>
          <w:p w14:paraId="183385C1" w14:textId="77777777" w:rsidR="0010125C" w:rsidRPr="00496130" w:rsidRDefault="0010125C" w:rsidP="0010125C">
            <w:pPr>
              <w:rPr>
                <w:sz w:val="18"/>
                <w:szCs w:val="18"/>
              </w:rPr>
            </w:pPr>
            <w:r w:rsidRPr="00496130">
              <w:rPr>
                <w:sz w:val="18"/>
                <w:szCs w:val="18"/>
              </w:rPr>
              <w:t>2013</w:t>
            </w:r>
          </w:p>
        </w:tc>
        <w:tc>
          <w:tcPr>
            <w:tcW w:w="2059" w:type="dxa"/>
            <w:tcBorders>
              <w:bottom w:val="dashSmallGap" w:sz="4" w:space="0" w:color="auto"/>
            </w:tcBorders>
            <w:noWrap/>
            <w:hideMark/>
          </w:tcPr>
          <w:p w14:paraId="0B9EF949" w14:textId="77777777" w:rsidR="0010125C" w:rsidRPr="00496130" w:rsidRDefault="0010125C" w:rsidP="0010125C">
            <w:pPr>
              <w:rPr>
                <w:sz w:val="18"/>
                <w:szCs w:val="18"/>
              </w:rPr>
            </w:pPr>
            <w:r w:rsidRPr="00496130">
              <w:rPr>
                <w:sz w:val="18"/>
                <w:szCs w:val="18"/>
              </w:rPr>
              <w:t>304</w:t>
            </w:r>
          </w:p>
        </w:tc>
        <w:tc>
          <w:tcPr>
            <w:tcW w:w="2059" w:type="dxa"/>
            <w:tcBorders>
              <w:bottom w:val="dashSmallGap" w:sz="4" w:space="0" w:color="auto"/>
            </w:tcBorders>
            <w:noWrap/>
            <w:hideMark/>
          </w:tcPr>
          <w:p w14:paraId="6CCE1386" w14:textId="77777777" w:rsidR="0010125C" w:rsidRPr="00496130" w:rsidRDefault="0010125C" w:rsidP="0010125C">
            <w:pPr>
              <w:rPr>
                <w:sz w:val="18"/>
                <w:szCs w:val="18"/>
              </w:rPr>
            </w:pPr>
            <w:r w:rsidRPr="00496130">
              <w:rPr>
                <w:sz w:val="18"/>
                <w:szCs w:val="18"/>
              </w:rPr>
              <w:t>0.05</w:t>
            </w:r>
          </w:p>
        </w:tc>
        <w:tc>
          <w:tcPr>
            <w:tcW w:w="1509" w:type="dxa"/>
            <w:tcBorders>
              <w:bottom w:val="dashSmallGap" w:sz="4" w:space="0" w:color="auto"/>
            </w:tcBorders>
            <w:noWrap/>
            <w:hideMark/>
          </w:tcPr>
          <w:p w14:paraId="38CFE9C0" w14:textId="77777777" w:rsidR="0010125C" w:rsidRPr="00496130" w:rsidRDefault="0010125C" w:rsidP="0010125C">
            <w:pPr>
              <w:rPr>
                <w:sz w:val="18"/>
                <w:szCs w:val="18"/>
              </w:rPr>
            </w:pPr>
            <w:r w:rsidRPr="00496130">
              <w:rPr>
                <w:sz w:val="18"/>
                <w:szCs w:val="18"/>
              </w:rPr>
              <w:t>5</w:t>
            </w:r>
          </w:p>
        </w:tc>
        <w:tc>
          <w:tcPr>
            <w:tcW w:w="1509" w:type="dxa"/>
            <w:tcBorders>
              <w:bottom w:val="dashSmallGap" w:sz="4" w:space="0" w:color="auto"/>
            </w:tcBorders>
            <w:noWrap/>
            <w:hideMark/>
          </w:tcPr>
          <w:p w14:paraId="1B473E26" w14:textId="77777777" w:rsidR="0010125C" w:rsidRPr="00496130" w:rsidRDefault="0010125C" w:rsidP="0010125C">
            <w:pPr>
              <w:rPr>
                <w:sz w:val="18"/>
                <w:szCs w:val="18"/>
              </w:rPr>
            </w:pPr>
            <w:r w:rsidRPr="00496130">
              <w:rPr>
                <w:sz w:val="18"/>
                <w:szCs w:val="18"/>
              </w:rPr>
              <w:t>13</w:t>
            </w:r>
          </w:p>
        </w:tc>
        <w:tc>
          <w:tcPr>
            <w:tcW w:w="1509" w:type="dxa"/>
            <w:tcBorders>
              <w:bottom w:val="dashSmallGap" w:sz="4" w:space="0" w:color="auto"/>
            </w:tcBorders>
            <w:noWrap/>
            <w:hideMark/>
          </w:tcPr>
          <w:p w14:paraId="1727F1A7" w14:textId="77777777" w:rsidR="0010125C" w:rsidRPr="00496130" w:rsidRDefault="0010125C" w:rsidP="0010125C">
            <w:pPr>
              <w:rPr>
                <w:sz w:val="18"/>
                <w:szCs w:val="18"/>
              </w:rPr>
            </w:pPr>
            <w:r w:rsidRPr="00496130">
              <w:rPr>
                <w:sz w:val="18"/>
                <w:szCs w:val="18"/>
              </w:rPr>
              <w:t>1.26</w:t>
            </w:r>
          </w:p>
        </w:tc>
        <w:tc>
          <w:tcPr>
            <w:tcW w:w="1836" w:type="dxa"/>
            <w:tcBorders>
              <w:bottom w:val="dashSmallGap" w:sz="4" w:space="0" w:color="auto"/>
            </w:tcBorders>
            <w:noWrap/>
            <w:hideMark/>
          </w:tcPr>
          <w:p w14:paraId="726E4FD5" w14:textId="77777777" w:rsidR="0010125C" w:rsidRPr="00496130" w:rsidRDefault="0010125C" w:rsidP="0010125C">
            <w:pPr>
              <w:rPr>
                <w:sz w:val="18"/>
                <w:szCs w:val="18"/>
              </w:rPr>
            </w:pPr>
            <w:r w:rsidRPr="00496130">
              <w:rPr>
                <w:sz w:val="18"/>
                <w:szCs w:val="18"/>
              </w:rPr>
              <w:t>1</w:t>
            </w:r>
          </w:p>
        </w:tc>
      </w:tr>
      <w:tr w:rsidR="0010125C" w:rsidRPr="00496130" w14:paraId="1E5CB853" w14:textId="77777777" w:rsidTr="0010125C">
        <w:trPr>
          <w:trHeight w:val="300"/>
        </w:trPr>
        <w:tc>
          <w:tcPr>
            <w:tcW w:w="2370" w:type="dxa"/>
            <w:tcBorders>
              <w:top w:val="dashSmallGap" w:sz="4" w:space="0" w:color="auto"/>
              <w:bottom w:val="dashSmallGap" w:sz="4" w:space="0" w:color="auto"/>
            </w:tcBorders>
            <w:noWrap/>
            <w:hideMark/>
          </w:tcPr>
          <w:p w14:paraId="5E73B564" w14:textId="77777777" w:rsidR="0010125C" w:rsidRPr="00496130" w:rsidRDefault="0010125C" w:rsidP="0010125C">
            <w:pPr>
              <w:rPr>
                <w:sz w:val="18"/>
                <w:szCs w:val="18"/>
              </w:rPr>
            </w:pPr>
            <w:r w:rsidRPr="00496130">
              <w:rPr>
                <w:sz w:val="18"/>
                <w:szCs w:val="18"/>
              </w:rPr>
              <w:t>Lower Floor (Exterior)</w:t>
            </w:r>
          </w:p>
        </w:tc>
        <w:tc>
          <w:tcPr>
            <w:tcW w:w="1097" w:type="dxa"/>
            <w:tcBorders>
              <w:top w:val="dashSmallGap" w:sz="4" w:space="0" w:color="auto"/>
              <w:bottom w:val="dashSmallGap" w:sz="4" w:space="0" w:color="auto"/>
            </w:tcBorders>
            <w:noWrap/>
            <w:hideMark/>
          </w:tcPr>
          <w:p w14:paraId="18029E96" w14:textId="77777777" w:rsidR="0010125C" w:rsidRPr="00496130" w:rsidRDefault="0010125C" w:rsidP="0010125C">
            <w:pPr>
              <w:rPr>
                <w:sz w:val="18"/>
                <w:szCs w:val="18"/>
              </w:rPr>
            </w:pPr>
            <w:r w:rsidRPr="00496130">
              <w:rPr>
                <w:sz w:val="18"/>
                <w:szCs w:val="18"/>
              </w:rPr>
              <w:t>2014</w:t>
            </w:r>
          </w:p>
        </w:tc>
        <w:tc>
          <w:tcPr>
            <w:tcW w:w="2059" w:type="dxa"/>
            <w:tcBorders>
              <w:top w:val="dashSmallGap" w:sz="4" w:space="0" w:color="auto"/>
              <w:bottom w:val="dashSmallGap" w:sz="4" w:space="0" w:color="auto"/>
            </w:tcBorders>
            <w:noWrap/>
            <w:hideMark/>
          </w:tcPr>
          <w:p w14:paraId="378AB17E" w14:textId="77777777" w:rsidR="0010125C" w:rsidRPr="00496130" w:rsidRDefault="0010125C" w:rsidP="0010125C">
            <w:pPr>
              <w:rPr>
                <w:sz w:val="18"/>
                <w:szCs w:val="18"/>
              </w:rPr>
            </w:pPr>
            <w:r w:rsidRPr="00496130">
              <w:rPr>
                <w:sz w:val="18"/>
                <w:szCs w:val="18"/>
              </w:rPr>
              <w:t>123</w:t>
            </w:r>
          </w:p>
        </w:tc>
        <w:tc>
          <w:tcPr>
            <w:tcW w:w="2059" w:type="dxa"/>
            <w:tcBorders>
              <w:top w:val="dashSmallGap" w:sz="4" w:space="0" w:color="auto"/>
              <w:bottom w:val="dashSmallGap" w:sz="4" w:space="0" w:color="auto"/>
            </w:tcBorders>
            <w:noWrap/>
            <w:hideMark/>
          </w:tcPr>
          <w:p w14:paraId="5EC7EFCF" w14:textId="77777777" w:rsidR="0010125C" w:rsidRPr="00496130" w:rsidRDefault="0010125C" w:rsidP="0010125C">
            <w:pPr>
              <w:rPr>
                <w:sz w:val="18"/>
                <w:szCs w:val="18"/>
              </w:rPr>
            </w:pPr>
            <w:r w:rsidRPr="00496130">
              <w:rPr>
                <w:sz w:val="18"/>
                <w:szCs w:val="18"/>
              </w:rPr>
              <w:t>0.02</w:t>
            </w:r>
          </w:p>
        </w:tc>
        <w:tc>
          <w:tcPr>
            <w:tcW w:w="1509" w:type="dxa"/>
            <w:tcBorders>
              <w:top w:val="dashSmallGap" w:sz="4" w:space="0" w:color="auto"/>
              <w:bottom w:val="dashSmallGap" w:sz="4" w:space="0" w:color="auto"/>
            </w:tcBorders>
            <w:noWrap/>
            <w:hideMark/>
          </w:tcPr>
          <w:p w14:paraId="3747CB84"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bottom w:val="dashSmallGap" w:sz="4" w:space="0" w:color="auto"/>
            </w:tcBorders>
            <w:noWrap/>
            <w:hideMark/>
          </w:tcPr>
          <w:p w14:paraId="58574F55"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bottom w:val="dashSmallGap" w:sz="4" w:space="0" w:color="auto"/>
            </w:tcBorders>
            <w:noWrap/>
            <w:hideMark/>
          </w:tcPr>
          <w:p w14:paraId="288B5B8D" w14:textId="77777777" w:rsidR="0010125C" w:rsidRPr="00496130" w:rsidRDefault="0010125C" w:rsidP="0010125C">
            <w:pPr>
              <w:rPr>
                <w:sz w:val="18"/>
                <w:szCs w:val="18"/>
              </w:rPr>
            </w:pPr>
            <w:r w:rsidRPr="00496130">
              <w:rPr>
                <w:sz w:val="18"/>
                <w:szCs w:val="18"/>
              </w:rPr>
              <w:t>0.23</w:t>
            </w:r>
          </w:p>
        </w:tc>
        <w:tc>
          <w:tcPr>
            <w:tcW w:w="1836" w:type="dxa"/>
            <w:tcBorders>
              <w:top w:val="dashSmallGap" w:sz="4" w:space="0" w:color="auto"/>
              <w:bottom w:val="dashSmallGap" w:sz="4" w:space="0" w:color="auto"/>
            </w:tcBorders>
            <w:noWrap/>
            <w:hideMark/>
          </w:tcPr>
          <w:p w14:paraId="05440ABD" w14:textId="77777777" w:rsidR="0010125C" w:rsidRPr="00496130" w:rsidRDefault="0010125C" w:rsidP="0010125C">
            <w:pPr>
              <w:rPr>
                <w:sz w:val="18"/>
                <w:szCs w:val="18"/>
              </w:rPr>
            </w:pPr>
            <w:r w:rsidRPr="00496130">
              <w:rPr>
                <w:sz w:val="18"/>
                <w:szCs w:val="18"/>
              </w:rPr>
              <w:t> </w:t>
            </w:r>
          </w:p>
        </w:tc>
      </w:tr>
      <w:tr w:rsidR="0010125C" w:rsidRPr="00496130" w14:paraId="6566D375" w14:textId="77777777" w:rsidTr="0010125C">
        <w:trPr>
          <w:trHeight w:val="300"/>
        </w:trPr>
        <w:tc>
          <w:tcPr>
            <w:tcW w:w="2370" w:type="dxa"/>
            <w:tcBorders>
              <w:top w:val="dashSmallGap" w:sz="4" w:space="0" w:color="auto"/>
              <w:bottom w:val="single" w:sz="4" w:space="0" w:color="auto"/>
            </w:tcBorders>
            <w:noWrap/>
            <w:hideMark/>
          </w:tcPr>
          <w:p w14:paraId="6617FC73" w14:textId="77777777" w:rsidR="0010125C" w:rsidRPr="00496130" w:rsidRDefault="0010125C" w:rsidP="0010125C">
            <w:pPr>
              <w:rPr>
                <w:sz w:val="18"/>
                <w:szCs w:val="18"/>
              </w:rPr>
            </w:pPr>
            <w:r w:rsidRPr="00496130">
              <w:rPr>
                <w:sz w:val="18"/>
                <w:szCs w:val="18"/>
              </w:rPr>
              <w:t>Lower Floor (Exterior)</w:t>
            </w:r>
          </w:p>
        </w:tc>
        <w:tc>
          <w:tcPr>
            <w:tcW w:w="1097" w:type="dxa"/>
            <w:tcBorders>
              <w:top w:val="dashSmallGap" w:sz="4" w:space="0" w:color="auto"/>
              <w:bottom w:val="single" w:sz="4" w:space="0" w:color="auto"/>
            </w:tcBorders>
            <w:noWrap/>
            <w:hideMark/>
          </w:tcPr>
          <w:p w14:paraId="413CBFBD" w14:textId="77777777" w:rsidR="0010125C" w:rsidRPr="00496130" w:rsidRDefault="0010125C" w:rsidP="0010125C">
            <w:pPr>
              <w:rPr>
                <w:sz w:val="18"/>
                <w:szCs w:val="18"/>
              </w:rPr>
            </w:pPr>
            <w:r w:rsidRPr="00496130">
              <w:rPr>
                <w:sz w:val="18"/>
                <w:szCs w:val="18"/>
              </w:rPr>
              <w:t>2015</w:t>
            </w:r>
          </w:p>
        </w:tc>
        <w:tc>
          <w:tcPr>
            <w:tcW w:w="2059" w:type="dxa"/>
            <w:tcBorders>
              <w:top w:val="dashSmallGap" w:sz="4" w:space="0" w:color="auto"/>
              <w:bottom w:val="single" w:sz="4" w:space="0" w:color="auto"/>
            </w:tcBorders>
            <w:noWrap/>
            <w:hideMark/>
          </w:tcPr>
          <w:p w14:paraId="52948815" w14:textId="77777777" w:rsidR="0010125C" w:rsidRPr="00496130" w:rsidRDefault="0010125C" w:rsidP="0010125C">
            <w:pPr>
              <w:rPr>
                <w:sz w:val="18"/>
                <w:szCs w:val="18"/>
              </w:rPr>
            </w:pPr>
            <w:r w:rsidRPr="00496130">
              <w:rPr>
                <w:sz w:val="18"/>
                <w:szCs w:val="18"/>
              </w:rPr>
              <w:t>157</w:t>
            </w:r>
          </w:p>
        </w:tc>
        <w:tc>
          <w:tcPr>
            <w:tcW w:w="2059" w:type="dxa"/>
            <w:tcBorders>
              <w:top w:val="dashSmallGap" w:sz="4" w:space="0" w:color="auto"/>
              <w:bottom w:val="single" w:sz="4" w:space="0" w:color="auto"/>
            </w:tcBorders>
            <w:noWrap/>
            <w:hideMark/>
          </w:tcPr>
          <w:p w14:paraId="27355FFA" w14:textId="77777777" w:rsidR="0010125C" w:rsidRPr="00496130" w:rsidRDefault="0010125C" w:rsidP="0010125C">
            <w:pPr>
              <w:rPr>
                <w:sz w:val="18"/>
                <w:szCs w:val="18"/>
              </w:rPr>
            </w:pPr>
            <w:r w:rsidRPr="00496130">
              <w:rPr>
                <w:sz w:val="18"/>
                <w:szCs w:val="18"/>
              </w:rPr>
              <w:t>0.05</w:t>
            </w:r>
          </w:p>
        </w:tc>
        <w:tc>
          <w:tcPr>
            <w:tcW w:w="1509" w:type="dxa"/>
            <w:tcBorders>
              <w:top w:val="dashSmallGap" w:sz="4" w:space="0" w:color="auto"/>
              <w:bottom w:val="single" w:sz="4" w:space="0" w:color="auto"/>
            </w:tcBorders>
            <w:noWrap/>
            <w:hideMark/>
          </w:tcPr>
          <w:p w14:paraId="45AFC533"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bottom w:val="single" w:sz="4" w:space="0" w:color="auto"/>
            </w:tcBorders>
            <w:noWrap/>
            <w:hideMark/>
          </w:tcPr>
          <w:p w14:paraId="032D0508" w14:textId="77777777" w:rsidR="0010125C" w:rsidRPr="00496130" w:rsidRDefault="0010125C" w:rsidP="0010125C">
            <w:pPr>
              <w:rPr>
                <w:sz w:val="18"/>
                <w:szCs w:val="18"/>
              </w:rPr>
            </w:pPr>
            <w:r w:rsidRPr="00496130">
              <w:rPr>
                <w:sz w:val="18"/>
                <w:szCs w:val="18"/>
              </w:rPr>
              <w:t>3</w:t>
            </w:r>
          </w:p>
        </w:tc>
        <w:tc>
          <w:tcPr>
            <w:tcW w:w="1509" w:type="dxa"/>
            <w:tcBorders>
              <w:top w:val="dashSmallGap" w:sz="4" w:space="0" w:color="auto"/>
              <w:bottom w:val="single" w:sz="4" w:space="0" w:color="auto"/>
            </w:tcBorders>
            <w:noWrap/>
            <w:hideMark/>
          </w:tcPr>
          <w:p w14:paraId="7126ACAA" w14:textId="77777777" w:rsidR="0010125C" w:rsidRPr="00496130" w:rsidRDefault="0010125C" w:rsidP="0010125C">
            <w:pPr>
              <w:rPr>
                <w:sz w:val="18"/>
                <w:szCs w:val="18"/>
              </w:rPr>
            </w:pPr>
            <w:r w:rsidRPr="00496130">
              <w:rPr>
                <w:sz w:val="18"/>
                <w:szCs w:val="18"/>
              </w:rPr>
              <w:t>0.04</w:t>
            </w:r>
          </w:p>
        </w:tc>
        <w:tc>
          <w:tcPr>
            <w:tcW w:w="1836" w:type="dxa"/>
            <w:tcBorders>
              <w:top w:val="dashSmallGap" w:sz="4" w:space="0" w:color="auto"/>
              <w:bottom w:val="single" w:sz="4" w:space="0" w:color="auto"/>
            </w:tcBorders>
            <w:noWrap/>
            <w:hideMark/>
          </w:tcPr>
          <w:p w14:paraId="73BAEEC4" w14:textId="77777777" w:rsidR="0010125C" w:rsidRPr="00496130" w:rsidRDefault="0010125C" w:rsidP="0010125C">
            <w:pPr>
              <w:rPr>
                <w:sz w:val="18"/>
                <w:szCs w:val="18"/>
              </w:rPr>
            </w:pPr>
            <w:r w:rsidRPr="00496130">
              <w:rPr>
                <w:sz w:val="18"/>
                <w:szCs w:val="18"/>
              </w:rPr>
              <w:t> </w:t>
            </w:r>
          </w:p>
        </w:tc>
      </w:tr>
      <w:tr w:rsidR="0010125C" w:rsidRPr="00496130" w14:paraId="5DF2ACCD" w14:textId="77777777" w:rsidTr="0010125C">
        <w:trPr>
          <w:trHeight w:val="300"/>
        </w:trPr>
        <w:tc>
          <w:tcPr>
            <w:tcW w:w="2370" w:type="dxa"/>
            <w:tcBorders>
              <w:bottom w:val="dashSmallGap" w:sz="4" w:space="0" w:color="auto"/>
            </w:tcBorders>
            <w:shd w:val="clear" w:color="auto" w:fill="E7E6E6" w:themeFill="background2"/>
            <w:noWrap/>
            <w:hideMark/>
          </w:tcPr>
          <w:p w14:paraId="34CB0BE4" w14:textId="77777777" w:rsidR="0010125C" w:rsidRPr="00496130" w:rsidRDefault="0010125C" w:rsidP="0010125C">
            <w:pPr>
              <w:rPr>
                <w:sz w:val="18"/>
                <w:szCs w:val="18"/>
              </w:rPr>
            </w:pPr>
            <w:r w:rsidRPr="00496130">
              <w:rPr>
                <w:sz w:val="18"/>
                <w:szCs w:val="18"/>
              </w:rPr>
              <w:t>Lower Floor (Interior)</w:t>
            </w:r>
          </w:p>
        </w:tc>
        <w:tc>
          <w:tcPr>
            <w:tcW w:w="1097" w:type="dxa"/>
            <w:tcBorders>
              <w:bottom w:val="dashSmallGap" w:sz="4" w:space="0" w:color="auto"/>
            </w:tcBorders>
            <w:shd w:val="clear" w:color="auto" w:fill="E7E6E6" w:themeFill="background2"/>
            <w:noWrap/>
            <w:hideMark/>
          </w:tcPr>
          <w:p w14:paraId="6C94023E" w14:textId="77777777" w:rsidR="0010125C" w:rsidRPr="00496130" w:rsidRDefault="0010125C" w:rsidP="0010125C">
            <w:pPr>
              <w:rPr>
                <w:sz w:val="18"/>
                <w:szCs w:val="18"/>
              </w:rPr>
            </w:pPr>
            <w:r w:rsidRPr="00496130">
              <w:rPr>
                <w:sz w:val="18"/>
                <w:szCs w:val="18"/>
              </w:rPr>
              <w:t>2017</w:t>
            </w:r>
          </w:p>
        </w:tc>
        <w:tc>
          <w:tcPr>
            <w:tcW w:w="2059" w:type="dxa"/>
            <w:tcBorders>
              <w:bottom w:val="dashSmallGap" w:sz="4" w:space="0" w:color="auto"/>
            </w:tcBorders>
            <w:shd w:val="clear" w:color="auto" w:fill="E7E6E6" w:themeFill="background2"/>
            <w:noWrap/>
            <w:hideMark/>
          </w:tcPr>
          <w:p w14:paraId="0526EB41" w14:textId="77777777" w:rsidR="0010125C" w:rsidRPr="00496130" w:rsidRDefault="0010125C" w:rsidP="0010125C">
            <w:pPr>
              <w:rPr>
                <w:sz w:val="18"/>
                <w:szCs w:val="18"/>
              </w:rPr>
            </w:pPr>
            <w:r w:rsidRPr="00496130">
              <w:rPr>
                <w:sz w:val="18"/>
                <w:szCs w:val="18"/>
              </w:rPr>
              <w:t>125</w:t>
            </w:r>
          </w:p>
        </w:tc>
        <w:tc>
          <w:tcPr>
            <w:tcW w:w="2059" w:type="dxa"/>
            <w:tcBorders>
              <w:bottom w:val="dashSmallGap" w:sz="4" w:space="0" w:color="auto"/>
            </w:tcBorders>
            <w:shd w:val="clear" w:color="auto" w:fill="E7E6E6" w:themeFill="background2"/>
            <w:noWrap/>
            <w:hideMark/>
          </w:tcPr>
          <w:p w14:paraId="411BD14A" w14:textId="77777777" w:rsidR="0010125C" w:rsidRPr="00496130" w:rsidRDefault="0010125C" w:rsidP="0010125C">
            <w:pPr>
              <w:rPr>
                <w:sz w:val="18"/>
                <w:szCs w:val="18"/>
              </w:rPr>
            </w:pPr>
            <w:r w:rsidRPr="00496130">
              <w:rPr>
                <w:sz w:val="18"/>
                <w:szCs w:val="18"/>
              </w:rPr>
              <w:t>0.07</w:t>
            </w:r>
          </w:p>
        </w:tc>
        <w:tc>
          <w:tcPr>
            <w:tcW w:w="1509" w:type="dxa"/>
            <w:tcBorders>
              <w:bottom w:val="dashSmallGap" w:sz="4" w:space="0" w:color="auto"/>
            </w:tcBorders>
            <w:shd w:val="clear" w:color="auto" w:fill="E7E6E6" w:themeFill="background2"/>
            <w:noWrap/>
            <w:hideMark/>
          </w:tcPr>
          <w:p w14:paraId="6338D1F5" w14:textId="77777777" w:rsidR="0010125C" w:rsidRPr="00496130" w:rsidRDefault="0010125C" w:rsidP="0010125C">
            <w:pPr>
              <w:rPr>
                <w:sz w:val="18"/>
                <w:szCs w:val="18"/>
              </w:rPr>
            </w:pPr>
            <w:r w:rsidRPr="00496130">
              <w:rPr>
                <w:sz w:val="18"/>
                <w:szCs w:val="18"/>
              </w:rPr>
              <w:t> </w:t>
            </w:r>
          </w:p>
        </w:tc>
        <w:tc>
          <w:tcPr>
            <w:tcW w:w="1509" w:type="dxa"/>
            <w:tcBorders>
              <w:bottom w:val="dashSmallGap" w:sz="4" w:space="0" w:color="auto"/>
            </w:tcBorders>
            <w:shd w:val="clear" w:color="auto" w:fill="E7E6E6" w:themeFill="background2"/>
            <w:noWrap/>
            <w:hideMark/>
          </w:tcPr>
          <w:p w14:paraId="15DB8830" w14:textId="77777777" w:rsidR="0010125C" w:rsidRPr="00496130" w:rsidRDefault="0010125C" w:rsidP="0010125C">
            <w:pPr>
              <w:rPr>
                <w:sz w:val="18"/>
                <w:szCs w:val="18"/>
              </w:rPr>
            </w:pPr>
            <w:r w:rsidRPr="00496130">
              <w:rPr>
                <w:sz w:val="18"/>
                <w:szCs w:val="18"/>
              </w:rPr>
              <w:t>7</w:t>
            </w:r>
          </w:p>
        </w:tc>
        <w:tc>
          <w:tcPr>
            <w:tcW w:w="1509" w:type="dxa"/>
            <w:tcBorders>
              <w:bottom w:val="dashSmallGap" w:sz="4" w:space="0" w:color="auto"/>
            </w:tcBorders>
            <w:shd w:val="clear" w:color="auto" w:fill="E7E6E6" w:themeFill="background2"/>
            <w:noWrap/>
            <w:hideMark/>
          </w:tcPr>
          <w:p w14:paraId="2204474C" w14:textId="77777777" w:rsidR="0010125C" w:rsidRPr="00496130" w:rsidRDefault="0010125C" w:rsidP="0010125C">
            <w:pPr>
              <w:rPr>
                <w:sz w:val="18"/>
                <w:szCs w:val="18"/>
              </w:rPr>
            </w:pPr>
            <w:r w:rsidRPr="00496130">
              <w:rPr>
                <w:sz w:val="18"/>
                <w:szCs w:val="18"/>
              </w:rPr>
              <w:t> </w:t>
            </w:r>
          </w:p>
        </w:tc>
        <w:tc>
          <w:tcPr>
            <w:tcW w:w="1836" w:type="dxa"/>
            <w:tcBorders>
              <w:bottom w:val="dashSmallGap" w:sz="4" w:space="0" w:color="auto"/>
            </w:tcBorders>
            <w:shd w:val="clear" w:color="auto" w:fill="E7E6E6" w:themeFill="background2"/>
            <w:noWrap/>
            <w:hideMark/>
          </w:tcPr>
          <w:p w14:paraId="192FE862" w14:textId="77777777" w:rsidR="0010125C" w:rsidRPr="00496130" w:rsidRDefault="0010125C" w:rsidP="0010125C">
            <w:pPr>
              <w:rPr>
                <w:sz w:val="18"/>
                <w:szCs w:val="18"/>
              </w:rPr>
            </w:pPr>
            <w:r w:rsidRPr="00496130">
              <w:rPr>
                <w:sz w:val="18"/>
                <w:szCs w:val="18"/>
              </w:rPr>
              <w:t> </w:t>
            </w:r>
          </w:p>
        </w:tc>
      </w:tr>
      <w:tr w:rsidR="0010125C" w:rsidRPr="00496130" w14:paraId="060CCB1E" w14:textId="77777777" w:rsidTr="0010125C">
        <w:trPr>
          <w:trHeight w:val="300"/>
        </w:trPr>
        <w:tc>
          <w:tcPr>
            <w:tcW w:w="2370" w:type="dxa"/>
            <w:tcBorders>
              <w:top w:val="dashSmallGap" w:sz="4" w:space="0" w:color="auto"/>
            </w:tcBorders>
            <w:shd w:val="clear" w:color="auto" w:fill="E7E6E6" w:themeFill="background2"/>
            <w:noWrap/>
            <w:hideMark/>
          </w:tcPr>
          <w:p w14:paraId="41DC0CF7" w14:textId="77777777" w:rsidR="0010125C" w:rsidRPr="00496130" w:rsidRDefault="0010125C" w:rsidP="0010125C">
            <w:pPr>
              <w:rPr>
                <w:sz w:val="18"/>
                <w:szCs w:val="18"/>
              </w:rPr>
            </w:pPr>
            <w:r w:rsidRPr="00496130">
              <w:rPr>
                <w:sz w:val="18"/>
                <w:szCs w:val="18"/>
              </w:rPr>
              <w:t>Lower Floor (Interior)</w:t>
            </w:r>
          </w:p>
        </w:tc>
        <w:tc>
          <w:tcPr>
            <w:tcW w:w="1097" w:type="dxa"/>
            <w:tcBorders>
              <w:top w:val="dashSmallGap" w:sz="4" w:space="0" w:color="auto"/>
            </w:tcBorders>
            <w:shd w:val="clear" w:color="auto" w:fill="E7E6E6" w:themeFill="background2"/>
            <w:noWrap/>
            <w:hideMark/>
          </w:tcPr>
          <w:p w14:paraId="31EA2710" w14:textId="77777777" w:rsidR="0010125C" w:rsidRPr="00496130" w:rsidRDefault="0010125C" w:rsidP="0010125C">
            <w:pPr>
              <w:rPr>
                <w:sz w:val="18"/>
                <w:szCs w:val="18"/>
              </w:rPr>
            </w:pPr>
            <w:r w:rsidRPr="00496130">
              <w:rPr>
                <w:sz w:val="18"/>
                <w:szCs w:val="18"/>
              </w:rPr>
              <w:t>2018</w:t>
            </w:r>
          </w:p>
        </w:tc>
        <w:tc>
          <w:tcPr>
            <w:tcW w:w="2059" w:type="dxa"/>
            <w:tcBorders>
              <w:top w:val="dashSmallGap" w:sz="4" w:space="0" w:color="auto"/>
            </w:tcBorders>
            <w:shd w:val="clear" w:color="auto" w:fill="E7E6E6" w:themeFill="background2"/>
            <w:noWrap/>
            <w:hideMark/>
          </w:tcPr>
          <w:p w14:paraId="7EE967A7" w14:textId="77777777" w:rsidR="0010125C" w:rsidRPr="00496130" w:rsidRDefault="0010125C" w:rsidP="0010125C">
            <w:pPr>
              <w:rPr>
                <w:sz w:val="18"/>
                <w:szCs w:val="18"/>
              </w:rPr>
            </w:pPr>
            <w:r w:rsidRPr="00496130">
              <w:rPr>
                <w:sz w:val="18"/>
                <w:szCs w:val="18"/>
              </w:rPr>
              <w:t>6</w:t>
            </w:r>
          </w:p>
        </w:tc>
        <w:tc>
          <w:tcPr>
            <w:tcW w:w="2059" w:type="dxa"/>
            <w:tcBorders>
              <w:top w:val="dashSmallGap" w:sz="4" w:space="0" w:color="auto"/>
            </w:tcBorders>
            <w:shd w:val="clear" w:color="auto" w:fill="E7E6E6" w:themeFill="background2"/>
            <w:noWrap/>
            <w:hideMark/>
          </w:tcPr>
          <w:p w14:paraId="5B3A5F83" w14:textId="77777777" w:rsidR="0010125C" w:rsidRPr="00496130" w:rsidRDefault="0010125C" w:rsidP="0010125C">
            <w:pPr>
              <w:rPr>
                <w:sz w:val="18"/>
                <w:szCs w:val="18"/>
              </w:rPr>
            </w:pPr>
            <w:r w:rsidRPr="00496130">
              <w:rPr>
                <w:sz w:val="18"/>
                <w:szCs w:val="18"/>
              </w:rPr>
              <w:t>0.25</w:t>
            </w:r>
          </w:p>
        </w:tc>
        <w:tc>
          <w:tcPr>
            <w:tcW w:w="1509" w:type="dxa"/>
            <w:tcBorders>
              <w:top w:val="dashSmallGap" w:sz="4" w:space="0" w:color="auto"/>
            </w:tcBorders>
            <w:shd w:val="clear" w:color="auto" w:fill="E7E6E6" w:themeFill="background2"/>
            <w:noWrap/>
            <w:hideMark/>
          </w:tcPr>
          <w:p w14:paraId="696F0984" w14:textId="77777777" w:rsidR="0010125C" w:rsidRPr="00496130" w:rsidRDefault="0010125C" w:rsidP="0010125C">
            <w:pPr>
              <w:rPr>
                <w:sz w:val="18"/>
                <w:szCs w:val="18"/>
              </w:rPr>
            </w:pPr>
            <w:r w:rsidRPr="00496130">
              <w:rPr>
                <w:sz w:val="18"/>
                <w:szCs w:val="18"/>
              </w:rPr>
              <w:t> </w:t>
            </w:r>
          </w:p>
        </w:tc>
        <w:tc>
          <w:tcPr>
            <w:tcW w:w="1509" w:type="dxa"/>
            <w:tcBorders>
              <w:top w:val="dashSmallGap" w:sz="4" w:space="0" w:color="auto"/>
            </w:tcBorders>
            <w:shd w:val="clear" w:color="auto" w:fill="E7E6E6" w:themeFill="background2"/>
            <w:noWrap/>
            <w:hideMark/>
          </w:tcPr>
          <w:p w14:paraId="63CD007E" w14:textId="77777777" w:rsidR="0010125C" w:rsidRPr="00496130" w:rsidRDefault="0010125C" w:rsidP="0010125C">
            <w:pPr>
              <w:rPr>
                <w:sz w:val="18"/>
                <w:szCs w:val="18"/>
              </w:rPr>
            </w:pPr>
            <w:r w:rsidRPr="00496130">
              <w:rPr>
                <w:sz w:val="18"/>
                <w:szCs w:val="18"/>
              </w:rPr>
              <w:t>3</w:t>
            </w:r>
          </w:p>
        </w:tc>
        <w:tc>
          <w:tcPr>
            <w:tcW w:w="1509" w:type="dxa"/>
            <w:tcBorders>
              <w:top w:val="dashSmallGap" w:sz="4" w:space="0" w:color="auto"/>
            </w:tcBorders>
            <w:shd w:val="clear" w:color="auto" w:fill="E7E6E6" w:themeFill="background2"/>
            <w:noWrap/>
            <w:hideMark/>
          </w:tcPr>
          <w:p w14:paraId="4A98BF0F" w14:textId="77777777" w:rsidR="0010125C" w:rsidRPr="00496130" w:rsidRDefault="0010125C" w:rsidP="0010125C">
            <w:pPr>
              <w:rPr>
                <w:sz w:val="18"/>
                <w:szCs w:val="18"/>
              </w:rPr>
            </w:pPr>
            <w:r w:rsidRPr="00496130">
              <w:rPr>
                <w:sz w:val="18"/>
                <w:szCs w:val="18"/>
              </w:rPr>
              <w:t>0.02</w:t>
            </w:r>
          </w:p>
        </w:tc>
        <w:tc>
          <w:tcPr>
            <w:tcW w:w="1836" w:type="dxa"/>
            <w:tcBorders>
              <w:top w:val="dashSmallGap" w:sz="4" w:space="0" w:color="auto"/>
            </w:tcBorders>
            <w:shd w:val="clear" w:color="auto" w:fill="E7E6E6" w:themeFill="background2"/>
            <w:noWrap/>
            <w:hideMark/>
          </w:tcPr>
          <w:p w14:paraId="60E681C2" w14:textId="77777777" w:rsidR="0010125C" w:rsidRPr="00496130" w:rsidRDefault="0010125C" w:rsidP="0010125C">
            <w:pPr>
              <w:rPr>
                <w:sz w:val="18"/>
                <w:szCs w:val="18"/>
              </w:rPr>
            </w:pPr>
            <w:r w:rsidRPr="00496130">
              <w:rPr>
                <w:sz w:val="18"/>
                <w:szCs w:val="18"/>
              </w:rPr>
              <w:t> </w:t>
            </w:r>
          </w:p>
        </w:tc>
      </w:tr>
    </w:tbl>
    <w:p w14:paraId="326192D8" w14:textId="77777777" w:rsidR="00C40A2B" w:rsidRPr="00496130" w:rsidRDefault="00C40A2B" w:rsidP="00751CDB"/>
    <w:p w14:paraId="5125EE52" w14:textId="6FC428B5" w:rsidR="00751CDB" w:rsidRPr="00496130" w:rsidRDefault="00751CDB" w:rsidP="00751CDB">
      <w:pPr>
        <w:rPr>
          <w:lang w:eastAsia="en-GB"/>
        </w:rPr>
      </w:pPr>
      <w:r w:rsidRPr="00496130">
        <w:rPr>
          <w:b/>
        </w:rPr>
        <w:t>Table 3</w:t>
      </w:r>
      <w:r w:rsidR="0010125C" w:rsidRPr="00496130">
        <w:rPr>
          <w:b/>
        </w:rPr>
        <w:t xml:space="preserve"> </w:t>
      </w:r>
      <w:r w:rsidRPr="00496130">
        <w:rPr>
          <w:b/>
          <w:bCs/>
        </w:rPr>
        <w:t>Unguja Ukuu, Summary of the charcoal results per floor and context</w:t>
      </w:r>
      <w:r w:rsidRPr="00496130">
        <w:t>. A-K3: charcoal types. Sieve/HP= type of sample (from sieved sediment or hand-picked). N fragm. = number of classified fragments. Indet</w:t>
      </w:r>
      <w:proofErr w:type="gramStart"/>
      <w:r w:rsidRPr="00496130">
        <w:t>.=</w:t>
      </w:r>
      <w:proofErr w:type="gramEnd"/>
      <w:r w:rsidRPr="00496130">
        <w:t>Unidentified. Grey color= present. Cf</w:t>
      </w:r>
      <w:proofErr w:type="gramStart"/>
      <w:r w:rsidRPr="00496130">
        <w:t>.=</w:t>
      </w:r>
      <w:proofErr w:type="gramEnd"/>
      <w:r w:rsidRPr="00496130">
        <w:t xml:space="preserve"> </w:t>
      </w:r>
      <w:r w:rsidRPr="00496130">
        <w:rPr>
          <w:i/>
          <w:iCs/>
        </w:rPr>
        <w:t>con forma</w:t>
      </w:r>
      <w:r w:rsidRPr="00496130">
        <w:t>.</w:t>
      </w:r>
      <w:r w:rsidRPr="00496130">
        <w:rPr>
          <w:lang w:eastAsia="en-GB"/>
        </w:rPr>
        <w:t xml:space="preserve"> </w:t>
      </w:r>
    </w:p>
    <w:tbl>
      <w:tblPr>
        <w:tblW w:w="5000" w:type="pct"/>
        <w:tblLook w:val="04A0" w:firstRow="1" w:lastRow="0" w:firstColumn="1" w:lastColumn="0" w:noHBand="0" w:noVBand="1"/>
      </w:tblPr>
      <w:tblGrid>
        <w:gridCol w:w="1241"/>
        <w:gridCol w:w="1081"/>
        <w:gridCol w:w="816"/>
        <w:gridCol w:w="1826"/>
        <w:gridCol w:w="897"/>
        <w:gridCol w:w="705"/>
        <w:gridCol w:w="705"/>
        <w:gridCol w:w="705"/>
        <w:gridCol w:w="706"/>
        <w:gridCol w:w="706"/>
        <w:gridCol w:w="706"/>
        <w:gridCol w:w="706"/>
        <w:gridCol w:w="706"/>
        <w:gridCol w:w="706"/>
        <w:gridCol w:w="1038"/>
        <w:gridCol w:w="698"/>
      </w:tblGrid>
      <w:tr w:rsidR="0010125C" w:rsidRPr="00496130" w14:paraId="07263E28" w14:textId="77777777" w:rsidTr="0010125C">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6A915" w14:textId="77777777" w:rsidR="0010125C" w:rsidRPr="00496130" w:rsidRDefault="0010125C" w:rsidP="0010125C">
            <w:pPr>
              <w:rPr>
                <w:b/>
                <w:bCs/>
                <w:sz w:val="18"/>
                <w:szCs w:val="18"/>
                <w:lang w:eastAsia="en-GB"/>
              </w:rPr>
            </w:pPr>
            <w:r w:rsidRPr="00496130">
              <w:rPr>
                <w:b/>
                <w:bCs/>
                <w:sz w:val="18"/>
                <w:szCs w:val="18"/>
                <w:lang w:eastAsia="en-GB"/>
              </w:rPr>
              <w:t>Sample nr.</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13903" w14:textId="77777777" w:rsidR="0010125C" w:rsidRPr="00496130" w:rsidRDefault="0010125C" w:rsidP="0010125C">
            <w:pPr>
              <w:rPr>
                <w:b/>
                <w:bCs/>
                <w:sz w:val="18"/>
                <w:szCs w:val="18"/>
                <w:lang w:eastAsia="en-GB"/>
              </w:rPr>
            </w:pPr>
            <w:r w:rsidRPr="00496130">
              <w:rPr>
                <w:b/>
                <w:bCs/>
                <w:sz w:val="18"/>
                <w:szCs w:val="18"/>
                <w:lang w:eastAsia="en-GB"/>
              </w:rPr>
              <w:t>Layer</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4EC46" w14:textId="77777777" w:rsidR="0010125C" w:rsidRPr="00496130" w:rsidRDefault="0010125C" w:rsidP="0010125C">
            <w:pPr>
              <w:rPr>
                <w:b/>
                <w:bCs/>
                <w:sz w:val="18"/>
                <w:szCs w:val="18"/>
                <w:lang w:eastAsia="en-GB"/>
              </w:rPr>
            </w:pPr>
            <w:r w:rsidRPr="00496130">
              <w:rPr>
                <w:b/>
                <w:bCs/>
                <w:sz w:val="18"/>
                <w:szCs w:val="18"/>
                <w:lang w:eastAsia="en-GB"/>
              </w:rPr>
              <w:t>Feature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91E83" w14:textId="77777777" w:rsidR="0010125C" w:rsidRPr="00496130" w:rsidRDefault="0010125C" w:rsidP="0010125C">
            <w:pPr>
              <w:rPr>
                <w:b/>
                <w:bCs/>
                <w:sz w:val="18"/>
                <w:szCs w:val="18"/>
                <w:lang w:eastAsia="en-GB"/>
              </w:rPr>
            </w:pPr>
            <w:r w:rsidRPr="00496130">
              <w:rPr>
                <w:b/>
                <w:bCs/>
                <w:sz w:val="18"/>
                <w:szCs w:val="18"/>
                <w:lang w:eastAsia="en-GB"/>
              </w:rPr>
              <w:t>Context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43C6B" w14:textId="77777777" w:rsidR="0010125C" w:rsidRPr="00496130" w:rsidRDefault="0010125C" w:rsidP="0010125C">
            <w:pPr>
              <w:rPr>
                <w:b/>
                <w:bCs/>
                <w:sz w:val="18"/>
                <w:szCs w:val="18"/>
                <w:lang w:eastAsia="en-GB"/>
              </w:rPr>
            </w:pPr>
            <w:r w:rsidRPr="00496130">
              <w:rPr>
                <w:b/>
                <w:bCs/>
                <w:sz w:val="18"/>
                <w:szCs w:val="18"/>
                <w:lang w:eastAsia="en-GB"/>
              </w:rPr>
              <w:t>Location</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E8A85" w14:textId="77777777" w:rsidR="0010125C" w:rsidRPr="00496130" w:rsidRDefault="0010125C" w:rsidP="0010125C">
            <w:pPr>
              <w:rPr>
                <w:b/>
                <w:bCs/>
                <w:sz w:val="18"/>
                <w:szCs w:val="18"/>
                <w:lang w:eastAsia="en-GB"/>
              </w:rPr>
            </w:pPr>
            <w:r w:rsidRPr="00496130">
              <w:rPr>
                <w:b/>
                <w:bCs/>
                <w:sz w:val="18"/>
                <w:szCs w:val="18"/>
                <w:lang w:eastAsia="en-GB"/>
              </w:rPr>
              <w:t>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4EC42" w14:textId="77777777" w:rsidR="0010125C" w:rsidRPr="00496130" w:rsidRDefault="0010125C" w:rsidP="0010125C">
            <w:pPr>
              <w:rPr>
                <w:b/>
                <w:bCs/>
                <w:sz w:val="18"/>
                <w:szCs w:val="18"/>
                <w:lang w:eastAsia="en-GB"/>
              </w:rPr>
            </w:pPr>
            <w:r w:rsidRPr="00496130">
              <w:rPr>
                <w:b/>
                <w:bCs/>
                <w:sz w:val="18"/>
                <w:szCs w:val="18"/>
                <w:lang w:eastAsia="en-GB"/>
              </w:rPr>
              <w:t>C</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5A0B" w14:textId="77777777" w:rsidR="0010125C" w:rsidRPr="00496130" w:rsidRDefault="0010125C" w:rsidP="0010125C">
            <w:pPr>
              <w:rPr>
                <w:b/>
                <w:bCs/>
                <w:sz w:val="18"/>
                <w:szCs w:val="18"/>
                <w:lang w:eastAsia="en-GB"/>
              </w:rPr>
            </w:pPr>
            <w:r w:rsidRPr="00496130">
              <w:rPr>
                <w:b/>
                <w:bCs/>
                <w:sz w:val="18"/>
                <w:szCs w:val="18"/>
                <w:lang w:eastAsia="en-GB"/>
              </w:rPr>
              <w:t>G</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34F6F" w14:textId="77777777" w:rsidR="0010125C" w:rsidRPr="00496130" w:rsidRDefault="0010125C" w:rsidP="0010125C">
            <w:pPr>
              <w:rPr>
                <w:b/>
                <w:bCs/>
                <w:sz w:val="18"/>
                <w:szCs w:val="18"/>
                <w:lang w:eastAsia="en-GB"/>
              </w:rPr>
            </w:pPr>
            <w:r w:rsidRPr="00496130">
              <w:rPr>
                <w:b/>
                <w:bCs/>
                <w:sz w:val="18"/>
                <w:szCs w:val="18"/>
                <w:lang w:eastAsia="en-GB"/>
              </w:rPr>
              <w:t>H</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B1D54" w14:textId="77777777" w:rsidR="0010125C" w:rsidRPr="00496130" w:rsidRDefault="0010125C" w:rsidP="0010125C">
            <w:pPr>
              <w:rPr>
                <w:b/>
                <w:bCs/>
                <w:sz w:val="18"/>
                <w:szCs w:val="18"/>
                <w:lang w:eastAsia="en-GB"/>
              </w:rPr>
            </w:pPr>
            <w:r w:rsidRPr="00496130">
              <w:rPr>
                <w:b/>
                <w:bCs/>
                <w:sz w:val="18"/>
                <w:szCs w:val="18"/>
                <w:lang w:eastAsia="en-GB"/>
              </w:rPr>
              <w:t>I</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10EB6" w14:textId="77777777" w:rsidR="0010125C" w:rsidRPr="00496130" w:rsidRDefault="0010125C" w:rsidP="0010125C">
            <w:pPr>
              <w:rPr>
                <w:b/>
                <w:bCs/>
                <w:sz w:val="18"/>
                <w:szCs w:val="18"/>
                <w:lang w:eastAsia="en-GB"/>
              </w:rPr>
            </w:pPr>
            <w:r w:rsidRPr="00496130">
              <w:rPr>
                <w:b/>
                <w:bCs/>
                <w:sz w:val="18"/>
                <w:szCs w:val="18"/>
                <w:lang w:eastAsia="en-GB"/>
              </w:rPr>
              <w:t>K1</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E24E0" w14:textId="77777777" w:rsidR="0010125C" w:rsidRPr="00496130" w:rsidRDefault="0010125C" w:rsidP="0010125C">
            <w:pPr>
              <w:rPr>
                <w:b/>
                <w:bCs/>
                <w:sz w:val="18"/>
                <w:szCs w:val="18"/>
                <w:lang w:eastAsia="en-GB"/>
              </w:rPr>
            </w:pPr>
            <w:r w:rsidRPr="00496130">
              <w:rPr>
                <w:b/>
                <w:bCs/>
                <w:sz w:val="18"/>
                <w:szCs w:val="18"/>
                <w:lang w:eastAsia="en-GB"/>
              </w:rPr>
              <w:t>K2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96729" w14:textId="77777777" w:rsidR="0010125C" w:rsidRPr="00496130" w:rsidRDefault="0010125C" w:rsidP="0010125C">
            <w:pPr>
              <w:rPr>
                <w:b/>
                <w:bCs/>
                <w:sz w:val="18"/>
                <w:szCs w:val="18"/>
                <w:lang w:eastAsia="en-GB"/>
              </w:rPr>
            </w:pPr>
            <w:r w:rsidRPr="00496130">
              <w:rPr>
                <w:b/>
                <w:bCs/>
                <w:sz w:val="18"/>
                <w:szCs w:val="18"/>
                <w:lang w:eastAsia="en-GB"/>
              </w:rPr>
              <w:t>K3</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7C2A" w14:textId="77777777" w:rsidR="0010125C" w:rsidRPr="00496130" w:rsidRDefault="0010125C" w:rsidP="0010125C">
            <w:pPr>
              <w:rPr>
                <w:b/>
                <w:bCs/>
                <w:sz w:val="18"/>
                <w:szCs w:val="18"/>
                <w:lang w:eastAsia="en-GB"/>
              </w:rPr>
            </w:pPr>
            <w:r w:rsidRPr="00496130">
              <w:rPr>
                <w:b/>
                <w:bCs/>
                <w:sz w:val="18"/>
                <w:szCs w:val="18"/>
                <w:lang w:eastAsia="en-GB"/>
              </w:rPr>
              <w:t>Indet.</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34328" w14:textId="77777777" w:rsidR="0010125C" w:rsidRPr="00496130" w:rsidRDefault="0010125C" w:rsidP="0010125C">
            <w:pPr>
              <w:rPr>
                <w:b/>
                <w:bCs/>
                <w:sz w:val="18"/>
                <w:szCs w:val="18"/>
                <w:lang w:eastAsia="en-GB"/>
              </w:rPr>
            </w:pPr>
            <w:r w:rsidRPr="00496130">
              <w:rPr>
                <w:b/>
                <w:bCs/>
                <w:sz w:val="18"/>
                <w:szCs w:val="18"/>
                <w:lang w:eastAsia="en-GB"/>
              </w:rPr>
              <w:t>Sieve/HP</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41E97" w14:textId="77777777" w:rsidR="0010125C" w:rsidRPr="00496130" w:rsidRDefault="0010125C" w:rsidP="0010125C">
            <w:pPr>
              <w:rPr>
                <w:b/>
                <w:bCs/>
                <w:sz w:val="18"/>
                <w:szCs w:val="18"/>
                <w:lang w:eastAsia="en-GB"/>
              </w:rPr>
            </w:pPr>
            <w:r w:rsidRPr="00496130">
              <w:rPr>
                <w:b/>
                <w:bCs/>
                <w:sz w:val="18"/>
                <w:szCs w:val="18"/>
                <w:lang w:eastAsia="en-GB"/>
              </w:rPr>
              <w:t xml:space="preserve">N fr. </w:t>
            </w:r>
          </w:p>
        </w:tc>
      </w:tr>
      <w:tr w:rsidR="0010125C" w:rsidRPr="00496130" w14:paraId="21860254" w14:textId="77777777" w:rsidTr="0010125C">
        <w:trPr>
          <w:trHeight w:val="288"/>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B39F4" w14:textId="77777777" w:rsidR="0010125C" w:rsidRPr="00496130" w:rsidRDefault="0010125C" w:rsidP="0010125C">
            <w:pPr>
              <w:rPr>
                <w:sz w:val="18"/>
                <w:szCs w:val="18"/>
                <w:lang w:eastAsia="en-GB"/>
              </w:rPr>
            </w:pPr>
            <w:r w:rsidRPr="00496130">
              <w:rPr>
                <w:sz w:val="18"/>
                <w:szCs w:val="18"/>
                <w:lang w:eastAsia="en-GB"/>
              </w:rPr>
              <w:t>21</w:t>
            </w:r>
          </w:p>
        </w:tc>
        <w:tc>
          <w:tcPr>
            <w:tcW w:w="315" w:type="pct"/>
            <w:tcBorders>
              <w:top w:val="single" w:sz="4" w:space="0" w:color="auto"/>
              <w:left w:val="nil"/>
              <w:bottom w:val="single" w:sz="4" w:space="0" w:color="auto"/>
              <w:right w:val="single" w:sz="4" w:space="0" w:color="auto"/>
            </w:tcBorders>
            <w:shd w:val="clear" w:color="auto" w:fill="auto"/>
            <w:noWrap/>
            <w:vAlign w:val="bottom"/>
            <w:hideMark/>
          </w:tcPr>
          <w:p w14:paraId="525B3309" w14:textId="77777777" w:rsidR="0010125C" w:rsidRPr="00496130" w:rsidRDefault="0010125C" w:rsidP="0010125C">
            <w:pPr>
              <w:rPr>
                <w:sz w:val="18"/>
                <w:szCs w:val="18"/>
                <w:lang w:eastAsia="en-GB"/>
              </w:rPr>
            </w:pPr>
            <w:r w:rsidRPr="00496130">
              <w:rPr>
                <w:sz w:val="18"/>
                <w:szCs w:val="18"/>
                <w:lang w:eastAsia="en-GB"/>
              </w:rPr>
              <w:t>Midden</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0FC1C19B" w14:textId="77777777" w:rsidR="0010125C" w:rsidRPr="00496130" w:rsidRDefault="0010125C" w:rsidP="0010125C">
            <w:pPr>
              <w:rPr>
                <w:sz w:val="18"/>
                <w:szCs w:val="18"/>
                <w:lang w:eastAsia="en-GB"/>
              </w:rPr>
            </w:pPr>
            <w:r w:rsidRPr="00496130">
              <w:rPr>
                <w:sz w:val="18"/>
                <w:szCs w:val="18"/>
                <w:lang w:eastAsia="en-GB"/>
              </w:rPr>
              <w:t>2001</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14:paraId="172D08EA" w14:textId="77777777" w:rsidR="0010125C" w:rsidRPr="00496130" w:rsidRDefault="0010125C" w:rsidP="0010125C">
            <w:pPr>
              <w:rPr>
                <w:sz w:val="18"/>
                <w:szCs w:val="18"/>
                <w:lang w:eastAsia="en-GB"/>
              </w:rPr>
            </w:pPr>
            <w:r w:rsidRPr="00496130">
              <w:rPr>
                <w:sz w:val="18"/>
                <w:szCs w:val="18"/>
                <w:lang w:eastAsia="en-GB"/>
              </w:rPr>
              <w:t>Midden, topsoil</w:t>
            </w:r>
          </w:p>
        </w:tc>
        <w:tc>
          <w:tcPr>
            <w:tcW w:w="287" w:type="pct"/>
            <w:tcBorders>
              <w:top w:val="single" w:sz="4" w:space="0" w:color="auto"/>
              <w:left w:val="nil"/>
              <w:bottom w:val="single" w:sz="4" w:space="0" w:color="auto"/>
              <w:right w:val="single" w:sz="4" w:space="0" w:color="auto"/>
            </w:tcBorders>
            <w:shd w:val="clear" w:color="auto" w:fill="auto"/>
            <w:noWrap/>
            <w:vAlign w:val="bottom"/>
            <w:hideMark/>
          </w:tcPr>
          <w:p w14:paraId="35BBB5ED" w14:textId="77777777" w:rsidR="0010125C" w:rsidRPr="00496130" w:rsidRDefault="0010125C" w:rsidP="0010125C">
            <w:pPr>
              <w:rPr>
                <w:sz w:val="18"/>
                <w:szCs w:val="18"/>
                <w:lang w:eastAsia="en-GB"/>
              </w:rPr>
            </w:pPr>
            <w:r w:rsidRPr="00496130">
              <w:rPr>
                <w:sz w:val="18"/>
                <w:szCs w:val="18"/>
                <w:lang w:eastAsia="en-GB"/>
              </w:rPr>
              <w:t>-</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7D3F126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000000" w:fill="D9D9D9"/>
            <w:noWrap/>
            <w:vAlign w:val="bottom"/>
            <w:hideMark/>
          </w:tcPr>
          <w:p w14:paraId="77B2A47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1B5BF3A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000000" w:fill="D9D9D9"/>
            <w:noWrap/>
            <w:vAlign w:val="bottom"/>
            <w:hideMark/>
          </w:tcPr>
          <w:p w14:paraId="319EE45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37ABEBC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5980EDE9"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4233DB7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5A77133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4" w:space="0" w:color="auto"/>
              <w:left w:val="nil"/>
              <w:bottom w:val="single" w:sz="4" w:space="0" w:color="auto"/>
              <w:right w:val="single" w:sz="4" w:space="0" w:color="auto"/>
            </w:tcBorders>
            <w:shd w:val="clear" w:color="auto" w:fill="auto"/>
            <w:noWrap/>
            <w:vAlign w:val="bottom"/>
            <w:hideMark/>
          </w:tcPr>
          <w:p w14:paraId="2528D430"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single" w:sz="4" w:space="0" w:color="auto"/>
              <w:left w:val="nil"/>
              <w:bottom w:val="single" w:sz="4" w:space="0" w:color="auto"/>
              <w:right w:val="nil"/>
            </w:tcBorders>
            <w:shd w:val="clear" w:color="auto" w:fill="auto"/>
            <w:noWrap/>
            <w:vAlign w:val="center"/>
            <w:hideMark/>
          </w:tcPr>
          <w:p w14:paraId="2A60F98D" w14:textId="77777777" w:rsidR="0010125C" w:rsidRPr="00496130" w:rsidRDefault="0010125C" w:rsidP="0010125C">
            <w:pPr>
              <w:rPr>
                <w:sz w:val="18"/>
                <w:szCs w:val="18"/>
                <w:lang w:eastAsia="en-GB"/>
              </w:rPr>
            </w:pPr>
            <w:r w:rsidRPr="00496130">
              <w:rPr>
                <w:sz w:val="18"/>
                <w:szCs w:val="18"/>
                <w:lang w:eastAsia="en-GB"/>
              </w:rPr>
              <w:t>HP</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4DF8" w14:textId="77777777" w:rsidR="0010125C" w:rsidRPr="00496130" w:rsidRDefault="0010125C" w:rsidP="0010125C">
            <w:pPr>
              <w:rPr>
                <w:sz w:val="18"/>
                <w:szCs w:val="18"/>
                <w:lang w:eastAsia="en-GB"/>
              </w:rPr>
            </w:pPr>
            <w:r w:rsidRPr="00496130">
              <w:rPr>
                <w:sz w:val="18"/>
                <w:szCs w:val="18"/>
                <w:lang w:eastAsia="en-GB"/>
              </w:rPr>
              <w:t>10</w:t>
            </w:r>
          </w:p>
        </w:tc>
      </w:tr>
      <w:tr w:rsidR="0010125C" w:rsidRPr="00496130" w14:paraId="2B039492"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2D142530" w14:textId="77777777" w:rsidR="0010125C" w:rsidRPr="00496130" w:rsidRDefault="0010125C" w:rsidP="0010125C">
            <w:pPr>
              <w:rPr>
                <w:sz w:val="18"/>
                <w:szCs w:val="18"/>
                <w:lang w:eastAsia="en-GB"/>
              </w:rPr>
            </w:pPr>
            <w:r w:rsidRPr="00496130">
              <w:rPr>
                <w:sz w:val="18"/>
                <w:szCs w:val="18"/>
                <w:lang w:eastAsia="en-GB"/>
              </w:rPr>
              <w:t>10+22+23+24</w:t>
            </w:r>
          </w:p>
        </w:tc>
        <w:tc>
          <w:tcPr>
            <w:tcW w:w="315" w:type="pct"/>
            <w:tcBorders>
              <w:top w:val="nil"/>
              <w:left w:val="nil"/>
              <w:bottom w:val="single" w:sz="4" w:space="0" w:color="auto"/>
              <w:right w:val="single" w:sz="4" w:space="0" w:color="auto"/>
            </w:tcBorders>
            <w:shd w:val="clear" w:color="auto" w:fill="auto"/>
            <w:noWrap/>
            <w:vAlign w:val="bottom"/>
            <w:hideMark/>
          </w:tcPr>
          <w:p w14:paraId="78E35FA7" w14:textId="77777777" w:rsidR="0010125C" w:rsidRPr="00496130" w:rsidRDefault="0010125C" w:rsidP="0010125C">
            <w:pPr>
              <w:rPr>
                <w:sz w:val="18"/>
                <w:szCs w:val="18"/>
                <w:lang w:eastAsia="en-GB"/>
              </w:rPr>
            </w:pPr>
            <w:r w:rsidRPr="00496130">
              <w:rPr>
                <w:sz w:val="18"/>
                <w:szCs w:val="18"/>
                <w:lang w:eastAsia="en-GB"/>
              </w:rPr>
              <w:t>Midden</w:t>
            </w:r>
          </w:p>
        </w:tc>
        <w:tc>
          <w:tcPr>
            <w:tcW w:w="265" w:type="pct"/>
            <w:tcBorders>
              <w:top w:val="nil"/>
              <w:left w:val="nil"/>
              <w:bottom w:val="single" w:sz="4" w:space="0" w:color="auto"/>
              <w:right w:val="single" w:sz="4" w:space="0" w:color="auto"/>
            </w:tcBorders>
            <w:shd w:val="clear" w:color="auto" w:fill="auto"/>
            <w:noWrap/>
            <w:vAlign w:val="center"/>
            <w:hideMark/>
          </w:tcPr>
          <w:p w14:paraId="45D972DE" w14:textId="77777777" w:rsidR="0010125C" w:rsidRPr="00496130" w:rsidRDefault="0010125C" w:rsidP="0010125C">
            <w:pPr>
              <w:rPr>
                <w:sz w:val="18"/>
                <w:szCs w:val="18"/>
                <w:lang w:eastAsia="en-GB"/>
              </w:rPr>
            </w:pPr>
            <w:r w:rsidRPr="00496130">
              <w:rPr>
                <w:sz w:val="18"/>
                <w:szCs w:val="18"/>
                <w:lang w:eastAsia="en-GB"/>
              </w:rPr>
              <w:t>2003</w:t>
            </w:r>
          </w:p>
        </w:tc>
        <w:tc>
          <w:tcPr>
            <w:tcW w:w="588" w:type="pct"/>
            <w:tcBorders>
              <w:top w:val="nil"/>
              <w:left w:val="nil"/>
              <w:bottom w:val="single" w:sz="4" w:space="0" w:color="auto"/>
              <w:right w:val="single" w:sz="4" w:space="0" w:color="auto"/>
            </w:tcBorders>
            <w:shd w:val="clear" w:color="auto" w:fill="auto"/>
            <w:noWrap/>
            <w:vAlign w:val="center"/>
            <w:hideMark/>
          </w:tcPr>
          <w:p w14:paraId="42188963" w14:textId="77777777" w:rsidR="0010125C" w:rsidRPr="00496130" w:rsidRDefault="0010125C" w:rsidP="0010125C">
            <w:pPr>
              <w:rPr>
                <w:sz w:val="18"/>
                <w:szCs w:val="18"/>
                <w:lang w:eastAsia="en-GB"/>
              </w:rPr>
            </w:pPr>
            <w:r w:rsidRPr="00496130">
              <w:rPr>
                <w:sz w:val="18"/>
                <w:szCs w:val="18"/>
                <w:lang w:eastAsia="en-GB"/>
              </w:rPr>
              <w:t>Midden</w:t>
            </w:r>
          </w:p>
        </w:tc>
        <w:tc>
          <w:tcPr>
            <w:tcW w:w="287" w:type="pct"/>
            <w:tcBorders>
              <w:top w:val="nil"/>
              <w:left w:val="nil"/>
              <w:bottom w:val="single" w:sz="4" w:space="0" w:color="auto"/>
              <w:right w:val="single" w:sz="4" w:space="0" w:color="auto"/>
            </w:tcBorders>
            <w:shd w:val="clear" w:color="auto" w:fill="auto"/>
            <w:noWrap/>
            <w:vAlign w:val="bottom"/>
            <w:hideMark/>
          </w:tcPr>
          <w:p w14:paraId="425B7388" w14:textId="77777777" w:rsidR="0010125C" w:rsidRPr="00496130" w:rsidRDefault="0010125C" w:rsidP="0010125C">
            <w:pPr>
              <w:rPr>
                <w:sz w:val="18"/>
                <w:szCs w:val="18"/>
                <w:lang w:eastAsia="en-GB"/>
              </w:rPr>
            </w:pPr>
            <w:r w:rsidRPr="00496130">
              <w:rPr>
                <w:sz w:val="18"/>
                <w:szCs w:val="18"/>
                <w:lang w:eastAsia="en-GB"/>
              </w:rPr>
              <w:t>-</w:t>
            </w:r>
          </w:p>
        </w:tc>
        <w:tc>
          <w:tcPr>
            <w:tcW w:w="283" w:type="pct"/>
            <w:tcBorders>
              <w:top w:val="nil"/>
              <w:left w:val="nil"/>
              <w:bottom w:val="single" w:sz="4" w:space="0" w:color="auto"/>
              <w:right w:val="single" w:sz="4" w:space="0" w:color="auto"/>
            </w:tcBorders>
            <w:shd w:val="clear" w:color="000000" w:fill="D9D9D9"/>
            <w:noWrap/>
            <w:vAlign w:val="bottom"/>
            <w:hideMark/>
          </w:tcPr>
          <w:p w14:paraId="496BF6B5" w14:textId="77777777" w:rsidR="0010125C" w:rsidRPr="00496130" w:rsidRDefault="0010125C" w:rsidP="0010125C">
            <w:pPr>
              <w:rPr>
                <w:sz w:val="18"/>
                <w:szCs w:val="18"/>
                <w:lang w:eastAsia="en-GB"/>
              </w:rPr>
            </w:pPr>
            <w:r w:rsidRPr="00496130">
              <w:rPr>
                <w:sz w:val="18"/>
                <w:szCs w:val="18"/>
                <w:lang w:eastAsia="en-GB"/>
              </w:rPr>
              <w:t>?</w:t>
            </w:r>
          </w:p>
        </w:tc>
        <w:tc>
          <w:tcPr>
            <w:tcW w:w="283" w:type="pct"/>
            <w:tcBorders>
              <w:top w:val="nil"/>
              <w:left w:val="nil"/>
              <w:bottom w:val="single" w:sz="4" w:space="0" w:color="auto"/>
              <w:right w:val="single" w:sz="4" w:space="0" w:color="auto"/>
            </w:tcBorders>
            <w:shd w:val="clear" w:color="000000" w:fill="D9D9D9"/>
            <w:noWrap/>
            <w:vAlign w:val="bottom"/>
            <w:hideMark/>
          </w:tcPr>
          <w:p w14:paraId="4DE45079"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AF0202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790F3F9A"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5907EE4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204E0DD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6D74B87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31D6314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012E6976"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center"/>
            <w:hideMark/>
          </w:tcPr>
          <w:p w14:paraId="6C908B76" w14:textId="77777777" w:rsidR="0010125C" w:rsidRPr="00496130" w:rsidRDefault="0010125C" w:rsidP="0010125C">
            <w:pPr>
              <w:rPr>
                <w:sz w:val="18"/>
                <w:szCs w:val="18"/>
                <w:lang w:eastAsia="en-GB"/>
              </w:rPr>
            </w:pPr>
            <w:r w:rsidRPr="00496130">
              <w:rPr>
                <w:sz w:val="18"/>
                <w:szCs w:val="18"/>
                <w:lang w:eastAsia="en-GB"/>
              </w:rPr>
              <w:t>Sieve + HP</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00432588" w14:textId="77777777" w:rsidR="0010125C" w:rsidRPr="00496130" w:rsidRDefault="0010125C" w:rsidP="0010125C">
            <w:pPr>
              <w:rPr>
                <w:sz w:val="18"/>
                <w:szCs w:val="18"/>
                <w:lang w:eastAsia="en-GB"/>
              </w:rPr>
            </w:pPr>
            <w:r w:rsidRPr="00496130">
              <w:rPr>
                <w:sz w:val="18"/>
                <w:szCs w:val="18"/>
                <w:lang w:eastAsia="en-GB"/>
              </w:rPr>
              <w:t>60</w:t>
            </w:r>
          </w:p>
        </w:tc>
      </w:tr>
      <w:tr w:rsidR="0010125C" w:rsidRPr="00496130" w14:paraId="077D39EF"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4367676D" w14:textId="77777777" w:rsidR="0010125C" w:rsidRPr="00496130" w:rsidRDefault="0010125C" w:rsidP="0010125C">
            <w:pPr>
              <w:rPr>
                <w:sz w:val="18"/>
                <w:szCs w:val="18"/>
                <w:lang w:eastAsia="en-GB"/>
              </w:rPr>
            </w:pPr>
            <w:r w:rsidRPr="00496130">
              <w:rPr>
                <w:sz w:val="18"/>
                <w:szCs w:val="18"/>
                <w:lang w:eastAsia="en-GB"/>
              </w:rPr>
              <w:t> </w:t>
            </w:r>
          </w:p>
        </w:tc>
        <w:tc>
          <w:tcPr>
            <w:tcW w:w="315" w:type="pct"/>
            <w:tcBorders>
              <w:top w:val="nil"/>
              <w:left w:val="nil"/>
              <w:bottom w:val="single" w:sz="4" w:space="0" w:color="auto"/>
              <w:right w:val="single" w:sz="4" w:space="0" w:color="auto"/>
            </w:tcBorders>
            <w:shd w:val="clear" w:color="auto" w:fill="auto"/>
            <w:noWrap/>
            <w:vAlign w:val="bottom"/>
            <w:hideMark/>
          </w:tcPr>
          <w:p w14:paraId="70F7A646" w14:textId="77777777" w:rsidR="0010125C" w:rsidRPr="00496130" w:rsidRDefault="0010125C" w:rsidP="0010125C">
            <w:pPr>
              <w:rPr>
                <w:sz w:val="18"/>
                <w:szCs w:val="18"/>
                <w:lang w:eastAsia="en-GB"/>
              </w:rPr>
            </w:pPr>
            <w:r w:rsidRPr="00496130">
              <w:rPr>
                <w:sz w:val="18"/>
                <w:szCs w:val="18"/>
                <w:lang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67B2B7EC" w14:textId="77777777" w:rsidR="0010125C" w:rsidRPr="00496130" w:rsidRDefault="0010125C" w:rsidP="0010125C">
            <w:pPr>
              <w:rPr>
                <w:sz w:val="18"/>
                <w:szCs w:val="18"/>
                <w:lang w:eastAsia="en-GB"/>
              </w:rPr>
            </w:pPr>
            <w:r w:rsidRPr="00496130">
              <w:rPr>
                <w:sz w:val="18"/>
                <w:szCs w:val="18"/>
                <w:lang w:eastAsia="en-GB"/>
              </w:rPr>
              <w:t> </w:t>
            </w:r>
          </w:p>
        </w:tc>
        <w:tc>
          <w:tcPr>
            <w:tcW w:w="588" w:type="pct"/>
            <w:tcBorders>
              <w:top w:val="nil"/>
              <w:left w:val="nil"/>
              <w:bottom w:val="single" w:sz="4" w:space="0" w:color="auto"/>
              <w:right w:val="single" w:sz="4" w:space="0" w:color="auto"/>
            </w:tcBorders>
            <w:shd w:val="clear" w:color="auto" w:fill="auto"/>
            <w:noWrap/>
            <w:vAlign w:val="bottom"/>
            <w:hideMark/>
          </w:tcPr>
          <w:p w14:paraId="4E46D989" w14:textId="77777777" w:rsidR="0010125C" w:rsidRPr="00496130" w:rsidRDefault="0010125C" w:rsidP="0010125C">
            <w:pPr>
              <w:rPr>
                <w:sz w:val="18"/>
                <w:szCs w:val="18"/>
                <w:lang w:eastAsia="en-GB"/>
              </w:rPr>
            </w:pPr>
            <w:r w:rsidRPr="00496130">
              <w:rPr>
                <w:sz w:val="18"/>
                <w:szCs w:val="18"/>
                <w:lang w:eastAsia="en-GB"/>
              </w:rPr>
              <w:t> </w:t>
            </w:r>
          </w:p>
        </w:tc>
        <w:tc>
          <w:tcPr>
            <w:tcW w:w="287" w:type="pct"/>
            <w:tcBorders>
              <w:top w:val="nil"/>
              <w:left w:val="nil"/>
              <w:bottom w:val="single" w:sz="4" w:space="0" w:color="auto"/>
              <w:right w:val="single" w:sz="4" w:space="0" w:color="auto"/>
            </w:tcBorders>
            <w:shd w:val="clear" w:color="auto" w:fill="auto"/>
            <w:noWrap/>
            <w:vAlign w:val="bottom"/>
            <w:hideMark/>
          </w:tcPr>
          <w:p w14:paraId="0F143FD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6E1607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5F3D79E8"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547AB59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295227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2E5738E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632F707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2DFAF8C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0259DF7"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E29D9C3"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bottom"/>
            <w:hideMark/>
          </w:tcPr>
          <w:p w14:paraId="7693B6D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1BD9A435" w14:textId="77777777" w:rsidR="0010125C" w:rsidRPr="00496130" w:rsidRDefault="0010125C" w:rsidP="0010125C">
            <w:pPr>
              <w:rPr>
                <w:sz w:val="18"/>
                <w:szCs w:val="18"/>
                <w:lang w:eastAsia="en-GB"/>
              </w:rPr>
            </w:pPr>
            <w:r w:rsidRPr="00496130">
              <w:rPr>
                <w:sz w:val="18"/>
                <w:szCs w:val="18"/>
                <w:lang w:eastAsia="en-GB"/>
              </w:rPr>
              <w:t> </w:t>
            </w:r>
          </w:p>
        </w:tc>
      </w:tr>
      <w:tr w:rsidR="0010125C" w:rsidRPr="00496130" w14:paraId="34ED01C8"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6A242D89" w14:textId="77777777" w:rsidR="0010125C" w:rsidRPr="00496130" w:rsidRDefault="0010125C" w:rsidP="0010125C">
            <w:pPr>
              <w:rPr>
                <w:sz w:val="18"/>
                <w:szCs w:val="18"/>
                <w:lang w:eastAsia="en-GB"/>
              </w:rPr>
            </w:pPr>
            <w:r w:rsidRPr="00496130">
              <w:rPr>
                <w:sz w:val="18"/>
                <w:szCs w:val="18"/>
                <w:lang w:eastAsia="en-GB"/>
              </w:rPr>
              <w:t>13</w:t>
            </w:r>
          </w:p>
        </w:tc>
        <w:tc>
          <w:tcPr>
            <w:tcW w:w="315" w:type="pct"/>
            <w:tcBorders>
              <w:top w:val="nil"/>
              <w:left w:val="nil"/>
              <w:bottom w:val="single" w:sz="4" w:space="0" w:color="auto"/>
              <w:right w:val="single" w:sz="4" w:space="0" w:color="auto"/>
            </w:tcBorders>
            <w:shd w:val="clear" w:color="auto" w:fill="auto"/>
            <w:noWrap/>
            <w:vAlign w:val="bottom"/>
            <w:hideMark/>
          </w:tcPr>
          <w:p w14:paraId="08F3C4F4" w14:textId="77777777" w:rsidR="0010125C" w:rsidRPr="00496130" w:rsidRDefault="0010125C" w:rsidP="0010125C">
            <w:pPr>
              <w:rPr>
                <w:sz w:val="18"/>
                <w:szCs w:val="18"/>
                <w:lang w:eastAsia="en-GB"/>
              </w:rPr>
            </w:pPr>
            <w:r w:rsidRPr="00496130">
              <w:rPr>
                <w:sz w:val="18"/>
                <w:szCs w:val="18"/>
                <w:lang w:eastAsia="en-GB"/>
              </w:rPr>
              <w:t>Upper floor</w:t>
            </w:r>
          </w:p>
        </w:tc>
        <w:tc>
          <w:tcPr>
            <w:tcW w:w="265" w:type="pct"/>
            <w:tcBorders>
              <w:top w:val="nil"/>
              <w:left w:val="nil"/>
              <w:bottom w:val="single" w:sz="4" w:space="0" w:color="auto"/>
              <w:right w:val="single" w:sz="4" w:space="0" w:color="auto"/>
            </w:tcBorders>
            <w:shd w:val="clear" w:color="auto" w:fill="auto"/>
            <w:noWrap/>
            <w:vAlign w:val="center"/>
            <w:hideMark/>
          </w:tcPr>
          <w:p w14:paraId="0AD77280" w14:textId="77777777" w:rsidR="0010125C" w:rsidRPr="00496130" w:rsidRDefault="0010125C" w:rsidP="0010125C">
            <w:pPr>
              <w:rPr>
                <w:sz w:val="18"/>
                <w:szCs w:val="18"/>
                <w:lang w:eastAsia="en-GB"/>
              </w:rPr>
            </w:pPr>
            <w:r w:rsidRPr="00496130">
              <w:rPr>
                <w:sz w:val="18"/>
                <w:szCs w:val="18"/>
                <w:lang w:eastAsia="en-GB"/>
              </w:rPr>
              <w:t>2008</w:t>
            </w:r>
          </w:p>
        </w:tc>
        <w:tc>
          <w:tcPr>
            <w:tcW w:w="588" w:type="pct"/>
            <w:tcBorders>
              <w:top w:val="nil"/>
              <w:left w:val="nil"/>
              <w:bottom w:val="single" w:sz="4" w:space="0" w:color="auto"/>
              <w:right w:val="single" w:sz="4" w:space="0" w:color="auto"/>
            </w:tcBorders>
            <w:shd w:val="clear" w:color="auto" w:fill="auto"/>
            <w:noWrap/>
            <w:vAlign w:val="center"/>
            <w:hideMark/>
          </w:tcPr>
          <w:p w14:paraId="06505246" w14:textId="77777777" w:rsidR="0010125C" w:rsidRPr="00496130" w:rsidRDefault="0010125C" w:rsidP="0010125C">
            <w:pPr>
              <w:rPr>
                <w:sz w:val="18"/>
                <w:szCs w:val="18"/>
                <w:lang w:eastAsia="en-GB"/>
              </w:rPr>
            </w:pPr>
            <w:r w:rsidRPr="00496130">
              <w:rPr>
                <w:sz w:val="18"/>
                <w:szCs w:val="18"/>
                <w:lang w:eastAsia="en-GB"/>
              </w:rPr>
              <w:t>Cf. Floor</w:t>
            </w:r>
          </w:p>
        </w:tc>
        <w:tc>
          <w:tcPr>
            <w:tcW w:w="287" w:type="pct"/>
            <w:tcBorders>
              <w:top w:val="nil"/>
              <w:left w:val="nil"/>
              <w:bottom w:val="single" w:sz="4" w:space="0" w:color="auto"/>
              <w:right w:val="single" w:sz="4" w:space="0" w:color="auto"/>
            </w:tcBorders>
            <w:shd w:val="clear" w:color="auto" w:fill="auto"/>
            <w:noWrap/>
            <w:vAlign w:val="bottom"/>
            <w:hideMark/>
          </w:tcPr>
          <w:p w14:paraId="5270FCA1" w14:textId="77777777" w:rsidR="0010125C" w:rsidRPr="00496130" w:rsidRDefault="0010125C" w:rsidP="0010125C">
            <w:pPr>
              <w:rPr>
                <w:sz w:val="18"/>
                <w:szCs w:val="18"/>
                <w:lang w:eastAsia="en-GB"/>
              </w:rPr>
            </w:pPr>
            <w:r w:rsidRPr="00496130">
              <w:rPr>
                <w:sz w:val="18"/>
                <w:szCs w:val="18"/>
                <w:lang w:eastAsia="en-GB"/>
              </w:rPr>
              <w:t>Outside</w:t>
            </w:r>
          </w:p>
        </w:tc>
        <w:tc>
          <w:tcPr>
            <w:tcW w:w="283" w:type="pct"/>
            <w:tcBorders>
              <w:top w:val="nil"/>
              <w:left w:val="nil"/>
              <w:bottom w:val="single" w:sz="4" w:space="0" w:color="auto"/>
              <w:right w:val="single" w:sz="4" w:space="0" w:color="auto"/>
            </w:tcBorders>
            <w:shd w:val="clear" w:color="auto" w:fill="auto"/>
            <w:noWrap/>
            <w:vAlign w:val="bottom"/>
            <w:hideMark/>
          </w:tcPr>
          <w:p w14:paraId="539884FA"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D32588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2F7A96C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CF7D798"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B16A0A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E1D4C7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550AE3A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DCCF5A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5AF9F6E4"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center"/>
            <w:hideMark/>
          </w:tcPr>
          <w:p w14:paraId="42816B22" w14:textId="77777777" w:rsidR="0010125C" w:rsidRPr="00496130" w:rsidRDefault="0010125C" w:rsidP="0010125C">
            <w:pPr>
              <w:rPr>
                <w:sz w:val="18"/>
                <w:szCs w:val="18"/>
                <w:lang w:eastAsia="en-GB"/>
              </w:rPr>
            </w:pPr>
            <w:r w:rsidRPr="00496130">
              <w:rPr>
                <w:sz w:val="18"/>
                <w:szCs w:val="18"/>
                <w:lang w:eastAsia="en-GB"/>
              </w:rPr>
              <w:t>Sieve</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79F7DD2D" w14:textId="77777777" w:rsidR="0010125C" w:rsidRPr="00496130" w:rsidRDefault="0010125C" w:rsidP="0010125C">
            <w:pPr>
              <w:rPr>
                <w:sz w:val="18"/>
                <w:szCs w:val="18"/>
                <w:lang w:eastAsia="en-GB"/>
              </w:rPr>
            </w:pPr>
            <w:r w:rsidRPr="00496130">
              <w:rPr>
                <w:sz w:val="18"/>
                <w:szCs w:val="18"/>
                <w:lang w:eastAsia="en-GB"/>
              </w:rPr>
              <w:t>10</w:t>
            </w:r>
          </w:p>
        </w:tc>
      </w:tr>
      <w:tr w:rsidR="0010125C" w:rsidRPr="00496130" w14:paraId="048F3983" w14:textId="77777777" w:rsidTr="0010125C">
        <w:trPr>
          <w:trHeight w:val="1164"/>
        </w:trPr>
        <w:tc>
          <w:tcPr>
            <w:tcW w:w="415" w:type="pct"/>
            <w:tcBorders>
              <w:top w:val="nil"/>
              <w:left w:val="single" w:sz="4" w:space="0" w:color="auto"/>
              <w:bottom w:val="nil"/>
              <w:right w:val="single" w:sz="4" w:space="0" w:color="auto"/>
            </w:tcBorders>
            <w:shd w:val="clear" w:color="auto" w:fill="auto"/>
            <w:noWrap/>
            <w:vAlign w:val="center"/>
            <w:hideMark/>
          </w:tcPr>
          <w:p w14:paraId="036A2802" w14:textId="77777777" w:rsidR="0010125C" w:rsidRPr="00496130" w:rsidRDefault="0010125C" w:rsidP="0010125C">
            <w:pPr>
              <w:rPr>
                <w:sz w:val="18"/>
                <w:szCs w:val="18"/>
                <w:lang w:eastAsia="en-GB"/>
              </w:rPr>
            </w:pPr>
            <w:r w:rsidRPr="00496130">
              <w:rPr>
                <w:sz w:val="18"/>
                <w:szCs w:val="18"/>
                <w:lang w:eastAsia="en-GB"/>
              </w:rPr>
              <w:lastRenderedPageBreak/>
              <w:t>11 + 27</w:t>
            </w:r>
          </w:p>
        </w:tc>
        <w:tc>
          <w:tcPr>
            <w:tcW w:w="315" w:type="pct"/>
            <w:tcBorders>
              <w:top w:val="nil"/>
              <w:left w:val="nil"/>
              <w:bottom w:val="single" w:sz="8" w:space="0" w:color="auto"/>
              <w:right w:val="single" w:sz="4" w:space="0" w:color="auto"/>
            </w:tcBorders>
            <w:shd w:val="clear" w:color="auto" w:fill="auto"/>
            <w:noWrap/>
            <w:vAlign w:val="bottom"/>
            <w:hideMark/>
          </w:tcPr>
          <w:p w14:paraId="1A8D79BE" w14:textId="77777777" w:rsidR="0010125C" w:rsidRPr="00496130" w:rsidRDefault="0010125C" w:rsidP="0010125C">
            <w:pPr>
              <w:rPr>
                <w:sz w:val="18"/>
                <w:szCs w:val="18"/>
                <w:lang w:eastAsia="en-GB"/>
              </w:rPr>
            </w:pPr>
            <w:r w:rsidRPr="00496130">
              <w:rPr>
                <w:sz w:val="18"/>
                <w:szCs w:val="18"/>
                <w:lang w:eastAsia="en-GB"/>
              </w:rPr>
              <w:t>Upper floor</w:t>
            </w:r>
          </w:p>
        </w:tc>
        <w:tc>
          <w:tcPr>
            <w:tcW w:w="265" w:type="pct"/>
            <w:tcBorders>
              <w:top w:val="nil"/>
              <w:left w:val="nil"/>
              <w:bottom w:val="nil"/>
              <w:right w:val="single" w:sz="4" w:space="0" w:color="auto"/>
            </w:tcBorders>
            <w:shd w:val="clear" w:color="auto" w:fill="auto"/>
            <w:noWrap/>
            <w:vAlign w:val="center"/>
            <w:hideMark/>
          </w:tcPr>
          <w:p w14:paraId="40843D86" w14:textId="77777777" w:rsidR="0010125C" w:rsidRPr="00496130" w:rsidRDefault="0010125C" w:rsidP="0010125C">
            <w:pPr>
              <w:rPr>
                <w:sz w:val="18"/>
                <w:szCs w:val="18"/>
                <w:lang w:eastAsia="en-GB"/>
              </w:rPr>
            </w:pPr>
            <w:r w:rsidRPr="00496130">
              <w:rPr>
                <w:sz w:val="18"/>
                <w:szCs w:val="18"/>
                <w:lang w:eastAsia="en-GB"/>
              </w:rPr>
              <w:t>2005</w:t>
            </w:r>
          </w:p>
        </w:tc>
        <w:tc>
          <w:tcPr>
            <w:tcW w:w="588" w:type="pct"/>
            <w:tcBorders>
              <w:top w:val="nil"/>
              <w:left w:val="nil"/>
              <w:bottom w:val="nil"/>
              <w:right w:val="single" w:sz="4" w:space="0" w:color="auto"/>
            </w:tcBorders>
            <w:shd w:val="clear" w:color="auto" w:fill="auto"/>
            <w:vAlign w:val="center"/>
            <w:hideMark/>
          </w:tcPr>
          <w:p w14:paraId="2C390CCE" w14:textId="0716F4D4" w:rsidR="0010125C" w:rsidRPr="00496130" w:rsidRDefault="00496130" w:rsidP="0010125C">
            <w:pPr>
              <w:rPr>
                <w:sz w:val="18"/>
                <w:szCs w:val="18"/>
                <w:lang w:eastAsia="en-GB"/>
              </w:rPr>
            </w:pPr>
            <w:r w:rsidRPr="00496130">
              <w:rPr>
                <w:sz w:val="18"/>
                <w:szCs w:val="18"/>
                <w:lang w:eastAsia="en-GB"/>
              </w:rPr>
              <w:t>Artifact</w:t>
            </w:r>
            <w:r w:rsidR="0010125C" w:rsidRPr="00496130">
              <w:rPr>
                <w:sz w:val="18"/>
                <w:szCs w:val="18"/>
                <w:lang w:eastAsia="en-GB"/>
              </w:rPr>
              <w:t xml:space="preserve"> conc. on floor </w:t>
            </w:r>
            <w:r w:rsidR="0010125C" w:rsidRPr="00496130">
              <w:rPr>
                <w:sz w:val="18"/>
                <w:szCs w:val="18"/>
                <w:lang w:eastAsia="en-GB"/>
              </w:rPr>
              <w:br/>
              <w:t>(occupation deposit)</w:t>
            </w:r>
          </w:p>
        </w:tc>
        <w:tc>
          <w:tcPr>
            <w:tcW w:w="287" w:type="pct"/>
            <w:tcBorders>
              <w:top w:val="nil"/>
              <w:left w:val="nil"/>
              <w:bottom w:val="single" w:sz="4" w:space="0" w:color="auto"/>
              <w:right w:val="single" w:sz="4" w:space="0" w:color="auto"/>
            </w:tcBorders>
            <w:shd w:val="clear" w:color="auto" w:fill="auto"/>
            <w:noWrap/>
            <w:vAlign w:val="bottom"/>
            <w:hideMark/>
          </w:tcPr>
          <w:p w14:paraId="23AD0D7C" w14:textId="77777777" w:rsidR="0010125C" w:rsidRPr="00496130" w:rsidRDefault="0010125C" w:rsidP="0010125C">
            <w:pPr>
              <w:rPr>
                <w:sz w:val="18"/>
                <w:szCs w:val="18"/>
                <w:lang w:eastAsia="en-GB"/>
              </w:rPr>
            </w:pPr>
            <w:r w:rsidRPr="00496130">
              <w:rPr>
                <w:sz w:val="18"/>
                <w:szCs w:val="18"/>
                <w:lang w:eastAsia="en-GB"/>
              </w:rPr>
              <w:t>Outside</w:t>
            </w:r>
          </w:p>
        </w:tc>
        <w:tc>
          <w:tcPr>
            <w:tcW w:w="283" w:type="pct"/>
            <w:tcBorders>
              <w:top w:val="nil"/>
              <w:left w:val="nil"/>
              <w:bottom w:val="nil"/>
              <w:right w:val="single" w:sz="4" w:space="0" w:color="auto"/>
            </w:tcBorders>
            <w:shd w:val="clear" w:color="auto" w:fill="auto"/>
            <w:noWrap/>
            <w:vAlign w:val="bottom"/>
            <w:hideMark/>
          </w:tcPr>
          <w:p w14:paraId="40EB0EE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14A8CC3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2AAEB78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0BC3078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000000" w:fill="D9D9D9"/>
            <w:noWrap/>
            <w:vAlign w:val="bottom"/>
            <w:hideMark/>
          </w:tcPr>
          <w:p w14:paraId="54040E2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3A9F8E5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000000" w:fill="D9D9D9"/>
            <w:noWrap/>
            <w:vAlign w:val="bottom"/>
            <w:hideMark/>
          </w:tcPr>
          <w:p w14:paraId="162369F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67A590A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55AA7782"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nil"/>
              <w:right w:val="nil"/>
            </w:tcBorders>
            <w:shd w:val="clear" w:color="auto" w:fill="auto"/>
            <w:noWrap/>
            <w:vAlign w:val="center"/>
            <w:hideMark/>
          </w:tcPr>
          <w:p w14:paraId="07B79C35" w14:textId="77777777" w:rsidR="0010125C" w:rsidRPr="00496130" w:rsidRDefault="0010125C" w:rsidP="0010125C">
            <w:pPr>
              <w:rPr>
                <w:sz w:val="18"/>
                <w:szCs w:val="18"/>
                <w:lang w:eastAsia="en-GB"/>
              </w:rPr>
            </w:pPr>
            <w:r w:rsidRPr="00496130">
              <w:rPr>
                <w:sz w:val="18"/>
                <w:szCs w:val="18"/>
                <w:lang w:eastAsia="en-GB"/>
              </w:rPr>
              <w:t>Sieve + HP</w:t>
            </w:r>
          </w:p>
        </w:tc>
        <w:tc>
          <w:tcPr>
            <w:tcW w:w="283" w:type="pct"/>
            <w:tcBorders>
              <w:top w:val="nil"/>
              <w:left w:val="single" w:sz="4" w:space="0" w:color="auto"/>
              <w:bottom w:val="nil"/>
              <w:right w:val="single" w:sz="4" w:space="0" w:color="auto"/>
            </w:tcBorders>
            <w:shd w:val="clear" w:color="auto" w:fill="auto"/>
            <w:noWrap/>
            <w:vAlign w:val="bottom"/>
            <w:hideMark/>
          </w:tcPr>
          <w:p w14:paraId="29F058E6" w14:textId="77777777" w:rsidR="0010125C" w:rsidRPr="00496130" w:rsidRDefault="0010125C" w:rsidP="0010125C">
            <w:pPr>
              <w:rPr>
                <w:sz w:val="18"/>
                <w:szCs w:val="18"/>
                <w:lang w:eastAsia="en-GB"/>
              </w:rPr>
            </w:pPr>
            <w:r w:rsidRPr="00496130">
              <w:rPr>
                <w:sz w:val="18"/>
                <w:szCs w:val="18"/>
                <w:lang w:eastAsia="en-GB"/>
              </w:rPr>
              <w:t>31</w:t>
            </w:r>
          </w:p>
        </w:tc>
      </w:tr>
      <w:tr w:rsidR="0010125C" w:rsidRPr="00496130" w14:paraId="31E2F503" w14:textId="77777777" w:rsidTr="0010125C">
        <w:trPr>
          <w:trHeight w:val="288"/>
        </w:trPr>
        <w:tc>
          <w:tcPr>
            <w:tcW w:w="41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9E14C9" w14:textId="77777777" w:rsidR="0010125C" w:rsidRPr="00496130" w:rsidRDefault="0010125C" w:rsidP="0010125C">
            <w:pPr>
              <w:rPr>
                <w:sz w:val="18"/>
                <w:szCs w:val="18"/>
                <w:lang w:eastAsia="en-GB"/>
              </w:rPr>
            </w:pPr>
            <w:r w:rsidRPr="00496130">
              <w:rPr>
                <w:sz w:val="18"/>
                <w:szCs w:val="18"/>
                <w:lang w:eastAsia="en-GB"/>
              </w:rPr>
              <w:t>15</w:t>
            </w:r>
          </w:p>
        </w:tc>
        <w:tc>
          <w:tcPr>
            <w:tcW w:w="315" w:type="pct"/>
            <w:tcBorders>
              <w:top w:val="nil"/>
              <w:left w:val="nil"/>
              <w:bottom w:val="single" w:sz="4" w:space="0" w:color="auto"/>
              <w:right w:val="single" w:sz="4" w:space="0" w:color="auto"/>
            </w:tcBorders>
            <w:shd w:val="clear" w:color="auto" w:fill="auto"/>
            <w:noWrap/>
            <w:vAlign w:val="bottom"/>
            <w:hideMark/>
          </w:tcPr>
          <w:p w14:paraId="1C900D5B" w14:textId="77777777" w:rsidR="0010125C" w:rsidRPr="00496130" w:rsidRDefault="0010125C" w:rsidP="0010125C">
            <w:pPr>
              <w:rPr>
                <w:sz w:val="18"/>
                <w:szCs w:val="18"/>
                <w:lang w:eastAsia="en-GB"/>
              </w:rPr>
            </w:pPr>
            <w:r w:rsidRPr="00496130">
              <w:rPr>
                <w:sz w:val="18"/>
                <w:szCs w:val="18"/>
                <w:lang w:eastAsia="en-GB"/>
              </w:rPr>
              <w:t>Upper floor</w:t>
            </w:r>
          </w:p>
        </w:tc>
        <w:tc>
          <w:tcPr>
            <w:tcW w:w="265" w:type="pct"/>
            <w:tcBorders>
              <w:top w:val="single" w:sz="8" w:space="0" w:color="auto"/>
              <w:left w:val="nil"/>
              <w:bottom w:val="single" w:sz="4" w:space="0" w:color="auto"/>
              <w:right w:val="single" w:sz="4" w:space="0" w:color="auto"/>
            </w:tcBorders>
            <w:shd w:val="clear" w:color="auto" w:fill="auto"/>
            <w:noWrap/>
            <w:vAlign w:val="center"/>
            <w:hideMark/>
          </w:tcPr>
          <w:p w14:paraId="5D5D2796" w14:textId="77777777" w:rsidR="0010125C" w:rsidRPr="00496130" w:rsidRDefault="0010125C" w:rsidP="0010125C">
            <w:pPr>
              <w:rPr>
                <w:sz w:val="18"/>
                <w:szCs w:val="18"/>
                <w:lang w:eastAsia="en-GB"/>
              </w:rPr>
            </w:pPr>
            <w:r w:rsidRPr="00496130">
              <w:rPr>
                <w:sz w:val="18"/>
                <w:szCs w:val="18"/>
                <w:lang w:eastAsia="en-GB"/>
              </w:rPr>
              <w:t>2012</w:t>
            </w:r>
          </w:p>
        </w:tc>
        <w:tc>
          <w:tcPr>
            <w:tcW w:w="588" w:type="pct"/>
            <w:tcBorders>
              <w:top w:val="single" w:sz="8" w:space="0" w:color="auto"/>
              <w:left w:val="nil"/>
              <w:bottom w:val="single" w:sz="4" w:space="0" w:color="auto"/>
              <w:right w:val="single" w:sz="4" w:space="0" w:color="auto"/>
            </w:tcBorders>
            <w:shd w:val="clear" w:color="auto" w:fill="auto"/>
            <w:noWrap/>
            <w:vAlign w:val="center"/>
            <w:hideMark/>
          </w:tcPr>
          <w:p w14:paraId="59C482ED" w14:textId="20EAFA59" w:rsidR="0010125C" w:rsidRPr="00496130" w:rsidRDefault="00496130" w:rsidP="0010125C">
            <w:pPr>
              <w:rPr>
                <w:sz w:val="18"/>
                <w:szCs w:val="18"/>
                <w:lang w:eastAsia="en-GB"/>
              </w:rPr>
            </w:pPr>
            <w:r w:rsidRPr="00496130">
              <w:rPr>
                <w:sz w:val="18"/>
                <w:szCs w:val="18"/>
                <w:lang w:eastAsia="en-GB"/>
              </w:rPr>
              <w:t>Artifact</w:t>
            </w:r>
            <w:r w:rsidR="0010125C" w:rsidRPr="00496130">
              <w:rPr>
                <w:sz w:val="18"/>
                <w:szCs w:val="18"/>
                <w:lang w:eastAsia="en-GB"/>
              </w:rPr>
              <w:t xml:space="preserve"> conc. on floor</w:t>
            </w:r>
          </w:p>
        </w:tc>
        <w:tc>
          <w:tcPr>
            <w:tcW w:w="287" w:type="pct"/>
            <w:tcBorders>
              <w:top w:val="single" w:sz="8" w:space="0" w:color="auto"/>
              <w:left w:val="nil"/>
              <w:bottom w:val="nil"/>
              <w:right w:val="single" w:sz="4" w:space="0" w:color="auto"/>
            </w:tcBorders>
            <w:shd w:val="clear" w:color="auto" w:fill="auto"/>
            <w:noWrap/>
            <w:vAlign w:val="bottom"/>
            <w:hideMark/>
          </w:tcPr>
          <w:p w14:paraId="62DFAB57" w14:textId="77777777" w:rsidR="0010125C" w:rsidRPr="00496130" w:rsidRDefault="0010125C" w:rsidP="0010125C">
            <w:pPr>
              <w:rPr>
                <w:sz w:val="18"/>
                <w:szCs w:val="18"/>
                <w:lang w:eastAsia="en-GB"/>
              </w:rPr>
            </w:pPr>
            <w:r w:rsidRPr="00496130">
              <w:rPr>
                <w:sz w:val="18"/>
                <w:szCs w:val="18"/>
                <w:lang w:eastAsia="en-GB"/>
              </w:rPr>
              <w:t>Inside</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39BD225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27DC29F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4443D7C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79BACE3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0E858EF7"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000000" w:fill="D9D9D9"/>
            <w:noWrap/>
            <w:vAlign w:val="bottom"/>
            <w:hideMark/>
          </w:tcPr>
          <w:p w14:paraId="34CA46C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000000" w:fill="D9D9D9"/>
            <w:noWrap/>
            <w:vAlign w:val="bottom"/>
            <w:hideMark/>
          </w:tcPr>
          <w:p w14:paraId="4F09870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3B8EB9E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6D7E3432"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single" w:sz="8" w:space="0" w:color="auto"/>
              <w:left w:val="nil"/>
              <w:bottom w:val="single" w:sz="4" w:space="0" w:color="auto"/>
              <w:right w:val="nil"/>
            </w:tcBorders>
            <w:shd w:val="clear" w:color="auto" w:fill="auto"/>
            <w:noWrap/>
            <w:vAlign w:val="center"/>
            <w:hideMark/>
          </w:tcPr>
          <w:p w14:paraId="1DA5503C" w14:textId="77777777" w:rsidR="0010125C" w:rsidRPr="00496130" w:rsidRDefault="0010125C" w:rsidP="0010125C">
            <w:pPr>
              <w:rPr>
                <w:sz w:val="18"/>
                <w:szCs w:val="18"/>
                <w:lang w:eastAsia="en-GB"/>
              </w:rPr>
            </w:pPr>
            <w:r w:rsidRPr="00496130">
              <w:rPr>
                <w:sz w:val="18"/>
                <w:szCs w:val="18"/>
                <w:lang w:eastAsia="en-GB"/>
              </w:rPr>
              <w:t>Sieve</w:t>
            </w:r>
          </w:p>
        </w:tc>
        <w:tc>
          <w:tcPr>
            <w:tcW w:w="283"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6A03E131" w14:textId="77777777" w:rsidR="0010125C" w:rsidRPr="00496130" w:rsidRDefault="0010125C" w:rsidP="0010125C">
            <w:pPr>
              <w:rPr>
                <w:sz w:val="18"/>
                <w:szCs w:val="18"/>
                <w:lang w:eastAsia="en-GB"/>
              </w:rPr>
            </w:pPr>
            <w:r w:rsidRPr="00496130">
              <w:rPr>
                <w:sz w:val="18"/>
                <w:szCs w:val="18"/>
                <w:lang w:eastAsia="en-GB"/>
              </w:rPr>
              <w:t>10</w:t>
            </w:r>
          </w:p>
        </w:tc>
      </w:tr>
      <w:tr w:rsidR="0010125C" w:rsidRPr="00496130" w14:paraId="20B1B48A" w14:textId="77777777" w:rsidTr="0010125C">
        <w:trPr>
          <w:trHeight w:val="1152"/>
        </w:trPr>
        <w:tc>
          <w:tcPr>
            <w:tcW w:w="415" w:type="pct"/>
            <w:tcBorders>
              <w:top w:val="nil"/>
              <w:left w:val="single" w:sz="8" w:space="0" w:color="auto"/>
              <w:bottom w:val="single" w:sz="4" w:space="0" w:color="auto"/>
              <w:right w:val="single" w:sz="4" w:space="0" w:color="auto"/>
            </w:tcBorders>
            <w:shd w:val="clear" w:color="auto" w:fill="auto"/>
            <w:noWrap/>
            <w:vAlign w:val="center"/>
            <w:hideMark/>
          </w:tcPr>
          <w:p w14:paraId="6ADE3041" w14:textId="77777777" w:rsidR="0010125C" w:rsidRPr="00496130" w:rsidRDefault="0010125C" w:rsidP="0010125C">
            <w:pPr>
              <w:rPr>
                <w:sz w:val="18"/>
                <w:szCs w:val="18"/>
                <w:lang w:eastAsia="en-GB"/>
              </w:rPr>
            </w:pPr>
            <w:r w:rsidRPr="00496130">
              <w:rPr>
                <w:sz w:val="18"/>
                <w:szCs w:val="18"/>
                <w:lang w:eastAsia="en-GB"/>
              </w:rPr>
              <w:t>14+26</w:t>
            </w:r>
          </w:p>
        </w:tc>
        <w:tc>
          <w:tcPr>
            <w:tcW w:w="315" w:type="pct"/>
            <w:tcBorders>
              <w:top w:val="nil"/>
              <w:left w:val="nil"/>
              <w:bottom w:val="single" w:sz="4" w:space="0" w:color="auto"/>
              <w:right w:val="single" w:sz="4" w:space="0" w:color="auto"/>
            </w:tcBorders>
            <w:shd w:val="clear" w:color="auto" w:fill="auto"/>
            <w:noWrap/>
            <w:vAlign w:val="bottom"/>
            <w:hideMark/>
          </w:tcPr>
          <w:p w14:paraId="68EE2858" w14:textId="77777777" w:rsidR="0010125C" w:rsidRPr="00496130" w:rsidRDefault="0010125C" w:rsidP="0010125C">
            <w:pPr>
              <w:rPr>
                <w:sz w:val="18"/>
                <w:szCs w:val="18"/>
                <w:lang w:eastAsia="en-GB"/>
              </w:rPr>
            </w:pPr>
            <w:r w:rsidRPr="00496130">
              <w:rPr>
                <w:sz w:val="18"/>
                <w:szCs w:val="18"/>
                <w:lang w:eastAsia="en-GB"/>
              </w:rPr>
              <w:t>Upper floor</w:t>
            </w:r>
          </w:p>
        </w:tc>
        <w:tc>
          <w:tcPr>
            <w:tcW w:w="265" w:type="pct"/>
            <w:tcBorders>
              <w:top w:val="nil"/>
              <w:left w:val="nil"/>
              <w:bottom w:val="single" w:sz="4" w:space="0" w:color="auto"/>
              <w:right w:val="single" w:sz="4" w:space="0" w:color="auto"/>
            </w:tcBorders>
            <w:shd w:val="clear" w:color="auto" w:fill="auto"/>
            <w:noWrap/>
            <w:vAlign w:val="center"/>
            <w:hideMark/>
          </w:tcPr>
          <w:p w14:paraId="138EA631" w14:textId="77777777" w:rsidR="0010125C" w:rsidRPr="00496130" w:rsidRDefault="0010125C" w:rsidP="0010125C">
            <w:pPr>
              <w:rPr>
                <w:sz w:val="18"/>
                <w:szCs w:val="18"/>
                <w:lang w:eastAsia="en-GB"/>
              </w:rPr>
            </w:pPr>
            <w:r w:rsidRPr="00496130">
              <w:rPr>
                <w:sz w:val="18"/>
                <w:szCs w:val="18"/>
                <w:lang w:eastAsia="en-GB"/>
              </w:rPr>
              <w:t>2009</w:t>
            </w:r>
          </w:p>
        </w:tc>
        <w:tc>
          <w:tcPr>
            <w:tcW w:w="588" w:type="pct"/>
            <w:tcBorders>
              <w:top w:val="nil"/>
              <w:left w:val="nil"/>
              <w:bottom w:val="single" w:sz="4" w:space="0" w:color="auto"/>
              <w:right w:val="single" w:sz="4" w:space="0" w:color="auto"/>
            </w:tcBorders>
            <w:shd w:val="clear" w:color="auto" w:fill="auto"/>
            <w:vAlign w:val="center"/>
            <w:hideMark/>
          </w:tcPr>
          <w:p w14:paraId="628A60B1" w14:textId="2BF00FE3" w:rsidR="0010125C" w:rsidRPr="00496130" w:rsidRDefault="00496130" w:rsidP="0010125C">
            <w:pPr>
              <w:rPr>
                <w:sz w:val="18"/>
                <w:szCs w:val="18"/>
                <w:lang w:eastAsia="en-GB"/>
              </w:rPr>
            </w:pPr>
            <w:r w:rsidRPr="00496130">
              <w:rPr>
                <w:sz w:val="18"/>
                <w:szCs w:val="18"/>
                <w:lang w:eastAsia="en-GB"/>
              </w:rPr>
              <w:t>Artifact</w:t>
            </w:r>
            <w:r w:rsidR="0010125C" w:rsidRPr="00496130">
              <w:rPr>
                <w:sz w:val="18"/>
                <w:szCs w:val="18"/>
                <w:lang w:eastAsia="en-GB"/>
              </w:rPr>
              <w:t xml:space="preserve"> conc. on floor </w:t>
            </w:r>
            <w:r w:rsidR="0010125C" w:rsidRPr="00496130">
              <w:rPr>
                <w:sz w:val="18"/>
                <w:szCs w:val="18"/>
                <w:lang w:eastAsia="en-GB"/>
              </w:rPr>
              <w:br/>
              <w:t>(burning feature)</w:t>
            </w:r>
          </w:p>
        </w:tc>
        <w:tc>
          <w:tcPr>
            <w:tcW w:w="287" w:type="pct"/>
            <w:tcBorders>
              <w:top w:val="single" w:sz="4" w:space="0" w:color="auto"/>
              <w:left w:val="nil"/>
              <w:bottom w:val="single" w:sz="4" w:space="0" w:color="auto"/>
              <w:right w:val="single" w:sz="4" w:space="0" w:color="auto"/>
            </w:tcBorders>
            <w:shd w:val="clear" w:color="auto" w:fill="auto"/>
            <w:noWrap/>
            <w:vAlign w:val="bottom"/>
            <w:hideMark/>
          </w:tcPr>
          <w:p w14:paraId="71AC5DA9" w14:textId="77777777" w:rsidR="0010125C" w:rsidRPr="00496130" w:rsidRDefault="0010125C" w:rsidP="0010125C">
            <w:pPr>
              <w:rPr>
                <w:sz w:val="18"/>
                <w:szCs w:val="18"/>
                <w:lang w:eastAsia="en-GB"/>
              </w:rPr>
            </w:pPr>
            <w:r w:rsidRPr="00496130">
              <w:rPr>
                <w:sz w:val="18"/>
                <w:szCs w:val="18"/>
                <w:lang w:eastAsia="en-GB"/>
              </w:rPr>
              <w:t>Inside</w:t>
            </w:r>
          </w:p>
        </w:tc>
        <w:tc>
          <w:tcPr>
            <w:tcW w:w="283" w:type="pct"/>
            <w:tcBorders>
              <w:top w:val="nil"/>
              <w:left w:val="nil"/>
              <w:bottom w:val="single" w:sz="4" w:space="0" w:color="auto"/>
              <w:right w:val="single" w:sz="4" w:space="0" w:color="auto"/>
            </w:tcBorders>
            <w:shd w:val="clear" w:color="auto" w:fill="auto"/>
            <w:noWrap/>
            <w:vAlign w:val="bottom"/>
            <w:hideMark/>
          </w:tcPr>
          <w:p w14:paraId="7C9203C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8A8761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1C60C4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65D17F57"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310F295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2DB298D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379D876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31616A5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13879B9"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center"/>
            <w:hideMark/>
          </w:tcPr>
          <w:p w14:paraId="6EA26EF1" w14:textId="77777777" w:rsidR="0010125C" w:rsidRPr="00496130" w:rsidRDefault="0010125C" w:rsidP="0010125C">
            <w:pPr>
              <w:rPr>
                <w:sz w:val="18"/>
                <w:szCs w:val="18"/>
                <w:lang w:eastAsia="en-GB"/>
              </w:rPr>
            </w:pPr>
            <w:r w:rsidRPr="00496130">
              <w:rPr>
                <w:sz w:val="18"/>
                <w:szCs w:val="18"/>
                <w:lang w:eastAsia="en-GB"/>
              </w:rPr>
              <w:t>Sieve + HP</w:t>
            </w:r>
          </w:p>
        </w:tc>
        <w:tc>
          <w:tcPr>
            <w:tcW w:w="283" w:type="pct"/>
            <w:tcBorders>
              <w:top w:val="nil"/>
              <w:left w:val="single" w:sz="4" w:space="0" w:color="auto"/>
              <w:bottom w:val="single" w:sz="4" w:space="0" w:color="auto"/>
              <w:right w:val="single" w:sz="8" w:space="0" w:color="auto"/>
            </w:tcBorders>
            <w:shd w:val="clear" w:color="auto" w:fill="auto"/>
            <w:noWrap/>
            <w:vAlign w:val="bottom"/>
            <w:hideMark/>
          </w:tcPr>
          <w:p w14:paraId="6887115B" w14:textId="77777777" w:rsidR="0010125C" w:rsidRPr="00496130" w:rsidRDefault="0010125C" w:rsidP="0010125C">
            <w:pPr>
              <w:rPr>
                <w:sz w:val="18"/>
                <w:szCs w:val="18"/>
                <w:lang w:eastAsia="en-GB"/>
              </w:rPr>
            </w:pPr>
            <w:r w:rsidRPr="00496130">
              <w:rPr>
                <w:sz w:val="18"/>
                <w:szCs w:val="18"/>
                <w:lang w:eastAsia="en-GB"/>
              </w:rPr>
              <w:t>40</w:t>
            </w:r>
          </w:p>
        </w:tc>
      </w:tr>
      <w:tr w:rsidR="0010125C" w:rsidRPr="00496130" w14:paraId="0A80A4A1" w14:textId="77777777" w:rsidTr="0010125C">
        <w:trPr>
          <w:trHeight w:val="300"/>
        </w:trPr>
        <w:tc>
          <w:tcPr>
            <w:tcW w:w="415" w:type="pct"/>
            <w:tcBorders>
              <w:top w:val="nil"/>
              <w:left w:val="single" w:sz="8" w:space="0" w:color="auto"/>
              <w:bottom w:val="single" w:sz="8" w:space="0" w:color="auto"/>
              <w:right w:val="single" w:sz="4" w:space="0" w:color="auto"/>
            </w:tcBorders>
            <w:shd w:val="clear" w:color="auto" w:fill="auto"/>
            <w:noWrap/>
            <w:vAlign w:val="center"/>
            <w:hideMark/>
          </w:tcPr>
          <w:p w14:paraId="5C67DBDC" w14:textId="77777777" w:rsidR="0010125C" w:rsidRPr="00496130" w:rsidRDefault="0010125C" w:rsidP="0010125C">
            <w:pPr>
              <w:rPr>
                <w:sz w:val="18"/>
                <w:szCs w:val="18"/>
                <w:lang w:eastAsia="en-GB"/>
              </w:rPr>
            </w:pPr>
            <w:r w:rsidRPr="00496130">
              <w:rPr>
                <w:sz w:val="18"/>
                <w:szCs w:val="18"/>
                <w:lang w:eastAsia="en-GB"/>
              </w:rPr>
              <w:t>12</w:t>
            </w:r>
          </w:p>
        </w:tc>
        <w:tc>
          <w:tcPr>
            <w:tcW w:w="315" w:type="pct"/>
            <w:tcBorders>
              <w:top w:val="nil"/>
              <w:left w:val="nil"/>
              <w:bottom w:val="single" w:sz="8" w:space="0" w:color="auto"/>
              <w:right w:val="single" w:sz="4" w:space="0" w:color="auto"/>
            </w:tcBorders>
            <w:shd w:val="clear" w:color="auto" w:fill="auto"/>
            <w:noWrap/>
            <w:vAlign w:val="bottom"/>
            <w:hideMark/>
          </w:tcPr>
          <w:p w14:paraId="176A7CF0" w14:textId="77777777" w:rsidR="0010125C" w:rsidRPr="00496130" w:rsidRDefault="0010125C" w:rsidP="0010125C">
            <w:pPr>
              <w:rPr>
                <w:sz w:val="18"/>
                <w:szCs w:val="18"/>
                <w:lang w:eastAsia="en-GB"/>
              </w:rPr>
            </w:pPr>
            <w:r w:rsidRPr="00496130">
              <w:rPr>
                <w:sz w:val="18"/>
                <w:szCs w:val="18"/>
                <w:lang w:eastAsia="en-GB"/>
              </w:rPr>
              <w:t>Upper floor</w:t>
            </w:r>
          </w:p>
        </w:tc>
        <w:tc>
          <w:tcPr>
            <w:tcW w:w="265" w:type="pct"/>
            <w:tcBorders>
              <w:top w:val="nil"/>
              <w:left w:val="nil"/>
              <w:bottom w:val="single" w:sz="8" w:space="0" w:color="auto"/>
              <w:right w:val="single" w:sz="4" w:space="0" w:color="auto"/>
            </w:tcBorders>
            <w:shd w:val="clear" w:color="auto" w:fill="auto"/>
            <w:noWrap/>
            <w:vAlign w:val="center"/>
            <w:hideMark/>
          </w:tcPr>
          <w:p w14:paraId="6B47B9E2" w14:textId="77777777" w:rsidR="0010125C" w:rsidRPr="00496130" w:rsidRDefault="0010125C" w:rsidP="0010125C">
            <w:pPr>
              <w:rPr>
                <w:sz w:val="18"/>
                <w:szCs w:val="18"/>
                <w:lang w:eastAsia="en-GB"/>
              </w:rPr>
            </w:pPr>
            <w:r w:rsidRPr="00496130">
              <w:rPr>
                <w:sz w:val="18"/>
                <w:szCs w:val="18"/>
                <w:lang w:eastAsia="en-GB"/>
              </w:rPr>
              <w:t>2006</w:t>
            </w:r>
          </w:p>
        </w:tc>
        <w:tc>
          <w:tcPr>
            <w:tcW w:w="588" w:type="pct"/>
            <w:tcBorders>
              <w:top w:val="nil"/>
              <w:left w:val="nil"/>
              <w:bottom w:val="single" w:sz="8" w:space="0" w:color="auto"/>
              <w:right w:val="single" w:sz="4" w:space="0" w:color="auto"/>
            </w:tcBorders>
            <w:shd w:val="clear" w:color="auto" w:fill="auto"/>
            <w:noWrap/>
            <w:vAlign w:val="center"/>
            <w:hideMark/>
          </w:tcPr>
          <w:p w14:paraId="39B303DF" w14:textId="77777777" w:rsidR="0010125C" w:rsidRPr="00496130" w:rsidRDefault="0010125C" w:rsidP="0010125C">
            <w:pPr>
              <w:rPr>
                <w:sz w:val="18"/>
                <w:szCs w:val="18"/>
                <w:lang w:eastAsia="en-GB"/>
              </w:rPr>
            </w:pPr>
            <w:r w:rsidRPr="00496130">
              <w:rPr>
                <w:sz w:val="18"/>
                <w:szCs w:val="18"/>
                <w:lang w:eastAsia="en-GB"/>
              </w:rPr>
              <w:t>Floor</w:t>
            </w:r>
          </w:p>
        </w:tc>
        <w:tc>
          <w:tcPr>
            <w:tcW w:w="287" w:type="pct"/>
            <w:tcBorders>
              <w:top w:val="nil"/>
              <w:left w:val="nil"/>
              <w:bottom w:val="single" w:sz="8" w:space="0" w:color="auto"/>
              <w:right w:val="single" w:sz="4" w:space="0" w:color="auto"/>
            </w:tcBorders>
            <w:shd w:val="clear" w:color="auto" w:fill="auto"/>
            <w:noWrap/>
            <w:vAlign w:val="bottom"/>
            <w:hideMark/>
          </w:tcPr>
          <w:p w14:paraId="23A843BA" w14:textId="77777777" w:rsidR="0010125C" w:rsidRPr="00496130" w:rsidRDefault="0010125C" w:rsidP="0010125C">
            <w:pPr>
              <w:rPr>
                <w:sz w:val="18"/>
                <w:szCs w:val="18"/>
                <w:lang w:eastAsia="en-GB"/>
              </w:rPr>
            </w:pPr>
            <w:r w:rsidRPr="00496130">
              <w:rPr>
                <w:sz w:val="18"/>
                <w:szCs w:val="18"/>
                <w:lang w:eastAsia="en-GB"/>
              </w:rPr>
              <w:t>Inside</w:t>
            </w:r>
          </w:p>
        </w:tc>
        <w:tc>
          <w:tcPr>
            <w:tcW w:w="283" w:type="pct"/>
            <w:tcBorders>
              <w:top w:val="nil"/>
              <w:left w:val="nil"/>
              <w:bottom w:val="single" w:sz="8" w:space="0" w:color="auto"/>
              <w:right w:val="single" w:sz="4" w:space="0" w:color="auto"/>
            </w:tcBorders>
            <w:shd w:val="clear" w:color="auto" w:fill="auto"/>
            <w:noWrap/>
            <w:vAlign w:val="bottom"/>
            <w:hideMark/>
          </w:tcPr>
          <w:p w14:paraId="093AF58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35E96C3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56EA759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7BAD1CD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000000" w:fill="D9D9D9"/>
            <w:noWrap/>
            <w:vAlign w:val="bottom"/>
            <w:hideMark/>
          </w:tcPr>
          <w:p w14:paraId="3B38EDF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120D6EC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000000" w:fill="D9D9D9"/>
            <w:noWrap/>
            <w:vAlign w:val="bottom"/>
            <w:hideMark/>
          </w:tcPr>
          <w:p w14:paraId="28607B0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000000" w:fill="D9D9D9"/>
            <w:noWrap/>
            <w:vAlign w:val="bottom"/>
            <w:hideMark/>
          </w:tcPr>
          <w:p w14:paraId="185D6DA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53436D0A"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8" w:space="0" w:color="auto"/>
              <w:right w:val="nil"/>
            </w:tcBorders>
            <w:shd w:val="clear" w:color="auto" w:fill="auto"/>
            <w:noWrap/>
            <w:vAlign w:val="center"/>
            <w:hideMark/>
          </w:tcPr>
          <w:p w14:paraId="5CBAF146" w14:textId="77777777" w:rsidR="0010125C" w:rsidRPr="00496130" w:rsidRDefault="0010125C" w:rsidP="0010125C">
            <w:pPr>
              <w:rPr>
                <w:sz w:val="18"/>
                <w:szCs w:val="18"/>
                <w:lang w:eastAsia="en-GB"/>
              </w:rPr>
            </w:pPr>
            <w:r w:rsidRPr="00496130">
              <w:rPr>
                <w:sz w:val="18"/>
                <w:szCs w:val="18"/>
                <w:lang w:eastAsia="en-GB"/>
              </w:rPr>
              <w:t>Sieve</w:t>
            </w:r>
          </w:p>
        </w:tc>
        <w:tc>
          <w:tcPr>
            <w:tcW w:w="283" w:type="pct"/>
            <w:tcBorders>
              <w:top w:val="nil"/>
              <w:left w:val="single" w:sz="4" w:space="0" w:color="auto"/>
              <w:bottom w:val="single" w:sz="8" w:space="0" w:color="auto"/>
              <w:right w:val="single" w:sz="8" w:space="0" w:color="auto"/>
            </w:tcBorders>
            <w:shd w:val="clear" w:color="auto" w:fill="auto"/>
            <w:noWrap/>
            <w:vAlign w:val="bottom"/>
            <w:hideMark/>
          </w:tcPr>
          <w:p w14:paraId="0AC6DFB4" w14:textId="77777777" w:rsidR="0010125C" w:rsidRPr="00496130" w:rsidRDefault="0010125C" w:rsidP="0010125C">
            <w:pPr>
              <w:rPr>
                <w:sz w:val="18"/>
                <w:szCs w:val="18"/>
                <w:lang w:eastAsia="en-GB"/>
              </w:rPr>
            </w:pPr>
            <w:r w:rsidRPr="00496130">
              <w:rPr>
                <w:sz w:val="18"/>
                <w:szCs w:val="18"/>
                <w:lang w:eastAsia="en-GB"/>
              </w:rPr>
              <w:t>30</w:t>
            </w:r>
          </w:p>
        </w:tc>
      </w:tr>
      <w:tr w:rsidR="0010125C" w:rsidRPr="00496130" w14:paraId="3C8C9D8F"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04387CB9" w14:textId="77777777" w:rsidR="0010125C" w:rsidRPr="00496130" w:rsidRDefault="0010125C" w:rsidP="0010125C">
            <w:pPr>
              <w:rPr>
                <w:sz w:val="18"/>
                <w:szCs w:val="18"/>
                <w:lang w:eastAsia="en-GB"/>
              </w:rPr>
            </w:pPr>
            <w:r w:rsidRPr="00496130">
              <w:rPr>
                <w:sz w:val="18"/>
                <w:szCs w:val="18"/>
                <w:lang w:eastAsia="en-GB"/>
              </w:rPr>
              <w:t> </w:t>
            </w:r>
          </w:p>
        </w:tc>
        <w:tc>
          <w:tcPr>
            <w:tcW w:w="315" w:type="pct"/>
            <w:tcBorders>
              <w:top w:val="nil"/>
              <w:left w:val="nil"/>
              <w:bottom w:val="single" w:sz="4" w:space="0" w:color="auto"/>
              <w:right w:val="single" w:sz="4" w:space="0" w:color="auto"/>
            </w:tcBorders>
            <w:shd w:val="clear" w:color="auto" w:fill="auto"/>
            <w:noWrap/>
            <w:vAlign w:val="bottom"/>
            <w:hideMark/>
          </w:tcPr>
          <w:p w14:paraId="06157C95" w14:textId="77777777" w:rsidR="0010125C" w:rsidRPr="00496130" w:rsidRDefault="0010125C" w:rsidP="0010125C">
            <w:pPr>
              <w:rPr>
                <w:sz w:val="18"/>
                <w:szCs w:val="18"/>
                <w:lang w:eastAsia="en-GB"/>
              </w:rPr>
            </w:pPr>
            <w:r w:rsidRPr="00496130">
              <w:rPr>
                <w:sz w:val="18"/>
                <w:szCs w:val="18"/>
                <w:lang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01591C86" w14:textId="77777777" w:rsidR="0010125C" w:rsidRPr="00496130" w:rsidRDefault="0010125C" w:rsidP="0010125C">
            <w:pPr>
              <w:rPr>
                <w:sz w:val="18"/>
                <w:szCs w:val="18"/>
                <w:lang w:eastAsia="en-GB"/>
              </w:rPr>
            </w:pPr>
            <w:r w:rsidRPr="00496130">
              <w:rPr>
                <w:sz w:val="18"/>
                <w:szCs w:val="18"/>
                <w:lang w:eastAsia="en-GB"/>
              </w:rPr>
              <w:t> </w:t>
            </w:r>
          </w:p>
        </w:tc>
        <w:tc>
          <w:tcPr>
            <w:tcW w:w="588" w:type="pct"/>
            <w:tcBorders>
              <w:top w:val="nil"/>
              <w:left w:val="nil"/>
              <w:bottom w:val="single" w:sz="4" w:space="0" w:color="auto"/>
              <w:right w:val="single" w:sz="4" w:space="0" w:color="auto"/>
            </w:tcBorders>
            <w:shd w:val="clear" w:color="auto" w:fill="auto"/>
            <w:noWrap/>
            <w:vAlign w:val="bottom"/>
            <w:hideMark/>
          </w:tcPr>
          <w:p w14:paraId="52A80397" w14:textId="77777777" w:rsidR="0010125C" w:rsidRPr="00496130" w:rsidRDefault="0010125C" w:rsidP="0010125C">
            <w:pPr>
              <w:rPr>
                <w:sz w:val="18"/>
                <w:szCs w:val="18"/>
                <w:lang w:eastAsia="en-GB"/>
              </w:rPr>
            </w:pPr>
            <w:r w:rsidRPr="00496130">
              <w:rPr>
                <w:sz w:val="18"/>
                <w:szCs w:val="18"/>
                <w:lang w:eastAsia="en-GB"/>
              </w:rPr>
              <w:t> </w:t>
            </w:r>
          </w:p>
        </w:tc>
        <w:tc>
          <w:tcPr>
            <w:tcW w:w="287" w:type="pct"/>
            <w:tcBorders>
              <w:top w:val="nil"/>
              <w:left w:val="nil"/>
              <w:bottom w:val="single" w:sz="4" w:space="0" w:color="auto"/>
              <w:right w:val="single" w:sz="4" w:space="0" w:color="auto"/>
            </w:tcBorders>
            <w:shd w:val="clear" w:color="auto" w:fill="auto"/>
            <w:noWrap/>
            <w:vAlign w:val="bottom"/>
            <w:hideMark/>
          </w:tcPr>
          <w:p w14:paraId="129E999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69760938"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704C965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53152A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03C23F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6E3B772A"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7A57834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A55740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B51BE1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59F52D26"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bottom"/>
            <w:hideMark/>
          </w:tcPr>
          <w:p w14:paraId="2DD1F3A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6A7C45BF" w14:textId="77777777" w:rsidR="0010125C" w:rsidRPr="00496130" w:rsidRDefault="0010125C" w:rsidP="0010125C">
            <w:pPr>
              <w:rPr>
                <w:sz w:val="18"/>
                <w:szCs w:val="18"/>
                <w:lang w:eastAsia="en-GB"/>
              </w:rPr>
            </w:pPr>
            <w:r w:rsidRPr="00496130">
              <w:rPr>
                <w:sz w:val="18"/>
                <w:szCs w:val="18"/>
                <w:lang w:eastAsia="en-GB"/>
              </w:rPr>
              <w:t> </w:t>
            </w:r>
          </w:p>
        </w:tc>
      </w:tr>
      <w:tr w:rsidR="0010125C" w:rsidRPr="00496130" w14:paraId="01D3C6CC"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7985435F" w14:textId="77777777" w:rsidR="0010125C" w:rsidRPr="00496130" w:rsidRDefault="0010125C" w:rsidP="0010125C">
            <w:pPr>
              <w:rPr>
                <w:sz w:val="18"/>
                <w:szCs w:val="18"/>
                <w:lang w:eastAsia="en-GB"/>
              </w:rPr>
            </w:pPr>
            <w:r w:rsidRPr="00496130">
              <w:rPr>
                <w:sz w:val="18"/>
                <w:szCs w:val="18"/>
                <w:lang w:eastAsia="en-GB"/>
              </w:rPr>
              <w:t>31</w:t>
            </w:r>
          </w:p>
        </w:tc>
        <w:tc>
          <w:tcPr>
            <w:tcW w:w="315" w:type="pct"/>
            <w:tcBorders>
              <w:top w:val="nil"/>
              <w:left w:val="nil"/>
              <w:bottom w:val="single" w:sz="4" w:space="0" w:color="auto"/>
              <w:right w:val="single" w:sz="4" w:space="0" w:color="auto"/>
            </w:tcBorders>
            <w:shd w:val="clear" w:color="auto" w:fill="auto"/>
            <w:noWrap/>
            <w:vAlign w:val="bottom"/>
            <w:hideMark/>
          </w:tcPr>
          <w:p w14:paraId="08769E35" w14:textId="77777777" w:rsidR="0010125C" w:rsidRPr="00496130" w:rsidRDefault="0010125C" w:rsidP="0010125C">
            <w:pPr>
              <w:rPr>
                <w:sz w:val="18"/>
                <w:szCs w:val="18"/>
                <w:lang w:eastAsia="en-GB"/>
              </w:rPr>
            </w:pPr>
            <w:r w:rsidRPr="00496130">
              <w:rPr>
                <w:sz w:val="18"/>
                <w:szCs w:val="18"/>
                <w:lang w:eastAsia="en-GB"/>
              </w:rPr>
              <w:t>Lower floor</w:t>
            </w:r>
          </w:p>
        </w:tc>
        <w:tc>
          <w:tcPr>
            <w:tcW w:w="265" w:type="pct"/>
            <w:tcBorders>
              <w:top w:val="nil"/>
              <w:left w:val="nil"/>
              <w:bottom w:val="single" w:sz="4" w:space="0" w:color="auto"/>
              <w:right w:val="single" w:sz="4" w:space="0" w:color="auto"/>
            </w:tcBorders>
            <w:shd w:val="clear" w:color="auto" w:fill="auto"/>
            <w:noWrap/>
            <w:vAlign w:val="center"/>
            <w:hideMark/>
          </w:tcPr>
          <w:p w14:paraId="49A0131F" w14:textId="77777777" w:rsidR="0010125C" w:rsidRPr="00496130" w:rsidRDefault="0010125C" w:rsidP="0010125C">
            <w:pPr>
              <w:rPr>
                <w:sz w:val="18"/>
                <w:szCs w:val="18"/>
                <w:lang w:eastAsia="en-GB"/>
              </w:rPr>
            </w:pPr>
            <w:r w:rsidRPr="00496130">
              <w:rPr>
                <w:sz w:val="18"/>
                <w:szCs w:val="18"/>
                <w:lang w:eastAsia="en-GB"/>
              </w:rPr>
              <w:t>2016</w:t>
            </w:r>
          </w:p>
        </w:tc>
        <w:tc>
          <w:tcPr>
            <w:tcW w:w="588" w:type="pct"/>
            <w:tcBorders>
              <w:top w:val="nil"/>
              <w:left w:val="nil"/>
              <w:bottom w:val="single" w:sz="4" w:space="0" w:color="auto"/>
              <w:right w:val="single" w:sz="4" w:space="0" w:color="auto"/>
            </w:tcBorders>
            <w:shd w:val="clear" w:color="auto" w:fill="auto"/>
            <w:noWrap/>
            <w:vAlign w:val="center"/>
            <w:hideMark/>
          </w:tcPr>
          <w:p w14:paraId="1D0A6B20" w14:textId="77777777" w:rsidR="0010125C" w:rsidRPr="00496130" w:rsidRDefault="0010125C" w:rsidP="0010125C">
            <w:pPr>
              <w:rPr>
                <w:sz w:val="18"/>
                <w:szCs w:val="18"/>
                <w:lang w:eastAsia="en-GB"/>
              </w:rPr>
            </w:pPr>
            <w:r w:rsidRPr="00496130">
              <w:rPr>
                <w:sz w:val="18"/>
                <w:szCs w:val="18"/>
                <w:lang w:eastAsia="en-GB"/>
              </w:rPr>
              <w:t>Cf. Floor</w:t>
            </w:r>
          </w:p>
        </w:tc>
        <w:tc>
          <w:tcPr>
            <w:tcW w:w="287" w:type="pct"/>
            <w:tcBorders>
              <w:top w:val="nil"/>
              <w:left w:val="nil"/>
              <w:bottom w:val="single" w:sz="4" w:space="0" w:color="auto"/>
              <w:right w:val="single" w:sz="4" w:space="0" w:color="auto"/>
            </w:tcBorders>
            <w:shd w:val="clear" w:color="auto" w:fill="auto"/>
            <w:noWrap/>
            <w:vAlign w:val="bottom"/>
            <w:hideMark/>
          </w:tcPr>
          <w:p w14:paraId="33BC5C74" w14:textId="77777777" w:rsidR="0010125C" w:rsidRPr="00496130" w:rsidRDefault="0010125C" w:rsidP="0010125C">
            <w:pPr>
              <w:rPr>
                <w:sz w:val="18"/>
                <w:szCs w:val="18"/>
                <w:lang w:eastAsia="en-GB"/>
              </w:rPr>
            </w:pPr>
            <w:r w:rsidRPr="00496130">
              <w:rPr>
                <w:sz w:val="18"/>
                <w:szCs w:val="18"/>
                <w:lang w:eastAsia="en-GB"/>
              </w:rPr>
              <w:t>Outside</w:t>
            </w:r>
          </w:p>
        </w:tc>
        <w:tc>
          <w:tcPr>
            <w:tcW w:w="283" w:type="pct"/>
            <w:tcBorders>
              <w:top w:val="nil"/>
              <w:left w:val="nil"/>
              <w:bottom w:val="single" w:sz="4" w:space="0" w:color="auto"/>
              <w:right w:val="single" w:sz="4" w:space="0" w:color="auto"/>
            </w:tcBorders>
            <w:shd w:val="clear" w:color="auto" w:fill="auto"/>
            <w:noWrap/>
            <w:vAlign w:val="bottom"/>
            <w:hideMark/>
          </w:tcPr>
          <w:p w14:paraId="5C339FF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38C87B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13E7DA7"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556715C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6EBC6B22" w14:textId="77777777" w:rsidR="0010125C" w:rsidRPr="00496130" w:rsidRDefault="0010125C" w:rsidP="0010125C">
            <w:pPr>
              <w:rPr>
                <w:sz w:val="18"/>
                <w:szCs w:val="18"/>
                <w:lang w:eastAsia="en-GB"/>
              </w:rPr>
            </w:pPr>
            <w:r w:rsidRPr="00496130">
              <w:rPr>
                <w:sz w:val="18"/>
                <w:szCs w:val="18"/>
                <w:lang w:eastAsia="en-GB"/>
              </w:rPr>
              <w:t>cf.</w:t>
            </w:r>
          </w:p>
        </w:tc>
        <w:tc>
          <w:tcPr>
            <w:tcW w:w="283" w:type="pct"/>
            <w:tcBorders>
              <w:top w:val="nil"/>
              <w:left w:val="nil"/>
              <w:bottom w:val="single" w:sz="4" w:space="0" w:color="auto"/>
              <w:right w:val="single" w:sz="4" w:space="0" w:color="auto"/>
            </w:tcBorders>
            <w:shd w:val="clear" w:color="auto" w:fill="auto"/>
            <w:noWrap/>
            <w:vAlign w:val="bottom"/>
            <w:hideMark/>
          </w:tcPr>
          <w:p w14:paraId="4D66E0DA"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7ECCDB7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40B6C8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54E1417"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center"/>
            <w:hideMark/>
          </w:tcPr>
          <w:p w14:paraId="6F656290" w14:textId="77777777" w:rsidR="0010125C" w:rsidRPr="00496130" w:rsidRDefault="0010125C" w:rsidP="0010125C">
            <w:pPr>
              <w:rPr>
                <w:sz w:val="18"/>
                <w:szCs w:val="18"/>
                <w:lang w:eastAsia="en-GB"/>
              </w:rPr>
            </w:pPr>
            <w:r w:rsidRPr="00496130">
              <w:rPr>
                <w:sz w:val="18"/>
                <w:szCs w:val="18"/>
                <w:lang w:eastAsia="en-GB"/>
              </w:rPr>
              <w:t>HP</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1F830E99" w14:textId="77777777" w:rsidR="0010125C" w:rsidRPr="00496130" w:rsidRDefault="0010125C" w:rsidP="0010125C">
            <w:pPr>
              <w:rPr>
                <w:sz w:val="18"/>
                <w:szCs w:val="18"/>
                <w:lang w:eastAsia="en-GB"/>
              </w:rPr>
            </w:pPr>
            <w:r w:rsidRPr="00496130">
              <w:rPr>
                <w:sz w:val="18"/>
                <w:szCs w:val="18"/>
                <w:lang w:eastAsia="en-GB"/>
              </w:rPr>
              <w:t>10</w:t>
            </w:r>
          </w:p>
        </w:tc>
      </w:tr>
      <w:tr w:rsidR="0010125C" w:rsidRPr="00496130" w14:paraId="155F2D77"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347E30F7" w14:textId="77777777" w:rsidR="0010125C" w:rsidRPr="00496130" w:rsidRDefault="0010125C" w:rsidP="0010125C">
            <w:pPr>
              <w:rPr>
                <w:sz w:val="18"/>
                <w:szCs w:val="18"/>
                <w:lang w:eastAsia="en-GB"/>
              </w:rPr>
            </w:pPr>
            <w:r w:rsidRPr="00496130">
              <w:rPr>
                <w:sz w:val="18"/>
                <w:szCs w:val="18"/>
                <w:lang w:eastAsia="en-GB"/>
              </w:rPr>
              <w:t>17+28</w:t>
            </w:r>
          </w:p>
        </w:tc>
        <w:tc>
          <w:tcPr>
            <w:tcW w:w="315" w:type="pct"/>
            <w:tcBorders>
              <w:top w:val="nil"/>
              <w:left w:val="nil"/>
              <w:bottom w:val="single" w:sz="4" w:space="0" w:color="auto"/>
              <w:right w:val="single" w:sz="4" w:space="0" w:color="auto"/>
            </w:tcBorders>
            <w:shd w:val="clear" w:color="auto" w:fill="auto"/>
            <w:noWrap/>
            <w:vAlign w:val="bottom"/>
            <w:hideMark/>
          </w:tcPr>
          <w:p w14:paraId="682937B1" w14:textId="77777777" w:rsidR="0010125C" w:rsidRPr="00496130" w:rsidRDefault="0010125C" w:rsidP="0010125C">
            <w:pPr>
              <w:rPr>
                <w:sz w:val="18"/>
                <w:szCs w:val="18"/>
                <w:lang w:eastAsia="en-GB"/>
              </w:rPr>
            </w:pPr>
            <w:r w:rsidRPr="00496130">
              <w:rPr>
                <w:sz w:val="18"/>
                <w:szCs w:val="18"/>
                <w:lang w:eastAsia="en-GB"/>
              </w:rPr>
              <w:t>Lower floor</w:t>
            </w:r>
          </w:p>
        </w:tc>
        <w:tc>
          <w:tcPr>
            <w:tcW w:w="265" w:type="pct"/>
            <w:tcBorders>
              <w:top w:val="nil"/>
              <w:left w:val="nil"/>
              <w:bottom w:val="single" w:sz="4" w:space="0" w:color="auto"/>
              <w:right w:val="single" w:sz="4" w:space="0" w:color="auto"/>
            </w:tcBorders>
            <w:shd w:val="clear" w:color="auto" w:fill="auto"/>
            <w:noWrap/>
            <w:vAlign w:val="center"/>
            <w:hideMark/>
          </w:tcPr>
          <w:p w14:paraId="104A687B" w14:textId="77777777" w:rsidR="0010125C" w:rsidRPr="00496130" w:rsidRDefault="0010125C" w:rsidP="0010125C">
            <w:pPr>
              <w:rPr>
                <w:sz w:val="18"/>
                <w:szCs w:val="18"/>
                <w:lang w:eastAsia="en-GB"/>
              </w:rPr>
            </w:pPr>
            <w:r w:rsidRPr="00496130">
              <w:rPr>
                <w:sz w:val="18"/>
                <w:szCs w:val="18"/>
                <w:lang w:eastAsia="en-GB"/>
              </w:rPr>
              <w:t>2014</w:t>
            </w:r>
          </w:p>
        </w:tc>
        <w:tc>
          <w:tcPr>
            <w:tcW w:w="588" w:type="pct"/>
            <w:tcBorders>
              <w:top w:val="nil"/>
              <w:left w:val="nil"/>
              <w:bottom w:val="single" w:sz="4" w:space="0" w:color="auto"/>
              <w:right w:val="single" w:sz="4" w:space="0" w:color="auto"/>
            </w:tcBorders>
            <w:shd w:val="clear" w:color="auto" w:fill="auto"/>
            <w:noWrap/>
            <w:vAlign w:val="center"/>
            <w:hideMark/>
          </w:tcPr>
          <w:p w14:paraId="1196EEBC" w14:textId="77777777" w:rsidR="0010125C" w:rsidRPr="00496130" w:rsidRDefault="0010125C" w:rsidP="0010125C">
            <w:pPr>
              <w:rPr>
                <w:sz w:val="18"/>
                <w:szCs w:val="18"/>
                <w:lang w:eastAsia="en-GB"/>
              </w:rPr>
            </w:pPr>
            <w:r w:rsidRPr="00496130">
              <w:rPr>
                <w:sz w:val="18"/>
                <w:szCs w:val="18"/>
                <w:lang w:eastAsia="en-GB"/>
              </w:rPr>
              <w:t>Cf. Floor</w:t>
            </w:r>
          </w:p>
        </w:tc>
        <w:tc>
          <w:tcPr>
            <w:tcW w:w="287" w:type="pct"/>
            <w:tcBorders>
              <w:top w:val="nil"/>
              <w:left w:val="nil"/>
              <w:bottom w:val="single" w:sz="4" w:space="0" w:color="auto"/>
              <w:right w:val="single" w:sz="4" w:space="0" w:color="auto"/>
            </w:tcBorders>
            <w:shd w:val="clear" w:color="auto" w:fill="auto"/>
            <w:noWrap/>
            <w:vAlign w:val="bottom"/>
            <w:hideMark/>
          </w:tcPr>
          <w:p w14:paraId="665150AD" w14:textId="77777777" w:rsidR="0010125C" w:rsidRPr="00496130" w:rsidRDefault="0010125C" w:rsidP="0010125C">
            <w:pPr>
              <w:rPr>
                <w:sz w:val="18"/>
                <w:szCs w:val="18"/>
                <w:lang w:eastAsia="en-GB"/>
              </w:rPr>
            </w:pPr>
            <w:r w:rsidRPr="00496130">
              <w:rPr>
                <w:sz w:val="18"/>
                <w:szCs w:val="18"/>
                <w:lang w:eastAsia="en-GB"/>
              </w:rPr>
              <w:t>Outside</w:t>
            </w:r>
          </w:p>
        </w:tc>
        <w:tc>
          <w:tcPr>
            <w:tcW w:w="283" w:type="pct"/>
            <w:tcBorders>
              <w:top w:val="nil"/>
              <w:left w:val="nil"/>
              <w:bottom w:val="single" w:sz="4" w:space="0" w:color="auto"/>
              <w:right w:val="single" w:sz="4" w:space="0" w:color="auto"/>
            </w:tcBorders>
            <w:shd w:val="clear" w:color="auto" w:fill="auto"/>
            <w:noWrap/>
            <w:vAlign w:val="bottom"/>
            <w:hideMark/>
          </w:tcPr>
          <w:p w14:paraId="5890E76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A09F2C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7AB34AAD"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4B44CA4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290FFFB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65D31DF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6F30CBC4"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3E060BE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09034D66"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center"/>
            <w:hideMark/>
          </w:tcPr>
          <w:p w14:paraId="5EBD0989" w14:textId="77777777" w:rsidR="0010125C" w:rsidRPr="00496130" w:rsidRDefault="0010125C" w:rsidP="0010125C">
            <w:pPr>
              <w:rPr>
                <w:sz w:val="18"/>
                <w:szCs w:val="18"/>
                <w:lang w:eastAsia="en-GB"/>
              </w:rPr>
            </w:pPr>
            <w:r w:rsidRPr="00496130">
              <w:rPr>
                <w:sz w:val="18"/>
                <w:szCs w:val="18"/>
                <w:lang w:eastAsia="en-GB"/>
              </w:rPr>
              <w:t>Sieve + HP</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1523B18D" w14:textId="77777777" w:rsidR="0010125C" w:rsidRPr="00496130" w:rsidRDefault="0010125C" w:rsidP="0010125C">
            <w:pPr>
              <w:rPr>
                <w:sz w:val="18"/>
                <w:szCs w:val="18"/>
                <w:lang w:eastAsia="en-GB"/>
              </w:rPr>
            </w:pPr>
            <w:r w:rsidRPr="00496130">
              <w:rPr>
                <w:sz w:val="18"/>
                <w:szCs w:val="18"/>
                <w:lang w:eastAsia="en-GB"/>
              </w:rPr>
              <w:t>31</w:t>
            </w:r>
          </w:p>
        </w:tc>
      </w:tr>
      <w:tr w:rsidR="0010125C" w:rsidRPr="00496130" w14:paraId="3E429F2F" w14:textId="77777777" w:rsidTr="0010125C">
        <w:trPr>
          <w:trHeight w:val="288"/>
        </w:trPr>
        <w:tc>
          <w:tcPr>
            <w:tcW w:w="415" w:type="pct"/>
            <w:tcBorders>
              <w:top w:val="nil"/>
              <w:left w:val="single" w:sz="4" w:space="0" w:color="auto"/>
              <w:bottom w:val="single" w:sz="4" w:space="0" w:color="auto"/>
              <w:right w:val="single" w:sz="4" w:space="0" w:color="auto"/>
            </w:tcBorders>
            <w:shd w:val="clear" w:color="auto" w:fill="auto"/>
            <w:noWrap/>
            <w:vAlign w:val="center"/>
            <w:hideMark/>
          </w:tcPr>
          <w:p w14:paraId="7F5FED64" w14:textId="77777777" w:rsidR="0010125C" w:rsidRPr="00496130" w:rsidRDefault="0010125C" w:rsidP="0010125C">
            <w:pPr>
              <w:rPr>
                <w:sz w:val="18"/>
                <w:szCs w:val="18"/>
                <w:lang w:eastAsia="en-GB"/>
              </w:rPr>
            </w:pPr>
            <w:r w:rsidRPr="00496130">
              <w:rPr>
                <w:sz w:val="18"/>
                <w:szCs w:val="18"/>
                <w:lang w:eastAsia="en-GB"/>
              </w:rPr>
              <w:t>18</w:t>
            </w:r>
          </w:p>
        </w:tc>
        <w:tc>
          <w:tcPr>
            <w:tcW w:w="315" w:type="pct"/>
            <w:tcBorders>
              <w:top w:val="nil"/>
              <w:left w:val="nil"/>
              <w:bottom w:val="single" w:sz="4" w:space="0" w:color="auto"/>
              <w:right w:val="single" w:sz="4" w:space="0" w:color="auto"/>
            </w:tcBorders>
            <w:shd w:val="clear" w:color="auto" w:fill="auto"/>
            <w:noWrap/>
            <w:vAlign w:val="bottom"/>
            <w:hideMark/>
          </w:tcPr>
          <w:p w14:paraId="1E231A41" w14:textId="77777777" w:rsidR="0010125C" w:rsidRPr="00496130" w:rsidRDefault="0010125C" w:rsidP="0010125C">
            <w:pPr>
              <w:rPr>
                <w:sz w:val="18"/>
                <w:szCs w:val="18"/>
                <w:lang w:eastAsia="en-GB"/>
              </w:rPr>
            </w:pPr>
            <w:r w:rsidRPr="00496130">
              <w:rPr>
                <w:sz w:val="18"/>
                <w:szCs w:val="18"/>
                <w:lang w:eastAsia="en-GB"/>
              </w:rPr>
              <w:t>Lower floor</w:t>
            </w:r>
          </w:p>
        </w:tc>
        <w:tc>
          <w:tcPr>
            <w:tcW w:w="265" w:type="pct"/>
            <w:tcBorders>
              <w:top w:val="nil"/>
              <w:left w:val="nil"/>
              <w:bottom w:val="single" w:sz="4" w:space="0" w:color="auto"/>
              <w:right w:val="single" w:sz="4" w:space="0" w:color="auto"/>
            </w:tcBorders>
            <w:shd w:val="clear" w:color="auto" w:fill="auto"/>
            <w:noWrap/>
            <w:vAlign w:val="center"/>
            <w:hideMark/>
          </w:tcPr>
          <w:p w14:paraId="43B2EC15" w14:textId="77777777" w:rsidR="0010125C" w:rsidRPr="00496130" w:rsidRDefault="0010125C" w:rsidP="0010125C">
            <w:pPr>
              <w:rPr>
                <w:sz w:val="18"/>
                <w:szCs w:val="18"/>
                <w:lang w:eastAsia="en-GB"/>
              </w:rPr>
            </w:pPr>
            <w:r w:rsidRPr="00496130">
              <w:rPr>
                <w:sz w:val="18"/>
                <w:szCs w:val="18"/>
                <w:lang w:eastAsia="en-GB"/>
              </w:rPr>
              <w:t>2015</w:t>
            </w:r>
          </w:p>
        </w:tc>
        <w:tc>
          <w:tcPr>
            <w:tcW w:w="588" w:type="pct"/>
            <w:tcBorders>
              <w:top w:val="nil"/>
              <w:left w:val="nil"/>
              <w:bottom w:val="single" w:sz="4" w:space="0" w:color="auto"/>
              <w:right w:val="single" w:sz="4" w:space="0" w:color="auto"/>
            </w:tcBorders>
            <w:shd w:val="clear" w:color="auto" w:fill="auto"/>
            <w:noWrap/>
            <w:vAlign w:val="center"/>
            <w:hideMark/>
          </w:tcPr>
          <w:p w14:paraId="4217AB82" w14:textId="77777777" w:rsidR="0010125C" w:rsidRPr="00496130" w:rsidRDefault="0010125C" w:rsidP="0010125C">
            <w:pPr>
              <w:rPr>
                <w:sz w:val="18"/>
                <w:szCs w:val="18"/>
                <w:lang w:eastAsia="en-GB"/>
              </w:rPr>
            </w:pPr>
            <w:r w:rsidRPr="00496130">
              <w:rPr>
                <w:sz w:val="18"/>
                <w:szCs w:val="18"/>
                <w:lang w:eastAsia="en-GB"/>
              </w:rPr>
              <w:t>Cf. Floor</w:t>
            </w:r>
          </w:p>
        </w:tc>
        <w:tc>
          <w:tcPr>
            <w:tcW w:w="287" w:type="pct"/>
            <w:tcBorders>
              <w:top w:val="nil"/>
              <w:left w:val="nil"/>
              <w:bottom w:val="single" w:sz="4" w:space="0" w:color="auto"/>
              <w:right w:val="single" w:sz="4" w:space="0" w:color="auto"/>
            </w:tcBorders>
            <w:shd w:val="clear" w:color="auto" w:fill="auto"/>
            <w:noWrap/>
            <w:vAlign w:val="bottom"/>
            <w:hideMark/>
          </w:tcPr>
          <w:p w14:paraId="211B77D0" w14:textId="77777777" w:rsidR="0010125C" w:rsidRPr="00496130" w:rsidRDefault="0010125C" w:rsidP="0010125C">
            <w:pPr>
              <w:rPr>
                <w:sz w:val="18"/>
                <w:szCs w:val="18"/>
                <w:lang w:eastAsia="en-GB"/>
              </w:rPr>
            </w:pPr>
            <w:r w:rsidRPr="00496130">
              <w:rPr>
                <w:sz w:val="18"/>
                <w:szCs w:val="18"/>
                <w:lang w:eastAsia="en-GB"/>
              </w:rPr>
              <w:t>Outside</w:t>
            </w:r>
          </w:p>
        </w:tc>
        <w:tc>
          <w:tcPr>
            <w:tcW w:w="283" w:type="pct"/>
            <w:tcBorders>
              <w:top w:val="nil"/>
              <w:left w:val="nil"/>
              <w:bottom w:val="single" w:sz="4" w:space="0" w:color="auto"/>
              <w:right w:val="single" w:sz="4" w:space="0" w:color="auto"/>
            </w:tcBorders>
            <w:shd w:val="clear" w:color="auto" w:fill="auto"/>
            <w:noWrap/>
            <w:vAlign w:val="bottom"/>
            <w:hideMark/>
          </w:tcPr>
          <w:p w14:paraId="35D03B6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082E9C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094E721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217AF807"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0589F61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auto" w:fill="auto"/>
            <w:noWrap/>
            <w:vAlign w:val="bottom"/>
            <w:hideMark/>
          </w:tcPr>
          <w:p w14:paraId="18B1B5A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7491B7F4" w14:textId="77777777" w:rsidR="0010125C" w:rsidRPr="00496130" w:rsidRDefault="0010125C" w:rsidP="0010125C">
            <w:pPr>
              <w:rPr>
                <w:sz w:val="18"/>
                <w:szCs w:val="18"/>
                <w:lang w:eastAsia="en-GB"/>
              </w:rPr>
            </w:pPr>
            <w:r w:rsidRPr="00496130">
              <w:rPr>
                <w:sz w:val="18"/>
                <w:szCs w:val="18"/>
                <w:lang w:eastAsia="en-GB"/>
              </w:rPr>
              <w:t>cf.</w:t>
            </w:r>
          </w:p>
        </w:tc>
        <w:tc>
          <w:tcPr>
            <w:tcW w:w="283" w:type="pct"/>
            <w:tcBorders>
              <w:top w:val="nil"/>
              <w:left w:val="nil"/>
              <w:bottom w:val="single" w:sz="4" w:space="0" w:color="auto"/>
              <w:right w:val="single" w:sz="4" w:space="0" w:color="auto"/>
            </w:tcBorders>
            <w:shd w:val="clear" w:color="auto" w:fill="auto"/>
            <w:noWrap/>
            <w:vAlign w:val="bottom"/>
            <w:hideMark/>
          </w:tcPr>
          <w:p w14:paraId="154AFD03"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4" w:space="0" w:color="auto"/>
              <w:right w:val="single" w:sz="4" w:space="0" w:color="auto"/>
            </w:tcBorders>
            <w:shd w:val="clear" w:color="000000" w:fill="D9D9D9"/>
            <w:noWrap/>
            <w:vAlign w:val="bottom"/>
            <w:hideMark/>
          </w:tcPr>
          <w:p w14:paraId="78D908D2"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4" w:space="0" w:color="auto"/>
              <w:right w:val="nil"/>
            </w:tcBorders>
            <w:shd w:val="clear" w:color="auto" w:fill="auto"/>
            <w:noWrap/>
            <w:vAlign w:val="center"/>
            <w:hideMark/>
          </w:tcPr>
          <w:p w14:paraId="39344AFD" w14:textId="77777777" w:rsidR="0010125C" w:rsidRPr="00496130" w:rsidRDefault="0010125C" w:rsidP="0010125C">
            <w:pPr>
              <w:rPr>
                <w:sz w:val="18"/>
                <w:szCs w:val="18"/>
                <w:lang w:eastAsia="en-GB"/>
              </w:rPr>
            </w:pPr>
            <w:r w:rsidRPr="00496130">
              <w:rPr>
                <w:sz w:val="18"/>
                <w:szCs w:val="18"/>
                <w:lang w:eastAsia="en-GB"/>
              </w:rPr>
              <w:t>Sieve</w:t>
            </w:r>
          </w:p>
        </w:tc>
        <w:tc>
          <w:tcPr>
            <w:tcW w:w="283" w:type="pct"/>
            <w:tcBorders>
              <w:top w:val="nil"/>
              <w:left w:val="single" w:sz="4" w:space="0" w:color="auto"/>
              <w:bottom w:val="single" w:sz="4" w:space="0" w:color="auto"/>
              <w:right w:val="single" w:sz="4" w:space="0" w:color="auto"/>
            </w:tcBorders>
            <w:shd w:val="clear" w:color="auto" w:fill="auto"/>
            <w:noWrap/>
            <w:vAlign w:val="bottom"/>
            <w:hideMark/>
          </w:tcPr>
          <w:p w14:paraId="262D9890" w14:textId="77777777" w:rsidR="0010125C" w:rsidRPr="00496130" w:rsidRDefault="0010125C" w:rsidP="0010125C">
            <w:pPr>
              <w:rPr>
                <w:sz w:val="18"/>
                <w:szCs w:val="18"/>
                <w:lang w:eastAsia="en-GB"/>
              </w:rPr>
            </w:pPr>
            <w:r w:rsidRPr="00496130">
              <w:rPr>
                <w:sz w:val="18"/>
                <w:szCs w:val="18"/>
                <w:lang w:eastAsia="en-GB"/>
              </w:rPr>
              <w:t>10</w:t>
            </w:r>
          </w:p>
        </w:tc>
      </w:tr>
      <w:tr w:rsidR="0010125C" w:rsidRPr="00496130" w14:paraId="4B66F81A" w14:textId="77777777" w:rsidTr="0010125C">
        <w:trPr>
          <w:trHeight w:val="300"/>
        </w:trPr>
        <w:tc>
          <w:tcPr>
            <w:tcW w:w="415" w:type="pct"/>
            <w:tcBorders>
              <w:top w:val="nil"/>
              <w:left w:val="single" w:sz="4" w:space="0" w:color="auto"/>
              <w:bottom w:val="nil"/>
              <w:right w:val="single" w:sz="4" w:space="0" w:color="auto"/>
            </w:tcBorders>
            <w:shd w:val="clear" w:color="auto" w:fill="auto"/>
            <w:noWrap/>
            <w:vAlign w:val="center"/>
            <w:hideMark/>
          </w:tcPr>
          <w:p w14:paraId="1CE1A3DF" w14:textId="77777777" w:rsidR="0010125C" w:rsidRPr="00496130" w:rsidRDefault="0010125C" w:rsidP="0010125C">
            <w:pPr>
              <w:rPr>
                <w:sz w:val="18"/>
                <w:szCs w:val="18"/>
                <w:lang w:eastAsia="en-GB"/>
              </w:rPr>
            </w:pPr>
            <w:r w:rsidRPr="00496130">
              <w:rPr>
                <w:sz w:val="18"/>
                <w:szCs w:val="18"/>
                <w:lang w:eastAsia="en-GB"/>
              </w:rPr>
              <w:t>16</w:t>
            </w:r>
          </w:p>
        </w:tc>
        <w:tc>
          <w:tcPr>
            <w:tcW w:w="315" w:type="pct"/>
            <w:tcBorders>
              <w:top w:val="nil"/>
              <w:left w:val="nil"/>
              <w:bottom w:val="single" w:sz="8" w:space="0" w:color="auto"/>
              <w:right w:val="single" w:sz="4" w:space="0" w:color="auto"/>
            </w:tcBorders>
            <w:shd w:val="clear" w:color="auto" w:fill="auto"/>
            <w:noWrap/>
            <w:vAlign w:val="bottom"/>
            <w:hideMark/>
          </w:tcPr>
          <w:p w14:paraId="175854AB" w14:textId="77777777" w:rsidR="0010125C" w:rsidRPr="00496130" w:rsidRDefault="0010125C" w:rsidP="0010125C">
            <w:pPr>
              <w:rPr>
                <w:sz w:val="18"/>
                <w:szCs w:val="18"/>
                <w:lang w:eastAsia="en-GB"/>
              </w:rPr>
            </w:pPr>
            <w:r w:rsidRPr="00496130">
              <w:rPr>
                <w:sz w:val="18"/>
                <w:szCs w:val="18"/>
                <w:lang w:eastAsia="en-GB"/>
              </w:rPr>
              <w:t>Lower floor</w:t>
            </w:r>
          </w:p>
        </w:tc>
        <w:tc>
          <w:tcPr>
            <w:tcW w:w="265" w:type="pct"/>
            <w:tcBorders>
              <w:top w:val="nil"/>
              <w:left w:val="nil"/>
              <w:bottom w:val="nil"/>
              <w:right w:val="single" w:sz="4" w:space="0" w:color="auto"/>
            </w:tcBorders>
            <w:shd w:val="clear" w:color="auto" w:fill="auto"/>
            <w:noWrap/>
            <w:vAlign w:val="center"/>
            <w:hideMark/>
          </w:tcPr>
          <w:p w14:paraId="32B4CF81" w14:textId="77777777" w:rsidR="0010125C" w:rsidRPr="00496130" w:rsidRDefault="0010125C" w:rsidP="0010125C">
            <w:pPr>
              <w:rPr>
                <w:sz w:val="18"/>
                <w:szCs w:val="18"/>
                <w:lang w:eastAsia="en-GB"/>
              </w:rPr>
            </w:pPr>
            <w:r w:rsidRPr="00496130">
              <w:rPr>
                <w:sz w:val="18"/>
                <w:szCs w:val="18"/>
                <w:lang w:eastAsia="en-GB"/>
              </w:rPr>
              <w:t>2013</w:t>
            </w:r>
          </w:p>
        </w:tc>
        <w:tc>
          <w:tcPr>
            <w:tcW w:w="588" w:type="pct"/>
            <w:tcBorders>
              <w:top w:val="nil"/>
              <w:left w:val="nil"/>
              <w:bottom w:val="nil"/>
              <w:right w:val="single" w:sz="4" w:space="0" w:color="auto"/>
            </w:tcBorders>
            <w:shd w:val="clear" w:color="auto" w:fill="auto"/>
            <w:noWrap/>
            <w:vAlign w:val="center"/>
            <w:hideMark/>
          </w:tcPr>
          <w:p w14:paraId="5D896838" w14:textId="77777777" w:rsidR="0010125C" w:rsidRPr="00496130" w:rsidRDefault="0010125C" w:rsidP="0010125C">
            <w:pPr>
              <w:rPr>
                <w:sz w:val="18"/>
                <w:szCs w:val="18"/>
                <w:lang w:eastAsia="en-GB"/>
              </w:rPr>
            </w:pPr>
            <w:r w:rsidRPr="00496130">
              <w:rPr>
                <w:sz w:val="18"/>
                <w:szCs w:val="18"/>
                <w:lang w:eastAsia="en-GB"/>
              </w:rPr>
              <w:t>Cf. Floor</w:t>
            </w:r>
          </w:p>
        </w:tc>
        <w:tc>
          <w:tcPr>
            <w:tcW w:w="287" w:type="pct"/>
            <w:tcBorders>
              <w:top w:val="nil"/>
              <w:left w:val="nil"/>
              <w:bottom w:val="single" w:sz="4" w:space="0" w:color="auto"/>
              <w:right w:val="single" w:sz="4" w:space="0" w:color="auto"/>
            </w:tcBorders>
            <w:shd w:val="clear" w:color="auto" w:fill="auto"/>
            <w:noWrap/>
            <w:vAlign w:val="bottom"/>
            <w:hideMark/>
          </w:tcPr>
          <w:p w14:paraId="7B701CCF" w14:textId="77777777" w:rsidR="0010125C" w:rsidRPr="00496130" w:rsidRDefault="0010125C" w:rsidP="0010125C">
            <w:pPr>
              <w:rPr>
                <w:sz w:val="18"/>
                <w:szCs w:val="18"/>
                <w:lang w:eastAsia="en-GB"/>
              </w:rPr>
            </w:pPr>
            <w:r w:rsidRPr="00496130">
              <w:rPr>
                <w:sz w:val="18"/>
                <w:szCs w:val="18"/>
                <w:lang w:eastAsia="en-GB"/>
              </w:rPr>
              <w:t>Outside</w:t>
            </w:r>
          </w:p>
        </w:tc>
        <w:tc>
          <w:tcPr>
            <w:tcW w:w="283" w:type="pct"/>
            <w:tcBorders>
              <w:top w:val="nil"/>
              <w:left w:val="nil"/>
              <w:bottom w:val="nil"/>
              <w:right w:val="single" w:sz="4" w:space="0" w:color="auto"/>
            </w:tcBorders>
            <w:shd w:val="clear" w:color="auto" w:fill="auto"/>
            <w:noWrap/>
            <w:vAlign w:val="bottom"/>
            <w:hideMark/>
          </w:tcPr>
          <w:p w14:paraId="170E23B1"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147C05C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74F5AFC0"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000000" w:fill="D9D9D9"/>
            <w:noWrap/>
            <w:vAlign w:val="bottom"/>
            <w:hideMark/>
          </w:tcPr>
          <w:p w14:paraId="1064558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7431205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1BB2615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254D98E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2CF0B722"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nil"/>
              <w:right w:val="single" w:sz="4" w:space="0" w:color="auto"/>
            </w:tcBorders>
            <w:shd w:val="clear" w:color="auto" w:fill="auto"/>
            <w:noWrap/>
            <w:vAlign w:val="bottom"/>
            <w:hideMark/>
          </w:tcPr>
          <w:p w14:paraId="29AE5092"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nil"/>
              <w:right w:val="nil"/>
            </w:tcBorders>
            <w:shd w:val="clear" w:color="auto" w:fill="auto"/>
            <w:noWrap/>
            <w:vAlign w:val="center"/>
            <w:hideMark/>
          </w:tcPr>
          <w:p w14:paraId="1F55B3E1" w14:textId="77777777" w:rsidR="0010125C" w:rsidRPr="00496130" w:rsidRDefault="0010125C" w:rsidP="0010125C">
            <w:pPr>
              <w:rPr>
                <w:sz w:val="18"/>
                <w:szCs w:val="18"/>
                <w:lang w:eastAsia="en-GB"/>
              </w:rPr>
            </w:pPr>
            <w:r w:rsidRPr="00496130">
              <w:rPr>
                <w:sz w:val="18"/>
                <w:szCs w:val="18"/>
                <w:lang w:eastAsia="en-GB"/>
              </w:rPr>
              <w:t>Sieve</w:t>
            </w:r>
          </w:p>
        </w:tc>
        <w:tc>
          <w:tcPr>
            <w:tcW w:w="283" w:type="pct"/>
            <w:tcBorders>
              <w:top w:val="nil"/>
              <w:left w:val="single" w:sz="4" w:space="0" w:color="auto"/>
              <w:bottom w:val="nil"/>
              <w:right w:val="single" w:sz="4" w:space="0" w:color="auto"/>
            </w:tcBorders>
            <w:shd w:val="clear" w:color="auto" w:fill="auto"/>
            <w:noWrap/>
            <w:vAlign w:val="bottom"/>
            <w:hideMark/>
          </w:tcPr>
          <w:p w14:paraId="35E2731D" w14:textId="77777777" w:rsidR="0010125C" w:rsidRPr="00496130" w:rsidRDefault="0010125C" w:rsidP="0010125C">
            <w:pPr>
              <w:rPr>
                <w:sz w:val="18"/>
                <w:szCs w:val="18"/>
                <w:lang w:eastAsia="en-GB"/>
              </w:rPr>
            </w:pPr>
            <w:r w:rsidRPr="00496130">
              <w:rPr>
                <w:sz w:val="18"/>
                <w:szCs w:val="18"/>
                <w:lang w:eastAsia="en-GB"/>
              </w:rPr>
              <w:t>10</w:t>
            </w:r>
          </w:p>
        </w:tc>
      </w:tr>
      <w:tr w:rsidR="0010125C" w:rsidRPr="00496130" w14:paraId="27E2B5BE" w14:textId="77777777" w:rsidTr="0010125C">
        <w:trPr>
          <w:trHeight w:val="288"/>
        </w:trPr>
        <w:tc>
          <w:tcPr>
            <w:tcW w:w="41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48CBBF" w14:textId="77777777" w:rsidR="0010125C" w:rsidRPr="00496130" w:rsidRDefault="0010125C" w:rsidP="0010125C">
            <w:pPr>
              <w:rPr>
                <w:sz w:val="18"/>
                <w:szCs w:val="18"/>
                <w:lang w:eastAsia="en-GB"/>
              </w:rPr>
            </w:pPr>
            <w:r w:rsidRPr="00496130">
              <w:rPr>
                <w:sz w:val="18"/>
                <w:szCs w:val="18"/>
                <w:lang w:eastAsia="en-GB"/>
              </w:rPr>
              <w:t>20</w:t>
            </w:r>
          </w:p>
        </w:tc>
        <w:tc>
          <w:tcPr>
            <w:tcW w:w="315" w:type="pct"/>
            <w:tcBorders>
              <w:top w:val="nil"/>
              <w:left w:val="nil"/>
              <w:bottom w:val="single" w:sz="4" w:space="0" w:color="auto"/>
              <w:right w:val="single" w:sz="4" w:space="0" w:color="auto"/>
            </w:tcBorders>
            <w:shd w:val="clear" w:color="auto" w:fill="auto"/>
            <w:noWrap/>
            <w:vAlign w:val="bottom"/>
            <w:hideMark/>
          </w:tcPr>
          <w:p w14:paraId="2BBD311C" w14:textId="77777777" w:rsidR="0010125C" w:rsidRPr="00496130" w:rsidRDefault="0010125C" w:rsidP="0010125C">
            <w:pPr>
              <w:rPr>
                <w:sz w:val="18"/>
                <w:szCs w:val="18"/>
                <w:lang w:eastAsia="en-GB"/>
              </w:rPr>
            </w:pPr>
            <w:r w:rsidRPr="00496130">
              <w:rPr>
                <w:sz w:val="18"/>
                <w:szCs w:val="18"/>
                <w:lang w:eastAsia="en-GB"/>
              </w:rPr>
              <w:t>Lower floor</w:t>
            </w:r>
          </w:p>
        </w:tc>
        <w:tc>
          <w:tcPr>
            <w:tcW w:w="265" w:type="pct"/>
            <w:tcBorders>
              <w:top w:val="single" w:sz="8" w:space="0" w:color="auto"/>
              <w:left w:val="nil"/>
              <w:bottom w:val="single" w:sz="4" w:space="0" w:color="auto"/>
              <w:right w:val="single" w:sz="4" w:space="0" w:color="auto"/>
            </w:tcBorders>
            <w:shd w:val="clear" w:color="auto" w:fill="auto"/>
            <w:noWrap/>
            <w:vAlign w:val="center"/>
            <w:hideMark/>
          </w:tcPr>
          <w:p w14:paraId="1411C708" w14:textId="77777777" w:rsidR="0010125C" w:rsidRPr="00496130" w:rsidRDefault="0010125C" w:rsidP="0010125C">
            <w:pPr>
              <w:rPr>
                <w:sz w:val="18"/>
                <w:szCs w:val="18"/>
                <w:lang w:eastAsia="en-GB"/>
              </w:rPr>
            </w:pPr>
            <w:r w:rsidRPr="00496130">
              <w:rPr>
                <w:sz w:val="18"/>
                <w:szCs w:val="18"/>
                <w:lang w:eastAsia="en-GB"/>
              </w:rPr>
              <w:t>2018</w:t>
            </w:r>
          </w:p>
        </w:tc>
        <w:tc>
          <w:tcPr>
            <w:tcW w:w="588" w:type="pct"/>
            <w:tcBorders>
              <w:top w:val="single" w:sz="8" w:space="0" w:color="auto"/>
              <w:left w:val="nil"/>
              <w:bottom w:val="single" w:sz="4" w:space="0" w:color="auto"/>
              <w:right w:val="single" w:sz="4" w:space="0" w:color="auto"/>
            </w:tcBorders>
            <w:shd w:val="clear" w:color="auto" w:fill="auto"/>
            <w:noWrap/>
            <w:vAlign w:val="center"/>
            <w:hideMark/>
          </w:tcPr>
          <w:p w14:paraId="090D38CE" w14:textId="77777777" w:rsidR="0010125C" w:rsidRPr="00496130" w:rsidRDefault="0010125C" w:rsidP="0010125C">
            <w:pPr>
              <w:rPr>
                <w:sz w:val="18"/>
                <w:szCs w:val="18"/>
                <w:lang w:eastAsia="en-GB"/>
              </w:rPr>
            </w:pPr>
            <w:r w:rsidRPr="00496130">
              <w:rPr>
                <w:sz w:val="18"/>
                <w:szCs w:val="18"/>
                <w:lang w:eastAsia="en-GB"/>
              </w:rPr>
              <w:t>Floor</w:t>
            </w:r>
          </w:p>
        </w:tc>
        <w:tc>
          <w:tcPr>
            <w:tcW w:w="287" w:type="pct"/>
            <w:tcBorders>
              <w:top w:val="single" w:sz="8" w:space="0" w:color="auto"/>
              <w:left w:val="nil"/>
              <w:bottom w:val="nil"/>
              <w:right w:val="single" w:sz="4" w:space="0" w:color="auto"/>
            </w:tcBorders>
            <w:shd w:val="clear" w:color="auto" w:fill="auto"/>
            <w:noWrap/>
            <w:vAlign w:val="bottom"/>
            <w:hideMark/>
          </w:tcPr>
          <w:p w14:paraId="5B48E178" w14:textId="77777777" w:rsidR="0010125C" w:rsidRPr="00496130" w:rsidRDefault="0010125C" w:rsidP="0010125C">
            <w:pPr>
              <w:rPr>
                <w:sz w:val="18"/>
                <w:szCs w:val="18"/>
                <w:lang w:eastAsia="en-GB"/>
              </w:rPr>
            </w:pPr>
            <w:r w:rsidRPr="00496130">
              <w:rPr>
                <w:sz w:val="18"/>
                <w:szCs w:val="18"/>
                <w:lang w:eastAsia="en-GB"/>
              </w:rPr>
              <w:t>Inside</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15FE9FF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644CC696"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706B573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000000" w:fill="D9D9D9"/>
            <w:noWrap/>
            <w:vAlign w:val="bottom"/>
            <w:hideMark/>
          </w:tcPr>
          <w:p w14:paraId="60FE8478" w14:textId="77777777" w:rsidR="0010125C" w:rsidRPr="00496130" w:rsidRDefault="0010125C" w:rsidP="0010125C">
            <w:pPr>
              <w:rPr>
                <w:sz w:val="18"/>
                <w:szCs w:val="18"/>
                <w:lang w:eastAsia="en-GB"/>
              </w:rPr>
            </w:pPr>
            <w:r w:rsidRPr="00496130">
              <w:rPr>
                <w:sz w:val="18"/>
                <w:szCs w:val="18"/>
                <w:lang w:eastAsia="en-GB"/>
              </w:rPr>
              <w:t>cf.</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1F2CCA2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145537B5"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2446CAE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4AE404C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single" w:sz="8" w:space="0" w:color="auto"/>
              <w:left w:val="nil"/>
              <w:bottom w:val="single" w:sz="4" w:space="0" w:color="auto"/>
              <w:right w:val="single" w:sz="4" w:space="0" w:color="auto"/>
            </w:tcBorders>
            <w:shd w:val="clear" w:color="auto" w:fill="auto"/>
            <w:noWrap/>
            <w:vAlign w:val="bottom"/>
            <w:hideMark/>
          </w:tcPr>
          <w:p w14:paraId="2898D503"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single" w:sz="8" w:space="0" w:color="auto"/>
              <w:left w:val="nil"/>
              <w:bottom w:val="single" w:sz="4" w:space="0" w:color="auto"/>
              <w:right w:val="nil"/>
            </w:tcBorders>
            <w:shd w:val="clear" w:color="auto" w:fill="auto"/>
            <w:noWrap/>
            <w:vAlign w:val="center"/>
            <w:hideMark/>
          </w:tcPr>
          <w:p w14:paraId="0A3091D6" w14:textId="77777777" w:rsidR="0010125C" w:rsidRPr="00496130" w:rsidRDefault="0010125C" w:rsidP="0010125C">
            <w:pPr>
              <w:rPr>
                <w:sz w:val="18"/>
                <w:szCs w:val="18"/>
                <w:lang w:eastAsia="en-GB"/>
              </w:rPr>
            </w:pPr>
            <w:r w:rsidRPr="00496130">
              <w:rPr>
                <w:sz w:val="18"/>
                <w:szCs w:val="18"/>
                <w:lang w:eastAsia="en-GB"/>
              </w:rPr>
              <w:t>Sieve</w:t>
            </w:r>
          </w:p>
        </w:tc>
        <w:tc>
          <w:tcPr>
            <w:tcW w:w="283"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45765A2" w14:textId="77777777" w:rsidR="0010125C" w:rsidRPr="00496130" w:rsidRDefault="0010125C" w:rsidP="0010125C">
            <w:pPr>
              <w:rPr>
                <w:sz w:val="18"/>
                <w:szCs w:val="18"/>
                <w:lang w:eastAsia="en-GB"/>
              </w:rPr>
            </w:pPr>
            <w:r w:rsidRPr="00496130">
              <w:rPr>
                <w:sz w:val="18"/>
                <w:szCs w:val="18"/>
                <w:lang w:eastAsia="en-GB"/>
              </w:rPr>
              <w:t>1</w:t>
            </w:r>
          </w:p>
        </w:tc>
      </w:tr>
      <w:tr w:rsidR="0010125C" w:rsidRPr="00496130" w14:paraId="1826B3B6" w14:textId="77777777" w:rsidTr="0010125C">
        <w:trPr>
          <w:trHeight w:val="300"/>
        </w:trPr>
        <w:tc>
          <w:tcPr>
            <w:tcW w:w="415" w:type="pct"/>
            <w:tcBorders>
              <w:top w:val="nil"/>
              <w:left w:val="single" w:sz="8" w:space="0" w:color="auto"/>
              <w:bottom w:val="single" w:sz="8" w:space="0" w:color="auto"/>
              <w:right w:val="single" w:sz="4" w:space="0" w:color="auto"/>
            </w:tcBorders>
            <w:shd w:val="clear" w:color="auto" w:fill="auto"/>
            <w:noWrap/>
            <w:vAlign w:val="center"/>
            <w:hideMark/>
          </w:tcPr>
          <w:p w14:paraId="3F631536" w14:textId="77777777" w:rsidR="0010125C" w:rsidRPr="00496130" w:rsidRDefault="0010125C" w:rsidP="0010125C">
            <w:pPr>
              <w:rPr>
                <w:sz w:val="18"/>
                <w:szCs w:val="18"/>
                <w:lang w:eastAsia="en-GB"/>
              </w:rPr>
            </w:pPr>
            <w:r w:rsidRPr="00496130">
              <w:rPr>
                <w:sz w:val="18"/>
                <w:szCs w:val="18"/>
                <w:lang w:eastAsia="en-GB"/>
              </w:rPr>
              <w:t>29</w:t>
            </w:r>
          </w:p>
        </w:tc>
        <w:tc>
          <w:tcPr>
            <w:tcW w:w="315" w:type="pct"/>
            <w:tcBorders>
              <w:top w:val="nil"/>
              <w:left w:val="nil"/>
              <w:bottom w:val="single" w:sz="8" w:space="0" w:color="auto"/>
              <w:right w:val="single" w:sz="4" w:space="0" w:color="auto"/>
            </w:tcBorders>
            <w:shd w:val="clear" w:color="auto" w:fill="auto"/>
            <w:noWrap/>
            <w:vAlign w:val="bottom"/>
            <w:hideMark/>
          </w:tcPr>
          <w:p w14:paraId="573194A1" w14:textId="77777777" w:rsidR="0010125C" w:rsidRPr="00496130" w:rsidRDefault="0010125C" w:rsidP="0010125C">
            <w:pPr>
              <w:rPr>
                <w:sz w:val="18"/>
                <w:szCs w:val="18"/>
                <w:lang w:eastAsia="en-GB"/>
              </w:rPr>
            </w:pPr>
            <w:r w:rsidRPr="00496130">
              <w:rPr>
                <w:sz w:val="18"/>
                <w:szCs w:val="18"/>
                <w:lang w:eastAsia="en-GB"/>
              </w:rPr>
              <w:t>Lower floor</w:t>
            </w:r>
          </w:p>
        </w:tc>
        <w:tc>
          <w:tcPr>
            <w:tcW w:w="265" w:type="pct"/>
            <w:tcBorders>
              <w:top w:val="nil"/>
              <w:left w:val="nil"/>
              <w:bottom w:val="single" w:sz="8" w:space="0" w:color="auto"/>
              <w:right w:val="single" w:sz="4" w:space="0" w:color="auto"/>
            </w:tcBorders>
            <w:shd w:val="clear" w:color="auto" w:fill="auto"/>
            <w:noWrap/>
            <w:vAlign w:val="center"/>
            <w:hideMark/>
          </w:tcPr>
          <w:p w14:paraId="241FC06D" w14:textId="77777777" w:rsidR="0010125C" w:rsidRPr="00496130" w:rsidRDefault="0010125C" w:rsidP="0010125C">
            <w:pPr>
              <w:rPr>
                <w:sz w:val="18"/>
                <w:szCs w:val="18"/>
                <w:lang w:eastAsia="en-GB"/>
              </w:rPr>
            </w:pPr>
            <w:r w:rsidRPr="00496130">
              <w:rPr>
                <w:sz w:val="18"/>
                <w:szCs w:val="18"/>
                <w:lang w:eastAsia="en-GB"/>
              </w:rPr>
              <w:t>2017</w:t>
            </w:r>
          </w:p>
        </w:tc>
        <w:tc>
          <w:tcPr>
            <w:tcW w:w="588" w:type="pct"/>
            <w:tcBorders>
              <w:top w:val="nil"/>
              <w:left w:val="nil"/>
              <w:bottom w:val="single" w:sz="8" w:space="0" w:color="auto"/>
              <w:right w:val="single" w:sz="4" w:space="0" w:color="auto"/>
            </w:tcBorders>
            <w:shd w:val="clear" w:color="auto" w:fill="auto"/>
            <w:noWrap/>
            <w:vAlign w:val="center"/>
            <w:hideMark/>
          </w:tcPr>
          <w:p w14:paraId="7125EA90" w14:textId="77777777" w:rsidR="0010125C" w:rsidRPr="00496130" w:rsidRDefault="0010125C" w:rsidP="0010125C">
            <w:pPr>
              <w:rPr>
                <w:sz w:val="18"/>
                <w:szCs w:val="18"/>
                <w:lang w:eastAsia="en-GB"/>
              </w:rPr>
            </w:pPr>
            <w:r w:rsidRPr="00496130">
              <w:rPr>
                <w:sz w:val="18"/>
                <w:szCs w:val="18"/>
                <w:lang w:eastAsia="en-GB"/>
              </w:rPr>
              <w:t>Pit in floor</w:t>
            </w:r>
          </w:p>
        </w:tc>
        <w:tc>
          <w:tcPr>
            <w:tcW w:w="287" w:type="pct"/>
            <w:tcBorders>
              <w:top w:val="single" w:sz="4" w:space="0" w:color="auto"/>
              <w:left w:val="nil"/>
              <w:bottom w:val="single" w:sz="8" w:space="0" w:color="auto"/>
              <w:right w:val="single" w:sz="4" w:space="0" w:color="auto"/>
            </w:tcBorders>
            <w:shd w:val="clear" w:color="auto" w:fill="auto"/>
            <w:noWrap/>
            <w:vAlign w:val="bottom"/>
            <w:hideMark/>
          </w:tcPr>
          <w:p w14:paraId="56A495C4" w14:textId="77777777" w:rsidR="0010125C" w:rsidRPr="00496130" w:rsidRDefault="0010125C" w:rsidP="0010125C">
            <w:pPr>
              <w:rPr>
                <w:sz w:val="18"/>
                <w:szCs w:val="18"/>
                <w:lang w:eastAsia="en-GB"/>
              </w:rPr>
            </w:pPr>
            <w:r w:rsidRPr="00496130">
              <w:rPr>
                <w:sz w:val="18"/>
                <w:szCs w:val="18"/>
                <w:lang w:eastAsia="en-GB"/>
              </w:rPr>
              <w:t>Inside</w:t>
            </w:r>
          </w:p>
        </w:tc>
        <w:tc>
          <w:tcPr>
            <w:tcW w:w="283" w:type="pct"/>
            <w:tcBorders>
              <w:top w:val="nil"/>
              <w:left w:val="nil"/>
              <w:bottom w:val="single" w:sz="8" w:space="0" w:color="auto"/>
              <w:right w:val="single" w:sz="4" w:space="0" w:color="auto"/>
            </w:tcBorders>
            <w:shd w:val="clear" w:color="auto" w:fill="auto"/>
            <w:noWrap/>
            <w:vAlign w:val="bottom"/>
            <w:hideMark/>
          </w:tcPr>
          <w:p w14:paraId="031258FF"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71ECEB7A"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2912940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48C649FB"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7A10EFC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76CCB8EE"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000000" w:fill="D9D9D9"/>
            <w:noWrap/>
            <w:vAlign w:val="bottom"/>
            <w:hideMark/>
          </w:tcPr>
          <w:p w14:paraId="26DF6F7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64C4A69C" w14:textId="77777777" w:rsidR="0010125C" w:rsidRPr="00496130" w:rsidRDefault="0010125C" w:rsidP="0010125C">
            <w:pPr>
              <w:rPr>
                <w:sz w:val="18"/>
                <w:szCs w:val="18"/>
                <w:lang w:eastAsia="en-GB"/>
              </w:rPr>
            </w:pPr>
            <w:r w:rsidRPr="00496130">
              <w:rPr>
                <w:sz w:val="18"/>
                <w:szCs w:val="18"/>
                <w:lang w:eastAsia="en-GB"/>
              </w:rPr>
              <w:t> </w:t>
            </w:r>
          </w:p>
        </w:tc>
        <w:tc>
          <w:tcPr>
            <w:tcW w:w="283" w:type="pct"/>
            <w:tcBorders>
              <w:top w:val="nil"/>
              <w:left w:val="nil"/>
              <w:bottom w:val="single" w:sz="8" w:space="0" w:color="auto"/>
              <w:right w:val="single" w:sz="4" w:space="0" w:color="auto"/>
            </w:tcBorders>
            <w:shd w:val="clear" w:color="auto" w:fill="auto"/>
            <w:noWrap/>
            <w:vAlign w:val="bottom"/>
            <w:hideMark/>
          </w:tcPr>
          <w:p w14:paraId="6738A236" w14:textId="77777777" w:rsidR="0010125C" w:rsidRPr="00496130" w:rsidRDefault="0010125C" w:rsidP="0010125C">
            <w:pPr>
              <w:rPr>
                <w:sz w:val="18"/>
                <w:szCs w:val="18"/>
                <w:lang w:eastAsia="en-GB"/>
              </w:rPr>
            </w:pPr>
            <w:r w:rsidRPr="00496130">
              <w:rPr>
                <w:sz w:val="18"/>
                <w:szCs w:val="18"/>
                <w:lang w:eastAsia="en-GB"/>
              </w:rPr>
              <w:t> </w:t>
            </w:r>
          </w:p>
        </w:tc>
        <w:tc>
          <w:tcPr>
            <w:tcW w:w="303" w:type="pct"/>
            <w:tcBorders>
              <w:top w:val="nil"/>
              <w:left w:val="nil"/>
              <w:bottom w:val="single" w:sz="8" w:space="0" w:color="auto"/>
              <w:right w:val="nil"/>
            </w:tcBorders>
            <w:shd w:val="clear" w:color="auto" w:fill="auto"/>
            <w:noWrap/>
            <w:vAlign w:val="center"/>
            <w:hideMark/>
          </w:tcPr>
          <w:p w14:paraId="02B3CEE8" w14:textId="77777777" w:rsidR="0010125C" w:rsidRPr="00496130" w:rsidRDefault="0010125C" w:rsidP="0010125C">
            <w:pPr>
              <w:rPr>
                <w:sz w:val="18"/>
                <w:szCs w:val="18"/>
                <w:lang w:eastAsia="en-GB"/>
              </w:rPr>
            </w:pPr>
            <w:r w:rsidRPr="00496130">
              <w:rPr>
                <w:sz w:val="18"/>
                <w:szCs w:val="18"/>
                <w:lang w:eastAsia="en-GB"/>
              </w:rPr>
              <w:t>HP</w:t>
            </w:r>
          </w:p>
        </w:tc>
        <w:tc>
          <w:tcPr>
            <w:tcW w:w="283" w:type="pct"/>
            <w:tcBorders>
              <w:top w:val="nil"/>
              <w:left w:val="single" w:sz="4" w:space="0" w:color="auto"/>
              <w:bottom w:val="single" w:sz="8" w:space="0" w:color="auto"/>
              <w:right w:val="single" w:sz="8" w:space="0" w:color="auto"/>
            </w:tcBorders>
            <w:shd w:val="clear" w:color="auto" w:fill="auto"/>
            <w:noWrap/>
            <w:vAlign w:val="bottom"/>
            <w:hideMark/>
          </w:tcPr>
          <w:p w14:paraId="4715533A" w14:textId="77777777" w:rsidR="0010125C" w:rsidRPr="00496130" w:rsidRDefault="0010125C" w:rsidP="0010125C">
            <w:pPr>
              <w:rPr>
                <w:sz w:val="18"/>
                <w:szCs w:val="18"/>
                <w:lang w:eastAsia="en-GB"/>
              </w:rPr>
            </w:pPr>
            <w:r w:rsidRPr="00496130">
              <w:rPr>
                <w:sz w:val="18"/>
                <w:szCs w:val="18"/>
                <w:lang w:eastAsia="en-GB"/>
              </w:rPr>
              <w:t>6</w:t>
            </w:r>
          </w:p>
        </w:tc>
      </w:tr>
    </w:tbl>
    <w:p w14:paraId="535A9599" w14:textId="5E2AD1A7" w:rsidR="0010125C" w:rsidRPr="00496130" w:rsidRDefault="0010125C" w:rsidP="00751CDB">
      <w:pPr>
        <w:rPr>
          <w:lang w:eastAsia="en-GB"/>
        </w:rPr>
      </w:pPr>
    </w:p>
    <w:p w14:paraId="2BB9D1B5" w14:textId="12AED5AA" w:rsidR="00710274" w:rsidRPr="00496130" w:rsidRDefault="00710274">
      <w:pPr>
        <w:tabs>
          <w:tab w:val="clear" w:pos="284"/>
        </w:tabs>
        <w:spacing w:after="160" w:line="259" w:lineRule="auto"/>
        <w:rPr>
          <w:lang w:eastAsia="en-GB"/>
        </w:rPr>
      </w:pPr>
      <w:r w:rsidRPr="00496130">
        <w:rPr>
          <w:lang w:eastAsia="en-GB"/>
        </w:rPr>
        <w:br w:type="page"/>
      </w:r>
    </w:p>
    <w:p w14:paraId="298BA59E" w14:textId="77777777" w:rsidR="00710274" w:rsidRPr="00496130" w:rsidRDefault="00710274" w:rsidP="00710274">
      <w:pPr>
        <w:pStyle w:val="Heading2"/>
        <w:rPr>
          <w:lang w:eastAsia="en-GB"/>
        </w:rPr>
        <w:sectPr w:rsidR="00710274" w:rsidRPr="00496130" w:rsidSect="00E43D3E">
          <w:pgSz w:w="16838" w:h="11906" w:orient="landscape"/>
          <w:pgMar w:top="1440" w:right="1440" w:bottom="1440" w:left="1440" w:header="708" w:footer="708" w:gutter="0"/>
          <w:cols w:space="708"/>
          <w:docGrid w:linePitch="360"/>
        </w:sectPr>
      </w:pPr>
    </w:p>
    <w:p w14:paraId="5847841E" w14:textId="6D5D7431" w:rsidR="00710274" w:rsidRPr="00496130" w:rsidRDefault="00710274" w:rsidP="00710274">
      <w:pPr>
        <w:pStyle w:val="Heading2"/>
        <w:rPr>
          <w:lang w:eastAsia="en-GB"/>
        </w:rPr>
      </w:pPr>
      <w:r w:rsidRPr="00496130">
        <w:rPr>
          <w:lang w:eastAsia="en-GB"/>
        </w:rPr>
        <w:lastRenderedPageBreak/>
        <w:t>Figures</w:t>
      </w:r>
    </w:p>
    <w:p w14:paraId="7D123691" w14:textId="77777777" w:rsidR="00710274" w:rsidRPr="00496130" w:rsidRDefault="00710274" w:rsidP="00710274">
      <w:r w:rsidRPr="00496130">
        <w:rPr>
          <w:b/>
        </w:rPr>
        <w:t>Figure 1</w:t>
      </w:r>
      <w:r w:rsidRPr="00496130">
        <w:t xml:space="preserve"> </w:t>
      </w:r>
      <w:r w:rsidRPr="00496130">
        <w:tab/>
        <w:t>Map of Unguja Island showing location of Unguja Ukuu</w:t>
      </w:r>
    </w:p>
    <w:p w14:paraId="3EC44266" w14:textId="77777777" w:rsidR="00710274" w:rsidRPr="00496130" w:rsidRDefault="00710274" w:rsidP="00710274">
      <w:r w:rsidRPr="00496130">
        <w:rPr>
          <w:b/>
        </w:rPr>
        <w:t>Figure 2</w:t>
      </w:r>
      <w:r w:rsidRPr="00496130">
        <w:t xml:space="preserve"> </w:t>
      </w:r>
      <w:r w:rsidRPr="00496130">
        <w:tab/>
        <w:t>Map of Unguja Ukuu showing trench locations and the main areas with occupation deposits, as understood from previous work by the authors and others. The midden areas along the shoreline to the west have been the focus of several previous investigations.</w:t>
      </w:r>
    </w:p>
    <w:p w14:paraId="0A342849" w14:textId="77777777" w:rsidR="00710274" w:rsidRPr="00496130" w:rsidRDefault="00710274" w:rsidP="00710274">
      <w:r w:rsidRPr="00496130">
        <w:rPr>
          <w:b/>
        </w:rPr>
        <w:t>Figure 3</w:t>
      </w:r>
      <w:r w:rsidRPr="00496130">
        <w:rPr>
          <w:b/>
        </w:rPr>
        <w:tab/>
      </w:r>
      <w:r w:rsidRPr="00496130">
        <w:t>Sampling grid across lower floor level in UZ002</w:t>
      </w:r>
    </w:p>
    <w:p w14:paraId="0DFA3B36" w14:textId="77777777" w:rsidR="00710274" w:rsidRPr="00496130" w:rsidRDefault="00710274" w:rsidP="00710274">
      <w:r w:rsidRPr="00496130">
        <w:rPr>
          <w:b/>
        </w:rPr>
        <w:t>Figure 4</w:t>
      </w:r>
      <w:r w:rsidRPr="00496130">
        <w:tab/>
        <w:t>Section of UZ002 showing relatively shallow stratigraphy and interpretation of chronology</w:t>
      </w:r>
    </w:p>
    <w:p w14:paraId="53BE2D0E" w14:textId="11EB0562" w:rsidR="00710274" w:rsidRPr="00496130" w:rsidRDefault="00710274" w:rsidP="00710274">
      <w:r w:rsidRPr="00496130">
        <w:rPr>
          <w:b/>
        </w:rPr>
        <w:t>Figure 5</w:t>
      </w:r>
      <w:r w:rsidRPr="00496130">
        <w:rPr>
          <w:b/>
        </w:rPr>
        <w:tab/>
      </w:r>
      <w:r w:rsidRPr="00496130">
        <w:t xml:space="preserve">Plans showing archaeological contexts at different levels through UZ002. The top row </w:t>
      </w:r>
      <w:r w:rsidR="00382A22" w:rsidRPr="00496130">
        <w:t xml:space="preserve">(a) </w:t>
      </w:r>
      <w:r w:rsidRPr="00496130">
        <w:t xml:space="preserve">shows the mixed abandonment deposits. The middle row </w:t>
      </w:r>
      <w:r w:rsidR="00382A22" w:rsidRPr="00496130">
        <w:t xml:space="preserve">(b - d) </w:t>
      </w:r>
      <w:r w:rsidRPr="00496130">
        <w:t xml:space="preserve">shows different levels of excavation through the upper floor contexts. The lower plan </w:t>
      </w:r>
      <w:r w:rsidR="00382A22" w:rsidRPr="00496130">
        <w:t xml:space="preserve">(e) </w:t>
      </w:r>
      <w:r w:rsidRPr="00496130">
        <w:t xml:space="preserve">is the lower floor level. The floor contexts (#2006, #2018) are neatly superimposed; note also the continuity of the hearth feature (#2004, #2009, #2012, </w:t>
      </w:r>
      <w:proofErr w:type="gramStart"/>
      <w:r w:rsidRPr="00496130">
        <w:t>#</w:t>
      </w:r>
      <w:proofErr w:type="gramEnd"/>
      <w:r w:rsidRPr="00496130">
        <w:t>2017) at different levels. Black shapes represent ironworking debris.</w:t>
      </w:r>
    </w:p>
    <w:p w14:paraId="41D352E5" w14:textId="2D65D213" w:rsidR="00710274" w:rsidRPr="00496130" w:rsidRDefault="00710274" w:rsidP="00710274">
      <w:r w:rsidRPr="00496130">
        <w:rPr>
          <w:b/>
        </w:rPr>
        <w:t>Figure 6</w:t>
      </w:r>
      <w:r w:rsidRPr="00496130">
        <w:rPr>
          <w:b/>
        </w:rPr>
        <w:tab/>
      </w:r>
      <w:r w:rsidRPr="00496130">
        <w:t>Graph showing frequencies of different artifact categories by phase and by context type, showing differences over time and between interior and exterior spaces</w:t>
      </w:r>
      <w:r w:rsidR="002728B9" w:rsidRPr="00496130">
        <w:t>. Categories are (from top left): a. Glass beads (number); b. Iron slag (weight in kg); c. Imported ceramics (weight in g); d. Vessel glass (weight in g); e. Local ceramics (weight in g); f. Bead grinders (number).</w:t>
      </w:r>
    </w:p>
    <w:p w14:paraId="631FE8BE" w14:textId="421812F0" w:rsidR="00710274" w:rsidRPr="00496130" w:rsidRDefault="00710274" w:rsidP="00710274">
      <w:pPr>
        <w:rPr>
          <w:b/>
        </w:rPr>
      </w:pPr>
      <w:r w:rsidRPr="00496130">
        <w:rPr>
          <w:b/>
        </w:rPr>
        <w:t>Figure 7</w:t>
      </w:r>
      <w:r w:rsidRPr="00496130">
        <w:rPr>
          <w:b/>
        </w:rPr>
        <w:tab/>
      </w:r>
      <w:r w:rsidRPr="00496130">
        <w:t xml:space="preserve">UZ002 thin sections of packed earth floors (above) and of exterior sandy sediments (below). </w:t>
      </w:r>
    </w:p>
    <w:p w14:paraId="3120BAAC" w14:textId="0EF799B8" w:rsidR="00751CDB" w:rsidRPr="00496130" w:rsidRDefault="00710274" w:rsidP="00A400DF">
      <w:r w:rsidRPr="00496130">
        <w:rPr>
          <w:b/>
        </w:rPr>
        <w:t>Figure 8</w:t>
      </w:r>
      <w:r w:rsidRPr="00496130">
        <w:rPr>
          <w:b/>
        </w:rPr>
        <w:tab/>
      </w:r>
      <w:r w:rsidRPr="00496130">
        <w:t xml:space="preserve">Bayesian model showing UZ002 dates against all available </w:t>
      </w:r>
      <w:r w:rsidRPr="00496130">
        <w:rPr>
          <w:vertAlign w:val="superscript"/>
        </w:rPr>
        <w:t>14</w:t>
      </w:r>
      <w:r w:rsidRPr="00496130">
        <w:t>C dates for the site</w:t>
      </w:r>
    </w:p>
    <w:sectPr w:rsidR="00751CDB" w:rsidRPr="00496130" w:rsidSect="00710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97EB0" w14:textId="77777777" w:rsidR="00FF76E0" w:rsidRDefault="00FF76E0" w:rsidP="008469E1">
      <w:r>
        <w:separator/>
      </w:r>
    </w:p>
  </w:endnote>
  <w:endnote w:type="continuationSeparator" w:id="0">
    <w:p w14:paraId="49D3588E" w14:textId="77777777" w:rsidR="00FF76E0" w:rsidRDefault="00FF76E0" w:rsidP="0084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D0DB2" w14:textId="77777777" w:rsidR="00FF76E0" w:rsidRDefault="00FF76E0" w:rsidP="008469E1">
      <w:r>
        <w:separator/>
      </w:r>
    </w:p>
  </w:footnote>
  <w:footnote w:type="continuationSeparator" w:id="0">
    <w:p w14:paraId="35758B17" w14:textId="77777777" w:rsidR="00FF76E0" w:rsidRDefault="00FF76E0" w:rsidP="00846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4171C"/>
    <w:multiLevelType w:val="hybridMultilevel"/>
    <w:tmpl w:val="B6B6DD14"/>
    <w:lvl w:ilvl="0" w:tplc="EFB0C2E8">
      <w:start w:val="36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4D"/>
    <w:rsid w:val="0002426C"/>
    <w:rsid w:val="000579DC"/>
    <w:rsid w:val="000618A4"/>
    <w:rsid w:val="000B4952"/>
    <w:rsid w:val="000E0D01"/>
    <w:rsid w:val="0010125C"/>
    <w:rsid w:val="001A46A1"/>
    <w:rsid w:val="001D7DFC"/>
    <w:rsid w:val="001F649F"/>
    <w:rsid w:val="00210AE3"/>
    <w:rsid w:val="0024017C"/>
    <w:rsid w:val="00264CF3"/>
    <w:rsid w:val="002728B9"/>
    <w:rsid w:val="00313FC4"/>
    <w:rsid w:val="00382A22"/>
    <w:rsid w:val="003848F5"/>
    <w:rsid w:val="004574A1"/>
    <w:rsid w:val="00496130"/>
    <w:rsid w:val="0053230F"/>
    <w:rsid w:val="00625C1C"/>
    <w:rsid w:val="00630EAC"/>
    <w:rsid w:val="006A0380"/>
    <w:rsid w:val="006D50B1"/>
    <w:rsid w:val="00710274"/>
    <w:rsid w:val="00715DC6"/>
    <w:rsid w:val="007471BC"/>
    <w:rsid w:val="00751CDB"/>
    <w:rsid w:val="007A6B21"/>
    <w:rsid w:val="007D6085"/>
    <w:rsid w:val="007E057D"/>
    <w:rsid w:val="008469E1"/>
    <w:rsid w:val="008D75A4"/>
    <w:rsid w:val="00963A8E"/>
    <w:rsid w:val="00A400DF"/>
    <w:rsid w:val="00A94A4A"/>
    <w:rsid w:val="00B5118F"/>
    <w:rsid w:val="00B555EA"/>
    <w:rsid w:val="00B85DC9"/>
    <w:rsid w:val="00C40A2B"/>
    <w:rsid w:val="00CF244D"/>
    <w:rsid w:val="00D04E1E"/>
    <w:rsid w:val="00D573DD"/>
    <w:rsid w:val="00E17E0B"/>
    <w:rsid w:val="00E43D3E"/>
    <w:rsid w:val="00E56354"/>
    <w:rsid w:val="00E90E78"/>
    <w:rsid w:val="00E97498"/>
    <w:rsid w:val="00EA5F5E"/>
    <w:rsid w:val="00EC4838"/>
    <w:rsid w:val="00F068BD"/>
    <w:rsid w:val="00F103A5"/>
    <w:rsid w:val="00F35AB4"/>
    <w:rsid w:val="00F512CD"/>
    <w:rsid w:val="00FF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878E"/>
  <w15:chartTrackingRefBased/>
  <w15:docId w15:val="{19602B5D-DF00-4AEC-8B01-715F2DD1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E1"/>
    <w:pPr>
      <w:tabs>
        <w:tab w:val="left" w:pos="284"/>
      </w:tabs>
      <w:spacing w:after="120" w:line="480" w:lineRule="auto"/>
    </w:pPr>
    <w:rPr>
      <w:rFonts w:ascii="Times New Roman" w:hAnsi="Times New Roman" w:cs="Times New Roman"/>
      <w:color w:val="000000"/>
      <w:sz w:val="24"/>
      <w:szCs w:val="24"/>
      <w:lang w:val="en-US"/>
    </w:rPr>
  </w:style>
  <w:style w:type="paragraph" w:styleId="Heading1">
    <w:name w:val="heading 1"/>
    <w:basedOn w:val="Normal"/>
    <w:next w:val="Normal"/>
    <w:link w:val="Heading1Char"/>
    <w:uiPriority w:val="9"/>
    <w:qFormat/>
    <w:rsid w:val="007E057D"/>
    <w:pPr>
      <w:outlineLvl w:val="0"/>
    </w:pPr>
    <w:rPr>
      <w:b/>
      <w:sz w:val="26"/>
      <w:szCs w:val="26"/>
    </w:rPr>
  </w:style>
  <w:style w:type="paragraph" w:styleId="Heading2">
    <w:name w:val="heading 2"/>
    <w:basedOn w:val="Normal"/>
    <w:next w:val="Normal"/>
    <w:link w:val="Heading2Char"/>
    <w:uiPriority w:val="9"/>
    <w:unhideWhenUsed/>
    <w:qFormat/>
    <w:rsid w:val="008469E1"/>
    <w:pPr>
      <w:keepNext/>
      <w:keepLines/>
      <w:spacing w:before="40" w:after="0"/>
      <w:outlineLvl w:val="1"/>
    </w:pPr>
    <w:rPr>
      <w:rFonts w:eastAsiaTheme="majorEastAsia"/>
      <w:b/>
      <w:color w:val="auto"/>
    </w:rPr>
  </w:style>
  <w:style w:type="paragraph" w:styleId="Heading3">
    <w:name w:val="heading 3"/>
    <w:basedOn w:val="Normal"/>
    <w:next w:val="Normal"/>
    <w:link w:val="Heading3Char"/>
    <w:uiPriority w:val="9"/>
    <w:unhideWhenUsed/>
    <w:qFormat/>
    <w:rsid w:val="001F649F"/>
    <w:pPr>
      <w:keepNext/>
      <w:keepLines/>
      <w:spacing w:before="40" w:after="0"/>
      <w:outlineLvl w:val="2"/>
    </w:pPr>
    <w:rPr>
      <w:rFonts w:eastAsiaTheme="majorEastAsia"/>
      <w:b/>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57D"/>
    <w:rPr>
      <w:rFonts w:ascii="Times New Roman" w:hAnsi="Times New Roman" w:cs="Times New Roman"/>
      <w:b/>
      <w:color w:val="000000"/>
      <w:sz w:val="26"/>
      <w:szCs w:val="26"/>
      <w:lang w:val="en-US"/>
    </w:rPr>
  </w:style>
  <w:style w:type="character" w:styleId="Hyperlink">
    <w:name w:val="Hyperlink"/>
    <w:basedOn w:val="DefaultParagraphFont"/>
    <w:uiPriority w:val="99"/>
    <w:unhideWhenUsed/>
    <w:rsid w:val="00CF244D"/>
    <w:rPr>
      <w:color w:val="0563C1" w:themeColor="hyperlink"/>
      <w:u w:val="single"/>
    </w:rPr>
  </w:style>
  <w:style w:type="paragraph" w:styleId="FootnoteText">
    <w:name w:val="footnote text"/>
    <w:basedOn w:val="Normal"/>
    <w:link w:val="FootnoteTextChar"/>
    <w:uiPriority w:val="99"/>
    <w:unhideWhenUsed/>
    <w:rsid w:val="00CF244D"/>
    <w:pPr>
      <w:spacing w:after="0"/>
    </w:pPr>
    <w:rPr>
      <w:sz w:val="20"/>
      <w:szCs w:val="20"/>
    </w:rPr>
  </w:style>
  <w:style w:type="character" w:customStyle="1" w:styleId="FootnoteTextChar">
    <w:name w:val="Footnote Text Char"/>
    <w:basedOn w:val="DefaultParagraphFont"/>
    <w:link w:val="FootnoteText"/>
    <w:uiPriority w:val="99"/>
    <w:rsid w:val="00CF244D"/>
    <w:rPr>
      <w:rFonts w:asciiTheme="majorHAnsi" w:hAnsiTheme="majorHAnsi" w:cstheme="majorHAnsi"/>
      <w:color w:val="000000"/>
      <w:sz w:val="20"/>
      <w:szCs w:val="20"/>
    </w:rPr>
  </w:style>
  <w:style w:type="character" w:styleId="FootnoteReference">
    <w:name w:val="footnote reference"/>
    <w:basedOn w:val="DefaultParagraphFont"/>
    <w:uiPriority w:val="99"/>
    <w:semiHidden/>
    <w:unhideWhenUsed/>
    <w:rsid w:val="00CF244D"/>
    <w:rPr>
      <w:vertAlign w:val="superscript"/>
    </w:rPr>
  </w:style>
  <w:style w:type="paragraph" w:styleId="BalloonText">
    <w:name w:val="Balloon Text"/>
    <w:basedOn w:val="Normal"/>
    <w:link w:val="BalloonTextChar"/>
    <w:uiPriority w:val="99"/>
    <w:semiHidden/>
    <w:unhideWhenUsed/>
    <w:rsid w:val="007471BC"/>
    <w:pPr>
      <w:spacing w:after="0"/>
    </w:pPr>
    <w:rPr>
      <w:sz w:val="18"/>
      <w:szCs w:val="18"/>
    </w:rPr>
  </w:style>
  <w:style w:type="character" w:customStyle="1" w:styleId="BalloonTextChar">
    <w:name w:val="Balloon Text Char"/>
    <w:basedOn w:val="DefaultParagraphFont"/>
    <w:link w:val="BalloonText"/>
    <w:uiPriority w:val="99"/>
    <w:semiHidden/>
    <w:rsid w:val="007471BC"/>
    <w:rPr>
      <w:rFonts w:ascii="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7471BC"/>
    <w:rPr>
      <w:color w:val="605E5C"/>
      <w:shd w:val="clear" w:color="auto" w:fill="E1DFDD"/>
    </w:rPr>
  </w:style>
  <w:style w:type="character" w:customStyle="1" w:styleId="Heading2Char">
    <w:name w:val="Heading 2 Char"/>
    <w:basedOn w:val="DefaultParagraphFont"/>
    <w:link w:val="Heading2"/>
    <w:uiPriority w:val="9"/>
    <w:rsid w:val="008469E1"/>
    <w:rPr>
      <w:rFonts w:ascii="Times New Roman" w:eastAsiaTheme="majorEastAsia" w:hAnsi="Times New Roman" w:cs="Times New Roman"/>
      <w:b/>
      <w:sz w:val="24"/>
      <w:szCs w:val="24"/>
      <w:lang w:val="en-US"/>
    </w:rPr>
  </w:style>
  <w:style w:type="character" w:customStyle="1" w:styleId="Heading3Char">
    <w:name w:val="Heading 3 Char"/>
    <w:basedOn w:val="DefaultParagraphFont"/>
    <w:link w:val="Heading3"/>
    <w:uiPriority w:val="9"/>
    <w:rsid w:val="001F649F"/>
    <w:rPr>
      <w:rFonts w:ascii="Times New Roman" w:eastAsiaTheme="majorEastAsia" w:hAnsi="Times New Roman" w:cs="Times New Roman"/>
      <w:b/>
      <w:i/>
      <w:sz w:val="24"/>
      <w:szCs w:val="24"/>
      <w:lang w:val="en-US"/>
    </w:rPr>
  </w:style>
  <w:style w:type="character" w:styleId="Emphasis">
    <w:name w:val="Emphasis"/>
    <w:basedOn w:val="DefaultParagraphFont"/>
    <w:uiPriority w:val="20"/>
    <w:qFormat/>
    <w:rsid w:val="00A400DF"/>
    <w:rPr>
      <w:i/>
      <w:iCs/>
    </w:rPr>
  </w:style>
  <w:style w:type="table" w:styleId="TableGrid">
    <w:name w:val="Table Grid"/>
    <w:basedOn w:val="TableNormal"/>
    <w:uiPriority w:val="39"/>
    <w:rsid w:val="00E4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1191">
      <w:bodyDiv w:val="1"/>
      <w:marLeft w:val="0"/>
      <w:marRight w:val="0"/>
      <w:marTop w:val="0"/>
      <w:marBottom w:val="0"/>
      <w:divBdr>
        <w:top w:val="none" w:sz="0" w:space="0" w:color="auto"/>
        <w:left w:val="none" w:sz="0" w:space="0" w:color="auto"/>
        <w:bottom w:val="none" w:sz="0" w:space="0" w:color="auto"/>
        <w:right w:val="none" w:sz="0" w:space="0" w:color="auto"/>
      </w:divBdr>
    </w:div>
    <w:div w:id="548687017">
      <w:bodyDiv w:val="1"/>
      <w:marLeft w:val="0"/>
      <w:marRight w:val="0"/>
      <w:marTop w:val="0"/>
      <w:marBottom w:val="0"/>
      <w:divBdr>
        <w:top w:val="none" w:sz="0" w:space="0" w:color="auto"/>
        <w:left w:val="none" w:sz="0" w:space="0" w:color="auto"/>
        <w:bottom w:val="none" w:sz="0" w:space="0" w:color="auto"/>
        <w:right w:val="none" w:sz="0" w:space="0" w:color="auto"/>
      </w:divBdr>
    </w:div>
    <w:div w:id="583731817">
      <w:bodyDiv w:val="1"/>
      <w:marLeft w:val="0"/>
      <w:marRight w:val="0"/>
      <w:marTop w:val="0"/>
      <w:marBottom w:val="0"/>
      <w:divBdr>
        <w:top w:val="none" w:sz="0" w:space="0" w:color="auto"/>
        <w:left w:val="none" w:sz="0" w:space="0" w:color="auto"/>
        <w:bottom w:val="none" w:sz="0" w:space="0" w:color="auto"/>
        <w:right w:val="none" w:sz="0" w:space="0" w:color="auto"/>
      </w:divBdr>
    </w:div>
    <w:div w:id="637497663">
      <w:bodyDiv w:val="1"/>
      <w:marLeft w:val="0"/>
      <w:marRight w:val="0"/>
      <w:marTop w:val="0"/>
      <w:marBottom w:val="0"/>
      <w:divBdr>
        <w:top w:val="none" w:sz="0" w:space="0" w:color="auto"/>
        <w:left w:val="none" w:sz="0" w:space="0" w:color="auto"/>
        <w:bottom w:val="none" w:sz="0" w:space="0" w:color="auto"/>
        <w:right w:val="none" w:sz="0" w:space="0" w:color="auto"/>
      </w:divBdr>
    </w:div>
    <w:div w:id="650717603">
      <w:bodyDiv w:val="1"/>
      <w:marLeft w:val="0"/>
      <w:marRight w:val="0"/>
      <w:marTop w:val="0"/>
      <w:marBottom w:val="0"/>
      <w:divBdr>
        <w:top w:val="none" w:sz="0" w:space="0" w:color="auto"/>
        <w:left w:val="none" w:sz="0" w:space="0" w:color="auto"/>
        <w:bottom w:val="none" w:sz="0" w:space="0" w:color="auto"/>
        <w:right w:val="none" w:sz="0" w:space="0" w:color="auto"/>
      </w:divBdr>
    </w:div>
    <w:div w:id="717509769">
      <w:bodyDiv w:val="1"/>
      <w:marLeft w:val="0"/>
      <w:marRight w:val="0"/>
      <w:marTop w:val="0"/>
      <w:marBottom w:val="0"/>
      <w:divBdr>
        <w:top w:val="none" w:sz="0" w:space="0" w:color="auto"/>
        <w:left w:val="none" w:sz="0" w:space="0" w:color="auto"/>
        <w:bottom w:val="none" w:sz="0" w:space="0" w:color="auto"/>
        <w:right w:val="none" w:sz="0" w:space="0" w:color="auto"/>
      </w:divBdr>
    </w:div>
    <w:div w:id="841941523">
      <w:bodyDiv w:val="1"/>
      <w:marLeft w:val="0"/>
      <w:marRight w:val="0"/>
      <w:marTop w:val="0"/>
      <w:marBottom w:val="0"/>
      <w:divBdr>
        <w:top w:val="none" w:sz="0" w:space="0" w:color="auto"/>
        <w:left w:val="none" w:sz="0" w:space="0" w:color="auto"/>
        <w:bottom w:val="none" w:sz="0" w:space="0" w:color="auto"/>
        <w:right w:val="none" w:sz="0" w:space="0" w:color="auto"/>
      </w:divBdr>
    </w:div>
    <w:div w:id="853616895">
      <w:bodyDiv w:val="1"/>
      <w:marLeft w:val="0"/>
      <w:marRight w:val="0"/>
      <w:marTop w:val="0"/>
      <w:marBottom w:val="0"/>
      <w:divBdr>
        <w:top w:val="none" w:sz="0" w:space="0" w:color="auto"/>
        <w:left w:val="none" w:sz="0" w:space="0" w:color="auto"/>
        <w:bottom w:val="none" w:sz="0" w:space="0" w:color="auto"/>
        <w:right w:val="none" w:sz="0" w:space="0" w:color="auto"/>
      </w:divBdr>
    </w:div>
    <w:div w:id="989750202">
      <w:bodyDiv w:val="1"/>
      <w:marLeft w:val="0"/>
      <w:marRight w:val="0"/>
      <w:marTop w:val="0"/>
      <w:marBottom w:val="0"/>
      <w:divBdr>
        <w:top w:val="none" w:sz="0" w:space="0" w:color="auto"/>
        <w:left w:val="none" w:sz="0" w:space="0" w:color="auto"/>
        <w:bottom w:val="none" w:sz="0" w:space="0" w:color="auto"/>
        <w:right w:val="none" w:sz="0" w:space="0" w:color="auto"/>
      </w:divBdr>
    </w:div>
    <w:div w:id="1565023141">
      <w:bodyDiv w:val="1"/>
      <w:marLeft w:val="0"/>
      <w:marRight w:val="0"/>
      <w:marTop w:val="0"/>
      <w:marBottom w:val="0"/>
      <w:divBdr>
        <w:top w:val="none" w:sz="0" w:space="0" w:color="auto"/>
        <w:left w:val="none" w:sz="0" w:space="0" w:color="auto"/>
        <w:bottom w:val="none" w:sz="0" w:space="0" w:color="auto"/>
        <w:right w:val="none" w:sz="0" w:space="0" w:color="auto"/>
      </w:divBdr>
    </w:div>
    <w:div w:id="1618488606">
      <w:bodyDiv w:val="1"/>
      <w:marLeft w:val="0"/>
      <w:marRight w:val="0"/>
      <w:marTop w:val="0"/>
      <w:marBottom w:val="0"/>
      <w:divBdr>
        <w:top w:val="none" w:sz="0" w:space="0" w:color="auto"/>
        <w:left w:val="none" w:sz="0" w:space="0" w:color="auto"/>
        <w:bottom w:val="none" w:sz="0" w:space="0" w:color="auto"/>
        <w:right w:val="none" w:sz="0" w:space="0" w:color="auto"/>
      </w:divBdr>
    </w:div>
    <w:div w:id="1623222155">
      <w:bodyDiv w:val="1"/>
      <w:marLeft w:val="0"/>
      <w:marRight w:val="0"/>
      <w:marTop w:val="0"/>
      <w:marBottom w:val="0"/>
      <w:divBdr>
        <w:top w:val="none" w:sz="0" w:space="0" w:color="auto"/>
        <w:left w:val="none" w:sz="0" w:space="0" w:color="auto"/>
        <w:bottom w:val="none" w:sz="0" w:space="0" w:color="auto"/>
        <w:right w:val="none" w:sz="0" w:space="0" w:color="auto"/>
      </w:divBdr>
    </w:div>
    <w:div w:id="20007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phanie.wynne-jones@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42</Pages>
  <Words>9840</Words>
  <Characters>56093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Stephanie Wynne-Jones</cp:lastModifiedBy>
  <cp:revision>28</cp:revision>
  <dcterms:created xsi:type="dcterms:W3CDTF">2020-08-28T11:53:00Z</dcterms:created>
  <dcterms:modified xsi:type="dcterms:W3CDTF">2020-09-02T10:18:00Z</dcterms:modified>
</cp:coreProperties>
</file>