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EB07" w14:textId="391F7B60" w:rsidR="00887E08" w:rsidRPr="00586D22" w:rsidRDefault="00887E08" w:rsidP="00902D64">
      <w:pPr>
        <w:spacing w:line="480" w:lineRule="auto"/>
        <w:jc w:val="both"/>
        <w:rPr>
          <w:b/>
          <w:bCs/>
        </w:rPr>
      </w:pPr>
      <w:r w:rsidRPr="00586D22">
        <w:rPr>
          <w:b/>
          <w:bCs/>
        </w:rPr>
        <w:t>William Hazlitt and the Dissenting Art of Reading</w:t>
      </w:r>
    </w:p>
    <w:p w14:paraId="39003B3B" w14:textId="77777777" w:rsidR="00F104C9" w:rsidRDefault="00F104C9" w:rsidP="00902D64">
      <w:pPr>
        <w:spacing w:line="480" w:lineRule="auto"/>
        <w:jc w:val="both"/>
        <w:rPr>
          <w:b/>
          <w:bCs/>
        </w:rPr>
      </w:pPr>
    </w:p>
    <w:p w14:paraId="5A91CB60" w14:textId="4CB0E2F9" w:rsidR="00B45826" w:rsidRPr="00B45826" w:rsidRDefault="00B45826" w:rsidP="00902D64">
      <w:pPr>
        <w:spacing w:line="480" w:lineRule="auto"/>
        <w:jc w:val="both"/>
        <w:rPr>
          <w:b/>
          <w:bCs/>
        </w:rPr>
      </w:pPr>
      <w:r>
        <w:rPr>
          <w:b/>
          <w:bCs/>
        </w:rPr>
        <w:t>Introduction</w:t>
      </w:r>
    </w:p>
    <w:p w14:paraId="275B73C5" w14:textId="0F416A90" w:rsidR="00166AED" w:rsidRPr="00166AED" w:rsidRDefault="00166AED" w:rsidP="00902D64">
      <w:pPr>
        <w:spacing w:line="480" w:lineRule="auto"/>
        <w:jc w:val="both"/>
      </w:pPr>
      <w:r w:rsidRPr="00166AED">
        <w:t>This essay assesses the importance of the ‘art of reading’, that is to say reading aloud, or elocution, for William Hazlitt’s work.</w:t>
      </w:r>
      <w:r w:rsidRPr="00166AED">
        <w:rPr>
          <w:vertAlign w:val="superscript"/>
        </w:rPr>
        <w:footnoteReference w:id="1"/>
      </w:r>
      <w:r w:rsidRPr="00166AED">
        <w:t xml:space="preserve">  In his essays and lectures, Hazlitt makes the case for the importance of reading aloud, not only for reader</w:t>
      </w:r>
      <w:r w:rsidR="00AD5608">
        <w:t>s</w:t>
      </w:r>
      <w:r w:rsidRPr="00166AED">
        <w:t>, but also for authors. For Hazlitt, the quality of written style can best be assessed through the voicing of a text. In his focus on reading aloud, Hazlitt demonstrates the influence of eighteenth-century elocutionary traditions</w:t>
      </w:r>
      <w:r w:rsidR="00C60EC1">
        <w:t xml:space="preserve"> on his work</w:t>
      </w:r>
      <w:r w:rsidRPr="00166AED">
        <w:t xml:space="preserve">, but as this essay will show, he focuses in particular on elocutionary and educational texts written by authors from the Dissenting protestant community in which he himself was educated. Hazlitt frequently refers with nostalgia to many kinds of texts from his youth, but I suggest that his engagement with Dissenting treatments of reading aloud, or ‘the art of reading’, enables him to assert a consistent, if ambivalent, loyalty to the traditions in which he was raised. </w:t>
      </w:r>
      <w:r w:rsidR="00387ED5">
        <w:t>Hazlitt engaged with the form and effects of vocal language throughout his career</w:t>
      </w:r>
      <w:r w:rsidR="00AD5608">
        <w:t>,</w:t>
      </w:r>
      <w:r w:rsidR="00387ED5">
        <w:t xml:space="preserve"> in his accounts of his experiences as a performer or auditor at lectures, sermons, and the theatre, but his sense of the qualities of ‘the art of reading’</w:t>
      </w:r>
      <w:r w:rsidR="00D14C58">
        <w:t xml:space="preserve"> are most clearly discussed in </w:t>
      </w:r>
      <w:r w:rsidR="00387ED5">
        <w:t>his</w:t>
      </w:r>
      <w:r w:rsidR="00D14C58">
        <w:t xml:space="preserve"> 1826 essay collection </w:t>
      </w:r>
      <w:r w:rsidR="00D14C58">
        <w:rPr>
          <w:i/>
          <w:iCs/>
        </w:rPr>
        <w:t>The Plain Speaker</w:t>
      </w:r>
      <w:r w:rsidR="00D14C58">
        <w:t>, which will form the heart of my discussion.</w:t>
      </w:r>
    </w:p>
    <w:p w14:paraId="7A751611" w14:textId="1C4A9F34" w:rsidR="00166AED" w:rsidRPr="00166AED" w:rsidRDefault="00166AED" w:rsidP="00902D64">
      <w:pPr>
        <w:spacing w:line="480" w:lineRule="auto"/>
        <w:jc w:val="both"/>
      </w:pPr>
      <w:r w:rsidRPr="00166AED">
        <w:tab/>
        <w:t>As various commentators have discussed, the ‘elocution movement’ was a highly influential and profitable aspect of educational culture in the second half of the eighteenth century.</w:t>
      </w:r>
      <w:r w:rsidRPr="00166AED">
        <w:rPr>
          <w:vertAlign w:val="superscript"/>
        </w:rPr>
        <w:footnoteReference w:id="2"/>
      </w:r>
      <w:r w:rsidRPr="00166AED">
        <w:t xml:space="preserve"> A key figure in this movement was Thomas Sheridan, an actor and teacher. In texts </w:t>
      </w:r>
      <w:r w:rsidRPr="00166AED">
        <w:lastRenderedPageBreak/>
        <w:t xml:space="preserve">like </w:t>
      </w:r>
      <w:r w:rsidRPr="00166AED">
        <w:rPr>
          <w:i/>
          <w:iCs/>
        </w:rPr>
        <w:t xml:space="preserve">British Education </w:t>
      </w:r>
      <w:r w:rsidRPr="00166AED">
        <w:t xml:space="preserve">(1756), and </w:t>
      </w:r>
      <w:r w:rsidRPr="00166AED">
        <w:rPr>
          <w:i/>
          <w:iCs/>
        </w:rPr>
        <w:t xml:space="preserve">A Course of Lectures on Elocution </w:t>
      </w:r>
      <w:r w:rsidRPr="00166AED">
        <w:t xml:space="preserve">(1762), Sheridan argued that the skills </w:t>
      </w:r>
      <w:r w:rsidR="00887625">
        <w:t xml:space="preserve">currently </w:t>
      </w:r>
      <w:r w:rsidRPr="00166AED">
        <w:t xml:space="preserve">displayed in public speaking, reading aloud and even pronunciation were a national disgrace, and he proposed remedies that might improve public speech. Sheridan’s publications and lectures were extremely popular, and he was emulated by authors </w:t>
      </w:r>
      <w:r w:rsidR="00AD5608" w:rsidRPr="00166AED">
        <w:t>keen to exploit this popularity</w:t>
      </w:r>
      <w:r w:rsidR="00AD5608">
        <w:t>,</w:t>
      </w:r>
      <w:r w:rsidR="00AD5608" w:rsidRPr="00166AED">
        <w:t xml:space="preserve"> such as John Walker, author of </w:t>
      </w:r>
      <w:r w:rsidR="00AD5608" w:rsidRPr="00166AED">
        <w:rPr>
          <w:i/>
          <w:iCs/>
        </w:rPr>
        <w:t xml:space="preserve">Elements of Elocution </w:t>
      </w:r>
      <w:r w:rsidR="00AD5608" w:rsidRPr="00166AED">
        <w:t xml:space="preserve">(1781), </w:t>
      </w:r>
      <w:r w:rsidR="00AD5608">
        <w:t>who was</w:t>
      </w:r>
      <w:r w:rsidR="00AD5608" w:rsidRPr="00166AED">
        <w:t xml:space="preserve">, like Sheridan, </w:t>
      </w:r>
      <w:r w:rsidR="00AD5608">
        <w:t>a</w:t>
      </w:r>
      <w:r w:rsidR="00AD5608" w:rsidRPr="00166AED">
        <w:t xml:space="preserve"> former actor</w:t>
      </w:r>
      <w:r w:rsidRPr="00166AED">
        <w:t xml:space="preserve">. But there is also another strain in eighteenth-century elocutionary culture. From the 1720s onward, we see a series of guides to reading which do not arise out of a theatrical culture of elocution, but rather a pedagogical tradition of reading aloud with children. It is this formulation of ‘the art of reading’ which proves so important for Hazlitt. The key texts in this tradition are written by </w:t>
      </w:r>
      <w:r>
        <w:t>D</w:t>
      </w:r>
      <w:r w:rsidRPr="00166AED">
        <w:t xml:space="preserve">issenting protestants, beginning with the Calvinist Isaac Watts’s influential </w:t>
      </w:r>
      <w:r w:rsidRPr="00166AED">
        <w:rPr>
          <w:i/>
          <w:iCs/>
        </w:rPr>
        <w:t>Art of Reading and Writing English</w:t>
      </w:r>
      <w:r w:rsidRPr="00166AED">
        <w:t xml:space="preserve"> (1722). Watts was followed by educators like the Arian </w:t>
      </w:r>
      <w:r>
        <w:t>D</w:t>
      </w:r>
      <w:r w:rsidRPr="00166AED">
        <w:t xml:space="preserve">issenter James Burgh, author of </w:t>
      </w:r>
      <w:r w:rsidRPr="00166AED">
        <w:rPr>
          <w:i/>
          <w:iCs/>
        </w:rPr>
        <w:t xml:space="preserve">The Art of Speaking </w:t>
      </w:r>
      <w:r w:rsidRPr="00166AED">
        <w:t xml:space="preserve">(1761), who ran a school in Newington Green in north London and moved in the </w:t>
      </w:r>
      <w:r>
        <w:t>D</w:t>
      </w:r>
      <w:r w:rsidRPr="00166AED">
        <w:t xml:space="preserve">issenting circles which included Dr Richard Price, Joseph Johnson, and later Mary Wollstonecraft. But my focus in this discussion will be another </w:t>
      </w:r>
      <w:r>
        <w:t>D</w:t>
      </w:r>
      <w:r w:rsidRPr="00166AED">
        <w:t xml:space="preserve">issenting pedagogue and elocutionary practitioner, William Enfield, tutor at the Warrington Dissenting Academy and author of </w:t>
      </w:r>
      <w:r w:rsidRPr="00166AED">
        <w:rPr>
          <w:i/>
          <w:iCs/>
        </w:rPr>
        <w:t>The Speaker, Or, Miscellaneous Pieces, Selected from the Best English Writers</w:t>
      </w:r>
      <w:r w:rsidRPr="00166AED">
        <w:t xml:space="preserve"> (1774).</w:t>
      </w:r>
    </w:p>
    <w:p w14:paraId="7B3B1555" w14:textId="1099F1D9" w:rsidR="00723663" w:rsidRDefault="00EC1B57" w:rsidP="00902D64">
      <w:pPr>
        <w:spacing w:line="480" w:lineRule="auto"/>
        <w:ind w:firstLine="720"/>
        <w:jc w:val="both"/>
      </w:pPr>
      <w:r>
        <w:t xml:space="preserve">Hazlitt refers to Enfield’s </w:t>
      </w:r>
      <w:r w:rsidR="00166AED">
        <w:rPr>
          <w:i/>
          <w:iCs/>
        </w:rPr>
        <w:t xml:space="preserve">The </w:t>
      </w:r>
      <w:r>
        <w:rPr>
          <w:i/>
          <w:iCs/>
        </w:rPr>
        <w:t>Speaker</w:t>
      </w:r>
      <w:r>
        <w:t xml:space="preserve"> at several points in his essays and lectures, </w:t>
      </w:r>
      <w:r w:rsidR="00166AED">
        <w:t xml:space="preserve">as I will discuss. </w:t>
      </w:r>
      <w:r>
        <w:t xml:space="preserve">Lucy Newlyn and Stephen Burley have argued for </w:t>
      </w:r>
      <w:r w:rsidR="00166AED">
        <w:t>the</w:t>
      </w:r>
      <w:r>
        <w:t xml:space="preserve"> influence </w:t>
      </w:r>
      <w:r w:rsidR="00166AED">
        <w:t xml:space="preserve">of Enfield’s </w:t>
      </w:r>
      <w:r w:rsidR="00166AED">
        <w:rPr>
          <w:i/>
          <w:iCs/>
        </w:rPr>
        <w:t xml:space="preserve">Speaker </w:t>
      </w:r>
      <w:r>
        <w:t xml:space="preserve">on </w:t>
      </w:r>
      <w:r w:rsidR="00166AED">
        <w:t>Hazlitt’s</w:t>
      </w:r>
      <w:r>
        <w:t xml:space="preserve"> selection of quotation in his works, and </w:t>
      </w:r>
      <w:r w:rsidR="00166AED">
        <w:t xml:space="preserve">on </w:t>
      </w:r>
      <w:r>
        <w:t xml:space="preserve">his decision to publish anthologies of his own, such as </w:t>
      </w:r>
      <w:r>
        <w:rPr>
          <w:i/>
          <w:iCs/>
        </w:rPr>
        <w:t>The Eloquence of the British Senate</w:t>
      </w:r>
      <w:r w:rsidR="009A37BF">
        <w:rPr>
          <w:i/>
          <w:iCs/>
        </w:rPr>
        <w:t xml:space="preserve"> </w:t>
      </w:r>
      <w:r w:rsidR="009A37BF">
        <w:t>(1807)</w:t>
      </w:r>
      <w:r>
        <w:t xml:space="preserve">, and </w:t>
      </w:r>
      <w:r>
        <w:rPr>
          <w:i/>
          <w:iCs/>
        </w:rPr>
        <w:t xml:space="preserve">Select British </w:t>
      </w:r>
      <w:r>
        <w:rPr>
          <w:i/>
          <w:iCs/>
        </w:rPr>
        <w:lastRenderedPageBreak/>
        <w:t xml:space="preserve">Poets </w:t>
      </w:r>
      <w:r>
        <w:t>(1824).</w:t>
      </w:r>
      <w:r w:rsidR="0025619F">
        <w:rPr>
          <w:rStyle w:val="FootnoteReference"/>
        </w:rPr>
        <w:footnoteReference w:id="3"/>
      </w:r>
      <w:r w:rsidR="009A37BF">
        <w:t xml:space="preserve"> </w:t>
      </w:r>
      <w:r w:rsidR="00166AED">
        <w:t xml:space="preserve">We might indeed trace Hazlitt’s facility with quotation from memory from his training with Enfield’s work, and through the great success of </w:t>
      </w:r>
      <w:r w:rsidR="00166AED">
        <w:rPr>
          <w:i/>
          <w:iCs/>
        </w:rPr>
        <w:t xml:space="preserve">The Speaker </w:t>
      </w:r>
      <w:r w:rsidR="00166AED">
        <w:t xml:space="preserve">Enfield does seem to have offered Hazlitt among others a model for the </w:t>
      </w:r>
      <w:r w:rsidR="00A63920">
        <w:t>practice</w:t>
      </w:r>
      <w:r w:rsidR="00166AED">
        <w:t xml:space="preserve"> of </w:t>
      </w:r>
      <w:r w:rsidR="00A63920">
        <w:t xml:space="preserve">producing </w:t>
      </w:r>
      <w:r w:rsidR="00166AED">
        <w:t xml:space="preserve">anthologies. </w:t>
      </w:r>
      <w:r w:rsidR="009A37BF">
        <w:t xml:space="preserve">But </w:t>
      </w:r>
      <w:r w:rsidR="00166AED">
        <w:t xml:space="preserve">I </w:t>
      </w:r>
      <w:r w:rsidR="009A37BF">
        <w:t>suggest that</w:t>
      </w:r>
      <w:r w:rsidR="00166AED">
        <w:t xml:space="preserve"> in addition to these factors,</w:t>
      </w:r>
      <w:r w:rsidR="009A37BF">
        <w:t xml:space="preserve"> </w:t>
      </w:r>
      <w:r w:rsidR="009A37BF">
        <w:rPr>
          <w:i/>
          <w:iCs/>
        </w:rPr>
        <w:t>The Speaker</w:t>
      </w:r>
      <w:r w:rsidR="009A37BF">
        <w:t xml:space="preserve"> has two other important functions in Hazlitt’s work</w:t>
      </w:r>
      <w:r w:rsidR="00166AED">
        <w:t>.</w:t>
      </w:r>
      <w:r w:rsidR="009A37BF">
        <w:t xml:space="preserve"> </w:t>
      </w:r>
      <w:r w:rsidR="00166AED">
        <w:t>F</w:t>
      </w:r>
      <w:r w:rsidR="009A37BF">
        <w:t xml:space="preserve">irst, </w:t>
      </w:r>
      <w:r w:rsidR="00166AED">
        <w:t>Enfield’s text</w:t>
      </w:r>
      <w:r w:rsidR="009A37BF">
        <w:t xml:space="preserve"> equips </w:t>
      </w:r>
      <w:r w:rsidR="00166AED">
        <w:t>Hazlitt</w:t>
      </w:r>
      <w:r w:rsidR="009A37BF">
        <w:t xml:space="preserve"> with a model of writing </w:t>
      </w:r>
      <w:r w:rsidR="00166AED">
        <w:t xml:space="preserve">and written style </w:t>
      </w:r>
      <w:r w:rsidR="009A37BF">
        <w:t xml:space="preserve">that is founded on the practice of reading aloud, and second, it supplies him with a way of </w:t>
      </w:r>
      <w:r w:rsidR="00166AED">
        <w:t xml:space="preserve">articulating his </w:t>
      </w:r>
      <w:r w:rsidR="009A37BF">
        <w:t>sustain</w:t>
      </w:r>
      <w:r w:rsidR="00166AED">
        <w:t>ed</w:t>
      </w:r>
      <w:r w:rsidR="009A37BF">
        <w:t xml:space="preserve"> allegiance to Dissenting modes of education.</w:t>
      </w:r>
    </w:p>
    <w:p w14:paraId="6CD0D8CB" w14:textId="741C088C" w:rsidR="00246F93" w:rsidRDefault="005E474C" w:rsidP="00902D64">
      <w:pPr>
        <w:spacing w:line="480" w:lineRule="auto"/>
        <w:ind w:firstLine="720"/>
        <w:jc w:val="both"/>
      </w:pPr>
      <w:r>
        <w:t xml:space="preserve">In the wake of </w:t>
      </w:r>
      <w:r w:rsidR="00445B84">
        <w:t>Tom</w:t>
      </w:r>
      <w:r w:rsidR="00246F93">
        <w:t xml:space="preserve"> </w:t>
      </w:r>
      <w:r w:rsidR="009A37BF">
        <w:t>Paulin</w:t>
      </w:r>
      <w:r>
        <w:t>’s</w:t>
      </w:r>
      <w:r w:rsidR="008717D2">
        <w:t xml:space="preserve"> </w:t>
      </w:r>
      <w:r w:rsidR="0069540B">
        <w:rPr>
          <w:i/>
          <w:iCs/>
        </w:rPr>
        <w:t xml:space="preserve">The Day-Star of Liberty </w:t>
      </w:r>
      <w:r w:rsidR="0069540B">
        <w:t>(1998)</w:t>
      </w:r>
      <w:r>
        <w:t>, which asserted the importance of Hazlitt’s Dissenting identity for his mature works,</w:t>
      </w:r>
      <w:r w:rsidR="00166AED">
        <w:t xml:space="preserve"> we have seen further studies which investigate the detail of Hazlitt’s engagement with and response to </w:t>
      </w:r>
      <w:r w:rsidR="00B259A1">
        <w:t>the Dissenting protestant faith of his father, and his own education within Dissenting circles</w:t>
      </w:r>
      <w:r w:rsidR="00246F93">
        <w:t>.</w:t>
      </w:r>
      <w:r>
        <w:rPr>
          <w:rStyle w:val="FootnoteReference"/>
        </w:rPr>
        <w:footnoteReference w:id="4"/>
      </w:r>
      <w:r w:rsidR="0025619F">
        <w:t xml:space="preserve"> Stephen Burley</w:t>
      </w:r>
      <w:r>
        <w:t xml:space="preserve">’s </w:t>
      </w:r>
      <w:r>
        <w:rPr>
          <w:i/>
          <w:iCs/>
        </w:rPr>
        <w:t>Hazlitt the Dissenter</w:t>
      </w:r>
      <w:r w:rsidR="0025619F">
        <w:t xml:space="preserve"> </w:t>
      </w:r>
      <w:r>
        <w:t xml:space="preserve">(2014) </w:t>
      </w:r>
      <w:r w:rsidR="0025619F">
        <w:t>offer</w:t>
      </w:r>
      <w:r w:rsidR="008717D2">
        <w:t>s</w:t>
      </w:r>
      <w:r w:rsidR="0025619F">
        <w:t xml:space="preserve"> new evidence of Hazlitt’s schooling </w:t>
      </w:r>
      <w:r w:rsidR="00A34084">
        <w:t xml:space="preserve">at </w:t>
      </w:r>
      <w:r w:rsidR="00733AA6">
        <w:t xml:space="preserve">the </w:t>
      </w:r>
      <w:r w:rsidR="00A34084">
        <w:t xml:space="preserve">New College Hackney </w:t>
      </w:r>
      <w:r w:rsidR="00166AED">
        <w:t>D</w:t>
      </w:r>
      <w:r w:rsidR="00733AA6">
        <w:t xml:space="preserve">issenting academy, </w:t>
      </w:r>
      <w:r w:rsidR="0025619F">
        <w:t>and the influence of his father’s published work and theological practices</w:t>
      </w:r>
      <w:r>
        <w:t xml:space="preserve"> on Hazlitt’s early writings</w:t>
      </w:r>
      <w:r w:rsidR="008717D2">
        <w:t xml:space="preserve">. </w:t>
      </w:r>
      <w:r w:rsidR="0025619F">
        <w:t xml:space="preserve">Burley focuses </w:t>
      </w:r>
      <w:r>
        <w:t xml:space="preserve">in particular </w:t>
      </w:r>
      <w:r w:rsidR="0025619F">
        <w:t xml:space="preserve">on the way </w:t>
      </w:r>
      <w:r w:rsidRPr="005E474C">
        <w:t xml:space="preserve">‘Hazlitt’s political radicalism was deeply indebted to the practices of </w:t>
      </w:r>
      <w:r>
        <w:t>eighteenth-century</w:t>
      </w:r>
      <w:r w:rsidRPr="005E474C">
        <w:t xml:space="preserve"> rational dissent</w:t>
      </w:r>
      <w:r>
        <w:t>’</w:t>
      </w:r>
      <w:r w:rsidR="0025619F">
        <w:t>.</w:t>
      </w:r>
      <w:r w:rsidR="008717D2">
        <w:rPr>
          <w:rStyle w:val="FootnoteReference"/>
        </w:rPr>
        <w:footnoteReference w:id="5"/>
      </w:r>
      <w:r w:rsidR="0025619F">
        <w:t xml:space="preserve"> </w:t>
      </w:r>
      <w:r w:rsidR="00107211">
        <w:t xml:space="preserve">Kevin Gilmartin </w:t>
      </w:r>
      <w:r w:rsidR="00445B84">
        <w:t>ha</w:t>
      </w:r>
      <w:r w:rsidR="00107211">
        <w:t>s</w:t>
      </w:r>
      <w:r w:rsidR="0025619F">
        <w:t xml:space="preserve"> broaden</w:t>
      </w:r>
      <w:r w:rsidR="00445B84">
        <w:t>ed</w:t>
      </w:r>
      <w:r w:rsidR="0025619F">
        <w:t xml:space="preserve"> that enquiry to think about </w:t>
      </w:r>
      <w:r w:rsidR="00107211">
        <w:t>the</w:t>
      </w:r>
      <w:r w:rsidR="0025619F">
        <w:t xml:space="preserve"> importance </w:t>
      </w:r>
      <w:r w:rsidR="00107211">
        <w:t xml:space="preserve">of </w:t>
      </w:r>
      <w:r w:rsidR="00166AED">
        <w:t>D</w:t>
      </w:r>
      <w:r w:rsidR="00107211">
        <w:t>issent</w:t>
      </w:r>
      <w:r>
        <w:t>ing traditions</w:t>
      </w:r>
      <w:r w:rsidR="00107211">
        <w:t xml:space="preserve"> </w:t>
      </w:r>
      <w:r w:rsidR="0025619F">
        <w:t xml:space="preserve">for Hazlitt’s account of literary </w:t>
      </w:r>
      <w:r w:rsidR="00445B84">
        <w:t>expression</w:t>
      </w:r>
      <w:r w:rsidR="0025619F">
        <w:t xml:space="preserve"> and inheritance throughout his career</w:t>
      </w:r>
      <w:r w:rsidR="00107211">
        <w:t>, noting</w:t>
      </w:r>
      <w:r w:rsidR="00445B84">
        <w:t xml:space="preserve"> that </w:t>
      </w:r>
      <w:r>
        <w:t xml:space="preserve">‘in becoming a writer and developing a critical vocation he continued to pay ambivalent </w:t>
      </w:r>
      <w:r w:rsidR="008104D5">
        <w:t>tribute to the spiritual tradition in which he was raised’</w:t>
      </w:r>
      <w:r w:rsidR="006A2438">
        <w:t>.</w:t>
      </w:r>
      <w:r w:rsidR="00445B84">
        <w:rPr>
          <w:rStyle w:val="FootnoteReference"/>
        </w:rPr>
        <w:footnoteReference w:id="6"/>
      </w:r>
      <w:r w:rsidR="000E51C5">
        <w:t xml:space="preserve"> </w:t>
      </w:r>
      <w:r w:rsidR="006A2438">
        <w:t>Gilmartin suggests</w:t>
      </w:r>
      <w:r w:rsidR="00107211">
        <w:t xml:space="preserve"> that</w:t>
      </w:r>
      <w:r>
        <w:t xml:space="preserve"> Hazlitt’s debt to </w:t>
      </w:r>
      <w:r w:rsidR="00F104C9">
        <w:t>D</w:t>
      </w:r>
      <w:r>
        <w:t>issenting traditions is apparent not only in the subjects of his work, but in the very form of his writing:</w:t>
      </w:r>
      <w:r w:rsidR="000E51C5">
        <w:t xml:space="preserve"> </w:t>
      </w:r>
      <w:r w:rsidR="00107211">
        <w:t>‘</w:t>
      </w:r>
      <w:r w:rsidR="000E51C5">
        <w:t xml:space="preserve">A dissenting heritage is evident in Hazlitt’s prose in the pattern </w:t>
      </w:r>
      <w:r w:rsidR="000E51C5">
        <w:lastRenderedPageBreak/>
        <w:t>by which reflections on the past tha</w:t>
      </w:r>
      <w:r w:rsidR="00107211">
        <w:t>t</w:t>
      </w:r>
      <w:r w:rsidR="000E51C5">
        <w:t xml:space="preserve"> begin with his own experience can then reach back over generations while remaining infused with a tone of personal regret or resentment.’</w:t>
      </w:r>
      <w:r w:rsidR="006A2438">
        <w:rPr>
          <w:rStyle w:val="FootnoteReference"/>
        </w:rPr>
        <w:footnoteReference w:id="7"/>
      </w:r>
      <w:r w:rsidR="00107211">
        <w:t xml:space="preserve"> I </w:t>
      </w:r>
      <w:r w:rsidR="00D14C58">
        <w:t>suggest that</w:t>
      </w:r>
      <w:r w:rsidR="00107211">
        <w:t xml:space="preserve"> </w:t>
      </w:r>
      <w:r w:rsidR="00D14C58">
        <w:t>Hazlitt’s accounts of his early experiences of reading aloud articulate precisely this</w:t>
      </w:r>
      <w:r w:rsidR="00107211">
        <w:t xml:space="preserve"> connection between personal reminiscence and allegiance to </w:t>
      </w:r>
      <w:r w:rsidR="00166AED">
        <w:t>D</w:t>
      </w:r>
      <w:r w:rsidR="00107211">
        <w:t>issenting culture.</w:t>
      </w:r>
    </w:p>
    <w:p w14:paraId="2B975797" w14:textId="50303399" w:rsidR="00887E08" w:rsidRPr="00E55453" w:rsidRDefault="00107211" w:rsidP="00902D64">
      <w:pPr>
        <w:spacing w:line="480" w:lineRule="auto"/>
        <w:ind w:firstLine="720"/>
        <w:jc w:val="both"/>
      </w:pPr>
      <w:r>
        <w:t xml:space="preserve">The connections between reading, speech and </w:t>
      </w:r>
      <w:r w:rsidR="006B7999">
        <w:t>conversation</w:t>
      </w:r>
      <w:r>
        <w:t xml:space="preserve"> in Hazlitt’s lectures and essays have also </w:t>
      </w:r>
      <w:r w:rsidR="009408A4">
        <w:t>been</w:t>
      </w:r>
      <w:r w:rsidR="00840AEF">
        <w:t xml:space="preserve"> recently discussed</w:t>
      </w:r>
      <w:r w:rsidR="009408A4">
        <w:t xml:space="preserve"> by commentators</w:t>
      </w:r>
      <w:r>
        <w:t>.</w:t>
      </w:r>
      <w:r w:rsidR="000E51C5">
        <w:t xml:space="preserve"> </w:t>
      </w:r>
      <w:r w:rsidR="009408A4">
        <w:t xml:space="preserve">In </w:t>
      </w:r>
      <w:r w:rsidR="009408A4">
        <w:rPr>
          <w:i/>
          <w:iCs/>
        </w:rPr>
        <w:t xml:space="preserve">Conversable Worlds </w:t>
      </w:r>
      <w:r w:rsidR="009408A4">
        <w:t xml:space="preserve">(2011), </w:t>
      </w:r>
      <w:r w:rsidR="00A34084">
        <w:t xml:space="preserve">Jon </w:t>
      </w:r>
      <w:proofErr w:type="spellStart"/>
      <w:r w:rsidR="00CA215D">
        <w:t>Mee</w:t>
      </w:r>
      <w:proofErr w:type="spellEnd"/>
      <w:r w:rsidR="00CA215D">
        <w:t xml:space="preserve"> </w:t>
      </w:r>
      <w:r w:rsidR="00A34084">
        <w:t>note</w:t>
      </w:r>
      <w:r w:rsidR="00840AEF">
        <w:t>s</w:t>
      </w:r>
      <w:r w:rsidR="00A34084">
        <w:t xml:space="preserve"> the importance of conversation in </w:t>
      </w:r>
      <w:r w:rsidR="009408A4">
        <w:t>D</w:t>
      </w:r>
      <w:r w:rsidR="00A34084">
        <w:t xml:space="preserve">issenting pedagogy, and suggests that the ‘conversable style’ of Hazlitt’s later essays had its roots in </w:t>
      </w:r>
      <w:r w:rsidR="00840AEF">
        <w:t>that tradition</w:t>
      </w:r>
      <w:r w:rsidR="00A34084">
        <w:t>.</w:t>
      </w:r>
      <w:r w:rsidR="00A34084">
        <w:rPr>
          <w:rStyle w:val="FootnoteReference"/>
        </w:rPr>
        <w:footnoteReference w:id="8"/>
      </w:r>
      <w:r w:rsidR="00A34084">
        <w:t xml:space="preserve"> </w:t>
      </w:r>
      <w:r>
        <w:t>Jon Cook makes Hazlitt’s ‘conversational style’ a political move</w:t>
      </w:r>
      <w:r w:rsidR="00D14C58">
        <w:t>,</w:t>
      </w:r>
      <w:r>
        <w:t xml:space="preserve"> in opposition to the oratory of </w:t>
      </w:r>
      <w:r>
        <w:rPr>
          <w:i/>
          <w:iCs/>
        </w:rPr>
        <w:t xml:space="preserve">Blackwood’s Magazine, </w:t>
      </w:r>
      <w:r>
        <w:t>and suggests that in so doing, he ‘</w:t>
      </w:r>
      <w:r w:rsidR="00B819FA">
        <w:t>gives priority to speech over writing</w:t>
      </w:r>
      <w:r>
        <w:t>’</w:t>
      </w:r>
      <w:r w:rsidR="00853520">
        <w:t xml:space="preserve"> in collections like </w:t>
      </w:r>
      <w:r w:rsidR="00853520">
        <w:rPr>
          <w:i/>
          <w:iCs/>
        </w:rPr>
        <w:t>The Plain Speaker</w:t>
      </w:r>
      <w:r w:rsidR="00DE7D02">
        <w:rPr>
          <w:i/>
          <w:iCs/>
        </w:rPr>
        <w:t>.</w:t>
      </w:r>
      <w:r>
        <w:rPr>
          <w:rStyle w:val="FootnoteReference"/>
        </w:rPr>
        <w:footnoteReference w:id="9"/>
      </w:r>
      <w:r w:rsidR="00B819FA">
        <w:t xml:space="preserve"> </w:t>
      </w:r>
      <w:r w:rsidR="00A344A3">
        <w:rPr>
          <w:i/>
          <w:iCs/>
        </w:rPr>
        <w:t>The Plain Speaker</w:t>
      </w:r>
      <w:r w:rsidR="00A344A3">
        <w:t xml:space="preserve"> </w:t>
      </w:r>
      <w:r w:rsidR="009408A4">
        <w:t xml:space="preserve">is crucial for </w:t>
      </w:r>
      <w:r w:rsidR="00127149">
        <w:t xml:space="preserve">my analysis </w:t>
      </w:r>
      <w:r w:rsidR="00A344A3">
        <w:t>too</w:t>
      </w:r>
      <w:r w:rsidR="00127149">
        <w:t xml:space="preserve">, but rather than </w:t>
      </w:r>
      <w:r w:rsidR="009408A4">
        <w:t xml:space="preserve">think about </w:t>
      </w:r>
      <w:r w:rsidR="00127149">
        <w:t>Hazlitt’s</w:t>
      </w:r>
      <w:r w:rsidR="007417AA">
        <w:t xml:space="preserve"> treatment of </w:t>
      </w:r>
      <w:r w:rsidR="009408A4">
        <w:t xml:space="preserve">the contrast between </w:t>
      </w:r>
      <w:r w:rsidR="007417AA">
        <w:t xml:space="preserve">writing and speech, I focus on </w:t>
      </w:r>
      <w:r w:rsidR="009408A4">
        <w:t xml:space="preserve">the moments in which they come together in </w:t>
      </w:r>
      <w:r w:rsidR="007417AA">
        <w:t>the essays’ account of reading aloud</w:t>
      </w:r>
      <w:r w:rsidR="009B1329">
        <w:t>.</w:t>
      </w:r>
      <w:r w:rsidR="007417AA">
        <w:t xml:space="preserve"> Lucy Newlyn</w:t>
      </w:r>
      <w:r w:rsidR="009F454B">
        <w:t xml:space="preserve"> </w:t>
      </w:r>
      <w:r w:rsidR="00853520">
        <w:t>notes</w:t>
      </w:r>
      <w:r w:rsidR="009F454B">
        <w:t xml:space="preserve"> </w:t>
      </w:r>
      <w:r w:rsidR="009B1329">
        <w:t xml:space="preserve">that some </w:t>
      </w:r>
      <w:r w:rsidR="009408A4">
        <w:t xml:space="preserve">of the </w:t>
      </w:r>
      <w:r w:rsidR="009B1329">
        <w:t xml:space="preserve">essays in the </w:t>
      </w:r>
      <w:r w:rsidR="009B1329">
        <w:rPr>
          <w:i/>
          <w:iCs/>
        </w:rPr>
        <w:t xml:space="preserve">Plain Speaker </w:t>
      </w:r>
      <w:r w:rsidR="009B1329">
        <w:t xml:space="preserve">suggest </w:t>
      </w:r>
      <w:r w:rsidR="009F454B">
        <w:t>Hazlitt’s ‘mistrust’ of forms o</w:t>
      </w:r>
      <w:r w:rsidR="009B1329">
        <w:t>f</w:t>
      </w:r>
      <w:r w:rsidR="009F454B">
        <w:t xml:space="preserve"> oratory</w:t>
      </w:r>
      <w:r w:rsidR="009408A4">
        <w:t>, especially those which</w:t>
      </w:r>
      <w:r w:rsidR="009F454B">
        <w:t xml:space="preserve"> draw listeners under the spell of the speaker</w:t>
      </w:r>
      <w:r w:rsidR="009408A4">
        <w:t>. She observes</w:t>
      </w:r>
      <w:r w:rsidR="009B1329">
        <w:t xml:space="preserve"> that ‘[t]his mistrust is not what one might expect of the Hazlitt who emerged from the Dissenting tradition, which placed its faith in elocution as a passport to intellectual and social standing</w:t>
      </w:r>
      <w:r w:rsidR="009F454B">
        <w:t>.</w:t>
      </w:r>
      <w:r w:rsidR="009B1329">
        <w:t>’</w:t>
      </w:r>
      <w:r w:rsidR="009F454B">
        <w:rPr>
          <w:rStyle w:val="FootnoteReference"/>
        </w:rPr>
        <w:footnoteReference w:id="10"/>
      </w:r>
      <w:r w:rsidR="00E55453">
        <w:t xml:space="preserve"> </w:t>
      </w:r>
      <w:r w:rsidR="009408A4">
        <w:t>As we will see, Hazlitt by no means subscribes to all forms of reading aloud, and is especially wary of oratory designed to overwhelm its listeners, and of the hypnotic effects of certain forms of poetic recitation.</w:t>
      </w:r>
      <w:r w:rsidR="00A344A3">
        <w:t xml:space="preserve"> </w:t>
      </w:r>
      <w:r w:rsidR="00E55453">
        <w:t>But I suggest that this ‘mistrust’</w:t>
      </w:r>
      <w:r w:rsidR="009408A4">
        <w:t xml:space="preserve"> does not apply to the </w:t>
      </w:r>
      <w:r w:rsidR="009408A4">
        <w:lastRenderedPageBreak/>
        <w:t xml:space="preserve">‘art of reading’ pioneered by </w:t>
      </w:r>
      <w:r w:rsidR="00F104C9">
        <w:t>D</w:t>
      </w:r>
      <w:r w:rsidR="009408A4">
        <w:t>issenting pedagogues.</w:t>
      </w:r>
      <w:r w:rsidR="00E55453">
        <w:t xml:space="preserve"> </w:t>
      </w:r>
      <w:r w:rsidR="009408A4">
        <w:t>The</w:t>
      </w:r>
      <w:r w:rsidR="00E55453">
        <w:t xml:space="preserve"> forms of reading aloud modelled in Enfield’s </w:t>
      </w:r>
      <w:r w:rsidR="00E55453">
        <w:rPr>
          <w:i/>
          <w:iCs/>
        </w:rPr>
        <w:t>Speaker</w:t>
      </w:r>
      <w:r w:rsidR="00E55453">
        <w:t xml:space="preserve"> provide Hazlitt with a paradigm for </w:t>
      </w:r>
      <w:r w:rsidR="009408A4">
        <w:t xml:space="preserve">educational practice and for </w:t>
      </w:r>
      <w:r w:rsidR="00E55453">
        <w:t>literary expression</w:t>
      </w:r>
      <w:r w:rsidR="009408A4">
        <w:t>,</w:t>
      </w:r>
      <w:r w:rsidR="00E55453">
        <w:t xml:space="preserve"> which</w:t>
      </w:r>
      <w:r w:rsidR="007328C5">
        <w:t xml:space="preserve"> honours</w:t>
      </w:r>
      <w:r w:rsidR="00E55453">
        <w:t xml:space="preserve"> his </w:t>
      </w:r>
      <w:r w:rsidR="00F104C9">
        <w:t>D</w:t>
      </w:r>
      <w:r w:rsidR="00E55453">
        <w:t xml:space="preserve">issenting </w:t>
      </w:r>
      <w:r w:rsidR="007328C5">
        <w:t>heritage</w:t>
      </w:r>
      <w:r w:rsidR="00E55453">
        <w:t xml:space="preserve">. </w:t>
      </w:r>
    </w:p>
    <w:p w14:paraId="4C6BAB4A" w14:textId="77777777" w:rsidR="00A344A3" w:rsidRDefault="00A344A3" w:rsidP="00902D64">
      <w:pPr>
        <w:spacing w:line="480" w:lineRule="auto"/>
        <w:jc w:val="both"/>
        <w:rPr>
          <w:bCs/>
        </w:rPr>
      </w:pPr>
    </w:p>
    <w:p w14:paraId="129F2541" w14:textId="28A1AC35" w:rsidR="00A344A3" w:rsidRPr="004975D7" w:rsidRDefault="00A344A3" w:rsidP="00902D64">
      <w:pPr>
        <w:spacing w:line="480" w:lineRule="auto"/>
        <w:jc w:val="both"/>
        <w:rPr>
          <w:b/>
        </w:rPr>
      </w:pPr>
      <w:r>
        <w:rPr>
          <w:b/>
        </w:rPr>
        <w:t>Part I</w:t>
      </w:r>
      <w:r w:rsidR="004975D7">
        <w:rPr>
          <w:b/>
        </w:rPr>
        <w:t xml:space="preserve"> </w:t>
      </w:r>
      <w:r w:rsidR="004975D7">
        <w:rPr>
          <w:b/>
          <w:i/>
          <w:iCs/>
        </w:rPr>
        <w:t xml:space="preserve">The Speaker </w:t>
      </w:r>
      <w:r w:rsidR="004975D7">
        <w:rPr>
          <w:b/>
        </w:rPr>
        <w:t>at school</w:t>
      </w:r>
    </w:p>
    <w:p w14:paraId="69EC9563" w14:textId="4B7CB143" w:rsidR="00230231" w:rsidRPr="002D7EB0" w:rsidRDefault="005B6854" w:rsidP="00902D64">
      <w:pPr>
        <w:spacing w:line="480" w:lineRule="auto"/>
        <w:jc w:val="both"/>
        <w:rPr>
          <w:color w:val="000000" w:themeColor="text1"/>
        </w:rPr>
      </w:pPr>
      <w:r w:rsidRPr="005B6854">
        <w:rPr>
          <w:bCs/>
        </w:rPr>
        <w:t>William Enfield</w:t>
      </w:r>
      <w:r w:rsidR="00EA2CFC">
        <w:rPr>
          <w:bCs/>
        </w:rPr>
        <w:t xml:space="preserve"> was a Unitarian </w:t>
      </w:r>
      <w:r w:rsidR="00F104C9">
        <w:rPr>
          <w:bCs/>
        </w:rPr>
        <w:t>D</w:t>
      </w:r>
      <w:r w:rsidR="00EA2CFC">
        <w:rPr>
          <w:bCs/>
        </w:rPr>
        <w:t>issenter, and</w:t>
      </w:r>
      <w:r w:rsidR="00A344A3">
        <w:rPr>
          <w:bCs/>
        </w:rPr>
        <w:t xml:space="preserve"> he</w:t>
      </w:r>
      <w:r w:rsidR="00EA2CFC">
        <w:rPr>
          <w:bCs/>
        </w:rPr>
        <w:t xml:space="preserve"> published</w:t>
      </w:r>
      <w:r w:rsidRPr="005B6854">
        <w:rPr>
          <w:bCs/>
        </w:rPr>
        <w:t xml:space="preserve"> </w:t>
      </w:r>
      <w:r w:rsidR="005F5844">
        <w:rPr>
          <w:bCs/>
          <w:i/>
          <w:iCs/>
        </w:rPr>
        <w:t>The Speaker</w:t>
      </w:r>
      <w:r w:rsidRPr="005B6854">
        <w:rPr>
          <w:bCs/>
        </w:rPr>
        <w:t xml:space="preserve"> </w:t>
      </w:r>
      <w:r w:rsidR="00EA2CFC">
        <w:rPr>
          <w:bCs/>
        </w:rPr>
        <w:t>with</w:t>
      </w:r>
      <w:r w:rsidRPr="005B6854">
        <w:rPr>
          <w:bCs/>
        </w:rPr>
        <w:t xml:space="preserve"> Joseph Johnson, in 1774</w:t>
      </w:r>
      <w:r w:rsidR="005F5844">
        <w:rPr>
          <w:bCs/>
        </w:rPr>
        <w:t xml:space="preserve">, </w:t>
      </w:r>
      <w:r w:rsidR="00044B8F">
        <w:rPr>
          <w:bCs/>
        </w:rPr>
        <w:t>four years before Hazlitt’s birth</w:t>
      </w:r>
      <w:r w:rsidR="005F5844">
        <w:rPr>
          <w:bCs/>
        </w:rPr>
        <w:t xml:space="preserve">. Enfield’s book </w:t>
      </w:r>
      <w:r w:rsidR="00044B8F">
        <w:rPr>
          <w:bCs/>
        </w:rPr>
        <w:t>extremely successful</w:t>
      </w:r>
      <w:r w:rsidR="005F5844">
        <w:rPr>
          <w:bCs/>
        </w:rPr>
        <w:t>: it</w:t>
      </w:r>
      <w:r w:rsidRPr="005B6854">
        <w:rPr>
          <w:bCs/>
        </w:rPr>
        <w:t xml:space="preserve"> went into multiple editions</w:t>
      </w:r>
      <w:r w:rsidR="00044B8F">
        <w:rPr>
          <w:bCs/>
        </w:rPr>
        <w:t xml:space="preserve"> in Britain and </w:t>
      </w:r>
      <w:proofErr w:type="gramStart"/>
      <w:r w:rsidR="00044B8F">
        <w:rPr>
          <w:bCs/>
        </w:rPr>
        <w:t>America, and</w:t>
      </w:r>
      <w:proofErr w:type="gramEnd"/>
      <w:r w:rsidR="00044B8F">
        <w:rPr>
          <w:bCs/>
        </w:rPr>
        <w:t xml:space="preserve"> was still being published late into the nineteenth century. It also </w:t>
      </w:r>
      <w:r w:rsidR="00A344A3">
        <w:rPr>
          <w:bCs/>
        </w:rPr>
        <w:t>became something of a literary phenomenon</w:t>
      </w:r>
      <w:r w:rsidR="00044B8F">
        <w:rPr>
          <w:bCs/>
        </w:rPr>
        <w:t xml:space="preserve"> and touchstone for authors</w:t>
      </w:r>
      <w:r w:rsidR="00A344A3">
        <w:rPr>
          <w:bCs/>
        </w:rPr>
        <w:t xml:space="preserve">; it </w:t>
      </w:r>
      <w:r w:rsidR="000D44C2">
        <w:rPr>
          <w:bCs/>
        </w:rPr>
        <w:t>is</w:t>
      </w:r>
      <w:r w:rsidRPr="005B6854">
        <w:rPr>
          <w:bCs/>
        </w:rPr>
        <w:t xml:space="preserve"> mentioned in </w:t>
      </w:r>
      <w:r w:rsidR="00044B8F">
        <w:rPr>
          <w:bCs/>
        </w:rPr>
        <w:t xml:space="preserve">numerous texts by Hazlitt’s contemporaries, including </w:t>
      </w:r>
      <w:r w:rsidRPr="005B6854">
        <w:rPr>
          <w:bCs/>
        </w:rPr>
        <w:t xml:space="preserve">Dorothy Wordsworth’s journals, </w:t>
      </w:r>
      <w:r w:rsidR="00840AEF">
        <w:rPr>
          <w:bCs/>
        </w:rPr>
        <w:t xml:space="preserve">and </w:t>
      </w:r>
      <w:r w:rsidRPr="005B6854">
        <w:rPr>
          <w:bCs/>
        </w:rPr>
        <w:t xml:space="preserve">Austen’s </w:t>
      </w:r>
      <w:r w:rsidRPr="005B6854">
        <w:rPr>
          <w:bCs/>
          <w:i/>
        </w:rPr>
        <w:t>Mansfield</w:t>
      </w:r>
      <w:r w:rsidR="00044B8F">
        <w:rPr>
          <w:bCs/>
          <w:i/>
        </w:rPr>
        <w:t xml:space="preserve"> Park</w:t>
      </w:r>
      <w:r w:rsidRPr="005B6854">
        <w:rPr>
          <w:bCs/>
        </w:rPr>
        <w:t>.</w:t>
      </w:r>
      <w:r w:rsidR="00B476A5">
        <w:rPr>
          <w:rStyle w:val="FootnoteReference"/>
          <w:bCs/>
        </w:rPr>
        <w:footnoteReference w:id="11"/>
      </w:r>
      <w:r w:rsidRPr="005B6854">
        <w:rPr>
          <w:bCs/>
        </w:rPr>
        <w:t xml:space="preserve"> Enfield </w:t>
      </w:r>
      <w:r w:rsidR="00044B8F">
        <w:rPr>
          <w:bCs/>
        </w:rPr>
        <w:t xml:space="preserve">had written the book for his students at </w:t>
      </w:r>
      <w:r w:rsidRPr="005B6854">
        <w:rPr>
          <w:bCs/>
        </w:rPr>
        <w:t xml:space="preserve">Warrington </w:t>
      </w:r>
      <w:r w:rsidR="00F104C9">
        <w:rPr>
          <w:bCs/>
        </w:rPr>
        <w:t>D</w:t>
      </w:r>
      <w:r w:rsidRPr="005B6854">
        <w:rPr>
          <w:bCs/>
        </w:rPr>
        <w:t>issenting academy</w:t>
      </w:r>
      <w:r w:rsidR="00044B8F">
        <w:rPr>
          <w:bCs/>
        </w:rPr>
        <w:t>, noting</w:t>
      </w:r>
      <w:r w:rsidR="005F5844">
        <w:rPr>
          <w:bCs/>
        </w:rPr>
        <w:t xml:space="preserve"> in his preface that </w:t>
      </w:r>
      <w:r w:rsidR="00044B8F">
        <w:rPr>
          <w:bCs/>
          <w:i/>
          <w:iCs/>
        </w:rPr>
        <w:t>The Speaker</w:t>
      </w:r>
      <w:r w:rsidR="00840AEF">
        <w:rPr>
          <w:bCs/>
        </w:rPr>
        <w:t xml:space="preserve"> was</w:t>
      </w:r>
      <w:r w:rsidR="005F5844">
        <w:rPr>
          <w:bCs/>
        </w:rPr>
        <w:t xml:space="preserve"> </w:t>
      </w:r>
      <w:r w:rsidR="005F5844">
        <w:t>‘</w:t>
      </w:r>
      <w:r w:rsidRPr="00A31DA4">
        <w:rPr>
          <w:rFonts w:cstheme="minorHAnsi"/>
        </w:rPr>
        <w:t>undertaken principally with the design of assisting the students at Warrington in acquiring a just and graceful elocution</w:t>
      </w:r>
      <w:r>
        <w:rPr>
          <w:rFonts w:cstheme="minorHAnsi"/>
        </w:rPr>
        <w:t>’</w:t>
      </w:r>
      <w:r w:rsidR="002C3C89">
        <w:rPr>
          <w:rFonts w:cstheme="minorHAnsi"/>
        </w:rPr>
        <w:t>.</w:t>
      </w:r>
      <w:r w:rsidR="002C3C89">
        <w:rPr>
          <w:rStyle w:val="FootnoteReference"/>
          <w:rFonts w:cstheme="minorHAnsi"/>
        </w:rPr>
        <w:footnoteReference w:id="12"/>
      </w:r>
      <w:r w:rsidR="000A20A1">
        <w:t xml:space="preserve"> </w:t>
      </w:r>
      <w:r w:rsidRPr="005B6854">
        <w:rPr>
          <w:bCs/>
        </w:rPr>
        <w:t xml:space="preserve">Enfield makes </w:t>
      </w:r>
      <w:r w:rsidR="000A20A1">
        <w:rPr>
          <w:bCs/>
        </w:rPr>
        <w:t xml:space="preserve">his </w:t>
      </w:r>
      <w:r w:rsidR="00F104C9">
        <w:rPr>
          <w:bCs/>
        </w:rPr>
        <w:t>D</w:t>
      </w:r>
      <w:r w:rsidR="000A20A1">
        <w:rPr>
          <w:bCs/>
        </w:rPr>
        <w:t>issenting loyalties</w:t>
      </w:r>
      <w:r w:rsidRPr="005B6854">
        <w:rPr>
          <w:bCs/>
        </w:rPr>
        <w:t xml:space="preserve"> central to his project in </w:t>
      </w:r>
      <w:r w:rsidRPr="005B6854">
        <w:rPr>
          <w:bCs/>
          <w:i/>
        </w:rPr>
        <w:t>The Speaker</w:t>
      </w:r>
      <w:r w:rsidR="00044B8F">
        <w:rPr>
          <w:bCs/>
        </w:rPr>
        <w:t xml:space="preserve">; he </w:t>
      </w:r>
      <w:r w:rsidR="00840AEF">
        <w:rPr>
          <w:bCs/>
        </w:rPr>
        <w:t>dedicat</w:t>
      </w:r>
      <w:r w:rsidR="00044B8F">
        <w:rPr>
          <w:bCs/>
        </w:rPr>
        <w:t>es the book</w:t>
      </w:r>
      <w:r w:rsidRPr="005B6854">
        <w:rPr>
          <w:bCs/>
        </w:rPr>
        <w:t xml:space="preserve"> to the president of Warrington Academy, </w:t>
      </w:r>
      <w:r w:rsidR="00840AEF">
        <w:rPr>
          <w:bCs/>
        </w:rPr>
        <w:t xml:space="preserve">and </w:t>
      </w:r>
      <w:r w:rsidRPr="005B6854">
        <w:rPr>
          <w:bCs/>
        </w:rPr>
        <w:t>prais</w:t>
      </w:r>
      <w:r w:rsidR="00044B8F">
        <w:rPr>
          <w:bCs/>
        </w:rPr>
        <w:t>es</w:t>
      </w:r>
      <w:r w:rsidRPr="005B6854">
        <w:rPr>
          <w:bCs/>
        </w:rPr>
        <w:t xml:space="preserve"> the school for its ‘proper course of instruction for young men in the most useful branches of science and literature’.</w:t>
      </w:r>
      <w:r w:rsidR="00044B8F">
        <w:rPr>
          <w:rStyle w:val="FootnoteReference"/>
          <w:bCs/>
        </w:rPr>
        <w:footnoteReference w:id="13"/>
      </w:r>
      <w:r w:rsidRPr="005B6854">
        <w:rPr>
          <w:bCs/>
        </w:rPr>
        <w:t xml:space="preserve"> Enfield ends his dedication with a quotation from ‘OUR POETESS’, namely </w:t>
      </w:r>
      <w:r w:rsidR="000A20A1">
        <w:rPr>
          <w:bCs/>
        </w:rPr>
        <w:t xml:space="preserve">Anna </w:t>
      </w:r>
      <w:proofErr w:type="spellStart"/>
      <w:r w:rsidR="000A20A1">
        <w:rPr>
          <w:bCs/>
        </w:rPr>
        <w:t>Laetita</w:t>
      </w:r>
      <w:proofErr w:type="spellEnd"/>
      <w:r w:rsidR="000A20A1">
        <w:rPr>
          <w:bCs/>
        </w:rPr>
        <w:t xml:space="preserve"> </w:t>
      </w:r>
      <w:proofErr w:type="spellStart"/>
      <w:r w:rsidRPr="005B6854">
        <w:rPr>
          <w:bCs/>
        </w:rPr>
        <w:t>Barbauld</w:t>
      </w:r>
      <w:proofErr w:type="spellEnd"/>
      <w:r w:rsidR="00C93293">
        <w:rPr>
          <w:bCs/>
        </w:rPr>
        <w:t xml:space="preserve">, daughter of Warrington tutor John Aikin, and Dissenting pedagogue, polemicist and poet in her own right. Enfield’s quotation from </w:t>
      </w:r>
      <w:proofErr w:type="spellStart"/>
      <w:r w:rsidR="00C93293">
        <w:rPr>
          <w:bCs/>
        </w:rPr>
        <w:t>Barbauld’s</w:t>
      </w:r>
      <w:proofErr w:type="spellEnd"/>
      <w:r w:rsidRPr="005B6854">
        <w:rPr>
          <w:bCs/>
        </w:rPr>
        <w:t xml:space="preserve"> poem ‘The Invitation’</w:t>
      </w:r>
      <w:r w:rsidR="00A344A3">
        <w:rPr>
          <w:bCs/>
        </w:rPr>
        <w:t xml:space="preserve"> </w:t>
      </w:r>
      <w:r w:rsidR="00230231" w:rsidRPr="002D7EB0">
        <w:rPr>
          <w:color w:val="000000" w:themeColor="text1"/>
        </w:rPr>
        <w:t xml:space="preserve">stresses the </w:t>
      </w:r>
      <w:r w:rsidR="00230231">
        <w:rPr>
          <w:color w:val="000000" w:themeColor="text1"/>
        </w:rPr>
        <w:t>public duties for which students</w:t>
      </w:r>
      <w:r w:rsidR="00230231" w:rsidRPr="002D7EB0">
        <w:rPr>
          <w:color w:val="000000" w:themeColor="text1"/>
        </w:rPr>
        <w:t xml:space="preserve"> at Warring</w:t>
      </w:r>
      <w:r w:rsidR="00230231">
        <w:rPr>
          <w:color w:val="000000" w:themeColor="text1"/>
        </w:rPr>
        <w:t>t</w:t>
      </w:r>
      <w:r w:rsidR="00230231" w:rsidRPr="002D7EB0">
        <w:rPr>
          <w:color w:val="000000" w:themeColor="text1"/>
        </w:rPr>
        <w:t>on</w:t>
      </w:r>
      <w:r w:rsidR="00230231">
        <w:rPr>
          <w:color w:val="000000" w:themeColor="text1"/>
        </w:rPr>
        <w:t xml:space="preserve"> are educated</w:t>
      </w:r>
      <w:r w:rsidR="00230231" w:rsidRPr="002D7EB0">
        <w:rPr>
          <w:color w:val="000000" w:themeColor="text1"/>
        </w:rPr>
        <w:t>:</w:t>
      </w:r>
    </w:p>
    <w:p w14:paraId="342BF72B" w14:textId="77777777" w:rsidR="00230231" w:rsidRPr="002D7EB0" w:rsidRDefault="00230231" w:rsidP="00902D64">
      <w:pPr>
        <w:jc w:val="both"/>
        <w:rPr>
          <w:color w:val="000000" w:themeColor="text1"/>
        </w:rPr>
      </w:pPr>
      <w:r w:rsidRPr="002D7EB0">
        <w:rPr>
          <w:color w:val="000000" w:themeColor="text1"/>
        </w:rPr>
        <w:tab/>
      </w:r>
      <w:r w:rsidRPr="002D7EB0">
        <w:rPr>
          <w:color w:val="000000" w:themeColor="text1"/>
        </w:rPr>
        <w:tab/>
        <w:t>When this, this little group their country calls</w:t>
      </w:r>
    </w:p>
    <w:p w14:paraId="15B5FE4C" w14:textId="77777777" w:rsidR="00230231" w:rsidRPr="002D7EB0" w:rsidRDefault="00230231" w:rsidP="00902D64">
      <w:pPr>
        <w:ind w:left="720" w:firstLine="720"/>
        <w:jc w:val="both"/>
        <w:rPr>
          <w:color w:val="000000" w:themeColor="text1"/>
        </w:rPr>
      </w:pPr>
      <w:r w:rsidRPr="002D7EB0">
        <w:rPr>
          <w:color w:val="000000" w:themeColor="text1"/>
        </w:rPr>
        <w:lastRenderedPageBreak/>
        <w:t>From academic shades and learned halls…</w:t>
      </w:r>
    </w:p>
    <w:p w14:paraId="01E95CA4" w14:textId="77777777" w:rsidR="00230231" w:rsidRPr="002D7EB0" w:rsidRDefault="00230231" w:rsidP="00902D64">
      <w:pPr>
        <w:ind w:left="720" w:firstLine="720"/>
        <w:jc w:val="both"/>
        <w:rPr>
          <w:color w:val="000000" w:themeColor="text1"/>
        </w:rPr>
      </w:pPr>
      <w:r w:rsidRPr="002D7EB0">
        <w:rPr>
          <w:color w:val="000000" w:themeColor="text1"/>
        </w:rPr>
        <w:t>With friendly union in one mass shall blend,</w:t>
      </w:r>
    </w:p>
    <w:p w14:paraId="7093A770" w14:textId="77777777" w:rsidR="00230231" w:rsidRDefault="00230231" w:rsidP="00902D64">
      <w:pPr>
        <w:ind w:left="720" w:firstLine="720"/>
        <w:jc w:val="both"/>
        <w:rPr>
          <w:color w:val="000000" w:themeColor="text1"/>
        </w:rPr>
      </w:pPr>
      <w:r w:rsidRPr="002D7EB0">
        <w:rPr>
          <w:color w:val="000000" w:themeColor="text1"/>
        </w:rPr>
        <w:t>And this adorn the state, and that defend.</w:t>
      </w:r>
      <w:r w:rsidRPr="002D7EB0">
        <w:rPr>
          <w:rStyle w:val="FootnoteReference"/>
          <w:color w:val="000000" w:themeColor="text1"/>
        </w:rPr>
        <w:t xml:space="preserve"> </w:t>
      </w:r>
      <w:r w:rsidRPr="002D7EB0">
        <w:rPr>
          <w:rStyle w:val="FootnoteReference"/>
          <w:color w:val="000000" w:themeColor="text1"/>
        </w:rPr>
        <w:footnoteReference w:id="14"/>
      </w:r>
    </w:p>
    <w:p w14:paraId="6B8B65CE" w14:textId="77777777" w:rsidR="00230231" w:rsidRPr="002D7EB0" w:rsidRDefault="00230231" w:rsidP="00902D64">
      <w:pPr>
        <w:ind w:left="720" w:firstLine="720"/>
        <w:jc w:val="both"/>
        <w:rPr>
          <w:color w:val="000000" w:themeColor="text1"/>
        </w:rPr>
      </w:pPr>
    </w:p>
    <w:p w14:paraId="66FA1C8F" w14:textId="5FBD6EA8" w:rsidR="005B6854" w:rsidRDefault="00230231" w:rsidP="00902D64">
      <w:pPr>
        <w:spacing w:line="480" w:lineRule="auto"/>
        <w:jc w:val="both"/>
        <w:rPr>
          <w:bCs/>
        </w:rPr>
      </w:pPr>
      <w:r>
        <w:rPr>
          <w:color w:val="000000" w:themeColor="text1"/>
        </w:rPr>
        <w:t>Enfield suggests</w:t>
      </w:r>
      <w:r w:rsidR="00887625">
        <w:rPr>
          <w:color w:val="000000" w:themeColor="text1"/>
        </w:rPr>
        <w:t>,</w:t>
      </w:r>
      <w:r>
        <w:rPr>
          <w:color w:val="000000" w:themeColor="text1"/>
        </w:rPr>
        <w:t xml:space="preserve"> through </w:t>
      </w:r>
      <w:proofErr w:type="spellStart"/>
      <w:r>
        <w:rPr>
          <w:color w:val="000000" w:themeColor="text1"/>
        </w:rPr>
        <w:t>Barbauld</w:t>
      </w:r>
      <w:proofErr w:type="spellEnd"/>
      <w:r w:rsidR="00887625">
        <w:rPr>
          <w:color w:val="000000" w:themeColor="text1"/>
        </w:rPr>
        <w:t>,</w:t>
      </w:r>
      <w:r>
        <w:rPr>
          <w:color w:val="000000" w:themeColor="text1"/>
        </w:rPr>
        <w:t xml:space="preserve"> that </w:t>
      </w:r>
      <w:r w:rsidR="00887625">
        <w:rPr>
          <w:color w:val="000000" w:themeColor="text1"/>
        </w:rPr>
        <w:t>accomplished</w:t>
      </w:r>
      <w:r>
        <w:rPr>
          <w:color w:val="000000" w:themeColor="text1"/>
        </w:rPr>
        <w:t xml:space="preserve"> public speech is a means for Dissenters to circumvent the proscription on their holding public office. For Hazlitt, the practice of reading aloud enables access to a different kind of public, but he seems to share Enfield’s sense of the </w:t>
      </w:r>
      <w:r w:rsidR="00BF57E4">
        <w:rPr>
          <w:color w:val="000000" w:themeColor="text1"/>
        </w:rPr>
        <w:t>transformative effect</w:t>
      </w:r>
      <w:r>
        <w:rPr>
          <w:color w:val="000000" w:themeColor="text1"/>
        </w:rPr>
        <w:t xml:space="preserve"> of the </w:t>
      </w:r>
      <w:r w:rsidR="00AD5608">
        <w:rPr>
          <w:color w:val="000000" w:themeColor="text1"/>
        </w:rPr>
        <w:t>‘</w:t>
      </w:r>
      <w:r>
        <w:rPr>
          <w:color w:val="000000" w:themeColor="text1"/>
        </w:rPr>
        <w:t>art of reading</w:t>
      </w:r>
      <w:r w:rsidR="00AD5608">
        <w:rPr>
          <w:color w:val="000000" w:themeColor="text1"/>
        </w:rPr>
        <w:t>’</w:t>
      </w:r>
      <w:r>
        <w:rPr>
          <w:color w:val="000000" w:themeColor="text1"/>
        </w:rPr>
        <w:t xml:space="preserve">. </w:t>
      </w:r>
      <w:r w:rsidRPr="002D7EB0">
        <w:rPr>
          <w:color w:val="000000" w:themeColor="text1"/>
        </w:rPr>
        <w:t xml:space="preserve">The prominence of </w:t>
      </w:r>
      <w:proofErr w:type="spellStart"/>
      <w:r w:rsidRPr="002D7EB0">
        <w:rPr>
          <w:color w:val="000000" w:themeColor="text1"/>
        </w:rPr>
        <w:t>Barbauld’s</w:t>
      </w:r>
      <w:proofErr w:type="spellEnd"/>
      <w:r w:rsidRPr="002D7EB0">
        <w:rPr>
          <w:color w:val="000000" w:themeColor="text1"/>
        </w:rPr>
        <w:t xml:space="preserve"> work in the preface </w:t>
      </w:r>
      <w:r w:rsidR="00BF57E4">
        <w:rPr>
          <w:color w:val="000000" w:themeColor="text1"/>
        </w:rPr>
        <w:t xml:space="preserve">to </w:t>
      </w:r>
      <w:r w:rsidR="00BF57E4">
        <w:rPr>
          <w:i/>
          <w:iCs/>
          <w:color w:val="000000" w:themeColor="text1"/>
        </w:rPr>
        <w:t xml:space="preserve">The Speaker </w:t>
      </w:r>
      <w:r w:rsidRPr="002D7EB0">
        <w:rPr>
          <w:color w:val="000000" w:themeColor="text1"/>
        </w:rPr>
        <w:t>is matched in Enfield’s text</w:t>
      </w:r>
      <w:r w:rsidR="00BF57E4">
        <w:rPr>
          <w:color w:val="000000" w:themeColor="text1"/>
        </w:rPr>
        <w:t xml:space="preserve"> itself.</w:t>
      </w:r>
      <w:r w:rsidR="000A20A1">
        <w:rPr>
          <w:bCs/>
        </w:rPr>
        <w:t xml:space="preserve"> Enfield includes four of </w:t>
      </w:r>
      <w:proofErr w:type="spellStart"/>
      <w:r w:rsidR="000A20A1">
        <w:rPr>
          <w:bCs/>
        </w:rPr>
        <w:t>Barbauld’s</w:t>
      </w:r>
      <w:proofErr w:type="spellEnd"/>
      <w:r w:rsidR="000A20A1">
        <w:rPr>
          <w:bCs/>
        </w:rPr>
        <w:t xml:space="preserve"> poems in the anthology, and she is the only female writer to appear.</w:t>
      </w:r>
      <w:r w:rsidR="00AF0EC6">
        <w:rPr>
          <w:bCs/>
        </w:rPr>
        <w:t xml:space="preserve"> </w:t>
      </w:r>
      <w:r w:rsidR="00BF57E4">
        <w:rPr>
          <w:bCs/>
        </w:rPr>
        <w:t xml:space="preserve">Hazlitt did not often have positive things to say about </w:t>
      </w:r>
      <w:proofErr w:type="spellStart"/>
      <w:r w:rsidR="00BF57E4">
        <w:rPr>
          <w:bCs/>
        </w:rPr>
        <w:t>Barbauld’s</w:t>
      </w:r>
      <w:proofErr w:type="spellEnd"/>
      <w:r w:rsidR="00BF57E4">
        <w:rPr>
          <w:bCs/>
        </w:rPr>
        <w:t xml:space="preserve"> work, as critics have noted.</w:t>
      </w:r>
      <w:r w:rsidR="00134CCA">
        <w:rPr>
          <w:rStyle w:val="FootnoteReference"/>
          <w:bCs/>
        </w:rPr>
        <w:footnoteReference w:id="15"/>
      </w:r>
      <w:r w:rsidR="00BF57E4">
        <w:rPr>
          <w:bCs/>
        </w:rPr>
        <w:t xml:space="preserve"> However, Enfield’s </w:t>
      </w:r>
      <w:r w:rsidR="00BF57E4">
        <w:rPr>
          <w:bCs/>
          <w:i/>
          <w:iCs/>
        </w:rPr>
        <w:t xml:space="preserve">Speaker </w:t>
      </w:r>
      <w:r w:rsidR="00BF57E4">
        <w:rPr>
          <w:bCs/>
        </w:rPr>
        <w:t xml:space="preserve">creates an important connection between Hazlitt and </w:t>
      </w:r>
      <w:proofErr w:type="spellStart"/>
      <w:r w:rsidR="00BF57E4">
        <w:rPr>
          <w:bCs/>
        </w:rPr>
        <w:t>Barbauld</w:t>
      </w:r>
      <w:proofErr w:type="spellEnd"/>
      <w:r w:rsidR="00BF57E4">
        <w:rPr>
          <w:bCs/>
        </w:rPr>
        <w:t xml:space="preserve"> which, as I discuss in the conclusion to this essay, certainly modifies any dismissal of </w:t>
      </w:r>
      <w:proofErr w:type="spellStart"/>
      <w:r w:rsidR="00BF57E4">
        <w:rPr>
          <w:bCs/>
        </w:rPr>
        <w:t>Barbauld</w:t>
      </w:r>
      <w:proofErr w:type="spellEnd"/>
      <w:r w:rsidR="00BF57E4">
        <w:rPr>
          <w:bCs/>
        </w:rPr>
        <w:t xml:space="preserve"> on Hazlitt’s part.</w:t>
      </w:r>
    </w:p>
    <w:p w14:paraId="26654260" w14:textId="210F7300" w:rsidR="000A20A1" w:rsidRPr="005B6854" w:rsidRDefault="000A20A1" w:rsidP="00902D64">
      <w:pPr>
        <w:spacing w:line="480" w:lineRule="auto"/>
        <w:ind w:firstLine="720"/>
        <w:jc w:val="both"/>
        <w:rPr>
          <w:bCs/>
        </w:rPr>
      </w:pPr>
      <w:r>
        <w:rPr>
          <w:bCs/>
          <w:i/>
          <w:iCs/>
        </w:rPr>
        <w:t xml:space="preserve">The Speaker </w:t>
      </w:r>
      <w:r w:rsidRPr="005B6854">
        <w:rPr>
          <w:bCs/>
        </w:rPr>
        <w:t xml:space="preserve">opens with a short theoretical Essay on Elocution, </w:t>
      </w:r>
      <w:r w:rsidR="002E2B05">
        <w:rPr>
          <w:bCs/>
        </w:rPr>
        <w:t>which includes</w:t>
      </w:r>
      <w:r w:rsidRPr="005B6854">
        <w:rPr>
          <w:bCs/>
        </w:rPr>
        <w:t xml:space="preserve"> eight rules for effective delivery</w:t>
      </w:r>
      <w:r w:rsidR="002E2B05">
        <w:rPr>
          <w:bCs/>
        </w:rPr>
        <w:t xml:space="preserve">, relating to </w:t>
      </w:r>
      <w:r w:rsidR="00B60181">
        <w:rPr>
          <w:bCs/>
        </w:rPr>
        <w:t>articulation, pronunciation, emphasis, pauses, and gesture</w:t>
      </w:r>
      <w:r w:rsidR="008E2DE2">
        <w:rPr>
          <w:bCs/>
        </w:rPr>
        <w:t>.</w:t>
      </w:r>
      <w:r w:rsidR="001623D9">
        <w:rPr>
          <w:rStyle w:val="FootnoteReference"/>
          <w:bCs/>
        </w:rPr>
        <w:footnoteReference w:id="16"/>
      </w:r>
      <w:r w:rsidR="008E2DE2">
        <w:rPr>
          <w:bCs/>
        </w:rPr>
        <w:t xml:space="preserve"> Bu</w:t>
      </w:r>
      <w:r w:rsidR="002E2B05">
        <w:rPr>
          <w:bCs/>
        </w:rPr>
        <w:t>t</w:t>
      </w:r>
      <w:r w:rsidR="008E2DE2">
        <w:rPr>
          <w:bCs/>
        </w:rPr>
        <w:t xml:space="preserve"> </w:t>
      </w:r>
      <w:r w:rsidR="00B60181">
        <w:rPr>
          <w:bCs/>
        </w:rPr>
        <w:t>Enfield does not solely</w:t>
      </w:r>
      <w:r w:rsidR="008E2DE2">
        <w:rPr>
          <w:bCs/>
        </w:rPr>
        <w:t xml:space="preserve"> offer prescriptive rules</w:t>
      </w:r>
      <w:r w:rsidR="00B60181">
        <w:rPr>
          <w:bCs/>
        </w:rPr>
        <w:t>. He</w:t>
      </w:r>
      <w:r w:rsidR="008E2DE2">
        <w:rPr>
          <w:bCs/>
        </w:rPr>
        <w:t xml:space="preserve"> declares</w:t>
      </w:r>
      <w:r w:rsidR="00B60181">
        <w:rPr>
          <w:bCs/>
        </w:rPr>
        <w:t xml:space="preserve"> that</w:t>
      </w:r>
      <w:r w:rsidR="008E2DE2">
        <w:rPr>
          <w:bCs/>
        </w:rPr>
        <w:t xml:space="preserve"> </w:t>
      </w:r>
      <w:r w:rsidR="008E2DE2">
        <w:rPr>
          <w:rFonts w:cstheme="minorHAnsi"/>
        </w:rPr>
        <w:t>‘</w:t>
      </w:r>
      <w:r w:rsidR="008E2DE2" w:rsidRPr="00A31DA4">
        <w:rPr>
          <w:rFonts w:cstheme="minorHAnsi"/>
        </w:rPr>
        <w:t>FOLLOW NATURE, is certainly the fundamental law of oratory</w:t>
      </w:r>
      <w:r w:rsidR="008E2DE2">
        <w:rPr>
          <w:rFonts w:cstheme="minorHAnsi"/>
        </w:rPr>
        <w:t>’</w:t>
      </w:r>
      <w:r w:rsidRPr="005B6854">
        <w:rPr>
          <w:bCs/>
        </w:rPr>
        <w:t>.</w:t>
      </w:r>
      <w:r w:rsidR="008E2DE2">
        <w:rPr>
          <w:rStyle w:val="FootnoteReference"/>
          <w:bCs/>
        </w:rPr>
        <w:footnoteReference w:id="17"/>
      </w:r>
      <w:r w:rsidRPr="005B6854">
        <w:rPr>
          <w:bCs/>
        </w:rPr>
        <w:t xml:space="preserve"> </w:t>
      </w:r>
      <w:r w:rsidR="008E2DE2">
        <w:rPr>
          <w:bCs/>
        </w:rPr>
        <w:t xml:space="preserve">Such ‘natural’ delivery in reading is closely related to speaking, as Enfield asks rhetorically, </w:t>
      </w:r>
      <w:r w:rsidR="00C41951">
        <w:rPr>
          <w:bCs/>
        </w:rPr>
        <w:t>‘</w:t>
      </w:r>
      <w:r w:rsidR="008E2DE2" w:rsidRPr="00A31DA4">
        <w:rPr>
          <w:rFonts w:cstheme="minorHAnsi"/>
        </w:rPr>
        <w:t>Can a method of reading, which is so entirely different from the usual manner of conversation, be natural and right?</w:t>
      </w:r>
      <w:r w:rsidR="008E2DE2">
        <w:rPr>
          <w:rFonts w:cstheme="minorHAnsi"/>
        </w:rPr>
        <w:t>’</w:t>
      </w:r>
      <w:r w:rsidR="008E2DE2">
        <w:rPr>
          <w:rStyle w:val="FootnoteReference"/>
          <w:rFonts w:cstheme="minorHAnsi"/>
        </w:rPr>
        <w:footnoteReference w:id="18"/>
      </w:r>
      <w:r w:rsidR="008E2DE2">
        <w:rPr>
          <w:rFonts w:cstheme="minorHAnsi"/>
        </w:rPr>
        <w:t xml:space="preserve"> </w:t>
      </w:r>
      <w:r w:rsidR="008001D1">
        <w:rPr>
          <w:rFonts w:cstheme="minorHAnsi"/>
        </w:rPr>
        <w:t>F</w:t>
      </w:r>
      <w:r w:rsidR="00853520">
        <w:rPr>
          <w:rFonts w:cstheme="minorHAnsi"/>
        </w:rPr>
        <w:t>i</w:t>
      </w:r>
      <w:r w:rsidR="008001D1">
        <w:rPr>
          <w:rFonts w:cstheme="minorHAnsi"/>
        </w:rPr>
        <w:t>ne</w:t>
      </w:r>
      <w:r w:rsidR="00EB6488">
        <w:rPr>
          <w:rFonts w:cstheme="minorHAnsi"/>
        </w:rPr>
        <w:t xml:space="preserve"> elocution is best acquired through practice, Enfield suggests, and </w:t>
      </w:r>
      <w:r w:rsidRPr="005B6854">
        <w:rPr>
          <w:bCs/>
        </w:rPr>
        <w:t xml:space="preserve">the bulk of </w:t>
      </w:r>
      <w:r w:rsidR="00EB6488">
        <w:rPr>
          <w:bCs/>
        </w:rPr>
        <w:t>his</w:t>
      </w:r>
      <w:r w:rsidRPr="005B6854">
        <w:rPr>
          <w:bCs/>
        </w:rPr>
        <w:t xml:space="preserve"> book comprises extracts for reading aloud</w:t>
      </w:r>
      <w:r w:rsidR="00EB6488">
        <w:rPr>
          <w:bCs/>
        </w:rPr>
        <w:t>.</w:t>
      </w:r>
      <w:r w:rsidRPr="005B6854">
        <w:rPr>
          <w:bCs/>
        </w:rPr>
        <w:t xml:space="preserve"> Enfield groups his texts by genre</w:t>
      </w:r>
      <w:r w:rsidR="00B60181">
        <w:rPr>
          <w:bCs/>
        </w:rPr>
        <w:t xml:space="preserve">; </w:t>
      </w:r>
      <w:r w:rsidR="00B60181">
        <w:rPr>
          <w:bCs/>
          <w:i/>
          <w:iCs/>
        </w:rPr>
        <w:t xml:space="preserve">The Speaker </w:t>
      </w:r>
      <w:r w:rsidR="00B60181">
        <w:rPr>
          <w:bCs/>
        </w:rPr>
        <w:t xml:space="preserve">has </w:t>
      </w:r>
      <w:r w:rsidRPr="005B6854">
        <w:rPr>
          <w:bCs/>
        </w:rPr>
        <w:t xml:space="preserve">eight </w:t>
      </w:r>
      <w:r w:rsidRPr="005B6854">
        <w:rPr>
          <w:bCs/>
        </w:rPr>
        <w:lastRenderedPageBreak/>
        <w:t xml:space="preserve">books </w:t>
      </w:r>
      <w:r w:rsidR="00B60181">
        <w:rPr>
          <w:bCs/>
        </w:rPr>
        <w:t>comprising:</w:t>
      </w:r>
      <w:r w:rsidRPr="005B6854">
        <w:rPr>
          <w:bCs/>
        </w:rPr>
        <w:t xml:space="preserve"> Select Sentences; Narrative Pieces; Didactic Pieces; Argumentative Pieces; Orations and Harangues; Dialogues; Descriptive Pieces; and Pathetic Pieces. </w:t>
      </w:r>
      <w:r w:rsidR="00EB6488">
        <w:rPr>
          <w:bCs/>
        </w:rPr>
        <w:t>The</w:t>
      </w:r>
      <w:r w:rsidR="008001D1">
        <w:rPr>
          <w:bCs/>
        </w:rPr>
        <w:t>y</w:t>
      </w:r>
      <w:r w:rsidR="00EB6488">
        <w:rPr>
          <w:bCs/>
        </w:rPr>
        <w:t xml:space="preserve"> feature a huge range of poetry, prose and drama, </w:t>
      </w:r>
      <w:r w:rsidR="00B60181">
        <w:rPr>
          <w:bCs/>
        </w:rPr>
        <w:t xml:space="preserve">and as I will discuss, </w:t>
      </w:r>
      <w:r w:rsidR="00EB6488">
        <w:rPr>
          <w:bCs/>
        </w:rPr>
        <w:t xml:space="preserve">many of </w:t>
      </w:r>
      <w:r w:rsidR="00B60181">
        <w:rPr>
          <w:bCs/>
        </w:rPr>
        <w:t>Enfield’s selected texts</w:t>
      </w:r>
      <w:r w:rsidR="008001D1">
        <w:rPr>
          <w:bCs/>
        </w:rPr>
        <w:t xml:space="preserve"> were important</w:t>
      </w:r>
      <w:r w:rsidR="00EB6488">
        <w:rPr>
          <w:bCs/>
        </w:rPr>
        <w:t xml:space="preserve"> for Hazlitt.</w:t>
      </w:r>
    </w:p>
    <w:p w14:paraId="6DCA2EA9" w14:textId="15A3B1A9" w:rsidR="0080229E" w:rsidRPr="00AB7DBE" w:rsidRDefault="00AB7DBE" w:rsidP="00902D64">
      <w:pPr>
        <w:spacing w:line="480" w:lineRule="auto"/>
        <w:ind w:firstLine="720"/>
        <w:jc w:val="both"/>
      </w:pPr>
      <w:r>
        <w:rPr>
          <w:i/>
          <w:iCs/>
        </w:rPr>
        <w:t>The Speaker</w:t>
      </w:r>
      <w:r>
        <w:t xml:space="preserve"> performed an important role in Hazlitt’s </w:t>
      </w:r>
      <w:r w:rsidR="00B60181">
        <w:t xml:space="preserve">formal </w:t>
      </w:r>
      <w:r>
        <w:t xml:space="preserve">education. Until the age of fifteen, </w:t>
      </w:r>
      <w:r w:rsidR="000A70D4">
        <w:t>he</w:t>
      </w:r>
      <w:r>
        <w:t xml:space="preserve"> was educated at a small school run by his father in </w:t>
      </w:r>
      <w:proofErr w:type="spellStart"/>
      <w:r>
        <w:t>Wem</w:t>
      </w:r>
      <w:proofErr w:type="spellEnd"/>
      <w:r>
        <w:t xml:space="preserve">, in Shropshire. David Halpin has described </w:t>
      </w:r>
      <w:r w:rsidR="00A1289E">
        <w:t>the school as teaching</w:t>
      </w:r>
      <w:r>
        <w:t xml:space="preserve"> ‘a version of a ‘mediaeval’ curriculum</w:t>
      </w:r>
      <w:r w:rsidR="00A1289E">
        <w:t xml:space="preserve">’, to be distinguished from the modern practices he was later to encounter at </w:t>
      </w:r>
      <w:r w:rsidR="00EE3089">
        <w:t>New</w:t>
      </w:r>
      <w:r w:rsidR="00A1289E">
        <w:t xml:space="preserve"> College</w:t>
      </w:r>
      <w:r w:rsidR="00EE3089">
        <w:t xml:space="preserve"> Hackney</w:t>
      </w:r>
      <w:r w:rsidR="00A1289E">
        <w:t>.</w:t>
      </w:r>
      <w:r w:rsidR="00A1289E">
        <w:rPr>
          <w:rStyle w:val="FootnoteReference"/>
        </w:rPr>
        <w:footnoteReference w:id="19"/>
      </w:r>
      <w:r w:rsidR="00313483">
        <w:t xml:space="preserve"> But a letter from the ten</w:t>
      </w:r>
      <w:r w:rsidR="005931E3">
        <w:t>-</w:t>
      </w:r>
      <w:r w:rsidR="00313483">
        <w:t>year</w:t>
      </w:r>
      <w:r w:rsidR="005931E3">
        <w:t>-</w:t>
      </w:r>
      <w:r w:rsidR="00313483">
        <w:t>old Hazlitt to his brother John in March 1788 reveals that he did have access to at least one contemporary text</w:t>
      </w:r>
      <w:r w:rsidR="00B60181">
        <w:t>. Hazlitt writes</w:t>
      </w:r>
      <w:r w:rsidR="00313483">
        <w:t>:</w:t>
      </w:r>
    </w:p>
    <w:p w14:paraId="323CB7E4" w14:textId="4F9F6CBC" w:rsidR="007741CC" w:rsidRDefault="007741CC" w:rsidP="00902D64">
      <w:pPr>
        <w:ind w:left="720"/>
        <w:jc w:val="both"/>
      </w:pPr>
      <w:r w:rsidRPr="007741CC">
        <w:t>We go to school at nine every morning. Three boys begin with reading the Bible. Then I and two others shew our exercises. We then read the Speaker. Then we all set about our lessons and those who are first ready say first</w:t>
      </w:r>
      <w:r w:rsidR="000A70D4">
        <w:t>…</w:t>
      </w:r>
      <w:r w:rsidRPr="007741CC">
        <w:t xml:space="preserve"> In the afternoon we stand for places at spelling and I am almost always first.</w:t>
      </w:r>
      <w:r w:rsidR="00313483">
        <w:rPr>
          <w:rStyle w:val="FootnoteReference"/>
        </w:rPr>
        <w:footnoteReference w:id="20"/>
      </w:r>
      <w:r w:rsidRPr="007741CC">
        <w:t xml:space="preserve"> </w:t>
      </w:r>
    </w:p>
    <w:p w14:paraId="321B5A1D" w14:textId="77777777" w:rsidR="005120A3" w:rsidRDefault="005120A3" w:rsidP="00902D64">
      <w:pPr>
        <w:ind w:left="720"/>
        <w:jc w:val="both"/>
      </w:pPr>
    </w:p>
    <w:p w14:paraId="2B1C5F73" w14:textId="5F7F9142" w:rsidR="005931E3" w:rsidRDefault="001623D9" w:rsidP="00902D64">
      <w:pPr>
        <w:spacing w:line="480" w:lineRule="auto"/>
        <w:jc w:val="both"/>
      </w:pPr>
      <w:r>
        <w:t>The</w:t>
      </w:r>
      <w:r w:rsidR="00313483">
        <w:t xml:space="preserve"> Hazlitt and his classmates</w:t>
      </w:r>
      <w:r>
        <w:t xml:space="preserve"> use </w:t>
      </w:r>
      <w:r w:rsidR="00313483">
        <w:rPr>
          <w:i/>
          <w:iCs/>
        </w:rPr>
        <w:t xml:space="preserve">The Speaker </w:t>
      </w:r>
      <w:r>
        <w:t xml:space="preserve">as a key part of their daily exercises. </w:t>
      </w:r>
      <w:r>
        <w:rPr>
          <w:i/>
          <w:iCs/>
        </w:rPr>
        <w:t>The Speaker</w:t>
      </w:r>
      <w:r>
        <w:t xml:space="preserve"> </w:t>
      </w:r>
      <w:r w:rsidR="00313483">
        <w:t xml:space="preserve">is not </w:t>
      </w:r>
      <w:r>
        <w:t>merely</w:t>
      </w:r>
      <w:r w:rsidR="00313483">
        <w:t xml:space="preserve"> a t</w:t>
      </w:r>
      <w:r w:rsidR="000A70D4">
        <w:t>ool</w:t>
      </w:r>
      <w:r w:rsidR="00313483">
        <w:t xml:space="preserve"> to refine skills in oratory and recitation</w:t>
      </w:r>
      <w:r>
        <w:t>; it is</w:t>
      </w:r>
      <w:r w:rsidR="00313483">
        <w:t xml:space="preserve"> a </w:t>
      </w:r>
      <w:r w:rsidR="000A70D4">
        <w:t>text</w:t>
      </w:r>
      <w:r w:rsidR="00313483">
        <w:t xml:space="preserve"> that all use together </w:t>
      </w:r>
      <w:r w:rsidR="00CB129C">
        <w:t xml:space="preserve">in order to master the basics of reading. As we will see, Hazlitt frequently claimed in his </w:t>
      </w:r>
      <w:r w:rsidR="003B4B4D">
        <w:t>essays that the first books he encountered had the strongest effects on him, and we might</w:t>
      </w:r>
      <w:r w:rsidR="000A70D4">
        <w:t xml:space="preserve"> </w:t>
      </w:r>
      <w:r w:rsidR="003B4B4D">
        <w:t xml:space="preserve">rank </w:t>
      </w:r>
      <w:r w:rsidR="003B4B4D">
        <w:rPr>
          <w:i/>
          <w:iCs/>
        </w:rPr>
        <w:t>The Speaker</w:t>
      </w:r>
      <w:r w:rsidR="0033218E">
        <w:t>, a text which demonstrated to him the very basics of reading,</w:t>
      </w:r>
      <w:r w:rsidR="003B4B4D">
        <w:rPr>
          <w:i/>
          <w:iCs/>
        </w:rPr>
        <w:t xml:space="preserve"> </w:t>
      </w:r>
      <w:r w:rsidR="003B4B4D">
        <w:t xml:space="preserve">among them. </w:t>
      </w:r>
    </w:p>
    <w:p w14:paraId="5259FC1C" w14:textId="62771355" w:rsidR="0033218E" w:rsidRDefault="00652A16" w:rsidP="00902D64">
      <w:pPr>
        <w:spacing w:line="480" w:lineRule="auto"/>
        <w:ind w:firstLine="720"/>
        <w:jc w:val="both"/>
      </w:pPr>
      <w:r>
        <w:t>D</w:t>
      </w:r>
      <w:r w:rsidR="005931E3">
        <w:t xml:space="preserve">espite the contrast between Hazlitt’s schooling at </w:t>
      </w:r>
      <w:proofErr w:type="spellStart"/>
      <w:r w:rsidR="005931E3">
        <w:t>Wem</w:t>
      </w:r>
      <w:proofErr w:type="spellEnd"/>
      <w:r w:rsidR="005931E3">
        <w:t xml:space="preserve"> and at </w:t>
      </w:r>
      <w:r w:rsidR="00EE3089">
        <w:t xml:space="preserve">New </w:t>
      </w:r>
      <w:r w:rsidR="005931E3">
        <w:t>College</w:t>
      </w:r>
      <w:r w:rsidR="00EE3089">
        <w:t xml:space="preserve"> Hackney</w:t>
      </w:r>
      <w:r w:rsidR="005931E3">
        <w:t>, where he enrolled a</w:t>
      </w:r>
      <w:r>
        <w:t>t</w:t>
      </w:r>
      <w:r w:rsidR="005931E3">
        <w:t xml:space="preserve"> </w:t>
      </w:r>
      <w:r>
        <w:t xml:space="preserve">age </w:t>
      </w:r>
      <w:r w:rsidR="005931E3">
        <w:t xml:space="preserve">fifteen, </w:t>
      </w:r>
      <w:r w:rsidR="005931E3">
        <w:rPr>
          <w:i/>
          <w:iCs/>
        </w:rPr>
        <w:t xml:space="preserve">The </w:t>
      </w:r>
      <w:r w:rsidR="00237555">
        <w:rPr>
          <w:i/>
          <w:iCs/>
        </w:rPr>
        <w:t>Speaker</w:t>
      </w:r>
      <w:r w:rsidR="00237555">
        <w:t xml:space="preserve"> is </w:t>
      </w:r>
      <w:r w:rsidR="005931E3">
        <w:t>a text which spans the gap between the two institutions</w:t>
      </w:r>
      <w:r w:rsidR="00015148">
        <w:t>.</w:t>
      </w:r>
      <w:r w:rsidR="00733AA6">
        <w:t xml:space="preserve"> As Halpin </w:t>
      </w:r>
      <w:r w:rsidR="000E4158">
        <w:t>and Burley have shown</w:t>
      </w:r>
      <w:r w:rsidR="00733AA6">
        <w:t xml:space="preserve">, </w:t>
      </w:r>
      <w:r w:rsidR="002A4ECD">
        <w:t>within</w:t>
      </w:r>
      <w:r w:rsidR="000E4158">
        <w:t xml:space="preserve"> a curriculum of </w:t>
      </w:r>
      <w:r w:rsidR="00015148">
        <w:t>geography, grammar, rhetoric, history</w:t>
      </w:r>
      <w:r w:rsidR="000E4158">
        <w:t>,</w:t>
      </w:r>
      <w:r w:rsidR="00015148">
        <w:t xml:space="preserve"> law, mathematics, astronomy, physics and chemistry, logic, metaphysics, </w:t>
      </w:r>
      <w:r w:rsidR="00015148">
        <w:lastRenderedPageBreak/>
        <w:t>ethics</w:t>
      </w:r>
      <w:r w:rsidR="002A4ECD">
        <w:t>, and</w:t>
      </w:r>
      <w:r w:rsidR="000E4158">
        <w:t xml:space="preserve"> </w:t>
      </w:r>
      <w:r w:rsidR="00015148">
        <w:t>theology</w:t>
      </w:r>
      <w:r w:rsidR="000E4158">
        <w:t xml:space="preserve">, students </w:t>
      </w:r>
      <w:r w:rsidR="001623D9">
        <w:t xml:space="preserve">at Hackney </w:t>
      </w:r>
      <w:r w:rsidR="000E4158">
        <w:t>also studied</w:t>
      </w:r>
      <w:r w:rsidR="00015148">
        <w:t xml:space="preserve"> elocution.</w:t>
      </w:r>
      <w:r w:rsidR="00733AA6">
        <w:rPr>
          <w:rStyle w:val="FootnoteReference"/>
        </w:rPr>
        <w:footnoteReference w:id="21"/>
      </w:r>
      <w:r w:rsidR="000E4158">
        <w:t xml:space="preserve"> And the college governors </w:t>
      </w:r>
      <w:r w:rsidR="0033218E">
        <w:t xml:space="preserve">at Hackney </w:t>
      </w:r>
      <w:r w:rsidR="000E4158">
        <w:t xml:space="preserve">hired specialists for the </w:t>
      </w:r>
      <w:r w:rsidR="0033218E">
        <w:t>purpose</w:t>
      </w:r>
      <w:r w:rsidR="000E4158">
        <w:t xml:space="preserve">. The college minutes show that William </w:t>
      </w:r>
      <w:proofErr w:type="spellStart"/>
      <w:r w:rsidR="000E4158">
        <w:t>Cresswick</w:t>
      </w:r>
      <w:proofErr w:type="spellEnd"/>
      <w:r w:rsidR="000E4158">
        <w:t xml:space="preserve">, an actor, </w:t>
      </w:r>
      <w:r>
        <w:t>w</w:t>
      </w:r>
      <w:r w:rsidR="00F52DE5">
        <w:t xml:space="preserve">as </w:t>
      </w:r>
      <w:r w:rsidR="009C605E" w:rsidRPr="00546C70">
        <w:t>appointed Tuto</w:t>
      </w:r>
      <w:r w:rsidR="009C605E">
        <w:t>r</w:t>
      </w:r>
      <w:r w:rsidR="009C605E" w:rsidRPr="00546C70">
        <w:t xml:space="preserve"> of Elocution </w:t>
      </w:r>
      <w:r>
        <w:t>in</w:t>
      </w:r>
      <w:r w:rsidR="009C605E" w:rsidRPr="00546C70">
        <w:t xml:space="preserve"> 1787</w:t>
      </w:r>
      <w:r w:rsidR="00F52DE5">
        <w:t>.</w:t>
      </w:r>
      <w:r w:rsidR="000E4158">
        <w:rPr>
          <w:rStyle w:val="FootnoteReference"/>
        </w:rPr>
        <w:footnoteReference w:id="22"/>
      </w:r>
      <w:r>
        <w:t xml:space="preserve"> </w:t>
      </w:r>
      <w:proofErr w:type="spellStart"/>
      <w:r w:rsidR="00F52DE5">
        <w:t>Cresswick</w:t>
      </w:r>
      <w:proofErr w:type="spellEnd"/>
      <w:r w:rsidR="00DF4BC6">
        <w:t xml:space="preserve"> published his own </w:t>
      </w:r>
      <w:r w:rsidR="00F52DE5">
        <w:t xml:space="preserve">reading </w:t>
      </w:r>
      <w:r w:rsidR="00DF4BC6">
        <w:t xml:space="preserve">anthology </w:t>
      </w:r>
      <w:r w:rsidR="00F52DE5">
        <w:t xml:space="preserve">in the style of </w:t>
      </w:r>
      <w:r w:rsidR="00F52DE5">
        <w:rPr>
          <w:i/>
          <w:iCs/>
        </w:rPr>
        <w:t xml:space="preserve">The Speaker </w:t>
      </w:r>
      <w:r w:rsidR="00F52DE5">
        <w:t xml:space="preserve">titled </w:t>
      </w:r>
      <w:r w:rsidR="00F52DE5" w:rsidRPr="00A31DA4">
        <w:rPr>
          <w:rFonts w:cstheme="minorHAnsi"/>
          <w:i/>
        </w:rPr>
        <w:t xml:space="preserve">The </w:t>
      </w:r>
      <w:r w:rsidR="00F52DE5">
        <w:rPr>
          <w:rFonts w:cstheme="minorHAnsi"/>
          <w:i/>
        </w:rPr>
        <w:t>L</w:t>
      </w:r>
      <w:r w:rsidR="00F52DE5" w:rsidRPr="00A31DA4">
        <w:rPr>
          <w:rFonts w:cstheme="minorHAnsi"/>
          <w:i/>
        </w:rPr>
        <w:t xml:space="preserve">ady's </w:t>
      </w:r>
      <w:r w:rsidR="00F52DE5">
        <w:rPr>
          <w:rFonts w:cstheme="minorHAnsi"/>
          <w:i/>
        </w:rPr>
        <w:t>P</w:t>
      </w:r>
      <w:r w:rsidR="00F52DE5" w:rsidRPr="00A31DA4">
        <w:rPr>
          <w:rFonts w:cstheme="minorHAnsi"/>
          <w:i/>
        </w:rPr>
        <w:t>receptor</w:t>
      </w:r>
      <w:r w:rsidR="003D0933">
        <w:rPr>
          <w:rFonts w:cstheme="minorHAnsi"/>
          <w:i/>
        </w:rPr>
        <w:t xml:space="preserve"> </w:t>
      </w:r>
      <w:r w:rsidR="00622D01">
        <w:rPr>
          <w:rFonts w:cstheme="minorHAnsi"/>
          <w:iCs/>
        </w:rPr>
        <w:t xml:space="preserve">in </w:t>
      </w:r>
      <w:r w:rsidR="003D0933">
        <w:rPr>
          <w:rFonts w:cstheme="minorHAnsi"/>
          <w:iCs/>
        </w:rPr>
        <w:t>1792</w:t>
      </w:r>
      <w:r w:rsidR="00F52DE5">
        <w:rPr>
          <w:rFonts w:cstheme="minorHAnsi"/>
          <w:iCs/>
        </w:rPr>
        <w:t>,</w:t>
      </w:r>
      <w:r w:rsidR="00F52DE5">
        <w:t xml:space="preserve"> </w:t>
      </w:r>
      <w:r w:rsidR="00DF4BC6">
        <w:t xml:space="preserve">and </w:t>
      </w:r>
      <w:r w:rsidR="0033218E">
        <w:t xml:space="preserve">intriguingly </w:t>
      </w:r>
      <w:r w:rsidR="00F52DE5">
        <w:t xml:space="preserve">his name </w:t>
      </w:r>
      <w:r w:rsidR="00DF4BC6">
        <w:t>was also</w:t>
      </w:r>
      <w:r w:rsidR="00F52DE5">
        <w:t xml:space="preserve"> the</w:t>
      </w:r>
      <w:r w:rsidR="00DF4BC6">
        <w:t xml:space="preserve"> pseudonym </w:t>
      </w:r>
      <w:r w:rsidR="0033218E">
        <w:t xml:space="preserve">which Joseph Johnson selected </w:t>
      </w:r>
      <w:r w:rsidR="00DF4BC6">
        <w:t xml:space="preserve">for Mary Wollstonecraft’s </w:t>
      </w:r>
      <w:r w:rsidR="0033218E">
        <w:t xml:space="preserve">response to Enfield’s </w:t>
      </w:r>
      <w:r w:rsidR="0033218E">
        <w:rPr>
          <w:i/>
          <w:iCs/>
        </w:rPr>
        <w:t xml:space="preserve">Speaker, </w:t>
      </w:r>
      <w:r w:rsidR="0033218E">
        <w:t xml:space="preserve">the </w:t>
      </w:r>
      <w:r w:rsidR="00F52DE5">
        <w:t xml:space="preserve">reading </w:t>
      </w:r>
      <w:r w:rsidR="00DF4BC6">
        <w:t xml:space="preserve">anthology </w:t>
      </w:r>
      <w:r w:rsidR="00DF4BC6">
        <w:rPr>
          <w:i/>
          <w:iCs/>
        </w:rPr>
        <w:t>The Female Reader</w:t>
      </w:r>
      <w:r w:rsidR="00F52DE5">
        <w:t xml:space="preserve">, published </w:t>
      </w:r>
      <w:r w:rsidR="003320F3">
        <w:t xml:space="preserve">by Johnson </w:t>
      </w:r>
      <w:r w:rsidR="00F52DE5">
        <w:t>in</w:t>
      </w:r>
      <w:r w:rsidR="00DF4BC6">
        <w:rPr>
          <w:i/>
          <w:iCs/>
        </w:rPr>
        <w:t xml:space="preserve"> </w:t>
      </w:r>
      <w:r w:rsidR="00DF4BC6">
        <w:t>1789.</w:t>
      </w:r>
      <w:r w:rsidR="00EE3089">
        <w:rPr>
          <w:rStyle w:val="FootnoteReference"/>
        </w:rPr>
        <w:footnoteReference w:id="23"/>
      </w:r>
      <w:r w:rsidR="008A49F9">
        <w:t xml:space="preserve"> </w:t>
      </w:r>
      <w:r w:rsidR="0033218E">
        <w:t xml:space="preserve">It is not clear why Johnson and Wollstonecraft used </w:t>
      </w:r>
      <w:proofErr w:type="spellStart"/>
      <w:r w:rsidR="0033218E">
        <w:t>Cresswick’s</w:t>
      </w:r>
      <w:proofErr w:type="spellEnd"/>
      <w:r w:rsidR="0033218E">
        <w:t xml:space="preserve"> name, but it is likely that his professional experience and association with New College Hackney added kudos to the </w:t>
      </w:r>
      <w:r w:rsidR="00622D01">
        <w:t xml:space="preserve">then </w:t>
      </w:r>
      <w:r w:rsidR="0033218E">
        <w:t>unknown Wollstonecraft’s work.</w:t>
      </w:r>
      <w:r w:rsidR="0033218E">
        <w:rPr>
          <w:rStyle w:val="FootnoteReference"/>
        </w:rPr>
        <w:footnoteReference w:id="24"/>
      </w:r>
      <w:r w:rsidR="0033218E">
        <w:t xml:space="preserve"> </w:t>
      </w:r>
    </w:p>
    <w:p w14:paraId="05D8E187" w14:textId="58CD936C" w:rsidR="00061EAE" w:rsidRPr="00F762EC" w:rsidRDefault="00F52DE5" w:rsidP="00902D64">
      <w:pPr>
        <w:spacing w:line="480" w:lineRule="auto"/>
        <w:ind w:firstLine="720"/>
        <w:jc w:val="both"/>
      </w:pPr>
      <w:r>
        <w:t xml:space="preserve">By the time of Hazlitt’s attendance at Hackney the tutor in elocution was one </w:t>
      </w:r>
      <w:r w:rsidR="008A49F9">
        <w:t xml:space="preserve">William </w:t>
      </w:r>
      <w:proofErr w:type="spellStart"/>
      <w:r w:rsidR="008A49F9">
        <w:t>Trew</w:t>
      </w:r>
      <w:proofErr w:type="spellEnd"/>
      <w:r>
        <w:t>.</w:t>
      </w:r>
      <w:r>
        <w:rPr>
          <w:rStyle w:val="FootnoteReference"/>
        </w:rPr>
        <w:footnoteReference w:id="25"/>
      </w:r>
      <w:r w:rsidR="008A49F9">
        <w:t xml:space="preserve"> </w:t>
      </w:r>
      <w:r>
        <w:t xml:space="preserve">There is no record that Hazlitt took </w:t>
      </w:r>
      <w:proofErr w:type="spellStart"/>
      <w:r>
        <w:t>Trew’s</w:t>
      </w:r>
      <w:proofErr w:type="spellEnd"/>
      <w:r>
        <w:t xml:space="preserve"> classes but </w:t>
      </w:r>
      <w:r w:rsidR="0083263B">
        <w:t xml:space="preserve">the college </w:t>
      </w:r>
      <w:r>
        <w:t xml:space="preserve">Governor’s minutes show that </w:t>
      </w:r>
      <w:r w:rsidR="00622680">
        <w:t>‘Ev</w:t>
      </w:r>
      <w:r w:rsidR="00622680" w:rsidRPr="002C13A0">
        <w:t>ery Student of Six Months standing</w:t>
      </w:r>
      <w:r w:rsidR="00C72C48">
        <w:t>… [was required to]</w:t>
      </w:r>
      <w:r w:rsidR="00622680" w:rsidRPr="002C13A0">
        <w:t xml:space="preserve"> deliver an Oration, once in a Month</w:t>
      </w:r>
      <w:r w:rsidR="00D815A0">
        <w:t>’</w:t>
      </w:r>
      <w:r w:rsidR="00C72C48">
        <w:t>.</w:t>
      </w:r>
      <w:r>
        <w:rPr>
          <w:rStyle w:val="FootnoteReference"/>
        </w:rPr>
        <w:footnoteReference w:id="26"/>
      </w:r>
      <w:r w:rsidR="00C72C48">
        <w:t xml:space="preserve"> </w:t>
      </w:r>
      <w:r w:rsidR="0083263B">
        <w:t xml:space="preserve">Hazlitt would therefore have participated in the college’s culture of reading aloud. </w:t>
      </w:r>
      <w:r w:rsidR="00C72C48">
        <w:t xml:space="preserve">I have </w:t>
      </w:r>
      <w:r w:rsidR="005D68C7">
        <w:t>not seen records which prove that</w:t>
      </w:r>
      <w:r w:rsidR="00C72C48">
        <w:t xml:space="preserve"> Enfield’s</w:t>
      </w:r>
      <w:r w:rsidR="00061EAE">
        <w:t xml:space="preserve"> </w:t>
      </w:r>
      <w:r w:rsidR="00061EAE">
        <w:rPr>
          <w:i/>
          <w:iCs/>
        </w:rPr>
        <w:t xml:space="preserve">The Speaker </w:t>
      </w:r>
      <w:r w:rsidR="00061EAE">
        <w:t xml:space="preserve">was </w:t>
      </w:r>
      <w:r w:rsidR="005D68C7">
        <w:t xml:space="preserve">included </w:t>
      </w:r>
      <w:r w:rsidR="00061EAE">
        <w:t>in the library at Hackney</w:t>
      </w:r>
      <w:r w:rsidR="0083263B">
        <w:t>, but</w:t>
      </w:r>
      <w:r w:rsidR="00B92494">
        <w:t xml:space="preserve"> </w:t>
      </w:r>
      <w:r w:rsidR="00061EAE">
        <w:t xml:space="preserve">by the 1790s </w:t>
      </w:r>
      <w:r w:rsidR="007F4A19">
        <w:t>the book</w:t>
      </w:r>
      <w:r w:rsidR="00B92494">
        <w:rPr>
          <w:i/>
          <w:iCs/>
        </w:rPr>
        <w:t xml:space="preserve"> </w:t>
      </w:r>
      <w:r w:rsidR="00B92494">
        <w:t xml:space="preserve">was </w:t>
      </w:r>
      <w:r w:rsidR="00061EAE">
        <w:t xml:space="preserve">a mainstay of </w:t>
      </w:r>
      <w:r w:rsidR="00F104C9">
        <w:t>D</w:t>
      </w:r>
      <w:r w:rsidR="00061EAE">
        <w:t>issenting pedagogy</w:t>
      </w:r>
      <w:r w:rsidR="00C72C48">
        <w:t xml:space="preserve">, </w:t>
      </w:r>
      <w:r w:rsidR="00B92494">
        <w:t>and</w:t>
      </w:r>
      <w:r w:rsidR="00061EAE">
        <w:t xml:space="preserve"> Enfield himself was a benefactor of </w:t>
      </w:r>
      <w:r w:rsidR="0083263B">
        <w:t>New</w:t>
      </w:r>
      <w:r w:rsidR="00061EAE">
        <w:t xml:space="preserve"> College</w:t>
      </w:r>
      <w:r w:rsidR="0083263B">
        <w:t xml:space="preserve"> Hackney</w:t>
      </w:r>
      <w:r w:rsidR="00061EAE">
        <w:t xml:space="preserve">, so </w:t>
      </w:r>
      <w:r w:rsidR="00B92494">
        <w:t xml:space="preserve">he </w:t>
      </w:r>
      <w:r w:rsidR="00061EAE">
        <w:t xml:space="preserve">may </w:t>
      </w:r>
      <w:r w:rsidR="00B92494">
        <w:t xml:space="preserve">well </w:t>
      </w:r>
      <w:r w:rsidR="00061EAE">
        <w:t>have also donated a copy</w:t>
      </w:r>
      <w:r w:rsidR="00B92494">
        <w:t>.</w:t>
      </w:r>
      <w:r w:rsidR="00C72C48">
        <w:t xml:space="preserve"> </w:t>
      </w:r>
      <w:r w:rsidR="00061EAE">
        <w:t xml:space="preserve">Johnson, </w:t>
      </w:r>
      <w:r w:rsidR="00B92494">
        <w:t xml:space="preserve">the </w:t>
      </w:r>
      <w:r w:rsidR="00061EAE">
        <w:t xml:space="preserve">publisher of </w:t>
      </w:r>
      <w:r w:rsidR="00061EAE">
        <w:rPr>
          <w:i/>
          <w:iCs/>
        </w:rPr>
        <w:t>The Speaker</w:t>
      </w:r>
      <w:r w:rsidR="00C72C48">
        <w:rPr>
          <w:i/>
          <w:iCs/>
        </w:rPr>
        <w:t>,</w:t>
      </w:r>
      <w:r w:rsidR="00061EAE">
        <w:rPr>
          <w:i/>
          <w:iCs/>
        </w:rPr>
        <w:t xml:space="preserve"> </w:t>
      </w:r>
      <w:r w:rsidR="00061EAE">
        <w:t>also had close associations with the college.</w:t>
      </w:r>
      <w:r w:rsidR="00C72C48">
        <w:rPr>
          <w:rStyle w:val="FootnoteReference"/>
        </w:rPr>
        <w:footnoteReference w:id="27"/>
      </w:r>
      <w:r w:rsidR="00F762EC">
        <w:t xml:space="preserve"> So although Hazlitt often characterises </w:t>
      </w:r>
      <w:r w:rsidR="00F762EC">
        <w:rPr>
          <w:i/>
          <w:iCs/>
        </w:rPr>
        <w:t>The Speaker</w:t>
      </w:r>
      <w:r w:rsidR="00F762EC">
        <w:t xml:space="preserve"> as a staple of his early education, </w:t>
      </w:r>
      <w:r w:rsidR="003D43EE">
        <w:t xml:space="preserve">it seems </w:t>
      </w:r>
      <w:r w:rsidR="003D43EE">
        <w:lastRenderedPageBreak/>
        <w:t xml:space="preserve">that </w:t>
      </w:r>
      <w:r w:rsidR="0083263B">
        <w:t>he</w:t>
      </w:r>
      <w:r w:rsidR="003D43EE">
        <w:t xml:space="preserve"> also ha</w:t>
      </w:r>
      <w:r w:rsidR="0083263B">
        <w:t>d</w:t>
      </w:r>
      <w:r w:rsidR="003D43EE">
        <w:t xml:space="preserve"> use</w:t>
      </w:r>
      <w:r w:rsidR="0083263B">
        <w:t xml:space="preserve"> of</w:t>
      </w:r>
      <w:r w:rsidR="003D43EE">
        <w:t xml:space="preserve"> it at Hackney. </w:t>
      </w:r>
      <w:proofErr w:type="gramStart"/>
      <w:r w:rsidR="003D43EE">
        <w:t>Thus</w:t>
      </w:r>
      <w:proofErr w:type="gramEnd"/>
      <w:r w:rsidR="00F762EC">
        <w:t xml:space="preserve"> the principles of reading aloud </w:t>
      </w:r>
      <w:r w:rsidR="003D43EE">
        <w:t xml:space="preserve">that Enfield promoted </w:t>
      </w:r>
      <w:r w:rsidR="00F762EC">
        <w:t xml:space="preserve">remained key to </w:t>
      </w:r>
      <w:r w:rsidR="003D43EE">
        <w:t>Hazlitt’s</w:t>
      </w:r>
      <w:r w:rsidR="00F762EC">
        <w:t xml:space="preserve"> learning throughout his youth.</w:t>
      </w:r>
    </w:p>
    <w:p w14:paraId="320D4483" w14:textId="77777777" w:rsidR="004975D7" w:rsidRDefault="004975D7" w:rsidP="00902D64">
      <w:pPr>
        <w:spacing w:line="480" w:lineRule="auto"/>
        <w:jc w:val="both"/>
      </w:pPr>
    </w:p>
    <w:p w14:paraId="1C711922" w14:textId="063C53FB" w:rsidR="004975D7" w:rsidRPr="004975D7" w:rsidRDefault="004975D7" w:rsidP="00902D64">
      <w:pPr>
        <w:spacing w:line="480" w:lineRule="auto"/>
        <w:jc w:val="both"/>
        <w:rPr>
          <w:b/>
          <w:bCs/>
        </w:rPr>
      </w:pPr>
      <w:r w:rsidRPr="004975D7">
        <w:rPr>
          <w:b/>
          <w:bCs/>
        </w:rPr>
        <w:t xml:space="preserve">Part II: </w:t>
      </w:r>
      <w:r w:rsidRPr="004975D7">
        <w:rPr>
          <w:b/>
          <w:bCs/>
          <w:i/>
          <w:iCs/>
        </w:rPr>
        <w:t>The Speaker</w:t>
      </w:r>
      <w:r w:rsidRPr="004975D7">
        <w:rPr>
          <w:b/>
          <w:bCs/>
        </w:rPr>
        <w:t xml:space="preserve"> in Hazlitt’s </w:t>
      </w:r>
      <w:r w:rsidR="00CC5440">
        <w:rPr>
          <w:b/>
          <w:bCs/>
          <w:i/>
          <w:iCs/>
        </w:rPr>
        <w:t>Plain Speaker</w:t>
      </w:r>
    </w:p>
    <w:p w14:paraId="497905EB" w14:textId="714D8568" w:rsidR="00AB4D9E" w:rsidRDefault="004975D7" w:rsidP="00902D64">
      <w:pPr>
        <w:spacing w:line="480" w:lineRule="auto"/>
        <w:jc w:val="both"/>
      </w:pPr>
      <w:r>
        <w:t>L</w:t>
      </w:r>
      <w:r w:rsidR="007E00DB">
        <w:t>ike</w:t>
      </w:r>
      <w:r w:rsidR="00A4292D">
        <w:t xml:space="preserve"> </w:t>
      </w:r>
      <w:r w:rsidR="0071472C">
        <w:t xml:space="preserve">Daniel </w:t>
      </w:r>
      <w:r w:rsidR="00A4292D">
        <w:t xml:space="preserve">Defoe’s </w:t>
      </w:r>
      <w:r w:rsidR="00A4292D">
        <w:rPr>
          <w:i/>
          <w:iCs/>
        </w:rPr>
        <w:t>Robinson Crusoe,</w:t>
      </w:r>
      <w:r w:rsidR="007E00DB">
        <w:t xml:space="preserve"> </w:t>
      </w:r>
      <w:r w:rsidR="0071472C">
        <w:t xml:space="preserve">Henry </w:t>
      </w:r>
      <w:r w:rsidR="007E00DB">
        <w:t xml:space="preserve">Fielding’s </w:t>
      </w:r>
      <w:r w:rsidR="007E00DB">
        <w:rPr>
          <w:i/>
          <w:iCs/>
        </w:rPr>
        <w:t>Tom Jones</w:t>
      </w:r>
      <w:r w:rsidR="007E00DB">
        <w:t xml:space="preserve">, </w:t>
      </w:r>
      <w:r w:rsidR="0071472C">
        <w:t xml:space="preserve">James </w:t>
      </w:r>
      <w:r w:rsidR="007E00DB">
        <w:t xml:space="preserve">Thomson’s </w:t>
      </w:r>
      <w:r w:rsidR="007E00DB">
        <w:rPr>
          <w:i/>
          <w:iCs/>
        </w:rPr>
        <w:t xml:space="preserve">The Seasons </w:t>
      </w:r>
      <w:r w:rsidR="00746F29">
        <w:t>and</w:t>
      </w:r>
      <w:r w:rsidR="007E00DB">
        <w:rPr>
          <w:i/>
          <w:iCs/>
        </w:rPr>
        <w:t xml:space="preserve"> </w:t>
      </w:r>
      <w:r w:rsidR="007E00DB">
        <w:t xml:space="preserve">other ‘old books’ he encountered in his youth, </w:t>
      </w:r>
      <w:r w:rsidR="000D2843">
        <w:t xml:space="preserve">Enfield’s </w:t>
      </w:r>
      <w:r w:rsidR="0071472C">
        <w:rPr>
          <w:i/>
          <w:iCs/>
        </w:rPr>
        <w:t xml:space="preserve">The </w:t>
      </w:r>
      <w:r w:rsidR="007E00DB">
        <w:rPr>
          <w:i/>
          <w:iCs/>
        </w:rPr>
        <w:t xml:space="preserve">Speaker </w:t>
      </w:r>
      <w:r w:rsidR="007E00DB">
        <w:t>appears in many of Hazlitt’s later essays</w:t>
      </w:r>
      <w:r w:rsidR="003F75F7">
        <w:t xml:space="preserve"> and lectures</w:t>
      </w:r>
      <w:r w:rsidR="007E00DB">
        <w:t>.</w:t>
      </w:r>
      <w:r w:rsidR="00532095">
        <w:rPr>
          <w:rStyle w:val="FootnoteReference"/>
        </w:rPr>
        <w:footnoteReference w:id="28"/>
      </w:r>
      <w:r w:rsidR="009F3F78">
        <w:t xml:space="preserve"> </w:t>
      </w:r>
      <w:r w:rsidR="001A150E">
        <w:t xml:space="preserve">As </w:t>
      </w:r>
      <w:r w:rsidR="00041E3B">
        <w:t xml:space="preserve">Newlyn </w:t>
      </w:r>
      <w:r w:rsidR="001A150E">
        <w:t xml:space="preserve">has discussed, Hazlitt’s </w:t>
      </w:r>
      <w:r w:rsidR="001A150E">
        <w:rPr>
          <w:i/>
          <w:iCs/>
        </w:rPr>
        <w:t xml:space="preserve">Table Talk </w:t>
      </w:r>
      <w:r w:rsidR="001A150E">
        <w:t xml:space="preserve">essay ‘On Patronage and Puffing’ </w:t>
      </w:r>
      <w:r w:rsidR="00CC5440">
        <w:t>analyses</w:t>
      </w:r>
      <w:r w:rsidR="001A150E">
        <w:t xml:space="preserve"> the performance of </w:t>
      </w:r>
      <w:r w:rsidR="002C33E2">
        <w:t xml:space="preserve">the celebrated child actor </w:t>
      </w:r>
      <w:r w:rsidR="001A150E">
        <w:t>William</w:t>
      </w:r>
      <w:r w:rsidR="003E67C5">
        <w:t>,</w:t>
      </w:r>
      <w:r w:rsidR="001A150E">
        <w:t xml:space="preserve"> ‘Master’ Betty</w:t>
      </w:r>
      <w:r w:rsidR="003E67C5">
        <w:t>,</w:t>
      </w:r>
      <w:r w:rsidR="001A150E">
        <w:t xml:space="preserve"> in </w:t>
      </w:r>
      <w:r w:rsidR="00181A4F">
        <w:t>John Home’s</w:t>
      </w:r>
      <w:r w:rsidR="007E5B14">
        <w:t xml:space="preserve"> tragedy </w:t>
      </w:r>
      <w:r w:rsidR="007E5B14">
        <w:rPr>
          <w:i/>
          <w:iCs/>
        </w:rPr>
        <w:t>Douglas</w:t>
      </w:r>
      <w:r w:rsidR="007E5B14">
        <w:t xml:space="preserve"> </w:t>
      </w:r>
      <w:r w:rsidR="00181A4F">
        <w:t>(1756)</w:t>
      </w:r>
      <w:r w:rsidR="00CC5440">
        <w:t>.</w:t>
      </w:r>
      <w:r w:rsidR="00622D01">
        <w:rPr>
          <w:rStyle w:val="FootnoteReference"/>
        </w:rPr>
        <w:footnoteReference w:id="29"/>
      </w:r>
      <w:r w:rsidR="00CC5440">
        <w:t xml:space="preserve"> Home’s play</w:t>
      </w:r>
      <w:r w:rsidR="003E67C5">
        <w:t xml:space="preserve"> is </w:t>
      </w:r>
      <w:r w:rsidR="00466221">
        <w:t xml:space="preserve">extracted in book II of </w:t>
      </w:r>
      <w:r w:rsidR="00466221">
        <w:rPr>
          <w:i/>
          <w:iCs/>
        </w:rPr>
        <w:t>The Speaker</w:t>
      </w:r>
      <w:r w:rsidR="00466221">
        <w:t>, ‘Narrative Pieces’</w:t>
      </w:r>
      <w:r w:rsidR="0036134A">
        <w:t xml:space="preserve">. Enfield uses the speech in which </w:t>
      </w:r>
      <w:r w:rsidR="00AB4D9E">
        <w:t xml:space="preserve">Norval, later revealed to be the son of Lord Douglas, explains his upbringing: </w:t>
      </w:r>
    </w:p>
    <w:p w14:paraId="5B996FF0" w14:textId="77777777" w:rsidR="00AB4D9E" w:rsidRDefault="00AB4D9E" w:rsidP="00902D64">
      <w:pPr>
        <w:ind w:firstLine="720"/>
        <w:jc w:val="both"/>
      </w:pPr>
      <w:r>
        <w:t xml:space="preserve">My name is Norval: on the Grampian hills </w:t>
      </w:r>
    </w:p>
    <w:p w14:paraId="3F070908" w14:textId="77777777" w:rsidR="00AB4D9E" w:rsidRDefault="00AB4D9E" w:rsidP="00902D64">
      <w:pPr>
        <w:ind w:firstLine="720"/>
        <w:jc w:val="both"/>
      </w:pPr>
      <w:r>
        <w:t>My father feeds his flocks; a frugal swain</w:t>
      </w:r>
      <w:r w:rsidR="002C33E2">
        <w:t xml:space="preserve"> </w:t>
      </w:r>
    </w:p>
    <w:p w14:paraId="0EF6256A" w14:textId="77777777" w:rsidR="00AB4D9E" w:rsidRDefault="00AB4D9E" w:rsidP="00902D64">
      <w:pPr>
        <w:ind w:firstLine="720"/>
        <w:jc w:val="both"/>
      </w:pPr>
      <w:r>
        <w:t>Whose constant cares were to increase his store,</w:t>
      </w:r>
    </w:p>
    <w:p w14:paraId="322AC067" w14:textId="5841826B" w:rsidR="00AB4D9E" w:rsidRDefault="00AB4D9E" w:rsidP="00902D64">
      <w:pPr>
        <w:ind w:firstLine="720"/>
        <w:jc w:val="both"/>
      </w:pPr>
      <w:r>
        <w:t xml:space="preserve">And keep his only son, </w:t>
      </w:r>
      <w:proofErr w:type="gramStart"/>
      <w:r>
        <w:t>myself</w:t>
      </w:r>
      <w:proofErr w:type="gramEnd"/>
      <w:r>
        <w:t>, at home.</w:t>
      </w:r>
      <w:r>
        <w:rPr>
          <w:rStyle w:val="FootnoteReference"/>
        </w:rPr>
        <w:footnoteReference w:id="30"/>
      </w:r>
    </w:p>
    <w:p w14:paraId="643516A4" w14:textId="77777777" w:rsidR="00C00797" w:rsidRDefault="00C00797" w:rsidP="00902D64">
      <w:pPr>
        <w:ind w:firstLine="720"/>
        <w:jc w:val="both"/>
      </w:pPr>
    </w:p>
    <w:p w14:paraId="544FAE32" w14:textId="77777777" w:rsidR="00571E4A" w:rsidRDefault="00CC5440" w:rsidP="00902D64">
      <w:pPr>
        <w:spacing w:line="480" w:lineRule="auto"/>
        <w:jc w:val="both"/>
      </w:pPr>
      <w:r>
        <w:t xml:space="preserve">In ‘On Patronage and Puffing’ </w:t>
      </w:r>
      <w:r w:rsidR="00BA76E3">
        <w:t>Hazlitt</w:t>
      </w:r>
      <w:r>
        <w:t xml:space="preserve"> first discusses </w:t>
      </w:r>
      <w:r w:rsidR="0022480D">
        <w:t xml:space="preserve">Betty’s treatment of the part of Norval, </w:t>
      </w:r>
      <w:r w:rsidR="005A5361">
        <w:t xml:space="preserve">and focuses in particular on his vocal delivery, </w:t>
      </w:r>
      <w:r w:rsidR="0022480D">
        <w:t>noting</w:t>
      </w:r>
      <w:r w:rsidR="00AB154B">
        <w:t xml:space="preserve"> th</w:t>
      </w:r>
      <w:r w:rsidR="005A5361">
        <w:t xml:space="preserve">at Betty ‘murmur[ed] </w:t>
      </w:r>
      <w:proofErr w:type="spellStart"/>
      <w:r w:rsidR="005A5361">
        <w:t>Æoleian</w:t>
      </w:r>
      <w:proofErr w:type="spellEnd"/>
      <w:r w:rsidR="005A5361">
        <w:t xml:space="preserve"> sounds with plaintive tenderness’, and that his ‘tones fell and seemed to linger prophetic on my ear’.</w:t>
      </w:r>
      <w:r w:rsidR="005A5361">
        <w:rPr>
          <w:rStyle w:val="FootnoteReference"/>
        </w:rPr>
        <w:footnoteReference w:id="31"/>
      </w:r>
      <w:r w:rsidR="005A5361">
        <w:t xml:space="preserve"> But Hazlitt</w:t>
      </w:r>
      <w:r>
        <w:t xml:space="preserve"> then</w:t>
      </w:r>
      <w:r w:rsidR="007E5B14">
        <w:t xml:space="preserve"> shifts from </w:t>
      </w:r>
      <w:r w:rsidR="005A5361">
        <w:t xml:space="preserve">Betty’s professional performance to amateur readings, and from Home’s play as a whole to </w:t>
      </w:r>
      <w:r w:rsidR="0081293D">
        <w:t>its</w:t>
      </w:r>
      <w:r w:rsidR="005A5361">
        <w:t xml:space="preserve"> extract</w:t>
      </w:r>
      <w:r w:rsidR="0081293D">
        <w:t xml:space="preserve"> in Enfield’s text</w:t>
      </w:r>
      <w:r w:rsidR="005A5361">
        <w:t>,</w:t>
      </w:r>
      <w:r w:rsidR="007E5B14">
        <w:t xml:space="preserve"> when he notes</w:t>
      </w:r>
      <w:r>
        <w:t>:</w:t>
      </w:r>
      <w:r w:rsidR="007E5B14">
        <w:t xml:space="preserve"> ‘As to the understanding a part like Douglas, at least, I see no difficulty on that score. I myself used to recite the speech in Enfield’s Speaker with good emphasis and discretion when at school’.</w:t>
      </w:r>
      <w:r w:rsidR="007E5B14">
        <w:rPr>
          <w:rStyle w:val="FootnoteReference"/>
        </w:rPr>
        <w:footnoteReference w:id="32"/>
      </w:r>
      <w:r w:rsidR="0081293D">
        <w:t xml:space="preserve"> </w:t>
      </w:r>
      <w:r w:rsidR="0081293D">
        <w:lastRenderedPageBreak/>
        <w:t xml:space="preserve">Enfield’s </w:t>
      </w:r>
      <w:r w:rsidR="0081293D">
        <w:rPr>
          <w:i/>
          <w:iCs/>
        </w:rPr>
        <w:t>Speaker</w:t>
      </w:r>
      <w:r w:rsidR="0081293D">
        <w:t xml:space="preserve"> allows Hazlitt to move from auditor to speaker in his interaction with Home’s play</w:t>
      </w:r>
      <w:r w:rsidR="00571E4A">
        <w:t>, to enact the qualities that he finds most pleasing in the text and its performance</w:t>
      </w:r>
      <w:r w:rsidR="0081293D">
        <w:t>.</w:t>
      </w:r>
    </w:p>
    <w:p w14:paraId="274F648C" w14:textId="6E13EF47" w:rsidR="007E00DB" w:rsidRPr="007E00DB" w:rsidRDefault="00466221" w:rsidP="00902D64">
      <w:pPr>
        <w:spacing w:line="480" w:lineRule="auto"/>
        <w:ind w:firstLine="720"/>
        <w:jc w:val="both"/>
      </w:pPr>
      <w:r>
        <w:t>Hazlitt</w:t>
      </w:r>
      <w:r w:rsidR="008E2579">
        <w:t xml:space="preserve"> returns to the same passage</w:t>
      </w:r>
      <w:r w:rsidR="00C608C2">
        <w:t xml:space="preserve"> from</w:t>
      </w:r>
      <w:r>
        <w:t xml:space="preserve"> Home’s </w:t>
      </w:r>
      <w:r>
        <w:rPr>
          <w:i/>
          <w:iCs/>
        </w:rPr>
        <w:t xml:space="preserve">Douglas </w:t>
      </w:r>
      <w:r w:rsidR="00C608C2">
        <w:t xml:space="preserve">featured in </w:t>
      </w:r>
      <w:r w:rsidR="00C608C2">
        <w:rPr>
          <w:i/>
          <w:iCs/>
        </w:rPr>
        <w:t>The Speaker</w:t>
      </w:r>
      <w:r w:rsidR="00C608C2">
        <w:t xml:space="preserve"> </w:t>
      </w:r>
      <w:r>
        <w:t>in his introduction to</w:t>
      </w:r>
      <w:r w:rsidR="0081293D">
        <w:t xml:space="preserve"> the play in the</w:t>
      </w:r>
      <w:r>
        <w:t xml:space="preserve"> </w:t>
      </w:r>
      <w:proofErr w:type="spellStart"/>
      <w:r>
        <w:rPr>
          <w:i/>
          <w:iCs/>
        </w:rPr>
        <w:t>Oxberry’s</w:t>
      </w:r>
      <w:proofErr w:type="spellEnd"/>
      <w:r>
        <w:rPr>
          <w:i/>
          <w:iCs/>
        </w:rPr>
        <w:t xml:space="preserve"> New English Drama</w:t>
      </w:r>
      <w:r w:rsidR="00C608C2">
        <w:t xml:space="preserve"> </w:t>
      </w:r>
      <w:r w:rsidR="0081293D">
        <w:t>series</w:t>
      </w:r>
      <w:r w:rsidR="00331557">
        <w:t>. Hazlitt notes: ‘Young Norval’s speech giving an account of himself to Lord and Lady Randolph, for the spirit of modest heroism and conscious worth that breathes in it, may almost be compared with Othello’s apology to the Senate, on which it is evidently modelled.’</w:t>
      </w:r>
      <w:r w:rsidR="00331557">
        <w:rPr>
          <w:rStyle w:val="FootnoteReference"/>
        </w:rPr>
        <w:footnoteReference w:id="33"/>
      </w:r>
      <w:r w:rsidR="00D77B10">
        <w:t xml:space="preserve"> </w:t>
      </w:r>
      <w:r w:rsidR="00C608C2">
        <w:t>As Newlyn has noted, t</w:t>
      </w:r>
      <w:r w:rsidR="00D77B10">
        <w:t xml:space="preserve">he suggestion that Hazlitt is thinking </w:t>
      </w:r>
      <w:r w:rsidR="0081293D">
        <w:t xml:space="preserve">here </w:t>
      </w:r>
      <w:r w:rsidR="00D77B10">
        <w:t>of</w:t>
      </w:r>
      <w:r w:rsidR="00C608C2">
        <w:t xml:space="preserve"> Enfield’s use of the passage in</w:t>
      </w:r>
      <w:r w:rsidR="00D77B10">
        <w:t xml:space="preserve"> </w:t>
      </w:r>
      <w:r w:rsidR="00D77B10">
        <w:rPr>
          <w:i/>
          <w:iCs/>
        </w:rPr>
        <w:t xml:space="preserve">The Speaker </w:t>
      </w:r>
      <w:r w:rsidR="00D77B10">
        <w:t xml:space="preserve">is strengthened by the fact that the </w:t>
      </w:r>
      <w:r w:rsidR="00C608C2">
        <w:t>speech</w:t>
      </w:r>
      <w:r w:rsidR="00D77B10">
        <w:t xml:space="preserve"> from </w:t>
      </w:r>
      <w:r w:rsidR="0081293D">
        <w:t xml:space="preserve">Shakespeare’s </w:t>
      </w:r>
      <w:r w:rsidR="00D77B10">
        <w:rPr>
          <w:i/>
          <w:iCs/>
        </w:rPr>
        <w:t>Othello</w:t>
      </w:r>
      <w:r w:rsidR="00D77B10">
        <w:t xml:space="preserve"> to which he refers immediately follows the </w:t>
      </w:r>
      <w:r w:rsidR="00D77B10">
        <w:rPr>
          <w:i/>
          <w:iCs/>
        </w:rPr>
        <w:t>Douglas</w:t>
      </w:r>
      <w:r w:rsidR="00D77B10">
        <w:t xml:space="preserve"> speech in Enfield’s text.</w:t>
      </w:r>
      <w:r w:rsidR="00C608C2">
        <w:rPr>
          <w:rStyle w:val="FootnoteReference"/>
        </w:rPr>
        <w:footnoteReference w:id="34"/>
      </w:r>
      <w:r w:rsidR="00DD6F8E">
        <w:t xml:space="preserve"> </w:t>
      </w:r>
      <w:r w:rsidR="00C608C2">
        <w:t xml:space="preserve">In these examples Enfield’s </w:t>
      </w:r>
      <w:r w:rsidR="00C608C2">
        <w:rPr>
          <w:i/>
          <w:iCs/>
        </w:rPr>
        <w:t xml:space="preserve">Speaker </w:t>
      </w:r>
      <w:r w:rsidR="00C608C2">
        <w:t xml:space="preserve">seems to function for Hazlitt as </w:t>
      </w:r>
      <w:r w:rsidR="0081293D">
        <w:t>an aide memoire to his favourite passages from drama, as well as a catalyst for his memories of performances of those plays.</w:t>
      </w:r>
      <w:r w:rsidR="00C608C2">
        <w:t xml:space="preserve"> </w:t>
      </w:r>
      <w:r w:rsidR="007E00DB">
        <w:t xml:space="preserve">But </w:t>
      </w:r>
      <w:r w:rsidR="00DD6F8E">
        <w:t xml:space="preserve">despite the way it seems to have mediated his early experiences of poetic and dramatic texts, I suggest that for Hazlitt </w:t>
      </w:r>
      <w:r w:rsidR="00DD6F8E">
        <w:rPr>
          <w:i/>
          <w:iCs/>
        </w:rPr>
        <w:t xml:space="preserve">The Speaker </w:t>
      </w:r>
      <w:r w:rsidR="00DD6F8E">
        <w:t xml:space="preserve">is </w:t>
      </w:r>
      <w:r w:rsidR="007E00DB">
        <w:t xml:space="preserve">not </w:t>
      </w:r>
      <w:r w:rsidR="00C608C2">
        <w:t>only</w:t>
      </w:r>
      <w:r w:rsidR="007E00DB">
        <w:t xml:space="preserve"> an object of nostalgia</w:t>
      </w:r>
      <w:r w:rsidR="00C608C2">
        <w:t>, a gateway to the texts of his youth</w:t>
      </w:r>
      <w:r w:rsidR="00DD6F8E">
        <w:t>. Rather, Enfield’s treatment of elocution also</w:t>
      </w:r>
      <w:r w:rsidR="00C608C2">
        <w:t xml:space="preserve"> offers Hazlitt a model for </w:t>
      </w:r>
      <w:r w:rsidR="00DD6F8E">
        <w:t>the</w:t>
      </w:r>
      <w:r w:rsidR="007E00DB">
        <w:t xml:space="preserve"> principle</w:t>
      </w:r>
      <w:r w:rsidR="00DD6F8E">
        <w:t>s</w:t>
      </w:r>
      <w:r w:rsidR="007E00DB">
        <w:t xml:space="preserve"> of reading </w:t>
      </w:r>
      <w:proofErr w:type="gramStart"/>
      <w:r w:rsidR="007E00DB">
        <w:t>aloud</w:t>
      </w:r>
      <w:r w:rsidR="00C608C2">
        <w:t>, and</w:t>
      </w:r>
      <w:proofErr w:type="gramEnd"/>
      <w:r w:rsidR="00C608C2">
        <w:t xml:space="preserve"> informs his discussion of the interaction of voice and text in his essays</w:t>
      </w:r>
      <w:r w:rsidR="007E00DB">
        <w:t>.</w:t>
      </w:r>
    </w:p>
    <w:p w14:paraId="65CC416E" w14:textId="0DCF5761" w:rsidR="00C910B8" w:rsidRDefault="00B46011" w:rsidP="00902D64">
      <w:pPr>
        <w:spacing w:line="480" w:lineRule="auto"/>
        <w:ind w:firstLine="720"/>
        <w:jc w:val="both"/>
      </w:pPr>
      <w:r>
        <w:t xml:space="preserve">The significance of Enfield for Hazlitt’s accounts of reading aloud is demonstrated most clearly in </w:t>
      </w:r>
      <w:r w:rsidR="007A680B">
        <w:t xml:space="preserve">Hazlitt’s </w:t>
      </w:r>
      <w:r w:rsidR="007A680B">
        <w:rPr>
          <w:i/>
          <w:iCs/>
        </w:rPr>
        <w:t xml:space="preserve">The </w:t>
      </w:r>
      <w:r w:rsidR="00887E08" w:rsidRPr="007A680B">
        <w:rPr>
          <w:i/>
          <w:iCs/>
        </w:rPr>
        <w:t xml:space="preserve">Plain </w:t>
      </w:r>
      <w:r w:rsidR="007A680B">
        <w:rPr>
          <w:i/>
          <w:iCs/>
        </w:rPr>
        <w:t>S</w:t>
      </w:r>
      <w:r w:rsidR="00887E08" w:rsidRPr="007A680B">
        <w:rPr>
          <w:i/>
          <w:iCs/>
        </w:rPr>
        <w:t>peaker</w:t>
      </w:r>
      <w:r w:rsidR="0081293D">
        <w:rPr>
          <w:i/>
          <w:iCs/>
        </w:rPr>
        <w:t xml:space="preserve"> </w:t>
      </w:r>
      <w:r w:rsidR="0081293D">
        <w:t>(1826)</w:t>
      </w:r>
      <w:r w:rsidR="007A680B">
        <w:t xml:space="preserve">. The echo of Enfield’s title in Hazlitt’s may </w:t>
      </w:r>
      <w:r>
        <w:t xml:space="preserve">only </w:t>
      </w:r>
      <w:r w:rsidR="007A680B">
        <w:t xml:space="preserve">be coincidence, but Hazlitt’s choice of </w:t>
      </w:r>
      <w:r>
        <w:t xml:space="preserve">the phrase </w:t>
      </w:r>
      <w:r w:rsidR="007A680B">
        <w:rPr>
          <w:i/>
          <w:iCs/>
        </w:rPr>
        <w:t xml:space="preserve">The Plain Speaker </w:t>
      </w:r>
      <w:r w:rsidRPr="00B46011">
        <w:t>as the title for a</w:t>
      </w:r>
      <w:r>
        <w:rPr>
          <w:i/>
          <w:iCs/>
        </w:rPr>
        <w:t xml:space="preserve"> </w:t>
      </w:r>
      <w:r w:rsidR="007A680B">
        <w:t xml:space="preserve">group </w:t>
      </w:r>
      <w:r>
        <w:t>of disparate</w:t>
      </w:r>
      <w:r w:rsidR="00571E4A">
        <w:t xml:space="preserve"> and</w:t>
      </w:r>
      <w:r>
        <w:t xml:space="preserve"> often previously published</w:t>
      </w:r>
      <w:r w:rsidR="007A680B">
        <w:t xml:space="preserve"> essays does seem to have been </w:t>
      </w:r>
      <w:r>
        <w:t>significant</w:t>
      </w:r>
      <w:r w:rsidR="007A680B">
        <w:t xml:space="preserve">. As Paulin notes, Hazlitt is </w:t>
      </w:r>
      <w:r w:rsidR="00AF4D6B">
        <w:t>‘</w:t>
      </w:r>
      <w:r w:rsidR="00C910B8">
        <w:t>trying to give an illusion of coherence and unity to a collection of journalistic pieces that were written over several years.’</w:t>
      </w:r>
      <w:r w:rsidR="007A680B">
        <w:rPr>
          <w:rStyle w:val="FootnoteReference"/>
        </w:rPr>
        <w:footnoteReference w:id="35"/>
      </w:r>
      <w:r w:rsidR="000975B8">
        <w:t xml:space="preserve"> Paulin</w:t>
      </w:r>
      <w:r w:rsidR="00887DAE">
        <w:t xml:space="preserve"> </w:t>
      </w:r>
      <w:r w:rsidR="00130D5B">
        <w:t>observes</w:t>
      </w:r>
      <w:r w:rsidR="00887DAE">
        <w:t xml:space="preserve"> that</w:t>
      </w:r>
      <w:r w:rsidR="000975B8">
        <w:t xml:space="preserve"> the essays in </w:t>
      </w:r>
      <w:r w:rsidR="000975B8">
        <w:lastRenderedPageBreak/>
        <w:t>the collection are united by their focus on speech, and</w:t>
      </w:r>
      <w:r w:rsidR="00887DAE">
        <w:t xml:space="preserve"> that</w:t>
      </w:r>
      <w:r w:rsidR="000975B8">
        <w:t xml:space="preserve"> </w:t>
      </w:r>
      <w:r w:rsidR="000975B8">
        <w:rPr>
          <w:i/>
          <w:iCs/>
        </w:rPr>
        <w:t xml:space="preserve">The Plain Speaker </w:t>
      </w:r>
      <w:r w:rsidR="000975B8">
        <w:t>is</w:t>
      </w:r>
      <w:r w:rsidR="00F466D5">
        <w:t xml:space="preserve"> ‘</w:t>
      </w:r>
      <w:r w:rsidR="00C910B8">
        <w:t>a printed text that aspires to the condition of rapid, direct, inspired speech</w:t>
      </w:r>
      <w:r w:rsidR="00887DAE">
        <w:t>’, noting the paring of  essays like</w:t>
      </w:r>
      <w:r w:rsidR="00C910B8">
        <w:t xml:space="preserve"> ‘On the Prose Style of Poets’ </w:t>
      </w:r>
      <w:r w:rsidR="00887DAE">
        <w:t>and</w:t>
      </w:r>
      <w:r w:rsidR="00C910B8">
        <w:t xml:space="preserve"> ‘On the Conversation of Authors’</w:t>
      </w:r>
      <w:r w:rsidR="00887DAE">
        <w:t>,</w:t>
      </w:r>
      <w:r w:rsidR="00C910B8">
        <w:t xml:space="preserve"> and ‘The difference between Writing and Speaking’ </w:t>
      </w:r>
      <w:r w:rsidR="00887DAE">
        <w:t>alongside</w:t>
      </w:r>
      <w:r w:rsidR="00C910B8">
        <w:t xml:space="preserve"> ‘Old English Writers and Speakers’.</w:t>
      </w:r>
      <w:r w:rsidR="000975B8">
        <w:rPr>
          <w:rStyle w:val="FootnoteReference"/>
        </w:rPr>
        <w:footnoteReference w:id="36"/>
      </w:r>
      <w:r w:rsidR="00C910B8">
        <w:t xml:space="preserve"> </w:t>
      </w:r>
      <w:r w:rsidR="0009321E">
        <w:t>Like Paulin, I</w:t>
      </w:r>
      <w:r w:rsidR="00596669">
        <w:t xml:space="preserve"> a</w:t>
      </w:r>
      <w:r w:rsidR="0009321E">
        <w:t>m struck by the concentration in this volume of essays which take orality as their subject</w:t>
      </w:r>
      <w:r w:rsidR="00596669">
        <w:t xml:space="preserve">. </w:t>
      </w:r>
      <w:r w:rsidR="000B3A4B">
        <w:t>But</w:t>
      </w:r>
      <w:r w:rsidR="0009321E">
        <w:t xml:space="preserve"> I suggest that </w:t>
      </w:r>
      <w:r w:rsidR="00571E4A">
        <w:t xml:space="preserve">it was perhaps the anthologised structure and elocutionary concerns of </w:t>
      </w:r>
      <w:r w:rsidR="00571E4A">
        <w:rPr>
          <w:i/>
          <w:iCs/>
        </w:rPr>
        <w:t>The Speaker</w:t>
      </w:r>
      <w:r w:rsidR="00571E4A">
        <w:t xml:space="preserve"> that proved </w:t>
      </w:r>
      <w:r w:rsidR="0009321E">
        <w:t xml:space="preserve">the </w:t>
      </w:r>
      <w:r w:rsidR="00F97548">
        <w:t>model for</w:t>
      </w:r>
      <w:r w:rsidR="0009321E">
        <w:t xml:space="preserve"> </w:t>
      </w:r>
      <w:r w:rsidR="00571E4A">
        <w:t>this</w:t>
      </w:r>
      <w:r w:rsidR="0009321E">
        <w:t xml:space="preserve"> </w:t>
      </w:r>
      <w:r w:rsidR="00F97548">
        <w:t>disparate</w:t>
      </w:r>
      <w:r w:rsidR="00571E4A">
        <w:t xml:space="preserve"> collection</w:t>
      </w:r>
      <w:r w:rsidR="00F97548">
        <w:t>.</w:t>
      </w:r>
      <w:r w:rsidR="008432A0">
        <w:t xml:space="preserve"> </w:t>
      </w:r>
      <w:r w:rsidR="00596669">
        <w:t xml:space="preserve">Hazlitt’s </w:t>
      </w:r>
      <w:r w:rsidR="008432A0">
        <w:t xml:space="preserve">pronouncements </w:t>
      </w:r>
      <w:r w:rsidR="00596669">
        <w:t xml:space="preserve">in </w:t>
      </w:r>
      <w:r w:rsidR="00596669">
        <w:rPr>
          <w:i/>
          <w:iCs/>
        </w:rPr>
        <w:t>The Plain Speaker</w:t>
      </w:r>
      <w:r w:rsidR="00596669">
        <w:t xml:space="preserve"> </w:t>
      </w:r>
      <w:r w:rsidR="008432A0">
        <w:t xml:space="preserve">on the most beloved authors, the best prose styles, and the finest modes of reading certainly seem to echo earlier models </w:t>
      </w:r>
      <w:r w:rsidR="00571E4A">
        <w:t>such as</w:t>
      </w:r>
      <w:r w:rsidR="008432A0">
        <w:t xml:space="preserve"> Enfield’s.</w:t>
      </w:r>
    </w:p>
    <w:p w14:paraId="77931C66" w14:textId="2C8F72B6" w:rsidR="0032750B" w:rsidRPr="00A31DA4" w:rsidRDefault="00D90F4C" w:rsidP="00902D64">
      <w:pPr>
        <w:spacing w:line="480" w:lineRule="auto"/>
        <w:ind w:firstLine="720"/>
        <w:jc w:val="both"/>
        <w:rPr>
          <w:rFonts w:cstheme="minorHAnsi"/>
        </w:rPr>
      </w:pPr>
      <w:r>
        <w:t xml:space="preserve">The opening essay of </w:t>
      </w:r>
      <w:r>
        <w:rPr>
          <w:i/>
          <w:iCs/>
        </w:rPr>
        <w:t>The Plain Speaker</w:t>
      </w:r>
      <w:r>
        <w:t xml:space="preserve">, </w:t>
      </w:r>
      <w:r w:rsidR="0032750B">
        <w:rPr>
          <w:bCs/>
        </w:rPr>
        <w:t>‘</w:t>
      </w:r>
      <w:r w:rsidR="0032750B" w:rsidRPr="00D149B9">
        <w:rPr>
          <w:bCs/>
        </w:rPr>
        <w:t>On the Prose Style of Poets</w:t>
      </w:r>
      <w:r w:rsidR="0032750B">
        <w:rPr>
          <w:bCs/>
        </w:rPr>
        <w:t>’</w:t>
      </w:r>
      <w:r>
        <w:rPr>
          <w:bCs/>
        </w:rPr>
        <w:t xml:space="preserve">, makes repeated claims about reading and writing which seem to echo </w:t>
      </w:r>
      <w:r w:rsidR="00571E4A">
        <w:rPr>
          <w:bCs/>
        </w:rPr>
        <w:t>Enfield’s</w:t>
      </w:r>
      <w:r>
        <w:rPr>
          <w:bCs/>
        </w:rPr>
        <w:t xml:space="preserve"> pronouncements in </w:t>
      </w:r>
      <w:r>
        <w:rPr>
          <w:bCs/>
          <w:i/>
          <w:iCs/>
        </w:rPr>
        <w:t>The Speaker</w:t>
      </w:r>
      <w:r>
        <w:rPr>
          <w:bCs/>
        </w:rPr>
        <w:t xml:space="preserve">. Hazlitt refers to </w:t>
      </w:r>
      <w:r w:rsidR="0032750B">
        <w:t>‘the characteristic harmony which ought to subsist between the sound and the sense’</w:t>
      </w:r>
      <w:r>
        <w:t xml:space="preserve"> of texts, and criticises Samuel Johnson’s prose in </w:t>
      </w:r>
      <w:r>
        <w:rPr>
          <w:i/>
          <w:iCs/>
        </w:rPr>
        <w:t>The Rambler</w:t>
      </w:r>
      <w:r>
        <w:t>, because i</w:t>
      </w:r>
      <w:r w:rsidR="00E77BA0">
        <w:t>t ha</w:t>
      </w:r>
      <w:r>
        <w:t>s</w:t>
      </w:r>
      <w:r w:rsidR="0032750B">
        <w:t xml:space="preserve"> </w:t>
      </w:r>
      <w:r w:rsidR="00E77BA0">
        <w:t>‘</w:t>
      </w:r>
      <w:r w:rsidR="0032750B">
        <w:t>a mechanical recurrence of the same rise and fall</w:t>
      </w:r>
      <w:r w:rsidR="00E77BA0">
        <w:t xml:space="preserve">… </w:t>
      </w:r>
      <w:r w:rsidR="0032750B">
        <w:t>independent of any reference to the meaning of the text, or progress or inflection of the sense.’</w:t>
      </w:r>
      <w:r>
        <w:rPr>
          <w:rStyle w:val="FootnoteReference"/>
        </w:rPr>
        <w:footnoteReference w:id="37"/>
      </w:r>
      <w:r w:rsidR="00650025">
        <w:t xml:space="preserve"> Here Hazlitt echoes </w:t>
      </w:r>
      <w:r w:rsidR="00BA76E3">
        <w:t xml:space="preserve">Alexander Pope’s </w:t>
      </w:r>
      <w:r w:rsidR="00650025">
        <w:t xml:space="preserve">celebrated account of versification in </w:t>
      </w:r>
      <w:r w:rsidR="00650025">
        <w:rPr>
          <w:i/>
          <w:iCs/>
        </w:rPr>
        <w:t>Essay on Criticism</w:t>
      </w:r>
      <w:r w:rsidR="003C01DD">
        <w:rPr>
          <w:i/>
          <w:iCs/>
        </w:rPr>
        <w:t xml:space="preserve"> </w:t>
      </w:r>
      <w:r w:rsidR="003C01DD">
        <w:t>(1711)</w:t>
      </w:r>
      <w:r w:rsidR="003655EA">
        <w:t>. Pope notes</w:t>
      </w:r>
      <w:r w:rsidR="00650025">
        <w:t>:</w:t>
      </w:r>
      <w:r w:rsidR="007743FE">
        <w:t xml:space="preserve"> ‘</w:t>
      </w:r>
      <w:proofErr w:type="spellStart"/>
      <w:r w:rsidR="008A5881">
        <w:t>‘</w:t>
      </w:r>
      <w:r w:rsidR="007743FE">
        <w:t>Tis</w:t>
      </w:r>
      <w:proofErr w:type="spellEnd"/>
      <w:r w:rsidR="007743FE">
        <w:t xml:space="preserve"> not enough no harshness gives offence, /The sound must seem an echo to the sense.</w:t>
      </w:r>
      <w:r w:rsidR="008A5881">
        <w:t>’</w:t>
      </w:r>
      <w:r w:rsidR="00341644">
        <w:rPr>
          <w:rStyle w:val="FootnoteReference"/>
        </w:rPr>
        <w:footnoteReference w:id="38"/>
      </w:r>
      <w:r w:rsidR="008A5881">
        <w:t xml:space="preserve"> </w:t>
      </w:r>
      <w:r w:rsidR="003655EA">
        <w:rPr>
          <w:rFonts w:cstheme="minorHAnsi"/>
        </w:rPr>
        <w:t xml:space="preserve">The desired relation between sound and sense is a staple of eighteenth-century elocution texts, beginning with Isaac Watts’s </w:t>
      </w:r>
      <w:r w:rsidR="003655EA" w:rsidRPr="00A31DA4">
        <w:rPr>
          <w:rFonts w:cstheme="minorHAnsi"/>
          <w:i/>
        </w:rPr>
        <w:t xml:space="preserve">The </w:t>
      </w:r>
      <w:r w:rsidR="00390213">
        <w:rPr>
          <w:rFonts w:cstheme="minorHAnsi"/>
          <w:i/>
        </w:rPr>
        <w:t>A</w:t>
      </w:r>
      <w:r w:rsidR="003655EA" w:rsidRPr="00A31DA4">
        <w:rPr>
          <w:rFonts w:cstheme="minorHAnsi"/>
          <w:i/>
        </w:rPr>
        <w:t xml:space="preserve">rt of </w:t>
      </w:r>
      <w:r w:rsidR="00390213">
        <w:rPr>
          <w:rFonts w:cstheme="minorHAnsi"/>
          <w:i/>
        </w:rPr>
        <w:t>R</w:t>
      </w:r>
      <w:r w:rsidR="003655EA" w:rsidRPr="00A31DA4">
        <w:rPr>
          <w:rFonts w:cstheme="minorHAnsi"/>
          <w:i/>
        </w:rPr>
        <w:t xml:space="preserve">eading and </w:t>
      </w:r>
      <w:r w:rsidR="00390213">
        <w:rPr>
          <w:rFonts w:cstheme="minorHAnsi"/>
          <w:i/>
        </w:rPr>
        <w:t>W</w:t>
      </w:r>
      <w:r w:rsidR="003655EA" w:rsidRPr="00A31DA4">
        <w:rPr>
          <w:rFonts w:cstheme="minorHAnsi"/>
          <w:i/>
        </w:rPr>
        <w:t>riting English</w:t>
      </w:r>
      <w:r w:rsidR="003655EA">
        <w:rPr>
          <w:rFonts w:cstheme="minorHAnsi"/>
          <w:i/>
        </w:rPr>
        <w:t xml:space="preserve"> </w:t>
      </w:r>
      <w:r w:rsidR="003655EA">
        <w:rPr>
          <w:rFonts w:cstheme="minorHAnsi"/>
          <w:iCs/>
        </w:rPr>
        <w:t>(</w:t>
      </w:r>
      <w:r w:rsidR="003655EA" w:rsidRPr="00A31DA4">
        <w:rPr>
          <w:rFonts w:cstheme="minorHAnsi"/>
        </w:rPr>
        <w:t>1722</w:t>
      </w:r>
      <w:r w:rsidR="003655EA">
        <w:rPr>
          <w:rFonts w:cstheme="minorHAnsi"/>
        </w:rPr>
        <w:t>)</w:t>
      </w:r>
      <w:r w:rsidR="003655EA" w:rsidRPr="00A31DA4">
        <w:rPr>
          <w:rFonts w:cstheme="minorHAnsi"/>
        </w:rPr>
        <w:t>.</w:t>
      </w:r>
      <w:r w:rsidR="00A10D33">
        <w:rPr>
          <w:rStyle w:val="FootnoteReference"/>
          <w:rFonts w:cstheme="minorHAnsi"/>
        </w:rPr>
        <w:footnoteReference w:id="39"/>
      </w:r>
      <w:r w:rsidR="003655EA">
        <w:rPr>
          <w:rFonts w:cstheme="minorHAnsi"/>
        </w:rPr>
        <w:t xml:space="preserve"> </w:t>
      </w:r>
      <w:r w:rsidR="00A10D33">
        <w:t xml:space="preserve">Enfield </w:t>
      </w:r>
      <w:r w:rsidR="006436C6">
        <w:t>follows this trend,</w:t>
      </w:r>
      <w:r w:rsidR="00A10D33">
        <w:t xml:space="preserve"> extract</w:t>
      </w:r>
      <w:r w:rsidR="006436C6">
        <w:t>ing</w:t>
      </w:r>
      <w:r w:rsidR="00A10D33">
        <w:t xml:space="preserve"> the same</w:t>
      </w:r>
      <w:r w:rsidR="008A5881">
        <w:t xml:space="preserve"> passage from Pope </w:t>
      </w:r>
      <w:r w:rsidR="00A10D33">
        <w:t xml:space="preserve">in </w:t>
      </w:r>
      <w:r w:rsidR="00A10D33">
        <w:rPr>
          <w:i/>
          <w:iCs/>
        </w:rPr>
        <w:t>The</w:t>
      </w:r>
      <w:r w:rsidR="008A5881">
        <w:t xml:space="preserve"> </w:t>
      </w:r>
      <w:r w:rsidR="008A5881">
        <w:rPr>
          <w:i/>
          <w:iCs/>
        </w:rPr>
        <w:t xml:space="preserve">Speaker </w:t>
      </w:r>
      <w:r w:rsidR="004968C2">
        <w:t>b</w:t>
      </w:r>
      <w:r w:rsidR="0032750B">
        <w:t>ook III</w:t>
      </w:r>
      <w:r w:rsidR="00A10D33">
        <w:rPr>
          <w:rFonts w:cstheme="minorHAnsi"/>
        </w:rPr>
        <w:t>.</w:t>
      </w:r>
      <w:r w:rsidR="00A10D33">
        <w:rPr>
          <w:rStyle w:val="FootnoteReference"/>
          <w:rFonts w:cstheme="minorHAnsi"/>
        </w:rPr>
        <w:footnoteReference w:id="40"/>
      </w:r>
      <w:r w:rsidR="0032750B" w:rsidRPr="00A31DA4">
        <w:rPr>
          <w:rFonts w:cstheme="minorHAnsi"/>
        </w:rPr>
        <w:t xml:space="preserve"> </w:t>
      </w:r>
      <w:r w:rsidR="00AC6DC9">
        <w:rPr>
          <w:rFonts w:cstheme="minorHAnsi"/>
        </w:rPr>
        <w:t xml:space="preserve">But </w:t>
      </w:r>
      <w:r w:rsidR="007C166F">
        <w:rPr>
          <w:rFonts w:cstheme="minorHAnsi"/>
        </w:rPr>
        <w:t xml:space="preserve">in </w:t>
      </w:r>
      <w:r w:rsidR="007C166F">
        <w:rPr>
          <w:rFonts w:cstheme="minorHAnsi"/>
        </w:rPr>
        <w:lastRenderedPageBreak/>
        <w:t xml:space="preserve">‘On the Prose Style of Poets’ </w:t>
      </w:r>
      <w:r w:rsidR="00AC6DC9">
        <w:rPr>
          <w:rFonts w:cstheme="minorHAnsi"/>
        </w:rPr>
        <w:t xml:space="preserve">Hazlitt moves beyond </w:t>
      </w:r>
      <w:r w:rsidR="007C166F">
        <w:rPr>
          <w:rFonts w:cstheme="minorHAnsi"/>
        </w:rPr>
        <w:t>Pope’s</w:t>
      </w:r>
      <w:r w:rsidR="00AC6DC9">
        <w:rPr>
          <w:rFonts w:cstheme="minorHAnsi"/>
        </w:rPr>
        <w:t xml:space="preserve"> truism to consider how the </w:t>
      </w:r>
      <w:r w:rsidR="00130D5B">
        <w:rPr>
          <w:rFonts w:cstheme="minorHAnsi"/>
        </w:rPr>
        <w:t>physical,</w:t>
      </w:r>
      <w:r w:rsidR="00AC6DC9">
        <w:rPr>
          <w:rFonts w:cstheme="minorHAnsi"/>
        </w:rPr>
        <w:t xml:space="preserve"> breathing body affects the words </w:t>
      </w:r>
      <w:r w:rsidR="007C166F">
        <w:rPr>
          <w:rFonts w:cstheme="minorHAnsi"/>
        </w:rPr>
        <w:t xml:space="preserve">that </w:t>
      </w:r>
      <w:r w:rsidR="00AC6DC9">
        <w:rPr>
          <w:rFonts w:cstheme="minorHAnsi"/>
        </w:rPr>
        <w:t xml:space="preserve">a reader speaks, and </w:t>
      </w:r>
      <w:r w:rsidR="007C166F">
        <w:rPr>
          <w:rFonts w:cstheme="minorHAnsi"/>
        </w:rPr>
        <w:t>the</w:t>
      </w:r>
      <w:r w:rsidR="00AC6DC9">
        <w:rPr>
          <w:rFonts w:cstheme="minorHAnsi"/>
        </w:rPr>
        <w:t xml:space="preserve"> effect </w:t>
      </w:r>
      <w:r w:rsidR="007C166F">
        <w:rPr>
          <w:rFonts w:cstheme="minorHAnsi"/>
        </w:rPr>
        <w:t xml:space="preserve">of this process </w:t>
      </w:r>
      <w:r w:rsidR="00AC6DC9">
        <w:rPr>
          <w:rFonts w:cstheme="minorHAnsi"/>
        </w:rPr>
        <w:t>on writers:</w:t>
      </w:r>
    </w:p>
    <w:p w14:paraId="2126F1FD" w14:textId="5E5CE100" w:rsidR="00011B68" w:rsidRDefault="00C8329A" w:rsidP="00902D64">
      <w:pPr>
        <w:ind w:left="720"/>
        <w:jc w:val="both"/>
      </w:pPr>
      <w:r>
        <w:t>A speaker is necessarily kept within bounds in expressing certain things, or in pronouncing a certain number of words, by the limits of the breath or power of respiration: certain sounds are observed to join in harmoniously or happily with others</w:t>
      </w:r>
      <w:r w:rsidR="00007F79">
        <w:t>…</w:t>
      </w:r>
      <w:r>
        <w:t xml:space="preserve"> &amp;c. All of this must be attended to in writing... The words must be so arranged, in order to make an efficient readable style</w:t>
      </w:r>
      <w:r w:rsidR="00CC5C2D">
        <w:t>.</w:t>
      </w:r>
      <w:r w:rsidR="00007F79">
        <w:rPr>
          <w:rStyle w:val="FootnoteReference"/>
        </w:rPr>
        <w:footnoteReference w:id="41"/>
      </w:r>
      <w:r w:rsidR="00007F79">
        <w:t xml:space="preserve"> </w:t>
      </w:r>
    </w:p>
    <w:p w14:paraId="2C30AE5E" w14:textId="77777777" w:rsidR="005120A3" w:rsidRDefault="005120A3" w:rsidP="00902D64">
      <w:pPr>
        <w:ind w:left="720"/>
        <w:jc w:val="both"/>
      </w:pPr>
    </w:p>
    <w:p w14:paraId="30129D22" w14:textId="6954D421" w:rsidR="00C8329A" w:rsidRDefault="00090E75" w:rsidP="00902D64">
      <w:pPr>
        <w:spacing w:line="480" w:lineRule="auto"/>
        <w:jc w:val="both"/>
      </w:pPr>
      <w:r w:rsidRPr="00090E75">
        <w:t>For Hazlitt, writer</w:t>
      </w:r>
      <w:r w:rsidR="00130D5B">
        <w:t>s</w:t>
      </w:r>
      <w:r w:rsidRPr="00090E75">
        <w:t xml:space="preserve"> must keep in mind the bodily capacities of their </w:t>
      </w:r>
      <w:proofErr w:type="gramStart"/>
      <w:r w:rsidRPr="00090E75">
        <w:t>reader</w:t>
      </w:r>
      <w:r w:rsidR="00130D5B">
        <w:t>s</w:t>
      </w:r>
      <w:r w:rsidRPr="00090E75">
        <w:t>, and</w:t>
      </w:r>
      <w:proofErr w:type="gramEnd"/>
      <w:r w:rsidRPr="00090E75">
        <w:t xml:space="preserve"> anticipate the sounds and rhythms they will produce in reading.</w:t>
      </w:r>
      <w:r w:rsidR="007C166F">
        <w:t xml:space="preserve"> </w:t>
      </w:r>
      <w:r w:rsidR="00007F79">
        <w:t xml:space="preserve">Prose, </w:t>
      </w:r>
      <w:r>
        <w:t>he</w:t>
      </w:r>
      <w:r w:rsidR="00007F79">
        <w:t xml:space="preserve"> suggests, is better suited to this process than verse, as ‘</w:t>
      </w:r>
      <w:r w:rsidR="00C8329A">
        <w:t>it seems that there is a natural measure of prose in the feeling of the subject and the power of expression in the voice</w:t>
      </w:r>
      <w:r w:rsidR="00007F79">
        <w:t>’.</w:t>
      </w:r>
      <w:r w:rsidR="00007F79">
        <w:rPr>
          <w:rStyle w:val="FootnoteReference"/>
        </w:rPr>
        <w:footnoteReference w:id="42"/>
      </w:r>
      <w:r w:rsidR="00007F79">
        <w:t xml:space="preserve"> Li</w:t>
      </w:r>
      <w:r w:rsidR="00B550E9">
        <w:t xml:space="preserve">ke </w:t>
      </w:r>
      <w:r w:rsidR="00007F79">
        <w:t>Enfield</w:t>
      </w:r>
      <w:r w:rsidR="00B550E9">
        <w:t xml:space="preserve">, Hazlitt champions a ‘natural’ style in reading, </w:t>
      </w:r>
      <w:r>
        <w:t>and</w:t>
      </w:r>
      <w:r w:rsidR="00B550E9">
        <w:t xml:space="preserve"> </w:t>
      </w:r>
      <w:r w:rsidR="00864156">
        <w:t xml:space="preserve">he suggests </w:t>
      </w:r>
      <w:r>
        <w:t xml:space="preserve">that this </w:t>
      </w:r>
      <w:r w:rsidR="00B550E9">
        <w:t xml:space="preserve">can be best achieved </w:t>
      </w:r>
      <w:r w:rsidR="00E7376E">
        <w:t>by</w:t>
      </w:r>
      <w:r w:rsidR="00B550E9">
        <w:t xml:space="preserve"> English prose</w:t>
      </w:r>
      <w:r>
        <w:t>. Here Hazlitt differs from those contemporaries</w:t>
      </w:r>
      <w:r w:rsidR="00130D5B">
        <w:t xml:space="preserve"> </w:t>
      </w:r>
      <w:r>
        <w:t>who favour the sounds and metre of poetry read aloud, as I discuss below</w:t>
      </w:r>
      <w:r w:rsidR="00B550E9">
        <w:t>.</w:t>
      </w:r>
    </w:p>
    <w:p w14:paraId="7693E8FC" w14:textId="12B1978C" w:rsidR="006C4F1B" w:rsidRDefault="00002502" w:rsidP="00902D64">
      <w:pPr>
        <w:spacing w:line="480" w:lineRule="auto"/>
        <w:ind w:firstLine="720"/>
        <w:jc w:val="both"/>
      </w:pPr>
      <w:r>
        <w:t>But though</w:t>
      </w:r>
      <w:r w:rsidR="00090E75">
        <w:t xml:space="preserve"> Hazlitt’s</w:t>
      </w:r>
      <w:r>
        <w:t xml:space="preserve"> ‘On the Prose Style of Poets’ follows Enfield closely, </w:t>
      </w:r>
      <w:r w:rsidR="00090E75">
        <w:t>he</w:t>
      </w:r>
      <w:r>
        <w:t xml:space="preserve"> also distinguishes his claims from those of earlier elocutionary culture, leaving greater room for the discretion of the </w:t>
      </w:r>
      <w:r w:rsidR="00D33F31">
        <w:t xml:space="preserve">reader’s </w:t>
      </w:r>
      <w:r w:rsidR="001A0FD8">
        <w:t xml:space="preserve">and writer’s </w:t>
      </w:r>
      <w:r>
        <w:t xml:space="preserve">imagination. He </w:t>
      </w:r>
      <w:r w:rsidR="00090E75">
        <w:t>notes</w:t>
      </w:r>
      <w:r w:rsidR="00C106AA">
        <w:t>,</w:t>
      </w:r>
      <w:r>
        <w:t xml:space="preserve"> and appears to agree with</w:t>
      </w:r>
      <w:r w:rsidR="00561785">
        <w:t>,</w:t>
      </w:r>
      <w:r>
        <w:t xml:space="preserve"> </w:t>
      </w:r>
      <w:r w:rsidR="00090E75">
        <w:t xml:space="preserve">the reported opinion of </w:t>
      </w:r>
      <w:r>
        <w:t>John Horne Tooke</w:t>
      </w:r>
      <w:r w:rsidR="00090E75">
        <w:t>, writer</w:t>
      </w:r>
      <w:r w:rsidR="00CD6279">
        <w:t xml:space="preserve"> and</w:t>
      </w:r>
      <w:r w:rsidR="00090E75">
        <w:t xml:space="preserve"> </w:t>
      </w:r>
      <w:r w:rsidR="000D53CE">
        <w:t xml:space="preserve">political </w:t>
      </w:r>
      <w:r w:rsidR="00090E75">
        <w:t>agitator,</w:t>
      </w:r>
      <w:r w:rsidR="00850A46">
        <w:t xml:space="preserve"> </w:t>
      </w:r>
      <w:r>
        <w:t xml:space="preserve">that </w:t>
      </w:r>
      <w:r w:rsidR="00C8329A">
        <w:t>‘no style is worth a farthing that is not calculated to be read out</w:t>
      </w:r>
      <w:r>
        <w:t>’</w:t>
      </w:r>
      <w:r w:rsidR="00C8329A">
        <w:t xml:space="preserve">, </w:t>
      </w:r>
      <w:r>
        <w:t xml:space="preserve">but </w:t>
      </w:r>
      <w:r w:rsidR="00850A46">
        <w:t xml:space="preserve">he </w:t>
      </w:r>
      <w:r>
        <w:t xml:space="preserve">adds a disclaimer, </w:t>
      </w:r>
      <w:r w:rsidR="00090E75">
        <w:t>remarking</w:t>
      </w:r>
      <w:r>
        <w:t xml:space="preserve"> that ‘</w:t>
      </w:r>
      <w:r w:rsidR="00C8329A">
        <w:t>the process of modulation and inflection may be quite as complete, or more so, without the external enunciation</w:t>
      </w:r>
      <w:r>
        <w:t>’</w:t>
      </w:r>
      <w:r w:rsidR="00C8329A">
        <w:t xml:space="preserve">, </w:t>
      </w:r>
      <w:r>
        <w:t>so that</w:t>
      </w:r>
      <w:r w:rsidR="00902D64">
        <w:t xml:space="preserve"> </w:t>
      </w:r>
      <w:r w:rsidR="00090E75">
        <w:t xml:space="preserve">the author can fulfil their required attention to sound, breath and rhythm even in </w:t>
      </w:r>
      <w:r>
        <w:t>silent enunciation.</w:t>
      </w:r>
      <w:r>
        <w:rPr>
          <w:rStyle w:val="FootnoteReference"/>
        </w:rPr>
        <w:footnoteReference w:id="43"/>
      </w:r>
      <w:r>
        <w:t xml:space="preserve"> </w:t>
      </w:r>
    </w:p>
    <w:p w14:paraId="0FB861B2" w14:textId="077F37CD" w:rsidR="004B0078" w:rsidRDefault="00CA7E6A" w:rsidP="00902D64">
      <w:pPr>
        <w:spacing w:line="480" w:lineRule="auto"/>
        <w:ind w:firstLine="720"/>
        <w:jc w:val="both"/>
      </w:pPr>
      <w:r>
        <w:lastRenderedPageBreak/>
        <w:t xml:space="preserve">In a later </w:t>
      </w:r>
      <w:r>
        <w:rPr>
          <w:i/>
          <w:iCs/>
        </w:rPr>
        <w:t xml:space="preserve">Plain Speaker </w:t>
      </w:r>
      <w:r>
        <w:t xml:space="preserve">essay, </w:t>
      </w:r>
      <w:r w:rsidR="00E5734C">
        <w:t>‘On the Conversation of Authors</w:t>
      </w:r>
      <w:r>
        <w:t xml:space="preserve">, </w:t>
      </w:r>
      <w:r w:rsidR="00E5734C">
        <w:t xml:space="preserve">The Same </w:t>
      </w:r>
      <w:r>
        <w:t>S</w:t>
      </w:r>
      <w:r w:rsidR="00E5734C">
        <w:t xml:space="preserve">ubject </w:t>
      </w:r>
      <w:r>
        <w:t>C</w:t>
      </w:r>
      <w:r w:rsidR="00E5734C">
        <w:t xml:space="preserve">ontinued’, </w:t>
      </w:r>
      <w:r>
        <w:t xml:space="preserve">Hazlitt </w:t>
      </w:r>
      <w:r w:rsidR="00E5734C">
        <w:t xml:space="preserve">uses </w:t>
      </w:r>
      <w:r>
        <w:t xml:space="preserve">the same example of Horne </w:t>
      </w:r>
      <w:r w:rsidR="00864156">
        <w:t>Tooke</w:t>
      </w:r>
      <w:r w:rsidR="00902D64">
        <w:t>’s</w:t>
      </w:r>
      <w:r w:rsidR="006C4F1B">
        <w:t xml:space="preserve"> view that all good style should </w:t>
      </w:r>
      <w:r w:rsidR="00902D64">
        <w:t>lend itself</w:t>
      </w:r>
      <w:r w:rsidR="006C4F1B">
        <w:t xml:space="preserve"> to be</w:t>
      </w:r>
      <w:r w:rsidR="00902D64">
        <w:t>ing</w:t>
      </w:r>
      <w:r w:rsidR="006C4F1B">
        <w:t xml:space="preserve"> read aloud</w:t>
      </w:r>
      <w:r>
        <w:t xml:space="preserve">, </w:t>
      </w:r>
      <w:r w:rsidR="00864156">
        <w:t>but</w:t>
      </w:r>
      <w:r w:rsidR="006C4F1B">
        <w:t xml:space="preserve"> he</w:t>
      </w:r>
      <w:r w:rsidR="004B0078">
        <w:t xml:space="preserve"> again</w:t>
      </w:r>
      <w:r>
        <w:t xml:space="preserve"> adds that ‘there is a method of trying periods on the ear, or weighing them with the scales of the breath, without any articulate sound.’</w:t>
      </w:r>
      <w:r>
        <w:rPr>
          <w:rStyle w:val="FootnoteReference"/>
        </w:rPr>
        <w:footnoteReference w:id="44"/>
      </w:r>
      <w:r w:rsidR="004B0078">
        <w:t xml:space="preserve"> </w:t>
      </w:r>
      <w:r w:rsidR="00090E75">
        <w:t>Hazlitt consistently asserts, then, that attention to the somatic capacities of the reader is important whether or not that reader will pronounce that text to an audience.</w:t>
      </w:r>
      <w:r w:rsidR="006C4F1B">
        <w:t xml:space="preserve"> </w:t>
      </w:r>
      <w:r w:rsidR="004B0078">
        <w:t xml:space="preserve">Yet whether voiced or unvoiced, Hazlitt concludes that </w:t>
      </w:r>
    </w:p>
    <w:p w14:paraId="2B36364F" w14:textId="71467C7A" w:rsidR="00C8329A" w:rsidRDefault="00DC74D7" w:rsidP="00902D64">
      <w:pPr>
        <w:ind w:left="720"/>
        <w:jc w:val="both"/>
      </w:pPr>
      <w:r>
        <w:t>[N]</w:t>
      </w:r>
      <w:r w:rsidR="00BB5C23">
        <w:t>o style is good, that is not fit to be spoken or read aloud with effect. This holds true not only of emphasis and cadence, but also with regard to natural idiom and colloquial freedom. Sterne’s was in this respect the best style that ever was written. You fancy that you hear the people talking.</w:t>
      </w:r>
      <w:r w:rsidR="004B0078">
        <w:rPr>
          <w:rStyle w:val="FootnoteReference"/>
        </w:rPr>
        <w:footnoteReference w:id="45"/>
      </w:r>
    </w:p>
    <w:p w14:paraId="382250B4" w14:textId="77777777" w:rsidR="00A05C34" w:rsidRDefault="00A05C34" w:rsidP="00902D64">
      <w:pPr>
        <w:ind w:left="720"/>
        <w:jc w:val="both"/>
      </w:pPr>
    </w:p>
    <w:p w14:paraId="6C305232" w14:textId="6C9B114E" w:rsidR="001E6110" w:rsidRDefault="00090E75" w:rsidP="00902D64">
      <w:pPr>
        <w:spacing w:line="480" w:lineRule="auto"/>
        <w:jc w:val="both"/>
      </w:pPr>
      <w:r w:rsidRPr="00EC6FCD">
        <w:t>Hazlitt</w:t>
      </w:r>
      <w:r w:rsidR="00902D64">
        <w:t xml:space="preserve"> assertion that</w:t>
      </w:r>
      <w:r w:rsidRPr="00EC6FCD">
        <w:t xml:space="preserve"> the vitality and conversational nature of Sterne’s prose is unsurpassed echoes his earlier lecture ‘On the English Novelists’ from the </w:t>
      </w:r>
      <w:r w:rsidRPr="00EC6FCD">
        <w:rPr>
          <w:i/>
          <w:iCs/>
        </w:rPr>
        <w:t>On the English Comic Writers</w:t>
      </w:r>
      <w:r w:rsidRPr="00EC6FCD">
        <w:t xml:space="preserve"> series</w:t>
      </w:r>
      <w:r w:rsidR="00EC6FCD" w:rsidRPr="00EC6FCD">
        <w:t xml:space="preserve"> (1819)</w:t>
      </w:r>
      <w:r w:rsidRPr="00EC6FCD">
        <w:t>. There, Hazlitt celebrates Sterne’s prose style as</w:t>
      </w:r>
      <w:r w:rsidR="00CF2651" w:rsidRPr="00EC6FCD">
        <w:t xml:space="preserve"> </w:t>
      </w:r>
      <w:r w:rsidRPr="00EC6FCD">
        <w:t>‘</w:t>
      </w:r>
      <w:r w:rsidR="00CF2651" w:rsidRPr="00EC6FCD">
        <w:t xml:space="preserve">at times the most rapid, the </w:t>
      </w:r>
      <w:proofErr w:type="gramStart"/>
      <w:r w:rsidR="00CF2651" w:rsidRPr="00EC6FCD">
        <w:t>most happy</w:t>
      </w:r>
      <w:proofErr w:type="gramEnd"/>
      <w:r w:rsidR="00CF2651" w:rsidRPr="00EC6FCD">
        <w:t>, the most idiomatic of any that is to be found. It is the pure essence of English conversational style.’</w:t>
      </w:r>
      <w:r w:rsidR="00EC6FCD">
        <w:rPr>
          <w:rStyle w:val="FootnoteReference"/>
        </w:rPr>
        <w:footnoteReference w:id="46"/>
      </w:r>
      <w:r w:rsidR="00CF2651" w:rsidRPr="00EC6FCD">
        <w:t xml:space="preserve"> </w:t>
      </w:r>
      <w:r w:rsidR="001846DD" w:rsidRPr="00EC6FCD">
        <w:t xml:space="preserve">Enfield seems to have agreed </w:t>
      </w:r>
      <w:r w:rsidR="000D075E">
        <w:t>that Sterne’s ‘conversational style’ lent itself to reading aloud</w:t>
      </w:r>
      <w:r w:rsidR="001846DD" w:rsidRPr="00EC6FCD">
        <w:t xml:space="preserve">, as </w:t>
      </w:r>
      <w:r w:rsidR="001846DD" w:rsidRPr="00EC6FCD">
        <w:rPr>
          <w:i/>
          <w:iCs/>
        </w:rPr>
        <w:t>The</w:t>
      </w:r>
      <w:r w:rsidR="001846DD">
        <w:t xml:space="preserve"> </w:t>
      </w:r>
      <w:r w:rsidR="001846DD">
        <w:rPr>
          <w:i/>
          <w:iCs/>
        </w:rPr>
        <w:t xml:space="preserve">Speaker </w:t>
      </w:r>
      <w:r w:rsidR="001846DD" w:rsidRPr="00C64D0F">
        <w:t xml:space="preserve">features </w:t>
      </w:r>
      <w:r w:rsidR="00C64D0F">
        <w:t xml:space="preserve">eleven extracts from Sterne’s </w:t>
      </w:r>
      <w:r w:rsidR="00C64D0F">
        <w:rPr>
          <w:i/>
          <w:iCs/>
        </w:rPr>
        <w:t xml:space="preserve">Tristram </w:t>
      </w:r>
      <w:proofErr w:type="spellStart"/>
      <w:r w:rsidR="00C64D0F">
        <w:rPr>
          <w:i/>
          <w:iCs/>
        </w:rPr>
        <w:t>Shandy</w:t>
      </w:r>
      <w:proofErr w:type="spellEnd"/>
      <w:r w:rsidR="00C64D0F">
        <w:rPr>
          <w:i/>
          <w:iCs/>
        </w:rPr>
        <w:t xml:space="preserve"> </w:t>
      </w:r>
      <w:r w:rsidR="00C64D0F" w:rsidRPr="00C64D0F">
        <w:t>and</w:t>
      </w:r>
      <w:r w:rsidR="00C64D0F">
        <w:rPr>
          <w:i/>
          <w:iCs/>
        </w:rPr>
        <w:t xml:space="preserve"> </w:t>
      </w:r>
      <w:r w:rsidR="000D53CE">
        <w:rPr>
          <w:i/>
          <w:iCs/>
        </w:rPr>
        <w:t xml:space="preserve">A </w:t>
      </w:r>
      <w:r w:rsidR="00C64D0F">
        <w:rPr>
          <w:i/>
          <w:iCs/>
        </w:rPr>
        <w:t>Sentimental Journey</w:t>
      </w:r>
      <w:r w:rsidR="000D075E">
        <w:t>.</w:t>
      </w:r>
      <w:r w:rsidR="000D075E">
        <w:rPr>
          <w:rStyle w:val="FootnoteReference"/>
        </w:rPr>
        <w:footnoteReference w:id="47"/>
      </w:r>
      <w:r w:rsidR="001E6110">
        <w:t xml:space="preserve"> </w:t>
      </w:r>
      <w:r w:rsidR="004B0078">
        <w:t xml:space="preserve">Hazlitt’s essays do not share the same purpose as Enfield’s elocution manual, but </w:t>
      </w:r>
      <w:r w:rsidR="00BA341A">
        <w:t>his</w:t>
      </w:r>
      <w:r w:rsidR="004B0078">
        <w:t xml:space="preserve"> preference for spoken language </w:t>
      </w:r>
      <w:r w:rsidR="000D075E">
        <w:t xml:space="preserve">and ‘conversational style’ </w:t>
      </w:r>
      <w:r w:rsidR="004B0078">
        <w:t xml:space="preserve">suggests the sustained influence of his early exposure to Enfield’s text. </w:t>
      </w:r>
    </w:p>
    <w:p w14:paraId="1D900D19" w14:textId="0DCD5546" w:rsidR="006F16C6" w:rsidRDefault="00FC0303" w:rsidP="00902D64">
      <w:pPr>
        <w:spacing w:line="480" w:lineRule="auto"/>
        <w:ind w:firstLine="720"/>
        <w:jc w:val="both"/>
      </w:pPr>
      <w:r>
        <w:t xml:space="preserve">Despite Hazlitt’s careful use of Enfield’s example, </w:t>
      </w:r>
      <w:r w:rsidR="00BA341A">
        <w:t xml:space="preserve">however, </w:t>
      </w:r>
      <w:r>
        <w:t>o</w:t>
      </w:r>
      <w:r w:rsidR="00933406">
        <w:t xml:space="preserve">ral expression is not </w:t>
      </w:r>
      <w:r w:rsidR="00CD6279">
        <w:t xml:space="preserve">given </w:t>
      </w:r>
      <w:r w:rsidR="00933406">
        <w:t xml:space="preserve">uniformly positive </w:t>
      </w:r>
      <w:r w:rsidR="00CD6279">
        <w:t xml:space="preserve">treatment </w:t>
      </w:r>
      <w:r w:rsidR="00933406">
        <w:t xml:space="preserve">in </w:t>
      </w:r>
      <w:r w:rsidR="00933406">
        <w:rPr>
          <w:i/>
          <w:iCs/>
        </w:rPr>
        <w:t xml:space="preserve">The Plain Speaker </w:t>
      </w:r>
      <w:r w:rsidR="00933406">
        <w:t xml:space="preserve">essays. In </w:t>
      </w:r>
      <w:r w:rsidR="00CB2436">
        <w:t>‘On the Difference between Writing and Speaking’</w:t>
      </w:r>
      <w:r w:rsidR="00933406">
        <w:t xml:space="preserve">, Hazlitt </w:t>
      </w:r>
      <w:r w:rsidR="00095A07">
        <w:t>articulates the ‘mistrust’ of oratory that Newlyn has diagnosed</w:t>
      </w:r>
      <w:r w:rsidR="00CD6279">
        <w:t xml:space="preserve">, </w:t>
      </w:r>
      <w:r w:rsidR="00CD6279">
        <w:lastRenderedPageBreak/>
        <w:t>and he diagnoses two troublesome aspects of spoken language</w:t>
      </w:r>
      <w:r w:rsidR="00095A07">
        <w:t xml:space="preserve">. </w:t>
      </w:r>
      <w:r w:rsidR="00CD6279">
        <w:t>First, h</w:t>
      </w:r>
      <w:r w:rsidR="00095A07">
        <w:t xml:space="preserve">e </w:t>
      </w:r>
      <w:r w:rsidR="00933406">
        <w:t>criticises</w:t>
      </w:r>
      <w:r w:rsidR="00095A07">
        <w:t xml:space="preserve"> the ‘electrical effusions’ </w:t>
      </w:r>
      <w:r w:rsidR="0007659C">
        <w:t>of</w:t>
      </w:r>
      <w:r w:rsidR="00095A07">
        <w:t xml:space="preserve"> </w:t>
      </w:r>
      <w:r w:rsidR="00902D64">
        <w:t xml:space="preserve">popular orators like </w:t>
      </w:r>
      <w:r w:rsidR="00095A07">
        <w:t xml:space="preserve">John </w:t>
      </w:r>
      <w:proofErr w:type="spellStart"/>
      <w:r w:rsidR="00095A07">
        <w:t>Thelwall</w:t>
      </w:r>
      <w:proofErr w:type="spellEnd"/>
      <w:r w:rsidR="00095A07">
        <w:t>, which</w:t>
      </w:r>
      <w:r w:rsidR="00CD6279">
        <w:t xml:space="preserve"> persuade, even seduce a political audience, but which</w:t>
      </w:r>
      <w:r w:rsidR="00095A07">
        <w:t xml:space="preserve"> ‘</w:t>
      </w:r>
      <w:proofErr w:type="spellStart"/>
      <w:r w:rsidR="00095A07">
        <w:t>leav</w:t>
      </w:r>
      <w:proofErr w:type="spellEnd"/>
      <w:r w:rsidR="00095A07">
        <w:t xml:space="preserve">[e] no trace behind </w:t>
      </w:r>
      <w:r w:rsidR="00C106AA">
        <w:t>[them]’</w:t>
      </w:r>
      <w:r w:rsidR="00095A07">
        <w:t>.</w:t>
      </w:r>
      <w:r w:rsidR="00B566CD">
        <w:rPr>
          <w:rStyle w:val="FootnoteReference"/>
        </w:rPr>
        <w:footnoteReference w:id="48"/>
      </w:r>
      <w:r w:rsidR="00095A07">
        <w:t xml:space="preserve"> </w:t>
      </w:r>
      <w:r w:rsidR="00CD6279">
        <w:t xml:space="preserve">Such oratory, he suggests, relies on an instinctive, affective response far removed from the reasoned model of oral readings he champions elsewhere in </w:t>
      </w:r>
      <w:r w:rsidR="00CD6279">
        <w:rPr>
          <w:i/>
          <w:iCs/>
        </w:rPr>
        <w:t>The Plain Speaker</w:t>
      </w:r>
      <w:r w:rsidR="00CD6279">
        <w:t>.</w:t>
      </w:r>
      <w:r w:rsidR="00CD6279">
        <w:rPr>
          <w:i/>
          <w:iCs/>
        </w:rPr>
        <w:t xml:space="preserve"> </w:t>
      </w:r>
      <w:r w:rsidR="00CD6279">
        <w:t xml:space="preserve">And second, </w:t>
      </w:r>
      <w:r w:rsidR="00C96F48">
        <w:t>though Hazlitt’s explicit focus in th</w:t>
      </w:r>
      <w:r w:rsidR="005F4874">
        <w:t>is</w:t>
      </w:r>
      <w:r w:rsidR="00C96F48">
        <w:t xml:space="preserve"> essay is political </w:t>
      </w:r>
      <w:r w:rsidR="00902D64">
        <w:t>speech</w:t>
      </w:r>
      <w:r w:rsidR="00C96F48">
        <w:t xml:space="preserve">, </w:t>
      </w:r>
      <w:r w:rsidR="00CD6279">
        <w:t xml:space="preserve">he </w:t>
      </w:r>
      <w:r w:rsidR="00C96F48">
        <w:t xml:space="preserve">hints </w:t>
      </w:r>
      <w:r w:rsidR="00B2109C">
        <w:t xml:space="preserve">that orator’s attempts </w:t>
      </w:r>
      <w:r w:rsidR="00C96F48">
        <w:t>to persuade an audience</w:t>
      </w:r>
      <w:r w:rsidR="00B2109C">
        <w:t xml:space="preserve"> come close to a more fundamental distinction between poetry and prose</w:t>
      </w:r>
      <w:r w:rsidR="00CE0C99">
        <w:t xml:space="preserve">. </w:t>
      </w:r>
    </w:p>
    <w:p w14:paraId="63C56848" w14:textId="1552A432" w:rsidR="00812F6C" w:rsidRDefault="00CE0C99" w:rsidP="00902D64">
      <w:pPr>
        <w:spacing w:line="480" w:lineRule="auto"/>
        <w:ind w:firstLine="720"/>
        <w:jc w:val="both"/>
      </w:pPr>
      <w:r>
        <w:t>As we have seen, for Hazlitt both the feeling</w:t>
      </w:r>
      <w:r w:rsidR="00902D64">
        <w:t>s</w:t>
      </w:r>
      <w:r>
        <w:t xml:space="preserve"> and </w:t>
      </w:r>
      <w:r w:rsidR="00902D64">
        <w:t xml:space="preserve">the </w:t>
      </w:r>
      <w:r>
        <w:t>vocal expression of the reader fit the ‘natural measure’ of prose</w:t>
      </w:r>
      <w:r w:rsidR="00B2109C">
        <w:t xml:space="preserve">. </w:t>
      </w:r>
      <w:r w:rsidR="005F4874">
        <w:t>In contrast, the recitation of poetry</w:t>
      </w:r>
      <w:r w:rsidR="0003436B">
        <w:t xml:space="preserve"> can </w:t>
      </w:r>
      <w:r w:rsidR="00902D64">
        <w:t>eschew</w:t>
      </w:r>
      <w:r w:rsidR="005F4874">
        <w:t xml:space="preserve"> a ‘natural’ delivery for one which aims for power over its audience. Both Wordsworth and Coleridge are guilty of such uses of poetry, Hazlitt notes in his earlier essay ‘My First Acquaintance with Poets’: ‘There is a </w:t>
      </w:r>
      <w:proofErr w:type="spellStart"/>
      <w:r w:rsidR="005F4874">
        <w:rPr>
          <w:i/>
          <w:iCs/>
        </w:rPr>
        <w:t>chaunt</w:t>
      </w:r>
      <w:proofErr w:type="spellEnd"/>
      <w:r w:rsidR="005F4874">
        <w:t xml:space="preserve"> in the recitation both of Coleridge and Wordsworth, which acts as a spell upon the hearer, and disarms the judgement.’</w:t>
      </w:r>
      <w:r w:rsidR="005F4874">
        <w:rPr>
          <w:rStyle w:val="FootnoteReference"/>
        </w:rPr>
        <w:footnoteReference w:id="49"/>
      </w:r>
      <w:r w:rsidR="005F4874">
        <w:t xml:space="preserve"> In ‘On the Difference between Writing and Speaking’, Hazlitt articulates the same worry about the enchantment of a</w:t>
      </w:r>
      <w:r w:rsidR="006F16C6">
        <w:t xml:space="preserve"> political</w:t>
      </w:r>
      <w:r w:rsidR="005F4874">
        <w:t xml:space="preserve"> audience</w:t>
      </w:r>
      <w:r w:rsidR="00812F6C">
        <w:t xml:space="preserve">. He asserts of Edmund Burke, for instance, that: </w:t>
      </w:r>
    </w:p>
    <w:p w14:paraId="6DC5BA17" w14:textId="1D7C343C" w:rsidR="00CD6279" w:rsidRDefault="00812F6C" w:rsidP="00902D64">
      <w:pPr>
        <w:ind w:left="720"/>
        <w:jc w:val="both"/>
      </w:pPr>
      <w:r>
        <w:t>T</w:t>
      </w:r>
      <w:r w:rsidRPr="00812F6C">
        <w:t xml:space="preserve">he principle by which he exerted his influence over </w:t>
      </w:r>
      <w:r>
        <w:t>others…</w:t>
      </w:r>
      <w:r w:rsidRPr="00812F6C">
        <w:t xml:space="preserve"> was sympathy. He himself evidently had a strong possession of his subject, a thorough conviction, an intense interest; and this communicated itself from his manner, from the tones of his voice, from his commanding attitudes and eager gestures, instinctively and unavoidably to his hearers.</w:t>
      </w:r>
      <w:r>
        <w:rPr>
          <w:rStyle w:val="FootnoteReference"/>
        </w:rPr>
        <w:footnoteReference w:id="50"/>
      </w:r>
    </w:p>
    <w:p w14:paraId="40EC93D9" w14:textId="77777777" w:rsidR="007C303C" w:rsidRDefault="007C303C" w:rsidP="00902D64">
      <w:pPr>
        <w:ind w:left="720"/>
        <w:jc w:val="both"/>
      </w:pPr>
    </w:p>
    <w:p w14:paraId="2317D28E" w14:textId="7D92ED4F" w:rsidR="00B2109C" w:rsidRPr="0003436B" w:rsidRDefault="007C303C" w:rsidP="00902D64">
      <w:pPr>
        <w:spacing w:line="480" w:lineRule="auto"/>
        <w:jc w:val="both"/>
      </w:pPr>
      <w:r>
        <w:t xml:space="preserve">Newlyn notes that for Hazlitt political speech and poetry are united in this ability to bypass the rational faculties of their auditors, and for this reason, such oral language is </w:t>
      </w:r>
      <w:r w:rsidR="00DB34D9">
        <w:lastRenderedPageBreak/>
        <w:t>untrustworthy</w:t>
      </w:r>
      <w:r>
        <w:t xml:space="preserve">: </w:t>
      </w:r>
      <w:r w:rsidR="00DB34D9">
        <w:t>‘</w:t>
      </w:r>
      <w:r w:rsidR="00B2109C">
        <w:t>For Hazlitt, whose Dissenting origins put him on the side of rational enlightenment, this component of poetic language was suspect. It was this that made poetry ‘fall in with the language of power’, sometimes against its own intentions.’</w:t>
      </w:r>
      <w:r>
        <w:rPr>
          <w:rStyle w:val="FootnoteReference"/>
        </w:rPr>
        <w:footnoteReference w:id="51"/>
      </w:r>
      <w:r w:rsidR="0003436B">
        <w:t xml:space="preserve"> Such ‘suspect’ oral language, however, while it might unsettle Hazlitt’s praise of reading aloud, does not fundamentally shake his allegiance to the Dissenting modes of reading modelled in </w:t>
      </w:r>
      <w:r w:rsidR="0003436B">
        <w:rPr>
          <w:i/>
          <w:iCs/>
        </w:rPr>
        <w:t>The Speaker</w:t>
      </w:r>
      <w:r w:rsidR="0003436B">
        <w:t>.</w:t>
      </w:r>
    </w:p>
    <w:p w14:paraId="380E69EA" w14:textId="66715968" w:rsidR="001B5369" w:rsidRDefault="00FC0303" w:rsidP="00902D64">
      <w:pPr>
        <w:spacing w:line="480" w:lineRule="auto"/>
        <w:ind w:firstLine="720"/>
        <w:jc w:val="both"/>
      </w:pPr>
      <w:r>
        <w:t>In ‘On the Difference between Writing and Speaking’, Hazlitt</w:t>
      </w:r>
      <w:r w:rsidR="00095A07">
        <w:t xml:space="preserve"> is concerned to distinguish writing and speech, and to give </w:t>
      </w:r>
      <w:r w:rsidR="0007659C">
        <w:t>writing t</w:t>
      </w:r>
      <w:r w:rsidR="00095A07">
        <w:t xml:space="preserve">he victory; therefore </w:t>
      </w:r>
      <w:r>
        <w:t>his</w:t>
      </w:r>
      <w:r w:rsidR="00095A07">
        <w:t xml:space="preserve"> account of writing is stripped of the oral qualities that we saw in ‘On the Prose Style of Poets’ and ‘On the Conversation of Authors.’</w:t>
      </w:r>
      <w:r w:rsidR="002B38DF">
        <w:t xml:space="preserve"> </w:t>
      </w:r>
      <w:r w:rsidR="00FA02EC">
        <w:t xml:space="preserve">In the conclusion to the essay </w:t>
      </w:r>
      <w:r w:rsidR="00095A07">
        <w:t>H</w:t>
      </w:r>
      <w:r>
        <w:t>azlitt</w:t>
      </w:r>
      <w:r w:rsidR="00095A07">
        <w:t xml:space="preserve"> declares of </w:t>
      </w:r>
      <w:r w:rsidR="00FA02EC">
        <w:t>writers</w:t>
      </w:r>
      <w:r w:rsidR="006D2BE2">
        <w:t>:</w:t>
      </w:r>
      <w:r w:rsidR="002B38DF">
        <w:t xml:space="preserve"> ‘</w:t>
      </w:r>
      <w:r w:rsidR="002B38DF" w:rsidRPr="00D14812">
        <w:t>What they would say</w:t>
      </w:r>
      <w:r w:rsidR="006D2BE2">
        <w:t>…</w:t>
      </w:r>
      <w:r w:rsidR="002B38DF" w:rsidRPr="00D14812">
        <w:t xml:space="preserve"> does not lie at the orifices of the mouth ready for delivery, but is wrapped in the folds of the heart and registered in the chambers of the brain.</w:t>
      </w:r>
      <w:r w:rsidR="002B38DF">
        <w:t>’</w:t>
      </w:r>
      <w:r w:rsidR="00095A07">
        <w:rPr>
          <w:rStyle w:val="FootnoteReference"/>
        </w:rPr>
        <w:footnoteReference w:id="52"/>
      </w:r>
      <w:r>
        <w:t xml:space="preserve"> </w:t>
      </w:r>
      <w:r w:rsidR="00FA02EC">
        <w:t>Again Hazlitt seems to distance his model of the finest writing from the poetry ready for recitation</w:t>
      </w:r>
      <w:r w:rsidR="0091290D">
        <w:t>, in particular</w:t>
      </w:r>
      <w:r w:rsidR="00FA02EC">
        <w:t xml:space="preserve"> the </w:t>
      </w:r>
      <w:r w:rsidR="0091290D">
        <w:t>writings and oral performances</w:t>
      </w:r>
      <w:r w:rsidR="00FA02EC">
        <w:t xml:space="preserve"> of Coleridge.</w:t>
      </w:r>
      <w:r>
        <w:t xml:space="preserve"> </w:t>
      </w:r>
      <w:r w:rsidR="00301DDB">
        <w:t xml:space="preserve"> But this dismissal of orality </w:t>
      </w:r>
      <w:r w:rsidR="00FA02EC">
        <w:t>remains</w:t>
      </w:r>
      <w:r w:rsidR="00301DDB">
        <w:t xml:space="preserve"> a relatively rare moment in </w:t>
      </w:r>
      <w:r w:rsidR="00301DDB">
        <w:rPr>
          <w:i/>
          <w:iCs/>
        </w:rPr>
        <w:t>The Plain Speaker</w:t>
      </w:r>
      <w:r w:rsidR="00FA02EC">
        <w:rPr>
          <w:i/>
          <w:iCs/>
        </w:rPr>
        <w:t xml:space="preserve"> </w:t>
      </w:r>
      <w:r w:rsidR="00FA02EC">
        <w:t>as a whole</w:t>
      </w:r>
      <w:r w:rsidR="00301DDB">
        <w:t>.</w:t>
      </w:r>
      <w:r w:rsidR="00B20051">
        <w:t xml:space="preserve"> In other essays, Hazlitt retains his fascination with and faith in texts read aloud, and</w:t>
      </w:r>
      <w:r w:rsidR="0091290D">
        <w:t xml:space="preserve"> throughout the collection, </w:t>
      </w:r>
      <w:r w:rsidR="00B20051" w:rsidRPr="0091290D">
        <w:t xml:space="preserve">it </w:t>
      </w:r>
      <w:r w:rsidR="0091290D" w:rsidRPr="0091290D">
        <w:t>is</w:t>
      </w:r>
      <w:r w:rsidR="00B20051" w:rsidRPr="0091290D">
        <w:t xml:space="preserve"> clear that </w:t>
      </w:r>
      <w:r w:rsidR="0091290D">
        <w:t>Hazlitt’s</w:t>
      </w:r>
      <w:r w:rsidR="00B20051">
        <w:t xml:space="preserve"> model for oral delivery is a </w:t>
      </w:r>
      <w:r w:rsidR="00F104C9">
        <w:t>D</w:t>
      </w:r>
      <w:r w:rsidR="00B20051">
        <w:t>issenting one.</w:t>
      </w:r>
    </w:p>
    <w:p w14:paraId="31642C05" w14:textId="57208486" w:rsidR="003E3C64" w:rsidRDefault="00E03374" w:rsidP="00902D64">
      <w:pPr>
        <w:spacing w:line="480" w:lineRule="auto"/>
        <w:ind w:firstLine="720"/>
        <w:jc w:val="both"/>
      </w:pPr>
      <w:r>
        <w:t xml:space="preserve">Enfield had included two sermons for reading aloud in </w:t>
      </w:r>
      <w:r>
        <w:rPr>
          <w:i/>
          <w:iCs/>
        </w:rPr>
        <w:t>The Speaker</w:t>
      </w:r>
      <w:r w:rsidR="0091290D">
        <w:t>. The</w:t>
      </w:r>
      <w:r w:rsidR="007B590A">
        <w:t xml:space="preserve"> first is</w:t>
      </w:r>
      <w:r w:rsidR="0091290D">
        <w:t xml:space="preserve"> </w:t>
      </w:r>
      <w:r w:rsidR="00D96F24">
        <w:t>‘</w:t>
      </w:r>
      <w:r w:rsidR="00D96F24" w:rsidRPr="00A31DA4">
        <w:rPr>
          <w:rFonts w:cstheme="minorHAnsi"/>
        </w:rPr>
        <w:t>Of sincerity towards God and Man’</w:t>
      </w:r>
      <w:r w:rsidR="00D96F24">
        <w:rPr>
          <w:rFonts w:cstheme="minorHAnsi"/>
        </w:rPr>
        <w:t xml:space="preserve"> by </w:t>
      </w:r>
      <w:r w:rsidR="0091290D">
        <w:t>the seventeenth-century divine</w:t>
      </w:r>
      <w:r>
        <w:t xml:space="preserve"> John Tillotson</w:t>
      </w:r>
      <w:r w:rsidR="00D96F24">
        <w:t xml:space="preserve">, who though he rose to be Archbishop of Canterbury, retained strong links with the </w:t>
      </w:r>
      <w:r w:rsidR="007B590A">
        <w:t xml:space="preserve">Dissenting traditions in which he was raised. And the second is </w:t>
      </w:r>
      <w:r w:rsidR="007B590A">
        <w:rPr>
          <w:rFonts w:cstheme="minorHAnsi"/>
        </w:rPr>
        <w:t>‘</w:t>
      </w:r>
      <w:r w:rsidR="007B590A" w:rsidRPr="00A31DA4">
        <w:rPr>
          <w:rFonts w:cstheme="minorHAnsi"/>
        </w:rPr>
        <w:t>In Praise of Virtue</w:t>
      </w:r>
      <w:r w:rsidR="007B590A">
        <w:rPr>
          <w:rFonts w:cstheme="minorHAnsi"/>
        </w:rPr>
        <w:t xml:space="preserve">’ </w:t>
      </w:r>
      <w:r w:rsidR="007B590A">
        <w:t xml:space="preserve">by a much more recent Dissenting leader, Dr Richard Price, </w:t>
      </w:r>
      <w:r w:rsidR="00902D64">
        <w:t xml:space="preserve">the </w:t>
      </w:r>
      <w:r w:rsidR="007B590A">
        <w:t xml:space="preserve">influential theologian, </w:t>
      </w:r>
      <w:r w:rsidR="00902D64">
        <w:t>mathematician</w:t>
      </w:r>
      <w:r w:rsidR="007B590A">
        <w:t xml:space="preserve"> and </w:t>
      </w:r>
      <w:r w:rsidR="007B590A">
        <w:lastRenderedPageBreak/>
        <w:t xml:space="preserve">political </w:t>
      </w:r>
      <w:proofErr w:type="gramStart"/>
      <w:r w:rsidR="007B590A">
        <w:t>reformer,  who</w:t>
      </w:r>
      <w:proofErr w:type="gramEnd"/>
      <w:r w:rsidR="007B590A">
        <w:t xml:space="preserve"> taught at New College Hackney until shortly before his death in 1791</w:t>
      </w:r>
      <w:r>
        <w:rPr>
          <w:rFonts w:cstheme="minorHAnsi"/>
        </w:rPr>
        <w:t xml:space="preserve">. In </w:t>
      </w:r>
      <w:proofErr w:type="gramStart"/>
      <w:r>
        <w:rPr>
          <w:rFonts w:cstheme="minorHAnsi"/>
          <w:i/>
          <w:iCs/>
        </w:rPr>
        <w:t>The</w:t>
      </w:r>
      <w:proofErr w:type="gramEnd"/>
      <w:r>
        <w:rPr>
          <w:rFonts w:cstheme="minorHAnsi"/>
          <w:i/>
          <w:iCs/>
        </w:rPr>
        <w:t xml:space="preserve"> Plain Speaker</w:t>
      </w:r>
      <w:r>
        <w:rPr>
          <w:rFonts w:cstheme="minorHAnsi"/>
        </w:rPr>
        <w:t xml:space="preserve">, Hazlitt, perhaps recalling his ‘orations’ as a divinity student at Hackney, makes the sermons of </w:t>
      </w:r>
      <w:r w:rsidR="00372B4B">
        <w:rPr>
          <w:rFonts w:cstheme="minorHAnsi"/>
        </w:rPr>
        <w:t>seventeenth-century protestant</w:t>
      </w:r>
      <w:r>
        <w:rPr>
          <w:rFonts w:cstheme="minorHAnsi"/>
        </w:rPr>
        <w:t xml:space="preserve"> divines his model for a prose style for oral delivery.</w:t>
      </w:r>
      <w:r w:rsidR="00372B4B">
        <w:t xml:space="preserve"> He singles out </w:t>
      </w:r>
      <w:r w:rsidR="005E547A">
        <w:t xml:space="preserve">Bishop </w:t>
      </w:r>
      <w:r w:rsidR="00372B4B">
        <w:t>Jeremy Taylor</w:t>
      </w:r>
      <w:r w:rsidR="00867519">
        <w:t>,</w:t>
      </w:r>
      <w:r w:rsidR="00372B4B">
        <w:t xml:space="preserve"> noting</w:t>
      </w:r>
      <w:r w:rsidR="00867519">
        <w:t xml:space="preserve"> in</w:t>
      </w:r>
      <w:r w:rsidR="00372B4B">
        <w:t xml:space="preserve"> ‘On the Prose Style of Poets’: </w:t>
      </w:r>
      <w:r w:rsidR="004B2EA9">
        <w:t>‘</w:t>
      </w:r>
      <w:r w:rsidR="00442E2C">
        <w:t>There is a softness in his style, proceeding from the tenderness of his hea</w:t>
      </w:r>
      <w:r w:rsidR="007B590A">
        <w:t>r</w:t>
      </w:r>
      <w:r w:rsidR="00442E2C">
        <w:t xml:space="preserve">t: but his head is </w:t>
      </w:r>
      <w:proofErr w:type="gramStart"/>
      <w:r w:rsidR="00442E2C">
        <w:t>firm</w:t>
      </w:r>
      <w:proofErr w:type="gramEnd"/>
      <w:r w:rsidR="00442E2C">
        <w:t xml:space="preserve"> and his hand is free</w:t>
      </w:r>
      <w:r w:rsidR="001E5588">
        <w:t>. H</w:t>
      </w:r>
      <w:r w:rsidR="00442E2C">
        <w:t xml:space="preserve">is </w:t>
      </w:r>
      <w:bookmarkStart w:id="0" w:name="_GoBack"/>
      <w:r w:rsidR="00442E2C">
        <w:t>materials</w:t>
      </w:r>
      <w:bookmarkEnd w:id="0"/>
      <w:r w:rsidR="00442E2C">
        <w:t xml:space="preserve"> are as finely wrought up as they are original and attractive in themselves</w:t>
      </w:r>
      <w:r w:rsidR="00372B4B">
        <w:t>.</w:t>
      </w:r>
      <w:r w:rsidR="004B2EA9">
        <w:t>’</w:t>
      </w:r>
      <w:r w:rsidR="00372B4B">
        <w:rPr>
          <w:rStyle w:val="FootnoteReference"/>
        </w:rPr>
        <w:footnoteReference w:id="53"/>
      </w:r>
      <w:r w:rsidR="00372B4B">
        <w:t xml:space="preserve"> </w:t>
      </w:r>
      <w:r w:rsidR="007B590A">
        <w:t>Taylor’s sermons fulfil Hazlitt’s requirements for the finest oral language</w:t>
      </w:r>
      <w:r w:rsidR="00902D64">
        <w:t>;</w:t>
      </w:r>
      <w:r w:rsidR="007B590A">
        <w:t xml:space="preserve"> they are infused with feeling but retain the control of reason, and their style works with the bodily strengths and limits of their reader.</w:t>
      </w:r>
      <w:r w:rsidR="004B2EA9">
        <w:t xml:space="preserve"> </w:t>
      </w:r>
    </w:p>
    <w:p w14:paraId="57245174" w14:textId="45A1D86A" w:rsidR="00D85FE3" w:rsidRDefault="007B590A" w:rsidP="00902D64">
      <w:pPr>
        <w:spacing w:line="480" w:lineRule="auto"/>
        <w:ind w:firstLine="720"/>
        <w:jc w:val="both"/>
      </w:pPr>
      <w:r>
        <w:t xml:space="preserve">In the essay </w:t>
      </w:r>
      <w:r w:rsidR="00372B4B">
        <w:t>‘On Old English Writers and Speakers’</w:t>
      </w:r>
      <w:r w:rsidR="00DE0CEB">
        <w:t xml:space="preserve"> </w:t>
      </w:r>
      <w:r w:rsidR="004B2EA9">
        <w:t xml:space="preserve">Hazlitt </w:t>
      </w:r>
      <w:r w:rsidR="00867519">
        <w:t>declares</w:t>
      </w:r>
      <w:r w:rsidR="005E547A">
        <w:t xml:space="preserve"> of Taylor and his contemporaries that</w:t>
      </w:r>
      <w:r w:rsidR="00867519">
        <w:t xml:space="preserve"> ‘</w:t>
      </w:r>
      <w:r w:rsidR="00DE0CEB">
        <w:t xml:space="preserve">they still keep their state apart, and there is an eloquence of the heart about them, which seems to gush from the ‘pure well of English </w:t>
      </w:r>
      <w:r w:rsidR="00F85C16">
        <w:t>un</w:t>
      </w:r>
      <w:r w:rsidR="00DE0CEB">
        <w:t>defiled.’</w:t>
      </w:r>
      <w:r w:rsidR="00867519">
        <w:rPr>
          <w:rStyle w:val="FootnoteReference"/>
        </w:rPr>
        <w:footnoteReference w:id="54"/>
      </w:r>
      <w:r w:rsidR="005E547A">
        <w:t xml:space="preserve"> Hazlitt’s </w:t>
      </w:r>
      <w:r w:rsidR="0013748B">
        <w:t xml:space="preserve">short phrase in </w:t>
      </w:r>
      <w:r w:rsidR="005E547A">
        <w:t xml:space="preserve">praise of Taylor is </w:t>
      </w:r>
      <w:r w:rsidR="0013748B">
        <w:t xml:space="preserve">highly condensed; again he praises the natural characteristics of his prose, which are aligned with the finest qualities of both English language and culture. But there is also a </w:t>
      </w:r>
      <w:r w:rsidR="00810836">
        <w:t>religious</w:t>
      </w:r>
      <w:r w:rsidR="0013748B">
        <w:t xml:space="preserve"> aspect</w:t>
      </w:r>
      <w:r w:rsidR="00902D64">
        <w:t xml:space="preserve"> </w:t>
      </w:r>
      <w:r w:rsidR="0013748B">
        <w:t>to Hazlitt’s remark. Though Taylor was an Anglican protestant, Hazlitt’s phrase ‘keep their state apart’ echoes his own and other contemporar</w:t>
      </w:r>
      <w:r w:rsidR="00810836">
        <w:t>ies</w:t>
      </w:r>
      <w:r w:rsidR="0013748B">
        <w:t xml:space="preserve">’ praise of </w:t>
      </w:r>
      <w:r w:rsidR="00F104C9">
        <w:t>D</w:t>
      </w:r>
      <w:r w:rsidR="0013748B">
        <w:t xml:space="preserve">issenting culture. Anna Laetitia </w:t>
      </w:r>
      <w:proofErr w:type="spellStart"/>
      <w:r w:rsidR="0013748B">
        <w:t>Barba</w:t>
      </w:r>
      <w:r w:rsidR="00810836">
        <w:t>u</w:t>
      </w:r>
      <w:r w:rsidR="0013748B">
        <w:t>ld</w:t>
      </w:r>
      <w:proofErr w:type="spellEnd"/>
      <w:r w:rsidR="0013748B">
        <w:t xml:space="preserve"> had declared in her ‘</w:t>
      </w:r>
      <w:r w:rsidR="00F92BDA" w:rsidRPr="00F92BDA">
        <w:t>Address to the Opposers of the Repeal of the Corporation and Test Acts’</w:t>
      </w:r>
      <w:r w:rsidR="00F92BDA">
        <w:t xml:space="preserve"> </w:t>
      </w:r>
      <w:r w:rsidR="00810836">
        <w:t>(1790) to those who would oppose Dissenters’ rights: ‘You have set a mark of separation upon us, and it is not in our power to take it off, but it is in our power to determine whether it shall be a disgraceful stigma or an honourable distinction.’</w:t>
      </w:r>
      <w:r w:rsidR="00810836">
        <w:rPr>
          <w:rStyle w:val="FootnoteReference"/>
        </w:rPr>
        <w:footnoteReference w:id="55"/>
      </w:r>
      <w:r w:rsidR="0013748B">
        <w:t xml:space="preserve"> </w:t>
      </w:r>
      <w:r w:rsidR="003E3C64">
        <w:t xml:space="preserve">Hazlitt had followed </w:t>
      </w:r>
      <w:proofErr w:type="spellStart"/>
      <w:r w:rsidR="003E3C64">
        <w:t>Barbauld</w:t>
      </w:r>
      <w:proofErr w:type="spellEnd"/>
      <w:r w:rsidR="003E3C64">
        <w:t xml:space="preserve"> in celebrating Dissenters’ necessary ‘separation’, </w:t>
      </w:r>
      <w:r w:rsidR="003E3C64">
        <w:lastRenderedPageBreak/>
        <w:t>or ‘state apart’ in his 1818 essay ‘On Court Influence’, in which he declares of Dissenters that ‘Separate from the world, they walked humbly with their God, and lived in thought with those who had borne testimony of a good conscience, with the spirits of just men in all ages.’</w:t>
      </w:r>
      <w:r w:rsidR="003E3C64">
        <w:rPr>
          <w:rStyle w:val="FootnoteReference"/>
        </w:rPr>
        <w:footnoteReference w:id="56"/>
      </w:r>
      <w:r w:rsidR="00F85C16">
        <w:t xml:space="preserve"> I</w:t>
      </w:r>
      <w:r w:rsidR="00902D64">
        <w:t xml:space="preserve"> suggest</w:t>
      </w:r>
      <w:r w:rsidR="00F85C16">
        <w:t xml:space="preserve"> then, following Gilmartin, that Hazlitt’s engagement with the </w:t>
      </w:r>
      <w:r w:rsidR="00D4290A">
        <w:t>‘</w:t>
      </w:r>
      <w:r w:rsidR="00F85C16">
        <w:t>art of reading</w:t>
      </w:r>
      <w:r w:rsidR="00D4290A">
        <w:t>’</w:t>
      </w:r>
      <w:r w:rsidR="003E3C64">
        <w:t xml:space="preserve"> in </w:t>
      </w:r>
      <w:r w:rsidR="003E3C64">
        <w:rPr>
          <w:i/>
          <w:iCs/>
        </w:rPr>
        <w:t>The Plain Speaker</w:t>
      </w:r>
      <w:r w:rsidR="00F85C16">
        <w:t xml:space="preserve"> </w:t>
      </w:r>
      <w:r w:rsidR="00CD7F0B">
        <w:t>‘begin[s] with his own experience [and] then reach[es] back over generations’ to articulate an ambivalent loyalty</w:t>
      </w:r>
      <w:r w:rsidR="003E3C64">
        <w:t xml:space="preserve"> to his Dissenting heritage.</w:t>
      </w:r>
      <w:r w:rsidR="00F85C16">
        <w:t xml:space="preserve"> </w:t>
      </w:r>
    </w:p>
    <w:p w14:paraId="348FD98D" w14:textId="77777777" w:rsidR="003E3C64" w:rsidRDefault="003E3C64" w:rsidP="00902D64">
      <w:pPr>
        <w:spacing w:line="480" w:lineRule="auto"/>
        <w:jc w:val="both"/>
      </w:pPr>
    </w:p>
    <w:p w14:paraId="6E3A462D" w14:textId="4C3551CC" w:rsidR="004B2EA9" w:rsidRPr="004B2EA9" w:rsidRDefault="004B2EA9" w:rsidP="00902D64">
      <w:pPr>
        <w:spacing w:line="480" w:lineRule="auto"/>
        <w:jc w:val="both"/>
        <w:rPr>
          <w:b/>
          <w:bCs/>
        </w:rPr>
      </w:pPr>
      <w:r>
        <w:rPr>
          <w:b/>
          <w:bCs/>
        </w:rPr>
        <w:t>Conclusion</w:t>
      </w:r>
    </w:p>
    <w:p w14:paraId="7140E180" w14:textId="7B10EC13" w:rsidR="00DE0CEB" w:rsidRPr="00D85FE3" w:rsidRDefault="004B2EA9" w:rsidP="00902D64">
      <w:pPr>
        <w:spacing w:line="480" w:lineRule="auto"/>
        <w:jc w:val="both"/>
      </w:pPr>
      <w:r>
        <w:t>O</w:t>
      </w:r>
      <w:r w:rsidR="00F85C16">
        <w:t>ur attention to the thread which connects Hazlitt</w:t>
      </w:r>
      <w:r w:rsidR="00DA48EA">
        <w:t>’s work with that of</w:t>
      </w:r>
      <w:r w:rsidR="00F85C16">
        <w:t xml:space="preserve"> with Enfield and </w:t>
      </w:r>
      <w:r w:rsidR="00DA48EA">
        <w:t>D</w:t>
      </w:r>
      <w:r w:rsidR="00F85C16">
        <w:t xml:space="preserve">issenting pedagogues </w:t>
      </w:r>
      <w:r w:rsidR="00DA48EA">
        <w:t xml:space="preserve">and divines </w:t>
      </w:r>
      <w:r w:rsidR="00F85C16">
        <w:t xml:space="preserve">might </w:t>
      </w:r>
      <w:r w:rsidR="00DA48EA">
        <w:t xml:space="preserve">also </w:t>
      </w:r>
      <w:r w:rsidR="00F85C16">
        <w:t xml:space="preserve">help us adjust our account of </w:t>
      </w:r>
      <w:r w:rsidR="00760E50">
        <w:t>Hazlitt’s</w:t>
      </w:r>
      <w:r w:rsidR="00F85C16">
        <w:t xml:space="preserve"> views of </w:t>
      </w:r>
      <w:r w:rsidR="00DA48EA">
        <w:t xml:space="preserve">some of </w:t>
      </w:r>
      <w:r w:rsidR="00F85C16">
        <w:t>his contemporar</w:t>
      </w:r>
      <w:r w:rsidR="00DA48EA">
        <w:t>ies</w:t>
      </w:r>
      <w:r w:rsidR="00F85C16">
        <w:t>.</w:t>
      </w:r>
      <w:r w:rsidR="00D85FE3">
        <w:t xml:space="preserve"> Hazlitt makes another reference to </w:t>
      </w:r>
      <w:r w:rsidR="00D85FE3">
        <w:rPr>
          <w:i/>
          <w:iCs/>
        </w:rPr>
        <w:t>The Speaker</w:t>
      </w:r>
      <w:r w:rsidR="00D85FE3">
        <w:t xml:space="preserve"> in his 1818 lecture</w:t>
      </w:r>
      <w:r w:rsidR="00760E50">
        <w:t xml:space="preserve"> </w:t>
      </w:r>
      <w:r w:rsidR="00DA48EA">
        <w:t>at the Surrey Institute in London</w:t>
      </w:r>
      <w:r w:rsidR="00902D64">
        <w:t>,</w:t>
      </w:r>
      <w:r w:rsidR="00D85FE3">
        <w:t xml:space="preserve"> ‘On the Living Poets’</w:t>
      </w:r>
      <w:r w:rsidR="00C90B01">
        <w:t>:</w:t>
      </w:r>
    </w:p>
    <w:p w14:paraId="177AEF8B" w14:textId="60D5E6F4" w:rsidR="0055322E" w:rsidRDefault="0055322E" w:rsidP="00902D64">
      <w:pPr>
        <w:ind w:left="720"/>
        <w:jc w:val="both"/>
      </w:pPr>
      <w:r>
        <w:t xml:space="preserve">The first poetess I can recollect is Mrs </w:t>
      </w:r>
      <w:proofErr w:type="spellStart"/>
      <w:r>
        <w:t>Barbauld</w:t>
      </w:r>
      <w:proofErr w:type="spellEnd"/>
      <w:r w:rsidR="00C90B01">
        <w:t>…</w:t>
      </w:r>
      <w:r>
        <w:t xml:space="preserve"> I became acquainted with her poetical works</w:t>
      </w:r>
      <w:r w:rsidR="00C90B01">
        <w:t>…</w:t>
      </w:r>
      <w:r>
        <w:t xml:space="preserve"> in Enfield’s Speaker; and remember being much divided in my opinion at that time, between her Ode to Spring, and Collins’s Ode to Evening. I wish I could repay my childish debt of gratitude in terms of appropriate praise.</w:t>
      </w:r>
      <w:r w:rsidR="00C90B01">
        <w:rPr>
          <w:rStyle w:val="FootnoteReference"/>
        </w:rPr>
        <w:footnoteReference w:id="57"/>
      </w:r>
      <w:r>
        <w:t xml:space="preserve"> </w:t>
      </w:r>
    </w:p>
    <w:p w14:paraId="090A07FE" w14:textId="77777777" w:rsidR="00963C24" w:rsidRDefault="00963C24" w:rsidP="00902D64">
      <w:pPr>
        <w:ind w:left="720"/>
        <w:jc w:val="both"/>
      </w:pPr>
    </w:p>
    <w:p w14:paraId="481AD020" w14:textId="53C49019" w:rsidR="00F209CF" w:rsidRDefault="00DA48EA" w:rsidP="00902D64">
      <w:pPr>
        <w:spacing w:line="480" w:lineRule="auto"/>
        <w:jc w:val="both"/>
      </w:pPr>
      <w:r w:rsidRPr="00DA48EA">
        <w:t xml:space="preserve">Enfield’s </w:t>
      </w:r>
      <w:r w:rsidRPr="00DA48EA">
        <w:rPr>
          <w:i/>
          <w:iCs/>
        </w:rPr>
        <w:t xml:space="preserve">Speaker </w:t>
      </w:r>
      <w:r w:rsidRPr="00DA48EA">
        <w:t xml:space="preserve">is clearly the frame through which </w:t>
      </w:r>
      <w:r>
        <w:t xml:space="preserve">Hazlitt experienced </w:t>
      </w:r>
      <w:proofErr w:type="spellStart"/>
      <w:r>
        <w:t>Barbauld’s</w:t>
      </w:r>
      <w:proofErr w:type="spellEnd"/>
      <w:r>
        <w:t xml:space="preserve"> work as a child; here he compares </w:t>
      </w:r>
      <w:proofErr w:type="spellStart"/>
      <w:r>
        <w:t>Barbauld’s</w:t>
      </w:r>
      <w:proofErr w:type="spellEnd"/>
      <w:r>
        <w:t xml:space="preserve"> ‘Ode to Spring’ with another poem featured in Enfield’s anthology, William Collins’s ‘Ode to Evening’. We have seen the degree to which Enfield aimed to showcase </w:t>
      </w:r>
      <w:proofErr w:type="spellStart"/>
      <w:r>
        <w:t>Barbauld’s</w:t>
      </w:r>
      <w:proofErr w:type="spellEnd"/>
      <w:r>
        <w:t xml:space="preserve"> work in </w:t>
      </w:r>
      <w:r>
        <w:rPr>
          <w:i/>
          <w:iCs/>
        </w:rPr>
        <w:t>The Speaker</w:t>
      </w:r>
      <w:r>
        <w:t xml:space="preserve">, and in Hazlitt’s memories the work of Enfield and </w:t>
      </w:r>
      <w:proofErr w:type="spellStart"/>
      <w:r>
        <w:t>Barbauld</w:t>
      </w:r>
      <w:proofErr w:type="spellEnd"/>
      <w:r>
        <w:t xml:space="preserve"> is strongly aligned. Hazlitt does not offer out and out praise of </w:t>
      </w:r>
      <w:proofErr w:type="spellStart"/>
      <w:r>
        <w:t>Barbauld</w:t>
      </w:r>
      <w:proofErr w:type="spellEnd"/>
      <w:r>
        <w:t xml:space="preserve"> in his lecture.</w:t>
      </w:r>
      <w:r w:rsidR="00A06458" w:rsidRPr="00DA48EA">
        <w:t xml:space="preserve"> </w:t>
      </w:r>
      <w:r w:rsidR="004B248C" w:rsidRPr="00DA48EA">
        <w:t xml:space="preserve">William </w:t>
      </w:r>
      <w:proofErr w:type="spellStart"/>
      <w:r w:rsidR="004B248C" w:rsidRPr="00DA48EA">
        <w:t>Keach</w:t>
      </w:r>
      <w:proofErr w:type="spellEnd"/>
      <w:r w:rsidR="004B248C" w:rsidRPr="00DA48EA">
        <w:t xml:space="preserve"> has</w:t>
      </w:r>
      <w:r w:rsidR="004B248C">
        <w:t xml:space="preserve"> interpreted his </w:t>
      </w:r>
      <w:r>
        <w:t>remark</w:t>
      </w:r>
      <w:r w:rsidR="00902D64">
        <w:t>s</w:t>
      </w:r>
      <w:r>
        <w:t xml:space="preserve"> </w:t>
      </w:r>
      <w:r w:rsidR="004B248C">
        <w:t>as condescension on Hazlitt’s part, and Marlon</w:t>
      </w:r>
      <w:r w:rsidR="0055322E">
        <w:t xml:space="preserve"> Ross</w:t>
      </w:r>
      <w:r>
        <w:t xml:space="preserve"> notes that</w:t>
      </w:r>
      <w:r w:rsidR="004B248C">
        <w:t>:</w:t>
      </w:r>
      <w:r w:rsidR="00C90B01">
        <w:t xml:space="preserve"> </w:t>
      </w:r>
      <w:r w:rsidR="0055322E">
        <w:t xml:space="preserve">‘By limiting </w:t>
      </w:r>
      <w:proofErr w:type="spellStart"/>
      <w:r w:rsidR="0055322E">
        <w:t>Barbauld’s</w:t>
      </w:r>
      <w:proofErr w:type="spellEnd"/>
      <w:r w:rsidR="0055322E">
        <w:t xml:space="preserve"> poetry to a phase of childhood, he </w:t>
      </w:r>
      <w:r w:rsidR="0055322E">
        <w:lastRenderedPageBreak/>
        <w:t>subordinates her influence upon him and upon the literary tradition as a whole.</w:t>
      </w:r>
      <w:r w:rsidR="004B248C">
        <w:t>’</w:t>
      </w:r>
      <w:r w:rsidR="004B248C">
        <w:rPr>
          <w:rStyle w:val="FootnoteReference"/>
        </w:rPr>
        <w:footnoteReference w:id="58"/>
      </w:r>
      <w:r w:rsidR="0055322E">
        <w:t xml:space="preserve"> </w:t>
      </w:r>
      <w:r w:rsidR="000A0D7B">
        <w:t xml:space="preserve">Hazlitt certainly offers few positive comments about </w:t>
      </w:r>
      <w:proofErr w:type="spellStart"/>
      <w:r w:rsidR="000A0D7B">
        <w:t>Barbauld’s</w:t>
      </w:r>
      <w:proofErr w:type="spellEnd"/>
      <w:r w:rsidR="000A0D7B">
        <w:t xml:space="preserve"> writings in his works as a whole, and to call his general atti</w:t>
      </w:r>
      <w:r w:rsidR="00364628">
        <w:t>t</w:t>
      </w:r>
      <w:r w:rsidR="000A0D7B">
        <w:t>u</w:t>
      </w:r>
      <w:r w:rsidR="00364628">
        <w:t>d</w:t>
      </w:r>
      <w:r w:rsidR="000A0D7B">
        <w:t xml:space="preserve">e to women writers ‘condescending’ </w:t>
      </w:r>
      <w:r w:rsidR="00364628">
        <w:t>is perhaps</w:t>
      </w:r>
      <w:r w:rsidR="000A0D7B">
        <w:t xml:space="preserve"> rather too polite</w:t>
      </w:r>
      <w:r w:rsidR="003957F2">
        <w:t xml:space="preserve">; he notoriously remarked in his </w:t>
      </w:r>
      <w:r w:rsidR="003957F2">
        <w:rPr>
          <w:i/>
          <w:iCs/>
        </w:rPr>
        <w:t xml:space="preserve">Table Talk </w:t>
      </w:r>
      <w:r w:rsidR="003957F2">
        <w:t xml:space="preserve">essay ‘On Great and Little Things’: ‘‘I have an utter aversion to Bluestockings. I do not care a fig for any woman who even knows what </w:t>
      </w:r>
      <w:r w:rsidR="003957F2">
        <w:rPr>
          <w:i/>
          <w:iCs/>
        </w:rPr>
        <w:t>an author</w:t>
      </w:r>
      <w:r w:rsidR="003957F2">
        <w:t xml:space="preserve"> means’</w:t>
      </w:r>
      <w:r w:rsidR="000A0D7B">
        <w:t>.</w:t>
      </w:r>
      <w:r w:rsidR="00196A80">
        <w:rPr>
          <w:rStyle w:val="FootnoteReference"/>
        </w:rPr>
        <w:footnoteReference w:id="59"/>
      </w:r>
      <w:r w:rsidR="000A0D7B">
        <w:t xml:space="preserve"> </w:t>
      </w:r>
      <w:proofErr w:type="spellStart"/>
      <w:r w:rsidR="003957F2">
        <w:t>Barbauld</w:t>
      </w:r>
      <w:proofErr w:type="spellEnd"/>
      <w:r w:rsidR="003957F2">
        <w:t xml:space="preserve"> was certainly a bluestocking, associate of Elizabeth Montagu, and Elizabeth Carter; and</w:t>
      </w:r>
      <w:r w:rsidR="000A0D7B">
        <w:t xml:space="preserve"> yet</w:t>
      </w:r>
      <w:r w:rsidR="003957F2">
        <w:t xml:space="preserve"> she was also a committed and vocal Dissenter, as we have seen.</w:t>
      </w:r>
      <w:r w:rsidR="003957F2">
        <w:rPr>
          <w:rStyle w:val="FootnoteReference"/>
        </w:rPr>
        <w:footnoteReference w:id="60"/>
      </w:r>
      <w:r w:rsidR="003957F2">
        <w:t xml:space="preserve"> So</w:t>
      </w:r>
      <w:r w:rsidR="000A0D7B">
        <w:t xml:space="preserve"> in the context of his discussion of </w:t>
      </w:r>
      <w:r w:rsidR="000A0D7B">
        <w:rPr>
          <w:i/>
          <w:iCs/>
        </w:rPr>
        <w:t xml:space="preserve">The Speaker </w:t>
      </w:r>
      <w:r w:rsidR="000A0D7B">
        <w:t xml:space="preserve">among his early reading, </w:t>
      </w:r>
      <w:r w:rsidR="00CB240A">
        <w:t xml:space="preserve">a volume in which </w:t>
      </w:r>
      <w:proofErr w:type="spellStart"/>
      <w:r w:rsidR="00CB240A">
        <w:t>Barbauld</w:t>
      </w:r>
      <w:proofErr w:type="spellEnd"/>
      <w:r w:rsidR="00CB240A">
        <w:t xml:space="preserve"> features so prominently, </w:t>
      </w:r>
      <w:r w:rsidR="000A0D7B">
        <w:t xml:space="preserve">I suggest that Hazlitt’s search for ‘appropriate praise’ for his childish debt of gratitude is genuine, and another marker of the </w:t>
      </w:r>
      <w:r>
        <w:t>loyalties to D</w:t>
      </w:r>
      <w:r w:rsidR="000A0D7B">
        <w:t>issenting</w:t>
      </w:r>
      <w:r w:rsidR="002652B8">
        <w:t xml:space="preserve"> </w:t>
      </w:r>
      <w:r>
        <w:t>traditions</w:t>
      </w:r>
      <w:r w:rsidR="000A0D7B">
        <w:t xml:space="preserve"> </w:t>
      </w:r>
      <w:r>
        <w:t>which ‘</w:t>
      </w:r>
      <w:r w:rsidR="00902D64">
        <w:t xml:space="preserve">still </w:t>
      </w:r>
      <w:r>
        <w:t xml:space="preserve">keep their state apart’ and which </w:t>
      </w:r>
      <w:r w:rsidR="000A0D7B">
        <w:t>shape his account of reading and writing</w:t>
      </w:r>
      <w:r w:rsidR="002652B8">
        <w:t>.</w:t>
      </w:r>
    </w:p>
    <w:sectPr w:rsidR="00F209CF" w:rsidSect="00D654F4">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56A0" w14:textId="77777777" w:rsidR="007B0777" w:rsidRDefault="007B0777" w:rsidP="0025619F">
      <w:r>
        <w:separator/>
      </w:r>
    </w:p>
  </w:endnote>
  <w:endnote w:type="continuationSeparator" w:id="0">
    <w:p w14:paraId="593CBAD8" w14:textId="77777777" w:rsidR="007B0777" w:rsidRDefault="007B0777" w:rsidP="0025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4541304"/>
      <w:docPartObj>
        <w:docPartGallery w:val="Page Numbers (Bottom of Page)"/>
        <w:docPartUnique/>
      </w:docPartObj>
    </w:sdtPr>
    <w:sdtEndPr>
      <w:rPr>
        <w:rStyle w:val="PageNumber"/>
      </w:rPr>
    </w:sdtEndPr>
    <w:sdtContent>
      <w:p w14:paraId="08B9C274" w14:textId="292C4799" w:rsidR="00DA48EA" w:rsidRDefault="00DA48EA" w:rsidP="00F209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61AAA" w14:textId="77777777" w:rsidR="00DA48EA" w:rsidRDefault="00DA48EA" w:rsidP="000E6E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0366674"/>
      <w:docPartObj>
        <w:docPartGallery w:val="Page Numbers (Bottom of Page)"/>
        <w:docPartUnique/>
      </w:docPartObj>
    </w:sdtPr>
    <w:sdtEndPr>
      <w:rPr>
        <w:rStyle w:val="PageNumber"/>
      </w:rPr>
    </w:sdtEndPr>
    <w:sdtContent>
      <w:p w14:paraId="7EAA3E61" w14:textId="700FF3DC" w:rsidR="00DA48EA" w:rsidRDefault="00DA48EA" w:rsidP="00F209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45ED36" w14:textId="77777777" w:rsidR="00DA48EA" w:rsidRDefault="00DA48EA" w:rsidP="000E6E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7ABB" w14:textId="77777777" w:rsidR="007B0777" w:rsidRDefault="007B0777" w:rsidP="0025619F">
      <w:r>
        <w:separator/>
      </w:r>
    </w:p>
  </w:footnote>
  <w:footnote w:type="continuationSeparator" w:id="0">
    <w:p w14:paraId="67CC920B" w14:textId="77777777" w:rsidR="007B0777" w:rsidRDefault="007B0777" w:rsidP="0025619F">
      <w:r>
        <w:continuationSeparator/>
      </w:r>
    </w:p>
  </w:footnote>
  <w:footnote w:id="1">
    <w:p w14:paraId="78DC91A5" w14:textId="528F0D3C" w:rsidR="00DA48EA" w:rsidRDefault="00DA48EA" w:rsidP="00166AED">
      <w:pPr>
        <w:pStyle w:val="FootnoteText"/>
      </w:pPr>
      <w:r>
        <w:rPr>
          <w:rStyle w:val="FootnoteReference"/>
        </w:rPr>
        <w:footnoteRef/>
      </w:r>
      <w:r>
        <w:t xml:space="preserve"> ‘The art of reading’ is a common means of describing elocutionary practice in the eighteenth century, beginning with Isaac </w:t>
      </w:r>
      <w:r w:rsidRPr="00B23E39">
        <w:t>Watts</w:t>
      </w:r>
      <w:r>
        <w:t>’s</w:t>
      </w:r>
      <w:r w:rsidRPr="00B23E39">
        <w:t xml:space="preserve"> </w:t>
      </w:r>
      <w:proofErr w:type="gramStart"/>
      <w:r w:rsidRPr="00B23E39">
        <w:rPr>
          <w:i/>
        </w:rPr>
        <w:t>The</w:t>
      </w:r>
      <w:proofErr w:type="gramEnd"/>
      <w:r w:rsidRPr="00B23E39">
        <w:rPr>
          <w:i/>
        </w:rPr>
        <w:t xml:space="preserve"> art of reading and writing English: or, the chief principles and rules of pronouncing our mother-tongue, both in Prose and </w:t>
      </w:r>
      <w:r>
        <w:rPr>
          <w:i/>
        </w:rPr>
        <w:t>Verse</w:t>
      </w:r>
      <w:r w:rsidRPr="00B23E39">
        <w:t xml:space="preserve"> </w:t>
      </w:r>
      <w:r>
        <w:t>(</w:t>
      </w:r>
      <w:r w:rsidRPr="00B23E39">
        <w:t>London, 1722</w:t>
      </w:r>
      <w:r>
        <w:t>)</w:t>
      </w:r>
      <w:r w:rsidRPr="00B23E39">
        <w:t xml:space="preserve">. </w:t>
      </w:r>
      <w:r>
        <w:t xml:space="preserve"> </w:t>
      </w:r>
    </w:p>
  </w:footnote>
  <w:footnote w:id="2">
    <w:p w14:paraId="40CC505E" w14:textId="77777777" w:rsidR="00DA48EA" w:rsidRDefault="00DA48EA" w:rsidP="00166AED">
      <w:pPr>
        <w:pStyle w:val="FootnoteText"/>
      </w:pPr>
      <w:r>
        <w:rPr>
          <w:rStyle w:val="FootnoteReference"/>
        </w:rPr>
        <w:footnoteRef/>
      </w:r>
      <w:r>
        <w:t xml:space="preserve"> </w:t>
      </w:r>
      <w:r w:rsidRPr="007B5967">
        <w:t xml:space="preserve">Patricia Michaelson, </w:t>
      </w:r>
      <w:r w:rsidRPr="007B5967">
        <w:rPr>
          <w:i/>
          <w:iCs/>
        </w:rPr>
        <w:t>Speaking Volumes: Women, reading and speech in the age of Austen</w:t>
      </w:r>
      <w:r w:rsidRPr="007B5967">
        <w:t xml:space="preserve"> (</w:t>
      </w:r>
      <w:r>
        <w:t xml:space="preserve">Stanford: </w:t>
      </w:r>
      <w:r w:rsidRPr="007B5967">
        <w:t>Stanford U</w:t>
      </w:r>
      <w:r>
        <w:t xml:space="preserve">niversity </w:t>
      </w:r>
      <w:r w:rsidRPr="007B5967">
        <w:t>P</w:t>
      </w:r>
      <w:r>
        <w:t>ress</w:t>
      </w:r>
      <w:r w:rsidRPr="007B5967">
        <w:t>, 2002</w:t>
      </w:r>
      <w:r>
        <w:t xml:space="preserve">), 45; see also </w:t>
      </w:r>
      <w:r w:rsidRPr="007B5967">
        <w:t xml:space="preserve">Abigail Williams, </w:t>
      </w:r>
      <w:r w:rsidRPr="007B5967">
        <w:rPr>
          <w:i/>
        </w:rPr>
        <w:t>The Social Life of Books: Reading Together in the Eighteenth-century Home</w:t>
      </w:r>
      <w:r w:rsidRPr="007B5967">
        <w:t xml:space="preserve">, </w:t>
      </w:r>
      <w:r>
        <w:t xml:space="preserve">New Haven: </w:t>
      </w:r>
      <w:r w:rsidRPr="007B5967">
        <w:t>Yale University Press, 2017</w:t>
      </w:r>
      <w:r>
        <w:t xml:space="preserve">); </w:t>
      </w:r>
      <w:r w:rsidRPr="007B5967">
        <w:t>Paul Goring</w:t>
      </w:r>
      <w:r>
        <w:t>,</w:t>
      </w:r>
      <w:r w:rsidRPr="007B5967">
        <w:t xml:space="preserve"> </w:t>
      </w:r>
      <w:r w:rsidRPr="007B5967">
        <w:rPr>
          <w:i/>
          <w:iCs/>
        </w:rPr>
        <w:t>The Rhetoric of Sensibility in Eighteenth-Century Culture</w:t>
      </w:r>
      <w:r w:rsidRPr="007B5967">
        <w:t xml:space="preserve"> (Cambridge: Cambridge University Press, 2005)</w:t>
      </w:r>
      <w:r>
        <w:t xml:space="preserve">; </w:t>
      </w:r>
      <w:r w:rsidRPr="007B5967">
        <w:t xml:space="preserve">Peter De </w:t>
      </w:r>
      <w:proofErr w:type="spellStart"/>
      <w:r w:rsidRPr="007B5967">
        <w:t>Bolla</w:t>
      </w:r>
      <w:proofErr w:type="spellEnd"/>
      <w:r w:rsidRPr="007B5967">
        <w:t xml:space="preserve">, </w:t>
      </w:r>
      <w:r w:rsidRPr="007B5967">
        <w:rPr>
          <w:i/>
          <w:iCs/>
        </w:rPr>
        <w:t xml:space="preserve">The Discourse of the Sublime: Readings in History, Aesthetics, and the Subject </w:t>
      </w:r>
      <w:r w:rsidRPr="007B5967">
        <w:t>(Oxford: Blackwell, 1989)</w:t>
      </w:r>
      <w:r>
        <w:t>, 146-81.</w:t>
      </w:r>
    </w:p>
  </w:footnote>
  <w:footnote w:id="3">
    <w:p w14:paraId="2EBD0104" w14:textId="39E19243" w:rsidR="00DA48EA" w:rsidRDefault="00DA48EA">
      <w:pPr>
        <w:pStyle w:val="FootnoteText"/>
      </w:pPr>
      <w:r>
        <w:rPr>
          <w:rStyle w:val="FootnoteReference"/>
        </w:rPr>
        <w:footnoteRef/>
      </w:r>
      <w:r>
        <w:t xml:space="preserve"> </w:t>
      </w:r>
      <w:r w:rsidRPr="0025619F">
        <w:t>Stephen Burley</w:t>
      </w:r>
      <w:r>
        <w:t>,</w:t>
      </w:r>
      <w:r w:rsidRPr="0025619F">
        <w:t xml:space="preserve"> </w:t>
      </w:r>
      <w:r w:rsidRPr="0025619F">
        <w:rPr>
          <w:i/>
          <w:iCs/>
        </w:rPr>
        <w:t xml:space="preserve">Hazlitt the Dissenter: Religion, Philosophy and Politics, 1766-1816 </w:t>
      </w:r>
      <w:r>
        <w:t>(</w:t>
      </w:r>
      <w:r w:rsidRPr="0025619F">
        <w:t>Palgrave, 2014</w:t>
      </w:r>
      <w:r>
        <w:t xml:space="preserve">), 40; Lucy Newlyn, </w:t>
      </w:r>
      <w:r>
        <w:rPr>
          <w:i/>
          <w:iCs/>
        </w:rPr>
        <w:t>Reading, Writing, and Romanticism: The Anxiety of Reception</w:t>
      </w:r>
      <w:r>
        <w:t xml:space="preserve"> (Oxford University Press, 2000), 352.</w:t>
      </w:r>
    </w:p>
  </w:footnote>
  <w:footnote w:id="4">
    <w:p w14:paraId="6F8B4985" w14:textId="77328F12" w:rsidR="00DA48EA" w:rsidRDefault="00DA48EA">
      <w:pPr>
        <w:pStyle w:val="FootnoteText"/>
      </w:pPr>
      <w:r>
        <w:rPr>
          <w:rStyle w:val="FootnoteReference"/>
        </w:rPr>
        <w:footnoteRef/>
      </w:r>
      <w:r>
        <w:t xml:space="preserve"> Tom Paulin, </w:t>
      </w:r>
      <w:r>
        <w:rPr>
          <w:i/>
          <w:iCs/>
        </w:rPr>
        <w:t xml:space="preserve">The </w:t>
      </w:r>
      <w:proofErr w:type="gramStart"/>
      <w:r>
        <w:rPr>
          <w:i/>
          <w:iCs/>
        </w:rPr>
        <w:t>Day-Star</w:t>
      </w:r>
      <w:proofErr w:type="gramEnd"/>
      <w:r>
        <w:rPr>
          <w:i/>
          <w:iCs/>
        </w:rPr>
        <w:t xml:space="preserve"> of Liberty: William Hazlitt’s Radical Style</w:t>
      </w:r>
      <w:r>
        <w:t xml:space="preserve"> (Faber, 1998).</w:t>
      </w:r>
    </w:p>
  </w:footnote>
  <w:footnote w:id="5">
    <w:p w14:paraId="33B6CD95" w14:textId="0DAAA33D" w:rsidR="00DA48EA" w:rsidRPr="005E474C" w:rsidRDefault="00DA48EA">
      <w:pPr>
        <w:pStyle w:val="FootnoteText"/>
      </w:pPr>
      <w:r>
        <w:rPr>
          <w:rStyle w:val="FootnoteReference"/>
        </w:rPr>
        <w:footnoteRef/>
      </w:r>
      <w:r>
        <w:t xml:space="preserve"> Burley, </w:t>
      </w:r>
      <w:r>
        <w:rPr>
          <w:i/>
          <w:iCs/>
        </w:rPr>
        <w:t>Hazlitt the Dissenter</w:t>
      </w:r>
      <w:r>
        <w:t>, 8.</w:t>
      </w:r>
    </w:p>
  </w:footnote>
  <w:footnote w:id="6">
    <w:p w14:paraId="28529351" w14:textId="08F3F35E" w:rsidR="00DA48EA" w:rsidRPr="00445B84" w:rsidRDefault="00DA48EA">
      <w:pPr>
        <w:pStyle w:val="FootnoteText"/>
      </w:pPr>
      <w:r>
        <w:rPr>
          <w:rStyle w:val="FootnoteReference"/>
        </w:rPr>
        <w:footnoteRef/>
      </w:r>
      <w:r>
        <w:t xml:space="preserve"> Kevin </w:t>
      </w:r>
      <w:r w:rsidRPr="00445B84">
        <w:t>Gilmartin</w:t>
      </w:r>
      <w:r>
        <w:t>,</w:t>
      </w:r>
      <w:r w:rsidRPr="00445B84">
        <w:t xml:space="preserve"> </w:t>
      </w:r>
      <w:r w:rsidRPr="00445B84">
        <w:rPr>
          <w:i/>
          <w:iCs/>
        </w:rPr>
        <w:t>William Hazlitt: Political Essayist</w:t>
      </w:r>
      <w:r>
        <w:rPr>
          <w:i/>
          <w:iCs/>
        </w:rPr>
        <w:t xml:space="preserve"> </w:t>
      </w:r>
      <w:r>
        <w:t>(Oxford University Press, 2015), 191.</w:t>
      </w:r>
    </w:p>
  </w:footnote>
  <w:footnote w:id="7">
    <w:p w14:paraId="6FE9C856" w14:textId="758CE825" w:rsidR="00DA48EA" w:rsidRDefault="00DA48EA">
      <w:pPr>
        <w:pStyle w:val="FootnoteText"/>
      </w:pPr>
      <w:r>
        <w:rPr>
          <w:rStyle w:val="FootnoteReference"/>
        </w:rPr>
        <w:footnoteRef/>
      </w:r>
      <w:r>
        <w:t xml:space="preserve"> Ibid., 193.</w:t>
      </w:r>
    </w:p>
  </w:footnote>
  <w:footnote w:id="8">
    <w:p w14:paraId="0D8CBC25" w14:textId="6F31FB8C" w:rsidR="00DA48EA" w:rsidRDefault="00DA48EA">
      <w:pPr>
        <w:pStyle w:val="FootnoteText"/>
      </w:pPr>
      <w:r>
        <w:rPr>
          <w:rStyle w:val="FootnoteReference"/>
        </w:rPr>
        <w:footnoteRef/>
      </w:r>
      <w:r>
        <w:t xml:space="preserve"> </w:t>
      </w:r>
      <w:r w:rsidRPr="00A34084">
        <w:t xml:space="preserve">Jon </w:t>
      </w:r>
      <w:proofErr w:type="spellStart"/>
      <w:r w:rsidRPr="00A34084">
        <w:t>Mee</w:t>
      </w:r>
      <w:proofErr w:type="spellEnd"/>
      <w:r>
        <w:t>,</w:t>
      </w:r>
      <w:r w:rsidRPr="00A34084">
        <w:t xml:space="preserve"> </w:t>
      </w:r>
      <w:r w:rsidRPr="004E5C8D">
        <w:rPr>
          <w:i/>
          <w:iCs/>
        </w:rPr>
        <w:t>Conversable Worlds: Literature, Contention and Community</w:t>
      </w:r>
      <w:r>
        <w:t xml:space="preserve"> (Oxford University Press, 2011), 243, 263.</w:t>
      </w:r>
    </w:p>
  </w:footnote>
  <w:footnote w:id="9">
    <w:p w14:paraId="5EF922A2" w14:textId="1DB379B9" w:rsidR="00DA48EA" w:rsidRDefault="00DA48EA">
      <w:pPr>
        <w:pStyle w:val="FootnoteText"/>
      </w:pPr>
      <w:r>
        <w:rPr>
          <w:rStyle w:val="FootnoteReference"/>
        </w:rPr>
        <w:footnoteRef/>
      </w:r>
      <w:r>
        <w:t xml:space="preserve"> </w:t>
      </w:r>
      <w:r w:rsidRPr="000B26AD">
        <w:t>Jon Cook</w:t>
      </w:r>
      <w:r>
        <w:t>,</w:t>
      </w:r>
      <w:r w:rsidRPr="000B26AD">
        <w:t xml:space="preserve"> ‘Hazlitt, Speech and Writing’ in </w:t>
      </w:r>
      <w:r w:rsidRPr="000B26AD">
        <w:rPr>
          <w:i/>
          <w:iCs/>
        </w:rPr>
        <w:t>Journalism, Literature and Modernity: From Hazlitt to Modernism</w:t>
      </w:r>
      <w:r>
        <w:t xml:space="preserve"> </w:t>
      </w:r>
      <w:r w:rsidRPr="000B26AD">
        <w:t>ed. Kate Campbell, 15-37</w:t>
      </w:r>
      <w:r>
        <w:t xml:space="preserve"> (</w:t>
      </w:r>
      <w:r w:rsidRPr="000B26AD">
        <w:t>Edinburgh University Press, 2000</w:t>
      </w:r>
      <w:r>
        <w:t xml:space="preserve">), 22-23, 35. See also </w:t>
      </w:r>
      <w:r w:rsidRPr="000B26AD">
        <w:t xml:space="preserve">Tristram Wolff, ‘Talking with Texts: Hazlitt’s Ephemeral Style’, </w:t>
      </w:r>
      <w:r w:rsidRPr="00C847B9">
        <w:rPr>
          <w:i/>
          <w:iCs/>
        </w:rPr>
        <w:t>Representations</w:t>
      </w:r>
      <w:r w:rsidRPr="000B26AD">
        <w:t xml:space="preserve"> 137</w:t>
      </w:r>
      <w:r>
        <w:t xml:space="preserve"> (</w:t>
      </w:r>
      <w:r w:rsidRPr="000B26AD">
        <w:t>2017</w:t>
      </w:r>
      <w:r>
        <w:t>):</w:t>
      </w:r>
      <w:r w:rsidRPr="000B26AD">
        <w:t xml:space="preserve"> 44–67</w:t>
      </w:r>
      <w:r>
        <w:t>.</w:t>
      </w:r>
    </w:p>
  </w:footnote>
  <w:footnote w:id="10">
    <w:p w14:paraId="1C6CFCCB" w14:textId="50CFA32F" w:rsidR="00DA48EA" w:rsidRPr="009F454B" w:rsidRDefault="00DA48EA" w:rsidP="009F454B">
      <w:pPr>
        <w:pStyle w:val="FootnoteText"/>
        <w:jc w:val="both"/>
      </w:pPr>
      <w:r>
        <w:rPr>
          <w:rStyle w:val="FootnoteReference"/>
        </w:rPr>
        <w:footnoteRef/>
      </w:r>
      <w:r>
        <w:t xml:space="preserve"> Newlyn, </w:t>
      </w:r>
      <w:r>
        <w:rPr>
          <w:i/>
          <w:iCs/>
        </w:rPr>
        <w:t>Reading, Writing and Romanticism</w:t>
      </w:r>
      <w:r>
        <w:t>, 362.</w:t>
      </w:r>
    </w:p>
  </w:footnote>
  <w:footnote w:id="11">
    <w:p w14:paraId="17F3824C" w14:textId="7DE625CA" w:rsidR="00DA48EA" w:rsidRPr="00B476A5" w:rsidRDefault="00DA48EA">
      <w:pPr>
        <w:pStyle w:val="FootnoteText"/>
      </w:pPr>
      <w:r>
        <w:rPr>
          <w:rStyle w:val="FootnoteReference"/>
        </w:rPr>
        <w:footnoteRef/>
      </w:r>
      <w:r>
        <w:t xml:space="preserve"> Dorothy Wordsworth, </w:t>
      </w:r>
      <w:r>
        <w:rPr>
          <w:i/>
          <w:iCs/>
        </w:rPr>
        <w:t>The Grasmere Journals</w:t>
      </w:r>
      <w:r>
        <w:t xml:space="preserve">, ed. Pamela Woof (Clarendon Press, 1991), 85-86; Jane Austen, </w:t>
      </w:r>
      <w:r>
        <w:rPr>
          <w:i/>
          <w:iCs/>
        </w:rPr>
        <w:t>Mansfield Park</w:t>
      </w:r>
      <w:r>
        <w:t>, ed. James Kinsley (Oxford University Press, 1990), 114.</w:t>
      </w:r>
    </w:p>
  </w:footnote>
  <w:footnote w:id="12">
    <w:p w14:paraId="39CD901E" w14:textId="1E3B973F" w:rsidR="00DA48EA" w:rsidRDefault="00DA48EA" w:rsidP="00BE21E6">
      <w:pPr>
        <w:pStyle w:val="FootnoteText"/>
      </w:pPr>
      <w:r>
        <w:rPr>
          <w:rStyle w:val="FootnoteReference"/>
        </w:rPr>
        <w:footnoteRef/>
      </w:r>
      <w:r>
        <w:t xml:space="preserve"> William Enfield, </w:t>
      </w:r>
      <w:r w:rsidRPr="00622BD2">
        <w:rPr>
          <w:i/>
          <w:iCs/>
        </w:rPr>
        <w:t xml:space="preserve">The Speaker: or, Miscellaneous Pieces, </w:t>
      </w:r>
      <w:proofErr w:type="gramStart"/>
      <w:r w:rsidRPr="00622BD2">
        <w:rPr>
          <w:i/>
          <w:iCs/>
        </w:rPr>
        <w:t>Selected</w:t>
      </w:r>
      <w:proofErr w:type="gramEnd"/>
      <w:r w:rsidRPr="00622BD2">
        <w:rPr>
          <w:i/>
          <w:iCs/>
        </w:rPr>
        <w:t xml:space="preserve"> from the Best English Writers, and Disposed under Proper Heads, with a view to Facilitate the Improvement of Youth in Reading and Speaking</w:t>
      </w:r>
      <w:r>
        <w:t xml:space="preserve"> (London: Joseph Johnson, 1774), </w:t>
      </w:r>
      <w:proofErr w:type="spellStart"/>
      <w:r>
        <w:t>n.p.</w:t>
      </w:r>
      <w:proofErr w:type="spellEnd"/>
    </w:p>
  </w:footnote>
  <w:footnote w:id="13">
    <w:p w14:paraId="65DA375D" w14:textId="0AE71BAF" w:rsidR="00DA48EA" w:rsidRDefault="00DA48EA">
      <w:pPr>
        <w:pStyle w:val="FootnoteText"/>
      </w:pPr>
      <w:r>
        <w:rPr>
          <w:rStyle w:val="FootnoteReference"/>
        </w:rPr>
        <w:footnoteRef/>
      </w:r>
      <w:r>
        <w:t xml:space="preserve"> Ibid.</w:t>
      </w:r>
    </w:p>
  </w:footnote>
  <w:footnote w:id="14">
    <w:p w14:paraId="2DBA93D1" w14:textId="7053000C" w:rsidR="00DA48EA" w:rsidRPr="00D25E93" w:rsidRDefault="00DA48EA" w:rsidP="00230231">
      <w:pPr>
        <w:pStyle w:val="FootnoteText"/>
        <w:rPr>
          <w:i/>
        </w:rPr>
      </w:pPr>
      <w:r>
        <w:rPr>
          <w:rStyle w:val="FootnoteReference"/>
        </w:rPr>
        <w:footnoteRef/>
      </w:r>
      <w:r>
        <w:t xml:space="preserve"> Ibid.</w:t>
      </w:r>
      <w:r>
        <w:rPr>
          <w:i/>
        </w:rPr>
        <w:t xml:space="preserve"> </w:t>
      </w:r>
    </w:p>
  </w:footnote>
  <w:footnote w:id="15">
    <w:p w14:paraId="34617498" w14:textId="27D421D3" w:rsidR="00DA48EA" w:rsidRDefault="00DA48EA" w:rsidP="00134CCA">
      <w:pPr>
        <w:pStyle w:val="FootnoteText"/>
      </w:pPr>
      <w:r>
        <w:rPr>
          <w:rStyle w:val="FootnoteReference"/>
        </w:rPr>
        <w:footnoteRef/>
      </w:r>
      <w:r>
        <w:t xml:space="preserve"> See for instance Felicity James, Ian Inkster, ‘Introduction’, in </w:t>
      </w:r>
      <w:r w:rsidRPr="00134CCA">
        <w:rPr>
          <w:i/>
          <w:iCs/>
        </w:rPr>
        <w:t>Religious Dissent and the Aikin-</w:t>
      </w:r>
      <w:proofErr w:type="spellStart"/>
      <w:r w:rsidRPr="00134CCA">
        <w:rPr>
          <w:i/>
          <w:iCs/>
        </w:rPr>
        <w:t>Barbauld</w:t>
      </w:r>
      <w:proofErr w:type="spellEnd"/>
      <w:r w:rsidRPr="00134CCA">
        <w:rPr>
          <w:i/>
          <w:iCs/>
        </w:rPr>
        <w:t xml:space="preserve"> Circle, 1740–1860</w:t>
      </w:r>
      <w:r>
        <w:rPr>
          <w:i/>
          <w:iCs/>
        </w:rPr>
        <w:t xml:space="preserve">, </w:t>
      </w:r>
      <w:r>
        <w:t>eds, Felicity James, Ian Inkster (Cambridge: Cambridge University Press, 2011), 7.</w:t>
      </w:r>
    </w:p>
  </w:footnote>
  <w:footnote w:id="16">
    <w:p w14:paraId="100220AC" w14:textId="3723F11C" w:rsidR="00DA48EA" w:rsidRDefault="00DA48EA">
      <w:pPr>
        <w:pStyle w:val="FootnoteText"/>
      </w:pPr>
      <w:r>
        <w:rPr>
          <w:rStyle w:val="FootnoteReference"/>
        </w:rPr>
        <w:footnoteRef/>
      </w:r>
      <w:r>
        <w:t xml:space="preserve"> Enfield, </w:t>
      </w:r>
      <w:r>
        <w:rPr>
          <w:i/>
          <w:iCs/>
        </w:rPr>
        <w:t xml:space="preserve">The </w:t>
      </w:r>
      <w:r w:rsidRPr="00BF57E4">
        <w:t>Speaker</w:t>
      </w:r>
      <w:r>
        <w:t>, vii-xxv.</w:t>
      </w:r>
    </w:p>
  </w:footnote>
  <w:footnote w:id="17">
    <w:p w14:paraId="32D7EE96" w14:textId="5B8B609F" w:rsidR="00DA48EA" w:rsidRPr="008E2DE2" w:rsidRDefault="00DA48EA">
      <w:pPr>
        <w:pStyle w:val="FootnoteText"/>
      </w:pPr>
      <w:r>
        <w:rPr>
          <w:rStyle w:val="FootnoteReference"/>
        </w:rPr>
        <w:footnoteRef/>
      </w:r>
      <w:r>
        <w:t xml:space="preserve"> Ibid., vi.</w:t>
      </w:r>
    </w:p>
  </w:footnote>
  <w:footnote w:id="18">
    <w:p w14:paraId="01A2A42C" w14:textId="4FE61972" w:rsidR="00DA48EA" w:rsidRPr="008E2DE2" w:rsidRDefault="00DA48EA">
      <w:pPr>
        <w:pStyle w:val="FootnoteText"/>
      </w:pPr>
      <w:r>
        <w:rPr>
          <w:rStyle w:val="FootnoteReference"/>
        </w:rPr>
        <w:footnoteRef/>
      </w:r>
      <w:r>
        <w:t xml:space="preserve"> Ibid., xix.</w:t>
      </w:r>
    </w:p>
  </w:footnote>
  <w:footnote w:id="19">
    <w:p w14:paraId="31237062" w14:textId="522F3027" w:rsidR="00DA48EA" w:rsidRDefault="00DA48EA">
      <w:pPr>
        <w:pStyle w:val="FootnoteText"/>
      </w:pPr>
      <w:r>
        <w:rPr>
          <w:rStyle w:val="FootnoteReference"/>
        </w:rPr>
        <w:footnoteRef/>
      </w:r>
      <w:r>
        <w:t xml:space="preserve"> </w:t>
      </w:r>
      <w:r w:rsidRPr="00A1289E">
        <w:t xml:space="preserve">David Halpin ‘Hazlitt’s Learning: A Real and Negative Education’ </w:t>
      </w:r>
      <w:r w:rsidRPr="00A1289E">
        <w:rPr>
          <w:i/>
          <w:iCs/>
        </w:rPr>
        <w:t xml:space="preserve">Hazlitt Review </w:t>
      </w:r>
      <w:r>
        <w:t>(</w:t>
      </w:r>
      <w:r w:rsidRPr="00A1289E">
        <w:t>2009</w:t>
      </w:r>
      <w:r>
        <w:t>) 49-65: 55.</w:t>
      </w:r>
    </w:p>
  </w:footnote>
  <w:footnote w:id="20">
    <w:p w14:paraId="42CAC395" w14:textId="11E64AD5" w:rsidR="00DA48EA" w:rsidRDefault="00DA48EA">
      <w:pPr>
        <w:pStyle w:val="FootnoteText"/>
      </w:pPr>
      <w:r>
        <w:rPr>
          <w:rStyle w:val="FootnoteReference"/>
        </w:rPr>
        <w:footnoteRef/>
      </w:r>
      <w:r>
        <w:t xml:space="preserve"> William Hazlitt to John Hazlitt, March 1788, </w:t>
      </w:r>
      <w:r w:rsidRPr="007741CC">
        <w:t xml:space="preserve">Hazlitt </w:t>
      </w:r>
      <w:r w:rsidRPr="007741CC">
        <w:rPr>
          <w:i/>
          <w:iCs/>
        </w:rPr>
        <w:t>Letters</w:t>
      </w:r>
      <w:r w:rsidRPr="007741CC">
        <w:t>, 45-46</w:t>
      </w:r>
      <w:r>
        <w:t xml:space="preserve">, cited in Halpin, </w:t>
      </w:r>
      <w:r w:rsidR="00EB16C9">
        <w:t xml:space="preserve">‘Hazlitt’s Learning’, </w:t>
      </w:r>
      <w:r>
        <w:t>55.</w:t>
      </w:r>
    </w:p>
  </w:footnote>
  <w:footnote w:id="21">
    <w:p w14:paraId="4E1ACAE8" w14:textId="6CED4961" w:rsidR="00DA48EA" w:rsidRDefault="00DA48EA">
      <w:pPr>
        <w:pStyle w:val="FootnoteText"/>
      </w:pPr>
      <w:r>
        <w:rPr>
          <w:rStyle w:val="FootnoteReference"/>
        </w:rPr>
        <w:footnoteRef/>
      </w:r>
      <w:r>
        <w:t xml:space="preserve"> Halpin, ‘Hazlitt’s Learning’, 59.</w:t>
      </w:r>
    </w:p>
  </w:footnote>
  <w:footnote w:id="22">
    <w:p w14:paraId="70339508" w14:textId="1B298B91" w:rsidR="00DA48EA" w:rsidRDefault="00DA48EA">
      <w:pPr>
        <w:pStyle w:val="FootnoteText"/>
      </w:pPr>
      <w:r>
        <w:rPr>
          <w:rStyle w:val="FootnoteReference"/>
        </w:rPr>
        <w:footnoteRef/>
      </w:r>
      <w:r>
        <w:t xml:space="preserve"> </w:t>
      </w:r>
      <w:r w:rsidRPr="00341ECB">
        <w:t>Stephen Burley</w:t>
      </w:r>
      <w:r>
        <w:t>,</w:t>
      </w:r>
      <w:r w:rsidRPr="00341ECB">
        <w:t xml:space="preserve"> </w:t>
      </w:r>
      <w:r w:rsidRPr="00341ECB">
        <w:rPr>
          <w:i/>
          <w:iCs/>
        </w:rPr>
        <w:t>New College, Hackney (1786-96): A Selection of Printed and Archival Sources</w:t>
      </w:r>
      <w:r>
        <w:t xml:space="preserve">, </w:t>
      </w:r>
      <w:r w:rsidRPr="00341ECB">
        <w:t>Dr Williams’s Centre for Dissenting Studies</w:t>
      </w:r>
      <w:r>
        <w:t>, 36, 112.</w:t>
      </w:r>
    </w:p>
  </w:footnote>
  <w:footnote w:id="23">
    <w:p w14:paraId="4FFCF817" w14:textId="6FE93EC0" w:rsidR="00DA48EA" w:rsidRDefault="00DA48EA">
      <w:pPr>
        <w:pStyle w:val="FootnoteText"/>
      </w:pPr>
      <w:r>
        <w:rPr>
          <w:rStyle w:val="FootnoteReference"/>
        </w:rPr>
        <w:footnoteRef/>
      </w:r>
      <w:r>
        <w:t xml:space="preserve"> </w:t>
      </w:r>
      <w:r w:rsidRPr="00EE3089">
        <w:t xml:space="preserve">Mr </w:t>
      </w:r>
      <w:proofErr w:type="spellStart"/>
      <w:r w:rsidRPr="00EE3089">
        <w:t>Cresswick</w:t>
      </w:r>
      <w:proofErr w:type="spellEnd"/>
      <w:r w:rsidRPr="00EE3089">
        <w:t xml:space="preserve">, </w:t>
      </w:r>
      <w:r w:rsidRPr="00EE3089">
        <w:rPr>
          <w:i/>
          <w:iCs/>
        </w:rPr>
        <w:t>The Lady's Preceptor; or, a Series of Instructive and Pleasing Exercises in Reading</w:t>
      </w:r>
      <w:r w:rsidRPr="00EE3089">
        <w:t xml:space="preserve"> </w:t>
      </w:r>
      <w:r>
        <w:t>(</w:t>
      </w:r>
      <w:r w:rsidRPr="00EE3089">
        <w:t>G. G. and J. Robinson, 1792</w:t>
      </w:r>
      <w:r>
        <w:t xml:space="preserve">); Mr </w:t>
      </w:r>
      <w:proofErr w:type="spellStart"/>
      <w:r>
        <w:t>Cresswick</w:t>
      </w:r>
      <w:proofErr w:type="spellEnd"/>
      <w:r>
        <w:t xml:space="preserve"> [Mary Wollstonecraft], </w:t>
      </w:r>
      <w:r w:rsidRPr="00EE3089">
        <w:rPr>
          <w:i/>
          <w:iCs/>
        </w:rPr>
        <w:t xml:space="preserve">The </w:t>
      </w:r>
      <w:r>
        <w:rPr>
          <w:i/>
          <w:iCs/>
        </w:rPr>
        <w:t>F</w:t>
      </w:r>
      <w:r w:rsidRPr="00EE3089">
        <w:rPr>
          <w:i/>
          <w:iCs/>
        </w:rPr>
        <w:t xml:space="preserve">emale </w:t>
      </w:r>
      <w:r>
        <w:rPr>
          <w:i/>
          <w:iCs/>
        </w:rPr>
        <w:t>R</w:t>
      </w:r>
      <w:r w:rsidRPr="00EE3089">
        <w:rPr>
          <w:i/>
          <w:iCs/>
        </w:rPr>
        <w:t xml:space="preserve">eader; or </w:t>
      </w:r>
      <w:r>
        <w:rPr>
          <w:i/>
          <w:iCs/>
        </w:rPr>
        <w:t>M</w:t>
      </w:r>
      <w:r w:rsidRPr="00EE3089">
        <w:rPr>
          <w:i/>
          <w:iCs/>
        </w:rPr>
        <w:t xml:space="preserve">iscellaneous </w:t>
      </w:r>
      <w:r>
        <w:rPr>
          <w:i/>
          <w:iCs/>
        </w:rPr>
        <w:t>P</w:t>
      </w:r>
      <w:r w:rsidRPr="00EE3089">
        <w:rPr>
          <w:i/>
          <w:iCs/>
        </w:rPr>
        <w:t xml:space="preserve">ieces in prose and </w:t>
      </w:r>
      <w:r>
        <w:rPr>
          <w:i/>
          <w:iCs/>
        </w:rPr>
        <w:t>V</w:t>
      </w:r>
      <w:r w:rsidRPr="00EE3089">
        <w:rPr>
          <w:i/>
          <w:iCs/>
        </w:rPr>
        <w:t>erse</w:t>
      </w:r>
      <w:r>
        <w:t xml:space="preserve"> (</w:t>
      </w:r>
      <w:r w:rsidRPr="00EE3089">
        <w:t>J.</w:t>
      </w:r>
      <w:r>
        <w:t xml:space="preserve"> </w:t>
      </w:r>
      <w:r w:rsidRPr="00EE3089">
        <w:t>Johnson, 1789</w:t>
      </w:r>
      <w:r>
        <w:t>)</w:t>
      </w:r>
      <w:r w:rsidRPr="00EE3089">
        <w:t>.</w:t>
      </w:r>
    </w:p>
  </w:footnote>
  <w:footnote w:id="24">
    <w:p w14:paraId="77949FF3" w14:textId="0343512E" w:rsidR="00DA48EA" w:rsidRPr="00C52A1D" w:rsidRDefault="00DA48EA" w:rsidP="00C52A1D">
      <w:pPr>
        <w:rPr>
          <w:sz w:val="20"/>
          <w:szCs w:val="20"/>
        </w:rPr>
      </w:pPr>
      <w:r w:rsidRPr="00C52A1D">
        <w:rPr>
          <w:rStyle w:val="FootnoteReference"/>
          <w:sz w:val="20"/>
          <w:szCs w:val="20"/>
        </w:rPr>
        <w:footnoteRef/>
      </w:r>
      <w:r w:rsidRPr="00C52A1D">
        <w:rPr>
          <w:sz w:val="20"/>
          <w:szCs w:val="20"/>
        </w:rPr>
        <w:t xml:space="preserve"> For more on Wollstonecraft’s </w:t>
      </w:r>
      <w:r w:rsidRPr="00C52A1D">
        <w:rPr>
          <w:i/>
          <w:iCs/>
          <w:sz w:val="20"/>
          <w:szCs w:val="20"/>
        </w:rPr>
        <w:t xml:space="preserve">Female Reader </w:t>
      </w:r>
      <w:r w:rsidRPr="00C52A1D">
        <w:rPr>
          <w:sz w:val="20"/>
          <w:szCs w:val="20"/>
        </w:rPr>
        <w:t xml:space="preserve">see Moira Ferguson, ‘Mary Wollstonecraft and Mr. </w:t>
      </w:r>
      <w:proofErr w:type="spellStart"/>
      <w:r w:rsidRPr="00C52A1D">
        <w:rPr>
          <w:sz w:val="20"/>
          <w:szCs w:val="20"/>
        </w:rPr>
        <w:t>Cresswick</w:t>
      </w:r>
      <w:proofErr w:type="spellEnd"/>
      <w:r w:rsidRPr="00C52A1D">
        <w:rPr>
          <w:sz w:val="20"/>
          <w:szCs w:val="20"/>
        </w:rPr>
        <w:t xml:space="preserve">’, </w:t>
      </w:r>
      <w:r w:rsidRPr="00C52A1D">
        <w:rPr>
          <w:i/>
          <w:sz w:val="20"/>
          <w:szCs w:val="20"/>
        </w:rPr>
        <w:t xml:space="preserve">Philological Quarterly </w:t>
      </w:r>
      <w:r w:rsidRPr="00C52A1D">
        <w:rPr>
          <w:sz w:val="20"/>
          <w:szCs w:val="20"/>
        </w:rPr>
        <w:t>62: 4, (1983): 459-475.</w:t>
      </w:r>
    </w:p>
  </w:footnote>
  <w:footnote w:id="25">
    <w:p w14:paraId="0D3B6000" w14:textId="523F7524" w:rsidR="00DA48EA" w:rsidRDefault="00DA48EA">
      <w:pPr>
        <w:pStyle w:val="FootnoteText"/>
      </w:pPr>
      <w:r>
        <w:rPr>
          <w:rStyle w:val="FootnoteReference"/>
        </w:rPr>
        <w:footnoteRef/>
      </w:r>
      <w:r>
        <w:t xml:space="preserve"> Burley, </w:t>
      </w:r>
      <w:r w:rsidRPr="00341ECB">
        <w:rPr>
          <w:i/>
          <w:iCs/>
        </w:rPr>
        <w:t>New College, Hackney</w:t>
      </w:r>
      <w:r>
        <w:t>, 39-40, 157.</w:t>
      </w:r>
    </w:p>
  </w:footnote>
  <w:footnote w:id="26">
    <w:p w14:paraId="1CB49BED" w14:textId="2A4A4BDB" w:rsidR="00DA48EA" w:rsidRDefault="00DA48EA">
      <w:pPr>
        <w:pStyle w:val="FootnoteText"/>
      </w:pPr>
      <w:r>
        <w:rPr>
          <w:rStyle w:val="FootnoteReference"/>
        </w:rPr>
        <w:footnoteRef/>
      </w:r>
      <w:r>
        <w:t xml:space="preserve"> Ibid., 121-22.</w:t>
      </w:r>
    </w:p>
  </w:footnote>
  <w:footnote w:id="27">
    <w:p w14:paraId="1A2DB29C" w14:textId="436B7326" w:rsidR="00DA48EA" w:rsidRDefault="00DA48EA">
      <w:pPr>
        <w:pStyle w:val="FootnoteText"/>
      </w:pPr>
      <w:r>
        <w:rPr>
          <w:rStyle w:val="FootnoteReference"/>
        </w:rPr>
        <w:footnoteRef/>
      </w:r>
      <w:r>
        <w:t xml:space="preserve"> Ibid., 49.</w:t>
      </w:r>
    </w:p>
  </w:footnote>
  <w:footnote w:id="28">
    <w:p w14:paraId="668FDBAB" w14:textId="1890790D" w:rsidR="00DA48EA" w:rsidRPr="008770C6" w:rsidRDefault="00DA48EA">
      <w:pPr>
        <w:pStyle w:val="FootnoteText"/>
      </w:pPr>
      <w:r>
        <w:rPr>
          <w:rStyle w:val="FootnoteReference"/>
        </w:rPr>
        <w:footnoteRef/>
      </w:r>
      <w:r>
        <w:t xml:space="preserve"> On ‘old books’ see ‘On Egotism’, in </w:t>
      </w:r>
      <w:r>
        <w:rPr>
          <w:i/>
          <w:iCs/>
        </w:rPr>
        <w:t xml:space="preserve">The Complete Works of William Hazlitt, </w:t>
      </w:r>
      <w:r>
        <w:t>ed. P.P. Howe, vol. 12 (J. M. Dent &amp; Sons, 1930-34), 164, and ‘On Reading Old Books’, ibid., 221.</w:t>
      </w:r>
    </w:p>
  </w:footnote>
  <w:footnote w:id="29">
    <w:p w14:paraId="4603D740" w14:textId="6C4EEB38" w:rsidR="00622D01" w:rsidRDefault="00622D01">
      <w:pPr>
        <w:pStyle w:val="FootnoteText"/>
      </w:pPr>
      <w:r>
        <w:rPr>
          <w:rStyle w:val="FootnoteReference"/>
        </w:rPr>
        <w:footnoteRef/>
      </w:r>
      <w:r>
        <w:t xml:space="preserve"> Newlyn, </w:t>
      </w:r>
      <w:r>
        <w:rPr>
          <w:i/>
          <w:iCs/>
        </w:rPr>
        <w:t xml:space="preserve">Reading, Writing and Romanticism, </w:t>
      </w:r>
      <w:r>
        <w:t>352.</w:t>
      </w:r>
    </w:p>
  </w:footnote>
  <w:footnote w:id="30">
    <w:p w14:paraId="0EF47A9C" w14:textId="41BC17FF" w:rsidR="00DA48EA" w:rsidRPr="00C00797" w:rsidRDefault="00DA48EA">
      <w:pPr>
        <w:pStyle w:val="FootnoteText"/>
      </w:pPr>
      <w:r>
        <w:rPr>
          <w:rStyle w:val="FootnoteReference"/>
        </w:rPr>
        <w:footnoteRef/>
      </w:r>
      <w:r>
        <w:t xml:space="preserve"> Enfield, </w:t>
      </w:r>
      <w:r>
        <w:rPr>
          <w:i/>
          <w:iCs/>
        </w:rPr>
        <w:t>The Speaker</w:t>
      </w:r>
      <w:r>
        <w:t>, 54.</w:t>
      </w:r>
    </w:p>
  </w:footnote>
  <w:footnote w:id="31">
    <w:p w14:paraId="5F63D45A" w14:textId="198A3C71" w:rsidR="00DA48EA" w:rsidRDefault="00DA48EA">
      <w:pPr>
        <w:pStyle w:val="FootnoteText"/>
      </w:pPr>
      <w:r>
        <w:rPr>
          <w:rStyle w:val="FootnoteReference"/>
        </w:rPr>
        <w:footnoteRef/>
      </w:r>
      <w:r>
        <w:t xml:space="preserve"> William Hazlitt, ‘On Patronage and Puffing’, in Howe ed., vol. 8, 294.</w:t>
      </w:r>
    </w:p>
  </w:footnote>
  <w:footnote w:id="32">
    <w:p w14:paraId="6A48B91A" w14:textId="4287A26C" w:rsidR="00DA48EA" w:rsidRPr="001E09B9" w:rsidRDefault="00DA48EA">
      <w:pPr>
        <w:pStyle w:val="FootnoteText"/>
      </w:pPr>
      <w:r>
        <w:rPr>
          <w:rStyle w:val="FootnoteReference"/>
        </w:rPr>
        <w:footnoteRef/>
      </w:r>
      <w:r>
        <w:t xml:space="preserve"> Ibid. </w:t>
      </w:r>
    </w:p>
  </w:footnote>
  <w:footnote w:id="33">
    <w:p w14:paraId="1CE8D6F8" w14:textId="3DBD62B2" w:rsidR="00DA48EA" w:rsidRDefault="00DA48EA">
      <w:pPr>
        <w:pStyle w:val="FootnoteText"/>
      </w:pPr>
      <w:r>
        <w:rPr>
          <w:rStyle w:val="FootnoteReference"/>
        </w:rPr>
        <w:footnoteRef/>
      </w:r>
      <w:r>
        <w:t xml:space="preserve"> Hazlitt, ‘Douglas’ in Howe, ed., vol. 9, 93-94.</w:t>
      </w:r>
    </w:p>
  </w:footnote>
  <w:footnote w:id="34">
    <w:p w14:paraId="3FA74E35" w14:textId="1281921B" w:rsidR="00DA48EA" w:rsidRDefault="00DA48EA">
      <w:pPr>
        <w:pStyle w:val="FootnoteText"/>
      </w:pPr>
      <w:r w:rsidRPr="0081293D">
        <w:rPr>
          <w:rStyle w:val="FootnoteReference"/>
        </w:rPr>
        <w:footnoteRef/>
      </w:r>
      <w:r w:rsidRPr="0081293D">
        <w:t xml:space="preserve"> Newlyn</w:t>
      </w:r>
      <w:r>
        <w:t>,</w:t>
      </w:r>
      <w:r w:rsidRPr="0081293D">
        <w:t xml:space="preserve"> </w:t>
      </w:r>
      <w:r w:rsidRPr="0081293D">
        <w:rPr>
          <w:i/>
          <w:iCs/>
        </w:rPr>
        <w:t>Reading, Writing and Romanticism</w:t>
      </w:r>
      <w:r w:rsidRPr="0081293D">
        <w:t>, 352.</w:t>
      </w:r>
    </w:p>
  </w:footnote>
  <w:footnote w:id="35">
    <w:p w14:paraId="60C72593" w14:textId="5A6AF248" w:rsidR="00DA48EA" w:rsidRPr="00AF4D6B" w:rsidRDefault="00DA48EA">
      <w:pPr>
        <w:pStyle w:val="FootnoteText"/>
      </w:pPr>
      <w:r>
        <w:rPr>
          <w:rStyle w:val="FootnoteReference"/>
        </w:rPr>
        <w:footnoteRef/>
      </w:r>
      <w:r>
        <w:t xml:space="preserve"> Paulin, </w:t>
      </w:r>
      <w:proofErr w:type="gramStart"/>
      <w:r>
        <w:rPr>
          <w:i/>
          <w:iCs/>
        </w:rPr>
        <w:t>Day-Star</w:t>
      </w:r>
      <w:proofErr w:type="gramEnd"/>
      <w:r>
        <w:rPr>
          <w:i/>
          <w:iCs/>
        </w:rPr>
        <w:t xml:space="preserve"> of Liberty</w:t>
      </w:r>
      <w:r>
        <w:t>, 271.</w:t>
      </w:r>
    </w:p>
  </w:footnote>
  <w:footnote w:id="36">
    <w:p w14:paraId="4E2919CD" w14:textId="6736CC55" w:rsidR="00DA48EA" w:rsidRDefault="00DA48EA">
      <w:pPr>
        <w:pStyle w:val="FootnoteText"/>
      </w:pPr>
      <w:r>
        <w:rPr>
          <w:rStyle w:val="FootnoteReference"/>
        </w:rPr>
        <w:footnoteRef/>
      </w:r>
      <w:r>
        <w:t xml:space="preserve"> Ibid., 272.</w:t>
      </w:r>
    </w:p>
  </w:footnote>
  <w:footnote w:id="37">
    <w:p w14:paraId="391F6182" w14:textId="0F2C4A8B" w:rsidR="00DA48EA" w:rsidRDefault="00DA48EA">
      <w:pPr>
        <w:pStyle w:val="FootnoteText"/>
      </w:pPr>
      <w:r>
        <w:rPr>
          <w:rStyle w:val="FootnoteReference"/>
        </w:rPr>
        <w:footnoteRef/>
      </w:r>
      <w:r>
        <w:t xml:space="preserve"> Hazlitt, ‘On the Prose Style of Poets’, in Howe ed., vol. 12, 5, 6.</w:t>
      </w:r>
    </w:p>
  </w:footnote>
  <w:footnote w:id="38">
    <w:p w14:paraId="5E1E5902" w14:textId="2EE0BB80" w:rsidR="00DA48EA" w:rsidRDefault="00DA48EA">
      <w:pPr>
        <w:pStyle w:val="FootnoteText"/>
      </w:pPr>
      <w:r>
        <w:rPr>
          <w:rStyle w:val="FootnoteReference"/>
        </w:rPr>
        <w:footnoteRef/>
      </w:r>
      <w:r>
        <w:t xml:space="preserve"> </w:t>
      </w:r>
      <w:r w:rsidRPr="00341644">
        <w:t xml:space="preserve">Alexander Pope, </w:t>
      </w:r>
      <w:r w:rsidRPr="00341644">
        <w:rPr>
          <w:i/>
          <w:iCs/>
        </w:rPr>
        <w:t>An Essay on Criticism</w:t>
      </w:r>
      <w:r w:rsidRPr="00341644">
        <w:t>, 2</w:t>
      </w:r>
      <w:r w:rsidRPr="00341644">
        <w:rPr>
          <w:vertAlign w:val="superscript"/>
        </w:rPr>
        <w:t>nd</w:t>
      </w:r>
      <w:r w:rsidRPr="00341644">
        <w:t xml:space="preserve"> edition (</w:t>
      </w:r>
      <w:r>
        <w:t>W. Lewis</w:t>
      </w:r>
      <w:r w:rsidRPr="00341644">
        <w:t>, 1713), 19.</w:t>
      </w:r>
    </w:p>
  </w:footnote>
  <w:footnote w:id="39">
    <w:p w14:paraId="772724B7" w14:textId="67A7CA22" w:rsidR="00DA48EA" w:rsidRPr="00AC6DC9" w:rsidRDefault="00DA48EA" w:rsidP="00A10D33">
      <w:pPr>
        <w:rPr>
          <w:rFonts w:cstheme="minorHAnsi"/>
          <w:sz w:val="20"/>
          <w:szCs w:val="20"/>
        </w:rPr>
      </w:pPr>
      <w:r w:rsidRPr="00AC6DC9">
        <w:rPr>
          <w:rStyle w:val="FootnoteReference"/>
          <w:sz w:val="20"/>
          <w:szCs w:val="20"/>
        </w:rPr>
        <w:footnoteRef/>
      </w:r>
      <w:r w:rsidRPr="00AC6DC9">
        <w:rPr>
          <w:sz w:val="20"/>
          <w:szCs w:val="20"/>
        </w:rPr>
        <w:t xml:space="preserve"> </w:t>
      </w:r>
      <w:r w:rsidRPr="00AC6DC9">
        <w:rPr>
          <w:rFonts w:cstheme="minorHAnsi"/>
          <w:sz w:val="20"/>
          <w:szCs w:val="20"/>
        </w:rPr>
        <w:t>Watts</w:t>
      </w:r>
      <w:r w:rsidR="00897C85">
        <w:rPr>
          <w:rFonts w:cstheme="minorHAnsi"/>
          <w:sz w:val="20"/>
          <w:szCs w:val="20"/>
        </w:rPr>
        <w:t xml:space="preserve">, </w:t>
      </w:r>
      <w:r w:rsidRPr="00AC6DC9">
        <w:rPr>
          <w:rFonts w:cstheme="minorHAnsi"/>
          <w:i/>
          <w:sz w:val="20"/>
          <w:szCs w:val="20"/>
        </w:rPr>
        <w:t xml:space="preserve">The </w:t>
      </w:r>
      <w:r>
        <w:rPr>
          <w:rFonts w:cstheme="minorHAnsi"/>
          <w:i/>
          <w:sz w:val="20"/>
          <w:szCs w:val="20"/>
        </w:rPr>
        <w:t>A</w:t>
      </w:r>
      <w:r w:rsidRPr="00AC6DC9">
        <w:rPr>
          <w:rFonts w:cstheme="minorHAnsi"/>
          <w:i/>
          <w:sz w:val="20"/>
          <w:szCs w:val="20"/>
        </w:rPr>
        <w:t xml:space="preserve">rt of </w:t>
      </w:r>
      <w:r>
        <w:rPr>
          <w:rFonts w:cstheme="minorHAnsi"/>
          <w:i/>
          <w:sz w:val="20"/>
          <w:szCs w:val="20"/>
        </w:rPr>
        <w:t>R</w:t>
      </w:r>
      <w:r w:rsidRPr="00AC6DC9">
        <w:rPr>
          <w:rFonts w:cstheme="minorHAnsi"/>
          <w:i/>
          <w:sz w:val="20"/>
          <w:szCs w:val="20"/>
        </w:rPr>
        <w:t>eading</w:t>
      </w:r>
      <w:r w:rsidRPr="00AC6DC9">
        <w:rPr>
          <w:rFonts w:cstheme="minorHAnsi"/>
          <w:sz w:val="20"/>
          <w:szCs w:val="20"/>
        </w:rPr>
        <w:t xml:space="preserve">, 52-53. See also Henry Home, Lord Kames, </w:t>
      </w:r>
      <w:r w:rsidRPr="00AC6DC9">
        <w:rPr>
          <w:rFonts w:cstheme="minorHAnsi"/>
          <w:i/>
          <w:iCs/>
          <w:sz w:val="20"/>
          <w:szCs w:val="20"/>
        </w:rPr>
        <w:t>Elements of Criticism</w:t>
      </w:r>
      <w:r w:rsidRPr="00AC6DC9">
        <w:rPr>
          <w:rFonts w:cstheme="minorHAnsi"/>
          <w:sz w:val="20"/>
          <w:szCs w:val="20"/>
        </w:rPr>
        <w:t xml:space="preserve">, ed. Peter Jones 2 vols. (Indianapolis: Liberty Fund, 2005) vol. 2, 436; John Rice, </w:t>
      </w:r>
      <w:r w:rsidRPr="00AC6DC9">
        <w:rPr>
          <w:rFonts w:cstheme="minorHAnsi"/>
          <w:i/>
          <w:sz w:val="20"/>
          <w:szCs w:val="20"/>
        </w:rPr>
        <w:t xml:space="preserve">An Introduction to the Art of Reading with Energy and Propriety </w:t>
      </w:r>
      <w:r w:rsidRPr="00AC6DC9">
        <w:rPr>
          <w:rFonts w:cstheme="minorHAnsi"/>
          <w:iCs/>
          <w:sz w:val="20"/>
          <w:szCs w:val="20"/>
        </w:rPr>
        <w:t>(London, 1765), 185-86.</w:t>
      </w:r>
    </w:p>
  </w:footnote>
  <w:footnote w:id="40">
    <w:p w14:paraId="2848259C" w14:textId="40B40290" w:rsidR="00DA48EA" w:rsidRDefault="00DA48EA">
      <w:pPr>
        <w:pStyle w:val="FootnoteText"/>
      </w:pPr>
      <w:r>
        <w:rPr>
          <w:rStyle w:val="FootnoteReference"/>
        </w:rPr>
        <w:footnoteRef/>
      </w:r>
      <w:r>
        <w:t xml:space="preserve"> Enfield, </w:t>
      </w:r>
      <w:r>
        <w:rPr>
          <w:i/>
          <w:iCs/>
        </w:rPr>
        <w:t xml:space="preserve">The Speaker, </w:t>
      </w:r>
      <w:r>
        <w:t>94.</w:t>
      </w:r>
      <w:r w:rsidRPr="00A10D33">
        <w:rPr>
          <w:highlight w:val="yellow"/>
        </w:rPr>
        <w:t xml:space="preserve"> </w:t>
      </w:r>
    </w:p>
  </w:footnote>
  <w:footnote w:id="41">
    <w:p w14:paraId="42375BD4" w14:textId="505B4335" w:rsidR="00DA48EA" w:rsidRDefault="00DA48EA">
      <w:pPr>
        <w:pStyle w:val="FootnoteText"/>
      </w:pPr>
      <w:r>
        <w:rPr>
          <w:rStyle w:val="FootnoteReference"/>
        </w:rPr>
        <w:footnoteRef/>
      </w:r>
      <w:r>
        <w:t xml:space="preserve"> Hazlitt, ‘On the Prose Style of Poets’, in Howe ed., vol. 12, 7-8.</w:t>
      </w:r>
    </w:p>
  </w:footnote>
  <w:footnote w:id="42">
    <w:p w14:paraId="5458D51C" w14:textId="142CB523" w:rsidR="00DA48EA" w:rsidRDefault="00DA48EA">
      <w:pPr>
        <w:pStyle w:val="FootnoteText"/>
      </w:pPr>
      <w:r>
        <w:rPr>
          <w:rStyle w:val="FootnoteReference"/>
        </w:rPr>
        <w:footnoteRef/>
      </w:r>
      <w:r>
        <w:t xml:space="preserve"> Ibid., 8.</w:t>
      </w:r>
    </w:p>
  </w:footnote>
  <w:footnote w:id="43">
    <w:p w14:paraId="22466A17" w14:textId="5467C4C6" w:rsidR="00DA48EA" w:rsidRDefault="00DA48EA">
      <w:pPr>
        <w:pStyle w:val="FootnoteText"/>
      </w:pPr>
      <w:r>
        <w:rPr>
          <w:rStyle w:val="FootnoteReference"/>
        </w:rPr>
        <w:footnoteRef/>
      </w:r>
      <w:r>
        <w:t xml:space="preserve"> Ibid., 7.</w:t>
      </w:r>
    </w:p>
  </w:footnote>
  <w:footnote w:id="44">
    <w:p w14:paraId="0914CE7A" w14:textId="1EBEEEBA" w:rsidR="00DA48EA" w:rsidRDefault="00DA48EA">
      <w:pPr>
        <w:pStyle w:val="FootnoteText"/>
      </w:pPr>
      <w:r>
        <w:rPr>
          <w:rStyle w:val="FootnoteReference"/>
        </w:rPr>
        <w:footnoteRef/>
      </w:r>
      <w:r>
        <w:t xml:space="preserve"> Hazlitt, ‘On the Conversation of Authors, The Same Subject Continued’, in Howe, ed., vol. 12, 40.</w:t>
      </w:r>
    </w:p>
  </w:footnote>
  <w:footnote w:id="45">
    <w:p w14:paraId="18DCA02D" w14:textId="22794C0F" w:rsidR="00DA48EA" w:rsidRDefault="00DA48EA">
      <w:pPr>
        <w:pStyle w:val="FootnoteText"/>
      </w:pPr>
      <w:r>
        <w:rPr>
          <w:rStyle w:val="FootnoteReference"/>
        </w:rPr>
        <w:footnoteRef/>
      </w:r>
      <w:r>
        <w:t xml:space="preserve"> Ibid., 40-41.</w:t>
      </w:r>
    </w:p>
  </w:footnote>
  <w:footnote w:id="46">
    <w:p w14:paraId="51A9D670" w14:textId="79A585E5" w:rsidR="00DA48EA" w:rsidRDefault="00DA48EA">
      <w:pPr>
        <w:pStyle w:val="FootnoteText"/>
      </w:pPr>
      <w:r>
        <w:rPr>
          <w:rStyle w:val="FootnoteReference"/>
        </w:rPr>
        <w:footnoteRef/>
      </w:r>
      <w:r>
        <w:t xml:space="preserve"> Hazlitt, ‘On the English Novelists’, in Howe, ed., vol. 6, 121.</w:t>
      </w:r>
    </w:p>
  </w:footnote>
  <w:footnote w:id="47">
    <w:p w14:paraId="16D81B2C" w14:textId="1FE6B7DF" w:rsidR="00DA48EA" w:rsidRPr="000D075E" w:rsidRDefault="00DA48EA">
      <w:pPr>
        <w:pStyle w:val="FootnoteText"/>
      </w:pPr>
      <w:r>
        <w:rPr>
          <w:rStyle w:val="FootnoteReference"/>
        </w:rPr>
        <w:footnoteRef/>
      </w:r>
      <w:r>
        <w:t xml:space="preserve"> Enfield, </w:t>
      </w:r>
      <w:r>
        <w:rPr>
          <w:i/>
          <w:iCs/>
        </w:rPr>
        <w:t>The Speaker</w:t>
      </w:r>
      <w:r>
        <w:t>, 30, 32, 34, 80, 186, 187, 222, 223, 225, 296, 298.</w:t>
      </w:r>
    </w:p>
  </w:footnote>
  <w:footnote w:id="48">
    <w:p w14:paraId="066E0D14" w14:textId="331FEDCB" w:rsidR="00DA48EA" w:rsidRDefault="00DA48EA">
      <w:pPr>
        <w:pStyle w:val="FootnoteText"/>
      </w:pPr>
      <w:r>
        <w:rPr>
          <w:rStyle w:val="FootnoteReference"/>
        </w:rPr>
        <w:footnoteRef/>
      </w:r>
      <w:r>
        <w:t xml:space="preserve"> Hazlitt, </w:t>
      </w:r>
      <w:r w:rsidRPr="00B566CD">
        <w:t>‘On the Difference between Writing and Speaking’</w:t>
      </w:r>
      <w:r>
        <w:t>, in Howe ed., vol. 12, 264-65.</w:t>
      </w:r>
    </w:p>
  </w:footnote>
  <w:footnote w:id="49">
    <w:p w14:paraId="02F909A0" w14:textId="3797E3EC" w:rsidR="00DA48EA" w:rsidRPr="00FE65B5" w:rsidRDefault="00DA48EA">
      <w:pPr>
        <w:pStyle w:val="FootnoteText"/>
      </w:pPr>
      <w:r>
        <w:rPr>
          <w:rStyle w:val="FootnoteReference"/>
        </w:rPr>
        <w:footnoteRef/>
      </w:r>
      <w:r>
        <w:t xml:space="preserve"> Hazlitt, ‘My First Acquaintance with Poets’ in Howe, ed., vol. 17, 118. On Hazlitt’s treatment of oratory and recitation in this essay, see Newlyn, </w:t>
      </w:r>
      <w:r>
        <w:rPr>
          <w:i/>
          <w:iCs/>
        </w:rPr>
        <w:t xml:space="preserve">Reading, Writing and Romanticism, </w:t>
      </w:r>
      <w:r>
        <w:t xml:space="preserve">333-39; </w:t>
      </w:r>
      <w:r w:rsidRPr="00445B84">
        <w:t>Gilmartin</w:t>
      </w:r>
      <w:r>
        <w:t>,</w:t>
      </w:r>
      <w:r w:rsidRPr="00445B84">
        <w:t xml:space="preserve"> </w:t>
      </w:r>
      <w:r w:rsidRPr="00445B84">
        <w:rPr>
          <w:i/>
          <w:iCs/>
        </w:rPr>
        <w:t>William Hazlitt</w:t>
      </w:r>
      <w:r>
        <w:t xml:space="preserve">, 207-8; Jonathan </w:t>
      </w:r>
      <w:proofErr w:type="spellStart"/>
      <w:r>
        <w:t>Mulrooney</w:t>
      </w:r>
      <w:proofErr w:type="spellEnd"/>
      <w:r>
        <w:t>, ‘</w:t>
      </w:r>
      <w:r w:rsidRPr="00FE65B5">
        <w:t>Sounding on His Way: Col</w:t>
      </w:r>
      <w:r>
        <w:t>e</w:t>
      </w:r>
      <w:r w:rsidRPr="00FE65B5">
        <w:t>ridgean Religious Dissent and Hazlitt’s Conversational Style</w:t>
      </w:r>
      <w:r>
        <w:t xml:space="preserve">’, in </w:t>
      </w:r>
      <w:r w:rsidRPr="003A1B6D">
        <w:rPr>
          <w:i/>
          <w:iCs/>
        </w:rPr>
        <w:t>The Fountain Light: Studies in Romanticism and Religion</w:t>
      </w:r>
      <w:r>
        <w:t xml:space="preserve">, ed. </w:t>
      </w:r>
      <w:r w:rsidRPr="00FE65B5">
        <w:t>J. Robert Barth</w:t>
      </w:r>
      <w:r>
        <w:t xml:space="preserve"> </w:t>
      </w:r>
      <w:r w:rsidRPr="00FE65B5">
        <w:t>176-92 (New York: Fordham UP, 2002)</w:t>
      </w:r>
      <w:r>
        <w:t>.</w:t>
      </w:r>
    </w:p>
  </w:footnote>
  <w:footnote w:id="50">
    <w:p w14:paraId="37EC4C6E" w14:textId="085BB8C1" w:rsidR="00DA48EA" w:rsidRDefault="00DA48EA">
      <w:pPr>
        <w:pStyle w:val="FootnoteText"/>
      </w:pPr>
      <w:r>
        <w:rPr>
          <w:rStyle w:val="FootnoteReference"/>
        </w:rPr>
        <w:footnoteRef/>
      </w:r>
      <w:r>
        <w:t xml:space="preserve"> Hazlitt, </w:t>
      </w:r>
      <w:r w:rsidRPr="00B566CD">
        <w:t>‘On the Difference between Writing and Speaking’</w:t>
      </w:r>
      <w:r>
        <w:t>, in Howe ed., vol. 12, 269.</w:t>
      </w:r>
    </w:p>
  </w:footnote>
  <w:footnote w:id="51">
    <w:p w14:paraId="33AA3060" w14:textId="3F510447" w:rsidR="00DA48EA" w:rsidRPr="007C303C" w:rsidRDefault="00DA48EA">
      <w:pPr>
        <w:pStyle w:val="FootnoteText"/>
      </w:pPr>
      <w:r>
        <w:rPr>
          <w:rStyle w:val="FootnoteReference"/>
        </w:rPr>
        <w:footnoteRef/>
      </w:r>
      <w:r>
        <w:t xml:space="preserve"> Newlyn, </w:t>
      </w:r>
      <w:r>
        <w:rPr>
          <w:i/>
          <w:iCs/>
        </w:rPr>
        <w:t>Reading, Writing, and Romanticism</w:t>
      </w:r>
      <w:r>
        <w:t xml:space="preserve">, 337. Newlyn cites Hazlitt’s lecture on Coriolanus in </w:t>
      </w:r>
      <w:r>
        <w:rPr>
          <w:i/>
          <w:iCs/>
        </w:rPr>
        <w:t>Characters of Shakespeare’s Plays</w:t>
      </w:r>
      <w:r>
        <w:t>,</w:t>
      </w:r>
      <w:r>
        <w:rPr>
          <w:i/>
          <w:iCs/>
        </w:rPr>
        <w:t xml:space="preserve"> </w:t>
      </w:r>
      <w:r>
        <w:t>Howe, ed., vol. IV, 214.</w:t>
      </w:r>
    </w:p>
  </w:footnote>
  <w:footnote w:id="52">
    <w:p w14:paraId="7881DBDB" w14:textId="276045E1" w:rsidR="00DA48EA" w:rsidRDefault="00DA48EA">
      <w:pPr>
        <w:pStyle w:val="FootnoteText"/>
      </w:pPr>
      <w:r>
        <w:rPr>
          <w:rStyle w:val="FootnoteReference"/>
        </w:rPr>
        <w:footnoteRef/>
      </w:r>
      <w:r>
        <w:t xml:space="preserve"> Ibid., 279.</w:t>
      </w:r>
    </w:p>
  </w:footnote>
  <w:footnote w:id="53">
    <w:p w14:paraId="457CA2FB" w14:textId="50627A1F" w:rsidR="00DA48EA" w:rsidRPr="00372B4B" w:rsidRDefault="00DA48EA">
      <w:pPr>
        <w:pStyle w:val="FootnoteText"/>
      </w:pPr>
      <w:r>
        <w:rPr>
          <w:rStyle w:val="FootnoteReference"/>
        </w:rPr>
        <w:footnoteRef/>
      </w:r>
      <w:r>
        <w:t xml:space="preserve"> Hazlitt, ‘On the Prose Style of Poets’, in Howe ed., vol. 12, 17.</w:t>
      </w:r>
    </w:p>
  </w:footnote>
  <w:footnote w:id="54">
    <w:p w14:paraId="65AC888F" w14:textId="2C65E8BF" w:rsidR="00DA48EA" w:rsidRDefault="00DA48EA">
      <w:pPr>
        <w:pStyle w:val="FootnoteText"/>
      </w:pPr>
      <w:r>
        <w:rPr>
          <w:rStyle w:val="FootnoteReference"/>
        </w:rPr>
        <w:footnoteRef/>
      </w:r>
      <w:r>
        <w:t xml:space="preserve"> Hazlitt, ‘On Old English Writers and Speakers’, in Howe ed., vol. 12, 321. Hazlitt cites Edmund Spenser’s description of the style of Geoffrey Chaucer.</w:t>
      </w:r>
    </w:p>
  </w:footnote>
  <w:footnote w:id="55">
    <w:p w14:paraId="754E6B7D" w14:textId="2B02649A" w:rsidR="00DA48EA" w:rsidRDefault="00DA48EA">
      <w:pPr>
        <w:pStyle w:val="FootnoteText"/>
      </w:pPr>
      <w:r>
        <w:rPr>
          <w:rStyle w:val="FootnoteReference"/>
        </w:rPr>
        <w:footnoteRef/>
      </w:r>
      <w:r>
        <w:t xml:space="preserve"> Anna Laetitia </w:t>
      </w:r>
      <w:proofErr w:type="spellStart"/>
      <w:r>
        <w:t>Barbauld</w:t>
      </w:r>
      <w:proofErr w:type="spellEnd"/>
      <w:r>
        <w:t xml:space="preserve">, ‘An </w:t>
      </w:r>
      <w:r w:rsidRPr="00F92BDA">
        <w:t>Address to the Opposers of the Repeal of the Corporation and Test Acts’</w:t>
      </w:r>
      <w:r>
        <w:t xml:space="preserve"> in </w:t>
      </w:r>
      <w:r>
        <w:rPr>
          <w:i/>
          <w:iCs/>
        </w:rPr>
        <w:t xml:space="preserve">Selected Poetry and </w:t>
      </w:r>
      <w:r w:rsidRPr="00810836">
        <w:rPr>
          <w:i/>
          <w:iCs/>
        </w:rPr>
        <w:t>Prose</w:t>
      </w:r>
      <w:r>
        <w:t xml:space="preserve">, eds. William McCarthy, Elizabeth Kraft (Ormskirk: Broadview, 2002), </w:t>
      </w:r>
      <w:r w:rsidRPr="00810836">
        <w:t>272</w:t>
      </w:r>
      <w:r>
        <w:t>.</w:t>
      </w:r>
    </w:p>
  </w:footnote>
  <w:footnote w:id="56">
    <w:p w14:paraId="7EF4ED08" w14:textId="0805F0B4" w:rsidR="00DA48EA" w:rsidRDefault="00DA48EA">
      <w:pPr>
        <w:pStyle w:val="FootnoteText"/>
      </w:pPr>
      <w:r>
        <w:rPr>
          <w:rStyle w:val="FootnoteReference"/>
        </w:rPr>
        <w:footnoteRef/>
      </w:r>
      <w:r>
        <w:t xml:space="preserve"> Hazlitt, ‘On Court Influence’, in Howe, ed., vol. 7, 241.</w:t>
      </w:r>
    </w:p>
  </w:footnote>
  <w:footnote w:id="57">
    <w:p w14:paraId="62D2BF1E" w14:textId="16200EE0" w:rsidR="00DA48EA" w:rsidRDefault="00DA48EA">
      <w:pPr>
        <w:pStyle w:val="FootnoteText"/>
      </w:pPr>
      <w:r>
        <w:rPr>
          <w:rStyle w:val="FootnoteReference"/>
        </w:rPr>
        <w:footnoteRef/>
      </w:r>
      <w:r>
        <w:t xml:space="preserve"> Hazlitt, ‘On the Living Poets’ in Howe ed., vol. 5, 290.</w:t>
      </w:r>
    </w:p>
  </w:footnote>
  <w:footnote w:id="58">
    <w:p w14:paraId="4EE9B0FA" w14:textId="6FCCDBF1" w:rsidR="00DA48EA" w:rsidRDefault="00DA48EA">
      <w:pPr>
        <w:pStyle w:val="FootnoteText"/>
      </w:pPr>
      <w:r>
        <w:rPr>
          <w:rStyle w:val="FootnoteReference"/>
        </w:rPr>
        <w:footnoteRef/>
      </w:r>
      <w:r>
        <w:t xml:space="preserve"> Marlon Ross, </w:t>
      </w:r>
      <w:r w:rsidRPr="00D10580">
        <w:rPr>
          <w:i/>
          <w:iCs/>
        </w:rPr>
        <w:t>The Contours of Masculine Desire: Romanticism and the Rise of Women's Poetry</w:t>
      </w:r>
      <w:r w:rsidRPr="00D10580">
        <w:t xml:space="preserve"> (</w:t>
      </w:r>
      <w:r w:rsidR="00897C85">
        <w:t xml:space="preserve">Oxford: </w:t>
      </w:r>
      <w:r w:rsidRPr="00D10580">
        <w:t>Oxford U</w:t>
      </w:r>
      <w:r w:rsidR="00897C85">
        <w:t xml:space="preserve">niversity </w:t>
      </w:r>
      <w:r w:rsidRPr="00D10580">
        <w:t>P</w:t>
      </w:r>
      <w:r w:rsidR="00897C85">
        <w:t>ress</w:t>
      </w:r>
      <w:r w:rsidRPr="00D10580">
        <w:t>, 1989)</w:t>
      </w:r>
      <w:r>
        <w:t xml:space="preserve"> 256; William </w:t>
      </w:r>
      <w:proofErr w:type="spellStart"/>
      <w:r>
        <w:t>Keach</w:t>
      </w:r>
      <w:proofErr w:type="spellEnd"/>
      <w:r>
        <w:t xml:space="preserve">, </w:t>
      </w:r>
      <w:r w:rsidRPr="004D7026">
        <w:t xml:space="preserve">“A Regency Prophecy and the End of Anna </w:t>
      </w:r>
      <w:proofErr w:type="spellStart"/>
      <w:r w:rsidRPr="004D7026">
        <w:t>Barbauld's</w:t>
      </w:r>
      <w:proofErr w:type="spellEnd"/>
      <w:r w:rsidRPr="004D7026">
        <w:t xml:space="preserve"> Career</w:t>
      </w:r>
      <w:r>
        <w:t>,</w:t>
      </w:r>
      <w:r w:rsidRPr="004D7026">
        <w:t xml:space="preserve">” </w:t>
      </w:r>
      <w:r w:rsidRPr="004D7026">
        <w:rPr>
          <w:i/>
          <w:iCs/>
        </w:rPr>
        <w:t>Studies in Romanticism</w:t>
      </w:r>
      <w:r w:rsidRPr="004D7026">
        <w:t>, 33</w:t>
      </w:r>
      <w:r>
        <w:t>:</w:t>
      </w:r>
      <w:r w:rsidRPr="004D7026">
        <w:t xml:space="preserve">4 </w:t>
      </w:r>
      <w:r>
        <w:t>(</w:t>
      </w:r>
      <w:r w:rsidRPr="004D7026">
        <w:t>1994</w:t>
      </w:r>
      <w:r>
        <w:t>)</w:t>
      </w:r>
      <w:r w:rsidRPr="004D7026">
        <w:t>, 569–577</w:t>
      </w:r>
      <w:r>
        <w:t>, 577.</w:t>
      </w:r>
    </w:p>
  </w:footnote>
  <w:footnote w:id="59">
    <w:p w14:paraId="73925ADF" w14:textId="270DB683" w:rsidR="00196A80" w:rsidRPr="00196A80" w:rsidRDefault="00196A80">
      <w:pPr>
        <w:pStyle w:val="FootnoteText"/>
      </w:pPr>
      <w:r>
        <w:rPr>
          <w:rStyle w:val="FootnoteReference"/>
        </w:rPr>
        <w:footnoteRef/>
      </w:r>
      <w:r>
        <w:t xml:space="preserve"> Hazlitt</w:t>
      </w:r>
      <w:r w:rsidR="003957F2">
        <w:t>,</w:t>
      </w:r>
      <w:r>
        <w:t xml:space="preserve"> ‘On Great and Little Things’</w:t>
      </w:r>
      <w:r w:rsidR="003957F2">
        <w:t>, in</w:t>
      </w:r>
      <w:r>
        <w:t xml:space="preserve"> Howe, ed., vol. 8, 236.</w:t>
      </w:r>
    </w:p>
  </w:footnote>
  <w:footnote w:id="60">
    <w:p w14:paraId="388F1197" w14:textId="0A3E985C" w:rsidR="003957F2" w:rsidRPr="003957F2" w:rsidRDefault="003957F2">
      <w:pPr>
        <w:pStyle w:val="FootnoteText"/>
      </w:pPr>
      <w:r>
        <w:rPr>
          <w:rStyle w:val="FootnoteReference"/>
        </w:rPr>
        <w:footnoteRef/>
      </w:r>
      <w:r>
        <w:t xml:space="preserve"> On </w:t>
      </w:r>
      <w:proofErr w:type="spellStart"/>
      <w:r>
        <w:t>Barbauld</w:t>
      </w:r>
      <w:proofErr w:type="spellEnd"/>
      <w:r>
        <w:t xml:space="preserve"> and the Bluestocking circle, see </w:t>
      </w:r>
      <w:proofErr w:type="spellStart"/>
      <w:r>
        <w:t>Mee</w:t>
      </w:r>
      <w:proofErr w:type="spellEnd"/>
      <w:r>
        <w:t xml:space="preserve">, </w:t>
      </w:r>
      <w:r>
        <w:rPr>
          <w:i/>
          <w:iCs/>
        </w:rPr>
        <w:t xml:space="preserve">Conversable Worlds, </w:t>
      </w:r>
      <w:r w:rsidR="002B59E6">
        <w:t>118-24.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08"/>
    <w:rsid w:val="00002502"/>
    <w:rsid w:val="00007F79"/>
    <w:rsid w:val="000107CA"/>
    <w:rsid w:val="00011B68"/>
    <w:rsid w:val="00015148"/>
    <w:rsid w:val="0003436B"/>
    <w:rsid w:val="00041E3B"/>
    <w:rsid w:val="00044B8F"/>
    <w:rsid w:val="00052419"/>
    <w:rsid w:val="00061EAE"/>
    <w:rsid w:val="000656C4"/>
    <w:rsid w:val="0007659C"/>
    <w:rsid w:val="00090E75"/>
    <w:rsid w:val="0009321E"/>
    <w:rsid w:val="00095A07"/>
    <w:rsid w:val="000975B8"/>
    <w:rsid w:val="000A0D7B"/>
    <w:rsid w:val="000A20A1"/>
    <w:rsid w:val="000A4782"/>
    <w:rsid w:val="000A70D4"/>
    <w:rsid w:val="000B0596"/>
    <w:rsid w:val="000B26AD"/>
    <w:rsid w:val="000B3A4B"/>
    <w:rsid w:val="000C18E8"/>
    <w:rsid w:val="000D075E"/>
    <w:rsid w:val="000D2843"/>
    <w:rsid w:val="000D44C2"/>
    <w:rsid w:val="000D53CE"/>
    <w:rsid w:val="000E4158"/>
    <w:rsid w:val="000E51C5"/>
    <w:rsid w:val="000E6E1F"/>
    <w:rsid w:val="00102A02"/>
    <w:rsid w:val="00107211"/>
    <w:rsid w:val="00127149"/>
    <w:rsid w:val="00130D5B"/>
    <w:rsid w:val="00134CCA"/>
    <w:rsid w:val="0013748B"/>
    <w:rsid w:val="001403BE"/>
    <w:rsid w:val="00143393"/>
    <w:rsid w:val="001623D9"/>
    <w:rsid w:val="00166AED"/>
    <w:rsid w:val="00181A4F"/>
    <w:rsid w:val="001846DD"/>
    <w:rsid w:val="00196A80"/>
    <w:rsid w:val="001A0FD8"/>
    <w:rsid w:val="001A150E"/>
    <w:rsid w:val="001B5369"/>
    <w:rsid w:val="001E09B9"/>
    <w:rsid w:val="001E40BA"/>
    <w:rsid w:val="001E41D3"/>
    <w:rsid w:val="001E5588"/>
    <w:rsid w:val="001E6110"/>
    <w:rsid w:val="001F45D7"/>
    <w:rsid w:val="0022480D"/>
    <w:rsid w:val="00230231"/>
    <w:rsid w:val="00237555"/>
    <w:rsid w:val="00246F93"/>
    <w:rsid w:val="0025619F"/>
    <w:rsid w:val="002652B8"/>
    <w:rsid w:val="00271F88"/>
    <w:rsid w:val="002A4ECD"/>
    <w:rsid w:val="002B38DF"/>
    <w:rsid w:val="002B59E6"/>
    <w:rsid w:val="002C0B48"/>
    <w:rsid w:val="002C33E2"/>
    <w:rsid w:val="002C3C89"/>
    <w:rsid w:val="002E2B05"/>
    <w:rsid w:val="002E589C"/>
    <w:rsid w:val="00301601"/>
    <w:rsid w:val="00301DDB"/>
    <w:rsid w:val="00302DE8"/>
    <w:rsid w:val="00313483"/>
    <w:rsid w:val="00316829"/>
    <w:rsid w:val="0032750B"/>
    <w:rsid w:val="00331557"/>
    <w:rsid w:val="003320F3"/>
    <w:rsid w:val="0033218E"/>
    <w:rsid w:val="00341644"/>
    <w:rsid w:val="00341ECB"/>
    <w:rsid w:val="00353EF8"/>
    <w:rsid w:val="00355BB2"/>
    <w:rsid w:val="0036134A"/>
    <w:rsid w:val="00364628"/>
    <w:rsid w:val="003655EA"/>
    <w:rsid w:val="00372B4B"/>
    <w:rsid w:val="00375D12"/>
    <w:rsid w:val="00387ED5"/>
    <w:rsid w:val="00390213"/>
    <w:rsid w:val="003957F2"/>
    <w:rsid w:val="003A1B6D"/>
    <w:rsid w:val="003A2839"/>
    <w:rsid w:val="003B4B4D"/>
    <w:rsid w:val="003C01DD"/>
    <w:rsid w:val="003D0933"/>
    <w:rsid w:val="003D43EE"/>
    <w:rsid w:val="003E3C64"/>
    <w:rsid w:val="003E67C5"/>
    <w:rsid w:val="003F75F7"/>
    <w:rsid w:val="00425CC8"/>
    <w:rsid w:val="00442E2C"/>
    <w:rsid w:val="00445B84"/>
    <w:rsid w:val="00466221"/>
    <w:rsid w:val="0047469A"/>
    <w:rsid w:val="004968C2"/>
    <w:rsid w:val="004975D7"/>
    <w:rsid w:val="004B0078"/>
    <w:rsid w:val="004B248C"/>
    <w:rsid w:val="004B2EA9"/>
    <w:rsid w:val="004D1061"/>
    <w:rsid w:val="004E5C8D"/>
    <w:rsid w:val="004F0208"/>
    <w:rsid w:val="005072A4"/>
    <w:rsid w:val="005120A3"/>
    <w:rsid w:val="005318E5"/>
    <w:rsid w:val="00532095"/>
    <w:rsid w:val="005341D1"/>
    <w:rsid w:val="0055322E"/>
    <w:rsid w:val="00555F3C"/>
    <w:rsid w:val="0056117C"/>
    <w:rsid w:val="00561785"/>
    <w:rsid w:val="00571E4A"/>
    <w:rsid w:val="00586D22"/>
    <w:rsid w:val="005931E3"/>
    <w:rsid w:val="00596669"/>
    <w:rsid w:val="005A11DB"/>
    <w:rsid w:val="005A5361"/>
    <w:rsid w:val="005B6854"/>
    <w:rsid w:val="005D68C7"/>
    <w:rsid w:val="005E474C"/>
    <w:rsid w:val="005E547A"/>
    <w:rsid w:val="005F0DF6"/>
    <w:rsid w:val="005F1B40"/>
    <w:rsid w:val="005F4874"/>
    <w:rsid w:val="005F5844"/>
    <w:rsid w:val="00600A52"/>
    <w:rsid w:val="006109EB"/>
    <w:rsid w:val="00616DA0"/>
    <w:rsid w:val="00617DDC"/>
    <w:rsid w:val="00621565"/>
    <w:rsid w:val="00622680"/>
    <w:rsid w:val="00622BD2"/>
    <w:rsid w:val="00622D01"/>
    <w:rsid w:val="00642029"/>
    <w:rsid w:val="006436C6"/>
    <w:rsid w:val="00650025"/>
    <w:rsid w:val="00652A16"/>
    <w:rsid w:val="0069540B"/>
    <w:rsid w:val="006A2438"/>
    <w:rsid w:val="006B7999"/>
    <w:rsid w:val="006C4F1B"/>
    <w:rsid w:val="006D2BE2"/>
    <w:rsid w:val="006D5AAC"/>
    <w:rsid w:val="006F16C6"/>
    <w:rsid w:val="00702BFB"/>
    <w:rsid w:val="0071472C"/>
    <w:rsid w:val="00723663"/>
    <w:rsid w:val="007328C5"/>
    <w:rsid w:val="00733AA6"/>
    <w:rsid w:val="007417AA"/>
    <w:rsid w:val="00742138"/>
    <w:rsid w:val="00746F29"/>
    <w:rsid w:val="00747A46"/>
    <w:rsid w:val="00760E50"/>
    <w:rsid w:val="007741CC"/>
    <w:rsid w:val="007743FE"/>
    <w:rsid w:val="007817C8"/>
    <w:rsid w:val="007A5C26"/>
    <w:rsid w:val="007A680B"/>
    <w:rsid w:val="007B0777"/>
    <w:rsid w:val="007B590A"/>
    <w:rsid w:val="007B7C04"/>
    <w:rsid w:val="007C166F"/>
    <w:rsid w:val="007C303C"/>
    <w:rsid w:val="007E00DB"/>
    <w:rsid w:val="007E3725"/>
    <w:rsid w:val="007E5B14"/>
    <w:rsid w:val="007F4A19"/>
    <w:rsid w:val="008001D1"/>
    <w:rsid w:val="0080229E"/>
    <w:rsid w:val="008104D5"/>
    <w:rsid w:val="00810836"/>
    <w:rsid w:val="0081293D"/>
    <w:rsid w:val="00812F6C"/>
    <w:rsid w:val="00821FCD"/>
    <w:rsid w:val="0083263B"/>
    <w:rsid w:val="00840AEF"/>
    <w:rsid w:val="008432A0"/>
    <w:rsid w:val="00850A46"/>
    <w:rsid w:val="00853520"/>
    <w:rsid w:val="008620F4"/>
    <w:rsid w:val="00864156"/>
    <w:rsid w:val="00867519"/>
    <w:rsid w:val="008717D2"/>
    <w:rsid w:val="008770C6"/>
    <w:rsid w:val="00887625"/>
    <w:rsid w:val="00887DAE"/>
    <w:rsid w:val="00887E08"/>
    <w:rsid w:val="00894F0D"/>
    <w:rsid w:val="00897C85"/>
    <w:rsid w:val="008A2A4D"/>
    <w:rsid w:val="008A49F9"/>
    <w:rsid w:val="008A5881"/>
    <w:rsid w:val="008B3F3E"/>
    <w:rsid w:val="008E2579"/>
    <w:rsid w:val="008E2DE2"/>
    <w:rsid w:val="008F173E"/>
    <w:rsid w:val="00902D64"/>
    <w:rsid w:val="0091290D"/>
    <w:rsid w:val="009132E5"/>
    <w:rsid w:val="00933406"/>
    <w:rsid w:val="009408A4"/>
    <w:rsid w:val="00963C24"/>
    <w:rsid w:val="009A37BF"/>
    <w:rsid w:val="009A47CE"/>
    <w:rsid w:val="009B1329"/>
    <w:rsid w:val="009C605E"/>
    <w:rsid w:val="009F3F78"/>
    <w:rsid w:val="009F454B"/>
    <w:rsid w:val="00A05C34"/>
    <w:rsid w:val="00A06458"/>
    <w:rsid w:val="00A10D33"/>
    <w:rsid w:val="00A1289E"/>
    <w:rsid w:val="00A34084"/>
    <w:rsid w:val="00A344A3"/>
    <w:rsid w:val="00A4292D"/>
    <w:rsid w:val="00A55407"/>
    <w:rsid w:val="00A63920"/>
    <w:rsid w:val="00A91956"/>
    <w:rsid w:val="00AB154B"/>
    <w:rsid w:val="00AB4D9E"/>
    <w:rsid w:val="00AB7DBE"/>
    <w:rsid w:val="00AC0D73"/>
    <w:rsid w:val="00AC3A4E"/>
    <w:rsid w:val="00AC6DC9"/>
    <w:rsid w:val="00AD44B6"/>
    <w:rsid w:val="00AD5608"/>
    <w:rsid w:val="00AE5DFC"/>
    <w:rsid w:val="00AF0EC6"/>
    <w:rsid w:val="00AF4D6B"/>
    <w:rsid w:val="00B20051"/>
    <w:rsid w:val="00B2109C"/>
    <w:rsid w:val="00B23E39"/>
    <w:rsid w:val="00B259A1"/>
    <w:rsid w:val="00B45826"/>
    <w:rsid w:val="00B46011"/>
    <w:rsid w:val="00B476A5"/>
    <w:rsid w:val="00B550E9"/>
    <w:rsid w:val="00B566CD"/>
    <w:rsid w:val="00B57201"/>
    <w:rsid w:val="00B60181"/>
    <w:rsid w:val="00B712DF"/>
    <w:rsid w:val="00B77863"/>
    <w:rsid w:val="00B819FA"/>
    <w:rsid w:val="00B86A28"/>
    <w:rsid w:val="00B92494"/>
    <w:rsid w:val="00BA341A"/>
    <w:rsid w:val="00BA76E3"/>
    <w:rsid w:val="00BB5C23"/>
    <w:rsid w:val="00BC6B89"/>
    <w:rsid w:val="00BE21E6"/>
    <w:rsid w:val="00BE2F5F"/>
    <w:rsid w:val="00BE58BC"/>
    <w:rsid w:val="00BE5CEE"/>
    <w:rsid w:val="00BF57E4"/>
    <w:rsid w:val="00C00797"/>
    <w:rsid w:val="00C02983"/>
    <w:rsid w:val="00C106AA"/>
    <w:rsid w:val="00C140A0"/>
    <w:rsid w:val="00C2426D"/>
    <w:rsid w:val="00C41951"/>
    <w:rsid w:val="00C52A1D"/>
    <w:rsid w:val="00C608C2"/>
    <w:rsid w:val="00C60EC1"/>
    <w:rsid w:val="00C64D0F"/>
    <w:rsid w:val="00C72C48"/>
    <w:rsid w:val="00C732CF"/>
    <w:rsid w:val="00C801EE"/>
    <w:rsid w:val="00C8329A"/>
    <w:rsid w:val="00C847B9"/>
    <w:rsid w:val="00C90B01"/>
    <w:rsid w:val="00C910B8"/>
    <w:rsid w:val="00C93293"/>
    <w:rsid w:val="00C96F48"/>
    <w:rsid w:val="00CA0052"/>
    <w:rsid w:val="00CA215D"/>
    <w:rsid w:val="00CA7E6A"/>
    <w:rsid w:val="00CB129C"/>
    <w:rsid w:val="00CB240A"/>
    <w:rsid w:val="00CB2436"/>
    <w:rsid w:val="00CB298E"/>
    <w:rsid w:val="00CC5440"/>
    <w:rsid w:val="00CC5C2D"/>
    <w:rsid w:val="00CD6279"/>
    <w:rsid w:val="00CD7F0B"/>
    <w:rsid w:val="00CE0C99"/>
    <w:rsid w:val="00CF2651"/>
    <w:rsid w:val="00D10580"/>
    <w:rsid w:val="00D14C58"/>
    <w:rsid w:val="00D232F6"/>
    <w:rsid w:val="00D33F31"/>
    <w:rsid w:val="00D4290A"/>
    <w:rsid w:val="00D654F4"/>
    <w:rsid w:val="00D65D02"/>
    <w:rsid w:val="00D77B10"/>
    <w:rsid w:val="00D815A0"/>
    <w:rsid w:val="00D816E6"/>
    <w:rsid w:val="00D841BC"/>
    <w:rsid w:val="00D85FE3"/>
    <w:rsid w:val="00D90F4C"/>
    <w:rsid w:val="00D96F24"/>
    <w:rsid w:val="00DA48EA"/>
    <w:rsid w:val="00DB34D9"/>
    <w:rsid w:val="00DB7A52"/>
    <w:rsid w:val="00DC74D7"/>
    <w:rsid w:val="00DD6F8E"/>
    <w:rsid w:val="00DE0CEB"/>
    <w:rsid w:val="00DE7D02"/>
    <w:rsid w:val="00DF4BC6"/>
    <w:rsid w:val="00E03374"/>
    <w:rsid w:val="00E13D86"/>
    <w:rsid w:val="00E33AE7"/>
    <w:rsid w:val="00E46405"/>
    <w:rsid w:val="00E55453"/>
    <w:rsid w:val="00E5734C"/>
    <w:rsid w:val="00E7376E"/>
    <w:rsid w:val="00E77BA0"/>
    <w:rsid w:val="00E932D5"/>
    <w:rsid w:val="00E9504A"/>
    <w:rsid w:val="00EA2CFC"/>
    <w:rsid w:val="00EB16C9"/>
    <w:rsid w:val="00EB32BB"/>
    <w:rsid w:val="00EB3B51"/>
    <w:rsid w:val="00EB6488"/>
    <w:rsid w:val="00EC1B57"/>
    <w:rsid w:val="00EC6FCD"/>
    <w:rsid w:val="00EE3089"/>
    <w:rsid w:val="00EF2B49"/>
    <w:rsid w:val="00F00350"/>
    <w:rsid w:val="00F104C9"/>
    <w:rsid w:val="00F209CF"/>
    <w:rsid w:val="00F23807"/>
    <w:rsid w:val="00F466D5"/>
    <w:rsid w:val="00F52DE5"/>
    <w:rsid w:val="00F54460"/>
    <w:rsid w:val="00F63F04"/>
    <w:rsid w:val="00F762EC"/>
    <w:rsid w:val="00F85C16"/>
    <w:rsid w:val="00F85D6B"/>
    <w:rsid w:val="00F92BDA"/>
    <w:rsid w:val="00F93C0B"/>
    <w:rsid w:val="00F97548"/>
    <w:rsid w:val="00FA02EC"/>
    <w:rsid w:val="00FC0303"/>
    <w:rsid w:val="00FE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1B4B74"/>
  <w14:defaultImageDpi w14:val="32767"/>
  <w15:chartTrackingRefBased/>
  <w15:docId w15:val="{FD81CAD7-926F-6C40-B7ED-CF731FDD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7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E08"/>
    <w:rPr>
      <w:color w:val="0563C1" w:themeColor="hyperlink"/>
      <w:u w:val="single"/>
    </w:rPr>
  </w:style>
  <w:style w:type="paragraph" w:styleId="FootnoteText">
    <w:name w:val="footnote text"/>
    <w:basedOn w:val="Normal"/>
    <w:link w:val="FootnoteTextChar"/>
    <w:uiPriority w:val="99"/>
    <w:unhideWhenUsed/>
    <w:rsid w:val="0025619F"/>
    <w:rPr>
      <w:sz w:val="20"/>
      <w:szCs w:val="20"/>
    </w:rPr>
  </w:style>
  <w:style w:type="character" w:customStyle="1" w:styleId="FootnoteTextChar">
    <w:name w:val="Footnote Text Char"/>
    <w:basedOn w:val="DefaultParagraphFont"/>
    <w:link w:val="FootnoteText"/>
    <w:uiPriority w:val="99"/>
    <w:rsid w:val="0025619F"/>
    <w:rPr>
      <w:sz w:val="20"/>
      <w:szCs w:val="20"/>
    </w:rPr>
  </w:style>
  <w:style w:type="character" w:styleId="FootnoteReference">
    <w:name w:val="footnote reference"/>
    <w:basedOn w:val="DefaultParagraphFont"/>
    <w:uiPriority w:val="99"/>
    <w:semiHidden/>
    <w:unhideWhenUsed/>
    <w:rsid w:val="0025619F"/>
    <w:rPr>
      <w:vertAlign w:val="superscript"/>
    </w:rPr>
  </w:style>
  <w:style w:type="paragraph" w:styleId="Footer">
    <w:name w:val="footer"/>
    <w:basedOn w:val="Normal"/>
    <w:link w:val="FooterChar"/>
    <w:uiPriority w:val="99"/>
    <w:unhideWhenUsed/>
    <w:rsid w:val="000E6E1F"/>
    <w:pPr>
      <w:tabs>
        <w:tab w:val="center" w:pos="4513"/>
        <w:tab w:val="right" w:pos="9026"/>
      </w:tabs>
    </w:pPr>
  </w:style>
  <w:style w:type="character" w:customStyle="1" w:styleId="FooterChar">
    <w:name w:val="Footer Char"/>
    <w:basedOn w:val="DefaultParagraphFont"/>
    <w:link w:val="Footer"/>
    <w:uiPriority w:val="99"/>
    <w:rsid w:val="000E6E1F"/>
  </w:style>
  <w:style w:type="character" w:styleId="PageNumber">
    <w:name w:val="page number"/>
    <w:basedOn w:val="DefaultParagraphFont"/>
    <w:uiPriority w:val="99"/>
    <w:semiHidden/>
    <w:unhideWhenUsed/>
    <w:rsid w:val="000E6E1F"/>
  </w:style>
  <w:style w:type="character" w:styleId="UnresolvedMention">
    <w:name w:val="Unresolved Mention"/>
    <w:basedOn w:val="DefaultParagraphFont"/>
    <w:uiPriority w:val="99"/>
    <w:rsid w:val="00BE2F5F"/>
    <w:rPr>
      <w:color w:val="605E5C"/>
      <w:shd w:val="clear" w:color="auto" w:fill="E1DFDD"/>
    </w:rPr>
  </w:style>
  <w:style w:type="character" w:styleId="FollowedHyperlink">
    <w:name w:val="FollowedHyperlink"/>
    <w:basedOn w:val="DefaultParagraphFont"/>
    <w:uiPriority w:val="99"/>
    <w:semiHidden/>
    <w:unhideWhenUsed/>
    <w:rsid w:val="007B7C04"/>
    <w:rPr>
      <w:color w:val="954F72" w:themeColor="followedHyperlink"/>
      <w:u w:val="single"/>
    </w:rPr>
  </w:style>
  <w:style w:type="paragraph" w:styleId="NormalWeb">
    <w:name w:val="Normal (Web)"/>
    <w:basedOn w:val="Normal"/>
    <w:uiPriority w:val="99"/>
    <w:semiHidden/>
    <w:unhideWhenUsed/>
    <w:rsid w:val="003416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15106">
      <w:bodyDiv w:val="1"/>
      <w:marLeft w:val="0"/>
      <w:marRight w:val="0"/>
      <w:marTop w:val="0"/>
      <w:marBottom w:val="0"/>
      <w:divBdr>
        <w:top w:val="none" w:sz="0" w:space="0" w:color="auto"/>
        <w:left w:val="none" w:sz="0" w:space="0" w:color="auto"/>
        <w:bottom w:val="none" w:sz="0" w:space="0" w:color="auto"/>
        <w:right w:val="none" w:sz="0" w:space="0" w:color="auto"/>
      </w:divBdr>
      <w:divsChild>
        <w:div w:id="235628261">
          <w:marLeft w:val="0"/>
          <w:marRight w:val="0"/>
          <w:marTop w:val="0"/>
          <w:marBottom w:val="0"/>
          <w:divBdr>
            <w:top w:val="none" w:sz="0" w:space="0" w:color="auto"/>
            <w:left w:val="none" w:sz="0" w:space="0" w:color="auto"/>
            <w:bottom w:val="none" w:sz="0" w:space="0" w:color="auto"/>
            <w:right w:val="none" w:sz="0" w:space="0" w:color="auto"/>
          </w:divBdr>
        </w:div>
        <w:div w:id="2032755189">
          <w:marLeft w:val="0"/>
          <w:marRight w:val="0"/>
          <w:marTop w:val="0"/>
          <w:marBottom w:val="0"/>
          <w:divBdr>
            <w:top w:val="none" w:sz="0" w:space="0" w:color="auto"/>
            <w:left w:val="none" w:sz="0" w:space="0" w:color="auto"/>
            <w:bottom w:val="none" w:sz="0" w:space="0" w:color="auto"/>
            <w:right w:val="none" w:sz="0" w:space="0" w:color="auto"/>
          </w:divBdr>
        </w:div>
      </w:divsChild>
    </w:div>
    <w:div w:id="9948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4783</Words>
  <Characters>27268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Fairclough</dc:creator>
  <cp:keywords/>
  <dc:description/>
  <cp:lastModifiedBy>Mary Fairclough</cp:lastModifiedBy>
  <cp:revision>2</cp:revision>
  <dcterms:created xsi:type="dcterms:W3CDTF">2020-02-16T16:23:00Z</dcterms:created>
  <dcterms:modified xsi:type="dcterms:W3CDTF">2020-02-16T16:23:00Z</dcterms:modified>
</cp:coreProperties>
</file>