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7F08" w:rsidRPr="00DD1EEC" w:rsidRDefault="00F27F08" w:rsidP="00F27F08">
      <w:pPr>
        <w:pStyle w:val="BATitle"/>
      </w:pPr>
      <w:r>
        <w:t>Detection of Glycine as a Model Protein in Blood Serum using 2D-IR Spectroscopy</w:t>
      </w:r>
    </w:p>
    <w:p w:rsidR="00F27F08" w:rsidRDefault="00F27F08" w:rsidP="00F27F08">
      <w:pPr>
        <w:pStyle w:val="BBAuthorName"/>
        <w:rPr>
          <w:vertAlign w:val="superscript"/>
        </w:rPr>
      </w:pPr>
      <w:r w:rsidRPr="0048304D">
        <w:t>Samantha H</w:t>
      </w:r>
      <w:r w:rsidR="00FA1E04">
        <w:t>. Rutherford</w:t>
      </w:r>
      <w:r w:rsidRPr="0048304D">
        <w:t>,</w:t>
      </w:r>
      <w:r w:rsidRPr="0048304D">
        <w:rPr>
          <w:vertAlign w:val="superscript"/>
        </w:rPr>
        <w:t xml:space="preserve"> </w:t>
      </w:r>
      <w:proofErr w:type="gramStart"/>
      <w:r w:rsidRPr="0048304D">
        <w:rPr>
          <w:vertAlign w:val="superscript"/>
        </w:rPr>
        <w:t>‡</w:t>
      </w:r>
      <w:r w:rsidR="00FA1E04">
        <w:rPr>
          <w:vertAlign w:val="superscript"/>
        </w:rPr>
        <w:t>,</w:t>
      </w:r>
      <w:r w:rsidR="00FA1E04" w:rsidRPr="0048304D">
        <w:rPr>
          <w:vertAlign w:val="superscript"/>
        </w:rPr>
        <w:t>†</w:t>
      </w:r>
      <w:proofErr w:type="gramEnd"/>
      <w:r w:rsidR="00FA1E04">
        <w:rPr>
          <w:vertAlign w:val="superscript"/>
        </w:rPr>
        <w:t>,</w:t>
      </w:r>
      <w:r>
        <w:t>*</w:t>
      </w:r>
      <w:r w:rsidRPr="0048304D">
        <w:t xml:space="preserve"> Gregory M. </w:t>
      </w:r>
      <w:proofErr w:type="spellStart"/>
      <w:r w:rsidRPr="0048304D">
        <w:t>Greetham</w:t>
      </w:r>
      <w:proofErr w:type="spellEnd"/>
      <w:r w:rsidRPr="0048304D">
        <w:t>,</w:t>
      </w:r>
      <w:r w:rsidRPr="0048304D">
        <w:rPr>
          <w:vertAlign w:val="superscript"/>
        </w:rPr>
        <w:t>§</w:t>
      </w:r>
      <w:r w:rsidRPr="0048304D">
        <w:t xml:space="preserve"> Paul M. Donaldson,</w:t>
      </w:r>
      <w:r w:rsidRPr="0048304D">
        <w:rPr>
          <w:vertAlign w:val="superscript"/>
        </w:rPr>
        <w:t>§</w:t>
      </w:r>
      <w:r w:rsidRPr="0048304D">
        <w:t xml:space="preserve"> Michael </w:t>
      </w:r>
      <w:proofErr w:type="spellStart"/>
      <w:r w:rsidRPr="0048304D">
        <w:t>Towrie</w:t>
      </w:r>
      <w:proofErr w:type="spellEnd"/>
      <w:r w:rsidRPr="0048304D">
        <w:t>,</w:t>
      </w:r>
      <w:r w:rsidRPr="0048304D">
        <w:rPr>
          <w:vertAlign w:val="superscript"/>
        </w:rPr>
        <w:t>§</w:t>
      </w:r>
      <w:r w:rsidRPr="0048304D">
        <w:t xml:space="preserve"> Anthony W. Parker,</w:t>
      </w:r>
      <w:r w:rsidRPr="0048304D">
        <w:rPr>
          <w:vertAlign w:val="superscript"/>
        </w:rPr>
        <w:t>§</w:t>
      </w:r>
      <w:r w:rsidRPr="0048304D">
        <w:t xml:space="preserve"> Matthew J. Baker,</w:t>
      </w:r>
      <w:r w:rsidRPr="0048304D">
        <w:rPr>
          <w:vertAlign w:val="superscript"/>
        </w:rPr>
        <w:t xml:space="preserve"> #</w:t>
      </w:r>
      <w:r w:rsidRPr="0048304D">
        <w:t xml:space="preserve"> Neil T. Hunt,</w:t>
      </w:r>
      <w:r w:rsidRPr="0048304D">
        <w:rPr>
          <w:vertAlign w:val="superscript"/>
        </w:rPr>
        <w:t xml:space="preserve"> </w:t>
      </w:r>
      <w:r w:rsidR="00FA1E04" w:rsidRPr="00FA1E04">
        <w:rPr>
          <w:rFonts w:ascii="Calibri" w:hAnsi="Calibri" w:cs="Calibri"/>
          <w:vertAlign w:val="superscript"/>
        </w:rPr>
        <w:t>﻿</w:t>
      </w:r>
      <w:r w:rsidR="00FA1E04" w:rsidRPr="00FA1E04">
        <w:rPr>
          <w:rFonts w:ascii="Cambria Math" w:hAnsi="Cambria Math" w:cs="Cambria Math"/>
          <w:vertAlign w:val="superscript"/>
        </w:rPr>
        <w:t>∥</w:t>
      </w:r>
      <w:r w:rsidRPr="0048304D">
        <w:rPr>
          <w:vertAlign w:val="superscript"/>
        </w:rPr>
        <w:t xml:space="preserve"> </w:t>
      </w:r>
    </w:p>
    <w:p w:rsidR="00F27F08" w:rsidRPr="00BA5815" w:rsidRDefault="00F27F08" w:rsidP="00F27F08">
      <w:pPr>
        <w:pStyle w:val="BCAuthorAddress"/>
      </w:pPr>
      <w:r w:rsidRPr="00BA5815">
        <w:t xml:space="preserve">‡ Department of Physics, University of Strathclyde, SUPA, 107 </w:t>
      </w:r>
      <w:proofErr w:type="spellStart"/>
      <w:r w:rsidRPr="00BA5815">
        <w:t>Rottenrow</w:t>
      </w:r>
      <w:proofErr w:type="spellEnd"/>
      <w:r w:rsidRPr="00BA5815">
        <w:t xml:space="preserve"> East, Glasgow, G4 0NG, UK</w:t>
      </w:r>
    </w:p>
    <w:p w:rsidR="00F27F08" w:rsidRPr="00BA5815" w:rsidRDefault="00F27F08" w:rsidP="00F27F08">
      <w:pPr>
        <w:pStyle w:val="BCAuthorAddress"/>
      </w:pPr>
      <w:r w:rsidRPr="00BA5815">
        <w:t xml:space="preserve">§ STFC Central Laser Facility, Research Complex at Harwell, Rutherford Appleton Laboratory, Harwell Campus, </w:t>
      </w:r>
      <w:proofErr w:type="spellStart"/>
      <w:r w:rsidRPr="00BA5815">
        <w:t>Didcot</w:t>
      </w:r>
      <w:proofErr w:type="spellEnd"/>
      <w:r w:rsidRPr="00BA5815">
        <w:t>, OX11 0QX, UK</w:t>
      </w:r>
    </w:p>
    <w:p w:rsidR="00F27F08" w:rsidRDefault="00F27F08" w:rsidP="00F27F08">
      <w:pPr>
        <w:pStyle w:val="BCAuthorAddress"/>
      </w:pPr>
      <w:r w:rsidRPr="00BA5815">
        <w:t xml:space="preserve"># </w:t>
      </w:r>
      <w:proofErr w:type="spellStart"/>
      <w:r w:rsidRPr="00BA5815">
        <w:t>WestCHEM</w:t>
      </w:r>
      <w:proofErr w:type="spellEnd"/>
      <w:r w:rsidRPr="00BA5815">
        <w:t>, Department of Pure and Applied Chemistry, University of Strathclyde, Technology and Innovation Centre, 99 George Street, Glasgow, G1 1RD, UK</w:t>
      </w:r>
    </w:p>
    <w:p w:rsidR="00F27F08" w:rsidRDefault="00FA1E04" w:rsidP="00F27F08">
      <w:pPr>
        <w:pStyle w:val="BCAuthorAddress"/>
      </w:pPr>
      <w:r w:rsidRPr="00FA1E04">
        <w:rPr>
          <w:rFonts w:ascii="Calibri" w:hAnsi="Calibri" w:cs="Calibri"/>
        </w:rPr>
        <w:t>﻿</w:t>
      </w:r>
      <w:r w:rsidRPr="00FA1E04">
        <w:rPr>
          <w:rFonts w:ascii="Cambria Math" w:hAnsi="Cambria Math" w:cs="Cambria Math"/>
        </w:rPr>
        <w:t>∥</w:t>
      </w:r>
      <w:r w:rsidR="00F27F08" w:rsidRPr="00BA5815">
        <w:t xml:space="preserve"> Department of Chemistry and York Biomedical Research Institute, University of York, Heslington, York, YO10 5DD, UK</w:t>
      </w:r>
    </w:p>
    <w:p w:rsidR="009F2683" w:rsidRPr="009F2683" w:rsidRDefault="009F2683" w:rsidP="000C0CF2">
      <w:pPr>
        <w:pStyle w:val="BIEmailAddress"/>
      </w:pPr>
      <w:r>
        <w:t>*Corresponding author email: Samantha.hume-rutherford@strath.ac.uk</w:t>
      </w:r>
    </w:p>
    <w:p w:rsidR="00F27F08" w:rsidRPr="00540044" w:rsidRDefault="00552A07" w:rsidP="00F27F08">
      <w:pPr>
        <w:pStyle w:val="BDAbstract"/>
      </w:pPr>
      <w:r w:rsidRPr="006532A9">
        <w:rPr>
          <w:rStyle w:val="BDAbstractTitleChar"/>
        </w:rPr>
        <w:t>ABSTRACT</w:t>
      </w:r>
      <w:r w:rsidR="006532A9" w:rsidRPr="006532A9">
        <w:rPr>
          <w:rStyle w:val="BDAbstractTitleChar"/>
        </w:rPr>
        <w:t>:</w:t>
      </w:r>
      <w:r w:rsidRPr="00BE533F">
        <w:t xml:space="preserve"> </w:t>
      </w:r>
      <w:r w:rsidR="00F27F08" w:rsidRPr="00FC5047">
        <w:t>Glycine (</w:t>
      </w:r>
      <w:proofErr w:type="spellStart"/>
      <w:r w:rsidR="00F27F08" w:rsidRPr="00FC5047">
        <w:t>Gly</w:t>
      </w:r>
      <w:proofErr w:type="spellEnd"/>
      <w:r w:rsidR="00F27F08" w:rsidRPr="00FC5047">
        <w:t>) is used as a model system to evaluate the ability of ultrafast 2D-IR spectroscopy to detect and quantify the low-molecular weight proteinaceous components of blood serum. Combining data acquisition schemes to suppress absorption bands of H</w:t>
      </w:r>
      <w:r w:rsidR="00F27F08" w:rsidRPr="00AF4695">
        <w:rPr>
          <w:vertAlign w:val="subscript"/>
        </w:rPr>
        <w:t>2</w:t>
      </w:r>
      <w:r w:rsidR="00F27F08" w:rsidRPr="00FC5047">
        <w:t xml:space="preserve">O that overlap with the protein amide I band with analysis of peak patterns appearing in the off-diagonal region of the 2D-IR spectrum allows separation of the </w:t>
      </w:r>
      <w:proofErr w:type="spellStart"/>
      <w:r w:rsidR="00F27F08" w:rsidRPr="00FC5047">
        <w:t>Gly</w:t>
      </w:r>
      <w:proofErr w:type="spellEnd"/>
      <w:r w:rsidR="00F27F08" w:rsidRPr="00FC5047">
        <w:t xml:space="preserve"> spectral signature from that of the dominant protein fraction of serum in a transmission-mode 2D-IR measurement without any sample manipulation, e.g. filtration or drying. 2D-IR spectra of blood serum samples supplemented with varying concentrations of </w:t>
      </w:r>
      <w:proofErr w:type="spellStart"/>
      <w:r w:rsidR="00F27F08" w:rsidRPr="00FC5047">
        <w:t>Gly</w:t>
      </w:r>
      <w:proofErr w:type="spellEnd"/>
      <w:r w:rsidR="00F27F08" w:rsidRPr="00FC5047">
        <w:t xml:space="preserve"> were obtained and a range of data analysis methods compared, leading to a detection limit of ~ 3 mg/mL for </w:t>
      </w:r>
      <w:proofErr w:type="spellStart"/>
      <w:r w:rsidR="00F27F08" w:rsidRPr="00FC5047">
        <w:t>Gly</w:t>
      </w:r>
      <w:proofErr w:type="spellEnd"/>
      <w:r w:rsidR="00F27F08" w:rsidRPr="00FC5047">
        <w:t xml:space="preserve">. The reported methodology provides a platform for a critical assessment of the sensitivity of 2D-IR for measuring the concentrations of amino acids, peptides and low molecular weight proteins present in serum samples. We conclude that, in the case of several clinically relevant diagnostic molecules and their combinations, the potential exists for 2D-IR to complement IR absorption methods as the benefits of the second frequency dimension offered by 2D-IR spectroscopy outweigh the added technical complexity of the measurement. </w:t>
      </w:r>
    </w:p>
    <w:p w:rsidR="00D44927" w:rsidRDefault="00D44927" w:rsidP="00F27F08">
      <w:pPr>
        <w:pStyle w:val="BDAbstract"/>
        <w:sectPr w:rsidR="00D44927" w:rsidSect="004E35E0">
          <w:footerReference w:type="even" r:id="rId8"/>
          <w:footerReference w:type="default" r:id="rId9"/>
          <w:type w:val="continuous"/>
          <w:pgSz w:w="12240" w:h="15840"/>
          <w:pgMar w:top="720" w:right="1094" w:bottom="720" w:left="1094" w:header="720" w:footer="720" w:gutter="0"/>
          <w:cols w:space="461"/>
        </w:sectPr>
      </w:pPr>
    </w:p>
    <w:p w:rsidR="00F27F08" w:rsidRPr="00635F27" w:rsidRDefault="00F27F08" w:rsidP="00F27F08">
      <w:pPr>
        <w:pStyle w:val="TAMainText"/>
        <w:ind w:firstLine="0"/>
      </w:pPr>
      <w:r w:rsidRPr="00635F27">
        <w:t xml:space="preserve">Blood serum </w:t>
      </w:r>
      <w:r>
        <w:t xml:space="preserve">can be easily obtained and provides a means to acquire </w:t>
      </w:r>
      <w:r w:rsidRPr="00635F27">
        <w:t xml:space="preserve">important biomedical </w:t>
      </w:r>
      <w:r>
        <w:t>information relating to health</w:t>
      </w:r>
      <w:r w:rsidRPr="00635F27">
        <w:t xml:space="preserve">. </w:t>
      </w:r>
      <w:r>
        <w:t>B</w:t>
      </w:r>
      <w:r w:rsidRPr="00635F27">
        <w:t>y virtue of coming into contact with most of the major organs</w:t>
      </w:r>
      <w:r>
        <w:t xml:space="preserve"> of the body, s</w:t>
      </w:r>
      <w:r w:rsidRPr="00635F27">
        <w:t>erum</w:t>
      </w:r>
      <w:r>
        <w:t xml:space="preserve"> provides</w:t>
      </w:r>
      <w:r w:rsidRPr="00635F27">
        <w:t xml:space="preserve"> a </w:t>
      </w:r>
      <w:r>
        <w:t>molecular picture</w:t>
      </w:r>
      <w:r w:rsidRPr="00635F27">
        <w:t xml:space="preserve"> of metabolic processes. </w:t>
      </w:r>
      <w:r>
        <w:t>Analysis of t</w:t>
      </w:r>
      <w:r w:rsidRPr="00635F27">
        <w:t xml:space="preserve">he chemical composition of serum therefore </w:t>
      </w:r>
      <w:r>
        <w:t>gives access to</w:t>
      </w:r>
      <w:r w:rsidRPr="00635F27">
        <w:t xml:space="preserve"> </w:t>
      </w:r>
      <w:r>
        <w:t>a number of</w:t>
      </w:r>
      <w:r w:rsidRPr="00635F27">
        <w:t xml:space="preserve"> </w:t>
      </w:r>
      <w:r>
        <w:t xml:space="preserve">potentially-useful </w:t>
      </w:r>
      <w:r w:rsidRPr="00635F27">
        <w:t>diagnostic</w:t>
      </w:r>
      <w:r>
        <w:t xml:space="preserve"> </w:t>
      </w:r>
      <w:r w:rsidRPr="00635F27">
        <w:t>markers</w:t>
      </w:r>
      <w:r>
        <w:t>,</w:t>
      </w:r>
      <w:r w:rsidRPr="00635F27">
        <w:t xml:space="preserve"> </w:t>
      </w:r>
      <w:r>
        <w:t>originating</w:t>
      </w:r>
      <w:r w:rsidRPr="00635F27">
        <w:t xml:space="preserve"> from the circulatory proteome</w:t>
      </w:r>
      <w:r>
        <w:t xml:space="preserve"> and the</w:t>
      </w:r>
      <w:r w:rsidRPr="00635F27">
        <w:t xml:space="preserve"> low molecular weight peptidome </w:t>
      </w:r>
      <w:r>
        <w:t>as well as</w:t>
      </w:r>
      <w:r w:rsidRPr="00635F27">
        <w:t xml:space="preserve"> lipids, sugars and nucleic acids.</w:t>
      </w:r>
      <w:r w:rsidRPr="00635F27">
        <w:fldChar w:fldCharType="begin" w:fldLock="1"/>
      </w:r>
      <w:r>
        <w:instrText>ADDIN CSL_CITATION {"citationItems":[{"id":"ITEM-1","itemData":{"DOI":"10.1039/c5cs00585j","author":[{"dropping-particle":"","family":"Baker","given":"Matthew J","non-dropping-particle":"","parse-names":false,"suffix":""},{"dropping-particle":"","family":"Sockalingum","given":"Ganesh D","non-dropping-particle":"","parse-names":false,"suffix":""},{"dropping-particle":"","family":"Hughes","given":"Caryn","non-dropping-particle":"","parse-names":false,"suffix":""},{"dropping-particle":"","family":"Lukaszewski","given":"Roman A","non-dropping-particle":"","parse-names":false,"suffix":""}],"container-title":"Chemical Society Reviews","id":"ITEM-1","issued":{"date-parts":[["2016"]]},"page":"1803-1818","title":"Developing and Understanding Biofluid Vibrational Spectroscopy: a Critical Review","type":"article-journal","volume":"45"},"uris":["http://www.mendeley.com/documents/?uuid=36360888-ef5a-4c29-91e0-89f10fac6717"]},{"id":"ITEM-2","itemData":{"author":[{"dropping-particle":"","family":"Petricoin","given":"Emanuel F","non-dropping-particle":"","parse-names":false,"suffix":""},{"dropping-particle":"","family":"Belluco","given":"Caludio","non-dropping-particle":"","parse-names":false,"suffix":""},{"dropping-particle":"","family":"Araujo","given":"Robyn P","non-dropping-particle":"","parse-names":false,"suffix":""},{"dropping-particle":"","family":"Liotta","given":"Lance A","non-dropping-particle":"","parse-names":false,"suffix":""}],"container-title":"Nature Reviews Cancer","id":"ITEM-2","issued":{"date-parts":[["2006"]]},"page":"961-967","title":"The blood peptidome: a higher dimension of information content for cancer biomarker discovery","type":"article-journal","volume":"6"},"uris":["http://www.mendeley.com/documents/?uuid=c4dcced1-e197-4b8a-829d-81fb68f17102"]},{"id":"ITEM-3","itemData":{"DOI":"10.1002/pmic.200600284","ISBN":"1615-9861","ISSN":"16159853","PMID":"17083142","abstract":"The focus of this article is to review the recent advances in proteome analysis of human body fluids, including plasma/serum, urine, cerebrospinal fluid, saliva, bronchoalveolar lavage fluid, synovial fluid, nipple aspirate fluid, tear fluid, and amniotic fluid, as well as its applications to human disease biomarker discovery. We aim to summarize the proteomics technologies currently used for global identification and quantification of body fluid proteins, and elaborate the putative biomarkers discovered for a variety of human diseases through human body fluid proteome (HBFP) analysis. Some critical concerns and perspectives in this emerging field are also discussed. With the advances made in proteomics technologies, the impact of HBFP analysis in the search for clinically relevant disease biomarkers would be realized in the future.","author":[{"dropping-particle":"","family":"Hu","given":"S","non-dropping-particle":"","parse-names":false,"suffix":""},{"dropping-particle":"","family":"Loo","given":"JA","non-dropping-particle":"","parse-names":false,"suffix":""},{"dropping-particle":"","family":"Wong","given":"DT","non-dropping-particle":"","parse-names":false,"suffix":""}],"container-title":"Proteomics","id":"ITEM-3","issue":"23","issued":{"date-parts":[["2006"]]},"page":"6326-6353","title":"Human body fluid proteome analysis","type":"article","volume":"6"},"uris":["http://www.mendeley.com/documents/?uuid=3b3b531a-72b9-4bc0-810e-924bdf77e1e6"]}],"mendeley":{"formattedCitation":"&lt;sup&gt;1–3&lt;/sup&gt;","plainTextFormattedCitation":"1–3","previouslyFormattedCitation":"&lt;sup&gt;1–3&lt;/sup&gt;"},"properties":{"noteIndex":0},"schema":"https://github.com/citation-style-language/schema/raw/master/csl-citation.json"}</w:instrText>
      </w:r>
      <w:r w:rsidRPr="00635F27">
        <w:fldChar w:fldCharType="separate"/>
      </w:r>
      <w:r w:rsidRPr="00A13011">
        <w:rPr>
          <w:noProof/>
          <w:vertAlign w:val="superscript"/>
        </w:rPr>
        <w:t>1–3</w:t>
      </w:r>
      <w:r w:rsidRPr="00635F27">
        <w:fldChar w:fldCharType="end"/>
      </w:r>
    </w:p>
    <w:p w:rsidR="00F27F08" w:rsidRPr="00635F27" w:rsidRDefault="00F27F08" w:rsidP="00F27F08">
      <w:pPr>
        <w:pStyle w:val="TAMainText"/>
        <w:rPr>
          <w:shd w:val="clear" w:color="auto" w:fill="FFFFFF"/>
        </w:rPr>
      </w:pPr>
      <w:r>
        <w:t>E</w:t>
      </w:r>
      <w:r w:rsidRPr="00635F27">
        <w:t xml:space="preserve">xtracting the information content of serum is technically challenging. </w:t>
      </w:r>
      <w:r>
        <w:t>T</w:t>
      </w:r>
      <w:r w:rsidRPr="00635F27">
        <w:t>he total protein content</w:t>
      </w:r>
      <w:r>
        <w:t xml:space="preserve"> of serum lies in </w:t>
      </w:r>
      <w:r w:rsidRPr="00635F27">
        <w:t xml:space="preserve">the range </w:t>
      </w:r>
      <w:r>
        <w:t xml:space="preserve">of </w:t>
      </w:r>
      <w:r w:rsidRPr="00635F27">
        <w:rPr>
          <w:shd w:val="clear" w:color="auto" w:fill="FFFFFF"/>
        </w:rPr>
        <w:t>60-80 mg/</w:t>
      </w:r>
      <w:r>
        <w:rPr>
          <w:shd w:val="clear" w:color="auto" w:fill="FFFFFF"/>
        </w:rPr>
        <w:t>mL</w:t>
      </w:r>
      <w:r w:rsidRPr="00635F27">
        <w:t xml:space="preserve"> </w:t>
      </w:r>
      <w:r>
        <w:t>and</w:t>
      </w:r>
      <w:r w:rsidRPr="00635F27">
        <w:t xml:space="preserve"> </w:t>
      </w:r>
      <w:r>
        <w:t>comprises more than fifty individual</w:t>
      </w:r>
      <w:r w:rsidRPr="00635F27">
        <w:t xml:space="preserve"> proteins.</w:t>
      </w:r>
      <w:r>
        <w:fldChar w:fldCharType="begin" w:fldLock="1"/>
      </w:r>
      <w:r>
        <w:instrText>ADDIN CSL_CITATION {"citationItems":[{"id":"ITEM-1","itemData":{"author":[{"dropping-particle":"","family":"Putnam","given":"Frank W","non-dropping-particle":"","parse-names":false,"suffix":""}],"edition":"2nd Editio","id":"ITEM-1","issued":{"date-parts":[["1975"]]},"publisher":"Academic Press","publisher-place":"London","title":"The Plasma Proteins - Structure, Function and Genetic Control","type":"book"},"uris":["http://www.mendeley.com/documents/?uuid=a8b4d7a0-7a54-48b9-9502-f619649feb83","http://www.mendeley.com/documents/?uuid=387637a9-aba4-4383-aceb-5fb3a4f2e769"]}],"mendeley":{"formattedCitation":"&lt;sup&gt;4&lt;/sup&gt;","plainTextFormattedCitation":"4","previouslyFormattedCitation":"&lt;sup&gt;4&lt;/sup&gt;"},"properties":{"noteIndex":0},"schema":"https://github.com/citation-style-language/schema/raw/master/csl-citation.json"}</w:instrText>
      </w:r>
      <w:r>
        <w:fldChar w:fldCharType="separate"/>
      </w:r>
      <w:r w:rsidRPr="00A13011">
        <w:rPr>
          <w:noProof/>
          <w:vertAlign w:val="superscript"/>
        </w:rPr>
        <w:t>4</w:t>
      </w:r>
      <w:r>
        <w:fldChar w:fldCharType="end"/>
      </w:r>
      <w:r w:rsidRPr="00635F27">
        <w:t xml:space="preserve"> </w:t>
      </w:r>
      <w:r>
        <w:t xml:space="preserve">The </w:t>
      </w:r>
      <w:r w:rsidRPr="00635F27">
        <w:t>molecular weight</w:t>
      </w:r>
      <w:r>
        <w:t xml:space="preserve">s </w:t>
      </w:r>
      <w:r w:rsidRPr="00635F27">
        <w:t>and concentration</w:t>
      </w:r>
      <w:r>
        <w:t>s</w:t>
      </w:r>
      <w:r w:rsidRPr="00635F27">
        <w:t xml:space="preserve"> </w:t>
      </w:r>
      <w:r>
        <w:t>of i</w:t>
      </w:r>
      <w:r w:rsidRPr="00635F27">
        <w:t xml:space="preserve">ndividual proteins </w:t>
      </w:r>
      <w:r>
        <w:t>span a large range while the latter can also show considerable patient to patient variation</w:t>
      </w:r>
      <w:r w:rsidRPr="00635F27">
        <w:t>.</w:t>
      </w:r>
      <w:r>
        <w:fldChar w:fldCharType="begin" w:fldLock="1"/>
      </w:r>
      <w:r>
        <w:instrText>ADDIN CSL_CITATION {"citationItems":[{"id":"ITEM-1","itemData":{"DOI":"10.1007/s12263-009-0121-x","ISBN":"1226300901","ISSN":"15558932","abstract":"Blood cells and biofluid proteomics are emerging as a valuable tool to assess effects of interventions on health and disease. This study is aimed to assess the amount and variability of proteins from platelets, peripheral blood mononuclear cells (PBMC), plasma, urine and saliva from ten healthy volunteers for proteomics analysis, and whether protein yield is affected by prolonged fasting. Volunteers provided blood, saliva and morning urine samples once a week for 4 weeks after an overnight fast. Volunteers were fasted for a further 24 h after the fourth sampling before providing their final samples. Each 10 mL whole blood provided 400-1,500 μg protein from platelets, and 100- 600 μg from PBMC. 30 μL plasma depleted of albumin and IgG provided 350-650 μg protein. A sample of morning urine provided 0.9-8.6 mg protein/dL, and a sample of saliva provided 70-950 μg protein/mL. None of these yields were influenced by the degree of fasting (overnight or 36 h). In conclusion, in contrast to the yields from plasma, platelets and PBMC, the protein yields of urine and saliva samples were highly variable within and between subjects. Certain disease conditions may cause higher or lower PBMC counts and thus protein yields, or increased urinary protein levels. © Springer-Verlag 2009.","author":[{"dropping-particle":"","family":"Katie Crosley","given":"L.","non-dropping-particle":"","parse-names":false,"suffix":""},{"dropping-particle":"","family":"Duthie","given":"Susan J.","non-dropping-particle":"","parse-names":false,"suffix":""},{"dropping-particle":"","family":"Polley","given":"Abigael C.","non-dropping-particle":"","parse-names":false,"suffix":""},{"dropping-particle":"","family":"Bouwman","given":"Freek G.","non-dropping-particle":"","parse-names":false,"suffix":""},{"dropping-particle":"","family":"Heim","given":"Carolin","non-dropping-particle":"","parse-names":false,"suffix":""},{"dropping-particle":"","family":"Mulholland","given":"Francis","non-dropping-particle":"","parse-names":false,"suffix":""},{"dropping-particle":"","family":"Horgan","given":"Graham","non-dropping-particle":"","parse-names":false,"suffix":""},{"dropping-particle":"","family":"Johnson","given":"Ian T.","non-dropping-particle":"","parse-names":false,"suffix":""},{"dropping-particle":"","family":"Mariman","given":"Edwin C.","non-dropping-particle":"","parse-names":false,"suffix":""},{"dropping-particle":"","family":"Elliott","given":"Ruan M.","non-dropping-particle":"","parse-names":false,"suffix":""},{"dropping-particle":"","family":"Daniel","given":"Hannelore","non-dropping-particle":"","parse-names":false,"suffix":""},{"dropping-particle":"","family":"Roos","given":"Baukje","non-dropping-particle":"De","parse-names":false,"suffix":""}],"container-title":"Genes and Nutrition","id":"ITEM-1","issue":"2","issued":{"date-parts":[["2009"]]},"page":"95-102","title":"Variation in protein levels obtained from human blood cells and biofluids for platelet, peripheral blood mononuclear cell, plasma, urine and saliva proteomics","type":"article-journal","volume":"4"},"uris":["http://www.mendeley.com/documents/?uuid=2c27f4e5-0819-42fe-b025-4b79b97ae98a"]}],"mendeley":{"formattedCitation":"&lt;sup&gt;5&lt;/sup&gt;","plainTextFormattedCitation":"5","previouslyFormattedCitation":"&lt;sup&gt;5&lt;/sup&gt;"},"properties":{"noteIndex":0},"schema":"https://github.com/citation-style-language/schema/raw/master/csl-citation.json"}</w:instrText>
      </w:r>
      <w:r>
        <w:fldChar w:fldCharType="separate"/>
      </w:r>
      <w:r w:rsidRPr="00131B95">
        <w:rPr>
          <w:noProof/>
          <w:vertAlign w:val="superscript"/>
        </w:rPr>
        <w:t>5</w:t>
      </w:r>
      <w:r>
        <w:fldChar w:fldCharType="end"/>
      </w:r>
      <w:r w:rsidRPr="00635F27">
        <w:t xml:space="preserve"> </w:t>
      </w:r>
      <w:r>
        <w:t>The l</w:t>
      </w:r>
      <w:r w:rsidRPr="00F45A89">
        <w:t>arge</w:t>
      </w:r>
      <w:r>
        <w:t xml:space="preserve"> molecule fraction</w:t>
      </w:r>
      <w:r w:rsidRPr="00635F27">
        <w:t xml:space="preserve"> </w:t>
      </w:r>
      <w:r>
        <w:t xml:space="preserve">of serum </w:t>
      </w:r>
      <w:r w:rsidRPr="00635F27">
        <w:t>include</w:t>
      </w:r>
      <w:r>
        <w:t>s</w:t>
      </w:r>
      <w:r w:rsidRPr="00635F27">
        <w:t xml:space="preserve"> </w:t>
      </w:r>
      <w:r>
        <w:t>dominant</w:t>
      </w:r>
      <w:r w:rsidRPr="00635F27">
        <w:t xml:space="preserve"> species such as </w:t>
      </w:r>
      <w:r w:rsidRPr="00635F27">
        <w:rPr>
          <w:shd w:val="clear" w:color="auto" w:fill="FFFFFF"/>
        </w:rPr>
        <w:t xml:space="preserve">serum albumin (66.5 </w:t>
      </w:r>
      <w:proofErr w:type="spellStart"/>
      <w:r w:rsidRPr="00635F27">
        <w:rPr>
          <w:shd w:val="clear" w:color="auto" w:fill="FFFFFF"/>
        </w:rPr>
        <w:t>kDa</w:t>
      </w:r>
      <w:proofErr w:type="spellEnd"/>
      <w:r w:rsidRPr="00635F27">
        <w:rPr>
          <w:shd w:val="clear" w:color="auto" w:fill="FFFFFF"/>
        </w:rPr>
        <w:t>; 35-50 mg/</w:t>
      </w:r>
      <w:r>
        <w:rPr>
          <w:shd w:val="clear" w:color="auto" w:fill="FFFFFF"/>
        </w:rPr>
        <w:t>mL</w:t>
      </w:r>
      <w:r w:rsidRPr="00635F27">
        <w:rPr>
          <w:shd w:val="clear" w:color="auto" w:fill="FFFFFF"/>
        </w:rPr>
        <w:t xml:space="preserve">), </w:t>
      </w:r>
      <w:r>
        <w:rPr>
          <w:shd w:val="clear" w:color="auto" w:fill="FFFFFF"/>
        </w:rPr>
        <w:t>immuno</w:t>
      </w:r>
      <w:r w:rsidRPr="00635F27">
        <w:rPr>
          <w:shd w:val="clear" w:color="auto" w:fill="FFFFFF"/>
        </w:rPr>
        <w:t>globulins</w:t>
      </w:r>
      <w:r>
        <w:rPr>
          <w:shd w:val="clear" w:color="auto" w:fill="FFFFFF"/>
        </w:rPr>
        <w:t xml:space="preserve"> such as IgG</w:t>
      </w:r>
      <w:r w:rsidRPr="00635F27">
        <w:rPr>
          <w:shd w:val="clear" w:color="auto" w:fill="FFFFFF"/>
        </w:rPr>
        <w:t xml:space="preserve"> (</w:t>
      </w:r>
      <w:r>
        <w:rPr>
          <w:shd w:val="clear" w:color="auto" w:fill="FFFFFF"/>
        </w:rPr>
        <w:t>160</w:t>
      </w:r>
      <w:r w:rsidRPr="00635F27">
        <w:rPr>
          <w:shd w:val="clear" w:color="auto" w:fill="FFFFFF"/>
        </w:rPr>
        <w:t xml:space="preserve"> </w:t>
      </w:r>
      <w:proofErr w:type="spellStart"/>
      <w:r w:rsidRPr="00635F27">
        <w:rPr>
          <w:shd w:val="clear" w:color="auto" w:fill="FFFFFF"/>
        </w:rPr>
        <w:t>kDa</w:t>
      </w:r>
      <w:proofErr w:type="spellEnd"/>
      <w:r w:rsidRPr="00635F27">
        <w:rPr>
          <w:shd w:val="clear" w:color="auto" w:fill="FFFFFF"/>
        </w:rPr>
        <w:t xml:space="preserve">; </w:t>
      </w:r>
      <w:r>
        <w:rPr>
          <w:shd w:val="clear" w:color="auto" w:fill="FFFFFF"/>
        </w:rPr>
        <w:t>8</w:t>
      </w:r>
      <w:r w:rsidRPr="00635F27">
        <w:rPr>
          <w:shd w:val="clear" w:color="auto" w:fill="FFFFFF"/>
        </w:rPr>
        <w:t>-</w:t>
      </w:r>
      <w:r>
        <w:rPr>
          <w:shd w:val="clear" w:color="auto" w:fill="FFFFFF"/>
        </w:rPr>
        <w:t>18</w:t>
      </w:r>
      <w:r w:rsidRPr="00635F27">
        <w:rPr>
          <w:shd w:val="clear" w:color="auto" w:fill="FFFFFF"/>
        </w:rPr>
        <w:t xml:space="preserve"> mg/</w:t>
      </w:r>
      <w:r>
        <w:rPr>
          <w:shd w:val="clear" w:color="auto" w:fill="FFFFFF"/>
        </w:rPr>
        <w:t>mL</w:t>
      </w:r>
      <w:r w:rsidRPr="00635F27">
        <w:rPr>
          <w:shd w:val="clear" w:color="auto" w:fill="FFFFFF"/>
        </w:rPr>
        <w:t>)</w:t>
      </w:r>
      <w:r>
        <w:rPr>
          <w:shd w:val="clear" w:color="auto" w:fill="FFFFFF"/>
        </w:rPr>
        <w:t xml:space="preserve"> and</w:t>
      </w:r>
      <w:r w:rsidRPr="00635F27">
        <w:rPr>
          <w:shd w:val="clear" w:color="auto" w:fill="FFFFFF"/>
        </w:rPr>
        <w:t xml:space="preserve"> </w:t>
      </w:r>
      <w:r>
        <w:rPr>
          <w:shd w:val="clear" w:color="auto" w:fill="FFFFFF"/>
        </w:rPr>
        <w:t>transferrin</w:t>
      </w:r>
      <w:r w:rsidRPr="00635F27">
        <w:rPr>
          <w:shd w:val="clear" w:color="auto" w:fill="FFFFFF"/>
        </w:rPr>
        <w:t xml:space="preserve"> (</w:t>
      </w:r>
      <w:r>
        <w:rPr>
          <w:shd w:val="clear" w:color="auto" w:fill="FFFFFF"/>
        </w:rPr>
        <w:t>76</w:t>
      </w:r>
      <w:r w:rsidRPr="00635F27">
        <w:rPr>
          <w:shd w:val="clear" w:color="auto" w:fill="FFFFFF"/>
        </w:rPr>
        <w:t xml:space="preserve"> </w:t>
      </w:r>
      <w:proofErr w:type="spellStart"/>
      <w:r w:rsidRPr="00635F27">
        <w:rPr>
          <w:shd w:val="clear" w:color="auto" w:fill="FFFFFF"/>
        </w:rPr>
        <w:t>kDa</w:t>
      </w:r>
      <w:proofErr w:type="spellEnd"/>
      <w:r w:rsidRPr="00635F27">
        <w:rPr>
          <w:shd w:val="clear" w:color="auto" w:fill="FFFFFF"/>
        </w:rPr>
        <w:t xml:space="preserve">; </w:t>
      </w:r>
      <w:r>
        <w:rPr>
          <w:shd w:val="clear" w:color="auto" w:fill="FFFFFF"/>
        </w:rPr>
        <w:t>1.5-4</w:t>
      </w:r>
      <w:r w:rsidRPr="00635F27">
        <w:rPr>
          <w:shd w:val="clear" w:color="auto" w:fill="FFFFFF"/>
        </w:rPr>
        <w:t xml:space="preserve"> mg/</w:t>
      </w:r>
      <w:r>
        <w:rPr>
          <w:shd w:val="clear" w:color="auto" w:fill="FFFFFF"/>
        </w:rPr>
        <w:t>mL</w:t>
      </w:r>
      <w:r w:rsidRPr="00635F27">
        <w:rPr>
          <w:shd w:val="clear" w:color="auto" w:fill="FFFFFF"/>
        </w:rPr>
        <w:t xml:space="preserve">) </w:t>
      </w:r>
      <w:r>
        <w:rPr>
          <w:shd w:val="clear" w:color="auto" w:fill="FFFFFF"/>
        </w:rPr>
        <w:t>as well as</w:t>
      </w:r>
      <w:r w:rsidRPr="00635F27">
        <w:rPr>
          <w:shd w:val="clear" w:color="auto" w:fill="FFFFFF"/>
        </w:rPr>
        <w:t xml:space="preserve"> low concentration </w:t>
      </w:r>
      <w:r>
        <w:rPr>
          <w:shd w:val="clear" w:color="auto" w:fill="FFFFFF"/>
        </w:rPr>
        <w:t>p</w:t>
      </w:r>
      <w:r w:rsidRPr="00635F27">
        <w:rPr>
          <w:shd w:val="clear" w:color="auto" w:fill="FFFFFF"/>
        </w:rPr>
        <w:t xml:space="preserve">roteins like </w:t>
      </w:r>
      <w:proofErr w:type="spellStart"/>
      <w:r w:rsidRPr="00635F27">
        <w:t>IgE</w:t>
      </w:r>
      <w:proofErr w:type="spellEnd"/>
      <w:r w:rsidRPr="00635F27">
        <w:t xml:space="preserve"> (190 </w:t>
      </w:r>
      <w:proofErr w:type="spellStart"/>
      <w:r w:rsidRPr="00635F27">
        <w:t>kDa</w:t>
      </w:r>
      <w:proofErr w:type="spellEnd"/>
      <w:r w:rsidRPr="00635F27">
        <w:t>; 6 x 10</w:t>
      </w:r>
      <w:r w:rsidRPr="00635F27">
        <w:rPr>
          <w:vertAlign w:val="superscript"/>
        </w:rPr>
        <w:t>-4</w:t>
      </w:r>
      <w:r w:rsidRPr="00635F27">
        <w:t xml:space="preserve"> mg/</w:t>
      </w:r>
      <w:r>
        <w:t>mL</w:t>
      </w:r>
      <w:r w:rsidRPr="00635F27">
        <w:t>)</w:t>
      </w:r>
      <w:r w:rsidRPr="00635F27">
        <w:rPr>
          <w:shd w:val="clear" w:color="auto" w:fill="FFFFFF"/>
        </w:rPr>
        <w:t>.</w:t>
      </w:r>
      <w:r w:rsidRPr="00635F27">
        <w:rPr>
          <w:shd w:val="clear" w:color="auto" w:fill="FFFFFF"/>
        </w:rPr>
        <w:fldChar w:fldCharType="begin" w:fldLock="1"/>
      </w:r>
      <w:r>
        <w:rPr>
          <w:shd w:val="clear" w:color="auto" w:fill="FFFFFF"/>
        </w:rPr>
        <w:instrText>ADDIN CSL_CITATION {"citationItems":[{"id":"ITEM-1","itemData":{"author":[{"dropping-particle":"","family":"Busher","given":"Janice T","non-dropping-particle":"","parse-names":false,"suffix":""}],"container-title":"Clinical Methods: The History, Physical, and Laboratory Examinations.","edition":"3rd","editor":[{"dropping-particle":"","family":"Hurst","given":"J.W","non-dropping-particle":"","parse-names":false,"suffix":""},{"dropping-particle":"","family":"Walker","given":"H.K","non-dropping-particle":"","parse-names":false,"suffix":""},{"dropping-particle":"","family":"Hall","given":"W.D","non-dropping-particle":"","parse-names":false,"suffix":""}],"id":"ITEM-1","issued":{"date-parts":[["1990"]]},"page":"497-500","publisher":"Butterworths","publisher-place":"Boston","title":"Serum Albumin and Globulins","type":"chapter"},"uris":["http://www.mendeley.com/documents/?uuid=e0e64a28-463d-406d-8462-a28fc81c7983"]}],"mendeley":{"formattedCitation":"&lt;sup&gt;6&lt;/sup&gt;","plainTextFormattedCitation":"6","previouslyFormattedCitation":"&lt;sup&gt;6&lt;/sup&gt;"},"properties":{"noteIndex":0},"schema":"https://github.com/citation-style-language/schema/raw/master/csl-citation.json"}</w:instrText>
      </w:r>
      <w:r w:rsidRPr="00635F27">
        <w:rPr>
          <w:shd w:val="clear" w:color="auto" w:fill="FFFFFF"/>
        </w:rPr>
        <w:fldChar w:fldCharType="separate"/>
      </w:r>
      <w:r w:rsidRPr="00131B95">
        <w:rPr>
          <w:noProof/>
          <w:shd w:val="clear" w:color="auto" w:fill="FFFFFF"/>
          <w:vertAlign w:val="superscript"/>
        </w:rPr>
        <w:t>6</w:t>
      </w:r>
      <w:r w:rsidRPr="00635F27">
        <w:rPr>
          <w:shd w:val="clear" w:color="auto" w:fill="FFFFFF"/>
        </w:rPr>
        <w:fldChar w:fldCharType="end"/>
      </w:r>
      <w:r w:rsidRPr="00635F27">
        <w:rPr>
          <w:shd w:val="clear" w:color="auto" w:fill="FFFFFF"/>
        </w:rPr>
        <w:t xml:space="preserve"> The low molecular weight </w:t>
      </w:r>
      <w:r>
        <w:rPr>
          <w:shd w:val="clear" w:color="auto" w:fill="FFFFFF"/>
        </w:rPr>
        <w:t>portion of serum</w:t>
      </w:r>
      <w:r w:rsidRPr="00635F27">
        <w:rPr>
          <w:shd w:val="clear" w:color="auto" w:fill="FFFFFF"/>
        </w:rPr>
        <w:t xml:space="preserve"> </w:t>
      </w:r>
      <w:r>
        <w:rPr>
          <w:shd w:val="clear" w:color="auto" w:fill="FFFFFF"/>
        </w:rPr>
        <w:t>is typically defined as containing</w:t>
      </w:r>
      <w:r w:rsidRPr="00635F27">
        <w:rPr>
          <w:shd w:val="clear" w:color="auto" w:fill="FFFFFF"/>
        </w:rPr>
        <w:t xml:space="preserve"> molecules with masses &lt; 25 </w:t>
      </w:r>
      <w:proofErr w:type="spellStart"/>
      <w:r w:rsidRPr="00635F27">
        <w:rPr>
          <w:shd w:val="clear" w:color="auto" w:fill="FFFFFF"/>
        </w:rPr>
        <w:t>kDa</w:t>
      </w:r>
      <w:proofErr w:type="spellEnd"/>
      <w:r w:rsidRPr="00635F27">
        <w:rPr>
          <w:shd w:val="clear" w:color="auto" w:fill="FFFFFF"/>
        </w:rPr>
        <w:t xml:space="preserve"> and includes cytokines (&lt; 6-30 </w:t>
      </w:r>
      <w:proofErr w:type="spellStart"/>
      <w:r w:rsidRPr="00635F27">
        <w:rPr>
          <w:shd w:val="clear" w:color="auto" w:fill="FFFFFF"/>
        </w:rPr>
        <w:t>kDa</w:t>
      </w:r>
      <w:proofErr w:type="spellEnd"/>
      <w:r w:rsidRPr="00635F27">
        <w:rPr>
          <w:shd w:val="clear" w:color="auto" w:fill="FFFFFF"/>
        </w:rPr>
        <w:t xml:space="preserve">), peptide hormones (&lt; 30 </w:t>
      </w:r>
      <w:proofErr w:type="spellStart"/>
      <w:r w:rsidRPr="00635F27">
        <w:rPr>
          <w:shd w:val="clear" w:color="auto" w:fill="FFFFFF"/>
        </w:rPr>
        <w:t>kDa</w:t>
      </w:r>
      <w:proofErr w:type="spellEnd"/>
      <w:r w:rsidRPr="00635F27">
        <w:rPr>
          <w:shd w:val="clear" w:color="auto" w:fill="FFFFFF"/>
        </w:rPr>
        <w:t>) and amino acids</w:t>
      </w:r>
      <w:r>
        <w:rPr>
          <w:shd w:val="clear" w:color="auto" w:fill="FFFFFF"/>
        </w:rPr>
        <w:t xml:space="preserve"> (75-204 Da)</w:t>
      </w:r>
      <w:r w:rsidRPr="00635F27">
        <w:rPr>
          <w:shd w:val="clear" w:color="auto" w:fill="FFFFFF"/>
        </w:rPr>
        <w:t>.</w:t>
      </w:r>
      <w:r w:rsidRPr="00635F27">
        <w:rPr>
          <w:shd w:val="clear" w:color="auto" w:fill="FFFFFF"/>
        </w:rPr>
        <w:fldChar w:fldCharType="begin" w:fldLock="1"/>
      </w:r>
      <w:r>
        <w:rPr>
          <w:shd w:val="clear" w:color="auto" w:fill="FFFFFF"/>
        </w:rPr>
        <w:instrText>ADDIN CSL_CITATION {"citationItems":[{"id":"ITEM-1","itemData":{"DOI":"10.1074/mcp.M300031-MCP200","ISBN":"1535-9476 (Print) 1535-9476 (Linking)","ISSN":"1535-9476","PMID":"12917320","abstract":"Serum potentially carries an archive of important histological information whose determination could serve to improve early disease detection. The analysis of serum, however, is analytically challenging due to the high dynamic concentration range of constituent protein/peptide species, necessitating extensive fractionation prior to mass spectrometric analyses. The low molecular weight (LMW) serum proteome is that protein/peptide fraction from which high molecular weight proteins, such as albumin, immunoglobulins, transferrin, and lipoproteins, have been removed. This LMW fraction is made up of several classes of physiologically important proteins such as cytokines, chemokines, peptide hormones, as well as proteolytic fragments of larger proteins. Centrifugal ultrafiltration of serum was used to remove the large constituent proteins resulting in the enrichment of the LMW proteins/peptides. Because albumin is known to bind and transport small molecules and peptides within the circulatory system, the centrifugal ultrafiltration was conducted under solvent conditions effecting the disruption of protein-protein interactions. The LMW serum proteome sample was digested with trypsin, fractionated by strong cation exchange chromatography, and analyzed by microcapillary reversed-phase liquid chromatography coupled on-line with electrospray ionization tandem mass spectrometry. Analysis of the tandem mass spectra resulted in the identification of over 340 human serum proteins; however, not a single peptide from serum albumin was observed. The large number of proteins identified demonstrates the efficacy of this method for the removal of large abundant proteins and the enrichment of the LMW serum proteome.","author":[{"dropping-particle":"","family":"Tirumalai","given":"Radhakrishna S.","non-dropping-particle":"","parse-names":false,"suffix":""},{"dropping-particle":"","family":"Chan","given":"King C.","non-dropping-particle":"","parse-names":false,"suffix":""},{"dropping-particle":"","family":"Prieto","given":"DaRue A.","non-dropping-particle":"","parse-names":false,"suffix":""},{"dropping-particle":"","family":"Issaq","given":"Haleem J.","non-dropping-particle":"","parse-names":false,"suffix":""},{"dropping-particle":"","family":"Conrads","given":"Thomas P.","non-dropping-particle":"","parse-names":false,"suffix":""},{"dropping-particle":"","family":"Veenstra","given":"Timothy D.","non-dropping-particle":"","parse-names":false,"suffix":""}],"container-title":"Molecular &amp; Cellular Proteomics","id":"ITEM-1","issued":{"date-parts":[["2003"]]},"page":"1096-1103","title":"Characterization of the Low Molecular Weight Human Serum Proteome","type":"article-journal","volume":"2"},"uris":["http://www.mendeley.com/documents/?uuid=0455584d-8f73-45bb-9d0b-e49615982b78"]}],"mendeley":{"formattedCitation":"&lt;sup&gt;7&lt;/sup&gt;","plainTextFormattedCitation":"7","previouslyFormattedCitation":"&lt;sup&gt;7&lt;/sup&gt;"},"properties":{"noteIndex":0},"schema":"https://github.com/citation-style-language/schema/raw/master/csl-citation.json"}</w:instrText>
      </w:r>
      <w:r w:rsidRPr="00635F27">
        <w:rPr>
          <w:shd w:val="clear" w:color="auto" w:fill="FFFFFF"/>
        </w:rPr>
        <w:fldChar w:fldCharType="separate"/>
      </w:r>
      <w:r w:rsidRPr="00131B95">
        <w:rPr>
          <w:noProof/>
          <w:shd w:val="clear" w:color="auto" w:fill="FFFFFF"/>
          <w:vertAlign w:val="superscript"/>
        </w:rPr>
        <w:t>7</w:t>
      </w:r>
      <w:r w:rsidRPr="00635F27">
        <w:rPr>
          <w:shd w:val="clear" w:color="auto" w:fill="FFFFFF"/>
        </w:rPr>
        <w:fldChar w:fldCharType="end"/>
      </w:r>
      <w:r w:rsidRPr="00635F27">
        <w:rPr>
          <w:shd w:val="clear" w:color="auto" w:fill="FFFFFF"/>
        </w:rPr>
        <w:t xml:space="preserve"> </w:t>
      </w:r>
    </w:p>
    <w:p w:rsidR="00F27F08" w:rsidRDefault="00F27F08" w:rsidP="00F27F08">
      <w:pPr>
        <w:pStyle w:val="TAMainText"/>
      </w:pPr>
      <w:r w:rsidRPr="00635F27">
        <w:t xml:space="preserve">Current analytical technologies employ antibody assays </w:t>
      </w:r>
      <w:r>
        <w:t>to measure protein levels in serum and r</w:t>
      </w:r>
      <w:r w:rsidRPr="00635F27">
        <w:t>ely on the availability of specific antibodies for proteins of interest</w:t>
      </w:r>
      <w:r>
        <w:t xml:space="preserve">. These methods </w:t>
      </w:r>
      <w:r w:rsidRPr="00635F27">
        <w:t xml:space="preserve">require </w:t>
      </w:r>
      <w:r>
        <w:t xml:space="preserve">time for </w:t>
      </w:r>
      <w:r w:rsidRPr="00635F27">
        <w:t>sample preparation</w:t>
      </w:r>
      <w:r>
        <w:t xml:space="preserve"> and measur</w:t>
      </w:r>
      <w:r w:rsidR="00CD5814">
        <w:t>e</w:t>
      </w:r>
      <w:r>
        <w:t>ment that can hinder treatment</w:t>
      </w:r>
      <w:r w:rsidRPr="00635F27">
        <w:t xml:space="preserve">. </w:t>
      </w:r>
      <w:r>
        <w:t>Furthermore,</w:t>
      </w:r>
      <w:r w:rsidRPr="00635F27">
        <w:t xml:space="preserve"> disease</w:t>
      </w:r>
      <w:r>
        <w:t xml:space="preserve">s can be heterogeneous, meaning that knowledge of changes in concentration of a broad range of molecules can be more useful diagnostically than that of a single marker protein or a small antibody panel. In this respect, </w:t>
      </w:r>
      <w:r w:rsidRPr="00635F27">
        <w:t>infrared (IR) spectroscopy is potentially powerful</w:t>
      </w:r>
      <w:r>
        <w:t xml:space="preserve"> in that a spectrum, in principle, provides a detailed molecular fingerprint of a sample</w:t>
      </w:r>
      <w:r w:rsidRPr="00635F27">
        <w:t>. However, the water content of serum means that the informative amide I band of proteins is obscured</w:t>
      </w:r>
      <w:r>
        <w:t xml:space="preserve"> using IR transmission absorption spectroscopy</w:t>
      </w:r>
      <w:r w:rsidRPr="00635F27">
        <w:t xml:space="preserve">. </w:t>
      </w:r>
      <w:r>
        <w:t>Alternative measurement methods, such as a</w:t>
      </w:r>
      <w:r w:rsidRPr="00635F27">
        <w:t xml:space="preserve">ttenuated </w:t>
      </w:r>
      <w:r w:rsidRPr="0056136F">
        <w:t xml:space="preserve">total reflection (ATR), </w:t>
      </w:r>
      <w:proofErr w:type="spellStart"/>
      <w:r w:rsidRPr="0056136F">
        <w:t>transflection</w:t>
      </w:r>
      <w:proofErr w:type="spellEnd"/>
      <w:r w:rsidRPr="0056136F">
        <w:t xml:space="preserve"> or the use of Quantum Cascade lasers have been applied to overcome this problem.</w:t>
      </w:r>
      <w:r w:rsidRPr="0056136F">
        <w:fldChar w:fldCharType="begin" w:fldLock="1"/>
      </w:r>
      <w:r>
        <w:instrText>ADDIN CSL_CITATION {"citationItems":[{"id":"ITEM-1","itemData":{"DOI":"10.1039/c5cs00585j","author":[{"dropping-particle":"","family":"Baker","given":"Matthew J","non-dropping-particle":"","parse-names":false,"suffix":""},{"dropping-particle":"","family":"Sockalingum","given":"Ganesh D","non-dropping-particle":"","parse-names":false,"suffix":""},{"dropping-particle":"","family":"Hughes","given":"Caryn","non-dropping-particle":"","parse-names":false,"suffix":""},{"dropping-particle":"","family":"Lukaszewski","given":"Roman A","non-dropping-particle":"","parse-names":false,"suffix":""}],"container-title":"Chemical Society Reviews","id":"ITEM-1","issued":{"date-parts":[["2016"]]},"page":"1803-1818","title":"Developing and Understanding Biofluid Vibrational Spectroscopy: a Critical Review","type":"article-journal","volume":"45"},"uris":["http://www.mendeley.com/documents/?uuid=36360888-ef5a-4c29-91e0-89f10fac6717"]},{"id":"ITEM-2","itemData":{"DOI":"10.1080/05704928.2020.1738453","ISSN":"1520569X","abstract":"In recent years, there has been an increase in the use of spectroscopy as a diagnostic tool. This review aims to summarize the studies that have reported the use of ATR-FTIR spectroscopy for the acquisition of spectral signatures from saliva, blood and urine for disease diagnostics. Despite the use of different sample processing techniques and varying chemo metric analysis algorithms, considerable similarity is noted in defining peaks from identical regions of the ATR-FTIR spectrum. Hence, we prepared a database reporting molecular fingerprints identified from bio-fluids which will aid the scientific community in improving quantity and quality of researcher’s outcome.","author":[{"dropping-particle":"","family":"Naseer","given":"Khulla","non-dropping-particle":"","parse-names":false,"suffix":""},{"dropping-particle":"","family":"Ali","given":"Salmann","non-dropping-particle":"","parse-names":false,"suffix":""},{"dropping-particle":"","family":"Qazi","given":"Javaria","non-dropping-particle":"","parse-names":false,"suffix":""}],"container-title":"Applied Spectroscopy Reviews","id":"ITEM-2","issue":"0","issued":{"date-parts":[["2020"]]},"page":"1-13","publisher":"Taylor &amp; Francis","title":"ATR-FTIR spectroscopy as the future of diagnostics: a systematic review of the approach using bio-fluids","type":"article-journal","volume":"55"},"uris":["http://www.mendeley.com/documents/?uuid=f8d524d2-cc06-4aaa-a4fa-acf270add66d"]},{"id":"ITEM-3","itemData":{"DOI":"10.1039/c8an01306c","ISSN":"13645528","PMID":"30444222","abstract":"Mid-infrared spectroscopy has been applied to research in biology and medicine for more than 20 years and conceivable applications have been identified. More recently, these applications have been shown to benefit from the use of quantum cascade lasers due to their specific properties, namely high spectral power density, small beam parameter product, narrow emission spectrum and, if needed, tuning capabilities. This review provides an overview of the achievements and illustrates some applications which benefit from the key characteristics of quantum cascade laser-based mid-infrared spectroscopy using examples such as breath analysis, the investigation of serum, non-invasive glucose monitoring in bulk tissue and the combination of spectroscopy and microscopy of tissue thin sections for rapid histopathology.","author":[{"dropping-particle":"","family":"Isensee","given":"Katharina","non-dropping-particle":"","parse-names":false,"suffix":""},{"dropping-particle":"","family":"Kröger-Lui","given":"Niels","non-dropping-particle":"","parse-names":false,"suffix":""},{"dropping-particle":"","family":"Petrich","given":"Wolfgang","non-dropping-particle":"","parse-names":false,"suffix":""}],"container-title":"Analyst","id":"ITEM-3","issue":"24","issued":{"date-parts":[["2018"]]},"page":"5888-5911","publisher":"Royal Society of Chemistry","title":"Biomedical applications of mid-infrared quantum cascade lasers-a review","type":"article-journal","volume":"143"},"uris":["http://www.mendeley.com/documents/?uuid=47075af0-66bc-4d25-a45f-91ed934b20bc"]},{"id":"ITEM-4","itemData":{"DOI":"10.1039/c4an02034k","ISSN":"13645528","PMID":"25695358","abstract":"The widespread and cost-effective use of transflection substrates in Fourier transform infrared (FTIR) imaging of clinical samples is affected by the presence of artefacts including the electric field standing wave (EFSW) and contributions from light dispersion. For IR-based diagnostics, the manifestation of undesirable artifacts can distort the spectra and lead to erroneous diagnosis. Nevertheless, there is no clear consensus in the literature about the degree of influence of these effects. The aim of this work is to contribute to this discussion by comparing transflection and transmission images of the same tissue. For this purpose two adjacent sections of the same tissue (lymphoma sample) were fixed onto a CaF2 window and a transflective slide for FTIR imaging. The samples in this case had a central area where based on morphology it was presumed the fixative did not penetrate to the same extent hence providing a comparable region for the two different substrates with a distinct physical/chemical difference. Transmission and transflection spectra from adjacent hyperspectral tissue images were combined in an extended dataset. Surprisingly, unsupervised hierarchical cluster analysis clustered together transflection and transmission spectra, being classified according to differences in tissue fixation instead of the geometry employed for the image acquisition. A more detailed examination of spectra from the peripheral zone of the tissue indicated that the main differences between the transflection and transmission spectra were: (1) a small shift of the amide I, (2) a larger \"noise\" component in the transflection spectra requiring more averaging to obtain representative spectra of tissue types, and (3) the phosphate bands were generally higher in absorbance in the transflection measurements compared to the transmission ones. The amide I shift and the larger spectral variance was consistent with results obtained in previous studies where the EFWS was present. The findings indicate that artifacts resulting from transflection measurements were small but consistent across the tissue, and therefore the use of transflection measurements could be employed for disease diagnosis. Accordingly, we recommend a straightforward multivariate comparison of images from transmission and transflection measurements in a combined data matrix obtained from adjacent sections of the tissue as a useful preliminary study for establishing the impact of the EFWS on the samples, befo…","author":[{"dropping-particle":"","family":"Perez-Guaita","given":"David","non-dropping-particle":"","parse-names":false,"suffix":""},{"dropping-particle":"","family":"Heraud","given":"Philip","non-dropping-particle":"","parse-names":false,"suffix":""},{"dropping-particle":"","family":"Marzec","given":"Katarzyna M.","non-dropping-particle":"","parse-names":false,"suffix":""},{"dropping-particle":"","family":"La Guardia","given":"Miguel","non-dropping-particle":"De","parse-names":false,"suffix":""},{"dropping-particle":"","family":"Kiupel","given":"Matti","non-dropping-particle":"","parse-names":false,"suffix":""},{"dropping-particle":"","family":"Wood","given":"Bayden R.","non-dropping-particle":"","parse-names":false,"suffix":""}],"container-title":"Analyst","id":"ITEM-4","issue":"7","issued":{"date-parts":[["2015"]]},"page":"2376-2382","publisher":"Royal Society of Chemistry","title":"Comparison of transflection and transmission FTIR imaging measurements performed on differentially fixed tissue sections","type":"article-journal","volume":"140"},"uris":["http://www.mendeley.com/documents/?uuid=63bcb66c-ba70-4f7c-a57a-4a685703daed"]}],"mendeley":{"formattedCitation":"&lt;sup&gt;1,8–10&lt;/sup&gt;","plainTextFormattedCitation":"1,8–10","previouslyFormattedCitation":"&lt;sup&gt;1,8–10&lt;/sup&gt;"},"properties":{"noteIndex":0},"schema":"https://github.com/citation-style-language/schema/raw/master/csl-citation.json"}</w:instrText>
      </w:r>
      <w:r w:rsidRPr="0056136F">
        <w:fldChar w:fldCharType="separate"/>
      </w:r>
      <w:r w:rsidRPr="00131B95">
        <w:rPr>
          <w:noProof/>
          <w:vertAlign w:val="superscript"/>
        </w:rPr>
        <w:t>1,8–10</w:t>
      </w:r>
      <w:r w:rsidRPr="0056136F">
        <w:fldChar w:fldCharType="end"/>
      </w:r>
      <w:r w:rsidRPr="0056136F">
        <w:t xml:space="preserve"> Similarly, measurements on dried serum droplets have been widely used.</w:t>
      </w:r>
      <w:r w:rsidRPr="0056136F">
        <w:fldChar w:fldCharType="begin" w:fldLock="1"/>
      </w:r>
      <w:r>
        <w:instrText>ADDIN CSL_CITATION {"citationItems":[{"id":"ITEM-1","itemData":{"DOI":"10.1002/jbio.201300130","author":[{"dropping-particle":"","family":"Bonnier","given":"Franck","non-dropping-particle":"","parse-names":false,"suffix":""},{"dropping-particle":"","family":"Baker","given":"Matthew J","non-dropping-particle":"","parse-names":false,"suffix":""},{"dropping-particle":"","family":"Byrne","given":"Hugh J","non-dropping-particle":"","parse-names":false,"suffix":""}],"container-title":"Journal of Biophotonics","id":"ITEM-1","issued":{"date-parts":[["2014"]]},"page":"167-179","title":"Improved protocols for vibrational spectroscopic analysis of body fluids","type":"article-journal","volume":"7"},"uris":["http://www.mendeley.com/documents/?uuid=0a83f1ca-dee6-4e9e-a8b4-ad8d666fe83d"]},{"id":"ITEM-2","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Communications","id":"ITEM-2","issued":{"date-parts":[["2019"]]},"page":"4501","publisher":"Springer US","title":"Development of high-throughput ATR-FTIR technology for rapid triage of brain cancer","type":"article-journal","volume":"10"},"uris":["http://www.mendeley.com/documents/?uuid=fc7fefaf-2280-47cc-9131-14fb7139da1a"]}],"mendeley":{"formattedCitation":"&lt;sup&gt;11,12&lt;/sup&gt;","plainTextFormattedCitation":"11,12","previouslyFormattedCitation":"&lt;sup&gt;11,12&lt;/sup&gt;"},"properties":{"noteIndex":0},"schema":"https://github.com/citation-style-language/schema/raw/master/csl-citation.json"}</w:instrText>
      </w:r>
      <w:r w:rsidRPr="0056136F">
        <w:fldChar w:fldCharType="separate"/>
      </w:r>
      <w:r w:rsidRPr="00131B95">
        <w:rPr>
          <w:noProof/>
          <w:vertAlign w:val="superscript"/>
        </w:rPr>
        <w:t>11,12</w:t>
      </w:r>
      <w:r w:rsidRPr="0056136F">
        <w:fldChar w:fldCharType="end"/>
      </w:r>
      <w:r w:rsidRPr="0056136F">
        <w:t xml:space="preserve"> Although effective, for example in the identification of samples from patients diagnosed with cancer, </w:t>
      </w:r>
      <w:r>
        <w:t xml:space="preserve">clinical </w:t>
      </w:r>
      <w:r w:rsidRPr="0056136F">
        <w:t xml:space="preserve">monitoring </w:t>
      </w:r>
      <w:r>
        <w:t xml:space="preserve">of the </w:t>
      </w:r>
      <w:r w:rsidRPr="0056136F">
        <w:t>cancer severity or identifying the presence of metastatic disease,</w:t>
      </w:r>
      <w:r w:rsidRPr="0056136F">
        <w:fldChar w:fldCharType="begin" w:fldLock="1"/>
      </w:r>
      <w:r w:rsidR="002F18AD">
        <w:instrText>ADDIN CSL_CITATION {"citationItems":[{"id":"ITEM-1","itemData":{"DOI":"10.1016/j.saa.2013.07.055","ISSN":"1386-1425","author":[{"dropping-particle":"","family":"Sheng","given":"Daping","non-dropping-particle":"","parse-names":false,"suffix":""},{"dropping-particle":"","family":"Wu","given":"Yican","non-dropping-particle":"","parse-names":false,"suffix":""},{"dropping-particle":"","family":"Wang","given":"Xin","non-dropping-particle":"","parse-names":false,"suffix":""},{"dropping-particle":"","family":"Huang","given":"Dake","non-dropping-particle":"","parse-names":false,"suffix":""},{"dropping-particle":"","family":"Chen","given":"Xianliang","non-dropping-particle":"","parse-names":false,"suffix":""},{"dropping-particle":"","family":"Liu","given":"Xingcun","non-dropping-particle":"","parse-names":false,"suffix":""}],"container-title":"Spectrochimica Acta Part A: Molecular and Biomolecular Spectroscopy","id":"ITEM-1","issued":{"date-parts":[["2013"]]},"page":"365-369","publisher":"Elsevier B.V.","title":"Comparison of serum from gastric cancer patients and from healthy persons using FTIR spectroscopy","type":"article-journal","volume":"116"},"uris":["http://www.mendeley.com/documents/?uuid=28bae528-f921-4de2-a8b5-b338e2e36d1c"]},{"id":"ITEM-2","itemData":{"DOI":"10.1016/j.vibspec.2010.01.013","author":[{"dropping-particle":"","family":"Backhaus","given":"Juergen","non-dropping-particle":"","parse-names":false,"suffix":""},{"dropping-particle":"","family":"Mueller","given":"Ralf","non-dropping-particle":"","parse-names":false,"suffix":""},{"dropping-particle":"","family":"Formanski","given":"Natalia","non-dropping-particle":"","parse-names":false,"suffix":""},{"dropping-particle":"","family":"Szlama","given":"Nicole","non-dropping-particle":"","parse-names":false,"suffix":""},{"dropping-particle":"","family":"Meerpohl","given":"Hans-Gerd","non-dropping-particle":"","parse-names":false,"suffix":""},{"dropping-particle":"","family":"Eidt","given":"Manfred","non-dropping-particle":"","parse-names":false,"suffix":""},{"dropping-particle":"","family":"Bugert","given":"Peter","non-dropping-particle":"","parse-names":false,"suffix":""}],"container-title":"Vibrational Spectroscopy","id":"ITEM-2","issued":{"date-parts":[["2010"]]},"page":"173-177","title":"Vibrational Spectroscopy Diagnosis of breast cancer with infrared spectroscopy from serum samples","type":"article-journal","volume":"52"},"uris":["http://www.mendeley.com/documents/?uuid=ee1b0623-203b-4b9f-8c42-130ff9ce84e3"]},{"id":"ITEM-3","itemData":{"DOI":"10.1039/c9an01731c","author":[{"dropping-particle":"","family":"Cameron","given":"James M","non-dropping-particle":"","parse-names":false,"suffix":""},{"dropping-particle":"","family":"Butler","given":"Holly J","non-dropping-particle":"","parse-names":false,"suffix":""},{"dropping-particle":"","family":"Smith","given":"Benjamin R","non-dropping-particle":"","parse-names":false,"suffix":""},{"dropping-particle":"","family":"Hegarty","given":"Mark G","non-dropping-particle":"","parse-names":false,"suffix":""},{"dropping-particle":"","family":"Jenkinson","given":"Michael D","non-dropping-particle":"","parse-names":false,"suffix":""},{"dropping-particle":"","family":"Syed","given":"Khaja","non-dropping-particle":"","parse-names":false,"suffix":""},{"dropping-particle":"","family":"Brennan","given":"Paul M","non-dropping-particle":"","parse-names":false,"suffix":""},{"dropping-particle":"","family":"Ashton","given":"Katherine","non-dropping-particle":"","parse-names":false,"suffix":""},{"dropping-particle":"","family":"Dawson","given":"Timothy","non-dropping-particle":"","parse-names":false,"suffix":""},{"dropping-particle":"","family":"Palmer","given":"David S","non-dropping-particle":"","parse-names":false,"suffix":""},{"dropping-particle":"","family":"Baker","given":"Matthew J","non-dropping-particle":"","parse-names":false,"suffix":""}],"container-title":"Analyst","id":"ITEM-3","issued":{"date-parts":[["2019"]]},"page":"6736-6750","publisher":"Royal Society of Chemistry","title":"Developing infrared spectroscopic detection for stratifying brain tumour patients: glioblastoma multiforme vs . lymphoma","type":"article-journal","volume":"144"},"uris":["http://www.mendeley.com/documents/?uuid=318b1a9b-cdd4-4a5c-adda-547ded34bd34"]},{"id":"ITEM-4","itemData":{"DOI":"10.1007/s11060-016-2060-x","ISBN":"0167-594x","ISSN":"15737373","PMID":"26874961","abstract":"The ability to diagnose cancer rapidly with high sensitivity and specificity is essential to exploit advances in new treatments to lead significant reductions in mortality and morbidity. Current cancer diagnostic tests observing tissue architecture and specific protein expression for specific cancers suffer from inter-observer variability, poor detection rates and occur when the patient is symptomatic. A new method for the detection of cancer using 1 μl of human serum, attenuated total reflection—Fourier transform infrared spectroscopy and pattern recognition algorithms is reported using a 433 patient dataset (3897 spectra). To the best of our knowledge, we present the largest study on serum mid-infrared spectroscopy for cancer research. We achieve optimum sensitivities and specificities using a Radial Basis Function Support Vector Machine of between 80.0 and 100 % for all strata and identify the major spectral features, hence biochemical components, responsible for the discrimination within each stratum. We assess feature fed-SVM analysis for our cancer versus non-cancer model and achieve 91.5 and 83.0 % sensitivity and specificity respectively. We demonstrate the use of infrared light to provide a spectral signature from human serum to detect, for the first time, cancer versus non-cancer, metastatic cancer versus organ confined, brain cancer severity and the organ of origin of metastatic disease from the same sample enabling stratified diagnostics depending upon the clinical question asked. © 2016, The Author(s).","author":[{"dropping-particle":"","family":"Hands","given":"James R.","non-dropping-particle":"","parse-names":false,"suffix":""},{"dropping-particle":"","family":"Clemens","given":"Graeme","non-dropping-particle":"","parse-names":false,"suffix":""},{"dropping-particle":"","family":"Stables","given":"Ryan","non-dropping-particle":"","parse-names":false,"suffix":""},{"dropping-particle":"","family":"Ashton","given":"Katherine","non-dropping-particle":"","parse-names":false,"suffix":""},{"dropping-particle":"","family":"Brodbelt","given":"Andrew","non-dropping-particle":"","parse-names":false,"suffix":""},{"dropping-particle":"","family":"Davis","given":"Charles","non-dropping-particle":"","parse-names":false,"suffix":""},{"dropping-particle":"","family":"Dawson","given":"Timothy P.","non-dropping-particle":"","parse-names":false,"suffix":""},{"dropping-particle":"","family":"Jenkinson","given":"Michael D.","non-dropping-particle":"","parse-names":false,"suffix":""},{"dropping-particle":"","family":"Lea","given":"Robert W.","non-dropping-particle":"","parse-names":false,"suffix":""},{"dropping-particle":"","family":"Walker","given":"Carol","non-dropping-particle":"","parse-names":false,"suffix":""},{"dropping-particle":"","family":"Baker","given":"Matthew J.","non-dropping-particle":"","parse-names":false,"suffix":""}],"container-title":"Journal of Neuro-Oncology","id":"ITEM-4","issued":{"date-parts":[["2016"]]},"page":"463-472","publisher":"Springer US","title":"Brain tumour differentiation: rapid stratified serum diagnostics via attenuated total reflection Fourier-transform infrared spectroscopy","type":"article-journal","volume":"127"},"uris":["http://www.mendeley.com/documents/?uuid=724ab212-eb24-421b-a0d3-0817fb6d610c"]}],"mendeley":{"formattedCitation":"&lt;sup&gt;13–16&lt;/sup&gt;","plainTextFormattedCitation":"13–16","previouslyFormattedCitation":"&lt;sup&gt;13–16&lt;/sup&gt;"},"properties":{"noteIndex":0},"schema":"https://github.com/citation-style-language/schema/raw/master/csl-citation.json"}</w:instrText>
      </w:r>
      <w:r w:rsidRPr="0056136F">
        <w:fldChar w:fldCharType="separate"/>
      </w:r>
      <w:r w:rsidRPr="00131B95">
        <w:rPr>
          <w:noProof/>
          <w:vertAlign w:val="superscript"/>
        </w:rPr>
        <w:t>13–16</w:t>
      </w:r>
      <w:r w:rsidRPr="0056136F">
        <w:fldChar w:fldCharType="end"/>
      </w:r>
      <w:r w:rsidRPr="0056136F">
        <w:t xml:space="preserve"> </w:t>
      </w:r>
      <w:r>
        <w:t xml:space="preserve">using quantitative IR </w:t>
      </w:r>
      <w:r w:rsidRPr="0056136F">
        <w:t>approaches</w:t>
      </w:r>
      <w:r>
        <w:t xml:space="preserve"> to measure protein levels </w:t>
      </w:r>
      <w:r w:rsidRPr="0056136F">
        <w:t>has remained elusive.</w:t>
      </w:r>
      <w:r w:rsidRPr="00635F27" w:rsidDel="0077058D">
        <w:t xml:space="preserve"> </w:t>
      </w:r>
    </w:p>
    <w:p w:rsidR="00F27F08" w:rsidRPr="00635F27" w:rsidRDefault="00F27F08" w:rsidP="00CD5814">
      <w:pPr>
        <w:pStyle w:val="TAMainText"/>
      </w:pPr>
      <w:r>
        <w:t>In addition to information relating to overall protein content, a</w:t>
      </w:r>
      <w:r w:rsidRPr="00635F27">
        <w:t xml:space="preserve">ccess to the low molecular weight (LMW) fraction </w:t>
      </w:r>
      <w:r>
        <w:t xml:space="preserve">of </w:t>
      </w:r>
      <w:r w:rsidRPr="009A5D74">
        <w:t xml:space="preserve">serum </w:t>
      </w:r>
      <w:r w:rsidRPr="0028211C">
        <w:t>is desirabl</w:t>
      </w:r>
      <w:r>
        <w:t>e from a diagnostic perspective.</w:t>
      </w:r>
      <w:r w:rsidRPr="0028211C">
        <w:t xml:space="preserve"> </w:t>
      </w:r>
      <w:r>
        <w:t>A</w:t>
      </w:r>
      <w:r w:rsidRPr="00635F27">
        <w:rPr>
          <w:shd w:val="clear" w:color="auto" w:fill="FFFFFF"/>
        </w:rPr>
        <w:t xml:space="preserve">s disease states progress, </w:t>
      </w:r>
      <w:r w:rsidRPr="00635F27">
        <w:t>changes in LMW composition can occur. For example, significant changes in amino acid levels (7</w:t>
      </w:r>
      <w:r>
        <w:t>5</w:t>
      </w:r>
      <w:r w:rsidRPr="00635F27">
        <w:t xml:space="preserve"> – 20</w:t>
      </w:r>
      <w:r>
        <w:t>4</w:t>
      </w:r>
      <w:r w:rsidRPr="00635F27">
        <w:t xml:space="preserve"> Da) have been documented for patients with neurodegenerative diseases.</w:t>
      </w:r>
      <w:r w:rsidRPr="00635F27">
        <w:fldChar w:fldCharType="begin" w:fldLock="1"/>
      </w:r>
      <w:r>
        <w:instrText>ADDIN CSL_CITATION {"citationItems":[{"id":"ITEM-1","itemData":{"DOI":"10.1007/s00726-019-02705-6","ISBN":"0123456789","ISSN":"1438-2199","author":[{"dropping-particle":"","family":"Socha","given":"Edyta","non-dropping-particle":"","parse-names":false,"suffix":""},{"dropping-particle":"","family":"Koba","given":"Marcin","non-dropping-particle":"","parse-names":false,"suffix":""},{"dropping-particle":"","family":"Kośliński","given":"Piotr","non-dropping-particle":"","parse-names":false,"suffix":""}],"container-title":"Amino Acids","id":"ITEM-1","issue":"3","issued":{"date-parts":[["2019"]]},"page":"367-371","publisher":"Springer Vienna","title":"Amino acid profiling as a method of discovering biomarkers for diagnosis of neurodegenerative diseases","type":"article-journal","volume":"51"},"uris":["http://www.mendeley.com/documents/?uuid=d9837c06-89c8-4bf1-bf5e-3505c66b42cb"]},{"id":"ITEM-2","itemData":{"DOI":"10.1016/j.clinbiochem.2010.04.072","ISSN":"0009-9120","author":[{"dropping-particle":"","family":"Li","given":"Nai-jing","non-dropping-particle":"","parse-names":false,"suffix":""},{"dropping-particle":"","family":"Liu","given":"Wen-tao","non-dropping-particle":"","parse-names":false,"suffix":""},{"dropping-particle":"","family":"Li","given":"Wei","non-dropping-particle":"","parse-names":false,"suffix":""},{"dropping-particle":"","family":"Li","given":"Sheng-qi","non-dropping-particle":"","parse-names":false,"suffix":""},{"dropping-particle":"","family":"Chen","given":"Xiao-hui","non-dropping-particle":"","parse-names":false,"suffix":""},{"dropping-particle":"","family":"Bi","given":"Kai-shun","non-dropping-particle":"","parse-names":false,"suffix":""},{"dropping-particle":"","family":"He","given":"Ping","non-dropping-particle":"","parse-names":false,"suffix":""}],"container-title":"Clinical Biochemistry","id":"ITEM-2","issue":"12","issued":{"date-parts":[["2010"]]},"page":"992-997","publisher":"Elsevier B.V.","title":"Plasma metabolic profiling of Alzheimer's disease by liquid chromatography/mass spectrometry","type":"article-journal","volume":"43"},"uris":["http://www.mendeley.com/documents/?uuid=3915aed2-7430-4f73-83fa-795baf5c3005"]}],"mendeley":{"formattedCitation":"&lt;sup&gt;17,18&lt;/sup&gt;","plainTextFormattedCitation":"17,18","previouslyFormattedCitation":"&lt;sup&gt;17,18&lt;/sup&gt;"},"properties":{"noteIndex":0},"schema":"https://github.com/citation-style-language/schema/raw/master/csl-citation.json"}</w:instrText>
      </w:r>
      <w:r w:rsidRPr="00635F27">
        <w:fldChar w:fldCharType="separate"/>
      </w:r>
      <w:r w:rsidRPr="00131B95">
        <w:rPr>
          <w:noProof/>
          <w:vertAlign w:val="superscript"/>
        </w:rPr>
        <w:t>17,18</w:t>
      </w:r>
      <w:r w:rsidRPr="00635F27">
        <w:fldChar w:fldCharType="end"/>
      </w:r>
      <w:r w:rsidRPr="00635F27">
        <w:t xml:space="preserve"> </w:t>
      </w:r>
      <w:r w:rsidRPr="002778EA">
        <w:t xml:space="preserve">The LMW peptide neuropeptide Y (4 </w:t>
      </w:r>
      <w:proofErr w:type="spellStart"/>
      <w:r w:rsidRPr="002778EA">
        <w:t>kDa</w:t>
      </w:r>
      <w:proofErr w:type="spellEnd"/>
      <w:r w:rsidRPr="002778EA">
        <w:t xml:space="preserve">), is a </w:t>
      </w:r>
      <w:r w:rsidRPr="002778EA">
        <w:lastRenderedPageBreak/>
        <w:t xml:space="preserve">sympathetic neurotransmitter that regulates processes relevant to </w:t>
      </w:r>
      <w:proofErr w:type="spellStart"/>
      <w:r w:rsidRPr="002778EA">
        <w:t>tumour</w:t>
      </w:r>
      <w:proofErr w:type="spellEnd"/>
      <w:r w:rsidRPr="002778EA">
        <w:t xml:space="preserve"> biology in neuroblastomas and has been identified as a serum biomarker, where high levels of the peptide (&gt; 0.5 ng/</w:t>
      </w:r>
      <w:r>
        <w:t>mL</w:t>
      </w:r>
      <w:r w:rsidRPr="002778EA">
        <w:t>) are associated with poor pr</w:t>
      </w:r>
      <w:r>
        <w:t>ognosis and survival rates.</w:t>
      </w:r>
      <w:r>
        <w:fldChar w:fldCharType="begin" w:fldLock="1"/>
      </w:r>
      <w:r>
        <w:instrText>ADDIN CSL_CITATION {"citationItems":[{"id":"ITEM-1","itemData":{"DOI":"10.1016/j.ajpath.2016.07.019","ISSN":"15252191","PMID":"27743558","abstract":"Neuroblastoma (NB) is a pediatric malignant neoplasm of sympathoadrenal origin. Challenges in its management include stratification of this heterogeneous disease and a lack of both adequate treatments for high-risk patients and noninvasive biomarkers of disease progression. Our previous studies have identified neuropeptide Y (NPY), a sympathetic neurotransmitter expressed in NB, as a potential therapeutic target for these tumors by virtue of its Y5 receptor (Y5R)–mediated chemoresistance and Y2 receptor (Y2R)–mediated proliferative and angiogenic activities. The goal of this study was to determine the clinical relevance and utility of these findings. Expression of NPY and its receptors was evaluated in corresponding samples of tumor RNA, tissues, and sera from 87 patients with neuroblastic tumors and in tumor tissues from the TH-MYCN NB mouse model. Elevated serum NPY levels correlated with an adverse clinical presentation, poor survival, metastasis, and relapse, whereas strong Y5R immunoreactivity was a marker of angioinvasive tumor cells. In NB tissues from TH-MYCN mice, high immunoreactivity of both NPY and Y5R marked angioinvasive NB cells. Y2R was uniformly expressed in undifferentiated tumor cells, which supports its previously reported role in NB cell proliferation. Our findings validate NPY as a therapeutic target for advanced NB and implicate the NPY/Y5R axis in disease dissemination. The correlation between elevated systemic NPY and NB progression identifies serum NPY as a novel NB biomarker.","author":[{"dropping-particle":"","family":"Galli","given":"Susana","non-dropping-particle":"","parse-names":false,"suffix":""},{"dropping-particle":"","family":"Naranjo","given":"Arlene","non-dropping-particle":"","parse-names":false,"suffix":""},{"dropping-particle":"","family":"Ryn","given":"Collin","non-dropping-particle":"Van","parse-names":false,"suffix":""},{"dropping-particle":"","family":"Tilan","given":"Jason U.","non-dropping-particle":"","parse-names":false,"suffix":""},{"dropping-particle":"","family":"Trinh","given":"Emily","non-dropping-particle":"","parse-names":false,"suffix":""},{"dropping-particle":"","family":"Yang","given":"Chao","non-dropping-particle":"","parse-names":false,"suffix":""},{"dropping-particle":"","family":"Tsuei","given":"Jessica","non-dropping-particle":"","parse-names":false,"suffix":""},{"dropping-particle":"","family":"Hong","given":"Sung Hyeok","non-dropping-particle":"","parse-names":false,"suffix":""},{"dropping-particle":"","family":"Wang","given":"Hongkun","non-dropping-particle":"","parse-names":false,"suffix":""},{"dropping-particle":"","family":"Izycka-Swieszewska","given":"Ewa","non-dropping-particle":"","parse-names":false,"suffix":""},{"dropping-particle":"","family":"Lee","given":"Yi Chien","non-dropping-particle":"","parse-names":false,"suffix":""},{"dropping-particle":"","family":"Rodriguez","given":"Olga C.","non-dropping-particle":"","parse-names":false,"suffix":""},{"dropping-particle":"","family":"Albanese","given":"Chris","non-dropping-particle":"","parse-names":false,"suffix":""},{"dropping-particle":"","family":"Kitlinska","given":"Joanna","non-dropping-particle":"","parse-names":false,"suffix":""}],"container-title":"American Journal of Pathology","id":"ITEM-1","issue":"11","issued":{"date-parts":[["2016"]]},"page":"3040-3053","publisher":"Elsevier","title":"Neuropeptide Y as a Biomarker and Therapeutic Target for Neuroblastoma","type":"article-journal","volume":"186"},"uris":["http://www.mendeley.com/documents/?uuid=74c42eb0-75d4-4bff-99bf-865ab05516db"]},{"id":"ITEM-2","itemData":{"author":[{"dropping-particle":"","family":"Rascher","given":"Wolfgang","non-dropping-particle":"","parse-names":false,"suffix":""},{"dropping-particle":"","family":"Kremens","given":"Bernard","non-dropping-particle":"","parse-names":false,"suffix":""},{"dropping-particle":"","family":"Wagner","given":"Sabine","non-dropping-particle":"","parse-names":false,"suffix":""},{"dropping-particle":"","family":"Feth","given":"Friedhelm","non-dropping-particle":"","parse-names":false,"suffix":""},{"dropping-particle":"","family":"Hunneman","given":"D H","non-dropping-particle":"","parse-names":false,"suffix":""},{"dropping-particle":"","family":"Lang","given":"Rudolf E","non-dropping-particle":"","parse-names":false,"suffix":""}],"container-title":"The Journal of Pediatrics","id":"ITEM-2","issued":{"date-parts":[["1993"]]},"page":"914-916","title":"Serial measurements of neuropeptide Y in plasma for monitoring neuroblastoma in children","type":"article-journal","volume":"122"},"uris":["http://www.mendeley.com/documents/?uuid=f33a00f7-35f3-45b7-8341-310312f52ca9"]}],"mendeley":{"formattedCitation":"&lt;sup&gt;19,20&lt;/sup&gt;","plainTextFormattedCitation":"19,20","previouslyFormattedCitation":"&lt;sup&gt;19,20&lt;/sup&gt;"},"properties":{"noteIndex":0},"schema":"https://github.com/citation-style-language/schema/raw/master/csl-citation.json"}</w:instrText>
      </w:r>
      <w:r>
        <w:fldChar w:fldCharType="separate"/>
      </w:r>
      <w:r w:rsidRPr="00131B95">
        <w:rPr>
          <w:noProof/>
          <w:vertAlign w:val="superscript"/>
        </w:rPr>
        <w:t>19,20</w:t>
      </w:r>
      <w:r>
        <w:fldChar w:fldCharType="end"/>
      </w:r>
      <w:r>
        <w:t xml:space="preserve"> Analysis of the LMW proteinaceous fraction </w:t>
      </w:r>
      <w:r w:rsidRPr="00635F27">
        <w:t>with IR</w:t>
      </w:r>
      <w:r w:rsidR="00CD5814">
        <w:t xml:space="preserve"> s</w:t>
      </w:r>
      <w:r>
        <w:t>pectroscopy</w:t>
      </w:r>
      <w:r w:rsidRPr="00635F27">
        <w:t xml:space="preserve"> is </w:t>
      </w:r>
      <w:r>
        <w:t xml:space="preserve">however </w:t>
      </w:r>
      <w:r w:rsidRPr="00635F27">
        <w:t xml:space="preserve">hampered </w:t>
      </w:r>
      <w:r>
        <w:t xml:space="preserve">further </w:t>
      </w:r>
      <w:r w:rsidRPr="00635F27">
        <w:t xml:space="preserve">by dominant signals from albumin and </w:t>
      </w:r>
      <w:r>
        <w:t xml:space="preserve">the </w:t>
      </w:r>
      <w:r w:rsidRPr="00635F27">
        <w:t xml:space="preserve">globulins. Filtering </w:t>
      </w:r>
      <w:r>
        <w:t xml:space="preserve">samples </w:t>
      </w:r>
      <w:r w:rsidRPr="00635F27">
        <w:t xml:space="preserve">to remove the larger species </w:t>
      </w:r>
      <w:r>
        <w:t>enables</w:t>
      </w:r>
      <w:r w:rsidRPr="00635F27">
        <w:t xml:space="preserve"> an increased sensitivity </w:t>
      </w:r>
      <w:r>
        <w:t xml:space="preserve">to LMW molecules </w:t>
      </w:r>
      <w:r w:rsidRPr="00635F27">
        <w:t>using ATR-IR spectroscopy,</w:t>
      </w:r>
      <w:r w:rsidRPr="00635F27">
        <w:fldChar w:fldCharType="begin" w:fldLock="1"/>
      </w:r>
      <w:r>
        <w:instrText>ADDIN CSL_CITATION {"citationItems":[{"id":"ITEM-1","itemData":{"DOI":"10.1039/c6an01888b","ISSN":"13645528","abstract":"Infrared spectroscopy is a reliable, rapid and cost effective characterisation technique, delivering a molecular finger print of the sample. It is expected that its sensitivity would enable detection of small chemical variations in biological samples associated with disease. ATR-IR is particularly suitable for liquid sample analysis and, although air drying is commonly performed before data collection, just a drop of human serum is enough for screening and early diagnosis. However, the dynamic range of constituent biochemical concentrations in the serum composition remains a limiting factor to the reliability of the technique. Using glucose as a model spike in human serum, it has been demonstrated in the present study that fractionating the serum prior to spectroscopic analysis can considerably improve the precision and accuracy of quantitative models based on the partial least squares regression algorithm. By depleting the abundant high molecular weight proteins, which otherwise dominate the spectral signatures collected, the ability to monitor changes in the concentrations of the low molecular weight constituents is enhanced. The Root Mean Square Error for the Validation set (RMSEV) has been improved by a factor of 5 following human serum processing with an average relative error in the predictive values below 1% being achieved. Moreover, the approach is easily transferable to different bodily fluids, which would support the development of more efficient and suitable clinical protocols for exploration of vibrational spectroscopy based ex vivo diagnostic tools.","author":[{"dropping-particle":"","family":"Bonnier","given":"Franck","non-dropping-particle":"","parse-names":false,"suffix":""},{"dropping-particle":"","family":"Blasco","given":"Hélène","non-dropping-particle":"","parse-names":false,"suffix":""},{"dropping-particle":"","family":"Wasselet","given":"Clément","non-dropping-particle":"","parse-names":false,"suffix":""},{"dropping-particle":"","family":"Brachet","given":"Guillaume","non-dropping-particle":"","parse-names":false,"suffix":""},{"dropping-particle":"","family":"Respaud","given":"Renaud","non-dropping-particle":"","parse-names":false,"suffix":""},{"dropping-particle":"","family":"Carvalho","given":"Luis Felipe C.S.","non-dropping-particle":"","parse-names":false,"suffix":""},{"dropping-particle":"","family":"Bertrand","given":"Dominique","non-dropping-particle":"","parse-names":false,"suffix":""},{"dropping-particle":"","family":"Baker","given":"Matthew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Analyst","id":"ITEM-1","issued":{"date-parts":[["2017"]]},"page":"1285-1298","publisher":"Royal Society of Chemistry","title":"Ultra-filtration of human serum for improved quantitative analysis of low molecular weight biomarkers using ATR-IR spectroscopy","type":"article-journal","volume":"142"},"uris":["http://www.mendeley.com/documents/?uuid=630ea09c-7174-4c60-b993-907707edb078"]},{"id":"ITEM-2","itemData":{"DOI":"10.1002/jbio.201600015","ISBN":"1864-063x","ISSN":"18640648","PMID":"27507567","abstract":"Vibrational spectroscopic techniques can detect small variations in molecular content, linked with disease, showing promise for screening and early diagnosis. Biological fluids, particularly blood serum, are potentially valuable for diagnosis purposes. The so-called Low Molecular Weight Fraction (LMWF) contains the associated peptidome and metabolome and has been identified as potentially the most relevant molecular population for disease-associated biomarker research. Although vibrational spectroscopy can deliver a specific chemical fingerprint of the samples, the High Molecular Weight Fraction (HMWF), composed of the most abundant serum proteins, strongly dominates the response and ultimately makes the detection of minor spectral variations a challenging task. Spectroscopic detection of potential serum biomarkers present at relatively low concentrations can be improved using pre-analytical depletion of the HMWF. In the present study, human serum fractionation by centrifugal filtration was used prior to analysis by Attenuated Total Reflection infrared spectroscopy. Using a model sample based on glycine spiked serum, it is demonstrated that the screening of the LMWF can be applied to quantify blinded concentrations up to 50 times lower. Moreover, the approach is easily transferable to different bodily fluids which would support the development of more efficient and suitable clinical protocols exploring vibrational spectroscopy based ex-vivo diagnostic tools. Revealing serum LMWF for spectral serological diagnostic applications.","author":[{"dropping-particle":"","family":"Bonnier","given":"Franck","non-dropping-particle":"","parse-names":false,"suffix":""},{"dropping-particle":"","family":"Brachet","given":"Guillaume","non-dropping-particle":"","parse-names":false,"suffix":""},{"dropping-particle":"","family":"Duong","given":"Romain","non-dropping-particle":"","parse-names":false,"suffix":""},{"dropping-particle":"","family":"Sojinrin","given":"Tobiloba","non-dropping-particle":"","parse-names":false,"suffix":""},{"dropping-particle":"","family":"Respaud","given":"Renaud","non-dropping-particle":"","parse-names":false,"suffix":""},{"dropping-particle":"","family":"Aubrey","given":"Nicolas","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J.","non-dropping-particle":"","parse-names":false,"suffix":""},{"dropping-particle":"","family":"Chourpa","given":"Igor","non-dropping-particle":"","parse-names":false,"suffix":""}],"container-title":"Journal of Biophotonics","id":"ITEM-2","issued":{"date-parts":[["2016"]]},"page":"1085-1097","title":"Screening the low molecular weight fraction of human serum using ATR-IR spectroscopy","type":"article-journal","volume":"9"},"uris":["http://www.mendeley.com/documents/?uuid=6ba27394-d623-4302-ba16-c3f86f7d6350"]}],"mendeley":{"formattedCitation":"&lt;sup&gt;21,22&lt;/sup&gt;","plainTextFormattedCitation":"21,22","previouslyFormattedCitation":"&lt;sup&gt;21,22&lt;/sup&gt;"},"properties":{"noteIndex":0},"schema":"https://github.com/citation-style-language/schema/raw/master/csl-citation.json"}</w:instrText>
      </w:r>
      <w:r w:rsidRPr="00635F27">
        <w:fldChar w:fldCharType="separate"/>
      </w:r>
      <w:r w:rsidRPr="00131B95">
        <w:rPr>
          <w:noProof/>
          <w:vertAlign w:val="superscript"/>
        </w:rPr>
        <w:t>21,22</w:t>
      </w:r>
      <w:r w:rsidRPr="00635F27">
        <w:fldChar w:fldCharType="end"/>
      </w:r>
      <w:r w:rsidRPr="00635F27">
        <w:t xml:space="preserve"> but at the expense of time and the </w:t>
      </w:r>
      <w:r>
        <w:t>possible</w:t>
      </w:r>
      <w:r w:rsidRPr="00635F27">
        <w:t xml:space="preserve"> unintentional removal of some LMW components. In particular, the role of albumin as a transport protein means that its removal during filtration could also result in the </w:t>
      </w:r>
      <w:r>
        <w:t>coincidental</w:t>
      </w:r>
      <w:r w:rsidRPr="00635F27">
        <w:t xml:space="preserve"> removal of bound LMW species</w:t>
      </w:r>
      <w:r>
        <w:t xml:space="preserve"> and </w:t>
      </w:r>
      <w:r w:rsidR="00CD5814">
        <w:t>subsequently</w:t>
      </w:r>
      <w:r>
        <w:t xml:space="preserve"> the much needed diagnostic information</w:t>
      </w:r>
      <w:r w:rsidRPr="00635F27">
        <w:t>.</w:t>
      </w:r>
      <w:r w:rsidRPr="00635F27">
        <w:fldChar w:fldCharType="begin" w:fldLock="1"/>
      </w:r>
      <w:r>
        <w:instrText>ADDIN CSL_CITATION {"citationItems":[{"id":"ITEM-1","itemData":{"DOI":"10.1074/mcp.M200066-MCP200","ISBN":"1535-9476 (Print) 1535-9476 (Linking)","ISSN":"1535-9476","PMID":"12543931","abstract":"Blood serum is a complex body fluid that contains various proteins ranging in concentration over at least 9 orders of magnitude. Using a combination of mass spectrometry technologies with improvements in sample preparation, we have performed a proteomic analysis with submilliliter quantities of serum and increased the measurable con-centration range for proteins in blood serum beyond pre-vious reports. We have detected 490 proteins in serum by on-line reversed-phase microcapillary liquid chromatog-raphy coupled with ion trap mass spectrometry. To per-form this analysis, immunoglobulins were removed from serum using protein A/G, and the remaining proteins were digested with trypsin. Resulting peptides were separated by strong cation exchange chromatography into distinct fractions prior to analysis. This separation resulted in a 3–5-fold increase in the number of proteins detected in an individual serum sample. With this increase in the number of proteins identified we have detected some lower abun-dance serum proteins (ng/ml range) including human growth hormone, interleukin-12, and prostate-specific an-tigen. We also used SEQUEST to compare different pro-tein databases with and without filtering. This comparison is plotted to allow for a quick visual assessment of differ-ent databases as a subjective measure of analytical qual-ity. With this study, we have performed the most extensive analysis of serum proteins to date and laid the foundation for future refinements in the identification of novel protein biomarkers of disease. Molecular &amp; Cellular Proteom-ics 1:947–955, 2002.","author":[{"dropping-particle":"","family":"Adkins","given":"Joshua N.","non-dropping-particle":"","parse-names":false,"suffix":""},{"dropping-particle":"","family":"Varnum","given":"Susan M.","non-dropping-particle":"","parse-names":false,"suffix":""},{"dropping-particle":"","family":"Auberry","given":"Kenneth J.","non-dropping-particle":"","parse-names":false,"suffix":""},{"dropping-particle":"","family":"Moore","given":"Ronald J.","non-dropping-particle":"","parse-names":false,"suffix":""},{"dropping-particle":"","family":"Angell","given":"Nicolas H.","non-dropping-particle":"","parse-names":false,"suffix":""},{"dropping-particle":"","family":"Smith","given":"Richard D.","non-dropping-particle":"","parse-names":false,"suffix":""},{"dropping-particle":"","family":"Springer","given":"David L.","non-dropping-particle":"","parse-names":false,"suffix":""},{"dropping-particle":"","family":"Pounds","given":"Joel G.","non-dropping-particle":"","parse-names":false,"suffix":""}],"container-title":"Molecular &amp; Cellular Proteomics","id":"ITEM-1","issued":{"date-parts":[["2002"]]},"page":"947-955","title":"Toward a Human Blood Serum Proteome","type":"article-journal","volume":"1"},"uris":["http://www.mendeley.com/documents/?uuid=cc8971c2-769f-4478-81ca-69135c0826e6"]},{"id":"ITEM-2","itemData":{"DOI":"10.1074/mcp.M300031-MCP200","ISBN":"1535-9476 (Print) 1535-9476 (Linking)","ISSN":"1535-9476","PMID":"12917320","abstract":"Serum potentially carries an archive of important histological information whose determination could serve to improve early disease detection. The analysis of serum, however, is analytically challenging due to the high dynamic concentration range of constituent protein/peptide species, necessitating extensive fractionation prior to mass spectrometric analyses. The low molecular weight (LMW) serum proteome is that protein/peptide fraction from which high molecular weight proteins, such as albumin, immunoglobulins, transferrin, and lipoproteins, have been removed. This LMW fraction is made up of several classes of physiologically important proteins such as cytokines, chemokines, peptide hormones, as well as proteolytic fragments of larger proteins. Centrifugal ultrafiltration of serum was used to remove the large constituent proteins resulting in the enrichment of the LMW proteins/peptides. Because albumin is known to bind and transport small molecules and peptides within the circulatory system, the centrifugal ultrafiltration was conducted under solvent conditions effecting the disruption of protein-protein interactions. The LMW serum proteome sample was digested with trypsin, fractionated by strong cation exchange chromatography, and analyzed by microcapillary reversed-phase liquid chromatography coupled on-line with electrospray ionization tandem mass spectrometry. Analysis of the tandem mass spectra resulted in the identification of over 340 human serum proteins; however, not a single peptide from serum albumin was observed. The large number of proteins identified demonstrates the efficacy of this method for the removal of large abundant proteins and the enrichment of the LMW serum proteome.","author":[{"dropping-particle":"","family":"Tirumalai","given":"Radhakrishna S.","non-dropping-particle":"","parse-names":false,"suffix":""},{"dropping-particle":"","family":"Chan","given":"King C.","non-dropping-particle":"","parse-names":false,"suffix":""},{"dropping-particle":"","family":"Prieto","given":"DaRue A.","non-dropping-particle":"","parse-names":false,"suffix":""},{"dropping-particle":"","family":"Issaq","given":"Haleem J.","non-dropping-particle":"","parse-names":false,"suffix":""},{"dropping-particle":"","family":"Conrads","given":"Thomas P.","non-dropping-particle":"","parse-names":false,"suffix":""},{"dropping-particle":"","family":"Veenstra","given":"Timothy D.","non-dropping-particle":"","parse-names":false,"suffix":""}],"container-title":"Molecular &amp; Cellular Proteomics","id":"ITEM-2","issued":{"date-parts":[["2003"]]},"page":"1096-1103","title":"Characterization of the Low Molecular Weight Human Serum Proteome","type":"article-journal","volume":"2"},"uris":["http://www.mendeley.com/documents/?uuid=0455584d-8f73-45bb-9d0b-e49615982b78"]}],"mendeley":{"formattedCitation":"&lt;sup&gt;7,23&lt;/sup&gt;","plainTextFormattedCitation":"7,23","previouslyFormattedCitation":"&lt;sup&gt;7,23&lt;/sup&gt;"},"properties":{"noteIndex":0},"schema":"https://github.com/citation-style-language/schema/raw/master/csl-citation.json"}</w:instrText>
      </w:r>
      <w:r w:rsidRPr="00635F27">
        <w:fldChar w:fldCharType="separate"/>
      </w:r>
      <w:r w:rsidRPr="00131B95">
        <w:rPr>
          <w:noProof/>
          <w:vertAlign w:val="superscript"/>
        </w:rPr>
        <w:t>7,23</w:t>
      </w:r>
      <w:r w:rsidRPr="00635F27">
        <w:fldChar w:fldCharType="end"/>
      </w:r>
      <w:r w:rsidRPr="00635F27">
        <w:t xml:space="preserve"> </w:t>
      </w:r>
    </w:p>
    <w:p w:rsidR="00F27F08" w:rsidRPr="009C0B84" w:rsidRDefault="00F27F08" w:rsidP="00F27F08">
      <w:pPr>
        <w:pStyle w:val="TAMainText"/>
        <w:rPr>
          <w:shd w:val="clear" w:color="auto" w:fill="FFFFFF"/>
        </w:rPr>
      </w:pPr>
      <w:r w:rsidRPr="00635F27">
        <w:rPr>
          <w:shd w:val="clear" w:color="auto" w:fill="FFFFFF"/>
        </w:rPr>
        <w:t xml:space="preserve">It was demonstrated recently that ultrafast 2D-IR spectroscopy </w:t>
      </w:r>
      <w:r>
        <w:rPr>
          <w:shd w:val="clear" w:color="auto" w:fill="FFFFFF"/>
        </w:rPr>
        <w:t>offers a route to</w:t>
      </w:r>
      <w:r w:rsidRPr="00635F27">
        <w:rPr>
          <w:shd w:val="clear" w:color="auto" w:fill="FFFFFF"/>
        </w:rPr>
        <w:t xml:space="preserve"> circumvent</w:t>
      </w:r>
      <w:r>
        <w:rPr>
          <w:shd w:val="clear" w:color="auto" w:fill="FFFFFF"/>
        </w:rPr>
        <w:t>ing</w:t>
      </w:r>
      <w:r w:rsidRPr="00635F27">
        <w:rPr>
          <w:shd w:val="clear" w:color="auto" w:fill="FFFFFF"/>
        </w:rPr>
        <w:t xml:space="preserve"> the problem </w:t>
      </w:r>
      <w:r>
        <w:rPr>
          <w:shd w:val="clear" w:color="auto" w:fill="FFFFFF"/>
        </w:rPr>
        <w:t>of water absorption in the amide I region of the IR spectrum.</w:t>
      </w:r>
      <w:r w:rsidRPr="00635F27">
        <w:rPr>
          <w:shd w:val="clear" w:color="auto" w:fill="FFFFFF"/>
          <w:vertAlign w:val="superscript"/>
        </w:rPr>
        <w:fldChar w:fldCharType="begin" w:fldLock="1"/>
      </w:r>
      <w:r>
        <w:rPr>
          <w:shd w:val="clear" w:color="auto" w:fill="FFFFFF"/>
          <w:vertAlign w:val="superscript"/>
        </w:rPr>
        <w:instrText>ADDIN CSL_CITATION {"citationItems":[{"id":"ITEM-1","itemData":{"DOI":"10.1039/c9sc01590f","author":[{"dropping-particle":"","family":"Hume","given":"Samantha","non-dropping-particle":"","parse-names":false,"suffix":""},{"dropping-particle":"","family":"Hithell","given":"Gordon","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W","non-dropping-particle":"","parse-names":false,"suffix":""},{"dropping-particle":"","family":"Baker","given":"J","non-dropping-particle":"","parse-names":false,"suffix":""},{"dropping-particle":"","family":"Hunt","given":"Neil T","non-dropping-particle":"","parse-names":false,"suffix":""}],"container-title":"Chemical Science","id":"ITEM-1","issue":"26","issued":{"date-parts":[["2019"]]},"page":"6448-6456","publisher":"Royal Society of Chemistry","title":"Measuring Proteins in H2O with 2D-IR Spectroscopy","type":"article-journal","volume":"10"},"uris":["http://www.mendeley.com/documents/?uuid=e57e5371-ac57-48de-8056-6418ca80be17"]}],"mendeley":{"formattedCitation":"&lt;sup&gt;24&lt;/sup&gt;","plainTextFormattedCitation":"24","previouslyFormattedCitation":"&lt;sup&gt;24&lt;/sup&gt;"},"properties":{"noteIndex":0},"schema":"https://github.com/citation-style-language/schema/raw/master/csl-citation.json"}</w:instrText>
      </w:r>
      <w:r w:rsidRPr="00635F27">
        <w:rPr>
          <w:shd w:val="clear" w:color="auto" w:fill="FFFFFF"/>
          <w:vertAlign w:val="superscript"/>
        </w:rPr>
        <w:fldChar w:fldCharType="separate"/>
      </w:r>
      <w:r w:rsidRPr="00131B95">
        <w:rPr>
          <w:noProof/>
          <w:shd w:val="clear" w:color="auto" w:fill="FFFFFF"/>
          <w:vertAlign w:val="superscript"/>
        </w:rPr>
        <w:t>24</w:t>
      </w:r>
      <w:r w:rsidRPr="00635F27">
        <w:rPr>
          <w:shd w:val="clear" w:color="auto" w:fill="FFFFFF"/>
          <w:vertAlign w:val="superscript"/>
        </w:rPr>
        <w:fldChar w:fldCharType="end"/>
      </w:r>
      <w:r>
        <w:rPr>
          <w:shd w:val="clear" w:color="auto" w:fill="FFFFFF"/>
        </w:rPr>
        <w:t xml:space="preserve"> T</w:t>
      </w:r>
      <w:r w:rsidRPr="00635F27">
        <w:rPr>
          <w:shd w:val="clear" w:color="auto" w:fill="FFFFFF"/>
        </w:rPr>
        <w:t>h</w:t>
      </w:r>
      <w:r>
        <w:rPr>
          <w:shd w:val="clear" w:color="auto" w:fill="FFFFFF"/>
        </w:rPr>
        <w:t>e</w:t>
      </w:r>
      <w:r w:rsidRPr="00635F27">
        <w:rPr>
          <w:shd w:val="clear" w:color="auto" w:fill="FFFFFF"/>
        </w:rPr>
        <w:t xml:space="preserve"> non-linear </w:t>
      </w:r>
      <w:r>
        <w:rPr>
          <w:shd w:val="clear" w:color="auto" w:fill="FFFFFF"/>
        </w:rPr>
        <w:t>nature</w:t>
      </w:r>
      <w:r w:rsidRPr="00635F27">
        <w:rPr>
          <w:shd w:val="clear" w:color="auto" w:fill="FFFFFF"/>
        </w:rPr>
        <w:t xml:space="preserve"> of the 2D-IR signal </w:t>
      </w:r>
      <w:r>
        <w:rPr>
          <w:shd w:val="clear" w:color="auto" w:fill="FFFFFF"/>
        </w:rPr>
        <w:t>amplifies</w:t>
      </w:r>
      <w:r w:rsidRPr="00635F27">
        <w:rPr>
          <w:shd w:val="clear" w:color="auto" w:fill="FFFFFF"/>
        </w:rPr>
        <w:t xml:space="preserve"> the high molar extinction coefficient protein </w:t>
      </w:r>
      <w:r>
        <w:rPr>
          <w:shd w:val="clear" w:color="auto" w:fill="FFFFFF"/>
        </w:rPr>
        <w:t>amide I band</w:t>
      </w:r>
      <w:r w:rsidRPr="00635F27">
        <w:rPr>
          <w:shd w:val="clear" w:color="auto" w:fill="FFFFFF"/>
        </w:rPr>
        <w:t xml:space="preserve"> </w:t>
      </w:r>
      <w:r>
        <w:rPr>
          <w:shd w:val="clear" w:color="auto" w:fill="FFFFFF"/>
        </w:rPr>
        <w:t>relative to</w:t>
      </w:r>
      <w:r w:rsidRPr="00635F27">
        <w:rPr>
          <w:shd w:val="clear" w:color="auto" w:fill="FFFFFF"/>
        </w:rPr>
        <w:t xml:space="preserve"> the weaker (per molecule) water bending vibrational mode</w:t>
      </w:r>
      <w:r>
        <w:rPr>
          <w:shd w:val="clear" w:color="auto" w:fill="FFFFFF"/>
        </w:rPr>
        <w:t>, while the 50 fs time resolution of 2D-IR spectroscopy enables separation of the protein and water signals based on their different vibrational relaxation timescales</w:t>
      </w:r>
      <w:r w:rsidRPr="00635F27">
        <w:rPr>
          <w:shd w:val="clear" w:color="auto" w:fill="FFFFFF"/>
        </w:rPr>
        <w:t xml:space="preserve">. </w:t>
      </w:r>
      <w:r>
        <w:rPr>
          <w:shd w:val="clear" w:color="auto" w:fill="FFFFFF"/>
        </w:rPr>
        <w:t xml:space="preserve">Using this approach, 2D-IR was able to </w:t>
      </w:r>
      <w:r w:rsidRPr="00635F27">
        <w:rPr>
          <w:shd w:val="clear" w:color="auto" w:fill="FFFFFF"/>
        </w:rPr>
        <w:t>measure the albumin to globulin ratio</w:t>
      </w:r>
      <w:r w:rsidRPr="00B64E69">
        <w:rPr>
          <w:shd w:val="clear" w:color="auto" w:fill="FFFFFF"/>
        </w:rPr>
        <w:t xml:space="preserve"> </w:t>
      </w:r>
      <w:r>
        <w:rPr>
          <w:shd w:val="clear" w:color="auto" w:fill="FFFFFF"/>
        </w:rPr>
        <w:t>of as-received serum samples and showed sensitivity</w:t>
      </w:r>
      <w:r w:rsidRPr="00635F27">
        <w:rPr>
          <w:shd w:val="clear" w:color="auto" w:fill="FFFFFF"/>
        </w:rPr>
        <w:t xml:space="preserve"> to changes in concentration of individual </w:t>
      </w:r>
      <w:r>
        <w:rPr>
          <w:shd w:val="clear" w:color="auto" w:fill="FFFFFF"/>
        </w:rPr>
        <w:t xml:space="preserve">large </w:t>
      </w:r>
      <w:r w:rsidRPr="00635F27">
        <w:rPr>
          <w:shd w:val="clear" w:color="auto" w:fill="FFFFFF"/>
        </w:rPr>
        <w:t>globulin proteins IgG, IgA and IgM.</w:t>
      </w:r>
      <w:r w:rsidRPr="00635F27">
        <w:rPr>
          <w:shd w:val="clear" w:color="auto" w:fill="FFFFFF"/>
          <w:vertAlign w:val="superscript"/>
        </w:rPr>
        <w:fldChar w:fldCharType="begin" w:fldLock="1"/>
      </w:r>
      <w:r>
        <w:rPr>
          <w:shd w:val="clear" w:color="auto" w:fill="FFFFFF"/>
          <w:vertAlign w:val="superscript"/>
        </w:rPr>
        <w:instrText>ADDIN CSL_CITATION {"citationItems":[{"id":"ITEM-1","itemData":{"DOI":"10.1039/c9sc01590f","author":[{"dropping-particle":"","family":"Hume","given":"Samantha","non-dropping-particle":"","parse-names":false,"suffix":""},{"dropping-particle":"","family":"Hithell","given":"Gordon","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W","non-dropping-particle":"","parse-names":false,"suffix":""},{"dropping-particle":"","family":"Baker","given":"J","non-dropping-particle":"","parse-names":false,"suffix":""},{"dropping-particle":"","family":"Hunt","given":"Neil T","non-dropping-particle":"","parse-names":false,"suffix":""}],"container-title":"Chemical Science","id":"ITEM-1","issue":"26","issued":{"date-parts":[["2019"]]},"page":"6448-6456","publisher":"Royal Society of Chemistry","title":"Measuring Proteins in H2O with 2D-IR Spectroscopy","type":"article-journal","volume":"10"},"uris":["http://www.mendeley.com/documents/?uuid=e57e5371-ac57-48de-8056-6418ca80be17"]}],"mendeley":{"formattedCitation":"&lt;sup&gt;24&lt;/sup&gt;","plainTextFormattedCitation":"24","previouslyFormattedCitation":"&lt;sup&gt;24&lt;/sup&gt;"},"properties":{"noteIndex":0},"schema":"https://github.com/citation-style-language/schema/raw/master/csl-citation.json"}</w:instrText>
      </w:r>
      <w:r w:rsidRPr="00635F27">
        <w:rPr>
          <w:shd w:val="clear" w:color="auto" w:fill="FFFFFF"/>
          <w:vertAlign w:val="superscript"/>
        </w:rPr>
        <w:fldChar w:fldCharType="separate"/>
      </w:r>
      <w:r w:rsidRPr="00131B95">
        <w:rPr>
          <w:noProof/>
          <w:shd w:val="clear" w:color="auto" w:fill="FFFFFF"/>
          <w:vertAlign w:val="superscript"/>
        </w:rPr>
        <w:t>24</w:t>
      </w:r>
      <w:r w:rsidRPr="00635F27">
        <w:rPr>
          <w:shd w:val="clear" w:color="auto" w:fill="FFFFFF"/>
          <w:vertAlign w:val="superscript"/>
        </w:rPr>
        <w:fldChar w:fldCharType="end"/>
      </w:r>
      <w:r>
        <w:rPr>
          <w:shd w:val="clear" w:color="auto" w:fill="FFFFFF"/>
        </w:rPr>
        <w:t xml:space="preserve"> </w:t>
      </w:r>
    </w:p>
    <w:p w:rsidR="00F27F08" w:rsidRDefault="00F27F08" w:rsidP="00F27F08">
      <w:pPr>
        <w:pStyle w:val="TAMainText"/>
      </w:pPr>
      <w:r w:rsidRPr="00635F27">
        <w:t xml:space="preserve">Recent advances in laser and pulse control technology have significantly decreased </w:t>
      </w:r>
      <w:r>
        <w:t xml:space="preserve">both the experimental complexity and </w:t>
      </w:r>
      <w:r w:rsidRPr="00635F27">
        <w:t xml:space="preserve">the time required to measure a 2D-IR spectrum to </w:t>
      </w:r>
      <w:r>
        <w:t xml:space="preserve">only </w:t>
      </w:r>
      <w:r w:rsidRPr="00635F27">
        <w:t>a few seconds per spectrum</w:t>
      </w:r>
      <w:r>
        <w:t>.</w:t>
      </w:r>
      <w:r w:rsidRPr="00635F27">
        <w:fldChar w:fldCharType="begin" w:fldLock="1"/>
      </w:r>
      <w:r>
        <w:instrText>ADDIN CSL_CITATION {"citationItems":[{"id":"ITEM-1","itemData":{"DOI":"10.1021/acs.jpca.7b10259","ISSN":"15205215","abstract":"A high-speed, high-sensitivity and compact two-dimensional infrared (2D-IR) spectrometer based on 100 kHz Yb:KGW regenerative amplifier technology is described and demonstrated. The setup is three color, using an independent pump OPA and two separately tunable probe OPAs. The spectrometer uses 100 kHz acousto-optic pulse shaping on the pump beam for rapid 2D-IR acquisitions. The shot-to-shot stability of the laser system yields excellent signal-to-noise figures (</w:instrText>
      </w:r>
      <w:r>
        <w:rPr>
          <w:rFonts w:ascii="Cambria Math" w:hAnsi="Cambria Math" w:cs="Cambria Math"/>
        </w:rPr>
        <w:instrText>∼</w:instrText>
      </w:r>
      <w:r>
        <w:instrText>10 μOD noise on 5000 laser shots). We show that the reduced bandwidth of the Yb:KGW amplifiers in comparison with conventional Ti:sapphire systems does not compromise the ability of the setup to generate high-quality 2D-IR data. Instrument responses of &lt;300 fs are demonstrated and 2D-IR data presented for several systems of interest to physical chemists, showing spectral diffusion in NaSCN, amide I and II bands of a β sheet protein and DNA base-pair–backbone couplings. Overall, the increased data acquisition speed, intrinsic stability, and robust...","author":[{"dropping-particle":"","family":"Donaldson","given":"P. M.","non-dropping-particle":"","parse-names":false,"suffix":""},{"dropping-particle":"","family":"Greetham","given":"G. M.","non-dropping-particle":"","parse-names":false,"suffix":""},{"dropping-particle":"","family":"Shaw","given":"D. J.","non-dropping-particle":"","parse-names":false,"suffix":""},{"dropping-particle":"","family":"Parker","given":"A. W.","non-dropping-particle":"","parse-names":false,"suffix":""},{"dropping-particle":"","family":"Towrie","given":"M.","non-dropping-particle":"","parse-names":false,"suffix":""}],"container-title":"Journal of Physical Chemistry A","id":"ITEM-1","issued":{"date-parts":[["2018"]]},"page":"780-787","title":"A 100 kHz Pulse Shaping 2D-IR Spectrometer Based on Dual Yb:KGW Amplifiers","type":"article-journal","volume":"122"},"uris":["http://www.mendeley.com/documents/?uuid=48122c9c-f799-4d11-8536-1ad1d390cdd4"]},{"id":"ITEM-2","itemData":{"DOI":"10.1073/pnas.0700804104","ISBN":"0027-8424 (Print)\\r0027-8424 (Linking)","ISSN":"0027-8424","PMID":"17502604","abstract":"The capability of 2D IR spectroscopy to elucidate time-evolving structures is enhanced by a programmable mid-IR pulse shaper that greatly improves the ease, speed, and accuracy of data collection. Traditional ways of collecting 2D IR spectra are difficult to implement, cause distorted peak shapes, and result in poor time resolution and/or phase problems. We report on several methods for collecting 2D IR spectra by using a computer-controlled germanium acoustooptic modulator that overcomes the above problems. The accuracy and resolution of each method is evaluated by using model metal carbonyl compounds that have well defined lineshapes. Furthermore, phase cycling can now be employed to largely alleviate background scatter from heterogeneous samples. With these methods in hand, we apply 2D IR spectroscopy to study the structural diversity in amyloid fibers of aggregated human islet amyloid polypeptide (hIAPP), which is involved with type 2 diabetes. The 2D IR spectra reveal that the beta-sheet fibers have a large structural distribution, as evidenced by an inhomogeneously broadened beta-sheet peak and strong coupling to random coil conformations. Structural diversity is an important characteristic of hIAPP because it may be that partly folded peptides cause the disease. This experiment on hIAPP is an example of how computer generation of 2D IR pulse sequences is a key step toward automating 2D IR spectroscopy, so that new pulse sequences can be implemented quickly and a diverse range of systems can be studied more easily.","author":[{"dropping-particle":"","family":"Shim","given":"S.H.","non-dropping-particle":"","parse-names":false,"suffix":""},{"dropping-particle":"","family":"Strasfeld","given":"D. B.","non-dropping-particle":"","parse-names":false,"suffix":""},{"dropping-particle":"","family":"Ling","given":"Y. L.","non-dropping-particle":"","parse-names":false,"suffix":""},{"dropping-particle":"","family":"Zanni","given":"M. T.","non-dropping-particle":"","parse-names":false,"suffix":""}],"container-title":"Proceedings of the National Academy of Sciences","id":"ITEM-2","issued":{"date-parts":[["2007"]]},"page":"14197-14202","title":"Automated 2D IR spectroscopy using a mid-IR pulse shaper and application of this technology to the human islet amyloid polypeptide","type":"article-journal","volume":"104"},"uris":["http://www.mendeley.com/documents/?uuid=7a211a5d-a800-4494-814b-166fe205cecc"]},{"id":"ITEM-3","itemData":{"DOI":"10.1364/OE.24.004117","ISBN":"9781943580187","ISSN":"1094-4087","abstract":"We present a 100 kHz 2D IR spectrometer. The system utilizes a ytterbium all normal dispersion fiber oscillator as a common source for the pump and seed beams of a MgO:PPLN OPCPA. The 1030 nm OPCPA pump is generated by amplification of the oscillator in cryocooled Yb:YAG amplifiers, while the 1.68 μm seed is generated in a OPO pumped by the oscillator. The OPCPA outputs are used in a ZGP DFG stage to generate 4.65 μm pulses. A mid-IR pulse shaper delivers pulse pairs to a 2D IR spectrometer allowing for data collection at 100 kHz.","author":[{"dropping-particle":"","family":"Luther","given":"Bradley M.","non-dropping-particle":"","parse-names":false,"suffix":""},{"dropping-particle":"","family":"Tracy","given":"Kathryn M.","non-dropping-particle":"","parse-names":false,"suffix":""},{"dropping-particle":"","family":"Gerrity","given":"Michael","non-dropping-particle":"","parse-names":false,"suffix":""},{"dropping-particle":"","family":"Brown","given":"Susannah","non-dropping-particle":"","parse-names":false,"suffix":""},{"dropping-particle":"","family":"Krummel","given":"Amber T.","non-dropping-particle":"","parse-names":false,"suffix":""}],"container-title":"Optics Express","id":"ITEM-3","issued":{"date-parts":[["2016"]]},"page":"4117","title":"2D IR spectroscopy at 100 kHz utilizing a Mid-IR OPCPA laser source","type":"article-journal","volume":"24"},"uris":["http://www.mendeley.com/documents/?uuid=3b5af534-b602-4270-972b-c471901e95fb"]}],"mendeley":{"formattedCitation":"&lt;sup&gt;25–27&lt;/sup&gt;","plainTextFormattedCitation":"25–27","previouslyFormattedCitation":"&lt;sup&gt;25–27&lt;/sup&gt;"},"properties":{"noteIndex":0},"schema":"https://github.com/citation-style-language/schema/raw/master/csl-citation.json"}</w:instrText>
      </w:r>
      <w:r w:rsidRPr="00635F27">
        <w:fldChar w:fldCharType="separate"/>
      </w:r>
      <w:r w:rsidRPr="00131B95">
        <w:rPr>
          <w:noProof/>
          <w:vertAlign w:val="superscript"/>
        </w:rPr>
        <w:t>25–27</w:t>
      </w:r>
      <w:r w:rsidRPr="00635F27">
        <w:fldChar w:fldCharType="end"/>
      </w:r>
      <w:r>
        <w:t xml:space="preserve"> These innovations in instrumentation provide a route to h</w:t>
      </w:r>
      <w:r w:rsidRPr="00635F27">
        <w:t>igh throughput screening applications</w:t>
      </w:r>
      <w:r>
        <w:t>, using low volume samples (20 µL),</w:t>
      </w:r>
      <w:r w:rsidRPr="00635F27">
        <w:t xml:space="preserve"> </w:t>
      </w:r>
      <w:r>
        <w:t>as recently</w:t>
      </w:r>
      <w:r w:rsidRPr="00635F27">
        <w:t xml:space="preserve"> demonstrated</w:t>
      </w:r>
      <w:r>
        <w:t>,</w:t>
      </w:r>
      <w:r w:rsidRPr="00635F27">
        <w:fldChar w:fldCharType="begin" w:fldLock="1"/>
      </w:r>
      <w:r>
        <w:instrText>ADDIN CSL_CITATION {"citationItems":[{"id":"ITEM-1","itemData":{"DOI":"10.1021/acs.analchem.7b04727","ISSN":"15206882","abstract":"© 2018 American Chemical Society. Two-dimensional infrared spectroscopy (2D-IR) is well established as a specialized, high-end technique for measuring structural and solvation dynamics of biological molecules. Recent technological developments now make it possible to acquire time-resolved 2D-IR spectra within seconds, and this opens up the possibility of screening-type applications comparing spectra spanning multiple samples. However, such applications bring new challenges associated with finding accurate, efficient methodologies to analyze large data sets in a timely, informative manner. Here, we demonstrate such an application by screening 2016 2D-IR spectra of 12 double-stranded DNA oligonucleotides obtained in the presence and absence of binding therapeutic molecule Hoechst 33258. By applying analysis of variance combined with principal component analysis (ANOVA-PCA) to 2D-IR data for the first time, we demonstrate the ability to efficiently retrieve the base composition of a DNA sequence and discriminate ligand-DNA complexes from unbound sequences. We further show accurate differentiation of the induced-fit and rigid-body binding modes that is key to identifying optimal binding interactions of Hoechst 33258, while ANOVA-PCA results across the full sequence range correlate directly with thermodynamic indicators of ligand-binding strength that require significantly longer data acquisition times to obtain.","author":[{"dropping-particle":"","family":"Fritzsch","given":"Robby","non-dropping-particle":"","parse-names":false,"suffix":""},{"dropping-particle":"","family":"Donaldson","given":"Paul M.","non-dropping-particle":"","parse-names":false,"suffix":""},{"dropping-particle":"","family":"Greetham","given":"Gregory M.","non-dropping-particle":"","parse-names":false,"suffix":""},{"dropping-particle":"","family":"Towrie","given":"Michael","non-dropping-particle":"","parse-names":false,"suffix":""},{"dropping-particle":"","family":"Parker","given":"Anthony W.","non-dropping-particle":"","parse-names":false,"suffix":""},{"dropping-particle":"","family":"Baker","given":"Matthew J.","non-dropping-particle":"","parse-names":false,"suffix":""},{"dropping-particle":"","family":"Hunt","given":"Neil T.","non-dropping-particle":"","parse-names":false,"suffix":""}],"container-title":"Analytical Chemistry","id":"ITEM-1","issued":{"date-parts":[["2018"]]},"page":"2732-2740","title":"Rapid Screening of DNA-Ligand Complexes via 2D-IR Spectroscopy and ANOVA-PCA","type":"article-journal","volume":"90"},"uris":["http://www.mendeley.com/documents/?uuid=f2a87f52-0848-400f-9150-5514aba6200c"]},{"id":"ITEM-2","itemData":{"DOI":"10.1021/acs.jpclett.6b01941","author":[{"dropping-particle":"","family":"Tracy","given":"Kathryn M","non-dropping-particle":"","parse-names":false,"suffix":""},{"dropping-particle":"V","family":"Barich","given":"Michael","non-dropping-particle":"","parse-names":false,"suffix":""},{"dropping-particle":"","family":"Carver","given":"Christina L","non-dropping-particle":"","parse-names":false,"suffix":""},{"dropping-particle":"","family":"Luther","given":"Bradley M","non-dropping-particle":"","parse-names":false,"suffix":""},{"dropping-particle":"","family":"Krummel","given":"Amber T","non-dropping-particle":"","parse-names":false,"suffix":""}],"container-title":"The Journal of Physical Chemistry Letters","id":"ITEM-2","issued":{"date-parts":[["2016"]]},"page":"4865-4870","title":"High-Throughput Two-Dimensional Infrared (2D IR) Spectroscopy Achieved by Interfacing Microfluidic Technology with a High Repetition Rate 2D IR Spectrometer","type":"article-journal","volume":"7"},"uris":["http://www.mendeley.com/documents/?uuid=c4c3a813-5878-467d-8338-b0aa4da274ff"]}],"mendeley":{"formattedCitation":"&lt;sup&gt;28,29&lt;/sup&gt;","plainTextFormattedCitation":"28,29","previouslyFormattedCitation":"&lt;sup&gt;28,29&lt;/sup&gt;"},"properties":{"noteIndex":0},"schema":"https://github.com/citation-style-language/schema/raw/master/csl-citation.json"}</w:instrText>
      </w:r>
      <w:r w:rsidRPr="00635F27">
        <w:fldChar w:fldCharType="separate"/>
      </w:r>
      <w:r w:rsidRPr="00131B95">
        <w:rPr>
          <w:noProof/>
          <w:vertAlign w:val="superscript"/>
        </w:rPr>
        <w:t>28,29</w:t>
      </w:r>
      <w:r w:rsidRPr="00635F27">
        <w:fldChar w:fldCharType="end"/>
      </w:r>
      <w:r w:rsidRPr="00635F27">
        <w:t xml:space="preserve"> making this technique </w:t>
      </w:r>
      <w:r>
        <w:t xml:space="preserve">worthy of investigating as a </w:t>
      </w:r>
      <w:r w:rsidRPr="006408CA">
        <w:t xml:space="preserve">potential </w:t>
      </w:r>
      <w:r w:rsidRPr="00635F27">
        <w:t xml:space="preserve">clinical </w:t>
      </w:r>
      <w:r>
        <w:t>tool</w:t>
      </w:r>
      <w:r w:rsidRPr="00635F27">
        <w:t xml:space="preserve">. </w:t>
      </w:r>
      <w:r>
        <w:t xml:space="preserve">Despite the innovations described, 2D-IR is more expensive and technically more complex to implement than IR absorption spectroscopy and therefore the initial steps in the pathway to impact is </w:t>
      </w:r>
      <w:r w:rsidRPr="00635F27">
        <w:t>a thorough understanding of the range of molecular targets</w:t>
      </w:r>
      <w:r>
        <w:t xml:space="preserve"> in serum</w:t>
      </w:r>
      <w:r w:rsidRPr="00635F27">
        <w:t xml:space="preserve"> that 2D-IR might be used to measure. This </w:t>
      </w:r>
      <w:r>
        <w:t xml:space="preserve">requires </w:t>
      </w:r>
      <w:r w:rsidRPr="00635F27">
        <w:t xml:space="preserve">an evaluation of the sensitivity limits of </w:t>
      </w:r>
      <w:r>
        <w:t xml:space="preserve">2D-IR to </w:t>
      </w:r>
      <w:r w:rsidRPr="00635F27">
        <w:t xml:space="preserve">a range of molecular species. Using the simplest amino acid, </w:t>
      </w:r>
      <w:proofErr w:type="spellStart"/>
      <w:r>
        <w:t>Gly</w:t>
      </w:r>
      <w:proofErr w:type="spellEnd"/>
      <w:r w:rsidRPr="00635F27">
        <w:t xml:space="preserve">, as </w:t>
      </w:r>
      <w:r>
        <w:t>a</w:t>
      </w:r>
      <w:r w:rsidRPr="00635F27">
        <w:t xml:space="preserve"> model</w:t>
      </w:r>
      <w:r>
        <w:t xml:space="preserve"> of a</w:t>
      </w:r>
      <w:r w:rsidRPr="00635F27">
        <w:t xml:space="preserve"> </w:t>
      </w:r>
      <w:r>
        <w:t xml:space="preserve">low molecular weight </w:t>
      </w:r>
      <w:r w:rsidRPr="00635F27">
        <w:t>protein</w:t>
      </w:r>
      <w:r>
        <w:t>,</w:t>
      </w:r>
      <w:r w:rsidRPr="00635F27">
        <w:t xml:space="preserve"> we have measured serum spiked with a range of </w:t>
      </w:r>
      <w:proofErr w:type="spellStart"/>
      <w:r>
        <w:t>Gly</w:t>
      </w:r>
      <w:proofErr w:type="spellEnd"/>
      <w:r>
        <w:t xml:space="preserve"> concentrations, showing that</w:t>
      </w:r>
      <w:r w:rsidRPr="00635F27">
        <w:t xml:space="preserve">, using current 2D-IR technology, </w:t>
      </w:r>
      <w:r>
        <w:t xml:space="preserve">the detection limit is </w:t>
      </w:r>
      <w:r w:rsidRPr="00635F27">
        <w:t>~3 mg/</w:t>
      </w:r>
      <w:r>
        <w:t>mL</w:t>
      </w:r>
      <w:r w:rsidRPr="00635F27">
        <w:t xml:space="preserve"> in as received serum. Key to this measurement is the characteristic network of off-diagonal peaks in the </w:t>
      </w:r>
      <w:proofErr w:type="spellStart"/>
      <w:r>
        <w:t>Gly</w:t>
      </w:r>
      <w:proofErr w:type="spellEnd"/>
      <w:r w:rsidRPr="00635F27">
        <w:t xml:space="preserve"> 2D-IR spectrum, which allows spectral separation of its amide I contribution. </w:t>
      </w:r>
      <w:r>
        <w:t>Physiologically</w:t>
      </w:r>
      <w:r w:rsidRPr="00635F27">
        <w:t xml:space="preserve">, </w:t>
      </w:r>
      <w:proofErr w:type="spellStart"/>
      <w:r>
        <w:t>Gly</w:t>
      </w:r>
      <w:proofErr w:type="spellEnd"/>
      <w:r w:rsidRPr="00635F27">
        <w:t xml:space="preserve"> is present in serum at much lower levels tha</w:t>
      </w:r>
      <w:r>
        <w:t>n</w:t>
      </w:r>
      <w:r w:rsidRPr="00635F27">
        <w:t xml:space="preserve"> </w:t>
      </w:r>
      <w:r>
        <w:t>are detected here</w:t>
      </w:r>
      <w:r w:rsidRPr="00635F27">
        <w:t xml:space="preserve"> (</w:t>
      </w:r>
      <m:oMath>
        <m:r>
          <w:rPr>
            <w:rFonts w:ascii="Cambria Math" w:hAnsi="Cambria Math"/>
          </w:rPr>
          <m:t>~</m:t>
        </m:r>
      </m:oMath>
      <w:r w:rsidRPr="00635F27">
        <w:t>20 μg/</w:t>
      </w:r>
      <w:r>
        <w:t>mL</w:t>
      </w:r>
      <w:r w:rsidRPr="00635F27">
        <w:t>)</w:t>
      </w:r>
      <w:r>
        <w:t>,</w:t>
      </w:r>
      <w:r w:rsidRPr="00635F27">
        <w:t xml:space="preserve"> </w:t>
      </w:r>
      <w:r w:rsidR="002F18AD">
        <w:t xml:space="preserve">with current detection technologies (antibody assays and liquid chromatography tandem mass spectroscopy) allowing detection within the physiological range (100-390 </w:t>
      </w:r>
      <w:r w:rsidR="002F18AD">
        <w:sym w:font="Symbol" w:char="F06D"/>
      </w:r>
      <w:r w:rsidR="002F18AD">
        <w:t>mol/dm</w:t>
      </w:r>
      <w:r w:rsidR="002F18AD" w:rsidRPr="000C0CF2">
        <w:rPr>
          <w:vertAlign w:val="superscript"/>
        </w:rPr>
        <w:t>3</w:t>
      </w:r>
      <w:r w:rsidR="002F18AD">
        <w:t>).</w:t>
      </w:r>
      <w:r w:rsidR="002F18AD">
        <w:fldChar w:fldCharType="begin" w:fldLock="1"/>
      </w:r>
      <w:r w:rsidR="00DE3477">
        <w:instrText>ADDIN CSL_CITATION {"citationItems":[{"id":"ITEM-1","itemData":{"DOI":"10.1186/s12986-018-0325-4","ISSN":"17437075","abstract":"Background: Several studies have identified a negative association between serum glycine (Gly) levels and metabolic syndrome (MetS). However, this association has not been fully established in the elderly. Methods: A total of 472 Chinese individuals (272 males and 200 females, 70.1 ± 6.6 years old) participated in a population-based, cross-sectional survey in Beijing Hospital. The MetS and its components were defined based on the 2006 International Diabetes Federation (IDF) standard for Asians. Serum Gly concentration was determined using isotope dilution liquid chromatography tandem mass spectrometry. Result: The proportion of patients with MetS decreased gradually with increasing Gly levels (p for trend &lt; 0.001), and serum Gly concentrations declined gradually with increasing numbers of MetS components (p = 0.03 for trend). After adjusting for age and gender, lower Gly levels were significantly associated with MetS and central obesity, with OR (95% CI) of 0.40 (0.25-0.65) and 0.46 (0.28-0.74). The stratified analysis conducted according to age showed that the OR between serum Gly levels and MetS was greater in those older than 65 (OR = 0.66; 95% CI, 0.51-0.86) than in those younger than 65 (OR = 0.89; 95% CI, 0.54-1.46). In the stratified analysis, using other age cut-off points, the results consistently showed that the association between serum Gly levels and MetS was more remarkable in the older groups. Conclusions: Gly levels are associated with cardiometabolic characteristics and MetS in the elderly, and the association is more pronounced in very old people than in younger old people.","author":[{"dropping-particle":"","family":"Li","given":"Xianghui","non-dropping-particle":"","parse-names":false,"suffix":""},{"dropping-particle":"","family":"Sun","given":"Liang","non-dropping-particle":"","parse-names":false,"suffix":""},{"dropping-particle":"","family":"Zhang","given":"Wenduo","non-dropping-particle":"","parse-names":false,"suffix":""},{"dropping-particle":"","family":"Li","given":"Hongxia","non-dropping-particle":"","parse-names":false,"suffix":""},{"dropping-particle":"","family":"Wang","given":"Siming","non-dropping-particle":"","parse-names":false,"suffix":""},{"dropping-particle":"","family":"Mu","given":"Hongna","non-dropping-particle":"","parse-names":false,"suffix":""},{"dropping-particle":"","family":"Zhou","given":"Qi","non-dropping-particle":"","parse-names":false,"suffix":""},{"dropping-particle":"","family":"Zhang","given":"Ying","non-dropping-particle":"","parse-names":false,"suffix":""},{"dropping-particle":"","family":"Tang","given":"Yueming","non-dropping-particle":"","parse-names":false,"suffix":""},{"dropping-particle":"","family":"Wang","given":"Yu","non-dropping-particle":"","parse-names":false,"suffix":""},{"dropping-particle":"","family":"Chen","given":"Wenxiang","non-dropping-particle":"","parse-names":false,"suffix":""},{"dropping-particle":"","family":"Yang","given":"Ruiyue","non-dropping-particle":"","parse-names":false,"suffix":""},{"dropping-particle":"","family":"Dong","given":"Jun","non-dropping-particle":"","parse-names":false,"suffix":""}],"container-title":"Nutrition and Metabolism","id":"ITEM-1","issue":"1","issued":{"date-parts":[["2018"]]},"page":"1-9","publisher":"Nutrition &amp; Metabolism","title":"Association of serum glycine levels with metabolic syndrome in an elderly Chinese population","type":"article-journal","volume":"15"},"uris":["http://www.mendeley.com/documents/?uuid=26df3ab8-5fa9-4a4e-8fcb-0ca41d371c25"]},{"id":"ITEM-2","itemData":{"URL":"https://www.gloshospitals.nhs.uk/our-services/services-we-offer/pathology/tests-and-investigations/amino-acids/","accessed":{"date-parts":[["2020","11","16"]]},"author":[{"dropping-particle":"","family":"NHS Foundation Trust","given":"","non-dropping-particle":"","parse-names":false,"suffix":""}],"id":"ITEM-2","issued":{"date-parts":[["2015"]]},"title":"Tests and Investigations - Amino Acids","type":"webpage"},"uris":["http://www.mendeley.com/documents/?uuid=60ef71fe-b353-4ab6-92b2-f144a211a5a1"]}],"mendeley":{"formattedCitation":"&lt;sup&gt;30,31&lt;/sup&gt;","plainTextFormattedCitation":"30,31","previouslyFormattedCitation":"&lt;sup&gt;30,31&lt;/sup&gt;"},"properties":{"noteIndex":0},"schema":"https://github.com/citation-style-language/schema/raw/master/csl-citation.json"}</w:instrText>
      </w:r>
      <w:r w:rsidR="002F18AD">
        <w:fldChar w:fldCharType="separate"/>
      </w:r>
      <w:r w:rsidR="002F18AD" w:rsidRPr="002F18AD">
        <w:rPr>
          <w:noProof/>
          <w:vertAlign w:val="superscript"/>
        </w:rPr>
        <w:t>30,31</w:t>
      </w:r>
      <w:r w:rsidR="002F18AD">
        <w:fldChar w:fldCharType="end"/>
      </w:r>
      <w:r w:rsidR="002F18AD">
        <w:t xml:space="preserve"> However </w:t>
      </w:r>
      <w:r w:rsidRPr="00635F27">
        <w:t xml:space="preserve">this </w:t>
      </w:r>
      <w:r>
        <w:t xml:space="preserve">low molecular weight </w:t>
      </w:r>
      <w:r w:rsidRPr="00635F27">
        <w:t xml:space="preserve">study shows how the off-diagonal region of the </w:t>
      </w:r>
      <w:r>
        <w:t xml:space="preserve">serum </w:t>
      </w:r>
      <w:r w:rsidRPr="00635F27">
        <w:t>2D-IR spectrum could be diagnostic of smaller protein species and provides a means to evaluate which protein molecules and peptide fractions in serum are accessible.</w:t>
      </w:r>
      <w:r w:rsidRPr="00635F27">
        <w:fldChar w:fldCharType="begin" w:fldLock="1"/>
      </w:r>
      <w:r w:rsidR="00DE3477">
        <w:instrText>ADDIN CSL_CITATION {"citationItems":[{"id":"ITEM-1","itemData":{"author":[{"dropping-particle":"De","family":"Vries","given":"A","non-dropping-particle":"de","parse-names":false,"suffix":""},{"dropping-particle":"","family":"Alexander","given":"B","non-dropping-particle":"","parse-names":false,"suffix":""},{"dropping-particle":"","family":"Quamo","given":"Y","non-dropping-particle":"","parse-names":false,"suffix":""}],"container-title":"The Journal of Clinical Investigation","id":"ITEM-1","issued":{"date-parts":[["1948"]]},"page":"655-664","title":"Studies on amino acid metabolism. II. Blood glycine and total amino acids in various pathological conditions, with observations on the effects of intravenously administered glycine","type":"article-journal","volume":"27"},"uris":["http://www.mendeley.com/documents/?uuid=ffa37d33-d3f1-429b-9074-399d3caa09b9"]}],"mendeley":{"formattedCitation":"&lt;sup&gt;32&lt;/sup&gt;","plainTextFormattedCitation":"32","previouslyFormattedCitation":"&lt;sup&gt;32&lt;/sup&gt;"},"properties":{"noteIndex":0},"schema":"https://github.com/citation-style-language/schema/raw/master/csl-citation.json"}</w:instrText>
      </w:r>
      <w:r w:rsidRPr="00635F27">
        <w:fldChar w:fldCharType="separate"/>
      </w:r>
      <w:r w:rsidR="002F18AD" w:rsidRPr="002F18AD">
        <w:rPr>
          <w:noProof/>
          <w:vertAlign w:val="superscript"/>
        </w:rPr>
        <w:t>32</w:t>
      </w:r>
      <w:r w:rsidRPr="00635F27">
        <w:fldChar w:fldCharType="end"/>
      </w:r>
      <w:r w:rsidRPr="00635F27">
        <w:t xml:space="preserve"> </w:t>
      </w:r>
      <w:r>
        <w:t>Ultimately, we report here that 2D-IR does have the potential to complement IR absorption methods for specific biomedical problems in the clinical environment.</w:t>
      </w:r>
    </w:p>
    <w:p w:rsidR="00F27F08" w:rsidRDefault="00F27F08" w:rsidP="00F27F08">
      <w:pPr>
        <w:pStyle w:val="TAMainText"/>
      </w:pPr>
    </w:p>
    <w:p w:rsidR="00F27F08" w:rsidRPr="00635F27" w:rsidRDefault="00F27F08" w:rsidP="00F27F08">
      <w:pPr>
        <w:pStyle w:val="TCTableBody"/>
        <w:rPr>
          <w:color w:val="FF0000"/>
          <w:shd w:val="clear" w:color="auto" w:fill="FFFFFF"/>
        </w:rPr>
      </w:pPr>
      <w:r>
        <w:rPr>
          <w:shd w:val="clear" w:color="auto" w:fill="FFFFFF"/>
        </w:rPr>
        <w:t>EXPERIMENTAL SECTION</w:t>
      </w:r>
    </w:p>
    <w:p w:rsidR="00F27F08" w:rsidRDefault="00F27F08" w:rsidP="00F27F08">
      <w:pPr>
        <w:pStyle w:val="TAMainText"/>
      </w:pPr>
      <w:r w:rsidRPr="00635F27">
        <w:rPr>
          <w:i/>
        </w:rPr>
        <w:t>Sample preparation:</w:t>
      </w:r>
      <w:r>
        <w:rPr>
          <w:i/>
        </w:rPr>
        <w:t xml:space="preserve"> </w:t>
      </w:r>
      <w:r w:rsidRPr="00635F27">
        <w:t xml:space="preserve">Pooled equine serum, </w:t>
      </w:r>
      <w:proofErr w:type="spellStart"/>
      <w:r>
        <w:t>Gly</w:t>
      </w:r>
      <w:proofErr w:type="spellEnd"/>
      <w:r w:rsidRPr="00635F27">
        <w:t>, bovine serum albumin (BSA) and</w:t>
      </w:r>
      <w:r>
        <w:t xml:space="preserve"> </w:t>
      </w:r>
      <w:r w:rsidRPr="00635F27">
        <w:t xml:space="preserve">γ-globulins were obtained from Sigma </w:t>
      </w:r>
      <w:r w:rsidRPr="00635F27">
        <w:t>Aldrich and used without further purification.</w:t>
      </w:r>
      <w:r w:rsidRPr="00B608E3">
        <w:t xml:space="preserve"> </w:t>
      </w:r>
      <w:r w:rsidRPr="00635F27">
        <w:t xml:space="preserve">Individual samples of </w:t>
      </w:r>
      <w:proofErr w:type="spellStart"/>
      <w:r>
        <w:t>Gly</w:t>
      </w:r>
      <w:proofErr w:type="spellEnd"/>
      <w:r w:rsidRPr="00635F27">
        <w:t>, albumin and γ-globulin proteins were prepared in a Tris buffer</w:t>
      </w:r>
      <w:r>
        <w:t>, in H</w:t>
      </w:r>
      <w:r>
        <w:rPr>
          <w:vertAlign w:val="subscript"/>
        </w:rPr>
        <w:t>2</w:t>
      </w:r>
      <w:r>
        <w:t xml:space="preserve">O, </w:t>
      </w:r>
      <w:r w:rsidRPr="00635F27">
        <w:t>at pH=7.5 to mimic the pH of the pooled serum samples.</w:t>
      </w:r>
      <w:r w:rsidRPr="00B608E3">
        <w:t xml:space="preserve"> </w:t>
      </w:r>
      <w:r w:rsidRPr="00635F27">
        <w:t xml:space="preserve">Serum samples </w:t>
      </w:r>
      <w:r>
        <w:t xml:space="preserve">containing </w:t>
      </w:r>
      <w:proofErr w:type="spellStart"/>
      <w:r>
        <w:t>Gly</w:t>
      </w:r>
      <w:proofErr w:type="spellEnd"/>
      <w:r>
        <w:t xml:space="preserve"> </w:t>
      </w:r>
      <w:r w:rsidRPr="00635F27">
        <w:t xml:space="preserve">were prepared by adding </w:t>
      </w:r>
      <w:proofErr w:type="spellStart"/>
      <w:r>
        <w:t>Gly</w:t>
      </w:r>
      <w:proofErr w:type="spellEnd"/>
      <w:r w:rsidRPr="00635F27">
        <w:t xml:space="preserve"> to pooled equine serum at </w:t>
      </w:r>
      <w:r>
        <w:t xml:space="preserve">a range of </w:t>
      </w:r>
      <w:r w:rsidRPr="00635F27">
        <w:t>concentrations</w:t>
      </w:r>
      <w:r>
        <w:t xml:space="preserve"> (Table 1). </w:t>
      </w:r>
    </w:p>
    <w:p w:rsidR="00F27F08" w:rsidRDefault="00F27F08" w:rsidP="00CD5814">
      <w:pPr>
        <w:pStyle w:val="TAMainText"/>
      </w:pPr>
      <w:r w:rsidRPr="00635F27">
        <w:rPr>
          <w:i/>
        </w:rPr>
        <w:t>IR Spectroscopy:</w:t>
      </w:r>
      <w:r w:rsidRPr="00635F27">
        <w:t xml:space="preserve"> </w:t>
      </w:r>
      <w:r w:rsidRPr="00F5428A">
        <w:t>For</w:t>
      </w:r>
      <w:r w:rsidRPr="00635F27">
        <w:t xml:space="preserve"> all IR and 2D-IR spectroscopy measurements, </w:t>
      </w:r>
      <w:r>
        <w:t>s</w:t>
      </w:r>
      <w:r w:rsidRPr="00A4538E">
        <w:t xml:space="preserve">amples were </w:t>
      </w:r>
      <w:r>
        <w:t>placed</w:t>
      </w:r>
      <w:r w:rsidRPr="00A4538E">
        <w:t xml:space="preserve"> between two CaF</w:t>
      </w:r>
      <w:r w:rsidRPr="00A4538E">
        <w:rPr>
          <w:vertAlign w:val="subscript"/>
        </w:rPr>
        <w:t>2</w:t>
      </w:r>
      <w:r w:rsidRPr="00A4538E">
        <w:t xml:space="preserve"> windows in a standard </w:t>
      </w:r>
      <w:r>
        <w:t>transmission</w:t>
      </w:r>
      <w:r w:rsidRPr="00A4538E">
        <w:t xml:space="preserve"> cell.</w:t>
      </w:r>
      <w:r w:rsidRPr="00F5428A">
        <w:t xml:space="preserve"> </w:t>
      </w:r>
      <w:r>
        <w:t>T</w:t>
      </w:r>
      <w:r w:rsidRPr="00F628C0">
        <w:t xml:space="preserve">o avoid saturation of the </w:t>
      </w:r>
      <w:r>
        <w:t>H-</w:t>
      </w:r>
      <w:r w:rsidRPr="00F628C0">
        <w:t>O-H bending (</w:t>
      </w:r>
      <w:proofErr w:type="spellStart"/>
      <w:r w:rsidRPr="00F628C0">
        <w:t>δ</w:t>
      </w:r>
      <w:r w:rsidRPr="00F628C0">
        <w:rPr>
          <w:vertAlign w:val="subscript"/>
        </w:rPr>
        <w:t>H</w:t>
      </w:r>
      <w:proofErr w:type="spellEnd"/>
      <w:r w:rsidRPr="00F628C0">
        <w:rPr>
          <w:vertAlign w:val="subscript"/>
        </w:rPr>
        <w:t>-O-H</w:t>
      </w:r>
      <w:r w:rsidRPr="00F628C0">
        <w:t xml:space="preserve">) mode of water </w:t>
      </w:r>
      <w:r>
        <w:t>near</w:t>
      </w:r>
      <w:r w:rsidRPr="00F628C0">
        <w:t xml:space="preserve"> 1650 cm</w:t>
      </w:r>
      <w:r w:rsidRPr="00F628C0">
        <w:rPr>
          <w:vertAlign w:val="superscript"/>
        </w:rPr>
        <w:t>-1</w:t>
      </w:r>
      <w:r w:rsidRPr="00F5428A">
        <w:t xml:space="preserve"> </w:t>
      </w:r>
      <w:r w:rsidRPr="00DB092C">
        <w:t>the sample thickness was carefully controlled</w:t>
      </w:r>
      <w:r>
        <w:t>.</w:t>
      </w:r>
      <w:r w:rsidRPr="00F5428A">
        <w:t xml:space="preserve"> </w:t>
      </w:r>
      <w:r>
        <w:t>N</w:t>
      </w:r>
      <w:r w:rsidRPr="002A2983">
        <w:t xml:space="preserve">o spacer was used </w:t>
      </w:r>
      <w:r>
        <w:t xml:space="preserve">between the windows, </w:t>
      </w:r>
      <w:r w:rsidRPr="002A2983">
        <w:t xml:space="preserve">but the tightness of the sample holder was adjusted to obtain approximately consistent absorbance values of ~0.1 OD for the combination </w:t>
      </w:r>
      <w:r>
        <w:t xml:space="preserve">band </w:t>
      </w:r>
      <w:r w:rsidRPr="002A2983">
        <w:t xml:space="preserve">of the </w:t>
      </w:r>
      <w:proofErr w:type="spellStart"/>
      <w:r w:rsidRPr="002A2983">
        <w:t>δ</w:t>
      </w:r>
      <w:r w:rsidRPr="002A2983">
        <w:rPr>
          <w:vertAlign w:val="subscript"/>
        </w:rPr>
        <w:t>H</w:t>
      </w:r>
      <w:proofErr w:type="spellEnd"/>
      <w:r w:rsidRPr="002A2983">
        <w:rPr>
          <w:vertAlign w:val="subscript"/>
        </w:rPr>
        <w:t>-O-H</w:t>
      </w:r>
      <w:r w:rsidRPr="002A2983">
        <w:t xml:space="preserve"> and </w:t>
      </w:r>
      <w:proofErr w:type="spellStart"/>
      <w:r w:rsidRPr="002A2983">
        <w:t>lib</w:t>
      </w:r>
      <w:r w:rsidR="00CD5814">
        <w:t>ra</w:t>
      </w:r>
      <w:r w:rsidRPr="002A2983">
        <w:t>tional</w:t>
      </w:r>
      <w:proofErr w:type="spellEnd"/>
      <w:r w:rsidR="00CD5814">
        <w:t xml:space="preserve"> </w:t>
      </w:r>
      <w:r w:rsidRPr="002A2983">
        <w:t>modes of water</w:t>
      </w:r>
      <w:r>
        <w:t>,</w:t>
      </w:r>
      <w:r w:rsidRPr="002A2983">
        <w:t xml:space="preserve"> located at 2130 cm</w:t>
      </w:r>
      <w:r w:rsidRPr="002A2983">
        <w:rPr>
          <w:vertAlign w:val="superscript"/>
        </w:rPr>
        <w:t>-1</w:t>
      </w:r>
      <w:r w:rsidRPr="002A2983">
        <w:t>.</w:t>
      </w:r>
      <w:r w:rsidRPr="002A2983">
        <w:fldChar w:fldCharType="begin" w:fldLock="1"/>
      </w:r>
      <w:r>
        <w:instrText>ADDIN CSL_CITATION {"citationItems":[{"id":"ITEM-1","itemData":{"DOI":"10.1039/c9sc01590f","author":[{"dropping-particle":"","family":"Hume","given":"Samantha","non-dropping-particle":"","parse-names":false,"suffix":""},{"dropping-particle":"","family":"Hithell","given":"Gordon","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W","non-dropping-particle":"","parse-names":false,"suffix":""},{"dropping-particle":"","family":"Baker","given":"J","non-dropping-particle":"","parse-names":false,"suffix":""},{"dropping-particle":"","family":"Hunt","given":"Neil T","non-dropping-particle":"","parse-names":false,"suffix":""}],"container-title":"Chemical Science","id":"ITEM-1","issue":"26","issued":{"date-parts":[["2019"]]},"page":"6448-6456","publisher":"Royal Society of Chemistry","title":"Measuring Proteins in H2O with 2D-IR Spectroscopy","type":"article-journal","volume":"10"},"uris":["http://www.mendeley.com/documents/?uuid=e57e5371-ac57-48de-8056-6418ca80be17"]}],"mendeley":{"formattedCitation":"&lt;sup&gt;24&lt;/sup&gt;","plainTextFormattedCitation":"24","previouslyFormattedCitation":"&lt;sup&gt;24&lt;/sup&gt;"},"properties":{"noteIndex":0},"schema":"https://github.com/citation-style-language/schema/raw/master/csl-citation.json"}</w:instrText>
      </w:r>
      <w:r w:rsidRPr="002A2983">
        <w:fldChar w:fldCharType="separate"/>
      </w:r>
      <w:r w:rsidRPr="00131B95">
        <w:rPr>
          <w:noProof/>
          <w:vertAlign w:val="superscript"/>
        </w:rPr>
        <w:t>24</w:t>
      </w:r>
      <w:r w:rsidRPr="002A2983">
        <w:fldChar w:fldCharType="end"/>
      </w:r>
      <w:r>
        <w:t xml:space="preserve"> </w:t>
      </w:r>
      <w:r w:rsidRPr="00635F27">
        <w:t>Based upon the</w:t>
      </w:r>
      <w:r w:rsidRPr="00BB3F75">
        <w:t xml:space="preserve"> </w:t>
      </w:r>
      <w:r w:rsidRPr="00635F27">
        <w:t>measured molar extinction coefficient of water, this corresponded to a sample thickness of ~</w:t>
      </w:r>
      <w:r>
        <w:t>3</w:t>
      </w:r>
      <w:r w:rsidRPr="00635F27">
        <w:t xml:space="preserve"> </w:t>
      </w:r>
      <w:proofErr w:type="spellStart"/>
      <w:r w:rsidRPr="00635F27">
        <w:t>μm</w:t>
      </w:r>
      <w:proofErr w:type="spellEnd"/>
      <w:r w:rsidRPr="00635F27">
        <w:t>. IR absorption spectra were measured using a Thermo Scientific Nicolet iS10 Fourier Transform spectrometer. Spectra were the result of 20 co-added scans at a resolution of 1 cm</w:t>
      </w:r>
      <w:r w:rsidRPr="00635F27">
        <w:rPr>
          <w:vertAlign w:val="superscript"/>
        </w:rPr>
        <w:t>-1</w:t>
      </w:r>
      <w:r w:rsidRPr="00635F27">
        <w:t xml:space="preserve"> in the spectral region 400 - 4000 cm</w:t>
      </w:r>
      <w:r w:rsidRPr="00635F27">
        <w:rPr>
          <w:vertAlign w:val="superscript"/>
        </w:rPr>
        <w:t>-1</w:t>
      </w:r>
      <w:r w:rsidRPr="00635F27">
        <w:t>.</w:t>
      </w:r>
    </w:p>
    <w:tbl>
      <w:tblPr>
        <w:tblStyle w:val="TableGrid"/>
        <w:tblpPr w:leftFromText="180" w:rightFromText="180" w:vertAnchor="text" w:horzAnchor="margin" w:tblpXSpec="right" w:tblpY="88"/>
        <w:tblW w:w="0" w:type="auto"/>
        <w:tblLook w:val="04A0" w:firstRow="1" w:lastRow="0" w:firstColumn="1" w:lastColumn="0" w:noHBand="0" w:noVBand="1"/>
      </w:tblPr>
      <w:tblGrid>
        <w:gridCol w:w="1688"/>
        <w:gridCol w:w="1408"/>
        <w:gridCol w:w="1689"/>
      </w:tblGrid>
      <w:tr w:rsidR="00F27F08" w:rsidTr="00DB29D5">
        <w:tc>
          <w:tcPr>
            <w:tcW w:w="1701" w:type="dxa"/>
          </w:tcPr>
          <w:p w:rsidR="00F27F08" w:rsidRPr="00F139D7" w:rsidRDefault="00F27F08" w:rsidP="00DB29D5">
            <w:pPr>
              <w:pStyle w:val="TCTableBody"/>
            </w:pPr>
            <w:r w:rsidRPr="00F139D7">
              <w:t>Sample</w:t>
            </w:r>
          </w:p>
        </w:tc>
        <w:tc>
          <w:tcPr>
            <w:tcW w:w="1418" w:type="dxa"/>
          </w:tcPr>
          <w:p w:rsidR="00F27F08" w:rsidRPr="00F139D7" w:rsidRDefault="00F27F08" w:rsidP="00DB29D5">
            <w:pPr>
              <w:pStyle w:val="TCTableBody"/>
            </w:pPr>
            <w:r w:rsidRPr="00F139D7">
              <w:t>[</w:t>
            </w:r>
            <w:proofErr w:type="spellStart"/>
            <w:r w:rsidRPr="00F139D7">
              <w:t>Gly</w:t>
            </w:r>
            <w:proofErr w:type="spellEnd"/>
            <w:r w:rsidRPr="00F139D7">
              <w:t>]</w:t>
            </w:r>
          </w:p>
          <w:p w:rsidR="00F27F08" w:rsidRPr="00F139D7" w:rsidRDefault="00F27F08" w:rsidP="00DB29D5">
            <w:pPr>
              <w:pStyle w:val="TCTableBody"/>
            </w:pPr>
            <w:r w:rsidRPr="00F139D7">
              <w:t>mg/mL</w:t>
            </w:r>
          </w:p>
        </w:tc>
        <w:tc>
          <w:tcPr>
            <w:tcW w:w="1701" w:type="dxa"/>
          </w:tcPr>
          <w:p w:rsidR="00F27F08" w:rsidRPr="00F139D7" w:rsidRDefault="00F27F08" w:rsidP="00DB29D5">
            <w:pPr>
              <w:pStyle w:val="TCTableBody"/>
            </w:pPr>
            <w:r w:rsidRPr="00F139D7">
              <w:t>[</w:t>
            </w:r>
            <w:proofErr w:type="spellStart"/>
            <w:r w:rsidRPr="00F139D7">
              <w:t>Gly</w:t>
            </w:r>
            <w:proofErr w:type="spellEnd"/>
            <w:r w:rsidRPr="00F139D7">
              <w:t>]</w:t>
            </w:r>
          </w:p>
          <w:p w:rsidR="00F27F08" w:rsidRPr="00F139D7" w:rsidRDefault="00F27F08" w:rsidP="00DB29D5">
            <w:pPr>
              <w:pStyle w:val="TCTableBody"/>
              <w:rPr>
                <w:vertAlign w:val="superscript"/>
              </w:rPr>
            </w:pPr>
            <w:r w:rsidRPr="00F139D7">
              <w:t>mol/dm</w:t>
            </w:r>
            <w:r w:rsidRPr="00F139D7">
              <w:rPr>
                <w:vertAlign w:val="superscript"/>
              </w:rPr>
              <w:t>3</w:t>
            </w:r>
          </w:p>
        </w:tc>
      </w:tr>
      <w:tr w:rsidR="00F27F08" w:rsidRPr="005A43B2" w:rsidTr="00DB29D5">
        <w:trPr>
          <w:trHeight w:val="290"/>
        </w:trPr>
        <w:tc>
          <w:tcPr>
            <w:tcW w:w="1701" w:type="dxa"/>
            <w:noWrap/>
            <w:hideMark/>
          </w:tcPr>
          <w:p w:rsidR="00F27F08" w:rsidRPr="00F139D7" w:rsidRDefault="00F27F08" w:rsidP="00DB29D5">
            <w:pPr>
              <w:pStyle w:val="TCTableBody"/>
              <w:rPr>
                <w:lang w:eastAsia="en-GB"/>
              </w:rPr>
            </w:pPr>
            <w:r w:rsidRPr="00F139D7">
              <w:rPr>
                <w:vertAlign w:val="superscript"/>
                <w:lang w:eastAsia="en-GB"/>
              </w:rPr>
              <w:t>39</w:t>
            </w:r>
            <w:r w:rsidRPr="00F139D7">
              <w:rPr>
                <w:lang w:eastAsia="en-GB"/>
              </w:rPr>
              <w:t xml:space="preserve"> [</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0.78</w:t>
            </w:r>
          </w:p>
        </w:tc>
        <w:tc>
          <w:tcPr>
            <w:tcW w:w="1701" w:type="dxa"/>
            <w:noWrap/>
            <w:hideMark/>
          </w:tcPr>
          <w:p w:rsidR="00F27F08" w:rsidRPr="00F139D7" w:rsidRDefault="00F27F08" w:rsidP="00DB29D5">
            <w:pPr>
              <w:pStyle w:val="TCTableBody"/>
              <w:rPr>
                <w:lang w:eastAsia="en-GB"/>
              </w:rPr>
            </w:pPr>
            <w:r w:rsidRPr="00F139D7">
              <w:rPr>
                <w:lang w:eastAsia="en-GB"/>
              </w:rPr>
              <w:t>0.01</w:t>
            </w:r>
          </w:p>
        </w:tc>
      </w:tr>
      <w:tr w:rsidR="00F27F08" w:rsidRPr="005A43B2" w:rsidTr="00DB29D5">
        <w:trPr>
          <w:trHeight w:val="290"/>
        </w:trPr>
        <w:tc>
          <w:tcPr>
            <w:tcW w:w="1701" w:type="dxa"/>
            <w:noWrap/>
            <w:hideMark/>
          </w:tcPr>
          <w:p w:rsidR="00F27F08" w:rsidRPr="00F139D7" w:rsidRDefault="00F27F08" w:rsidP="00DB29D5">
            <w:pPr>
              <w:pStyle w:val="TCTableBody"/>
              <w:rPr>
                <w:lang w:eastAsia="en-GB"/>
              </w:rPr>
            </w:pPr>
            <w:r w:rsidRPr="00F139D7">
              <w:rPr>
                <w:vertAlign w:val="superscript"/>
                <w:lang w:eastAsia="en-GB"/>
              </w:rPr>
              <w:t>78</w:t>
            </w:r>
            <w:r w:rsidRPr="00F139D7">
              <w:rPr>
                <w:lang w:eastAsia="en-GB"/>
              </w:rPr>
              <w:t xml:space="preserve"> [</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1.56</w:t>
            </w:r>
          </w:p>
        </w:tc>
        <w:tc>
          <w:tcPr>
            <w:tcW w:w="1701" w:type="dxa"/>
            <w:noWrap/>
            <w:hideMark/>
          </w:tcPr>
          <w:p w:rsidR="00F27F08" w:rsidRPr="00F139D7" w:rsidRDefault="00F27F08" w:rsidP="00DB29D5">
            <w:pPr>
              <w:pStyle w:val="TCTableBody"/>
              <w:rPr>
                <w:lang w:eastAsia="en-GB"/>
              </w:rPr>
            </w:pPr>
            <w:r w:rsidRPr="00F139D7">
              <w:rPr>
                <w:lang w:eastAsia="en-GB"/>
              </w:rPr>
              <w:t>0.02</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157</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3.13</w:t>
            </w:r>
          </w:p>
        </w:tc>
        <w:tc>
          <w:tcPr>
            <w:tcW w:w="1701" w:type="dxa"/>
            <w:noWrap/>
            <w:hideMark/>
          </w:tcPr>
          <w:p w:rsidR="00F27F08" w:rsidRPr="00F139D7" w:rsidRDefault="00F27F08" w:rsidP="00DB29D5">
            <w:pPr>
              <w:pStyle w:val="TCTableBody"/>
              <w:rPr>
                <w:lang w:eastAsia="en-GB"/>
              </w:rPr>
            </w:pPr>
            <w:r w:rsidRPr="00F139D7">
              <w:rPr>
                <w:lang w:eastAsia="en-GB"/>
              </w:rPr>
              <w:t>0.04</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313</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6.25</w:t>
            </w:r>
          </w:p>
        </w:tc>
        <w:tc>
          <w:tcPr>
            <w:tcW w:w="1701" w:type="dxa"/>
            <w:noWrap/>
            <w:hideMark/>
          </w:tcPr>
          <w:p w:rsidR="00F27F08" w:rsidRPr="00F139D7" w:rsidRDefault="00F27F08" w:rsidP="00DB29D5">
            <w:pPr>
              <w:pStyle w:val="TCTableBody"/>
              <w:rPr>
                <w:lang w:eastAsia="en-GB"/>
              </w:rPr>
            </w:pPr>
            <w:r w:rsidRPr="00F139D7">
              <w:rPr>
                <w:lang w:eastAsia="en-GB"/>
              </w:rPr>
              <w:t>0.08</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625</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12.5</w:t>
            </w:r>
          </w:p>
        </w:tc>
        <w:tc>
          <w:tcPr>
            <w:tcW w:w="1701" w:type="dxa"/>
            <w:noWrap/>
            <w:hideMark/>
          </w:tcPr>
          <w:p w:rsidR="00F27F08" w:rsidRPr="00F139D7" w:rsidRDefault="00F27F08" w:rsidP="00DB29D5">
            <w:pPr>
              <w:pStyle w:val="TCTableBody"/>
              <w:rPr>
                <w:lang w:eastAsia="en-GB"/>
              </w:rPr>
            </w:pPr>
            <w:r w:rsidRPr="00F139D7">
              <w:rPr>
                <w:lang w:eastAsia="en-GB"/>
              </w:rPr>
              <w:t>0.17</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1250</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25</w:t>
            </w:r>
          </w:p>
        </w:tc>
        <w:tc>
          <w:tcPr>
            <w:tcW w:w="1701" w:type="dxa"/>
            <w:noWrap/>
            <w:hideMark/>
          </w:tcPr>
          <w:p w:rsidR="00F27F08" w:rsidRPr="00F139D7" w:rsidRDefault="00F27F08" w:rsidP="00DB29D5">
            <w:pPr>
              <w:pStyle w:val="TCTableBody"/>
              <w:rPr>
                <w:lang w:eastAsia="en-GB"/>
              </w:rPr>
            </w:pPr>
            <w:r w:rsidRPr="00F139D7">
              <w:rPr>
                <w:lang w:eastAsia="en-GB"/>
              </w:rPr>
              <w:t>0.33</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2500</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50</w:t>
            </w:r>
          </w:p>
        </w:tc>
        <w:tc>
          <w:tcPr>
            <w:tcW w:w="1701" w:type="dxa"/>
            <w:noWrap/>
            <w:hideMark/>
          </w:tcPr>
          <w:p w:rsidR="00F27F08" w:rsidRPr="00F139D7" w:rsidRDefault="00F27F08" w:rsidP="00DB29D5">
            <w:pPr>
              <w:pStyle w:val="TCTableBody"/>
              <w:rPr>
                <w:lang w:eastAsia="en-GB"/>
              </w:rPr>
            </w:pPr>
            <w:r w:rsidRPr="00F139D7">
              <w:rPr>
                <w:lang w:eastAsia="en-GB"/>
              </w:rPr>
              <w:t>0.67</w:t>
            </w:r>
          </w:p>
        </w:tc>
      </w:tr>
      <w:tr w:rsidR="00F27F08" w:rsidRPr="005A43B2" w:rsidTr="00DB29D5">
        <w:trPr>
          <w:trHeight w:val="290"/>
        </w:trPr>
        <w:tc>
          <w:tcPr>
            <w:tcW w:w="1701" w:type="dxa"/>
            <w:noWrap/>
            <w:hideMark/>
          </w:tcPr>
          <w:p w:rsidR="00F27F08" w:rsidRPr="00F139D7" w:rsidRDefault="00F27F08" w:rsidP="00DB29D5">
            <w:pPr>
              <w:pStyle w:val="TCTableBody"/>
              <w:rPr>
                <w:vertAlign w:val="superscript"/>
                <w:lang w:eastAsia="en-GB"/>
              </w:rPr>
            </w:pPr>
            <w:r w:rsidRPr="00F139D7">
              <w:rPr>
                <w:vertAlign w:val="superscript"/>
                <w:lang w:eastAsia="en-GB"/>
              </w:rPr>
              <w:t>5000</w:t>
            </w:r>
            <w:r w:rsidRPr="00F139D7">
              <w:rPr>
                <w:lang w:eastAsia="en-GB"/>
              </w:rPr>
              <w:t>[</w:t>
            </w:r>
            <w:proofErr w:type="spellStart"/>
            <w:r w:rsidRPr="00F139D7">
              <w:rPr>
                <w:lang w:eastAsia="en-GB"/>
              </w:rPr>
              <w:t>Gly</w:t>
            </w:r>
            <w:proofErr w:type="spellEnd"/>
            <w:r w:rsidRPr="00F139D7">
              <w:rPr>
                <w:lang w:eastAsia="en-GB"/>
              </w:rPr>
              <w:t>]</w:t>
            </w:r>
          </w:p>
        </w:tc>
        <w:tc>
          <w:tcPr>
            <w:tcW w:w="1418" w:type="dxa"/>
            <w:noWrap/>
            <w:hideMark/>
          </w:tcPr>
          <w:p w:rsidR="00F27F08" w:rsidRPr="00F139D7" w:rsidRDefault="00F27F08" w:rsidP="00DB29D5">
            <w:pPr>
              <w:pStyle w:val="TCTableBody"/>
              <w:rPr>
                <w:lang w:eastAsia="en-GB"/>
              </w:rPr>
            </w:pPr>
            <w:r w:rsidRPr="00F139D7">
              <w:rPr>
                <w:lang w:eastAsia="en-GB"/>
              </w:rPr>
              <w:t>100</w:t>
            </w:r>
          </w:p>
        </w:tc>
        <w:tc>
          <w:tcPr>
            <w:tcW w:w="1701" w:type="dxa"/>
            <w:noWrap/>
            <w:hideMark/>
          </w:tcPr>
          <w:p w:rsidR="00F27F08" w:rsidRPr="00F139D7" w:rsidRDefault="00F27F08" w:rsidP="00DB29D5">
            <w:pPr>
              <w:pStyle w:val="TCTableBody"/>
              <w:rPr>
                <w:lang w:eastAsia="en-GB"/>
              </w:rPr>
            </w:pPr>
            <w:r w:rsidRPr="00F139D7">
              <w:rPr>
                <w:lang w:eastAsia="en-GB"/>
              </w:rPr>
              <w:t>1.33</w:t>
            </w:r>
          </w:p>
        </w:tc>
      </w:tr>
    </w:tbl>
    <w:p w:rsidR="00F27F08" w:rsidRPr="003941D7" w:rsidRDefault="00F27F08" w:rsidP="00F27F08">
      <w:pPr>
        <w:pStyle w:val="TCTableBody"/>
      </w:pPr>
      <w:r w:rsidRPr="00635F27">
        <w:rPr>
          <w:b/>
        </w:rPr>
        <w:t>Table 1</w:t>
      </w:r>
      <w:r>
        <w:rPr>
          <w:b/>
        </w:rPr>
        <w:t>.</w:t>
      </w:r>
      <w:r w:rsidRPr="00635F27">
        <w:rPr>
          <w:b/>
        </w:rPr>
        <w:t xml:space="preserve"> </w:t>
      </w:r>
      <w:r w:rsidRPr="00635F27">
        <w:t xml:space="preserve">Summary of </w:t>
      </w:r>
      <w:proofErr w:type="spellStart"/>
      <w:r w:rsidRPr="00635F27">
        <w:t>Gly</w:t>
      </w:r>
      <w:proofErr w:type="spellEnd"/>
      <w:r w:rsidRPr="00635F27">
        <w:t>-spiked serum samples studied, showing [</w:t>
      </w:r>
      <w:proofErr w:type="spellStart"/>
      <w:r w:rsidRPr="00635F27">
        <w:t>Gly</w:t>
      </w:r>
      <w:proofErr w:type="spellEnd"/>
      <w:r w:rsidRPr="00635F27">
        <w:t>] in both mg/</w:t>
      </w:r>
      <w:r>
        <w:t>mL</w:t>
      </w:r>
      <w:r w:rsidRPr="00635F27">
        <w:t xml:space="preserve"> and mol/dm</w:t>
      </w:r>
      <w:r w:rsidRPr="00635F27">
        <w:rPr>
          <w:vertAlign w:val="superscript"/>
        </w:rPr>
        <w:t>-3</w:t>
      </w:r>
      <w:r w:rsidRPr="00635F27">
        <w:t xml:space="preserve">. Notation </w:t>
      </w:r>
      <w:r w:rsidRPr="00635F27">
        <w:rPr>
          <w:vertAlign w:val="superscript"/>
        </w:rPr>
        <w:t>x</w:t>
      </w:r>
      <w:r w:rsidRPr="00635F27">
        <w:t>[</w:t>
      </w:r>
      <w:proofErr w:type="spellStart"/>
      <w:r w:rsidRPr="00635F27">
        <w:t>Gly</w:t>
      </w:r>
      <w:proofErr w:type="spellEnd"/>
      <w:r w:rsidRPr="00635F27">
        <w:t xml:space="preserve">] uses x to denote the relative ratio of </w:t>
      </w:r>
      <w:proofErr w:type="spellStart"/>
      <w:r w:rsidRPr="00635F27">
        <w:t>Gly</w:t>
      </w:r>
      <w:proofErr w:type="spellEnd"/>
      <w:r w:rsidRPr="00635F27">
        <w:t xml:space="preserve"> in spiked sample to that of physiological </w:t>
      </w:r>
      <w:proofErr w:type="spellStart"/>
      <w:r w:rsidRPr="00635F27">
        <w:t>Gly</w:t>
      </w:r>
      <w:proofErr w:type="spellEnd"/>
      <w:r w:rsidRPr="00635F27">
        <w:t xml:space="preserve"> serum levels irrespective of concentration units. </w:t>
      </w:r>
    </w:p>
    <w:p w:rsidR="00F27F08" w:rsidRDefault="00F27F08" w:rsidP="00F27F08">
      <w:pPr>
        <w:pStyle w:val="TAMainText"/>
      </w:pPr>
      <w:r w:rsidRPr="00635F27">
        <w:t xml:space="preserve">2D-IR spectra were recorded using the </w:t>
      </w:r>
      <w:r w:rsidRPr="00131B95">
        <w:t>Ultra B laser spectrometer at the STFC Central Laser Facility using the Fourier Transform 2D-IR technique in which a sequence of three mid-IR laser pulses are arranged in the pseudo pump-probe geometry, which has been described previously.</w:t>
      </w:r>
      <w:r w:rsidRPr="00131B95">
        <w:fldChar w:fldCharType="begin" w:fldLock="1"/>
      </w:r>
      <w:r w:rsidR="00DE3477">
        <w:instrText>ADDIN CSL_CITATION {"citationItems":[{"id":"ITEM-1","itemData":{"DOI":"10.1366/000370210793561673","ISSN":"0003-7028","author":[{"dropping-particle":"","family":"Greetham","given":"Gregory M","non-dropping-particle":"","parse-names":false,"suffix":""},{"dropping-particle":"","family":"Burgos","given":"Pierre","non-dropping-particle":"","parse-names":false,"suffix":""},{"dropping-particle":"","family":"Cao","given":"Qian","non-dropping-particle":"","parse-names":false,"suffix":""},{"dropping-particle":"","family":"Clark","given":"I A N P","non-dropping-particle":"","parse-names":false,"suffix":""},{"dropping-particle":"","family":"Codd","given":"Peter S","non-dropping-particle":"","parse-names":false,"suffix":""},{"dropping-particle":"","family":"Farrow","given":"Richard C","non-dropping-particle":"","parse-names":false,"suffix":""},{"dropping-particle":"","family":"George","given":"Michael W","non-dropping-particle":"","parse-names":false,"suffix":""},{"dropping-particle":"","family":"Matousek","given":"Pavel","non-dropping-particle":"","parse-names":false,"suffix":""},{"dropping-particle":"","family":"Parker","given":"Anthony W","non-dropping-particle":"","parse-names":false,"suffix":""},{"dropping-particle":"","family":"Pollard","given":"Mark R","non-dropping-particle":"","parse-names":false,"suffix":""},{"dropping-particle":"","family":"Robinson","given":"A","non-dropping-particle":"","parse-names":false,"suffix":""},{"dropping-particle":"","family":"Xin","given":"Zhi-jun","non-dropping-particle":"","parse-names":false,"suffix":""},{"dropping-particle":"","family":"Towrie","given":"Michael","non-dropping-particle":"","parse-names":false,"suffix":""}],"container-title":"Applied Spectroscopy","id":"ITEM-1","issued":{"date-parts":[["2010"]]},"page":"1311-1319","title":"ULTRA: A Unique Instrument for Time-Resolved Spectroscopy","type":"article-journal","volume":"64"},"uris":["http://www.mendeley.com/documents/?uuid=18e9c3e3-3eb7-4325-8329-94f9756e2f70"]},{"id":"ITEM-2","itemData":{"DOI":"10.1073/pnas.0700804104","ISBN":"0027-8424 (Print)\\r0027-8424 (Linking)","ISSN":"0027-8424","PMID":"17502604","abstract":"The capability of 2D IR spectroscopy to elucidate time-evolving structures is enhanced by a programmable mid-IR pulse shaper that greatly improves the ease, speed, and accuracy of data collection. Traditional ways of collecting 2D IR spectra are difficult to implement, cause distorted peak shapes, and result in poor time resolution and/or phase problems. We report on several methods for collecting 2D IR spectra by using a computer-controlled germanium acoustooptic modulator that overcomes the above problems. The accuracy and resolution of each method is evaluated by using model metal carbonyl compounds that have well defined lineshapes. Furthermore, phase cycling can now be employed to largely alleviate background scatter from heterogeneous samples. With these methods in hand, we apply 2D IR spectroscopy to study the structural diversity in amyloid fibers of aggregated human islet amyloid polypeptide (hIAPP), which is involved with type 2 diabetes. The 2D IR spectra reveal that the beta-sheet fibers have a large structural distribution, as evidenced by an inhomogeneously broadened beta-sheet peak and strong coupling to random coil conformations. Structural diversity is an important characteristic of hIAPP because it may be that partly folded peptides cause the disease. This experiment on hIAPP is an example of how computer generation of 2D IR pulse sequences is a key step toward automating 2D IR spectroscopy, so that new pulse sequences can be implemented quickly and a diverse range of systems can be studied more easily.","author":[{"dropping-particle":"","family":"Shim","given":"S.H.","non-dropping-particle":"","parse-names":false,"suffix":""},{"dropping-particle":"","family":"Strasfeld","given":"D. B.","non-dropping-particle":"","parse-names":false,"suffix":""},{"dropping-particle":"","family":"Ling","given":"Y. L.","non-dropping-particle":"","parse-names":false,"suffix":""},{"dropping-particle":"","family":"Zanni","given":"M. T.","non-dropping-particle":"","parse-names":false,"suffix":""}],"container-title":"Proceedings of the National Academy of Sciences","id":"ITEM-2","issued":{"date-parts":[["2007"]]},"page":"14197-14202","title":"Automated 2D IR spectroscopy using a mid-IR pulse shaper and application of this technology to the human islet amyloid polypeptide","type":"article-journal","volume":"104"},"uris":["http://www.mendeley.com/documents/?uuid=7a211a5d-a800-4494-814b-166fe205cecc"]},{"id":"ITEM-3","itemData":{"author":[{"dropping-particle":"","family":"Deflores","given":"Lauren P","non-dropping-particle":"","parse-names":false,"suffix":""},{"dropping-particle":"","family":"Nicodemus","given":"Rebecca A","non-dropping-particle":"","parse-names":false,"suffix":""},{"dropping-particle":"","family":"Tokmakoff","given":"Andrei","non-dropping-particle":"","parse-names":false,"suffix":""}],"container-title":"Optics Letters","id":"ITEM-3","issued":{"date-parts":[["2007"]]},"page":"2966-2968","title":"Two-dimensional Fourier transform spectroscopy in the pump – probe geometry","type":"article-journal","volume":"32"},"uris":["http://www.mendeley.com/documents/?uuid=58a3072e-cfc5-4fd4-8123-a85047a41219"]},{"id":"ITEM-4","itemData":{"DOI":"10.1039/B819181F","ISBN":"0306-0012","ISSN":"0306-0012","PMID":"19551165","abstract":"Ultrafast 2D-IR spectroscopy is rapidly becoming a valuable tool for examining the relationship between structure and function of biomolecules. The unique combination of molecular-level structural information and ultrafast time resolution gives previously inaccessible insights relating to the rapid structural fluctuations, vibrational dynamics and solvent-solute interactions of proteins, all of which have important implications for the biological function of these species. In this tutorial review, the method and development of ultrafast 2D-IR spectroscopy is discussed, including an introduction to the two main experimental approaches, double resonance and photon echo 2D-IR, and the extension of the technique to non-equilibrium or transient 2D-IR measurements. The scope of the new information available through 2D-IR spectroscopy is then demonstrated by reference to the current state of the art of 2D-IR studies of molecules of biological interest.","author":[{"dropping-particle":"","family":"Hunt","given":"Neil T","non-dropping-particle":"","parse-names":false,"suffix":""}],"container-title":"Chemical Society Reviews","id":"ITEM-4","issued":{"date-parts":[["2009"]]},"page":"1837-1848","title":"2D-IR spectroscopy: ultrafast insights into biomolecule structure and function","type":"article-journal","volume":"38"},"uris":["http://www.mendeley.com/documents/?uuid=2d856ee6-766d-4355-8d98-8250851b1cbc"]}],"mendeley":{"formattedCitation":"&lt;sup&gt;26,33–35&lt;/sup&gt;","plainTextFormattedCitation":"26,33–35","previouslyFormattedCitation":"&lt;sup&gt;26,33–35&lt;/sup&gt;"},"properties":{"noteIndex":0},"schema":"https://github.com/citation-style-language/schema/raw/master/csl-citation.json"}</w:instrText>
      </w:r>
      <w:r w:rsidRPr="00131B95">
        <w:fldChar w:fldCharType="separate"/>
      </w:r>
      <w:r w:rsidR="002F18AD" w:rsidRPr="002F18AD">
        <w:rPr>
          <w:noProof/>
          <w:vertAlign w:val="superscript"/>
        </w:rPr>
        <w:t>26,33–35</w:t>
      </w:r>
      <w:r w:rsidRPr="00131B95">
        <w:fldChar w:fldCharType="end"/>
      </w:r>
      <w:r w:rsidRPr="00131B95">
        <w:t xml:space="preserve"> Mid</w:t>
      </w:r>
      <w:r>
        <w:t>-IR pulses with a temporal duration of &lt;50 fs with a central frequency of 1650 cm</w:t>
      </w:r>
      <w:r w:rsidRPr="00B87F1E">
        <w:rPr>
          <w:vertAlign w:val="superscript"/>
        </w:rPr>
        <w:t>-1</w:t>
      </w:r>
      <w:r>
        <w:t xml:space="preserve"> and a bandwidth of ~ 400 cm</w:t>
      </w:r>
      <w:r w:rsidRPr="00B87F1E">
        <w:rPr>
          <w:vertAlign w:val="superscript"/>
        </w:rPr>
        <w:t>-1</w:t>
      </w:r>
      <w:r>
        <w:t xml:space="preserve"> were obtained.  </w:t>
      </w:r>
      <w:r w:rsidRPr="00635F27">
        <w:t xml:space="preserve">A waiting time of 250 fs </w:t>
      </w:r>
      <w:r>
        <w:t xml:space="preserve">between pump and probe pulses using a parallel pump-probe </w:t>
      </w:r>
      <w:proofErr w:type="spellStart"/>
      <w:r>
        <w:t>polarisation</w:t>
      </w:r>
      <w:proofErr w:type="spellEnd"/>
      <w:r>
        <w:t xml:space="preserve"> </w:t>
      </w:r>
      <w:r w:rsidRPr="00635F27">
        <w:t>was employed throughout</w:t>
      </w:r>
      <w:r>
        <w:t xml:space="preserve">, which has been shown to </w:t>
      </w:r>
      <w:proofErr w:type="spellStart"/>
      <w:r>
        <w:t>minimise</w:t>
      </w:r>
      <w:proofErr w:type="spellEnd"/>
      <w:r>
        <w:rPr>
          <w:color w:val="222222"/>
          <w:shd w:val="clear" w:color="auto" w:fill="FFFFFF"/>
        </w:rPr>
        <w:t xml:space="preserve"> </w:t>
      </w:r>
      <w:r w:rsidRPr="00635F27">
        <w:rPr>
          <w:color w:val="222222"/>
          <w:shd w:val="clear" w:color="auto" w:fill="FFFFFF"/>
        </w:rPr>
        <w:t>the water signal</w:t>
      </w:r>
      <w:r>
        <w:rPr>
          <w:color w:val="222222"/>
          <w:shd w:val="clear" w:color="auto" w:fill="FFFFFF"/>
        </w:rPr>
        <w:t xml:space="preserve"> relative to that from the protein content of the serum</w:t>
      </w:r>
      <w:r w:rsidRPr="00635F27">
        <w:rPr>
          <w:color w:val="222222"/>
          <w:shd w:val="clear" w:color="auto" w:fill="FFFFFF"/>
        </w:rPr>
        <w:t>.</w:t>
      </w:r>
      <w:r w:rsidRPr="00635F27">
        <w:rPr>
          <w:color w:val="222222"/>
          <w:shd w:val="clear" w:color="auto" w:fill="FFFFFF"/>
        </w:rPr>
        <w:fldChar w:fldCharType="begin" w:fldLock="1"/>
      </w:r>
      <w:r>
        <w:rPr>
          <w:color w:val="222222"/>
          <w:shd w:val="clear" w:color="auto" w:fill="FFFFFF"/>
        </w:rPr>
        <w:instrText>ADDIN CSL_CITATION {"citationItems":[{"id":"ITEM-1","itemData":{"DOI":"10.1039/c9sc01590f","author":[{"dropping-particle":"","family":"Hume","given":"Samantha","non-dropping-particle":"","parse-names":false,"suffix":""},{"dropping-particle":"","family":"Hithell","given":"Gordon","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W","non-dropping-particle":"","parse-names":false,"suffix":""},{"dropping-particle":"","family":"Baker","given":"J","non-dropping-particle":"","parse-names":false,"suffix":""},{"dropping-particle":"","family":"Hunt","given":"Neil T","non-dropping-particle":"","parse-names":false,"suffix":""}],"container-title":"Chemical Science","id":"ITEM-1","issue":"26","issued":{"date-parts":[["2019"]]},"page":"6448-6456","publisher":"Royal Society of Chemistry","title":"Measuring Proteins in H2O with 2D-IR Spectroscopy","type":"article-journal","volume":"10"},"uris":["http://www.mendeley.com/documents/?uuid=e57e5371-ac57-48de-8056-6418ca80be17"]}],"mendeley":{"formattedCitation":"&lt;sup&gt;24&lt;/sup&gt;","plainTextFormattedCitation":"24","previouslyFormattedCitation":"&lt;sup&gt;24&lt;/sup&gt;"},"properties":{"noteIndex":0},"schema":"https://github.com/citation-style-language/schema/raw/master/csl-citation.json"}</w:instrText>
      </w:r>
      <w:r w:rsidRPr="00635F27">
        <w:rPr>
          <w:color w:val="222222"/>
          <w:shd w:val="clear" w:color="auto" w:fill="FFFFFF"/>
        </w:rPr>
        <w:fldChar w:fldCharType="separate"/>
      </w:r>
      <w:r w:rsidRPr="00131B95">
        <w:rPr>
          <w:noProof/>
          <w:color w:val="222222"/>
          <w:shd w:val="clear" w:color="auto" w:fill="FFFFFF"/>
          <w:vertAlign w:val="superscript"/>
        </w:rPr>
        <w:t>24</w:t>
      </w:r>
      <w:r w:rsidRPr="00635F27">
        <w:rPr>
          <w:color w:val="222222"/>
          <w:shd w:val="clear" w:color="auto" w:fill="FFFFFF"/>
        </w:rPr>
        <w:fldChar w:fldCharType="end"/>
      </w:r>
      <w:r>
        <w:rPr>
          <w:color w:val="222222"/>
          <w:shd w:val="clear" w:color="auto" w:fill="FFFFFF"/>
        </w:rPr>
        <w:t xml:space="preserve"> </w:t>
      </w:r>
      <w:r w:rsidRPr="00635F27">
        <w:t>All 2D-IR spectra were pre-</w:t>
      </w:r>
      <w:r w:rsidRPr="00B87F1E">
        <w:t xml:space="preserve">processed and </w:t>
      </w:r>
      <w:proofErr w:type="spellStart"/>
      <w:r w:rsidRPr="00B87F1E">
        <w:t>analysed</w:t>
      </w:r>
      <w:proofErr w:type="spellEnd"/>
      <w:r w:rsidRPr="00B87F1E">
        <w:t xml:space="preserve"> using a custom made script written using the statistical analysis software </w:t>
      </w:r>
      <w:proofErr w:type="spellStart"/>
      <w:r w:rsidRPr="00B87F1E">
        <w:t>programme</w:t>
      </w:r>
      <w:proofErr w:type="spellEnd"/>
      <w:r w:rsidRPr="00B87F1E">
        <w:t>, R.</w:t>
      </w:r>
      <w:r w:rsidRPr="00B87F1E">
        <w:fldChar w:fldCharType="begin" w:fldLock="1"/>
      </w:r>
      <w:r w:rsidR="00DE3477">
        <w:instrText>ADDIN CSL_CITATION {"citationItems":[{"id":"ITEM-1","itemData":{"author":[{"dropping-particle":"","family":"Team","given":"R Development Core","non-dropping-particle":"","parse-names":false,"suffix":""}],"container-title":"R Foundation for Statistical Computing","id":"ITEM-1","issued":{"date-parts":[["2010"]]},"title":"R: A Language and Environment for Statistical Computing","type":"article-journal"},"uris":["http://www.mendeley.com/documents/?uuid=f9fc8b2c-a08c-4a9a-89e1-330bdbc678b0"]}],"mendeley":{"formattedCitation":"&lt;sup&gt;36&lt;/sup&gt;","plainTextFormattedCitation":"36","previouslyFormattedCitation":"&lt;sup&gt;36&lt;/sup&gt;"},"properties":{"noteIndex":0},"schema":"https://github.com/citation-style-language/schema/raw/master/csl-citation.json"}</w:instrText>
      </w:r>
      <w:r w:rsidRPr="00B87F1E">
        <w:fldChar w:fldCharType="separate"/>
      </w:r>
      <w:r w:rsidR="002F18AD" w:rsidRPr="002F18AD">
        <w:rPr>
          <w:noProof/>
          <w:vertAlign w:val="superscript"/>
        </w:rPr>
        <w:t>36</w:t>
      </w:r>
      <w:r w:rsidRPr="00B87F1E">
        <w:fldChar w:fldCharType="end"/>
      </w:r>
      <w:r w:rsidRPr="00B87F1E">
        <w:t xml:space="preserve"> Each measurement was made in triplicate using identical sample conditions to those used for IR absorption measurements and</w:t>
      </w:r>
      <w:r>
        <w:t xml:space="preserve"> a</w:t>
      </w:r>
      <w:r w:rsidRPr="00635F27">
        <w:t xml:space="preserve"> baseline subtraction was performed using a 2</w:t>
      </w:r>
      <w:r w:rsidRPr="00635F27">
        <w:rPr>
          <w:vertAlign w:val="superscript"/>
        </w:rPr>
        <w:t>nd</w:t>
      </w:r>
      <w:r w:rsidRPr="00635F27">
        <w:t xml:space="preserve"> order polynomial function and all spectra were </w:t>
      </w:r>
      <w:proofErr w:type="spellStart"/>
      <w:r w:rsidRPr="00635F27">
        <w:t>normalised</w:t>
      </w:r>
      <w:proofErr w:type="spellEnd"/>
      <w:r w:rsidRPr="00635F27">
        <w:t xml:space="preserve"> to the </w:t>
      </w:r>
      <w:r>
        <w:t>albumin v=0-1 diagonal</w:t>
      </w:r>
      <w:r w:rsidRPr="00635F27">
        <w:t xml:space="preserve"> peak at 1656 cm</w:t>
      </w:r>
      <w:r w:rsidRPr="00635F27">
        <w:rPr>
          <w:vertAlign w:val="superscript"/>
        </w:rPr>
        <w:t>-1</w:t>
      </w:r>
      <w:r w:rsidRPr="00635F27">
        <w:t xml:space="preserve">.  </w:t>
      </w:r>
    </w:p>
    <w:p w:rsidR="00F27F08" w:rsidRPr="00635F27" w:rsidRDefault="00F27F08" w:rsidP="00F27F08">
      <w:pPr>
        <w:pStyle w:val="TAMainText"/>
      </w:pPr>
    </w:p>
    <w:p w:rsidR="00F27F08" w:rsidRPr="00E415F7" w:rsidRDefault="00F27F08" w:rsidP="00F27F08">
      <w:pPr>
        <w:pStyle w:val="TCTableBody"/>
        <w:rPr>
          <w:iCs/>
          <w:color w:val="FF0000"/>
          <w:shd w:val="clear" w:color="auto" w:fill="FFFFFF"/>
        </w:rPr>
      </w:pPr>
      <w:r w:rsidRPr="00E415F7">
        <w:rPr>
          <w:iCs/>
          <w:shd w:val="clear" w:color="auto" w:fill="FFFFFF"/>
        </w:rPr>
        <w:t>RESULTS</w:t>
      </w:r>
      <w:r>
        <w:rPr>
          <w:iCs/>
          <w:shd w:val="clear" w:color="auto" w:fill="FFFFFF"/>
        </w:rPr>
        <w:t xml:space="preserve"> &amp; DISCUSSION</w:t>
      </w:r>
    </w:p>
    <w:p w:rsidR="00F27F08" w:rsidRDefault="00F27F08" w:rsidP="00F27F08">
      <w:pPr>
        <w:pStyle w:val="TAMainText"/>
        <w:rPr>
          <w:color w:val="222222"/>
          <w:shd w:val="clear" w:color="auto" w:fill="FFFFFF"/>
        </w:rPr>
      </w:pPr>
      <w:r w:rsidRPr="00635F27">
        <w:rPr>
          <w:color w:val="222222"/>
          <w:shd w:val="clear" w:color="auto" w:fill="FFFFFF"/>
        </w:rPr>
        <w:t xml:space="preserve">For </w:t>
      </w:r>
      <w:r>
        <w:rPr>
          <w:color w:val="222222"/>
          <w:shd w:val="clear" w:color="auto" w:fill="FFFFFF"/>
        </w:rPr>
        <w:t xml:space="preserve">ease of reference, each serum sample (Table 1) will be identified using the notation </w:t>
      </w:r>
      <w:r>
        <w:rPr>
          <w:color w:val="222222"/>
          <w:shd w:val="clear" w:color="auto" w:fill="FFFFFF"/>
          <w:vertAlign w:val="superscript"/>
        </w:rPr>
        <w:t>x</w:t>
      </w:r>
      <w:r>
        <w:rPr>
          <w:color w:val="222222"/>
          <w:shd w:val="clear" w:color="auto" w:fill="FFFFFF"/>
        </w:rPr>
        <w:t>[</w:t>
      </w:r>
      <w:proofErr w:type="spellStart"/>
      <w:r>
        <w:rPr>
          <w:color w:val="222222"/>
          <w:shd w:val="clear" w:color="auto" w:fill="FFFFFF"/>
        </w:rPr>
        <w:t>Gly</w:t>
      </w:r>
      <w:proofErr w:type="spellEnd"/>
      <w:r>
        <w:rPr>
          <w:color w:val="222222"/>
          <w:shd w:val="clear" w:color="auto" w:fill="FFFFFF"/>
        </w:rPr>
        <w:t xml:space="preserve">], where x denotes the factor by which the </w:t>
      </w:r>
      <w:proofErr w:type="spellStart"/>
      <w:r>
        <w:rPr>
          <w:color w:val="222222"/>
          <w:shd w:val="clear" w:color="auto" w:fill="FFFFFF"/>
        </w:rPr>
        <w:t>Gly</w:t>
      </w:r>
      <w:proofErr w:type="spellEnd"/>
      <w:r>
        <w:rPr>
          <w:color w:val="222222"/>
          <w:shd w:val="clear" w:color="auto" w:fill="FFFFFF"/>
        </w:rPr>
        <w:t xml:space="preserve"> concentration exceeds that of typical serum </w:t>
      </w:r>
      <w:r>
        <w:rPr>
          <w:color w:val="222222"/>
          <w:shd w:val="clear" w:color="auto" w:fill="FFFFFF"/>
        </w:rPr>
        <w:lastRenderedPageBreak/>
        <w:t>(20 µg/mL),</w:t>
      </w:r>
      <w:r>
        <w:rPr>
          <w:color w:val="222222"/>
          <w:shd w:val="clear" w:color="auto" w:fill="FFFFFF"/>
        </w:rPr>
        <w:fldChar w:fldCharType="begin" w:fldLock="1"/>
      </w:r>
      <w:r w:rsidR="00DE3477">
        <w:rPr>
          <w:color w:val="222222"/>
          <w:shd w:val="clear" w:color="auto" w:fill="FFFFFF"/>
        </w:rPr>
        <w:instrText>ADDIN CSL_CITATION {"citationItems":[{"id":"ITEM-1","itemData":{"author":[{"dropping-particle":"De","family":"Vries","given":"A","non-dropping-particle":"de","parse-names":false,"suffix":""},{"dropping-particle":"","family":"Alexander","given":"B","non-dropping-particle":"","parse-names":false,"suffix":""},{"dropping-particle":"","family":"Quamo","given":"Y","non-dropping-particle":"","parse-names":false,"suffix":""}],"container-title":"The Journal of Clinical Investigation","id":"ITEM-1","issued":{"date-parts":[["1948"]]},"page":"655-664","title":"Studies on amino acid metabolism. II. Blood glycine and total amino acids in various pathological conditions, with observations on the effects of intravenously administered glycine","type":"article-journal","volume":"27"},"uris":["http://www.mendeley.com/documents/?uuid=ffa37d33-d3f1-429b-9074-399d3caa09b9"]}],"mendeley":{"formattedCitation":"&lt;sup&gt;32&lt;/sup&gt;","plainTextFormattedCitation":"32","previouslyFormattedCitation":"&lt;sup&gt;32&lt;/sup&gt;"},"properties":{"noteIndex":0},"schema":"https://github.com/citation-style-language/schema/raw/master/csl-citation.json"}</w:instrText>
      </w:r>
      <w:r>
        <w:rPr>
          <w:color w:val="222222"/>
          <w:shd w:val="clear" w:color="auto" w:fill="FFFFFF"/>
        </w:rPr>
        <w:fldChar w:fldCharType="separate"/>
      </w:r>
      <w:r w:rsidR="002F18AD" w:rsidRPr="002F18AD">
        <w:rPr>
          <w:noProof/>
          <w:color w:val="222222"/>
          <w:shd w:val="clear" w:color="auto" w:fill="FFFFFF"/>
          <w:vertAlign w:val="superscript"/>
        </w:rPr>
        <w:t>32</w:t>
      </w:r>
      <w:r>
        <w:rPr>
          <w:color w:val="222222"/>
          <w:shd w:val="clear" w:color="auto" w:fill="FFFFFF"/>
        </w:rPr>
        <w:fldChar w:fldCharType="end"/>
      </w:r>
      <w:r w:rsidRPr="00273370">
        <w:rPr>
          <w:color w:val="222222"/>
          <w:shd w:val="clear" w:color="auto" w:fill="FFFFFF"/>
        </w:rPr>
        <w:t xml:space="preserve"> </w:t>
      </w:r>
      <w:r>
        <w:rPr>
          <w:color w:val="222222"/>
          <w:shd w:val="clear" w:color="auto" w:fill="FFFFFF"/>
        </w:rPr>
        <w:t xml:space="preserve">irrespective of units. In this manner, serum samples without additional </w:t>
      </w:r>
      <w:proofErr w:type="spellStart"/>
      <w:r>
        <w:rPr>
          <w:color w:val="222222"/>
          <w:shd w:val="clear" w:color="auto" w:fill="FFFFFF"/>
        </w:rPr>
        <w:t>Gly</w:t>
      </w:r>
      <w:proofErr w:type="spellEnd"/>
      <w:r>
        <w:rPr>
          <w:color w:val="222222"/>
          <w:shd w:val="clear" w:color="auto" w:fill="FFFFFF"/>
        </w:rPr>
        <w:t xml:space="preserve"> added are labelled </w:t>
      </w:r>
      <w:r>
        <w:rPr>
          <w:color w:val="222222"/>
          <w:shd w:val="clear" w:color="auto" w:fill="FFFFFF"/>
          <w:vertAlign w:val="superscript"/>
        </w:rPr>
        <w:t>1</w:t>
      </w:r>
      <w:r>
        <w:rPr>
          <w:color w:val="222222"/>
          <w:shd w:val="clear" w:color="auto" w:fill="FFFFFF"/>
        </w:rPr>
        <w:t>[</w:t>
      </w:r>
      <w:proofErr w:type="spellStart"/>
      <w:r>
        <w:rPr>
          <w:color w:val="222222"/>
          <w:shd w:val="clear" w:color="auto" w:fill="FFFFFF"/>
        </w:rPr>
        <w:t>Gly</w:t>
      </w:r>
      <w:proofErr w:type="spellEnd"/>
      <w:r>
        <w:rPr>
          <w:color w:val="222222"/>
          <w:shd w:val="clear" w:color="auto" w:fill="FFFFFF"/>
        </w:rPr>
        <w:t xml:space="preserve">]. </w:t>
      </w:r>
    </w:p>
    <w:p w:rsidR="00F27F08" w:rsidRPr="00BB3F75" w:rsidRDefault="00317E86" w:rsidP="00F27F08">
      <w:pPr>
        <w:pStyle w:val="TAMainText"/>
        <w:rPr>
          <w:shd w:val="clear" w:color="auto" w:fill="FFFFFF"/>
        </w:rPr>
      </w:pPr>
      <w:r w:rsidRPr="00927A01">
        <w:rPr>
          <w:noProof/>
          <w:color w:val="222222"/>
          <w:shd w:val="clear" w:color="auto" w:fill="FFFFFF"/>
        </w:rPr>
        <w:drawing>
          <wp:anchor distT="0" distB="0" distL="114300" distR="114300" simplePos="0" relativeHeight="251656704" behindDoc="0" locked="0" layoutInCell="1" allowOverlap="1" wp14:anchorId="2D56EC68" wp14:editId="7AB80D45">
            <wp:simplePos x="0" y="0"/>
            <wp:positionH relativeFrom="column">
              <wp:posOffset>3305810</wp:posOffset>
            </wp:positionH>
            <wp:positionV relativeFrom="paragraph">
              <wp:posOffset>1386205</wp:posOffset>
            </wp:positionV>
            <wp:extent cx="3035300" cy="2133600"/>
            <wp:effectExtent l="0" t="0" r="0" b="0"/>
            <wp:wrapTopAndBottom/>
            <wp:docPr id="9" name="Picture 8">
              <a:extLst xmlns:a="http://schemas.openxmlformats.org/drawingml/2006/main">
                <a:ext uri="{FF2B5EF4-FFF2-40B4-BE49-F238E27FC236}">
                  <a16:creationId xmlns:a16="http://schemas.microsoft.com/office/drawing/2014/main" id="{23F47C85-0C8D-A84C-9B99-036AFE4FD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3F47C85-0C8D-A84C-9B99-036AFE4FD72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35300" cy="2133600"/>
                    </a:xfrm>
                    <a:prstGeom prst="rect">
                      <a:avLst/>
                    </a:prstGeom>
                  </pic:spPr>
                </pic:pic>
              </a:graphicData>
            </a:graphic>
            <wp14:sizeRelH relativeFrom="page">
              <wp14:pctWidth>0</wp14:pctWidth>
            </wp14:sizeRelH>
            <wp14:sizeRelV relativeFrom="page">
              <wp14:pctHeight>0</wp14:pctHeight>
            </wp14:sizeRelV>
          </wp:anchor>
        </w:drawing>
      </w:r>
      <w:r w:rsidRPr="002F18AD">
        <w:rPr>
          <w:noProof/>
          <w:color w:val="222222"/>
          <w:shd w:val="clear" w:color="auto" w:fill="FFFFFF"/>
        </w:rPr>
        <w:drawing>
          <wp:anchor distT="0" distB="0" distL="114300" distR="114300" simplePos="0" relativeHeight="251651584" behindDoc="0" locked="0" layoutInCell="1" allowOverlap="1" wp14:anchorId="671B0870">
            <wp:simplePos x="0" y="0"/>
            <wp:positionH relativeFrom="column">
              <wp:posOffset>16510</wp:posOffset>
            </wp:positionH>
            <wp:positionV relativeFrom="paragraph">
              <wp:posOffset>2095500</wp:posOffset>
            </wp:positionV>
            <wp:extent cx="3022600" cy="2006600"/>
            <wp:effectExtent l="0" t="0" r="0" b="0"/>
            <wp:wrapTopAndBottom/>
            <wp:docPr id="6" name="Picture 5">
              <a:extLst xmlns:a="http://schemas.openxmlformats.org/drawingml/2006/main">
                <a:ext uri="{FF2B5EF4-FFF2-40B4-BE49-F238E27FC236}">
                  <a16:creationId xmlns:a16="http://schemas.microsoft.com/office/drawing/2014/main" id="{639C9685-D632-D24F-B828-E0DFA94EF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9C9685-D632-D24F-B828-E0DFA94EF48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22600" cy="2006600"/>
                    </a:xfrm>
                    <a:prstGeom prst="rect">
                      <a:avLst/>
                    </a:prstGeom>
                  </pic:spPr>
                </pic:pic>
              </a:graphicData>
            </a:graphic>
            <wp14:sizeRelH relativeFrom="page">
              <wp14:pctWidth>0</wp14:pctWidth>
            </wp14:sizeRelH>
            <wp14:sizeRelV relativeFrom="page">
              <wp14:pctHeight>0</wp14:pctHeight>
            </wp14:sizeRelV>
          </wp:anchor>
        </w:drawing>
      </w:r>
      <w:r w:rsidR="00F27F08">
        <w:rPr>
          <w:color w:val="222222"/>
          <w:shd w:val="clear" w:color="auto" w:fill="FFFFFF"/>
        </w:rPr>
        <w:t xml:space="preserve">The IR absorption spectra of </w:t>
      </w:r>
      <w:r w:rsidR="00F27F08">
        <w:rPr>
          <w:color w:val="222222"/>
          <w:shd w:val="clear" w:color="auto" w:fill="FFFFFF"/>
          <w:vertAlign w:val="superscript"/>
        </w:rPr>
        <w:t>1</w:t>
      </w:r>
      <w:r w:rsidR="00F27F08">
        <w:rPr>
          <w:color w:val="222222"/>
          <w:shd w:val="clear" w:color="auto" w:fill="FFFFFF"/>
        </w:rPr>
        <w:t>[</w:t>
      </w:r>
      <w:proofErr w:type="spellStart"/>
      <w:r w:rsidR="00F27F08">
        <w:rPr>
          <w:color w:val="222222"/>
          <w:shd w:val="clear" w:color="auto" w:fill="FFFFFF"/>
        </w:rPr>
        <w:t>Gly</w:t>
      </w:r>
      <w:proofErr w:type="spellEnd"/>
      <w:r w:rsidR="00F27F08">
        <w:rPr>
          <w:color w:val="222222"/>
          <w:shd w:val="clear" w:color="auto" w:fill="FFFFFF"/>
        </w:rPr>
        <w:t xml:space="preserve">], </w:t>
      </w:r>
      <w:r w:rsidR="00F27F08">
        <w:rPr>
          <w:color w:val="222222"/>
          <w:shd w:val="clear" w:color="auto" w:fill="FFFFFF"/>
          <w:vertAlign w:val="superscript"/>
        </w:rPr>
        <w:t>5000</w:t>
      </w:r>
      <w:r w:rsidR="00F27F08">
        <w:rPr>
          <w:color w:val="222222"/>
          <w:shd w:val="clear" w:color="auto" w:fill="FFFFFF"/>
        </w:rPr>
        <w:t>[</w:t>
      </w:r>
      <w:proofErr w:type="spellStart"/>
      <w:r w:rsidR="00F27F08">
        <w:rPr>
          <w:color w:val="222222"/>
          <w:shd w:val="clear" w:color="auto" w:fill="FFFFFF"/>
        </w:rPr>
        <w:t>Gly</w:t>
      </w:r>
      <w:proofErr w:type="spellEnd"/>
      <w:r w:rsidR="00F27F08">
        <w:rPr>
          <w:color w:val="222222"/>
          <w:shd w:val="clear" w:color="auto" w:fill="FFFFFF"/>
        </w:rPr>
        <w:t>] and H</w:t>
      </w:r>
      <w:r w:rsidR="00F27F08">
        <w:rPr>
          <w:color w:val="222222"/>
          <w:shd w:val="clear" w:color="auto" w:fill="FFFFFF"/>
          <w:vertAlign w:val="subscript"/>
        </w:rPr>
        <w:t>2</w:t>
      </w:r>
      <w:r w:rsidR="00F27F08">
        <w:rPr>
          <w:color w:val="222222"/>
          <w:shd w:val="clear" w:color="auto" w:fill="FFFFFF"/>
        </w:rPr>
        <w:t xml:space="preserve">O in the wavenumber range </w:t>
      </w:r>
      <w:r w:rsidR="00F27F08" w:rsidRPr="00635F27">
        <w:rPr>
          <w:shd w:val="clear" w:color="auto" w:fill="FFFFFF"/>
        </w:rPr>
        <w:t>1300 – 1700 cm</w:t>
      </w:r>
      <w:r w:rsidR="00F27F08" w:rsidRPr="00635F27">
        <w:rPr>
          <w:shd w:val="clear" w:color="auto" w:fill="FFFFFF"/>
          <w:vertAlign w:val="superscript"/>
        </w:rPr>
        <w:t>-1</w:t>
      </w:r>
      <w:r w:rsidR="00F27F08">
        <w:rPr>
          <w:shd w:val="clear" w:color="auto" w:fill="FFFFFF"/>
          <w:vertAlign w:val="superscript"/>
        </w:rPr>
        <w:t xml:space="preserve"> </w:t>
      </w:r>
      <w:r w:rsidR="00F27F08">
        <w:rPr>
          <w:color w:val="222222"/>
          <w:shd w:val="clear" w:color="auto" w:fill="FFFFFF"/>
        </w:rPr>
        <w:t>are shown in Fig.1(a).</w:t>
      </w:r>
      <w:r w:rsidR="00F27F08">
        <w:rPr>
          <w:shd w:val="clear" w:color="auto" w:fill="FFFFFF"/>
        </w:rPr>
        <w:t xml:space="preserve"> </w:t>
      </w:r>
      <w:r w:rsidR="00F27F08" w:rsidRPr="00635F27">
        <w:rPr>
          <w:shd w:val="clear" w:color="auto" w:fill="FFFFFF"/>
        </w:rPr>
        <w:t>The H</w:t>
      </w:r>
      <w:r w:rsidR="00F27F08" w:rsidRPr="00635F27">
        <w:rPr>
          <w:shd w:val="clear" w:color="auto" w:fill="FFFFFF"/>
          <w:vertAlign w:val="subscript"/>
        </w:rPr>
        <w:t>2</w:t>
      </w:r>
      <w:r w:rsidR="00F27F08" w:rsidRPr="00635F27">
        <w:rPr>
          <w:shd w:val="clear" w:color="auto" w:fill="FFFFFF"/>
        </w:rPr>
        <w:t xml:space="preserve">O spectrum (black) exhibits a </w:t>
      </w:r>
      <w:r w:rsidR="00F27F08">
        <w:rPr>
          <w:shd w:val="clear" w:color="auto" w:fill="FFFFFF"/>
        </w:rPr>
        <w:t xml:space="preserve">broad </w:t>
      </w:r>
      <w:r w:rsidR="00F27F08" w:rsidRPr="00635F27">
        <w:rPr>
          <w:shd w:val="clear" w:color="auto" w:fill="FFFFFF"/>
        </w:rPr>
        <w:t>band near 1650 cm</w:t>
      </w:r>
      <w:r w:rsidR="00F27F08" w:rsidRPr="00635F27">
        <w:rPr>
          <w:shd w:val="clear" w:color="auto" w:fill="FFFFFF"/>
          <w:vertAlign w:val="superscript"/>
        </w:rPr>
        <w:t>-1</w:t>
      </w:r>
      <w:r w:rsidR="00F27F08" w:rsidRPr="00635F27">
        <w:rPr>
          <w:shd w:val="clear" w:color="auto" w:fill="FFFFFF"/>
        </w:rPr>
        <w:t xml:space="preserve"> due to the </w:t>
      </w:r>
      <w:proofErr w:type="spellStart"/>
      <w:r w:rsidR="00F27F08" w:rsidRPr="00635F27">
        <w:rPr>
          <w:shd w:val="clear" w:color="auto" w:fill="FFFFFF"/>
        </w:rPr>
        <w:t>δ</w:t>
      </w:r>
      <w:r w:rsidR="00F27F08" w:rsidRPr="00635F27">
        <w:rPr>
          <w:shd w:val="clear" w:color="auto" w:fill="FFFFFF"/>
          <w:vertAlign w:val="subscript"/>
        </w:rPr>
        <w:t>H</w:t>
      </w:r>
      <w:proofErr w:type="spellEnd"/>
      <w:r w:rsidR="00F27F08" w:rsidRPr="00635F27">
        <w:rPr>
          <w:shd w:val="clear" w:color="auto" w:fill="FFFFFF"/>
          <w:vertAlign w:val="subscript"/>
        </w:rPr>
        <w:t>-O-H</w:t>
      </w:r>
      <w:r w:rsidR="00F27F08" w:rsidRPr="00635F27">
        <w:rPr>
          <w:shd w:val="clear" w:color="auto" w:fill="FFFFFF"/>
        </w:rPr>
        <w:t xml:space="preserve"> mode. This band is also dominant in the spectrum of </w:t>
      </w:r>
      <w:r w:rsidR="00F27F08" w:rsidRPr="00F227DA">
        <w:rPr>
          <w:color w:val="222222"/>
          <w:shd w:val="clear" w:color="auto" w:fill="FFFFFF"/>
          <w:vertAlign w:val="superscript"/>
        </w:rPr>
        <w:t>1</w:t>
      </w:r>
      <w:r w:rsidR="00F27F08" w:rsidRPr="00F227DA">
        <w:rPr>
          <w:color w:val="222222"/>
          <w:shd w:val="clear" w:color="auto" w:fill="FFFFFF"/>
        </w:rPr>
        <w:t>[</w:t>
      </w:r>
      <w:proofErr w:type="spellStart"/>
      <w:r w:rsidR="00F27F08" w:rsidRPr="00F227DA">
        <w:rPr>
          <w:color w:val="222222"/>
          <w:shd w:val="clear" w:color="auto" w:fill="FFFFFF"/>
        </w:rPr>
        <w:t>Gly</w:t>
      </w:r>
      <w:proofErr w:type="spellEnd"/>
      <w:r w:rsidR="00F27F08" w:rsidRPr="00F227DA">
        <w:rPr>
          <w:color w:val="222222"/>
          <w:shd w:val="clear" w:color="auto" w:fill="FFFFFF"/>
        </w:rPr>
        <w:t xml:space="preserve">] </w:t>
      </w:r>
      <w:r w:rsidR="00F27F08" w:rsidRPr="00635F27">
        <w:rPr>
          <w:shd w:val="clear" w:color="auto" w:fill="FFFFFF"/>
        </w:rPr>
        <w:t>(red)</w:t>
      </w:r>
      <w:r w:rsidR="00F27F08">
        <w:rPr>
          <w:shd w:val="clear" w:color="auto" w:fill="FFFFFF"/>
        </w:rPr>
        <w:t xml:space="preserve">, where it </w:t>
      </w:r>
      <w:r w:rsidR="00F27F08" w:rsidRPr="00635F27">
        <w:rPr>
          <w:shd w:val="clear" w:color="auto" w:fill="FFFFFF"/>
        </w:rPr>
        <w:t>overlap</w:t>
      </w:r>
      <w:r w:rsidR="00F27F08">
        <w:rPr>
          <w:shd w:val="clear" w:color="auto" w:fill="FFFFFF"/>
        </w:rPr>
        <w:t>s</w:t>
      </w:r>
      <w:r w:rsidR="00F27F08" w:rsidRPr="00635F27">
        <w:rPr>
          <w:shd w:val="clear" w:color="auto" w:fill="FFFFFF"/>
        </w:rPr>
        <w:t xml:space="preserve">, but </w:t>
      </w:r>
      <w:r w:rsidR="00F27F08">
        <w:rPr>
          <w:shd w:val="clear" w:color="auto" w:fill="FFFFFF"/>
        </w:rPr>
        <w:t xml:space="preserve">does </w:t>
      </w:r>
      <w:r w:rsidR="00F27F08" w:rsidRPr="00635F27">
        <w:rPr>
          <w:shd w:val="clear" w:color="auto" w:fill="FFFFFF"/>
        </w:rPr>
        <w:t>not fully obscur</w:t>
      </w:r>
      <w:r w:rsidR="00F27F08">
        <w:rPr>
          <w:shd w:val="clear" w:color="auto" w:fill="FFFFFF"/>
        </w:rPr>
        <w:t>e,</w:t>
      </w:r>
      <w:r w:rsidR="00F27F08" w:rsidRPr="00635F27">
        <w:rPr>
          <w:shd w:val="clear" w:color="auto" w:fill="FFFFFF"/>
        </w:rPr>
        <w:t xml:space="preserve"> the amide I band of the protein. The protein amide II band </w:t>
      </w:r>
      <w:r w:rsidR="00F27F08">
        <w:rPr>
          <w:shd w:val="clear" w:color="auto" w:fill="FFFFFF"/>
        </w:rPr>
        <w:t>(</w:t>
      </w:r>
      <w:r w:rsidR="00F27F08" w:rsidRPr="00635F27">
        <w:rPr>
          <w:shd w:val="clear" w:color="auto" w:fill="FFFFFF"/>
        </w:rPr>
        <w:t>1551 cm</w:t>
      </w:r>
      <w:r w:rsidR="00F27F08" w:rsidRPr="00635F27">
        <w:rPr>
          <w:shd w:val="clear" w:color="auto" w:fill="FFFFFF"/>
          <w:vertAlign w:val="superscript"/>
        </w:rPr>
        <w:t>-1</w:t>
      </w:r>
      <w:r w:rsidR="00F27F08">
        <w:rPr>
          <w:shd w:val="clear" w:color="auto" w:fill="FFFFFF"/>
        </w:rPr>
        <w:t>)</w:t>
      </w:r>
      <w:r w:rsidR="00F27F08">
        <w:rPr>
          <w:shd w:val="clear" w:color="auto" w:fill="FFFFFF"/>
          <w:vertAlign w:val="superscript"/>
        </w:rPr>
        <w:t xml:space="preserve"> </w:t>
      </w:r>
      <w:r w:rsidR="00F27F08" w:rsidRPr="00635F27">
        <w:rPr>
          <w:shd w:val="clear" w:color="auto" w:fill="FFFFFF"/>
        </w:rPr>
        <w:t xml:space="preserve">is also </w:t>
      </w:r>
      <w:r w:rsidR="00F27F08">
        <w:rPr>
          <w:shd w:val="clear" w:color="auto" w:fill="FFFFFF"/>
        </w:rPr>
        <w:t>visible</w:t>
      </w:r>
      <w:r w:rsidR="00F27F08" w:rsidRPr="00635F27">
        <w:rPr>
          <w:shd w:val="clear" w:color="auto" w:fill="FFFFFF"/>
        </w:rPr>
        <w:t xml:space="preserve"> in the spectrum of </w:t>
      </w:r>
      <w:r w:rsidR="00F27F08" w:rsidRPr="00F227DA">
        <w:rPr>
          <w:color w:val="222222"/>
          <w:shd w:val="clear" w:color="auto" w:fill="FFFFFF"/>
          <w:vertAlign w:val="superscript"/>
        </w:rPr>
        <w:t>1</w:t>
      </w:r>
      <w:r w:rsidR="00F27F08" w:rsidRPr="00F227DA">
        <w:rPr>
          <w:color w:val="222222"/>
          <w:shd w:val="clear" w:color="auto" w:fill="FFFFFF"/>
        </w:rPr>
        <w:t>[</w:t>
      </w:r>
      <w:proofErr w:type="spellStart"/>
      <w:r w:rsidR="00F27F08" w:rsidRPr="00F227DA">
        <w:rPr>
          <w:color w:val="222222"/>
          <w:shd w:val="clear" w:color="auto" w:fill="FFFFFF"/>
        </w:rPr>
        <w:t>Gly</w:t>
      </w:r>
      <w:proofErr w:type="spellEnd"/>
      <w:r w:rsidR="00F27F08" w:rsidRPr="00F227DA">
        <w:rPr>
          <w:color w:val="222222"/>
          <w:shd w:val="clear" w:color="auto" w:fill="FFFFFF"/>
        </w:rPr>
        <w:t>]</w:t>
      </w:r>
      <w:r w:rsidR="00F27F08" w:rsidRPr="00635F27">
        <w:rPr>
          <w:shd w:val="clear" w:color="auto" w:fill="FFFFFF"/>
        </w:rPr>
        <w:t xml:space="preserve">. The addition of </w:t>
      </w:r>
      <w:proofErr w:type="spellStart"/>
      <w:r w:rsidR="00F27F08">
        <w:rPr>
          <w:shd w:val="clear" w:color="auto" w:fill="FFFFFF"/>
        </w:rPr>
        <w:t>Gly</w:t>
      </w:r>
      <w:proofErr w:type="spellEnd"/>
      <w:r w:rsidR="00F27F08" w:rsidRPr="00635F27">
        <w:rPr>
          <w:shd w:val="clear" w:color="auto" w:fill="FFFFFF"/>
        </w:rPr>
        <w:t xml:space="preserve"> to serum (</w:t>
      </w:r>
      <w:r w:rsidR="00F27F08" w:rsidRPr="00F227DA">
        <w:rPr>
          <w:color w:val="222222"/>
          <w:shd w:val="clear" w:color="auto" w:fill="FFFFFF"/>
          <w:vertAlign w:val="superscript"/>
        </w:rPr>
        <w:t>5000</w:t>
      </w:r>
      <w:r w:rsidR="00F27F08" w:rsidRPr="00F227DA">
        <w:rPr>
          <w:color w:val="222222"/>
          <w:shd w:val="clear" w:color="auto" w:fill="FFFFFF"/>
        </w:rPr>
        <w:t>[</w:t>
      </w:r>
      <w:proofErr w:type="spellStart"/>
      <w:r w:rsidR="00F27F08" w:rsidRPr="00F227DA">
        <w:rPr>
          <w:color w:val="222222"/>
          <w:shd w:val="clear" w:color="auto" w:fill="FFFFFF"/>
        </w:rPr>
        <w:t>Gly</w:t>
      </w:r>
      <w:proofErr w:type="spellEnd"/>
      <w:r w:rsidR="00F27F08" w:rsidRPr="00F227DA">
        <w:rPr>
          <w:color w:val="222222"/>
          <w:shd w:val="clear" w:color="auto" w:fill="FFFFFF"/>
        </w:rPr>
        <w:t xml:space="preserve">], </w:t>
      </w:r>
      <w:r w:rsidR="00F27F08" w:rsidRPr="00635F27">
        <w:rPr>
          <w:shd w:val="clear" w:color="auto" w:fill="FFFFFF"/>
        </w:rPr>
        <w:t>blue) leads to the presence of additional bands due to the amino acid. Bands at 1330, 1415 and 1445 cm</w:t>
      </w:r>
      <w:r w:rsidR="00F27F08" w:rsidRPr="00635F27">
        <w:rPr>
          <w:shd w:val="clear" w:color="auto" w:fill="FFFFFF"/>
          <w:vertAlign w:val="superscript"/>
        </w:rPr>
        <w:t>-1</w:t>
      </w:r>
      <w:r w:rsidR="00F27F08" w:rsidRPr="00635F27">
        <w:rPr>
          <w:shd w:val="clear" w:color="auto" w:fill="FFFFFF"/>
        </w:rPr>
        <w:t xml:space="preserve"> are assigned to CH</w:t>
      </w:r>
      <w:r w:rsidR="00F27F08" w:rsidRPr="00635F27">
        <w:rPr>
          <w:shd w:val="clear" w:color="auto" w:fill="FFFFFF"/>
          <w:vertAlign w:val="subscript"/>
        </w:rPr>
        <w:t>2</w:t>
      </w:r>
      <w:r w:rsidR="00F27F08" w:rsidRPr="00635F27">
        <w:rPr>
          <w:shd w:val="clear" w:color="auto" w:fill="FFFFFF"/>
        </w:rPr>
        <w:t xml:space="preserve"> wagging, symmetric carboxylate stretching and CH</w:t>
      </w:r>
      <w:r w:rsidR="00F27F08" w:rsidRPr="00635F27">
        <w:rPr>
          <w:shd w:val="clear" w:color="auto" w:fill="FFFFFF"/>
          <w:vertAlign w:val="subscript"/>
        </w:rPr>
        <w:t>2</w:t>
      </w:r>
      <w:r w:rsidR="00F27F08" w:rsidRPr="00635F27">
        <w:rPr>
          <w:shd w:val="clear" w:color="auto" w:fill="FFFFFF"/>
        </w:rPr>
        <w:t xml:space="preserve"> scissor modes respectively.</w:t>
      </w:r>
      <w:r w:rsidR="00F27F08" w:rsidRPr="00635F27">
        <w:rPr>
          <w:shd w:val="clear" w:color="auto" w:fill="FFFFFF"/>
        </w:rPr>
        <w:fldChar w:fldCharType="begin" w:fldLock="1"/>
      </w:r>
      <w:r w:rsidR="00DE3477">
        <w:rPr>
          <w:shd w:val="clear" w:color="auto" w:fill="FFFFFF"/>
        </w:rPr>
        <w:instrText>ADDIN CSL_CITATION {"citationItems":[{"id":"ITEM-1","itemData":{"DOI":"10.1016/j.chemphys.2014.03.003","ISSN":"0301-0104","author":[{"dropping-particle":"","family":"Lutz","given":"Oliver M D","non-dropping-particle":"","parse-names":false,"suffix":""},{"dropping-particle":"","family":"Messner","given":"Christoph B","non-dropping-particle":"","parse-names":false,"suffix":""},{"dropping-particle":"","family":"Hofer","given":"Thomas S","non-dropping-particle":"","parse-names":false,"suffix":""},{"dropping-particle":"","family":"Canaval","given":"Lorenz R","non-dropping-particle":"","parse-names":false,"suffix":""},{"dropping-particle":"","family":"Bonn","given":"Guenther K","non-dropping-particle":"","parse-names":false,"suffix":""},{"dropping-particle":"","family":"Huck","given":"Christian W","non-dropping-particle":"","parse-names":false,"suffix":""}],"container-title":"Chemical Physics","id":"ITEM-1","issued":{"date-parts":[["2014"]]},"page":"21-28","publisher":"Elsevier B.V.","title":"Computational Vibrational Spectroscopy of glycine in aqueous solution – Fundamental considerations towards feasible methodologies","type":"article-journal","volume":"435"},"uris":["http://www.mendeley.com/documents/?uuid=691def8d-d6c0-4a68-8922-bc7d175869f0"]}],"mendeley":{"formattedCitation":"&lt;sup&gt;37&lt;/sup&gt;","plainTextFormattedCitation":"37","previouslyFormattedCitation":"&lt;sup&gt;37&lt;/sup&gt;"},"properties":{"noteIndex":0},"schema":"https://github.com/citation-style-language/schema/raw/master/csl-citation.json"}</w:instrText>
      </w:r>
      <w:r w:rsidR="00F27F08" w:rsidRPr="00635F27">
        <w:rPr>
          <w:shd w:val="clear" w:color="auto" w:fill="FFFFFF"/>
        </w:rPr>
        <w:fldChar w:fldCharType="separate"/>
      </w:r>
      <w:r w:rsidR="002F18AD" w:rsidRPr="002F18AD">
        <w:rPr>
          <w:noProof/>
          <w:shd w:val="clear" w:color="auto" w:fill="FFFFFF"/>
          <w:vertAlign w:val="superscript"/>
        </w:rPr>
        <w:t>37</w:t>
      </w:r>
      <w:r w:rsidR="00F27F08" w:rsidRPr="00635F27">
        <w:rPr>
          <w:shd w:val="clear" w:color="auto" w:fill="FFFFFF"/>
        </w:rPr>
        <w:fldChar w:fldCharType="end"/>
      </w:r>
      <w:r w:rsidR="00F27F08" w:rsidRPr="00635F27">
        <w:rPr>
          <w:shd w:val="clear" w:color="auto" w:fill="FFFFFF"/>
        </w:rPr>
        <w:t xml:space="preserve"> </w:t>
      </w:r>
      <w:r w:rsidR="00F27F08">
        <w:rPr>
          <w:shd w:val="clear" w:color="auto" w:fill="FFFFFF"/>
        </w:rPr>
        <w:t>A</w:t>
      </w:r>
      <w:r w:rsidR="00F27F08" w:rsidRPr="00635F27">
        <w:rPr>
          <w:shd w:val="clear" w:color="auto" w:fill="FFFFFF"/>
        </w:rPr>
        <w:t xml:space="preserve"> band at 151</w:t>
      </w:r>
      <w:r w:rsidR="00F27F08">
        <w:rPr>
          <w:shd w:val="clear" w:color="auto" w:fill="FFFFFF"/>
        </w:rPr>
        <w:t>5</w:t>
      </w:r>
      <w:r w:rsidR="00F27F08" w:rsidRPr="00635F27">
        <w:rPr>
          <w:shd w:val="clear" w:color="auto" w:fill="FFFFFF"/>
        </w:rPr>
        <w:t xml:space="preserve"> cm</w:t>
      </w:r>
      <w:r w:rsidR="00F27F08" w:rsidRPr="00635F27">
        <w:rPr>
          <w:vertAlign w:val="superscript"/>
        </w:rPr>
        <w:t>-1</w:t>
      </w:r>
      <w:r w:rsidR="00F27F08" w:rsidRPr="00635F27">
        <w:rPr>
          <w:shd w:val="clear" w:color="auto" w:fill="FFFFFF"/>
        </w:rPr>
        <w:t xml:space="preserve"> is assigned to the in</w:t>
      </w:r>
      <w:r w:rsidR="00F27F08">
        <w:rPr>
          <w:shd w:val="clear" w:color="auto" w:fill="FFFFFF"/>
        </w:rPr>
        <w:t>-</w:t>
      </w:r>
      <w:r w:rsidR="00F27F08" w:rsidRPr="00635F27">
        <w:rPr>
          <w:shd w:val="clear" w:color="auto" w:fill="FFFFFF"/>
        </w:rPr>
        <w:t xml:space="preserve">plane N-H bending mode while </w:t>
      </w:r>
      <w:r w:rsidR="00F27F08">
        <w:rPr>
          <w:shd w:val="clear" w:color="auto" w:fill="FFFFFF"/>
        </w:rPr>
        <w:t>the</w:t>
      </w:r>
      <w:r w:rsidR="00F27F08" w:rsidRPr="00635F27">
        <w:rPr>
          <w:shd w:val="clear" w:color="auto" w:fill="FFFFFF"/>
        </w:rPr>
        <w:t xml:space="preserve"> </w:t>
      </w:r>
      <w:r w:rsidR="00F27F08">
        <w:rPr>
          <w:shd w:val="clear" w:color="auto" w:fill="FFFFFF"/>
        </w:rPr>
        <w:t>shoulder visible on</w:t>
      </w:r>
      <w:r w:rsidR="00F27F08" w:rsidRPr="0001584A">
        <w:rPr>
          <w:shd w:val="clear" w:color="auto" w:fill="FFFFFF"/>
        </w:rPr>
        <w:t xml:space="preserve"> </w:t>
      </w:r>
      <w:r w:rsidR="00F27F08">
        <w:rPr>
          <w:shd w:val="clear" w:color="auto" w:fill="FFFFFF"/>
        </w:rPr>
        <w:t>the low frequency side of the</w:t>
      </w:r>
      <w:r w:rsidR="00F27F08" w:rsidRPr="00635F27">
        <w:rPr>
          <w:shd w:val="clear" w:color="auto" w:fill="FFFFFF"/>
        </w:rPr>
        <w:t xml:space="preserve"> 1650 cm</w:t>
      </w:r>
      <w:r w:rsidR="00F27F08" w:rsidRPr="00635F27">
        <w:rPr>
          <w:shd w:val="clear" w:color="auto" w:fill="FFFFFF"/>
          <w:vertAlign w:val="superscript"/>
        </w:rPr>
        <w:t>-1</w:t>
      </w:r>
      <w:r w:rsidR="00F27F08" w:rsidRPr="00635F27">
        <w:rPr>
          <w:shd w:val="clear" w:color="auto" w:fill="FFFFFF"/>
        </w:rPr>
        <w:t xml:space="preserve"> </w:t>
      </w:r>
      <w:r w:rsidR="00F27F08">
        <w:rPr>
          <w:shd w:val="clear" w:color="auto" w:fill="FFFFFF"/>
        </w:rPr>
        <w:t>peak is due to</w:t>
      </w:r>
      <w:r w:rsidR="00F27F08" w:rsidRPr="00635F27">
        <w:rPr>
          <w:shd w:val="clear" w:color="auto" w:fill="FFFFFF"/>
        </w:rPr>
        <w:t xml:space="preserve"> the carboxylate C=O stretching mode.</w:t>
      </w:r>
    </w:p>
    <w:p w:rsidR="00F27F08" w:rsidRPr="00E03AC2" w:rsidRDefault="00F27F08" w:rsidP="00F27F08">
      <w:pPr>
        <w:pStyle w:val="VAFigureCaption"/>
        <w:rPr>
          <w:bCs/>
        </w:rPr>
      </w:pPr>
      <w:r w:rsidRPr="00E415F7">
        <w:rPr>
          <w:b/>
          <w:bCs/>
        </w:rPr>
        <w:t>Figure 1.</w:t>
      </w:r>
      <w:r w:rsidRPr="00E03AC2">
        <w:rPr>
          <w:bCs/>
        </w:rPr>
        <w:t xml:space="preserve"> a) Infrared absorption spectra of H</w:t>
      </w:r>
      <w:r w:rsidRPr="00CD5814">
        <w:rPr>
          <w:bCs/>
          <w:vertAlign w:val="subscript"/>
        </w:rPr>
        <w:t>2</w:t>
      </w:r>
      <w:r w:rsidRPr="00E03AC2">
        <w:rPr>
          <w:bCs/>
        </w:rPr>
        <w:t>O (black), serum (</w:t>
      </w:r>
      <w:r w:rsidRPr="00CD5814">
        <w:rPr>
          <w:bCs/>
          <w:vertAlign w:val="superscript"/>
        </w:rPr>
        <w:t>1</w:t>
      </w:r>
      <w:r w:rsidRPr="00E03AC2">
        <w:rPr>
          <w:bCs/>
        </w:rPr>
        <w:t>[</w:t>
      </w:r>
      <w:proofErr w:type="spellStart"/>
      <w:r w:rsidRPr="00E03AC2">
        <w:rPr>
          <w:bCs/>
        </w:rPr>
        <w:t>Gly</w:t>
      </w:r>
      <w:proofErr w:type="spellEnd"/>
      <w:r w:rsidRPr="00E03AC2">
        <w:rPr>
          <w:bCs/>
        </w:rPr>
        <w:t>], red) and serum spiked with 100 mg/mL of glycine (</w:t>
      </w:r>
      <w:r w:rsidRPr="00CD5814">
        <w:rPr>
          <w:bCs/>
          <w:vertAlign w:val="superscript"/>
        </w:rPr>
        <w:t>5000</w:t>
      </w:r>
      <w:r w:rsidRPr="00E03AC2">
        <w:rPr>
          <w:bCs/>
        </w:rPr>
        <w:t>[</w:t>
      </w:r>
      <w:proofErr w:type="spellStart"/>
      <w:r w:rsidRPr="00E03AC2">
        <w:rPr>
          <w:bCs/>
        </w:rPr>
        <w:t>Gly</w:t>
      </w:r>
      <w:proofErr w:type="spellEnd"/>
      <w:r w:rsidRPr="00E03AC2">
        <w:rPr>
          <w:bCs/>
        </w:rPr>
        <w:t>], blue). b) 2D-IR spectrum of serum (</w:t>
      </w:r>
      <w:r w:rsidRPr="00CD5814">
        <w:rPr>
          <w:bCs/>
          <w:vertAlign w:val="superscript"/>
        </w:rPr>
        <w:t>1</w:t>
      </w:r>
      <w:r w:rsidRPr="00E03AC2">
        <w:rPr>
          <w:bCs/>
        </w:rPr>
        <w:t>[</w:t>
      </w:r>
      <w:proofErr w:type="spellStart"/>
      <w:r w:rsidRPr="00E03AC2">
        <w:rPr>
          <w:bCs/>
        </w:rPr>
        <w:t>Gly</w:t>
      </w:r>
      <w:proofErr w:type="spellEnd"/>
      <w:r w:rsidRPr="00E03AC2">
        <w:rPr>
          <w:bCs/>
        </w:rPr>
        <w:t>]), black dashed boxes indicate peaks due to coupling/energy transfer between amide I and II modes of the protein component (the peak above the diagonal is not clearly visible at these contour levels). c) 2D-IR spectrum of serum spiked with 100 mg/mL of glycine (</w:t>
      </w:r>
      <w:r w:rsidRPr="00CD5814">
        <w:rPr>
          <w:bCs/>
          <w:vertAlign w:val="superscript"/>
        </w:rPr>
        <w:t>5000</w:t>
      </w:r>
      <w:r w:rsidRPr="00E03AC2">
        <w:rPr>
          <w:bCs/>
        </w:rPr>
        <w:t>[</w:t>
      </w:r>
      <w:proofErr w:type="spellStart"/>
      <w:r w:rsidRPr="00E03AC2">
        <w:rPr>
          <w:bCs/>
        </w:rPr>
        <w:t>Gly</w:t>
      </w:r>
      <w:proofErr w:type="spellEnd"/>
      <w:r w:rsidRPr="00E03AC2">
        <w:rPr>
          <w:bCs/>
        </w:rPr>
        <w:t xml:space="preserve">]). Blue dashed vertical lines identify peak positions relative to IR absorption measurements. Intersections of blue lines with horizontal grey dashed lines indicate positions of off-diagonal peaks linking diagonal peaks due to </w:t>
      </w:r>
      <w:proofErr w:type="spellStart"/>
      <w:r w:rsidRPr="00E03AC2">
        <w:rPr>
          <w:bCs/>
        </w:rPr>
        <w:t>Gly</w:t>
      </w:r>
      <w:proofErr w:type="spellEnd"/>
      <w:r w:rsidRPr="00E03AC2">
        <w:rPr>
          <w:bCs/>
        </w:rPr>
        <w:t xml:space="preserve"> (see text). </w:t>
      </w:r>
    </w:p>
    <w:p w:rsidR="00F27F08" w:rsidRDefault="00F27F08" w:rsidP="00F27F08">
      <w:pPr>
        <w:pStyle w:val="TAMainText"/>
        <w:rPr>
          <w:shd w:val="clear" w:color="auto" w:fill="FFFFFF"/>
        </w:rPr>
      </w:pPr>
      <w:r w:rsidRPr="007B735E">
        <w:rPr>
          <w:shd w:val="clear" w:color="auto" w:fill="FFFFFF"/>
        </w:rPr>
        <w:t xml:space="preserve">The 2D-IR spectra of </w:t>
      </w:r>
      <w:r w:rsidRPr="007B735E">
        <w:rPr>
          <w:color w:val="222222"/>
          <w:shd w:val="clear" w:color="auto" w:fill="FFFFFF"/>
          <w:vertAlign w:val="superscript"/>
        </w:rPr>
        <w:t>1</w:t>
      </w:r>
      <w:r w:rsidRPr="007B735E">
        <w:rPr>
          <w:color w:val="222222"/>
          <w:shd w:val="clear" w:color="auto" w:fill="FFFFFF"/>
        </w:rPr>
        <w:t>[</w:t>
      </w:r>
      <w:proofErr w:type="spellStart"/>
      <w:r w:rsidRPr="007B735E">
        <w:rPr>
          <w:color w:val="222222"/>
          <w:shd w:val="clear" w:color="auto" w:fill="FFFFFF"/>
        </w:rPr>
        <w:t>Gly</w:t>
      </w:r>
      <w:proofErr w:type="spellEnd"/>
      <w:r w:rsidRPr="007B735E">
        <w:rPr>
          <w:color w:val="222222"/>
          <w:shd w:val="clear" w:color="auto" w:fill="FFFFFF"/>
        </w:rPr>
        <w:t xml:space="preserve">] and </w:t>
      </w:r>
      <w:r w:rsidRPr="007B735E">
        <w:rPr>
          <w:color w:val="222222"/>
          <w:shd w:val="clear" w:color="auto" w:fill="FFFFFF"/>
          <w:vertAlign w:val="superscript"/>
        </w:rPr>
        <w:t>5000</w:t>
      </w:r>
      <w:r w:rsidRPr="007B735E">
        <w:rPr>
          <w:color w:val="222222"/>
          <w:shd w:val="clear" w:color="auto" w:fill="FFFFFF"/>
        </w:rPr>
        <w:t>[</w:t>
      </w:r>
      <w:proofErr w:type="spellStart"/>
      <w:r w:rsidRPr="007B735E">
        <w:rPr>
          <w:color w:val="222222"/>
          <w:shd w:val="clear" w:color="auto" w:fill="FFFFFF"/>
        </w:rPr>
        <w:t>Gly</w:t>
      </w:r>
      <w:proofErr w:type="spellEnd"/>
      <w:r w:rsidRPr="007B735E">
        <w:rPr>
          <w:color w:val="222222"/>
          <w:shd w:val="clear" w:color="auto" w:fill="FFFFFF"/>
        </w:rPr>
        <w:t xml:space="preserve">] </w:t>
      </w:r>
      <w:r w:rsidRPr="00635F27">
        <w:rPr>
          <w:shd w:val="clear" w:color="auto" w:fill="FFFFFF"/>
        </w:rPr>
        <w:t>are shown in Figs.1(b) and (c)</w:t>
      </w:r>
      <w:r>
        <w:rPr>
          <w:shd w:val="clear" w:color="auto" w:fill="FFFFFF"/>
        </w:rPr>
        <w:t xml:space="preserve"> respectively</w:t>
      </w:r>
      <w:r w:rsidRPr="00635F27">
        <w:rPr>
          <w:shd w:val="clear" w:color="auto" w:fill="FFFFFF"/>
        </w:rPr>
        <w:t>.</w:t>
      </w:r>
      <w:r>
        <w:rPr>
          <w:shd w:val="clear" w:color="auto" w:fill="FFFFFF"/>
        </w:rPr>
        <w:t xml:space="preserve"> In the </w:t>
      </w:r>
      <w:r w:rsidRPr="00F227DA">
        <w:rPr>
          <w:color w:val="222222"/>
          <w:shd w:val="clear" w:color="auto" w:fill="FFFFFF"/>
          <w:vertAlign w:val="superscript"/>
        </w:rPr>
        <w:t>1</w:t>
      </w:r>
      <w:r>
        <w:rPr>
          <w:color w:val="222222"/>
          <w:shd w:val="clear" w:color="auto" w:fill="FFFFFF"/>
        </w:rPr>
        <w:t>[</w:t>
      </w:r>
      <w:proofErr w:type="spellStart"/>
      <w:r>
        <w:rPr>
          <w:color w:val="222222"/>
          <w:shd w:val="clear" w:color="auto" w:fill="FFFFFF"/>
        </w:rPr>
        <w:t>Gly</w:t>
      </w:r>
      <w:proofErr w:type="spellEnd"/>
      <w:r>
        <w:rPr>
          <w:color w:val="222222"/>
          <w:shd w:val="clear" w:color="auto" w:fill="FFFFFF"/>
        </w:rPr>
        <w:t xml:space="preserve">] spectrum, negative </w:t>
      </w:r>
      <w:r>
        <w:rPr>
          <w:shd w:val="clear" w:color="auto" w:fill="FFFFFF"/>
        </w:rPr>
        <w:t>peaks</w:t>
      </w:r>
      <w:r w:rsidRPr="00635F27">
        <w:rPr>
          <w:shd w:val="clear" w:color="auto" w:fill="FFFFFF"/>
        </w:rPr>
        <w:t xml:space="preserve"> </w:t>
      </w:r>
      <w:r>
        <w:rPr>
          <w:shd w:val="clear" w:color="auto" w:fill="FFFFFF"/>
        </w:rPr>
        <w:t>(red) are visible on the 2D-IR spectrum diagonal at wavenumber coordinates (pump, probe) (1650, 1650 cm</w:t>
      </w:r>
      <w:r>
        <w:rPr>
          <w:shd w:val="clear" w:color="auto" w:fill="FFFFFF"/>
          <w:vertAlign w:val="superscript"/>
        </w:rPr>
        <w:t>-1</w:t>
      </w:r>
      <w:r>
        <w:rPr>
          <w:shd w:val="clear" w:color="auto" w:fill="FFFFFF"/>
        </w:rPr>
        <w:t>) and (1550, 1550 cm</w:t>
      </w:r>
      <w:r>
        <w:rPr>
          <w:shd w:val="clear" w:color="auto" w:fill="FFFFFF"/>
          <w:vertAlign w:val="superscript"/>
        </w:rPr>
        <w:t>-1</w:t>
      </w:r>
      <w:r>
        <w:rPr>
          <w:shd w:val="clear" w:color="auto" w:fill="FFFFFF"/>
        </w:rPr>
        <w:t xml:space="preserve">). These are assigned to the v=0-1 transitions of the amide I and II bands of the protein content of the serum respectively. Positive (blue) peaks </w:t>
      </w:r>
      <w:r w:rsidRPr="00635F27">
        <w:rPr>
          <w:shd w:val="clear" w:color="auto" w:fill="FFFFFF"/>
        </w:rPr>
        <w:t xml:space="preserve">assigned to v=1-2 transitions of the same bands are shifted to lower probe frequencies </w:t>
      </w:r>
      <w:r>
        <w:rPr>
          <w:shd w:val="clear" w:color="auto" w:fill="FFFFFF"/>
        </w:rPr>
        <w:t>by the respective vibrational anharmonicities of the two modes. Weak off-diagonal peaks are observed linking these two diagonal peaks (black boxes), consistent with vibrational coupling and energy transfer processes between the amide I and II modes.</w:t>
      </w:r>
      <w:r>
        <w:rPr>
          <w:shd w:val="clear" w:color="auto" w:fill="FFFFFF"/>
        </w:rPr>
        <w:fldChar w:fldCharType="begin" w:fldLock="1"/>
      </w:r>
      <w:r w:rsidR="00DE3477">
        <w:rPr>
          <w:shd w:val="clear" w:color="auto" w:fill="FFFFFF"/>
        </w:rPr>
        <w:instrText>ADDIN CSL_CITATION {"citationItems":[{"id":"ITEM-1","itemData":{"DOI":"10.1021/ja8094922","ISSN":"00027863","abstract":"We demonstrate how multimode 2D IR spectroscopy of the protein amide I′ and II′ vibrations can be used to distinguish protein secondary structure. Polarization-dependent amide I′-II′ 2D IR experiments on poly-L-lysine in the β-sheet, α-helix, and random coil conformations show that a combination of amide I′ and II′ diagonal and cross peaks can effectively distinguish between secondary structural content, where amide I′ infrared spectroscopy alone cannot. The enhanced sensitivity arises from frequency and amplitude correlations between amide II′ and amide I′ spectra that reflect the symmetry of secondary structures. 2D IR surfaces are used to parametrize an excitonic model for the amide I′-II′ manifold suitable to predict protein amide I′-II′ spectra. This model reveals that the dominant vibrational interaction contributing to this sensitivity is a combination of negative amide II′-II′ through-bond coupling and amide I′-II′ coupling within the peptide unit. The empirically determined amide II′-II′ couplings do not significantly vary with secondary structure:-8.5 cm -1 for the β sheet,-8.7 cm -1 for the a helix, and-5 cm -1 for the coil. © 2009 American Chemical Society.","author":[{"dropping-particle":"","family":"Deflores","given":"Lauren P.","non-dropping-particle":"","parse-names":false,"suffix":""},{"dropping-particle":"","family":"Ganim","given":"Ziad","non-dropping-particle":"","parse-names":false,"suffix":""},{"dropping-particle":"","family":"Nicodemus","given":"Rebecca A.","non-dropping-particle":"","parse-names":false,"suffix":""},{"dropping-particle":"","family":"Tokmakoff","given":"Andrei","non-dropping-particle":"","parse-names":false,"suffix":""}],"container-title":"Journal of the American Chemical Society","id":"ITEM-1","issue":"9","issued":{"date-parts":[["2009"]]},"page":"3385-3391","title":"Amide I′-II′ 2D IR spectroscopy provides enhanced protein secondary structural sensitivity","type":"article-journal","volume":"131"},"uris":["http://www.mendeley.com/documents/?uuid=1081c641-b4c9-4412-81f7-d7399067669f"]}],"mendeley":{"formattedCitation":"&lt;sup&gt;38&lt;/sup&gt;","plainTextFormattedCitation":"38","previouslyFormattedCitation":"&lt;sup&gt;38&lt;/sup&gt;"},"properties":{"noteIndex":0},"schema":"https://github.com/citation-style-language/schema/raw/master/csl-citation.json"}</w:instrText>
      </w:r>
      <w:r>
        <w:rPr>
          <w:shd w:val="clear" w:color="auto" w:fill="FFFFFF"/>
        </w:rPr>
        <w:fldChar w:fldCharType="separate"/>
      </w:r>
      <w:r w:rsidR="002F18AD" w:rsidRPr="002F18AD">
        <w:rPr>
          <w:noProof/>
          <w:shd w:val="clear" w:color="auto" w:fill="FFFFFF"/>
          <w:vertAlign w:val="superscript"/>
        </w:rPr>
        <w:t>38</w:t>
      </w:r>
      <w:r>
        <w:rPr>
          <w:shd w:val="clear" w:color="auto" w:fill="FFFFFF"/>
        </w:rPr>
        <w:fldChar w:fldCharType="end"/>
      </w:r>
      <w:r>
        <w:rPr>
          <w:shd w:val="clear" w:color="auto" w:fill="FFFFFF"/>
        </w:rPr>
        <w:t xml:space="preserve"> No contribution from water is observed in this spectrum, as reported previously.</w:t>
      </w:r>
      <w:r>
        <w:rPr>
          <w:shd w:val="clear" w:color="auto" w:fill="FFFFFF"/>
        </w:rPr>
        <w:fldChar w:fldCharType="begin" w:fldLock="1"/>
      </w:r>
      <w:r w:rsidR="000A3EE3">
        <w:rPr>
          <w:shd w:val="clear" w:color="auto" w:fill="FFFFFF"/>
        </w:rPr>
        <w:instrText>ADDIN CSL_CITATION {"citationItems":[{"id":"ITEM-1","itemData":{"DOI":"10.1039/c9sc01590f","author":[{"dropping-particle":"","family":"Hume","given":"Samantha","non-dropping-particle":"","parse-names":false,"suffix":""},{"dropping-particle":"","family":"Hithell","given":"Gordon","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W","non-dropping-particle":"","parse-names":false,"suffix":""},{"dropping-particle":"","family":"Baker","given":"J","non-dropping-particle":"","parse-names":false,"suffix":""},{"dropping-particle":"","family":"Hunt","given":"Neil T","non-dropping-particle":"","parse-names":false,"suffix":""}],"container-title":"Chemical Science","id":"ITEM-1","issue":"26","issued":{"date-parts":[["2019"]]},"page":"6448-6456","publisher":"Royal Society of Chemistry","title":"Measuring Proteins in H2O with 2D-IR Spectroscopy","type":"article-journal","volume":"10"},"uris":["http://www.mendeley.com/documents/?uuid=e57e5371-ac57-48de-8056-6418ca80be17"]},{"id":"ITEM-2","itemData":{"DOI":"10.1021/acs.analchem.9b05601","author":[{"dropping-particle":"","family":"Hume","given":"Samantha","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W","non-dropping-particle":"","parse-names":false,"suffix":""},{"dropping-particle":"","family":"Baker","given":"Matthew J","non-dropping-particle":"","parse-names":false,"suffix":""},{"dropping-particle":"","family":"Hunt","given":"Neil T","non-dropping-particle":"","parse-names":false,"suffix":""}],"container-title":"Analytical Chemistry","id":"ITEM-2","issued":{"date-parts":[["2020"]]},"page":"3463-3469","title":"2D-Infrared Spectroscopy of Proteins in Water: Using the Solvent Thermal Response as an Internal Standard","type":"article-journal","volume":"92"},"uris":["http://www.mendeley.com/documents/?uuid=4b2b7ad8-da2d-4105-842b-4c32bb8e18f7"]}],"mendeley":{"formattedCitation":"&lt;sup&gt;24,39&lt;/sup&gt;","plainTextFormattedCitation":"24,39","previouslyFormattedCitation":"&lt;sup&gt;24&lt;/sup&gt;"},"properties":{"noteIndex":0},"schema":"https://github.com/citation-style-language/schema/raw/master/csl-citation.json"}</w:instrText>
      </w:r>
      <w:r>
        <w:rPr>
          <w:shd w:val="clear" w:color="auto" w:fill="FFFFFF"/>
        </w:rPr>
        <w:fldChar w:fldCharType="separate"/>
      </w:r>
      <w:r w:rsidR="000A3EE3" w:rsidRPr="000A3EE3">
        <w:rPr>
          <w:noProof/>
          <w:shd w:val="clear" w:color="auto" w:fill="FFFFFF"/>
          <w:vertAlign w:val="superscript"/>
        </w:rPr>
        <w:t>24,39</w:t>
      </w:r>
      <w:r>
        <w:rPr>
          <w:shd w:val="clear" w:color="auto" w:fill="FFFFFF"/>
        </w:rPr>
        <w:fldChar w:fldCharType="end"/>
      </w:r>
    </w:p>
    <w:p w:rsidR="00F27F08" w:rsidRDefault="00F27F08" w:rsidP="00F27F08">
      <w:pPr>
        <w:pStyle w:val="TAMainText"/>
        <w:rPr>
          <w:shd w:val="clear" w:color="auto" w:fill="FFFFFF"/>
        </w:rPr>
      </w:pPr>
      <w:r>
        <w:rPr>
          <w:shd w:val="clear" w:color="auto" w:fill="FFFFFF"/>
        </w:rPr>
        <w:t xml:space="preserve">The 2D-IR spectrum of the </w:t>
      </w:r>
      <w:r w:rsidRPr="00AC506A">
        <w:rPr>
          <w:color w:val="222222"/>
          <w:shd w:val="clear" w:color="auto" w:fill="FFFFFF"/>
          <w:vertAlign w:val="superscript"/>
        </w:rPr>
        <w:t>5000</w:t>
      </w:r>
      <w:r w:rsidRPr="00AC506A">
        <w:rPr>
          <w:color w:val="222222"/>
          <w:shd w:val="clear" w:color="auto" w:fill="FFFFFF"/>
        </w:rPr>
        <w:t>[</w:t>
      </w:r>
      <w:proofErr w:type="spellStart"/>
      <w:r w:rsidRPr="00AC506A">
        <w:rPr>
          <w:color w:val="222222"/>
          <w:shd w:val="clear" w:color="auto" w:fill="FFFFFF"/>
        </w:rPr>
        <w:t>Gly</w:t>
      </w:r>
      <w:proofErr w:type="spellEnd"/>
      <w:r w:rsidRPr="00AC506A">
        <w:rPr>
          <w:color w:val="222222"/>
          <w:shd w:val="clear" w:color="auto" w:fill="FFFFFF"/>
        </w:rPr>
        <w:t>]</w:t>
      </w:r>
      <w:r>
        <w:rPr>
          <w:color w:val="222222"/>
          <w:shd w:val="clear" w:color="auto" w:fill="FFFFFF"/>
        </w:rPr>
        <w:t xml:space="preserve"> sample (Fig.1(c)) contains a number of diagonal and off-diagonal peaks in addition to those already assigned to the serum proteins. Diagonal peaks corresponding to the vibrational modes of </w:t>
      </w:r>
      <w:proofErr w:type="spellStart"/>
      <w:r>
        <w:rPr>
          <w:color w:val="222222"/>
          <w:shd w:val="clear" w:color="auto" w:fill="FFFFFF"/>
        </w:rPr>
        <w:t>Gly</w:t>
      </w:r>
      <w:proofErr w:type="spellEnd"/>
      <w:r>
        <w:rPr>
          <w:color w:val="222222"/>
          <w:shd w:val="clear" w:color="auto" w:fill="FFFFFF"/>
        </w:rPr>
        <w:t xml:space="preserve"> observed in the IR absorption spectrum are located at (pump = probe) </w:t>
      </w:r>
      <w:r>
        <w:rPr>
          <w:shd w:val="clear" w:color="auto" w:fill="FFFFFF"/>
        </w:rPr>
        <w:t>1330,</w:t>
      </w:r>
      <w:r w:rsidRPr="00AC506A">
        <w:rPr>
          <w:shd w:val="clear" w:color="auto" w:fill="FFFFFF"/>
        </w:rPr>
        <w:t xml:space="preserve"> </w:t>
      </w:r>
      <w:r w:rsidRPr="00AC506A">
        <w:rPr>
          <w:shd w:val="clear" w:color="auto" w:fill="FFFFFF"/>
        </w:rPr>
        <w:t xml:space="preserve">1445 </w:t>
      </w:r>
      <w:r>
        <w:rPr>
          <w:shd w:val="clear" w:color="auto" w:fill="FFFFFF"/>
        </w:rPr>
        <w:t xml:space="preserve">and </w:t>
      </w:r>
      <w:r w:rsidRPr="00AC506A">
        <w:rPr>
          <w:shd w:val="clear" w:color="auto" w:fill="FFFFFF"/>
        </w:rPr>
        <w:t>151</w:t>
      </w:r>
      <w:r>
        <w:rPr>
          <w:shd w:val="clear" w:color="auto" w:fill="FFFFFF"/>
        </w:rPr>
        <w:t>5</w:t>
      </w:r>
      <w:r w:rsidRPr="00AC506A">
        <w:rPr>
          <w:shd w:val="clear" w:color="auto" w:fill="FFFFFF"/>
        </w:rPr>
        <w:t xml:space="preserve"> cm</w:t>
      </w:r>
      <w:r w:rsidRPr="00AC506A">
        <w:rPr>
          <w:vertAlign w:val="superscript"/>
        </w:rPr>
        <w:t>-1</w:t>
      </w:r>
      <w:r>
        <w:rPr>
          <w:shd w:val="clear" w:color="auto" w:fill="FFFFFF"/>
        </w:rPr>
        <w:t xml:space="preserve">. For convenience these are identified in </w:t>
      </w:r>
      <w:r>
        <w:rPr>
          <w:color w:val="222222"/>
          <w:shd w:val="clear" w:color="auto" w:fill="FFFFFF"/>
        </w:rPr>
        <w:t xml:space="preserve">Fig.1(c) </w:t>
      </w:r>
      <w:r>
        <w:rPr>
          <w:shd w:val="clear" w:color="auto" w:fill="FFFFFF"/>
        </w:rPr>
        <w:t xml:space="preserve">by dashed vertical lines (blue) extending from the IR absorption spectrum to the 2D-IR diagonal. In addition, a network of off-diagonal peaks is observed linking these diagonal peaks, forming a characteristic 2D peak pattern for </w:t>
      </w:r>
      <w:proofErr w:type="spellStart"/>
      <w:r>
        <w:rPr>
          <w:shd w:val="clear" w:color="auto" w:fill="FFFFFF"/>
        </w:rPr>
        <w:t>Gly</w:t>
      </w:r>
      <w:proofErr w:type="spellEnd"/>
      <w:r>
        <w:rPr>
          <w:shd w:val="clear" w:color="auto" w:fill="FFFFFF"/>
        </w:rPr>
        <w:t xml:space="preserve"> (see grey horizontal guidelines in Fig.1(c)). Of particular note are several off-diagonal peaks linking the low frequency modes of </w:t>
      </w:r>
      <w:proofErr w:type="spellStart"/>
      <w:r>
        <w:rPr>
          <w:shd w:val="clear" w:color="auto" w:fill="FFFFFF"/>
        </w:rPr>
        <w:t>Gly</w:t>
      </w:r>
      <w:proofErr w:type="spellEnd"/>
      <w:r>
        <w:rPr>
          <w:shd w:val="clear" w:color="auto" w:fill="FFFFFF"/>
        </w:rPr>
        <w:t xml:space="preserve"> to the large diagonal peak at 1650 cm</w:t>
      </w:r>
      <w:r>
        <w:rPr>
          <w:shd w:val="clear" w:color="auto" w:fill="FFFFFF"/>
          <w:vertAlign w:val="superscript"/>
        </w:rPr>
        <w:t>-1</w:t>
      </w:r>
      <w:r>
        <w:rPr>
          <w:shd w:val="clear" w:color="auto" w:fill="FFFFFF"/>
        </w:rPr>
        <w:t xml:space="preserve">, which indicate a contribution from </w:t>
      </w:r>
      <w:proofErr w:type="spellStart"/>
      <w:r>
        <w:rPr>
          <w:shd w:val="clear" w:color="auto" w:fill="FFFFFF"/>
        </w:rPr>
        <w:t>Gly</w:t>
      </w:r>
      <w:proofErr w:type="spellEnd"/>
      <w:r>
        <w:rPr>
          <w:shd w:val="clear" w:color="auto" w:fill="FFFFFF"/>
        </w:rPr>
        <w:t xml:space="preserve"> to this peak and provide a route to quantifying the contribution of </w:t>
      </w:r>
      <w:proofErr w:type="spellStart"/>
      <w:r>
        <w:rPr>
          <w:shd w:val="clear" w:color="auto" w:fill="FFFFFF"/>
        </w:rPr>
        <w:t>Gly</w:t>
      </w:r>
      <w:proofErr w:type="spellEnd"/>
      <w:r>
        <w:rPr>
          <w:shd w:val="clear" w:color="auto" w:fill="FFFFFF"/>
        </w:rPr>
        <w:t xml:space="preserve"> to the ‘amide I band’ of the serum sample.</w:t>
      </w:r>
    </w:p>
    <w:p w:rsidR="00F27F08" w:rsidRDefault="00F27F08" w:rsidP="00F27F08">
      <w:pPr>
        <w:pStyle w:val="VAFigureCaption"/>
        <w:rPr>
          <w:shd w:val="clear" w:color="auto" w:fill="FFFFFF"/>
        </w:rPr>
      </w:pPr>
      <w:r w:rsidRPr="00E415F7">
        <w:rPr>
          <w:b/>
          <w:bCs/>
          <w:shd w:val="clear" w:color="auto" w:fill="FFFFFF"/>
        </w:rPr>
        <w:t>Figure 2.</w:t>
      </w:r>
      <w:r w:rsidRPr="00E03AC2">
        <w:rPr>
          <w:bCs/>
          <w:shd w:val="clear" w:color="auto" w:fill="FFFFFF"/>
        </w:rPr>
        <w:t xml:space="preserve"> 2D-IR spectra of ser</w:t>
      </w:r>
      <w:r>
        <w:t>u</w:t>
      </w:r>
      <w:r w:rsidRPr="00E03AC2">
        <w:rPr>
          <w:bCs/>
          <w:shd w:val="clear" w:color="auto" w:fill="FFFFFF"/>
        </w:rPr>
        <w:t xml:space="preserve">m spiked with </w:t>
      </w:r>
      <w:proofErr w:type="spellStart"/>
      <w:r w:rsidRPr="00E03AC2">
        <w:rPr>
          <w:bCs/>
          <w:shd w:val="clear" w:color="auto" w:fill="FFFFFF"/>
        </w:rPr>
        <w:t>Gly</w:t>
      </w:r>
      <w:proofErr w:type="spellEnd"/>
      <w:r w:rsidRPr="00E03AC2">
        <w:rPr>
          <w:bCs/>
          <w:shd w:val="clear" w:color="auto" w:fill="FFFFFF"/>
        </w:rPr>
        <w:t xml:space="preserve"> after </w:t>
      </w:r>
      <w:proofErr w:type="spellStart"/>
      <w:r w:rsidRPr="00E03AC2">
        <w:rPr>
          <w:bCs/>
          <w:shd w:val="clear" w:color="auto" w:fill="FFFFFF"/>
        </w:rPr>
        <w:t>normalisation</w:t>
      </w:r>
      <w:proofErr w:type="spellEnd"/>
      <w:r w:rsidRPr="00E03AC2">
        <w:rPr>
          <w:bCs/>
          <w:shd w:val="clear" w:color="auto" w:fill="FFFFFF"/>
        </w:rPr>
        <w:t xml:space="preserve"> to the albumin signal at 1656 cm</w:t>
      </w:r>
      <w:r w:rsidRPr="00E03AC2">
        <w:rPr>
          <w:bCs/>
          <w:shd w:val="clear" w:color="auto" w:fill="FFFFFF"/>
          <w:vertAlign w:val="superscript"/>
        </w:rPr>
        <w:noBreakHyphen/>
        <w:t>1</w:t>
      </w:r>
      <w:r w:rsidRPr="00E03AC2">
        <w:rPr>
          <w:bCs/>
          <w:shd w:val="clear" w:color="auto" w:fill="FFFFFF"/>
        </w:rPr>
        <w:t xml:space="preserve">. The figures show the average of 3 spectra for each </w:t>
      </w:r>
      <w:proofErr w:type="spellStart"/>
      <w:r w:rsidRPr="00E03AC2">
        <w:rPr>
          <w:bCs/>
          <w:shd w:val="clear" w:color="auto" w:fill="FFFFFF"/>
        </w:rPr>
        <w:t>Gly</w:t>
      </w:r>
      <w:proofErr w:type="spellEnd"/>
      <w:r w:rsidRPr="00E03AC2">
        <w:rPr>
          <w:bCs/>
          <w:shd w:val="clear" w:color="auto" w:fill="FFFFFF"/>
        </w:rPr>
        <w:t xml:space="preserve"> sample. All spectra are magnified by a factor indicated in bottom right hand corner, to enhance on and off diagonal peaks due to </w:t>
      </w:r>
      <w:proofErr w:type="spellStart"/>
      <w:r w:rsidRPr="00E03AC2">
        <w:rPr>
          <w:bCs/>
          <w:shd w:val="clear" w:color="auto" w:fill="FFFFFF"/>
        </w:rPr>
        <w:t>Gly</w:t>
      </w:r>
      <w:proofErr w:type="spellEnd"/>
      <w:r w:rsidRPr="00E03AC2">
        <w:rPr>
          <w:bCs/>
          <w:shd w:val="clear" w:color="auto" w:fill="FFFFFF"/>
        </w:rPr>
        <w:t>.</w:t>
      </w:r>
    </w:p>
    <w:p w:rsidR="00F27F08" w:rsidRPr="003B73DA" w:rsidRDefault="00F27F08" w:rsidP="003B73DA">
      <w:pPr>
        <w:pStyle w:val="TAMainText"/>
      </w:pPr>
      <w:r w:rsidRPr="003B73DA">
        <w:t xml:space="preserve">In order to evaluate the detection limit for </w:t>
      </w:r>
      <w:proofErr w:type="spellStart"/>
      <w:r w:rsidRPr="003B73DA">
        <w:t>Gly</w:t>
      </w:r>
      <w:proofErr w:type="spellEnd"/>
      <w:r w:rsidRPr="003B73DA">
        <w:t xml:space="preserve"> using 2D-IR, spectra of a range of </w:t>
      </w:r>
      <w:r w:rsidRPr="00CD5814">
        <w:rPr>
          <w:vertAlign w:val="superscript"/>
        </w:rPr>
        <w:t>x</w:t>
      </w:r>
      <w:r w:rsidRPr="003B73DA">
        <w:t>[</w:t>
      </w:r>
      <w:proofErr w:type="spellStart"/>
      <w:r w:rsidRPr="003B73DA">
        <w:t>Gly</w:t>
      </w:r>
      <w:proofErr w:type="spellEnd"/>
      <w:r w:rsidRPr="003B73DA">
        <w:t xml:space="preserve">] samples were measured (Fig.2). Qualitatively, it can be seen that the peaks identified with </w:t>
      </w:r>
      <w:proofErr w:type="spellStart"/>
      <w:r w:rsidRPr="003B73DA">
        <w:t>Gly</w:t>
      </w:r>
      <w:proofErr w:type="spellEnd"/>
      <w:r w:rsidRPr="003B73DA">
        <w:t xml:space="preserve"> (Fig.1(c)) reduce in magnitude as the [</w:t>
      </w:r>
      <w:proofErr w:type="spellStart"/>
      <w:r w:rsidRPr="003B73DA">
        <w:t>Gly</w:t>
      </w:r>
      <w:proofErr w:type="spellEnd"/>
      <w:r w:rsidRPr="003B73DA">
        <w:t xml:space="preserve">] diminishes, as would be expected. To develop a quantitative analytical </w:t>
      </w:r>
      <w:r w:rsidR="00CD5814" w:rsidRPr="003B73DA">
        <w:t>method,</w:t>
      </w:r>
      <w:r w:rsidRPr="003B73DA">
        <w:t xml:space="preserve"> we assess three different approaches to correlate the </w:t>
      </w:r>
      <w:proofErr w:type="spellStart"/>
      <w:r w:rsidRPr="003B73DA">
        <w:t>Gly</w:t>
      </w:r>
      <w:proofErr w:type="spellEnd"/>
      <w:r w:rsidRPr="003B73DA">
        <w:t xml:space="preserve"> contribution to the spectrum with concentration. It is anticipated that, in each case, the result will show a linear correlation with [</w:t>
      </w:r>
      <w:proofErr w:type="spellStart"/>
      <w:r w:rsidRPr="003B73DA">
        <w:t>Gly</w:t>
      </w:r>
      <w:proofErr w:type="spellEnd"/>
      <w:r w:rsidRPr="003B73DA">
        <w:t>] until the limit of detection is reached.</w:t>
      </w:r>
    </w:p>
    <w:p w:rsidR="00317E86" w:rsidRDefault="00F27F08" w:rsidP="00317E86">
      <w:pPr>
        <w:pStyle w:val="TAMainText"/>
      </w:pPr>
      <w:proofErr w:type="spellStart"/>
      <w:r w:rsidRPr="003B73DA">
        <w:t>i</w:t>
      </w:r>
      <w:proofErr w:type="spellEnd"/>
      <w:r w:rsidRPr="003B73DA">
        <w:t xml:space="preserve">) The first method correlated the magnitude of the 2D-IR diagonal peak assigned to </w:t>
      </w:r>
      <w:proofErr w:type="spellStart"/>
      <w:r w:rsidRPr="003B73DA">
        <w:t>Gly</w:t>
      </w:r>
      <w:proofErr w:type="spellEnd"/>
      <w:r w:rsidRPr="003B73DA">
        <w:t xml:space="preserve"> at (pump = probe) 1515 cm</w:t>
      </w:r>
      <w:r w:rsidRPr="003B73DA">
        <w:rPr>
          <w:vertAlign w:val="superscript"/>
        </w:rPr>
        <w:t>-1</w:t>
      </w:r>
      <w:r w:rsidRPr="003B73DA">
        <w:t xml:space="preserve"> (Fig.3(a), grey dashed line) with [</w:t>
      </w:r>
      <w:proofErr w:type="spellStart"/>
      <w:r w:rsidRPr="003B73DA">
        <w:t>Gly</w:t>
      </w:r>
      <w:proofErr w:type="spellEnd"/>
      <w:r w:rsidRPr="003B73DA">
        <w:t>]. The variation in amplitude of the 1515 cm</w:t>
      </w:r>
      <w:r w:rsidRPr="00CD5814">
        <w:rPr>
          <w:vertAlign w:val="superscript"/>
        </w:rPr>
        <w:t>-1</w:t>
      </w:r>
      <w:r w:rsidRPr="003B73DA">
        <w:t xml:space="preserve"> peak with [</w:t>
      </w:r>
      <w:proofErr w:type="spellStart"/>
      <w:r w:rsidRPr="003B73DA">
        <w:t>Gly</w:t>
      </w:r>
      <w:proofErr w:type="spellEnd"/>
      <w:r w:rsidRPr="003B73DA">
        <w:t>] is shown in Fig.3(b). Although peaks associated with v=0-1 transitions are negative in the 2D-IR plots shown, at low [</w:t>
      </w:r>
      <w:proofErr w:type="spellStart"/>
      <w:r w:rsidRPr="003B73DA">
        <w:t>Gly</w:t>
      </w:r>
      <w:proofErr w:type="spellEnd"/>
      <w:r w:rsidRPr="003B73DA">
        <w:t>] a positive contribution at 1515 cm</w:t>
      </w:r>
      <w:r w:rsidR="00CD5814" w:rsidRPr="00CD5814">
        <w:rPr>
          <w:vertAlign w:val="superscript"/>
        </w:rPr>
        <w:t>-1</w:t>
      </w:r>
      <w:r w:rsidR="00CD5814" w:rsidRPr="003B73DA">
        <w:t xml:space="preserve"> </w:t>
      </w:r>
      <w:r w:rsidRPr="003B73DA">
        <w:t>is observed due to the v=1-2 transition of the amide II mode of serum proteins (Fig.3(a)). As [</w:t>
      </w:r>
      <w:proofErr w:type="spellStart"/>
      <w:r w:rsidRPr="003B73DA">
        <w:t>Gly</w:t>
      </w:r>
      <w:proofErr w:type="spellEnd"/>
      <w:r w:rsidRPr="003B73DA">
        <w:t xml:space="preserve">] increased, the v=0-1 transition of the </w:t>
      </w:r>
      <w:r w:rsidR="00CD5814" w:rsidRPr="003B73DA">
        <w:t>in-plane</w:t>
      </w:r>
      <w:r w:rsidRPr="003B73DA">
        <w:t xml:space="preserve"> N-H bending mode of </w:t>
      </w:r>
      <w:proofErr w:type="spellStart"/>
      <w:r w:rsidRPr="003B73DA">
        <w:t>Gly</w:t>
      </w:r>
      <w:proofErr w:type="spellEnd"/>
      <w:r w:rsidRPr="003B73DA">
        <w:t xml:space="preserve"> increased progressively in amplitude, eventually dominating the spectrum in this region. Plotting the amplitude of the 1515 cm</w:t>
      </w:r>
      <w:r w:rsidR="00CD5814" w:rsidRPr="00CD5814">
        <w:rPr>
          <w:vertAlign w:val="superscript"/>
        </w:rPr>
        <w:t>-1</w:t>
      </w:r>
      <w:r w:rsidR="00CD5814" w:rsidRPr="003B73DA">
        <w:t xml:space="preserve"> </w:t>
      </w:r>
      <w:r w:rsidRPr="003B73DA">
        <w:t>diagonal peak produced a linear trend (Fig.3(b); R</w:t>
      </w:r>
      <w:r w:rsidRPr="00CD5814">
        <w:rPr>
          <w:vertAlign w:val="superscript"/>
        </w:rPr>
        <w:t>2</w:t>
      </w:r>
      <w:r w:rsidRPr="003B73DA">
        <w:t xml:space="preserve"> = 0.994) as expected. </w:t>
      </w:r>
      <w:r w:rsidR="00317E86">
        <w:t xml:space="preserve"> </w:t>
      </w:r>
    </w:p>
    <w:p w:rsidR="00317E86" w:rsidRPr="009F2683" w:rsidRDefault="00317E86" w:rsidP="00317E86">
      <w:pPr>
        <w:pStyle w:val="TAMainText"/>
      </w:pPr>
      <w:r w:rsidRPr="003B73DA">
        <w:t xml:space="preserve">Other diagonal peaks arising from the </w:t>
      </w:r>
      <w:proofErr w:type="spellStart"/>
      <w:r w:rsidRPr="003B73DA">
        <w:t>Gly</w:t>
      </w:r>
      <w:proofErr w:type="spellEnd"/>
      <w:r w:rsidRPr="003B73DA">
        <w:t xml:space="preserve"> content of the samples also yielded similar linear correlations, however as the diagonal peak at 1515 cm</w:t>
      </w:r>
      <w:r w:rsidRPr="00CD5814">
        <w:rPr>
          <w:vertAlign w:val="superscript"/>
        </w:rPr>
        <w:t>-1</w:t>
      </w:r>
      <w:r w:rsidRPr="003B73DA">
        <w:t xml:space="preserve"> produced the largest change in amplitude, it provided the strongest correlation and was found to offer the best position along the 2D-IR diagonal for </w:t>
      </w:r>
      <w:proofErr w:type="spellStart"/>
      <w:r w:rsidRPr="003B73DA">
        <w:t>Gly</w:t>
      </w:r>
      <w:proofErr w:type="spellEnd"/>
      <w:r w:rsidRPr="003B73DA">
        <w:t xml:space="preserve"> detection.</w:t>
      </w:r>
    </w:p>
    <w:p w:rsidR="009F2683" w:rsidRDefault="009F2683" w:rsidP="009F2683">
      <w:pPr>
        <w:pStyle w:val="TAMainText"/>
      </w:pPr>
    </w:p>
    <w:p w:rsidR="00F27F08" w:rsidRPr="0097624F" w:rsidRDefault="00317E86" w:rsidP="009F2683">
      <w:pPr>
        <w:pStyle w:val="TAMainText"/>
        <w:rPr>
          <w:bCs/>
          <w:sz w:val="18"/>
          <w:szCs w:val="18"/>
        </w:rPr>
      </w:pPr>
      <w:r w:rsidRPr="0097624F">
        <w:rPr>
          <w:b/>
          <w:bCs/>
          <w:noProof/>
          <w:sz w:val="18"/>
          <w:szCs w:val="18"/>
          <w:shd w:val="clear" w:color="auto" w:fill="FFFFFF"/>
        </w:rPr>
        <w:lastRenderedPageBreak/>
        <w:drawing>
          <wp:anchor distT="0" distB="0" distL="114300" distR="114300" simplePos="0" relativeHeight="251675136" behindDoc="0" locked="0" layoutInCell="1" allowOverlap="1" wp14:anchorId="7D8898F0" wp14:editId="7C60359B">
            <wp:simplePos x="0" y="0"/>
            <wp:positionH relativeFrom="column">
              <wp:posOffset>3236595</wp:posOffset>
            </wp:positionH>
            <wp:positionV relativeFrom="paragraph">
              <wp:posOffset>2112010</wp:posOffset>
            </wp:positionV>
            <wp:extent cx="3044825" cy="4918075"/>
            <wp:effectExtent l="0" t="0" r="0" b="0"/>
            <wp:wrapTopAndBottom/>
            <wp:docPr id="7" name="Picture 3">
              <a:extLst xmlns:a="http://schemas.openxmlformats.org/drawingml/2006/main">
                <a:ext uri="{FF2B5EF4-FFF2-40B4-BE49-F238E27FC236}">
                  <a16:creationId xmlns:a16="http://schemas.microsoft.com/office/drawing/2014/main" id="{819116EA-E8BE-0E4D-95C2-BBB73DD60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9116EA-E8BE-0E4D-95C2-BBB73DD607E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4918075"/>
                    </a:xfrm>
                    <a:prstGeom prst="rect">
                      <a:avLst/>
                    </a:prstGeom>
                  </pic:spPr>
                </pic:pic>
              </a:graphicData>
            </a:graphic>
            <wp14:sizeRelH relativeFrom="page">
              <wp14:pctWidth>0</wp14:pctWidth>
            </wp14:sizeRelH>
            <wp14:sizeRelV relativeFrom="page">
              <wp14:pctHeight>0</wp14:pctHeight>
            </wp14:sizeRelV>
          </wp:anchor>
        </w:drawing>
      </w:r>
      <w:r w:rsidR="009F2683" w:rsidRPr="0097624F">
        <w:rPr>
          <w:b/>
          <w:bCs/>
          <w:noProof/>
          <w:sz w:val="18"/>
          <w:szCs w:val="18"/>
          <w:shd w:val="clear" w:color="auto" w:fill="FFFFFF"/>
        </w:rPr>
        <w:drawing>
          <wp:anchor distT="0" distB="0" distL="114300" distR="114300" simplePos="0" relativeHeight="251664896" behindDoc="0" locked="0" layoutInCell="1" allowOverlap="1" wp14:anchorId="4100A1C8" wp14:editId="504B44B4">
            <wp:simplePos x="0" y="0"/>
            <wp:positionH relativeFrom="column">
              <wp:posOffset>-3175</wp:posOffset>
            </wp:positionH>
            <wp:positionV relativeFrom="paragraph">
              <wp:posOffset>85090</wp:posOffset>
            </wp:positionV>
            <wp:extent cx="6286500" cy="1894840"/>
            <wp:effectExtent l="0" t="0" r="0" b="0"/>
            <wp:wrapTopAndBottom/>
            <wp:docPr id="2" name="Content Placeholder 4">
              <a:extLst xmlns:a="http://schemas.openxmlformats.org/drawingml/2006/main">
                <a:ext uri="{FF2B5EF4-FFF2-40B4-BE49-F238E27FC236}">
                  <a16:creationId xmlns:a16="http://schemas.microsoft.com/office/drawing/2014/main" id="{41945E9E-5430-7246-8BD9-10ED3545B9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1945E9E-5430-7246-8BD9-10ED3545B977}"/>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0" cy="1894840"/>
                    </a:xfrm>
                    <a:prstGeom prst="rect">
                      <a:avLst/>
                    </a:prstGeom>
                  </pic:spPr>
                </pic:pic>
              </a:graphicData>
            </a:graphic>
            <wp14:sizeRelH relativeFrom="page">
              <wp14:pctWidth>0</wp14:pctWidth>
            </wp14:sizeRelH>
            <wp14:sizeRelV relativeFrom="page">
              <wp14:pctHeight>0</wp14:pctHeight>
            </wp14:sizeRelV>
          </wp:anchor>
        </w:drawing>
      </w:r>
      <w:r w:rsidR="00F27F08" w:rsidRPr="0097624F">
        <w:rPr>
          <w:b/>
          <w:bCs/>
          <w:sz w:val="18"/>
          <w:szCs w:val="18"/>
          <w:shd w:val="clear" w:color="auto" w:fill="FFFFFF"/>
        </w:rPr>
        <w:t>Figure 3</w:t>
      </w:r>
      <w:r w:rsidR="00F27F08" w:rsidRPr="0097624F">
        <w:rPr>
          <w:b/>
          <w:bCs/>
          <w:sz w:val="18"/>
          <w:szCs w:val="18"/>
        </w:rPr>
        <w:t>.</w:t>
      </w:r>
      <w:r w:rsidR="00F27F08" w:rsidRPr="0097624F">
        <w:rPr>
          <w:bCs/>
          <w:sz w:val="18"/>
          <w:szCs w:val="18"/>
          <w:shd w:val="clear" w:color="auto" w:fill="FFFFFF"/>
        </w:rPr>
        <w:t xml:space="preserve"> a) 2D-IR diagonal slices scaled to the amide I albumin peak at 1656 cm</w:t>
      </w:r>
      <w:r w:rsidR="00F27F08" w:rsidRPr="0097624F">
        <w:rPr>
          <w:bCs/>
          <w:sz w:val="18"/>
          <w:szCs w:val="18"/>
          <w:shd w:val="clear" w:color="auto" w:fill="FFFFFF"/>
          <w:vertAlign w:val="superscript"/>
        </w:rPr>
        <w:t>-1</w:t>
      </w:r>
      <w:r w:rsidR="00F27F08" w:rsidRPr="0097624F">
        <w:rPr>
          <w:bCs/>
          <w:sz w:val="18"/>
          <w:szCs w:val="18"/>
          <w:shd w:val="clear" w:color="auto" w:fill="FFFFFF"/>
        </w:rPr>
        <w:t xml:space="preserve"> (black dashed vertical line). b) The average amplitude at 1515 cm</w:t>
      </w:r>
      <w:r w:rsidR="00F27F08" w:rsidRPr="0097624F">
        <w:rPr>
          <w:bCs/>
          <w:sz w:val="18"/>
          <w:szCs w:val="18"/>
          <w:shd w:val="clear" w:color="auto" w:fill="FFFFFF"/>
          <w:vertAlign w:val="superscript"/>
        </w:rPr>
        <w:t xml:space="preserve">-1 </w:t>
      </w:r>
      <w:r w:rsidR="00F27F08" w:rsidRPr="0097624F">
        <w:rPr>
          <w:bCs/>
          <w:sz w:val="18"/>
          <w:szCs w:val="18"/>
          <w:shd w:val="clear" w:color="auto" w:fill="FFFFFF"/>
        </w:rPr>
        <w:t xml:space="preserve">(grey dashed vertical line in a)) plotted as a function of </w:t>
      </w:r>
      <w:proofErr w:type="spellStart"/>
      <w:r w:rsidR="00F27F08" w:rsidRPr="0097624F">
        <w:rPr>
          <w:bCs/>
          <w:sz w:val="18"/>
          <w:szCs w:val="18"/>
          <w:shd w:val="clear" w:color="auto" w:fill="FFFFFF"/>
        </w:rPr>
        <w:t>Gly</w:t>
      </w:r>
      <w:proofErr w:type="spellEnd"/>
      <w:r w:rsidR="00F27F08" w:rsidRPr="0097624F">
        <w:rPr>
          <w:bCs/>
          <w:sz w:val="18"/>
          <w:szCs w:val="18"/>
          <w:shd w:val="clear" w:color="auto" w:fill="FFFFFF"/>
        </w:rPr>
        <w:t xml:space="preserve"> concentration, error bars show 1</w:t>
      </w:r>
      <w:r w:rsidR="00F27F08" w:rsidRPr="0097624F">
        <w:rPr>
          <w:bCs/>
          <w:sz w:val="18"/>
          <w:szCs w:val="18"/>
          <w:shd w:val="clear" w:color="auto" w:fill="FFFFFF"/>
          <w:lang w:val="el-GR"/>
        </w:rPr>
        <w:t>σ</w:t>
      </w:r>
      <w:r w:rsidR="00F27F08" w:rsidRPr="0097624F">
        <w:rPr>
          <w:bCs/>
          <w:sz w:val="18"/>
          <w:szCs w:val="18"/>
          <w:shd w:val="clear" w:color="auto" w:fill="FFFFFF"/>
        </w:rPr>
        <w:t xml:space="preserve"> variation</w:t>
      </w:r>
      <w:r w:rsidR="00F27F08" w:rsidRPr="0097624F">
        <w:rPr>
          <w:bCs/>
          <w:sz w:val="18"/>
          <w:szCs w:val="18"/>
        </w:rPr>
        <w:t xml:space="preserve"> from measurement in triplicate</w:t>
      </w:r>
      <w:r w:rsidR="00F27F08" w:rsidRPr="0097624F">
        <w:rPr>
          <w:bCs/>
          <w:sz w:val="18"/>
          <w:szCs w:val="18"/>
          <w:shd w:val="clear" w:color="auto" w:fill="FFFFFF"/>
        </w:rPr>
        <w:t xml:space="preserve">. The </w:t>
      </w:r>
      <w:proofErr w:type="spellStart"/>
      <w:r w:rsidR="00F27F08" w:rsidRPr="0097624F">
        <w:rPr>
          <w:bCs/>
          <w:sz w:val="18"/>
          <w:szCs w:val="18"/>
          <w:shd w:val="clear" w:color="auto" w:fill="FFFFFF"/>
        </w:rPr>
        <w:t>optimised</w:t>
      </w:r>
      <w:proofErr w:type="spellEnd"/>
      <w:r w:rsidR="00F27F08" w:rsidRPr="0097624F">
        <w:rPr>
          <w:bCs/>
          <w:sz w:val="18"/>
          <w:szCs w:val="18"/>
          <w:shd w:val="clear" w:color="auto" w:fill="FFFFFF"/>
        </w:rPr>
        <w:t xml:space="preserve"> linear regression fit is shown as black dashed line with R</w:t>
      </w:r>
      <w:r w:rsidR="00F27F08" w:rsidRPr="0097624F">
        <w:rPr>
          <w:bCs/>
          <w:sz w:val="18"/>
          <w:szCs w:val="18"/>
          <w:shd w:val="clear" w:color="auto" w:fill="FFFFFF"/>
          <w:vertAlign w:val="superscript"/>
        </w:rPr>
        <w:t>2</w:t>
      </w:r>
      <w:r w:rsidR="00F27F08" w:rsidRPr="0097624F">
        <w:rPr>
          <w:bCs/>
          <w:sz w:val="18"/>
          <w:szCs w:val="18"/>
          <w:shd w:val="clear" w:color="auto" w:fill="FFFFFF"/>
        </w:rPr>
        <w:t xml:space="preserve">=0.994. The inset shows the data for the range </w:t>
      </w:r>
      <w:r w:rsidR="00F27F08" w:rsidRPr="0097624F">
        <w:rPr>
          <w:bCs/>
          <w:sz w:val="18"/>
          <w:szCs w:val="18"/>
          <w:shd w:val="clear" w:color="auto" w:fill="FFFFFF"/>
          <w:vertAlign w:val="superscript"/>
        </w:rPr>
        <w:t>1-313</w:t>
      </w:r>
      <w:r w:rsidR="00F27F08" w:rsidRPr="0097624F">
        <w:rPr>
          <w:bCs/>
          <w:sz w:val="18"/>
          <w:szCs w:val="18"/>
          <w:shd w:val="clear" w:color="auto" w:fill="FFFFFF"/>
        </w:rPr>
        <w:t>[</w:t>
      </w:r>
      <w:proofErr w:type="spellStart"/>
      <w:r w:rsidR="00F27F08" w:rsidRPr="0097624F">
        <w:rPr>
          <w:bCs/>
          <w:sz w:val="18"/>
          <w:szCs w:val="18"/>
          <w:shd w:val="clear" w:color="auto" w:fill="FFFFFF"/>
        </w:rPr>
        <w:t>Gly</w:t>
      </w:r>
      <w:proofErr w:type="spellEnd"/>
      <w:r w:rsidR="00F27F08" w:rsidRPr="0097624F">
        <w:rPr>
          <w:bCs/>
          <w:sz w:val="18"/>
          <w:szCs w:val="18"/>
          <w:shd w:val="clear" w:color="auto" w:fill="FFFFFF"/>
        </w:rPr>
        <w:t>] expanded for clarity and dashed horizontal grey lines show noise levels for the spectra (see text). c) 2D-IR spectrum of serum (</w:t>
      </w:r>
      <w:r w:rsidR="00F27F08" w:rsidRPr="0097624F">
        <w:rPr>
          <w:bCs/>
          <w:sz w:val="18"/>
          <w:szCs w:val="18"/>
          <w:shd w:val="clear" w:color="auto" w:fill="FFFFFF"/>
          <w:vertAlign w:val="superscript"/>
        </w:rPr>
        <w:t>1</w:t>
      </w:r>
      <w:r w:rsidR="00F27F08" w:rsidRPr="0097624F">
        <w:rPr>
          <w:bCs/>
          <w:sz w:val="18"/>
          <w:szCs w:val="18"/>
          <w:shd w:val="clear" w:color="auto" w:fill="FFFFFF"/>
        </w:rPr>
        <w:t>[</w:t>
      </w:r>
      <w:proofErr w:type="spellStart"/>
      <w:r w:rsidR="00F27F08" w:rsidRPr="0097624F">
        <w:rPr>
          <w:bCs/>
          <w:sz w:val="18"/>
          <w:szCs w:val="18"/>
          <w:shd w:val="clear" w:color="auto" w:fill="FFFFFF"/>
        </w:rPr>
        <w:t>Gly</w:t>
      </w:r>
      <w:proofErr w:type="spellEnd"/>
      <w:r w:rsidR="00F27F08" w:rsidRPr="0097624F">
        <w:rPr>
          <w:bCs/>
          <w:sz w:val="18"/>
          <w:szCs w:val="18"/>
          <w:shd w:val="clear" w:color="auto" w:fill="FFFFFF"/>
        </w:rPr>
        <w:t>]) plotted on same scale as in Figure 2, magnified by a factor of 5. The area identified by the black dashed box was used to calculate the RMS noise level shown in the inset of b)</w:t>
      </w:r>
      <w:r w:rsidR="00F27F08" w:rsidRPr="0097624F">
        <w:rPr>
          <w:bCs/>
          <w:sz w:val="18"/>
          <w:szCs w:val="18"/>
        </w:rPr>
        <w:t>.</w:t>
      </w:r>
    </w:p>
    <w:p w:rsidR="00F27F08" w:rsidRDefault="00F27F08" w:rsidP="00F27F08">
      <w:pPr>
        <w:pStyle w:val="TAMainText"/>
        <w:rPr>
          <w:shd w:val="clear" w:color="auto" w:fill="FFFFFF"/>
        </w:rPr>
      </w:pPr>
      <w:r w:rsidRPr="00635F27">
        <w:rPr>
          <w:shd w:val="clear" w:color="auto" w:fill="FFFFFF"/>
        </w:rPr>
        <w:t>From</w:t>
      </w:r>
      <w:r>
        <w:rPr>
          <w:shd w:val="clear" w:color="auto" w:fill="FFFFFF"/>
        </w:rPr>
        <w:t xml:space="preserve"> the linear correlation in Fig 3b, it is possible to estimate the [</w:t>
      </w:r>
      <w:proofErr w:type="spellStart"/>
      <w:r>
        <w:rPr>
          <w:shd w:val="clear" w:color="auto" w:fill="FFFFFF"/>
        </w:rPr>
        <w:t>Gly</w:t>
      </w:r>
      <w:proofErr w:type="spellEnd"/>
      <w:r>
        <w:rPr>
          <w:shd w:val="clear" w:color="auto" w:fill="FFFFFF"/>
        </w:rPr>
        <w:t xml:space="preserve">] value at which its 2D-IR signature becomes detectable against the background of experimental noise. By taking an area of the 2D-IR spectrum of the </w:t>
      </w:r>
      <w:r>
        <w:rPr>
          <w:shd w:val="clear" w:color="auto" w:fill="FFFFFF"/>
          <w:vertAlign w:val="superscript"/>
        </w:rPr>
        <w:t>1</w:t>
      </w:r>
      <w:r>
        <w:rPr>
          <w:shd w:val="clear" w:color="auto" w:fill="FFFFFF"/>
        </w:rPr>
        <w:t>[</w:t>
      </w:r>
      <w:proofErr w:type="spellStart"/>
      <w:r>
        <w:rPr>
          <w:shd w:val="clear" w:color="auto" w:fill="FFFFFF"/>
        </w:rPr>
        <w:t>Gly</w:t>
      </w:r>
      <w:proofErr w:type="spellEnd"/>
      <w:r>
        <w:rPr>
          <w:shd w:val="clear" w:color="auto" w:fill="FFFFFF"/>
        </w:rPr>
        <w:t>] sample free from any peaks (dashed box, Fig.3(c)), the root mean square (RMS) noise level was found to be ±9.6 x 10</w:t>
      </w:r>
      <w:r>
        <w:rPr>
          <w:shd w:val="clear" w:color="auto" w:fill="FFFFFF"/>
          <w:vertAlign w:val="superscript"/>
        </w:rPr>
        <w:t xml:space="preserve">-3 </w:t>
      </w:r>
      <w:r>
        <w:rPr>
          <w:shd w:val="clear" w:color="auto" w:fill="FFFFFF"/>
        </w:rPr>
        <w:t xml:space="preserve">(the 2D-IR signal has both positive and negative components). Making the conservative assumption that only peaks </w:t>
      </w:r>
      <w:proofErr w:type="gramStart"/>
      <w:r>
        <w:rPr>
          <w:shd w:val="clear" w:color="auto" w:fill="FFFFFF"/>
        </w:rPr>
        <w:t>exceeding</w:t>
      </w:r>
      <w:proofErr w:type="gramEnd"/>
      <w:r>
        <w:rPr>
          <w:shd w:val="clear" w:color="auto" w:fill="FFFFFF"/>
        </w:rPr>
        <w:t xml:space="preserve"> twice this noise level will be visible</w:t>
      </w:r>
      <w:r w:rsidRPr="00187BED">
        <w:rPr>
          <w:shd w:val="clear" w:color="auto" w:fill="FFFFFF"/>
        </w:rPr>
        <w:t xml:space="preserve"> </w:t>
      </w:r>
      <w:r>
        <w:rPr>
          <w:shd w:val="clear" w:color="auto" w:fill="FFFFFF"/>
        </w:rPr>
        <w:t xml:space="preserve">consistently, leads to a detection limit for </w:t>
      </w:r>
      <w:proofErr w:type="spellStart"/>
      <w:r>
        <w:rPr>
          <w:shd w:val="clear" w:color="auto" w:fill="FFFFFF"/>
        </w:rPr>
        <w:t>Gly</w:t>
      </w:r>
      <w:proofErr w:type="spellEnd"/>
      <w:r>
        <w:rPr>
          <w:shd w:val="clear" w:color="auto" w:fill="FFFFFF"/>
        </w:rPr>
        <w:t xml:space="preserve"> of </w:t>
      </w:r>
      <w:r>
        <w:rPr>
          <w:shd w:val="clear" w:color="auto" w:fill="FFFFFF"/>
          <w:vertAlign w:val="superscript"/>
        </w:rPr>
        <w:t>150</w:t>
      </w:r>
      <w:r>
        <w:rPr>
          <w:shd w:val="clear" w:color="auto" w:fill="FFFFFF"/>
        </w:rPr>
        <w:t>[</w:t>
      </w:r>
      <w:proofErr w:type="spellStart"/>
      <w:r>
        <w:rPr>
          <w:shd w:val="clear" w:color="auto" w:fill="FFFFFF"/>
        </w:rPr>
        <w:t>Gly</w:t>
      </w:r>
      <w:proofErr w:type="spellEnd"/>
      <w:r>
        <w:rPr>
          <w:shd w:val="clear" w:color="auto" w:fill="FFFFFF"/>
        </w:rPr>
        <w:t xml:space="preserve">] (3 mg/mL) (Fig.3(c)). </w:t>
      </w:r>
    </w:p>
    <w:p w:rsidR="00236305" w:rsidRDefault="00F27F08" w:rsidP="002F18AD">
      <w:pPr>
        <w:pStyle w:val="TAMainText"/>
        <w:rPr>
          <w:shd w:val="clear" w:color="auto" w:fill="FFFFFF"/>
        </w:rPr>
      </w:pPr>
      <w:r w:rsidRPr="009C0B84">
        <w:rPr>
          <w:b/>
          <w:i/>
          <w:shd w:val="clear" w:color="auto" w:fill="FFFFFF"/>
        </w:rPr>
        <w:t>ii)</w:t>
      </w:r>
      <w:r w:rsidRPr="00635F27">
        <w:rPr>
          <w:shd w:val="clear" w:color="auto" w:fill="FFFFFF"/>
        </w:rPr>
        <w:t xml:space="preserve"> </w:t>
      </w:r>
      <w:r>
        <w:rPr>
          <w:shd w:val="clear" w:color="auto" w:fill="FFFFFF"/>
        </w:rPr>
        <w:t xml:space="preserve">The diagonal component of the 2D-IR spectrum does not </w:t>
      </w:r>
      <w:proofErr w:type="spellStart"/>
      <w:r>
        <w:rPr>
          <w:shd w:val="clear" w:color="auto" w:fill="FFFFFF"/>
        </w:rPr>
        <w:t>utilise</w:t>
      </w:r>
      <w:proofErr w:type="spellEnd"/>
      <w:r>
        <w:rPr>
          <w:shd w:val="clear" w:color="auto" w:fill="FFFFFF"/>
        </w:rPr>
        <w:t xml:space="preserve"> the additional spectral information from the off-diagonal peaks that were identified in Fig.1(c). Including this network of </w:t>
      </w:r>
      <w:proofErr w:type="spellStart"/>
      <w:r>
        <w:rPr>
          <w:shd w:val="clear" w:color="auto" w:fill="FFFFFF"/>
        </w:rPr>
        <w:t>Gly</w:t>
      </w:r>
      <w:proofErr w:type="spellEnd"/>
      <w:r>
        <w:rPr>
          <w:shd w:val="clear" w:color="auto" w:fill="FFFFFF"/>
        </w:rPr>
        <w:t>-specific peaks may provide an improvement in the detection limit and this was tested by applying p</w:t>
      </w:r>
      <w:r w:rsidRPr="00635F27">
        <w:rPr>
          <w:shd w:val="clear" w:color="auto" w:fill="FFFFFF"/>
        </w:rPr>
        <w:t>rincipal component analysis (PCA)</w:t>
      </w:r>
      <w:r>
        <w:rPr>
          <w:shd w:val="clear" w:color="auto" w:fill="FFFFFF"/>
        </w:rPr>
        <w:t xml:space="preserve"> to the set of 2D-IR spectra obtained as a function of [</w:t>
      </w:r>
      <w:proofErr w:type="spellStart"/>
      <w:r>
        <w:rPr>
          <w:shd w:val="clear" w:color="auto" w:fill="FFFFFF"/>
        </w:rPr>
        <w:t>Gly</w:t>
      </w:r>
      <w:proofErr w:type="spellEnd"/>
      <w:r>
        <w:rPr>
          <w:shd w:val="clear" w:color="auto" w:fill="FFFFFF"/>
        </w:rPr>
        <w:t>], including the whole 2D spectral region studied.</w:t>
      </w:r>
      <w:r w:rsidRPr="0073778E">
        <w:t xml:space="preserve"> </w:t>
      </w:r>
      <w:r w:rsidRPr="00635F27">
        <w:t xml:space="preserve">The results </w:t>
      </w:r>
      <w:r>
        <w:t xml:space="preserve">(Fig.4) </w:t>
      </w:r>
      <w:r w:rsidRPr="0073778E">
        <w:rPr>
          <w:shd w:val="clear" w:color="auto" w:fill="FFFFFF"/>
        </w:rPr>
        <w:t xml:space="preserve">showed that the variance </w:t>
      </w:r>
      <w:r>
        <w:rPr>
          <w:shd w:val="clear" w:color="auto" w:fill="FFFFFF"/>
        </w:rPr>
        <w:t>in the data could</w:t>
      </w:r>
      <w:r w:rsidRPr="0073778E">
        <w:rPr>
          <w:shd w:val="clear" w:color="auto" w:fill="FFFFFF"/>
        </w:rPr>
        <w:t xml:space="preserve"> be attributed mainly to the first two principal components, PC1 and PC2 (Fig.4), accounting for 87.25% and 7.5% of the variance, respectively. </w:t>
      </w:r>
      <w:r>
        <w:rPr>
          <w:shd w:val="clear" w:color="auto" w:fill="FFFFFF"/>
        </w:rPr>
        <w:t>In the case of PC1, the relative loading was found to be largely invariant with [</w:t>
      </w:r>
      <w:proofErr w:type="spellStart"/>
      <w:r>
        <w:rPr>
          <w:shd w:val="clear" w:color="auto" w:fill="FFFFFF"/>
        </w:rPr>
        <w:t>Gly</w:t>
      </w:r>
      <w:proofErr w:type="spellEnd"/>
      <w:r>
        <w:rPr>
          <w:shd w:val="clear" w:color="auto" w:fill="FFFFFF"/>
        </w:rPr>
        <w:t>] (Fig.4(e)), while the spectral information associated with this PC</w:t>
      </w:r>
      <w:r w:rsidRPr="006E7706">
        <w:rPr>
          <w:shd w:val="clear" w:color="auto" w:fill="FFFFFF"/>
        </w:rPr>
        <w:t xml:space="preserve"> </w:t>
      </w:r>
      <w:r>
        <w:rPr>
          <w:shd w:val="clear" w:color="auto" w:fill="FFFFFF"/>
        </w:rPr>
        <w:t>(Fig.4(a)) showed</w:t>
      </w:r>
      <w:r w:rsidRPr="0073778E">
        <w:rPr>
          <w:shd w:val="clear" w:color="auto" w:fill="FFFFFF"/>
        </w:rPr>
        <w:t xml:space="preserve"> excellent agreement </w:t>
      </w:r>
      <w:r>
        <w:rPr>
          <w:shd w:val="clear" w:color="auto" w:fill="FFFFFF"/>
        </w:rPr>
        <w:t>with</w:t>
      </w:r>
      <w:r w:rsidRPr="0073778E">
        <w:rPr>
          <w:shd w:val="clear" w:color="auto" w:fill="FFFFFF"/>
        </w:rPr>
        <w:t xml:space="preserve"> the spectr</w:t>
      </w:r>
      <w:r>
        <w:rPr>
          <w:shd w:val="clear" w:color="auto" w:fill="FFFFFF"/>
        </w:rPr>
        <w:t>um</w:t>
      </w:r>
      <w:r w:rsidRPr="0073778E">
        <w:rPr>
          <w:shd w:val="clear" w:color="auto" w:fill="FFFFFF"/>
        </w:rPr>
        <w:t xml:space="preserve"> of </w:t>
      </w:r>
      <w:r>
        <w:rPr>
          <w:shd w:val="clear" w:color="auto" w:fill="FFFFFF"/>
        </w:rPr>
        <w:t xml:space="preserve">neat </w:t>
      </w:r>
      <w:r w:rsidRPr="0073778E">
        <w:rPr>
          <w:shd w:val="clear" w:color="auto" w:fill="FFFFFF"/>
        </w:rPr>
        <w:t xml:space="preserve">serum </w:t>
      </w:r>
      <w:r>
        <w:rPr>
          <w:shd w:val="clear" w:color="auto" w:fill="FFFFFF"/>
        </w:rPr>
        <w:t>(</w:t>
      </w:r>
      <w:r>
        <w:rPr>
          <w:shd w:val="clear" w:color="auto" w:fill="FFFFFF"/>
          <w:vertAlign w:val="superscript"/>
        </w:rPr>
        <w:t>1</w:t>
      </w:r>
      <w:r>
        <w:rPr>
          <w:shd w:val="clear" w:color="auto" w:fill="FFFFFF"/>
        </w:rPr>
        <w:t>[</w:t>
      </w:r>
      <w:proofErr w:type="spellStart"/>
      <w:r>
        <w:rPr>
          <w:shd w:val="clear" w:color="auto" w:fill="FFFFFF"/>
        </w:rPr>
        <w:t>Gly</w:t>
      </w:r>
      <w:proofErr w:type="spellEnd"/>
      <w:r>
        <w:rPr>
          <w:shd w:val="clear" w:color="auto" w:fill="FFFFFF"/>
        </w:rPr>
        <w:t xml:space="preserve">]), </w:t>
      </w:r>
      <w:r w:rsidRPr="0073778E">
        <w:rPr>
          <w:shd w:val="clear" w:color="auto" w:fill="FFFFFF"/>
        </w:rPr>
        <w:t>Fig.4(c))</w:t>
      </w:r>
      <w:r>
        <w:rPr>
          <w:shd w:val="clear" w:color="auto" w:fill="FFFFFF"/>
        </w:rPr>
        <w:t>. In contrast, t</w:t>
      </w:r>
      <w:r w:rsidRPr="0073778E">
        <w:rPr>
          <w:shd w:val="clear" w:color="auto" w:fill="FFFFFF"/>
        </w:rPr>
        <w:t>he average PC2 scores showed a</w:t>
      </w:r>
      <w:r>
        <w:rPr>
          <w:shd w:val="clear" w:color="auto" w:fill="FFFFFF"/>
        </w:rPr>
        <w:t xml:space="preserve"> slightly superior</w:t>
      </w:r>
      <w:r w:rsidRPr="0073778E">
        <w:rPr>
          <w:shd w:val="clear" w:color="auto" w:fill="FFFFFF"/>
        </w:rPr>
        <w:t xml:space="preserve"> linear correlation with </w:t>
      </w:r>
      <w:r>
        <w:rPr>
          <w:shd w:val="clear" w:color="auto" w:fill="FFFFFF"/>
        </w:rPr>
        <w:t>[</w:t>
      </w:r>
      <w:proofErr w:type="spellStart"/>
      <w:r>
        <w:rPr>
          <w:shd w:val="clear" w:color="auto" w:fill="FFFFFF"/>
        </w:rPr>
        <w:t>Gly</w:t>
      </w:r>
      <w:proofErr w:type="spellEnd"/>
      <w:r>
        <w:rPr>
          <w:shd w:val="clear" w:color="auto" w:fill="FFFFFF"/>
        </w:rPr>
        <w:t>]</w:t>
      </w:r>
      <w:r w:rsidRPr="0073778E">
        <w:rPr>
          <w:shd w:val="clear" w:color="auto" w:fill="FFFFFF"/>
        </w:rPr>
        <w:t xml:space="preserve"> </w:t>
      </w:r>
      <w:r>
        <w:rPr>
          <w:shd w:val="clear" w:color="auto" w:fill="FFFFFF"/>
        </w:rPr>
        <w:t>(R</w:t>
      </w:r>
      <w:r w:rsidRPr="002C7A1A">
        <w:rPr>
          <w:shd w:val="clear" w:color="auto" w:fill="FFFFFF"/>
          <w:vertAlign w:val="superscript"/>
        </w:rPr>
        <w:t>2</w:t>
      </w:r>
      <w:r>
        <w:rPr>
          <w:shd w:val="clear" w:color="auto" w:fill="FFFFFF"/>
        </w:rPr>
        <w:t>=0.997,</w:t>
      </w:r>
      <w:r w:rsidRPr="0073778E">
        <w:rPr>
          <w:shd w:val="clear" w:color="auto" w:fill="FFFFFF"/>
        </w:rPr>
        <w:t xml:space="preserve"> Fig.</w:t>
      </w:r>
      <w:r>
        <w:rPr>
          <w:shd w:val="clear" w:color="auto" w:fill="FFFFFF"/>
        </w:rPr>
        <w:t xml:space="preserve">4(e)) than method </w:t>
      </w:r>
      <w:proofErr w:type="spellStart"/>
      <w:r>
        <w:rPr>
          <w:shd w:val="clear" w:color="auto" w:fill="FFFFFF"/>
        </w:rPr>
        <w:t>i</w:t>
      </w:r>
      <w:proofErr w:type="spellEnd"/>
      <w:r>
        <w:rPr>
          <w:shd w:val="clear" w:color="auto" w:fill="FFFFFF"/>
        </w:rPr>
        <w:t xml:space="preserve">) while the spectrum associated with PC2 (Fig.4(b)) clearly identified the network of diagonal and off-diagonal peaks assigned to </w:t>
      </w:r>
      <w:proofErr w:type="spellStart"/>
      <w:r>
        <w:rPr>
          <w:shd w:val="clear" w:color="auto" w:fill="FFFFFF"/>
        </w:rPr>
        <w:t>Gly</w:t>
      </w:r>
      <w:proofErr w:type="spellEnd"/>
      <w:r>
        <w:rPr>
          <w:shd w:val="clear" w:color="auto" w:fill="FFFFFF"/>
        </w:rPr>
        <w:t xml:space="preserve"> (Fig.4(d)).</w:t>
      </w:r>
      <w:r w:rsidR="00261BBD">
        <w:rPr>
          <w:shd w:val="clear" w:color="auto" w:fill="FFFFFF"/>
        </w:rPr>
        <w:t xml:space="preserve"> </w:t>
      </w:r>
    </w:p>
    <w:p w:rsidR="005A3EA0" w:rsidRPr="002F18AD" w:rsidRDefault="005A3EA0" w:rsidP="002F18AD">
      <w:pPr>
        <w:pStyle w:val="TAMainText"/>
        <w:rPr>
          <w:shd w:val="clear" w:color="auto" w:fill="FFFFFF"/>
        </w:rPr>
      </w:pPr>
      <w:r w:rsidRPr="00261BBD">
        <w:t>As PCA is a dimension reduction technique it is often used as a noise removal method by actively removing principal components beyond the first</w:t>
      </w:r>
      <w:r w:rsidR="0097624F">
        <w:t xml:space="preserve"> one or two</w:t>
      </w:r>
      <w:r w:rsidRPr="00261BBD">
        <w:t>. This means that PCA can make small features more visible in the spectra of the major PCs. An example of this</w:t>
      </w:r>
      <w:r w:rsidR="0097624F">
        <w:t xml:space="preserve"> is </w:t>
      </w:r>
      <w:r w:rsidRPr="00261BBD">
        <w:t>present in PC1 where a very small peak appears on the diagonal at 1415 cm</w:t>
      </w:r>
      <w:r w:rsidRPr="00CA507D">
        <w:rPr>
          <w:vertAlign w:val="superscript"/>
        </w:rPr>
        <w:t>-1</w:t>
      </w:r>
      <w:r w:rsidR="00B408C0">
        <w:t xml:space="preserve"> </w:t>
      </w:r>
      <w:r w:rsidR="0097624F">
        <w:t>(Fig.4(a))</w:t>
      </w:r>
      <w:r w:rsidRPr="00261BBD">
        <w:t>.</w:t>
      </w:r>
    </w:p>
    <w:p w:rsidR="00B62D4A" w:rsidRDefault="00F27F08" w:rsidP="00B62D4A">
      <w:pPr>
        <w:pStyle w:val="VAFigureCaption"/>
        <w:rPr>
          <w:bCs/>
        </w:rPr>
      </w:pPr>
      <w:r w:rsidRPr="00E415F7">
        <w:rPr>
          <w:b/>
          <w:bCs/>
        </w:rPr>
        <w:t>Figure 4.</w:t>
      </w:r>
      <w:r w:rsidRPr="00E03AC2">
        <w:rPr>
          <w:bCs/>
        </w:rPr>
        <w:t xml:space="preserve"> Comparison of separate serum (</w:t>
      </w:r>
      <w:r w:rsidRPr="00CD5814">
        <w:rPr>
          <w:bCs/>
          <w:vertAlign w:val="superscript"/>
        </w:rPr>
        <w:t>1</w:t>
      </w:r>
      <w:r w:rsidRPr="00E03AC2">
        <w:rPr>
          <w:bCs/>
        </w:rPr>
        <w:t>[</w:t>
      </w:r>
      <w:proofErr w:type="spellStart"/>
      <w:r w:rsidRPr="00E03AC2">
        <w:rPr>
          <w:bCs/>
        </w:rPr>
        <w:t>Gly</w:t>
      </w:r>
      <w:proofErr w:type="spellEnd"/>
      <w:r w:rsidRPr="00E03AC2">
        <w:rPr>
          <w:bCs/>
        </w:rPr>
        <w:t xml:space="preserve">]) and </w:t>
      </w:r>
      <w:proofErr w:type="spellStart"/>
      <w:r w:rsidRPr="00E03AC2">
        <w:rPr>
          <w:bCs/>
        </w:rPr>
        <w:t>Gly</w:t>
      </w:r>
      <w:proofErr w:type="spellEnd"/>
      <w:r w:rsidRPr="00E03AC2">
        <w:rPr>
          <w:bCs/>
        </w:rPr>
        <w:t xml:space="preserve"> 2D-IR spectra with results of PCA of </w:t>
      </w:r>
      <w:proofErr w:type="spellStart"/>
      <w:r w:rsidRPr="00E03AC2">
        <w:rPr>
          <w:bCs/>
        </w:rPr>
        <w:t>Gly</w:t>
      </w:r>
      <w:proofErr w:type="spellEnd"/>
      <w:r w:rsidRPr="00E03AC2">
        <w:rPr>
          <w:bCs/>
        </w:rPr>
        <w:t>-spiked serum samples. a) PC1 loading plot. b) PC2 loading plot. c) Serum (</w:t>
      </w:r>
      <w:r w:rsidRPr="00CD5814">
        <w:rPr>
          <w:bCs/>
          <w:vertAlign w:val="superscript"/>
        </w:rPr>
        <w:t>1</w:t>
      </w:r>
      <w:r w:rsidRPr="00E03AC2">
        <w:rPr>
          <w:bCs/>
        </w:rPr>
        <w:t>[</w:t>
      </w:r>
      <w:proofErr w:type="spellStart"/>
      <w:r w:rsidRPr="00E03AC2">
        <w:rPr>
          <w:bCs/>
        </w:rPr>
        <w:t>Gly</w:t>
      </w:r>
      <w:proofErr w:type="spellEnd"/>
      <w:r w:rsidRPr="00E03AC2">
        <w:rPr>
          <w:bCs/>
        </w:rPr>
        <w:t xml:space="preserve">]) spectrum. d) </w:t>
      </w:r>
      <w:proofErr w:type="spellStart"/>
      <w:r w:rsidRPr="00E03AC2">
        <w:rPr>
          <w:bCs/>
        </w:rPr>
        <w:t>Gly</w:t>
      </w:r>
      <w:proofErr w:type="spellEnd"/>
      <w:r w:rsidRPr="00E03AC2">
        <w:rPr>
          <w:bCs/>
        </w:rPr>
        <w:t xml:space="preserve"> spectrum (100 mg/mL in H</w:t>
      </w:r>
      <w:r w:rsidRPr="00CD5814">
        <w:rPr>
          <w:bCs/>
          <w:vertAlign w:val="subscript"/>
        </w:rPr>
        <w:t>2</w:t>
      </w:r>
      <w:r w:rsidRPr="00E03AC2">
        <w:rPr>
          <w:bCs/>
        </w:rPr>
        <w:t>O). e) Averaged score results for PC1 (red) and PC2 (</w:t>
      </w:r>
      <w:proofErr w:type="spellStart"/>
      <w:r w:rsidRPr="00E03AC2">
        <w:rPr>
          <w:bCs/>
        </w:rPr>
        <w:t>multi-coloured</w:t>
      </w:r>
      <w:proofErr w:type="spellEnd"/>
      <w:r w:rsidRPr="00E03AC2">
        <w:rPr>
          <w:bCs/>
        </w:rPr>
        <w:t>). Error bars show 2σ variation. Best linear fit is shown as black dashed line, PC2 R</w:t>
      </w:r>
      <w:r w:rsidRPr="00CD5814">
        <w:rPr>
          <w:bCs/>
          <w:vertAlign w:val="superscript"/>
        </w:rPr>
        <w:t>2</w:t>
      </w:r>
      <w:r w:rsidRPr="00E03AC2">
        <w:rPr>
          <w:bCs/>
        </w:rPr>
        <w:t>=0.997.</w:t>
      </w:r>
    </w:p>
    <w:p w:rsidR="00F27F08" w:rsidRPr="00BF41C0" w:rsidRDefault="009F2683" w:rsidP="00B62D4A">
      <w:pPr>
        <w:pStyle w:val="VAFigureCaption"/>
        <w:rPr>
          <w:bCs/>
        </w:rPr>
      </w:pPr>
      <w:r w:rsidRPr="00590975">
        <w:rPr>
          <w:b/>
          <w:bCs/>
          <w:noProof/>
        </w:rPr>
        <w:lastRenderedPageBreak/>
        <w:drawing>
          <wp:anchor distT="0" distB="0" distL="114300" distR="114300" simplePos="0" relativeHeight="251680256" behindDoc="0" locked="0" layoutInCell="1" allowOverlap="1" wp14:anchorId="4AE3BE52" wp14:editId="1E094009">
            <wp:simplePos x="0" y="0"/>
            <wp:positionH relativeFrom="column">
              <wp:posOffset>245110</wp:posOffset>
            </wp:positionH>
            <wp:positionV relativeFrom="paragraph">
              <wp:posOffset>-59055</wp:posOffset>
            </wp:positionV>
            <wp:extent cx="6080760" cy="4653280"/>
            <wp:effectExtent l="0" t="0" r="0" b="0"/>
            <wp:wrapTopAndBottom/>
            <wp:docPr id="5" name="Picture 4">
              <a:extLst xmlns:a="http://schemas.openxmlformats.org/drawingml/2006/main">
                <a:ext uri="{FF2B5EF4-FFF2-40B4-BE49-F238E27FC236}">
                  <a16:creationId xmlns:a16="http://schemas.microsoft.com/office/drawing/2014/main" id="{DC810FA7-3CCB-6147-AE8C-2161C2DA1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810FA7-3CCB-6147-AE8C-2161C2DA1C0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80760" cy="4653280"/>
                    </a:xfrm>
                    <a:prstGeom prst="rect">
                      <a:avLst/>
                    </a:prstGeom>
                  </pic:spPr>
                </pic:pic>
              </a:graphicData>
            </a:graphic>
            <wp14:sizeRelH relativeFrom="page">
              <wp14:pctWidth>0</wp14:pctWidth>
            </wp14:sizeRelH>
            <wp14:sizeRelV relativeFrom="page">
              <wp14:pctHeight>0</wp14:pctHeight>
            </wp14:sizeRelV>
          </wp:anchor>
        </w:drawing>
      </w:r>
      <w:r w:rsidR="00B62D4A" w:rsidRPr="00B62D4A">
        <w:rPr>
          <w:b/>
          <w:bCs/>
        </w:rPr>
        <w:t>Figure 5.</w:t>
      </w:r>
      <w:r w:rsidR="00B62D4A" w:rsidRPr="00B62D4A">
        <w:t xml:space="preserve"> a-c) 2D-IR spectra used in the linear combination analysis method iii): a) BSA in H</w:t>
      </w:r>
      <w:r w:rsidR="00B62D4A" w:rsidRPr="00B62D4A">
        <w:rPr>
          <w:vertAlign w:val="subscript"/>
        </w:rPr>
        <w:t>2</w:t>
      </w:r>
      <w:r w:rsidR="00B62D4A" w:rsidRPr="00B62D4A">
        <w:t xml:space="preserve">O, b) </w:t>
      </w:r>
      <w:r w:rsidR="00B62D4A" w:rsidRPr="00C2575D">
        <w:rPr>
          <w:shd w:val="clear" w:color="auto" w:fill="FFFFFF"/>
        </w:rPr>
        <w:t>γ</w:t>
      </w:r>
      <w:r w:rsidR="00B62D4A" w:rsidRPr="00B62D4A">
        <w:t>-globulins in H</w:t>
      </w:r>
      <w:r w:rsidR="00B62D4A" w:rsidRPr="00B62D4A">
        <w:rPr>
          <w:vertAlign w:val="subscript"/>
        </w:rPr>
        <w:t>2</w:t>
      </w:r>
      <w:r w:rsidR="00B62D4A" w:rsidRPr="00B62D4A">
        <w:t xml:space="preserve">O and c) </w:t>
      </w:r>
      <w:proofErr w:type="spellStart"/>
      <w:r w:rsidR="00B62D4A" w:rsidRPr="00B62D4A">
        <w:t>Gly</w:t>
      </w:r>
      <w:proofErr w:type="spellEnd"/>
      <w:r w:rsidR="00B62D4A" w:rsidRPr="00B62D4A">
        <w:t xml:space="preserve"> in H</w:t>
      </w:r>
      <w:r w:rsidR="00B62D4A" w:rsidRPr="00B62D4A">
        <w:rPr>
          <w:vertAlign w:val="subscript"/>
        </w:rPr>
        <w:t>2</w:t>
      </w:r>
      <w:r w:rsidR="00B62D4A" w:rsidRPr="00B62D4A">
        <w:t xml:space="preserve">O. </w:t>
      </w:r>
      <w:proofErr w:type="gramStart"/>
      <w:r w:rsidR="00B62D4A" w:rsidRPr="00B62D4A">
        <w:t>Spectra  a</w:t>
      </w:r>
      <w:proofErr w:type="gramEnd"/>
      <w:r w:rsidR="00B62D4A" w:rsidRPr="00B62D4A">
        <w:t>) and b) were scaled to their amide I peak and c) was scaled to the largest peak at 1543 cm</w:t>
      </w:r>
      <w:r w:rsidR="00B62D4A" w:rsidRPr="00B62D4A">
        <w:rPr>
          <w:vertAlign w:val="superscript"/>
        </w:rPr>
        <w:t>-1</w:t>
      </w:r>
      <w:r w:rsidR="00B62D4A" w:rsidRPr="00B62D4A">
        <w:t xml:space="preserve">. All spectra are plotted on the same scale, see </w:t>
      </w:r>
      <w:proofErr w:type="spellStart"/>
      <w:r w:rsidR="00B62D4A" w:rsidRPr="00B62D4A">
        <w:t>colour</w:t>
      </w:r>
      <w:proofErr w:type="spellEnd"/>
      <w:r w:rsidR="00B62D4A" w:rsidRPr="00B62D4A">
        <w:t xml:space="preserve"> bar. d) Result of linear combination analysis, showing variation in the amount of each spectra required to recreate the 2D-IR spectrum of each </w:t>
      </w:r>
      <w:r w:rsidR="00B62D4A" w:rsidRPr="00B62D4A">
        <w:rPr>
          <w:vertAlign w:val="superscript"/>
        </w:rPr>
        <w:t>x</w:t>
      </w:r>
      <w:r w:rsidR="00B62D4A" w:rsidRPr="00B62D4A">
        <w:t>[</w:t>
      </w:r>
      <w:proofErr w:type="spellStart"/>
      <w:r w:rsidR="00B62D4A" w:rsidRPr="00B62D4A">
        <w:t>Gly</w:t>
      </w:r>
      <w:proofErr w:type="spellEnd"/>
      <w:r w:rsidR="00B62D4A" w:rsidRPr="00B62D4A">
        <w:t xml:space="preserve">] sample. Both BSA (light blue) and y-globulins (blue) show almost constant contributions while </w:t>
      </w:r>
      <w:proofErr w:type="spellStart"/>
      <w:r w:rsidR="00B62D4A" w:rsidRPr="00B62D4A">
        <w:t>Gly</w:t>
      </w:r>
      <w:proofErr w:type="spellEnd"/>
      <w:r w:rsidR="00B62D4A" w:rsidRPr="00B62D4A">
        <w:t xml:space="preserve"> (red) increases with increasing </w:t>
      </w:r>
      <w:proofErr w:type="spellStart"/>
      <w:r w:rsidR="00B62D4A" w:rsidRPr="00B62D4A">
        <w:t>Gly</w:t>
      </w:r>
      <w:proofErr w:type="spellEnd"/>
      <w:r w:rsidR="00B62D4A" w:rsidRPr="00B62D4A">
        <w:t xml:space="preserve"> concentration. e) Expanded region of d) showing </w:t>
      </w:r>
      <w:proofErr w:type="spellStart"/>
      <w:r w:rsidR="00B62D4A" w:rsidRPr="00B62D4A">
        <w:t>Gly</w:t>
      </w:r>
      <w:proofErr w:type="spellEnd"/>
      <w:r w:rsidR="00B62D4A" w:rsidRPr="00B62D4A">
        <w:t xml:space="preserve"> coefficient only. Black circles are results of leave one out cross-validation tests (see text). Grey dashed line shows linear fit with R</w:t>
      </w:r>
      <w:r w:rsidR="00B62D4A" w:rsidRPr="00B62D4A">
        <w:rPr>
          <w:vertAlign w:val="superscript"/>
        </w:rPr>
        <w:t>2</w:t>
      </w:r>
      <w:r w:rsidR="00B62D4A" w:rsidRPr="00B62D4A">
        <w:t xml:space="preserve">=0.942. Error bars show 1σ variation from triplicate measurement.  </w:t>
      </w:r>
    </w:p>
    <w:p w:rsidR="00261BBD" w:rsidRDefault="00261BBD" w:rsidP="00B62D4A">
      <w:pPr>
        <w:pStyle w:val="TAMainText"/>
      </w:pPr>
      <w:bookmarkStart w:id="0" w:name="_Hlk56690416"/>
      <w:r w:rsidRPr="00261BBD">
        <w:t>Referring to the IR absorption spectrum (Fig.1(a)), the presence of a small</w:t>
      </w:r>
      <w:r w:rsidR="0097624F">
        <w:t xml:space="preserve"> peak </w:t>
      </w:r>
      <w:r w:rsidRPr="00261BBD">
        <w:t>near this frequency in the serum spectrum is</w:t>
      </w:r>
      <w:r w:rsidR="0097624F">
        <w:t xml:space="preserve"> present</w:t>
      </w:r>
      <w:r w:rsidRPr="00261BBD">
        <w:t xml:space="preserve">. Another possible explanation for this is a small contribution to PC1 from the nearby </w:t>
      </w:r>
      <w:proofErr w:type="spellStart"/>
      <w:r w:rsidR="0097624F">
        <w:t>Gly</w:t>
      </w:r>
      <w:proofErr w:type="spellEnd"/>
      <w:r w:rsidRPr="00261BBD">
        <w:t xml:space="preserve"> band at 1415 cm</w:t>
      </w:r>
      <w:r w:rsidR="005A3EA0" w:rsidRPr="00CA507D">
        <w:rPr>
          <w:vertAlign w:val="superscript"/>
        </w:rPr>
        <w:t>-1</w:t>
      </w:r>
      <w:r w:rsidRPr="00261BBD">
        <w:t xml:space="preserve">. However, </w:t>
      </w:r>
      <w:r w:rsidR="0097624F">
        <w:t xml:space="preserve">the absence of any other </w:t>
      </w:r>
      <w:proofErr w:type="spellStart"/>
      <w:r w:rsidR="0097624F">
        <w:t>Gly</w:t>
      </w:r>
      <w:proofErr w:type="spellEnd"/>
      <w:r w:rsidR="0097624F">
        <w:t xml:space="preserve"> contributions to the PC1 spectrum alongside the fact that the 1415 cm</w:t>
      </w:r>
      <w:r w:rsidR="0097624F" w:rsidRPr="0097624F">
        <w:rPr>
          <w:vertAlign w:val="superscript"/>
        </w:rPr>
        <w:t>-1</w:t>
      </w:r>
      <w:r w:rsidR="0097624F">
        <w:t xml:space="preserve"> diagonal </w:t>
      </w:r>
      <w:r w:rsidRPr="00261BBD">
        <w:t>peak (and corresponding cross peaks) is also present in the serum 2D-IR spectrum at very low amplitudes</w:t>
      </w:r>
      <w:r w:rsidR="0097624F">
        <w:t xml:space="preserve"> (ESI Fig.S1) suggests that it </w:t>
      </w:r>
      <w:r w:rsidR="007023C1">
        <w:t>has</w:t>
      </w:r>
      <w:r w:rsidRPr="00261BBD">
        <w:t xml:space="preserve"> been enhanced via the removal</w:t>
      </w:r>
      <w:r>
        <w:t xml:space="preserve"> of</w:t>
      </w:r>
      <w:r w:rsidRPr="00261BBD">
        <w:t xml:space="preserve"> noise</w:t>
      </w:r>
      <w:r w:rsidR="0097624F">
        <w:t xml:space="preserve"> by </w:t>
      </w:r>
      <w:r w:rsidRPr="00261BBD">
        <w:t>the PCA</w:t>
      </w:r>
      <w:r w:rsidR="0097624F">
        <w:t xml:space="preserve"> process</w:t>
      </w:r>
      <w:r w:rsidRPr="00261BBD">
        <w:t xml:space="preserve">. </w:t>
      </w:r>
    </w:p>
    <w:bookmarkEnd w:id="0"/>
    <w:p w:rsidR="00AA4C2C" w:rsidRDefault="00B62D4A" w:rsidP="00B62D4A">
      <w:pPr>
        <w:pStyle w:val="TAMainText"/>
      </w:pPr>
      <w:r w:rsidRPr="009C0B84">
        <w:t>A series of leave</w:t>
      </w:r>
      <w:r>
        <w:t>-</w:t>
      </w:r>
      <w:r w:rsidRPr="009C0B84">
        <w:t>one</w:t>
      </w:r>
      <w:r>
        <w:t>-</w:t>
      </w:r>
      <w:r w:rsidRPr="009C0B84">
        <w:t>out cross validation tests were performed on the data. In this process each sample (of which there are 27, 3 for each concentration) was removed from the dataset and the remaining data used to re-calculate the PCA. Using the linear correlation of PC2 with [</w:t>
      </w:r>
      <w:proofErr w:type="spellStart"/>
      <w:r w:rsidRPr="009C0B84">
        <w:t>Gly</w:t>
      </w:r>
      <w:proofErr w:type="spellEnd"/>
      <w:r w:rsidRPr="009C0B84">
        <w:t xml:space="preserve">], the concentration of the omitted sample </w:t>
      </w:r>
      <w:r>
        <w:t>wa</w:t>
      </w:r>
      <w:r w:rsidRPr="009C0B84">
        <w:t xml:space="preserve">s then predicted. This technique predicted all concentrations of </w:t>
      </w:r>
      <w:proofErr w:type="spellStart"/>
      <w:r w:rsidRPr="009C0B84">
        <w:t>Gly</w:t>
      </w:r>
      <w:proofErr w:type="spellEnd"/>
      <w:r w:rsidRPr="009C0B84">
        <w:t xml:space="preserve"> larger than </w:t>
      </w:r>
      <w:r w:rsidRPr="009C0B84">
        <w:rPr>
          <w:vertAlign w:val="superscript"/>
        </w:rPr>
        <w:t>157</w:t>
      </w:r>
      <w:r w:rsidRPr="009C0B84">
        <w:t>[</w:t>
      </w:r>
      <w:proofErr w:type="spellStart"/>
      <w:r w:rsidRPr="009C0B84">
        <w:t>Gly</w:t>
      </w:r>
      <w:proofErr w:type="spellEnd"/>
      <w:r w:rsidRPr="009C0B84">
        <w:t>] (inclusive) accurately to within an error of 1</w:t>
      </w:r>
      <w:r w:rsidRPr="009C0B84">
        <w:sym w:font="Symbol" w:char="F073"/>
      </w:r>
      <w:r w:rsidRPr="009C0B84">
        <w:t xml:space="preserve"> from the original triplicate measurement, however lower concentrations of </w:t>
      </w:r>
      <w:proofErr w:type="spellStart"/>
      <w:r w:rsidRPr="009C0B84">
        <w:t>Gly</w:t>
      </w:r>
      <w:proofErr w:type="spellEnd"/>
      <w:r w:rsidRPr="009C0B84">
        <w:t xml:space="preserve"> were not predicted accurately.</w:t>
      </w:r>
      <w:r>
        <w:t xml:space="preserve"> This reinforces the result from </w:t>
      </w:r>
      <w:proofErr w:type="spellStart"/>
      <w:r>
        <w:t>i</w:t>
      </w:r>
      <w:proofErr w:type="spellEnd"/>
      <w:r>
        <w:t>) regarding the current detection 3</w:t>
      </w:r>
      <w:r w:rsidR="00CD5814">
        <w:t xml:space="preserve"> </w:t>
      </w:r>
      <w:r>
        <w:t xml:space="preserve">mg/mL limit for </w:t>
      </w:r>
      <w:proofErr w:type="spellStart"/>
      <w:r>
        <w:t>Gly</w:t>
      </w:r>
      <w:proofErr w:type="spellEnd"/>
      <w:r>
        <w:t xml:space="preserve"> using 2D-IR in this manner. </w:t>
      </w:r>
    </w:p>
    <w:p w:rsidR="00B62D4A" w:rsidRDefault="00AA4C2C" w:rsidP="00B62D4A">
      <w:pPr>
        <w:pStyle w:val="TAMainText"/>
      </w:pPr>
      <w:r w:rsidRPr="00AA4C2C">
        <w:t xml:space="preserve">It is instructive to compare these PCA results with data </w:t>
      </w:r>
      <w:proofErr w:type="spellStart"/>
      <w:r w:rsidRPr="00AA4C2C">
        <w:t>ob-tained</w:t>
      </w:r>
      <w:proofErr w:type="spellEnd"/>
      <w:r w:rsidRPr="00AA4C2C">
        <w:t xml:space="preserve"> using IR absorption spectroscopy. A similar approach, applying PCA results to IR absorption spectra of the same samples (Fig.S</w:t>
      </w:r>
      <w:r w:rsidR="0097624F">
        <w:t>2</w:t>
      </w:r>
      <w:r w:rsidRPr="00AA4C2C">
        <w:t xml:space="preserve">) showed that, although the PC2 yields a strong linear correlation (R2=0.996), the spectral components associated with PC1 and PC2 do not show the same agreement with the spectra of serum and </w:t>
      </w:r>
      <w:proofErr w:type="spellStart"/>
      <w:r w:rsidRPr="00AA4C2C">
        <w:t>Gly</w:t>
      </w:r>
      <w:proofErr w:type="spellEnd"/>
      <w:r w:rsidRPr="00AA4C2C">
        <w:t xml:space="preserve"> as was observed for the 2D-IR dataset. Thus, IR absorption spectroscopy is unable to differentiate PC1 and PC2 cleanly into serum and </w:t>
      </w:r>
      <w:proofErr w:type="spellStart"/>
      <w:r w:rsidRPr="00AA4C2C">
        <w:t>Gly</w:t>
      </w:r>
      <w:proofErr w:type="spellEnd"/>
      <w:r w:rsidRPr="00AA4C2C">
        <w:t xml:space="preserve"> contributions. The reason for this is likely to be related to the fact that IR absorption measurements still contain strong contributions from the water spectrum and lack the extra information arising from off-diagonal peaks.</w:t>
      </w:r>
    </w:p>
    <w:p w:rsidR="00AA4C2C" w:rsidRDefault="00AA4C2C" w:rsidP="00B62D4A">
      <w:pPr>
        <w:pStyle w:val="TAMainText"/>
      </w:pPr>
      <w:bookmarkStart w:id="1" w:name="_Hlk56689711"/>
      <w:r w:rsidRPr="00AA4C2C">
        <w:t xml:space="preserve">While the </w:t>
      </w:r>
      <w:r w:rsidR="00317E86">
        <w:t>off-diagonal</w:t>
      </w:r>
      <w:r w:rsidR="0097624F">
        <w:t xml:space="preserve"> 2D-IR </w:t>
      </w:r>
      <w:r w:rsidRPr="00AA4C2C">
        <w:t>peak amplitudes are less intense than the diagonal peaks, their amplitudes displayed linear correlations with</w:t>
      </w:r>
      <w:r w:rsidR="0097624F">
        <w:t xml:space="preserve"> </w:t>
      </w:r>
      <w:proofErr w:type="spellStart"/>
      <w:r w:rsidR="0097624F">
        <w:t>Gly</w:t>
      </w:r>
      <w:proofErr w:type="spellEnd"/>
      <w:r w:rsidR="0097624F">
        <w:t xml:space="preserve"> </w:t>
      </w:r>
      <w:r w:rsidRPr="00AA4C2C">
        <w:t>concentration</w:t>
      </w:r>
      <w:r w:rsidR="0097624F">
        <w:t>. In the case of some of the smaller peaks they become obscured by the noise at lower</w:t>
      </w:r>
      <w:r w:rsidR="00C82CA9">
        <w:t xml:space="preserve"> </w:t>
      </w:r>
      <w:r w:rsidRPr="00AA4C2C">
        <w:t>concentrations. However the</w:t>
      </w:r>
      <w:r w:rsidR="0097624F">
        <w:t xml:space="preserve"> results of </w:t>
      </w:r>
      <w:r w:rsidRPr="00AA4C2C">
        <w:t>PCA clearly identif</w:t>
      </w:r>
      <w:r w:rsidR="0097624F">
        <w:t>y</w:t>
      </w:r>
      <w:r w:rsidRPr="00AA4C2C">
        <w:t xml:space="preserve"> a concentration dependence of the of the cross peaks (Fig 4(</w:t>
      </w:r>
      <w:proofErr w:type="spellStart"/>
      <w:proofErr w:type="gramStart"/>
      <w:r w:rsidRPr="00AA4C2C">
        <w:t>b,e</w:t>
      </w:r>
      <w:proofErr w:type="spellEnd"/>
      <w:proofErr w:type="gramEnd"/>
      <w:r w:rsidRPr="00AA4C2C">
        <w:t>) associated with the</w:t>
      </w:r>
      <w:r w:rsidR="0097624F">
        <w:t xml:space="preserve"> </w:t>
      </w:r>
      <w:proofErr w:type="spellStart"/>
      <w:r w:rsidR="0097624F">
        <w:t>Gly</w:t>
      </w:r>
      <w:proofErr w:type="spellEnd"/>
      <w:r w:rsidR="0097624F">
        <w:t xml:space="preserve"> </w:t>
      </w:r>
      <w:r w:rsidRPr="00AA4C2C">
        <w:t>contribution.</w:t>
      </w:r>
    </w:p>
    <w:bookmarkEnd w:id="1"/>
    <w:p w:rsidR="00B62D4A" w:rsidRPr="00B62D4A" w:rsidRDefault="00B62D4A" w:rsidP="00B62D4A">
      <w:pPr>
        <w:pStyle w:val="TAMainText"/>
        <w:rPr>
          <w:shd w:val="clear" w:color="auto" w:fill="FFFFFF"/>
        </w:rPr>
      </w:pPr>
      <w:r w:rsidRPr="009C0B84">
        <w:rPr>
          <w:b/>
          <w:i/>
          <w:shd w:val="clear" w:color="auto" w:fill="FFFFFF"/>
        </w:rPr>
        <w:t>iii)</w:t>
      </w:r>
      <w:r w:rsidRPr="00635F27">
        <w:rPr>
          <w:shd w:val="clear" w:color="auto" w:fill="FFFFFF"/>
        </w:rPr>
        <w:t xml:space="preserve"> </w:t>
      </w:r>
      <w:r>
        <w:rPr>
          <w:shd w:val="clear" w:color="auto" w:fill="FFFFFF"/>
        </w:rPr>
        <w:t xml:space="preserve">The third analysis method applied </w:t>
      </w:r>
      <w:r w:rsidRPr="00635F27">
        <w:rPr>
          <w:shd w:val="clear" w:color="auto" w:fill="FFFFFF"/>
        </w:rPr>
        <w:t xml:space="preserve">a linear </w:t>
      </w:r>
      <w:r>
        <w:rPr>
          <w:shd w:val="clear" w:color="auto" w:fill="FFFFFF"/>
        </w:rPr>
        <w:t xml:space="preserve">model to fit each measured </w:t>
      </w:r>
      <w:r>
        <w:rPr>
          <w:shd w:val="clear" w:color="auto" w:fill="FFFFFF"/>
          <w:vertAlign w:val="superscript"/>
        </w:rPr>
        <w:t>x</w:t>
      </w:r>
      <w:r>
        <w:rPr>
          <w:shd w:val="clear" w:color="auto" w:fill="FFFFFF"/>
        </w:rPr>
        <w:t>[</w:t>
      </w:r>
      <w:proofErr w:type="spellStart"/>
      <w:r>
        <w:rPr>
          <w:shd w:val="clear" w:color="auto" w:fill="FFFFFF"/>
        </w:rPr>
        <w:t>Gly</w:t>
      </w:r>
      <w:proofErr w:type="spellEnd"/>
      <w:r>
        <w:rPr>
          <w:shd w:val="clear" w:color="auto" w:fill="FFFFFF"/>
        </w:rPr>
        <w:t xml:space="preserve">] spectrum to the sum </w:t>
      </w:r>
      <w:r w:rsidRPr="00635F27">
        <w:rPr>
          <w:shd w:val="clear" w:color="auto" w:fill="FFFFFF"/>
        </w:rPr>
        <w:t xml:space="preserve">of </w:t>
      </w:r>
      <w:r>
        <w:rPr>
          <w:shd w:val="clear" w:color="auto" w:fill="FFFFFF"/>
        </w:rPr>
        <w:t xml:space="preserve">component </w:t>
      </w:r>
      <w:r w:rsidRPr="00635F27">
        <w:rPr>
          <w:shd w:val="clear" w:color="auto" w:fill="FFFFFF"/>
        </w:rPr>
        <w:t>2D-IR spectra</w:t>
      </w:r>
      <w:r>
        <w:rPr>
          <w:shd w:val="clear" w:color="auto" w:fill="FFFFFF"/>
        </w:rPr>
        <w:t xml:space="preserve"> in an attempt to separate and quantify contributions to </w:t>
      </w:r>
      <w:r>
        <w:rPr>
          <w:shd w:val="clear" w:color="auto" w:fill="FFFFFF"/>
        </w:rPr>
        <w:lastRenderedPageBreak/>
        <w:t>the spectra. In the first iteration, a linear combination of 2D-IR spectra of neat serum (</w:t>
      </w:r>
      <w:r>
        <w:rPr>
          <w:shd w:val="clear" w:color="auto" w:fill="FFFFFF"/>
          <w:vertAlign w:val="superscript"/>
        </w:rPr>
        <w:t>1</w:t>
      </w:r>
      <w:r>
        <w:rPr>
          <w:shd w:val="clear" w:color="auto" w:fill="FFFFFF"/>
        </w:rPr>
        <w:t>[</w:t>
      </w:r>
      <w:proofErr w:type="spellStart"/>
      <w:r>
        <w:rPr>
          <w:shd w:val="clear" w:color="auto" w:fill="FFFFFF"/>
        </w:rPr>
        <w:t>Gly</w:t>
      </w:r>
      <w:proofErr w:type="spellEnd"/>
      <w:r>
        <w:rPr>
          <w:shd w:val="clear" w:color="auto" w:fill="FFFFFF"/>
        </w:rPr>
        <w:t xml:space="preserve">]) and the spectrum of </w:t>
      </w:r>
      <w:proofErr w:type="spellStart"/>
      <w:r>
        <w:rPr>
          <w:shd w:val="clear" w:color="auto" w:fill="FFFFFF"/>
        </w:rPr>
        <w:t>Gly</w:t>
      </w:r>
      <w:proofErr w:type="spellEnd"/>
      <w:r>
        <w:rPr>
          <w:shd w:val="clear" w:color="auto" w:fill="FFFFFF"/>
        </w:rPr>
        <w:t xml:space="preserve"> in buffer was used (</w:t>
      </w:r>
      <w:r w:rsidRPr="00635F27">
        <w:rPr>
          <w:shd w:val="clear" w:color="auto" w:fill="FFFFFF"/>
        </w:rPr>
        <w:t>Fig.S</w:t>
      </w:r>
      <w:r w:rsidR="0097624F">
        <w:rPr>
          <w:shd w:val="clear" w:color="auto" w:fill="FFFFFF"/>
        </w:rPr>
        <w:t>3</w:t>
      </w:r>
      <w:r>
        <w:rPr>
          <w:shd w:val="clear" w:color="auto" w:fill="FFFFFF"/>
        </w:rPr>
        <w:t xml:space="preserve">), using </w:t>
      </w:r>
      <w:r w:rsidRPr="00635F27">
        <w:rPr>
          <w:shd w:val="clear" w:color="auto" w:fill="FFFFFF"/>
        </w:rPr>
        <w:t xml:space="preserve">the </w:t>
      </w:r>
      <w:r>
        <w:rPr>
          <w:shd w:val="clear" w:color="auto" w:fill="FFFFFF"/>
        </w:rPr>
        <w:t xml:space="preserve">full </w:t>
      </w:r>
      <w:r w:rsidRPr="00635F27">
        <w:rPr>
          <w:shd w:val="clear" w:color="auto" w:fill="FFFFFF"/>
        </w:rPr>
        <w:t>spectral region</w:t>
      </w:r>
      <w:r>
        <w:rPr>
          <w:shd w:val="clear" w:color="auto" w:fill="FFFFFF"/>
        </w:rPr>
        <w:t>. The results we</w:t>
      </w:r>
      <w:r w:rsidRPr="00635F27">
        <w:rPr>
          <w:shd w:val="clear" w:color="auto" w:fill="FFFFFF"/>
        </w:rPr>
        <w:t>re similar to th</w:t>
      </w:r>
      <w:r>
        <w:rPr>
          <w:shd w:val="clear" w:color="auto" w:fill="FFFFFF"/>
        </w:rPr>
        <w:t>ose</w:t>
      </w:r>
      <w:r w:rsidRPr="00635F27">
        <w:rPr>
          <w:shd w:val="clear" w:color="auto" w:fill="FFFFFF"/>
        </w:rPr>
        <w:t xml:space="preserve"> </w:t>
      </w:r>
      <w:r>
        <w:rPr>
          <w:shd w:val="clear" w:color="auto" w:fill="FFFFFF"/>
        </w:rPr>
        <w:t xml:space="preserve">from </w:t>
      </w:r>
      <w:r w:rsidRPr="00635F27">
        <w:rPr>
          <w:shd w:val="clear" w:color="auto" w:fill="FFFFFF"/>
        </w:rPr>
        <w:t>PCA</w:t>
      </w:r>
      <w:r>
        <w:rPr>
          <w:shd w:val="clear" w:color="auto" w:fill="FFFFFF"/>
        </w:rPr>
        <w:t xml:space="preserve">, though a slightly improved </w:t>
      </w:r>
      <w:r w:rsidRPr="00635F27">
        <w:rPr>
          <w:shd w:val="clear" w:color="auto" w:fill="FFFFFF"/>
        </w:rPr>
        <w:t>R</w:t>
      </w:r>
      <w:r w:rsidRPr="00635F27">
        <w:rPr>
          <w:shd w:val="clear" w:color="auto" w:fill="FFFFFF"/>
          <w:vertAlign w:val="superscript"/>
        </w:rPr>
        <w:t>2</w:t>
      </w:r>
      <w:r w:rsidRPr="00635F27">
        <w:rPr>
          <w:shd w:val="clear" w:color="auto" w:fill="FFFFFF"/>
        </w:rPr>
        <w:t xml:space="preserve"> value of 0.998 </w:t>
      </w:r>
      <w:r>
        <w:rPr>
          <w:shd w:val="clear" w:color="auto" w:fill="FFFFFF"/>
        </w:rPr>
        <w:t>was obtained</w:t>
      </w:r>
      <w:r w:rsidRPr="00635F27">
        <w:rPr>
          <w:shd w:val="clear" w:color="auto" w:fill="FFFFFF"/>
        </w:rPr>
        <w:t xml:space="preserve">. </w:t>
      </w:r>
      <w:r>
        <w:rPr>
          <w:shd w:val="clear" w:color="auto" w:fill="FFFFFF"/>
        </w:rPr>
        <w:t xml:space="preserve">To determine the importance of the off-diagonal peaks in the analysis of serum spectra, the linear combination approach was repeated in a modified fashion to focus on the amide I region of the spectrum. The second iteration of the method employed fitting the </w:t>
      </w:r>
      <w:r>
        <w:rPr>
          <w:shd w:val="clear" w:color="auto" w:fill="FFFFFF"/>
          <w:vertAlign w:val="superscript"/>
        </w:rPr>
        <w:t>x</w:t>
      </w:r>
      <w:r>
        <w:rPr>
          <w:shd w:val="clear" w:color="auto" w:fill="FFFFFF"/>
        </w:rPr>
        <w:t>[</w:t>
      </w:r>
      <w:proofErr w:type="spellStart"/>
      <w:r>
        <w:rPr>
          <w:shd w:val="clear" w:color="auto" w:fill="FFFFFF"/>
        </w:rPr>
        <w:t>Gly</w:t>
      </w:r>
      <w:proofErr w:type="spellEnd"/>
      <w:r>
        <w:rPr>
          <w:shd w:val="clear" w:color="auto" w:fill="FFFFFF"/>
        </w:rPr>
        <w:t xml:space="preserve">] spectra to the sum </w:t>
      </w:r>
      <w:r w:rsidRPr="00635F27">
        <w:rPr>
          <w:shd w:val="clear" w:color="auto" w:fill="FFFFFF"/>
        </w:rPr>
        <w:t>of 2D-IR spectra of BSA</w:t>
      </w:r>
      <w:r>
        <w:rPr>
          <w:shd w:val="clear" w:color="auto" w:fill="FFFFFF"/>
        </w:rPr>
        <w:t xml:space="preserve">, γ-globulins and </w:t>
      </w:r>
      <w:proofErr w:type="spellStart"/>
      <w:r>
        <w:rPr>
          <w:shd w:val="clear" w:color="auto" w:fill="FFFFFF"/>
        </w:rPr>
        <w:t>Gly</w:t>
      </w:r>
      <w:proofErr w:type="spellEnd"/>
      <w:r>
        <w:rPr>
          <w:shd w:val="clear" w:color="auto" w:fill="FFFFFF"/>
        </w:rPr>
        <w:t>, all measured in buffer solution in the spectral range 1550-1700 cm</w:t>
      </w:r>
      <w:r>
        <w:rPr>
          <w:shd w:val="clear" w:color="auto" w:fill="FFFFFF"/>
          <w:vertAlign w:val="superscript"/>
        </w:rPr>
        <w:t>-1</w:t>
      </w:r>
      <w:r>
        <w:rPr>
          <w:shd w:val="clear" w:color="auto" w:fill="FFFFFF"/>
        </w:rPr>
        <w:t xml:space="preserve">. </w:t>
      </w:r>
    </w:p>
    <w:p w:rsidR="00B62D4A" w:rsidRDefault="00B62D4A" w:rsidP="00B62D4A">
      <w:pPr>
        <w:pStyle w:val="TAMainText"/>
        <w:rPr>
          <w:shd w:val="clear" w:color="auto" w:fill="FFFFFF"/>
        </w:rPr>
      </w:pPr>
      <w:r>
        <w:rPr>
          <w:shd w:val="clear" w:color="auto" w:fill="FFFFFF"/>
        </w:rPr>
        <w:t xml:space="preserve">The component </w:t>
      </w:r>
      <w:r w:rsidRPr="00635F27">
        <w:rPr>
          <w:shd w:val="clear" w:color="auto" w:fill="FFFFFF"/>
        </w:rPr>
        <w:t>spectra</w:t>
      </w:r>
      <w:r>
        <w:rPr>
          <w:shd w:val="clear" w:color="auto" w:fill="FFFFFF"/>
        </w:rPr>
        <w:t xml:space="preserve"> used in the linear combination are shown in </w:t>
      </w:r>
      <w:r w:rsidRPr="00635F27">
        <w:rPr>
          <w:shd w:val="clear" w:color="auto" w:fill="FFFFFF"/>
        </w:rPr>
        <w:t>Fig.5(a</w:t>
      </w:r>
      <w:r>
        <w:rPr>
          <w:shd w:val="clear" w:color="auto" w:fill="FFFFFF"/>
        </w:rPr>
        <w:t>-</w:t>
      </w:r>
      <w:r w:rsidRPr="00635F27">
        <w:rPr>
          <w:shd w:val="clear" w:color="auto" w:fill="FFFFFF"/>
        </w:rPr>
        <w:t>c)</w:t>
      </w:r>
      <w:r>
        <w:rPr>
          <w:shd w:val="clear" w:color="auto" w:fill="FFFFFF"/>
        </w:rPr>
        <w:t>. The 2D-IR diagonal peak due to the amide I band of BSA appears at (pump = probe) 1656 cm</w:t>
      </w:r>
      <w:r>
        <w:rPr>
          <w:shd w:val="clear" w:color="auto" w:fill="FFFFFF"/>
          <w:vertAlign w:val="superscript"/>
        </w:rPr>
        <w:t>-1</w:t>
      </w:r>
      <w:r>
        <w:rPr>
          <w:shd w:val="clear" w:color="auto" w:fill="FFFFFF"/>
        </w:rPr>
        <w:t>, consistent with a secondary structure that is dominated by α-</w:t>
      </w:r>
      <w:r w:rsidRPr="00C2575D">
        <w:rPr>
          <w:shd w:val="clear" w:color="auto" w:fill="FFFFFF"/>
        </w:rPr>
        <w:t>helix</w:t>
      </w:r>
      <w:r>
        <w:rPr>
          <w:shd w:val="clear" w:color="auto" w:fill="FFFFFF"/>
        </w:rPr>
        <w:t xml:space="preserve">es. </w:t>
      </w:r>
      <w:r w:rsidRPr="00C2575D">
        <w:rPr>
          <w:shd w:val="clear" w:color="auto" w:fill="FFFFFF"/>
        </w:rPr>
        <w:t xml:space="preserve">The </w:t>
      </w:r>
      <w:r>
        <w:rPr>
          <w:shd w:val="clear" w:color="auto" w:fill="FFFFFF"/>
        </w:rPr>
        <w:t>amide I diagonal contribution</w:t>
      </w:r>
      <w:r w:rsidRPr="00C2575D">
        <w:rPr>
          <w:shd w:val="clear" w:color="auto" w:fill="FFFFFF"/>
        </w:rPr>
        <w:t xml:space="preserve"> from the γ-</w:t>
      </w:r>
      <w:r w:rsidRPr="00635F27">
        <w:rPr>
          <w:shd w:val="clear" w:color="auto" w:fill="FFFFFF"/>
        </w:rPr>
        <w:t xml:space="preserve">globulins </w:t>
      </w:r>
      <w:r>
        <w:rPr>
          <w:shd w:val="clear" w:color="auto" w:fill="FFFFFF"/>
        </w:rPr>
        <w:t>appears at a slightly lower wavenumber (</w:t>
      </w:r>
      <w:r w:rsidRPr="00AB1B40">
        <w:rPr>
          <w:shd w:val="clear" w:color="auto" w:fill="FFFFFF"/>
        </w:rPr>
        <w:t>1639 cm</w:t>
      </w:r>
      <w:r w:rsidRPr="00AB1B40">
        <w:rPr>
          <w:vertAlign w:val="superscript"/>
        </w:rPr>
        <w:t>-1</w:t>
      </w:r>
      <w:r>
        <w:t>)</w:t>
      </w:r>
      <w:r>
        <w:rPr>
          <w:vertAlign w:val="superscript"/>
        </w:rPr>
        <w:t xml:space="preserve"> </w:t>
      </w:r>
      <w:r>
        <w:rPr>
          <w:shd w:val="clear" w:color="auto" w:fill="FFFFFF"/>
        </w:rPr>
        <w:t>due to the predominance of β</w:t>
      </w:r>
      <w:r w:rsidRPr="00635F27">
        <w:rPr>
          <w:shd w:val="clear" w:color="auto" w:fill="FFFFFF"/>
        </w:rPr>
        <w:t xml:space="preserve">-sheet structures. </w:t>
      </w:r>
      <w:r>
        <w:rPr>
          <w:shd w:val="clear" w:color="auto" w:fill="FFFFFF"/>
        </w:rPr>
        <w:t xml:space="preserve">The spectrum of </w:t>
      </w:r>
      <w:proofErr w:type="spellStart"/>
      <w:r>
        <w:rPr>
          <w:shd w:val="clear" w:color="auto" w:fill="FFFFFF"/>
        </w:rPr>
        <w:t>Gly</w:t>
      </w:r>
      <w:proofErr w:type="spellEnd"/>
      <w:r>
        <w:rPr>
          <w:shd w:val="clear" w:color="auto" w:fill="FFFFFF"/>
        </w:rPr>
        <w:t xml:space="preserve"> in the same region is distinct from those of the large proteins in that it features a diagonal peak at 1650 cm</w:t>
      </w:r>
      <w:r>
        <w:rPr>
          <w:shd w:val="clear" w:color="auto" w:fill="FFFFFF"/>
          <w:vertAlign w:val="superscript"/>
        </w:rPr>
        <w:t>-1</w:t>
      </w:r>
      <w:r>
        <w:rPr>
          <w:shd w:val="clear" w:color="auto" w:fill="FFFFFF"/>
        </w:rPr>
        <w:t xml:space="preserve"> and a prominent off diagonal peak to a weak diagonal peak near 1600 cm</w:t>
      </w:r>
      <w:r>
        <w:rPr>
          <w:shd w:val="clear" w:color="auto" w:fill="FFFFFF"/>
          <w:vertAlign w:val="superscript"/>
        </w:rPr>
        <w:noBreakHyphen/>
        <w:t>1</w:t>
      </w:r>
      <w:r>
        <w:rPr>
          <w:shd w:val="clear" w:color="auto" w:fill="FFFFFF"/>
        </w:rPr>
        <w:t xml:space="preserve">, the latter is visible as a shoulder in the IR absorption spectrum of the </w:t>
      </w:r>
      <w:r>
        <w:rPr>
          <w:shd w:val="clear" w:color="auto" w:fill="FFFFFF"/>
          <w:vertAlign w:val="superscript"/>
        </w:rPr>
        <w:t>1</w:t>
      </w:r>
      <w:r>
        <w:rPr>
          <w:shd w:val="clear" w:color="auto" w:fill="FFFFFF"/>
        </w:rPr>
        <w:t>[</w:t>
      </w:r>
      <w:proofErr w:type="spellStart"/>
      <w:r>
        <w:rPr>
          <w:shd w:val="clear" w:color="auto" w:fill="FFFFFF"/>
        </w:rPr>
        <w:t>Gly</w:t>
      </w:r>
      <w:proofErr w:type="spellEnd"/>
      <w:r>
        <w:rPr>
          <w:shd w:val="clear" w:color="auto" w:fill="FFFFFF"/>
        </w:rPr>
        <w:t>] sample (Fig.1(a)).</w:t>
      </w:r>
    </w:p>
    <w:p w:rsidR="00B62D4A" w:rsidRPr="00C127B4" w:rsidRDefault="00B62D4A" w:rsidP="00B62D4A">
      <w:pPr>
        <w:pStyle w:val="TAMainText"/>
        <w:rPr>
          <w:shd w:val="clear" w:color="auto" w:fill="FFFFFF"/>
        </w:rPr>
      </w:pPr>
      <w:r>
        <w:rPr>
          <w:shd w:val="clear" w:color="auto" w:fill="FFFFFF"/>
        </w:rPr>
        <w:t xml:space="preserve">Applying this linear combination to the </w:t>
      </w:r>
      <w:r>
        <w:rPr>
          <w:shd w:val="clear" w:color="auto" w:fill="FFFFFF"/>
          <w:vertAlign w:val="superscript"/>
        </w:rPr>
        <w:t>x</w:t>
      </w:r>
      <w:r>
        <w:rPr>
          <w:shd w:val="clear" w:color="auto" w:fill="FFFFFF"/>
        </w:rPr>
        <w:t>[</w:t>
      </w:r>
      <w:proofErr w:type="spellStart"/>
      <w:r>
        <w:rPr>
          <w:shd w:val="clear" w:color="auto" w:fill="FFFFFF"/>
        </w:rPr>
        <w:t>Gly</w:t>
      </w:r>
      <w:proofErr w:type="spellEnd"/>
      <w:r>
        <w:rPr>
          <w:shd w:val="clear" w:color="auto" w:fill="FFFFFF"/>
        </w:rPr>
        <w:t>] spectra shows (Figs.5(</w:t>
      </w:r>
      <w:proofErr w:type="spellStart"/>
      <w:r>
        <w:rPr>
          <w:shd w:val="clear" w:color="auto" w:fill="FFFFFF"/>
        </w:rPr>
        <w:t>d,e</w:t>
      </w:r>
      <w:proofErr w:type="spellEnd"/>
      <w:r>
        <w:rPr>
          <w:shd w:val="clear" w:color="auto" w:fill="FFFFFF"/>
        </w:rPr>
        <w:t xml:space="preserve">)) that the contributions of BSA (Fig.5(d), </w:t>
      </w:r>
      <w:r w:rsidRPr="00635F27">
        <w:rPr>
          <w:shd w:val="clear" w:color="auto" w:fill="FFFFFF"/>
        </w:rPr>
        <w:t>light blue</w:t>
      </w:r>
      <w:r>
        <w:rPr>
          <w:shd w:val="clear" w:color="auto" w:fill="FFFFFF"/>
        </w:rPr>
        <w:t>)</w:t>
      </w:r>
      <w:r w:rsidRPr="00635F27">
        <w:rPr>
          <w:shd w:val="clear" w:color="auto" w:fill="FFFFFF"/>
        </w:rPr>
        <w:t xml:space="preserve"> and </w:t>
      </w:r>
      <w:r>
        <w:rPr>
          <w:shd w:val="clear" w:color="auto" w:fill="FFFFFF"/>
        </w:rPr>
        <w:t xml:space="preserve">the </w:t>
      </w:r>
      <w:r w:rsidRPr="00635F27">
        <w:rPr>
          <w:shd w:val="clear" w:color="auto" w:fill="FFFFFF"/>
        </w:rPr>
        <w:t xml:space="preserve">γ-globulins </w:t>
      </w:r>
      <w:r>
        <w:rPr>
          <w:shd w:val="clear" w:color="auto" w:fill="FFFFFF"/>
        </w:rPr>
        <w:t xml:space="preserve">(Fig.5(d), dark </w:t>
      </w:r>
      <w:r w:rsidRPr="00635F27">
        <w:rPr>
          <w:shd w:val="clear" w:color="auto" w:fill="FFFFFF"/>
        </w:rPr>
        <w:t>blue)</w:t>
      </w:r>
      <w:r>
        <w:rPr>
          <w:shd w:val="clear" w:color="auto" w:fill="FFFFFF"/>
        </w:rPr>
        <w:t xml:space="preserve"> remain approximately constant across the range of </w:t>
      </w:r>
      <w:r>
        <w:rPr>
          <w:shd w:val="clear" w:color="auto" w:fill="FFFFFF"/>
          <w:vertAlign w:val="superscript"/>
        </w:rPr>
        <w:t>x</w:t>
      </w:r>
      <w:r>
        <w:rPr>
          <w:shd w:val="clear" w:color="auto" w:fill="FFFFFF"/>
        </w:rPr>
        <w:t>[</w:t>
      </w:r>
      <w:proofErr w:type="spellStart"/>
      <w:r>
        <w:rPr>
          <w:shd w:val="clear" w:color="auto" w:fill="FFFFFF"/>
        </w:rPr>
        <w:t>Gly</w:t>
      </w:r>
      <w:proofErr w:type="spellEnd"/>
      <w:r>
        <w:rPr>
          <w:shd w:val="clear" w:color="auto" w:fill="FFFFFF"/>
        </w:rPr>
        <w:t xml:space="preserve">] samples studied, while that of </w:t>
      </w:r>
      <w:proofErr w:type="spellStart"/>
      <w:r>
        <w:rPr>
          <w:shd w:val="clear" w:color="auto" w:fill="FFFFFF"/>
        </w:rPr>
        <w:t>Gly</w:t>
      </w:r>
      <w:proofErr w:type="spellEnd"/>
      <w:r>
        <w:rPr>
          <w:shd w:val="clear" w:color="auto" w:fill="FFFFFF"/>
        </w:rPr>
        <w:t xml:space="preserve"> increased in a linear fashion </w:t>
      </w:r>
      <w:r w:rsidRPr="00635F27">
        <w:rPr>
          <w:shd w:val="clear" w:color="auto" w:fill="FFFFFF"/>
        </w:rPr>
        <w:t>(</w:t>
      </w:r>
      <w:r w:rsidRPr="00A3190B">
        <w:rPr>
          <w:shd w:val="clear" w:color="auto" w:fill="FFFFFF"/>
        </w:rPr>
        <w:t>R</w:t>
      </w:r>
      <w:r w:rsidRPr="00635F27">
        <w:rPr>
          <w:shd w:val="clear" w:color="auto" w:fill="FFFFFF"/>
          <w:vertAlign w:val="superscript"/>
        </w:rPr>
        <w:t>2</w:t>
      </w:r>
      <w:r w:rsidRPr="00A3190B">
        <w:rPr>
          <w:shd w:val="clear" w:color="auto" w:fill="FFFFFF"/>
        </w:rPr>
        <w:t>=0.94</w:t>
      </w:r>
      <w:r>
        <w:rPr>
          <w:shd w:val="clear" w:color="auto" w:fill="FFFFFF"/>
        </w:rPr>
        <w:t xml:space="preserve">2, </w:t>
      </w:r>
      <w:r w:rsidRPr="00635F27">
        <w:rPr>
          <w:shd w:val="clear" w:color="auto" w:fill="FFFFFF"/>
        </w:rPr>
        <w:t>Fig.5(d</w:t>
      </w:r>
      <w:r>
        <w:rPr>
          <w:shd w:val="clear" w:color="auto" w:fill="FFFFFF"/>
        </w:rPr>
        <w:t>), red</w:t>
      </w:r>
      <w:r w:rsidRPr="00635F27">
        <w:rPr>
          <w:shd w:val="clear" w:color="auto" w:fill="FFFFFF"/>
        </w:rPr>
        <w:t>)</w:t>
      </w:r>
      <w:r>
        <w:rPr>
          <w:shd w:val="clear" w:color="auto" w:fill="FFFFFF"/>
        </w:rPr>
        <w:t>. It is clear that, although this approach was successful, based on the R</w:t>
      </w:r>
      <w:r>
        <w:rPr>
          <w:shd w:val="clear" w:color="auto" w:fill="FFFFFF"/>
          <w:vertAlign w:val="superscript"/>
        </w:rPr>
        <w:t>2</w:t>
      </w:r>
      <w:r>
        <w:rPr>
          <w:shd w:val="clear" w:color="auto" w:fill="FFFFFF"/>
        </w:rPr>
        <w:t xml:space="preserve"> value removing the 2D network of </w:t>
      </w:r>
      <w:proofErr w:type="spellStart"/>
      <w:r>
        <w:rPr>
          <w:shd w:val="clear" w:color="auto" w:fill="FFFFFF"/>
        </w:rPr>
        <w:t>Gly</w:t>
      </w:r>
      <w:proofErr w:type="spellEnd"/>
      <w:r>
        <w:rPr>
          <w:shd w:val="clear" w:color="auto" w:fill="FFFFFF"/>
        </w:rPr>
        <w:t xml:space="preserve"> peaks from the analysis lowers the quality of the quantitative analysis of the serum spectra. However, this does show that 2D-IR has the potential not only to identify a low molecular weight contributor to the serum spectrum, but also to deliver a more nuanced analysis of the protein content, based on the amide I region. </w:t>
      </w:r>
    </w:p>
    <w:p w:rsidR="00B62D4A" w:rsidRPr="00B62D4A" w:rsidRDefault="00B62D4A" w:rsidP="00B62D4A">
      <w:pPr>
        <w:pStyle w:val="TAMainText"/>
      </w:pPr>
      <w:r w:rsidRPr="00B62D4A">
        <w:t xml:space="preserve">The outcome of analysis methods </w:t>
      </w:r>
      <w:proofErr w:type="spellStart"/>
      <w:r w:rsidRPr="00B62D4A">
        <w:t>i</w:t>
      </w:r>
      <w:proofErr w:type="spellEnd"/>
      <w:r w:rsidRPr="00B62D4A">
        <w:t xml:space="preserve">) and ii) above imply a detection limit for </w:t>
      </w:r>
      <w:proofErr w:type="spellStart"/>
      <w:r w:rsidRPr="00B62D4A">
        <w:t>Gly</w:t>
      </w:r>
      <w:proofErr w:type="spellEnd"/>
      <w:r w:rsidRPr="00B62D4A">
        <w:t xml:space="preserve"> of ~ 3 mg/mL using 2D-IR spectroscopy. This value is many orders of magnitude larger than the physiological levels of </w:t>
      </w:r>
      <w:proofErr w:type="spellStart"/>
      <w:r w:rsidRPr="00B62D4A">
        <w:t>Gly</w:t>
      </w:r>
      <w:proofErr w:type="spellEnd"/>
      <w:r w:rsidRPr="00B62D4A">
        <w:t xml:space="preserve"> itself. However, these initial results serve to provide a useful indicator of the capability 2D-IR has for biomedical applications. It is instructive to compare results from 2D-IR with those obtained using IR absorption methods. For example, the evaluation of detection limits using ATR-FTIR spectroscopy have been reported.</w:t>
      </w:r>
      <w:r w:rsidR="00491973">
        <w:fldChar w:fldCharType="begin" w:fldLock="1"/>
      </w:r>
      <w:r w:rsidR="00680FC0">
        <w:instrText>ADDIN CSL_CITATION {"citationItems":[{"id":"ITEM-1","itemData":{"DOI":"10.1002/jbio.201600015","ISBN":"1864-063x","ISSN":"18640648","PMID":"27507567","abstract":"Vibrational spectroscopic techniques can detect small variations in molecular content, linked with disease, showing promise for screening and early diagnosis. Biological fluids, particularly blood serum, are potentially valuable for diagnosis purposes. The so-called Low Molecular Weight Fraction (LMWF) contains the associated peptidome and metabolome and has been identified as potentially the most relevant molecular population for disease-associated biomarker research. Although vibrational spectroscopy can deliver a specific chemical fingerprint of the samples, the High Molecular Weight Fraction (HMWF), composed of the most abundant serum proteins, strongly dominates the response and ultimately makes the detection of minor spectral variations a challenging task. Spectroscopic detection of potential serum biomarkers present at relatively low concentrations can be improved using pre-analytical depletion of the HMWF. In the present study, human serum fractionation by centrifugal filtration was used prior to analysis by Attenuated Total Reflection infrared spectroscopy. Using a model sample based on glycine spiked serum, it is demonstrated that the screening of the LMWF can be applied to quantify blinded concentrations up to 50 times lower. Moreover, the approach is easily transferable to different bodily fluids which would support the development of more efficient and suitable clinical protocols exploring vibrational spectroscopy based ex-vivo diagnostic tools. Revealing serum LMWF for spectral serological diagnostic applications.","author":[{"dropping-particle":"","family":"Bonnier","given":"Franck","non-dropping-particle":"","parse-names":false,"suffix":""},{"dropping-particle":"","family":"Brachet","given":"Guillaume","non-dropping-particle":"","parse-names":false,"suffix":""},{"dropping-particle":"","family":"Duong","given":"Romain","non-dropping-particle":"","parse-names":false,"suffix":""},{"dropping-particle":"","family":"Sojinrin","given":"Tobiloba","non-dropping-particle":"","parse-names":false,"suffix":""},{"dropping-particle":"","family":"Respaud","given":"Renaud","non-dropping-particle":"","parse-names":false,"suffix":""},{"dropping-particle":"","family":"Aubrey","given":"Nicolas","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J.","non-dropping-particle":"","parse-names":false,"suffix":""},{"dropping-particle":"","family":"Chourpa","given":"Igor","non-dropping-particle":"","parse-names":false,"suffix":""}],"container-title":"Journal of Biophotonics","id":"ITEM-1","issued":{"date-parts":[["2016"]]},"page":"1085-1097","title":"Screening the low molecular weight fraction of human serum using ATR-IR spectroscopy","type":"article-journal","volume":"9"},"uris":["http://www.mendeley.com/documents/?uuid=6ba27394-d623-4302-ba16-c3f86f7d6350"]}],"mendeley":{"formattedCitation":"&lt;sup&gt;22&lt;/sup&gt;","plainTextFormattedCitation":"22","previouslyFormattedCitation":"&lt;sup&gt;22&lt;/sup&gt;"},"properties":{"noteIndex":0},"schema":"https://github.com/citation-style-language/schema/raw/master/csl-citation.json"}</w:instrText>
      </w:r>
      <w:r w:rsidR="00491973">
        <w:fldChar w:fldCharType="separate"/>
      </w:r>
      <w:r w:rsidR="00491973" w:rsidRPr="00491973">
        <w:rPr>
          <w:noProof/>
          <w:vertAlign w:val="superscript"/>
        </w:rPr>
        <w:t>22</w:t>
      </w:r>
      <w:r w:rsidR="00491973">
        <w:fldChar w:fldCharType="end"/>
      </w:r>
      <w:r w:rsidRPr="00B62D4A">
        <w:t xml:space="preserve"> Studies of </w:t>
      </w:r>
      <w:proofErr w:type="spellStart"/>
      <w:r w:rsidRPr="00B62D4A">
        <w:t>Gly</w:t>
      </w:r>
      <w:proofErr w:type="spellEnd"/>
      <w:r w:rsidRPr="00B62D4A">
        <w:t xml:space="preserve"> detection using wet and dry serum samples were carried out and compared with serum samples following depletion of the high molecular weight fraction by centrifugal filtration. Analysis of wet serum allowed linear regression models to be built, permitting prediction of a 0.5 mg/mL glycine sample in serum to within an accuracy of 10% (0.45 ± 0.16 mg/mL). Removal of the high molecular weight fraction allowed quantification of </w:t>
      </w:r>
      <w:proofErr w:type="spellStart"/>
      <w:r w:rsidRPr="00B62D4A">
        <w:t>Gly</w:t>
      </w:r>
      <w:proofErr w:type="spellEnd"/>
      <w:r w:rsidRPr="00B62D4A">
        <w:t xml:space="preserve"> levels higher than 0.01 mg/mL, 50 times lower than that of whole serum. This suggests that the 2D-IR detection limit is slightly higher than ATR methods though, in the absence of any sample filtration,  the two methods are comparable in terms of the order of magnitude of the detection </w:t>
      </w:r>
      <w:proofErr w:type="spellStart"/>
      <w:r w:rsidRPr="00B62D4A">
        <w:t>limts</w:t>
      </w:r>
      <w:proofErr w:type="spellEnd"/>
      <w:r w:rsidRPr="00B62D4A">
        <w:t xml:space="preserve"> and neither is capable of detecting </w:t>
      </w:r>
      <w:proofErr w:type="spellStart"/>
      <w:r w:rsidRPr="00B62D4A">
        <w:t>Gly</w:t>
      </w:r>
      <w:proofErr w:type="spellEnd"/>
      <w:r w:rsidRPr="00B62D4A">
        <w:t xml:space="preserve"> at physiological levels.</w:t>
      </w:r>
      <w:r w:rsidRPr="00680FC0">
        <w:rPr>
          <w:vertAlign w:val="superscript"/>
        </w:rPr>
        <w:fldChar w:fldCharType="begin" w:fldLock="1"/>
      </w:r>
      <w:r w:rsidR="000A3EE3">
        <w:rPr>
          <w:vertAlign w:val="superscript"/>
        </w:rPr>
        <w:instrText>ADDIN CSL_CITATION {"citationItems":[{"id":"ITEM-1","itemData":{"DOI":"10.1002/jbio.201600015","ISBN":"1864-063x","ISSN":"18640648","PMID":"27507567","abstract":"Vibrational spectroscopic techniques can detect small variations in molecular content, linked with disease, showing promise for screening and early diagnosis. Biological fluids, particularly blood serum, are potentially valuable for diagnosis purposes. The so-called Low Molecular Weight Fraction (LMWF) contains the associated peptidome and metabolome and has been identified as potentially the most relevant molecular population for disease-associated biomarker research. Although vibrational spectroscopy can deliver a specific chemical fingerprint of the samples, the High Molecular Weight Fraction (HMWF), composed of the most abundant serum proteins, strongly dominates the response and ultimately makes the detection of minor spectral variations a challenging task. Spectroscopic detection of potential serum biomarkers present at relatively low concentrations can be improved using pre-analytical depletion of the HMWF. In the present study, human serum fractionation by centrifugal filtration was used prior to analysis by Attenuated Total Reflection infrared spectroscopy. Using a model sample based on glycine spiked serum, it is demonstrated that the screening of the LMWF can be applied to quantify blinded concentrations up to 50 times lower. Moreover, the approach is easily transferable to different bodily fluids which would support the development of more efficient and suitable clinical protocols exploring vibrational spectroscopy based ex-vivo diagnostic tools. Revealing serum LMWF for spectral serological diagnostic applications.","author":[{"dropping-particle":"","family":"Bonnier","given":"Franck","non-dropping-particle":"","parse-names":false,"suffix":""},{"dropping-particle":"","family":"Brachet","given":"Guillaume","non-dropping-particle":"","parse-names":false,"suffix":""},{"dropping-particle":"","family":"Duong","given":"Romain","non-dropping-particle":"","parse-names":false,"suffix":""},{"dropping-particle":"","family":"Sojinrin","given":"Tobiloba","non-dropping-particle":"","parse-names":false,"suffix":""},{"dropping-particle":"","family":"Respaud","given":"Renaud","non-dropping-particle":"","parse-names":false,"suffix":""},{"dropping-particle":"","family":"Aubrey","given":"Nicolas","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J.","non-dropping-particle":"","parse-names":false,"suffix":""},{"dropping-particle":"","family":"Chourpa","given":"Igor","non-dropping-particle":"","parse-names":false,"suffix":""}],"container-title":"Journal of Biophotonics","id":"ITEM-1","issued":{"date-parts":[["2016"]]},"page":"1085-1097","title":"Screening the low molecular weight fraction of human serum using ATR-IR spectroscopy","type":"article-journal","volume":"9"},"uris":["http://www.mendeley.com/documents/?uuid=6ba27394-d623-4302-ba16-c3f86f7d6350"]},{"id":"ITEM-2","itemData":{"DOI":"10.1038/nprot.2015.024","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Protocols","id":"ITEM-2","issued":{"date-parts":[["2015"]]},"page":"382-396","title":"Obtaining information about protein secondary structures in aqueous solution using Fourier transform IR spectroscopy","type":"article-journal","volume":"10"},"uris":["http://www.mendeley.com/documents/?uuid=9945f093-125a-40a0-9bf3-00f54f803cf3"]}],"mendeley":{"formattedCitation":"&lt;sup&gt;22,40&lt;/sup&gt;","plainTextFormattedCitation":"22,40","previouslyFormattedCitation":"&lt;sup&gt;22,39&lt;/sup&gt;"},"properties":{"noteIndex":0},"schema":"https://github.com/citation-style-language/schema/raw/master/csl-citation.json"}</w:instrText>
      </w:r>
      <w:r w:rsidRPr="00680FC0">
        <w:rPr>
          <w:vertAlign w:val="superscript"/>
        </w:rPr>
        <w:fldChar w:fldCharType="separate"/>
      </w:r>
      <w:r w:rsidR="000A3EE3" w:rsidRPr="000A3EE3">
        <w:rPr>
          <w:noProof/>
          <w:vertAlign w:val="superscript"/>
        </w:rPr>
        <w:t>22,40</w:t>
      </w:r>
      <w:r w:rsidRPr="00680FC0">
        <w:rPr>
          <w:vertAlign w:val="superscript"/>
        </w:rPr>
        <w:fldChar w:fldCharType="end"/>
      </w:r>
      <w:r w:rsidRPr="00B62D4A">
        <w:t xml:space="preserve"> ATR-FTIR was unable to discriminate between different components of the amide I band as 2D-IR has been shown to be able to do. </w:t>
      </w:r>
    </w:p>
    <w:p w:rsidR="00B62D4A" w:rsidRPr="00B62D4A" w:rsidRDefault="00B62D4A" w:rsidP="00680FC0">
      <w:pPr>
        <w:pStyle w:val="TAMainText"/>
      </w:pPr>
      <w:r w:rsidRPr="00B62D4A">
        <w:t xml:space="preserve">Overall, our results provide a useful starting point from which the 2D-IR technique can improve further. </w:t>
      </w:r>
      <w:r w:rsidR="002F18AD" w:rsidRPr="002F18AD">
        <w:t xml:space="preserve">Detection of single amide units in proteins and peptides have been demonstrated at </w:t>
      </w:r>
      <w:r w:rsidR="002F18AD" w:rsidRPr="002F18AD">
        <w:t>concentrations slightly lower than we report for glycine in serum.</w:t>
      </w:r>
      <w:r w:rsidR="00DE3477">
        <w:fldChar w:fldCharType="begin" w:fldLock="1"/>
      </w:r>
      <w:r w:rsidR="000A3EE3">
        <w:instrText>ADDIN CSL_CITATION {"citationItems":[{"id":"ITEM-1","itemData":{"ISSN":"6176321972","author":[{"dropping-particle":"","family":"Kim","given":"Yung Sam","non-dropping-particle":"","parse-names":false,"suffix":""},{"dropping-particle":"","family":"Hochstrasser","given":"Robin M.","non-dropping-particle":"","parse-names":false,"suffix":""}],"container-title":"Journal of Physical Chemistry B","id":"ITEM-1","issued":{"date-parts":[["2009"]]},"page":"8231-8251","title":"Applications of 2D IR spectroscopy to peptides, proteins, and hydrogen-bond dynamics","type":"article-journal","volume":"113"},"uris":["http://www.mendeley.com/documents/?uuid=7ba63318-0402-4814-aa1b-66abc179fa49"]}],"mendeley":{"formattedCitation":"&lt;sup&gt;41&lt;/sup&gt;","plainTextFormattedCitation":"41","previouslyFormattedCitation":"&lt;sup&gt;40&lt;/sup&gt;"},"properties":{"noteIndex":0},"schema":"https://github.com/citation-style-language/schema/raw/master/csl-citation.json"}</w:instrText>
      </w:r>
      <w:r w:rsidR="00DE3477">
        <w:fldChar w:fldCharType="separate"/>
      </w:r>
      <w:r w:rsidR="000A3EE3" w:rsidRPr="000A3EE3">
        <w:rPr>
          <w:noProof/>
          <w:vertAlign w:val="superscript"/>
        </w:rPr>
        <w:t>41</w:t>
      </w:r>
      <w:r w:rsidR="00DE3477">
        <w:fldChar w:fldCharType="end"/>
      </w:r>
      <w:r w:rsidR="002F18AD" w:rsidRPr="002F18AD">
        <w:t xml:space="preserve"> These measurements have however employed deuterated solvents, isotopic labels or have probed other vibrational modes of the molecules in question, in contrast to the current measurements in a complex aqueous serum sample</w:t>
      </w:r>
      <w:r w:rsidR="0097624F">
        <w:t xml:space="preserve">. </w:t>
      </w:r>
      <w:r w:rsidR="002F18AD" w:rsidRPr="002F18AD">
        <w:t>This does indicate that, with further development there is</w:t>
      </w:r>
      <w:r w:rsidR="0097624F">
        <w:t xml:space="preserve"> potential </w:t>
      </w:r>
      <w:r w:rsidR="002F18AD" w:rsidRPr="002F18AD">
        <w:t>for detection limits in serum to be improved.</w:t>
      </w:r>
      <w:r w:rsidR="002F18AD">
        <w:t xml:space="preserve"> </w:t>
      </w:r>
      <w:r w:rsidRPr="00B62D4A">
        <w:t xml:space="preserve">The 2D-IR instrument used for this work has seen significant improvements since the time of this data collection and it is possible that the introduction of a pulse shaper to generate the pump pulse pair as well as improved referencing will increase the 2D-IR spectrometer’s sensitivity. Specifically, the study demonstrates that 2D-IR spectroscopy of serum can be employed to identify the presence of low molecular weight components in addition to the major protein constituents of the serum matrix. Furthermore, it is plausible that 2D-IR methods can be used to break down the total protein content into smaller contributions, taking the first steps along the road to producing a broad biomolecular fingerprint from a single optical measurement. </w:t>
      </w:r>
      <w:proofErr w:type="gramStart"/>
      <w:r w:rsidR="001B74C2" w:rsidRPr="000B5821">
        <w:t>Typically</w:t>
      </w:r>
      <w:proofErr w:type="gramEnd"/>
      <w:r w:rsidR="001B74C2" w:rsidRPr="000B5821">
        <w:t xml:space="preserve"> in disease states, associated changes in serum protein levels can involve more than one peptide/protein. With further investigation 2D-IR coupled with PCA has the potential to produce, in an ideal scenario, different PCs each corresponding to the peptide/protein causing changes from that of a normal/healthy serum sample. With PCA being an unsupervised method, the obtained principal component loading spectra would have to be cross referenced against a library of 2D-IR of peptide/protein spectra for identification, however for multi-peptide analysis the use of more sophisticated and supervised techniques</w:t>
      </w:r>
      <w:r w:rsidR="0097624F">
        <w:t xml:space="preserve"> </w:t>
      </w:r>
      <w:r w:rsidR="0097624F">
        <w:t>may prove superior</w:t>
      </w:r>
      <w:r w:rsidR="001B74C2">
        <w:t>.</w:t>
      </w:r>
      <w:r w:rsidR="001B74C2" w:rsidRPr="00B62D4A">
        <w:t xml:space="preserve"> </w:t>
      </w:r>
      <w:r w:rsidRPr="00B62D4A">
        <w:t>The fact that 2D-IR spectra are acquired using as-received serum samples and that individual spectra can be obtained in similar amounts of time to an FTIR spectrum mean that there is potential for 2D-IR to act as a complementary spectral analysis tool.</w:t>
      </w:r>
    </w:p>
    <w:p w:rsidR="00B62D4A" w:rsidRPr="00B62D4A" w:rsidRDefault="00B62D4A" w:rsidP="00B62D4A">
      <w:pPr>
        <w:pStyle w:val="TAMainText"/>
      </w:pPr>
      <w:r w:rsidRPr="00B62D4A">
        <w:t xml:space="preserve">The intention behind using </w:t>
      </w:r>
      <w:proofErr w:type="spellStart"/>
      <w:r w:rsidRPr="00B62D4A">
        <w:t>Gly</w:t>
      </w:r>
      <w:proofErr w:type="spellEnd"/>
      <w:r w:rsidRPr="00B62D4A">
        <w:t xml:space="preserve"> as a model low molecular weight peptide or protein system was that it provides a means of estimating concentrations of larger species which could be detected. </w:t>
      </w:r>
      <w:proofErr w:type="spellStart"/>
      <w:r w:rsidRPr="00B62D4A">
        <w:t>Gly</w:t>
      </w:r>
      <w:proofErr w:type="spellEnd"/>
      <w:r w:rsidRPr="00B62D4A">
        <w:t xml:space="preserve"> has a MW of 75 Da and 3 mg/mL corresponds to a concentration of ~ 40 </w:t>
      </w:r>
      <w:proofErr w:type="spellStart"/>
      <w:r w:rsidRPr="00B62D4A">
        <w:t>mM.</w:t>
      </w:r>
      <w:proofErr w:type="spellEnd"/>
      <w:r w:rsidRPr="00B62D4A">
        <w:t xml:space="preserve"> By inference, assuming a similar 2D-IR signal size per residue, a </w:t>
      </w:r>
      <w:r w:rsidR="00680FC0" w:rsidRPr="00B62D4A">
        <w:t>200-residue</w:t>
      </w:r>
      <w:r w:rsidRPr="00B62D4A">
        <w:t xml:space="preserve"> protein would, based on the reported </w:t>
      </w:r>
      <w:proofErr w:type="spellStart"/>
      <w:r w:rsidRPr="00B62D4A">
        <w:t>Gly</w:t>
      </w:r>
      <w:proofErr w:type="spellEnd"/>
      <w:r w:rsidRPr="00B62D4A">
        <w:t xml:space="preserve"> results, be detectable at concentrations of ~ 200 µM. It should be noted however, that the magnitude of the amide I band of a protein in a 2D-IR spectrum is increased on a per residue basis by vibrational coupling within the protein secondary structure.</w:t>
      </w:r>
      <w:r w:rsidRPr="00680FC0">
        <w:rPr>
          <w:vertAlign w:val="superscript"/>
        </w:rPr>
        <w:fldChar w:fldCharType="begin" w:fldLock="1"/>
      </w:r>
      <w:r w:rsidR="000A3EE3">
        <w:rPr>
          <w:vertAlign w:val="superscript"/>
        </w:rPr>
        <w:instrText>ADDIN CSL_CITATION {"citationItems":[{"id":"ITEM-1","itemData":{"DOI":"10.1063/1.4764861","ISBN":"0021-9606","ISSN":"00219606","PMID":"23163364","abstract":"Vibrational and electronic transition dipole strengths are often good probes of molecular structures, especially in excitonically coupled systems of chromophores. One cannot determine transition dipole strengths using linear spectroscopy unless the concentration is known, which in many cases it is not. In this paper, we report a simple method for measuring transition dipole moments from linear absorption and 2D IR spectra that does not require knowledge of concentrations. Our method is tested on several model compounds and applied to the amide I(') band of a polypeptide in its random coil and α-helical conformation as modulated by the solution temperature. It is often difficult to confidently assign polypeptide and protein secondary structures to random coil or α-helix by linear spectroscopy alone, because they absorb in the same frequency range. We find that the transition dipole strength of the random coil state is 0.12 ± 0.013 D(2), which is similar to a single peptide unit, indicating that the vibrational mode of random coil is localized on a single peptide unit. In an α-helix, the lower bound of transition dipole strength is 0.26 ± 0.03 D(2). When taking into account the angle of the amide I(') transition dipole vector with respect to the helix axis, our measurements indicate that the amide I(') vibrational mode is delocalized across a minimum of 3.5 residues in an α-helix. Thus, one can confidently assign secondary structure based on exciton delocalization through its effect on the transition dipole strength. Our method will be especially useful for kinetically evolving systems, systems with overlapping molecular conformations, and other situations in which concentrations are difficult to determine.","author":[{"dropping-particle":"","family":"Grechko","given":"Maksim","non-dropping-particle":"","parse-names":false,"suffix":""},{"dropping-particle":"","family":"Zanni","given":"Martin T.","non-dropping-particle":"","parse-names":false,"suffix":""}],"container-title":"Journal of Chemical Physics","id":"ITEM-1","issued":{"date-parts":[["2012"]]},"page":"184202","title":"Quantification of transition dipole strengths using 1D and 2D spectroscopy for the identification of molecular structures via exciton delocalization: Application to alpha-helices","type":"article-journal","volume":"137"},"uris":["http://www.mendeley.com/documents/?uuid=06190c9d-053b-4a3e-af78-8730aab87213"]},{"id":"ITEM-2","itemData":{"DOI":"10.1021/acs.analchem.7b02610","ISSN":"15206882","PMID":"28921967","abstract":"Revealing the details of biomolecular processes in solution needs tools that can monitor structural dynamics over a range of time and length scales. We assess the ability of 2D-IR spectroscopy in combination with multivariate data analysis to quantify changes in secondary structure of the multifunctional calcium-binding messenger protein Calmodulin (CaM) as a function of temperature and Ca2+ concentration. Our approach produced quantitative agreement with circular dichroism (CD) spectroscopy in detecting the domain melting transitions of Ca2+-free (apo) CaM (reduction in α-helix structure by 13% (CD) and 15% (2D)). 2D-IR also allows accurate differentiation between melting transitions and generic heating effects observed in the more thermally-stable Ca2+-bound (holo-) CaM. The functionally-relevant random-coil-α-helix transition associated with Ca2+ uptake that involves just 7-8 out of a total of 148 amino acid residues was clearly detected. Temperature-dependent Molecular Dynamics (MD) simulations show t...","author":[{"dropping-particle":"","family":"Minnes","given":"Lucy","non-dropping-particle":"","parse-names":false,"suffix":""},{"dropping-particle":"","family":"Shaw","given":"Daniel J.","non-dropping-particle":"","parse-names":false,"suffix":""},{"dropping-particle":"","family":"Cossins","given":"Benjamin P.","non-dropping-particle":"","parse-names":false,"suffix":""},{"dropping-particle":"","family":"Donaldson","given":"Paul M.","non-dropping-particle":"","parse-names":false,"suffix":""},{"dropping-particle":"","family":"Greetham","given":"Gregory M.","non-dropping-particle":"","parse-names":false,"suffix":""},{"dropping-particle":"","family":"Towrie","given":"Michael","non-dropping-particle":"","parse-names":false,"suffix":""},{"dropping-particle":"","family":"Parker","given":"Anthony W.","non-dropping-particle":"","parse-names":false,"suffix":""},{"dropping-particle":"","family":"Baker","given":"Matthew J.","non-dropping-particle":"","parse-names":false,"suffix":""},{"dropping-particle":"","family":"Henry","given":"Alistair J.","non-dropping-particle":"","parse-names":false,"suffix":""},{"dropping-particle":"","family":"Taylor","given":"Richard J.","non-dropping-particle":"","parse-names":false,"suffix":""},{"dropping-particle":"","family":"Hunt","given":"Neil T.","non-dropping-particle":"","parse-names":false,"suffix":""}],"container-title":"Analytical Chemistry","id":"ITEM-2","issued":{"date-parts":[["2017"]]},"page":"10898-10906","title":"Quantifying Secondary Structure Changes in Calmodulin Using 2D-IR Spectroscopy","type":"article-journal","volume":"89"},"uris":["http://www.mendeley.com/documents/?uuid=256617e0-7adc-47a0-a443-78aaafd6a2cf"]}],"mendeley":{"formattedCitation":"&lt;sup&gt;42,43&lt;/sup&gt;","plainTextFormattedCitation":"42,43","previouslyFormattedCitation":"&lt;sup&gt;41,42&lt;/sup&gt;"},"properties":{"noteIndex":0},"schema":"https://github.com/citation-style-language/schema/raw/master/csl-citation.json"}</w:instrText>
      </w:r>
      <w:r w:rsidRPr="00680FC0">
        <w:rPr>
          <w:vertAlign w:val="superscript"/>
        </w:rPr>
        <w:fldChar w:fldCharType="separate"/>
      </w:r>
      <w:r w:rsidR="000A3EE3" w:rsidRPr="000A3EE3">
        <w:rPr>
          <w:noProof/>
          <w:vertAlign w:val="superscript"/>
        </w:rPr>
        <w:t>42,43</w:t>
      </w:r>
      <w:r w:rsidRPr="00680FC0">
        <w:rPr>
          <w:vertAlign w:val="superscript"/>
        </w:rPr>
        <w:fldChar w:fldCharType="end"/>
      </w:r>
      <w:r w:rsidRPr="00B62D4A">
        <w:t xml:space="preserve"> This effect does not apply to IR absorption spectroscopy, meaning that the 200 µM estimate is an upper sensitivity limit, based on a single amino acid with no secondary structure amplification of the 2D-IR signal, meaning that the actual detection level may well be lower. This can be substantiated further by comparison with the 2D-IR spectrum of BSA (Fig.5(a)), which indicates a detection limit, based on the spectral noise of ~ 1 mg/mL, indicating that intramolecular coupling can be expected to play a significant role in determining the detection limits for proteins using 2D-IR methods. </w:t>
      </w:r>
    </w:p>
    <w:p w:rsidR="00B62D4A" w:rsidRPr="00B62D4A" w:rsidRDefault="00B62D4A" w:rsidP="00B62D4A">
      <w:pPr>
        <w:pStyle w:val="TAMainText"/>
      </w:pPr>
      <w:r w:rsidRPr="00B62D4A">
        <w:t xml:space="preserve">Assuming a detection range of 1-3 mg/mL in this way enables a survey of likely problems to which 2D-IR may be applied by considering proteinaceous components of serum that either are found at levels greater than 1-3 mg/mL or which show fluctuations at this level in response to a medical condition. Examples include the presence of nephrosis (albumin, α-macroglobulin, transferrin, β-lipoprotein); neoplasms (α1-acid glycoprotein, transferrin); liver disease (haptoglobin, α-macroglobulin, IgG, </w:t>
      </w:r>
      <w:r w:rsidRPr="00B62D4A">
        <w:lastRenderedPageBreak/>
        <w:t>α-lipoprotein) and the presence of inflammatory conditions (α1-acid glycoprotein, α1-antitrypsin, haptoglobin).</w:t>
      </w:r>
      <w:r w:rsidRPr="00680FC0">
        <w:rPr>
          <w:vertAlign w:val="superscript"/>
        </w:rPr>
        <w:fldChar w:fldCharType="begin" w:fldLock="1"/>
      </w:r>
      <w:r w:rsidRPr="00680FC0">
        <w:rPr>
          <w:vertAlign w:val="superscript"/>
        </w:rPr>
        <w:instrText>ADDIN CSL_CITATION {"citationItems":[{"id":"ITEM-1","itemData":{"author":[{"dropping-particle":"","family":"Putnam","given":"Frank W","non-dropping-particle":"","parse-names":false,"suffix":""}],"edition":"2nd Editio","id":"ITEM-1","issued":{"date-parts":[["1975"]]},"publisher":"Academic Press","publisher-place":"London","title":"The Plasma Proteins - Structure, Function and Genetic Control","type":"book"},"uris":["http://www.mendeley.com/documents/?uuid=387637a9-aba4-4383-aceb-5fb3a4f2e769","http://www.mendeley.com/documents/?uuid=a8b4d7a0-7a54-48b9-9502-f619649feb83"]}],"mendeley":{"formattedCitation":"&lt;sup&gt;4&lt;/sup&gt;","plainTextFormattedCitation":"4","previouslyFormattedCitation":"&lt;sup&gt;4&lt;/sup&gt;"},"properties":{"noteIndex":0},"schema":"https://github.com/citation-style-language/schema/raw/master/csl-citation.json"}</w:instrText>
      </w:r>
      <w:r w:rsidRPr="00680FC0">
        <w:rPr>
          <w:vertAlign w:val="superscript"/>
        </w:rPr>
        <w:fldChar w:fldCharType="separate"/>
      </w:r>
      <w:r w:rsidRPr="00680FC0">
        <w:rPr>
          <w:noProof/>
          <w:vertAlign w:val="superscript"/>
        </w:rPr>
        <w:t>4</w:t>
      </w:r>
      <w:r w:rsidRPr="00680FC0">
        <w:rPr>
          <w:vertAlign w:val="superscript"/>
        </w:rPr>
        <w:fldChar w:fldCharType="end"/>
      </w:r>
    </w:p>
    <w:p w:rsidR="005C0DE2" w:rsidRDefault="00B62D4A" w:rsidP="005C0DE2">
      <w:pPr>
        <w:pStyle w:val="TAMainText"/>
      </w:pPr>
      <w:r w:rsidRPr="00B62D4A">
        <w:t xml:space="preserve">A key finding of this work is that the off-diagonal region of the 2D-IR spectrum has a significant role to play in differentiating protein species. Although the </w:t>
      </w:r>
      <w:proofErr w:type="spellStart"/>
      <w:r w:rsidRPr="00B62D4A">
        <w:t>Gly</w:t>
      </w:r>
      <w:proofErr w:type="spellEnd"/>
      <w:r w:rsidRPr="00B62D4A">
        <w:t xml:space="preserve"> content could be observed using just the amide I region (as in iii, above) the sensitivity and specificity was improved significantly when the off-diagonal spectral signature of the molecule was taken into the analysis. It is interesting to note that the 2D-IR spectrum of neat serum (Fig.3(c)) shows considerable off-diagonal structure that has so far not been fully </w:t>
      </w:r>
      <w:proofErr w:type="spellStart"/>
      <w:r w:rsidR="00680FC0" w:rsidRPr="00B62D4A">
        <w:t>characteri</w:t>
      </w:r>
      <w:r w:rsidR="00680FC0">
        <w:t>s</w:t>
      </w:r>
      <w:r w:rsidR="00680FC0" w:rsidRPr="00B62D4A">
        <w:t>ed</w:t>
      </w:r>
      <w:proofErr w:type="spellEnd"/>
      <w:r w:rsidRPr="00B62D4A">
        <w:t>. This offers the scope for a library of 2D spectra of significant proteins, such as those identified above, alongside linear combination fitting, to be used to create a 2D-IR-based protein analysis panel for a serum sample. This will require further development of the 2D-IR methodology</w:t>
      </w:r>
      <w:r w:rsidRPr="000C0CF2">
        <w:rPr>
          <w:color w:val="000000" w:themeColor="text1"/>
        </w:rPr>
        <w:t>, including sample handling and measurement protocols</w:t>
      </w:r>
      <w:r w:rsidRPr="000C0CF2">
        <w:rPr>
          <w:color w:val="000000" w:themeColor="text1"/>
        </w:rPr>
        <w:fldChar w:fldCharType="begin" w:fldLock="1"/>
      </w:r>
      <w:r w:rsidR="000A3EE3" w:rsidRPr="000C0CF2">
        <w:rPr>
          <w:color w:val="000000" w:themeColor="text1"/>
        </w:rPr>
        <w:instrText>ADDIN CSL_CITATION {"citationItems":[{"id":"ITEM-1","itemData":{"DOI":"10.1021/acs.analchem.9b05601","author":[{"dropping-particle":"","family":"Hume","given":"Samantha","non-dropping-particle":"","parse-names":false,"suffix":""},{"dropping-particle":"","family":"Greetham","given":"Gregory M","non-dropping-particle":"","parse-names":false,"suffix":""},{"dropping-particle":"","family":"Donaldson","given":"Paul M","non-dropping-particle":"","parse-names":false,"suffix":""},{"dropping-particle":"","family":"Towrie","given":"Michael","non-dropping-particle":"","parse-names":false,"suffix":""},{"dropping-particle":"","family":"Parker","given":"Anthony W","non-dropping-particle":"","parse-names":false,"suffix":""},{"dropping-particle":"","family":"Baker","given":"Matthew J","non-dropping-particle":"","parse-names":false,"suffix":""},{"dropping-particle":"","family":"Hunt","given":"Neil T","non-dropping-particle":"","parse-names":false,"suffix":""}],"container-title":"Analytical Chemistry","id":"ITEM-1","issued":{"date-parts":[["2020"]]},"page":"3463-3469","title":"2D-Infrared Spectroscopy of Proteins in Water: Using the Solvent Thermal Response as an Internal Standard","type":"article-journal","volume":"92"},"uris":["http://www.mendeley.com/documents/?uuid=4b2b7ad8-da2d-4105-842b-4c32bb8e18f7"]}],"mendeley":{"formattedCitation":"&lt;sup&gt;39&lt;/sup&gt;","plainTextFormattedCitation":"39","previouslyFormattedCitation":"&lt;sup&gt;43&lt;/sup&gt;"},"properties":{"noteIndex":0},"schema":"https://github.com/citation-style-language/schema/raw/master/csl-citation.json"}</w:instrText>
      </w:r>
      <w:r w:rsidRPr="000C0CF2">
        <w:rPr>
          <w:color w:val="000000" w:themeColor="text1"/>
        </w:rPr>
        <w:fldChar w:fldCharType="separate"/>
      </w:r>
      <w:r w:rsidR="000A3EE3" w:rsidRPr="000C0CF2">
        <w:rPr>
          <w:noProof/>
          <w:color w:val="000000" w:themeColor="text1"/>
          <w:vertAlign w:val="superscript"/>
        </w:rPr>
        <w:t>39</w:t>
      </w:r>
      <w:r w:rsidRPr="000C0CF2">
        <w:rPr>
          <w:color w:val="000000" w:themeColor="text1"/>
        </w:rPr>
        <w:fldChar w:fldCharType="end"/>
      </w:r>
      <w:r w:rsidRPr="000C0CF2">
        <w:rPr>
          <w:color w:val="000000" w:themeColor="text1"/>
        </w:rPr>
        <w:t xml:space="preserve"> in order </w:t>
      </w:r>
      <w:r w:rsidRPr="00B62D4A">
        <w:t>to produce methods capable of determining absolute, rather than relative concentrations, but on the basis of this model protein study, the potential for 2D-IR to contribute in a meaningful way seems realistic</w:t>
      </w:r>
      <w:r w:rsidR="005C0DE2">
        <w:t>.</w:t>
      </w:r>
    </w:p>
    <w:p w:rsidR="005C0DE2" w:rsidRDefault="005C0DE2" w:rsidP="005C0DE2">
      <w:pPr>
        <w:pStyle w:val="TAMainText"/>
      </w:pPr>
    </w:p>
    <w:p w:rsidR="005C0DE2" w:rsidRDefault="005C0DE2" w:rsidP="005C0DE2">
      <w:pPr>
        <w:pStyle w:val="TAMainText"/>
        <w:ind w:firstLine="0"/>
      </w:pPr>
      <w:r>
        <w:t>CONCLUSION</w:t>
      </w:r>
    </w:p>
    <w:p w:rsidR="00B62D4A" w:rsidRPr="00B62D4A" w:rsidRDefault="00B62D4A" w:rsidP="005C0DE2">
      <w:pPr>
        <w:pStyle w:val="TAMainText"/>
      </w:pPr>
      <w:r w:rsidRPr="00B62D4A">
        <w:t xml:space="preserve">Using </w:t>
      </w:r>
      <w:proofErr w:type="spellStart"/>
      <w:r w:rsidRPr="00B62D4A">
        <w:t>Gly</w:t>
      </w:r>
      <w:proofErr w:type="spellEnd"/>
      <w:r w:rsidRPr="00B62D4A">
        <w:t xml:space="preserve"> as a model system, we have evaluated the ability of ultrafast 2D-IR spectroscopy to detect and quantify the low-molecular weight proteinaceous components of blood serum. The characteristic network of peaks appearing in the off-diagonal region of the 2D-IR spectrum of </w:t>
      </w:r>
      <w:proofErr w:type="spellStart"/>
      <w:r w:rsidRPr="00B62D4A">
        <w:t>Gly</w:t>
      </w:r>
      <w:proofErr w:type="spellEnd"/>
      <w:r w:rsidRPr="00B62D4A">
        <w:t xml:space="preserve"> allowed spectroscopic separation from that of the dominant protein fraction in a transmission-mode 2D-IR measurement without prior filtration or sample drying. 2D-IR spectra of blood serum samples supplemented with a range of concentrations of </w:t>
      </w:r>
      <w:proofErr w:type="spellStart"/>
      <w:r w:rsidRPr="00B62D4A">
        <w:t>Gly</w:t>
      </w:r>
      <w:proofErr w:type="spellEnd"/>
      <w:r w:rsidRPr="00B62D4A">
        <w:t xml:space="preserve"> were obtained and </w:t>
      </w:r>
      <w:proofErr w:type="spellStart"/>
      <w:r w:rsidRPr="00B62D4A">
        <w:t>analysed</w:t>
      </w:r>
      <w:proofErr w:type="spellEnd"/>
      <w:r w:rsidRPr="00B62D4A">
        <w:t xml:space="preserve"> using three different approaches including the magnitude of diagonal peaks, PCA and spectral fitting to a linear combination of component spectra. The results indicated a detection limit of ~ 3 mg/mL for </w:t>
      </w:r>
      <w:proofErr w:type="spellStart"/>
      <w:r w:rsidRPr="00B62D4A">
        <w:t>Gly</w:t>
      </w:r>
      <w:proofErr w:type="spellEnd"/>
      <w:r w:rsidRPr="00B62D4A">
        <w:t>. Using this result as the basis for a critical assessment of the sensitivity of 2D-IR for measuring the concentrations of amino acids, peptides and proteins present in serum samples showed that, in the case of several clinically relevant diagnostic molecules and their combinations, the potential exists for 2D-IR to complement IR absorption methods because the benefits of the second frequency dimension offered by 2D-IR spectroscopy outweigh the added technical complexity of the measurement.</w:t>
      </w:r>
    </w:p>
    <w:p w:rsidR="00C87316" w:rsidRDefault="00C87316" w:rsidP="00C87316">
      <w:pPr>
        <w:pStyle w:val="TESupportingInfoTitle"/>
      </w:pPr>
      <w:r>
        <w:t>ASSOCIATED CONTENT</w:t>
      </w:r>
      <w:r w:rsidRPr="00BE533F">
        <w:t xml:space="preserve"> </w:t>
      </w:r>
    </w:p>
    <w:p w:rsidR="00C87316" w:rsidRDefault="00C87316" w:rsidP="005C0DE2">
      <w:pPr>
        <w:pStyle w:val="FAAuthorInfoSubtitle"/>
      </w:pPr>
      <w:r w:rsidRPr="00157E12">
        <w:t>Supporting Information</w:t>
      </w:r>
    </w:p>
    <w:p w:rsidR="00C87316" w:rsidRDefault="00C87316" w:rsidP="00C87316">
      <w:pPr>
        <w:pStyle w:val="TESupportingInformation"/>
      </w:pPr>
      <w:r>
        <w:t>The Supporting Information is available free of charge on the ACS Publications website.</w:t>
      </w:r>
    </w:p>
    <w:p w:rsidR="00C87316" w:rsidRDefault="00C87316" w:rsidP="00C87316">
      <w:pPr>
        <w:pStyle w:val="TESupportingInformation"/>
      </w:pPr>
    </w:p>
    <w:p w:rsidR="00C87316" w:rsidRDefault="005C0DE2" w:rsidP="00C87316">
      <w:pPr>
        <w:pStyle w:val="TESupportingInformation"/>
      </w:pPr>
      <w:r>
        <w:t xml:space="preserve">FTIR </w:t>
      </w:r>
      <w:r w:rsidR="009F2683">
        <w:t xml:space="preserve">analysis </w:t>
      </w:r>
      <w:r>
        <w:t>and further LCA analysis.</w:t>
      </w:r>
      <w:r w:rsidR="00C87316">
        <w:t xml:space="preserve"> (</w:t>
      </w:r>
      <w:r>
        <w:t>doc</w:t>
      </w:r>
      <w:r w:rsidR="00C87316">
        <w:t>)</w:t>
      </w:r>
    </w:p>
    <w:p w:rsidR="00C87316" w:rsidRDefault="00C87316" w:rsidP="00C87316">
      <w:pPr>
        <w:pStyle w:val="AuthorInformationTitle"/>
      </w:pPr>
      <w:r>
        <w:t>AUTHOR INFORMATION</w:t>
      </w:r>
    </w:p>
    <w:p w:rsidR="00C87316" w:rsidRDefault="00C87316" w:rsidP="005C0DE2">
      <w:pPr>
        <w:pStyle w:val="FAAuthorInfoSubtitle"/>
      </w:pPr>
      <w:r>
        <w:t>Corresponding Author</w:t>
      </w:r>
    </w:p>
    <w:p w:rsidR="008C06B5" w:rsidRPr="008C06B5" w:rsidRDefault="00C87316" w:rsidP="00C87316">
      <w:pPr>
        <w:pStyle w:val="StyleFACorrespondingAuthorFootnote7pt"/>
        <w:rPr>
          <w:vertAlign w:val="superscript"/>
        </w:rPr>
      </w:pPr>
      <w:r w:rsidRPr="003E5207">
        <w:t xml:space="preserve">* </w:t>
      </w:r>
      <w:r>
        <w:t>Samantha H. Rutherford</w:t>
      </w:r>
      <w:r w:rsidR="008C06B5" w:rsidRPr="008C06B5">
        <w:rPr>
          <w:vertAlign w:val="superscript"/>
        </w:rPr>
        <w:t>†</w:t>
      </w:r>
    </w:p>
    <w:p w:rsidR="00C87316" w:rsidRDefault="00C87316" w:rsidP="00C87316">
      <w:pPr>
        <w:pStyle w:val="StyleFACorrespondingAuthorFootnote7pt"/>
      </w:pPr>
      <w:r>
        <w:t>Email: samantha.hume-rutherford@strath.ac.uk</w:t>
      </w:r>
    </w:p>
    <w:p w:rsidR="00C87316" w:rsidRDefault="00C87316" w:rsidP="00C87316">
      <w:pPr>
        <w:pStyle w:val="FAAuthorInfoSubtitle"/>
      </w:pPr>
      <w:r>
        <w:t>Present Addresses</w:t>
      </w:r>
    </w:p>
    <w:p w:rsidR="00C87316" w:rsidRPr="00635F27" w:rsidRDefault="00C87316" w:rsidP="00C87316">
      <w:pPr>
        <w:pStyle w:val="BCAuthorAddress"/>
      </w:pPr>
      <w:r w:rsidRPr="00B71491">
        <w:t>†</w:t>
      </w:r>
      <w:proofErr w:type="spellStart"/>
      <w:r w:rsidRPr="00635F27">
        <w:t>WestCHEM</w:t>
      </w:r>
      <w:proofErr w:type="spellEnd"/>
      <w:r w:rsidRPr="00635F27">
        <w:t>, Department of Pure and Applied Chemistry, University of Strathclyde, Technology and Innovation Centre, 99 George Street, Glasgow, G1 1RD, UK</w:t>
      </w:r>
    </w:p>
    <w:p w:rsidR="00C87316" w:rsidRDefault="00C87316" w:rsidP="00C87316">
      <w:pPr>
        <w:pStyle w:val="FAAuthorInfoSubtitle"/>
      </w:pPr>
      <w:r>
        <w:t>Author Contributions</w:t>
      </w:r>
    </w:p>
    <w:p w:rsidR="00C87316" w:rsidRDefault="00C87316" w:rsidP="00C87316">
      <w:pPr>
        <w:pStyle w:val="StyleFACorrespondingAuthorFootnote7pt"/>
        <w:rPr>
          <w:rStyle w:val="FAAuthorInfoSubtitleChar"/>
        </w:rPr>
      </w:pPr>
      <w:r>
        <w:t>The manuscript was written through contributions of all authors</w:t>
      </w:r>
      <w:r>
        <w:rPr>
          <w:rStyle w:val="FAAuthorInfoSubtitleChar"/>
        </w:rPr>
        <w:t xml:space="preserve"> </w:t>
      </w:r>
    </w:p>
    <w:p w:rsidR="00C87316" w:rsidRDefault="00C87316" w:rsidP="00C87316">
      <w:pPr>
        <w:pStyle w:val="TDAckTitle"/>
      </w:pPr>
      <w:r w:rsidRPr="00A71C00">
        <w:t>ACKNOWLEDGMENT</w:t>
      </w:r>
      <w:r w:rsidRPr="00BE533F">
        <w:t xml:space="preserve"> </w:t>
      </w:r>
    </w:p>
    <w:p w:rsidR="00EF725C" w:rsidRDefault="00C87316" w:rsidP="00C87316">
      <w:pPr>
        <w:pStyle w:val="TDAcknowledgments"/>
      </w:pPr>
      <w:r w:rsidRPr="009C0B84">
        <w:t xml:space="preserve">Funding is gratefully acknowledged from </w:t>
      </w:r>
      <w:r w:rsidR="00EF725C" w:rsidRPr="00EF725C">
        <w:t xml:space="preserve">EPSRC </w:t>
      </w:r>
      <w:r w:rsidR="00EF725C">
        <w:t>(</w:t>
      </w:r>
      <w:r w:rsidR="00EF725C" w:rsidRPr="00EF725C">
        <w:t>EP/T014318/1 and EP/T014245/1</w:t>
      </w:r>
      <w:r w:rsidR="00EF725C">
        <w:t xml:space="preserve">) and </w:t>
      </w:r>
      <w:r w:rsidRPr="009C0B84">
        <w:t xml:space="preserve">STFC for </w:t>
      </w:r>
      <w:proofErr w:type="spellStart"/>
      <w:r w:rsidRPr="009C0B84">
        <w:t>programme</w:t>
      </w:r>
      <w:proofErr w:type="spellEnd"/>
      <w:r w:rsidRPr="009C0B84">
        <w:t xml:space="preserve"> access to Central Laser Facility systems.</w:t>
      </w:r>
      <w:r w:rsidR="00EF725C">
        <w:t xml:space="preserve"> </w:t>
      </w:r>
    </w:p>
    <w:p w:rsidR="00C87316" w:rsidRPr="009C0B84" w:rsidRDefault="00C87316" w:rsidP="00C87316">
      <w:pPr>
        <w:pStyle w:val="TDAcknowledgments"/>
      </w:pPr>
    </w:p>
    <w:p w:rsidR="00C87316" w:rsidRPr="00101D1F" w:rsidRDefault="00C87316" w:rsidP="00C87316">
      <w:pPr>
        <w:pStyle w:val="TDAckTitle"/>
      </w:pPr>
      <w:r>
        <w:t>REFERENCES</w:t>
      </w:r>
    </w:p>
    <w:p w:rsidR="000A3EE3" w:rsidRPr="000A3EE3" w:rsidRDefault="00C87316" w:rsidP="000A3EE3">
      <w:pPr>
        <w:widowControl w:val="0"/>
        <w:autoSpaceDE w:val="0"/>
        <w:autoSpaceDN w:val="0"/>
        <w:adjustRightInd w:val="0"/>
        <w:spacing w:after="0"/>
        <w:ind w:left="640" w:hanging="640"/>
        <w:rPr>
          <w:rFonts w:ascii="Arno Pro" w:hAnsi="Arno Pro"/>
          <w:noProof/>
          <w:sz w:val="16"/>
        </w:rPr>
      </w:pPr>
      <w:r>
        <w:rPr>
          <w:rFonts w:asciiTheme="minorHAnsi" w:hAnsiTheme="minorHAnsi" w:cstheme="minorHAnsi"/>
          <w:b/>
          <w:i/>
          <w:shd w:val="clear" w:color="auto" w:fill="FFFFFF"/>
        </w:rPr>
        <w:fldChar w:fldCharType="begin" w:fldLock="1"/>
      </w:r>
      <w:r>
        <w:rPr>
          <w:rFonts w:asciiTheme="minorHAnsi" w:hAnsiTheme="minorHAnsi" w:cstheme="minorHAnsi"/>
          <w:b/>
          <w:i/>
          <w:shd w:val="clear" w:color="auto" w:fill="FFFFFF"/>
        </w:rPr>
        <w:instrText xml:space="preserve">ADDIN Mendeley Bibliography CSL_BIBLIOGRAPHY </w:instrText>
      </w:r>
      <w:r>
        <w:rPr>
          <w:rFonts w:asciiTheme="minorHAnsi" w:hAnsiTheme="minorHAnsi" w:cstheme="minorHAnsi"/>
          <w:b/>
          <w:i/>
          <w:shd w:val="clear" w:color="auto" w:fill="FFFFFF"/>
        </w:rPr>
        <w:fldChar w:fldCharType="separate"/>
      </w:r>
      <w:r w:rsidR="000A3EE3" w:rsidRPr="000A3EE3">
        <w:rPr>
          <w:rFonts w:ascii="Arno Pro" w:hAnsi="Arno Pro"/>
          <w:noProof/>
          <w:sz w:val="16"/>
        </w:rPr>
        <w:t xml:space="preserve">(1) </w:t>
      </w:r>
      <w:r w:rsidR="000A3EE3" w:rsidRPr="000A3EE3">
        <w:rPr>
          <w:rFonts w:ascii="Arno Pro" w:hAnsi="Arno Pro"/>
          <w:noProof/>
          <w:sz w:val="16"/>
        </w:rPr>
        <w:tab/>
        <w:t xml:space="preserve">Baker, M. J.; Sockalingum, G. D.; Hughes, C.; Lukaszewski, R. A. Developing and Understanding Biofluid Vibrational Spectroscopy: A Critical Review. </w:t>
      </w:r>
      <w:r w:rsidR="000A3EE3" w:rsidRPr="000A3EE3">
        <w:rPr>
          <w:rFonts w:ascii="Arno Pro" w:hAnsi="Arno Pro"/>
          <w:i/>
          <w:iCs/>
          <w:noProof/>
          <w:sz w:val="16"/>
        </w:rPr>
        <w:t>Chem. Soc. Rev.</w:t>
      </w:r>
      <w:r w:rsidR="000A3EE3" w:rsidRPr="000A3EE3">
        <w:rPr>
          <w:rFonts w:ascii="Arno Pro" w:hAnsi="Arno Pro"/>
          <w:noProof/>
          <w:sz w:val="16"/>
        </w:rPr>
        <w:t xml:space="preserve"> </w:t>
      </w:r>
      <w:r w:rsidR="000A3EE3" w:rsidRPr="000A3EE3">
        <w:rPr>
          <w:rFonts w:ascii="Arno Pro" w:hAnsi="Arno Pro"/>
          <w:b/>
          <w:bCs/>
          <w:noProof/>
          <w:sz w:val="16"/>
        </w:rPr>
        <w:t>2016</w:t>
      </w:r>
      <w:r w:rsidR="000A3EE3" w:rsidRPr="000A3EE3">
        <w:rPr>
          <w:rFonts w:ascii="Arno Pro" w:hAnsi="Arno Pro"/>
          <w:noProof/>
          <w:sz w:val="16"/>
        </w:rPr>
        <w:t xml:space="preserve">, </w:t>
      </w:r>
      <w:r w:rsidR="000A3EE3" w:rsidRPr="000A3EE3">
        <w:rPr>
          <w:rFonts w:ascii="Arno Pro" w:hAnsi="Arno Pro"/>
          <w:i/>
          <w:iCs/>
          <w:noProof/>
          <w:sz w:val="16"/>
        </w:rPr>
        <w:t>45</w:t>
      </w:r>
      <w:r w:rsidR="000A3EE3" w:rsidRPr="000A3EE3">
        <w:rPr>
          <w:rFonts w:ascii="Arno Pro" w:hAnsi="Arno Pro"/>
          <w:noProof/>
          <w:sz w:val="16"/>
        </w:rPr>
        <w:t xml:space="preserve">, 1803–1818.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 </w:t>
      </w:r>
      <w:r w:rsidRPr="000A3EE3">
        <w:rPr>
          <w:rFonts w:ascii="Arno Pro" w:hAnsi="Arno Pro"/>
          <w:noProof/>
          <w:sz w:val="16"/>
        </w:rPr>
        <w:tab/>
        <w:t xml:space="preserve">Petricoin, E. F.; Belluco, C.; Araujo, R. P.; Liotta, L. A. The Blood Peptidome: A Higher Dimension of Information Content for Cancer Biomarker Discovery. </w:t>
      </w:r>
      <w:r w:rsidRPr="000A3EE3">
        <w:rPr>
          <w:rFonts w:ascii="Arno Pro" w:hAnsi="Arno Pro"/>
          <w:i/>
          <w:iCs/>
          <w:noProof/>
          <w:sz w:val="16"/>
        </w:rPr>
        <w:t>Nat. Rev. Cancer</w:t>
      </w:r>
      <w:r w:rsidRPr="000A3EE3">
        <w:rPr>
          <w:rFonts w:ascii="Arno Pro" w:hAnsi="Arno Pro"/>
          <w:noProof/>
          <w:sz w:val="16"/>
        </w:rPr>
        <w:t xml:space="preserve"> </w:t>
      </w:r>
      <w:r w:rsidRPr="000A3EE3">
        <w:rPr>
          <w:rFonts w:ascii="Arno Pro" w:hAnsi="Arno Pro"/>
          <w:b/>
          <w:bCs/>
          <w:noProof/>
          <w:sz w:val="16"/>
        </w:rPr>
        <w:t>2006</w:t>
      </w:r>
      <w:r w:rsidRPr="000A3EE3">
        <w:rPr>
          <w:rFonts w:ascii="Arno Pro" w:hAnsi="Arno Pro"/>
          <w:noProof/>
          <w:sz w:val="16"/>
        </w:rPr>
        <w:t xml:space="preserve">, </w:t>
      </w:r>
      <w:r w:rsidRPr="000A3EE3">
        <w:rPr>
          <w:rFonts w:ascii="Arno Pro" w:hAnsi="Arno Pro"/>
          <w:i/>
          <w:iCs/>
          <w:noProof/>
          <w:sz w:val="16"/>
        </w:rPr>
        <w:t>6</w:t>
      </w:r>
      <w:r w:rsidRPr="000A3EE3">
        <w:rPr>
          <w:rFonts w:ascii="Arno Pro" w:hAnsi="Arno Pro"/>
          <w:noProof/>
          <w:sz w:val="16"/>
        </w:rPr>
        <w:t>, 961–967.</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 </w:t>
      </w:r>
      <w:r w:rsidRPr="000A3EE3">
        <w:rPr>
          <w:rFonts w:ascii="Arno Pro" w:hAnsi="Arno Pro"/>
          <w:noProof/>
          <w:sz w:val="16"/>
        </w:rPr>
        <w:tab/>
        <w:t xml:space="preserve">Hu, S.; Loo, J.; Wong, D. Human Body Fluid Proteome Analysis. </w:t>
      </w:r>
      <w:r w:rsidRPr="000A3EE3">
        <w:rPr>
          <w:rFonts w:ascii="Arno Pro" w:hAnsi="Arno Pro"/>
          <w:i/>
          <w:iCs/>
          <w:noProof/>
          <w:sz w:val="16"/>
        </w:rPr>
        <w:t>Proteomics</w:t>
      </w:r>
      <w:r w:rsidRPr="000A3EE3">
        <w:rPr>
          <w:rFonts w:ascii="Arno Pro" w:hAnsi="Arno Pro"/>
          <w:noProof/>
          <w:sz w:val="16"/>
        </w:rPr>
        <w:t xml:space="preserve">. 2006, pp 6326–6353.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(4) </w:t>
      </w:r>
      <w:r w:rsidRPr="000A3EE3">
        <w:rPr>
          <w:rFonts w:ascii="Arno Pro" w:hAnsi="Arno Pro"/>
          <w:noProof/>
          <w:sz w:val="16"/>
        </w:rPr>
        <w:tab/>
        <w:t xml:space="preserve">Putnam, F. W. </w:t>
      </w:r>
      <w:r w:rsidRPr="000A3EE3">
        <w:rPr>
          <w:rFonts w:ascii="Arno Pro" w:hAnsi="Arno Pro"/>
          <w:i/>
          <w:iCs/>
          <w:noProof/>
          <w:sz w:val="16"/>
        </w:rPr>
        <w:t>The Plasma Proteins - Structure, Function and Genetic Control</w:t>
      </w:r>
      <w:r w:rsidRPr="000A3EE3">
        <w:rPr>
          <w:rFonts w:ascii="Arno Pro" w:hAnsi="Arno Pro"/>
          <w:noProof/>
          <w:sz w:val="16"/>
        </w:rPr>
        <w:t>, 2nd Editio.; Academic Press: London, 1975.</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(5) </w:t>
      </w:r>
      <w:r w:rsidRPr="000A3EE3">
        <w:rPr>
          <w:rFonts w:ascii="Arno Pro" w:hAnsi="Arno Pro"/>
          <w:noProof/>
          <w:sz w:val="16"/>
        </w:rPr>
        <w:tab/>
        <w:t xml:space="preserve">Katie Crosley, L.; Duthie, S. J.; Polley, A. C.; Bouwman, F. G.; Heim, C.; Mulholland, F.; Horgan, G.; Johnson, I. T.; Mariman, E. C.; Elliott, R. M.; Daniel, H.; De Roos, B. Variation in Protein Levels Obtained from Human Blood Cells and Biofluids for Platelet, Peripheral Blood Mononuclear Cell, Plasma, Urine and Saliva Proteomics. </w:t>
      </w:r>
      <w:r w:rsidRPr="000A3EE3">
        <w:rPr>
          <w:rFonts w:ascii="Arno Pro" w:hAnsi="Arno Pro"/>
          <w:i/>
          <w:iCs/>
          <w:noProof/>
          <w:sz w:val="16"/>
        </w:rPr>
        <w:t>Genes Nutr.</w:t>
      </w:r>
      <w:r w:rsidRPr="000A3EE3">
        <w:rPr>
          <w:rFonts w:ascii="Arno Pro" w:hAnsi="Arno Pro"/>
          <w:noProof/>
          <w:sz w:val="16"/>
        </w:rPr>
        <w:t xml:space="preserve"> </w:t>
      </w:r>
      <w:r w:rsidRPr="000A3EE3">
        <w:rPr>
          <w:rFonts w:ascii="Arno Pro" w:hAnsi="Arno Pro"/>
          <w:b/>
          <w:bCs/>
          <w:noProof/>
          <w:sz w:val="16"/>
        </w:rPr>
        <w:t>2009</w:t>
      </w:r>
      <w:r w:rsidRPr="000A3EE3">
        <w:rPr>
          <w:rFonts w:ascii="Arno Pro" w:hAnsi="Arno Pro"/>
          <w:noProof/>
          <w:sz w:val="16"/>
        </w:rPr>
        <w:t xml:space="preserve">, </w:t>
      </w:r>
      <w:r w:rsidRPr="000A3EE3">
        <w:rPr>
          <w:rFonts w:ascii="Arno Pro" w:hAnsi="Arno Pro"/>
          <w:i/>
          <w:iCs/>
          <w:noProof/>
          <w:sz w:val="16"/>
        </w:rPr>
        <w:t>4</w:t>
      </w:r>
      <w:r w:rsidRPr="000A3EE3">
        <w:rPr>
          <w:rFonts w:ascii="Arno Pro" w:hAnsi="Arno Pro"/>
          <w:noProof/>
          <w:sz w:val="16"/>
        </w:rPr>
        <w:t>, 95–102.</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(6) </w:t>
      </w:r>
      <w:r w:rsidRPr="000A3EE3">
        <w:rPr>
          <w:rFonts w:ascii="Arno Pro" w:hAnsi="Arno Pro"/>
          <w:noProof/>
          <w:sz w:val="16"/>
        </w:rPr>
        <w:tab/>
        <w:t xml:space="preserve">Busher, J. T. Serum Albumin and Globulins. In </w:t>
      </w:r>
      <w:r w:rsidRPr="000A3EE3">
        <w:rPr>
          <w:rFonts w:ascii="Arno Pro" w:hAnsi="Arno Pro"/>
          <w:i/>
          <w:iCs/>
          <w:noProof/>
          <w:sz w:val="16"/>
        </w:rPr>
        <w:t>Clinical Methods: The History, Physical, and Laboratory Examinations.</w:t>
      </w:r>
      <w:r w:rsidRPr="000A3EE3">
        <w:rPr>
          <w:rFonts w:ascii="Arno Pro" w:hAnsi="Arno Pro"/>
          <w:noProof/>
          <w:sz w:val="16"/>
        </w:rPr>
        <w:t>; Hurst, J. ., Walker, H. ., Hall, W. ., Eds.; Butterworths: Boston, 1990; pp 497–500.</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(7) </w:t>
      </w:r>
      <w:r w:rsidRPr="000A3EE3">
        <w:rPr>
          <w:rFonts w:ascii="Arno Pro" w:hAnsi="Arno Pro"/>
          <w:noProof/>
          <w:sz w:val="16"/>
        </w:rPr>
        <w:tab/>
        <w:t xml:space="preserve">Tirumalai, R. S.; Chan, K. C.; Prieto, D. A.; Issaq, H. J.; Conrads, T. P.; Veenstra, T. D. Characterization of the Low Molecular Weight Human Serum Proteome. </w:t>
      </w:r>
      <w:r w:rsidRPr="000A3EE3">
        <w:rPr>
          <w:rFonts w:ascii="Arno Pro" w:hAnsi="Arno Pro"/>
          <w:i/>
          <w:iCs/>
          <w:noProof/>
          <w:sz w:val="16"/>
        </w:rPr>
        <w:t>Mol. Cell. Proteomics</w:t>
      </w:r>
      <w:r w:rsidRPr="000A3EE3">
        <w:rPr>
          <w:rFonts w:ascii="Arno Pro" w:hAnsi="Arno Pro"/>
          <w:noProof/>
          <w:sz w:val="16"/>
        </w:rPr>
        <w:t xml:space="preserve"> </w:t>
      </w:r>
      <w:r w:rsidRPr="000A3EE3">
        <w:rPr>
          <w:rFonts w:ascii="Arno Pro" w:hAnsi="Arno Pro"/>
          <w:b/>
          <w:bCs/>
          <w:noProof/>
          <w:sz w:val="16"/>
        </w:rPr>
        <w:t>2003</w:t>
      </w:r>
      <w:r w:rsidRPr="000A3EE3">
        <w:rPr>
          <w:rFonts w:ascii="Arno Pro" w:hAnsi="Arno Pro"/>
          <w:noProof/>
          <w:sz w:val="16"/>
        </w:rPr>
        <w:t xml:space="preserve">, </w:t>
      </w:r>
      <w:r w:rsidRPr="000A3EE3">
        <w:rPr>
          <w:rFonts w:ascii="Arno Pro" w:hAnsi="Arno Pro"/>
          <w:i/>
          <w:iCs/>
          <w:noProof/>
          <w:sz w:val="16"/>
        </w:rPr>
        <w:t>2</w:t>
      </w:r>
      <w:r w:rsidRPr="000A3EE3">
        <w:rPr>
          <w:rFonts w:ascii="Arno Pro" w:hAnsi="Arno Pro"/>
          <w:noProof/>
          <w:sz w:val="16"/>
        </w:rPr>
        <w:t xml:space="preserve">, 1096–1103.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(8) </w:t>
      </w:r>
      <w:r w:rsidRPr="000A3EE3">
        <w:rPr>
          <w:rFonts w:ascii="Arno Pro" w:hAnsi="Arno Pro"/>
          <w:noProof/>
          <w:sz w:val="16"/>
        </w:rPr>
        <w:tab/>
        <w:t xml:space="preserve">Naseer, K.; Ali, S.; Qazi, J. ATR-FTIR Spectroscopy as the Future of Diagnostics: A Systematic Review of the Approach Using Bio-Fluids. </w:t>
      </w:r>
      <w:r w:rsidRPr="000A3EE3">
        <w:rPr>
          <w:rFonts w:ascii="Arno Pro" w:hAnsi="Arno Pro"/>
          <w:i/>
          <w:iCs/>
          <w:noProof/>
          <w:sz w:val="16"/>
        </w:rPr>
        <w:t>Appl. Spectrosc. Rev.</w:t>
      </w:r>
      <w:r w:rsidRPr="000A3EE3">
        <w:rPr>
          <w:rFonts w:ascii="Arno Pro" w:hAnsi="Arno Pro"/>
          <w:noProof/>
          <w:sz w:val="16"/>
        </w:rPr>
        <w:t xml:space="preserve"> </w:t>
      </w:r>
      <w:r w:rsidRPr="000A3EE3">
        <w:rPr>
          <w:rFonts w:ascii="Arno Pro" w:hAnsi="Arno Pro"/>
          <w:b/>
          <w:bCs/>
          <w:noProof/>
          <w:sz w:val="16"/>
        </w:rPr>
        <w:t>2020</w:t>
      </w:r>
      <w:r w:rsidRPr="000A3EE3">
        <w:rPr>
          <w:rFonts w:ascii="Arno Pro" w:hAnsi="Arno Pro"/>
          <w:noProof/>
          <w:sz w:val="16"/>
        </w:rPr>
        <w:t xml:space="preserve">, </w:t>
      </w:r>
      <w:r w:rsidRPr="000A3EE3">
        <w:rPr>
          <w:rFonts w:ascii="Arno Pro" w:hAnsi="Arno Pro"/>
          <w:i/>
          <w:iCs/>
          <w:noProof/>
          <w:sz w:val="16"/>
        </w:rPr>
        <w:t>55</w:t>
      </w:r>
      <w:r w:rsidR="00AA4C2C">
        <w:rPr>
          <w:rFonts w:ascii="Arno Pro" w:hAnsi="Arno Pro"/>
          <w:noProof/>
          <w:sz w:val="16"/>
        </w:rPr>
        <w:t>,</w:t>
      </w:r>
      <w:r w:rsidRPr="000A3EE3">
        <w:rPr>
          <w:rFonts w:ascii="Arno Pro" w:hAnsi="Arno Pro"/>
          <w:noProof/>
          <w:sz w:val="16"/>
        </w:rPr>
        <w:t xml:space="preserve"> 1–13.</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(9) </w:t>
      </w:r>
      <w:r w:rsidRPr="000A3EE3">
        <w:rPr>
          <w:rFonts w:ascii="Arno Pro" w:hAnsi="Arno Pro"/>
          <w:noProof/>
          <w:sz w:val="16"/>
        </w:rPr>
        <w:tab/>
        <w:t xml:space="preserve">Isensee, K.; Kröger-Lui, N.; Petrich, W. Biomedical Applications of Mid-Infrared Quantum Cascade Lasers-a Review. </w:t>
      </w:r>
      <w:r w:rsidRPr="000A3EE3">
        <w:rPr>
          <w:rFonts w:ascii="Arno Pro" w:hAnsi="Arno Pro"/>
          <w:i/>
          <w:iCs/>
          <w:noProof/>
          <w:sz w:val="16"/>
        </w:rPr>
        <w:t>Analyst</w:t>
      </w:r>
      <w:r w:rsidRPr="000A3EE3">
        <w:rPr>
          <w:rFonts w:ascii="Arno Pro" w:hAnsi="Arno Pro"/>
          <w:noProof/>
          <w:sz w:val="16"/>
        </w:rPr>
        <w:t xml:space="preserve"> </w:t>
      </w:r>
      <w:r w:rsidRPr="000A3EE3">
        <w:rPr>
          <w:rFonts w:ascii="Arno Pro" w:hAnsi="Arno Pro"/>
          <w:b/>
          <w:bCs/>
          <w:noProof/>
          <w:sz w:val="16"/>
        </w:rPr>
        <w:t>2018</w:t>
      </w:r>
      <w:r w:rsidRPr="000A3EE3">
        <w:rPr>
          <w:rFonts w:ascii="Arno Pro" w:hAnsi="Arno Pro"/>
          <w:noProof/>
          <w:sz w:val="16"/>
        </w:rPr>
        <w:t xml:space="preserve">, </w:t>
      </w:r>
      <w:r w:rsidRPr="000A3EE3">
        <w:rPr>
          <w:rFonts w:ascii="Arno Pro" w:hAnsi="Arno Pro"/>
          <w:i/>
          <w:iCs/>
          <w:noProof/>
          <w:sz w:val="16"/>
        </w:rPr>
        <w:t>143</w:t>
      </w:r>
      <w:r w:rsidRPr="000A3EE3">
        <w:rPr>
          <w:rFonts w:ascii="Arno Pro" w:hAnsi="Arno Pro"/>
          <w:noProof/>
          <w:sz w:val="16"/>
        </w:rPr>
        <w:t xml:space="preserve">, 5888–5911.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(10) </w:t>
      </w:r>
      <w:r w:rsidRPr="000A3EE3">
        <w:rPr>
          <w:rFonts w:ascii="Arno Pro" w:hAnsi="Arno Pro"/>
          <w:noProof/>
          <w:sz w:val="16"/>
        </w:rPr>
        <w:tab/>
        <w:t xml:space="preserve">Perez-Guaita, D.; Heraud, P.; Marzec, K. M.; De La Guardia, M.; Kiupel, M.; Wood, B. R. Comparison of Transflection and Transmission FTIR Imaging Measurements Performed on Differentially Fixed Tissue Sections. </w:t>
      </w:r>
      <w:r w:rsidRPr="000A3EE3">
        <w:rPr>
          <w:rFonts w:ascii="Arno Pro" w:hAnsi="Arno Pro"/>
          <w:i/>
          <w:iCs/>
          <w:noProof/>
          <w:sz w:val="16"/>
        </w:rPr>
        <w:t>Analyst</w:t>
      </w:r>
      <w:r w:rsidRPr="000A3EE3">
        <w:rPr>
          <w:rFonts w:ascii="Arno Pro" w:hAnsi="Arno Pro"/>
          <w:noProof/>
          <w:sz w:val="16"/>
        </w:rPr>
        <w:t xml:space="preserve"> </w:t>
      </w:r>
      <w:r w:rsidRPr="000A3EE3">
        <w:rPr>
          <w:rFonts w:ascii="Arno Pro" w:hAnsi="Arno Pro"/>
          <w:b/>
          <w:bCs/>
          <w:noProof/>
          <w:sz w:val="16"/>
        </w:rPr>
        <w:t>2015</w:t>
      </w:r>
      <w:r w:rsidRPr="000A3EE3">
        <w:rPr>
          <w:rFonts w:ascii="Arno Pro" w:hAnsi="Arno Pro"/>
          <w:noProof/>
          <w:sz w:val="16"/>
        </w:rPr>
        <w:t xml:space="preserve">, </w:t>
      </w:r>
      <w:r w:rsidRPr="000A3EE3">
        <w:rPr>
          <w:rFonts w:ascii="Arno Pro" w:hAnsi="Arno Pro"/>
          <w:i/>
          <w:iCs/>
          <w:noProof/>
          <w:sz w:val="16"/>
        </w:rPr>
        <w:t>140</w:t>
      </w:r>
      <w:r w:rsidRPr="000A3EE3">
        <w:rPr>
          <w:rFonts w:ascii="Arno Pro" w:hAnsi="Arno Pro"/>
          <w:noProof/>
          <w:sz w:val="16"/>
        </w:rPr>
        <w:t>, 2376–2382</w:t>
      </w:r>
      <w:r w:rsidR="00AA4C2C">
        <w:rPr>
          <w:rFonts w:ascii="Arno Pro" w:hAnsi="Arno Pro"/>
          <w:noProof/>
          <w:sz w:val="16"/>
        </w:rPr>
        <w:t>.</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(11) </w:t>
      </w:r>
      <w:r w:rsidRPr="000A3EE3">
        <w:rPr>
          <w:rFonts w:ascii="Arno Pro" w:hAnsi="Arno Pro"/>
          <w:noProof/>
          <w:sz w:val="16"/>
        </w:rPr>
        <w:tab/>
        <w:t xml:space="preserve">Bonnier, F.; Baker, M. J.; Byrne, H. J. Improved Protocols for Vibrational Spectroscopic Analysis of Body Fluids. </w:t>
      </w:r>
      <w:r w:rsidRPr="000A3EE3">
        <w:rPr>
          <w:rFonts w:ascii="Arno Pro" w:hAnsi="Arno Pro"/>
          <w:i/>
          <w:iCs/>
          <w:noProof/>
          <w:sz w:val="16"/>
        </w:rPr>
        <w:t>J. Biophotonics</w:t>
      </w:r>
      <w:r w:rsidRPr="000A3EE3">
        <w:rPr>
          <w:rFonts w:ascii="Arno Pro" w:hAnsi="Arno Pro"/>
          <w:noProof/>
          <w:sz w:val="16"/>
        </w:rPr>
        <w:t xml:space="preserve"> </w:t>
      </w:r>
      <w:r w:rsidRPr="000A3EE3">
        <w:rPr>
          <w:rFonts w:ascii="Arno Pro" w:hAnsi="Arno Pro"/>
          <w:b/>
          <w:bCs/>
          <w:noProof/>
          <w:sz w:val="16"/>
        </w:rPr>
        <w:t>2014</w:t>
      </w:r>
      <w:r w:rsidRPr="000A3EE3">
        <w:rPr>
          <w:rFonts w:ascii="Arno Pro" w:hAnsi="Arno Pro"/>
          <w:noProof/>
          <w:sz w:val="16"/>
        </w:rPr>
        <w:t xml:space="preserve">, </w:t>
      </w:r>
      <w:r w:rsidRPr="000A3EE3">
        <w:rPr>
          <w:rFonts w:ascii="Arno Pro" w:hAnsi="Arno Pro"/>
          <w:i/>
          <w:iCs/>
          <w:noProof/>
          <w:sz w:val="16"/>
        </w:rPr>
        <w:t>7</w:t>
      </w:r>
      <w:r w:rsidRPr="000A3EE3">
        <w:rPr>
          <w:rFonts w:ascii="Arno Pro" w:hAnsi="Arno Pro"/>
          <w:noProof/>
          <w:sz w:val="16"/>
        </w:rPr>
        <w:t>, 167–179.</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(12) </w:t>
      </w:r>
      <w:r w:rsidRPr="000A3EE3">
        <w:rPr>
          <w:rFonts w:ascii="Arno Pro" w:hAnsi="Arno Pro"/>
          <w:noProof/>
          <w:sz w:val="16"/>
        </w:rPr>
        <w:tab/>
        <w:t xml:space="preserve">Butler, H. J.; Brennan, P. M.; Cameron, J. M.; Finlayson, D.; Hegarty, M. G.; Jenkinson, M. D.; Palmer, D. S.; Smith, B. R.; Baker, M. J. Development of High-Throughput ATR-FTIR Technology for Rapid Triage of Brain Cancer. </w:t>
      </w:r>
      <w:r w:rsidRPr="000A3EE3">
        <w:rPr>
          <w:rFonts w:ascii="Arno Pro" w:hAnsi="Arno Pro"/>
          <w:i/>
          <w:iCs/>
          <w:noProof/>
          <w:sz w:val="16"/>
        </w:rPr>
        <w:t>Nat. Commun.</w:t>
      </w:r>
      <w:r w:rsidRPr="000A3EE3">
        <w:rPr>
          <w:rFonts w:ascii="Arno Pro" w:hAnsi="Arno Pro"/>
          <w:noProof/>
          <w:sz w:val="16"/>
        </w:rPr>
        <w:t xml:space="preserve"> </w:t>
      </w:r>
      <w:r w:rsidRPr="000A3EE3">
        <w:rPr>
          <w:rFonts w:ascii="Arno Pro" w:hAnsi="Arno Pro"/>
          <w:b/>
          <w:bCs/>
          <w:noProof/>
          <w:sz w:val="16"/>
        </w:rPr>
        <w:t>2019</w:t>
      </w:r>
      <w:r w:rsidRPr="000A3EE3">
        <w:rPr>
          <w:rFonts w:ascii="Arno Pro" w:hAnsi="Arno Pro"/>
          <w:noProof/>
          <w:sz w:val="16"/>
        </w:rPr>
        <w:t xml:space="preserve">, </w:t>
      </w:r>
      <w:r w:rsidRPr="000A3EE3">
        <w:rPr>
          <w:rFonts w:ascii="Arno Pro" w:hAnsi="Arno Pro"/>
          <w:i/>
          <w:iCs/>
          <w:noProof/>
          <w:sz w:val="16"/>
        </w:rPr>
        <w:t>10</w:t>
      </w:r>
      <w:r w:rsidRPr="000A3EE3">
        <w:rPr>
          <w:rFonts w:ascii="Arno Pro" w:hAnsi="Arno Pro"/>
          <w:noProof/>
          <w:sz w:val="16"/>
        </w:rPr>
        <w:t xml:space="preserve">, 4501.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(13) </w:t>
      </w:r>
      <w:r w:rsidRPr="000A3EE3">
        <w:rPr>
          <w:rFonts w:ascii="Arno Pro" w:hAnsi="Arno Pro"/>
          <w:noProof/>
          <w:sz w:val="16"/>
        </w:rPr>
        <w:tab/>
        <w:t xml:space="preserve">Sheng, D.; Wu, Y.; Wang, X.; Huang, D.; Chen, X.; Liu, X. Comparison of Serum from Gastric Cancer Patients and from Healthy Persons Using FTIR Spectroscopy. </w:t>
      </w:r>
      <w:r w:rsidRPr="000A3EE3">
        <w:rPr>
          <w:rFonts w:ascii="Arno Pro" w:hAnsi="Arno Pro"/>
          <w:i/>
          <w:iCs/>
          <w:noProof/>
          <w:sz w:val="16"/>
        </w:rPr>
        <w:t>Spectrochim. Acta Part A Mol. Biomol. Spectrosc.</w:t>
      </w:r>
      <w:r w:rsidRPr="000A3EE3">
        <w:rPr>
          <w:rFonts w:ascii="Arno Pro" w:hAnsi="Arno Pro"/>
          <w:noProof/>
          <w:sz w:val="16"/>
        </w:rPr>
        <w:t xml:space="preserve"> </w:t>
      </w:r>
      <w:r w:rsidRPr="000A3EE3">
        <w:rPr>
          <w:rFonts w:ascii="Arno Pro" w:hAnsi="Arno Pro"/>
          <w:b/>
          <w:bCs/>
          <w:noProof/>
          <w:sz w:val="16"/>
        </w:rPr>
        <w:t>2013</w:t>
      </w:r>
      <w:r w:rsidRPr="000A3EE3">
        <w:rPr>
          <w:rFonts w:ascii="Arno Pro" w:hAnsi="Arno Pro"/>
          <w:noProof/>
          <w:sz w:val="16"/>
        </w:rPr>
        <w:t xml:space="preserve">, </w:t>
      </w:r>
      <w:r w:rsidRPr="000A3EE3">
        <w:rPr>
          <w:rFonts w:ascii="Arno Pro" w:hAnsi="Arno Pro"/>
          <w:i/>
          <w:iCs/>
          <w:noProof/>
          <w:sz w:val="16"/>
        </w:rPr>
        <w:t>116</w:t>
      </w:r>
      <w:r w:rsidRPr="000A3EE3">
        <w:rPr>
          <w:rFonts w:ascii="Arno Pro" w:hAnsi="Arno Pro"/>
          <w:noProof/>
          <w:sz w:val="16"/>
        </w:rPr>
        <w:t>, 365–369.</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(14) </w:t>
      </w:r>
      <w:r w:rsidRPr="000A3EE3">
        <w:rPr>
          <w:rFonts w:ascii="Arno Pro" w:hAnsi="Arno Pro"/>
          <w:noProof/>
          <w:sz w:val="16"/>
        </w:rPr>
        <w:tab/>
        <w:t xml:space="preserve">Backhaus, J.; Mueller, R.; Formanski, N.; Szlama, N.; Meerpohl, H.-G.; Eidt, M.; Bugert, P. Vibrational Spectroscopy Diagnosis of Breast Cancer with Infrared Spectroscopy from Serum Samples. </w:t>
      </w:r>
      <w:r w:rsidRPr="000A3EE3">
        <w:rPr>
          <w:rFonts w:ascii="Arno Pro" w:hAnsi="Arno Pro"/>
          <w:i/>
          <w:iCs/>
          <w:noProof/>
          <w:sz w:val="16"/>
        </w:rPr>
        <w:t>Vib. Spectrosc.</w:t>
      </w:r>
      <w:r w:rsidRPr="000A3EE3">
        <w:rPr>
          <w:rFonts w:ascii="Arno Pro" w:hAnsi="Arno Pro"/>
          <w:noProof/>
          <w:sz w:val="16"/>
        </w:rPr>
        <w:t xml:space="preserve"> </w:t>
      </w:r>
      <w:r w:rsidRPr="000A3EE3">
        <w:rPr>
          <w:rFonts w:ascii="Arno Pro" w:hAnsi="Arno Pro"/>
          <w:b/>
          <w:bCs/>
          <w:noProof/>
          <w:sz w:val="16"/>
        </w:rPr>
        <w:t>2010</w:t>
      </w:r>
      <w:r w:rsidRPr="000A3EE3">
        <w:rPr>
          <w:rFonts w:ascii="Arno Pro" w:hAnsi="Arno Pro"/>
          <w:noProof/>
          <w:sz w:val="16"/>
        </w:rPr>
        <w:t xml:space="preserve">, </w:t>
      </w:r>
      <w:r w:rsidRPr="000A3EE3">
        <w:rPr>
          <w:rFonts w:ascii="Arno Pro" w:hAnsi="Arno Pro"/>
          <w:i/>
          <w:iCs/>
          <w:noProof/>
          <w:sz w:val="16"/>
        </w:rPr>
        <w:t>52</w:t>
      </w:r>
      <w:r w:rsidRPr="000A3EE3">
        <w:rPr>
          <w:rFonts w:ascii="Arno Pro" w:hAnsi="Arno Pro"/>
          <w:noProof/>
          <w:sz w:val="16"/>
        </w:rPr>
        <w:t xml:space="preserve">, 173–177.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(15) </w:t>
      </w:r>
      <w:r w:rsidRPr="000A3EE3">
        <w:rPr>
          <w:rFonts w:ascii="Arno Pro" w:hAnsi="Arno Pro"/>
          <w:noProof/>
          <w:sz w:val="16"/>
        </w:rPr>
        <w:tab/>
        <w:t xml:space="preserve">Cameron, J. M.; Butler, H. J.; Smith, B. R.; Hegarty, M. G.; Jenkinson, M. D.; Syed, K.; Brennan, P. M.; Ashton, K.; Dawson, T.; Palmer, D. S.; Baker, M. J. Developing Infrared Spectroscopic Detection for Stratifying Brain Tumour Patients: Glioblastoma Multiforme vs . Lymphoma. </w:t>
      </w:r>
      <w:r w:rsidRPr="000A3EE3">
        <w:rPr>
          <w:rFonts w:ascii="Arno Pro" w:hAnsi="Arno Pro"/>
          <w:i/>
          <w:iCs/>
          <w:noProof/>
          <w:sz w:val="16"/>
        </w:rPr>
        <w:t>Analyst</w:t>
      </w:r>
      <w:r w:rsidRPr="000A3EE3">
        <w:rPr>
          <w:rFonts w:ascii="Arno Pro" w:hAnsi="Arno Pro"/>
          <w:noProof/>
          <w:sz w:val="16"/>
        </w:rPr>
        <w:t xml:space="preserve"> </w:t>
      </w:r>
      <w:r w:rsidRPr="000A3EE3">
        <w:rPr>
          <w:rFonts w:ascii="Arno Pro" w:hAnsi="Arno Pro"/>
          <w:b/>
          <w:bCs/>
          <w:noProof/>
          <w:sz w:val="16"/>
        </w:rPr>
        <w:t>2019</w:t>
      </w:r>
      <w:r w:rsidRPr="000A3EE3">
        <w:rPr>
          <w:rFonts w:ascii="Arno Pro" w:hAnsi="Arno Pro"/>
          <w:noProof/>
          <w:sz w:val="16"/>
        </w:rPr>
        <w:t xml:space="preserve">, </w:t>
      </w:r>
      <w:r w:rsidRPr="000A3EE3">
        <w:rPr>
          <w:rFonts w:ascii="Arno Pro" w:hAnsi="Arno Pro"/>
          <w:i/>
          <w:iCs/>
          <w:noProof/>
          <w:sz w:val="16"/>
        </w:rPr>
        <w:t>144</w:t>
      </w:r>
      <w:r w:rsidRPr="000A3EE3">
        <w:rPr>
          <w:rFonts w:ascii="Arno Pro" w:hAnsi="Arno Pro"/>
          <w:noProof/>
          <w:sz w:val="16"/>
        </w:rPr>
        <w:t xml:space="preserve">,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(16) </w:t>
      </w:r>
      <w:r w:rsidRPr="000A3EE3">
        <w:rPr>
          <w:rFonts w:ascii="Arno Pro" w:hAnsi="Arno Pro"/>
          <w:noProof/>
          <w:sz w:val="16"/>
        </w:rPr>
        <w:tab/>
        <w:t xml:space="preserve">Hands, J. R.; Clemens, G.; Stables, R.; Ashton, K.; Brodbelt, A.; Davis, C.; Dawson, T. P.; Jenkinson, M. D.; Lea, R. W.; Walker, C.; Baker, M. J. Brain Tumour Differentiation: Rapid Stratified Serum Diagnostics via Attenuated Total Reflection Fourier-Transform Infrared Spectroscopy. </w:t>
      </w:r>
      <w:r w:rsidRPr="000A3EE3">
        <w:rPr>
          <w:rFonts w:ascii="Arno Pro" w:hAnsi="Arno Pro"/>
          <w:i/>
          <w:iCs/>
          <w:noProof/>
          <w:sz w:val="16"/>
        </w:rPr>
        <w:t>J. Neurooncol.</w:t>
      </w:r>
      <w:r w:rsidRPr="000A3EE3">
        <w:rPr>
          <w:rFonts w:ascii="Arno Pro" w:hAnsi="Arno Pro"/>
          <w:noProof/>
          <w:sz w:val="16"/>
        </w:rPr>
        <w:t xml:space="preserve"> </w:t>
      </w:r>
      <w:r w:rsidRPr="000A3EE3">
        <w:rPr>
          <w:rFonts w:ascii="Arno Pro" w:hAnsi="Arno Pro"/>
          <w:b/>
          <w:bCs/>
          <w:noProof/>
          <w:sz w:val="16"/>
        </w:rPr>
        <w:t>2016</w:t>
      </w:r>
      <w:r w:rsidRPr="000A3EE3">
        <w:rPr>
          <w:rFonts w:ascii="Arno Pro" w:hAnsi="Arno Pro"/>
          <w:noProof/>
          <w:sz w:val="16"/>
        </w:rPr>
        <w:t xml:space="preserve">, </w:t>
      </w:r>
      <w:r w:rsidRPr="000A3EE3">
        <w:rPr>
          <w:rFonts w:ascii="Arno Pro" w:hAnsi="Arno Pro"/>
          <w:i/>
          <w:iCs/>
          <w:noProof/>
          <w:sz w:val="16"/>
        </w:rPr>
        <w:t>127</w:t>
      </w:r>
      <w:r w:rsidRPr="000A3EE3">
        <w:rPr>
          <w:rFonts w:ascii="Arno Pro" w:hAnsi="Arno Pro"/>
          <w:noProof/>
          <w:sz w:val="16"/>
        </w:rPr>
        <w:t xml:space="preserve">, </w:t>
      </w:r>
      <w:r w:rsidRPr="000A3EE3">
        <w:rPr>
          <w:rFonts w:ascii="Arno Pro" w:hAnsi="Arno Pro"/>
          <w:noProof/>
          <w:sz w:val="16"/>
        </w:rPr>
        <w:lastRenderedPageBreak/>
        <w:t xml:space="preserve">463–472.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(17) </w:t>
      </w:r>
      <w:r w:rsidRPr="000A3EE3">
        <w:rPr>
          <w:rFonts w:ascii="Arno Pro" w:hAnsi="Arno Pro"/>
          <w:noProof/>
          <w:sz w:val="16"/>
        </w:rPr>
        <w:tab/>
        <w:t xml:space="preserve">Socha, E.; Koba, M.; Kośliński, P. Amino Acid Profiling as a Method of Discovering Biomarkers for Diagnosis of Neurodegenerative Diseases. </w:t>
      </w:r>
      <w:r w:rsidRPr="000A3EE3">
        <w:rPr>
          <w:rFonts w:ascii="Arno Pro" w:hAnsi="Arno Pro"/>
          <w:i/>
          <w:iCs/>
          <w:noProof/>
          <w:sz w:val="16"/>
        </w:rPr>
        <w:t>Amino Acids</w:t>
      </w:r>
      <w:r w:rsidRPr="000A3EE3">
        <w:rPr>
          <w:rFonts w:ascii="Arno Pro" w:hAnsi="Arno Pro"/>
          <w:noProof/>
          <w:sz w:val="16"/>
        </w:rPr>
        <w:t xml:space="preserve"> </w:t>
      </w:r>
      <w:r w:rsidRPr="000A3EE3">
        <w:rPr>
          <w:rFonts w:ascii="Arno Pro" w:hAnsi="Arno Pro"/>
          <w:b/>
          <w:bCs/>
          <w:noProof/>
          <w:sz w:val="16"/>
        </w:rPr>
        <w:t>2019</w:t>
      </w:r>
      <w:r w:rsidRPr="000A3EE3">
        <w:rPr>
          <w:rFonts w:ascii="Arno Pro" w:hAnsi="Arno Pro"/>
          <w:noProof/>
          <w:sz w:val="16"/>
        </w:rPr>
        <w:t xml:space="preserve">, </w:t>
      </w:r>
      <w:r w:rsidRPr="000A3EE3">
        <w:rPr>
          <w:rFonts w:ascii="Arno Pro" w:hAnsi="Arno Pro"/>
          <w:i/>
          <w:iCs/>
          <w:noProof/>
          <w:sz w:val="16"/>
        </w:rPr>
        <w:t>51</w:t>
      </w:r>
      <w:r w:rsidRPr="000A3EE3">
        <w:rPr>
          <w:rFonts w:ascii="Arno Pro" w:hAnsi="Arno Pro"/>
          <w:noProof/>
          <w:sz w:val="16"/>
        </w:rPr>
        <w:t xml:space="preserve">, 367–371.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(18) </w:t>
      </w:r>
      <w:r w:rsidRPr="000A3EE3">
        <w:rPr>
          <w:rFonts w:ascii="Arno Pro" w:hAnsi="Arno Pro"/>
          <w:noProof/>
          <w:sz w:val="16"/>
        </w:rPr>
        <w:tab/>
        <w:t xml:space="preserve">Li, N.; Liu, W.; Li, W.; Li, S.; Chen, X.; Bi, K.; He, P. Plasma Metabolic Profiling of Alzheimer’s Disease by Liquid Chromatography/Mass Spectrometry. </w:t>
      </w:r>
      <w:r w:rsidRPr="000A3EE3">
        <w:rPr>
          <w:rFonts w:ascii="Arno Pro" w:hAnsi="Arno Pro"/>
          <w:i/>
          <w:iCs/>
          <w:noProof/>
          <w:sz w:val="16"/>
        </w:rPr>
        <w:t>Clin. Biochem.</w:t>
      </w:r>
      <w:r w:rsidRPr="000A3EE3">
        <w:rPr>
          <w:rFonts w:ascii="Arno Pro" w:hAnsi="Arno Pro"/>
          <w:noProof/>
          <w:sz w:val="16"/>
        </w:rPr>
        <w:t xml:space="preserve"> </w:t>
      </w:r>
      <w:r w:rsidRPr="000A3EE3">
        <w:rPr>
          <w:rFonts w:ascii="Arno Pro" w:hAnsi="Arno Pro"/>
          <w:b/>
          <w:bCs/>
          <w:noProof/>
          <w:sz w:val="16"/>
        </w:rPr>
        <w:t>2010</w:t>
      </w:r>
      <w:r w:rsidRPr="000A3EE3">
        <w:rPr>
          <w:rFonts w:ascii="Arno Pro" w:hAnsi="Arno Pro"/>
          <w:noProof/>
          <w:sz w:val="16"/>
        </w:rPr>
        <w:t xml:space="preserve">, </w:t>
      </w:r>
      <w:r w:rsidRPr="000A3EE3">
        <w:rPr>
          <w:rFonts w:ascii="Arno Pro" w:hAnsi="Arno Pro"/>
          <w:i/>
          <w:iCs/>
          <w:noProof/>
          <w:sz w:val="16"/>
        </w:rPr>
        <w:t>43</w:t>
      </w:r>
      <w:r w:rsidRPr="000A3EE3">
        <w:rPr>
          <w:rFonts w:ascii="Arno Pro" w:hAnsi="Arno Pro"/>
          <w:noProof/>
          <w:sz w:val="16"/>
        </w:rPr>
        <w:t xml:space="preserve">, 992–997.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(19) </w:t>
      </w:r>
      <w:r w:rsidRPr="000A3EE3">
        <w:rPr>
          <w:rFonts w:ascii="Arno Pro" w:hAnsi="Arno Pro"/>
          <w:noProof/>
          <w:sz w:val="16"/>
        </w:rPr>
        <w:tab/>
        <w:t xml:space="preserve">Galli, S.; Naranjo, A.; Van Ryn, C.; Tilan, J. U.; Trinh, E.; Yang, C.; Tsuei, J.; Hong, S. H.; Wang, H.; Izycka-Swieszewska, E.; Lee, Y. C.; Rodriguez, O. C.; Albanese, C.; Kitlinska, J. Neuropeptide Y as a Biomarker and Therapeutic Target for Neuroblastoma. </w:t>
      </w:r>
      <w:r w:rsidRPr="000A3EE3">
        <w:rPr>
          <w:rFonts w:ascii="Arno Pro" w:hAnsi="Arno Pro"/>
          <w:i/>
          <w:iCs/>
          <w:noProof/>
          <w:sz w:val="16"/>
        </w:rPr>
        <w:t>Am. J. Pathol.</w:t>
      </w:r>
      <w:r w:rsidRPr="000A3EE3">
        <w:rPr>
          <w:rFonts w:ascii="Arno Pro" w:hAnsi="Arno Pro"/>
          <w:noProof/>
          <w:sz w:val="16"/>
        </w:rPr>
        <w:t xml:space="preserve"> </w:t>
      </w:r>
      <w:r w:rsidRPr="000A3EE3">
        <w:rPr>
          <w:rFonts w:ascii="Arno Pro" w:hAnsi="Arno Pro"/>
          <w:b/>
          <w:bCs/>
          <w:noProof/>
          <w:sz w:val="16"/>
        </w:rPr>
        <w:t>2016</w:t>
      </w:r>
      <w:r w:rsidRPr="000A3EE3">
        <w:rPr>
          <w:rFonts w:ascii="Arno Pro" w:hAnsi="Arno Pro"/>
          <w:noProof/>
          <w:sz w:val="16"/>
        </w:rPr>
        <w:t xml:space="preserve">, </w:t>
      </w:r>
      <w:r w:rsidRPr="000A3EE3">
        <w:rPr>
          <w:rFonts w:ascii="Arno Pro" w:hAnsi="Arno Pro"/>
          <w:i/>
          <w:iCs/>
          <w:noProof/>
          <w:sz w:val="16"/>
        </w:rPr>
        <w:t>186</w:t>
      </w:r>
      <w:r w:rsidRPr="000A3EE3">
        <w:rPr>
          <w:rFonts w:ascii="Arno Pro" w:hAnsi="Arno Pro"/>
          <w:noProof/>
          <w:sz w:val="16"/>
        </w:rPr>
        <w:t xml:space="preserve">, 3040–3053.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(20) </w:t>
      </w:r>
      <w:r w:rsidRPr="000A3EE3">
        <w:rPr>
          <w:rFonts w:ascii="Arno Pro" w:hAnsi="Arno Pro"/>
          <w:noProof/>
          <w:sz w:val="16"/>
        </w:rPr>
        <w:tab/>
        <w:t xml:space="preserve">Rascher, W.; Kremens, B.; Wagner, S.; Feth, F.; Hunneman, D. H.; Lang, R. E. Serial Measurements of Neuropeptide Y in Plasma for Monitoring Neuroblastoma in Children. </w:t>
      </w:r>
      <w:r w:rsidRPr="000A3EE3">
        <w:rPr>
          <w:rFonts w:ascii="Arno Pro" w:hAnsi="Arno Pro"/>
          <w:i/>
          <w:iCs/>
          <w:noProof/>
          <w:sz w:val="16"/>
        </w:rPr>
        <w:t>J. Pediatr.</w:t>
      </w:r>
      <w:r w:rsidRPr="000A3EE3">
        <w:rPr>
          <w:rFonts w:ascii="Arno Pro" w:hAnsi="Arno Pro"/>
          <w:noProof/>
          <w:sz w:val="16"/>
        </w:rPr>
        <w:t xml:space="preserve"> </w:t>
      </w:r>
      <w:r w:rsidRPr="000A3EE3">
        <w:rPr>
          <w:rFonts w:ascii="Arno Pro" w:hAnsi="Arno Pro"/>
          <w:b/>
          <w:bCs/>
          <w:noProof/>
          <w:sz w:val="16"/>
        </w:rPr>
        <w:t>1993</w:t>
      </w:r>
      <w:r w:rsidRPr="000A3EE3">
        <w:rPr>
          <w:rFonts w:ascii="Arno Pro" w:hAnsi="Arno Pro"/>
          <w:noProof/>
          <w:sz w:val="16"/>
        </w:rPr>
        <w:t xml:space="preserve">, </w:t>
      </w:r>
      <w:r w:rsidRPr="000A3EE3">
        <w:rPr>
          <w:rFonts w:ascii="Arno Pro" w:hAnsi="Arno Pro"/>
          <w:i/>
          <w:iCs/>
          <w:noProof/>
          <w:sz w:val="16"/>
        </w:rPr>
        <w:t>122</w:t>
      </w:r>
      <w:r w:rsidRPr="000A3EE3">
        <w:rPr>
          <w:rFonts w:ascii="Arno Pro" w:hAnsi="Arno Pro"/>
          <w:noProof/>
          <w:sz w:val="16"/>
        </w:rPr>
        <w:t>, 914–916.</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(21) </w:t>
      </w:r>
      <w:r w:rsidRPr="000A3EE3">
        <w:rPr>
          <w:rFonts w:ascii="Arno Pro" w:hAnsi="Arno Pro"/>
          <w:noProof/>
          <w:sz w:val="16"/>
        </w:rPr>
        <w:tab/>
        <w:t xml:space="preserve">Bonnier, F.; Blasco, H.; Wasselet, C.; Brachet, G.; Respaud, R.; Carvalho, L. F. C. S.; Bertrand, D.; Baker, M. J.; Byrne, H. J.; Chourpa, I. Ultra-Filtration of Human Serum for Improved Quantitative Analysis of Low Molecular Weight Biomarkers Using ATR-IR Spectroscopy. </w:t>
      </w:r>
      <w:r w:rsidRPr="000A3EE3">
        <w:rPr>
          <w:rFonts w:ascii="Arno Pro" w:hAnsi="Arno Pro"/>
          <w:i/>
          <w:iCs/>
          <w:noProof/>
          <w:sz w:val="16"/>
        </w:rPr>
        <w:t>Analyst</w:t>
      </w:r>
      <w:r w:rsidRPr="000A3EE3">
        <w:rPr>
          <w:rFonts w:ascii="Arno Pro" w:hAnsi="Arno Pro"/>
          <w:noProof/>
          <w:sz w:val="16"/>
        </w:rPr>
        <w:t xml:space="preserve"> </w:t>
      </w:r>
      <w:r w:rsidRPr="000A3EE3">
        <w:rPr>
          <w:rFonts w:ascii="Arno Pro" w:hAnsi="Arno Pro"/>
          <w:b/>
          <w:bCs/>
          <w:noProof/>
          <w:sz w:val="16"/>
        </w:rPr>
        <w:t>2017</w:t>
      </w:r>
      <w:r w:rsidRPr="000A3EE3">
        <w:rPr>
          <w:rFonts w:ascii="Arno Pro" w:hAnsi="Arno Pro"/>
          <w:noProof/>
          <w:sz w:val="16"/>
        </w:rPr>
        <w:t xml:space="preserve">, </w:t>
      </w:r>
      <w:r w:rsidRPr="000A3EE3">
        <w:rPr>
          <w:rFonts w:ascii="Arno Pro" w:hAnsi="Arno Pro"/>
          <w:i/>
          <w:iCs/>
          <w:noProof/>
          <w:sz w:val="16"/>
        </w:rPr>
        <w:t>142</w:t>
      </w:r>
      <w:r w:rsidRPr="000A3EE3">
        <w:rPr>
          <w:rFonts w:ascii="Arno Pro" w:hAnsi="Arno Pro"/>
          <w:noProof/>
          <w:sz w:val="16"/>
        </w:rPr>
        <w:t>, 1285–1298.</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(22) </w:t>
      </w:r>
      <w:r w:rsidRPr="000A3EE3">
        <w:rPr>
          <w:rFonts w:ascii="Arno Pro" w:hAnsi="Arno Pro"/>
          <w:noProof/>
          <w:sz w:val="16"/>
        </w:rPr>
        <w:tab/>
        <w:t xml:space="preserve">Bonnier, F.; Brachet, G.; Duong, R.; Sojinrin, T.; Respaud, R.; Aubrey, N.; Baker, M. J.; Byrne, H. J.; Chourpa, I. Screening the Low Molecular Weight Fraction of Human Serum Using ATR-IR Spectroscopy. </w:t>
      </w:r>
      <w:r w:rsidRPr="000A3EE3">
        <w:rPr>
          <w:rFonts w:ascii="Arno Pro" w:hAnsi="Arno Pro"/>
          <w:i/>
          <w:iCs/>
          <w:noProof/>
          <w:sz w:val="16"/>
        </w:rPr>
        <w:t>J. Biophotonics</w:t>
      </w:r>
      <w:r w:rsidRPr="000A3EE3">
        <w:rPr>
          <w:rFonts w:ascii="Arno Pro" w:hAnsi="Arno Pro"/>
          <w:noProof/>
          <w:sz w:val="16"/>
        </w:rPr>
        <w:t xml:space="preserve"> </w:t>
      </w:r>
      <w:r w:rsidRPr="000A3EE3">
        <w:rPr>
          <w:rFonts w:ascii="Arno Pro" w:hAnsi="Arno Pro"/>
          <w:b/>
          <w:bCs/>
          <w:noProof/>
          <w:sz w:val="16"/>
        </w:rPr>
        <w:t>2016</w:t>
      </w:r>
      <w:r w:rsidRPr="000A3EE3">
        <w:rPr>
          <w:rFonts w:ascii="Arno Pro" w:hAnsi="Arno Pro"/>
          <w:noProof/>
          <w:sz w:val="16"/>
        </w:rPr>
        <w:t xml:space="preserve">, </w:t>
      </w:r>
      <w:r w:rsidRPr="000A3EE3">
        <w:rPr>
          <w:rFonts w:ascii="Arno Pro" w:hAnsi="Arno Pro"/>
          <w:i/>
          <w:iCs/>
          <w:noProof/>
          <w:sz w:val="16"/>
        </w:rPr>
        <w:t>9</w:t>
      </w:r>
      <w:r w:rsidRPr="000A3EE3">
        <w:rPr>
          <w:rFonts w:ascii="Arno Pro" w:hAnsi="Arno Pro"/>
          <w:noProof/>
          <w:sz w:val="16"/>
        </w:rPr>
        <w:t xml:space="preserve">, 1085–1097.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(23) </w:t>
      </w:r>
      <w:r w:rsidRPr="000A3EE3">
        <w:rPr>
          <w:rFonts w:ascii="Arno Pro" w:hAnsi="Arno Pro"/>
          <w:noProof/>
          <w:sz w:val="16"/>
        </w:rPr>
        <w:tab/>
        <w:t xml:space="preserve">Adkins, J. N.; Varnum, S. M.; Auberry, K. J.; Moore, R. J.; Angell, N. H.; Smith, R. D.; Springer, D. L.; Pounds, J. G. Toward a Human Blood Serum Proteome. </w:t>
      </w:r>
      <w:r w:rsidRPr="000A3EE3">
        <w:rPr>
          <w:rFonts w:ascii="Arno Pro" w:hAnsi="Arno Pro"/>
          <w:i/>
          <w:iCs/>
          <w:noProof/>
          <w:sz w:val="16"/>
        </w:rPr>
        <w:t>Mol. Cell. Proteomics</w:t>
      </w:r>
      <w:r w:rsidRPr="000A3EE3">
        <w:rPr>
          <w:rFonts w:ascii="Arno Pro" w:hAnsi="Arno Pro"/>
          <w:noProof/>
          <w:sz w:val="16"/>
        </w:rPr>
        <w:t xml:space="preserve"> </w:t>
      </w:r>
      <w:r w:rsidRPr="000A3EE3">
        <w:rPr>
          <w:rFonts w:ascii="Arno Pro" w:hAnsi="Arno Pro"/>
          <w:b/>
          <w:bCs/>
          <w:noProof/>
          <w:sz w:val="16"/>
        </w:rPr>
        <w:t>2002</w:t>
      </w:r>
      <w:r w:rsidRPr="000A3EE3">
        <w:rPr>
          <w:rFonts w:ascii="Arno Pro" w:hAnsi="Arno Pro"/>
          <w:noProof/>
          <w:sz w:val="16"/>
        </w:rPr>
        <w:t xml:space="preserve">, </w:t>
      </w:r>
      <w:r w:rsidRPr="000A3EE3">
        <w:rPr>
          <w:rFonts w:ascii="Arno Pro" w:hAnsi="Arno Pro"/>
          <w:i/>
          <w:iCs/>
          <w:noProof/>
          <w:sz w:val="16"/>
        </w:rPr>
        <w:t>1</w:t>
      </w:r>
      <w:r w:rsidRPr="000A3EE3">
        <w:rPr>
          <w:rFonts w:ascii="Arno Pro" w:hAnsi="Arno Pro"/>
          <w:noProof/>
          <w:sz w:val="16"/>
        </w:rPr>
        <w:t xml:space="preserve">, 947–955.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(24) </w:t>
      </w:r>
      <w:r w:rsidRPr="000A3EE3">
        <w:rPr>
          <w:rFonts w:ascii="Arno Pro" w:hAnsi="Arno Pro"/>
          <w:noProof/>
          <w:sz w:val="16"/>
        </w:rPr>
        <w:tab/>
        <w:t xml:space="preserve">Hume, S.; Hithell, G.; Greetham, G. M.; Donaldson, P. M.; Towrie, M.; Parker, A. W.; Baker, J.; Hunt, N. T. Measuring Proteins in H2O with 2D-IR Spectroscopy. </w:t>
      </w:r>
      <w:r w:rsidRPr="000A3EE3">
        <w:rPr>
          <w:rFonts w:ascii="Arno Pro" w:hAnsi="Arno Pro"/>
          <w:i/>
          <w:iCs/>
          <w:noProof/>
          <w:sz w:val="16"/>
        </w:rPr>
        <w:t>Chem. Sci.</w:t>
      </w:r>
      <w:r w:rsidRPr="000A3EE3">
        <w:rPr>
          <w:rFonts w:ascii="Arno Pro" w:hAnsi="Arno Pro"/>
          <w:noProof/>
          <w:sz w:val="16"/>
        </w:rPr>
        <w:t xml:space="preserve"> </w:t>
      </w:r>
      <w:r w:rsidRPr="000A3EE3">
        <w:rPr>
          <w:rFonts w:ascii="Arno Pro" w:hAnsi="Arno Pro"/>
          <w:b/>
          <w:bCs/>
          <w:noProof/>
          <w:sz w:val="16"/>
        </w:rPr>
        <w:t>2019</w:t>
      </w:r>
      <w:r w:rsidRPr="000A3EE3">
        <w:rPr>
          <w:rFonts w:ascii="Arno Pro" w:hAnsi="Arno Pro"/>
          <w:noProof/>
          <w:sz w:val="16"/>
        </w:rPr>
        <w:t xml:space="preserve">, </w:t>
      </w:r>
      <w:r w:rsidRPr="000A3EE3">
        <w:rPr>
          <w:rFonts w:ascii="Arno Pro" w:hAnsi="Arno Pro"/>
          <w:i/>
          <w:iCs/>
          <w:noProof/>
          <w:sz w:val="16"/>
        </w:rPr>
        <w:t>10</w:t>
      </w:r>
      <w:r w:rsidRPr="000A3EE3">
        <w:rPr>
          <w:rFonts w:ascii="Arno Pro" w:hAnsi="Arno Pro"/>
          <w:noProof/>
          <w:sz w:val="16"/>
        </w:rPr>
        <w:t xml:space="preserve">, 6448–6456.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(25) </w:t>
      </w:r>
      <w:r w:rsidRPr="000A3EE3">
        <w:rPr>
          <w:rFonts w:ascii="Arno Pro" w:hAnsi="Arno Pro"/>
          <w:noProof/>
          <w:sz w:val="16"/>
        </w:rPr>
        <w:tab/>
        <w:t xml:space="preserve">Donaldson, P. M.; Greetham, G. M.; Shaw, D. J.; Parker, A. W.; Towrie, M. A 100 KHz Pulse Shaping 2D-IR Spectrometer Based on Dual Yb:KGW Amplifiers. </w:t>
      </w:r>
      <w:r w:rsidRPr="000A3EE3">
        <w:rPr>
          <w:rFonts w:ascii="Arno Pro" w:hAnsi="Arno Pro"/>
          <w:i/>
          <w:iCs/>
          <w:noProof/>
          <w:sz w:val="16"/>
        </w:rPr>
        <w:t>J. Phys. Chem. A</w:t>
      </w:r>
      <w:r w:rsidRPr="000A3EE3">
        <w:rPr>
          <w:rFonts w:ascii="Arno Pro" w:hAnsi="Arno Pro"/>
          <w:noProof/>
          <w:sz w:val="16"/>
        </w:rPr>
        <w:t xml:space="preserve"> </w:t>
      </w:r>
      <w:r w:rsidRPr="000A3EE3">
        <w:rPr>
          <w:rFonts w:ascii="Arno Pro" w:hAnsi="Arno Pro"/>
          <w:b/>
          <w:bCs/>
          <w:noProof/>
          <w:sz w:val="16"/>
        </w:rPr>
        <w:t>2018</w:t>
      </w:r>
      <w:r w:rsidRPr="000A3EE3">
        <w:rPr>
          <w:rFonts w:ascii="Arno Pro" w:hAnsi="Arno Pro"/>
          <w:noProof/>
          <w:sz w:val="16"/>
        </w:rPr>
        <w:t xml:space="preserve">, </w:t>
      </w:r>
      <w:r w:rsidRPr="000A3EE3">
        <w:rPr>
          <w:rFonts w:ascii="Arno Pro" w:hAnsi="Arno Pro"/>
          <w:i/>
          <w:iCs/>
          <w:noProof/>
          <w:sz w:val="16"/>
        </w:rPr>
        <w:t>122</w:t>
      </w:r>
      <w:r w:rsidRPr="000A3EE3">
        <w:rPr>
          <w:rFonts w:ascii="Arno Pro" w:hAnsi="Arno Pro"/>
          <w:noProof/>
          <w:sz w:val="16"/>
        </w:rPr>
        <w:t xml:space="preserve">, 780–787.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(26) </w:t>
      </w:r>
      <w:r w:rsidRPr="000A3EE3">
        <w:rPr>
          <w:rFonts w:ascii="Arno Pro" w:hAnsi="Arno Pro"/>
          <w:noProof/>
          <w:sz w:val="16"/>
        </w:rPr>
        <w:tab/>
        <w:t xml:space="preserve">Shim, S. H.; Strasfeld, D. B.; Ling, Y. L.; Zanni, M. T. Automated 2D IR Spectroscopy Using a Mid-IR Pulse Shaper and Application of This Technology to the Human Islet Amyloid Polypeptide. </w:t>
      </w:r>
      <w:r w:rsidRPr="000A3EE3">
        <w:rPr>
          <w:rFonts w:ascii="Arno Pro" w:hAnsi="Arno Pro"/>
          <w:i/>
          <w:iCs/>
          <w:noProof/>
          <w:sz w:val="16"/>
        </w:rPr>
        <w:t>Proc. Natl. Acad. Sci.</w:t>
      </w:r>
      <w:r w:rsidRPr="000A3EE3">
        <w:rPr>
          <w:rFonts w:ascii="Arno Pro" w:hAnsi="Arno Pro"/>
          <w:noProof/>
          <w:sz w:val="16"/>
        </w:rPr>
        <w:t xml:space="preserve"> </w:t>
      </w:r>
      <w:r w:rsidRPr="000A3EE3">
        <w:rPr>
          <w:rFonts w:ascii="Arno Pro" w:hAnsi="Arno Pro"/>
          <w:b/>
          <w:bCs/>
          <w:noProof/>
          <w:sz w:val="16"/>
        </w:rPr>
        <w:t>2007</w:t>
      </w:r>
      <w:r w:rsidRPr="000A3EE3">
        <w:rPr>
          <w:rFonts w:ascii="Arno Pro" w:hAnsi="Arno Pro"/>
          <w:noProof/>
          <w:sz w:val="16"/>
        </w:rPr>
        <w:t xml:space="preserve">, </w:t>
      </w:r>
      <w:r w:rsidRPr="000A3EE3">
        <w:rPr>
          <w:rFonts w:ascii="Arno Pro" w:hAnsi="Arno Pro"/>
          <w:i/>
          <w:iCs/>
          <w:noProof/>
          <w:sz w:val="16"/>
        </w:rPr>
        <w:t>104</w:t>
      </w:r>
      <w:r w:rsidRPr="000A3EE3">
        <w:rPr>
          <w:rFonts w:ascii="Arno Pro" w:hAnsi="Arno Pro"/>
          <w:noProof/>
          <w:sz w:val="16"/>
        </w:rPr>
        <w:t xml:space="preserve">, 14197–14202.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(27) </w:t>
      </w:r>
      <w:r w:rsidRPr="000A3EE3">
        <w:rPr>
          <w:rFonts w:ascii="Arno Pro" w:hAnsi="Arno Pro"/>
          <w:noProof/>
          <w:sz w:val="16"/>
        </w:rPr>
        <w:tab/>
        <w:t xml:space="preserve">Luther, B. M.; Tracy, K. M.; Gerrity, M.; Brown, S.; Krummel, A. T. 2D IR Spectroscopy at 100 KHz Utilizing a Mid-IR OPCPA Laser Source. </w:t>
      </w:r>
      <w:r w:rsidRPr="000A3EE3">
        <w:rPr>
          <w:rFonts w:ascii="Arno Pro" w:hAnsi="Arno Pro"/>
          <w:i/>
          <w:iCs/>
          <w:noProof/>
          <w:sz w:val="16"/>
        </w:rPr>
        <w:t>Opt. Express</w:t>
      </w:r>
      <w:r w:rsidRPr="000A3EE3">
        <w:rPr>
          <w:rFonts w:ascii="Arno Pro" w:hAnsi="Arno Pro"/>
          <w:noProof/>
          <w:sz w:val="16"/>
        </w:rPr>
        <w:t xml:space="preserve"> </w:t>
      </w:r>
      <w:r w:rsidRPr="000A3EE3">
        <w:rPr>
          <w:rFonts w:ascii="Arno Pro" w:hAnsi="Arno Pro"/>
          <w:b/>
          <w:bCs/>
          <w:noProof/>
          <w:sz w:val="16"/>
        </w:rPr>
        <w:t>2016</w:t>
      </w:r>
      <w:r w:rsidRPr="000A3EE3">
        <w:rPr>
          <w:rFonts w:ascii="Arno Pro" w:hAnsi="Arno Pro"/>
          <w:noProof/>
          <w:sz w:val="16"/>
        </w:rPr>
        <w:t xml:space="preserve">, </w:t>
      </w:r>
      <w:r w:rsidRPr="000A3EE3">
        <w:rPr>
          <w:rFonts w:ascii="Arno Pro" w:hAnsi="Arno Pro"/>
          <w:i/>
          <w:iCs/>
          <w:noProof/>
          <w:sz w:val="16"/>
        </w:rPr>
        <w:t>24</w:t>
      </w:r>
      <w:r w:rsidRPr="000A3EE3">
        <w:rPr>
          <w:rFonts w:ascii="Arno Pro" w:hAnsi="Arno Pro"/>
          <w:noProof/>
          <w:sz w:val="16"/>
        </w:rPr>
        <w:t xml:space="preserve">, 4117.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(28) </w:t>
      </w:r>
      <w:r w:rsidRPr="000A3EE3">
        <w:rPr>
          <w:rFonts w:ascii="Arno Pro" w:hAnsi="Arno Pro"/>
          <w:noProof/>
          <w:sz w:val="16"/>
        </w:rPr>
        <w:tab/>
        <w:t xml:space="preserve">Fritzsch, R.; Donaldson, P. M.; Greetham, G. M.; Towrie, M.; Parker, A. W.; Baker, M. J.; Hunt, N. T. Rapid Screening of DNA-Ligand Complexes via 2D-IR Spectroscopy and ANOVA-PCA. </w:t>
      </w:r>
      <w:r w:rsidRPr="000A3EE3">
        <w:rPr>
          <w:rFonts w:ascii="Arno Pro" w:hAnsi="Arno Pro"/>
          <w:i/>
          <w:iCs/>
          <w:noProof/>
          <w:sz w:val="16"/>
        </w:rPr>
        <w:t>Anal. Chem.</w:t>
      </w:r>
      <w:r w:rsidRPr="000A3EE3">
        <w:rPr>
          <w:rFonts w:ascii="Arno Pro" w:hAnsi="Arno Pro"/>
          <w:noProof/>
          <w:sz w:val="16"/>
        </w:rPr>
        <w:t xml:space="preserve"> </w:t>
      </w:r>
      <w:r w:rsidRPr="000A3EE3">
        <w:rPr>
          <w:rFonts w:ascii="Arno Pro" w:hAnsi="Arno Pro"/>
          <w:b/>
          <w:bCs/>
          <w:noProof/>
          <w:sz w:val="16"/>
        </w:rPr>
        <w:t>2018</w:t>
      </w:r>
      <w:r w:rsidRPr="000A3EE3">
        <w:rPr>
          <w:rFonts w:ascii="Arno Pro" w:hAnsi="Arno Pro"/>
          <w:noProof/>
          <w:sz w:val="16"/>
        </w:rPr>
        <w:t xml:space="preserve">, </w:t>
      </w:r>
      <w:r w:rsidRPr="000A3EE3">
        <w:rPr>
          <w:rFonts w:ascii="Arno Pro" w:hAnsi="Arno Pro"/>
          <w:i/>
          <w:iCs/>
          <w:noProof/>
          <w:sz w:val="16"/>
        </w:rPr>
        <w:t>90</w:t>
      </w:r>
      <w:r w:rsidRPr="000A3EE3">
        <w:rPr>
          <w:rFonts w:ascii="Arno Pro" w:hAnsi="Arno Pro"/>
          <w:noProof/>
          <w:sz w:val="16"/>
        </w:rPr>
        <w:t xml:space="preserve">, 2732–2740.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(29) </w:t>
      </w:r>
      <w:r w:rsidRPr="000A3EE3">
        <w:rPr>
          <w:rFonts w:ascii="Arno Pro" w:hAnsi="Arno Pro"/>
          <w:noProof/>
          <w:sz w:val="16"/>
        </w:rPr>
        <w:tab/>
        <w:t xml:space="preserve">Tracy, K. M.; Barich, M. V; Carver, C. L.; Luther, B. M.; Krummel, A. T. High-Throughput Two-Dimensional Infrared (2D IR) Spectroscopy Achieved by Interfacing Microfluidic Technology with a High Repetition Rate 2D IR Spectrometer. </w:t>
      </w:r>
      <w:r w:rsidRPr="000A3EE3">
        <w:rPr>
          <w:rFonts w:ascii="Arno Pro" w:hAnsi="Arno Pro"/>
          <w:i/>
          <w:iCs/>
          <w:noProof/>
          <w:sz w:val="16"/>
        </w:rPr>
        <w:t>J. Phys. Chem. Lett.</w:t>
      </w:r>
      <w:r w:rsidRPr="000A3EE3">
        <w:rPr>
          <w:rFonts w:ascii="Arno Pro" w:hAnsi="Arno Pro"/>
          <w:noProof/>
          <w:sz w:val="16"/>
        </w:rPr>
        <w:t xml:space="preserve"> </w:t>
      </w:r>
      <w:r w:rsidRPr="000A3EE3">
        <w:rPr>
          <w:rFonts w:ascii="Arno Pro" w:hAnsi="Arno Pro"/>
          <w:b/>
          <w:bCs/>
          <w:noProof/>
          <w:sz w:val="16"/>
        </w:rPr>
        <w:t>2016</w:t>
      </w:r>
      <w:r w:rsidRPr="000A3EE3">
        <w:rPr>
          <w:rFonts w:ascii="Arno Pro" w:hAnsi="Arno Pro"/>
          <w:noProof/>
          <w:sz w:val="16"/>
        </w:rPr>
        <w:t xml:space="preserve">, </w:t>
      </w:r>
      <w:r w:rsidRPr="000A3EE3">
        <w:rPr>
          <w:rFonts w:ascii="Arno Pro" w:hAnsi="Arno Pro"/>
          <w:i/>
          <w:iCs/>
          <w:noProof/>
          <w:sz w:val="16"/>
        </w:rPr>
        <w:t>7</w:t>
      </w:r>
      <w:r w:rsidRPr="000A3EE3">
        <w:rPr>
          <w:rFonts w:ascii="Arno Pro" w:hAnsi="Arno Pro"/>
          <w:noProof/>
          <w:sz w:val="16"/>
        </w:rPr>
        <w:t xml:space="preserve">, 4865–4870.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(30) </w:t>
      </w:r>
      <w:r w:rsidRPr="000A3EE3">
        <w:rPr>
          <w:rFonts w:ascii="Arno Pro" w:hAnsi="Arno Pro"/>
          <w:noProof/>
          <w:sz w:val="16"/>
        </w:rPr>
        <w:tab/>
        <w:t xml:space="preserve">Li, X.; Sun, L.; Zhang, W.; Li, H.; Wang, S.; Mu, H.; Zhou, Q.; Zhang, Y.; Tang, Y.; Wang, Y.; Chen, W.; Yang, R.; Dong, J. Association of Serum Glycine Levels with Metabolic Syndrome </w:t>
      </w:r>
      <w:r w:rsidRPr="000A3EE3">
        <w:rPr>
          <w:rFonts w:ascii="Arno Pro" w:hAnsi="Arno Pro"/>
          <w:noProof/>
          <w:sz w:val="16"/>
        </w:rPr>
        <w:t xml:space="preserve">in an Elderly Chinese Population. </w:t>
      </w:r>
      <w:r w:rsidRPr="000A3EE3">
        <w:rPr>
          <w:rFonts w:ascii="Arno Pro" w:hAnsi="Arno Pro"/>
          <w:i/>
          <w:iCs/>
          <w:noProof/>
          <w:sz w:val="16"/>
        </w:rPr>
        <w:t>Nutr. Metab.</w:t>
      </w:r>
      <w:r w:rsidRPr="000A3EE3">
        <w:rPr>
          <w:rFonts w:ascii="Arno Pro" w:hAnsi="Arno Pro"/>
          <w:noProof/>
          <w:sz w:val="16"/>
        </w:rPr>
        <w:t xml:space="preserve"> </w:t>
      </w:r>
      <w:r w:rsidRPr="000A3EE3">
        <w:rPr>
          <w:rFonts w:ascii="Arno Pro" w:hAnsi="Arno Pro"/>
          <w:b/>
          <w:bCs/>
          <w:noProof/>
          <w:sz w:val="16"/>
        </w:rPr>
        <w:t>2018</w:t>
      </w:r>
      <w:r w:rsidRPr="000A3EE3">
        <w:rPr>
          <w:rFonts w:ascii="Arno Pro" w:hAnsi="Arno Pro"/>
          <w:noProof/>
          <w:sz w:val="16"/>
        </w:rPr>
        <w:t xml:space="preserve">, </w:t>
      </w:r>
      <w:r w:rsidRPr="000A3EE3">
        <w:rPr>
          <w:rFonts w:ascii="Arno Pro" w:hAnsi="Arno Pro"/>
          <w:i/>
          <w:iCs/>
          <w:noProof/>
          <w:sz w:val="16"/>
        </w:rPr>
        <w:t>15</w:t>
      </w:r>
      <w:r w:rsidRPr="000A3EE3">
        <w:rPr>
          <w:rFonts w:ascii="Arno Pro" w:hAnsi="Arno Pro"/>
          <w:noProof/>
          <w:sz w:val="16"/>
        </w:rPr>
        <w:t xml:space="preserve">, 1–9.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(31) </w:t>
      </w:r>
      <w:r w:rsidRPr="000A3EE3">
        <w:rPr>
          <w:rFonts w:ascii="Arno Pro" w:hAnsi="Arno Pro"/>
          <w:noProof/>
          <w:sz w:val="16"/>
        </w:rPr>
        <w:tab/>
        <w:t>NHS Foundation Trust. Tests and Investigations - Amino Acids https://www.gloshospitals.nhs.uk/our-services/services-we-offer/pathology/tests-and-investigations/amino-acids/ (accessed Nov 16, 2020).</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(32) </w:t>
      </w:r>
      <w:r w:rsidRPr="000A3EE3">
        <w:rPr>
          <w:rFonts w:ascii="Arno Pro" w:hAnsi="Arno Pro"/>
          <w:noProof/>
          <w:sz w:val="16"/>
        </w:rPr>
        <w:tab/>
        <w:t xml:space="preserve">de Vries, A. De; Alexander, B.; Quamo, Y. Studies on Amino Acid Metabolism. II. Blood Glycine and Total Amino Acids in Various Pathological Conditions, with Observations on the Effects of Intravenously Administered Glycine. </w:t>
      </w:r>
      <w:r w:rsidRPr="000A3EE3">
        <w:rPr>
          <w:rFonts w:ascii="Arno Pro" w:hAnsi="Arno Pro"/>
          <w:i/>
          <w:iCs/>
          <w:noProof/>
          <w:sz w:val="16"/>
        </w:rPr>
        <w:t>J. Clin. Invest.</w:t>
      </w:r>
      <w:r w:rsidRPr="000A3EE3">
        <w:rPr>
          <w:rFonts w:ascii="Arno Pro" w:hAnsi="Arno Pro"/>
          <w:noProof/>
          <w:sz w:val="16"/>
        </w:rPr>
        <w:t xml:space="preserve"> </w:t>
      </w:r>
      <w:r w:rsidRPr="000A3EE3">
        <w:rPr>
          <w:rFonts w:ascii="Arno Pro" w:hAnsi="Arno Pro"/>
          <w:b/>
          <w:bCs/>
          <w:noProof/>
          <w:sz w:val="16"/>
        </w:rPr>
        <w:t>1948</w:t>
      </w:r>
      <w:r w:rsidRPr="000A3EE3">
        <w:rPr>
          <w:rFonts w:ascii="Arno Pro" w:hAnsi="Arno Pro"/>
          <w:noProof/>
          <w:sz w:val="16"/>
        </w:rPr>
        <w:t xml:space="preserve">, </w:t>
      </w:r>
      <w:r w:rsidRPr="000A3EE3">
        <w:rPr>
          <w:rFonts w:ascii="Arno Pro" w:hAnsi="Arno Pro"/>
          <w:i/>
          <w:iCs/>
          <w:noProof/>
          <w:sz w:val="16"/>
        </w:rPr>
        <w:t>27</w:t>
      </w:r>
      <w:r w:rsidRPr="000A3EE3">
        <w:rPr>
          <w:rFonts w:ascii="Arno Pro" w:hAnsi="Arno Pro"/>
          <w:noProof/>
          <w:sz w:val="16"/>
        </w:rPr>
        <w:t>, 655–664.</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(33) </w:t>
      </w:r>
      <w:r w:rsidRPr="000A3EE3">
        <w:rPr>
          <w:rFonts w:ascii="Arno Pro" w:hAnsi="Arno Pro"/>
          <w:noProof/>
          <w:sz w:val="16"/>
        </w:rPr>
        <w:tab/>
        <w:t xml:space="preserve">Greetham, G. M.; Burgos, P.; Cao, Q.; Clark, I. A. N. P.; Codd, P. S.; Farrow, R. C.; George, M. W.; Matousek, P.; Parker, A. W.; Pollard, M. R.; Robinson, A.; Xin, Z.; Towrie, M. ULTRA: A Unique Instrument for Time-Resolved Spectroscopy. </w:t>
      </w:r>
      <w:r w:rsidRPr="000A3EE3">
        <w:rPr>
          <w:rFonts w:ascii="Arno Pro" w:hAnsi="Arno Pro"/>
          <w:i/>
          <w:iCs/>
          <w:noProof/>
          <w:sz w:val="16"/>
        </w:rPr>
        <w:t>Appl. Spectrosc.</w:t>
      </w:r>
      <w:r w:rsidRPr="000A3EE3">
        <w:rPr>
          <w:rFonts w:ascii="Arno Pro" w:hAnsi="Arno Pro"/>
          <w:noProof/>
          <w:sz w:val="16"/>
        </w:rPr>
        <w:t xml:space="preserve"> </w:t>
      </w:r>
      <w:r w:rsidRPr="000A3EE3">
        <w:rPr>
          <w:rFonts w:ascii="Arno Pro" w:hAnsi="Arno Pro"/>
          <w:b/>
          <w:bCs/>
          <w:noProof/>
          <w:sz w:val="16"/>
        </w:rPr>
        <w:t>2010</w:t>
      </w:r>
      <w:r w:rsidRPr="000A3EE3">
        <w:rPr>
          <w:rFonts w:ascii="Arno Pro" w:hAnsi="Arno Pro"/>
          <w:noProof/>
          <w:sz w:val="16"/>
        </w:rPr>
        <w:t xml:space="preserve">, </w:t>
      </w:r>
      <w:r w:rsidRPr="000A3EE3">
        <w:rPr>
          <w:rFonts w:ascii="Arno Pro" w:hAnsi="Arno Pro"/>
          <w:i/>
          <w:iCs/>
          <w:noProof/>
          <w:sz w:val="16"/>
        </w:rPr>
        <w:t>64</w:t>
      </w:r>
      <w:r w:rsidRPr="000A3EE3">
        <w:rPr>
          <w:rFonts w:ascii="Arno Pro" w:hAnsi="Arno Pro"/>
          <w:noProof/>
          <w:sz w:val="16"/>
        </w:rPr>
        <w:t xml:space="preserve">, 1311–1319.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(34) </w:t>
      </w:r>
      <w:r w:rsidRPr="000A3EE3">
        <w:rPr>
          <w:rFonts w:ascii="Arno Pro" w:hAnsi="Arno Pro"/>
          <w:noProof/>
          <w:sz w:val="16"/>
        </w:rPr>
        <w:tab/>
        <w:t xml:space="preserve">Deflores, L. P.; Nicodemus, R. A.; Tokmakoff, A. Two-Dimensional Fourier Transform Spectroscopy in the Pump – Probe Geometry. </w:t>
      </w:r>
      <w:r w:rsidRPr="000A3EE3">
        <w:rPr>
          <w:rFonts w:ascii="Arno Pro" w:hAnsi="Arno Pro"/>
          <w:i/>
          <w:iCs/>
          <w:noProof/>
          <w:sz w:val="16"/>
        </w:rPr>
        <w:t>Opt. Lett.</w:t>
      </w:r>
      <w:r w:rsidRPr="000A3EE3">
        <w:rPr>
          <w:rFonts w:ascii="Arno Pro" w:hAnsi="Arno Pro"/>
          <w:noProof/>
          <w:sz w:val="16"/>
        </w:rPr>
        <w:t xml:space="preserve"> </w:t>
      </w:r>
      <w:r w:rsidRPr="000A3EE3">
        <w:rPr>
          <w:rFonts w:ascii="Arno Pro" w:hAnsi="Arno Pro"/>
          <w:b/>
          <w:bCs/>
          <w:noProof/>
          <w:sz w:val="16"/>
        </w:rPr>
        <w:t>2007</w:t>
      </w:r>
      <w:r w:rsidRPr="000A3EE3">
        <w:rPr>
          <w:rFonts w:ascii="Arno Pro" w:hAnsi="Arno Pro"/>
          <w:noProof/>
          <w:sz w:val="16"/>
        </w:rPr>
        <w:t xml:space="preserve">, </w:t>
      </w:r>
      <w:r w:rsidRPr="000A3EE3">
        <w:rPr>
          <w:rFonts w:ascii="Arno Pro" w:hAnsi="Arno Pro"/>
          <w:i/>
          <w:iCs/>
          <w:noProof/>
          <w:sz w:val="16"/>
        </w:rPr>
        <w:t>32</w:t>
      </w:r>
      <w:r w:rsidRPr="000A3EE3">
        <w:rPr>
          <w:rFonts w:ascii="Arno Pro" w:hAnsi="Arno Pro"/>
          <w:noProof/>
          <w:sz w:val="16"/>
        </w:rPr>
        <w:t>, 2966–2968.</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(35) </w:t>
      </w:r>
      <w:r w:rsidRPr="000A3EE3">
        <w:rPr>
          <w:rFonts w:ascii="Arno Pro" w:hAnsi="Arno Pro"/>
          <w:noProof/>
          <w:sz w:val="16"/>
        </w:rPr>
        <w:tab/>
        <w:t xml:space="preserve">Hunt, N. T. 2D-IR Spectroscopy: Ultrafast Insights into Biomolecule Structure and Function. </w:t>
      </w:r>
      <w:r w:rsidRPr="000A3EE3">
        <w:rPr>
          <w:rFonts w:ascii="Arno Pro" w:hAnsi="Arno Pro"/>
          <w:i/>
          <w:iCs/>
          <w:noProof/>
          <w:sz w:val="16"/>
        </w:rPr>
        <w:t>Chem. Soc. Rev.</w:t>
      </w:r>
      <w:r w:rsidRPr="000A3EE3">
        <w:rPr>
          <w:rFonts w:ascii="Arno Pro" w:hAnsi="Arno Pro"/>
          <w:noProof/>
          <w:sz w:val="16"/>
        </w:rPr>
        <w:t xml:space="preserve"> </w:t>
      </w:r>
      <w:r w:rsidRPr="000A3EE3">
        <w:rPr>
          <w:rFonts w:ascii="Arno Pro" w:hAnsi="Arno Pro"/>
          <w:b/>
          <w:bCs/>
          <w:noProof/>
          <w:sz w:val="16"/>
        </w:rPr>
        <w:t>2009</w:t>
      </w:r>
      <w:r w:rsidRPr="000A3EE3">
        <w:rPr>
          <w:rFonts w:ascii="Arno Pro" w:hAnsi="Arno Pro"/>
          <w:noProof/>
          <w:sz w:val="16"/>
        </w:rPr>
        <w:t xml:space="preserve">, </w:t>
      </w:r>
      <w:r w:rsidRPr="000A3EE3">
        <w:rPr>
          <w:rFonts w:ascii="Arno Pro" w:hAnsi="Arno Pro"/>
          <w:i/>
          <w:iCs/>
          <w:noProof/>
          <w:sz w:val="16"/>
        </w:rPr>
        <w:t>38</w:t>
      </w:r>
      <w:r w:rsidRPr="000A3EE3">
        <w:rPr>
          <w:rFonts w:ascii="Arno Pro" w:hAnsi="Arno Pro"/>
          <w:noProof/>
          <w:sz w:val="16"/>
        </w:rPr>
        <w:t xml:space="preserve">, 1837–1848.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(36) </w:t>
      </w:r>
      <w:r w:rsidRPr="000A3EE3">
        <w:rPr>
          <w:rFonts w:ascii="Arno Pro" w:hAnsi="Arno Pro"/>
          <w:noProof/>
          <w:sz w:val="16"/>
        </w:rPr>
        <w:tab/>
        <w:t xml:space="preserve">Team, R. D. C. R: A Language and Environment for Statistical Computing. </w:t>
      </w:r>
      <w:r w:rsidRPr="000A3EE3">
        <w:rPr>
          <w:rFonts w:ascii="Arno Pro" w:hAnsi="Arno Pro"/>
          <w:i/>
          <w:iCs/>
          <w:noProof/>
          <w:sz w:val="16"/>
        </w:rPr>
        <w:t>R Found. Stat. Comput.</w:t>
      </w:r>
      <w:r w:rsidRPr="000A3EE3">
        <w:rPr>
          <w:rFonts w:ascii="Arno Pro" w:hAnsi="Arno Pro"/>
          <w:noProof/>
          <w:sz w:val="16"/>
        </w:rPr>
        <w:t xml:space="preserve"> </w:t>
      </w:r>
      <w:r w:rsidRPr="000A3EE3">
        <w:rPr>
          <w:rFonts w:ascii="Arno Pro" w:hAnsi="Arno Pro"/>
          <w:b/>
          <w:bCs/>
          <w:noProof/>
          <w:sz w:val="16"/>
        </w:rPr>
        <w:t>2010</w:t>
      </w:r>
      <w:r w:rsidRPr="000A3EE3">
        <w:rPr>
          <w:rFonts w:ascii="Arno Pro" w:hAnsi="Arno Pro"/>
          <w:noProof/>
          <w:sz w:val="16"/>
        </w:rPr>
        <w:t>.</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(37) </w:t>
      </w:r>
      <w:r w:rsidRPr="000A3EE3">
        <w:rPr>
          <w:rFonts w:ascii="Arno Pro" w:hAnsi="Arno Pro"/>
          <w:noProof/>
          <w:sz w:val="16"/>
        </w:rPr>
        <w:tab/>
        <w:t xml:space="preserve">Lutz, O. M. D.; Messner, C. B.; Hofer, T. S.; Canaval, L. R.; Bonn, G. K.; Huck, C. W. Computational Vibrational Spectroscopy of Glycine in Aqueous Solution – Fundamental Considerations towards Feasible Methodologies. </w:t>
      </w:r>
      <w:r w:rsidRPr="000A3EE3">
        <w:rPr>
          <w:rFonts w:ascii="Arno Pro" w:hAnsi="Arno Pro"/>
          <w:i/>
          <w:iCs/>
          <w:noProof/>
          <w:sz w:val="16"/>
        </w:rPr>
        <w:t>Chem. Phys.</w:t>
      </w:r>
      <w:r w:rsidRPr="000A3EE3">
        <w:rPr>
          <w:rFonts w:ascii="Arno Pro" w:hAnsi="Arno Pro"/>
          <w:noProof/>
          <w:sz w:val="16"/>
        </w:rPr>
        <w:t xml:space="preserve"> </w:t>
      </w:r>
      <w:r w:rsidRPr="000A3EE3">
        <w:rPr>
          <w:rFonts w:ascii="Arno Pro" w:hAnsi="Arno Pro"/>
          <w:b/>
          <w:bCs/>
          <w:noProof/>
          <w:sz w:val="16"/>
        </w:rPr>
        <w:t>2014</w:t>
      </w:r>
      <w:r w:rsidRPr="000A3EE3">
        <w:rPr>
          <w:rFonts w:ascii="Arno Pro" w:hAnsi="Arno Pro"/>
          <w:noProof/>
          <w:sz w:val="16"/>
        </w:rPr>
        <w:t xml:space="preserve">, </w:t>
      </w:r>
      <w:r w:rsidRPr="000A3EE3">
        <w:rPr>
          <w:rFonts w:ascii="Arno Pro" w:hAnsi="Arno Pro"/>
          <w:i/>
          <w:iCs/>
          <w:noProof/>
          <w:sz w:val="16"/>
        </w:rPr>
        <w:t>435</w:t>
      </w:r>
      <w:r w:rsidRPr="000A3EE3">
        <w:rPr>
          <w:rFonts w:ascii="Arno Pro" w:hAnsi="Arno Pro"/>
          <w:noProof/>
          <w:sz w:val="16"/>
        </w:rPr>
        <w:t>, 21–28.</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(38) </w:t>
      </w:r>
      <w:r w:rsidRPr="000A3EE3">
        <w:rPr>
          <w:rFonts w:ascii="Arno Pro" w:hAnsi="Arno Pro"/>
          <w:noProof/>
          <w:sz w:val="16"/>
        </w:rPr>
        <w:tab/>
        <w:t xml:space="preserve">Deflores, L. P.; Ganim, Z.; Nicodemus, R. A.; Tokmakoff, A. Amide I′-II′ 2D IR Spectroscopy Provides Enhanced Protein Secondary Structural Sensitivity. </w:t>
      </w:r>
      <w:r w:rsidRPr="000A3EE3">
        <w:rPr>
          <w:rFonts w:ascii="Arno Pro" w:hAnsi="Arno Pro"/>
          <w:i/>
          <w:iCs/>
          <w:noProof/>
          <w:sz w:val="16"/>
        </w:rPr>
        <w:t>J. Am. Chem. Soc.</w:t>
      </w:r>
      <w:r w:rsidRPr="000A3EE3">
        <w:rPr>
          <w:rFonts w:ascii="Arno Pro" w:hAnsi="Arno Pro"/>
          <w:noProof/>
          <w:sz w:val="16"/>
        </w:rPr>
        <w:t xml:space="preserve"> </w:t>
      </w:r>
      <w:r w:rsidRPr="000A3EE3">
        <w:rPr>
          <w:rFonts w:ascii="Arno Pro" w:hAnsi="Arno Pro"/>
          <w:b/>
          <w:bCs/>
          <w:noProof/>
          <w:sz w:val="16"/>
        </w:rPr>
        <w:t>2009</w:t>
      </w:r>
      <w:r w:rsidRPr="000A3EE3">
        <w:rPr>
          <w:rFonts w:ascii="Arno Pro" w:hAnsi="Arno Pro"/>
          <w:noProof/>
          <w:sz w:val="16"/>
        </w:rPr>
        <w:t xml:space="preserve">, </w:t>
      </w:r>
      <w:r w:rsidRPr="000A3EE3">
        <w:rPr>
          <w:rFonts w:ascii="Arno Pro" w:hAnsi="Arno Pro"/>
          <w:i/>
          <w:iCs/>
          <w:noProof/>
          <w:sz w:val="16"/>
        </w:rPr>
        <w:t>13</w:t>
      </w:r>
      <w:r w:rsidR="00AA4C2C">
        <w:rPr>
          <w:rFonts w:ascii="Arno Pro" w:hAnsi="Arno Pro"/>
          <w:i/>
          <w:iCs/>
          <w:noProof/>
          <w:sz w:val="16"/>
        </w:rPr>
        <w:t>1</w:t>
      </w:r>
      <w:r w:rsidRPr="000A3EE3">
        <w:rPr>
          <w:rFonts w:ascii="Arno Pro" w:hAnsi="Arno Pro"/>
          <w:noProof/>
          <w:sz w:val="16"/>
        </w:rPr>
        <w:t>, 3385–3391.</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(39) </w:t>
      </w:r>
      <w:r w:rsidRPr="000A3EE3">
        <w:rPr>
          <w:rFonts w:ascii="Arno Pro" w:hAnsi="Arno Pro"/>
          <w:noProof/>
          <w:sz w:val="16"/>
        </w:rPr>
        <w:tab/>
        <w:t xml:space="preserve">Hume, S.; Greetham, G. M.; Donaldson, P. M.; Towrie, M.; Parker, A. W.; Baker, M. J.; Hunt, N. T. 2D-Infrared Spectroscopy of Proteins in Water: Using the Solvent Thermal Response as an Internal Standard. </w:t>
      </w:r>
      <w:r w:rsidRPr="000A3EE3">
        <w:rPr>
          <w:rFonts w:ascii="Arno Pro" w:hAnsi="Arno Pro"/>
          <w:i/>
          <w:iCs/>
          <w:noProof/>
          <w:sz w:val="16"/>
        </w:rPr>
        <w:t>Anal. Chem.</w:t>
      </w:r>
      <w:r w:rsidRPr="000A3EE3">
        <w:rPr>
          <w:rFonts w:ascii="Arno Pro" w:hAnsi="Arno Pro"/>
          <w:noProof/>
          <w:sz w:val="16"/>
        </w:rPr>
        <w:t xml:space="preserve"> </w:t>
      </w:r>
      <w:r w:rsidRPr="000A3EE3">
        <w:rPr>
          <w:rFonts w:ascii="Arno Pro" w:hAnsi="Arno Pro"/>
          <w:b/>
          <w:bCs/>
          <w:noProof/>
          <w:sz w:val="16"/>
        </w:rPr>
        <w:t>2020</w:t>
      </w:r>
      <w:r w:rsidRPr="000A3EE3">
        <w:rPr>
          <w:rFonts w:ascii="Arno Pro" w:hAnsi="Arno Pro"/>
          <w:noProof/>
          <w:sz w:val="16"/>
        </w:rPr>
        <w:t xml:space="preserve">, </w:t>
      </w:r>
      <w:r w:rsidRPr="000A3EE3">
        <w:rPr>
          <w:rFonts w:ascii="Arno Pro" w:hAnsi="Arno Pro"/>
          <w:i/>
          <w:iCs/>
          <w:noProof/>
          <w:sz w:val="16"/>
        </w:rPr>
        <w:t>92</w:t>
      </w:r>
      <w:r w:rsidRPr="000A3EE3">
        <w:rPr>
          <w:rFonts w:ascii="Arno Pro" w:hAnsi="Arno Pro"/>
          <w:noProof/>
          <w:sz w:val="16"/>
        </w:rPr>
        <w:t>, 3463–3469.</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(40) </w:t>
      </w:r>
      <w:r w:rsidRPr="000A3EE3">
        <w:rPr>
          <w:rFonts w:ascii="Arno Pro" w:hAnsi="Arno Pro"/>
          <w:noProof/>
          <w:sz w:val="16"/>
        </w:rPr>
        <w:tab/>
        <w:t xml:space="preserve">Yang, H.; Yang, S.; Kong, J.; Dong, A.; Yu, S. Obtaining Information about Protein Secondary Structures in Aqueous Solution Using Fourier Transform IR Spectroscopy. </w:t>
      </w:r>
      <w:r w:rsidRPr="000A3EE3">
        <w:rPr>
          <w:rFonts w:ascii="Arno Pro" w:hAnsi="Arno Pro"/>
          <w:i/>
          <w:iCs/>
          <w:noProof/>
          <w:sz w:val="16"/>
        </w:rPr>
        <w:t>Nat. Protoc.</w:t>
      </w:r>
      <w:r w:rsidRPr="000A3EE3">
        <w:rPr>
          <w:rFonts w:ascii="Arno Pro" w:hAnsi="Arno Pro"/>
          <w:noProof/>
          <w:sz w:val="16"/>
        </w:rPr>
        <w:t xml:space="preserve"> </w:t>
      </w:r>
      <w:r w:rsidRPr="000A3EE3">
        <w:rPr>
          <w:rFonts w:ascii="Arno Pro" w:hAnsi="Arno Pro"/>
          <w:b/>
          <w:bCs/>
          <w:noProof/>
          <w:sz w:val="16"/>
        </w:rPr>
        <w:t>2015</w:t>
      </w:r>
      <w:r w:rsidRPr="000A3EE3">
        <w:rPr>
          <w:rFonts w:ascii="Arno Pro" w:hAnsi="Arno Pro"/>
          <w:noProof/>
          <w:sz w:val="16"/>
        </w:rPr>
        <w:t xml:space="preserve">, </w:t>
      </w:r>
      <w:r w:rsidRPr="000A3EE3">
        <w:rPr>
          <w:rFonts w:ascii="Arno Pro" w:hAnsi="Arno Pro"/>
          <w:i/>
          <w:iCs/>
          <w:noProof/>
          <w:sz w:val="16"/>
        </w:rPr>
        <w:t>10</w:t>
      </w:r>
      <w:r w:rsidRPr="000A3EE3">
        <w:rPr>
          <w:rFonts w:ascii="Arno Pro" w:hAnsi="Arno Pro"/>
          <w:noProof/>
          <w:sz w:val="16"/>
        </w:rPr>
        <w:t>, 382–396.</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(41) </w:t>
      </w:r>
      <w:r w:rsidRPr="000A3EE3">
        <w:rPr>
          <w:rFonts w:ascii="Arno Pro" w:hAnsi="Arno Pro"/>
          <w:noProof/>
          <w:sz w:val="16"/>
        </w:rPr>
        <w:tab/>
        <w:t xml:space="preserve">Kim, Y. S.; Hochstrasser, R. M. Applications of 2D IR Spectroscopy to Peptides, Proteins, and Hydrogen-Bond Dynamics. </w:t>
      </w:r>
      <w:r w:rsidRPr="000A3EE3">
        <w:rPr>
          <w:rFonts w:ascii="Arno Pro" w:hAnsi="Arno Pro"/>
          <w:i/>
          <w:iCs/>
          <w:noProof/>
          <w:sz w:val="16"/>
        </w:rPr>
        <w:t>J. Phys. Chem. B</w:t>
      </w:r>
      <w:r w:rsidRPr="000A3EE3">
        <w:rPr>
          <w:rFonts w:ascii="Arno Pro" w:hAnsi="Arno Pro"/>
          <w:noProof/>
          <w:sz w:val="16"/>
        </w:rPr>
        <w:t xml:space="preserve"> </w:t>
      </w:r>
      <w:r w:rsidRPr="000A3EE3">
        <w:rPr>
          <w:rFonts w:ascii="Arno Pro" w:hAnsi="Arno Pro"/>
          <w:b/>
          <w:bCs/>
          <w:noProof/>
          <w:sz w:val="16"/>
        </w:rPr>
        <w:t>2009</w:t>
      </w:r>
      <w:r w:rsidRPr="000A3EE3">
        <w:rPr>
          <w:rFonts w:ascii="Arno Pro" w:hAnsi="Arno Pro"/>
          <w:noProof/>
          <w:sz w:val="16"/>
        </w:rPr>
        <w:t xml:space="preserve">, </w:t>
      </w:r>
      <w:r w:rsidRPr="000A3EE3">
        <w:rPr>
          <w:rFonts w:ascii="Arno Pro" w:hAnsi="Arno Pro"/>
          <w:i/>
          <w:iCs/>
          <w:noProof/>
          <w:sz w:val="16"/>
        </w:rPr>
        <w:t>113</w:t>
      </w:r>
      <w:r w:rsidRPr="000A3EE3">
        <w:rPr>
          <w:rFonts w:ascii="Arno Pro" w:hAnsi="Arno Pro"/>
          <w:noProof/>
          <w:sz w:val="16"/>
        </w:rPr>
        <w:t>, 8231–8251.</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(42) </w:t>
      </w:r>
      <w:r w:rsidRPr="000A3EE3">
        <w:rPr>
          <w:rFonts w:ascii="Arno Pro" w:hAnsi="Arno Pro"/>
          <w:noProof/>
          <w:sz w:val="16"/>
        </w:rPr>
        <w:tab/>
        <w:t xml:space="preserve">Grechko, M.; Zanni, M. T. Quantification of Transition Dipole Strengths Using 1D and 2D Spectroscopy for the Identification of Molecular Structures via Exciton Delocalization: Application to Alpha-Helices. </w:t>
      </w:r>
      <w:r w:rsidRPr="000A3EE3">
        <w:rPr>
          <w:rFonts w:ascii="Arno Pro" w:hAnsi="Arno Pro"/>
          <w:i/>
          <w:iCs/>
          <w:noProof/>
          <w:sz w:val="16"/>
        </w:rPr>
        <w:t>J. Chem. Phys.</w:t>
      </w:r>
      <w:r w:rsidRPr="000A3EE3">
        <w:rPr>
          <w:rFonts w:ascii="Arno Pro" w:hAnsi="Arno Pro"/>
          <w:noProof/>
          <w:sz w:val="16"/>
        </w:rPr>
        <w:t xml:space="preserve"> </w:t>
      </w:r>
      <w:r w:rsidRPr="000A3EE3">
        <w:rPr>
          <w:rFonts w:ascii="Arno Pro" w:hAnsi="Arno Pro"/>
          <w:b/>
          <w:bCs/>
          <w:noProof/>
          <w:sz w:val="16"/>
        </w:rPr>
        <w:t>2012</w:t>
      </w:r>
      <w:r w:rsidRPr="000A3EE3">
        <w:rPr>
          <w:rFonts w:ascii="Arno Pro" w:hAnsi="Arno Pro"/>
          <w:noProof/>
          <w:sz w:val="16"/>
        </w:rPr>
        <w:t xml:space="preserve">, </w:t>
      </w:r>
      <w:r w:rsidRPr="000A3EE3">
        <w:rPr>
          <w:rFonts w:ascii="Arno Pro" w:hAnsi="Arno Pro"/>
          <w:i/>
          <w:iCs/>
          <w:noProof/>
          <w:sz w:val="16"/>
        </w:rPr>
        <w:t>137</w:t>
      </w:r>
      <w:r w:rsidRPr="000A3EE3">
        <w:rPr>
          <w:rFonts w:ascii="Arno Pro" w:hAnsi="Arno Pro"/>
          <w:noProof/>
          <w:sz w:val="16"/>
        </w:rPr>
        <w:t xml:space="preserve">, 184202. </w:t>
      </w:r>
    </w:p>
    <w:p w:rsidR="000A3EE3" w:rsidRPr="000A3EE3" w:rsidRDefault="000A3EE3" w:rsidP="000A3EE3">
      <w:pPr>
        <w:widowControl w:val="0"/>
        <w:autoSpaceDE w:val="0"/>
        <w:autoSpaceDN w:val="0"/>
        <w:adjustRightInd w:val="0"/>
        <w:spacing w:after="0"/>
        <w:ind w:left="640" w:hanging="640"/>
        <w:rPr>
          <w:rFonts w:ascii="Arno Pro" w:hAnsi="Arno Pro"/>
          <w:noProof/>
          <w:sz w:val="16"/>
        </w:rPr>
      </w:pPr>
      <w:r w:rsidRPr="000A3EE3">
        <w:rPr>
          <w:rFonts w:ascii="Arno Pro" w:hAnsi="Arno Pro"/>
          <w:noProof/>
          <w:sz w:val="16"/>
        </w:rPr>
        <w:t xml:space="preserve">(43) </w:t>
      </w:r>
      <w:r w:rsidRPr="000A3EE3">
        <w:rPr>
          <w:rFonts w:ascii="Arno Pro" w:hAnsi="Arno Pro"/>
          <w:noProof/>
          <w:sz w:val="16"/>
        </w:rPr>
        <w:tab/>
        <w:t xml:space="preserve">Minnes, L.; Shaw, D. J.; Cossins, B. P.; Donaldson, P. M.; Greetham, G. M.; Towrie, M.; Parker, A. W.; Baker, M. J.; Henry, A. J.; Taylor, R. J.; Hunt, N. T. Quantifying Secondary Structure Changes in Calmodulin Using 2D-IR Spectroscopy. </w:t>
      </w:r>
      <w:r w:rsidRPr="000A3EE3">
        <w:rPr>
          <w:rFonts w:ascii="Arno Pro" w:hAnsi="Arno Pro"/>
          <w:i/>
          <w:iCs/>
          <w:noProof/>
          <w:sz w:val="16"/>
        </w:rPr>
        <w:t>Anal. Chem.</w:t>
      </w:r>
      <w:r w:rsidRPr="000A3EE3">
        <w:rPr>
          <w:rFonts w:ascii="Arno Pro" w:hAnsi="Arno Pro"/>
          <w:noProof/>
          <w:sz w:val="16"/>
        </w:rPr>
        <w:t xml:space="preserve"> </w:t>
      </w:r>
      <w:r w:rsidRPr="000A3EE3">
        <w:rPr>
          <w:rFonts w:ascii="Arno Pro" w:hAnsi="Arno Pro"/>
          <w:b/>
          <w:bCs/>
          <w:noProof/>
          <w:sz w:val="16"/>
        </w:rPr>
        <w:t>2017</w:t>
      </w:r>
      <w:r w:rsidRPr="000A3EE3">
        <w:rPr>
          <w:rFonts w:ascii="Arno Pro" w:hAnsi="Arno Pro"/>
          <w:noProof/>
          <w:sz w:val="16"/>
        </w:rPr>
        <w:t xml:space="preserve">, </w:t>
      </w:r>
      <w:r w:rsidRPr="000A3EE3">
        <w:rPr>
          <w:rFonts w:ascii="Arno Pro" w:hAnsi="Arno Pro"/>
          <w:i/>
          <w:iCs/>
          <w:noProof/>
          <w:sz w:val="16"/>
        </w:rPr>
        <w:t>89</w:t>
      </w:r>
      <w:r w:rsidRPr="000A3EE3">
        <w:rPr>
          <w:rFonts w:ascii="Arno Pro" w:hAnsi="Arno Pro"/>
          <w:noProof/>
          <w:sz w:val="16"/>
        </w:rPr>
        <w:t>, 10898–10906.</w:t>
      </w:r>
    </w:p>
    <w:p w:rsidR="00DC05F9" w:rsidRDefault="00C87316" w:rsidP="000A3EE3">
      <w:pPr>
        <w:widowControl w:val="0"/>
        <w:autoSpaceDE w:val="0"/>
        <w:autoSpaceDN w:val="0"/>
        <w:adjustRightInd w:val="0"/>
        <w:spacing w:after="0"/>
        <w:ind w:left="640" w:hanging="640"/>
      </w:pPr>
      <w:r>
        <w:rPr>
          <w:rFonts w:asciiTheme="minorHAnsi" w:hAnsiTheme="minorHAnsi" w:cstheme="minorHAnsi"/>
          <w:b/>
          <w:i/>
          <w:shd w:val="clear" w:color="auto" w:fill="FFFFFF"/>
        </w:rPr>
        <w:fldChar w:fldCharType="end"/>
      </w:r>
      <w:r w:rsidRPr="00BE533F">
        <w:t xml:space="preserve"> </w:t>
      </w:r>
      <w:r w:rsidR="00DC05F9">
        <w:t xml:space="preserve"> </w:t>
      </w:r>
    </w:p>
    <w:p w:rsidR="00861B71" w:rsidRPr="00861B71" w:rsidRDefault="00861B71" w:rsidP="005A1E30">
      <w:pPr>
        <w:pStyle w:val="TFReferencesSection"/>
        <w:ind w:left="547" w:firstLine="0"/>
      </w:pPr>
    </w:p>
    <w:p w:rsidR="00DD29EF" w:rsidRDefault="00DD29EF" w:rsidP="00C06CFC">
      <w:pPr>
        <w:pStyle w:val="SNSynopsisTOC"/>
        <w:sectPr w:rsidR="00DD29EF" w:rsidSect="00984F9E">
          <w:type w:val="continuous"/>
          <w:pgSz w:w="12240" w:h="15840"/>
          <w:pgMar w:top="720" w:right="1094" w:bottom="720" w:left="1094" w:header="720" w:footer="720" w:gutter="0"/>
          <w:cols w:num="2" w:space="461"/>
        </w:sectPr>
      </w:pPr>
    </w:p>
    <w:p w:rsidR="00DD29EF" w:rsidRPr="00F8537A" w:rsidRDefault="00DD29EF" w:rsidP="00C06CFC">
      <w:pPr>
        <w:pStyle w:val="SNSynopsisTOC"/>
      </w:pPr>
    </w:p>
    <w:p w:rsidR="00A66EDD" w:rsidRDefault="00A66EDD" w:rsidP="000D099D">
      <w:pPr>
        <w:pStyle w:val="TFReferencesSection"/>
        <w:ind w:firstLine="0"/>
      </w:pPr>
    </w:p>
    <w:p w:rsidR="008A3DBB" w:rsidRDefault="008A3DBB" w:rsidP="008A3DBB"/>
    <w:p w:rsidR="008A3DBB" w:rsidRDefault="008A3DBB" w:rsidP="000C0CF2"/>
    <w:p w:rsidR="000C0CF2" w:rsidRDefault="000C0CF2" w:rsidP="000C0CF2"/>
    <w:p w:rsidR="000C0CF2" w:rsidRDefault="000C0CF2" w:rsidP="000C0CF2"/>
    <w:p w:rsidR="000C0CF2" w:rsidRDefault="000C0CF2" w:rsidP="000C0CF2"/>
    <w:p w:rsidR="000C0CF2" w:rsidRDefault="000C0CF2" w:rsidP="000C0CF2"/>
    <w:p w:rsidR="000C0CF2" w:rsidRDefault="000C0CF2" w:rsidP="000C0CF2"/>
    <w:p w:rsidR="000C0CF2" w:rsidRPr="000C0CF2" w:rsidRDefault="000C0CF2" w:rsidP="008A3DBB">
      <w:pPr>
        <w:sectPr w:rsidR="000C0CF2" w:rsidRPr="000C0CF2" w:rsidSect="00984F9E">
          <w:type w:val="continuous"/>
          <w:pgSz w:w="12240" w:h="15840"/>
          <w:pgMar w:top="720" w:right="1094" w:bottom="720" w:left="1094" w:header="720" w:footer="720" w:gutter="0"/>
          <w:cols w:space="461"/>
        </w:sectPr>
        <w:pPrChange w:id="2" w:author="Samantha Rutherford" w:date="2020-11-19T16:10:00Z">
          <w:pPr>
            <w:pStyle w:val="TFReferencesSection"/>
            <w:ind w:firstLine="0"/>
          </w:pPr>
        </w:pPrChange>
      </w:pPr>
    </w:p>
    <w:p w:rsidR="00A66EDD" w:rsidRPr="00865479" w:rsidRDefault="00A66EDD" w:rsidP="00A66EDD">
      <w:pPr>
        <w:pBdr>
          <w:top w:val="single" w:sz="4" w:space="1" w:color="auto"/>
        </w:pBdr>
        <w:spacing w:before="120"/>
        <w:rPr>
          <w:rFonts w:ascii="Arno Pro" w:hAnsi="Arno Pro"/>
          <w:sz w:val="20"/>
        </w:rPr>
      </w:pPr>
    </w:p>
    <w:p w:rsidR="00A66EDD" w:rsidRDefault="00BF41C0" w:rsidP="00A66EDD">
      <w:pPr>
        <w:pBdr>
          <w:bottom w:val="single" w:sz="4" w:space="1" w:color="auto"/>
        </w:pBdr>
        <w:spacing w:after="240"/>
        <w:jc w:val="center"/>
        <w:rPr>
          <w:rFonts w:ascii="Arno Pro" w:hAnsi="Arno Pro"/>
        </w:rPr>
      </w:pPr>
      <w:r>
        <w:rPr>
          <w:rFonts w:ascii="Arno Pro" w:hAnsi="Arno Pro"/>
        </w:rPr>
        <w:t>For</w:t>
      </w:r>
      <w:r w:rsidRPr="00C45E7B">
        <w:rPr>
          <w:rFonts w:ascii="Arno Pro" w:hAnsi="Arno Pro"/>
        </w:rPr>
        <w:t xml:space="preserve"> </w:t>
      </w:r>
      <w:r w:rsidR="00A66EDD" w:rsidRPr="00C45E7B">
        <w:rPr>
          <w:rFonts w:ascii="Arno Pro" w:hAnsi="Arno Pro"/>
        </w:rPr>
        <w:t xml:space="preserve">Table of Contents </w:t>
      </w:r>
      <w:r>
        <w:rPr>
          <w:rFonts w:ascii="Arno Pro" w:hAnsi="Arno Pro"/>
        </w:rPr>
        <w:t>only</w:t>
      </w:r>
    </w:p>
    <w:p w:rsidR="000D099D" w:rsidRPr="00C45E7B" w:rsidRDefault="000D099D" w:rsidP="000D099D">
      <w:pPr>
        <w:pBdr>
          <w:bottom w:val="single" w:sz="4" w:space="1" w:color="auto"/>
        </w:pBdr>
        <w:spacing w:after="240"/>
        <w:jc w:val="center"/>
        <w:rPr>
          <w:rFonts w:ascii="Arno Pro" w:hAnsi="Arno Pro"/>
        </w:rPr>
      </w:pPr>
      <w:r>
        <w:rPr>
          <w:rFonts w:ascii="Arno Pro" w:hAnsi="Arno Pro"/>
          <w:noProof/>
        </w:rPr>
        <w:drawing>
          <wp:inline distT="0" distB="0" distL="0" distR="0" wp14:anchorId="27728A8C" wp14:editId="7039D846">
            <wp:extent cx="2628900"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628900" cy="1587500"/>
                    </a:xfrm>
                    <a:prstGeom prst="rect">
                      <a:avLst/>
                    </a:prstGeom>
                  </pic:spPr>
                </pic:pic>
              </a:graphicData>
            </a:graphic>
          </wp:inline>
        </w:drawing>
      </w:r>
    </w:p>
    <w:sectPr w:rsidR="000D099D" w:rsidRPr="00C45E7B" w:rsidSect="00984F9E">
      <w:headerReference w:type="even" r:id="rId16"/>
      <w:footerReference w:type="even" r:id="rId17"/>
      <w:footerReference w:type="default" r:id="rId18"/>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C3F0A" w:rsidRDefault="00AC3F0A">
      <w:r>
        <w:separator/>
      </w:r>
    </w:p>
    <w:p w:rsidR="00AC3F0A" w:rsidRDefault="00AC3F0A"/>
  </w:endnote>
  <w:endnote w:type="continuationSeparator" w:id="0">
    <w:p w:rsidR="00AC3F0A" w:rsidRDefault="00AC3F0A">
      <w:r>
        <w:continuationSeparator/>
      </w:r>
    </w:p>
    <w:p w:rsidR="00AC3F0A" w:rsidRDefault="00AC3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7" w:subsetted="1" w:fontKey="{6F94A0FD-D26C-5F4C-A698-49155A925AB5}"/>
    <w:embedBoldItalic r:id="rId8" w:subsetted="1" w:fontKey="{10513D12-5471-8445-AA94-B243F892F001}"/>
  </w:font>
  <w:font w:name="Cambria Math">
    <w:panose1 w:val="02040503050406030204"/>
    <w:charset w:val="00"/>
    <w:family w:val="roman"/>
    <w:pitch w:val="variable"/>
    <w:sig w:usb0="E00006FF" w:usb1="420024FF" w:usb2="02000000" w:usb3="00000000" w:csb0="0000019F" w:csb1="00000000"/>
    <w:embedRegular r:id="rId9" w:fontKey="{B1DD7B65-3152-8040-8936-7D50EE3B45AD}"/>
    <w:embedItalic r:id="rId10" w:fontKey="{2CA88191-A9C7-EB44-9912-4F841382C26F}"/>
  </w:font>
  <w:font w:name="Symbol">
    <w:panose1 w:val="05050102010706020507"/>
    <w:charset w:val="02"/>
    <w:family w:val="decorative"/>
    <w:pitch w:val="variable"/>
    <w:sig w:usb0="00000000" w:usb1="10000000" w:usb2="00000000" w:usb3="00000000" w:csb0="80000000" w:csb1="00000000"/>
    <w:embedRegular r:id="rId11" w:subsetted="1" w:fontKey="{6E85592F-4ADA-A448-93D5-9E677AFEEA4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7752790"/>
      <w:docPartObj>
        <w:docPartGallery w:val="Page Numbers (Bottom of Page)"/>
        <w:docPartUnique/>
      </w:docPartObj>
    </w:sdtPr>
    <w:sdtEndPr>
      <w:rPr>
        <w:rStyle w:val="PageNumber"/>
      </w:rPr>
    </w:sdtEndPr>
    <w:sdtContent>
      <w:p w:rsidR="003B73DA" w:rsidRDefault="003B73DA" w:rsidP="007A14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E35E0" w:rsidRDefault="004E35E0">
    <w:pPr>
      <w:framePr w:wrap="around" w:vAnchor="text" w:hAnchor="margin" w:xAlign="right" w:y="1"/>
      <w:rPr>
        <w:rStyle w:val="PageNumber"/>
      </w:rPr>
    </w:pPr>
    <w:r>
      <w:rPr>
        <w:rStyle w:val="PageNumber"/>
      </w:rPr>
      <w:t xml:space="preserve">PAGE  </w:t>
    </w:r>
    <w:r>
      <w:rPr>
        <w:rStyle w:val="PageNumber"/>
        <w:noProof/>
      </w:rPr>
      <w:t>2</w:t>
    </w:r>
  </w:p>
  <w:p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8567353"/>
      <w:docPartObj>
        <w:docPartGallery w:val="Page Numbers (Bottom of Page)"/>
        <w:docPartUnique/>
      </w:docPartObj>
    </w:sdtPr>
    <w:sdtEndPr>
      <w:rPr>
        <w:rStyle w:val="PageNumber"/>
      </w:rPr>
    </w:sdtEndPr>
    <w:sdtContent>
      <w:p w:rsidR="003B73DA" w:rsidRDefault="003B73DA" w:rsidP="007A14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E35E0" w:rsidRDefault="004E35E0">
    <w:pPr>
      <w:pStyle w:val="Footer"/>
      <w:ind w:right="360"/>
    </w:pPr>
  </w:p>
  <w:p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276D">
      <w:rPr>
        <w:rStyle w:val="PageNumber"/>
        <w:noProof/>
      </w:rPr>
      <w:t>5</w:t>
    </w:r>
    <w:r>
      <w:rPr>
        <w:rStyle w:val="PageNumber"/>
      </w:rPr>
      <w:fldChar w:fldCharType="end"/>
    </w:r>
  </w:p>
  <w:p w:rsidR="004E35E0" w:rsidRDefault="004E35E0">
    <w:pPr>
      <w:pStyle w:val="Footer"/>
      <w:ind w:right="360"/>
    </w:pPr>
  </w:p>
  <w:p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C3F0A" w:rsidRDefault="00AC3F0A">
      <w:r>
        <w:separator/>
      </w:r>
    </w:p>
    <w:p w:rsidR="00AC3F0A" w:rsidRDefault="00AC3F0A"/>
  </w:footnote>
  <w:footnote w:type="continuationSeparator" w:id="0">
    <w:p w:rsidR="00AC3F0A" w:rsidRDefault="00AC3F0A">
      <w:r>
        <w:continuationSeparator/>
      </w:r>
    </w:p>
    <w:p w:rsidR="00AC3F0A" w:rsidRDefault="00AC3F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900B60"/>
    <w:multiLevelType w:val="hybridMultilevel"/>
    <w:tmpl w:val="0156A4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8"/>
  </w:num>
  <w:num w:numId="8">
    <w:abstractNumId w:val="7"/>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antha Rutherford">
    <w15:presenceInfo w15:providerId="AD" w15:userId="S::samantha.hume-rutherford@strath.ac.uk::15f5b76e-9112-4163-b75a-887b18f72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95"/>
    <w:rsid w:val="0000685E"/>
    <w:rsid w:val="000201D0"/>
    <w:rsid w:val="0003046A"/>
    <w:rsid w:val="00085CF1"/>
    <w:rsid w:val="000A3EE3"/>
    <w:rsid w:val="000A65BB"/>
    <w:rsid w:val="000A6B29"/>
    <w:rsid w:val="000B2E42"/>
    <w:rsid w:val="000C0CF2"/>
    <w:rsid w:val="000D099D"/>
    <w:rsid w:val="000D2D84"/>
    <w:rsid w:val="000E75E3"/>
    <w:rsid w:val="000F2AA0"/>
    <w:rsid w:val="00101D1F"/>
    <w:rsid w:val="001267F2"/>
    <w:rsid w:val="001379DD"/>
    <w:rsid w:val="00141659"/>
    <w:rsid w:val="0015109A"/>
    <w:rsid w:val="00157E12"/>
    <w:rsid w:val="001600F2"/>
    <w:rsid w:val="00185B9C"/>
    <w:rsid w:val="00186D63"/>
    <w:rsid w:val="001B74C2"/>
    <w:rsid w:val="001E02A9"/>
    <w:rsid w:val="001E451C"/>
    <w:rsid w:val="0020288D"/>
    <w:rsid w:val="002031A2"/>
    <w:rsid w:val="00217240"/>
    <w:rsid w:val="00231322"/>
    <w:rsid w:val="00236305"/>
    <w:rsid w:val="00236C32"/>
    <w:rsid w:val="002408E5"/>
    <w:rsid w:val="0024409A"/>
    <w:rsid w:val="00261BBD"/>
    <w:rsid w:val="002729FB"/>
    <w:rsid w:val="00282C6F"/>
    <w:rsid w:val="00285874"/>
    <w:rsid w:val="002A7098"/>
    <w:rsid w:val="002A7D96"/>
    <w:rsid w:val="002C3431"/>
    <w:rsid w:val="002D2ED0"/>
    <w:rsid w:val="002D5DF0"/>
    <w:rsid w:val="002F076F"/>
    <w:rsid w:val="002F18AD"/>
    <w:rsid w:val="00301AA4"/>
    <w:rsid w:val="0030493C"/>
    <w:rsid w:val="00310911"/>
    <w:rsid w:val="00317E86"/>
    <w:rsid w:val="00334E27"/>
    <w:rsid w:val="00336EB3"/>
    <w:rsid w:val="003449F8"/>
    <w:rsid w:val="0035002E"/>
    <w:rsid w:val="003547B0"/>
    <w:rsid w:val="00357396"/>
    <w:rsid w:val="003679A1"/>
    <w:rsid w:val="003A0F5F"/>
    <w:rsid w:val="003B4AF3"/>
    <w:rsid w:val="003B73DA"/>
    <w:rsid w:val="003C2BE3"/>
    <w:rsid w:val="003C6081"/>
    <w:rsid w:val="003E5207"/>
    <w:rsid w:val="003E60D9"/>
    <w:rsid w:val="003F4B14"/>
    <w:rsid w:val="00403BB4"/>
    <w:rsid w:val="0041079D"/>
    <w:rsid w:val="00414F13"/>
    <w:rsid w:val="0042106F"/>
    <w:rsid w:val="00422950"/>
    <w:rsid w:val="00425020"/>
    <w:rsid w:val="00427112"/>
    <w:rsid w:val="004564CF"/>
    <w:rsid w:val="004608A0"/>
    <w:rsid w:val="004626BB"/>
    <w:rsid w:val="00466FEE"/>
    <w:rsid w:val="004730DF"/>
    <w:rsid w:val="00491973"/>
    <w:rsid w:val="0049449E"/>
    <w:rsid w:val="00496B72"/>
    <w:rsid w:val="004A742B"/>
    <w:rsid w:val="004C514A"/>
    <w:rsid w:val="004E35E0"/>
    <w:rsid w:val="0052104A"/>
    <w:rsid w:val="005327A4"/>
    <w:rsid w:val="005329C7"/>
    <w:rsid w:val="00540044"/>
    <w:rsid w:val="0054359A"/>
    <w:rsid w:val="00551789"/>
    <w:rsid w:val="00552A07"/>
    <w:rsid w:val="005754B8"/>
    <w:rsid w:val="00575965"/>
    <w:rsid w:val="005774F1"/>
    <w:rsid w:val="0058053F"/>
    <w:rsid w:val="00591A57"/>
    <w:rsid w:val="0059535F"/>
    <w:rsid w:val="005963AA"/>
    <w:rsid w:val="005A037C"/>
    <w:rsid w:val="005A1E30"/>
    <w:rsid w:val="005A3EA0"/>
    <w:rsid w:val="005B57D6"/>
    <w:rsid w:val="005C0DE2"/>
    <w:rsid w:val="005D0C10"/>
    <w:rsid w:val="005D2065"/>
    <w:rsid w:val="005E2A7E"/>
    <w:rsid w:val="005E3DF4"/>
    <w:rsid w:val="005F5C5C"/>
    <w:rsid w:val="00604751"/>
    <w:rsid w:val="00604E00"/>
    <w:rsid w:val="00604F23"/>
    <w:rsid w:val="00610249"/>
    <w:rsid w:val="00614F2E"/>
    <w:rsid w:val="00616D68"/>
    <w:rsid w:val="00622C85"/>
    <w:rsid w:val="00624C1F"/>
    <w:rsid w:val="00631B3F"/>
    <w:rsid w:val="00631E32"/>
    <w:rsid w:val="0064353C"/>
    <w:rsid w:val="0065276D"/>
    <w:rsid w:val="006532A9"/>
    <w:rsid w:val="00680FC0"/>
    <w:rsid w:val="00683910"/>
    <w:rsid w:val="006B2581"/>
    <w:rsid w:val="006C4F62"/>
    <w:rsid w:val="006E6BC5"/>
    <w:rsid w:val="006F268D"/>
    <w:rsid w:val="00700250"/>
    <w:rsid w:val="007009DA"/>
    <w:rsid w:val="007023C1"/>
    <w:rsid w:val="007116C4"/>
    <w:rsid w:val="0071182A"/>
    <w:rsid w:val="007130C0"/>
    <w:rsid w:val="007179F0"/>
    <w:rsid w:val="00722AA1"/>
    <w:rsid w:val="00725E67"/>
    <w:rsid w:val="007331FF"/>
    <w:rsid w:val="007629D3"/>
    <w:rsid w:val="00795991"/>
    <w:rsid w:val="007C1383"/>
    <w:rsid w:val="007E19EA"/>
    <w:rsid w:val="007E50D2"/>
    <w:rsid w:val="007F3FDD"/>
    <w:rsid w:val="007F52CE"/>
    <w:rsid w:val="007F6792"/>
    <w:rsid w:val="00803489"/>
    <w:rsid w:val="00825D70"/>
    <w:rsid w:val="008348A2"/>
    <w:rsid w:val="00835CBD"/>
    <w:rsid w:val="00861B71"/>
    <w:rsid w:val="00865479"/>
    <w:rsid w:val="008655C0"/>
    <w:rsid w:val="00893F61"/>
    <w:rsid w:val="008A28A0"/>
    <w:rsid w:val="008A3DBB"/>
    <w:rsid w:val="008B3498"/>
    <w:rsid w:val="008C06B5"/>
    <w:rsid w:val="008D045D"/>
    <w:rsid w:val="008D2DFE"/>
    <w:rsid w:val="008D3D15"/>
    <w:rsid w:val="008D567C"/>
    <w:rsid w:val="008F3D03"/>
    <w:rsid w:val="0092037A"/>
    <w:rsid w:val="009246AD"/>
    <w:rsid w:val="00927CDC"/>
    <w:rsid w:val="00944996"/>
    <w:rsid w:val="00957C0B"/>
    <w:rsid w:val="00967927"/>
    <w:rsid w:val="00974EE3"/>
    <w:rsid w:val="0097624F"/>
    <w:rsid w:val="00984F9E"/>
    <w:rsid w:val="009A2BBF"/>
    <w:rsid w:val="009F2683"/>
    <w:rsid w:val="009F4D0F"/>
    <w:rsid w:val="009F69D9"/>
    <w:rsid w:val="00A02D62"/>
    <w:rsid w:val="00A201AD"/>
    <w:rsid w:val="00A21675"/>
    <w:rsid w:val="00A269C9"/>
    <w:rsid w:val="00A444E1"/>
    <w:rsid w:val="00A460B5"/>
    <w:rsid w:val="00A46C91"/>
    <w:rsid w:val="00A51BF6"/>
    <w:rsid w:val="00A53F6A"/>
    <w:rsid w:val="00A66999"/>
    <w:rsid w:val="00A66EDD"/>
    <w:rsid w:val="00A71C00"/>
    <w:rsid w:val="00A93F82"/>
    <w:rsid w:val="00AA1FF3"/>
    <w:rsid w:val="00AA4C2C"/>
    <w:rsid w:val="00AB26B0"/>
    <w:rsid w:val="00AC1839"/>
    <w:rsid w:val="00AC3F0A"/>
    <w:rsid w:val="00AC43B1"/>
    <w:rsid w:val="00AC5F97"/>
    <w:rsid w:val="00AC6438"/>
    <w:rsid w:val="00AE4B97"/>
    <w:rsid w:val="00AF1765"/>
    <w:rsid w:val="00AF2AD1"/>
    <w:rsid w:val="00AF4695"/>
    <w:rsid w:val="00B408C0"/>
    <w:rsid w:val="00B42C29"/>
    <w:rsid w:val="00B45B32"/>
    <w:rsid w:val="00B563D9"/>
    <w:rsid w:val="00B62D4A"/>
    <w:rsid w:val="00B65A79"/>
    <w:rsid w:val="00B71491"/>
    <w:rsid w:val="00B7618D"/>
    <w:rsid w:val="00B86854"/>
    <w:rsid w:val="00B875D7"/>
    <w:rsid w:val="00B9216C"/>
    <w:rsid w:val="00B931CA"/>
    <w:rsid w:val="00B93387"/>
    <w:rsid w:val="00B97259"/>
    <w:rsid w:val="00BB1134"/>
    <w:rsid w:val="00BC261E"/>
    <w:rsid w:val="00BC3E2A"/>
    <w:rsid w:val="00BD0668"/>
    <w:rsid w:val="00BD5122"/>
    <w:rsid w:val="00BD5B21"/>
    <w:rsid w:val="00BE533F"/>
    <w:rsid w:val="00BF41C0"/>
    <w:rsid w:val="00C03386"/>
    <w:rsid w:val="00C06CFC"/>
    <w:rsid w:val="00C17F3C"/>
    <w:rsid w:val="00C30403"/>
    <w:rsid w:val="00C31D1B"/>
    <w:rsid w:val="00C400E9"/>
    <w:rsid w:val="00C45E7B"/>
    <w:rsid w:val="00C72D78"/>
    <w:rsid w:val="00C77856"/>
    <w:rsid w:val="00C82CA9"/>
    <w:rsid w:val="00C87316"/>
    <w:rsid w:val="00C9140C"/>
    <w:rsid w:val="00CA15CA"/>
    <w:rsid w:val="00CD5814"/>
    <w:rsid w:val="00CE1C3F"/>
    <w:rsid w:val="00D02091"/>
    <w:rsid w:val="00D0596F"/>
    <w:rsid w:val="00D13B1B"/>
    <w:rsid w:val="00D225B7"/>
    <w:rsid w:val="00D44927"/>
    <w:rsid w:val="00D61DBF"/>
    <w:rsid w:val="00D6638F"/>
    <w:rsid w:val="00D66756"/>
    <w:rsid w:val="00D85E06"/>
    <w:rsid w:val="00D86677"/>
    <w:rsid w:val="00D928D2"/>
    <w:rsid w:val="00DB4D97"/>
    <w:rsid w:val="00DB6039"/>
    <w:rsid w:val="00DC05F9"/>
    <w:rsid w:val="00DD1EEC"/>
    <w:rsid w:val="00DD29EF"/>
    <w:rsid w:val="00DE3477"/>
    <w:rsid w:val="00DE78D2"/>
    <w:rsid w:val="00DF59F4"/>
    <w:rsid w:val="00DF683D"/>
    <w:rsid w:val="00E074F2"/>
    <w:rsid w:val="00E2340D"/>
    <w:rsid w:val="00E2715D"/>
    <w:rsid w:val="00E32A18"/>
    <w:rsid w:val="00E449E9"/>
    <w:rsid w:val="00E46BD3"/>
    <w:rsid w:val="00E6319F"/>
    <w:rsid w:val="00E65825"/>
    <w:rsid w:val="00E75388"/>
    <w:rsid w:val="00E81250"/>
    <w:rsid w:val="00E84CB9"/>
    <w:rsid w:val="00E87537"/>
    <w:rsid w:val="00E96302"/>
    <w:rsid w:val="00EA282F"/>
    <w:rsid w:val="00EB5412"/>
    <w:rsid w:val="00EE4A7A"/>
    <w:rsid w:val="00EF725C"/>
    <w:rsid w:val="00F103D7"/>
    <w:rsid w:val="00F10E56"/>
    <w:rsid w:val="00F25B58"/>
    <w:rsid w:val="00F27F08"/>
    <w:rsid w:val="00F33580"/>
    <w:rsid w:val="00F5421E"/>
    <w:rsid w:val="00F767E5"/>
    <w:rsid w:val="00F8537A"/>
    <w:rsid w:val="00F93C19"/>
    <w:rsid w:val="00F97782"/>
    <w:rsid w:val="00FA1E04"/>
    <w:rsid w:val="00FC4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A9A738"/>
  <w15:docId w15:val="{B070534B-343C-7545-A5F3-5F2DD9EF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table" w:styleId="TableGrid">
    <w:name w:val="Table Grid"/>
    <w:basedOn w:val="TableNormal"/>
    <w:uiPriority w:val="39"/>
    <w:rsid w:val="00F27F0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74C2"/>
    <w:rPr>
      <w:sz w:val="16"/>
      <w:szCs w:val="16"/>
    </w:rPr>
  </w:style>
  <w:style w:type="paragraph" w:styleId="CommentText">
    <w:name w:val="annotation text"/>
    <w:basedOn w:val="Normal"/>
    <w:link w:val="CommentTextChar"/>
    <w:uiPriority w:val="99"/>
    <w:unhideWhenUsed/>
    <w:rsid w:val="001B74C2"/>
    <w:rPr>
      <w:sz w:val="20"/>
    </w:rPr>
  </w:style>
  <w:style w:type="character" w:customStyle="1" w:styleId="CommentTextChar">
    <w:name w:val="Comment Text Char"/>
    <w:basedOn w:val="DefaultParagraphFont"/>
    <w:link w:val="CommentText"/>
    <w:uiPriority w:val="99"/>
    <w:rsid w:val="001B74C2"/>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596613">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F91E1-9B0A-4F84-9207-C09AB2137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22575</Words>
  <Characters>128682</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150956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Samantha Rutherford</cp:lastModifiedBy>
  <cp:revision>2</cp:revision>
  <cp:lastPrinted>2011-04-15T21:20:00Z</cp:lastPrinted>
  <dcterms:created xsi:type="dcterms:W3CDTF">2020-11-19T16:21:00Z</dcterms:created>
  <dcterms:modified xsi:type="dcterms:W3CDTF">2020-11-19T16:21:00Z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http://www.zotero.org/styles/analytical-chemistry</vt:lpwstr>
  </property>
  <property fmtid="{D5CDD505-2E9C-101B-9397-08002B2CF9AE}" pid="9" name="Mendeley Recent Style Name 3_1">
    <vt:lpwstr>Analytical Chemistry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26e0b417-ce86-35b6-82e0-08941330cc74</vt:lpwstr>
  </property>
  <property fmtid="{D5CDD505-2E9C-101B-9397-08002B2CF9AE}" pid="24" name="Mendeley Citation Style_1">
    <vt:lpwstr>http://www.zotero.org/styles/analytical-chemistry</vt:lpwstr>
  </property>
</Properties>
</file>