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3874" w14:textId="7F3012BC" w:rsidR="00AA2B8E" w:rsidRPr="007D32A3" w:rsidRDefault="00AA2B8E" w:rsidP="00080BDB">
      <w:pPr>
        <w:spacing w:after="0" w:line="320" w:lineRule="atLeast"/>
        <w:jc w:val="both"/>
        <w:rPr>
          <w:rFonts w:eastAsia="Calibri" w:cstheme="minorHAnsi"/>
          <w:b/>
          <w:sz w:val="24"/>
          <w:szCs w:val="24"/>
        </w:rPr>
      </w:pPr>
      <w:bookmarkStart w:id="0" w:name="_Hlk54955657"/>
      <w:r w:rsidRPr="007D32A3">
        <w:rPr>
          <w:rFonts w:eastAsia="Calibri" w:cstheme="minorHAnsi"/>
          <w:b/>
          <w:sz w:val="28"/>
        </w:rPr>
        <w:t>Maternal iodine status in a multi-ethnic UK birth cohort: associations with autism spectrum disorder.</w:t>
      </w:r>
    </w:p>
    <w:bookmarkEnd w:id="0"/>
    <w:p w14:paraId="3A812BBA" w14:textId="7A060A0E" w:rsidR="00AA2B8E" w:rsidRPr="00AA2B8E" w:rsidRDefault="00AA2B8E" w:rsidP="00AA2B8E">
      <w:pPr>
        <w:spacing w:after="0" w:line="320" w:lineRule="atLeast"/>
        <w:rPr>
          <w:rFonts w:eastAsia="Calibri" w:cstheme="minorHAnsi"/>
          <w:b/>
          <w:sz w:val="24"/>
          <w:szCs w:val="24"/>
        </w:rPr>
      </w:pPr>
    </w:p>
    <w:tbl>
      <w:tblPr>
        <w:tblStyle w:val="TableGrid"/>
        <w:tblW w:w="0" w:type="auto"/>
        <w:tblLook w:val="04A0" w:firstRow="1" w:lastRow="0" w:firstColumn="1" w:lastColumn="0" w:noHBand="0" w:noVBand="1"/>
      </w:tblPr>
      <w:tblGrid>
        <w:gridCol w:w="2564"/>
        <w:gridCol w:w="1704"/>
        <w:gridCol w:w="4748"/>
      </w:tblGrid>
      <w:tr w:rsidR="00AA2B8E" w:rsidRPr="00AA2B8E" w14:paraId="69DA410E" w14:textId="77777777" w:rsidTr="00FF7B06">
        <w:tc>
          <w:tcPr>
            <w:tcW w:w="2564" w:type="dxa"/>
          </w:tcPr>
          <w:p w14:paraId="0877648D" w14:textId="77777777" w:rsidR="00AA2B8E" w:rsidRPr="00AA2B8E" w:rsidRDefault="00AA2B8E" w:rsidP="00AA2B8E">
            <w:pPr>
              <w:rPr>
                <w:sz w:val="18"/>
                <w:szCs w:val="18"/>
              </w:rPr>
            </w:pPr>
          </w:p>
        </w:tc>
        <w:tc>
          <w:tcPr>
            <w:tcW w:w="1704" w:type="dxa"/>
          </w:tcPr>
          <w:p w14:paraId="675930DD" w14:textId="77777777" w:rsidR="00AA2B8E" w:rsidRPr="00AA2B8E" w:rsidRDefault="00AA2B8E" w:rsidP="00AA2B8E">
            <w:pPr>
              <w:rPr>
                <w:sz w:val="18"/>
                <w:szCs w:val="18"/>
              </w:rPr>
            </w:pPr>
            <w:r w:rsidRPr="00AA2B8E">
              <w:rPr>
                <w:sz w:val="18"/>
                <w:szCs w:val="18"/>
              </w:rPr>
              <w:t>List preferred main degree/qualification</w:t>
            </w:r>
          </w:p>
        </w:tc>
        <w:tc>
          <w:tcPr>
            <w:tcW w:w="4748" w:type="dxa"/>
          </w:tcPr>
          <w:p w14:paraId="63B47E9A" w14:textId="77777777" w:rsidR="00AA2B8E" w:rsidRPr="00AA2B8E" w:rsidRDefault="00AA2B8E" w:rsidP="00AA2B8E">
            <w:pPr>
              <w:rPr>
                <w:sz w:val="18"/>
                <w:szCs w:val="18"/>
              </w:rPr>
            </w:pPr>
            <w:r w:rsidRPr="00AA2B8E">
              <w:rPr>
                <w:sz w:val="18"/>
                <w:szCs w:val="18"/>
              </w:rPr>
              <w:t>Affiliations and full address</w:t>
            </w:r>
          </w:p>
          <w:p w14:paraId="1E69BE80" w14:textId="77777777" w:rsidR="00AA2B8E" w:rsidRPr="00AA2B8E" w:rsidRDefault="00AA2B8E" w:rsidP="00AA2B8E">
            <w:pPr>
              <w:rPr>
                <w:sz w:val="18"/>
                <w:szCs w:val="18"/>
              </w:rPr>
            </w:pPr>
          </w:p>
          <w:p w14:paraId="59BE0532" w14:textId="77777777" w:rsidR="00AA2B8E" w:rsidRPr="00AA2B8E" w:rsidRDefault="00AA2B8E" w:rsidP="00AA2B8E">
            <w:pPr>
              <w:rPr>
                <w:sz w:val="18"/>
                <w:szCs w:val="18"/>
              </w:rPr>
            </w:pPr>
          </w:p>
        </w:tc>
      </w:tr>
      <w:tr w:rsidR="00AA2B8E" w:rsidRPr="00AA2B8E" w14:paraId="5A42FCB4" w14:textId="77777777" w:rsidTr="00FF7B06">
        <w:tc>
          <w:tcPr>
            <w:tcW w:w="2564" w:type="dxa"/>
          </w:tcPr>
          <w:p w14:paraId="74FE9385" w14:textId="77777777" w:rsidR="00AA2B8E" w:rsidRPr="00AA2B8E" w:rsidRDefault="00AA2B8E" w:rsidP="00AA2B8E">
            <w:pPr>
              <w:rPr>
                <w:sz w:val="18"/>
                <w:szCs w:val="18"/>
              </w:rPr>
            </w:pPr>
            <w:r w:rsidRPr="00AA2B8E">
              <w:rPr>
                <w:sz w:val="18"/>
                <w:szCs w:val="18"/>
              </w:rPr>
              <w:t>Kirsten Jade Cromie*</w:t>
            </w:r>
          </w:p>
        </w:tc>
        <w:tc>
          <w:tcPr>
            <w:tcW w:w="1704" w:type="dxa"/>
          </w:tcPr>
          <w:p w14:paraId="656E428F" w14:textId="77777777" w:rsidR="00AA2B8E" w:rsidRPr="00AA2B8E" w:rsidRDefault="00AA2B8E" w:rsidP="00AA2B8E">
            <w:pPr>
              <w:rPr>
                <w:sz w:val="18"/>
                <w:szCs w:val="18"/>
              </w:rPr>
            </w:pPr>
            <w:r w:rsidRPr="00AA2B8E">
              <w:rPr>
                <w:sz w:val="18"/>
                <w:szCs w:val="18"/>
              </w:rPr>
              <w:t>MRes</w:t>
            </w:r>
          </w:p>
        </w:tc>
        <w:tc>
          <w:tcPr>
            <w:tcW w:w="4748" w:type="dxa"/>
          </w:tcPr>
          <w:p w14:paraId="51FC61DB" w14:textId="77777777" w:rsidR="00AA2B8E" w:rsidRPr="00AA2B8E" w:rsidRDefault="00AA2B8E" w:rsidP="00AA2B8E">
            <w:pPr>
              <w:rPr>
                <w:sz w:val="18"/>
                <w:szCs w:val="18"/>
              </w:rPr>
            </w:pPr>
            <w:r w:rsidRPr="00AA2B8E">
              <w:rPr>
                <w:sz w:val="18"/>
                <w:szCs w:val="18"/>
              </w:rPr>
              <w:t>Leeds Institute of Cardiovascular &amp; Metabolic Medicine, School of Medicine, University of Leeds, Leeds, LS2 9JT, UK</w:t>
            </w:r>
          </w:p>
        </w:tc>
      </w:tr>
      <w:tr w:rsidR="00AA2B8E" w:rsidRPr="00AA2B8E" w14:paraId="107910F9" w14:textId="77777777" w:rsidTr="00FF7B06">
        <w:tc>
          <w:tcPr>
            <w:tcW w:w="2564" w:type="dxa"/>
          </w:tcPr>
          <w:p w14:paraId="56E55FAE" w14:textId="77777777" w:rsidR="00AA2B8E" w:rsidRPr="00AA2B8E" w:rsidRDefault="00AA2B8E" w:rsidP="00AA2B8E">
            <w:pPr>
              <w:rPr>
                <w:sz w:val="18"/>
                <w:szCs w:val="18"/>
              </w:rPr>
            </w:pPr>
            <w:r w:rsidRPr="00AA2B8E">
              <w:rPr>
                <w:sz w:val="18"/>
                <w:szCs w:val="18"/>
              </w:rPr>
              <w:t>Diane Erin Threapleton</w:t>
            </w:r>
          </w:p>
        </w:tc>
        <w:tc>
          <w:tcPr>
            <w:tcW w:w="1704" w:type="dxa"/>
          </w:tcPr>
          <w:p w14:paraId="38946B55" w14:textId="77777777" w:rsidR="00AA2B8E" w:rsidRPr="00AA2B8E" w:rsidRDefault="00AA2B8E" w:rsidP="00AA2B8E">
            <w:pPr>
              <w:rPr>
                <w:sz w:val="18"/>
                <w:szCs w:val="18"/>
              </w:rPr>
            </w:pPr>
            <w:r w:rsidRPr="00AA2B8E">
              <w:rPr>
                <w:sz w:val="18"/>
                <w:szCs w:val="18"/>
              </w:rPr>
              <w:t>PhD</w:t>
            </w:r>
          </w:p>
        </w:tc>
        <w:tc>
          <w:tcPr>
            <w:tcW w:w="4748" w:type="dxa"/>
          </w:tcPr>
          <w:p w14:paraId="30E65C8B" w14:textId="77777777" w:rsidR="00AA2B8E" w:rsidRPr="00AA2B8E" w:rsidRDefault="00AA2B8E" w:rsidP="00AA2B8E">
            <w:pPr>
              <w:rPr>
                <w:sz w:val="18"/>
                <w:szCs w:val="18"/>
              </w:rPr>
            </w:pPr>
            <w:r w:rsidRPr="00AA2B8E">
              <w:rPr>
                <w:sz w:val="18"/>
                <w:szCs w:val="18"/>
              </w:rPr>
              <w:t>Leeds Institute of Cardiovascular &amp; Metabolic Medicine, School of Medicine, University of Leeds, Leeds, LS2 9JT, UK</w:t>
            </w:r>
          </w:p>
        </w:tc>
      </w:tr>
      <w:tr w:rsidR="00AA2B8E" w:rsidRPr="00AA2B8E" w14:paraId="16023FCA" w14:textId="77777777" w:rsidTr="00FF7B06">
        <w:tc>
          <w:tcPr>
            <w:tcW w:w="2564" w:type="dxa"/>
          </w:tcPr>
          <w:p w14:paraId="0F8CD715" w14:textId="77777777" w:rsidR="00AA2B8E" w:rsidRPr="00AA2B8E" w:rsidRDefault="00AA2B8E" w:rsidP="00AA2B8E">
            <w:pPr>
              <w:rPr>
                <w:sz w:val="18"/>
                <w:szCs w:val="18"/>
              </w:rPr>
            </w:pPr>
            <w:r w:rsidRPr="00AA2B8E">
              <w:rPr>
                <w:sz w:val="18"/>
                <w:szCs w:val="18"/>
              </w:rPr>
              <w:t>Charles Jonathan Peter Snart</w:t>
            </w:r>
          </w:p>
        </w:tc>
        <w:tc>
          <w:tcPr>
            <w:tcW w:w="1704" w:type="dxa"/>
          </w:tcPr>
          <w:p w14:paraId="29240411" w14:textId="77777777" w:rsidR="00AA2B8E" w:rsidRPr="00AA2B8E" w:rsidRDefault="00AA2B8E" w:rsidP="00AA2B8E">
            <w:pPr>
              <w:rPr>
                <w:sz w:val="18"/>
                <w:szCs w:val="18"/>
              </w:rPr>
            </w:pPr>
            <w:r w:rsidRPr="00AA2B8E">
              <w:rPr>
                <w:sz w:val="18"/>
                <w:szCs w:val="18"/>
              </w:rPr>
              <w:t>PhD</w:t>
            </w:r>
          </w:p>
        </w:tc>
        <w:tc>
          <w:tcPr>
            <w:tcW w:w="4748" w:type="dxa"/>
          </w:tcPr>
          <w:p w14:paraId="65BCC5EF" w14:textId="77777777" w:rsidR="00AA2B8E" w:rsidRPr="00AA2B8E" w:rsidRDefault="00AA2B8E" w:rsidP="00AA2B8E">
            <w:pPr>
              <w:rPr>
                <w:sz w:val="18"/>
                <w:szCs w:val="18"/>
              </w:rPr>
            </w:pPr>
            <w:r w:rsidRPr="00AA2B8E">
              <w:rPr>
                <w:sz w:val="18"/>
                <w:szCs w:val="18"/>
              </w:rPr>
              <w:t>Leeds Institute of Cardiovascular &amp; Metabolic Medicine, School of Medicine, University of Leeds, Leeds, LS2 9JT, UK</w:t>
            </w:r>
          </w:p>
        </w:tc>
      </w:tr>
      <w:tr w:rsidR="00AA2B8E" w:rsidRPr="00AA2B8E" w14:paraId="24F6AFC9" w14:textId="77777777" w:rsidTr="00FF7B06">
        <w:tc>
          <w:tcPr>
            <w:tcW w:w="2564" w:type="dxa"/>
          </w:tcPr>
          <w:p w14:paraId="6F55D350" w14:textId="77777777" w:rsidR="00AA2B8E" w:rsidRPr="00AA2B8E" w:rsidRDefault="00AA2B8E" w:rsidP="00AA2B8E">
            <w:pPr>
              <w:rPr>
                <w:sz w:val="18"/>
                <w:szCs w:val="18"/>
              </w:rPr>
            </w:pPr>
            <w:r w:rsidRPr="00AA2B8E">
              <w:rPr>
                <w:sz w:val="18"/>
                <w:szCs w:val="18"/>
              </w:rPr>
              <w:t>Elizabeth Taylor</w:t>
            </w:r>
          </w:p>
        </w:tc>
        <w:tc>
          <w:tcPr>
            <w:tcW w:w="1704" w:type="dxa"/>
          </w:tcPr>
          <w:p w14:paraId="4A98A756" w14:textId="77777777" w:rsidR="00AA2B8E" w:rsidRPr="00AA2B8E" w:rsidRDefault="00AA2B8E" w:rsidP="00AA2B8E">
            <w:pPr>
              <w:rPr>
                <w:sz w:val="18"/>
                <w:szCs w:val="18"/>
              </w:rPr>
            </w:pPr>
            <w:r w:rsidRPr="00AA2B8E">
              <w:rPr>
                <w:sz w:val="18"/>
                <w:szCs w:val="18"/>
              </w:rPr>
              <w:t>MSc</w:t>
            </w:r>
          </w:p>
        </w:tc>
        <w:tc>
          <w:tcPr>
            <w:tcW w:w="4748" w:type="dxa"/>
          </w:tcPr>
          <w:p w14:paraId="5D587112" w14:textId="77777777" w:rsidR="00AA2B8E" w:rsidRPr="00AA2B8E" w:rsidRDefault="00AA2B8E" w:rsidP="00AA2B8E">
            <w:pPr>
              <w:rPr>
                <w:sz w:val="18"/>
                <w:szCs w:val="18"/>
              </w:rPr>
            </w:pPr>
            <w:r w:rsidRPr="00AA2B8E">
              <w:rPr>
                <w:sz w:val="18"/>
                <w:szCs w:val="18"/>
              </w:rPr>
              <w:t>Leeds Institute of Cardiovascular &amp; Metabolic Medicine, School of Medicine, University of Leeds, Leeds, LS2 9JT, UK</w:t>
            </w:r>
          </w:p>
        </w:tc>
      </w:tr>
      <w:tr w:rsidR="00AA2B8E" w:rsidRPr="00AA2B8E" w14:paraId="37D91938" w14:textId="77777777" w:rsidTr="00FF7B06">
        <w:tc>
          <w:tcPr>
            <w:tcW w:w="2564" w:type="dxa"/>
          </w:tcPr>
          <w:p w14:paraId="26C2693E" w14:textId="77777777" w:rsidR="00AA2B8E" w:rsidRPr="00AA2B8E" w:rsidRDefault="00AA2B8E" w:rsidP="00AA2B8E">
            <w:pPr>
              <w:rPr>
                <w:rFonts w:cstheme="minorHAnsi"/>
                <w:sz w:val="18"/>
                <w:szCs w:val="18"/>
              </w:rPr>
            </w:pPr>
            <w:r w:rsidRPr="00AA2B8E">
              <w:rPr>
                <w:rFonts w:cstheme="minorHAnsi"/>
                <w:sz w:val="18"/>
                <w:szCs w:val="18"/>
              </w:rPr>
              <w:t>Dan Mason</w:t>
            </w:r>
          </w:p>
        </w:tc>
        <w:tc>
          <w:tcPr>
            <w:tcW w:w="1704" w:type="dxa"/>
          </w:tcPr>
          <w:p w14:paraId="0B4C4459" w14:textId="77777777" w:rsidR="00AA2B8E" w:rsidRPr="00AA2B8E" w:rsidRDefault="00AA2B8E" w:rsidP="00AA2B8E">
            <w:pPr>
              <w:rPr>
                <w:sz w:val="18"/>
                <w:szCs w:val="18"/>
              </w:rPr>
            </w:pPr>
            <w:r w:rsidRPr="00AA2B8E">
              <w:rPr>
                <w:sz w:val="18"/>
                <w:szCs w:val="18"/>
              </w:rPr>
              <w:t>PhD</w:t>
            </w:r>
          </w:p>
        </w:tc>
        <w:tc>
          <w:tcPr>
            <w:tcW w:w="4748" w:type="dxa"/>
          </w:tcPr>
          <w:p w14:paraId="07E6AF20" w14:textId="77777777" w:rsidR="00AA2B8E" w:rsidRPr="00AA2B8E" w:rsidRDefault="00AA2B8E" w:rsidP="00AA2B8E">
            <w:pPr>
              <w:rPr>
                <w:sz w:val="18"/>
                <w:szCs w:val="18"/>
              </w:rPr>
            </w:pPr>
            <w:r w:rsidRPr="00AA2B8E">
              <w:rPr>
                <w:sz w:val="18"/>
                <w:szCs w:val="18"/>
              </w:rPr>
              <w:t>Bradford Institute for Health Research, Bradford Teaching Hospitals NHS Foundation Trust, Bradford, BD9 6RJ, UK</w:t>
            </w:r>
            <w:r w:rsidRPr="00AA2B8E" w:rsidDel="004A0264">
              <w:rPr>
                <w:sz w:val="18"/>
                <w:szCs w:val="18"/>
              </w:rPr>
              <w:t xml:space="preserve"> </w:t>
            </w:r>
          </w:p>
        </w:tc>
      </w:tr>
      <w:tr w:rsidR="00AA2B8E" w:rsidRPr="00AA2B8E" w14:paraId="44C477FB" w14:textId="77777777" w:rsidTr="00FF7B06">
        <w:tc>
          <w:tcPr>
            <w:tcW w:w="2564" w:type="dxa"/>
          </w:tcPr>
          <w:p w14:paraId="1EA954D5" w14:textId="77777777" w:rsidR="00AA2B8E" w:rsidRPr="00AA2B8E" w:rsidRDefault="00312B94" w:rsidP="00AA2B8E">
            <w:pPr>
              <w:suppressAutoHyphens/>
              <w:rPr>
                <w:rFonts w:cstheme="minorHAnsi"/>
                <w:sz w:val="18"/>
                <w:szCs w:val="18"/>
              </w:rPr>
            </w:pPr>
            <w:hyperlink r:id="rId11" w:history="1">
              <w:r w:rsidR="00AA2B8E" w:rsidRPr="00AA2B8E">
                <w:rPr>
                  <w:rFonts w:cstheme="minorHAnsi"/>
                  <w:sz w:val="18"/>
                  <w:szCs w:val="18"/>
                  <w:lang w:val="en"/>
                </w:rPr>
                <w:t>Barry John Debenham Wright</w:t>
              </w:r>
            </w:hyperlink>
          </w:p>
        </w:tc>
        <w:tc>
          <w:tcPr>
            <w:tcW w:w="1704" w:type="dxa"/>
          </w:tcPr>
          <w:p w14:paraId="612840E6" w14:textId="77777777" w:rsidR="00AA2B8E" w:rsidRPr="00AA2B8E" w:rsidRDefault="00AA2B8E" w:rsidP="00AA2B8E">
            <w:pPr>
              <w:rPr>
                <w:sz w:val="18"/>
                <w:szCs w:val="18"/>
              </w:rPr>
            </w:pPr>
            <w:r w:rsidRPr="00AA2B8E">
              <w:rPr>
                <w:sz w:val="18"/>
                <w:szCs w:val="18"/>
              </w:rPr>
              <w:t>MBBS</w:t>
            </w:r>
          </w:p>
        </w:tc>
        <w:tc>
          <w:tcPr>
            <w:tcW w:w="4748" w:type="dxa"/>
          </w:tcPr>
          <w:p w14:paraId="604EA95E" w14:textId="77777777" w:rsidR="00AA2B8E" w:rsidRPr="00AA2B8E" w:rsidRDefault="00AA2B8E" w:rsidP="00AA2B8E">
            <w:pPr>
              <w:rPr>
                <w:rFonts w:cstheme="minorHAnsi"/>
                <w:sz w:val="18"/>
                <w:szCs w:val="18"/>
              </w:rPr>
            </w:pPr>
            <w:r w:rsidRPr="00AA2B8E">
              <w:rPr>
                <w:rFonts w:cstheme="minorHAnsi"/>
                <w:sz w:val="18"/>
                <w:szCs w:val="18"/>
              </w:rPr>
              <w:t>The Hull York Medical School, University of York, Heslington, York, YO10 5DD, UK</w:t>
            </w:r>
          </w:p>
        </w:tc>
      </w:tr>
      <w:tr w:rsidR="00AA2B8E" w:rsidRPr="00AA2B8E" w14:paraId="30585D92" w14:textId="77777777" w:rsidTr="00FF7B06">
        <w:tc>
          <w:tcPr>
            <w:tcW w:w="2564" w:type="dxa"/>
          </w:tcPr>
          <w:p w14:paraId="403BA330" w14:textId="77777777" w:rsidR="00AA2B8E" w:rsidRPr="00AA2B8E" w:rsidRDefault="00AA2B8E" w:rsidP="00AA2B8E">
            <w:pPr>
              <w:rPr>
                <w:sz w:val="18"/>
                <w:szCs w:val="18"/>
              </w:rPr>
            </w:pPr>
            <w:r w:rsidRPr="00AA2B8E">
              <w:rPr>
                <w:sz w:val="18"/>
                <w:szCs w:val="18"/>
              </w:rPr>
              <w:t>Brian Kelly</w:t>
            </w:r>
          </w:p>
        </w:tc>
        <w:tc>
          <w:tcPr>
            <w:tcW w:w="1704" w:type="dxa"/>
          </w:tcPr>
          <w:p w14:paraId="4AF03B75" w14:textId="77777777" w:rsidR="00AA2B8E" w:rsidRPr="00AA2B8E" w:rsidRDefault="00AA2B8E" w:rsidP="00AA2B8E">
            <w:pPr>
              <w:rPr>
                <w:sz w:val="18"/>
                <w:szCs w:val="18"/>
              </w:rPr>
            </w:pPr>
            <w:r w:rsidRPr="00AA2B8E">
              <w:rPr>
                <w:sz w:val="18"/>
                <w:szCs w:val="18"/>
              </w:rPr>
              <w:t>PhD</w:t>
            </w:r>
          </w:p>
        </w:tc>
        <w:tc>
          <w:tcPr>
            <w:tcW w:w="4748" w:type="dxa"/>
          </w:tcPr>
          <w:p w14:paraId="7D25DB3B" w14:textId="77777777" w:rsidR="00AA2B8E" w:rsidRPr="00AA2B8E" w:rsidRDefault="00AA2B8E" w:rsidP="00AA2B8E">
            <w:pPr>
              <w:rPr>
                <w:sz w:val="18"/>
                <w:szCs w:val="18"/>
              </w:rPr>
            </w:pPr>
            <w:r w:rsidRPr="00AA2B8E">
              <w:rPr>
                <w:sz w:val="18"/>
                <w:szCs w:val="18"/>
              </w:rPr>
              <w:t>Bradford Institute for Health Research, Bradford Teaching Hospitals NHS Foundation Trust, Bradford, BD9 6RJ, UK</w:t>
            </w:r>
          </w:p>
        </w:tc>
      </w:tr>
      <w:tr w:rsidR="00AA2B8E" w:rsidRPr="00AA2B8E" w14:paraId="7C3E8387" w14:textId="77777777" w:rsidTr="00FF7B06">
        <w:tc>
          <w:tcPr>
            <w:tcW w:w="2564" w:type="dxa"/>
          </w:tcPr>
          <w:p w14:paraId="490A7CAF" w14:textId="77777777" w:rsidR="00AA2B8E" w:rsidRPr="00AA2B8E" w:rsidRDefault="00AA2B8E" w:rsidP="00AA2B8E">
            <w:pPr>
              <w:rPr>
                <w:sz w:val="18"/>
                <w:szCs w:val="18"/>
              </w:rPr>
            </w:pPr>
            <w:r w:rsidRPr="00AA2B8E">
              <w:rPr>
                <w:sz w:val="18"/>
                <w:szCs w:val="18"/>
              </w:rPr>
              <w:t>Stephen Reid</w:t>
            </w:r>
          </w:p>
        </w:tc>
        <w:tc>
          <w:tcPr>
            <w:tcW w:w="1704" w:type="dxa"/>
          </w:tcPr>
          <w:p w14:paraId="325E2CD4" w14:textId="77777777" w:rsidR="00AA2B8E" w:rsidRPr="00AA2B8E" w:rsidRDefault="00AA2B8E" w:rsidP="00AA2B8E">
            <w:pPr>
              <w:rPr>
                <w:sz w:val="18"/>
                <w:szCs w:val="18"/>
              </w:rPr>
            </w:pPr>
            <w:r w:rsidRPr="00AA2B8E">
              <w:rPr>
                <w:sz w:val="18"/>
                <w:szCs w:val="18"/>
              </w:rPr>
              <w:t>MSc</w:t>
            </w:r>
          </w:p>
        </w:tc>
        <w:tc>
          <w:tcPr>
            <w:tcW w:w="4748" w:type="dxa"/>
          </w:tcPr>
          <w:p w14:paraId="61EA8007" w14:textId="77777777" w:rsidR="00AA2B8E" w:rsidRPr="00AA2B8E" w:rsidRDefault="00AA2B8E" w:rsidP="00AA2B8E">
            <w:pPr>
              <w:rPr>
                <w:sz w:val="18"/>
                <w:szCs w:val="18"/>
              </w:rPr>
            </w:pPr>
            <w:r w:rsidRPr="00AA2B8E">
              <w:rPr>
                <w:sz w:val="18"/>
                <w:szCs w:val="18"/>
              </w:rPr>
              <w:t>Earth Surface Science Institute, School of Earth and Environment, University of Leeds, Leeds, LS2 9JT, UK</w:t>
            </w:r>
          </w:p>
        </w:tc>
      </w:tr>
      <w:tr w:rsidR="00AA2B8E" w:rsidRPr="00AA2B8E" w14:paraId="5864FF22" w14:textId="77777777" w:rsidTr="00FF7B06">
        <w:tc>
          <w:tcPr>
            <w:tcW w:w="2564" w:type="dxa"/>
          </w:tcPr>
          <w:p w14:paraId="0548BCF8" w14:textId="77777777" w:rsidR="00AA2B8E" w:rsidRPr="00AA2B8E" w:rsidRDefault="00AA2B8E" w:rsidP="00AA2B8E">
            <w:pPr>
              <w:rPr>
                <w:sz w:val="18"/>
                <w:szCs w:val="18"/>
              </w:rPr>
            </w:pPr>
            <w:r w:rsidRPr="00AA2B8E">
              <w:rPr>
                <w:sz w:val="18"/>
                <w:szCs w:val="18"/>
              </w:rPr>
              <w:t>Rafaq Azad</w:t>
            </w:r>
          </w:p>
        </w:tc>
        <w:tc>
          <w:tcPr>
            <w:tcW w:w="1704" w:type="dxa"/>
          </w:tcPr>
          <w:p w14:paraId="5286315C" w14:textId="77777777" w:rsidR="00AA2B8E" w:rsidRPr="00AA2B8E" w:rsidRDefault="00AA2B8E" w:rsidP="00AA2B8E">
            <w:pPr>
              <w:rPr>
                <w:sz w:val="18"/>
                <w:szCs w:val="18"/>
              </w:rPr>
            </w:pPr>
            <w:r w:rsidRPr="00AA2B8E">
              <w:rPr>
                <w:sz w:val="18"/>
                <w:szCs w:val="18"/>
              </w:rPr>
              <w:t>PhD</w:t>
            </w:r>
          </w:p>
        </w:tc>
        <w:tc>
          <w:tcPr>
            <w:tcW w:w="4748" w:type="dxa"/>
          </w:tcPr>
          <w:p w14:paraId="01208A44" w14:textId="77777777" w:rsidR="00AA2B8E" w:rsidRPr="00AA2B8E" w:rsidRDefault="00AA2B8E" w:rsidP="00AA2B8E">
            <w:pPr>
              <w:rPr>
                <w:sz w:val="18"/>
                <w:szCs w:val="18"/>
              </w:rPr>
            </w:pPr>
            <w:r w:rsidRPr="00AA2B8E">
              <w:rPr>
                <w:sz w:val="18"/>
                <w:szCs w:val="18"/>
              </w:rPr>
              <w:t>Bradford Institute for Health Research, Bradford Teaching Hospitals NHS Foundation Trust, Bradford, BD9 6RJ, UK</w:t>
            </w:r>
          </w:p>
        </w:tc>
      </w:tr>
      <w:tr w:rsidR="00AA2B8E" w:rsidRPr="00AA2B8E" w14:paraId="161110D7" w14:textId="77777777" w:rsidTr="00FF7B06">
        <w:tc>
          <w:tcPr>
            <w:tcW w:w="2564" w:type="dxa"/>
          </w:tcPr>
          <w:p w14:paraId="359CB08B" w14:textId="77777777" w:rsidR="00AA2B8E" w:rsidRPr="00AA2B8E" w:rsidRDefault="00AA2B8E" w:rsidP="00AA2B8E">
            <w:pPr>
              <w:rPr>
                <w:sz w:val="18"/>
                <w:szCs w:val="18"/>
              </w:rPr>
            </w:pPr>
            <w:r w:rsidRPr="00AA2B8E">
              <w:rPr>
                <w:sz w:val="18"/>
                <w:szCs w:val="18"/>
              </w:rPr>
              <w:t xml:space="preserve">Claire Keeble </w:t>
            </w:r>
          </w:p>
        </w:tc>
        <w:tc>
          <w:tcPr>
            <w:tcW w:w="1704" w:type="dxa"/>
          </w:tcPr>
          <w:p w14:paraId="572D86BB" w14:textId="77777777" w:rsidR="00AA2B8E" w:rsidRPr="00AA2B8E" w:rsidRDefault="00AA2B8E" w:rsidP="00AA2B8E">
            <w:pPr>
              <w:rPr>
                <w:sz w:val="18"/>
                <w:szCs w:val="18"/>
              </w:rPr>
            </w:pPr>
            <w:r w:rsidRPr="00AA2B8E">
              <w:rPr>
                <w:sz w:val="18"/>
                <w:szCs w:val="18"/>
              </w:rPr>
              <w:t>PhD</w:t>
            </w:r>
          </w:p>
        </w:tc>
        <w:tc>
          <w:tcPr>
            <w:tcW w:w="4748" w:type="dxa"/>
          </w:tcPr>
          <w:p w14:paraId="0896A3A8" w14:textId="77777777" w:rsidR="00AA2B8E" w:rsidRPr="00FD235E" w:rsidRDefault="00AA2B8E" w:rsidP="00AA2B8E">
            <w:pPr>
              <w:rPr>
                <w:sz w:val="18"/>
                <w:szCs w:val="18"/>
              </w:rPr>
            </w:pPr>
            <w:r w:rsidRPr="00FD235E">
              <w:rPr>
                <w:sz w:val="18"/>
                <w:szCs w:val="18"/>
              </w:rPr>
              <w:t>Leeds Institute for Data Analytics, University of Leeds, Leeds, LS2 9JT, UK</w:t>
            </w:r>
          </w:p>
        </w:tc>
      </w:tr>
      <w:tr w:rsidR="006E0A18" w:rsidRPr="00AA2B8E" w14:paraId="1812EDFE" w14:textId="77777777" w:rsidTr="00FF7B06">
        <w:tc>
          <w:tcPr>
            <w:tcW w:w="2564" w:type="dxa"/>
          </w:tcPr>
          <w:p w14:paraId="27BFD369" w14:textId="77777777" w:rsidR="006E0A18" w:rsidRPr="00AA2B8E" w:rsidRDefault="006E0A18" w:rsidP="006E0A18">
            <w:pPr>
              <w:rPr>
                <w:sz w:val="18"/>
                <w:szCs w:val="18"/>
              </w:rPr>
            </w:pPr>
            <w:r w:rsidRPr="00AA2B8E">
              <w:rPr>
                <w:sz w:val="18"/>
                <w:szCs w:val="18"/>
              </w:rPr>
              <w:t>Amanda H Waterman</w:t>
            </w:r>
          </w:p>
        </w:tc>
        <w:tc>
          <w:tcPr>
            <w:tcW w:w="1704" w:type="dxa"/>
          </w:tcPr>
          <w:p w14:paraId="051E2BAE" w14:textId="77777777" w:rsidR="006E0A18" w:rsidRPr="00AA2B8E" w:rsidRDefault="006E0A18" w:rsidP="006E0A18">
            <w:pPr>
              <w:rPr>
                <w:sz w:val="18"/>
                <w:szCs w:val="18"/>
              </w:rPr>
            </w:pPr>
            <w:r w:rsidRPr="00AA2B8E">
              <w:rPr>
                <w:sz w:val="18"/>
                <w:szCs w:val="18"/>
              </w:rPr>
              <w:t>PhD</w:t>
            </w:r>
          </w:p>
        </w:tc>
        <w:tc>
          <w:tcPr>
            <w:tcW w:w="4748" w:type="dxa"/>
          </w:tcPr>
          <w:p w14:paraId="717E5F17" w14:textId="77777777" w:rsidR="006E0A18" w:rsidRPr="00FD235E" w:rsidRDefault="006E0A18" w:rsidP="006E0A18">
            <w:pPr>
              <w:rPr>
                <w:sz w:val="18"/>
                <w:szCs w:val="18"/>
              </w:rPr>
            </w:pPr>
            <w:r w:rsidRPr="00FD235E">
              <w:rPr>
                <w:sz w:val="18"/>
                <w:szCs w:val="18"/>
              </w:rPr>
              <w:t>School of Psychology, University of Leeds, Leeds, LS2 9JT, UK</w:t>
            </w:r>
          </w:p>
        </w:tc>
      </w:tr>
      <w:tr w:rsidR="006E0A18" w:rsidRPr="00AA2B8E" w14:paraId="46599794" w14:textId="77777777" w:rsidTr="00FF7B06">
        <w:tc>
          <w:tcPr>
            <w:tcW w:w="2564" w:type="dxa"/>
          </w:tcPr>
          <w:p w14:paraId="2940EDD6" w14:textId="77777777" w:rsidR="006E0A18" w:rsidRPr="00AA2B8E" w:rsidRDefault="006E0A18" w:rsidP="006E0A18">
            <w:pPr>
              <w:rPr>
                <w:sz w:val="18"/>
                <w:szCs w:val="18"/>
              </w:rPr>
            </w:pPr>
            <w:r w:rsidRPr="00AA2B8E">
              <w:rPr>
                <w:sz w:val="18"/>
                <w:szCs w:val="18"/>
              </w:rPr>
              <w:t>Sarah Meadows</w:t>
            </w:r>
          </w:p>
        </w:tc>
        <w:tc>
          <w:tcPr>
            <w:tcW w:w="1704" w:type="dxa"/>
          </w:tcPr>
          <w:p w14:paraId="3AF0E5F0" w14:textId="77777777" w:rsidR="006E0A18" w:rsidRPr="00AA2B8E" w:rsidRDefault="006E0A18" w:rsidP="006E0A18">
            <w:pPr>
              <w:rPr>
                <w:sz w:val="18"/>
                <w:szCs w:val="18"/>
              </w:rPr>
            </w:pPr>
            <w:r w:rsidRPr="00AA2B8E">
              <w:rPr>
                <w:sz w:val="18"/>
                <w:szCs w:val="18"/>
              </w:rPr>
              <w:t>PhD</w:t>
            </w:r>
          </w:p>
        </w:tc>
        <w:tc>
          <w:tcPr>
            <w:tcW w:w="4748" w:type="dxa"/>
          </w:tcPr>
          <w:p w14:paraId="331EF995" w14:textId="1D7DF800" w:rsidR="006E0A18" w:rsidRPr="00FD235E" w:rsidRDefault="00FD235E" w:rsidP="00FD235E">
            <w:pPr>
              <w:spacing w:before="100" w:beforeAutospacing="1" w:after="100" w:afterAutospacing="1"/>
              <w:rPr>
                <w:rFonts w:eastAsia="Times New Roman" w:cstheme="minorHAnsi"/>
                <w:sz w:val="18"/>
                <w:szCs w:val="20"/>
                <w:lang w:eastAsia="en-GB"/>
              </w:rPr>
            </w:pPr>
            <w:r w:rsidRPr="00FD235E">
              <w:rPr>
                <w:rFonts w:eastAsia="Times New Roman" w:cstheme="minorHAnsi"/>
                <w:sz w:val="18"/>
                <w:szCs w:val="20"/>
                <w:lang w:eastAsia="en-GB"/>
              </w:rPr>
              <w:t xml:space="preserve">Elsie Widdowson Laboratory, Cambridge, CB1 9NL, UK NIHR Nutritional Biomarker Laboratory, MRC Epidemiology Unit, University of Cambridge, Clifford Allbutt Building, Hills Road, Cambridge, CB2 0AH, UK </w:t>
            </w:r>
          </w:p>
        </w:tc>
      </w:tr>
      <w:tr w:rsidR="006E0A18" w:rsidRPr="00AA2B8E" w14:paraId="0024A4B7" w14:textId="77777777" w:rsidTr="00FF7B06">
        <w:tc>
          <w:tcPr>
            <w:tcW w:w="2564" w:type="dxa"/>
          </w:tcPr>
          <w:p w14:paraId="7618E96C" w14:textId="77777777" w:rsidR="006E0A18" w:rsidRPr="00AA2B8E" w:rsidRDefault="006E0A18" w:rsidP="006E0A18">
            <w:pPr>
              <w:rPr>
                <w:sz w:val="18"/>
                <w:szCs w:val="18"/>
              </w:rPr>
            </w:pPr>
            <w:r w:rsidRPr="00AA2B8E">
              <w:rPr>
                <w:sz w:val="18"/>
                <w:szCs w:val="18"/>
              </w:rPr>
              <w:t>Amanda McKillion</w:t>
            </w:r>
          </w:p>
        </w:tc>
        <w:tc>
          <w:tcPr>
            <w:tcW w:w="1704" w:type="dxa"/>
          </w:tcPr>
          <w:p w14:paraId="34BFBA36" w14:textId="77777777" w:rsidR="006E0A18" w:rsidRPr="00AA2B8E" w:rsidRDefault="006E0A18" w:rsidP="006E0A18">
            <w:pPr>
              <w:rPr>
                <w:sz w:val="18"/>
                <w:szCs w:val="18"/>
              </w:rPr>
            </w:pPr>
            <w:r w:rsidRPr="00AA2B8E">
              <w:rPr>
                <w:sz w:val="18"/>
                <w:szCs w:val="18"/>
              </w:rPr>
              <w:t>PhD</w:t>
            </w:r>
          </w:p>
        </w:tc>
        <w:tc>
          <w:tcPr>
            <w:tcW w:w="4748" w:type="dxa"/>
          </w:tcPr>
          <w:p w14:paraId="4B9722F3" w14:textId="6D231B1E" w:rsidR="006E0A18" w:rsidRPr="00FD235E" w:rsidRDefault="00FD235E" w:rsidP="00FD235E">
            <w:pPr>
              <w:spacing w:before="100" w:beforeAutospacing="1" w:after="100" w:afterAutospacing="1"/>
              <w:rPr>
                <w:rFonts w:eastAsia="Times New Roman" w:cstheme="minorHAnsi"/>
                <w:sz w:val="18"/>
                <w:szCs w:val="20"/>
                <w:lang w:eastAsia="en-GB"/>
              </w:rPr>
            </w:pPr>
            <w:r w:rsidRPr="00FD235E">
              <w:rPr>
                <w:rFonts w:eastAsia="Times New Roman" w:cstheme="minorHAnsi"/>
                <w:sz w:val="18"/>
                <w:szCs w:val="20"/>
                <w:lang w:eastAsia="en-GB"/>
              </w:rPr>
              <w:t xml:space="preserve">Elsie Widdowson Laboratory, Cambridge, CB1 9NL, UK NIHR Nutritional Biomarker Laboratory, MRC Epidemiology Unit, University of Cambridge, Clifford Allbutt Building, Hills Road, Cambridge, CB2 0AH, UK </w:t>
            </w:r>
          </w:p>
        </w:tc>
      </w:tr>
      <w:tr w:rsidR="006E0A18" w:rsidRPr="00AA2B8E" w14:paraId="762CC6EA" w14:textId="77777777" w:rsidTr="00FF7B06">
        <w:tc>
          <w:tcPr>
            <w:tcW w:w="2564" w:type="dxa"/>
          </w:tcPr>
          <w:p w14:paraId="18CFAB31" w14:textId="77777777" w:rsidR="006E0A18" w:rsidRPr="00AA2B8E" w:rsidRDefault="006E0A18" w:rsidP="006E0A18">
            <w:pPr>
              <w:rPr>
                <w:sz w:val="18"/>
                <w:szCs w:val="18"/>
              </w:rPr>
            </w:pPr>
            <w:r w:rsidRPr="00AA2B8E">
              <w:rPr>
                <w:sz w:val="18"/>
                <w:szCs w:val="18"/>
              </w:rPr>
              <w:t>Nisreen A Alwan</w:t>
            </w:r>
          </w:p>
        </w:tc>
        <w:tc>
          <w:tcPr>
            <w:tcW w:w="1704" w:type="dxa"/>
          </w:tcPr>
          <w:p w14:paraId="71E73ECE" w14:textId="77777777" w:rsidR="006E0A18" w:rsidRPr="00AA2B8E" w:rsidRDefault="006E0A18" w:rsidP="006E0A18">
            <w:pPr>
              <w:rPr>
                <w:sz w:val="18"/>
                <w:szCs w:val="18"/>
              </w:rPr>
            </w:pPr>
            <w:r w:rsidRPr="00AA2B8E">
              <w:rPr>
                <w:sz w:val="18"/>
                <w:szCs w:val="18"/>
              </w:rPr>
              <w:t>PhD</w:t>
            </w:r>
          </w:p>
        </w:tc>
        <w:tc>
          <w:tcPr>
            <w:tcW w:w="4748" w:type="dxa"/>
          </w:tcPr>
          <w:p w14:paraId="4F616265" w14:textId="77777777" w:rsidR="006E0A18" w:rsidRPr="00AA2B8E" w:rsidRDefault="006E0A18" w:rsidP="006E0A18">
            <w:pPr>
              <w:rPr>
                <w:sz w:val="18"/>
                <w:szCs w:val="18"/>
              </w:rPr>
            </w:pPr>
            <w:r w:rsidRPr="00AA2B8E">
              <w:rPr>
                <w:sz w:val="18"/>
                <w:szCs w:val="18"/>
              </w:rPr>
              <w:t>1. School of Primary Care and Population Sciences, Faculty of Medicine, University of Southampton, Southampton General Hospital, Southampton, SO16 6YD, UK</w:t>
            </w:r>
          </w:p>
          <w:p w14:paraId="6608AEF4" w14:textId="77777777" w:rsidR="006E0A18" w:rsidRPr="00AA2B8E" w:rsidRDefault="006E0A18" w:rsidP="006E0A18">
            <w:pPr>
              <w:rPr>
                <w:sz w:val="18"/>
                <w:szCs w:val="18"/>
              </w:rPr>
            </w:pPr>
            <w:r w:rsidRPr="00AA2B8E">
              <w:rPr>
                <w:sz w:val="18"/>
                <w:szCs w:val="18"/>
              </w:rPr>
              <w:t>2. NIHR Southampton Biomedical Research Centre, University of Southampton and University Hospital Southampton NHS Foundation Trust</w:t>
            </w:r>
          </w:p>
        </w:tc>
      </w:tr>
      <w:tr w:rsidR="006E0A18" w:rsidRPr="00AA2B8E" w14:paraId="1ACACE4E" w14:textId="77777777" w:rsidTr="00FF7B06">
        <w:tc>
          <w:tcPr>
            <w:tcW w:w="2564" w:type="dxa"/>
          </w:tcPr>
          <w:p w14:paraId="2ED7FE03" w14:textId="77777777" w:rsidR="006E0A18" w:rsidRPr="00AA2B8E" w:rsidRDefault="006E0A18" w:rsidP="006E0A18">
            <w:pPr>
              <w:rPr>
                <w:sz w:val="18"/>
                <w:szCs w:val="18"/>
              </w:rPr>
            </w:pPr>
            <w:r w:rsidRPr="00AA2B8E">
              <w:rPr>
                <w:sz w:val="18"/>
                <w:szCs w:val="18"/>
              </w:rPr>
              <w:t>Janet Elizabeth Cade</w:t>
            </w:r>
          </w:p>
        </w:tc>
        <w:tc>
          <w:tcPr>
            <w:tcW w:w="1704" w:type="dxa"/>
          </w:tcPr>
          <w:p w14:paraId="2F388E6F" w14:textId="77777777" w:rsidR="006E0A18" w:rsidRPr="00AA2B8E" w:rsidRDefault="006E0A18" w:rsidP="006E0A18">
            <w:pPr>
              <w:rPr>
                <w:sz w:val="18"/>
                <w:szCs w:val="18"/>
              </w:rPr>
            </w:pPr>
            <w:r w:rsidRPr="00AA2B8E">
              <w:rPr>
                <w:sz w:val="18"/>
                <w:szCs w:val="18"/>
              </w:rPr>
              <w:t>PhD</w:t>
            </w:r>
          </w:p>
        </w:tc>
        <w:tc>
          <w:tcPr>
            <w:tcW w:w="4748" w:type="dxa"/>
          </w:tcPr>
          <w:p w14:paraId="27BD0DE5" w14:textId="77777777" w:rsidR="006E0A18" w:rsidRPr="00AA2B8E" w:rsidRDefault="006E0A18" w:rsidP="006E0A18">
            <w:pPr>
              <w:rPr>
                <w:sz w:val="18"/>
                <w:szCs w:val="18"/>
              </w:rPr>
            </w:pPr>
            <w:r w:rsidRPr="00AA2B8E">
              <w:rPr>
                <w:sz w:val="18"/>
                <w:szCs w:val="18"/>
              </w:rPr>
              <w:t>Nutritional Epidemiology Group, School of Food Science &amp; Nutrition, University of Leeds, Leeds, LS2 9JT, UK</w:t>
            </w:r>
          </w:p>
        </w:tc>
      </w:tr>
      <w:tr w:rsidR="006E0A18" w:rsidRPr="00AA2B8E" w14:paraId="64869817" w14:textId="77777777" w:rsidTr="00FF7B06">
        <w:tc>
          <w:tcPr>
            <w:tcW w:w="2564" w:type="dxa"/>
          </w:tcPr>
          <w:p w14:paraId="71593E14" w14:textId="77777777" w:rsidR="006E0A18" w:rsidRPr="00AA2B8E" w:rsidRDefault="006E0A18" w:rsidP="006E0A18">
            <w:pPr>
              <w:rPr>
                <w:sz w:val="18"/>
                <w:szCs w:val="18"/>
              </w:rPr>
            </w:pPr>
            <w:r w:rsidRPr="00AA2B8E">
              <w:rPr>
                <w:sz w:val="18"/>
                <w:szCs w:val="18"/>
              </w:rPr>
              <w:t>Nigel AB Simpson</w:t>
            </w:r>
          </w:p>
        </w:tc>
        <w:tc>
          <w:tcPr>
            <w:tcW w:w="1704" w:type="dxa"/>
          </w:tcPr>
          <w:p w14:paraId="07AF8ADE" w14:textId="77777777" w:rsidR="006E0A18" w:rsidRPr="00AA2B8E" w:rsidRDefault="006E0A18" w:rsidP="006E0A18">
            <w:pPr>
              <w:rPr>
                <w:sz w:val="18"/>
                <w:szCs w:val="18"/>
              </w:rPr>
            </w:pPr>
            <w:r w:rsidRPr="00AA2B8E">
              <w:rPr>
                <w:sz w:val="18"/>
                <w:szCs w:val="18"/>
              </w:rPr>
              <w:t>MBBS</w:t>
            </w:r>
          </w:p>
        </w:tc>
        <w:tc>
          <w:tcPr>
            <w:tcW w:w="4748" w:type="dxa"/>
          </w:tcPr>
          <w:p w14:paraId="746F1507" w14:textId="77777777" w:rsidR="006E0A18" w:rsidRPr="00AA2B8E" w:rsidRDefault="006E0A18" w:rsidP="006E0A18">
            <w:pPr>
              <w:rPr>
                <w:sz w:val="18"/>
                <w:szCs w:val="18"/>
              </w:rPr>
            </w:pPr>
            <w:r w:rsidRPr="00AA2B8E">
              <w:rPr>
                <w:sz w:val="18"/>
                <w:szCs w:val="18"/>
              </w:rPr>
              <w:t>Division of Women’s and Children’s Health, School of Medicine, University of Leeds, Leeds, LS2 9JT, UK</w:t>
            </w:r>
          </w:p>
        </w:tc>
      </w:tr>
      <w:tr w:rsidR="006E0A18" w:rsidRPr="00AA2B8E" w14:paraId="6C957F65" w14:textId="77777777" w:rsidTr="00FF7B06">
        <w:tc>
          <w:tcPr>
            <w:tcW w:w="2564" w:type="dxa"/>
          </w:tcPr>
          <w:p w14:paraId="1A858F96" w14:textId="77777777" w:rsidR="006E0A18" w:rsidRPr="00AA2B8E" w:rsidRDefault="006E0A18" w:rsidP="006E0A18">
            <w:pPr>
              <w:rPr>
                <w:sz w:val="18"/>
                <w:szCs w:val="18"/>
              </w:rPr>
            </w:pPr>
            <w:r w:rsidRPr="00AA2B8E">
              <w:rPr>
                <w:sz w:val="18"/>
                <w:szCs w:val="18"/>
              </w:rPr>
              <w:t>Paul M Stewart</w:t>
            </w:r>
          </w:p>
        </w:tc>
        <w:tc>
          <w:tcPr>
            <w:tcW w:w="1704" w:type="dxa"/>
          </w:tcPr>
          <w:p w14:paraId="10E2302E" w14:textId="77777777" w:rsidR="006E0A18" w:rsidRPr="00AA2B8E" w:rsidRDefault="006E0A18" w:rsidP="006E0A18">
            <w:pPr>
              <w:rPr>
                <w:sz w:val="18"/>
                <w:szCs w:val="18"/>
              </w:rPr>
            </w:pPr>
            <w:r w:rsidRPr="00AA2B8E">
              <w:rPr>
                <w:sz w:val="18"/>
                <w:szCs w:val="18"/>
              </w:rPr>
              <w:t>PhD</w:t>
            </w:r>
          </w:p>
        </w:tc>
        <w:tc>
          <w:tcPr>
            <w:tcW w:w="4748" w:type="dxa"/>
          </w:tcPr>
          <w:p w14:paraId="505F2183" w14:textId="77777777" w:rsidR="006E0A18" w:rsidRPr="00AA2B8E" w:rsidRDefault="006E0A18" w:rsidP="006E0A18">
            <w:pPr>
              <w:rPr>
                <w:sz w:val="18"/>
                <w:szCs w:val="18"/>
              </w:rPr>
            </w:pPr>
            <w:r w:rsidRPr="00AA2B8E">
              <w:rPr>
                <w:sz w:val="18"/>
                <w:szCs w:val="18"/>
              </w:rPr>
              <w:t>Faculty of Medicine and Health, University of Leeds, Leeds, LS2 9JT, UK</w:t>
            </w:r>
          </w:p>
        </w:tc>
      </w:tr>
      <w:tr w:rsidR="006E0A18" w:rsidRPr="00AA2B8E" w14:paraId="554489B6" w14:textId="77777777" w:rsidTr="00FF7B06">
        <w:tc>
          <w:tcPr>
            <w:tcW w:w="2564" w:type="dxa"/>
          </w:tcPr>
          <w:p w14:paraId="3E45399B" w14:textId="77777777" w:rsidR="006E0A18" w:rsidRPr="00AA2B8E" w:rsidRDefault="006E0A18" w:rsidP="006E0A18">
            <w:pPr>
              <w:rPr>
                <w:sz w:val="18"/>
                <w:szCs w:val="18"/>
              </w:rPr>
            </w:pPr>
            <w:r w:rsidRPr="00AA2B8E">
              <w:rPr>
                <w:sz w:val="18"/>
                <w:szCs w:val="18"/>
              </w:rPr>
              <w:t>Michael Zimmermann</w:t>
            </w:r>
          </w:p>
        </w:tc>
        <w:tc>
          <w:tcPr>
            <w:tcW w:w="1704" w:type="dxa"/>
          </w:tcPr>
          <w:p w14:paraId="00BFC927" w14:textId="77777777" w:rsidR="006E0A18" w:rsidRPr="00AA2B8E" w:rsidRDefault="006E0A18" w:rsidP="006E0A18">
            <w:pPr>
              <w:rPr>
                <w:sz w:val="18"/>
                <w:szCs w:val="18"/>
              </w:rPr>
            </w:pPr>
            <w:r w:rsidRPr="00AA2B8E">
              <w:rPr>
                <w:sz w:val="18"/>
                <w:szCs w:val="18"/>
              </w:rPr>
              <w:t>MD</w:t>
            </w:r>
          </w:p>
        </w:tc>
        <w:tc>
          <w:tcPr>
            <w:tcW w:w="4748" w:type="dxa"/>
          </w:tcPr>
          <w:p w14:paraId="5894887A" w14:textId="77777777" w:rsidR="006E0A18" w:rsidRPr="00AA2B8E" w:rsidRDefault="006E0A18" w:rsidP="006E0A18">
            <w:pPr>
              <w:rPr>
                <w:sz w:val="18"/>
                <w:szCs w:val="18"/>
              </w:rPr>
            </w:pPr>
            <w:r w:rsidRPr="00AA2B8E">
              <w:rPr>
                <w:sz w:val="18"/>
                <w:szCs w:val="18"/>
              </w:rPr>
              <w:t>Laboratory for Human Nutrition, Institute of Food, Nutrition and Health, ETH Zurich, 8092 Zürich, Switzerland</w:t>
            </w:r>
          </w:p>
        </w:tc>
      </w:tr>
      <w:tr w:rsidR="006E0A18" w:rsidRPr="00AA2B8E" w14:paraId="53567BFB" w14:textId="77777777" w:rsidTr="00FF7B06">
        <w:tc>
          <w:tcPr>
            <w:tcW w:w="2564" w:type="dxa"/>
          </w:tcPr>
          <w:p w14:paraId="4163E4CE" w14:textId="77777777" w:rsidR="006E0A18" w:rsidRPr="00AA2B8E" w:rsidRDefault="006E0A18" w:rsidP="006E0A18">
            <w:pPr>
              <w:rPr>
                <w:sz w:val="18"/>
                <w:szCs w:val="18"/>
              </w:rPr>
            </w:pPr>
            <w:r w:rsidRPr="00AA2B8E">
              <w:rPr>
                <w:sz w:val="18"/>
                <w:szCs w:val="18"/>
              </w:rPr>
              <w:t>John Wright</w:t>
            </w:r>
          </w:p>
        </w:tc>
        <w:tc>
          <w:tcPr>
            <w:tcW w:w="1704" w:type="dxa"/>
          </w:tcPr>
          <w:p w14:paraId="304D9CF0" w14:textId="179E25F1" w:rsidR="006E0A18" w:rsidRPr="00AA2B8E" w:rsidRDefault="00191849" w:rsidP="006E0A18">
            <w:pPr>
              <w:rPr>
                <w:sz w:val="18"/>
                <w:szCs w:val="18"/>
              </w:rPr>
            </w:pPr>
            <w:r>
              <w:rPr>
                <w:sz w:val="18"/>
                <w:szCs w:val="18"/>
              </w:rPr>
              <w:t>FRCP</w:t>
            </w:r>
          </w:p>
        </w:tc>
        <w:tc>
          <w:tcPr>
            <w:tcW w:w="4748" w:type="dxa"/>
          </w:tcPr>
          <w:p w14:paraId="2C8A5E75" w14:textId="77777777" w:rsidR="006E0A18" w:rsidRPr="00AA2B8E" w:rsidRDefault="006E0A18" w:rsidP="006E0A18">
            <w:pPr>
              <w:rPr>
                <w:sz w:val="18"/>
                <w:szCs w:val="18"/>
              </w:rPr>
            </w:pPr>
            <w:r w:rsidRPr="00AA2B8E">
              <w:rPr>
                <w:sz w:val="18"/>
                <w:szCs w:val="18"/>
              </w:rPr>
              <w:t>Bradford Institute for Health Research, Bradford Teaching Hospitals NHS Foundation Trust, Bradford, BD9 6RJ, UK</w:t>
            </w:r>
          </w:p>
        </w:tc>
      </w:tr>
      <w:tr w:rsidR="006E0A18" w:rsidRPr="00AA2B8E" w14:paraId="2C2A36A9" w14:textId="77777777" w:rsidTr="00FF7B06">
        <w:tc>
          <w:tcPr>
            <w:tcW w:w="2564" w:type="dxa"/>
          </w:tcPr>
          <w:p w14:paraId="37DF1EFB" w14:textId="77777777" w:rsidR="006E0A18" w:rsidRPr="00AA2B8E" w:rsidRDefault="006E0A18" w:rsidP="006E0A18">
            <w:pPr>
              <w:rPr>
                <w:sz w:val="18"/>
                <w:szCs w:val="18"/>
              </w:rPr>
            </w:pPr>
            <w:r w:rsidRPr="00AA2B8E">
              <w:rPr>
                <w:sz w:val="18"/>
                <w:szCs w:val="18"/>
              </w:rPr>
              <w:t>Dagmar Waiblinger</w:t>
            </w:r>
          </w:p>
        </w:tc>
        <w:tc>
          <w:tcPr>
            <w:tcW w:w="1704" w:type="dxa"/>
          </w:tcPr>
          <w:p w14:paraId="05B45203" w14:textId="77777777" w:rsidR="006E0A18" w:rsidRPr="00AA2B8E" w:rsidRDefault="006E0A18" w:rsidP="006E0A18">
            <w:pPr>
              <w:rPr>
                <w:sz w:val="18"/>
                <w:szCs w:val="18"/>
              </w:rPr>
            </w:pPr>
            <w:r w:rsidRPr="00AA2B8E">
              <w:rPr>
                <w:sz w:val="18"/>
                <w:szCs w:val="18"/>
              </w:rPr>
              <w:t>MPH</w:t>
            </w:r>
          </w:p>
        </w:tc>
        <w:tc>
          <w:tcPr>
            <w:tcW w:w="4748" w:type="dxa"/>
          </w:tcPr>
          <w:p w14:paraId="71BAF3DC" w14:textId="77777777" w:rsidR="006E0A18" w:rsidRPr="00AA2B8E" w:rsidRDefault="006E0A18" w:rsidP="006E0A18">
            <w:pPr>
              <w:rPr>
                <w:sz w:val="18"/>
                <w:szCs w:val="18"/>
              </w:rPr>
            </w:pPr>
            <w:r w:rsidRPr="00AA2B8E">
              <w:rPr>
                <w:sz w:val="18"/>
                <w:szCs w:val="18"/>
              </w:rPr>
              <w:t>Bradford Institute for Health Research, Bradford Teaching Hospitals NHS Foundation Trust, Bradford, BD9 6RJ, UK</w:t>
            </w:r>
          </w:p>
        </w:tc>
      </w:tr>
      <w:tr w:rsidR="006E0A18" w:rsidRPr="00AA2B8E" w14:paraId="3BD14788" w14:textId="77777777" w:rsidTr="00FF7B06">
        <w:tc>
          <w:tcPr>
            <w:tcW w:w="2564" w:type="dxa"/>
          </w:tcPr>
          <w:p w14:paraId="6A7FAF0F" w14:textId="77777777" w:rsidR="006E0A18" w:rsidRPr="00AA2B8E" w:rsidRDefault="006E0A18" w:rsidP="006E0A18">
            <w:pPr>
              <w:rPr>
                <w:sz w:val="18"/>
                <w:szCs w:val="18"/>
              </w:rPr>
            </w:pPr>
            <w:r w:rsidRPr="00AA2B8E">
              <w:rPr>
                <w:sz w:val="18"/>
                <w:szCs w:val="18"/>
              </w:rPr>
              <w:t>Mark Mon-Williams</w:t>
            </w:r>
          </w:p>
        </w:tc>
        <w:tc>
          <w:tcPr>
            <w:tcW w:w="1704" w:type="dxa"/>
          </w:tcPr>
          <w:p w14:paraId="3F6BBF18" w14:textId="77777777" w:rsidR="006E0A18" w:rsidRPr="00AA2B8E" w:rsidRDefault="006E0A18" w:rsidP="006E0A18">
            <w:pPr>
              <w:rPr>
                <w:sz w:val="18"/>
                <w:szCs w:val="18"/>
              </w:rPr>
            </w:pPr>
            <w:r w:rsidRPr="00AA2B8E">
              <w:rPr>
                <w:sz w:val="18"/>
                <w:szCs w:val="18"/>
              </w:rPr>
              <w:t>PhD</w:t>
            </w:r>
          </w:p>
        </w:tc>
        <w:tc>
          <w:tcPr>
            <w:tcW w:w="4748" w:type="dxa"/>
          </w:tcPr>
          <w:p w14:paraId="238EE419" w14:textId="77777777" w:rsidR="006E0A18" w:rsidRPr="00AA2B8E" w:rsidRDefault="006E0A18" w:rsidP="006E0A18">
            <w:pPr>
              <w:rPr>
                <w:sz w:val="18"/>
                <w:szCs w:val="18"/>
              </w:rPr>
            </w:pPr>
            <w:r w:rsidRPr="00AA2B8E">
              <w:rPr>
                <w:sz w:val="18"/>
                <w:szCs w:val="18"/>
              </w:rPr>
              <w:t>School of Psychology, University of Leeds, Leeds, LS2 9JT, UK</w:t>
            </w:r>
          </w:p>
        </w:tc>
      </w:tr>
      <w:tr w:rsidR="006E0A18" w:rsidRPr="00AA2B8E" w14:paraId="011D623F" w14:textId="77777777" w:rsidTr="00FF7B06">
        <w:tc>
          <w:tcPr>
            <w:tcW w:w="2564" w:type="dxa"/>
          </w:tcPr>
          <w:p w14:paraId="66B20BF0" w14:textId="77777777" w:rsidR="006E0A18" w:rsidRPr="00AA2B8E" w:rsidRDefault="006E0A18" w:rsidP="006E0A18">
            <w:pPr>
              <w:rPr>
                <w:sz w:val="18"/>
                <w:szCs w:val="18"/>
              </w:rPr>
            </w:pPr>
            <w:r w:rsidRPr="00AA2B8E">
              <w:rPr>
                <w:sz w:val="18"/>
                <w:szCs w:val="18"/>
              </w:rPr>
              <w:t>Laura J Hardie</w:t>
            </w:r>
            <w:r w:rsidRPr="00AA2B8E">
              <w:rPr>
                <w:sz w:val="18"/>
                <w:szCs w:val="18"/>
                <w:vertAlign w:val="superscript"/>
              </w:rPr>
              <w:t>†</w:t>
            </w:r>
          </w:p>
        </w:tc>
        <w:tc>
          <w:tcPr>
            <w:tcW w:w="1704" w:type="dxa"/>
          </w:tcPr>
          <w:p w14:paraId="5780E6BB" w14:textId="77777777" w:rsidR="006E0A18" w:rsidRPr="00AA2B8E" w:rsidRDefault="006E0A18" w:rsidP="006E0A18">
            <w:pPr>
              <w:rPr>
                <w:sz w:val="18"/>
                <w:szCs w:val="18"/>
              </w:rPr>
            </w:pPr>
            <w:r w:rsidRPr="00AA2B8E">
              <w:rPr>
                <w:sz w:val="18"/>
                <w:szCs w:val="18"/>
              </w:rPr>
              <w:t>PhD</w:t>
            </w:r>
          </w:p>
        </w:tc>
        <w:tc>
          <w:tcPr>
            <w:tcW w:w="4748" w:type="dxa"/>
          </w:tcPr>
          <w:p w14:paraId="07206708" w14:textId="77777777" w:rsidR="006E0A18" w:rsidRPr="00AA2B8E" w:rsidRDefault="006E0A18" w:rsidP="006E0A18">
            <w:pPr>
              <w:rPr>
                <w:sz w:val="18"/>
                <w:szCs w:val="18"/>
              </w:rPr>
            </w:pPr>
            <w:r w:rsidRPr="00AA2B8E">
              <w:rPr>
                <w:sz w:val="18"/>
                <w:szCs w:val="18"/>
              </w:rPr>
              <w:t>Leeds Institute of Cardiovascular &amp; Metabolic Medicine, School of Medicine, University of Leeds, Leeds LS2 9JT</w:t>
            </w:r>
          </w:p>
        </w:tc>
      </w:tr>
      <w:tr w:rsidR="006E0A18" w:rsidRPr="00AA2B8E" w14:paraId="29D65BF4" w14:textId="77777777" w:rsidTr="00FF7B06">
        <w:tc>
          <w:tcPr>
            <w:tcW w:w="2564" w:type="dxa"/>
          </w:tcPr>
          <w:p w14:paraId="5F4EB12C" w14:textId="77777777" w:rsidR="006E0A18" w:rsidRPr="00AA2B8E" w:rsidRDefault="006E0A18" w:rsidP="006E0A18">
            <w:pPr>
              <w:rPr>
                <w:sz w:val="18"/>
                <w:szCs w:val="18"/>
              </w:rPr>
            </w:pPr>
            <w:r w:rsidRPr="00AA2B8E">
              <w:rPr>
                <w:sz w:val="18"/>
                <w:szCs w:val="18"/>
              </w:rPr>
              <w:t>Darren Charles Greenwood</w:t>
            </w:r>
            <w:r w:rsidRPr="00AA2B8E">
              <w:rPr>
                <w:sz w:val="18"/>
                <w:szCs w:val="18"/>
                <w:vertAlign w:val="superscript"/>
              </w:rPr>
              <w:t>†</w:t>
            </w:r>
          </w:p>
        </w:tc>
        <w:tc>
          <w:tcPr>
            <w:tcW w:w="1704" w:type="dxa"/>
          </w:tcPr>
          <w:p w14:paraId="68EFDE38" w14:textId="77777777" w:rsidR="006E0A18" w:rsidRPr="00AA2B8E" w:rsidRDefault="006E0A18" w:rsidP="006E0A18">
            <w:pPr>
              <w:rPr>
                <w:sz w:val="18"/>
                <w:szCs w:val="18"/>
              </w:rPr>
            </w:pPr>
            <w:r w:rsidRPr="00AA2B8E">
              <w:rPr>
                <w:sz w:val="18"/>
                <w:szCs w:val="18"/>
              </w:rPr>
              <w:t>PhD</w:t>
            </w:r>
          </w:p>
        </w:tc>
        <w:tc>
          <w:tcPr>
            <w:tcW w:w="4748" w:type="dxa"/>
          </w:tcPr>
          <w:p w14:paraId="552CEB9A" w14:textId="77777777" w:rsidR="006E0A18" w:rsidRPr="00AA2B8E" w:rsidRDefault="006E0A18" w:rsidP="006E0A18">
            <w:pPr>
              <w:rPr>
                <w:sz w:val="18"/>
                <w:szCs w:val="18"/>
              </w:rPr>
            </w:pPr>
            <w:r w:rsidRPr="00AA2B8E">
              <w:rPr>
                <w:sz w:val="18"/>
                <w:szCs w:val="18"/>
              </w:rPr>
              <w:t>1. Leeds Institute of Cardiovascular &amp; Metabolic Medicine, School of Medicine, University of Leeds, Leeds LS2 9JT</w:t>
            </w:r>
          </w:p>
          <w:p w14:paraId="375743F2" w14:textId="77777777" w:rsidR="006E0A18" w:rsidRPr="00AA2B8E" w:rsidRDefault="006E0A18" w:rsidP="006E0A18">
            <w:pPr>
              <w:rPr>
                <w:sz w:val="18"/>
                <w:szCs w:val="18"/>
              </w:rPr>
            </w:pPr>
            <w:r w:rsidRPr="00AA2B8E">
              <w:rPr>
                <w:sz w:val="18"/>
                <w:szCs w:val="18"/>
              </w:rPr>
              <w:t>2. Leeds Institute for Data Analytics, University of Leeds</w:t>
            </w:r>
          </w:p>
        </w:tc>
      </w:tr>
    </w:tbl>
    <w:p w14:paraId="7CB9C9A6" w14:textId="77777777" w:rsidR="00116A32" w:rsidRDefault="00116A32" w:rsidP="00AA2B8E">
      <w:pPr>
        <w:spacing w:after="0" w:line="320" w:lineRule="atLeast"/>
        <w:rPr>
          <w:rFonts w:ascii="Calibri" w:eastAsia="Calibri" w:hAnsi="Calibri" w:cs="Times New Roman"/>
          <w:sz w:val="20"/>
          <w:szCs w:val="20"/>
        </w:rPr>
      </w:pPr>
    </w:p>
    <w:p w14:paraId="608FE150" w14:textId="449A71D2" w:rsidR="00EC7251" w:rsidRPr="00AA2B8E" w:rsidRDefault="00EC7251" w:rsidP="00EC7251">
      <w:pPr>
        <w:rPr>
          <w:b/>
        </w:rPr>
      </w:pPr>
      <w:r w:rsidRPr="00AA2B8E">
        <w:rPr>
          <w:b/>
        </w:rPr>
        <w:lastRenderedPageBreak/>
        <w:t>Corresponding author:</w:t>
      </w:r>
    </w:p>
    <w:p w14:paraId="0AC39781" w14:textId="3ED3B480" w:rsidR="00EC7251" w:rsidRPr="00AA2B8E" w:rsidRDefault="00EC7251" w:rsidP="00EC7251">
      <w:r>
        <w:t xml:space="preserve">Correspondence to </w:t>
      </w:r>
      <w:r w:rsidRPr="00AA2B8E">
        <w:t>Darren C Greenwood</w:t>
      </w:r>
    </w:p>
    <w:p w14:paraId="2C58C8D4" w14:textId="7631A50B" w:rsidR="00EC7251" w:rsidRPr="009D447E" w:rsidRDefault="00312B94" w:rsidP="00EC7251">
      <w:hyperlink r:id="rId12" w:history="1">
        <w:r w:rsidR="00EC7251" w:rsidRPr="009D447E">
          <w:rPr>
            <w:color w:val="0563C1" w:themeColor="hyperlink"/>
            <w:u w:val="single"/>
          </w:rPr>
          <w:t>d.c.greenwood@leeds.ac.uk</w:t>
        </w:r>
      </w:hyperlink>
    </w:p>
    <w:p w14:paraId="651D2DE7" w14:textId="77777777" w:rsidR="00EC7251" w:rsidRPr="009D447E" w:rsidRDefault="00EC7251" w:rsidP="00EC7251">
      <w:pPr>
        <w:pStyle w:val="NormalWeb"/>
        <w:spacing w:before="0" w:beforeAutospacing="0" w:after="0" w:afterAutospacing="0" w:line="480" w:lineRule="auto"/>
        <w:rPr>
          <w:rFonts w:asciiTheme="minorHAnsi" w:hAnsiTheme="minorHAnsi" w:cstheme="minorHAnsi"/>
          <w:b/>
          <w:bCs/>
          <w:sz w:val="22"/>
          <w:szCs w:val="22"/>
        </w:rPr>
      </w:pPr>
      <w:r w:rsidRPr="009D447E">
        <w:rPr>
          <w:rFonts w:asciiTheme="minorHAnsi" w:hAnsiTheme="minorHAnsi" w:cstheme="minorHAnsi"/>
        </w:rPr>
        <w:t>0113 343 31813</w:t>
      </w:r>
    </w:p>
    <w:p w14:paraId="5111CBF8" w14:textId="77777777" w:rsidR="00AA2B8E" w:rsidRPr="008F6622" w:rsidRDefault="00AA2B8E" w:rsidP="00AA2B8E">
      <w:pPr>
        <w:spacing w:after="0" w:line="320" w:lineRule="atLeast"/>
        <w:rPr>
          <w:rFonts w:eastAsia="Calibri" w:cstheme="minorHAnsi"/>
          <w:bCs/>
          <w:sz w:val="24"/>
          <w:szCs w:val="24"/>
        </w:rPr>
      </w:pPr>
    </w:p>
    <w:p w14:paraId="32CABAB1" w14:textId="77777777" w:rsidR="00AA2B8E" w:rsidRPr="008F6622" w:rsidRDefault="00AA2B8E" w:rsidP="00AA2B8E">
      <w:pPr>
        <w:spacing w:after="0" w:line="320" w:lineRule="atLeast"/>
        <w:rPr>
          <w:rFonts w:eastAsia="Calibri" w:cstheme="minorHAnsi"/>
          <w:b/>
          <w:sz w:val="24"/>
          <w:szCs w:val="24"/>
        </w:rPr>
      </w:pPr>
    </w:p>
    <w:p w14:paraId="2668EAB9" w14:textId="77777777" w:rsidR="00AA2B8E" w:rsidRPr="008F6622" w:rsidRDefault="00AA2B8E" w:rsidP="00AA2B8E">
      <w:pPr>
        <w:spacing w:after="0" w:line="320" w:lineRule="atLeast"/>
        <w:rPr>
          <w:rFonts w:eastAsia="Calibri" w:cstheme="minorHAnsi"/>
          <w:b/>
          <w:sz w:val="24"/>
          <w:szCs w:val="24"/>
        </w:rPr>
      </w:pPr>
    </w:p>
    <w:p w14:paraId="22018D8E" w14:textId="77777777" w:rsidR="00AA2B8E" w:rsidRPr="008F6622" w:rsidRDefault="00AA2B8E" w:rsidP="00AA2B8E">
      <w:pPr>
        <w:spacing w:after="0" w:line="320" w:lineRule="atLeast"/>
        <w:rPr>
          <w:rFonts w:eastAsia="Calibri" w:cstheme="minorHAnsi"/>
          <w:b/>
          <w:sz w:val="24"/>
          <w:szCs w:val="24"/>
        </w:rPr>
      </w:pPr>
    </w:p>
    <w:p w14:paraId="30A04BF7" w14:textId="77777777" w:rsidR="00AA2B8E" w:rsidRPr="008F6622" w:rsidRDefault="00AA2B8E" w:rsidP="00AA2B8E">
      <w:pPr>
        <w:spacing w:after="0" w:line="320" w:lineRule="atLeast"/>
        <w:rPr>
          <w:rFonts w:eastAsia="Calibri" w:cstheme="minorHAnsi"/>
          <w:b/>
          <w:sz w:val="24"/>
          <w:szCs w:val="24"/>
        </w:rPr>
      </w:pPr>
    </w:p>
    <w:p w14:paraId="108F123C" w14:textId="77777777" w:rsidR="00AA2B8E" w:rsidRPr="008F6622" w:rsidRDefault="00AA2B8E" w:rsidP="00AA2B8E">
      <w:pPr>
        <w:spacing w:after="0" w:line="320" w:lineRule="atLeast"/>
        <w:rPr>
          <w:rFonts w:eastAsia="Calibri" w:cstheme="minorHAnsi"/>
          <w:b/>
          <w:sz w:val="24"/>
          <w:szCs w:val="24"/>
        </w:rPr>
      </w:pPr>
    </w:p>
    <w:p w14:paraId="5BBB308E" w14:textId="77777777" w:rsidR="00AA2B8E" w:rsidRPr="008F6622" w:rsidRDefault="00AA2B8E" w:rsidP="00AA2B8E">
      <w:pPr>
        <w:spacing w:after="0" w:line="320" w:lineRule="atLeast"/>
        <w:rPr>
          <w:rFonts w:eastAsia="Calibri" w:cstheme="minorHAnsi"/>
          <w:b/>
          <w:sz w:val="24"/>
          <w:szCs w:val="24"/>
        </w:rPr>
      </w:pPr>
    </w:p>
    <w:p w14:paraId="3742B099" w14:textId="77777777" w:rsidR="00AA2B8E" w:rsidRPr="008F6622" w:rsidRDefault="00AA2B8E" w:rsidP="00AA2B8E">
      <w:pPr>
        <w:spacing w:after="0" w:line="320" w:lineRule="atLeast"/>
        <w:rPr>
          <w:rFonts w:eastAsia="Calibri" w:cstheme="minorHAnsi"/>
          <w:b/>
          <w:sz w:val="24"/>
          <w:szCs w:val="24"/>
        </w:rPr>
      </w:pPr>
    </w:p>
    <w:p w14:paraId="147D9E79" w14:textId="77777777" w:rsidR="00AA2B8E" w:rsidRPr="008F6622" w:rsidRDefault="00AA2B8E" w:rsidP="00AA2B8E">
      <w:pPr>
        <w:spacing w:after="0" w:line="320" w:lineRule="atLeast"/>
        <w:rPr>
          <w:rFonts w:eastAsia="Calibri" w:cstheme="minorHAnsi"/>
          <w:b/>
          <w:sz w:val="24"/>
          <w:szCs w:val="24"/>
        </w:rPr>
      </w:pPr>
    </w:p>
    <w:p w14:paraId="323546F9" w14:textId="77777777" w:rsidR="00AA2B8E" w:rsidRPr="008F6622" w:rsidRDefault="00AA2B8E" w:rsidP="00AA2B8E">
      <w:pPr>
        <w:spacing w:after="0" w:line="320" w:lineRule="atLeast"/>
        <w:rPr>
          <w:rFonts w:eastAsia="Calibri" w:cstheme="minorHAnsi"/>
          <w:b/>
          <w:sz w:val="24"/>
          <w:szCs w:val="24"/>
        </w:rPr>
      </w:pPr>
    </w:p>
    <w:p w14:paraId="40F08F15" w14:textId="77777777" w:rsidR="00AA2B8E" w:rsidRPr="008F6622" w:rsidRDefault="00AA2B8E" w:rsidP="00AA2B8E">
      <w:pPr>
        <w:spacing w:after="0" w:line="320" w:lineRule="atLeast"/>
        <w:rPr>
          <w:rFonts w:eastAsia="Calibri" w:cstheme="minorHAnsi"/>
          <w:b/>
          <w:sz w:val="24"/>
          <w:szCs w:val="24"/>
        </w:rPr>
      </w:pPr>
    </w:p>
    <w:p w14:paraId="67ADDD30" w14:textId="77777777" w:rsidR="00AA2B8E" w:rsidRPr="008F6622" w:rsidRDefault="00AA2B8E" w:rsidP="00AA2B8E">
      <w:pPr>
        <w:spacing w:after="0" w:line="320" w:lineRule="atLeast"/>
        <w:rPr>
          <w:rFonts w:eastAsia="Calibri" w:cstheme="minorHAnsi"/>
          <w:b/>
          <w:sz w:val="24"/>
          <w:szCs w:val="24"/>
        </w:rPr>
      </w:pPr>
    </w:p>
    <w:p w14:paraId="140B5BFF" w14:textId="77777777" w:rsidR="00AA2B8E" w:rsidRPr="008F6622" w:rsidRDefault="00AA2B8E" w:rsidP="00AA2B8E">
      <w:pPr>
        <w:spacing w:after="0" w:line="320" w:lineRule="atLeast"/>
        <w:rPr>
          <w:rFonts w:eastAsia="Calibri" w:cstheme="minorHAnsi"/>
          <w:b/>
          <w:sz w:val="24"/>
          <w:szCs w:val="24"/>
        </w:rPr>
      </w:pPr>
    </w:p>
    <w:p w14:paraId="12D50C26" w14:textId="77777777" w:rsidR="00AA2B8E" w:rsidRPr="008F6622" w:rsidRDefault="00AA2B8E" w:rsidP="00AA2B8E">
      <w:pPr>
        <w:spacing w:after="0" w:line="320" w:lineRule="atLeast"/>
        <w:rPr>
          <w:rFonts w:eastAsia="Calibri" w:cstheme="minorHAnsi"/>
          <w:b/>
          <w:sz w:val="24"/>
          <w:szCs w:val="24"/>
        </w:rPr>
      </w:pPr>
    </w:p>
    <w:p w14:paraId="123FBE5D" w14:textId="77777777" w:rsidR="00AA2B8E" w:rsidRPr="008F6622" w:rsidRDefault="00AA2B8E" w:rsidP="00AA2B8E">
      <w:pPr>
        <w:spacing w:after="0" w:line="320" w:lineRule="atLeast"/>
        <w:rPr>
          <w:rFonts w:eastAsia="Calibri" w:cstheme="minorHAnsi"/>
          <w:b/>
          <w:sz w:val="24"/>
          <w:szCs w:val="24"/>
        </w:rPr>
      </w:pPr>
    </w:p>
    <w:p w14:paraId="32769DDF" w14:textId="77777777" w:rsidR="00AA2B8E" w:rsidRPr="008F6622" w:rsidRDefault="00AA2B8E" w:rsidP="00AA2B8E">
      <w:pPr>
        <w:spacing w:after="0" w:line="320" w:lineRule="atLeast"/>
        <w:rPr>
          <w:rFonts w:eastAsia="Calibri" w:cstheme="minorHAnsi"/>
          <w:b/>
          <w:sz w:val="24"/>
          <w:szCs w:val="24"/>
        </w:rPr>
      </w:pPr>
    </w:p>
    <w:p w14:paraId="0B9354AC" w14:textId="77777777" w:rsidR="00AA2B8E" w:rsidRPr="008F6622" w:rsidRDefault="00AA2B8E" w:rsidP="00AA2B8E">
      <w:pPr>
        <w:spacing w:after="0" w:line="320" w:lineRule="atLeast"/>
        <w:rPr>
          <w:rFonts w:eastAsia="Calibri" w:cstheme="minorHAnsi"/>
          <w:b/>
          <w:sz w:val="24"/>
          <w:szCs w:val="24"/>
        </w:rPr>
      </w:pPr>
    </w:p>
    <w:p w14:paraId="2E240A1A" w14:textId="77777777" w:rsidR="00AA2B8E" w:rsidRPr="008F6622" w:rsidRDefault="00AA2B8E" w:rsidP="00AA2B8E">
      <w:pPr>
        <w:spacing w:after="0" w:line="320" w:lineRule="atLeast"/>
        <w:rPr>
          <w:rFonts w:eastAsia="Calibri" w:cstheme="minorHAnsi"/>
          <w:b/>
          <w:sz w:val="24"/>
          <w:szCs w:val="24"/>
        </w:rPr>
      </w:pPr>
    </w:p>
    <w:p w14:paraId="37A44317" w14:textId="77777777" w:rsidR="00AA2B8E" w:rsidRPr="008F6622" w:rsidRDefault="00AA2B8E" w:rsidP="00AA2B8E">
      <w:pPr>
        <w:spacing w:after="0" w:line="320" w:lineRule="atLeast"/>
        <w:rPr>
          <w:rFonts w:eastAsia="Calibri" w:cstheme="minorHAnsi"/>
          <w:b/>
          <w:sz w:val="24"/>
          <w:szCs w:val="24"/>
        </w:rPr>
      </w:pPr>
    </w:p>
    <w:p w14:paraId="33AE9350" w14:textId="77777777" w:rsidR="00AA2B8E" w:rsidRPr="008F6622" w:rsidRDefault="00AA2B8E" w:rsidP="00AA2B8E">
      <w:pPr>
        <w:spacing w:after="0" w:line="320" w:lineRule="atLeast"/>
        <w:rPr>
          <w:rFonts w:eastAsia="Calibri" w:cstheme="minorHAnsi"/>
          <w:b/>
          <w:sz w:val="24"/>
          <w:szCs w:val="24"/>
        </w:rPr>
      </w:pPr>
    </w:p>
    <w:p w14:paraId="4B562241" w14:textId="77777777" w:rsidR="00AA2B8E" w:rsidRPr="008F6622" w:rsidRDefault="00AA2B8E" w:rsidP="00AA2B8E">
      <w:pPr>
        <w:spacing w:after="0" w:line="320" w:lineRule="atLeast"/>
        <w:rPr>
          <w:rFonts w:eastAsia="Calibri" w:cstheme="minorHAnsi"/>
          <w:b/>
          <w:sz w:val="24"/>
          <w:szCs w:val="24"/>
        </w:rPr>
      </w:pPr>
    </w:p>
    <w:p w14:paraId="426CE850" w14:textId="77777777" w:rsidR="00AA2B8E" w:rsidRPr="008F6622" w:rsidRDefault="00AA2B8E" w:rsidP="00AA2B8E">
      <w:pPr>
        <w:spacing w:after="0" w:line="320" w:lineRule="atLeast"/>
        <w:rPr>
          <w:rFonts w:eastAsia="Calibri" w:cstheme="minorHAnsi"/>
          <w:b/>
          <w:sz w:val="24"/>
          <w:szCs w:val="24"/>
        </w:rPr>
      </w:pPr>
    </w:p>
    <w:p w14:paraId="67191097" w14:textId="77777777" w:rsidR="00AA2B8E" w:rsidRPr="008F6622" w:rsidRDefault="00AA2B8E" w:rsidP="00AA2B8E">
      <w:pPr>
        <w:spacing w:after="0" w:line="320" w:lineRule="atLeast"/>
        <w:rPr>
          <w:rFonts w:eastAsia="Calibri" w:cstheme="minorHAnsi"/>
          <w:b/>
          <w:sz w:val="24"/>
          <w:szCs w:val="24"/>
        </w:rPr>
      </w:pPr>
    </w:p>
    <w:p w14:paraId="479E4E4A" w14:textId="77777777" w:rsidR="00AA2B8E" w:rsidRPr="008F6622" w:rsidRDefault="00AA2B8E" w:rsidP="00AA2B8E">
      <w:pPr>
        <w:spacing w:after="0" w:line="320" w:lineRule="atLeast"/>
        <w:rPr>
          <w:rFonts w:eastAsia="Calibri" w:cstheme="minorHAnsi"/>
          <w:b/>
          <w:sz w:val="24"/>
          <w:szCs w:val="24"/>
        </w:rPr>
      </w:pPr>
    </w:p>
    <w:p w14:paraId="1F2E5A21" w14:textId="77777777" w:rsidR="00AA2B8E" w:rsidRPr="008F6622" w:rsidRDefault="00AA2B8E" w:rsidP="00AA2B8E">
      <w:pPr>
        <w:spacing w:after="0" w:line="320" w:lineRule="atLeast"/>
        <w:rPr>
          <w:rFonts w:eastAsia="Calibri" w:cstheme="minorHAnsi"/>
          <w:b/>
          <w:sz w:val="24"/>
          <w:szCs w:val="24"/>
        </w:rPr>
      </w:pPr>
    </w:p>
    <w:p w14:paraId="50447762" w14:textId="77777777" w:rsidR="00AA2B8E" w:rsidRPr="008F6622" w:rsidRDefault="00AA2B8E" w:rsidP="00AA2B8E">
      <w:pPr>
        <w:spacing w:after="0" w:line="320" w:lineRule="atLeast"/>
        <w:rPr>
          <w:rFonts w:eastAsia="Calibri" w:cstheme="minorHAnsi"/>
          <w:b/>
          <w:sz w:val="24"/>
          <w:szCs w:val="24"/>
        </w:rPr>
      </w:pPr>
    </w:p>
    <w:p w14:paraId="6DA4CACF" w14:textId="77777777" w:rsidR="00AA2B8E" w:rsidRPr="008F6622" w:rsidRDefault="00AA2B8E" w:rsidP="00AA2B8E">
      <w:pPr>
        <w:spacing w:after="0" w:line="320" w:lineRule="atLeast"/>
        <w:rPr>
          <w:rFonts w:eastAsia="Calibri" w:cstheme="minorHAnsi"/>
          <w:b/>
          <w:sz w:val="24"/>
          <w:szCs w:val="24"/>
        </w:rPr>
      </w:pPr>
    </w:p>
    <w:p w14:paraId="660549BA" w14:textId="77777777" w:rsidR="00AA2B8E" w:rsidRPr="008F6622" w:rsidRDefault="00AA2B8E" w:rsidP="00AA2B8E">
      <w:pPr>
        <w:spacing w:after="0" w:line="320" w:lineRule="atLeast"/>
        <w:rPr>
          <w:rFonts w:eastAsia="Calibri" w:cstheme="minorHAnsi"/>
          <w:b/>
          <w:sz w:val="24"/>
          <w:szCs w:val="24"/>
        </w:rPr>
      </w:pPr>
    </w:p>
    <w:p w14:paraId="73EA5F60" w14:textId="77777777" w:rsidR="00AA2B8E" w:rsidRPr="008F6622" w:rsidRDefault="00AA2B8E" w:rsidP="00AA2B8E">
      <w:pPr>
        <w:spacing w:after="0" w:line="320" w:lineRule="atLeast"/>
        <w:rPr>
          <w:rFonts w:eastAsia="Calibri" w:cstheme="minorHAnsi"/>
          <w:b/>
          <w:sz w:val="24"/>
          <w:szCs w:val="24"/>
        </w:rPr>
      </w:pPr>
    </w:p>
    <w:p w14:paraId="0159DAEB" w14:textId="77777777" w:rsidR="00AA2B8E" w:rsidRPr="008F6622" w:rsidRDefault="00AA2B8E" w:rsidP="00AA2B8E">
      <w:pPr>
        <w:spacing w:after="0" w:line="320" w:lineRule="atLeast"/>
        <w:rPr>
          <w:rFonts w:eastAsia="Calibri" w:cstheme="minorHAnsi"/>
          <w:b/>
          <w:sz w:val="24"/>
          <w:szCs w:val="24"/>
        </w:rPr>
      </w:pPr>
    </w:p>
    <w:p w14:paraId="6F30125B" w14:textId="77777777" w:rsidR="00AA2B8E" w:rsidRPr="008F6622" w:rsidRDefault="00AA2B8E" w:rsidP="00AA2B8E">
      <w:pPr>
        <w:spacing w:after="0" w:line="320" w:lineRule="atLeast"/>
        <w:rPr>
          <w:rFonts w:eastAsia="Calibri" w:cstheme="minorHAnsi"/>
          <w:b/>
          <w:sz w:val="24"/>
          <w:szCs w:val="24"/>
        </w:rPr>
      </w:pPr>
    </w:p>
    <w:p w14:paraId="11239F9B" w14:textId="77777777" w:rsidR="00751C0D" w:rsidRDefault="00751C0D" w:rsidP="00AB2DCC">
      <w:pPr>
        <w:pStyle w:val="HTMLPreformatted"/>
        <w:shd w:val="clear" w:color="auto" w:fill="FCFCFC"/>
        <w:spacing w:line="480" w:lineRule="auto"/>
        <w:rPr>
          <w:rFonts w:asciiTheme="minorHAnsi" w:eastAsia="Calibri" w:hAnsiTheme="minorHAnsi" w:cstheme="minorHAnsi"/>
          <w:b/>
          <w:sz w:val="22"/>
        </w:rPr>
      </w:pPr>
    </w:p>
    <w:p w14:paraId="43C5CFC2" w14:textId="77777777" w:rsidR="00924EEC" w:rsidRDefault="00924EEC" w:rsidP="00AB2DCC">
      <w:pPr>
        <w:pStyle w:val="HTMLPreformatted"/>
        <w:shd w:val="clear" w:color="auto" w:fill="FCFCFC"/>
        <w:spacing w:line="480" w:lineRule="auto"/>
        <w:rPr>
          <w:rFonts w:asciiTheme="minorHAnsi" w:eastAsia="Calibri" w:hAnsiTheme="minorHAnsi" w:cstheme="minorHAnsi"/>
          <w:b/>
          <w:sz w:val="22"/>
        </w:rPr>
      </w:pPr>
    </w:p>
    <w:p w14:paraId="52DCECDA" w14:textId="77777777" w:rsidR="00924EEC" w:rsidRDefault="00924EEC" w:rsidP="00AB2DCC">
      <w:pPr>
        <w:pStyle w:val="HTMLPreformatted"/>
        <w:shd w:val="clear" w:color="auto" w:fill="FCFCFC"/>
        <w:spacing w:line="480" w:lineRule="auto"/>
        <w:rPr>
          <w:rFonts w:asciiTheme="minorHAnsi" w:eastAsia="Calibri" w:hAnsiTheme="minorHAnsi" w:cstheme="minorHAnsi"/>
          <w:b/>
          <w:sz w:val="22"/>
        </w:rPr>
      </w:pPr>
    </w:p>
    <w:p w14:paraId="7F6EC1FF" w14:textId="77777777" w:rsidR="00924EEC" w:rsidRDefault="00924EEC" w:rsidP="00AB2DCC">
      <w:pPr>
        <w:pStyle w:val="HTMLPreformatted"/>
        <w:shd w:val="clear" w:color="auto" w:fill="FCFCFC"/>
        <w:spacing w:line="480" w:lineRule="auto"/>
        <w:rPr>
          <w:rFonts w:asciiTheme="minorHAnsi" w:eastAsia="Calibri" w:hAnsiTheme="minorHAnsi" w:cstheme="minorHAnsi"/>
          <w:b/>
          <w:sz w:val="22"/>
        </w:rPr>
      </w:pPr>
    </w:p>
    <w:p w14:paraId="0D4E6F5C" w14:textId="564A676E" w:rsidR="00AA2B8E" w:rsidRPr="0056277C" w:rsidRDefault="0056277C" w:rsidP="00AB2DCC">
      <w:pPr>
        <w:pStyle w:val="HTMLPreformatted"/>
        <w:shd w:val="clear" w:color="auto" w:fill="FCFCFC"/>
        <w:spacing w:line="480" w:lineRule="auto"/>
        <w:rPr>
          <w:b/>
          <w:bCs/>
        </w:rPr>
      </w:pPr>
      <w:r w:rsidRPr="003C4E9A">
        <w:rPr>
          <w:rFonts w:asciiTheme="minorHAnsi" w:eastAsia="Calibri" w:hAnsiTheme="minorHAnsi" w:cstheme="minorHAnsi"/>
          <w:b/>
          <w:sz w:val="22"/>
        </w:rPr>
        <w:lastRenderedPageBreak/>
        <w:t>Abstract</w:t>
      </w:r>
    </w:p>
    <w:p w14:paraId="1503BF70" w14:textId="1A4EF4A1" w:rsidR="00FD07F7" w:rsidRPr="00AA2B8E" w:rsidRDefault="00FD07F7" w:rsidP="00FD07F7">
      <w:pPr>
        <w:spacing w:after="0" w:line="320" w:lineRule="atLeast"/>
        <w:rPr>
          <w:rFonts w:eastAsia="Calibri" w:cstheme="minorHAnsi"/>
        </w:rPr>
      </w:pPr>
      <w:r w:rsidRPr="00AA2B8E">
        <w:rPr>
          <w:rFonts w:eastAsia="Calibri" w:cstheme="minorHAnsi"/>
          <w:szCs w:val="24"/>
        </w:rPr>
        <w:t xml:space="preserve">Background: </w:t>
      </w:r>
      <w:r w:rsidRPr="00AA2B8E">
        <w:rPr>
          <w:rFonts w:ascii="Calibri" w:eastAsia="Calibri" w:hAnsi="Calibri" w:cs="Times New Roman"/>
        </w:rPr>
        <w:t xml:space="preserve">Maternal iodine requirements increase during pregnancy to supply thyroid hormones essential for fetal brain development. </w:t>
      </w:r>
      <w:r w:rsidRPr="00AA2B8E">
        <w:rPr>
          <w:rFonts w:eastAsia="Calibri" w:cstheme="minorHAnsi"/>
        </w:rPr>
        <w:t xml:space="preserve">Maternal iodine deficiency can lead to </w:t>
      </w:r>
      <w:r w:rsidRPr="00AA2B8E">
        <w:rPr>
          <w:rFonts w:eastAsia="Calibri" w:cstheme="minorHAnsi"/>
          <w:iCs/>
          <w:lang w:val="en"/>
        </w:rPr>
        <w:t>hypothyroxinemia</w:t>
      </w:r>
      <w:r>
        <w:rPr>
          <w:rFonts w:eastAsia="Calibri" w:cstheme="minorHAnsi"/>
          <w:iCs/>
          <w:lang w:val="en"/>
        </w:rPr>
        <w:t>,</w:t>
      </w:r>
      <w:r w:rsidRPr="00AA2B8E">
        <w:rPr>
          <w:rFonts w:eastAsia="Calibri" w:cstheme="minorHAnsi"/>
        </w:rPr>
        <w:t xml:space="preserve"> a reduced fetal supply</w:t>
      </w:r>
      <w:r w:rsidRPr="00AA2B8E">
        <w:rPr>
          <w:rFonts w:eastAsia="Calibri" w:cstheme="minorHAnsi"/>
          <w:iCs/>
          <w:lang w:val="en"/>
        </w:rPr>
        <w:t xml:space="preserve"> of thyroid hormones which</w:t>
      </w:r>
      <w:r w:rsidR="001273F4">
        <w:rPr>
          <w:rFonts w:eastAsia="Calibri" w:cstheme="minorHAnsi"/>
          <w:iCs/>
          <w:lang w:val="en"/>
        </w:rPr>
        <w:t>, in the first trimester,</w:t>
      </w:r>
      <w:r w:rsidRPr="00AA2B8E">
        <w:rPr>
          <w:rFonts w:eastAsia="Calibri" w:cstheme="minorHAnsi"/>
          <w:iCs/>
          <w:lang w:val="en"/>
        </w:rPr>
        <w:t xml:space="preserve"> </w:t>
      </w:r>
      <w:r w:rsidRPr="00AA2B8E">
        <w:rPr>
          <w:rFonts w:eastAsia="Calibri" w:cstheme="minorHAnsi"/>
        </w:rPr>
        <w:t xml:space="preserve">has been linked to an increased risk of autism spectrum disorder (ASD) in the child. No study to date has explored the direct link between maternal iodine deficiency and </w:t>
      </w:r>
      <w:r>
        <w:rPr>
          <w:rFonts w:eastAsia="Calibri" w:cstheme="minorHAnsi"/>
        </w:rPr>
        <w:t xml:space="preserve">diagnosis of </w:t>
      </w:r>
      <w:r w:rsidRPr="00AA2B8E">
        <w:rPr>
          <w:rFonts w:eastAsia="Calibri" w:cstheme="minorHAnsi"/>
        </w:rPr>
        <w:t>ASD</w:t>
      </w:r>
      <w:r>
        <w:rPr>
          <w:rFonts w:eastAsia="Calibri" w:cstheme="minorHAnsi"/>
        </w:rPr>
        <w:t xml:space="preserve"> in offspring</w:t>
      </w:r>
      <w:r w:rsidRPr="00AA2B8E">
        <w:rPr>
          <w:rFonts w:eastAsia="Calibri" w:cstheme="minorHAnsi"/>
        </w:rPr>
        <w:t>.</w:t>
      </w:r>
    </w:p>
    <w:p w14:paraId="4BD3E1B6" w14:textId="77777777" w:rsidR="00FD07F7" w:rsidRPr="00AA2B8E" w:rsidRDefault="00FD07F7" w:rsidP="00FD07F7">
      <w:pPr>
        <w:spacing w:after="0" w:line="320" w:lineRule="atLeast"/>
        <w:rPr>
          <w:rFonts w:eastAsia="Calibri" w:cstheme="minorHAnsi"/>
        </w:rPr>
      </w:pPr>
    </w:p>
    <w:p w14:paraId="1A86DB89" w14:textId="3E44E72E" w:rsidR="00FD07F7" w:rsidRPr="00AA2B8E" w:rsidRDefault="00FD07F7" w:rsidP="00FD07F7">
      <w:pPr>
        <w:spacing w:after="0" w:line="320" w:lineRule="atLeast"/>
        <w:rPr>
          <w:rFonts w:eastAsia="Calibri" w:cstheme="minorHAnsi"/>
        </w:rPr>
      </w:pPr>
      <w:r w:rsidRPr="00AA2B8E">
        <w:rPr>
          <w:rFonts w:eastAsia="Calibri" w:cstheme="minorHAnsi"/>
        </w:rPr>
        <w:t xml:space="preserve">Methods: </w:t>
      </w:r>
      <w:r w:rsidRPr="00AA2B8E">
        <w:rPr>
          <w:rFonts w:ascii="Calibri" w:eastAsia="Calibri" w:hAnsi="Calibri" w:cs="Times New Roman"/>
        </w:rPr>
        <w:t xml:space="preserve">Urinary iodine concentrations (UIC) and iodine/creatinine ratios (I:Cr) were measured in 6955 mothers at 26-28 weeks gestation participating in the Born in Bradford (BiB) cohort. Maternal iodine status was examined in relation to </w:t>
      </w:r>
      <w:r w:rsidRPr="00AA2B8E">
        <w:rPr>
          <w:rFonts w:eastAsia="Calibri" w:cstheme="minorHAnsi"/>
        </w:rPr>
        <w:t>the probability of a Read (CTV3) code for autism being present in a child’s primary care records</w:t>
      </w:r>
      <w:r>
        <w:rPr>
          <w:rFonts w:eastAsia="Calibri" w:cstheme="minorHAnsi"/>
        </w:rPr>
        <w:t xml:space="preserve"> </w:t>
      </w:r>
      <w:r w:rsidR="006D790F">
        <w:rPr>
          <w:rFonts w:eastAsia="Calibri" w:cstheme="minorHAnsi"/>
        </w:rPr>
        <w:t xml:space="preserve">through a series of </w:t>
      </w:r>
      <w:r>
        <w:rPr>
          <w:rFonts w:eastAsia="Calibri" w:cstheme="minorHAnsi"/>
        </w:rPr>
        <w:t>logistic regression model</w:t>
      </w:r>
      <w:r w:rsidR="006D790F">
        <w:rPr>
          <w:rFonts w:eastAsia="Calibri" w:cstheme="minorHAnsi"/>
        </w:rPr>
        <w:t>s</w:t>
      </w:r>
      <w:r>
        <w:rPr>
          <w:rFonts w:eastAsia="Calibri" w:cstheme="minorHAnsi"/>
        </w:rPr>
        <w:t xml:space="preserve"> with restricted cub</w:t>
      </w:r>
      <w:r w:rsidR="006D790F">
        <w:rPr>
          <w:rFonts w:eastAsia="Calibri" w:cstheme="minorHAnsi"/>
        </w:rPr>
        <w:t>i</w:t>
      </w:r>
      <w:r>
        <w:rPr>
          <w:rFonts w:eastAsia="Calibri" w:cstheme="minorHAnsi"/>
        </w:rPr>
        <w:t xml:space="preserve">c </w:t>
      </w:r>
      <w:r w:rsidR="00632B1D">
        <w:rPr>
          <w:rFonts w:eastAsia="Calibri" w:cstheme="minorHAnsi"/>
        </w:rPr>
        <w:t>splines</w:t>
      </w:r>
      <w:r w:rsidR="0032358F">
        <w:rPr>
          <w:rFonts w:eastAsia="Calibri" w:cstheme="minorHAnsi"/>
        </w:rPr>
        <w:t xml:space="preserve">. </w:t>
      </w:r>
    </w:p>
    <w:p w14:paraId="42A0D722" w14:textId="77777777" w:rsidR="00FD07F7" w:rsidRPr="00AA2B8E" w:rsidRDefault="00FD07F7" w:rsidP="00FD07F7">
      <w:pPr>
        <w:spacing w:after="0" w:line="320" w:lineRule="atLeast"/>
        <w:rPr>
          <w:rFonts w:eastAsia="Calibri" w:cstheme="minorHAnsi"/>
        </w:rPr>
      </w:pPr>
    </w:p>
    <w:p w14:paraId="2F6A0E51" w14:textId="73F9C4D6" w:rsidR="00FD07F7" w:rsidRPr="00AA2B8E" w:rsidRDefault="00953FC1" w:rsidP="00FD07F7">
      <w:pPr>
        <w:spacing w:after="0" w:line="320" w:lineRule="atLeast"/>
        <w:rPr>
          <w:rFonts w:eastAsia="Calibri" w:cstheme="minorHAnsi"/>
        </w:rPr>
      </w:pPr>
      <w:r>
        <w:rPr>
          <w:rFonts w:eastAsia="Calibri" w:cstheme="minorHAnsi"/>
        </w:rPr>
        <w:t>Results</w:t>
      </w:r>
      <w:r w:rsidR="00647B17">
        <w:rPr>
          <w:rFonts w:eastAsia="Calibri" w:cstheme="minorHAnsi"/>
        </w:rPr>
        <w:t xml:space="preserve">: </w:t>
      </w:r>
      <w:r w:rsidR="00FD07F7" w:rsidRPr="00AA2B8E">
        <w:rPr>
          <w:rFonts w:ascii="Calibri" w:eastAsia="Calibri" w:hAnsi="Calibri" w:cs="Times New Roman"/>
        </w:rPr>
        <w:t>Median (inter-quartile range) UIC was 76</w:t>
      </w:r>
      <w:r w:rsidR="00FD07F7" w:rsidRPr="00AA2B8E">
        <w:rPr>
          <w:rFonts w:ascii="Calibri" w:eastAsia="Calibri" w:hAnsi="Calibri" w:cstheme="minorHAnsi"/>
        </w:rPr>
        <w:t>µ</w:t>
      </w:r>
      <w:r w:rsidR="00FD07F7" w:rsidRPr="00AA2B8E">
        <w:rPr>
          <w:rFonts w:ascii="Calibri" w:eastAsia="Calibri" w:hAnsi="Calibri" w:cs="Times New Roman"/>
        </w:rPr>
        <w:t>g/L (46, 120) and I:Cr was 83</w:t>
      </w:r>
      <w:r w:rsidR="00FD07F7" w:rsidRPr="00AA2B8E">
        <w:rPr>
          <w:rFonts w:ascii="Calibri" w:eastAsia="Calibri" w:hAnsi="Calibri" w:cstheme="minorHAnsi"/>
        </w:rPr>
        <w:t>µ</w:t>
      </w:r>
      <w:r w:rsidR="00FD07F7" w:rsidRPr="00AA2B8E">
        <w:rPr>
          <w:rFonts w:ascii="Calibri" w:eastAsia="Calibri" w:hAnsi="Calibri" w:cs="Times New Roman"/>
        </w:rPr>
        <w:t>g/g (59, 121)</w:t>
      </w:r>
      <w:r w:rsidR="00FD07F7" w:rsidRPr="00AA2B8E">
        <w:rPr>
          <w:rFonts w:cstheme="minorHAnsi"/>
        </w:rPr>
        <w:t xml:space="preserve"> indicating a deficient population according to WHO guidelines</w:t>
      </w:r>
      <w:r w:rsidR="00FD07F7" w:rsidRPr="00AA2B8E">
        <w:rPr>
          <w:rFonts w:ascii="Calibri" w:eastAsia="Calibri" w:hAnsi="Calibri" w:cs="Times New Roman"/>
        </w:rPr>
        <w:t xml:space="preserve">. </w:t>
      </w:r>
      <w:r w:rsidR="00647B17">
        <w:rPr>
          <w:rFonts w:eastAsia="Calibri" w:cstheme="minorHAnsi"/>
        </w:rPr>
        <w:t>92</w:t>
      </w:r>
      <w:r w:rsidR="00647B17" w:rsidRPr="00AA2B8E">
        <w:rPr>
          <w:rFonts w:eastAsia="Calibri" w:cstheme="minorHAnsi"/>
        </w:rPr>
        <w:t xml:space="preserve"> children (</w:t>
      </w:r>
      <w:r w:rsidR="00647B17">
        <w:rPr>
          <w:rFonts w:eastAsia="Calibri" w:cstheme="minorHAnsi"/>
        </w:rPr>
        <w:t>1</w:t>
      </w:r>
      <w:r w:rsidR="00647B17">
        <w:rPr>
          <w:rStyle w:val="st1"/>
          <w:rFonts w:ascii="Arial" w:hAnsi="Arial" w:cs="Arial"/>
          <w:color w:val="3C4043"/>
          <w:sz w:val="21"/>
          <w:szCs w:val="21"/>
        </w:rPr>
        <w:t>·</w:t>
      </w:r>
      <w:r w:rsidR="00647B17">
        <w:rPr>
          <w:rFonts w:eastAsia="Calibri" w:cstheme="minorHAnsi"/>
        </w:rPr>
        <w:t>3</w:t>
      </w:r>
      <w:r w:rsidR="00647B17" w:rsidRPr="00AA2B8E">
        <w:rPr>
          <w:rFonts w:eastAsia="Calibri" w:cstheme="minorHAnsi"/>
        </w:rPr>
        <w:t xml:space="preserve">%) </w:t>
      </w:r>
      <w:r w:rsidR="00301FBF">
        <w:rPr>
          <w:rFonts w:eastAsia="Calibri" w:cstheme="minorHAnsi"/>
        </w:rPr>
        <w:t xml:space="preserve">in our cohort </w:t>
      </w:r>
      <w:r w:rsidR="00647B17" w:rsidRPr="00AA2B8E">
        <w:rPr>
          <w:rFonts w:eastAsia="Calibri" w:cstheme="minorHAnsi"/>
        </w:rPr>
        <w:t>had received a diagnosis of ASD by the census date</w:t>
      </w:r>
      <w:r w:rsidR="00647B17">
        <w:rPr>
          <w:rFonts w:eastAsia="Calibri" w:cstheme="minorHAnsi"/>
        </w:rPr>
        <w:t xml:space="preserve">. </w:t>
      </w:r>
      <w:r w:rsidR="00FD07F7" w:rsidRPr="00AA2B8E">
        <w:rPr>
          <w:rFonts w:ascii="Calibri" w:eastAsia="Calibri" w:hAnsi="Calibri" w:cs="Times New Roman"/>
        </w:rPr>
        <w:t xml:space="preserve">Overall, there was no </w:t>
      </w:r>
      <w:r w:rsidR="001C53C1">
        <w:rPr>
          <w:rFonts w:ascii="Calibri" w:eastAsia="Calibri" w:hAnsi="Calibri" w:cs="Times New Roman"/>
        </w:rPr>
        <w:t xml:space="preserve">evidence </w:t>
      </w:r>
      <w:r w:rsidR="00FD07F7" w:rsidRPr="00AA2B8E">
        <w:rPr>
          <w:rFonts w:ascii="Calibri" w:eastAsia="Calibri" w:hAnsi="Calibri" w:cs="Times New Roman"/>
        </w:rPr>
        <w:t xml:space="preserve">to support an association between I:Cr or UIC and ASD risk in children aged </w:t>
      </w:r>
      <w:r w:rsidR="00FD07F7">
        <w:rPr>
          <w:rFonts w:ascii="Calibri" w:eastAsia="Calibri" w:hAnsi="Calibri" w:cs="Times New Roman"/>
        </w:rPr>
        <w:t>8-12 years (p=0</w:t>
      </w:r>
      <w:r w:rsidR="00FD07F7">
        <w:rPr>
          <w:rStyle w:val="st1"/>
          <w:rFonts w:ascii="Arial" w:hAnsi="Arial" w:cs="Arial"/>
          <w:color w:val="3C4043"/>
          <w:sz w:val="21"/>
          <w:szCs w:val="21"/>
        </w:rPr>
        <w:t>·</w:t>
      </w:r>
      <w:r w:rsidR="00FD07F7">
        <w:rPr>
          <w:rFonts w:ascii="Calibri" w:eastAsia="Calibri" w:hAnsi="Calibri" w:cs="Times New Roman"/>
        </w:rPr>
        <w:t>3</w:t>
      </w:r>
      <w:r w:rsidR="00FD07F7" w:rsidRPr="00AA2B8E">
        <w:rPr>
          <w:rFonts w:ascii="Calibri" w:eastAsia="Calibri" w:hAnsi="Calibri" w:cs="Times New Roman"/>
        </w:rPr>
        <w:t xml:space="preserve">). </w:t>
      </w:r>
    </w:p>
    <w:p w14:paraId="12B40089" w14:textId="77777777" w:rsidR="00FD07F7" w:rsidRPr="00AA2B8E" w:rsidRDefault="00FD07F7" w:rsidP="00FD07F7">
      <w:pPr>
        <w:spacing w:after="0" w:line="320" w:lineRule="atLeast"/>
        <w:rPr>
          <w:rFonts w:eastAsia="Calibri" w:cstheme="minorHAnsi"/>
        </w:rPr>
      </w:pPr>
    </w:p>
    <w:p w14:paraId="197E8D46" w14:textId="1A565451" w:rsidR="00924EEC" w:rsidRPr="00AA2B8E" w:rsidRDefault="00FD07F7" w:rsidP="00FD07F7">
      <w:pPr>
        <w:spacing w:after="0" w:line="320" w:lineRule="atLeast"/>
        <w:rPr>
          <w:rFonts w:eastAsia="Calibri" w:cstheme="minorHAnsi"/>
        </w:rPr>
      </w:pPr>
      <w:r>
        <w:rPr>
          <w:rFonts w:eastAsia="Calibri" w:cstheme="minorHAnsi"/>
          <w:szCs w:val="24"/>
        </w:rPr>
        <w:t>Conclusions</w:t>
      </w:r>
      <w:r w:rsidRPr="00AA2B8E">
        <w:rPr>
          <w:rFonts w:eastAsia="Calibri" w:cstheme="minorHAnsi"/>
          <w:szCs w:val="24"/>
        </w:rPr>
        <w:t xml:space="preserve">: </w:t>
      </w:r>
      <w:r>
        <w:rPr>
          <w:rFonts w:eastAsia="Calibri" w:cstheme="minorHAnsi"/>
          <w:lang w:val="en"/>
        </w:rPr>
        <w:t>T</w:t>
      </w:r>
      <w:r w:rsidRPr="00AA2B8E">
        <w:rPr>
          <w:rFonts w:eastAsia="Calibri" w:cstheme="minorHAnsi"/>
          <w:lang w:val="en"/>
        </w:rPr>
        <w:t xml:space="preserve">here was no evidence of an increased </w:t>
      </w:r>
      <w:r>
        <w:rPr>
          <w:rFonts w:eastAsia="Calibri" w:cstheme="minorHAnsi"/>
          <w:lang w:val="en"/>
        </w:rPr>
        <w:t xml:space="preserve">clinical </w:t>
      </w:r>
      <w:r w:rsidRPr="00AA2B8E">
        <w:rPr>
          <w:rFonts w:eastAsia="Calibri" w:cstheme="minorHAnsi"/>
          <w:lang w:val="en"/>
        </w:rPr>
        <w:t>ASD risk in children born to mothers with mild-to-moderate iodine deficienc</w:t>
      </w:r>
      <w:r>
        <w:rPr>
          <w:rFonts w:eastAsia="Calibri" w:cstheme="minorHAnsi"/>
          <w:lang w:val="en"/>
        </w:rPr>
        <w:t>y</w:t>
      </w:r>
      <w:r w:rsidRPr="00AA2B8E">
        <w:rPr>
          <w:rFonts w:eastAsia="Calibri" w:cstheme="minorHAnsi"/>
          <w:lang w:val="en"/>
        </w:rPr>
        <w:t xml:space="preserve"> </w:t>
      </w:r>
      <w:r w:rsidR="00B51087">
        <w:rPr>
          <w:rFonts w:eastAsia="Calibri" w:cstheme="minorHAnsi"/>
          <w:lang w:val="en"/>
        </w:rPr>
        <w:t>at 26 weeks gestation</w:t>
      </w:r>
      <w:r w:rsidRPr="00AA2B8E">
        <w:rPr>
          <w:rFonts w:ascii="Calibri" w:eastAsia="Calibri" w:hAnsi="Calibri" w:cs="Times New Roman"/>
        </w:rPr>
        <w:t xml:space="preserve">. </w:t>
      </w:r>
      <w:r>
        <w:rPr>
          <w:rFonts w:ascii="Calibri" w:hAnsi="Calibri" w:cs="Calibri"/>
        </w:rPr>
        <w:t>A</w:t>
      </w:r>
      <w:r w:rsidRPr="00A91B35">
        <w:rPr>
          <w:rFonts w:ascii="Calibri" w:hAnsi="Calibri" w:cs="Calibri"/>
        </w:rPr>
        <w:t xml:space="preserve">lternative functional biomarkers of exposure </w:t>
      </w:r>
      <w:r w:rsidRPr="00AA2B8E">
        <w:rPr>
          <w:rFonts w:eastAsia="Calibri" w:cstheme="minorHAnsi"/>
        </w:rPr>
        <w:t>and a wider range of conditions may provide further insight.</w:t>
      </w:r>
    </w:p>
    <w:p w14:paraId="4DDB027F" w14:textId="05967917" w:rsidR="00AA2B8E" w:rsidRDefault="00AA2B8E" w:rsidP="00924EEC">
      <w:pPr>
        <w:spacing w:after="0" w:line="320" w:lineRule="atLeast"/>
        <w:rPr>
          <w:rFonts w:eastAsia="Calibri" w:cstheme="minorHAnsi"/>
          <w:b/>
          <w:sz w:val="24"/>
          <w:szCs w:val="24"/>
        </w:rPr>
      </w:pPr>
    </w:p>
    <w:p w14:paraId="261D96A1" w14:textId="77777777" w:rsidR="00924EEC" w:rsidRDefault="00924EEC" w:rsidP="00924EEC">
      <w:pPr>
        <w:spacing w:after="0" w:line="320" w:lineRule="atLeast"/>
        <w:rPr>
          <w:rFonts w:eastAsia="Calibri" w:cstheme="minorHAnsi"/>
          <w:b/>
        </w:rPr>
      </w:pPr>
    </w:p>
    <w:p w14:paraId="1AD1A9DC" w14:textId="41A65BD3" w:rsidR="00924EEC" w:rsidRDefault="00924EEC" w:rsidP="00924EEC">
      <w:pPr>
        <w:spacing w:after="0" w:line="320" w:lineRule="atLeast"/>
        <w:rPr>
          <w:rFonts w:eastAsia="Calibri" w:cstheme="minorHAnsi"/>
          <w:b/>
        </w:rPr>
      </w:pPr>
      <w:r w:rsidRPr="009D7AD5">
        <w:rPr>
          <w:rFonts w:eastAsia="Calibri" w:cstheme="minorHAnsi"/>
          <w:b/>
        </w:rPr>
        <w:t>Keywords:</w:t>
      </w:r>
    </w:p>
    <w:p w14:paraId="786E2B72" w14:textId="77777777" w:rsidR="00924EEC" w:rsidRPr="008F6622" w:rsidRDefault="00924EEC" w:rsidP="00924EEC">
      <w:pPr>
        <w:spacing w:after="0" w:line="320" w:lineRule="atLeast"/>
        <w:rPr>
          <w:rFonts w:eastAsia="Calibri" w:cstheme="minorHAnsi"/>
          <w:bCs/>
        </w:rPr>
      </w:pPr>
      <w:r w:rsidRPr="008F6622">
        <w:rPr>
          <w:rFonts w:eastAsia="Calibri" w:cstheme="minorHAnsi"/>
          <w:bCs/>
        </w:rPr>
        <w:t>Autism spectrum disorder; iodine; deficiency; fetal developm</w:t>
      </w:r>
      <w:r>
        <w:rPr>
          <w:rFonts w:eastAsia="Calibri" w:cstheme="minorHAnsi"/>
          <w:bCs/>
        </w:rPr>
        <w:t>ent; thyroid; pregnancy</w:t>
      </w:r>
    </w:p>
    <w:p w14:paraId="78B00D44" w14:textId="5CF88A9D" w:rsidR="00924EEC" w:rsidRDefault="00924EEC" w:rsidP="00AB2DCC">
      <w:pPr>
        <w:spacing w:after="0" w:line="480" w:lineRule="auto"/>
        <w:rPr>
          <w:rFonts w:eastAsia="Calibri" w:cstheme="minorHAnsi"/>
          <w:b/>
          <w:sz w:val="24"/>
          <w:szCs w:val="24"/>
        </w:rPr>
      </w:pPr>
    </w:p>
    <w:p w14:paraId="45EAA03F" w14:textId="77777777" w:rsidR="00924EEC" w:rsidRPr="00FD07F7" w:rsidRDefault="00924EEC" w:rsidP="00AB2DCC">
      <w:pPr>
        <w:spacing w:after="0" w:line="480" w:lineRule="auto"/>
        <w:rPr>
          <w:rFonts w:eastAsia="Calibri" w:cstheme="minorHAnsi"/>
          <w:b/>
          <w:sz w:val="24"/>
          <w:szCs w:val="24"/>
        </w:rPr>
      </w:pPr>
    </w:p>
    <w:p w14:paraId="209D82B8" w14:textId="77777777" w:rsidR="00924EEC" w:rsidRDefault="00924EEC">
      <w:pPr>
        <w:spacing w:after="0" w:line="480" w:lineRule="auto"/>
        <w:rPr>
          <w:rFonts w:eastAsia="Calibri" w:cstheme="minorHAnsi"/>
          <w:b/>
        </w:rPr>
      </w:pPr>
    </w:p>
    <w:p w14:paraId="599D8F1A" w14:textId="77777777" w:rsidR="00924EEC" w:rsidRDefault="00924EEC">
      <w:pPr>
        <w:spacing w:after="0" w:line="480" w:lineRule="auto"/>
        <w:rPr>
          <w:rFonts w:eastAsia="Calibri" w:cstheme="minorHAnsi"/>
          <w:b/>
        </w:rPr>
      </w:pPr>
    </w:p>
    <w:p w14:paraId="4DA142C0" w14:textId="77777777" w:rsidR="00924EEC" w:rsidRDefault="00924EEC">
      <w:pPr>
        <w:spacing w:after="0" w:line="480" w:lineRule="auto"/>
        <w:rPr>
          <w:rFonts w:eastAsia="Calibri" w:cstheme="minorHAnsi"/>
          <w:b/>
        </w:rPr>
      </w:pPr>
    </w:p>
    <w:p w14:paraId="670A9DD3" w14:textId="77777777" w:rsidR="00924EEC" w:rsidRDefault="00924EEC">
      <w:pPr>
        <w:spacing w:after="0" w:line="480" w:lineRule="auto"/>
        <w:rPr>
          <w:rFonts w:eastAsia="Calibri" w:cstheme="minorHAnsi"/>
          <w:b/>
        </w:rPr>
      </w:pPr>
    </w:p>
    <w:p w14:paraId="79B0B2C1" w14:textId="77777777" w:rsidR="00924EEC" w:rsidRDefault="00924EEC">
      <w:pPr>
        <w:spacing w:after="0" w:line="480" w:lineRule="auto"/>
        <w:rPr>
          <w:rFonts w:eastAsia="Calibri" w:cstheme="minorHAnsi"/>
          <w:b/>
        </w:rPr>
      </w:pPr>
    </w:p>
    <w:p w14:paraId="7E0EA3ED" w14:textId="77777777" w:rsidR="00924EEC" w:rsidRDefault="00924EEC">
      <w:pPr>
        <w:spacing w:after="0" w:line="480" w:lineRule="auto"/>
        <w:rPr>
          <w:rFonts w:eastAsia="Calibri" w:cstheme="minorHAnsi"/>
          <w:b/>
        </w:rPr>
      </w:pPr>
    </w:p>
    <w:p w14:paraId="1558DCF6" w14:textId="77777777" w:rsidR="00924EEC" w:rsidRDefault="00924EEC">
      <w:pPr>
        <w:spacing w:after="0" w:line="480" w:lineRule="auto"/>
        <w:rPr>
          <w:rFonts w:eastAsia="Calibri" w:cstheme="minorHAnsi"/>
          <w:b/>
        </w:rPr>
      </w:pPr>
    </w:p>
    <w:p w14:paraId="57ED6595" w14:textId="77777777" w:rsidR="00924EEC" w:rsidRDefault="00924EEC">
      <w:pPr>
        <w:spacing w:after="0" w:line="480" w:lineRule="auto"/>
        <w:rPr>
          <w:rFonts w:eastAsia="Calibri" w:cstheme="minorHAnsi"/>
          <w:b/>
        </w:rPr>
      </w:pPr>
    </w:p>
    <w:p w14:paraId="56A28D04" w14:textId="77777777" w:rsidR="00924EEC" w:rsidRDefault="00924EEC">
      <w:pPr>
        <w:spacing w:after="0" w:line="480" w:lineRule="auto"/>
        <w:rPr>
          <w:rFonts w:eastAsia="Calibri" w:cstheme="minorHAnsi"/>
          <w:b/>
        </w:rPr>
      </w:pPr>
    </w:p>
    <w:p w14:paraId="65FBA44A" w14:textId="3508B91B" w:rsidR="00AA2B8E" w:rsidRPr="00AA2B8E" w:rsidRDefault="00924EEC">
      <w:pPr>
        <w:spacing w:after="0" w:line="480" w:lineRule="auto"/>
        <w:rPr>
          <w:rFonts w:eastAsia="Calibri" w:cstheme="minorHAnsi"/>
          <w:b/>
        </w:rPr>
      </w:pPr>
      <w:r>
        <w:rPr>
          <w:rFonts w:eastAsia="Calibri" w:cstheme="minorHAnsi"/>
          <w:b/>
        </w:rPr>
        <w:lastRenderedPageBreak/>
        <w:t>c</w:t>
      </w:r>
      <w:r w:rsidR="00AA2B8E" w:rsidRPr="00AA2B8E">
        <w:rPr>
          <w:rFonts w:eastAsia="Calibri" w:cstheme="minorHAnsi"/>
          <w:b/>
        </w:rPr>
        <w:t>Background</w:t>
      </w:r>
    </w:p>
    <w:p w14:paraId="2FBEBA5A" w14:textId="166C00A9" w:rsidR="00257367" w:rsidRPr="00467043" w:rsidRDefault="00257367" w:rsidP="00924EEC">
      <w:pPr>
        <w:spacing w:line="480" w:lineRule="auto"/>
        <w:rPr>
          <w:lang w:val="en"/>
        </w:rPr>
      </w:pPr>
      <w:r w:rsidRPr="006D2A1A">
        <w:t>Iodine is a</w:t>
      </w:r>
      <w:r w:rsidRPr="00467043">
        <w:t xml:space="preserve"> trace mineral present in certain foods. As an essential constituent for the synthesis of thyroid hormones, iodine plays a vital role in supporting the optimal functioning of metabolic processes at all stages of life</w:t>
      </w:r>
      <w:r w:rsidRPr="00467043">
        <w:rPr>
          <w:vertAlign w:val="superscript"/>
        </w:rPr>
        <w:t>1</w:t>
      </w:r>
      <w:r w:rsidRPr="00467043">
        <w:t xml:space="preserve">. Thyroid hormones (TH) are central to many of the fundamental processes which underlie the development and maturation of the pre-natal brain; namely facilitating </w:t>
      </w:r>
      <w:r w:rsidRPr="00467043">
        <w:rPr>
          <w:lang w:val="en"/>
        </w:rPr>
        <w:t xml:space="preserve">neural migration and differentiation </w:t>
      </w:r>
      <w:r w:rsidRPr="00467043">
        <w:rPr>
          <w:color w:val="333333"/>
          <w:lang w:val="en"/>
        </w:rPr>
        <w:t xml:space="preserve">in the </w:t>
      </w:r>
      <w:r w:rsidRPr="00467043">
        <w:rPr>
          <w:lang w:val="en"/>
        </w:rPr>
        <w:t>cerebral cortex and hippocampus</w:t>
      </w:r>
      <w:r w:rsidRPr="00467043">
        <w:rPr>
          <w:vertAlign w:val="superscript"/>
          <w:lang w:val="en"/>
        </w:rPr>
        <w:t>2, 3</w:t>
      </w:r>
      <w:r w:rsidRPr="00467043">
        <w:rPr>
          <w:lang w:val="en"/>
        </w:rPr>
        <w:t>. The maximal vuln</w:t>
      </w:r>
      <w:r w:rsidR="00467043" w:rsidRPr="00467043">
        <w:rPr>
          <w:lang w:val="en"/>
        </w:rPr>
        <w:t xml:space="preserve">erability to an imbalance of TH </w:t>
      </w:r>
      <w:r w:rsidRPr="00467043">
        <w:rPr>
          <w:lang w:val="en"/>
        </w:rPr>
        <w:t xml:space="preserve">exists before the onset of thyroid function in the fetus, which occurs around </w:t>
      </w:r>
      <w:r w:rsidRPr="00924EEC">
        <w:rPr>
          <w:rStyle w:val="st1"/>
          <w:rFonts w:cstheme="minorHAnsi"/>
        </w:rPr>
        <w:t xml:space="preserve">16-20 </w:t>
      </w:r>
      <w:r w:rsidRPr="00924EEC">
        <w:rPr>
          <w:rStyle w:val="Emphasis"/>
          <w:rFonts w:cstheme="minorHAnsi"/>
          <w:b w:val="0"/>
        </w:rPr>
        <w:t>weeks</w:t>
      </w:r>
      <w:r w:rsidRPr="00924EEC">
        <w:rPr>
          <w:rStyle w:val="st1"/>
          <w:rFonts w:cstheme="minorHAnsi"/>
        </w:rPr>
        <w:t xml:space="preserve"> of </w:t>
      </w:r>
      <w:r w:rsidRPr="00924EEC">
        <w:rPr>
          <w:rStyle w:val="Emphasis"/>
          <w:rFonts w:cstheme="minorHAnsi"/>
          <w:b w:val="0"/>
        </w:rPr>
        <w:t>gestation</w:t>
      </w:r>
      <w:r w:rsidRPr="00924EEC">
        <w:rPr>
          <w:rStyle w:val="Emphasis"/>
          <w:rFonts w:cstheme="minorHAnsi"/>
          <w:b w:val="0"/>
          <w:vertAlign w:val="superscript"/>
        </w:rPr>
        <w:t>4</w:t>
      </w:r>
      <w:r w:rsidRPr="00924EEC">
        <w:rPr>
          <w:rStyle w:val="Emphasis"/>
          <w:rFonts w:cstheme="minorHAnsi"/>
          <w:b w:val="0"/>
        </w:rPr>
        <w:t>. During this time, the</w:t>
      </w:r>
      <w:r w:rsidRPr="00924EEC">
        <w:rPr>
          <w:rStyle w:val="Emphasis"/>
          <w:rFonts w:cstheme="minorHAnsi"/>
          <w:b w:val="0"/>
          <w:vertAlign w:val="superscript"/>
        </w:rPr>
        <w:t xml:space="preserve"> </w:t>
      </w:r>
      <w:r w:rsidRPr="00467043">
        <w:rPr>
          <w:lang w:val="en"/>
        </w:rPr>
        <w:t xml:space="preserve">highly orchestrated chain of neurodevelopmental events which </w:t>
      </w:r>
      <w:r w:rsidR="00467043" w:rsidRPr="00467043">
        <w:rPr>
          <w:lang w:val="en"/>
        </w:rPr>
        <w:t>characteriz</w:t>
      </w:r>
      <w:r w:rsidRPr="00467043">
        <w:rPr>
          <w:lang w:val="en"/>
        </w:rPr>
        <w:t xml:space="preserve">e the early fetal period are exclusively dependent on maternal TH supply. </w:t>
      </w:r>
    </w:p>
    <w:p w14:paraId="561BA014" w14:textId="379044BE" w:rsidR="00257367" w:rsidRPr="00924EEC" w:rsidRDefault="00257367" w:rsidP="00924EEC">
      <w:pPr>
        <w:autoSpaceDE w:val="0"/>
        <w:autoSpaceDN w:val="0"/>
        <w:adjustRightInd w:val="0"/>
        <w:spacing w:after="0" w:line="480" w:lineRule="auto"/>
        <w:rPr>
          <w:rFonts w:eastAsia="Calibri" w:cstheme="minorHAnsi"/>
          <w:lang w:val="en"/>
        </w:rPr>
      </w:pPr>
      <w:r w:rsidRPr="00467043">
        <w:rPr>
          <w:lang w:val="en"/>
        </w:rPr>
        <w:t>A woman’s iodine requirements are increased by over 50%</w:t>
      </w:r>
      <w:r w:rsidRPr="00467043">
        <w:t xml:space="preserve"> during pregnancy</w:t>
      </w:r>
      <w:r w:rsidRPr="00467043">
        <w:rPr>
          <w:vertAlign w:val="superscript"/>
        </w:rPr>
        <w:t>5</w:t>
      </w:r>
      <w:r w:rsidRPr="00467043">
        <w:t xml:space="preserve"> in order to support normal neurological development, and to compensate for pregnancy-associated increases in renal iodine clearance.</w:t>
      </w:r>
      <w:r w:rsidRPr="00467043">
        <w:rPr>
          <w:vertAlign w:val="superscript"/>
        </w:rPr>
        <w:t>5</w:t>
      </w:r>
      <w:r w:rsidRPr="00467043">
        <w:rPr>
          <w:lang w:val="en"/>
        </w:rPr>
        <w:t xml:space="preserve"> </w:t>
      </w:r>
      <w:r w:rsidRPr="00467043">
        <w:t>Severe maternal iodine deficiency can lead to a reduced fetal TH supply</w:t>
      </w:r>
      <w:r w:rsidRPr="00467043">
        <w:rPr>
          <w:vertAlign w:val="superscript"/>
        </w:rPr>
        <w:t>5</w:t>
      </w:r>
      <w:r w:rsidRPr="00467043">
        <w:t xml:space="preserve"> (</w:t>
      </w:r>
      <w:r w:rsidRPr="00467043">
        <w:rPr>
          <w:i/>
          <w:iCs/>
          <w:lang w:val="en"/>
        </w:rPr>
        <w:t>hypothyroxinemia)</w:t>
      </w:r>
      <w:r w:rsidRPr="00467043">
        <w:t xml:space="preserve"> which, during critical developmental periods</w:t>
      </w:r>
      <w:r w:rsidRPr="00467043">
        <w:rPr>
          <w:lang w:val="en"/>
        </w:rPr>
        <w:t>,</w:t>
      </w:r>
      <w:r w:rsidR="00467043" w:rsidRPr="00467043">
        <w:rPr>
          <w:lang w:val="en"/>
        </w:rPr>
        <w:t xml:space="preserve"> </w:t>
      </w:r>
      <w:r w:rsidR="00467043" w:rsidRPr="00467043">
        <w:rPr>
          <w:rFonts w:ascii="Calibri" w:hAnsi="Calibri" w:cs="Times New Roman"/>
        </w:rPr>
        <w:t>is thought to impair neuronal migration</w:t>
      </w:r>
      <w:r w:rsidR="00467043">
        <w:rPr>
          <w:rFonts w:ascii="Calibri" w:hAnsi="Calibri" w:cs="Times New Roman"/>
        </w:rPr>
        <w:t xml:space="preserve"> and has been linked to </w:t>
      </w:r>
      <w:r w:rsidR="00467043" w:rsidRPr="00AA2B8E">
        <w:rPr>
          <w:rFonts w:eastAsia="Calibri" w:cstheme="minorHAnsi"/>
          <w:lang w:val="en"/>
        </w:rPr>
        <w:t>long-term suboptimal child development</w:t>
      </w:r>
      <w:r w:rsidR="00467043" w:rsidRPr="00AA2B8E">
        <w:rPr>
          <w:rFonts w:eastAsia="Calibri" w:cstheme="minorHAnsi"/>
          <w:vertAlign w:val="superscript"/>
        </w:rPr>
        <w:t>1</w:t>
      </w:r>
      <w:r w:rsidR="00467043">
        <w:rPr>
          <w:rFonts w:eastAsia="Calibri" w:cstheme="minorHAnsi"/>
          <w:lang w:val="en"/>
        </w:rPr>
        <w:t>.</w:t>
      </w:r>
      <w:r w:rsidR="00467043" w:rsidRPr="00AA2B8E">
        <w:rPr>
          <w:rFonts w:eastAsia="Calibri" w:cstheme="minorHAnsi"/>
          <w:lang w:val="en"/>
        </w:rPr>
        <w:t xml:space="preserve"> </w:t>
      </w:r>
    </w:p>
    <w:p w14:paraId="5C5E6E51" w14:textId="77777777" w:rsidR="00467043" w:rsidRPr="00924EEC" w:rsidRDefault="00467043" w:rsidP="00924EEC">
      <w:pPr>
        <w:pStyle w:val="NoSpacing"/>
        <w:spacing w:line="480" w:lineRule="auto"/>
        <w:rPr>
          <w:rFonts w:cstheme="minorHAnsi"/>
          <w:sz w:val="24"/>
          <w:szCs w:val="24"/>
          <w:lang w:val="en"/>
        </w:rPr>
      </w:pPr>
    </w:p>
    <w:p w14:paraId="6A7DB4C2" w14:textId="5C3CA861" w:rsidR="00AA2B8E" w:rsidRPr="00AA2B8E" w:rsidRDefault="00AA2B8E">
      <w:pPr>
        <w:spacing w:after="0" w:line="480" w:lineRule="auto"/>
        <w:rPr>
          <w:rFonts w:eastAsia="Calibri" w:cstheme="minorHAnsi"/>
        </w:rPr>
      </w:pPr>
      <w:r w:rsidRPr="00AA2B8E">
        <w:rPr>
          <w:rFonts w:eastAsia="Calibri" w:cstheme="minorHAnsi"/>
          <w:lang w:val="en"/>
        </w:rPr>
        <w:t>The importance of thyroid function for neurodevelopment has been widely recognised for over a century</w:t>
      </w:r>
      <w:r w:rsidR="00BB664D">
        <w:rPr>
          <w:rFonts w:eastAsia="Calibri" w:cstheme="minorHAnsi"/>
          <w:vertAlign w:val="superscript"/>
          <w:lang w:val="en"/>
        </w:rPr>
        <w:t>6</w:t>
      </w:r>
      <w:r w:rsidRPr="00AA2B8E">
        <w:rPr>
          <w:rFonts w:eastAsia="Calibri" w:cstheme="minorHAnsi"/>
          <w:lang w:val="en"/>
        </w:rPr>
        <w:t>, this is reflected in initiatives such as the World Health Organization (WHO)’s salt iodi</w:t>
      </w:r>
      <w:r w:rsidR="00CC1730">
        <w:rPr>
          <w:rFonts w:eastAsia="Calibri" w:cstheme="minorHAnsi"/>
          <w:lang w:val="en"/>
        </w:rPr>
        <w:t>z</w:t>
      </w:r>
      <w:r w:rsidRPr="00AA2B8E">
        <w:rPr>
          <w:rFonts w:eastAsia="Calibri" w:cstheme="minorHAnsi"/>
          <w:lang w:val="en"/>
        </w:rPr>
        <w:t>ation program</w:t>
      </w:r>
      <w:r w:rsidR="00BB664D">
        <w:rPr>
          <w:rFonts w:eastAsia="Calibri" w:cstheme="minorHAnsi"/>
          <w:lang w:val="en"/>
        </w:rPr>
        <w:t>me</w:t>
      </w:r>
      <w:r w:rsidRPr="00AA2B8E">
        <w:rPr>
          <w:rFonts w:eastAsia="Calibri" w:cstheme="minorHAnsi"/>
          <w:lang w:val="en"/>
        </w:rPr>
        <w:t>, which is now standard practice in many parts of the world</w:t>
      </w:r>
      <w:r w:rsidR="00BB664D">
        <w:rPr>
          <w:rFonts w:eastAsia="Calibri" w:cstheme="minorHAnsi"/>
          <w:vertAlign w:val="superscript"/>
          <w:lang w:val="en"/>
        </w:rPr>
        <w:t>7</w:t>
      </w:r>
      <w:r w:rsidRPr="00AA2B8E">
        <w:rPr>
          <w:rFonts w:eastAsia="Calibri" w:cstheme="minorHAnsi"/>
          <w:lang w:val="en"/>
        </w:rPr>
        <w:t xml:space="preserve">. </w:t>
      </w:r>
      <w:r w:rsidRPr="00AA2B8E">
        <w:rPr>
          <w:rFonts w:eastAsia="Calibri" w:cstheme="minorHAnsi"/>
        </w:rPr>
        <w:t xml:space="preserve"> The widespread implementation of such interventions, in conjunction with improved general nutrition, ha</w:t>
      </w:r>
      <w:r w:rsidR="00F53FAA">
        <w:rPr>
          <w:rFonts w:eastAsia="Calibri" w:cstheme="minorHAnsi"/>
        </w:rPr>
        <w:t>s</w:t>
      </w:r>
      <w:r w:rsidRPr="00AA2B8E">
        <w:rPr>
          <w:rFonts w:eastAsia="Calibri" w:cstheme="minorHAnsi"/>
        </w:rPr>
        <w:t xml:space="preserve"> given rise to a diminishing prevalence of iodine deficiency disorders in Western Europe.</w:t>
      </w:r>
      <w:r w:rsidRPr="00AA2B8E">
        <w:rPr>
          <w:rFonts w:eastAsia="Calibri" w:cstheme="minorHAnsi"/>
        </w:rPr>
        <w:fldChar w:fldCharType="begin"/>
      </w:r>
      <w:r w:rsidRPr="00AA2B8E">
        <w:rPr>
          <w:rFonts w:eastAsia="Calibri" w:cstheme="minorHAnsi"/>
        </w:rPr>
        <w:instrText xml:space="preserve"> ADDIN EN.CITE &lt;EndNote&gt;&lt;Cite ExcludeYear="1"&gt;&lt;Author&gt;SACN.&lt;/Author&gt;&lt;Year&gt;2014&lt;/Year&gt;&lt;RecNum&gt;97&lt;/RecNum&gt;&lt;DisplayText&gt;&lt;style face="superscript"&gt;1&lt;/style&gt;&lt;/DisplayText&gt;&lt;record&gt;&lt;rec-number&gt;97&lt;/rec-number&gt;&lt;foreign-keys&gt;&lt;key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Pr="00AA2B8E">
        <w:rPr>
          <w:rFonts w:eastAsia="Calibri" w:cstheme="minorHAnsi"/>
        </w:rPr>
        <w:fldChar w:fldCharType="separate"/>
      </w:r>
      <w:r w:rsidRPr="00AA2B8E">
        <w:rPr>
          <w:rFonts w:eastAsia="Calibri" w:cstheme="minorHAnsi"/>
          <w:noProof/>
          <w:vertAlign w:val="superscript"/>
        </w:rPr>
        <w:t>1</w:t>
      </w:r>
      <w:r w:rsidRPr="00AA2B8E">
        <w:rPr>
          <w:rFonts w:eastAsia="Calibri" w:cstheme="minorHAnsi"/>
        </w:rPr>
        <w:fldChar w:fldCharType="end"/>
      </w:r>
      <w:r w:rsidRPr="00AA2B8E">
        <w:rPr>
          <w:rFonts w:eastAsia="Calibri" w:cstheme="minorHAnsi"/>
        </w:rPr>
        <w:t xml:space="preserve"> Nevertheless, iodine intake remains potentially inadequate, especially in countries such as the UK which have not implemented iodization programmes. </w:t>
      </w:r>
    </w:p>
    <w:p w14:paraId="738C6E5C" w14:textId="77777777" w:rsidR="00AA2B8E" w:rsidRPr="00AA2B8E" w:rsidRDefault="00AA2B8E">
      <w:pPr>
        <w:spacing w:after="0" w:line="480" w:lineRule="auto"/>
        <w:rPr>
          <w:rFonts w:eastAsia="Calibri" w:cstheme="minorHAnsi"/>
        </w:rPr>
      </w:pPr>
    </w:p>
    <w:p w14:paraId="2D115EB4" w14:textId="2004A234" w:rsidR="00E27535" w:rsidRDefault="00AA2B8E">
      <w:pPr>
        <w:spacing w:after="0" w:line="480" w:lineRule="auto"/>
        <w:rPr>
          <w:rFonts w:eastAsia="Calibri" w:cstheme="minorHAnsi"/>
        </w:rPr>
      </w:pPr>
      <w:r w:rsidRPr="00AA2B8E">
        <w:rPr>
          <w:rFonts w:eastAsia="Calibri" w:cstheme="minorHAnsi"/>
        </w:rPr>
        <w:t>Suboptimal gestational iodine intake has been linked with an increase in Attention Deficit, Hyperactivity Disorder (ADHD) symptom scores in children</w:t>
      </w:r>
      <w:r w:rsidR="00BB664D">
        <w:rPr>
          <w:rFonts w:eastAsia="Calibri" w:cstheme="minorHAnsi"/>
          <w:vertAlign w:val="superscript"/>
        </w:rPr>
        <w:t>8</w:t>
      </w:r>
      <w:r w:rsidRPr="00AA2B8E">
        <w:rPr>
          <w:rFonts w:eastAsia="Calibri" w:cstheme="minorHAnsi"/>
        </w:rPr>
        <w:t xml:space="preserve">, poorer child language and reading </w:t>
      </w:r>
      <w:r w:rsidRPr="00AA2B8E">
        <w:rPr>
          <w:rFonts w:eastAsia="Calibri" w:cstheme="minorHAnsi"/>
        </w:rPr>
        <w:lastRenderedPageBreak/>
        <w:t>skill</w:t>
      </w:r>
      <w:r w:rsidR="00BB664D">
        <w:rPr>
          <w:rFonts w:eastAsia="Calibri" w:cstheme="minorHAnsi"/>
        </w:rPr>
        <w:t>s</w:t>
      </w:r>
      <w:r w:rsidR="00BB664D">
        <w:rPr>
          <w:rFonts w:eastAsia="Calibri" w:cstheme="minorHAnsi"/>
          <w:vertAlign w:val="superscript"/>
        </w:rPr>
        <w:t>9</w:t>
      </w:r>
      <w:r w:rsidRPr="00AA2B8E">
        <w:rPr>
          <w:rFonts w:eastAsia="Calibri" w:cstheme="minorHAnsi"/>
        </w:rPr>
        <w:t>, as well as a heightened likelihood of the child receiving special education services at age 8 years</w:t>
      </w:r>
      <w:r w:rsidR="00BB664D">
        <w:rPr>
          <w:rFonts w:eastAsia="Calibri" w:cstheme="minorHAnsi"/>
          <w:vertAlign w:val="superscript"/>
        </w:rPr>
        <w:t>9</w:t>
      </w:r>
      <w:r w:rsidRPr="00AA2B8E">
        <w:rPr>
          <w:rFonts w:eastAsia="Calibri" w:cstheme="minorHAnsi"/>
        </w:rPr>
        <w:t>. Yet few studies have directly investigated the possible linkage between gestational iodine deficiency and de</w:t>
      </w:r>
      <w:r w:rsidR="0047485E">
        <w:rPr>
          <w:rFonts w:eastAsia="Calibri" w:cstheme="minorHAnsi"/>
        </w:rPr>
        <w:t>velopmental disorders, such as autism spectrum d</w:t>
      </w:r>
      <w:r w:rsidRPr="00AA2B8E">
        <w:rPr>
          <w:rFonts w:eastAsia="Calibri" w:cstheme="minorHAnsi"/>
        </w:rPr>
        <w:t>isorder</w:t>
      </w:r>
      <w:r w:rsidR="005E59B9">
        <w:rPr>
          <w:rFonts w:eastAsia="Calibri" w:cstheme="minorHAnsi"/>
        </w:rPr>
        <w:t xml:space="preserve"> (ASD) </w:t>
      </w:r>
      <w:r w:rsidR="00BD7B53">
        <w:rPr>
          <w:rFonts w:eastAsia="Calibri" w:cstheme="minorHAnsi"/>
        </w:rPr>
        <w:t>–</w:t>
      </w:r>
      <w:r w:rsidRPr="00AA2B8E">
        <w:rPr>
          <w:rFonts w:eastAsia="Calibri" w:cstheme="minorHAnsi"/>
        </w:rPr>
        <w:t xml:space="preserve"> </w:t>
      </w:r>
      <w:r w:rsidR="00BD7B53">
        <w:rPr>
          <w:rFonts w:eastAsia="Calibri" w:cstheme="minorHAnsi"/>
        </w:rPr>
        <w:t xml:space="preserve">a </w:t>
      </w:r>
      <w:r w:rsidRPr="00AA2B8E">
        <w:rPr>
          <w:rFonts w:eastAsia="Calibri" w:cstheme="minorHAnsi"/>
        </w:rPr>
        <w:t>developmental disorder</w:t>
      </w:r>
      <w:r w:rsidR="00BD7B53">
        <w:rPr>
          <w:rFonts w:eastAsia="Calibri" w:cstheme="minorHAnsi"/>
        </w:rPr>
        <w:t xml:space="preserve"> </w:t>
      </w:r>
      <w:r w:rsidRPr="00AA2B8E">
        <w:rPr>
          <w:rFonts w:eastAsia="Calibri" w:cstheme="minorHAnsi"/>
        </w:rPr>
        <w:t>characterised by difficulties with social interaction and communication, and by restricted and repetitive patterns of behaviour</w:t>
      </w:r>
      <w:r w:rsidR="00BB664D">
        <w:rPr>
          <w:rFonts w:eastAsia="Calibri" w:cstheme="minorHAnsi"/>
          <w:vertAlign w:val="superscript"/>
        </w:rPr>
        <w:t>10</w:t>
      </w:r>
      <w:r w:rsidRPr="00AA2B8E">
        <w:rPr>
          <w:rFonts w:eastAsia="Calibri" w:cstheme="minorHAnsi"/>
        </w:rPr>
        <w:t xml:space="preserve">. </w:t>
      </w:r>
    </w:p>
    <w:p w14:paraId="577A77AB" w14:textId="77777777" w:rsidR="005D2273" w:rsidRDefault="005D2273">
      <w:pPr>
        <w:spacing w:after="0" w:line="480" w:lineRule="auto"/>
        <w:rPr>
          <w:rFonts w:eastAsia="Calibri" w:cstheme="minorHAnsi"/>
        </w:rPr>
      </w:pPr>
    </w:p>
    <w:p w14:paraId="5FF9966F" w14:textId="310C18FF" w:rsidR="00AA2B8E" w:rsidRPr="00AA2B8E" w:rsidRDefault="00AA2B8E">
      <w:pPr>
        <w:spacing w:after="0" w:line="480" w:lineRule="auto"/>
        <w:rPr>
          <w:rFonts w:eastAsia="Calibri" w:cstheme="minorHAnsi"/>
        </w:rPr>
      </w:pPr>
      <w:r w:rsidRPr="00AA2B8E">
        <w:rPr>
          <w:rFonts w:eastAsia="Calibri" w:cstheme="minorHAnsi"/>
          <w:lang w:val="en"/>
        </w:rPr>
        <w:t xml:space="preserve">Despite comprehensive genetic studies, the </w:t>
      </w:r>
      <w:r w:rsidR="00A323A8">
        <w:rPr>
          <w:rFonts w:eastAsia="Calibri" w:cstheme="minorHAnsi"/>
          <w:lang w:val="en"/>
        </w:rPr>
        <w:t xml:space="preserve">aetiology </w:t>
      </w:r>
      <w:r w:rsidRPr="00AA2B8E">
        <w:rPr>
          <w:rFonts w:eastAsia="Calibri" w:cstheme="minorHAnsi"/>
          <w:lang w:val="en"/>
        </w:rPr>
        <w:t>of ASD remains largely unknown</w:t>
      </w:r>
      <w:r w:rsidR="0035200D">
        <w:rPr>
          <w:rFonts w:eastAsia="Calibri" w:cstheme="minorHAnsi"/>
          <w:vertAlign w:val="superscript"/>
          <w:lang w:val="en"/>
        </w:rPr>
        <w:t>1</w:t>
      </w:r>
      <w:r w:rsidR="00504AAA">
        <w:rPr>
          <w:rFonts w:eastAsia="Calibri" w:cstheme="minorHAnsi"/>
          <w:vertAlign w:val="superscript"/>
          <w:lang w:val="en"/>
        </w:rPr>
        <w:t>1</w:t>
      </w:r>
      <w:r w:rsidR="00A215AE">
        <w:rPr>
          <w:rFonts w:eastAsia="Calibri" w:cstheme="minorHAnsi"/>
          <w:lang w:val="en"/>
        </w:rPr>
        <w:t xml:space="preserve"> with a potentially important role of </w:t>
      </w:r>
      <w:r w:rsidRPr="00AA2B8E">
        <w:rPr>
          <w:rFonts w:eastAsia="Calibri" w:cstheme="minorHAnsi"/>
          <w:lang w:val="en"/>
        </w:rPr>
        <w:t>environmental factors</w:t>
      </w:r>
      <w:r w:rsidR="00BB664D">
        <w:rPr>
          <w:rFonts w:eastAsia="Calibri" w:cstheme="minorHAnsi"/>
          <w:lang w:val="en"/>
        </w:rPr>
        <w:t xml:space="preserve"> </w:t>
      </w:r>
      <w:r w:rsidRPr="00AA2B8E">
        <w:rPr>
          <w:rFonts w:eastAsia="Calibri" w:cstheme="minorHAnsi"/>
          <w:lang w:val="en"/>
        </w:rPr>
        <w:t>during fetal development</w:t>
      </w:r>
      <w:r w:rsidR="00B90FCD" w:rsidRPr="00924EEC">
        <w:rPr>
          <w:rFonts w:eastAsia="Calibri" w:cstheme="minorHAnsi"/>
          <w:vertAlign w:val="superscript"/>
          <w:lang w:val="en"/>
        </w:rPr>
        <w:t>12</w:t>
      </w:r>
      <w:r w:rsidR="00A215AE">
        <w:rPr>
          <w:rFonts w:eastAsia="Calibri" w:cstheme="minorHAnsi"/>
          <w:lang w:val="en"/>
        </w:rPr>
        <w:t>, possibly through interference with neuronal migration</w:t>
      </w:r>
      <w:r w:rsidR="007757DF" w:rsidRPr="00924EEC">
        <w:rPr>
          <w:rFonts w:eastAsia="Calibri" w:cstheme="minorHAnsi"/>
          <w:vertAlign w:val="superscript"/>
          <w:lang w:val="en"/>
        </w:rPr>
        <w:t>13</w:t>
      </w:r>
      <w:r w:rsidR="00A215AE">
        <w:rPr>
          <w:rFonts w:eastAsia="Calibri" w:cstheme="minorHAnsi"/>
          <w:lang w:val="en"/>
        </w:rPr>
        <w:t>.</w:t>
      </w:r>
      <w:r w:rsidRPr="00AA2B8E">
        <w:rPr>
          <w:rFonts w:eastAsia="Calibri" w:cstheme="minorHAnsi"/>
          <w:lang w:val="en"/>
        </w:rPr>
        <w:t xml:space="preserve"> </w:t>
      </w:r>
      <w:r w:rsidR="00257367">
        <w:rPr>
          <w:rFonts w:eastAsia="Calibri" w:cstheme="minorHAnsi"/>
          <w:lang w:val="en"/>
        </w:rPr>
        <w:t xml:space="preserve">Severe maternal iodine deficiency </w:t>
      </w:r>
      <w:r w:rsidR="004113A1">
        <w:rPr>
          <w:rFonts w:eastAsia="Calibri" w:cstheme="minorHAnsi"/>
          <w:lang w:val="en"/>
        </w:rPr>
        <w:t>causing</w:t>
      </w:r>
      <w:r w:rsidR="00257367">
        <w:rPr>
          <w:rFonts w:eastAsia="Calibri" w:cstheme="minorHAnsi"/>
          <w:lang w:val="en"/>
        </w:rPr>
        <w:t xml:space="preserve"> </w:t>
      </w:r>
      <w:r w:rsidR="00BB664D">
        <w:rPr>
          <w:rFonts w:eastAsia="Calibri" w:cstheme="minorHAnsi"/>
          <w:lang w:val="en"/>
        </w:rPr>
        <w:t>t</w:t>
      </w:r>
      <w:r w:rsidRPr="00AA2B8E">
        <w:rPr>
          <w:rFonts w:eastAsia="Calibri" w:cstheme="minorHAnsi"/>
          <w:lang w:val="en"/>
        </w:rPr>
        <w:t xml:space="preserve">ransient gestational hypothyroxinemia in rodents </w:t>
      </w:r>
      <w:r w:rsidR="00A215AE">
        <w:rPr>
          <w:rFonts w:eastAsia="Calibri" w:cstheme="minorHAnsi"/>
          <w:lang w:val="en"/>
        </w:rPr>
        <w:t xml:space="preserve">has been shown to </w:t>
      </w:r>
      <w:r w:rsidRPr="00AA2B8E">
        <w:rPr>
          <w:rFonts w:eastAsia="Calibri" w:cstheme="minorHAnsi"/>
          <w:lang w:val="en"/>
        </w:rPr>
        <w:t>induce cortical neuronal migration brain lesions resembling those</w:t>
      </w:r>
      <w:r w:rsidR="005C7A26">
        <w:rPr>
          <w:rFonts w:eastAsia="Calibri" w:cstheme="minorHAnsi"/>
          <w:lang w:val="en"/>
        </w:rPr>
        <w:t>-</w:t>
      </w:r>
      <w:r w:rsidRPr="00AA2B8E">
        <w:rPr>
          <w:rFonts w:eastAsia="Calibri" w:cstheme="minorHAnsi"/>
          <w:lang w:val="en"/>
        </w:rPr>
        <w:t>characteristic of autism</w:t>
      </w:r>
      <w:r w:rsidRPr="00AA2B8E">
        <w:rPr>
          <w:rFonts w:eastAsia="Calibri" w:cstheme="minorHAnsi"/>
          <w:vertAlign w:val="superscript"/>
          <w:lang w:val="en"/>
        </w:rPr>
        <w:t>1</w:t>
      </w:r>
      <w:r w:rsidR="005C7A26">
        <w:rPr>
          <w:rFonts w:eastAsia="Calibri" w:cstheme="minorHAnsi"/>
          <w:vertAlign w:val="superscript"/>
          <w:lang w:val="en"/>
        </w:rPr>
        <w:t>4</w:t>
      </w:r>
      <w:r w:rsidRPr="00AA2B8E">
        <w:rPr>
          <w:rFonts w:eastAsia="Calibri" w:cstheme="minorHAnsi"/>
          <w:lang w:val="en"/>
        </w:rPr>
        <w:t xml:space="preserve">. </w:t>
      </w:r>
      <w:r w:rsidRPr="00AA2B8E">
        <w:rPr>
          <w:rFonts w:eastAsia="Calibri" w:cstheme="minorHAnsi"/>
        </w:rPr>
        <w:t xml:space="preserve">Findings from epidemiologic </w:t>
      </w:r>
      <w:r w:rsidRPr="00AA2B8E">
        <w:rPr>
          <w:rFonts w:eastAsia="Calibri" w:cstheme="minorHAnsi"/>
          <w:lang w:val="en"/>
        </w:rPr>
        <w:t>studies</w:t>
      </w:r>
      <w:r w:rsidR="00B90FCD" w:rsidRPr="00924EEC">
        <w:rPr>
          <w:rFonts w:eastAsia="Calibri" w:cstheme="minorHAnsi"/>
          <w:vertAlign w:val="superscript"/>
          <w:lang w:val="en"/>
        </w:rPr>
        <w:t>1</w:t>
      </w:r>
      <w:r w:rsidR="005C7A26">
        <w:rPr>
          <w:rFonts w:eastAsia="Calibri" w:cstheme="minorHAnsi"/>
          <w:vertAlign w:val="superscript"/>
          <w:lang w:val="en"/>
        </w:rPr>
        <w:t>5</w:t>
      </w:r>
      <w:r w:rsidR="00B90FCD" w:rsidRPr="00924EEC">
        <w:rPr>
          <w:rFonts w:eastAsia="Calibri" w:cstheme="minorHAnsi"/>
          <w:vertAlign w:val="superscript"/>
          <w:lang w:val="en"/>
        </w:rPr>
        <w:t>,1</w:t>
      </w:r>
      <w:r w:rsidR="005C7A26">
        <w:rPr>
          <w:rFonts w:eastAsia="Calibri" w:cstheme="minorHAnsi"/>
          <w:vertAlign w:val="superscript"/>
          <w:lang w:val="en"/>
        </w:rPr>
        <w:t>6</w:t>
      </w:r>
      <w:r w:rsidRPr="00AA2B8E">
        <w:rPr>
          <w:rFonts w:eastAsia="Calibri" w:cstheme="minorHAnsi"/>
          <w:vertAlign w:val="superscript"/>
          <w:lang w:val="en"/>
        </w:rPr>
        <w:t xml:space="preserve"> </w:t>
      </w:r>
      <w:r w:rsidRPr="00AA2B8E">
        <w:rPr>
          <w:rFonts w:eastAsia="Calibri" w:cstheme="minorHAnsi"/>
          <w:lang w:val="en"/>
        </w:rPr>
        <w:t xml:space="preserve">provide observational evidence to support the notion that </w:t>
      </w:r>
      <w:r w:rsidR="00BB664D">
        <w:rPr>
          <w:rFonts w:eastAsia="Calibri" w:cstheme="minorHAnsi"/>
          <w:lang w:val="en"/>
        </w:rPr>
        <w:t xml:space="preserve">early </w:t>
      </w:r>
      <w:r w:rsidRPr="00AA2B8E">
        <w:rPr>
          <w:rFonts w:eastAsia="Calibri" w:cstheme="minorHAnsi"/>
          <w:lang w:val="en"/>
        </w:rPr>
        <w:t xml:space="preserve">intrauterine exposure to insufficient </w:t>
      </w:r>
      <w:r w:rsidR="004C02ED">
        <w:rPr>
          <w:rFonts w:eastAsia="Calibri" w:cstheme="minorHAnsi"/>
          <w:lang w:val="en"/>
        </w:rPr>
        <w:t xml:space="preserve">thyroid hormone </w:t>
      </w:r>
      <w:r w:rsidRPr="00AA2B8E">
        <w:rPr>
          <w:rFonts w:eastAsia="Calibri" w:cstheme="minorHAnsi"/>
          <w:lang w:val="en"/>
        </w:rPr>
        <w:t xml:space="preserve">levels could be an important cause of </w:t>
      </w:r>
      <w:r w:rsidR="00B05078">
        <w:rPr>
          <w:rFonts w:eastAsia="Calibri" w:cstheme="minorHAnsi"/>
          <w:lang w:val="en"/>
        </w:rPr>
        <w:t>ASD</w:t>
      </w:r>
      <w:r w:rsidRPr="00AA2B8E">
        <w:rPr>
          <w:rFonts w:eastAsia="Calibri" w:cstheme="minorHAnsi"/>
          <w:lang w:val="en"/>
        </w:rPr>
        <w:t>. Severe</w:t>
      </w:r>
      <w:r w:rsidR="00787E0D">
        <w:rPr>
          <w:rFonts w:eastAsia="Calibri" w:cstheme="minorHAnsi"/>
          <w:lang w:val="en"/>
        </w:rPr>
        <w:t xml:space="preserve"> </w:t>
      </w:r>
      <w:r w:rsidRPr="00AA2B8E">
        <w:rPr>
          <w:rFonts w:eastAsia="Calibri" w:cstheme="minorHAnsi"/>
          <w:lang w:val="en"/>
        </w:rPr>
        <w:t xml:space="preserve">maternal hypothyroxinemia </w:t>
      </w:r>
      <w:r w:rsidR="00BB664D">
        <w:rPr>
          <w:rFonts w:eastAsia="Calibri" w:cstheme="minorHAnsi"/>
          <w:lang w:val="en"/>
        </w:rPr>
        <w:t xml:space="preserve">measured </w:t>
      </w:r>
      <w:r w:rsidR="00787E0D">
        <w:rPr>
          <w:rFonts w:eastAsia="Calibri" w:cstheme="minorHAnsi"/>
          <w:lang w:val="en"/>
        </w:rPr>
        <w:t xml:space="preserve">during the first </w:t>
      </w:r>
      <w:r w:rsidR="00B90FCD">
        <w:rPr>
          <w:rFonts w:eastAsia="Calibri" w:cstheme="minorHAnsi"/>
          <w:lang w:val="en"/>
        </w:rPr>
        <w:t>trimester of pregnancy</w:t>
      </w:r>
      <w:r w:rsidR="00787E0D">
        <w:rPr>
          <w:rFonts w:eastAsia="Calibri" w:cstheme="minorHAnsi"/>
          <w:lang w:val="en"/>
        </w:rPr>
        <w:t xml:space="preserve"> </w:t>
      </w:r>
      <w:r w:rsidRPr="00AA2B8E">
        <w:rPr>
          <w:rFonts w:eastAsia="Calibri" w:cstheme="minorHAnsi"/>
          <w:lang w:val="en"/>
        </w:rPr>
        <w:t>was</w:t>
      </w:r>
      <w:r w:rsidR="00787E0D">
        <w:rPr>
          <w:rFonts w:eastAsia="Calibri" w:cstheme="minorHAnsi"/>
          <w:lang w:val="en"/>
        </w:rPr>
        <w:t xml:space="preserve"> </w:t>
      </w:r>
      <w:r w:rsidRPr="00AA2B8E">
        <w:rPr>
          <w:rFonts w:eastAsia="Calibri" w:cstheme="minorHAnsi"/>
          <w:lang w:val="en"/>
        </w:rPr>
        <w:t>associated with an increased risk of ASD</w:t>
      </w:r>
      <w:r w:rsidR="00190154">
        <w:rPr>
          <w:rFonts w:eastAsia="Calibri" w:cstheme="minorHAnsi"/>
          <w:lang w:val="en"/>
        </w:rPr>
        <w:t xml:space="preserve"> </w:t>
      </w:r>
      <w:r w:rsidR="0069109F">
        <w:rPr>
          <w:rFonts w:eastAsia="Calibri" w:cstheme="minorHAnsi"/>
          <w:lang w:val="en"/>
        </w:rPr>
        <w:t xml:space="preserve">identified through record linkage </w:t>
      </w:r>
      <w:r w:rsidRPr="00AA2B8E">
        <w:rPr>
          <w:rFonts w:eastAsia="Calibri" w:cstheme="minorHAnsi"/>
          <w:lang w:val="en"/>
        </w:rPr>
        <w:t xml:space="preserve">in </w:t>
      </w:r>
      <w:r w:rsidR="0069109F">
        <w:rPr>
          <w:rFonts w:eastAsia="Calibri" w:cstheme="minorHAnsi"/>
          <w:lang w:val="en"/>
        </w:rPr>
        <w:t>the United States</w:t>
      </w:r>
      <w:r w:rsidR="00B90FCD" w:rsidRPr="00F77384">
        <w:rPr>
          <w:rFonts w:eastAsia="Calibri" w:cstheme="minorHAnsi"/>
          <w:vertAlign w:val="superscript"/>
          <w:lang w:val="en"/>
        </w:rPr>
        <w:t>1</w:t>
      </w:r>
      <w:r w:rsidR="00D80BD3">
        <w:rPr>
          <w:rFonts w:eastAsia="Calibri" w:cstheme="minorHAnsi"/>
          <w:vertAlign w:val="superscript"/>
          <w:lang w:val="en"/>
        </w:rPr>
        <w:t>5</w:t>
      </w:r>
      <w:r w:rsidR="0069109F">
        <w:rPr>
          <w:rFonts w:eastAsia="Calibri" w:cstheme="minorHAnsi"/>
          <w:lang w:val="en"/>
        </w:rPr>
        <w:t xml:space="preserve"> and </w:t>
      </w:r>
      <w:r w:rsidRPr="00AA2B8E">
        <w:rPr>
          <w:rFonts w:eastAsia="Calibri" w:cstheme="minorHAnsi"/>
        </w:rPr>
        <w:t xml:space="preserve">abnormal maternal thyroid functioning in </w:t>
      </w:r>
      <w:r w:rsidR="00BB664D">
        <w:rPr>
          <w:rFonts w:eastAsia="Calibri" w:cstheme="minorHAnsi"/>
        </w:rPr>
        <w:t xml:space="preserve">early pregnancy </w:t>
      </w:r>
      <w:r w:rsidRPr="00AA2B8E">
        <w:rPr>
          <w:rFonts w:eastAsia="Calibri" w:cstheme="minorHAnsi"/>
        </w:rPr>
        <w:t xml:space="preserve">was associated with ASD in the offspring </w:t>
      </w:r>
      <w:r w:rsidR="0069109F">
        <w:rPr>
          <w:rFonts w:eastAsia="Calibri" w:cstheme="minorHAnsi"/>
        </w:rPr>
        <w:t>in</w:t>
      </w:r>
      <w:r w:rsidRPr="00AA2B8E">
        <w:rPr>
          <w:rFonts w:eastAsia="Calibri" w:cstheme="minorHAnsi"/>
        </w:rPr>
        <w:t xml:space="preserve"> </w:t>
      </w:r>
      <w:r w:rsidRPr="00AA2B8E">
        <w:rPr>
          <w:rFonts w:eastAsia="Calibri" w:cstheme="minorHAnsi"/>
          <w:bCs/>
        </w:rPr>
        <w:t>The Danish National Birth Cohort Case-Control Study</w:t>
      </w:r>
      <w:r w:rsidR="0035200D">
        <w:rPr>
          <w:rFonts w:eastAsia="Calibri" w:cstheme="minorHAnsi"/>
          <w:bCs/>
          <w:vertAlign w:val="superscript"/>
        </w:rPr>
        <w:t>1</w:t>
      </w:r>
      <w:r w:rsidR="00D80BD3">
        <w:rPr>
          <w:rFonts w:eastAsia="Calibri" w:cstheme="minorHAnsi"/>
          <w:bCs/>
          <w:vertAlign w:val="superscript"/>
        </w:rPr>
        <w:t>6</w:t>
      </w:r>
      <w:r w:rsidR="0069109F">
        <w:rPr>
          <w:rFonts w:eastAsia="Calibri" w:cstheme="minorHAnsi"/>
        </w:rPr>
        <w:t xml:space="preserve">. However, </w:t>
      </w:r>
      <w:r w:rsidR="007A542B">
        <w:rPr>
          <w:rFonts w:eastAsia="Calibri" w:cstheme="minorHAnsi"/>
        </w:rPr>
        <w:t xml:space="preserve">a </w:t>
      </w:r>
      <w:r w:rsidR="0069109F">
        <w:rPr>
          <w:rFonts w:eastAsia="Calibri" w:cstheme="minorHAnsi"/>
        </w:rPr>
        <w:t>large cohort pooling project has found no associations with maternal iodine status across early or mid</w:t>
      </w:r>
      <w:r w:rsidR="007A542B">
        <w:rPr>
          <w:rFonts w:eastAsia="Calibri" w:cstheme="minorHAnsi"/>
        </w:rPr>
        <w:t>-</w:t>
      </w:r>
      <w:r w:rsidR="0069109F">
        <w:rPr>
          <w:rFonts w:eastAsia="Calibri" w:cstheme="minorHAnsi"/>
        </w:rPr>
        <w:t>pregnancy</w:t>
      </w:r>
      <w:r w:rsidR="007A542B">
        <w:rPr>
          <w:rFonts w:eastAsia="Calibri" w:cstheme="minorHAnsi"/>
        </w:rPr>
        <w:t xml:space="preserve"> and autistic traits in children</w:t>
      </w:r>
      <w:r w:rsidR="007A542B" w:rsidRPr="00924EEC">
        <w:rPr>
          <w:rFonts w:eastAsia="Calibri" w:cstheme="minorHAnsi"/>
          <w:vertAlign w:val="superscript"/>
        </w:rPr>
        <w:t>17</w:t>
      </w:r>
      <w:r w:rsidR="0069109F">
        <w:rPr>
          <w:rFonts w:eastAsia="Calibri" w:cstheme="minorHAnsi"/>
        </w:rPr>
        <w:t>.</w:t>
      </w:r>
      <w:r w:rsidRPr="00AA2B8E">
        <w:rPr>
          <w:rFonts w:eastAsia="Calibri" w:cstheme="minorHAnsi"/>
        </w:rPr>
        <w:t xml:space="preserve"> </w:t>
      </w:r>
    </w:p>
    <w:p w14:paraId="050D1C8F" w14:textId="77777777" w:rsidR="00AA2B8E" w:rsidRPr="00AA2B8E" w:rsidRDefault="00AA2B8E">
      <w:pPr>
        <w:suppressAutoHyphens/>
        <w:spacing w:after="0" w:line="480" w:lineRule="auto"/>
        <w:rPr>
          <w:rFonts w:eastAsia="Calibri" w:cstheme="minorHAnsi"/>
          <w:lang w:val="en"/>
        </w:rPr>
      </w:pPr>
    </w:p>
    <w:p w14:paraId="1F52E326" w14:textId="2C5B45D1" w:rsidR="00824373" w:rsidRPr="00AA2B8E" w:rsidRDefault="00AA2B8E">
      <w:pPr>
        <w:suppressAutoHyphens/>
        <w:spacing w:after="0" w:line="480" w:lineRule="auto"/>
        <w:rPr>
          <w:rFonts w:eastAsia="Calibri" w:cstheme="minorHAnsi"/>
          <w:lang w:val="en"/>
        </w:rPr>
      </w:pPr>
      <w:r w:rsidRPr="00AA2B8E">
        <w:rPr>
          <w:rFonts w:eastAsia="Calibri" w:cstheme="minorHAnsi"/>
        </w:rPr>
        <w:t xml:space="preserve">The uncertainties surrounding the potential implications of low maternal iodine status for the development of ASD are of heightened relevance given that insufficient iodine status has been </w:t>
      </w:r>
      <w:r w:rsidR="00833FF4">
        <w:rPr>
          <w:rFonts w:eastAsia="Calibri" w:cstheme="minorHAnsi"/>
        </w:rPr>
        <w:t>reported</w:t>
      </w:r>
      <w:r w:rsidRPr="00AA2B8E">
        <w:rPr>
          <w:rFonts w:eastAsia="Calibri" w:cstheme="minorHAnsi"/>
        </w:rPr>
        <w:t xml:space="preserve"> amongst </w:t>
      </w:r>
      <w:r w:rsidR="00A957A2">
        <w:rPr>
          <w:rFonts w:eastAsia="Calibri" w:cstheme="minorHAnsi"/>
        </w:rPr>
        <w:t xml:space="preserve">women of childbearing age and </w:t>
      </w:r>
      <w:r w:rsidRPr="00AA2B8E">
        <w:rPr>
          <w:rFonts w:eastAsia="Calibri" w:cstheme="minorHAnsi"/>
        </w:rPr>
        <w:t>pregnant women</w:t>
      </w:r>
      <w:r w:rsidR="00833FF4">
        <w:rPr>
          <w:rFonts w:eastAsia="Calibri" w:cstheme="minorHAnsi"/>
        </w:rPr>
        <w:t xml:space="preserve"> in the UK</w:t>
      </w:r>
      <w:r w:rsidRPr="009A2D86">
        <w:rPr>
          <w:rFonts w:eastAsia="Calibri" w:cstheme="minorHAnsi"/>
          <w:vertAlign w:val="superscript"/>
        </w:rPr>
        <w:t>1</w:t>
      </w:r>
      <w:r w:rsidR="00D80BD3">
        <w:rPr>
          <w:rFonts w:eastAsia="Calibri" w:cstheme="minorHAnsi"/>
          <w:vertAlign w:val="superscript"/>
        </w:rPr>
        <w:t xml:space="preserve">8, </w:t>
      </w:r>
      <w:r w:rsidR="00D80BD3" w:rsidRPr="00924EEC">
        <w:rPr>
          <w:rFonts w:eastAsia="Calibri" w:cstheme="minorHAnsi"/>
          <w:vertAlign w:val="superscript"/>
        </w:rPr>
        <w:t>19</w:t>
      </w:r>
      <w:r w:rsidRPr="00AA2B8E">
        <w:rPr>
          <w:rFonts w:eastAsia="Calibri" w:cstheme="minorHAnsi"/>
        </w:rPr>
        <w:t xml:space="preserve"> The WHO guidelines from which these reports are based identify pregnant populations as having insufficient iodine intake where the median urinary iodine concentration (UIC) is less than 150µg/L</w:t>
      </w:r>
      <w:r w:rsidR="00D80BD3">
        <w:rPr>
          <w:rFonts w:eastAsia="Calibri" w:cstheme="minorHAnsi"/>
          <w:vertAlign w:val="superscript"/>
        </w:rPr>
        <w:t>20</w:t>
      </w:r>
      <w:r w:rsidRPr="00AA2B8E">
        <w:rPr>
          <w:rFonts w:eastAsia="Calibri" w:cstheme="minorHAnsi"/>
        </w:rPr>
        <w:t>. This threshold however, is based on theoretical assumptions about metabolic needs, absorption, and excretion,</w:t>
      </w:r>
      <w:r w:rsidRPr="00AA2B8E">
        <w:rPr>
          <w:rFonts w:eastAsia="Calibri" w:cstheme="minorHAnsi"/>
        </w:rPr>
        <w:fldChar w:fldCharType="begin"/>
      </w:r>
      <w:r w:rsidRPr="00AA2B8E">
        <w:rPr>
          <w:rFonts w:eastAsia="Calibri" w:cstheme="minorHAnsi"/>
        </w:rPr>
        <w:instrText xml:space="preserve"> ADDIN EN.CITE &lt;EndNote&gt;&lt;Cite ExcludeYear="1"&gt;&lt;Author&gt;SACN.&lt;/Author&gt;&lt;Year&gt;2014&lt;/Year&gt;&lt;RecNum&gt;97&lt;/RecNum&gt;&lt;DisplayText&gt;&lt;style face="superscript"&gt;1&lt;/style&gt;&lt;/DisplayText&gt;&lt;record&gt;&lt;rec-number&gt;97&lt;/rec-number&gt;&lt;foreign-keys&gt;&lt;key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Pr="00AA2B8E">
        <w:rPr>
          <w:rFonts w:eastAsia="Calibri" w:cstheme="minorHAnsi"/>
        </w:rPr>
        <w:fldChar w:fldCharType="separate"/>
      </w:r>
      <w:r w:rsidRPr="00AA2B8E">
        <w:rPr>
          <w:rFonts w:eastAsia="Calibri" w:cstheme="minorHAnsi"/>
          <w:noProof/>
          <w:vertAlign w:val="superscript"/>
        </w:rPr>
        <w:t>1</w:t>
      </w:r>
      <w:r w:rsidRPr="00AA2B8E">
        <w:rPr>
          <w:rFonts w:eastAsia="Calibri" w:cstheme="minorHAnsi"/>
        </w:rPr>
        <w:fldChar w:fldCharType="end"/>
      </w:r>
      <w:r w:rsidRPr="00AA2B8E">
        <w:rPr>
          <w:rFonts w:eastAsia="Calibri" w:cstheme="minorHAnsi"/>
        </w:rPr>
        <w:t xml:space="preserve"> as opposed to observed outcomes and therefore is limited in its application to pregnant </w:t>
      </w:r>
      <w:r w:rsidRPr="00AA2B8E">
        <w:rPr>
          <w:rFonts w:eastAsia="Calibri" w:cstheme="minorHAnsi"/>
        </w:rPr>
        <w:lastRenderedPageBreak/>
        <w:t xml:space="preserve">populations. Using linked datasets, the current study aims to directly address and explore these issues by investigating the association between maternal iodine status </w:t>
      </w:r>
      <w:r w:rsidR="00617FB6">
        <w:rPr>
          <w:rFonts w:eastAsia="Calibri" w:cstheme="minorHAnsi"/>
        </w:rPr>
        <w:t xml:space="preserve">in mid-pregnancy </w:t>
      </w:r>
      <w:r w:rsidRPr="00AA2B8E">
        <w:rPr>
          <w:rFonts w:eastAsia="Calibri" w:cstheme="minorHAnsi"/>
        </w:rPr>
        <w:t xml:space="preserve">and </w:t>
      </w:r>
      <w:r w:rsidR="00B05078">
        <w:rPr>
          <w:rFonts w:eastAsia="Calibri" w:cstheme="minorHAnsi"/>
        </w:rPr>
        <w:t xml:space="preserve">an ASD </w:t>
      </w:r>
      <w:r w:rsidRPr="00AA2B8E">
        <w:rPr>
          <w:rFonts w:eastAsia="Calibri" w:cstheme="minorHAnsi"/>
        </w:rPr>
        <w:t>diagnosis in the child, across a continuous range of urinary iodine concentrations.</w:t>
      </w:r>
    </w:p>
    <w:p w14:paraId="114BD5AB" w14:textId="77777777" w:rsidR="00AA2B8E" w:rsidRPr="00AA2B8E" w:rsidRDefault="00AA2B8E">
      <w:pPr>
        <w:suppressAutoHyphens/>
        <w:spacing w:after="0" w:line="480" w:lineRule="auto"/>
        <w:rPr>
          <w:rFonts w:eastAsia="Calibri" w:cstheme="minorHAnsi"/>
          <w:lang w:val="en"/>
        </w:rPr>
      </w:pPr>
    </w:p>
    <w:p w14:paraId="2550BB7E" w14:textId="77777777" w:rsidR="00AA2B8E" w:rsidRPr="00AA2B8E" w:rsidRDefault="00AA2B8E">
      <w:pPr>
        <w:suppressAutoHyphens/>
        <w:spacing w:after="0" w:line="480" w:lineRule="auto"/>
        <w:rPr>
          <w:rFonts w:eastAsia="Calibri" w:cstheme="minorHAnsi"/>
          <w:b/>
          <w:lang w:val="en"/>
        </w:rPr>
      </w:pPr>
      <w:r w:rsidRPr="00AA2B8E">
        <w:rPr>
          <w:rFonts w:eastAsia="Calibri" w:cstheme="minorHAnsi"/>
          <w:b/>
          <w:lang w:val="en"/>
        </w:rPr>
        <w:t>Methods</w:t>
      </w:r>
    </w:p>
    <w:p w14:paraId="2535975C" w14:textId="77777777" w:rsidR="00AA2B8E" w:rsidRPr="00AA2B8E" w:rsidRDefault="00AA2B8E">
      <w:pPr>
        <w:suppressAutoHyphens/>
        <w:spacing w:after="0" w:line="480" w:lineRule="auto"/>
        <w:rPr>
          <w:rFonts w:eastAsia="Calibri" w:cstheme="minorHAnsi"/>
          <w:b/>
          <w:lang w:val="en"/>
        </w:rPr>
      </w:pPr>
    </w:p>
    <w:p w14:paraId="13FC5BF2" w14:textId="77777777" w:rsidR="00AA2B8E" w:rsidRPr="00AA2B8E" w:rsidRDefault="00AA2B8E">
      <w:pPr>
        <w:spacing w:after="240" w:line="480" w:lineRule="auto"/>
        <w:rPr>
          <w:rFonts w:eastAsia="Times New Roman" w:cstheme="minorHAnsi"/>
          <w:u w:val="single"/>
        </w:rPr>
      </w:pPr>
      <w:r w:rsidRPr="00AA2B8E">
        <w:rPr>
          <w:rFonts w:eastAsia="Times New Roman" w:cstheme="minorHAnsi"/>
          <w:u w:val="single"/>
        </w:rPr>
        <w:t>Study design and participants</w:t>
      </w:r>
    </w:p>
    <w:p w14:paraId="53601D3E" w14:textId="2A3903B2" w:rsidR="00AA2B8E" w:rsidRPr="00AA2B8E" w:rsidRDefault="00AA2B8E">
      <w:pPr>
        <w:autoSpaceDE w:val="0"/>
        <w:autoSpaceDN w:val="0"/>
        <w:adjustRightInd w:val="0"/>
        <w:spacing w:after="0" w:line="480" w:lineRule="auto"/>
        <w:rPr>
          <w:rFonts w:ascii="Calibri" w:eastAsia="Times New Roman" w:hAnsi="Calibri" w:cstheme="minorHAnsi"/>
        </w:rPr>
      </w:pPr>
      <w:r w:rsidRPr="00AA2B8E">
        <w:rPr>
          <w:rFonts w:ascii="Calibri" w:eastAsia="Times New Roman" w:hAnsi="Calibri" w:cstheme="minorHAnsi"/>
        </w:rPr>
        <w:t xml:space="preserve">This research uses data from the Born in Bradford (BiB) cohort, which consists of 12453 women recruited at 26-28 weeks gestation from 2007 to 2010. All babies born </w:t>
      </w:r>
      <w:r w:rsidR="002E67EF">
        <w:rPr>
          <w:rFonts w:ascii="Calibri" w:eastAsia="Times New Roman" w:hAnsi="Calibri" w:cstheme="minorHAnsi"/>
        </w:rPr>
        <w:t xml:space="preserve">to participants </w:t>
      </w:r>
      <w:r w:rsidRPr="00AA2B8E">
        <w:rPr>
          <w:rFonts w:ascii="Calibri" w:eastAsia="Times New Roman" w:hAnsi="Calibri" w:cstheme="minorHAnsi"/>
        </w:rPr>
        <w:t xml:space="preserve">from the </w:t>
      </w:r>
      <w:r w:rsidRPr="00AA2B8E">
        <w:rPr>
          <w:rFonts w:ascii="Calibri" w:eastAsia="Calibri" w:hAnsi="Calibri" w:cs="Times New Roman"/>
        </w:rPr>
        <w:t>13776 pregnancies which occurred during this time were eligible for inclusion</w:t>
      </w:r>
      <w:r w:rsidR="00A70CC8">
        <w:rPr>
          <w:rFonts w:ascii="Calibri" w:eastAsia="Calibri" w:hAnsi="Calibri" w:cs="Times New Roman"/>
        </w:rPr>
        <w:t>, there were no</w:t>
      </w:r>
      <w:r w:rsidR="00A04819">
        <w:rPr>
          <w:rFonts w:ascii="Calibri" w:eastAsia="Calibri" w:hAnsi="Calibri" w:cs="Times New Roman"/>
        </w:rPr>
        <w:t xml:space="preserve"> exclusion criteria for this sample</w:t>
      </w:r>
      <w:r w:rsidRPr="00AA2B8E">
        <w:rPr>
          <w:rFonts w:ascii="Calibri" w:eastAsia="Calibri" w:hAnsi="Calibri" w:cs="Times New Roman"/>
        </w:rPr>
        <w:t xml:space="preserve">. </w:t>
      </w:r>
      <w:r w:rsidR="002E67EF">
        <w:rPr>
          <w:rFonts w:ascii="Calibri" w:eastAsia="Calibri" w:hAnsi="Calibri" w:cs="Times New Roman"/>
        </w:rPr>
        <w:t>I</w:t>
      </w:r>
      <w:r w:rsidR="002E67EF" w:rsidRPr="00AA2B8E">
        <w:rPr>
          <w:rFonts w:ascii="Calibri" w:eastAsia="Calibri" w:hAnsi="Calibri" w:cs="Times New Roman"/>
        </w:rPr>
        <w:t xml:space="preserve">odine status was estimated </w:t>
      </w:r>
      <w:r w:rsidR="002E67EF">
        <w:rPr>
          <w:rFonts w:ascii="Calibri" w:eastAsia="Calibri" w:hAnsi="Calibri" w:cs="Times New Roman"/>
        </w:rPr>
        <w:t>from s</w:t>
      </w:r>
      <w:r w:rsidRPr="00AA2B8E">
        <w:rPr>
          <w:rFonts w:ascii="Calibri" w:eastAsia="Calibri" w:hAnsi="Calibri" w:cs="Times New Roman"/>
        </w:rPr>
        <w:t xml:space="preserve">pot urine samples collected from 6644 women (53%) </w:t>
      </w:r>
      <w:r w:rsidRPr="00AA2B8E">
        <w:rPr>
          <w:rFonts w:ascii="Calibri" w:eastAsia="Times New Roman" w:hAnsi="Calibri" w:cstheme="minorHAnsi"/>
        </w:rPr>
        <w:t>across 6996 pregnancies (some women participated during successive pregnancies). A detailed description of the BiB cohort can be found elsewhere</w:t>
      </w:r>
      <w:r w:rsidR="00DB5A4B">
        <w:rPr>
          <w:rFonts w:ascii="Calibri" w:eastAsia="Times New Roman" w:hAnsi="Calibri" w:cstheme="minorHAnsi"/>
          <w:vertAlign w:val="superscript"/>
        </w:rPr>
        <w:t>21</w:t>
      </w:r>
      <w:r w:rsidRPr="00AA2B8E">
        <w:rPr>
          <w:rFonts w:ascii="Calibri" w:eastAsia="Times New Roman" w:hAnsi="Calibri" w:cstheme="minorHAnsi"/>
        </w:rPr>
        <w:t xml:space="preserve">. </w:t>
      </w:r>
      <w:r w:rsidRPr="00AA2B8E">
        <w:rPr>
          <w:rFonts w:eastAsia="Times New Roman" w:cstheme="minorHAnsi"/>
        </w:rPr>
        <w:t xml:space="preserve">In </w:t>
      </w:r>
      <w:r w:rsidR="002E67EF">
        <w:rPr>
          <w:rFonts w:eastAsia="Times New Roman" w:cstheme="minorHAnsi"/>
        </w:rPr>
        <w:t>brief</w:t>
      </w:r>
      <w:r w:rsidRPr="00AA2B8E">
        <w:rPr>
          <w:rFonts w:eastAsia="Times New Roman" w:cstheme="minorHAnsi"/>
        </w:rPr>
        <w:t xml:space="preserve">, the cohort reflects Bradford’s </w:t>
      </w:r>
      <w:r w:rsidR="00C96DF5">
        <w:rPr>
          <w:rFonts w:eastAsia="Times New Roman" w:cstheme="minorHAnsi"/>
        </w:rPr>
        <w:t xml:space="preserve">multi-ethnic </w:t>
      </w:r>
      <w:r w:rsidR="00191849">
        <w:rPr>
          <w:rFonts w:eastAsia="Times New Roman" w:cstheme="minorHAnsi"/>
        </w:rPr>
        <w:t>population</w:t>
      </w:r>
      <w:r w:rsidRPr="00AA2B8E">
        <w:rPr>
          <w:rFonts w:eastAsia="Times New Roman" w:cstheme="minorHAnsi"/>
        </w:rPr>
        <w:t xml:space="preserve">; with 43% of those with urine samples being of White </w:t>
      </w:r>
      <w:r w:rsidR="00191849">
        <w:rPr>
          <w:rFonts w:eastAsia="Times New Roman" w:cstheme="minorHAnsi"/>
        </w:rPr>
        <w:t>British</w:t>
      </w:r>
      <w:r w:rsidR="00C96DF5">
        <w:rPr>
          <w:rFonts w:eastAsia="Times New Roman" w:cstheme="minorHAnsi"/>
        </w:rPr>
        <w:t xml:space="preserve"> </w:t>
      </w:r>
      <w:r w:rsidR="00191849">
        <w:rPr>
          <w:rFonts w:eastAsia="Times New Roman" w:cstheme="minorHAnsi"/>
        </w:rPr>
        <w:t>heritage</w:t>
      </w:r>
      <w:r w:rsidRPr="00AA2B8E">
        <w:rPr>
          <w:rFonts w:eastAsia="Times New Roman" w:cstheme="minorHAnsi"/>
        </w:rPr>
        <w:t xml:space="preserve"> and 43% being of Pakistani </w:t>
      </w:r>
      <w:r w:rsidR="00191849">
        <w:rPr>
          <w:rFonts w:eastAsia="Times New Roman" w:cstheme="minorHAnsi"/>
        </w:rPr>
        <w:t>heritage</w:t>
      </w:r>
      <w:r w:rsidRPr="00AA2B8E">
        <w:rPr>
          <w:rFonts w:eastAsia="Times New Roman" w:cstheme="minorHAnsi"/>
        </w:rPr>
        <w:t xml:space="preserve">. </w:t>
      </w:r>
      <w:r w:rsidR="00E5286C">
        <w:rPr>
          <w:rFonts w:eastAsia="Times New Roman" w:cstheme="minorHAnsi"/>
        </w:rPr>
        <w:t xml:space="preserve">The cohort consists </w:t>
      </w:r>
      <w:r w:rsidRPr="00AA2B8E">
        <w:rPr>
          <w:rFonts w:eastAsia="Calibri" w:cstheme="minorHAnsi"/>
        </w:rPr>
        <w:t>of over half of all children born at Bradford Royal Infirmary between 2007 and 201</w:t>
      </w:r>
      <w:r w:rsidR="006974B1">
        <w:rPr>
          <w:rFonts w:eastAsia="Calibri" w:cstheme="minorHAnsi"/>
        </w:rPr>
        <w:t>1</w:t>
      </w:r>
      <w:r w:rsidRPr="00AA2B8E">
        <w:rPr>
          <w:rFonts w:eastAsia="Calibri" w:cstheme="minorHAnsi"/>
        </w:rPr>
        <w:t xml:space="preserve"> </w:t>
      </w:r>
      <w:r w:rsidR="00E5286C">
        <w:rPr>
          <w:rFonts w:eastAsia="Calibri" w:cstheme="minorHAnsi"/>
        </w:rPr>
        <w:t xml:space="preserve">and </w:t>
      </w:r>
      <w:r w:rsidRPr="00AA2B8E">
        <w:rPr>
          <w:rFonts w:eastAsia="Calibri" w:cstheme="minorHAnsi"/>
        </w:rPr>
        <w:t>is considered broadly representative of the wider population</w:t>
      </w:r>
      <w:r w:rsidR="00DB5A4B">
        <w:rPr>
          <w:rFonts w:eastAsia="Calibri" w:cstheme="minorHAnsi"/>
          <w:vertAlign w:val="superscript"/>
        </w:rPr>
        <w:t>21</w:t>
      </w:r>
      <w:r w:rsidRPr="00AA2B8E">
        <w:rPr>
          <w:rFonts w:eastAsia="Calibri" w:cstheme="minorHAnsi"/>
        </w:rPr>
        <w:t xml:space="preserve">. </w:t>
      </w:r>
      <w:r w:rsidR="004A14DC">
        <w:rPr>
          <w:rFonts w:eastAsia="Calibri" w:cstheme="minorHAnsi"/>
        </w:rPr>
        <w:t xml:space="preserve"> </w:t>
      </w:r>
      <w:r w:rsidRPr="00AA2B8E">
        <w:rPr>
          <w:rFonts w:ascii="Calibri" w:eastAsia="Calibri" w:hAnsi="Calibri" w:cs="LMSans10-Regular"/>
        </w:rPr>
        <w:t xml:space="preserve">Ethical approval for BiB was granted by Bradford Research Ethics Committee (Ref 07/H1302/112). </w:t>
      </w:r>
      <w:r w:rsidRPr="00AA2B8E">
        <w:rPr>
          <w:rFonts w:ascii="Calibri" w:eastAsia="Times New Roman" w:hAnsi="Calibri" w:cstheme="minorHAnsi"/>
          <w:caps/>
        </w:rPr>
        <w:t>a</w:t>
      </w:r>
      <w:r w:rsidRPr="00AA2B8E">
        <w:rPr>
          <w:rFonts w:ascii="Calibri" w:eastAsia="Times New Roman" w:hAnsi="Calibri" w:cstheme="minorHAnsi"/>
        </w:rPr>
        <w:t>ll participants provided written informed consent prior to data collection.</w:t>
      </w:r>
    </w:p>
    <w:p w14:paraId="294EB48F" w14:textId="77777777" w:rsidR="00AA2B8E" w:rsidRPr="00AA2B8E" w:rsidRDefault="00AA2B8E">
      <w:pPr>
        <w:autoSpaceDE w:val="0"/>
        <w:autoSpaceDN w:val="0"/>
        <w:adjustRightInd w:val="0"/>
        <w:spacing w:after="0" w:line="480" w:lineRule="auto"/>
        <w:rPr>
          <w:rFonts w:ascii="Calibri" w:eastAsia="Times New Roman" w:hAnsi="Calibri" w:cstheme="minorHAnsi"/>
        </w:rPr>
      </w:pPr>
    </w:p>
    <w:p w14:paraId="4B718E0B" w14:textId="77777777" w:rsidR="00AA2B8E" w:rsidRPr="00AA2B8E" w:rsidRDefault="00AA2B8E">
      <w:pPr>
        <w:spacing w:after="240" w:line="480" w:lineRule="auto"/>
        <w:rPr>
          <w:rFonts w:eastAsia="Times New Roman" w:cstheme="minorHAnsi"/>
          <w:u w:val="single"/>
        </w:rPr>
      </w:pPr>
      <w:r w:rsidRPr="00AA2B8E">
        <w:rPr>
          <w:rFonts w:eastAsia="Times New Roman" w:cstheme="minorHAnsi"/>
          <w:u w:val="single"/>
        </w:rPr>
        <w:t>Assessment of urinary iodine and creatinine</w:t>
      </w:r>
    </w:p>
    <w:p w14:paraId="5E630965" w14:textId="77777777" w:rsidR="00AA2B8E" w:rsidRPr="00AA2B8E" w:rsidRDefault="00AA2B8E">
      <w:pPr>
        <w:spacing w:after="240" w:line="480" w:lineRule="auto"/>
        <w:rPr>
          <w:rFonts w:eastAsia="Times New Roman" w:cstheme="minorHAnsi"/>
        </w:rPr>
      </w:pPr>
      <w:r w:rsidRPr="00AA2B8E">
        <w:rPr>
          <w:rFonts w:eastAsia="Times New Roman" w:cstheme="minorHAnsi"/>
        </w:rPr>
        <w:t xml:space="preserve">Urine samples were provided by participants </w:t>
      </w:r>
      <w:r w:rsidRPr="00AA2B8E">
        <w:rPr>
          <w:rFonts w:eastAsia="Calibri" w:cstheme="minorHAnsi"/>
        </w:rPr>
        <w:t xml:space="preserve">at routine antenatal clinics for oral glucose tolerance tests </w:t>
      </w:r>
      <w:r w:rsidRPr="00AA2B8E">
        <w:rPr>
          <w:rFonts w:eastAsia="Times New Roman" w:cstheme="minorHAnsi"/>
        </w:rPr>
        <w:t xml:space="preserve">following </w:t>
      </w:r>
      <w:r w:rsidRPr="00AA2B8E">
        <w:rPr>
          <w:rFonts w:eastAsia="Calibri" w:cstheme="minorHAnsi"/>
        </w:rPr>
        <w:t>an overnight fast</w:t>
      </w:r>
      <w:r w:rsidRPr="00AA2B8E">
        <w:rPr>
          <w:rFonts w:eastAsia="Times New Roman" w:cstheme="minorHAnsi"/>
        </w:rPr>
        <w:t>. All available samples were centrifuged, divided into aliquots and barcode tagged before being frozen and stored at -80</w:t>
      </w:r>
      <w:r w:rsidRPr="00AA2B8E">
        <w:rPr>
          <w:rFonts w:eastAsia="Times New Roman" w:cstheme="minorHAnsi"/>
          <w:vertAlign w:val="superscript"/>
        </w:rPr>
        <w:t>°</w:t>
      </w:r>
      <w:r w:rsidRPr="00AA2B8E">
        <w:rPr>
          <w:rFonts w:eastAsia="Times New Roman" w:cstheme="minorHAnsi"/>
        </w:rPr>
        <w:t xml:space="preserve">C </w:t>
      </w:r>
      <w:r w:rsidRPr="00AA2B8E">
        <w:rPr>
          <w:rFonts w:eastAsia="Calibri" w:cstheme="minorHAnsi"/>
        </w:rPr>
        <w:t>at the Bradford Royal Infirmary</w:t>
      </w:r>
      <w:r w:rsidRPr="00AA2B8E">
        <w:rPr>
          <w:rFonts w:eastAsia="Times New Roman" w:cstheme="minorHAnsi"/>
        </w:rPr>
        <w:t xml:space="preserve"> until their </w:t>
      </w:r>
      <w:r w:rsidRPr="00AA2B8E">
        <w:rPr>
          <w:rFonts w:eastAsia="Times New Roman" w:cstheme="minorHAnsi"/>
        </w:rPr>
        <w:lastRenderedPageBreak/>
        <w:t xml:space="preserve">transfer to </w:t>
      </w:r>
      <w:r w:rsidRPr="00AA2B8E">
        <w:rPr>
          <w:rFonts w:eastAsia="Calibri" w:cstheme="minorHAnsi"/>
        </w:rPr>
        <w:t>the Leeds Institute of Cardiovascular and Metabolic Medicine, University of Leeds, UK for iodine and creatinine analysis</w:t>
      </w:r>
      <w:r w:rsidRPr="00AA2B8E">
        <w:rPr>
          <w:rFonts w:eastAsia="Times New Roman" w:cstheme="minorHAnsi"/>
        </w:rPr>
        <w:t xml:space="preserve">. </w:t>
      </w:r>
    </w:p>
    <w:p w14:paraId="74806348" w14:textId="1E339BCE" w:rsidR="00C96DF5" w:rsidRPr="00AA2B8E" w:rsidRDefault="00C96DF5">
      <w:pPr>
        <w:spacing w:after="240" w:line="480" w:lineRule="auto"/>
        <w:rPr>
          <w:rFonts w:eastAsia="Times New Roman" w:cstheme="minorHAnsi"/>
        </w:rPr>
      </w:pPr>
      <w:r w:rsidRPr="00AA2B8E">
        <w:rPr>
          <w:rFonts w:eastAsia="Times New Roman" w:cstheme="minorHAnsi"/>
        </w:rPr>
        <w:t>Urinary iodine</w:t>
      </w:r>
      <w:r w:rsidRPr="00AA2B8E">
        <w:rPr>
          <w:rFonts w:eastAsia="Times New Roman" w:cstheme="minorHAnsi"/>
          <w:vertAlign w:val="superscript"/>
        </w:rPr>
        <w:t>(127)</w:t>
      </w:r>
      <w:r w:rsidRPr="00AA2B8E">
        <w:rPr>
          <w:rFonts w:eastAsia="Times New Roman" w:cstheme="minorHAnsi"/>
        </w:rPr>
        <w:t xml:space="preserve"> concentration (µg/L) was </w:t>
      </w:r>
      <w:r>
        <w:rPr>
          <w:rFonts w:eastAsia="Times New Roman" w:cstheme="minorHAnsi"/>
        </w:rPr>
        <w:t>measur</w:t>
      </w:r>
      <w:r w:rsidRPr="00AA2B8E">
        <w:rPr>
          <w:rFonts w:eastAsia="Times New Roman" w:cstheme="minorHAnsi"/>
        </w:rPr>
        <w:t xml:space="preserve">ed using inductively coupled plasma-mass spectrometry (Thermo iCAP Q, Liverpool, UK). The </w:t>
      </w:r>
      <w:r>
        <w:rPr>
          <w:rFonts w:eastAsia="Times New Roman" w:cstheme="minorHAnsi"/>
        </w:rPr>
        <w:t>laboratory</w:t>
      </w:r>
      <w:r w:rsidRPr="00AA2B8E">
        <w:rPr>
          <w:rFonts w:eastAsia="Times New Roman" w:cstheme="minorHAnsi"/>
        </w:rPr>
        <w:t xml:space="preserve"> </w:t>
      </w:r>
      <w:r w:rsidR="002E67EF">
        <w:rPr>
          <w:rFonts w:eastAsia="Times New Roman" w:cstheme="minorHAnsi"/>
        </w:rPr>
        <w:t>is accredited under</w:t>
      </w:r>
      <w:r w:rsidRPr="00AA2B8E">
        <w:rPr>
          <w:rFonts w:eastAsia="Times New Roman" w:cstheme="minorHAnsi"/>
        </w:rPr>
        <w:t xml:space="preserve"> the </w:t>
      </w:r>
      <w:r>
        <w:rPr>
          <w:rFonts w:eastAsia="Times New Roman" w:cstheme="minorHAnsi"/>
        </w:rPr>
        <w:t xml:space="preserve">US </w:t>
      </w:r>
      <w:r w:rsidRPr="00AA2B8E">
        <w:rPr>
          <w:rFonts w:eastAsia="Calibri" w:cstheme="minorHAnsi"/>
        </w:rPr>
        <w:t>Centers for Disease Control and Prevention (CDC) Ensuring the Quality of Urinary Iodine Procedures (EQUIP) standardisation programm</w:t>
      </w:r>
      <w:r w:rsidR="00DB3D7B">
        <w:rPr>
          <w:rFonts w:eastAsia="Calibri" w:cstheme="minorHAnsi"/>
        </w:rPr>
        <w:t>e</w:t>
      </w:r>
      <w:r w:rsidR="00F9248A">
        <w:rPr>
          <w:rFonts w:eastAsia="Times New Roman" w:cstheme="minorHAnsi"/>
          <w:vertAlign w:val="superscript"/>
        </w:rPr>
        <w:t>22</w:t>
      </w:r>
      <w:r w:rsidRPr="00AA2B8E">
        <w:rPr>
          <w:rFonts w:eastAsia="Times New Roman" w:cstheme="minorHAnsi"/>
        </w:rPr>
        <w:t>. A standard Jaffe reaction-based microplate assay was used for the evaluation of creatinine concentrations. A series of five quality control (QC) urines (along with a certified reference material (CRM) (Seronorm trace elements urine L-1)) were repeatedly analysed in conjunction with participant samples in order to validate method accuracy. All QC and CRM categories remained within expected or certified ranges and displayed low variability.</w:t>
      </w:r>
    </w:p>
    <w:p w14:paraId="0FC1060D" w14:textId="77777777" w:rsidR="00AA2B8E" w:rsidRPr="00AA2B8E" w:rsidRDefault="00AA2B8E">
      <w:pPr>
        <w:spacing w:after="240" w:line="480" w:lineRule="auto"/>
        <w:rPr>
          <w:rFonts w:eastAsia="Times New Roman" w:cstheme="minorHAnsi"/>
        </w:rPr>
      </w:pPr>
      <w:r w:rsidRPr="00AA2B8E">
        <w:rPr>
          <w:rFonts w:eastAsia="Times New Roman" w:cstheme="minorHAnsi"/>
        </w:rPr>
        <w:t>For inter-laboratory comparison, a subset of BiB and validation samples (3</w:t>
      </w:r>
      <w:r w:rsidRPr="00AA2B8E">
        <w:rPr>
          <w:rFonts w:eastAsia="Calibri" w:cstheme="minorHAnsi"/>
        </w:rPr>
        <w:t>·</w:t>
      </w:r>
      <w:r w:rsidRPr="00AA2B8E">
        <w:rPr>
          <w:rFonts w:eastAsia="Times New Roman" w:cstheme="minorHAnsi"/>
        </w:rPr>
        <w:t>8%, 271 of 6971), were provided at regular intervals to the MRC Elsie Widdowson Laboratory in Cambridge. UIC measurements were highly correlated across sites (r</w:t>
      </w:r>
      <w:r w:rsidRPr="00AA2B8E">
        <w:rPr>
          <w:rFonts w:eastAsia="Times New Roman" w:cstheme="minorHAnsi"/>
          <w:vertAlign w:val="superscript"/>
        </w:rPr>
        <w:t xml:space="preserve"> </w:t>
      </w:r>
      <w:r w:rsidRPr="00AA2B8E">
        <w:rPr>
          <w:rFonts w:eastAsia="Times New Roman" w:cstheme="minorHAnsi"/>
        </w:rPr>
        <w:t>= 0</w:t>
      </w:r>
      <w:r w:rsidRPr="00AA2B8E">
        <w:rPr>
          <w:rFonts w:eastAsia="Calibri" w:cstheme="minorHAnsi"/>
        </w:rPr>
        <w:t>·</w:t>
      </w:r>
      <w:r w:rsidRPr="00AA2B8E">
        <w:rPr>
          <w:rFonts w:eastAsia="Times New Roman" w:cstheme="minorHAnsi"/>
        </w:rPr>
        <w:t>99). Details of the full laboratory analysis and validation protocols are provided in the supplementary material.</w:t>
      </w:r>
    </w:p>
    <w:p w14:paraId="7B11D71E" w14:textId="6F429901" w:rsidR="00AA2B8E" w:rsidRPr="00AA2B8E" w:rsidRDefault="00AA2B8E">
      <w:pPr>
        <w:spacing w:after="240" w:line="480" w:lineRule="auto"/>
        <w:rPr>
          <w:rFonts w:eastAsia="Calibri" w:cstheme="minorHAnsi"/>
          <w:u w:val="single"/>
        </w:rPr>
      </w:pPr>
      <w:r w:rsidRPr="00AA2B8E">
        <w:rPr>
          <w:rFonts w:eastAsia="Calibri" w:cstheme="minorHAnsi"/>
          <w:u w:val="single"/>
        </w:rPr>
        <w:t>Diagnosis of ASD</w:t>
      </w:r>
    </w:p>
    <w:p w14:paraId="76769527" w14:textId="4D9CB30F" w:rsidR="00AA2B8E" w:rsidRPr="00AA2B8E" w:rsidRDefault="00AA2B8E">
      <w:pPr>
        <w:autoSpaceDE w:val="0"/>
        <w:autoSpaceDN w:val="0"/>
        <w:adjustRightInd w:val="0"/>
        <w:spacing w:after="0" w:line="480" w:lineRule="auto"/>
        <w:rPr>
          <w:rFonts w:eastAsia="Calibri" w:cstheme="minorHAnsi"/>
        </w:rPr>
      </w:pPr>
      <w:r w:rsidRPr="00AA2B8E">
        <w:rPr>
          <w:rFonts w:eastAsia="Calibri" w:cstheme="minorHAnsi"/>
        </w:rPr>
        <w:t>The primary outcome measure for this study was the presence of a Read (CTV3) code for an ASD recorded in a child’s primary care records. In collaboration with our primary care electronic health provider across Bradford, linkage was conducted using a complete deterministic match on National Health Servi</w:t>
      </w:r>
      <w:r w:rsidR="004D51F7">
        <w:rPr>
          <w:rFonts w:eastAsia="Calibri" w:cstheme="minorHAnsi"/>
        </w:rPr>
        <w:t>ce (NHS) number, surname, sex</w:t>
      </w:r>
      <w:r w:rsidRPr="00AA2B8E">
        <w:rPr>
          <w:rFonts w:eastAsia="Calibri" w:cstheme="minorHAnsi"/>
        </w:rPr>
        <w:t xml:space="preserve"> and date of birth (99% of BiB children were matched to their health record). Read codes are the standard clinical terminology system used in General Practice in the United Kingdom.</w:t>
      </w:r>
      <w:r w:rsidRPr="00AA2B8E">
        <w:rPr>
          <w:rFonts w:ascii="HelveticaNeueLTStd-Roman" w:eastAsia="Calibri" w:hAnsi="HelveticaNeueLTStd-Roman" w:cs="HelveticaNeueLTStd-Roman"/>
          <w:sz w:val="15"/>
          <w:szCs w:val="15"/>
        </w:rPr>
        <w:t xml:space="preserve"> </w:t>
      </w:r>
      <w:r w:rsidRPr="00AA2B8E">
        <w:rPr>
          <w:rFonts w:eastAsia="Calibri" w:cstheme="minorHAnsi"/>
        </w:rPr>
        <w:t xml:space="preserve">A validated </w:t>
      </w:r>
      <w:r w:rsidR="00F57791" w:rsidRPr="00AA2B8E">
        <w:rPr>
          <w:rFonts w:eastAsia="Calibri" w:cstheme="minorHAnsi"/>
        </w:rPr>
        <w:t>R</w:t>
      </w:r>
      <w:r w:rsidR="00F57791">
        <w:rPr>
          <w:rFonts w:eastAsia="Calibri" w:cstheme="minorHAnsi"/>
        </w:rPr>
        <w:t>EAD</w:t>
      </w:r>
      <w:r w:rsidR="00F57791" w:rsidRPr="00AA2B8E">
        <w:rPr>
          <w:rFonts w:eastAsia="Calibri" w:cstheme="minorHAnsi"/>
        </w:rPr>
        <w:t xml:space="preserve"> </w:t>
      </w:r>
      <w:r w:rsidRPr="00AA2B8E">
        <w:rPr>
          <w:rFonts w:eastAsia="Calibri" w:cstheme="minorHAnsi"/>
        </w:rPr>
        <w:t>code list, based on Clinical Terms Version 3</w:t>
      </w:r>
      <w:r w:rsidR="00C0513F">
        <w:rPr>
          <w:rFonts w:eastAsia="Calibri" w:cstheme="minorHAnsi"/>
          <w:vertAlign w:val="superscript"/>
        </w:rPr>
        <w:t>2</w:t>
      </w:r>
      <w:r w:rsidR="00F57791">
        <w:rPr>
          <w:rFonts w:eastAsia="Calibri" w:cstheme="minorHAnsi"/>
          <w:vertAlign w:val="superscript"/>
        </w:rPr>
        <w:t>3</w:t>
      </w:r>
      <w:r w:rsidRPr="00AA2B8E">
        <w:rPr>
          <w:rFonts w:eastAsia="Calibri" w:cstheme="minorHAnsi"/>
        </w:rPr>
        <w:t xml:space="preserve"> (Supplemental Table S</w:t>
      </w:r>
      <w:r w:rsidR="004B1A40">
        <w:rPr>
          <w:rFonts w:eastAsia="Calibri" w:cstheme="minorHAnsi"/>
        </w:rPr>
        <w:t>1</w:t>
      </w:r>
      <w:r w:rsidRPr="00AA2B8E">
        <w:rPr>
          <w:rFonts w:eastAsia="Calibri" w:cstheme="minorHAnsi"/>
        </w:rPr>
        <w:t>) has been shown in earlier published work</w:t>
      </w:r>
      <w:r w:rsidRPr="00AA2B8E">
        <w:rPr>
          <w:rFonts w:eastAsia="Calibri" w:cstheme="minorHAnsi"/>
          <w:vertAlign w:val="superscript"/>
        </w:rPr>
        <w:t>2</w:t>
      </w:r>
      <w:r w:rsidR="00F57791">
        <w:rPr>
          <w:rFonts w:eastAsia="Calibri" w:cstheme="minorHAnsi"/>
          <w:vertAlign w:val="superscript"/>
        </w:rPr>
        <w:t>4</w:t>
      </w:r>
      <w:r w:rsidRPr="00AA2B8E">
        <w:rPr>
          <w:rFonts w:eastAsia="Calibri" w:cstheme="minorHAnsi"/>
        </w:rPr>
        <w:t xml:space="preserve"> to be reliable and used with confidence to study </w:t>
      </w:r>
      <w:r w:rsidR="00B05078">
        <w:rPr>
          <w:rFonts w:eastAsia="Calibri" w:cstheme="minorHAnsi"/>
        </w:rPr>
        <w:t>ASD</w:t>
      </w:r>
      <w:r w:rsidRPr="00AA2B8E">
        <w:rPr>
          <w:rFonts w:eastAsia="Calibri" w:cstheme="minorHAnsi"/>
        </w:rPr>
        <w:t xml:space="preserve">. Children were aged </w:t>
      </w:r>
      <w:r w:rsidRPr="002528DF">
        <w:rPr>
          <w:rFonts w:eastAsia="Calibri" w:cstheme="minorHAnsi"/>
        </w:rPr>
        <w:t xml:space="preserve">between </w:t>
      </w:r>
      <w:r w:rsidR="002528DF" w:rsidRPr="00C96DF5">
        <w:t xml:space="preserve">8 years 3 months and 12 years 6 months </w:t>
      </w:r>
      <w:r w:rsidRPr="002528DF">
        <w:rPr>
          <w:rFonts w:eastAsia="Calibri" w:cstheme="minorHAnsi"/>
        </w:rPr>
        <w:t xml:space="preserve">at </w:t>
      </w:r>
      <w:r w:rsidRPr="002528DF">
        <w:rPr>
          <w:rFonts w:eastAsia="Calibri" w:cstheme="minorHAnsi"/>
        </w:rPr>
        <w:lastRenderedPageBreak/>
        <w:t>the point of the primary care data extract (</w:t>
      </w:r>
      <w:r w:rsidR="002528DF" w:rsidRPr="00C96DF5">
        <w:t>4</w:t>
      </w:r>
      <w:r w:rsidR="002528DF" w:rsidRPr="00C96DF5">
        <w:rPr>
          <w:vertAlign w:val="superscript"/>
        </w:rPr>
        <w:t>th</w:t>
      </w:r>
      <w:r w:rsidR="002528DF" w:rsidRPr="00C96DF5">
        <w:t xml:space="preserve"> October 2019</w:t>
      </w:r>
      <w:r w:rsidRPr="002528DF">
        <w:rPr>
          <w:rFonts w:eastAsia="Calibri" w:cstheme="minorHAnsi"/>
        </w:rPr>
        <w:t xml:space="preserve">). Additional details of the data-linkage procedure can be found in the supplementary material. </w:t>
      </w:r>
    </w:p>
    <w:p w14:paraId="3E44F1BA" w14:textId="77777777" w:rsidR="00AA2B8E" w:rsidRPr="00AA2B8E" w:rsidRDefault="00AA2B8E">
      <w:pPr>
        <w:autoSpaceDE w:val="0"/>
        <w:autoSpaceDN w:val="0"/>
        <w:adjustRightInd w:val="0"/>
        <w:spacing w:after="0" w:line="480" w:lineRule="auto"/>
        <w:rPr>
          <w:rFonts w:eastAsia="Calibri" w:cstheme="minorHAnsi"/>
        </w:rPr>
      </w:pPr>
    </w:p>
    <w:p w14:paraId="75FA5072" w14:textId="77777777" w:rsidR="00AA2B8E" w:rsidRPr="00AA2B8E" w:rsidRDefault="00AA2B8E">
      <w:pPr>
        <w:spacing w:after="240" w:line="480" w:lineRule="auto"/>
        <w:rPr>
          <w:rFonts w:eastAsia="Calibri" w:cstheme="minorHAnsi"/>
          <w:u w:val="single"/>
        </w:rPr>
      </w:pPr>
      <w:r w:rsidRPr="00AA2B8E">
        <w:rPr>
          <w:rFonts w:eastAsia="Calibri" w:cstheme="minorHAnsi"/>
          <w:u w:val="single"/>
        </w:rPr>
        <w:t xml:space="preserve">Statistical analysis </w:t>
      </w:r>
    </w:p>
    <w:p w14:paraId="1EED2A7D" w14:textId="34B86612" w:rsidR="00AA2B8E" w:rsidRPr="00AA2B8E" w:rsidRDefault="00AA2B8E">
      <w:pPr>
        <w:spacing w:after="240" w:line="480" w:lineRule="auto"/>
        <w:rPr>
          <w:rFonts w:eastAsia="Calibri" w:cstheme="minorHAnsi"/>
        </w:rPr>
      </w:pPr>
      <w:r w:rsidRPr="00AA2B8E">
        <w:rPr>
          <w:rFonts w:eastAsia="Calibri" w:cstheme="minorHAnsi"/>
        </w:rPr>
        <w:t>In order to account for variation in urine dilution during pregnancy</w:t>
      </w:r>
      <w:r w:rsidR="00C13902">
        <w:rPr>
          <w:rFonts w:eastAsia="Calibri" w:cstheme="minorHAnsi"/>
          <w:vertAlign w:val="superscript"/>
        </w:rPr>
        <w:t>5</w:t>
      </w:r>
      <w:r w:rsidRPr="00AA2B8E">
        <w:rPr>
          <w:rFonts w:eastAsia="Calibri" w:cstheme="minorHAnsi"/>
        </w:rPr>
        <w:t>, the standardised measure of urinary iodine to creatinine ratio (I:Cr) (µg/g) was used as the primary exposure, though all analyses were also conducted using UIC</w:t>
      </w:r>
      <w:r w:rsidR="00E5286C">
        <w:rPr>
          <w:rFonts w:eastAsia="Calibri" w:cstheme="minorHAnsi"/>
        </w:rPr>
        <w:t xml:space="preserve">, </w:t>
      </w:r>
      <w:r w:rsidR="00E5286C" w:rsidRPr="00AA2B8E">
        <w:rPr>
          <w:rFonts w:eastAsia="Calibri" w:cstheme="minorHAnsi"/>
        </w:rPr>
        <w:t>including pre-specified sensitivity and subgroup analyses</w:t>
      </w:r>
      <w:r w:rsidRPr="00AA2B8E">
        <w:rPr>
          <w:rFonts w:eastAsia="Calibri" w:cstheme="minorHAnsi"/>
        </w:rPr>
        <w:t>. To avoid categorising iodine concentrations, restricted cubic splines were fitted with four knots placed at percentiles 5, 35, 65 and 95</w:t>
      </w:r>
      <w:r w:rsidR="001C02F4" w:rsidRPr="001C02F4">
        <w:rPr>
          <w:rFonts w:eastAsia="Calibri" w:cstheme="minorHAnsi"/>
          <w:vertAlign w:val="superscript"/>
        </w:rPr>
        <w:t>2</w:t>
      </w:r>
      <w:r w:rsidR="009D63C9">
        <w:rPr>
          <w:rFonts w:eastAsia="Calibri" w:cstheme="minorHAnsi"/>
          <w:vertAlign w:val="superscript"/>
        </w:rPr>
        <w:t>5</w:t>
      </w:r>
      <w:r w:rsidR="001C02F4">
        <w:rPr>
          <w:rFonts w:eastAsia="Calibri" w:cstheme="minorHAnsi"/>
        </w:rPr>
        <w:t xml:space="preserve"> </w:t>
      </w:r>
      <w:r w:rsidRPr="00AA2B8E">
        <w:rPr>
          <w:rFonts w:eastAsia="Calibri" w:cstheme="minorHAnsi"/>
        </w:rPr>
        <w:t xml:space="preserve">and were used in all logistic regression models. </w:t>
      </w:r>
    </w:p>
    <w:p w14:paraId="0B83C7AB" w14:textId="0C946B11" w:rsidR="00AA2B8E" w:rsidRPr="00AA2B8E" w:rsidRDefault="00AA2B8E">
      <w:pPr>
        <w:spacing w:after="240" w:line="480" w:lineRule="auto"/>
        <w:rPr>
          <w:rFonts w:eastAsia="Calibri" w:cstheme="minorHAnsi"/>
        </w:rPr>
      </w:pPr>
      <w:r w:rsidRPr="00AA2B8E">
        <w:rPr>
          <w:rFonts w:eastAsia="Calibri" w:cstheme="minorHAnsi"/>
        </w:rPr>
        <w:t>Multiple imputation by chained equations, based on 100 imputed datasets, was used to correct for the effects of incomplete covariate information</w:t>
      </w:r>
      <w:r w:rsidR="00C0513F">
        <w:rPr>
          <w:rFonts w:eastAsia="Calibri" w:cstheme="minorHAnsi"/>
          <w:vertAlign w:val="superscript"/>
        </w:rPr>
        <w:t>2</w:t>
      </w:r>
      <w:r w:rsidR="00282E39">
        <w:rPr>
          <w:rFonts w:eastAsia="Calibri" w:cstheme="minorHAnsi"/>
          <w:vertAlign w:val="superscript"/>
        </w:rPr>
        <w:t>6</w:t>
      </w:r>
      <w:r w:rsidRPr="00AA2B8E">
        <w:rPr>
          <w:rFonts w:eastAsia="Calibri" w:cstheme="minorHAnsi"/>
        </w:rPr>
        <w:t xml:space="preserve"> (details in Supplemental Table S</w:t>
      </w:r>
      <w:r w:rsidR="002A04D6">
        <w:rPr>
          <w:rFonts w:eastAsia="Calibri" w:cstheme="minorHAnsi"/>
        </w:rPr>
        <w:t>2</w:t>
      </w:r>
      <w:r w:rsidRPr="00AA2B8E">
        <w:rPr>
          <w:rFonts w:eastAsia="Calibri" w:cstheme="minorHAnsi"/>
        </w:rPr>
        <w:t>). Adjustment for confounding was informed by a directed acycl</w:t>
      </w:r>
      <w:r w:rsidR="001A21AC">
        <w:rPr>
          <w:rFonts w:eastAsia="Calibri" w:cstheme="minorHAnsi"/>
        </w:rPr>
        <w:t>ic graph (Supplemental Figure S</w:t>
      </w:r>
      <w:r w:rsidR="00E36B9C">
        <w:rPr>
          <w:rFonts w:eastAsia="Calibri" w:cstheme="minorHAnsi"/>
        </w:rPr>
        <w:t>1</w:t>
      </w:r>
      <w:r w:rsidRPr="00AA2B8E">
        <w:rPr>
          <w:rFonts w:eastAsia="Calibri" w:cstheme="minorHAnsi"/>
        </w:rPr>
        <w:t xml:space="preserve">). </w:t>
      </w:r>
      <w:r w:rsidR="0036030B">
        <w:rPr>
          <w:rFonts w:eastAsia="Calibri" w:cstheme="minorHAnsi"/>
        </w:rPr>
        <w:t xml:space="preserve">All reported results are from fully adjusted models controlling </w:t>
      </w:r>
      <w:r w:rsidRPr="00AA2B8E">
        <w:rPr>
          <w:rFonts w:eastAsia="Calibri" w:cstheme="minorHAnsi"/>
        </w:rPr>
        <w:t>for maternal age</w:t>
      </w:r>
      <w:r w:rsidR="00812A1C">
        <w:rPr>
          <w:rFonts w:eastAsia="Calibri" w:cstheme="minorHAnsi"/>
        </w:rPr>
        <w:t xml:space="preserve"> </w:t>
      </w:r>
      <w:r w:rsidR="00267116">
        <w:rPr>
          <w:rFonts w:eastAsia="Calibri" w:cstheme="minorHAnsi"/>
        </w:rPr>
        <w:t>(at study recruitment)</w:t>
      </w:r>
      <w:r w:rsidRPr="00AA2B8E">
        <w:rPr>
          <w:rFonts w:eastAsia="Calibri" w:cstheme="minorHAnsi"/>
        </w:rPr>
        <w:t>,</w:t>
      </w:r>
      <w:r w:rsidR="00DC109E">
        <w:rPr>
          <w:rFonts w:eastAsia="Calibri" w:cstheme="minorHAnsi"/>
        </w:rPr>
        <w:t xml:space="preserve"> ethnicity,</w:t>
      </w:r>
      <w:r w:rsidRPr="00AA2B8E">
        <w:rPr>
          <w:rFonts w:eastAsia="Calibri" w:cstheme="minorHAnsi"/>
        </w:rPr>
        <w:t xml:space="preserve"> socioeconomic and education category (see </w:t>
      </w:r>
      <w:r w:rsidR="00BE5BD1">
        <w:rPr>
          <w:rFonts w:eastAsia="Calibri" w:cstheme="minorHAnsi"/>
        </w:rPr>
        <w:t>details in Supplemental Table S3</w:t>
      </w:r>
      <w:r w:rsidRPr="00AA2B8E">
        <w:rPr>
          <w:rFonts w:eastAsia="Calibri" w:cstheme="minorHAnsi"/>
        </w:rPr>
        <w:t>)</w:t>
      </w:r>
      <w:r w:rsidR="003E6DE4">
        <w:rPr>
          <w:rFonts w:eastAsia="Calibri" w:cstheme="minorHAnsi"/>
        </w:rPr>
        <w:t xml:space="preserve"> </w:t>
      </w:r>
      <w:r w:rsidR="003E6DE4" w:rsidRPr="00AA2B8E">
        <w:rPr>
          <w:rFonts w:eastAsia="Calibri" w:cstheme="minorHAnsi"/>
        </w:rPr>
        <w:t xml:space="preserve">smoking in pregnancy, alcohol in pregnancy, pre-pregnancy </w:t>
      </w:r>
      <w:r w:rsidR="003E6DE4">
        <w:rPr>
          <w:rFonts w:eastAsia="Calibri" w:cstheme="minorHAnsi"/>
        </w:rPr>
        <w:t>body mass index (B</w:t>
      </w:r>
      <w:r w:rsidR="003E6DE4" w:rsidRPr="00AA2B8E">
        <w:rPr>
          <w:rFonts w:eastAsia="Calibri" w:cstheme="minorHAnsi"/>
        </w:rPr>
        <w:t>MI</w:t>
      </w:r>
      <w:r w:rsidR="003E6DE4">
        <w:rPr>
          <w:rFonts w:eastAsia="Calibri" w:cstheme="minorHAnsi"/>
        </w:rPr>
        <w:t xml:space="preserve">) and </w:t>
      </w:r>
      <w:r w:rsidR="003E6DE4" w:rsidRPr="00AA2B8E">
        <w:rPr>
          <w:rFonts w:eastAsia="Calibri" w:cstheme="minorHAnsi"/>
        </w:rPr>
        <w:t>parity</w:t>
      </w:r>
      <w:r w:rsidR="003E6DE4">
        <w:rPr>
          <w:rFonts w:eastAsia="Calibri" w:cstheme="minorHAnsi"/>
        </w:rPr>
        <w:t xml:space="preserve"> </w:t>
      </w:r>
      <w:r w:rsidRPr="00AA2B8E">
        <w:rPr>
          <w:rFonts w:eastAsia="Calibri" w:cstheme="minorHAnsi"/>
        </w:rPr>
        <w:t>as potential confounders</w:t>
      </w:r>
      <w:r w:rsidR="003E6DE4">
        <w:rPr>
          <w:rFonts w:eastAsia="Calibri" w:cstheme="minorHAnsi"/>
        </w:rPr>
        <w:t xml:space="preserve">. </w:t>
      </w:r>
      <w:r w:rsidRPr="00AA2B8E">
        <w:rPr>
          <w:rFonts w:eastAsia="Calibri" w:cstheme="minorHAnsi"/>
        </w:rPr>
        <w:t>Covariates were omitted, as appropriate, for modelling different out</w:t>
      </w:r>
      <w:r w:rsidR="00BE5BD1">
        <w:rPr>
          <w:rFonts w:eastAsia="Calibri" w:cstheme="minorHAnsi"/>
        </w:rPr>
        <w:t>comes (see Supplemental Table S4</w:t>
      </w:r>
      <w:r w:rsidRPr="00AA2B8E">
        <w:rPr>
          <w:rFonts w:eastAsia="Calibri" w:cstheme="minorHAnsi"/>
        </w:rPr>
        <w:t xml:space="preserve">). </w:t>
      </w:r>
    </w:p>
    <w:p w14:paraId="598F9ED2" w14:textId="7AD306DF" w:rsidR="00AA2B8E" w:rsidRPr="00AA2B8E" w:rsidRDefault="00AA2B8E">
      <w:pPr>
        <w:spacing w:after="0" w:line="480" w:lineRule="auto"/>
        <w:rPr>
          <w:rFonts w:eastAsia="Calibri" w:cstheme="minorHAnsi"/>
        </w:rPr>
      </w:pPr>
      <w:r w:rsidRPr="00AA2B8E">
        <w:rPr>
          <w:rFonts w:eastAsia="Calibri" w:cstheme="minorHAnsi"/>
        </w:rPr>
        <w:t>Pre-specified sensitivity analyses were performed to assess the robustness of results</w:t>
      </w:r>
      <w:r w:rsidR="00E5286C">
        <w:rPr>
          <w:rFonts w:eastAsia="Calibri" w:cstheme="minorHAnsi"/>
        </w:rPr>
        <w:t xml:space="preserve"> which included</w:t>
      </w:r>
      <w:r w:rsidRPr="00AA2B8E">
        <w:rPr>
          <w:rFonts w:eastAsia="Calibri" w:cstheme="minorHAnsi"/>
        </w:rPr>
        <w:t xml:space="preserve">: (i) excluding extreme iodine concentrations (outside 3 standard deviations (SD) of </w:t>
      </w:r>
      <w:r w:rsidR="00F323BC">
        <w:rPr>
          <w:rFonts w:eastAsia="Calibri" w:cstheme="minorHAnsi"/>
        </w:rPr>
        <w:t>the mean on the log scale) (n=41</w:t>
      </w:r>
      <w:r w:rsidRPr="00AA2B8E">
        <w:rPr>
          <w:rFonts w:eastAsia="Calibri" w:cstheme="minorHAnsi"/>
        </w:rPr>
        <w:t>), (ii) the exclusion of iodine-con</w:t>
      </w:r>
      <w:r w:rsidR="00F323BC">
        <w:rPr>
          <w:rFonts w:eastAsia="Calibri" w:cstheme="minorHAnsi"/>
        </w:rPr>
        <w:t>taining supplement users (n=1036</w:t>
      </w:r>
      <w:r w:rsidRPr="00AA2B8E">
        <w:rPr>
          <w:rFonts w:eastAsia="Calibri" w:cstheme="minorHAnsi"/>
        </w:rPr>
        <w:t>) and (iii) excluding women with complications in pregnancy such as hypertension, gestational</w:t>
      </w:r>
      <w:r w:rsidR="00F323BC">
        <w:rPr>
          <w:rFonts w:eastAsia="Calibri" w:cstheme="minorHAnsi"/>
        </w:rPr>
        <w:t xml:space="preserve"> diabetes or preeclampsia (n=909</w:t>
      </w:r>
      <w:r w:rsidRPr="00AA2B8E">
        <w:rPr>
          <w:rFonts w:eastAsia="Calibri" w:cstheme="minorHAnsi"/>
        </w:rPr>
        <w:t>). Evidence of effect modification by</w:t>
      </w:r>
      <w:r w:rsidR="007A4831">
        <w:rPr>
          <w:rFonts w:eastAsia="Calibri" w:cstheme="minorHAnsi"/>
        </w:rPr>
        <w:t xml:space="preserve"> child sex,</w:t>
      </w:r>
      <w:r w:rsidR="00A20BA1">
        <w:rPr>
          <w:rFonts w:eastAsia="Calibri" w:cstheme="minorHAnsi"/>
        </w:rPr>
        <w:t xml:space="preserve"> </w:t>
      </w:r>
      <w:r w:rsidRPr="00AA2B8E">
        <w:rPr>
          <w:rFonts w:eastAsia="Calibri" w:cstheme="minorHAnsi"/>
        </w:rPr>
        <w:t xml:space="preserve">ethnicity (White or Pakistani ethnic background), maternal socioeconomic and education category (‘more deprived and less educated’ or ‘less deprived and more educated’ (details in </w:t>
      </w:r>
      <w:r w:rsidR="00BE5BD1">
        <w:rPr>
          <w:rFonts w:eastAsia="Calibri" w:cstheme="minorHAnsi"/>
        </w:rPr>
        <w:t xml:space="preserve">Supplementary </w:t>
      </w:r>
      <w:r w:rsidR="005E4EC0">
        <w:rPr>
          <w:rFonts w:eastAsia="Calibri" w:cstheme="minorHAnsi"/>
        </w:rPr>
        <w:t xml:space="preserve">Material, </w:t>
      </w:r>
      <w:r w:rsidR="00BE5BD1">
        <w:rPr>
          <w:rFonts w:eastAsia="Calibri" w:cstheme="minorHAnsi"/>
        </w:rPr>
        <w:t>Table S3</w:t>
      </w:r>
      <w:r w:rsidRPr="00AA2B8E">
        <w:rPr>
          <w:rFonts w:eastAsia="Calibri" w:cstheme="minorHAnsi"/>
        </w:rPr>
        <w:t>)</w:t>
      </w:r>
      <w:r w:rsidR="004C4A82">
        <w:rPr>
          <w:rFonts w:eastAsia="Calibri" w:cstheme="minorHAnsi"/>
        </w:rPr>
        <w:t xml:space="preserve"> </w:t>
      </w:r>
      <w:r w:rsidRPr="00AA2B8E">
        <w:rPr>
          <w:rFonts w:eastAsia="Calibri" w:cstheme="minorHAnsi"/>
        </w:rPr>
        <w:t>were formally tested by including an interaction term in the model</w:t>
      </w:r>
      <w:r w:rsidR="00C22FB2">
        <w:rPr>
          <w:rFonts w:eastAsia="Calibri" w:cstheme="minorHAnsi"/>
        </w:rPr>
        <w:t xml:space="preserve">. </w:t>
      </w:r>
      <w:r w:rsidRPr="00AA2B8E">
        <w:rPr>
          <w:rFonts w:eastAsia="Calibri" w:cstheme="minorHAnsi"/>
        </w:rPr>
        <w:t xml:space="preserve">Additional sensitivity analyses were completed </w:t>
      </w:r>
      <w:r w:rsidRPr="00AA2B8E">
        <w:rPr>
          <w:rFonts w:eastAsia="Calibri" w:cstheme="minorHAnsi"/>
        </w:rPr>
        <w:lastRenderedPageBreak/>
        <w:t xml:space="preserve">using dietary data available in a sub-sample of the cohort (see </w:t>
      </w:r>
      <w:r w:rsidR="000F7791">
        <w:rPr>
          <w:rFonts w:eastAsia="Calibri" w:cstheme="minorHAnsi"/>
        </w:rPr>
        <w:t>S</w:t>
      </w:r>
      <w:r w:rsidRPr="00AA2B8E">
        <w:rPr>
          <w:rFonts w:eastAsia="Calibri" w:cstheme="minorHAnsi"/>
        </w:rPr>
        <w:t xml:space="preserve">upplemental Table S4), for paternal age (years) and for seasonality, respectively, using pairs of sine and cosine functions which were prepared for each date across the year. </w:t>
      </w:r>
    </w:p>
    <w:p w14:paraId="75CCC4DD" w14:textId="77777777" w:rsidR="00AA2B8E" w:rsidRPr="00AA2B8E" w:rsidRDefault="00AA2B8E">
      <w:pPr>
        <w:spacing w:after="0" w:line="480" w:lineRule="auto"/>
        <w:rPr>
          <w:rFonts w:eastAsia="Calibri" w:cstheme="minorHAnsi"/>
        </w:rPr>
      </w:pPr>
    </w:p>
    <w:p w14:paraId="4BA945AD" w14:textId="0AD6CD85" w:rsidR="00AA2B8E" w:rsidRPr="00AA2B8E" w:rsidRDefault="00AA2B8E">
      <w:pPr>
        <w:autoSpaceDE w:val="0"/>
        <w:autoSpaceDN w:val="0"/>
        <w:adjustRightInd w:val="0"/>
        <w:spacing w:after="0" w:line="480" w:lineRule="auto"/>
        <w:rPr>
          <w:rFonts w:eastAsia="Calibri" w:cstheme="minorHAnsi"/>
        </w:rPr>
      </w:pPr>
      <w:r w:rsidRPr="00AA2B8E">
        <w:rPr>
          <w:rFonts w:eastAsia="Calibri" w:cstheme="minorHAnsi"/>
        </w:rPr>
        <w:t xml:space="preserve">Logistic regression models were implemented using Stata version 15.1 (StataCorp) and a final parsimonious model was developed to determine the association between I:Cr and the probability of having an </w:t>
      </w:r>
      <w:r w:rsidR="00EE7CD8">
        <w:rPr>
          <w:rFonts w:eastAsia="Calibri" w:cstheme="minorHAnsi"/>
        </w:rPr>
        <w:t xml:space="preserve">ASD </w:t>
      </w:r>
      <w:r w:rsidRPr="00AA2B8E">
        <w:rPr>
          <w:rFonts w:eastAsia="Calibri" w:cstheme="minorHAnsi"/>
        </w:rPr>
        <w:t xml:space="preserve">diagnosis in the primary care records. </w:t>
      </w:r>
      <w:r w:rsidRPr="00AA2B8E">
        <w:rPr>
          <w:rFonts w:ascii="Calibri" w:eastAsia="Calibri" w:hAnsi="Calibri" w:cs="Times New Roman"/>
        </w:rPr>
        <w:t xml:space="preserve">The Wald test was used to assess the overall contribution of iodine status to each model. </w:t>
      </w:r>
      <w:r w:rsidRPr="00AA2B8E">
        <w:rPr>
          <w:rFonts w:eastAsia="Calibri" w:cstheme="minorHAnsi"/>
        </w:rPr>
        <w:t>A two-</w:t>
      </w:r>
      <w:r w:rsidR="00F01272">
        <w:rPr>
          <w:rFonts w:eastAsia="Calibri" w:cstheme="minorHAnsi"/>
        </w:rPr>
        <w:t>tailed p-value &lt;0</w:t>
      </w:r>
      <w:r w:rsidR="00F01272" w:rsidRPr="00AA2B8E">
        <w:rPr>
          <w:rFonts w:eastAsia="Calibri" w:cstheme="minorHAnsi"/>
        </w:rPr>
        <w:t>·</w:t>
      </w:r>
      <w:r w:rsidRPr="00AA2B8E">
        <w:rPr>
          <w:rFonts w:eastAsia="Calibri" w:cstheme="minorHAnsi"/>
        </w:rPr>
        <w:t xml:space="preserve">05 was considered statistically significant and 95% confidence intervals (CIs) were used for all comparisons. </w:t>
      </w:r>
    </w:p>
    <w:p w14:paraId="37E2CD33" w14:textId="77777777" w:rsidR="00AA2B8E" w:rsidRPr="00AA2B8E" w:rsidRDefault="00AA2B8E">
      <w:pPr>
        <w:spacing w:after="0" w:line="480" w:lineRule="auto"/>
        <w:rPr>
          <w:rFonts w:eastAsia="Calibri" w:cstheme="minorHAnsi"/>
        </w:rPr>
      </w:pPr>
    </w:p>
    <w:p w14:paraId="12E6DEB8" w14:textId="7349DF8D" w:rsidR="00AA2B8E" w:rsidRDefault="00AA2B8E">
      <w:pPr>
        <w:autoSpaceDE w:val="0"/>
        <w:autoSpaceDN w:val="0"/>
        <w:adjustRightInd w:val="0"/>
        <w:spacing w:after="0" w:line="480" w:lineRule="auto"/>
        <w:rPr>
          <w:rFonts w:eastAsia="Calibri" w:cstheme="minorHAnsi"/>
        </w:rPr>
      </w:pPr>
      <w:r w:rsidRPr="00AA2B8E">
        <w:rPr>
          <w:rFonts w:eastAsia="Calibri" w:cstheme="minorHAnsi"/>
        </w:rPr>
        <w:t xml:space="preserve">Figures present adjusted predicted outcomes (continuous variables) or probabilities (binary outcomes), across the range of iodine concentrations for an “average” participant, i.e. primiparous, white European, non-smoker, who did not report consuming alcohol, were employed and not materially deprived, of </w:t>
      </w:r>
      <w:r w:rsidR="00AA116A">
        <w:rPr>
          <w:rFonts w:eastAsia="Calibri" w:cstheme="minorHAnsi"/>
        </w:rPr>
        <w:t>mean</w:t>
      </w:r>
      <w:r w:rsidR="00147987">
        <w:rPr>
          <w:rFonts w:eastAsia="Calibri" w:cstheme="minorHAnsi"/>
        </w:rPr>
        <w:t xml:space="preserve"> </w:t>
      </w:r>
      <w:r w:rsidRPr="00AA2B8E">
        <w:rPr>
          <w:rFonts w:eastAsia="Calibri" w:cstheme="minorHAnsi"/>
        </w:rPr>
        <w:t>age (27·2 years) and BMI (25·8kg/m</w:t>
      </w:r>
      <w:r w:rsidRPr="00AA2B8E">
        <w:rPr>
          <w:rFonts w:eastAsia="Calibri" w:cstheme="minorHAnsi"/>
          <w:vertAlign w:val="superscript"/>
        </w:rPr>
        <w:t>2</w:t>
      </w:r>
      <w:r w:rsidRPr="00AA2B8E">
        <w:rPr>
          <w:rFonts w:eastAsia="Calibri" w:cstheme="minorHAnsi"/>
        </w:rPr>
        <w:t xml:space="preserve">). The predicted probability of having a </w:t>
      </w:r>
      <w:r w:rsidR="00D57A45">
        <w:rPr>
          <w:rFonts w:eastAsia="Calibri" w:cstheme="minorHAnsi"/>
        </w:rPr>
        <w:t>recorded diagnosis of ASD</w:t>
      </w:r>
      <w:r w:rsidRPr="00AA2B8E">
        <w:rPr>
          <w:rFonts w:eastAsia="Calibri" w:cstheme="minorHAnsi"/>
        </w:rPr>
        <w:t xml:space="preserve"> at the 25</w:t>
      </w:r>
      <w:r w:rsidRPr="00AA2B8E">
        <w:rPr>
          <w:rFonts w:eastAsia="Calibri" w:cstheme="minorHAnsi"/>
          <w:vertAlign w:val="superscript"/>
        </w:rPr>
        <w:t>th</w:t>
      </w:r>
      <w:r w:rsidRPr="00AA2B8E">
        <w:rPr>
          <w:rFonts w:eastAsia="Calibri" w:cstheme="minorHAnsi"/>
        </w:rPr>
        <w:t xml:space="preserve"> and 75</w:t>
      </w:r>
      <w:r w:rsidRPr="00AA2B8E">
        <w:rPr>
          <w:rFonts w:eastAsia="Calibri" w:cstheme="minorHAnsi"/>
          <w:vertAlign w:val="superscript"/>
        </w:rPr>
        <w:t>th</w:t>
      </w:r>
      <w:r w:rsidRPr="00AA2B8E">
        <w:rPr>
          <w:rFonts w:eastAsia="Calibri" w:cstheme="minorHAnsi"/>
        </w:rPr>
        <w:t xml:space="preserve"> percentiles of exposure were derived from these</w:t>
      </w:r>
      <w:r w:rsidR="00BE5BD1">
        <w:rPr>
          <w:rFonts w:eastAsia="Calibri" w:cstheme="minorHAnsi"/>
        </w:rPr>
        <w:t xml:space="preserve"> figures and tabulated (Table S</w:t>
      </w:r>
      <w:r w:rsidR="00FB66AC">
        <w:rPr>
          <w:rFonts w:eastAsia="Calibri" w:cstheme="minorHAnsi"/>
        </w:rPr>
        <w:t>5</w:t>
      </w:r>
      <w:r w:rsidRPr="00AA2B8E">
        <w:rPr>
          <w:rFonts w:eastAsia="Calibri" w:cstheme="minorHAnsi"/>
        </w:rPr>
        <w:t>).</w:t>
      </w:r>
    </w:p>
    <w:p w14:paraId="7BF7CB33" w14:textId="77777777" w:rsidR="006E4912" w:rsidRPr="006E4912" w:rsidRDefault="006E4912">
      <w:pPr>
        <w:autoSpaceDE w:val="0"/>
        <w:autoSpaceDN w:val="0"/>
        <w:adjustRightInd w:val="0"/>
        <w:spacing w:after="0" w:line="480" w:lineRule="auto"/>
        <w:rPr>
          <w:rFonts w:ascii="ScalaLancetPro" w:hAnsi="ScalaLancetPro" w:cs="ScalaLancetPro"/>
          <w:sz w:val="18"/>
          <w:szCs w:val="18"/>
        </w:rPr>
      </w:pPr>
    </w:p>
    <w:p w14:paraId="5E7115A6" w14:textId="77777777" w:rsidR="00AA2B8E" w:rsidRPr="00AA2B8E" w:rsidRDefault="00AA2B8E">
      <w:pPr>
        <w:spacing w:after="240" w:line="480" w:lineRule="auto"/>
        <w:rPr>
          <w:rFonts w:eastAsia="Calibri" w:cstheme="minorHAnsi"/>
          <w:b/>
        </w:rPr>
      </w:pPr>
      <w:r w:rsidRPr="00AA2B8E">
        <w:rPr>
          <w:rFonts w:eastAsia="Calibri" w:cstheme="minorHAnsi"/>
          <w:b/>
        </w:rPr>
        <w:t>Results</w:t>
      </w:r>
    </w:p>
    <w:p w14:paraId="33586DBA" w14:textId="77777777" w:rsidR="00AA2B8E" w:rsidRPr="00AA2B8E" w:rsidRDefault="00AA2B8E">
      <w:pPr>
        <w:suppressAutoHyphens/>
        <w:spacing w:after="0" w:line="480" w:lineRule="auto"/>
        <w:rPr>
          <w:rFonts w:eastAsia="Calibri" w:cstheme="minorHAnsi"/>
          <w:u w:val="single"/>
          <w:lang w:val="en"/>
        </w:rPr>
      </w:pPr>
      <w:r w:rsidRPr="00AA2B8E">
        <w:rPr>
          <w:rFonts w:eastAsia="Calibri" w:cstheme="minorHAnsi"/>
          <w:u w:val="single"/>
          <w:lang w:val="en"/>
        </w:rPr>
        <w:t xml:space="preserve">Participant characteristics </w:t>
      </w:r>
    </w:p>
    <w:p w14:paraId="62764C0A" w14:textId="77777777" w:rsidR="00AA2B8E" w:rsidRPr="00AA2B8E" w:rsidRDefault="00AA2B8E">
      <w:pPr>
        <w:suppressAutoHyphens/>
        <w:spacing w:after="0" w:line="480" w:lineRule="auto"/>
        <w:rPr>
          <w:rFonts w:eastAsia="Calibri" w:cstheme="minorHAnsi"/>
          <w:u w:val="single"/>
          <w:lang w:val="en"/>
        </w:rPr>
      </w:pPr>
    </w:p>
    <w:p w14:paraId="6F5002CE" w14:textId="741223AC" w:rsidR="00AA2B8E" w:rsidRPr="00AA2B8E" w:rsidRDefault="00AA2B8E">
      <w:pPr>
        <w:suppressAutoHyphens/>
        <w:spacing w:after="240" w:line="480" w:lineRule="auto"/>
        <w:rPr>
          <w:rFonts w:eastAsia="Calibri" w:cstheme="minorHAnsi"/>
        </w:rPr>
      </w:pPr>
      <w:r w:rsidRPr="00AA2B8E">
        <w:rPr>
          <w:rFonts w:eastAsia="Calibri" w:cstheme="minorHAnsi"/>
        </w:rPr>
        <w:t xml:space="preserve">Of 12453 women with 13776 pregnancies recruited into the cohort, 6644 women (53%) provided a total of 6977 urine samples at around 26-28 </w:t>
      </w:r>
      <w:r w:rsidR="00406EB7">
        <w:rPr>
          <w:rFonts w:eastAsia="Calibri" w:cstheme="minorHAnsi"/>
        </w:rPr>
        <w:t>weeks' gestation. In total, 6955</w:t>
      </w:r>
      <w:r w:rsidRPr="00AA2B8E">
        <w:rPr>
          <w:rFonts w:eastAsia="Calibri" w:cstheme="minorHAnsi"/>
        </w:rPr>
        <w:t xml:space="preserve"> samples were successfully analysed for both iodine and creatinine from 6639 women who had a total of 7013 children. Women who provided urine samples were broadly similar to those in the cohort that did not (</w:t>
      </w:r>
      <w:r w:rsidR="001A21AC">
        <w:rPr>
          <w:rFonts w:eastAsia="Calibri" w:cstheme="minorHAnsi"/>
        </w:rPr>
        <w:t>Supplemental Table S</w:t>
      </w:r>
      <w:r w:rsidR="0053446E">
        <w:rPr>
          <w:rFonts w:eastAsia="Calibri" w:cstheme="minorHAnsi"/>
        </w:rPr>
        <w:t>6</w:t>
      </w:r>
      <w:r w:rsidRPr="00AA2B8E">
        <w:rPr>
          <w:rFonts w:eastAsia="Calibri" w:cstheme="minorHAnsi"/>
        </w:rPr>
        <w:t xml:space="preserve">). The mean age </w:t>
      </w:r>
      <w:r w:rsidR="00553602">
        <w:rPr>
          <w:rFonts w:eastAsia="Calibri" w:cstheme="minorHAnsi"/>
        </w:rPr>
        <w:t>of participants was 27</w:t>
      </w:r>
      <w:r w:rsidR="00553602">
        <w:rPr>
          <w:rStyle w:val="st1"/>
          <w:rFonts w:ascii="Arial" w:hAnsi="Arial" w:cs="Arial"/>
          <w:color w:val="3C4043"/>
          <w:sz w:val="21"/>
          <w:szCs w:val="21"/>
        </w:rPr>
        <w:t>·</w:t>
      </w:r>
      <w:r w:rsidR="00553602">
        <w:rPr>
          <w:rFonts w:eastAsia="Calibri" w:cstheme="minorHAnsi"/>
        </w:rPr>
        <w:t>2 years (SD 5</w:t>
      </w:r>
      <w:r w:rsidR="00553602">
        <w:rPr>
          <w:rStyle w:val="st1"/>
          <w:rFonts w:ascii="Arial" w:hAnsi="Arial" w:cs="Arial"/>
          <w:color w:val="3C4043"/>
          <w:sz w:val="21"/>
          <w:szCs w:val="21"/>
        </w:rPr>
        <w:t>·</w:t>
      </w:r>
      <w:r w:rsidR="00194882">
        <w:rPr>
          <w:rFonts w:eastAsia="Calibri" w:cstheme="minorHAnsi"/>
        </w:rPr>
        <w:t>6</w:t>
      </w:r>
      <w:r w:rsidRPr="00AA2B8E">
        <w:rPr>
          <w:rFonts w:eastAsia="Calibri" w:cstheme="minorHAnsi"/>
        </w:rPr>
        <w:t>) and mean</w:t>
      </w:r>
      <w:r w:rsidR="00BE5D33">
        <w:rPr>
          <w:rFonts w:eastAsia="Calibri" w:cstheme="minorHAnsi"/>
        </w:rPr>
        <w:t xml:space="preserve"> pre-</w:t>
      </w:r>
      <w:r w:rsidR="00BE5D33">
        <w:rPr>
          <w:rFonts w:eastAsia="Calibri" w:cstheme="minorHAnsi"/>
        </w:rPr>
        <w:lastRenderedPageBreak/>
        <w:t>pregnancy</w:t>
      </w:r>
      <w:r w:rsidRPr="00AA2B8E">
        <w:rPr>
          <w:rFonts w:eastAsia="Calibri" w:cstheme="minorHAnsi"/>
        </w:rPr>
        <w:t xml:space="preserve"> BMI was 25.9kg/m</w:t>
      </w:r>
      <w:r w:rsidRPr="00AA2B8E">
        <w:rPr>
          <w:rFonts w:eastAsia="Calibri" w:cstheme="minorHAnsi"/>
          <w:vertAlign w:val="superscript"/>
        </w:rPr>
        <w:t>2</w:t>
      </w:r>
      <w:r w:rsidR="00553602">
        <w:rPr>
          <w:rFonts w:eastAsia="Calibri" w:cstheme="minorHAnsi"/>
        </w:rPr>
        <w:t xml:space="preserve"> (SD 5</w:t>
      </w:r>
      <w:r w:rsidR="00553602">
        <w:rPr>
          <w:rStyle w:val="st1"/>
          <w:rFonts w:ascii="Arial" w:hAnsi="Arial" w:cs="Arial"/>
          <w:color w:val="3C4043"/>
          <w:sz w:val="21"/>
          <w:szCs w:val="21"/>
        </w:rPr>
        <w:t>·</w:t>
      </w:r>
      <w:r w:rsidR="00194882">
        <w:rPr>
          <w:rFonts w:eastAsia="Calibri" w:cstheme="minorHAnsi"/>
        </w:rPr>
        <w:t>5</w:t>
      </w:r>
      <w:r w:rsidRPr="00AA2B8E">
        <w:rPr>
          <w:rFonts w:eastAsia="Calibri" w:cstheme="minorHAnsi"/>
        </w:rPr>
        <w:t>) (Table 1). Descriptive maternal details and ASD diagnosis are presented by category of maternal urinary I:Cr in Table 1 and 2, respectively.</w:t>
      </w:r>
    </w:p>
    <w:p w14:paraId="73133E6A" w14:textId="3832AE50" w:rsidR="00AA2B8E" w:rsidRPr="00AA2B8E" w:rsidRDefault="0054170B">
      <w:pPr>
        <w:spacing w:after="240" w:line="480" w:lineRule="auto"/>
        <w:rPr>
          <w:rFonts w:cstheme="minorHAnsi"/>
        </w:rPr>
      </w:pPr>
      <w:r>
        <w:rPr>
          <w:rFonts w:cstheme="minorHAnsi"/>
        </w:rPr>
        <w:t>T</w:t>
      </w:r>
      <w:r w:rsidR="00AA2B8E" w:rsidRPr="00AA2B8E">
        <w:rPr>
          <w:rFonts w:cstheme="minorHAnsi"/>
        </w:rPr>
        <w:t>he median (inter-quartile range (IQR)) UIC for all samples was 76µg/L (45 to 120) with 29% below 50µg/L (Table 1), indicating a deficient population according to WHO guidelines</w:t>
      </w:r>
      <w:r w:rsidR="007024E1">
        <w:rPr>
          <w:rFonts w:cstheme="minorHAnsi"/>
          <w:vertAlign w:val="superscript"/>
        </w:rPr>
        <w:t>20</w:t>
      </w:r>
      <w:r w:rsidR="00AA2B8E" w:rsidRPr="00AA2B8E">
        <w:rPr>
          <w:rFonts w:cstheme="minorHAnsi"/>
        </w:rPr>
        <w:t>. In White European women, the median UIC (82 µg/L, IQR 49 to 127) was higher than women of Pakistani (73 µg/L, IQR 42 to 115) or other ethnic background (72 µg/L, IQR 42</w:t>
      </w:r>
      <w:r w:rsidR="00BE5BD1">
        <w:rPr>
          <w:rFonts w:cstheme="minorHAnsi"/>
        </w:rPr>
        <w:t xml:space="preserve"> to 111) (</w:t>
      </w:r>
      <w:r w:rsidR="00194F5B">
        <w:rPr>
          <w:rFonts w:cstheme="minorHAnsi"/>
        </w:rPr>
        <w:t>Supplementary Material, Table S</w:t>
      </w:r>
      <w:r w:rsidR="00DF0DBB">
        <w:rPr>
          <w:rFonts w:cstheme="minorHAnsi"/>
        </w:rPr>
        <w:t>7</w:t>
      </w:r>
      <w:r w:rsidR="00AA2B8E" w:rsidRPr="00AA2B8E">
        <w:rPr>
          <w:rFonts w:cstheme="minorHAnsi"/>
        </w:rPr>
        <w:t xml:space="preserve">). Median (IQR) I:Cr was 83µg/g (59 to 121) and when the cohort was divided into five groups according to I:Cr, women with lower I:Cr were more likely to be grouped in the lower socioeconomic and education categories (Table 1). </w:t>
      </w:r>
    </w:p>
    <w:p w14:paraId="444E5321" w14:textId="77777777" w:rsidR="00AA2B8E" w:rsidRPr="00AA2B8E" w:rsidRDefault="00AA2B8E">
      <w:pPr>
        <w:suppressAutoHyphens/>
        <w:spacing w:after="0" w:line="480" w:lineRule="auto"/>
        <w:rPr>
          <w:rFonts w:eastAsia="Calibri" w:cstheme="minorHAnsi"/>
          <w:u w:val="single"/>
          <w:lang w:val="en"/>
        </w:rPr>
      </w:pPr>
      <w:r w:rsidRPr="00AA2B8E">
        <w:rPr>
          <w:rFonts w:eastAsia="Calibri" w:cstheme="minorHAnsi"/>
          <w:u w:val="single"/>
          <w:lang w:val="en"/>
        </w:rPr>
        <w:t>Diagnosis of an ASD</w:t>
      </w:r>
    </w:p>
    <w:p w14:paraId="0BD8051D" w14:textId="77777777" w:rsidR="00AA2B8E" w:rsidRPr="00AA2B8E" w:rsidRDefault="00AA2B8E">
      <w:pPr>
        <w:suppressAutoHyphens/>
        <w:spacing w:after="0" w:line="480" w:lineRule="auto"/>
        <w:rPr>
          <w:rFonts w:eastAsia="Calibri" w:cstheme="minorHAnsi"/>
          <w:u w:val="single"/>
          <w:lang w:val="en"/>
        </w:rPr>
      </w:pPr>
    </w:p>
    <w:p w14:paraId="7948E121" w14:textId="33FE5AFB" w:rsidR="000C1402" w:rsidRPr="00AA2B8E" w:rsidRDefault="000C1402">
      <w:pPr>
        <w:spacing w:after="240" w:line="480" w:lineRule="auto"/>
        <w:rPr>
          <w:rFonts w:eastAsia="Calibri" w:cstheme="minorHAnsi"/>
        </w:rPr>
      </w:pPr>
      <w:r w:rsidRPr="00AA2B8E">
        <w:rPr>
          <w:rFonts w:eastAsia="Calibri" w:cstheme="minorHAnsi"/>
        </w:rPr>
        <w:t xml:space="preserve">Currently, </w:t>
      </w:r>
      <w:r w:rsidR="000D3826">
        <w:rPr>
          <w:rFonts w:eastAsia="Calibri" w:cstheme="minorHAnsi"/>
        </w:rPr>
        <w:t xml:space="preserve">around </w:t>
      </w:r>
      <w:r w:rsidRPr="00AA2B8E">
        <w:rPr>
          <w:rFonts w:eastAsia="Calibri" w:cstheme="minorHAnsi"/>
        </w:rPr>
        <w:t>1%</w:t>
      </w:r>
      <w:r w:rsidR="009B2609">
        <w:rPr>
          <w:rFonts w:eastAsia="Calibri" w:cstheme="minorHAnsi"/>
        </w:rPr>
        <w:t xml:space="preserve"> of children and adults in the UK </w:t>
      </w:r>
      <w:r w:rsidR="00280631">
        <w:rPr>
          <w:rFonts w:eastAsia="Calibri" w:cstheme="minorHAnsi"/>
        </w:rPr>
        <w:t xml:space="preserve">have a </w:t>
      </w:r>
      <w:r w:rsidR="001A5023">
        <w:rPr>
          <w:rFonts w:eastAsia="Calibri" w:cstheme="minorHAnsi"/>
        </w:rPr>
        <w:t xml:space="preserve">recorded </w:t>
      </w:r>
      <w:r w:rsidR="00280631">
        <w:rPr>
          <w:rFonts w:eastAsia="Calibri" w:cstheme="minorHAnsi"/>
        </w:rPr>
        <w:t>diagnosis of ASD</w:t>
      </w:r>
      <w:r w:rsidR="00C0513F">
        <w:rPr>
          <w:rFonts w:eastAsia="Calibri" w:cstheme="minorHAnsi"/>
          <w:vertAlign w:val="superscript"/>
        </w:rPr>
        <w:t>2</w:t>
      </w:r>
      <w:r w:rsidR="00C125AB">
        <w:rPr>
          <w:rFonts w:eastAsia="Calibri" w:cstheme="minorHAnsi"/>
          <w:vertAlign w:val="superscript"/>
        </w:rPr>
        <w:t>7</w:t>
      </w:r>
      <w:r w:rsidR="00F323BC">
        <w:rPr>
          <w:rFonts w:eastAsia="Calibri" w:cstheme="minorHAnsi"/>
        </w:rPr>
        <w:t>. In our cohort, 92</w:t>
      </w:r>
      <w:r w:rsidRPr="00AA2B8E">
        <w:rPr>
          <w:rFonts w:eastAsia="Calibri" w:cstheme="minorHAnsi"/>
        </w:rPr>
        <w:t xml:space="preserve"> children (</w:t>
      </w:r>
      <w:r w:rsidR="00553602">
        <w:rPr>
          <w:rFonts w:eastAsia="Calibri" w:cstheme="minorHAnsi"/>
        </w:rPr>
        <w:t>1</w:t>
      </w:r>
      <w:r w:rsidR="00553602">
        <w:rPr>
          <w:rStyle w:val="st1"/>
          <w:rFonts w:ascii="Arial" w:hAnsi="Arial" w:cs="Arial"/>
          <w:color w:val="3C4043"/>
          <w:sz w:val="21"/>
          <w:szCs w:val="21"/>
        </w:rPr>
        <w:t>·</w:t>
      </w:r>
      <w:r w:rsidR="00F323BC">
        <w:rPr>
          <w:rFonts w:eastAsia="Calibri" w:cstheme="minorHAnsi"/>
        </w:rPr>
        <w:t>3</w:t>
      </w:r>
      <w:r w:rsidRPr="00AA2B8E">
        <w:rPr>
          <w:rFonts w:eastAsia="Calibri" w:cstheme="minorHAnsi"/>
        </w:rPr>
        <w:t xml:space="preserve">%) had received a diagnosis of ASD by the census date. Boys had a higher rate of recorded </w:t>
      </w:r>
      <w:r w:rsidR="00EE7CD8">
        <w:rPr>
          <w:rFonts w:eastAsia="Calibri" w:cstheme="minorHAnsi"/>
        </w:rPr>
        <w:t xml:space="preserve">ASD </w:t>
      </w:r>
      <w:r w:rsidRPr="00AA2B8E">
        <w:rPr>
          <w:rFonts w:eastAsia="Calibri" w:cstheme="minorHAnsi"/>
        </w:rPr>
        <w:t xml:space="preserve">diagnosis than girls, with approximately </w:t>
      </w:r>
      <w:r w:rsidR="00F323BC">
        <w:rPr>
          <w:rFonts w:eastAsia="Calibri" w:cstheme="minorHAnsi"/>
        </w:rPr>
        <w:t>2</w:t>
      </w:r>
      <w:r w:rsidR="00553602">
        <w:rPr>
          <w:rStyle w:val="st1"/>
          <w:rFonts w:ascii="Arial" w:hAnsi="Arial" w:cs="Arial"/>
          <w:color w:val="3C4043"/>
          <w:sz w:val="21"/>
          <w:szCs w:val="21"/>
        </w:rPr>
        <w:t>·</w:t>
      </w:r>
      <w:r w:rsidR="00AB3BD2">
        <w:rPr>
          <w:rFonts w:eastAsia="Calibri" w:cstheme="minorHAnsi"/>
        </w:rPr>
        <w:t>0</w:t>
      </w:r>
      <w:r w:rsidRPr="00AA2B8E">
        <w:rPr>
          <w:rFonts w:eastAsia="Calibri" w:cstheme="minorHAnsi"/>
        </w:rPr>
        <w:t>% of boys</w:t>
      </w:r>
      <w:r w:rsidR="00AB3BD2">
        <w:rPr>
          <w:rFonts w:eastAsia="Calibri" w:cstheme="minorHAnsi"/>
        </w:rPr>
        <w:t xml:space="preserve"> having a Read code indicating a diagnosis of </w:t>
      </w:r>
      <w:r w:rsidR="00EE7CD8">
        <w:rPr>
          <w:rFonts w:eastAsia="Calibri" w:cstheme="minorHAnsi"/>
        </w:rPr>
        <w:t xml:space="preserve">ASD </w:t>
      </w:r>
      <w:r w:rsidR="00AB3BD2">
        <w:rPr>
          <w:rFonts w:eastAsia="Calibri" w:cstheme="minorHAnsi"/>
        </w:rPr>
        <w:t>in their primary care records</w:t>
      </w:r>
      <w:r w:rsidR="00553602">
        <w:rPr>
          <w:rFonts w:eastAsia="Calibri" w:cstheme="minorHAnsi"/>
        </w:rPr>
        <w:t xml:space="preserve"> compared to 0</w:t>
      </w:r>
      <w:r w:rsidR="00553602">
        <w:rPr>
          <w:rStyle w:val="st1"/>
          <w:rFonts w:ascii="Arial" w:hAnsi="Arial" w:cs="Arial"/>
          <w:color w:val="3C4043"/>
          <w:sz w:val="21"/>
          <w:szCs w:val="21"/>
        </w:rPr>
        <w:t>·</w:t>
      </w:r>
      <w:r w:rsidR="00F323BC">
        <w:rPr>
          <w:rFonts w:eastAsia="Calibri" w:cstheme="minorHAnsi"/>
        </w:rPr>
        <w:t>6</w:t>
      </w:r>
      <w:r w:rsidRPr="00AA2B8E">
        <w:rPr>
          <w:rFonts w:eastAsia="Calibri" w:cstheme="minorHAnsi"/>
        </w:rPr>
        <w:t>% of girls (</w:t>
      </w:r>
      <w:r w:rsidR="00AB3BD2">
        <w:rPr>
          <w:rFonts w:eastAsia="Calibri" w:cstheme="minorHAnsi"/>
        </w:rPr>
        <w:t>Supplemental Table S</w:t>
      </w:r>
      <w:r w:rsidR="00DF0DBB">
        <w:rPr>
          <w:rFonts w:eastAsia="Calibri" w:cstheme="minorHAnsi"/>
        </w:rPr>
        <w:t>8</w:t>
      </w:r>
      <w:r w:rsidRPr="00AA2B8E">
        <w:rPr>
          <w:rFonts w:eastAsia="Calibri" w:cstheme="minorHAnsi"/>
        </w:rPr>
        <w:t xml:space="preserve">). </w:t>
      </w:r>
    </w:p>
    <w:p w14:paraId="4CA68ECA" w14:textId="64CC1371" w:rsidR="00D14797" w:rsidRPr="00AA2B8E" w:rsidRDefault="000C1402">
      <w:pPr>
        <w:spacing w:after="240" w:line="480" w:lineRule="auto"/>
        <w:rPr>
          <w:rFonts w:eastAsia="Calibri" w:cstheme="minorHAnsi"/>
        </w:rPr>
      </w:pPr>
      <w:r w:rsidRPr="00AA2B8E">
        <w:rPr>
          <w:rFonts w:eastAsia="Calibri" w:cstheme="minorHAnsi"/>
        </w:rPr>
        <w:t>There was no evidence of any association between I:Cr and the risk of a diagnosis of ASD after adjusting for established confounders (p</w:t>
      </w:r>
      <w:r w:rsidRPr="00AA2B8E">
        <w:rPr>
          <w:rFonts w:eastAsia="Calibri" w:cstheme="minorHAnsi"/>
          <w:vertAlign w:val="subscript"/>
        </w:rPr>
        <w:t xml:space="preserve">overall </w:t>
      </w:r>
      <w:r w:rsidR="00553602">
        <w:rPr>
          <w:rFonts w:eastAsia="Calibri" w:cstheme="minorHAnsi"/>
        </w:rPr>
        <w:t>0</w:t>
      </w:r>
      <w:r w:rsidR="00553602">
        <w:rPr>
          <w:rStyle w:val="st1"/>
          <w:rFonts w:ascii="Arial" w:hAnsi="Arial" w:cs="Arial"/>
          <w:color w:val="3C4043"/>
          <w:sz w:val="21"/>
          <w:szCs w:val="21"/>
        </w:rPr>
        <w:t>·</w:t>
      </w:r>
      <w:r w:rsidR="00AA6BB3">
        <w:rPr>
          <w:rFonts w:eastAsia="Calibri" w:cstheme="minorHAnsi"/>
        </w:rPr>
        <w:t>3</w:t>
      </w:r>
      <w:r w:rsidRPr="00AA2B8E">
        <w:rPr>
          <w:rFonts w:eastAsia="Calibri" w:cstheme="minorHAnsi"/>
        </w:rPr>
        <w:t>) (Figure 1). Figures present the adjusted predicted probability of the diagnosis of an ASD, across the range of iodine concentrations for an “average” participant, as previously described. For a mother with typical characteristics (defined above) the probability of an ASD di</w:t>
      </w:r>
      <w:r>
        <w:rPr>
          <w:rFonts w:eastAsia="Calibri" w:cstheme="minorHAnsi"/>
        </w:rPr>
        <w:t xml:space="preserve">agnosis at </w:t>
      </w:r>
      <w:r w:rsidRPr="00AA2B8E">
        <w:rPr>
          <w:rFonts w:eastAsia="Calibri" w:cstheme="minorHAnsi"/>
        </w:rPr>
        <w:t>the 25</w:t>
      </w:r>
      <w:r w:rsidRPr="00AA2B8E">
        <w:rPr>
          <w:rFonts w:eastAsia="Calibri" w:cstheme="minorHAnsi"/>
          <w:vertAlign w:val="superscript"/>
        </w:rPr>
        <w:t xml:space="preserve">th </w:t>
      </w:r>
      <w:r w:rsidRPr="00AA2B8E">
        <w:rPr>
          <w:rFonts w:eastAsia="Calibri" w:cstheme="minorHAnsi"/>
        </w:rPr>
        <w:t xml:space="preserve">percentile of I:Cr (59µg/g) </w:t>
      </w:r>
      <w:r>
        <w:rPr>
          <w:rFonts w:eastAsia="Calibri" w:cstheme="minorHAnsi"/>
        </w:rPr>
        <w:t xml:space="preserve">was estimated to be </w:t>
      </w:r>
      <w:r w:rsidR="00553602">
        <w:rPr>
          <w:rFonts w:eastAsia="Calibri" w:cstheme="minorHAnsi"/>
        </w:rPr>
        <w:t>1</w:t>
      </w:r>
      <w:r w:rsidR="00553602">
        <w:rPr>
          <w:rStyle w:val="st1"/>
          <w:rFonts w:ascii="Arial" w:hAnsi="Arial" w:cs="Arial"/>
          <w:color w:val="3C4043"/>
          <w:sz w:val="21"/>
          <w:szCs w:val="21"/>
        </w:rPr>
        <w:t>·</w:t>
      </w:r>
      <w:r w:rsidR="00553602">
        <w:rPr>
          <w:rFonts w:eastAsia="Calibri" w:cstheme="minorHAnsi"/>
        </w:rPr>
        <w:t>0% (0</w:t>
      </w:r>
      <w:r w:rsidR="00553602">
        <w:rPr>
          <w:rStyle w:val="st1"/>
          <w:rFonts w:ascii="Arial" w:hAnsi="Arial" w:cs="Arial"/>
          <w:color w:val="3C4043"/>
          <w:sz w:val="21"/>
          <w:szCs w:val="21"/>
        </w:rPr>
        <w:t>·</w:t>
      </w:r>
      <w:r w:rsidR="00553602">
        <w:rPr>
          <w:rFonts w:eastAsia="Calibri" w:cstheme="minorHAnsi"/>
        </w:rPr>
        <w:t>3 -1</w:t>
      </w:r>
      <w:r w:rsidR="00553602">
        <w:rPr>
          <w:rStyle w:val="st1"/>
          <w:rFonts w:ascii="Arial" w:hAnsi="Arial" w:cs="Arial"/>
          <w:color w:val="3C4043"/>
          <w:sz w:val="21"/>
          <w:szCs w:val="21"/>
        </w:rPr>
        <w:t>·</w:t>
      </w:r>
      <w:r w:rsidR="00AA6BB3">
        <w:rPr>
          <w:rFonts w:eastAsia="Calibri" w:cstheme="minorHAnsi"/>
        </w:rPr>
        <w:t>7</w:t>
      </w:r>
      <w:r w:rsidRPr="00AA2B8E">
        <w:rPr>
          <w:rFonts w:eastAsia="Calibri" w:cstheme="minorHAnsi"/>
        </w:rPr>
        <w:t>) and at the 75</w:t>
      </w:r>
      <w:r w:rsidRPr="00AA2B8E">
        <w:rPr>
          <w:rFonts w:eastAsia="Calibri" w:cstheme="minorHAnsi"/>
          <w:vertAlign w:val="superscript"/>
        </w:rPr>
        <w:t>th</w:t>
      </w:r>
      <w:r w:rsidRPr="00AA2B8E">
        <w:rPr>
          <w:rFonts w:eastAsia="Calibri" w:cstheme="minorHAnsi"/>
        </w:rPr>
        <w:t xml:space="preserve"> percentile of I:Cr (121µg/g) </w:t>
      </w:r>
      <w:r>
        <w:rPr>
          <w:rFonts w:eastAsia="Calibri" w:cstheme="minorHAnsi"/>
        </w:rPr>
        <w:t xml:space="preserve">was estimated as </w:t>
      </w:r>
      <w:r w:rsidR="00553602">
        <w:rPr>
          <w:rFonts w:eastAsia="Calibri" w:cstheme="minorHAnsi"/>
        </w:rPr>
        <w:t>1.5% (0</w:t>
      </w:r>
      <w:r w:rsidR="00553602">
        <w:rPr>
          <w:rStyle w:val="st1"/>
          <w:rFonts w:ascii="Arial" w:hAnsi="Arial" w:cs="Arial"/>
          <w:color w:val="3C4043"/>
          <w:sz w:val="21"/>
          <w:szCs w:val="21"/>
        </w:rPr>
        <w:t>·</w:t>
      </w:r>
      <w:r w:rsidR="00553602">
        <w:rPr>
          <w:rFonts w:eastAsia="Calibri" w:cstheme="minorHAnsi"/>
        </w:rPr>
        <w:t>5 -2</w:t>
      </w:r>
      <w:r w:rsidR="00553602">
        <w:rPr>
          <w:rStyle w:val="st1"/>
          <w:rFonts w:ascii="Arial" w:hAnsi="Arial" w:cs="Arial"/>
          <w:color w:val="3C4043"/>
          <w:sz w:val="21"/>
          <w:szCs w:val="21"/>
        </w:rPr>
        <w:t>·</w:t>
      </w:r>
      <w:r w:rsidR="00AA6BB3">
        <w:rPr>
          <w:rFonts w:eastAsia="Calibri" w:cstheme="minorHAnsi"/>
        </w:rPr>
        <w:t>4</w:t>
      </w:r>
      <w:r w:rsidRPr="00AA2B8E">
        <w:rPr>
          <w:rFonts w:eastAsia="Calibri" w:cstheme="minorHAnsi"/>
        </w:rPr>
        <w:t>), respectively</w:t>
      </w:r>
      <w:r>
        <w:rPr>
          <w:rFonts w:eastAsia="Calibri" w:cstheme="minorHAnsi"/>
        </w:rPr>
        <w:t xml:space="preserve"> (difference = </w:t>
      </w:r>
      <w:r w:rsidR="00553602">
        <w:rPr>
          <w:rFonts w:eastAsia="Calibri" w:cstheme="minorHAnsi"/>
        </w:rPr>
        <w:t>0</w:t>
      </w:r>
      <w:r w:rsidR="00553602">
        <w:rPr>
          <w:rStyle w:val="st1"/>
          <w:rFonts w:ascii="Arial" w:hAnsi="Arial" w:cs="Arial"/>
          <w:color w:val="3C4043"/>
          <w:sz w:val="21"/>
          <w:szCs w:val="21"/>
        </w:rPr>
        <w:t>·</w:t>
      </w:r>
      <w:r w:rsidR="00AA6BB3">
        <w:rPr>
          <w:rFonts w:eastAsia="Calibri" w:cstheme="minorHAnsi"/>
        </w:rPr>
        <w:t>5</w:t>
      </w:r>
      <w:r w:rsidRPr="00AA2B8E">
        <w:rPr>
          <w:rFonts w:eastAsia="Calibri" w:cstheme="minorHAnsi"/>
        </w:rPr>
        <w:t xml:space="preserve"> </w:t>
      </w:r>
      <w:r>
        <w:rPr>
          <w:rFonts w:eastAsia="Calibri" w:cstheme="minorHAnsi"/>
        </w:rPr>
        <w:t xml:space="preserve">percentage points </w:t>
      </w:r>
      <w:r w:rsidR="00553602">
        <w:rPr>
          <w:rFonts w:eastAsia="Calibri" w:cstheme="minorHAnsi"/>
        </w:rPr>
        <w:t>(95%CI: -0</w:t>
      </w:r>
      <w:r w:rsidR="00553602">
        <w:rPr>
          <w:rStyle w:val="st1"/>
          <w:rFonts w:ascii="Arial" w:hAnsi="Arial" w:cs="Arial"/>
          <w:color w:val="3C4043"/>
          <w:sz w:val="21"/>
          <w:szCs w:val="21"/>
        </w:rPr>
        <w:t>·</w:t>
      </w:r>
      <w:r w:rsidR="00AA6BB3">
        <w:rPr>
          <w:rFonts w:eastAsia="Calibri" w:cstheme="minorHAnsi"/>
        </w:rPr>
        <w:t>1</w:t>
      </w:r>
      <w:r w:rsidRPr="00AA2B8E">
        <w:rPr>
          <w:rFonts w:eastAsia="Calibri" w:cstheme="minorHAnsi"/>
        </w:rPr>
        <w:t xml:space="preserve"> – </w:t>
      </w:r>
      <w:r w:rsidR="00553602">
        <w:rPr>
          <w:rFonts w:eastAsia="Calibri" w:cstheme="minorHAnsi"/>
        </w:rPr>
        <w:t>1</w:t>
      </w:r>
      <w:r w:rsidR="00553602">
        <w:rPr>
          <w:rStyle w:val="st1"/>
          <w:rFonts w:ascii="Arial" w:hAnsi="Arial" w:cs="Arial"/>
          <w:color w:val="3C4043"/>
          <w:sz w:val="21"/>
          <w:szCs w:val="21"/>
        </w:rPr>
        <w:t>·</w:t>
      </w:r>
      <w:r w:rsidR="00AA6BB3">
        <w:rPr>
          <w:rFonts w:eastAsia="Calibri" w:cstheme="minorHAnsi"/>
        </w:rPr>
        <w:t>1</w:t>
      </w:r>
      <w:r>
        <w:rPr>
          <w:rFonts w:eastAsia="Calibri" w:cstheme="minorHAnsi"/>
        </w:rPr>
        <w:t xml:space="preserve">, </w:t>
      </w:r>
      <w:r w:rsidR="00553602">
        <w:rPr>
          <w:rFonts w:eastAsia="Calibri" w:cstheme="minorHAnsi"/>
        </w:rPr>
        <w:t>p=0</w:t>
      </w:r>
      <w:r w:rsidR="00553602">
        <w:rPr>
          <w:rStyle w:val="st1"/>
          <w:rFonts w:ascii="Arial" w:hAnsi="Arial" w:cs="Arial"/>
          <w:color w:val="3C4043"/>
          <w:sz w:val="21"/>
          <w:szCs w:val="21"/>
        </w:rPr>
        <w:t>·</w:t>
      </w:r>
      <w:r w:rsidR="00AA6BB3">
        <w:rPr>
          <w:rFonts w:eastAsia="Calibri" w:cstheme="minorHAnsi"/>
        </w:rPr>
        <w:t>1</w:t>
      </w:r>
      <w:r w:rsidRPr="00AA2B8E">
        <w:rPr>
          <w:rFonts w:eastAsia="Calibri" w:cstheme="minorHAnsi"/>
        </w:rPr>
        <w:t>)</w:t>
      </w:r>
      <w:r>
        <w:rPr>
          <w:rFonts w:eastAsia="Calibri" w:cstheme="minorHAnsi"/>
        </w:rPr>
        <w:t>. The t</w:t>
      </w:r>
      <w:r w:rsidRPr="00AA2B8E">
        <w:rPr>
          <w:rFonts w:eastAsia="Calibri" w:cstheme="minorHAnsi"/>
        </w:rPr>
        <w:t>rend remain</w:t>
      </w:r>
      <w:r>
        <w:rPr>
          <w:rFonts w:eastAsia="Calibri" w:cstheme="minorHAnsi"/>
        </w:rPr>
        <w:t>ed broadly flat</w:t>
      </w:r>
      <w:r w:rsidRPr="00AA2B8E">
        <w:rPr>
          <w:rFonts w:eastAsia="Calibri" w:cstheme="minorHAnsi"/>
        </w:rPr>
        <w:t xml:space="preserve"> across the </w:t>
      </w:r>
      <w:r>
        <w:rPr>
          <w:rFonts w:eastAsia="Calibri" w:cstheme="minorHAnsi"/>
        </w:rPr>
        <w:t xml:space="preserve">observed </w:t>
      </w:r>
      <w:r w:rsidRPr="00AA2B8E">
        <w:rPr>
          <w:rFonts w:eastAsia="Calibri" w:cstheme="minorHAnsi"/>
        </w:rPr>
        <w:t xml:space="preserve">range of I:Cr values. All results were broadly similar </w:t>
      </w:r>
      <w:r>
        <w:rPr>
          <w:rFonts w:eastAsia="Calibri" w:cstheme="minorHAnsi"/>
        </w:rPr>
        <w:t>using UIC (S</w:t>
      </w:r>
      <w:r w:rsidRPr="00AA2B8E">
        <w:rPr>
          <w:rFonts w:eastAsia="Calibri" w:cstheme="minorHAnsi"/>
        </w:rPr>
        <w:t>upplementary Material</w:t>
      </w:r>
      <w:r>
        <w:rPr>
          <w:rFonts w:eastAsia="Calibri" w:cstheme="minorHAnsi"/>
        </w:rPr>
        <w:t>, Figure S</w:t>
      </w:r>
      <w:r w:rsidR="003775E5">
        <w:rPr>
          <w:rFonts w:eastAsia="Calibri" w:cstheme="minorHAnsi"/>
        </w:rPr>
        <w:t>2</w:t>
      </w:r>
      <w:r w:rsidRPr="00AA2B8E">
        <w:rPr>
          <w:rFonts w:eastAsia="Calibri" w:cstheme="minorHAnsi"/>
        </w:rPr>
        <w:t>).</w:t>
      </w:r>
    </w:p>
    <w:p w14:paraId="00930B4B" w14:textId="77777777" w:rsidR="00AA2B8E" w:rsidRPr="00AA2B8E" w:rsidRDefault="00AA2B8E">
      <w:pPr>
        <w:spacing w:after="240" w:line="480" w:lineRule="auto"/>
        <w:rPr>
          <w:rFonts w:eastAsia="Calibri" w:cstheme="minorHAnsi"/>
          <w:u w:val="single"/>
        </w:rPr>
      </w:pPr>
      <w:r w:rsidRPr="00AA2B8E">
        <w:rPr>
          <w:rFonts w:eastAsia="Calibri" w:cstheme="minorHAnsi"/>
          <w:u w:val="single"/>
        </w:rPr>
        <w:lastRenderedPageBreak/>
        <w:t>Subgroup and sensitivity analysis</w:t>
      </w:r>
    </w:p>
    <w:p w14:paraId="2424FFC2" w14:textId="1CE2AFBF" w:rsidR="00AA2B8E" w:rsidRPr="00AA2B8E" w:rsidRDefault="00263725">
      <w:pPr>
        <w:spacing w:after="0" w:line="480" w:lineRule="auto"/>
        <w:rPr>
          <w:rFonts w:eastAsia="Calibri" w:cstheme="minorHAnsi"/>
        </w:rPr>
      </w:pPr>
      <w:r w:rsidRPr="008F522F">
        <w:t xml:space="preserve">In subgroup analysis, the association between I:Cr and </w:t>
      </w:r>
      <w:r>
        <w:t>autism</w:t>
      </w:r>
      <w:r w:rsidRPr="008F522F">
        <w:t xml:space="preserve"> </w:t>
      </w:r>
      <w:r>
        <w:t>was similar</w:t>
      </w:r>
      <w:r w:rsidRPr="008F522F">
        <w:t xml:space="preserve"> in boys </w:t>
      </w:r>
      <w:r>
        <w:t xml:space="preserve">(p=0.2) </w:t>
      </w:r>
      <w:r w:rsidRPr="008F522F">
        <w:t>and girls</w:t>
      </w:r>
      <w:r>
        <w:t xml:space="preserve"> (p=0.1)</w:t>
      </w:r>
      <w:r w:rsidRPr="008F522F">
        <w:t xml:space="preserve"> (p interaction = 0·0</w:t>
      </w:r>
      <w:r>
        <w:t>5</w:t>
      </w:r>
      <w:r w:rsidRPr="008F522F">
        <w:t>)</w:t>
      </w:r>
      <w:r>
        <w:t xml:space="preserve">. </w:t>
      </w:r>
      <w:r w:rsidR="00AA2B8E" w:rsidRPr="00AA2B8E">
        <w:rPr>
          <w:rFonts w:eastAsia="Calibri" w:cstheme="minorHAnsi"/>
        </w:rPr>
        <w:t xml:space="preserve">There was no evidence that the association between I:Cr and the probability of having an </w:t>
      </w:r>
      <w:r w:rsidR="00B05078">
        <w:rPr>
          <w:rFonts w:eastAsia="Calibri" w:cstheme="minorHAnsi"/>
        </w:rPr>
        <w:t>ASD diagnosis</w:t>
      </w:r>
      <w:r w:rsidR="00AA2B8E" w:rsidRPr="00AA2B8E">
        <w:rPr>
          <w:rFonts w:eastAsia="Calibri" w:cstheme="minorHAnsi"/>
        </w:rPr>
        <w:t xml:space="preserve"> in the primary care records was different according to ethnic background (p</w:t>
      </w:r>
      <w:r w:rsidR="00AA2B8E" w:rsidRPr="00AA2B8E">
        <w:rPr>
          <w:rFonts w:eastAsia="Calibri" w:cstheme="minorHAnsi"/>
          <w:vertAlign w:val="subscript"/>
        </w:rPr>
        <w:t>overall</w:t>
      </w:r>
      <w:r w:rsidR="00553602">
        <w:rPr>
          <w:rFonts w:eastAsia="Calibri" w:cstheme="minorHAnsi"/>
        </w:rPr>
        <w:t>=</w:t>
      </w:r>
      <w:r w:rsidR="006D6241">
        <w:rPr>
          <w:rFonts w:eastAsia="Calibri" w:cstheme="minorHAnsi"/>
        </w:rPr>
        <w:t>1.0</w:t>
      </w:r>
      <w:r w:rsidR="00AA2B8E" w:rsidRPr="00AA2B8E">
        <w:rPr>
          <w:rFonts w:eastAsia="Calibri" w:cstheme="minorHAnsi"/>
        </w:rPr>
        <w:t>) or maternal deprivation  (p</w:t>
      </w:r>
      <w:r w:rsidR="00AA2B8E" w:rsidRPr="00AA2B8E">
        <w:rPr>
          <w:rFonts w:eastAsia="Calibri" w:cstheme="minorHAnsi"/>
          <w:vertAlign w:val="subscript"/>
        </w:rPr>
        <w:t>overall</w:t>
      </w:r>
      <w:r w:rsidR="00553602">
        <w:rPr>
          <w:rFonts w:eastAsia="Calibri" w:cstheme="minorHAnsi"/>
        </w:rPr>
        <w:t>=0</w:t>
      </w:r>
      <w:r w:rsidR="00553602">
        <w:rPr>
          <w:rStyle w:val="st1"/>
          <w:rFonts w:ascii="Arial" w:hAnsi="Arial" w:cs="Arial"/>
          <w:color w:val="3C4043"/>
          <w:sz w:val="21"/>
          <w:szCs w:val="21"/>
        </w:rPr>
        <w:t>·</w:t>
      </w:r>
      <w:r w:rsidR="00AA6BB3">
        <w:rPr>
          <w:rFonts w:eastAsia="Calibri" w:cstheme="minorHAnsi"/>
        </w:rPr>
        <w:t>3</w:t>
      </w:r>
      <w:r w:rsidR="00AA2B8E" w:rsidRPr="00AA2B8E">
        <w:rPr>
          <w:rFonts w:eastAsia="Calibri" w:cstheme="minorHAnsi"/>
        </w:rPr>
        <w:t>).</w:t>
      </w:r>
      <w:r>
        <w:rPr>
          <w:rFonts w:eastAsia="Calibri" w:cstheme="minorHAnsi"/>
        </w:rPr>
        <w:t xml:space="preserve"> </w:t>
      </w:r>
      <w:r w:rsidR="00AA2B8E" w:rsidRPr="00AA2B8E">
        <w:rPr>
          <w:rFonts w:eastAsia="Calibri" w:cstheme="minorHAnsi"/>
        </w:rPr>
        <w:t>Estimates from a sensitivity analysis using only women with complete data were not substantively different from primary analyses using imputed data</w:t>
      </w:r>
      <w:r w:rsidR="00A73DB2">
        <w:rPr>
          <w:rFonts w:eastAsia="Calibri" w:cstheme="minorHAnsi"/>
        </w:rPr>
        <w:t xml:space="preserve"> </w:t>
      </w:r>
      <w:r w:rsidR="00DA41E2">
        <w:rPr>
          <w:rFonts w:eastAsia="Calibri" w:cstheme="minorHAnsi"/>
        </w:rPr>
        <w:t>(p=0.3)</w:t>
      </w:r>
      <w:r w:rsidR="00A813E4">
        <w:rPr>
          <w:rFonts w:eastAsia="Calibri" w:cstheme="minorHAnsi"/>
        </w:rPr>
        <w:t xml:space="preserve"> and were also similar </w:t>
      </w:r>
      <w:r w:rsidR="001B34BE">
        <w:rPr>
          <w:rFonts w:eastAsia="Calibri" w:cstheme="minorHAnsi"/>
        </w:rPr>
        <w:t>after excluding iodine-containing supplement users (p=</w:t>
      </w:r>
      <w:r w:rsidR="00135798">
        <w:rPr>
          <w:rFonts w:eastAsia="Calibri" w:cstheme="minorHAnsi"/>
        </w:rPr>
        <w:t>0.5)</w:t>
      </w:r>
      <w:r w:rsidR="00E14722">
        <w:rPr>
          <w:rFonts w:eastAsia="Calibri" w:cstheme="minorHAnsi"/>
        </w:rPr>
        <w:t xml:space="preserve"> </w:t>
      </w:r>
      <w:r w:rsidR="006E6C26">
        <w:rPr>
          <w:rFonts w:eastAsia="Calibri" w:cstheme="minorHAnsi"/>
        </w:rPr>
        <w:t>and extreme I:Cr values (</w:t>
      </w:r>
      <w:r w:rsidR="0094633E">
        <w:rPr>
          <w:rFonts w:eastAsia="Calibri" w:cstheme="minorHAnsi"/>
        </w:rPr>
        <w:t>p=0.3)</w:t>
      </w:r>
      <w:r w:rsidR="00D035A7">
        <w:rPr>
          <w:rFonts w:eastAsia="Calibri" w:cstheme="minorHAnsi"/>
        </w:rPr>
        <w:t xml:space="preserve"> (see Supplemental Figure S3 </w:t>
      </w:r>
      <w:r w:rsidR="00D035A7" w:rsidRPr="00AA2B8E">
        <w:rPr>
          <w:rFonts w:eastAsia="Calibri" w:cstheme="minorHAnsi"/>
        </w:rPr>
        <w:t>a-</w:t>
      </w:r>
      <w:r w:rsidR="00C55D5A">
        <w:rPr>
          <w:rFonts w:eastAsia="Calibri" w:cstheme="minorHAnsi"/>
        </w:rPr>
        <w:t>d</w:t>
      </w:r>
      <w:r w:rsidR="00D035A7" w:rsidRPr="00AA2B8E">
        <w:rPr>
          <w:rFonts w:eastAsia="Calibri" w:cstheme="minorHAnsi"/>
        </w:rPr>
        <w:t>)</w:t>
      </w:r>
      <w:r w:rsidR="00135798">
        <w:rPr>
          <w:rFonts w:eastAsia="Calibri" w:cstheme="minorHAnsi"/>
        </w:rPr>
        <w:t xml:space="preserve">. </w:t>
      </w:r>
      <w:r w:rsidR="005E68CF">
        <w:rPr>
          <w:rFonts w:ascii="Calibri" w:eastAsia="Calibri" w:hAnsi="Calibri" w:cs="Times New Roman"/>
        </w:rPr>
        <w:t>T</w:t>
      </w:r>
      <w:r w:rsidR="00AA2B8E" w:rsidRPr="00AA2B8E">
        <w:rPr>
          <w:rFonts w:ascii="Calibri" w:eastAsia="Calibri" w:hAnsi="Calibri" w:cs="Times New Roman"/>
        </w:rPr>
        <w:t>here was no evidence of any association in the full sample</w:t>
      </w:r>
      <w:r w:rsidR="0094633E">
        <w:rPr>
          <w:rFonts w:ascii="Calibri" w:eastAsia="Calibri" w:hAnsi="Calibri" w:cs="Times New Roman"/>
        </w:rPr>
        <w:t xml:space="preserve"> </w:t>
      </w:r>
      <w:r w:rsidR="00AA2B8E" w:rsidRPr="00AA2B8E">
        <w:rPr>
          <w:rFonts w:ascii="Calibri" w:eastAsia="Calibri" w:hAnsi="Calibri" w:cs="Times New Roman"/>
        </w:rPr>
        <w:t>or of differences between subgroups</w:t>
      </w:r>
      <w:r w:rsidR="00205CBF">
        <w:rPr>
          <w:rFonts w:ascii="Calibri" w:eastAsia="Calibri" w:hAnsi="Calibri" w:cs="Times New Roman"/>
        </w:rPr>
        <w:t>, across maternal I:Cr</w:t>
      </w:r>
      <w:r w:rsidR="00AA2B8E" w:rsidRPr="00AA2B8E">
        <w:rPr>
          <w:rFonts w:ascii="Calibri" w:eastAsia="Calibri" w:hAnsi="Calibri" w:cs="Times New Roman"/>
        </w:rPr>
        <w:t xml:space="preserve"> </w:t>
      </w:r>
      <w:r w:rsidR="001A21AC">
        <w:rPr>
          <w:rFonts w:eastAsia="Calibri" w:cstheme="minorHAnsi"/>
        </w:rPr>
        <w:t>(Supplemental Figure S</w:t>
      </w:r>
      <w:r w:rsidR="00C430A2">
        <w:rPr>
          <w:rFonts w:eastAsia="Calibri" w:cstheme="minorHAnsi"/>
        </w:rPr>
        <w:t>3</w:t>
      </w:r>
      <w:r w:rsidR="00FA5331">
        <w:rPr>
          <w:rFonts w:eastAsia="Calibri" w:cstheme="minorHAnsi"/>
        </w:rPr>
        <w:t xml:space="preserve"> </w:t>
      </w:r>
      <w:r w:rsidR="00C430A2">
        <w:rPr>
          <w:rFonts w:eastAsia="Calibri" w:cstheme="minorHAnsi"/>
        </w:rPr>
        <w:t>e-</w:t>
      </w:r>
      <w:r w:rsidR="0015398F">
        <w:rPr>
          <w:rFonts w:eastAsia="Calibri" w:cstheme="minorHAnsi"/>
        </w:rPr>
        <w:t>j</w:t>
      </w:r>
      <w:r w:rsidR="00AA2B8E" w:rsidRPr="00AA2B8E">
        <w:rPr>
          <w:rFonts w:eastAsia="Calibri" w:cstheme="minorHAnsi"/>
        </w:rPr>
        <w:t>)</w:t>
      </w:r>
      <w:r w:rsidR="00205CBF">
        <w:rPr>
          <w:rFonts w:eastAsia="Calibri" w:cstheme="minorHAnsi"/>
        </w:rPr>
        <w:t xml:space="preserve"> and UIC (</w:t>
      </w:r>
      <w:r w:rsidR="00142405">
        <w:rPr>
          <w:rFonts w:eastAsia="Calibri" w:cstheme="minorHAnsi"/>
        </w:rPr>
        <w:t>S</w:t>
      </w:r>
      <w:r w:rsidR="00F15FEA">
        <w:rPr>
          <w:rFonts w:eastAsia="Calibri" w:cstheme="minorHAnsi"/>
        </w:rPr>
        <w:t xml:space="preserve">upplement </w:t>
      </w:r>
      <w:r w:rsidR="00205CBF">
        <w:rPr>
          <w:rFonts w:eastAsia="Calibri" w:cstheme="minorHAnsi"/>
        </w:rPr>
        <w:t>Figure S4</w:t>
      </w:r>
      <w:r w:rsidR="00142405">
        <w:rPr>
          <w:rFonts w:eastAsia="Calibri" w:cstheme="minorHAnsi"/>
        </w:rPr>
        <w:t xml:space="preserve"> a-</w:t>
      </w:r>
      <w:r w:rsidR="0015398F">
        <w:rPr>
          <w:rFonts w:eastAsia="Calibri" w:cstheme="minorHAnsi"/>
        </w:rPr>
        <w:t>f</w:t>
      </w:r>
      <w:r w:rsidR="00142405">
        <w:rPr>
          <w:rFonts w:eastAsia="Calibri" w:cstheme="minorHAnsi"/>
        </w:rPr>
        <w:t>)</w:t>
      </w:r>
      <w:r w:rsidR="00AA2B8E" w:rsidRPr="00AA2B8E">
        <w:rPr>
          <w:rFonts w:eastAsia="Calibri" w:cstheme="minorHAnsi"/>
        </w:rPr>
        <w:t xml:space="preserve">. </w:t>
      </w:r>
    </w:p>
    <w:p w14:paraId="3A748234" w14:textId="77777777" w:rsidR="00AA2B8E" w:rsidRPr="00AA2B8E" w:rsidRDefault="00AA2B8E">
      <w:pPr>
        <w:spacing w:after="0" w:line="480" w:lineRule="auto"/>
        <w:rPr>
          <w:rFonts w:ascii="Calibri" w:eastAsia="Calibri" w:hAnsi="Calibri" w:cs="Times New Roman"/>
          <w:strike/>
        </w:rPr>
      </w:pPr>
    </w:p>
    <w:p w14:paraId="22B3EA3C" w14:textId="77777777" w:rsidR="00AA2B8E" w:rsidRPr="00AA2B8E" w:rsidRDefault="00AA2B8E">
      <w:pPr>
        <w:spacing w:after="240" w:line="480" w:lineRule="auto"/>
        <w:rPr>
          <w:rFonts w:eastAsia="Calibri" w:cstheme="minorHAnsi"/>
          <w:b/>
        </w:rPr>
      </w:pPr>
      <w:r w:rsidRPr="00AA2B8E">
        <w:rPr>
          <w:rFonts w:eastAsia="Calibri" w:cstheme="minorHAnsi"/>
          <w:b/>
        </w:rPr>
        <w:t>Discussion</w:t>
      </w:r>
    </w:p>
    <w:p w14:paraId="36EA29A4" w14:textId="19A4946F" w:rsidR="003E5B03" w:rsidRDefault="007967AE" w:rsidP="00924EEC">
      <w:pPr>
        <w:autoSpaceDE w:val="0"/>
        <w:autoSpaceDN w:val="0"/>
        <w:adjustRightInd w:val="0"/>
        <w:spacing w:after="0" w:line="480" w:lineRule="auto"/>
        <w:rPr>
          <w:rFonts w:eastAsia="Calibri" w:cstheme="minorHAnsi"/>
        </w:rPr>
      </w:pPr>
      <w:r>
        <w:rPr>
          <w:rFonts w:eastAsia="Calibri" w:cstheme="minorHAnsi"/>
        </w:rPr>
        <w:t xml:space="preserve">The </w:t>
      </w:r>
      <w:r w:rsidR="00AA2B8E" w:rsidRPr="00AA2B8E">
        <w:rPr>
          <w:rFonts w:eastAsia="Calibri" w:cstheme="minorHAnsi"/>
        </w:rPr>
        <w:t xml:space="preserve">present study found no evidence </w:t>
      </w:r>
      <w:r>
        <w:rPr>
          <w:rFonts w:eastAsia="Calibri" w:cstheme="minorHAnsi"/>
        </w:rPr>
        <w:t>to support a link between</w:t>
      </w:r>
      <w:r w:rsidRPr="00AA2B8E">
        <w:rPr>
          <w:rFonts w:eastAsia="Calibri" w:cstheme="minorHAnsi"/>
        </w:rPr>
        <w:t xml:space="preserve"> insufficient iodine</w:t>
      </w:r>
      <w:r>
        <w:rPr>
          <w:rFonts w:eastAsia="Calibri" w:cstheme="minorHAnsi"/>
        </w:rPr>
        <w:t xml:space="preserve"> status</w:t>
      </w:r>
      <w:r w:rsidRPr="00AA2B8E">
        <w:rPr>
          <w:rFonts w:eastAsia="Calibri" w:cstheme="minorHAnsi"/>
        </w:rPr>
        <w:t xml:space="preserve"> in </w:t>
      </w:r>
      <w:r>
        <w:rPr>
          <w:rFonts w:eastAsia="Calibri" w:cstheme="minorHAnsi"/>
        </w:rPr>
        <w:t xml:space="preserve">the second-third trimester </w:t>
      </w:r>
      <w:r w:rsidRPr="00AA2B8E">
        <w:rPr>
          <w:rFonts w:eastAsia="Calibri" w:cstheme="minorHAnsi"/>
        </w:rPr>
        <w:t>an</w:t>
      </w:r>
      <w:r>
        <w:rPr>
          <w:rFonts w:eastAsia="Calibri" w:cstheme="minorHAnsi"/>
        </w:rPr>
        <w:t>d an</w:t>
      </w:r>
      <w:r w:rsidRPr="00AA2B8E">
        <w:rPr>
          <w:rFonts w:eastAsia="Calibri" w:cstheme="minorHAnsi"/>
        </w:rPr>
        <w:t xml:space="preserve"> increased risk of </w:t>
      </w:r>
      <w:r>
        <w:rPr>
          <w:rFonts w:eastAsia="Calibri" w:cstheme="minorHAnsi"/>
        </w:rPr>
        <w:t>ASD</w:t>
      </w:r>
      <w:r w:rsidRPr="00AA2B8E">
        <w:rPr>
          <w:rFonts w:eastAsia="Calibri" w:cstheme="minorHAnsi"/>
        </w:rPr>
        <w:t xml:space="preserve"> in the child</w:t>
      </w:r>
      <w:r>
        <w:rPr>
          <w:rFonts w:eastAsia="Calibri" w:cstheme="minorHAnsi"/>
        </w:rPr>
        <w:t>,</w:t>
      </w:r>
      <w:r w:rsidR="00AA2B8E" w:rsidRPr="00AA2B8E">
        <w:rPr>
          <w:rFonts w:eastAsia="Calibri" w:cstheme="minorHAnsi"/>
        </w:rPr>
        <w:t xml:space="preserve"> in a large multi-ethnic</w:t>
      </w:r>
      <w:r>
        <w:rPr>
          <w:rFonts w:eastAsia="Calibri" w:cstheme="minorHAnsi"/>
        </w:rPr>
        <w:t xml:space="preserve"> cohort</w:t>
      </w:r>
      <w:r w:rsidR="00AA2B8E" w:rsidRPr="00AA2B8E">
        <w:rPr>
          <w:rFonts w:eastAsia="Calibri" w:cstheme="minorHAnsi"/>
        </w:rPr>
        <w:t xml:space="preserve"> </w:t>
      </w:r>
      <w:r w:rsidR="00A215AE">
        <w:rPr>
          <w:rFonts w:eastAsia="Calibri" w:cstheme="minorHAnsi"/>
        </w:rPr>
        <w:t xml:space="preserve">with mild-to-moderate iodine deficiency, </w:t>
      </w:r>
      <w:r w:rsidR="00191849">
        <w:rPr>
          <w:rFonts w:eastAsia="Calibri" w:cstheme="minorHAnsi"/>
        </w:rPr>
        <w:t>in a setting where there was no</w:t>
      </w:r>
      <w:r w:rsidR="00AA2B8E" w:rsidRPr="00AA2B8E">
        <w:rPr>
          <w:rFonts w:eastAsia="Calibri" w:cstheme="minorHAnsi"/>
        </w:rPr>
        <w:t xml:space="preserve"> routine dietary fortification or supplementation. Children born to mothers with lower iodine status were of no greater probability of having a clinical diagnosis of ASD in their primary care records compared to those born to mothers with higher iodine status.</w:t>
      </w:r>
      <w:r>
        <w:rPr>
          <w:rFonts w:eastAsia="Calibri" w:cstheme="minorHAnsi"/>
        </w:rPr>
        <w:t xml:space="preserve"> </w:t>
      </w:r>
    </w:p>
    <w:p w14:paraId="1783EF62" w14:textId="77777777" w:rsidR="003E5B03" w:rsidRDefault="003E5B03" w:rsidP="00924EEC">
      <w:pPr>
        <w:autoSpaceDE w:val="0"/>
        <w:autoSpaceDN w:val="0"/>
        <w:adjustRightInd w:val="0"/>
        <w:spacing w:after="0" w:line="480" w:lineRule="auto"/>
        <w:rPr>
          <w:rFonts w:eastAsia="Calibri" w:cstheme="minorHAnsi"/>
        </w:rPr>
      </w:pPr>
    </w:p>
    <w:p w14:paraId="18484AE5" w14:textId="47569637" w:rsidR="007967AE" w:rsidRPr="003E5B03" w:rsidRDefault="001535AF" w:rsidP="00924EEC">
      <w:pPr>
        <w:autoSpaceDE w:val="0"/>
        <w:autoSpaceDN w:val="0"/>
        <w:adjustRightInd w:val="0"/>
        <w:spacing w:after="0" w:line="480" w:lineRule="auto"/>
        <w:rPr>
          <w:rFonts w:eastAsia="Calibri" w:cstheme="minorHAnsi"/>
        </w:rPr>
      </w:pPr>
      <w:r>
        <w:rPr>
          <w:rFonts w:ascii="Calibri" w:hAnsi="Calibri" w:cs="Calibri"/>
        </w:rPr>
        <w:t>We found no evidence to indicate any optimum iodine status or any threshold associated with a heightened risk of ASD. However, confidence intervals were wide, especially at the lower range of exposure reflecting the small proportion of participants with I:Cr measurements at very low levels. Therefore, we cannot exclude the possibility of iodine deficiency being associated with autism, but the study was underpowered to detect small differences in risk</w:t>
      </w:r>
      <w:r w:rsidR="007967AE" w:rsidRPr="00AA2B8E">
        <w:rPr>
          <w:rFonts w:ascii="Calibri" w:eastAsia="Calibri" w:hAnsi="Calibri" w:cstheme="minorHAnsi"/>
        </w:rPr>
        <w:t xml:space="preserve">. </w:t>
      </w:r>
    </w:p>
    <w:p w14:paraId="6B2DB9CA" w14:textId="4CD25CC8" w:rsidR="00AA2B8E" w:rsidRPr="00AA2B8E" w:rsidRDefault="00AA2B8E" w:rsidP="00924EEC">
      <w:pPr>
        <w:autoSpaceDE w:val="0"/>
        <w:autoSpaceDN w:val="0"/>
        <w:adjustRightInd w:val="0"/>
        <w:spacing w:after="0" w:line="480" w:lineRule="auto"/>
        <w:rPr>
          <w:rFonts w:eastAsia="Calibri" w:cstheme="minorHAnsi"/>
        </w:rPr>
      </w:pPr>
    </w:p>
    <w:p w14:paraId="22553A2C" w14:textId="71383BCD" w:rsidR="00377D5A" w:rsidRDefault="00AA2B8E">
      <w:pPr>
        <w:autoSpaceDE w:val="0"/>
        <w:autoSpaceDN w:val="0"/>
        <w:adjustRightInd w:val="0"/>
        <w:spacing w:after="0" w:line="480" w:lineRule="auto"/>
        <w:rPr>
          <w:rFonts w:eastAsia="Calibri" w:cstheme="minorHAnsi"/>
        </w:rPr>
      </w:pPr>
      <w:r w:rsidRPr="00AA2B8E">
        <w:rPr>
          <w:rFonts w:eastAsia="Calibri" w:cstheme="minorHAnsi"/>
        </w:rPr>
        <w:lastRenderedPageBreak/>
        <w:t>A small number of studies h</w:t>
      </w:r>
      <w:r w:rsidRPr="00AA2B8E">
        <w:rPr>
          <w:rFonts w:eastAsia="Calibri" w:cstheme="minorHAnsi"/>
          <w:lang w:val="en"/>
        </w:rPr>
        <w:t xml:space="preserve">ave </w:t>
      </w:r>
      <w:r w:rsidR="00D4174E">
        <w:rPr>
          <w:rFonts w:eastAsia="Calibri" w:cstheme="minorHAnsi"/>
          <w:lang w:val="en"/>
        </w:rPr>
        <w:t xml:space="preserve">reported </w:t>
      </w:r>
      <w:r w:rsidRPr="00AA2B8E">
        <w:rPr>
          <w:rFonts w:eastAsia="Calibri" w:cstheme="minorHAnsi"/>
          <w:lang w:val="en"/>
        </w:rPr>
        <w:t xml:space="preserve">associations between inadequate </w:t>
      </w:r>
      <w:r w:rsidR="00AD0B4E">
        <w:rPr>
          <w:rFonts w:eastAsia="Calibri" w:cstheme="minorHAnsi"/>
          <w:lang w:val="en"/>
        </w:rPr>
        <w:t>thyroid hormone</w:t>
      </w:r>
      <w:r w:rsidRPr="00AA2B8E">
        <w:rPr>
          <w:rFonts w:eastAsia="Calibri" w:cstheme="minorHAnsi"/>
          <w:lang w:val="en"/>
        </w:rPr>
        <w:t xml:space="preserve"> supply during</w:t>
      </w:r>
      <w:r w:rsidR="00C13902">
        <w:rPr>
          <w:rFonts w:eastAsia="Calibri" w:cstheme="minorHAnsi"/>
          <w:lang w:val="en"/>
        </w:rPr>
        <w:t xml:space="preserve"> the first trimester of</w:t>
      </w:r>
      <w:r w:rsidRPr="00AA2B8E">
        <w:rPr>
          <w:rFonts w:eastAsia="Calibri" w:cstheme="minorHAnsi"/>
          <w:lang w:val="en"/>
        </w:rPr>
        <w:t xml:space="preserve"> pregnancy and increased ASD risk in children</w:t>
      </w:r>
      <w:r w:rsidRPr="00AA2B8E">
        <w:rPr>
          <w:rFonts w:eastAsia="Calibri" w:cstheme="minorHAnsi"/>
          <w:vertAlign w:val="superscript"/>
          <w:lang w:val="en"/>
        </w:rPr>
        <w:t xml:space="preserve"> 1</w:t>
      </w:r>
      <w:r w:rsidR="004335A6">
        <w:rPr>
          <w:rFonts w:eastAsia="Calibri" w:cstheme="minorHAnsi"/>
          <w:vertAlign w:val="superscript"/>
          <w:lang w:val="en"/>
        </w:rPr>
        <w:t>4</w:t>
      </w:r>
      <w:r w:rsidR="00B90FCD">
        <w:rPr>
          <w:rFonts w:eastAsia="Calibri" w:cstheme="minorHAnsi"/>
          <w:vertAlign w:val="superscript"/>
          <w:lang w:val="en"/>
        </w:rPr>
        <w:t>-</w:t>
      </w:r>
      <w:r w:rsidRPr="00AA2B8E">
        <w:rPr>
          <w:rFonts w:eastAsia="Calibri" w:cstheme="minorHAnsi"/>
          <w:vertAlign w:val="superscript"/>
          <w:lang w:val="en"/>
        </w:rPr>
        <w:t xml:space="preserve"> 1</w:t>
      </w:r>
      <w:r w:rsidR="004335A6">
        <w:rPr>
          <w:rFonts w:eastAsia="Calibri" w:cstheme="minorHAnsi"/>
          <w:vertAlign w:val="superscript"/>
          <w:lang w:val="en"/>
        </w:rPr>
        <w:t>6</w:t>
      </w:r>
      <w:r w:rsidRPr="00AA2B8E">
        <w:rPr>
          <w:rFonts w:eastAsia="Calibri" w:cstheme="minorHAnsi"/>
          <w:lang w:val="en"/>
        </w:rPr>
        <w:t>, yet the role of iodine in these associations remained un</w:t>
      </w:r>
      <w:r w:rsidR="00191849">
        <w:rPr>
          <w:rFonts w:eastAsia="Calibri" w:cstheme="minorHAnsi"/>
          <w:lang w:val="en"/>
        </w:rPr>
        <w:t>certain</w:t>
      </w:r>
      <w:r w:rsidRPr="00AA2B8E">
        <w:rPr>
          <w:rFonts w:eastAsia="Calibri" w:cstheme="minorHAnsi"/>
          <w:lang w:val="en"/>
        </w:rPr>
        <w:t xml:space="preserve">. Despite the mechanistic link between iodine and thyroid hormone synthesis, this is </w:t>
      </w:r>
      <w:r w:rsidR="00191849">
        <w:rPr>
          <w:rFonts w:eastAsia="Calibri" w:cstheme="minorHAnsi"/>
          <w:lang w:val="en"/>
        </w:rPr>
        <w:t>to our knowledge</w:t>
      </w:r>
      <w:r w:rsidR="00A70352">
        <w:rPr>
          <w:rFonts w:eastAsia="Calibri" w:cstheme="minorHAnsi"/>
          <w:lang w:val="en"/>
        </w:rPr>
        <w:t xml:space="preserve"> only</w:t>
      </w:r>
      <w:r w:rsidR="00191849">
        <w:rPr>
          <w:rFonts w:eastAsia="Calibri" w:cstheme="minorHAnsi"/>
          <w:lang w:val="en"/>
        </w:rPr>
        <w:t xml:space="preserve"> </w:t>
      </w:r>
      <w:r w:rsidR="00A70352">
        <w:rPr>
          <w:rFonts w:eastAsia="Calibri" w:cstheme="minorHAnsi"/>
          <w:lang w:val="en"/>
        </w:rPr>
        <w:t xml:space="preserve">the second </w:t>
      </w:r>
      <w:r w:rsidR="00907D4E">
        <w:rPr>
          <w:rFonts w:eastAsia="Calibri" w:cstheme="minorHAnsi"/>
          <w:lang w:val="en"/>
        </w:rPr>
        <w:t>prospective stud</w:t>
      </w:r>
      <w:r w:rsidR="00A70352">
        <w:rPr>
          <w:rFonts w:eastAsia="Calibri" w:cstheme="minorHAnsi"/>
          <w:lang w:val="en"/>
        </w:rPr>
        <w:t>y</w:t>
      </w:r>
      <w:r w:rsidRPr="00AA2B8E">
        <w:rPr>
          <w:rFonts w:eastAsia="Calibri" w:cstheme="minorHAnsi"/>
          <w:lang w:val="en"/>
        </w:rPr>
        <w:t xml:space="preserve"> to</w:t>
      </w:r>
      <w:r w:rsidR="00204132">
        <w:rPr>
          <w:rFonts w:eastAsia="Calibri" w:cstheme="minorHAnsi"/>
          <w:lang w:val="en"/>
        </w:rPr>
        <w:t xml:space="preserve"> date to</w:t>
      </w:r>
      <w:r w:rsidRPr="00AA2B8E">
        <w:rPr>
          <w:rFonts w:eastAsia="Calibri" w:cstheme="minorHAnsi"/>
          <w:lang w:val="en"/>
        </w:rPr>
        <w:t xml:space="preserve"> </w:t>
      </w:r>
      <w:r w:rsidR="00191849">
        <w:rPr>
          <w:rFonts w:eastAsia="Calibri" w:cstheme="minorHAnsi"/>
          <w:lang w:val="en"/>
        </w:rPr>
        <w:t>investigate</w:t>
      </w:r>
      <w:r w:rsidRPr="00AA2B8E">
        <w:rPr>
          <w:rFonts w:eastAsia="Calibri" w:cstheme="minorHAnsi"/>
          <w:lang w:val="en"/>
        </w:rPr>
        <w:t xml:space="preserve"> </w:t>
      </w:r>
      <w:r w:rsidR="00A215AE">
        <w:rPr>
          <w:rFonts w:eastAsia="Calibri" w:cstheme="minorHAnsi"/>
          <w:lang w:val="en"/>
        </w:rPr>
        <w:t>any</w:t>
      </w:r>
      <w:r w:rsidR="00A215AE" w:rsidRPr="00AA2B8E">
        <w:rPr>
          <w:rFonts w:eastAsia="Calibri" w:cstheme="minorHAnsi"/>
          <w:lang w:val="en"/>
        </w:rPr>
        <w:t xml:space="preserve"> </w:t>
      </w:r>
      <w:r w:rsidR="00C13902">
        <w:rPr>
          <w:rFonts w:eastAsia="Calibri" w:cstheme="minorHAnsi"/>
          <w:lang w:val="en"/>
        </w:rPr>
        <w:t xml:space="preserve">direct </w:t>
      </w:r>
      <w:r w:rsidRPr="00AA2B8E">
        <w:rPr>
          <w:rFonts w:eastAsia="Calibri" w:cstheme="minorHAnsi"/>
          <w:lang w:val="en"/>
        </w:rPr>
        <w:t xml:space="preserve">link between maternal iodine status and </w:t>
      </w:r>
      <w:r w:rsidR="00021815">
        <w:rPr>
          <w:rFonts w:eastAsia="Calibri" w:cstheme="minorHAnsi"/>
          <w:lang w:val="en"/>
        </w:rPr>
        <w:t>ASD</w:t>
      </w:r>
      <w:r w:rsidR="00ED0C96" w:rsidRPr="00924EEC">
        <w:rPr>
          <w:rFonts w:eastAsia="Calibri" w:cstheme="minorHAnsi"/>
          <w:vertAlign w:val="superscript"/>
          <w:lang w:val="en"/>
        </w:rPr>
        <w:t>17</w:t>
      </w:r>
      <w:r w:rsidRPr="00AA2B8E">
        <w:rPr>
          <w:rFonts w:eastAsia="Calibri" w:cstheme="minorHAnsi"/>
          <w:lang w:val="en"/>
        </w:rPr>
        <w:t xml:space="preserve">. </w:t>
      </w:r>
    </w:p>
    <w:p w14:paraId="0061FC1B" w14:textId="77777777" w:rsidR="00C13902" w:rsidRDefault="00C13902">
      <w:pPr>
        <w:autoSpaceDE w:val="0"/>
        <w:autoSpaceDN w:val="0"/>
        <w:adjustRightInd w:val="0"/>
        <w:spacing w:after="0" w:line="480" w:lineRule="auto"/>
        <w:rPr>
          <w:rFonts w:eastAsia="Calibri" w:cstheme="minorHAnsi"/>
        </w:rPr>
      </w:pPr>
    </w:p>
    <w:p w14:paraId="63963C0B" w14:textId="43E43C8A" w:rsidR="00C52A7C" w:rsidRPr="00924EEC" w:rsidRDefault="00377D5A">
      <w:pPr>
        <w:autoSpaceDE w:val="0"/>
        <w:autoSpaceDN w:val="0"/>
        <w:adjustRightInd w:val="0"/>
        <w:spacing w:after="0" w:line="480" w:lineRule="auto"/>
        <w:rPr>
          <w:rFonts w:eastAsia="Calibri" w:cstheme="minorHAnsi"/>
        </w:rPr>
      </w:pPr>
      <w:r w:rsidRPr="007967AE">
        <w:rPr>
          <w:rFonts w:eastAsia="Calibri" w:cstheme="minorHAnsi"/>
        </w:rPr>
        <w:t>Findings from the present study</w:t>
      </w:r>
      <w:r w:rsidR="00907D4E" w:rsidRPr="007967AE">
        <w:rPr>
          <w:rFonts w:eastAsia="Calibri" w:cstheme="minorHAnsi"/>
        </w:rPr>
        <w:t xml:space="preserve"> are </w:t>
      </w:r>
      <w:r w:rsidR="00A215AE">
        <w:rPr>
          <w:rFonts w:eastAsia="Calibri" w:cstheme="minorHAnsi"/>
        </w:rPr>
        <w:t>consistent with</w:t>
      </w:r>
      <w:r w:rsidR="00204132" w:rsidRPr="007967AE">
        <w:rPr>
          <w:rFonts w:eastAsia="Calibri" w:cstheme="minorHAnsi"/>
        </w:rPr>
        <w:t xml:space="preserve"> a recent </w:t>
      </w:r>
      <w:r w:rsidR="00A215AE">
        <w:rPr>
          <w:rFonts w:eastAsia="Calibri" w:cstheme="minorHAnsi"/>
        </w:rPr>
        <w:t>cohort pooling project, combining data from</w:t>
      </w:r>
      <w:r w:rsidR="00984A07" w:rsidRPr="007967AE">
        <w:rPr>
          <w:rFonts w:eastAsia="Calibri" w:cstheme="minorHAnsi"/>
        </w:rPr>
        <w:t xml:space="preserve"> 3 </w:t>
      </w:r>
      <w:r w:rsidR="00A215AE">
        <w:rPr>
          <w:rFonts w:eastAsia="Calibri" w:cstheme="minorHAnsi"/>
        </w:rPr>
        <w:t xml:space="preserve">large </w:t>
      </w:r>
      <w:r w:rsidR="00984A07" w:rsidRPr="007967AE">
        <w:rPr>
          <w:rFonts w:eastAsia="Calibri" w:cstheme="minorHAnsi"/>
        </w:rPr>
        <w:t>population-based cohorts</w:t>
      </w:r>
      <w:r w:rsidR="001929D6">
        <w:rPr>
          <w:rFonts w:eastAsia="Calibri" w:cstheme="minorHAnsi"/>
          <w:color w:val="000000" w:themeColor="text1"/>
          <w:vertAlign w:val="superscript"/>
        </w:rPr>
        <w:t>17</w:t>
      </w:r>
      <w:r w:rsidR="00984A07" w:rsidRPr="007967AE">
        <w:rPr>
          <w:rFonts w:eastAsia="Calibri" w:cstheme="minorHAnsi"/>
        </w:rPr>
        <w:t xml:space="preserve">, </w:t>
      </w:r>
      <w:r w:rsidR="00204132" w:rsidRPr="007967AE">
        <w:rPr>
          <w:rFonts w:eastAsia="Calibri" w:cstheme="minorHAnsi"/>
        </w:rPr>
        <w:t xml:space="preserve">which </w:t>
      </w:r>
      <w:r w:rsidR="00CD0C23" w:rsidRPr="007967AE">
        <w:rPr>
          <w:rFonts w:eastAsia="Calibri" w:cstheme="minorHAnsi"/>
        </w:rPr>
        <w:t xml:space="preserve">also </w:t>
      </w:r>
      <w:r w:rsidR="00204132" w:rsidRPr="007967AE">
        <w:rPr>
          <w:rFonts w:eastAsia="Calibri" w:cstheme="minorHAnsi"/>
        </w:rPr>
        <w:t xml:space="preserve">found no consistent evidence to suggest that a lower maternal iodine status </w:t>
      </w:r>
      <w:r w:rsidR="00A215AE" w:rsidRPr="007967AE">
        <w:rPr>
          <w:rFonts w:eastAsia="Calibri" w:cstheme="minorHAnsi"/>
        </w:rPr>
        <w:t xml:space="preserve">(&lt;150µg/g) </w:t>
      </w:r>
      <w:r w:rsidR="00A215AE">
        <w:rPr>
          <w:rFonts w:eastAsia="Calibri" w:cstheme="minorHAnsi"/>
          <w:color w:val="000000" w:themeColor="text1"/>
        </w:rPr>
        <w:t>at &lt;14 weeks nor &lt;18 weeks gestation</w:t>
      </w:r>
      <w:r w:rsidR="00A215AE" w:rsidRPr="007967AE" w:rsidDel="00A215AE">
        <w:rPr>
          <w:rFonts w:eastAsia="Calibri" w:cstheme="minorHAnsi"/>
        </w:rPr>
        <w:t xml:space="preserve"> </w:t>
      </w:r>
      <w:r w:rsidR="00204132" w:rsidRPr="007967AE">
        <w:rPr>
          <w:rFonts w:eastAsia="Calibri" w:cstheme="minorHAnsi"/>
        </w:rPr>
        <w:t xml:space="preserve">was associated </w:t>
      </w:r>
      <w:r w:rsidR="00204132" w:rsidRPr="007967AE">
        <w:rPr>
          <w:rFonts w:eastAsia="Calibri" w:cstheme="minorHAnsi"/>
          <w:color w:val="000000" w:themeColor="text1"/>
        </w:rPr>
        <w:t>with high</w:t>
      </w:r>
      <w:r w:rsidR="00D4174E" w:rsidRPr="007967AE">
        <w:rPr>
          <w:rFonts w:eastAsia="Calibri" w:cstheme="minorHAnsi"/>
          <w:color w:val="000000" w:themeColor="text1"/>
        </w:rPr>
        <w:t>er parent</w:t>
      </w:r>
      <w:r w:rsidR="008D5EDB" w:rsidRPr="007967AE">
        <w:rPr>
          <w:rFonts w:eastAsia="Calibri" w:cstheme="minorHAnsi"/>
          <w:color w:val="000000" w:themeColor="text1"/>
        </w:rPr>
        <w:t>-</w:t>
      </w:r>
      <w:r w:rsidR="00D4174E" w:rsidRPr="007967AE">
        <w:rPr>
          <w:rFonts w:eastAsia="Calibri" w:cstheme="minorHAnsi"/>
          <w:color w:val="000000" w:themeColor="text1"/>
        </w:rPr>
        <w:t>reported</w:t>
      </w:r>
      <w:r w:rsidR="00204132" w:rsidRPr="007967AE">
        <w:rPr>
          <w:rFonts w:eastAsia="Calibri" w:cstheme="minorHAnsi"/>
          <w:color w:val="000000" w:themeColor="text1"/>
        </w:rPr>
        <w:t xml:space="preserve"> autistic trait score</w:t>
      </w:r>
      <w:r w:rsidR="00D4174E" w:rsidRPr="007967AE">
        <w:rPr>
          <w:rFonts w:eastAsia="Calibri" w:cstheme="minorHAnsi"/>
          <w:color w:val="000000" w:themeColor="text1"/>
        </w:rPr>
        <w:t xml:space="preserve"> </w:t>
      </w:r>
      <w:r w:rsidR="007348F5" w:rsidRPr="007967AE">
        <w:rPr>
          <w:rFonts w:eastAsia="Calibri" w:cstheme="minorHAnsi"/>
          <w:color w:val="000000" w:themeColor="text1"/>
        </w:rPr>
        <w:t>in children</w:t>
      </w:r>
      <w:r w:rsidR="00A215AE" w:rsidRPr="00924EEC">
        <w:rPr>
          <w:rFonts w:eastAsia="Calibri" w:cstheme="minorHAnsi"/>
          <w:color w:val="000000" w:themeColor="text1"/>
        </w:rPr>
        <w:t>.</w:t>
      </w:r>
      <w:r w:rsidR="007C7548" w:rsidRPr="007967AE">
        <w:rPr>
          <w:rFonts w:eastAsia="Calibri" w:cstheme="minorHAnsi"/>
          <w:color w:val="000000" w:themeColor="text1"/>
          <w:vertAlign w:val="subscript"/>
        </w:rPr>
        <w:t xml:space="preserve"> </w:t>
      </w:r>
      <w:r w:rsidR="00ED75D3" w:rsidRPr="007967AE">
        <w:rPr>
          <w:rFonts w:eastAsia="Calibri" w:cstheme="minorHAnsi"/>
          <w:color w:val="000000" w:themeColor="text1"/>
        </w:rPr>
        <w:t xml:space="preserve">Whilst </w:t>
      </w:r>
      <w:r w:rsidR="004F6248" w:rsidRPr="007967AE">
        <w:rPr>
          <w:rFonts w:eastAsia="Calibri" w:cstheme="minorHAnsi"/>
          <w:color w:val="000000" w:themeColor="text1"/>
        </w:rPr>
        <w:t>th</w:t>
      </w:r>
      <w:r w:rsidR="00A215AE">
        <w:rPr>
          <w:rFonts w:eastAsia="Calibri" w:cstheme="minorHAnsi"/>
          <w:color w:val="000000" w:themeColor="text1"/>
        </w:rPr>
        <w:t>is study used a</w:t>
      </w:r>
      <w:r w:rsidR="0070622A">
        <w:rPr>
          <w:rFonts w:eastAsia="Calibri" w:cstheme="minorHAnsi"/>
          <w:color w:val="000000" w:themeColor="text1"/>
        </w:rPr>
        <w:t>n objective</w:t>
      </w:r>
      <w:r w:rsidR="004F6248" w:rsidRPr="007967AE">
        <w:rPr>
          <w:rFonts w:eastAsia="Calibri" w:cstheme="minorHAnsi"/>
          <w:color w:val="000000" w:themeColor="text1"/>
        </w:rPr>
        <w:t xml:space="preserve"> </w:t>
      </w:r>
      <w:r w:rsidR="00B77B9F" w:rsidRPr="007967AE">
        <w:rPr>
          <w:rFonts w:eastAsia="Calibri" w:cstheme="minorHAnsi"/>
          <w:color w:val="000000" w:themeColor="text1"/>
        </w:rPr>
        <w:t>biomarker to measure maternal iodine status</w:t>
      </w:r>
      <w:r w:rsidR="00E04C23" w:rsidRPr="007967AE">
        <w:rPr>
          <w:rFonts w:eastAsia="Calibri" w:cstheme="minorHAnsi"/>
          <w:color w:val="000000" w:themeColor="text1"/>
        </w:rPr>
        <w:t>,</w:t>
      </w:r>
      <w:r w:rsidR="00312134" w:rsidRPr="007967AE">
        <w:rPr>
          <w:rFonts w:eastAsia="Calibri" w:cstheme="minorHAnsi"/>
          <w:color w:val="000000" w:themeColor="text1"/>
        </w:rPr>
        <w:t xml:space="preserve"> </w:t>
      </w:r>
      <w:r w:rsidR="00312134" w:rsidRPr="00924EEC">
        <w:rPr>
          <w:rFonts w:eastAsia="Times New Roman"/>
          <w:color w:val="000000" w:themeColor="text1"/>
          <w:shd w:val="clear" w:color="auto" w:fill="FFFFFF"/>
        </w:rPr>
        <w:t>the ascertainment of</w:t>
      </w:r>
      <w:r w:rsidR="00D940CD" w:rsidRPr="00924EEC">
        <w:rPr>
          <w:rFonts w:eastAsia="Times New Roman"/>
          <w:color w:val="000000" w:themeColor="text1"/>
          <w:shd w:val="clear" w:color="auto" w:fill="FFFFFF"/>
        </w:rPr>
        <w:t xml:space="preserve"> </w:t>
      </w:r>
      <w:r w:rsidR="00312134" w:rsidRPr="00924EEC">
        <w:rPr>
          <w:rFonts w:eastAsia="Times New Roman"/>
          <w:color w:val="000000" w:themeColor="text1"/>
          <w:shd w:val="clear" w:color="auto" w:fill="FFFFFF"/>
        </w:rPr>
        <w:t xml:space="preserve">autistic traits was performed at </w:t>
      </w:r>
      <w:r w:rsidR="00D35D57">
        <w:rPr>
          <w:rFonts w:eastAsia="Times New Roman"/>
          <w:color w:val="000000" w:themeColor="text1"/>
          <w:shd w:val="clear" w:color="auto" w:fill="FFFFFF"/>
        </w:rPr>
        <w:t xml:space="preserve">different </w:t>
      </w:r>
      <w:r w:rsidR="00312134" w:rsidRPr="00924EEC">
        <w:rPr>
          <w:rFonts w:eastAsia="Times New Roman"/>
          <w:color w:val="000000" w:themeColor="text1"/>
          <w:shd w:val="clear" w:color="auto" w:fill="FFFFFF"/>
        </w:rPr>
        <w:t>ages by di</w:t>
      </w:r>
      <w:r w:rsidR="00494FBB" w:rsidRPr="00924EEC">
        <w:rPr>
          <w:rFonts w:eastAsia="Times New Roman"/>
          <w:color w:val="000000" w:themeColor="text1"/>
          <w:shd w:val="clear" w:color="auto" w:fill="FFFFFF"/>
        </w:rPr>
        <w:t>fferent</w:t>
      </w:r>
      <w:r w:rsidR="00312134" w:rsidRPr="00924EEC">
        <w:rPr>
          <w:rFonts w:eastAsia="Times New Roman"/>
          <w:color w:val="000000" w:themeColor="text1"/>
          <w:shd w:val="clear" w:color="auto" w:fill="FFFFFF"/>
        </w:rPr>
        <w:t xml:space="preserve"> instruments and evaluators</w:t>
      </w:r>
      <w:r w:rsidR="00D940CD" w:rsidRPr="00924EEC">
        <w:rPr>
          <w:rFonts w:eastAsia="Times New Roman"/>
          <w:color w:val="000000" w:themeColor="text1"/>
          <w:shd w:val="clear" w:color="auto" w:fill="FFFFFF"/>
        </w:rPr>
        <w:t>, across the 3 cohorts</w:t>
      </w:r>
      <w:r w:rsidR="005716E6" w:rsidRPr="00924EEC">
        <w:rPr>
          <w:rFonts w:eastAsia="Times New Roman"/>
          <w:color w:val="000000" w:themeColor="text1"/>
          <w:shd w:val="clear" w:color="auto" w:fill="FFFFFF"/>
        </w:rPr>
        <w:t>. This may have p</w:t>
      </w:r>
      <w:r w:rsidR="00D740C7" w:rsidRPr="00924EEC">
        <w:rPr>
          <w:rFonts w:eastAsia="Times New Roman"/>
          <w:color w:val="000000" w:themeColor="text1"/>
          <w:shd w:val="clear" w:color="auto" w:fill="FFFFFF"/>
        </w:rPr>
        <w:t>oten</w:t>
      </w:r>
      <w:r w:rsidR="005716E6" w:rsidRPr="00924EEC">
        <w:rPr>
          <w:rFonts w:eastAsia="Times New Roman"/>
          <w:color w:val="000000" w:themeColor="text1"/>
          <w:shd w:val="clear" w:color="auto" w:fill="FFFFFF"/>
        </w:rPr>
        <w:t>t</w:t>
      </w:r>
      <w:r w:rsidR="00D740C7" w:rsidRPr="00924EEC">
        <w:rPr>
          <w:rFonts w:eastAsia="Times New Roman"/>
          <w:color w:val="000000" w:themeColor="text1"/>
          <w:shd w:val="clear" w:color="auto" w:fill="FFFFFF"/>
        </w:rPr>
        <w:t xml:space="preserve">ially </w:t>
      </w:r>
      <w:r w:rsidR="00312134" w:rsidRPr="00924EEC">
        <w:rPr>
          <w:rFonts w:eastAsia="Times New Roman"/>
          <w:color w:val="000000" w:themeColor="text1"/>
          <w:shd w:val="clear" w:color="auto" w:fill="FFFFFF"/>
        </w:rPr>
        <w:t>introduc</w:t>
      </w:r>
      <w:r w:rsidR="005716E6" w:rsidRPr="00924EEC">
        <w:rPr>
          <w:rFonts w:eastAsia="Times New Roman"/>
          <w:color w:val="000000" w:themeColor="text1"/>
          <w:shd w:val="clear" w:color="auto" w:fill="FFFFFF"/>
        </w:rPr>
        <w:t>ed</w:t>
      </w:r>
      <w:r w:rsidR="00D740C7" w:rsidRPr="00924EEC">
        <w:rPr>
          <w:rFonts w:eastAsia="Times New Roman"/>
          <w:color w:val="000000" w:themeColor="text1"/>
          <w:shd w:val="clear" w:color="auto" w:fill="FFFFFF"/>
        </w:rPr>
        <w:t xml:space="preserve"> </w:t>
      </w:r>
      <w:r w:rsidR="00D35D57">
        <w:rPr>
          <w:rFonts w:eastAsia="Times New Roman"/>
          <w:color w:val="000000" w:themeColor="text1"/>
          <w:shd w:val="clear" w:color="auto" w:fill="FFFFFF"/>
        </w:rPr>
        <w:t>some</w:t>
      </w:r>
      <w:r w:rsidR="00312134" w:rsidRPr="00924EEC">
        <w:rPr>
          <w:rFonts w:eastAsia="Times New Roman"/>
          <w:color w:val="000000" w:themeColor="text1"/>
          <w:shd w:val="clear" w:color="auto" w:fill="FFFFFF"/>
        </w:rPr>
        <w:t xml:space="preserve"> heterogeneity. </w:t>
      </w:r>
      <w:r w:rsidR="0054719A" w:rsidRPr="007967AE">
        <w:rPr>
          <w:rFonts w:eastAsia="Calibri" w:cstheme="minorHAnsi"/>
          <w:color w:val="000000" w:themeColor="text1"/>
        </w:rPr>
        <w:t>Furthermore</w:t>
      </w:r>
      <w:r w:rsidR="00C705DD" w:rsidRPr="00924EEC">
        <w:rPr>
          <w:rFonts w:eastAsia="Times New Roman"/>
          <w:color w:val="000000" w:themeColor="text1"/>
          <w:shd w:val="clear" w:color="auto" w:fill="FFFFFF"/>
        </w:rPr>
        <w:t xml:space="preserve">, </w:t>
      </w:r>
      <w:r w:rsidR="0054719A" w:rsidRPr="00924EEC">
        <w:rPr>
          <w:rFonts w:eastAsia="Times New Roman"/>
          <w:color w:val="000000" w:themeColor="text1"/>
          <w:shd w:val="clear" w:color="auto" w:fill="FFFFFF"/>
        </w:rPr>
        <w:t>th</w:t>
      </w:r>
      <w:r w:rsidR="004E1572" w:rsidRPr="00924EEC">
        <w:rPr>
          <w:rFonts w:eastAsia="Times New Roman"/>
          <w:color w:val="000000" w:themeColor="text1"/>
          <w:shd w:val="clear" w:color="auto" w:fill="FFFFFF"/>
        </w:rPr>
        <w:t xml:space="preserve">is </w:t>
      </w:r>
      <w:r w:rsidR="0054719A" w:rsidRPr="00924EEC">
        <w:rPr>
          <w:rFonts w:eastAsia="Times New Roman"/>
          <w:color w:val="000000" w:themeColor="text1"/>
          <w:shd w:val="clear" w:color="auto" w:fill="FFFFFF"/>
        </w:rPr>
        <w:t>supporting study</w:t>
      </w:r>
      <w:r w:rsidR="001929D6">
        <w:rPr>
          <w:rFonts w:eastAsia="Calibri" w:cstheme="minorHAnsi"/>
          <w:color w:val="000000" w:themeColor="text1"/>
          <w:vertAlign w:val="superscript"/>
        </w:rPr>
        <w:t>17</w:t>
      </w:r>
      <w:r w:rsidR="0054719A" w:rsidRPr="00924EEC">
        <w:rPr>
          <w:rFonts w:eastAsia="Times New Roman"/>
          <w:color w:val="000000" w:themeColor="text1"/>
          <w:shd w:val="clear" w:color="auto" w:fill="FFFFFF"/>
        </w:rPr>
        <w:t xml:space="preserve"> lacked</w:t>
      </w:r>
      <w:r w:rsidR="00C705DD" w:rsidRPr="00924EEC">
        <w:rPr>
          <w:rFonts w:eastAsia="Times New Roman"/>
          <w:color w:val="000000" w:themeColor="text1"/>
          <w:shd w:val="clear" w:color="auto" w:fill="FFFFFF"/>
        </w:rPr>
        <w:t xml:space="preserve"> medical-record data to confirm ASD diagnosis</w:t>
      </w:r>
      <w:r w:rsidR="00AD607F" w:rsidRPr="007967AE">
        <w:rPr>
          <w:rFonts w:eastAsia="Calibri" w:cstheme="minorHAnsi"/>
          <w:color w:val="000000" w:themeColor="text1"/>
        </w:rPr>
        <w:t xml:space="preserve">. </w:t>
      </w:r>
      <w:r w:rsidR="007967AE">
        <w:rPr>
          <w:rFonts w:eastAsia="Calibri" w:cstheme="minorHAnsi"/>
          <w:lang w:val="en"/>
        </w:rPr>
        <w:t>A</w:t>
      </w:r>
      <w:r w:rsidR="007967AE" w:rsidRPr="00AA2B8E">
        <w:rPr>
          <w:rFonts w:eastAsia="Calibri" w:cstheme="minorHAnsi"/>
        </w:rPr>
        <w:t xml:space="preserve"> major strength of our current study</w:t>
      </w:r>
      <w:r w:rsidR="007967AE">
        <w:rPr>
          <w:rFonts w:eastAsia="Calibri" w:cstheme="minorHAnsi"/>
        </w:rPr>
        <w:t xml:space="preserve"> </w:t>
      </w:r>
      <w:r w:rsidR="007967AE" w:rsidRPr="00AA2B8E">
        <w:rPr>
          <w:rFonts w:eastAsia="Calibri" w:cstheme="minorHAnsi"/>
        </w:rPr>
        <w:t xml:space="preserve">lies in </w:t>
      </w:r>
      <w:r w:rsidR="007967AE">
        <w:rPr>
          <w:rFonts w:eastAsia="Calibri" w:cstheme="minorHAnsi"/>
        </w:rPr>
        <w:t xml:space="preserve">our </w:t>
      </w:r>
      <w:r w:rsidR="00D35D57">
        <w:rPr>
          <w:rFonts w:eastAsia="Calibri" w:cstheme="minorHAnsi"/>
        </w:rPr>
        <w:t xml:space="preserve">consistent methodology and </w:t>
      </w:r>
      <w:r w:rsidR="007967AE">
        <w:rPr>
          <w:rFonts w:eastAsia="Calibri" w:cstheme="minorHAnsi"/>
        </w:rPr>
        <w:t xml:space="preserve">capture of clinical outcome through </w:t>
      </w:r>
      <w:r w:rsidR="007967AE" w:rsidRPr="00AA2B8E">
        <w:rPr>
          <w:rFonts w:eastAsia="Calibri" w:cstheme="minorHAnsi"/>
        </w:rPr>
        <w:t>data linkage with primary care</w:t>
      </w:r>
      <w:r w:rsidR="007967AE">
        <w:rPr>
          <w:rFonts w:eastAsia="Calibri" w:cstheme="minorHAnsi"/>
        </w:rPr>
        <w:t xml:space="preserve"> records of the cohort children. This reduces</w:t>
      </w:r>
      <w:r w:rsidR="007967AE" w:rsidRPr="00AA2B8E">
        <w:rPr>
          <w:rFonts w:eastAsia="Calibri" w:cstheme="minorHAnsi"/>
        </w:rPr>
        <w:t xml:space="preserve"> scope for subjectivity in the outcome assessment</w:t>
      </w:r>
      <w:r w:rsidR="007967AE">
        <w:rPr>
          <w:rFonts w:eastAsia="Calibri" w:cstheme="minorHAnsi"/>
        </w:rPr>
        <w:t xml:space="preserve"> and thus, minimises </w:t>
      </w:r>
      <w:r w:rsidR="007967AE" w:rsidRPr="00AA2B8E">
        <w:rPr>
          <w:rFonts w:eastAsia="Calibri" w:cstheme="minorHAnsi"/>
        </w:rPr>
        <w:t>bias from misclassification</w:t>
      </w:r>
      <w:r w:rsidR="007967AE">
        <w:rPr>
          <w:rFonts w:eastAsia="Calibri" w:cstheme="minorHAnsi"/>
        </w:rPr>
        <w:t>.</w:t>
      </w:r>
      <w:r w:rsidR="007967AE" w:rsidRPr="007967AE">
        <w:rPr>
          <w:rFonts w:eastAsia="Calibri" w:cstheme="minorHAnsi"/>
          <w:color w:val="000000" w:themeColor="text1"/>
        </w:rPr>
        <w:t xml:space="preserve"> </w:t>
      </w:r>
      <w:r w:rsidR="00AD607F" w:rsidRPr="007967AE">
        <w:rPr>
          <w:rFonts w:eastAsia="Calibri" w:cstheme="minorHAnsi"/>
          <w:color w:val="000000" w:themeColor="text1"/>
        </w:rPr>
        <w:t xml:space="preserve">The present study remains unique in </w:t>
      </w:r>
      <w:r w:rsidR="00794B4F" w:rsidRPr="007967AE">
        <w:rPr>
          <w:rFonts w:eastAsia="Calibri" w:cstheme="minorHAnsi"/>
          <w:color w:val="000000" w:themeColor="text1"/>
        </w:rPr>
        <w:t>the</w:t>
      </w:r>
      <w:r w:rsidR="0054563A" w:rsidRPr="007967AE">
        <w:rPr>
          <w:rFonts w:eastAsia="Calibri" w:cstheme="minorHAnsi"/>
          <w:color w:val="000000" w:themeColor="text1"/>
        </w:rPr>
        <w:t xml:space="preserve"> objective</w:t>
      </w:r>
      <w:r w:rsidR="00794B4F" w:rsidRPr="007967AE">
        <w:rPr>
          <w:rFonts w:eastAsia="Calibri" w:cstheme="minorHAnsi"/>
          <w:color w:val="000000" w:themeColor="text1"/>
        </w:rPr>
        <w:t xml:space="preserve"> measure used </w:t>
      </w:r>
      <w:r w:rsidR="00542333" w:rsidRPr="007967AE">
        <w:rPr>
          <w:rFonts w:eastAsia="Calibri" w:cstheme="minorHAnsi"/>
          <w:color w:val="000000" w:themeColor="text1"/>
        </w:rPr>
        <w:t xml:space="preserve">to inform our </w:t>
      </w:r>
      <w:r w:rsidR="00D83AA7" w:rsidRPr="007967AE">
        <w:rPr>
          <w:rFonts w:eastAsia="Calibri" w:cstheme="minorHAnsi"/>
          <w:color w:val="000000" w:themeColor="text1"/>
        </w:rPr>
        <w:t xml:space="preserve">ASD clinical </w:t>
      </w:r>
      <w:r w:rsidR="00542333" w:rsidRPr="007967AE">
        <w:rPr>
          <w:rFonts w:eastAsia="Calibri" w:cstheme="minorHAnsi"/>
          <w:color w:val="000000" w:themeColor="text1"/>
        </w:rPr>
        <w:t>outcome</w:t>
      </w:r>
      <w:r w:rsidR="00AD607F" w:rsidRPr="007967AE">
        <w:rPr>
          <w:rFonts w:eastAsia="Calibri" w:cstheme="minorHAnsi"/>
          <w:color w:val="000000" w:themeColor="text1"/>
        </w:rPr>
        <w:t xml:space="preserve">. </w:t>
      </w:r>
    </w:p>
    <w:p w14:paraId="569B1BF9" w14:textId="77777777" w:rsidR="00204132" w:rsidRDefault="00204132">
      <w:pPr>
        <w:autoSpaceDE w:val="0"/>
        <w:autoSpaceDN w:val="0"/>
        <w:adjustRightInd w:val="0"/>
        <w:spacing w:after="0" w:line="480" w:lineRule="auto"/>
        <w:rPr>
          <w:rFonts w:eastAsia="Calibri" w:cstheme="minorHAnsi"/>
        </w:rPr>
      </w:pPr>
    </w:p>
    <w:p w14:paraId="2F81BB40" w14:textId="3DE8BE71" w:rsidR="00D762BC" w:rsidRDefault="00031657" w:rsidP="00924EEC">
      <w:pPr>
        <w:pStyle w:val="CommentText"/>
        <w:spacing w:after="160" w:line="480" w:lineRule="auto"/>
        <w:rPr>
          <w:rFonts w:asciiTheme="minorHAnsi" w:hAnsiTheme="minorHAnsi" w:cstheme="minorHAnsi"/>
          <w:sz w:val="22"/>
          <w:szCs w:val="24"/>
          <w:lang w:val="en"/>
        </w:rPr>
      </w:pPr>
      <w:r w:rsidRPr="00924EEC">
        <w:rPr>
          <w:sz w:val="22"/>
          <w:shd w:val="clear" w:color="auto" w:fill="FFFFFF"/>
        </w:rPr>
        <w:t>Iodine deficiency remains one of the leading causes of hypothyroidism, both overt and subclinical</w:t>
      </w:r>
      <w:r w:rsidRPr="00924EEC">
        <w:rPr>
          <w:sz w:val="22"/>
          <w:shd w:val="clear" w:color="auto" w:fill="FFFFFF"/>
          <w:vertAlign w:val="superscript"/>
        </w:rPr>
        <w:t>2</w:t>
      </w:r>
      <w:r w:rsidR="00A93A38">
        <w:rPr>
          <w:sz w:val="22"/>
          <w:shd w:val="clear" w:color="auto" w:fill="FFFFFF"/>
          <w:vertAlign w:val="superscript"/>
        </w:rPr>
        <w:t>8</w:t>
      </w:r>
      <w:r w:rsidRPr="00924EEC">
        <w:rPr>
          <w:sz w:val="22"/>
          <w:shd w:val="clear" w:color="auto" w:fill="FFFFFF"/>
        </w:rPr>
        <w:t>.</w:t>
      </w:r>
      <w:r>
        <w:rPr>
          <w:color w:val="000000"/>
          <w:shd w:val="clear" w:color="auto" w:fill="FFFFFF"/>
        </w:rPr>
        <w:t xml:space="preserve"> </w:t>
      </w:r>
      <w:r w:rsidR="00D762BC">
        <w:rPr>
          <w:rFonts w:asciiTheme="minorHAnsi" w:hAnsiTheme="minorHAnsi" w:cstheme="minorHAnsi"/>
          <w:sz w:val="22"/>
          <w:szCs w:val="24"/>
        </w:rPr>
        <w:t xml:space="preserve">However, </w:t>
      </w:r>
      <w:r w:rsidR="00D762BC" w:rsidRPr="007B0A53">
        <w:rPr>
          <w:rFonts w:asciiTheme="minorHAnsi" w:hAnsiTheme="minorHAnsi" w:cstheme="minorHAnsi"/>
          <w:sz w:val="22"/>
          <w:szCs w:val="24"/>
        </w:rPr>
        <w:t>h</w:t>
      </w:r>
      <w:r w:rsidR="00D762BC" w:rsidRPr="007B0A53">
        <w:rPr>
          <w:rFonts w:asciiTheme="minorHAnsi" w:hAnsiTheme="minorHAnsi" w:cstheme="minorHAnsi"/>
          <w:sz w:val="22"/>
          <w:szCs w:val="24"/>
          <w:lang w:val="en"/>
        </w:rPr>
        <w:t xml:space="preserve">ypothyroidism </w:t>
      </w:r>
      <w:r>
        <w:rPr>
          <w:rFonts w:asciiTheme="minorHAnsi" w:hAnsiTheme="minorHAnsi" w:cstheme="minorHAnsi"/>
          <w:sz w:val="22"/>
          <w:szCs w:val="24"/>
          <w:lang w:val="en"/>
        </w:rPr>
        <w:t xml:space="preserve">during pregnancy </w:t>
      </w:r>
      <w:r w:rsidR="00D762BC" w:rsidRPr="007B0A53">
        <w:rPr>
          <w:rFonts w:asciiTheme="minorHAnsi" w:hAnsiTheme="minorHAnsi" w:cstheme="minorHAnsi"/>
          <w:sz w:val="22"/>
          <w:szCs w:val="24"/>
          <w:lang w:val="en"/>
        </w:rPr>
        <w:t xml:space="preserve">can </w:t>
      </w:r>
      <w:r>
        <w:rPr>
          <w:rFonts w:asciiTheme="minorHAnsi" w:hAnsiTheme="minorHAnsi" w:cstheme="minorHAnsi"/>
          <w:sz w:val="22"/>
          <w:szCs w:val="24"/>
          <w:lang w:val="en"/>
        </w:rPr>
        <w:t xml:space="preserve">also </w:t>
      </w:r>
      <w:r w:rsidR="00D762BC" w:rsidRPr="007B0A53">
        <w:rPr>
          <w:rFonts w:asciiTheme="minorHAnsi" w:hAnsiTheme="minorHAnsi" w:cstheme="minorHAnsi"/>
          <w:sz w:val="22"/>
          <w:szCs w:val="24"/>
          <w:lang w:val="en"/>
        </w:rPr>
        <w:t>be a secondary consequence of a number of conditions such as inflammatory disease and autoimmune disorders</w:t>
      </w:r>
      <w:r w:rsidR="00A93A38">
        <w:rPr>
          <w:rFonts w:asciiTheme="minorHAnsi" w:hAnsiTheme="minorHAnsi" w:cstheme="minorHAnsi"/>
          <w:sz w:val="22"/>
          <w:szCs w:val="24"/>
          <w:vertAlign w:val="superscript"/>
          <w:lang w:val="en"/>
        </w:rPr>
        <w:t>29</w:t>
      </w:r>
      <w:r w:rsidR="00D762BC" w:rsidRPr="007B0A53">
        <w:rPr>
          <w:rFonts w:asciiTheme="minorHAnsi" w:hAnsiTheme="minorHAnsi" w:cstheme="minorHAnsi"/>
          <w:sz w:val="22"/>
          <w:szCs w:val="24"/>
          <w:lang w:val="en"/>
        </w:rPr>
        <w:t>, not just iodine deficienc</w:t>
      </w:r>
      <w:r w:rsidR="00712C00">
        <w:rPr>
          <w:rFonts w:asciiTheme="minorHAnsi" w:hAnsiTheme="minorHAnsi" w:cstheme="minorHAnsi"/>
          <w:sz w:val="22"/>
          <w:szCs w:val="24"/>
          <w:lang w:val="en"/>
        </w:rPr>
        <w:t>y</w:t>
      </w:r>
      <w:r w:rsidR="00D762BC" w:rsidRPr="007B0A53">
        <w:rPr>
          <w:rFonts w:asciiTheme="minorHAnsi" w:hAnsiTheme="minorHAnsi" w:cstheme="minorHAnsi"/>
          <w:sz w:val="22"/>
          <w:szCs w:val="24"/>
          <w:lang w:val="en"/>
        </w:rPr>
        <w:t>. Likewise, thyroid hormones can also be altered by air pollution, pesticides, and exposure to persistent organic pollutants</w:t>
      </w:r>
      <w:r w:rsidR="00A13B2E">
        <w:rPr>
          <w:rFonts w:asciiTheme="minorHAnsi" w:hAnsiTheme="minorHAnsi" w:cstheme="minorHAnsi"/>
          <w:sz w:val="22"/>
          <w:szCs w:val="24"/>
          <w:vertAlign w:val="superscript"/>
          <w:lang w:val="en"/>
        </w:rPr>
        <w:t>3</w:t>
      </w:r>
      <w:r w:rsidR="00A93A38">
        <w:rPr>
          <w:rFonts w:asciiTheme="minorHAnsi" w:hAnsiTheme="minorHAnsi" w:cstheme="minorHAnsi"/>
          <w:sz w:val="22"/>
          <w:szCs w:val="24"/>
          <w:vertAlign w:val="superscript"/>
          <w:lang w:val="en"/>
        </w:rPr>
        <w:t>0</w:t>
      </w:r>
      <w:r w:rsidR="00D762BC" w:rsidRPr="007B0A53">
        <w:rPr>
          <w:rFonts w:asciiTheme="minorHAnsi" w:hAnsiTheme="minorHAnsi" w:cstheme="minorHAnsi"/>
          <w:sz w:val="22"/>
          <w:szCs w:val="24"/>
          <w:lang w:val="en"/>
        </w:rPr>
        <w:t>, pollutants which have also been suggested to increase the risk of ASD in children</w:t>
      </w:r>
      <w:r w:rsidR="00A13B2E">
        <w:rPr>
          <w:rFonts w:asciiTheme="minorHAnsi" w:hAnsiTheme="minorHAnsi" w:cstheme="minorHAnsi"/>
          <w:sz w:val="22"/>
          <w:szCs w:val="24"/>
          <w:vertAlign w:val="superscript"/>
          <w:lang w:val="en"/>
        </w:rPr>
        <w:t>3</w:t>
      </w:r>
      <w:r w:rsidR="00A93A38">
        <w:rPr>
          <w:rFonts w:asciiTheme="minorHAnsi" w:hAnsiTheme="minorHAnsi" w:cstheme="minorHAnsi"/>
          <w:sz w:val="22"/>
          <w:szCs w:val="24"/>
          <w:vertAlign w:val="superscript"/>
          <w:lang w:val="en"/>
        </w:rPr>
        <w:t>1</w:t>
      </w:r>
      <w:r w:rsidR="00D762BC" w:rsidRPr="007B0A53">
        <w:rPr>
          <w:rFonts w:asciiTheme="minorHAnsi" w:hAnsiTheme="minorHAnsi" w:cstheme="minorHAnsi"/>
          <w:sz w:val="22"/>
          <w:szCs w:val="24"/>
          <w:lang w:val="en"/>
        </w:rPr>
        <w:t>. Therefore, when relying on measures such as maternal thyroid parameters and recorded diagnoses of pre and perinatal overt hypothyroidism</w:t>
      </w:r>
      <w:r w:rsidRPr="00924EEC">
        <w:rPr>
          <w:rFonts w:asciiTheme="minorHAnsi" w:hAnsiTheme="minorHAnsi" w:cstheme="minorHAnsi"/>
          <w:sz w:val="22"/>
          <w:szCs w:val="24"/>
          <w:vertAlign w:val="superscript"/>
          <w:lang w:val="en"/>
        </w:rPr>
        <w:t>1</w:t>
      </w:r>
      <w:r w:rsidR="00A13B2E">
        <w:rPr>
          <w:rFonts w:asciiTheme="minorHAnsi" w:hAnsiTheme="minorHAnsi" w:cstheme="minorHAnsi"/>
          <w:sz w:val="22"/>
          <w:szCs w:val="24"/>
          <w:vertAlign w:val="superscript"/>
          <w:lang w:val="en"/>
        </w:rPr>
        <w:t>4</w:t>
      </w:r>
      <w:r w:rsidRPr="00924EEC">
        <w:rPr>
          <w:rFonts w:asciiTheme="minorHAnsi" w:hAnsiTheme="minorHAnsi" w:cstheme="minorHAnsi"/>
          <w:sz w:val="22"/>
          <w:szCs w:val="24"/>
          <w:vertAlign w:val="superscript"/>
          <w:lang w:val="en"/>
        </w:rPr>
        <w:t>,</w:t>
      </w:r>
      <w:r w:rsidR="00D762BC" w:rsidRPr="00031657">
        <w:rPr>
          <w:rFonts w:asciiTheme="minorHAnsi" w:hAnsiTheme="minorHAnsi" w:cstheme="minorHAnsi"/>
          <w:sz w:val="22"/>
          <w:szCs w:val="24"/>
          <w:vertAlign w:val="superscript"/>
          <w:lang w:val="en"/>
        </w:rPr>
        <w:t>1</w:t>
      </w:r>
      <w:r w:rsidR="00A13B2E">
        <w:rPr>
          <w:rFonts w:asciiTheme="minorHAnsi" w:hAnsiTheme="minorHAnsi" w:cstheme="minorHAnsi"/>
          <w:sz w:val="22"/>
          <w:szCs w:val="24"/>
          <w:vertAlign w:val="superscript"/>
          <w:lang w:val="en"/>
        </w:rPr>
        <w:t>5</w:t>
      </w:r>
      <w:r w:rsidR="00D762BC" w:rsidRPr="007B0A53">
        <w:rPr>
          <w:rFonts w:asciiTheme="minorHAnsi" w:hAnsiTheme="minorHAnsi" w:cstheme="minorHAnsi"/>
          <w:sz w:val="22"/>
          <w:szCs w:val="24"/>
          <w:lang w:val="en"/>
        </w:rPr>
        <w:t xml:space="preserve"> it is</w:t>
      </w:r>
      <w:r w:rsidR="00D35D57">
        <w:rPr>
          <w:rFonts w:asciiTheme="minorHAnsi" w:hAnsiTheme="minorHAnsi" w:cstheme="minorHAnsi"/>
          <w:sz w:val="22"/>
          <w:szCs w:val="24"/>
          <w:lang w:val="en"/>
        </w:rPr>
        <w:t xml:space="preserve"> not </w:t>
      </w:r>
      <w:r w:rsidR="00D762BC" w:rsidRPr="007B0A53">
        <w:rPr>
          <w:rFonts w:asciiTheme="minorHAnsi" w:hAnsiTheme="minorHAnsi" w:cstheme="minorHAnsi"/>
          <w:sz w:val="22"/>
          <w:szCs w:val="24"/>
          <w:lang w:val="en"/>
        </w:rPr>
        <w:t xml:space="preserve">possible to determine </w:t>
      </w:r>
      <w:r w:rsidR="00D762BC" w:rsidRPr="007B0A53">
        <w:rPr>
          <w:rFonts w:asciiTheme="minorHAnsi" w:hAnsiTheme="minorHAnsi" w:cstheme="minorHAnsi"/>
          <w:sz w:val="22"/>
          <w:szCs w:val="24"/>
          <w:lang w:val="en"/>
        </w:rPr>
        <w:lastRenderedPageBreak/>
        <w:t>whether these observed associations with ASD are directly related to iodine status or confounded by other environmental exposures. A key strength of our study is the use of a</w:t>
      </w:r>
      <w:r w:rsidR="007729B5">
        <w:rPr>
          <w:rFonts w:asciiTheme="minorHAnsi" w:hAnsiTheme="minorHAnsi" w:cstheme="minorHAnsi"/>
          <w:sz w:val="22"/>
          <w:szCs w:val="24"/>
          <w:lang w:val="en"/>
        </w:rPr>
        <w:t xml:space="preserve"> valid</w:t>
      </w:r>
      <w:r w:rsidR="00D762BC" w:rsidRPr="007B0A53">
        <w:rPr>
          <w:rFonts w:asciiTheme="minorHAnsi" w:hAnsiTheme="minorHAnsi" w:cstheme="minorHAnsi"/>
          <w:sz w:val="22"/>
          <w:szCs w:val="24"/>
          <w:lang w:val="en"/>
        </w:rPr>
        <w:t xml:space="preserve"> biomarker of iodine status in pregnant women (I:Cr)</w:t>
      </w:r>
      <w:r>
        <w:rPr>
          <w:rFonts w:asciiTheme="minorHAnsi" w:hAnsiTheme="minorHAnsi" w:cstheme="minorHAnsi"/>
          <w:sz w:val="22"/>
          <w:szCs w:val="24"/>
          <w:vertAlign w:val="superscript"/>
          <w:lang w:val="en"/>
        </w:rPr>
        <w:t>3</w:t>
      </w:r>
      <w:r w:rsidR="00A93A38">
        <w:rPr>
          <w:rFonts w:asciiTheme="minorHAnsi" w:hAnsiTheme="minorHAnsi" w:cstheme="minorHAnsi"/>
          <w:sz w:val="22"/>
          <w:szCs w:val="24"/>
          <w:vertAlign w:val="superscript"/>
          <w:lang w:val="en"/>
        </w:rPr>
        <w:t>2</w:t>
      </w:r>
      <w:r w:rsidR="00D762BC" w:rsidRPr="007B0A53">
        <w:rPr>
          <w:rFonts w:asciiTheme="minorHAnsi" w:hAnsiTheme="minorHAnsi" w:cstheme="minorHAnsi"/>
          <w:sz w:val="22"/>
          <w:szCs w:val="24"/>
          <w:lang w:val="en"/>
        </w:rPr>
        <w:t xml:space="preserve"> which </w:t>
      </w:r>
      <w:r w:rsidR="00D762BC" w:rsidRPr="007B0A53">
        <w:rPr>
          <w:rFonts w:asciiTheme="minorHAnsi" w:eastAsia="Times New Roman" w:hAnsiTheme="minorHAnsi" w:cstheme="minorHAnsi"/>
          <w:sz w:val="22"/>
          <w:szCs w:val="24"/>
          <w:lang w:eastAsia="en-GB"/>
        </w:rPr>
        <w:t>accounts for urine dilution variability and</w:t>
      </w:r>
      <w:r w:rsidR="00D762BC">
        <w:rPr>
          <w:rFonts w:asciiTheme="minorHAnsi" w:eastAsia="Times New Roman" w:hAnsiTheme="minorHAnsi" w:cstheme="minorHAnsi"/>
          <w:sz w:val="22"/>
          <w:szCs w:val="24"/>
          <w:lang w:eastAsia="en-GB"/>
        </w:rPr>
        <w:t>, when used</w:t>
      </w:r>
      <w:r w:rsidR="00D762BC" w:rsidRPr="007B0A53">
        <w:rPr>
          <w:rFonts w:asciiTheme="minorHAnsi" w:eastAsia="Times New Roman" w:hAnsiTheme="minorHAnsi" w:cstheme="minorHAnsi"/>
          <w:sz w:val="22"/>
          <w:szCs w:val="24"/>
          <w:lang w:eastAsia="en-GB"/>
        </w:rPr>
        <w:t xml:space="preserve"> in conjunction with our population approach, </w:t>
      </w:r>
      <w:r w:rsidR="00D762BC" w:rsidRPr="007B0A53">
        <w:rPr>
          <w:rFonts w:asciiTheme="minorHAnsi" w:hAnsiTheme="minorHAnsi" w:cstheme="minorHAnsi"/>
          <w:sz w:val="22"/>
          <w:szCs w:val="24"/>
          <w:lang w:val="en"/>
        </w:rPr>
        <w:t xml:space="preserve">permits direct and novel exploration </w:t>
      </w:r>
      <w:r w:rsidR="00D762BC">
        <w:rPr>
          <w:rFonts w:asciiTheme="minorHAnsi" w:hAnsiTheme="minorHAnsi" w:cstheme="minorHAnsi"/>
          <w:sz w:val="22"/>
          <w:szCs w:val="24"/>
          <w:lang w:val="en"/>
        </w:rPr>
        <w:t xml:space="preserve">of </w:t>
      </w:r>
      <w:r w:rsidR="00D762BC" w:rsidRPr="007B0A53">
        <w:rPr>
          <w:rFonts w:asciiTheme="minorHAnsi" w:hAnsiTheme="minorHAnsi" w:cstheme="minorHAnsi"/>
          <w:sz w:val="22"/>
          <w:szCs w:val="24"/>
          <w:lang w:val="en"/>
        </w:rPr>
        <w:t xml:space="preserve">a spectrum of iodine exposure on clinical ASD outcome, without needing to rely on </w:t>
      </w:r>
      <w:r w:rsidR="00D762BC">
        <w:rPr>
          <w:rFonts w:asciiTheme="minorHAnsi" w:hAnsiTheme="minorHAnsi" w:cstheme="minorHAnsi"/>
          <w:sz w:val="22"/>
          <w:szCs w:val="24"/>
          <w:lang w:val="en"/>
        </w:rPr>
        <w:t>intermediate</w:t>
      </w:r>
      <w:r w:rsidR="007729B5">
        <w:rPr>
          <w:rFonts w:asciiTheme="minorHAnsi" w:hAnsiTheme="minorHAnsi" w:cstheme="minorHAnsi"/>
          <w:sz w:val="22"/>
          <w:szCs w:val="24"/>
          <w:lang w:val="en"/>
        </w:rPr>
        <w:t xml:space="preserve"> thyroid hormone</w:t>
      </w:r>
      <w:r w:rsidR="00D762BC" w:rsidRPr="007B0A53">
        <w:rPr>
          <w:rFonts w:asciiTheme="minorHAnsi" w:hAnsiTheme="minorHAnsi" w:cstheme="minorHAnsi"/>
          <w:sz w:val="22"/>
          <w:szCs w:val="24"/>
          <w:lang w:val="en"/>
        </w:rPr>
        <w:t xml:space="preserve"> measures.</w:t>
      </w:r>
    </w:p>
    <w:p w14:paraId="5DE3A16C" w14:textId="77777777" w:rsidR="007729B5" w:rsidRDefault="007729B5" w:rsidP="00924EEC">
      <w:pPr>
        <w:pStyle w:val="CommentText"/>
        <w:spacing w:after="160" w:line="480" w:lineRule="auto"/>
        <w:rPr>
          <w:rFonts w:cstheme="minorHAnsi"/>
        </w:rPr>
      </w:pPr>
    </w:p>
    <w:p w14:paraId="40E2707F" w14:textId="2FDB560C" w:rsidR="0063229A" w:rsidRDefault="007729B5">
      <w:pPr>
        <w:spacing w:after="200" w:line="480" w:lineRule="auto"/>
        <w:rPr>
          <w:rFonts w:cstheme="minorHAnsi"/>
        </w:rPr>
      </w:pPr>
      <w:r>
        <w:t>E</w:t>
      </w:r>
      <w:r w:rsidRPr="00AA2B8E">
        <w:t>stimating iodine status from single spot urine samples</w:t>
      </w:r>
      <w:r>
        <w:t xml:space="preserve"> </w:t>
      </w:r>
      <w:r w:rsidR="00D35D57">
        <w:t xml:space="preserve">may </w:t>
      </w:r>
      <w:r>
        <w:t>introduce</w:t>
      </w:r>
      <w:r w:rsidRPr="00AA2B8E">
        <w:t xml:space="preserve"> potential exposure measurement error because of </w:t>
      </w:r>
      <w:r w:rsidRPr="00AA2B8E">
        <w:rPr>
          <w:rFonts w:eastAsia="Calibri" w:cstheme="minorHAnsi"/>
        </w:rPr>
        <w:t>day-to-day variation in iodine intake and excretion that do not reflect true long-term iodine status</w:t>
      </w:r>
      <w:r w:rsidR="00D35D57">
        <w:rPr>
          <w:rFonts w:eastAsia="Calibri" w:cstheme="minorHAnsi"/>
        </w:rPr>
        <w:t xml:space="preserve">, so attenuating </w:t>
      </w:r>
      <w:r w:rsidR="00F8437E">
        <w:rPr>
          <w:rFonts w:eastAsia="Calibri" w:cstheme="minorHAnsi"/>
        </w:rPr>
        <w:t xml:space="preserve">our </w:t>
      </w:r>
      <w:r w:rsidR="00D35D57">
        <w:rPr>
          <w:rFonts w:eastAsia="Calibri" w:cstheme="minorHAnsi"/>
        </w:rPr>
        <w:t>results</w:t>
      </w:r>
      <w:r w:rsidRPr="00AA2B8E">
        <w:rPr>
          <w:rFonts w:eastAsia="Calibri" w:cstheme="minorHAnsi"/>
        </w:rPr>
        <w:t>.</w:t>
      </w:r>
      <w:r>
        <w:rPr>
          <w:rFonts w:cstheme="minorHAnsi"/>
        </w:rPr>
        <w:t xml:space="preserve"> </w:t>
      </w:r>
      <w:r w:rsidR="0063229A">
        <w:rPr>
          <w:rFonts w:cstheme="minorHAnsi"/>
        </w:rPr>
        <w:t xml:space="preserve">However, </w:t>
      </w:r>
      <w:r w:rsidR="0063229A" w:rsidRPr="0063229A">
        <w:rPr>
          <w:rFonts w:cstheme="minorHAnsi"/>
        </w:rPr>
        <w:t xml:space="preserve">intra-individual variation in urine volume </w:t>
      </w:r>
      <w:r w:rsidR="00F8437E">
        <w:rPr>
          <w:rFonts w:cstheme="minorHAnsi"/>
        </w:rPr>
        <w:t xml:space="preserve">was reduced </w:t>
      </w:r>
      <w:r w:rsidR="0063229A" w:rsidRPr="0063229A">
        <w:rPr>
          <w:rFonts w:cstheme="minorHAnsi"/>
        </w:rPr>
        <w:t xml:space="preserve">by </w:t>
      </w:r>
      <w:r w:rsidR="00F8437E">
        <w:rPr>
          <w:rFonts w:cstheme="minorHAnsi"/>
        </w:rPr>
        <w:t xml:space="preserve">correcting for </w:t>
      </w:r>
      <w:r w:rsidR="0063229A" w:rsidRPr="0063229A">
        <w:rPr>
          <w:rFonts w:cstheme="minorHAnsi"/>
        </w:rPr>
        <w:t>urinary creatinine</w:t>
      </w:r>
      <w:r w:rsidR="00F8437E">
        <w:rPr>
          <w:rFonts w:cstheme="minorHAnsi"/>
        </w:rPr>
        <w:t xml:space="preserve"> </w:t>
      </w:r>
      <w:r w:rsidR="0063229A" w:rsidRPr="0063229A">
        <w:rPr>
          <w:rFonts w:cstheme="minorHAnsi"/>
        </w:rPr>
        <w:t xml:space="preserve">concentration. </w:t>
      </w:r>
      <w:r w:rsidR="00F8437E">
        <w:rPr>
          <w:rFonts w:cstheme="minorHAnsi"/>
        </w:rPr>
        <w:t>In particular, this</w:t>
      </w:r>
      <w:r w:rsidR="0063229A" w:rsidRPr="0063229A">
        <w:rPr>
          <w:rFonts w:cstheme="minorHAnsi"/>
        </w:rPr>
        <w:t xml:space="preserve"> </w:t>
      </w:r>
      <w:r w:rsidR="00F8437E">
        <w:rPr>
          <w:rFonts w:cstheme="minorHAnsi"/>
        </w:rPr>
        <w:t xml:space="preserve">has been shown to </w:t>
      </w:r>
      <w:r w:rsidR="0063229A" w:rsidRPr="0063229A">
        <w:rPr>
          <w:rFonts w:cstheme="minorHAnsi"/>
        </w:rPr>
        <w:t>reduce vari</w:t>
      </w:r>
      <w:r w:rsidR="00F8437E">
        <w:rPr>
          <w:rFonts w:cstheme="minorHAnsi"/>
        </w:rPr>
        <w:t xml:space="preserve">ation, and provide stronger correlation with 24 hour urines, </w:t>
      </w:r>
      <w:r w:rsidR="0063229A" w:rsidRPr="0063229A">
        <w:rPr>
          <w:rFonts w:cstheme="minorHAnsi"/>
        </w:rPr>
        <w:t>in same-sex group</w:t>
      </w:r>
      <w:r w:rsidR="00F8437E">
        <w:rPr>
          <w:rFonts w:cstheme="minorHAnsi"/>
        </w:rPr>
        <w:t>s</w:t>
      </w:r>
      <w:r w:rsidR="0063229A" w:rsidRPr="0063229A">
        <w:rPr>
          <w:rFonts w:cstheme="minorHAnsi"/>
        </w:rPr>
        <w:t xml:space="preserve"> of a similar age</w:t>
      </w:r>
      <w:r w:rsidR="00F8437E">
        <w:rPr>
          <w:rFonts w:cstheme="minorHAnsi"/>
        </w:rPr>
        <w:t>, such as our cohort of young women</w:t>
      </w:r>
      <w:r w:rsidR="00E616FF" w:rsidRPr="00924EEC">
        <w:rPr>
          <w:rFonts w:cstheme="minorHAnsi"/>
          <w:vertAlign w:val="superscript"/>
        </w:rPr>
        <w:t>3</w:t>
      </w:r>
      <w:r w:rsidR="00A93A38">
        <w:rPr>
          <w:rFonts w:cstheme="minorHAnsi"/>
          <w:vertAlign w:val="superscript"/>
        </w:rPr>
        <w:t>3</w:t>
      </w:r>
      <w:r w:rsidR="00E616FF" w:rsidRPr="00924EEC">
        <w:rPr>
          <w:rFonts w:cstheme="minorHAnsi"/>
          <w:vertAlign w:val="superscript"/>
        </w:rPr>
        <w:t>, 3</w:t>
      </w:r>
      <w:r w:rsidR="00A93A38">
        <w:rPr>
          <w:rFonts w:cstheme="minorHAnsi"/>
          <w:vertAlign w:val="superscript"/>
        </w:rPr>
        <w:t>4</w:t>
      </w:r>
      <w:r w:rsidR="00F8437E">
        <w:rPr>
          <w:rFonts w:cstheme="minorHAnsi"/>
        </w:rPr>
        <w:t>. Furthermore, using 24 hour urines may have resulted in lower participation rates, potentially reducing both power and generalisablity.</w:t>
      </w:r>
    </w:p>
    <w:p w14:paraId="344F6304" w14:textId="77777777" w:rsidR="00F0635F" w:rsidRDefault="00F0635F">
      <w:pPr>
        <w:spacing w:after="200" w:line="480" w:lineRule="auto"/>
        <w:rPr>
          <w:rFonts w:cstheme="minorHAnsi"/>
        </w:rPr>
      </w:pPr>
    </w:p>
    <w:p w14:paraId="731AB54B" w14:textId="6D25ED75" w:rsidR="007729B5" w:rsidRPr="000C1DC5" w:rsidRDefault="00D34D4B" w:rsidP="00924EEC">
      <w:pPr>
        <w:spacing w:after="200" w:line="480" w:lineRule="auto"/>
        <w:rPr>
          <w:rFonts w:eastAsia="Calibri" w:cstheme="minorHAnsi"/>
        </w:rPr>
      </w:pPr>
      <w:r>
        <w:rPr>
          <w:rFonts w:eastAsia="Calibri" w:cstheme="minorHAnsi"/>
        </w:rPr>
        <w:t xml:space="preserve">Timing of urine samples could potentially account for differences between studies. </w:t>
      </w:r>
      <w:r w:rsidR="004D0F53">
        <w:rPr>
          <w:rFonts w:ascii="Calibri" w:hAnsi="Calibri" w:cs="Calibri"/>
        </w:rPr>
        <w:t>Peak neuronal migration occurs</w:t>
      </w:r>
      <w:r w:rsidR="0038165C">
        <w:rPr>
          <w:rFonts w:ascii="Calibri" w:hAnsi="Calibri" w:cs="Calibri"/>
        </w:rPr>
        <w:t xml:space="preserve"> in humans</w:t>
      </w:r>
      <w:r w:rsidR="004D0F53">
        <w:rPr>
          <w:rFonts w:ascii="Calibri" w:hAnsi="Calibri" w:cs="Calibri"/>
        </w:rPr>
        <w:t xml:space="preserve"> between the 12th and 20th weeks of gestation</w:t>
      </w:r>
      <w:r w:rsidR="004374AB" w:rsidRPr="00FB57D6">
        <w:rPr>
          <w:rFonts w:ascii="Calibri" w:hAnsi="Calibri" w:cs="Calibri"/>
          <w:vertAlign w:val="superscript"/>
        </w:rPr>
        <w:t>35</w:t>
      </w:r>
      <w:r w:rsidR="004D0F53">
        <w:rPr>
          <w:rFonts w:ascii="Calibri" w:hAnsi="Calibri" w:cs="Calibri"/>
        </w:rPr>
        <w:t>, resulting in the formation of the cortical plate.</w:t>
      </w:r>
      <w:r w:rsidR="004D0F53" w:rsidDel="00F8437E">
        <w:rPr>
          <w:rFonts w:cstheme="minorHAnsi"/>
        </w:rPr>
        <w:t xml:space="preserve"> </w:t>
      </w:r>
      <w:r w:rsidR="00F8437E">
        <w:rPr>
          <w:rFonts w:cstheme="minorHAnsi"/>
        </w:rPr>
        <w:t>I</w:t>
      </w:r>
      <w:r w:rsidR="0041324B">
        <w:rPr>
          <w:rFonts w:ascii="Calibri" w:hAnsi="Calibri" w:cs="Times New Roman"/>
        </w:rPr>
        <w:t>f</w:t>
      </w:r>
      <w:r w:rsidR="007729B5">
        <w:rPr>
          <w:rFonts w:ascii="Calibri" w:hAnsi="Calibri" w:cs="Times New Roman"/>
        </w:rPr>
        <w:t xml:space="preserve"> </w:t>
      </w:r>
      <w:r w:rsidR="007729B5" w:rsidRPr="00DE6982">
        <w:rPr>
          <w:rFonts w:ascii="Calibri" w:hAnsi="Calibri" w:cs="Times New Roman"/>
        </w:rPr>
        <w:t xml:space="preserve">iodine </w:t>
      </w:r>
      <w:r w:rsidR="0030480C">
        <w:rPr>
          <w:rFonts w:ascii="Calibri" w:hAnsi="Calibri" w:cs="Times New Roman"/>
        </w:rPr>
        <w:t xml:space="preserve">insufficiency </w:t>
      </w:r>
      <w:r w:rsidR="00962040">
        <w:rPr>
          <w:rFonts w:ascii="Calibri" w:hAnsi="Calibri" w:cs="Times New Roman"/>
        </w:rPr>
        <w:t xml:space="preserve">during a vulnerable window </w:t>
      </w:r>
      <w:r w:rsidR="0030480C">
        <w:rPr>
          <w:rFonts w:ascii="Calibri" w:hAnsi="Calibri" w:cs="Times New Roman"/>
        </w:rPr>
        <w:t xml:space="preserve">prior to </w:t>
      </w:r>
      <w:r w:rsidR="0030480C">
        <w:rPr>
          <w:rFonts w:eastAsia="Calibri" w:cstheme="minorHAnsi"/>
        </w:rPr>
        <w:t xml:space="preserve">26 weeks gestation </w:t>
      </w:r>
      <w:r w:rsidR="0030480C">
        <w:rPr>
          <w:rFonts w:ascii="Calibri" w:hAnsi="Calibri" w:cs="Times New Roman"/>
        </w:rPr>
        <w:t xml:space="preserve">were to impair </w:t>
      </w:r>
      <w:r w:rsidR="007729B5">
        <w:rPr>
          <w:rFonts w:ascii="Calibri" w:hAnsi="Calibri" w:cs="Times New Roman"/>
        </w:rPr>
        <w:t>neuronal migration</w:t>
      </w:r>
      <w:r w:rsidR="0030480C">
        <w:rPr>
          <w:rFonts w:ascii="Calibri" w:hAnsi="Calibri" w:cs="Times New Roman"/>
        </w:rPr>
        <w:t xml:space="preserve"> and if this increased risk of ASD by that mechanism</w:t>
      </w:r>
      <w:r w:rsidR="0030480C" w:rsidRPr="00745C3C">
        <w:rPr>
          <w:rFonts w:eastAsia="Calibri" w:cstheme="minorHAnsi"/>
          <w:vertAlign w:val="superscript"/>
        </w:rPr>
        <w:t>3</w:t>
      </w:r>
      <w:r w:rsidR="0030480C">
        <w:rPr>
          <w:rFonts w:eastAsia="Calibri" w:cstheme="minorHAnsi"/>
          <w:vertAlign w:val="superscript"/>
        </w:rPr>
        <w:t>6</w:t>
      </w:r>
      <w:r w:rsidR="0030480C">
        <w:rPr>
          <w:rFonts w:ascii="Calibri" w:hAnsi="Calibri" w:cs="Times New Roman"/>
        </w:rPr>
        <w:t xml:space="preserve">, then our findings may not fully reflect this process. </w:t>
      </w:r>
      <w:r w:rsidR="00D35D57" w:rsidRPr="004833EF">
        <w:rPr>
          <w:rFonts w:eastAsia="Calibri" w:cstheme="minorHAnsi"/>
        </w:rPr>
        <w:t xml:space="preserve">However, </w:t>
      </w:r>
      <w:r w:rsidR="00962040">
        <w:rPr>
          <w:rFonts w:ascii="Calibri" w:hAnsi="Calibri" w:cs="Times New Roman"/>
        </w:rPr>
        <w:t>some studies have failed to find associations between iodine and ASD at earlier timepoints</w:t>
      </w:r>
      <w:r w:rsidR="00962040" w:rsidRPr="00594B10">
        <w:rPr>
          <w:rFonts w:ascii="Calibri" w:hAnsi="Calibri" w:cs="Times New Roman"/>
          <w:vertAlign w:val="superscript"/>
        </w:rPr>
        <w:t>8</w:t>
      </w:r>
      <w:r w:rsidR="00962040">
        <w:rPr>
          <w:rFonts w:ascii="Calibri" w:hAnsi="Calibri" w:cs="Times New Roman"/>
        </w:rPr>
        <w:t>, whilst others have found associations between neurodevelopmental outcomes and iodine measured both prior to conception</w:t>
      </w:r>
      <w:r w:rsidR="00962040" w:rsidRPr="00924EEC">
        <w:rPr>
          <w:rFonts w:ascii="Calibri" w:hAnsi="Calibri" w:cs="Times New Roman"/>
          <w:vertAlign w:val="superscript"/>
        </w:rPr>
        <w:t>37</w:t>
      </w:r>
      <w:r w:rsidR="00962040">
        <w:rPr>
          <w:rFonts w:ascii="Calibri" w:hAnsi="Calibri" w:cs="Times New Roman"/>
        </w:rPr>
        <w:t xml:space="preserve"> and at later time points</w:t>
      </w:r>
      <w:r w:rsidR="001657C0">
        <w:rPr>
          <w:rFonts w:ascii="Calibri" w:hAnsi="Calibri" w:cs="Times New Roman"/>
          <w:vertAlign w:val="superscript"/>
        </w:rPr>
        <w:t>1</w:t>
      </w:r>
      <w:r w:rsidR="00962040" w:rsidRPr="00594B10">
        <w:rPr>
          <w:rFonts w:ascii="Calibri" w:hAnsi="Calibri" w:cs="Times New Roman"/>
          <w:vertAlign w:val="superscript"/>
        </w:rPr>
        <w:t>7</w:t>
      </w:r>
      <w:r w:rsidR="00962040">
        <w:rPr>
          <w:rFonts w:ascii="Calibri" w:hAnsi="Calibri" w:cs="Times New Roman"/>
        </w:rPr>
        <w:t xml:space="preserve">. </w:t>
      </w:r>
      <w:r w:rsidR="00095729">
        <w:rPr>
          <w:rFonts w:ascii="Calibri" w:hAnsi="Calibri" w:cs="Times New Roman"/>
        </w:rPr>
        <w:t xml:space="preserve">It is therefore </w:t>
      </w:r>
      <w:r w:rsidR="00095729">
        <w:rPr>
          <w:rFonts w:eastAsia="Calibri" w:cstheme="minorHAnsi"/>
        </w:rPr>
        <w:t>not known if</w:t>
      </w:r>
      <w:r w:rsidR="00095729" w:rsidRPr="004833EF">
        <w:rPr>
          <w:rFonts w:eastAsia="Calibri" w:cstheme="minorHAnsi"/>
        </w:rPr>
        <w:t xml:space="preserve"> </w:t>
      </w:r>
      <w:r w:rsidR="00095729">
        <w:rPr>
          <w:rFonts w:eastAsia="Calibri" w:cstheme="minorHAnsi"/>
        </w:rPr>
        <w:t xml:space="preserve">other vulnerable periods exist prior to conception or </w:t>
      </w:r>
      <w:r w:rsidR="001657C0">
        <w:rPr>
          <w:rFonts w:eastAsia="Calibri" w:cstheme="minorHAnsi"/>
        </w:rPr>
        <w:t>during early life</w:t>
      </w:r>
      <w:r w:rsidR="001657C0" w:rsidRPr="00924EEC">
        <w:rPr>
          <w:rFonts w:eastAsia="Calibri" w:cstheme="minorHAnsi"/>
          <w:vertAlign w:val="superscript"/>
        </w:rPr>
        <w:t>37</w:t>
      </w:r>
      <w:r w:rsidR="00095729">
        <w:rPr>
          <w:rFonts w:eastAsia="Calibri" w:cstheme="minorHAnsi"/>
        </w:rPr>
        <w:t xml:space="preserve"> and</w:t>
      </w:r>
      <w:r w:rsidR="00095729">
        <w:rPr>
          <w:rFonts w:ascii="Calibri" w:hAnsi="Calibri" w:cs="Times New Roman"/>
        </w:rPr>
        <w:t xml:space="preserve"> </w:t>
      </w:r>
      <w:r w:rsidR="00095729">
        <w:rPr>
          <w:rFonts w:eastAsia="Calibri" w:cstheme="minorHAnsi"/>
        </w:rPr>
        <w:t>other mechanisms could exist</w:t>
      </w:r>
      <w:r w:rsidR="001657C0">
        <w:rPr>
          <w:rFonts w:eastAsia="Calibri" w:cstheme="minorHAnsi"/>
        </w:rPr>
        <w:t xml:space="preserve"> including later neuronal migration</w:t>
      </w:r>
      <w:r w:rsidR="001657C0" w:rsidRPr="00924EEC">
        <w:rPr>
          <w:rFonts w:eastAsia="Calibri" w:cstheme="minorHAnsi"/>
          <w:vertAlign w:val="superscript"/>
        </w:rPr>
        <w:t>38</w:t>
      </w:r>
      <w:r w:rsidR="00095729">
        <w:rPr>
          <w:rFonts w:eastAsia="Calibri" w:cstheme="minorHAnsi"/>
        </w:rPr>
        <w:t xml:space="preserve">. </w:t>
      </w:r>
      <w:r w:rsidR="00095729">
        <w:rPr>
          <w:rFonts w:ascii="Calibri" w:hAnsi="Calibri" w:cs="Times New Roman"/>
        </w:rPr>
        <w:t xml:space="preserve">UIC at 26 </w:t>
      </w:r>
      <w:r w:rsidR="00095729">
        <w:rPr>
          <w:rFonts w:ascii="Calibri" w:hAnsi="Calibri" w:cs="Times New Roman"/>
        </w:rPr>
        <w:lastRenderedPageBreak/>
        <w:t>weeks will correlate with iodine status at both earlier and later time points</w:t>
      </w:r>
      <w:r w:rsidR="00196873">
        <w:rPr>
          <w:rFonts w:ascii="Calibri" w:hAnsi="Calibri" w:cs="Times New Roman"/>
        </w:rPr>
        <w:t>, so our findings remain of relevance, but t</w:t>
      </w:r>
      <w:r w:rsidR="0063229A">
        <w:rPr>
          <w:rFonts w:ascii="Calibri" w:hAnsi="Calibri" w:cs="Times New Roman"/>
        </w:rPr>
        <w:t>here is scope</w:t>
      </w:r>
      <w:r w:rsidR="00F8437E">
        <w:rPr>
          <w:rFonts w:ascii="Calibri" w:hAnsi="Calibri" w:cs="Times New Roman"/>
        </w:rPr>
        <w:t xml:space="preserve"> </w:t>
      </w:r>
      <w:r w:rsidR="0063229A">
        <w:rPr>
          <w:rFonts w:ascii="Calibri" w:hAnsi="Calibri" w:cs="Times New Roman"/>
        </w:rPr>
        <w:t xml:space="preserve">for additional investigation </w:t>
      </w:r>
      <w:r w:rsidR="00196873">
        <w:rPr>
          <w:rFonts w:ascii="Calibri" w:hAnsi="Calibri" w:cs="Times New Roman"/>
        </w:rPr>
        <w:t>relating to</w:t>
      </w:r>
      <w:r w:rsidR="0063229A">
        <w:rPr>
          <w:rFonts w:ascii="Calibri" w:hAnsi="Calibri" w:cs="Times New Roman"/>
        </w:rPr>
        <w:t xml:space="preserve"> </w:t>
      </w:r>
      <w:r w:rsidR="00962040">
        <w:rPr>
          <w:rFonts w:ascii="Calibri" w:hAnsi="Calibri" w:cs="Times New Roman"/>
        </w:rPr>
        <w:t>timing of</w:t>
      </w:r>
      <w:r w:rsidR="0063229A">
        <w:rPr>
          <w:rFonts w:ascii="Calibri" w:hAnsi="Calibri" w:cs="Times New Roman"/>
        </w:rPr>
        <w:t xml:space="preserve"> </w:t>
      </w:r>
      <w:r w:rsidR="0091140D">
        <w:rPr>
          <w:rFonts w:ascii="Calibri" w:hAnsi="Calibri" w:cs="Times New Roman"/>
        </w:rPr>
        <w:t>exposure</w:t>
      </w:r>
      <w:r w:rsidR="0063229A">
        <w:rPr>
          <w:rFonts w:ascii="Calibri" w:hAnsi="Calibri" w:cs="Times New Roman"/>
        </w:rPr>
        <w:t>.</w:t>
      </w:r>
    </w:p>
    <w:p w14:paraId="63F361DF" w14:textId="77777777" w:rsidR="00AA2B8E" w:rsidRPr="00924EEC" w:rsidRDefault="00AA2B8E" w:rsidP="00924EEC">
      <w:pPr>
        <w:pStyle w:val="CommentText"/>
        <w:spacing w:line="480" w:lineRule="auto"/>
        <w:rPr>
          <w:rFonts w:cstheme="minorHAnsi"/>
        </w:rPr>
      </w:pPr>
    </w:p>
    <w:p w14:paraId="0AFE8EE4" w14:textId="42A392A1" w:rsidR="00AA2B8E" w:rsidRPr="00AA2B8E" w:rsidRDefault="00AA2B8E">
      <w:pPr>
        <w:autoSpaceDE w:val="0"/>
        <w:autoSpaceDN w:val="0"/>
        <w:adjustRightInd w:val="0"/>
        <w:spacing w:after="0" w:line="480" w:lineRule="auto"/>
        <w:rPr>
          <w:rFonts w:eastAsia="Calibri" w:cstheme="minorHAnsi"/>
        </w:rPr>
      </w:pPr>
      <w:r w:rsidRPr="00AA2B8E">
        <w:t>It is possible that results from our study, or previous studies,</w:t>
      </w:r>
      <w:r w:rsidRPr="00AA2B8E">
        <w:rPr>
          <w:rFonts w:ascii="Calibri" w:eastAsia="Calibri" w:hAnsi="Calibri" w:cstheme="minorHAnsi"/>
        </w:rPr>
        <w:t xml:space="preserve"> may in part reflect residual confounding not accounted for in regression models. However, we considered all established risk factors within our causal framework and adjusted for those identified as confounders</w:t>
      </w:r>
      <w:r w:rsidRPr="00AA2B8E">
        <w:t xml:space="preserve">. Other pre-natal factors such as </w:t>
      </w:r>
      <w:r w:rsidRPr="00AA2B8E">
        <w:rPr>
          <w:rFonts w:eastAsia="Calibri" w:cstheme="minorHAnsi"/>
        </w:rPr>
        <w:t xml:space="preserve">parental psychiatric history and medication use, especially in relation to maternal mental health, all have reported affiliations with </w:t>
      </w:r>
      <w:r w:rsidR="00666949">
        <w:rPr>
          <w:rFonts w:eastAsia="Calibri" w:cstheme="minorHAnsi"/>
        </w:rPr>
        <w:t>ASD</w:t>
      </w:r>
      <w:r w:rsidR="009164BF">
        <w:rPr>
          <w:rFonts w:eastAsia="Calibri" w:cstheme="minorHAnsi"/>
          <w:vertAlign w:val="superscript"/>
        </w:rPr>
        <w:t>3</w:t>
      </w:r>
      <w:r w:rsidR="00AC365D">
        <w:rPr>
          <w:rFonts w:eastAsia="Calibri" w:cstheme="minorHAnsi"/>
          <w:vertAlign w:val="superscript"/>
        </w:rPr>
        <w:t>1</w:t>
      </w:r>
      <w:r w:rsidRPr="00AA2B8E">
        <w:rPr>
          <w:rFonts w:eastAsia="Calibri" w:cstheme="minorHAnsi"/>
        </w:rPr>
        <w:t xml:space="preserve"> and warrant further consideration. </w:t>
      </w:r>
    </w:p>
    <w:p w14:paraId="62BC835D" w14:textId="77777777" w:rsidR="00AA2B8E" w:rsidRPr="00AA2B8E" w:rsidRDefault="00AA2B8E">
      <w:pPr>
        <w:autoSpaceDE w:val="0"/>
        <w:autoSpaceDN w:val="0"/>
        <w:adjustRightInd w:val="0"/>
        <w:spacing w:after="0" w:line="480" w:lineRule="auto"/>
        <w:rPr>
          <w:rFonts w:eastAsia="Calibri" w:cstheme="minorHAnsi"/>
        </w:rPr>
      </w:pPr>
    </w:p>
    <w:p w14:paraId="5F249823" w14:textId="62334B7B" w:rsidR="00AA2B8E" w:rsidRPr="00AA2B8E" w:rsidRDefault="00AA2B8E">
      <w:pPr>
        <w:autoSpaceDE w:val="0"/>
        <w:autoSpaceDN w:val="0"/>
        <w:adjustRightInd w:val="0"/>
        <w:spacing w:after="0" w:line="480" w:lineRule="auto"/>
        <w:rPr>
          <w:rFonts w:eastAsia="Calibri" w:cstheme="minorHAnsi"/>
        </w:rPr>
      </w:pPr>
      <w:r w:rsidRPr="00AA2B8E">
        <w:rPr>
          <w:rFonts w:ascii="Calibri" w:eastAsia="Calibri" w:hAnsi="Calibri" w:cs="Times New Roman"/>
        </w:rPr>
        <w:t>ASD has low prevalence in the community</w:t>
      </w:r>
      <w:r w:rsidR="00031657" w:rsidRPr="00924EEC">
        <w:rPr>
          <w:rFonts w:ascii="Calibri" w:eastAsia="Calibri" w:hAnsi="Calibri" w:cs="Times New Roman"/>
          <w:vertAlign w:val="superscript"/>
        </w:rPr>
        <w:t>2</w:t>
      </w:r>
      <w:r w:rsidR="009164BF">
        <w:rPr>
          <w:rFonts w:ascii="Calibri" w:eastAsia="Calibri" w:hAnsi="Calibri" w:cs="Times New Roman"/>
          <w:vertAlign w:val="superscript"/>
        </w:rPr>
        <w:t>7</w:t>
      </w:r>
      <w:r w:rsidRPr="00AA2B8E">
        <w:rPr>
          <w:rFonts w:ascii="Calibri" w:eastAsia="Calibri" w:hAnsi="Calibri" w:cs="Times New Roman"/>
        </w:rPr>
        <w:t xml:space="preserve">, so the numbers of cases were relatively low. We were therefore unable to explore </w:t>
      </w:r>
      <w:r w:rsidR="0063229A">
        <w:rPr>
          <w:rFonts w:ascii="Calibri" w:eastAsia="Calibri" w:hAnsi="Calibri" w:cs="Times New Roman"/>
        </w:rPr>
        <w:t xml:space="preserve">some </w:t>
      </w:r>
      <w:r w:rsidRPr="00AA2B8E">
        <w:rPr>
          <w:rFonts w:ascii="Calibri" w:eastAsia="Calibri" w:hAnsi="Calibri" w:cs="Times New Roman"/>
        </w:rPr>
        <w:t xml:space="preserve">subgroups of interest. </w:t>
      </w:r>
      <w:r w:rsidR="004755D9">
        <w:rPr>
          <w:rFonts w:eastAsia="Calibri" w:cstheme="minorHAnsi"/>
        </w:rPr>
        <w:t xml:space="preserve">It remains possible that potential cases have been missed if not </w:t>
      </w:r>
      <w:r w:rsidR="0063229A">
        <w:rPr>
          <w:rFonts w:eastAsia="Calibri" w:cstheme="minorHAnsi"/>
        </w:rPr>
        <w:t xml:space="preserve">diagnosed </w:t>
      </w:r>
      <w:r w:rsidR="004755D9">
        <w:rPr>
          <w:rFonts w:eastAsia="Calibri" w:cstheme="minorHAnsi"/>
        </w:rPr>
        <w:t xml:space="preserve">by the census date. </w:t>
      </w:r>
      <w:r w:rsidR="004F3088" w:rsidRPr="00AA2B8E">
        <w:rPr>
          <w:rFonts w:ascii="Calibri" w:eastAsia="Calibri" w:hAnsi="Calibri" w:cs="Times New Roman"/>
        </w:rPr>
        <w:t xml:space="preserve">It is possible that such cases </w:t>
      </w:r>
      <w:r w:rsidR="0063229A">
        <w:rPr>
          <w:rFonts w:ascii="Calibri" w:eastAsia="Calibri" w:hAnsi="Calibri" w:cs="Times New Roman"/>
        </w:rPr>
        <w:t xml:space="preserve">could </w:t>
      </w:r>
      <w:r w:rsidR="004F3088" w:rsidRPr="00AA2B8E">
        <w:rPr>
          <w:rFonts w:ascii="Calibri" w:eastAsia="Calibri" w:hAnsi="Calibri" w:cs="Times New Roman"/>
        </w:rPr>
        <w:t>differ in presentation or cause from those identified in this current work.</w:t>
      </w:r>
      <w:r w:rsidR="004F3088">
        <w:rPr>
          <w:rFonts w:eastAsia="Calibri" w:cstheme="minorHAnsi"/>
        </w:rPr>
        <w:t xml:space="preserve"> </w:t>
      </w:r>
      <w:r w:rsidR="004755D9">
        <w:rPr>
          <w:rFonts w:eastAsia="Calibri" w:cstheme="minorHAnsi"/>
        </w:rPr>
        <w:t xml:space="preserve">However, the </w:t>
      </w:r>
      <w:r w:rsidR="00194882">
        <w:rPr>
          <w:rFonts w:eastAsia="Calibri" w:cstheme="minorHAnsi"/>
        </w:rPr>
        <w:t>long follow-up</w:t>
      </w:r>
      <w:r w:rsidR="004F3088">
        <w:rPr>
          <w:rFonts w:eastAsia="Calibri" w:cstheme="minorHAnsi"/>
        </w:rPr>
        <w:t xml:space="preserve"> </w:t>
      </w:r>
      <w:r w:rsidR="004755D9">
        <w:rPr>
          <w:rFonts w:eastAsia="Calibri" w:cstheme="minorHAnsi"/>
        </w:rPr>
        <w:t xml:space="preserve">to age 12 years </w:t>
      </w:r>
      <w:r w:rsidR="0063229A">
        <w:rPr>
          <w:rFonts w:eastAsia="Calibri" w:cstheme="minorHAnsi"/>
        </w:rPr>
        <w:t xml:space="preserve">and complete record linkage </w:t>
      </w:r>
      <w:r w:rsidR="004755D9">
        <w:rPr>
          <w:rFonts w:eastAsia="Calibri" w:cstheme="minorHAnsi"/>
        </w:rPr>
        <w:t xml:space="preserve">has likely identified most cases, including those </w:t>
      </w:r>
      <w:r w:rsidRPr="00AA2B8E">
        <w:rPr>
          <w:rFonts w:ascii="Calibri" w:eastAsia="Calibri" w:hAnsi="Calibri" w:cs="Times New Roman"/>
        </w:rPr>
        <w:t xml:space="preserve">where diagnosis has been delayed. </w:t>
      </w:r>
    </w:p>
    <w:p w14:paraId="66D27C05" w14:textId="05E74AC6" w:rsidR="0041324B" w:rsidRPr="00AA2B8E" w:rsidDel="0041324B" w:rsidRDefault="0041324B" w:rsidP="00924EEC">
      <w:pPr>
        <w:spacing w:after="200" w:line="480" w:lineRule="auto"/>
        <w:rPr>
          <w:rFonts w:eastAsia="Calibri" w:cstheme="minorHAnsi"/>
        </w:rPr>
      </w:pPr>
    </w:p>
    <w:p w14:paraId="44097D49" w14:textId="495DC954" w:rsidR="00AA2B8E" w:rsidRPr="00584AE5" w:rsidRDefault="005953D5">
      <w:pPr>
        <w:autoSpaceDE w:val="0"/>
        <w:autoSpaceDN w:val="0"/>
        <w:adjustRightInd w:val="0"/>
        <w:spacing w:after="0" w:line="480" w:lineRule="auto"/>
        <w:rPr>
          <w:rFonts w:eastAsia="Calibri" w:cstheme="minorHAnsi"/>
          <w:b/>
          <w:bCs/>
        </w:rPr>
      </w:pPr>
      <w:r w:rsidRPr="00584AE5">
        <w:rPr>
          <w:rFonts w:eastAsia="Calibri" w:cstheme="minorHAnsi"/>
          <w:b/>
          <w:bCs/>
        </w:rPr>
        <w:t>Conclusions</w:t>
      </w:r>
    </w:p>
    <w:p w14:paraId="23BADD50" w14:textId="2D7AB735" w:rsidR="00B73F3C" w:rsidRDefault="00B73F3C" w:rsidP="00924EEC">
      <w:pPr>
        <w:autoSpaceDE w:val="0"/>
        <w:autoSpaceDN w:val="0"/>
        <w:adjustRightInd w:val="0"/>
        <w:spacing w:after="0" w:line="480" w:lineRule="auto"/>
        <w:rPr>
          <w:rFonts w:ascii="Calibri" w:hAnsi="Calibri" w:cs="Calibri"/>
          <w:b/>
          <w:bCs/>
        </w:rPr>
      </w:pPr>
      <w:r>
        <w:t>T</w:t>
      </w:r>
      <w:r w:rsidRPr="009D5F3A">
        <w:t xml:space="preserve">he present study found </w:t>
      </w:r>
      <w:r w:rsidRPr="009D5F3A">
        <w:rPr>
          <w:rFonts w:ascii="Calibri" w:hAnsi="Calibri" w:cs="Calibri"/>
        </w:rPr>
        <w:t>no evidence to support an association between mild-moderate iodine deficiency at the end of the second trimester and a subsequent clinical diagnosis of ASD in the offspring by age 12.</w:t>
      </w:r>
      <w:r>
        <w:rPr>
          <w:rFonts w:ascii="Calibri" w:hAnsi="Calibri" w:cs="Calibri"/>
        </w:rPr>
        <w:t xml:space="preserve"> </w:t>
      </w:r>
      <w:r w:rsidR="00CA7C07" w:rsidRPr="00924EEC">
        <w:rPr>
          <w:rFonts w:ascii="Calibri" w:hAnsi="Calibri" w:cs="Times New Roman"/>
        </w:rPr>
        <w:t xml:space="preserve">Low incidence of the outcome in the study population leads to low power to </w:t>
      </w:r>
      <w:r w:rsidR="00451E35">
        <w:rPr>
          <w:rFonts w:ascii="Calibri" w:hAnsi="Calibri" w:cs="Times New Roman"/>
        </w:rPr>
        <w:t>detect</w:t>
      </w:r>
      <w:r w:rsidR="00CA7C07" w:rsidRPr="00924EEC">
        <w:rPr>
          <w:rFonts w:ascii="Calibri" w:hAnsi="Calibri" w:cs="Times New Roman"/>
        </w:rPr>
        <w:t xml:space="preserve"> weaker associations. As such, </w:t>
      </w:r>
      <w:r>
        <w:rPr>
          <w:rFonts w:ascii="Calibri" w:hAnsi="Calibri" w:cs="Calibri"/>
        </w:rPr>
        <w:t>t</w:t>
      </w:r>
      <w:r w:rsidRPr="00584AE5">
        <w:rPr>
          <w:rFonts w:ascii="Calibri" w:hAnsi="Calibri" w:cs="Calibri"/>
        </w:rPr>
        <w:t>his</w:t>
      </w:r>
      <w:r w:rsidRPr="00584AE5">
        <w:t xml:space="preserve"> study does not rule out the</w:t>
      </w:r>
      <w:r w:rsidRPr="00584AE5">
        <w:rPr>
          <w:rFonts w:eastAsia="Calibri" w:cstheme="minorHAnsi"/>
        </w:rPr>
        <w:t xml:space="preserve"> potential for </w:t>
      </w:r>
      <w:r w:rsidRPr="00936A80">
        <w:rPr>
          <w:rFonts w:eastAsia="Calibri" w:cstheme="minorHAnsi"/>
        </w:rPr>
        <w:t xml:space="preserve">some </w:t>
      </w:r>
      <w:r w:rsidRPr="00584AE5">
        <w:rPr>
          <w:rFonts w:eastAsia="Calibri" w:cstheme="minorHAnsi"/>
        </w:rPr>
        <w:t>impact of low maternal iodi</w:t>
      </w:r>
      <w:r w:rsidR="00017687">
        <w:rPr>
          <w:rFonts w:eastAsia="Calibri" w:cstheme="minorHAnsi"/>
        </w:rPr>
        <w:t>d</w:t>
      </w:r>
      <w:r w:rsidR="00D36D6E">
        <w:rPr>
          <w:rFonts w:eastAsia="Calibri" w:cstheme="minorHAnsi"/>
        </w:rPr>
        <w:t>e</w:t>
      </w:r>
      <w:r w:rsidRPr="00584AE5">
        <w:rPr>
          <w:rFonts w:eastAsia="Calibri" w:cstheme="minorHAnsi"/>
        </w:rPr>
        <w:t xml:space="preserve"> intake on ASD </w:t>
      </w:r>
      <w:r w:rsidRPr="00936A80">
        <w:rPr>
          <w:rFonts w:eastAsia="Calibri" w:cstheme="minorHAnsi"/>
        </w:rPr>
        <w:t xml:space="preserve">or other outcomes in </w:t>
      </w:r>
      <w:r w:rsidR="00CA7C07">
        <w:rPr>
          <w:rFonts w:eastAsia="Calibri" w:cstheme="minorHAnsi"/>
        </w:rPr>
        <w:t>other</w:t>
      </w:r>
      <w:r w:rsidRPr="00936A80">
        <w:rPr>
          <w:rFonts w:eastAsia="Calibri" w:cstheme="minorHAnsi"/>
        </w:rPr>
        <w:t xml:space="preserve"> populations</w:t>
      </w:r>
      <w:r w:rsidR="0045115F">
        <w:rPr>
          <w:rFonts w:eastAsia="Calibri" w:cstheme="minorHAnsi"/>
        </w:rPr>
        <w:t xml:space="preserve"> or in future</w:t>
      </w:r>
      <w:r w:rsidR="007A46C1">
        <w:rPr>
          <w:rFonts w:ascii="Calibri" w:hAnsi="Calibri" w:cs="Calibri"/>
        </w:rPr>
        <w:t xml:space="preserve"> studies </w:t>
      </w:r>
      <w:r w:rsidR="0045115F">
        <w:rPr>
          <w:rFonts w:ascii="Calibri" w:hAnsi="Calibri" w:cs="Calibri"/>
        </w:rPr>
        <w:t xml:space="preserve">with </w:t>
      </w:r>
      <w:r w:rsidRPr="00936A80">
        <w:rPr>
          <w:rFonts w:ascii="Calibri" w:hAnsi="Calibri" w:cs="Calibri"/>
        </w:rPr>
        <w:t>24</w:t>
      </w:r>
      <w:r w:rsidR="0045115F">
        <w:rPr>
          <w:rFonts w:ascii="Calibri" w:hAnsi="Calibri" w:cs="Calibri"/>
        </w:rPr>
        <w:t>-</w:t>
      </w:r>
      <w:r w:rsidRPr="00936A80">
        <w:rPr>
          <w:rFonts w:ascii="Calibri" w:hAnsi="Calibri" w:cs="Calibri"/>
        </w:rPr>
        <w:t>hour urines collected through pregnancy, in particular in trimester 1, w</w:t>
      </w:r>
      <w:r w:rsidR="0045115F">
        <w:rPr>
          <w:rFonts w:ascii="Calibri" w:hAnsi="Calibri" w:cs="Calibri"/>
        </w:rPr>
        <w:t>hich w</w:t>
      </w:r>
      <w:r w:rsidRPr="00936A80">
        <w:rPr>
          <w:rFonts w:ascii="Calibri" w:hAnsi="Calibri" w:cs="Calibri"/>
        </w:rPr>
        <w:t>ould improve precision and target potential</w:t>
      </w:r>
      <w:r>
        <w:rPr>
          <w:rFonts w:ascii="Calibri" w:hAnsi="Calibri" w:cs="Calibri"/>
        </w:rPr>
        <w:t>ly</w:t>
      </w:r>
      <w:r w:rsidRPr="00936A80">
        <w:rPr>
          <w:rFonts w:ascii="Calibri" w:hAnsi="Calibri" w:cs="Calibri"/>
        </w:rPr>
        <w:t xml:space="preserve"> earlier critical windows of exposure.</w:t>
      </w:r>
      <w:r w:rsidRPr="00584AE5">
        <w:rPr>
          <w:color w:val="000000"/>
          <w:shd w:val="clear" w:color="auto" w:fill="FFFFFF"/>
        </w:rPr>
        <w:t xml:space="preserve"> </w:t>
      </w:r>
      <w:r w:rsidRPr="00936A80">
        <w:t xml:space="preserve"> </w:t>
      </w:r>
    </w:p>
    <w:p w14:paraId="0683950D" w14:textId="0E87BA92" w:rsidR="00466381" w:rsidRDefault="00466381" w:rsidP="00444DE8">
      <w:pPr>
        <w:autoSpaceDE w:val="0"/>
        <w:autoSpaceDN w:val="0"/>
        <w:adjustRightInd w:val="0"/>
        <w:spacing w:after="0" w:line="320" w:lineRule="atLeast"/>
        <w:rPr>
          <w:rFonts w:ascii="Calibri" w:hAnsi="Calibri" w:cs="Calibri"/>
        </w:rPr>
      </w:pPr>
    </w:p>
    <w:p w14:paraId="080D3102" w14:textId="6A71CF1E" w:rsidR="00586F3F" w:rsidRDefault="00586F3F" w:rsidP="00444DE8">
      <w:pPr>
        <w:autoSpaceDE w:val="0"/>
        <w:autoSpaceDN w:val="0"/>
        <w:adjustRightInd w:val="0"/>
        <w:spacing w:after="0" w:line="320" w:lineRule="atLeast"/>
        <w:rPr>
          <w:rFonts w:ascii="Calibri" w:hAnsi="Calibri" w:cs="Calibri"/>
        </w:rPr>
      </w:pPr>
    </w:p>
    <w:p w14:paraId="2B23A8F6" w14:textId="77777777" w:rsidR="00586F3F" w:rsidRDefault="00586F3F" w:rsidP="00444DE8">
      <w:pPr>
        <w:autoSpaceDE w:val="0"/>
        <w:autoSpaceDN w:val="0"/>
        <w:adjustRightInd w:val="0"/>
        <w:spacing w:after="0" w:line="320" w:lineRule="atLeast"/>
        <w:rPr>
          <w:rFonts w:ascii="Calibri" w:hAnsi="Calibri" w:cs="Calibri"/>
        </w:rPr>
      </w:pPr>
    </w:p>
    <w:p w14:paraId="004406DD" w14:textId="10E4FD3F" w:rsidR="00303C31" w:rsidRPr="000721D2" w:rsidRDefault="000721D2" w:rsidP="00444DE8">
      <w:pPr>
        <w:autoSpaceDE w:val="0"/>
        <w:autoSpaceDN w:val="0"/>
        <w:adjustRightInd w:val="0"/>
        <w:spacing w:after="0" w:line="320" w:lineRule="atLeast"/>
        <w:rPr>
          <w:rFonts w:ascii="Calibri" w:hAnsi="Calibri" w:cs="Calibri"/>
          <w:b/>
          <w:bCs/>
        </w:rPr>
      </w:pPr>
      <w:r w:rsidRPr="000721D2">
        <w:rPr>
          <w:rFonts w:ascii="Calibri" w:hAnsi="Calibri" w:cs="Calibri"/>
          <w:b/>
          <w:bCs/>
        </w:rPr>
        <w:t>Abbreviations</w:t>
      </w:r>
    </w:p>
    <w:p w14:paraId="205DF8C2" w14:textId="7A2F0244" w:rsidR="00A9184E" w:rsidRDefault="00A9184E" w:rsidP="00444DE8">
      <w:pPr>
        <w:autoSpaceDE w:val="0"/>
        <w:autoSpaceDN w:val="0"/>
        <w:adjustRightInd w:val="0"/>
        <w:spacing w:after="0" w:line="320" w:lineRule="atLeast"/>
        <w:rPr>
          <w:rFonts w:ascii="Calibri" w:hAnsi="Calibri" w:cs="Calibri"/>
        </w:rPr>
      </w:pPr>
    </w:p>
    <w:p w14:paraId="3D35BDD6" w14:textId="6C5DC15F" w:rsidR="001B081E" w:rsidRDefault="001B081E" w:rsidP="003D4092">
      <w:pPr>
        <w:autoSpaceDE w:val="0"/>
        <w:autoSpaceDN w:val="0"/>
        <w:adjustRightInd w:val="0"/>
        <w:spacing w:after="0" w:line="480" w:lineRule="auto"/>
        <w:rPr>
          <w:rFonts w:ascii="Calibri" w:hAnsi="Calibri" w:cs="Calibri"/>
        </w:rPr>
      </w:pPr>
      <w:r w:rsidRPr="001B081E">
        <w:rPr>
          <w:rFonts w:ascii="Calibri" w:hAnsi="Calibri" w:cs="Calibri"/>
          <w:b/>
          <w:bCs/>
        </w:rPr>
        <w:t>ASD:</w:t>
      </w:r>
      <w:r>
        <w:rPr>
          <w:rFonts w:ascii="Calibri" w:hAnsi="Calibri" w:cs="Calibri"/>
        </w:rPr>
        <w:tab/>
        <w:t>Autism Spectrum Disorder</w:t>
      </w:r>
    </w:p>
    <w:p w14:paraId="7E315821" w14:textId="0A9D2220" w:rsidR="001B081E" w:rsidRPr="002372F0" w:rsidRDefault="001B081E" w:rsidP="003D4092">
      <w:pPr>
        <w:autoSpaceDE w:val="0"/>
        <w:autoSpaceDN w:val="0"/>
        <w:adjustRightInd w:val="0"/>
        <w:spacing w:after="0" w:line="480" w:lineRule="auto"/>
        <w:rPr>
          <w:rFonts w:ascii="Calibri" w:hAnsi="Calibri" w:cs="Calibri"/>
        </w:rPr>
      </w:pPr>
      <w:r w:rsidRPr="002372F0">
        <w:rPr>
          <w:rFonts w:ascii="Calibri" w:hAnsi="Calibri" w:cs="Calibri"/>
          <w:b/>
          <w:bCs/>
        </w:rPr>
        <w:t>UIC:</w:t>
      </w:r>
      <w:r w:rsidRPr="002372F0">
        <w:rPr>
          <w:rFonts w:ascii="Calibri" w:hAnsi="Calibri" w:cs="Calibri"/>
        </w:rPr>
        <w:tab/>
        <w:t>Urinary Iodine Concentration</w:t>
      </w:r>
    </w:p>
    <w:p w14:paraId="363D6D5C" w14:textId="7E71C137" w:rsidR="00303C31" w:rsidRPr="002372F0" w:rsidRDefault="00BA62CB" w:rsidP="003D4092">
      <w:pPr>
        <w:autoSpaceDE w:val="0"/>
        <w:autoSpaceDN w:val="0"/>
        <w:adjustRightInd w:val="0"/>
        <w:spacing w:after="0" w:line="480" w:lineRule="auto"/>
        <w:rPr>
          <w:rFonts w:ascii="Calibri" w:hAnsi="Calibri" w:cs="Calibri"/>
        </w:rPr>
      </w:pPr>
      <w:r w:rsidRPr="002372F0">
        <w:rPr>
          <w:rFonts w:ascii="Calibri" w:hAnsi="Calibri" w:cs="Calibri"/>
          <w:b/>
          <w:bCs/>
        </w:rPr>
        <w:t>I:Cr:</w:t>
      </w:r>
      <w:r w:rsidRPr="002372F0">
        <w:rPr>
          <w:rFonts w:ascii="Calibri" w:hAnsi="Calibri" w:cs="Calibri"/>
        </w:rPr>
        <w:tab/>
        <w:t>Iodine Creatinine Ratio</w:t>
      </w:r>
    </w:p>
    <w:p w14:paraId="6D0E59FB" w14:textId="6330052B" w:rsidR="00BA62CB" w:rsidRPr="002372F0" w:rsidRDefault="00BA62CB" w:rsidP="003D4092">
      <w:pPr>
        <w:autoSpaceDE w:val="0"/>
        <w:autoSpaceDN w:val="0"/>
        <w:adjustRightInd w:val="0"/>
        <w:spacing w:after="0" w:line="480" w:lineRule="auto"/>
        <w:rPr>
          <w:rFonts w:ascii="Calibri" w:hAnsi="Calibri" w:cs="Calibri"/>
        </w:rPr>
      </w:pPr>
      <w:r w:rsidRPr="002372F0">
        <w:rPr>
          <w:rFonts w:ascii="Calibri" w:hAnsi="Calibri" w:cs="Calibri"/>
          <w:b/>
          <w:bCs/>
        </w:rPr>
        <w:t>BiB:</w:t>
      </w:r>
      <w:r w:rsidRPr="002372F0">
        <w:rPr>
          <w:rFonts w:ascii="Calibri" w:hAnsi="Calibri" w:cs="Calibri"/>
        </w:rPr>
        <w:tab/>
        <w:t>Born in Bradford</w:t>
      </w:r>
    </w:p>
    <w:p w14:paraId="44432AB2" w14:textId="02C94AE2" w:rsidR="00745C6F" w:rsidRPr="002372F0" w:rsidRDefault="00745C6F" w:rsidP="003D4092">
      <w:pPr>
        <w:autoSpaceDE w:val="0"/>
        <w:autoSpaceDN w:val="0"/>
        <w:adjustRightInd w:val="0"/>
        <w:spacing w:after="0" w:line="480" w:lineRule="auto"/>
        <w:rPr>
          <w:rFonts w:ascii="Calibri" w:hAnsi="Calibri" w:cs="Calibri"/>
        </w:rPr>
      </w:pPr>
      <w:r w:rsidRPr="002372F0">
        <w:rPr>
          <w:rFonts w:ascii="Calibri" w:hAnsi="Calibri" w:cs="Calibri"/>
          <w:b/>
          <w:bCs/>
        </w:rPr>
        <w:t>WHO:</w:t>
      </w:r>
      <w:r w:rsidRPr="002372F0">
        <w:rPr>
          <w:rFonts w:ascii="Calibri" w:hAnsi="Calibri" w:cs="Calibri"/>
        </w:rPr>
        <w:tab/>
        <w:t>World Health Organi</w:t>
      </w:r>
      <w:r w:rsidR="00E84A78" w:rsidRPr="002372F0">
        <w:rPr>
          <w:rFonts w:ascii="Calibri" w:hAnsi="Calibri" w:cs="Calibri"/>
        </w:rPr>
        <w:t>za</w:t>
      </w:r>
      <w:r w:rsidRPr="002372F0">
        <w:rPr>
          <w:rFonts w:ascii="Calibri" w:hAnsi="Calibri" w:cs="Calibri"/>
        </w:rPr>
        <w:t>tion</w:t>
      </w:r>
    </w:p>
    <w:p w14:paraId="5D2CD8B3" w14:textId="7F4A7021" w:rsidR="00745C6F" w:rsidRDefault="00745C6F" w:rsidP="003D4092">
      <w:pPr>
        <w:autoSpaceDE w:val="0"/>
        <w:autoSpaceDN w:val="0"/>
        <w:adjustRightInd w:val="0"/>
        <w:spacing w:after="0" w:line="480" w:lineRule="auto"/>
        <w:rPr>
          <w:rFonts w:eastAsia="Calibri" w:cstheme="minorHAnsi"/>
        </w:rPr>
      </w:pPr>
      <w:r w:rsidRPr="00745C6F">
        <w:rPr>
          <w:rFonts w:eastAsia="Calibri" w:cstheme="minorHAnsi"/>
          <w:b/>
          <w:bCs/>
        </w:rPr>
        <w:t>ADHD:</w:t>
      </w:r>
      <w:r>
        <w:rPr>
          <w:rFonts w:eastAsia="Calibri" w:cstheme="minorHAnsi"/>
        </w:rPr>
        <w:tab/>
      </w:r>
      <w:r w:rsidRPr="00AA2B8E">
        <w:rPr>
          <w:rFonts w:eastAsia="Calibri" w:cstheme="minorHAnsi"/>
        </w:rPr>
        <w:t>Attention Deficit</w:t>
      </w:r>
      <w:r>
        <w:rPr>
          <w:rFonts w:eastAsia="Calibri" w:cstheme="minorHAnsi"/>
        </w:rPr>
        <w:t xml:space="preserve"> </w:t>
      </w:r>
      <w:r w:rsidRPr="00AA2B8E">
        <w:rPr>
          <w:rFonts w:eastAsia="Calibri" w:cstheme="minorHAnsi"/>
        </w:rPr>
        <w:t xml:space="preserve">Hyperactivity Disorder </w:t>
      </w:r>
    </w:p>
    <w:p w14:paraId="3CC44560" w14:textId="3B8F6002" w:rsidR="00E84A78" w:rsidRDefault="00E84A78" w:rsidP="003D4092">
      <w:pPr>
        <w:autoSpaceDE w:val="0"/>
        <w:autoSpaceDN w:val="0"/>
        <w:adjustRightInd w:val="0"/>
        <w:spacing w:after="0" w:line="480" w:lineRule="auto"/>
        <w:rPr>
          <w:rFonts w:eastAsia="Calibri" w:cstheme="minorHAnsi"/>
        </w:rPr>
      </w:pPr>
      <w:r w:rsidRPr="005559E8">
        <w:rPr>
          <w:rFonts w:eastAsia="Calibri" w:cstheme="minorHAnsi"/>
          <w:b/>
          <w:bCs/>
        </w:rPr>
        <w:t>CDC:</w:t>
      </w:r>
      <w:r w:rsidRPr="005559E8">
        <w:rPr>
          <w:rFonts w:eastAsia="Calibri" w:cstheme="minorHAnsi"/>
          <w:b/>
          <w:bCs/>
        </w:rPr>
        <w:tab/>
      </w:r>
      <w:r w:rsidRPr="00AA2B8E">
        <w:rPr>
          <w:rFonts w:eastAsia="Calibri" w:cstheme="minorHAnsi"/>
        </w:rPr>
        <w:t>Centers for Disease Control and Prevention</w:t>
      </w:r>
    </w:p>
    <w:p w14:paraId="65BC8C63" w14:textId="726E3715" w:rsidR="00E84A78" w:rsidRDefault="00E84A78" w:rsidP="003D4092">
      <w:pPr>
        <w:autoSpaceDE w:val="0"/>
        <w:autoSpaceDN w:val="0"/>
        <w:adjustRightInd w:val="0"/>
        <w:spacing w:after="0" w:line="480" w:lineRule="auto"/>
        <w:rPr>
          <w:rFonts w:eastAsia="Calibri" w:cstheme="minorHAnsi"/>
        </w:rPr>
      </w:pPr>
      <w:r w:rsidRPr="005559E8">
        <w:rPr>
          <w:rFonts w:eastAsia="Calibri" w:cstheme="minorHAnsi"/>
          <w:b/>
          <w:bCs/>
        </w:rPr>
        <w:t>EQUIP:</w:t>
      </w:r>
      <w:r w:rsidR="005559E8">
        <w:rPr>
          <w:rFonts w:eastAsia="Calibri" w:cstheme="minorHAnsi"/>
        </w:rPr>
        <w:tab/>
      </w:r>
      <w:r w:rsidRPr="00AA2B8E">
        <w:rPr>
          <w:rFonts w:eastAsia="Calibri" w:cstheme="minorHAnsi"/>
        </w:rPr>
        <w:t xml:space="preserve">Ensuring the Quality of Urinary Iodine Procedures </w:t>
      </w:r>
    </w:p>
    <w:p w14:paraId="27DD3D29" w14:textId="4E8551A7" w:rsidR="00C86B00" w:rsidRDefault="005559E8" w:rsidP="003D4092">
      <w:pPr>
        <w:autoSpaceDE w:val="0"/>
        <w:autoSpaceDN w:val="0"/>
        <w:adjustRightInd w:val="0"/>
        <w:spacing w:after="0" w:line="480" w:lineRule="auto"/>
        <w:rPr>
          <w:rFonts w:eastAsia="Calibri" w:cstheme="minorHAnsi"/>
        </w:rPr>
      </w:pPr>
      <w:r w:rsidRPr="005559E8">
        <w:rPr>
          <w:rFonts w:eastAsia="Calibri" w:cstheme="minorHAnsi"/>
          <w:b/>
          <w:bCs/>
        </w:rPr>
        <w:t>QC:</w:t>
      </w:r>
      <w:r>
        <w:rPr>
          <w:rFonts w:eastAsia="Calibri" w:cstheme="minorHAnsi"/>
        </w:rPr>
        <w:tab/>
        <w:t>Quality Contro</w:t>
      </w:r>
      <w:r w:rsidR="00C86B00">
        <w:rPr>
          <w:rFonts w:eastAsia="Calibri" w:cstheme="minorHAnsi"/>
        </w:rPr>
        <w:t>l</w:t>
      </w:r>
    </w:p>
    <w:p w14:paraId="6ABED86B" w14:textId="68F4BAAA" w:rsidR="009F095D" w:rsidRDefault="009F095D" w:rsidP="003D4092">
      <w:pPr>
        <w:autoSpaceDE w:val="0"/>
        <w:autoSpaceDN w:val="0"/>
        <w:adjustRightInd w:val="0"/>
        <w:spacing w:after="0" w:line="480" w:lineRule="auto"/>
        <w:rPr>
          <w:rFonts w:eastAsia="Times New Roman" w:cstheme="minorHAnsi"/>
        </w:rPr>
      </w:pPr>
      <w:r w:rsidRPr="009F095D">
        <w:rPr>
          <w:rFonts w:eastAsia="Calibri" w:cstheme="minorHAnsi"/>
          <w:b/>
          <w:bCs/>
        </w:rPr>
        <w:t>CRM:</w:t>
      </w:r>
      <w:r>
        <w:rPr>
          <w:rFonts w:eastAsia="Calibri" w:cstheme="minorHAnsi"/>
        </w:rPr>
        <w:tab/>
      </w:r>
      <w:r>
        <w:rPr>
          <w:rFonts w:eastAsia="Times New Roman" w:cstheme="minorHAnsi"/>
        </w:rPr>
        <w:t>C</w:t>
      </w:r>
      <w:r w:rsidRPr="00AA2B8E">
        <w:rPr>
          <w:rFonts w:eastAsia="Times New Roman" w:cstheme="minorHAnsi"/>
        </w:rPr>
        <w:t xml:space="preserve">ertified </w:t>
      </w:r>
      <w:r>
        <w:rPr>
          <w:rFonts w:eastAsia="Times New Roman" w:cstheme="minorHAnsi"/>
        </w:rPr>
        <w:t>R</w:t>
      </w:r>
      <w:r w:rsidRPr="00AA2B8E">
        <w:rPr>
          <w:rFonts w:eastAsia="Times New Roman" w:cstheme="minorHAnsi"/>
        </w:rPr>
        <w:t xml:space="preserve">eference </w:t>
      </w:r>
      <w:r>
        <w:rPr>
          <w:rFonts w:eastAsia="Times New Roman" w:cstheme="minorHAnsi"/>
        </w:rPr>
        <w:t>M</w:t>
      </w:r>
      <w:r w:rsidRPr="00AA2B8E">
        <w:rPr>
          <w:rFonts w:eastAsia="Times New Roman" w:cstheme="minorHAnsi"/>
        </w:rPr>
        <w:t>aterial</w:t>
      </w:r>
    </w:p>
    <w:p w14:paraId="0FA9FCFA" w14:textId="46370C20" w:rsidR="007B7FD2" w:rsidRDefault="007B7FD2" w:rsidP="003D4092">
      <w:pPr>
        <w:autoSpaceDE w:val="0"/>
        <w:autoSpaceDN w:val="0"/>
        <w:adjustRightInd w:val="0"/>
        <w:spacing w:after="0" w:line="480" w:lineRule="auto"/>
        <w:rPr>
          <w:rFonts w:eastAsia="Times New Roman" w:cstheme="minorHAnsi"/>
        </w:rPr>
      </w:pPr>
      <w:r w:rsidRPr="00294968">
        <w:rPr>
          <w:rFonts w:eastAsia="Times New Roman" w:cstheme="minorHAnsi"/>
          <w:b/>
          <w:bCs/>
        </w:rPr>
        <w:t>NHS:</w:t>
      </w:r>
      <w:r>
        <w:rPr>
          <w:rFonts w:eastAsia="Times New Roman" w:cstheme="minorHAnsi"/>
        </w:rPr>
        <w:tab/>
        <w:t>National Health Service</w:t>
      </w:r>
    </w:p>
    <w:p w14:paraId="48D90EA7" w14:textId="2CA6E561" w:rsidR="007B7FD2" w:rsidRDefault="007B7FD2" w:rsidP="003D4092">
      <w:pPr>
        <w:autoSpaceDE w:val="0"/>
        <w:autoSpaceDN w:val="0"/>
        <w:adjustRightInd w:val="0"/>
        <w:spacing w:after="0" w:line="480" w:lineRule="auto"/>
        <w:rPr>
          <w:rFonts w:eastAsia="Times New Roman" w:cstheme="minorHAnsi"/>
        </w:rPr>
      </w:pPr>
      <w:r w:rsidRPr="00294968">
        <w:rPr>
          <w:rFonts w:eastAsia="Times New Roman" w:cstheme="minorHAnsi"/>
          <w:b/>
          <w:bCs/>
        </w:rPr>
        <w:t>GP:</w:t>
      </w:r>
      <w:r>
        <w:rPr>
          <w:rFonts w:eastAsia="Times New Roman" w:cstheme="minorHAnsi"/>
        </w:rPr>
        <w:tab/>
        <w:t>General Practice</w:t>
      </w:r>
    </w:p>
    <w:p w14:paraId="53F8F296" w14:textId="13EF4204" w:rsidR="00AF58F2" w:rsidRDefault="00C86B00" w:rsidP="003D4092">
      <w:pPr>
        <w:autoSpaceDE w:val="0"/>
        <w:autoSpaceDN w:val="0"/>
        <w:adjustRightInd w:val="0"/>
        <w:spacing w:after="0" w:line="480" w:lineRule="auto"/>
        <w:rPr>
          <w:rFonts w:eastAsia="Times New Roman" w:cstheme="minorHAnsi"/>
        </w:rPr>
      </w:pPr>
      <w:r w:rsidRPr="00294968">
        <w:rPr>
          <w:rFonts w:eastAsia="Times New Roman" w:cstheme="minorHAnsi"/>
          <w:b/>
          <w:bCs/>
        </w:rPr>
        <w:t>BMI:</w:t>
      </w:r>
      <w:r>
        <w:rPr>
          <w:rFonts w:eastAsia="Times New Roman" w:cstheme="minorHAnsi"/>
        </w:rPr>
        <w:tab/>
        <w:t>Body Mass Index</w:t>
      </w:r>
    </w:p>
    <w:p w14:paraId="5CC447D4" w14:textId="5CC90762" w:rsidR="00C86B00" w:rsidRDefault="004A48D2" w:rsidP="003D4092">
      <w:pPr>
        <w:autoSpaceDE w:val="0"/>
        <w:autoSpaceDN w:val="0"/>
        <w:adjustRightInd w:val="0"/>
        <w:spacing w:after="0" w:line="480" w:lineRule="auto"/>
        <w:rPr>
          <w:rFonts w:ascii="Calibri" w:hAnsi="Calibri" w:cs="Calibri"/>
        </w:rPr>
      </w:pPr>
      <w:r w:rsidRPr="004A48D2">
        <w:rPr>
          <w:rFonts w:ascii="Calibri" w:hAnsi="Calibri" w:cs="Calibri"/>
          <w:b/>
          <w:bCs/>
        </w:rPr>
        <w:t>CI:</w:t>
      </w:r>
      <w:r>
        <w:rPr>
          <w:rFonts w:ascii="Calibri" w:hAnsi="Calibri" w:cs="Calibri"/>
        </w:rPr>
        <w:tab/>
        <w:t>Confidence Interval</w:t>
      </w:r>
    </w:p>
    <w:p w14:paraId="272D309E" w14:textId="3AA9C86E" w:rsidR="004A48D2" w:rsidRPr="002372F0" w:rsidRDefault="004A48D2" w:rsidP="003D4092">
      <w:pPr>
        <w:autoSpaceDE w:val="0"/>
        <w:autoSpaceDN w:val="0"/>
        <w:adjustRightInd w:val="0"/>
        <w:spacing w:after="0" w:line="480" w:lineRule="auto"/>
        <w:rPr>
          <w:rFonts w:ascii="Calibri" w:hAnsi="Calibri" w:cs="Calibri"/>
          <w:lang w:val="fr-FR"/>
        </w:rPr>
      </w:pPr>
      <w:r w:rsidRPr="002372F0">
        <w:rPr>
          <w:rFonts w:ascii="Calibri" w:hAnsi="Calibri" w:cs="Calibri"/>
          <w:b/>
          <w:bCs/>
          <w:lang w:val="fr-FR"/>
        </w:rPr>
        <w:t>SD:</w:t>
      </w:r>
      <w:r w:rsidRPr="002372F0">
        <w:rPr>
          <w:rFonts w:ascii="Calibri" w:hAnsi="Calibri" w:cs="Calibri"/>
          <w:lang w:val="fr-FR"/>
        </w:rPr>
        <w:tab/>
        <w:t>Standard Deviation</w:t>
      </w:r>
    </w:p>
    <w:p w14:paraId="1E7AE4A0" w14:textId="64501A19" w:rsidR="00F16E5A" w:rsidRPr="002372F0" w:rsidRDefault="00F16E5A" w:rsidP="003D4092">
      <w:pPr>
        <w:autoSpaceDE w:val="0"/>
        <w:autoSpaceDN w:val="0"/>
        <w:adjustRightInd w:val="0"/>
        <w:spacing w:after="0" w:line="480" w:lineRule="auto"/>
        <w:rPr>
          <w:rFonts w:ascii="Calibri" w:hAnsi="Calibri" w:cs="Calibri"/>
          <w:lang w:val="fr-FR"/>
        </w:rPr>
      </w:pPr>
      <w:r w:rsidRPr="002372F0">
        <w:rPr>
          <w:rFonts w:ascii="Calibri" w:hAnsi="Calibri" w:cs="Calibri"/>
          <w:b/>
          <w:bCs/>
          <w:lang w:val="fr-FR"/>
        </w:rPr>
        <w:t>IQR:</w:t>
      </w:r>
      <w:r w:rsidRPr="002372F0">
        <w:rPr>
          <w:rFonts w:ascii="Calibri" w:hAnsi="Calibri" w:cs="Calibri"/>
          <w:lang w:val="fr-FR"/>
        </w:rPr>
        <w:tab/>
        <w:t>Inter-Quartile Range</w:t>
      </w:r>
    </w:p>
    <w:p w14:paraId="0CDA9398" w14:textId="77777777" w:rsidR="00514C73" w:rsidRPr="002372F0" w:rsidRDefault="00514C73" w:rsidP="00444DE8">
      <w:pPr>
        <w:autoSpaceDE w:val="0"/>
        <w:autoSpaceDN w:val="0"/>
        <w:adjustRightInd w:val="0"/>
        <w:spacing w:after="0" w:line="320" w:lineRule="atLeast"/>
        <w:rPr>
          <w:rFonts w:ascii="Calibri" w:hAnsi="Calibri" w:cs="Calibri"/>
          <w:lang w:val="fr-FR"/>
        </w:rPr>
      </w:pPr>
    </w:p>
    <w:p w14:paraId="770727C0" w14:textId="77777777" w:rsidR="00AC365D" w:rsidRPr="002372F0" w:rsidRDefault="00AC365D" w:rsidP="00444DE8">
      <w:pPr>
        <w:autoSpaceDE w:val="0"/>
        <w:autoSpaceDN w:val="0"/>
        <w:adjustRightInd w:val="0"/>
        <w:spacing w:after="0" w:line="320" w:lineRule="atLeast"/>
        <w:rPr>
          <w:rFonts w:ascii="Calibri" w:hAnsi="Calibri" w:cs="Calibri"/>
          <w:lang w:val="fr-FR"/>
        </w:rPr>
      </w:pPr>
    </w:p>
    <w:p w14:paraId="4C6B329E" w14:textId="53A60344" w:rsidR="00290C5F" w:rsidRDefault="00290C5F" w:rsidP="00CB054A">
      <w:pPr>
        <w:spacing w:after="0" w:line="320" w:lineRule="atLeast"/>
        <w:jc w:val="both"/>
        <w:rPr>
          <w:rFonts w:eastAsia="Calibri" w:cstheme="minorHAnsi"/>
          <w:b/>
          <w:u w:val="single"/>
        </w:rPr>
      </w:pPr>
      <w:r>
        <w:rPr>
          <w:rFonts w:eastAsia="Calibri" w:cstheme="minorHAnsi"/>
          <w:b/>
          <w:u w:val="single"/>
        </w:rPr>
        <w:t>Declarations</w:t>
      </w:r>
    </w:p>
    <w:p w14:paraId="7E498500" w14:textId="65805732" w:rsidR="00290C5F" w:rsidRDefault="00290C5F" w:rsidP="00CB054A">
      <w:pPr>
        <w:spacing w:after="0" w:line="320" w:lineRule="atLeast"/>
        <w:jc w:val="both"/>
        <w:rPr>
          <w:rFonts w:eastAsia="Calibri" w:cstheme="minorHAnsi"/>
          <w:b/>
          <w:u w:val="single"/>
        </w:rPr>
      </w:pPr>
    </w:p>
    <w:p w14:paraId="1FB98DED" w14:textId="77777777" w:rsidR="00290C5F" w:rsidRPr="00FF26D5" w:rsidRDefault="00290C5F" w:rsidP="00290C5F">
      <w:pPr>
        <w:autoSpaceDE w:val="0"/>
        <w:autoSpaceDN w:val="0"/>
        <w:adjustRightInd w:val="0"/>
        <w:spacing w:after="0" w:line="480" w:lineRule="auto"/>
        <w:rPr>
          <w:rFonts w:ascii="Calibri" w:eastAsia="Calibri" w:hAnsi="Calibri" w:cs="LMSans10-Regular"/>
          <w:b/>
          <w:bCs/>
        </w:rPr>
      </w:pPr>
      <w:r w:rsidRPr="00FF26D5">
        <w:rPr>
          <w:rFonts w:ascii="Calibri" w:eastAsia="Calibri" w:hAnsi="Calibri" w:cs="LMSans10-Regular"/>
          <w:b/>
          <w:bCs/>
        </w:rPr>
        <w:t xml:space="preserve">Ethical </w:t>
      </w:r>
      <w:r>
        <w:rPr>
          <w:rFonts w:ascii="Calibri" w:eastAsia="Calibri" w:hAnsi="Calibri" w:cs="LMSans10-Regular"/>
          <w:b/>
          <w:bCs/>
        </w:rPr>
        <w:t>approval and consent to participate</w:t>
      </w:r>
    </w:p>
    <w:p w14:paraId="2C86893A" w14:textId="4438A930" w:rsidR="00290C5F" w:rsidRPr="008E5AE6" w:rsidRDefault="00290C5F" w:rsidP="00290C5F">
      <w:pPr>
        <w:autoSpaceDE w:val="0"/>
        <w:autoSpaceDN w:val="0"/>
        <w:adjustRightInd w:val="0"/>
        <w:spacing w:after="0" w:line="480" w:lineRule="auto"/>
        <w:rPr>
          <w:rFonts w:ascii="Calibri" w:eastAsia="Times New Roman" w:hAnsi="Calibri" w:cstheme="minorHAnsi"/>
          <w:caps/>
        </w:rPr>
      </w:pPr>
      <w:r w:rsidRPr="00AA2B8E">
        <w:rPr>
          <w:rFonts w:ascii="Calibri" w:eastAsia="Calibri" w:hAnsi="Calibri" w:cs="LMSans10-Regular"/>
        </w:rPr>
        <w:t xml:space="preserve">Ethical approval for </w:t>
      </w:r>
      <w:r w:rsidR="00CD09D6">
        <w:rPr>
          <w:rFonts w:ascii="Calibri" w:eastAsia="Calibri" w:hAnsi="Calibri" w:cs="LMSans10-Regular"/>
        </w:rPr>
        <w:t>BiB</w:t>
      </w:r>
      <w:r w:rsidRPr="00AA2B8E">
        <w:rPr>
          <w:rFonts w:ascii="Calibri" w:eastAsia="Calibri" w:hAnsi="Calibri" w:cs="LMSans10-Regular"/>
        </w:rPr>
        <w:t xml:space="preserve"> was granted by Bradford Research Ethics Committee (Ref 07/H1302/112). </w:t>
      </w:r>
    </w:p>
    <w:p w14:paraId="404B3E87" w14:textId="77777777" w:rsidR="00290C5F" w:rsidRDefault="00290C5F" w:rsidP="00290C5F">
      <w:pPr>
        <w:autoSpaceDE w:val="0"/>
        <w:autoSpaceDN w:val="0"/>
        <w:adjustRightInd w:val="0"/>
        <w:spacing w:after="0" w:line="480" w:lineRule="auto"/>
        <w:rPr>
          <w:rFonts w:ascii="Calibri" w:eastAsia="Times New Roman" w:hAnsi="Calibri" w:cstheme="minorHAnsi"/>
        </w:rPr>
      </w:pPr>
      <w:r>
        <w:rPr>
          <w:rFonts w:ascii="Calibri" w:eastAsia="Times New Roman" w:hAnsi="Calibri" w:cstheme="minorHAnsi"/>
        </w:rPr>
        <w:t>All p</w:t>
      </w:r>
      <w:r w:rsidRPr="00AA2B8E">
        <w:rPr>
          <w:rFonts w:ascii="Calibri" w:eastAsia="Times New Roman" w:hAnsi="Calibri" w:cstheme="minorHAnsi"/>
        </w:rPr>
        <w:t>articipants provided written informed consent prior to data collection.</w:t>
      </w:r>
    </w:p>
    <w:p w14:paraId="21AA8D52" w14:textId="77777777" w:rsidR="00290C5F" w:rsidRDefault="00290C5F" w:rsidP="00290C5F">
      <w:pPr>
        <w:autoSpaceDE w:val="0"/>
        <w:autoSpaceDN w:val="0"/>
        <w:adjustRightInd w:val="0"/>
        <w:spacing w:after="0" w:line="480" w:lineRule="auto"/>
        <w:rPr>
          <w:rFonts w:ascii="Calibri" w:eastAsia="Times New Roman" w:hAnsi="Calibri" w:cstheme="minorHAnsi"/>
          <w:b/>
          <w:bCs/>
        </w:rPr>
      </w:pPr>
      <w:r w:rsidRPr="00B0259C">
        <w:rPr>
          <w:rFonts w:ascii="Calibri" w:eastAsia="Times New Roman" w:hAnsi="Calibri" w:cstheme="minorHAnsi"/>
          <w:b/>
          <w:bCs/>
        </w:rPr>
        <w:t>Consent for publication</w:t>
      </w:r>
    </w:p>
    <w:p w14:paraId="079DFF4C" w14:textId="3976CD2E" w:rsidR="00290C5F" w:rsidRPr="00290C5F" w:rsidRDefault="00290C5F" w:rsidP="00290C5F">
      <w:pPr>
        <w:autoSpaceDE w:val="0"/>
        <w:autoSpaceDN w:val="0"/>
        <w:adjustRightInd w:val="0"/>
        <w:spacing w:after="0" w:line="480" w:lineRule="auto"/>
        <w:rPr>
          <w:rFonts w:ascii="Calibri" w:eastAsia="Times New Roman" w:hAnsi="Calibri" w:cstheme="minorHAnsi"/>
        </w:rPr>
      </w:pPr>
      <w:r w:rsidRPr="00B0259C">
        <w:rPr>
          <w:rFonts w:ascii="Calibri" w:eastAsia="Times New Roman" w:hAnsi="Calibri" w:cstheme="minorHAnsi"/>
        </w:rPr>
        <w:t>Not applicable.</w:t>
      </w:r>
    </w:p>
    <w:p w14:paraId="540E4A73" w14:textId="77777777" w:rsidR="00290C5F" w:rsidRPr="00303C31" w:rsidRDefault="00290C5F" w:rsidP="00290C5F">
      <w:pPr>
        <w:autoSpaceDE w:val="0"/>
        <w:autoSpaceDN w:val="0"/>
        <w:adjustRightInd w:val="0"/>
        <w:spacing w:after="0" w:line="320" w:lineRule="atLeast"/>
        <w:rPr>
          <w:rFonts w:ascii="Calibri" w:hAnsi="Calibri" w:cs="Calibri"/>
          <w:b/>
          <w:bCs/>
        </w:rPr>
      </w:pPr>
      <w:r w:rsidRPr="00303C31">
        <w:rPr>
          <w:rFonts w:ascii="Calibri" w:hAnsi="Calibri" w:cs="Calibri"/>
          <w:b/>
          <w:bCs/>
        </w:rPr>
        <w:t xml:space="preserve">Availability of data and materials </w:t>
      </w:r>
    </w:p>
    <w:p w14:paraId="434B107E" w14:textId="77777777" w:rsidR="00290C5F" w:rsidRDefault="00290C5F" w:rsidP="00290C5F">
      <w:pPr>
        <w:autoSpaceDE w:val="0"/>
        <w:autoSpaceDN w:val="0"/>
        <w:adjustRightInd w:val="0"/>
        <w:spacing w:after="0" w:line="320" w:lineRule="atLeast"/>
        <w:rPr>
          <w:rFonts w:ascii="Calibri" w:hAnsi="Calibri" w:cs="Calibri"/>
        </w:rPr>
      </w:pPr>
    </w:p>
    <w:p w14:paraId="6CF37CF9" w14:textId="49C90354" w:rsidR="00290C5F" w:rsidRDefault="00290C5F" w:rsidP="00773B69">
      <w:pPr>
        <w:autoSpaceDE w:val="0"/>
        <w:autoSpaceDN w:val="0"/>
        <w:adjustRightInd w:val="0"/>
        <w:spacing w:after="0" w:line="320" w:lineRule="atLeast"/>
        <w:rPr>
          <w:rFonts w:ascii="Segoe UI" w:hAnsi="Segoe UI" w:cs="Segoe UI"/>
          <w:color w:val="333333"/>
          <w:sz w:val="27"/>
          <w:szCs w:val="27"/>
          <w:shd w:val="clear" w:color="auto" w:fill="FFFFFF"/>
        </w:rPr>
      </w:pPr>
      <w:r w:rsidRPr="007476B5">
        <w:rPr>
          <w:rFonts w:cstheme="minorHAnsi"/>
          <w:color w:val="333333"/>
          <w:shd w:val="clear" w:color="auto" w:fill="FFFFFF"/>
        </w:rPr>
        <w:t xml:space="preserve">The data for this the current study was used under a limited use data use agreement between The </w:t>
      </w:r>
      <w:r w:rsidRPr="007476B5">
        <w:rPr>
          <w:rFonts w:cstheme="minorHAnsi"/>
        </w:rPr>
        <w:t>Bradford Institute for Health Research</w:t>
      </w:r>
      <w:r w:rsidRPr="007476B5">
        <w:rPr>
          <w:rFonts w:cstheme="minorHAnsi"/>
          <w:color w:val="333333"/>
          <w:shd w:val="clear" w:color="auto" w:fill="FFFFFF"/>
        </w:rPr>
        <w:t xml:space="preserve"> and the University of Leeds. The data that support the findings of this study are available from the University of Leeds; but restrictions apply to the availability of these data because of the need to maintain participant confidentiality.</w:t>
      </w:r>
      <w:r>
        <w:rPr>
          <w:rFonts w:ascii="Georgia" w:hAnsi="Georgia"/>
          <w:color w:val="333333"/>
          <w:sz w:val="27"/>
          <w:szCs w:val="27"/>
          <w:shd w:val="clear" w:color="auto" w:fill="FFFFFF"/>
        </w:rPr>
        <w:t xml:space="preserve"> </w:t>
      </w:r>
      <w:r w:rsidR="00773B69" w:rsidRPr="00773B69">
        <w:rPr>
          <w:rFonts w:cstheme="minorHAnsi"/>
          <w:color w:val="333333"/>
          <w:shd w:val="clear" w:color="auto" w:fill="FFFFFF"/>
        </w:rPr>
        <w:t>The datasets used and/or analysed during the current study are available from the corresponding author on reasonable request.</w:t>
      </w:r>
    </w:p>
    <w:p w14:paraId="3F9185C8" w14:textId="77777777" w:rsidR="00773B69" w:rsidRDefault="00773B69" w:rsidP="00773B69">
      <w:pPr>
        <w:autoSpaceDE w:val="0"/>
        <w:autoSpaceDN w:val="0"/>
        <w:adjustRightInd w:val="0"/>
        <w:spacing w:after="0" w:line="320" w:lineRule="atLeast"/>
        <w:rPr>
          <w:rFonts w:eastAsia="Calibri" w:cstheme="minorHAnsi"/>
          <w:b/>
          <w:u w:val="single"/>
        </w:rPr>
      </w:pPr>
    </w:p>
    <w:p w14:paraId="43CED510" w14:textId="77777777" w:rsidR="00290C5F" w:rsidRDefault="00290C5F" w:rsidP="00290C5F">
      <w:pPr>
        <w:autoSpaceDE w:val="0"/>
        <w:autoSpaceDN w:val="0"/>
        <w:adjustRightInd w:val="0"/>
        <w:spacing w:after="0" w:line="480" w:lineRule="auto"/>
        <w:rPr>
          <w:rFonts w:ascii="Calibri" w:eastAsia="Times New Roman" w:hAnsi="Calibri" w:cstheme="minorHAnsi"/>
          <w:b/>
          <w:bCs/>
        </w:rPr>
      </w:pPr>
      <w:r w:rsidRPr="008E5AE6">
        <w:rPr>
          <w:rFonts w:ascii="Calibri" w:eastAsia="Times New Roman" w:hAnsi="Calibri" w:cstheme="minorHAnsi"/>
          <w:b/>
          <w:bCs/>
        </w:rPr>
        <w:t>Competing interests</w:t>
      </w:r>
    </w:p>
    <w:p w14:paraId="70D09410" w14:textId="77777777" w:rsidR="00290C5F" w:rsidRPr="00B0259C" w:rsidRDefault="00290C5F" w:rsidP="00290C5F">
      <w:pPr>
        <w:autoSpaceDE w:val="0"/>
        <w:autoSpaceDN w:val="0"/>
        <w:adjustRightInd w:val="0"/>
        <w:spacing w:after="0" w:line="480" w:lineRule="auto"/>
        <w:rPr>
          <w:rFonts w:ascii="Calibri" w:eastAsia="Times New Roman" w:hAnsi="Calibri" w:cstheme="minorHAnsi"/>
        </w:rPr>
      </w:pPr>
      <w:r w:rsidRPr="00B0259C">
        <w:rPr>
          <w:rFonts w:ascii="Calibri" w:eastAsia="Times New Roman" w:hAnsi="Calibri" w:cstheme="minorHAnsi"/>
        </w:rPr>
        <w:t>The authors declare no competing interests.</w:t>
      </w:r>
    </w:p>
    <w:p w14:paraId="5D63C44B" w14:textId="77777777" w:rsidR="00400C8E" w:rsidRPr="00CF53BD" w:rsidRDefault="00400C8E" w:rsidP="00400C8E">
      <w:pPr>
        <w:pStyle w:val="NormalWeb"/>
        <w:spacing w:before="0" w:beforeAutospacing="0" w:after="0" w:afterAutospacing="0" w:line="480" w:lineRule="auto"/>
        <w:rPr>
          <w:rFonts w:ascii="Calibri" w:hAnsi="Calibri" w:cs="Calibri"/>
          <w:b/>
          <w:bCs/>
          <w:color w:val="201F1E"/>
          <w:sz w:val="22"/>
          <w:szCs w:val="22"/>
        </w:rPr>
      </w:pPr>
      <w:r w:rsidRPr="00CF53BD">
        <w:rPr>
          <w:rFonts w:ascii="Calibri" w:hAnsi="Calibri" w:cs="Calibri"/>
          <w:b/>
          <w:bCs/>
          <w:color w:val="201F1E"/>
          <w:sz w:val="22"/>
          <w:szCs w:val="22"/>
        </w:rPr>
        <w:t>Funding</w:t>
      </w:r>
    </w:p>
    <w:p w14:paraId="576E611D" w14:textId="77777777" w:rsidR="00400C8E" w:rsidRDefault="00400C8E" w:rsidP="00400C8E">
      <w:pPr>
        <w:autoSpaceDE w:val="0"/>
        <w:autoSpaceDN w:val="0"/>
        <w:adjustRightInd w:val="0"/>
        <w:spacing w:after="0" w:line="480" w:lineRule="auto"/>
        <w:rPr>
          <w:rFonts w:cs="ScalaLancetPro"/>
        </w:rPr>
      </w:pPr>
      <w:r w:rsidRPr="001F4493">
        <w:rPr>
          <w:rFonts w:cstheme="minorHAnsi"/>
        </w:rPr>
        <w:t>This publication is independent research funded by the National Institute for Health Research (NIHR) Policy Research Programme (Assessing iodine status and associated health outcomes in British women during pregnancy, PR-R10-0514-11004). The views expressed are those of the authors and not necessarily those of the NIHR or the Department of Health and Social Care.</w:t>
      </w:r>
      <w:r w:rsidRPr="001F4493">
        <w:rPr>
          <w:rFonts w:cstheme="minorHAnsi"/>
          <w:lang w:val="en-US"/>
        </w:rPr>
        <w:t xml:space="preserve"> </w:t>
      </w:r>
      <w:r w:rsidRPr="006E4912">
        <w:rPr>
          <w:rFonts w:cs="ScalaLancetPro"/>
        </w:rPr>
        <w:t>The funder of the study played no role in study design, data collection, data analysis, data interpretation, or writing of the report. All authors had full access to all the data in the study and the corresponding authors had final responsibility for the decision to submit for publication.</w:t>
      </w:r>
    </w:p>
    <w:p w14:paraId="428FD994" w14:textId="77777777" w:rsidR="00D84673" w:rsidRPr="003475A6" w:rsidRDefault="00D84673" w:rsidP="00D84673">
      <w:pPr>
        <w:rPr>
          <w:rFonts w:eastAsia="Times New Roman" w:cstheme="minorHAnsi"/>
          <w:b/>
          <w:bCs/>
          <w:szCs w:val="24"/>
        </w:rPr>
      </w:pPr>
      <w:r w:rsidRPr="003475A6">
        <w:rPr>
          <w:rFonts w:eastAsia="Times New Roman" w:cstheme="minorHAnsi"/>
          <w:b/>
          <w:bCs/>
          <w:szCs w:val="24"/>
        </w:rPr>
        <w:t>Contributions</w:t>
      </w:r>
    </w:p>
    <w:p w14:paraId="239AE7D9" w14:textId="3974BDCA" w:rsidR="00D84673" w:rsidRPr="003475A6" w:rsidRDefault="00D84673" w:rsidP="00D84673">
      <w:pPr>
        <w:spacing w:line="480" w:lineRule="auto"/>
        <w:rPr>
          <w:rFonts w:eastAsia="Times New Roman" w:cstheme="minorHAnsi"/>
          <w:b/>
        </w:rPr>
      </w:pPr>
      <w:r w:rsidRPr="003475A6">
        <w:rPr>
          <w:rFonts w:eastAsia="Times New Roman" w:cstheme="minorHAnsi"/>
        </w:rPr>
        <w:t>DCG and LH conceived and designed the study and obtained funding, coordinated and take overall responsibility for the investigation. C</w:t>
      </w:r>
      <w:r w:rsidR="00924EEC">
        <w:rPr>
          <w:rFonts w:eastAsia="Times New Roman" w:cstheme="minorHAnsi"/>
        </w:rPr>
        <w:t>JP</w:t>
      </w:r>
      <w:r w:rsidRPr="003475A6">
        <w:rPr>
          <w:rFonts w:eastAsia="Times New Roman" w:cstheme="minorHAnsi"/>
        </w:rPr>
        <w:t xml:space="preserve">S, ET and SR performed laboratory analysis of urine samples for iodine and creatinine. AM and SM performed validation of initial urinary sample analysis accuracy. </w:t>
      </w:r>
      <w:r w:rsidRPr="003475A6">
        <w:t xml:space="preserve">DW, DM, AHW, MMW, BK, BJDW were involved with BiB data collection, preparation or interpretation. RA was the lab sample coordinator at the Bradford site. DM </w:t>
      </w:r>
      <w:r w:rsidRPr="003475A6">
        <w:rPr>
          <w:rFonts w:eastAsia="Times New Roman" w:cstheme="minorHAnsi"/>
        </w:rPr>
        <w:t xml:space="preserve">CK and DCG drafted the statistical analysis plan. </w:t>
      </w:r>
      <w:r w:rsidR="00924EEC">
        <w:rPr>
          <w:rFonts w:eastAsia="Times New Roman"/>
        </w:rPr>
        <w:t xml:space="preserve">DET contributed </w:t>
      </w:r>
      <w:r w:rsidR="009F47E3">
        <w:rPr>
          <w:rFonts w:eastAsia="Times New Roman"/>
        </w:rPr>
        <w:t xml:space="preserve">to </w:t>
      </w:r>
      <w:r w:rsidR="00924EEC">
        <w:rPr>
          <w:rFonts w:eastAsia="Times New Roman"/>
        </w:rPr>
        <w:t>data management</w:t>
      </w:r>
      <w:r w:rsidR="00924EEC">
        <w:rPr>
          <w:rFonts w:eastAsia="Times New Roman"/>
        </w:rPr>
        <w:t xml:space="preserve"> and </w:t>
      </w:r>
      <w:r w:rsidR="00924EEC">
        <w:rPr>
          <w:rFonts w:eastAsia="Times New Roman"/>
        </w:rPr>
        <w:t>aspects of the statistical analysis</w:t>
      </w:r>
      <w:r w:rsidR="00924EEC">
        <w:rPr>
          <w:rFonts w:eastAsia="Times New Roman"/>
        </w:rPr>
        <w:t>.</w:t>
      </w:r>
      <w:r w:rsidR="00924EEC">
        <w:rPr>
          <w:rFonts w:eastAsia="Times New Roman"/>
        </w:rPr>
        <w:br/>
      </w:r>
      <w:r w:rsidRPr="003475A6">
        <w:rPr>
          <w:rFonts w:eastAsia="Times New Roman" w:cstheme="minorHAnsi"/>
        </w:rPr>
        <w:t>KJC conducted statistical analysis</w:t>
      </w:r>
      <w:r w:rsidR="009F47E3">
        <w:rPr>
          <w:rFonts w:eastAsia="Times New Roman" w:cstheme="minorHAnsi"/>
        </w:rPr>
        <w:t xml:space="preserve"> and drafted the manuscript</w:t>
      </w:r>
      <w:r w:rsidRPr="003475A6">
        <w:rPr>
          <w:rFonts w:eastAsia="Times New Roman" w:cstheme="minorHAnsi"/>
        </w:rPr>
        <w:t xml:space="preserve">. </w:t>
      </w:r>
      <w:r w:rsidRPr="003475A6">
        <w:rPr>
          <w:rFonts w:eastAsia="Times New Roman" w:cstheme="minorHAnsi"/>
          <w:caps/>
        </w:rPr>
        <w:t xml:space="preserve">NAA, </w:t>
      </w:r>
      <w:r w:rsidRPr="003475A6">
        <w:rPr>
          <w:rFonts w:eastAsia="Times New Roman" w:cstheme="minorHAnsi"/>
        </w:rPr>
        <w:t xml:space="preserve">JEC, JW, PS and NABS are study co-investigators and had scientific input on the development of the funding proposal. MZ provided expert scientific advice, contributed to project steering group meetings and advised on study design </w:t>
      </w:r>
      <w:r w:rsidRPr="003475A6">
        <w:rPr>
          <w:rFonts w:eastAsia="Times New Roman" w:cstheme="minorHAnsi"/>
        </w:rPr>
        <w:lastRenderedPageBreak/>
        <w:t>and interpretation of results</w:t>
      </w:r>
      <w:r w:rsidR="009F47E3">
        <w:rPr>
          <w:rFonts w:eastAsia="Times New Roman" w:cstheme="minorHAnsi"/>
        </w:rPr>
        <w:t xml:space="preserve">. </w:t>
      </w:r>
      <w:bookmarkStart w:id="1" w:name="_GoBack"/>
      <w:bookmarkEnd w:id="1"/>
      <w:r w:rsidRPr="003475A6">
        <w:rPr>
          <w:rFonts w:eastAsia="Times New Roman" w:cstheme="minorHAnsi"/>
        </w:rPr>
        <w:t>All authors critically reviewed the manuscript and provided comments prior to submission.</w:t>
      </w:r>
    </w:p>
    <w:p w14:paraId="24C3E544" w14:textId="77777777" w:rsidR="005F62FF" w:rsidRPr="001F4493" w:rsidRDefault="005F62FF" w:rsidP="005F62FF">
      <w:pPr>
        <w:pStyle w:val="NormalWeb"/>
        <w:spacing w:before="0" w:beforeAutospacing="0" w:after="0" w:afterAutospacing="0" w:line="480" w:lineRule="auto"/>
        <w:rPr>
          <w:rFonts w:ascii="Calibri" w:hAnsi="Calibri" w:cs="Calibri"/>
          <w:b/>
          <w:bCs/>
          <w:color w:val="201F1E"/>
          <w:sz w:val="22"/>
          <w:szCs w:val="22"/>
        </w:rPr>
      </w:pPr>
      <w:r w:rsidRPr="001F4493">
        <w:rPr>
          <w:rFonts w:ascii="Calibri" w:hAnsi="Calibri" w:cs="Calibri"/>
          <w:b/>
          <w:bCs/>
          <w:color w:val="201F1E"/>
          <w:sz w:val="22"/>
          <w:szCs w:val="22"/>
        </w:rPr>
        <w:t xml:space="preserve">Acknowledgements </w:t>
      </w:r>
    </w:p>
    <w:p w14:paraId="7679939C" w14:textId="77777777" w:rsidR="00AA37D3" w:rsidRDefault="005F62FF" w:rsidP="00AA37D3">
      <w:r w:rsidRPr="001F4493">
        <w:t>Born in Bradford is only possible because of the enthusiasm and commitment of the Children and Parents in BiB. We are grateful to all the participants, health professionals and researchers who have made Born in Bradford happen.</w:t>
      </w:r>
    </w:p>
    <w:p w14:paraId="59E5920A" w14:textId="5177A81F" w:rsidR="00CB054A" w:rsidRPr="00AA37D3" w:rsidRDefault="00CB054A" w:rsidP="00AA37D3">
      <w:pPr>
        <w:rPr>
          <w:rFonts w:eastAsia="Times New Roman"/>
        </w:rPr>
      </w:pPr>
      <w:r w:rsidRPr="00AC365D">
        <w:rPr>
          <w:rFonts w:eastAsia="Calibri" w:cstheme="minorHAnsi"/>
          <w:b/>
          <w:u w:val="single"/>
        </w:rPr>
        <w:t>References</w:t>
      </w:r>
    </w:p>
    <w:p w14:paraId="0BE28545" w14:textId="77777777" w:rsidR="00467043" w:rsidRPr="00AC365D" w:rsidRDefault="00467043" w:rsidP="00467043">
      <w:pPr>
        <w:pStyle w:val="ListParagraph"/>
        <w:numPr>
          <w:ilvl w:val="0"/>
          <w:numId w:val="15"/>
        </w:numPr>
        <w:rPr>
          <w:rFonts w:asciiTheme="minorHAnsi" w:hAnsiTheme="minorHAnsi" w:cstheme="minorHAnsi"/>
        </w:rPr>
      </w:pPr>
      <w:r w:rsidRPr="00AC365D">
        <w:rPr>
          <w:rFonts w:asciiTheme="minorHAnsi" w:hAnsiTheme="minorHAnsi" w:cstheme="minorHAnsi"/>
        </w:rPr>
        <w:t>SACN. SACN STATEMENT ON IODINE AND HEALTH: Public Health England, 2014.</w:t>
      </w:r>
    </w:p>
    <w:p w14:paraId="0C1F4D4F" w14:textId="77777777" w:rsidR="00467043" w:rsidRPr="00AC365D" w:rsidRDefault="00467043" w:rsidP="00467043">
      <w:pPr>
        <w:pStyle w:val="ListParagraph"/>
        <w:numPr>
          <w:ilvl w:val="0"/>
          <w:numId w:val="15"/>
        </w:numPr>
        <w:rPr>
          <w:rStyle w:val="selectable"/>
          <w:rFonts w:asciiTheme="minorHAnsi" w:hAnsiTheme="minorHAnsi" w:cstheme="minorHAnsi"/>
        </w:rPr>
      </w:pPr>
      <w:r w:rsidRPr="00AC365D">
        <w:rPr>
          <w:rStyle w:val="selectable"/>
          <w:rFonts w:asciiTheme="minorHAnsi" w:hAnsiTheme="minorHAnsi" w:cstheme="minorHAnsi"/>
          <w:color w:val="000000"/>
          <w:lang w:val="en"/>
        </w:rPr>
        <w:t>Lavado-Autric R, Ausó E, García-Velasco J, del Carmen Arufe M, Escobar del Rey F, Berbel P et al. Early maternal hypothyroxinemia alters histogenesis and cerebral cortex cytoarchitecture of the progeny. Journal of Clinical Investigation. 2003;111(7):1073-1082.</w:t>
      </w:r>
    </w:p>
    <w:p w14:paraId="27E58DBE" w14:textId="77777777" w:rsidR="00467043" w:rsidRPr="00AC365D" w:rsidRDefault="00467043" w:rsidP="00467043">
      <w:pPr>
        <w:pStyle w:val="ListParagraph"/>
        <w:numPr>
          <w:ilvl w:val="0"/>
          <w:numId w:val="15"/>
        </w:numPr>
        <w:rPr>
          <w:rStyle w:val="selectable"/>
          <w:rFonts w:asciiTheme="minorHAnsi" w:hAnsiTheme="minorHAnsi" w:cstheme="minorHAnsi"/>
        </w:rPr>
      </w:pPr>
      <w:r w:rsidRPr="00AC365D">
        <w:rPr>
          <w:rStyle w:val="selectable"/>
          <w:rFonts w:asciiTheme="minorHAnsi" w:hAnsiTheme="minorHAnsi" w:cstheme="minorHAnsi"/>
          <w:color w:val="000000"/>
          <w:lang w:val="en"/>
        </w:rPr>
        <w:t>Ausó E, Lavado-Autric R, Cuevas E, del Rey F, Morreale de Escobar G, Berbel P. A Moderate and Transient Deficiency of Maternal Thyroid Function at the Beginning of Fetal Neocorticogenesis Alters Neuronal Migration. Endocrinology. 2004;145(9):4037-4047.</w:t>
      </w:r>
    </w:p>
    <w:p w14:paraId="2C7B74C9" w14:textId="77777777" w:rsidR="00467043" w:rsidRPr="00AC365D" w:rsidRDefault="00467043" w:rsidP="00467043">
      <w:pPr>
        <w:pStyle w:val="ListParagraph"/>
        <w:numPr>
          <w:ilvl w:val="0"/>
          <w:numId w:val="15"/>
        </w:numPr>
        <w:rPr>
          <w:rStyle w:val="selectable"/>
          <w:rFonts w:asciiTheme="minorHAnsi" w:hAnsiTheme="minorHAnsi" w:cstheme="minorHAnsi"/>
        </w:rPr>
      </w:pPr>
      <w:r w:rsidRPr="00AC365D">
        <w:rPr>
          <w:rStyle w:val="selectable"/>
          <w:rFonts w:asciiTheme="minorHAnsi" w:hAnsiTheme="minorHAnsi" w:cstheme="minorHAnsi"/>
          <w:color w:val="000000"/>
          <w:lang w:val="en"/>
        </w:rPr>
        <w:t>Escobar G, Obregón M, Rey F. Maternal thyroid hormones early in pregnancy and fetal brain development. Best Practice &amp; Research Clinical Endocrinology &amp; Metabolism. 2004;18(2):225-248.</w:t>
      </w:r>
    </w:p>
    <w:p w14:paraId="173C16CB" w14:textId="77777777" w:rsidR="00467043" w:rsidRPr="00AC365D" w:rsidRDefault="00467043" w:rsidP="00467043">
      <w:pPr>
        <w:pStyle w:val="ListParagraph"/>
        <w:numPr>
          <w:ilvl w:val="0"/>
          <w:numId w:val="15"/>
        </w:numPr>
        <w:rPr>
          <w:rStyle w:val="selectable"/>
          <w:rFonts w:asciiTheme="minorHAnsi" w:hAnsiTheme="minorHAnsi" w:cstheme="minorHAnsi"/>
        </w:rPr>
      </w:pPr>
      <w:r w:rsidRPr="00AC365D">
        <w:rPr>
          <w:rStyle w:val="selectable"/>
          <w:rFonts w:asciiTheme="minorHAnsi" w:hAnsiTheme="minorHAnsi" w:cstheme="minorHAnsi"/>
          <w:color w:val="000000"/>
          <w:lang w:val="en"/>
        </w:rPr>
        <w:t>Zimmermann M. The Importance of Adequate Iodine during Pregnancy and Infancy. World Review of Nutrition and Dietetics. :118-124.</w:t>
      </w:r>
    </w:p>
    <w:p w14:paraId="0A652803" w14:textId="77777777" w:rsidR="00CB054A" w:rsidRPr="00AC365D" w:rsidRDefault="00CB054A" w:rsidP="00CB054A">
      <w:pPr>
        <w:numPr>
          <w:ilvl w:val="0"/>
          <w:numId w:val="15"/>
        </w:numPr>
        <w:spacing w:after="0" w:line="320" w:lineRule="atLeast"/>
        <w:contextualSpacing/>
        <w:rPr>
          <w:rFonts w:eastAsia="Calibri" w:cstheme="minorHAnsi"/>
        </w:rPr>
      </w:pPr>
      <w:r w:rsidRPr="00AC365D">
        <w:rPr>
          <w:rFonts w:eastAsia="Calibri" w:cstheme="minorHAnsi"/>
          <w:color w:val="000000"/>
          <w:lang w:val="en"/>
        </w:rPr>
        <w:t xml:space="preserve">McCarrison R. Observations on Endemic Cretinism in the Chitral and Gilgit Valleys. </w:t>
      </w:r>
      <w:r w:rsidRPr="00AC365D">
        <w:rPr>
          <w:rFonts w:eastAsia="Calibri" w:cstheme="minorHAnsi"/>
          <w:i/>
          <w:color w:val="000000"/>
          <w:lang w:val="en"/>
        </w:rPr>
        <w:t>Proceedings of the Royal Society of Medicine</w:t>
      </w:r>
      <w:r w:rsidRPr="00AC365D">
        <w:rPr>
          <w:rFonts w:eastAsia="Calibri" w:cstheme="minorHAnsi"/>
          <w:color w:val="000000"/>
          <w:lang w:val="en"/>
        </w:rPr>
        <w:t>. 1909;2(Med_Sect):1-36.</w:t>
      </w:r>
    </w:p>
    <w:p w14:paraId="65BCBBE7" w14:textId="77777777" w:rsidR="00CB054A" w:rsidRPr="00AC365D" w:rsidRDefault="00CB054A" w:rsidP="00CB054A">
      <w:pPr>
        <w:numPr>
          <w:ilvl w:val="0"/>
          <w:numId w:val="15"/>
        </w:numPr>
        <w:spacing w:after="0" w:line="320" w:lineRule="atLeast"/>
        <w:contextualSpacing/>
        <w:rPr>
          <w:rFonts w:eastAsia="Calibri" w:cstheme="minorHAnsi"/>
        </w:rPr>
      </w:pPr>
      <w:r w:rsidRPr="00AC365D">
        <w:rPr>
          <w:rFonts w:eastAsia="Calibri" w:cstheme="minorHAnsi"/>
        </w:rPr>
        <w:t xml:space="preserve">Venkatesh Mannar MG. Making Salt Iodization Truly Universal by 2020. </w:t>
      </w:r>
      <w:r w:rsidRPr="00AC365D">
        <w:rPr>
          <w:rFonts w:eastAsia="Calibri" w:cstheme="minorHAnsi"/>
          <w:i/>
        </w:rPr>
        <w:t>IDD Newsletter May</w:t>
      </w:r>
      <w:r w:rsidRPr="00AC365D">
        <w:rPr>
          <w:rFonts w:eastAsia="Calibri" w:cstheme="minorHAnsi"/>
        </w:rPr>
        <w:t xml:space="preserve"> 2014.</w:t>
      </w:r>
    </w:p>
    <w:p w14:paraId="14816B55" w14:textId="77777777" w:rsidR="00CB054A" w:rsidRPr="00924EEC" w:rsidRDefault="00CB054A" w:rsidP="00CB054A">
      <w:pPr>
        <w:pStyle w:val="ListParagraph"/>
        <w:numPr>
          <w:ilvl w:val="0"/>
          <w:numId w:val="15"/>
        </w:numPr>
        <w:rPr>
          <w:rFonts w:asciiTheme="minorHAnsi" w:hAnsiTheme="minorHAnsi"/>
        </w:rPr>
      </w:pPr>
      <w:r w:rsidRPr="00924EEC">
        <w:rPr>
          <w:rFonts w:asciiTheme="minorHAnsi" w:hAnsiTheme="minorHAnsi"/>
        </w:rPr>
        <w:t xml:space="preserve">Abel, M.H.; Ystrom, E.; Caspersen, I.H.; Meltzer, H.M.; Aase, H.; Torheim, L.E.; Askeland, R.B.; Reichborn-Kjennerud, T.; Brantsæter, A.L. Maternal Iodine Intake and Offspring Attention-Deficit/Hyperactivity Disorder: Results from a Large Prospective Cohort Study. </w:t>
      </w:r>
      <w:r w:rsidRPr="00924EEC">
        <w:rPr>
          <w:rFonts w:asciiTheme="minorHAnsi" w:hAnsiTheme="minorHAnsi"/>
          <w:i/>
        </w:rPr>
        <w:t xml:space="preserve">Nutrients </w:t>
      </w:r>
      <w:r w:rsidRPr="00924EEC">
        <w:rPr>
          <w:rFonts w:asciiTheme="minorHAnsi" w:hAnsiTheme="minorHAnsi"/>
          <w:bCs/>
        </w:rPr>
        <w:t>2017</w:t>
      </w:r>
      <w:r w:rsidRPr="00924EEC">
        <w:rPr>
          <w:rFonts w:asciiTheme="minorHAnsi" w:hAnsiTheme="minorHAnsi"/>
        </w:rPr>
        <w:t>, 9, 1239.</w:t>
      </w:r>
    </w:p>
    <w:p w14:paraId="43FF4A42" w14:textId="77777777" w:rsidR="00CB054A" w:rsidRPr="00AC365D" w:rsidRDefault="00CB054A" w:rsidP="00CB054A">
      <w:pPr>
        <w:numPr>
          <w:ilvl w:val="0"/>
          <w:numId w:val="15"/>
        </w:numPr>
        <w:autoSpaceDE w:val="0"/>
        <w:autoSpaceDN w:val="0"/>
        <w:adjustRightInd w:val="0"/>
        <w:spacing w:after="0" w:line="320" w:lineRule="atLeast"/>
        <w:contextualSpacing/>
        <w:rPr>
          <w:rFonts w:eastAsia="Calibri" w:cstheme="minorHAnsi"/>
        </w:rPr>
      </w:pPr>
      <w:r w:rsidRPr="00AC365D">
        <w:rPr>
          <w:rFonts w:eastAsia="Calibri" w:cstheme="minorHAnsi"/>
        </w:rPr>
        <w:t xml:space="preserve">Abel, M.H.; Brandlistuen, R.E.; Caspersen, I.H.; Aase, H.; Torheim, L.E.; Meltzer, H.M.; Brantsaeter, A.L. Language delay and poorer school performance in children of mothers with inadequate iodine intake in pregnancy: Results from follow-up at 8 years in the Norwegian Mother and Child Cohort Study. </w:t>
      </w:r>
      <w:r w:rsidRPr="00AC365D">
        <w:rPr>
          <w:rFonts w:eastAsia="Calibri" w:cstheme="minorHAnsi"/>
          <w:i/>
        </w:rPr>
        <w:t>Eur. J. Nutr</w:t>
      </w:r>
      <w:r w:rsidRPr="00AC365D">
        <w:rPr>
          <w:rFonts w:eastAsia="Calibri" w:cstheme="minorHAnsi"/>
        </w:rPr>
        <w:t xml:space="preserve">. </w:t>
      </w:r>
      <w:r w:rsidRPr="00AC365D">
        <w:rPr>
          <w:rFonts w:eastAsia="Calibri" w:cstheme="minorHAnsi"/>
          <w:bCs/>
        </w:rPr>
        <w:t>2018</w:t>
      </w:r>
      <w:r w:rsidRPr="00AC365D">
        <w:rPr>
          <w:rFonts w:eastAsia="Calibri" w:cstheme="minorHAnsi"/>
        </w:rPr>
        <w:t>, 1–12.</w:t>
      </w:r>
    </w:p>
    <w:p w14:paraId="33D0B087" w14:textId="77777777" w:rsidR="00CB054A" w:rsidRPr="00AC365D" w:rsidRDefault="00CB054A" w:rsidP="00CB054A">
      <w:pPr>
        <w:numPr>
          <w:ilvl w:val="0"/>
          <w:numId w:val="15"/>
        </w:numPr>
        <w:autoSpaceDE w:val="0"/>
        <w:autoSpaceDN w:val="0"/>
        <w:adjustRightInd w:val="0"/>
        <w:spacing w:after="0" w:line="320" w:lineRule="atLeast"/>
        <w:contextualSpacing/>
        <w:rPr>
          <w:rFonts w:eastAsia="Calibri" w:cstheme="minorHAnsi"/>
        </w:rPr>
      </w:pPr>
      <w:r w:rsidRPr="00AC365D">
        <w:rPr>
          <w:rFonts w:eastAsia="Calibri" w:cstheme="minorHAnsi"/>
        </w:rPr>
        <w:t xml:space="preserve">American Psychiatric Association. </w:t>
      </w:r>
      <w:r w:rsidRPr="00AC365D">
        <w:rPr>
          <w:rFonts w:eastAsia="Calibri" w:cstheme="minorHAnsi"/>
          <w:i/>
        </w:rPr>
        <w:t>Diagnostic and Statistical Manual of Mental Disorders</w:t>
      </w:r>
      <w:r w:rsidRPr="00AC365D">
        <w:rPr>
          <w:rFonts w:eastAsia="Calibri" w:cstheme="minorHAnsi"/>
        </w:rPr>
        <w:t>, 5th ed.; APA: Washington, DC, USA, 2013.</w:t>
      </w:r>
    </w:p>
    <w:p w14:paraId="6810E9C1" w14:textId="77777777" w:rsidR="00CB054A" w:rsidRPr="00AC365D" w:rsidRDefault="00CB054A" w:rsidP="00CB054A">
      <w:pPr>
        <w:numPr>
          <w:ilvl w:val="0"/>
          <w:numId w:val="15"/>
        </w:numPr>
        <w:autoSpaceDE w:val="0"/>
        <w:autoSpaceDN w:val="0"/>
        <w:adjustRightInd w:val="0"/>
        <w:spacing w:after="0" w:line="320" w:lineRule="atLeast"/>
        <w:contextualSpacing/>
        <w:rPr>
          <w:rFonts w:eastAsia="Calibri" w:cstheme="minorHAnsi"/>
        </w:rPr>
      </w:pPr>
      <w:r w:rsidRPr="00AC365D">
        <w:rPr>
          <w:rFonts w:eastAsia="Calibri" w:cstheme="minorHAnsi"/>
          <w:color w:val="000000"/>
          <w:lang w:val="en"/>
        </w:rPr>
        <w:t xml:space="preserve">Sullivan K. Iodine deficiency as a cause of autism. </w:t>
      </w:r>
      <w:r w:rsidRPr="00AC365D">
        <w:rPr>
          <w:rFonts w:eastAsia="Calibri" w:cstheme="minorHAnsi"/>
          <w:i/>
          <w:color w:val="000000"/>
          <w:lang w:val="en"/>
        </w:rPr>
        <w:t>Journal of the Neurological Sciences</w:t>
      </w:r>
      <w:r w:rsidRPr="00AC365D">
        <w:rPr>
          <w:rFonts w:eastAsia="Calibri" w:cstheme="minorHAnsi"/>
          <w:color w:val="000000"/>
          <w:lang w:val="en"/>
        </w:rPr>
        <w:t>. 2009;276(1-2):202.</w:t>
      </w:r>
    </w:p>
    <w:p w14:paraId="6BE49296" w14:textId="43756E54" w:rsidR="00CB054A" w:rsidRPr="00924EEC" w:rsidRDefault="00CB054A" w:rsidP="00CB054A">
      <w:pPr>
        <w:numPr>
          <w:ilvl w:val="0"/>
          <w:numId w:val="15"/>
        </w:numPr>
        <w:spacing w:after="0" w:line="320" w:lineRule="atLeast"/>
        <w:contextualSpacing/>
        <w:rPr>
          <w:rFonts w:eastAsia="Calibri" w:cstheme="minorHAnsi"/>
        </w:rPr>
      </w:pPr>
      <w:r w:rsidRPr="00AC365D">
        <w:rPr>
          <w:rFonts w:eastAsia="Calibri" w:cstheme="minorHAnsi"/>
          <w:color w:val="000000"/>
          <w:lang w:val="en"/>
        </w:rPr>
        <w:t xml:space="preserve">Román G. Autism: Transient in utero hypothyroxinemia related to maternal flavonoid ingestion during pregnancy and to other environmental antithyroid agents. </w:t>
      </w:r>
      <w:r w:rsidRPr="00AC365D">
        <w:rPr>
          <w:rFonts w:eastAsia="Calibri" w:cstheme="minorHAnsi"/>
          <w:i/>
          <w:color w:val="000000"/>
          <w:lang w:val="en"/>
        </w:rPr>
        <w:t>Journal of the Neurological Sciences</w:t>
      </w:r>
      <w:r w:rsidRPr="00AC365D">
        <w:rPr>
          <w:rFonts w:eastAsia="Calibri" w:cstheme="minorHAnsi"/>
          <w:color w:val="000000"/>
          <w:lang w:val="en"/>
        </w:rPr>
        <w:t>. 2007;262(1-2):15-26.</w:t>
      </w:r>
    </w:p>
    <w:p w14:paraId="0B167053" w14:textId="79432D61" w:rsidR="007757DF" w:rsidRPr="00AC365D" w:rsidRDefault="007757DF" w:rsidP="00CB054A">
      <w:pPr>
        <w:numPr>
          <w:ilvl w:val="0"/>
          <w:numId w:val="15"/>
        </w:numPr>
        <w:spacing w:after="0" w:line="320" w:lineRule="atLeast"/>
        <w:contextualSpacing/>
        <w:rPr>
          <w:rFonts w:eastAsia="Calibri" w:cstheme="minorHAnsi"/>
        </w:rPr>
      </w:pPr>
      <w:r w:rsidRPr="00924EEC">
        <w:rPr>
          <w:rFonts w:cs="Arial"/>
          <w:color w:val="000000"/>
          <w:shd w:val="clear" w:color="auto" w:fill="FFFFFF"/>
        </w:rPr>
        <w:t>Pan Y, Wu N, Yuan X. Toward a Better Understanding of Neuronal Migration Deficits in Autism Spectrum Disorders. Frontiers in Cell and Developmental Biology. 2019;7.</w:t>
      </w:r>
    </w:p>
    <w:p w14:paraId="3AD87FE6" w14:textId="77777777" w:rsidR="00CB054A" w:rsidRPr="00AC365D" w:rsidRDefault="00CB054A" w:rsidP="00CB054A">
      <w:pPr>
        <w:numPr>
          <w:ilvl w:val="0"/>
          <w:numId w:val="15"/>
        </w:numPr>
        <w:suppressAutoHyphens/>
        <w:spacing w:after="0" w:line="320" w:lineRule="atLeast"/>
        <w:rPr>
          <w:rFonts w:eastAsia="Calibri" w:cstheme="minorHAnsi"/>
          <w:lang w:val="en"/>
        </w:rPr>
      </w:pPr>
      <w:r w:rsidRPr="00AC365D">
        <w:rPr>
          <w:rFonts w:eastAsia="Calibri" w:cstheme="minorHAnsi"/>
          <w:lang w:val="en"/>
        </w:rPr>
        <w:lastRenderedPageBreak/>
        <w:t>Román  GC, Ghassabian  A, Bongers-Schokking  JJ,  et al.  Association of gestational maternal hypothyroxinemia and increased autism risk. </w:t>
      </w:r>
      <w:r w:rsidRPr="00AC365D">
        <w:rPr>
          <w:rFonts w:eastAsia="Calibri" w:cstheme="minorHAnsi"/>
          <w:i/>
          <w:iCs/>
          <w:lang w:val="en"/>
        </w:rPr>
        <w:t> Ann Neurol</w:t>
      </w:r>
      <w:r w:rsidRPr="00AC365D">
        <w:rPr>
          <w:rFonts w:eastAsia="Calibri" w:cstheme="minorHAnsi"/>
          <w:lang w:val="en"/>
        </w:rPr>
        <w:t xml:space="preserve">. 2013;74(5):733-742. </w:t>
      </w:r>
    </w:p>
    <w:p w14:paraId="1EAF7AB1" w14:textId="77777777" w:rsidR="00CB054A" w:rsidRPr="00AC365D" w:rsidRDefault="00CB054A" w:rsidP="00CB054A">
      <w:pPr>
        <w:numPr>
          <w:ilvl w:val="0"/>
          <w:numId w:val="15"/>
        </w:numPr>
        <w:suppressAutoHyphens/>
        <w:spacing w:after="0" w:line="320" w:lineRule="atLeast"/>
        <w:rPr>
          <w:rFonts w:eastAsia="Calibri" w:cstheme="minorHAnsi"/>
          <w:lang w:val="en"/>
        </w:rPr>
      </w:pPr>
      <w:r w:rsidRPr="00AC365D">
        <w:rPr>
          <w:rFonts w:eastAsia="Calibri" w:cstheme="minorHAnsi"/>
          <w:color w:val="000000"/>
          <w:lang w:val="en"/>
        </w:rPr>
        <w:t xml:space="preserve">Getahun D, Jacobsen S, Fassett M, Wing D, Xiang A, Chiu V et al. </w:t>
      </w:r>
      <w:bookmarkStart w:id="2" w:name="_Hlk50648681"/>
      <w:r w:rsidRPr="00AC365D">
        <w:rPr>
          <w:rFonts w:eastAsia="Calibri" w:cstheme="minorHAnsi"/>
          <w:color w:val="000000"/>
          <w:lang w:val="en"/>
        </w:rPr>
        <w:t xml:space="preserve">Association between maternal hypothyroidism and autism spectrum disorders in children. </w:t>
      </w:r>
      <w:r w:rsidRPr="00AC365D">
        <w:rPr>
          <w:rFonts w:eastAsia="Calibri" w:cstheme="minorHAnsi"/>
          <w:i/>
          <w:color w:val="000000"/>
          <w:lang w:val="en"/>
        </w:rPr>
        <w:t>Pediatric Research</w:t>
      </w:r>
      <w:r w:rsidRPr="00AC365D">
        <w:rPr>
          <w:rFonts w:eastAsia="Calibri" w:cstheme="minorHAnsi"/>
          <w:color w:val="000000"/>
          <w:lang w:val="en"/>
        </w:rPr>
        <w:t>. 2018;83(3):580-588.</w:t>
      </w:r>
    </w:p>
    <w:bookmarkEnd w:id="2"/>
    <w:p w14:paraId="75FB3FFD" w14:textId="4966373F" w:rsidR="00CB054A" w:rsidRPr="00924EEC" w:rsidRDefault="00CB054A" w:rsidP="00CB054A">
      <w:pPr>
        <w:numPr>
          <w:ilvl w:val="0"/>
          <w:numId w:val="15"/>
        </w:numPr>
        <w:suppressAutoHyphens/>
        <w:spacing w:after="0" w:line="320" w:lineRule="atLeast"/>
        <w:rPr>
          <w:rFonts w:eastAsia="Calibri" w:cstheme="minorHAnsi"/>
          <w:lang w:val="en"/>
        </w:rPr>
      </w:pPr>
      <w:r w:rsidRPr="00AC365D">
        <w:rPr>
          <w:rFonts w:eastAsia="Calibri" w:cstheme="minorHAnsi"/>
          <w:color w:val="000000"/>
          <w:lang w:val="en"/>
        </w:rPr>
        <w:t xml:space="preserve">Andersen S, Andersen S, Vestergaard P, Olsen J. Maternal Thyroid Function in Early Pregnancy and Child Neurodevelopmental Disorders: A Danish Nationwide Case-Cohort Study. </w:t>
      </w:r>
      <w:r w:rsidRPr="00AC365D">
        <w:rPr>
          <w:rFonts w:eastAsia="Calibri" w:cstheme="minorHAnsi"/>
          <w:i/>
          <w:color w:val="000000"/>
          <w:lang w:val="en"/>
        </w:rPr>
        <w:t>Thyroid</w:t>
      </w:r>
      <w:r w:rsidRPr="00AC365D">
        <w:rPr>
          <w:rFonts w:eastAsia="Calibri" w:cstheme="minorHAnsi"/>
          <w:color w:val="000000"/>
          <w:lang w:val="en"/>
        </w:rPr>
        <w:t>. 2018;28(4):537-546.</w:t>
      </w:r>
    </w:p>
    <w:p w14:paraId="7162377D" w14:textId="2F4E5A10" w:rsidR="007757DF" w:rsidRPr="00AC365D" w:rsidRDefault="007757DF" w:rsidP="00CB054A">
      <w:pPr>
        <w:numPr>
          <w:ilvl w:val="0"/>
          <w:numId w:val="15"/>
        </w:numPr>
        <w:suppressAutoHyphens/>
        <w:spacing w:after="0" w:line="320" w:lineRule="atLeast"/>
        <w:rPr>
          <w:rFonts w:eastAsia="Calibri" w:cstheme="minorHAnsi"/>
          <w:lang w:val="en"/>
        </w:rPr>
      </w:pPr>
      <w:r w:rsidRPr="00924EEC">
        <w:rPr>
          <w:rFonts w:cs="Arial"/>
          <w:color w:val="000000"/>
          <w:shd w:val="clear" w:color="auto" w:fill="FFFFFF"/>
        </w:rPr>
        <w:t>Levie D, Bath S, Guxens M, Korevaar T, Dineva M, Fano E et al. Maternal Iodine Status During Pregnancy Is Not Consistently Associated with Attention-Deficit Hyperactivity Disorder or Autistic Traits in Children. The Journal of Nutrition. 2020;150(6):1516-1528.</w:t>
      </w:r>
    </w:p>
    <w:p w14:paraId="0BFC1EDE" w14:textId="641BAAAA" w:rsidR="00981E71" w:rsidRPr="00924EEC" w:rsidRDefault="00981E71">
      <w:pPr>
        <w:numPr>
          <w:ilvl w:val="0"/>
          <w:numId w:val="15"/>
        </w:numPr>
        <w:spacing w:after="0" w:line="320" w:lineRule="atLeast"/>
        <w:contextualSpacing/>
        <w:rPr>
          <w:rFonts w:eastAsia="Calibri" w:cstheme="minorHAnsi"/>
        </w:rPr>
      </w:pPr>
      <w:r w:rsidRPr="00AC365D">
        <w:rPr>
          <w:rFonts w:eastAsia="Calibri" w:cstheme="minorHAnsi"/>
        </w:rPr>
        <w:t xml:space="preserve">Roberts C, Steer T, Maplethorpe N, et al. National Diet and Nutrition Survey. Results from Years 7 and 8 (combined) of the Rolling Programme (2014/2015 to 2015/2016). A survey carried out on behalf of Public Health England and the Food Standards Agency. </w:t>
      </w:r>
      <w:hyperlink r:id="rId13" w:history="1">
        <w:r w:rsidRPr="00AC365D">
          <w:rPr>
            <w:rFonts w:eastAsia="Calibri" w:cstheme="minorHAnsi"/>
          </w:rPr>
          <w:t>https://assets.publishing.service.gov.uk/government/uploads/system/uploads/attachment_data/file/699241/NDNS_results_years_7_and_8.pdf</w:t>
        </w:r>
      </w:hyperlink>
      <w:r w:rsidRPr="00AC365D">
        <w:rPr>
          <w:rFonts w:eastAsia="Calibri" w:cstheme="minorHAnsi"/>
        </w:rPr>
        <w:t xml:space="preserve"> London: Public Health England; 2018.</w:t>
      </w:r>
    </w:p>
    <w:p w14:paraId="294DA327" w14:textId="4144116A" w:rsidR="00CB054A" w:rsidRPr="00AC365D" w:rsidRDefault="00833FF4" w:rsidP="00CB054A">
      <w:pPr>
        <w:numPr>
          <w:ilvl w:val="0"/>
          <w:numId w:val="15"/>
        </w:numPr>
        <w:spacing w:after="0" w:line="320" w:lineRule="atLeast"/>
        <w:contextualSpacing/>
        <w:rPr>
          <w:rFonts w:eastAsia="Calibri" w:cstheme="minorHAnsi"/>
        </w:rPr>
      </w:pPr>
      <w:r w:rsidRPr="00924EEC">
        <w:rPr>
          <w:rFonts w:cstheme="minorHAnsi"/>
          <w:color w:val="000000"/>
          <w:shd w:val="clear" w:color="auto" w:fill="FFFFFF"/>
        </w:rPr>
        <w:t>Bath S, Rayman M. A review of the iodine status of UK pregnant women and its implications for the offspring. Environmental Geochemistry and Health. 2015;37(4):619-629.</w:t>
      </w:r>
      <w:r w:rsidRPr="00AC365D" w:rsidDel="00833FF4">
        <w:rPr>
          <w:rFonts w:eastAsia="Calibri" w:cstheme="minorHAnsi"/>
        </w:rPr>
        <w:t xml:space="preserve"> </w:t>
      </w:r>
      <w:r w:rsidR="00CB054A" w:rsidRPr="00AC365D">
        <w:rPr>
          <w:rFonts w:eastAsia="Calibri" w:cstheme="minorHAnsi"/>
        </w:rPr>
        <w:t xml:space="preserve">WHO. </w:t>
      </w:r>
    </w:p>
    <w:p w14:paraId="4B9C3C5F" w14:textId="49C61E5C" w:rsidR="00B90FCD" w:rsidRPr="00AC365D" w:rsidRDefault="00DB3D7B" w:rsidP="00924EEC">
      <w:pPr>
        <w:pStyle w:val="ListParagraph"/>
        <w:numPr>
          <w:ilvl w:val="0"/>
          <w:numId w:val="15"/>
        </w:numPr>
        <w:rPr>
          <w:rFonts w:cstheme="minorHAnsi"/>
        </w:rPr>
      </w:pPr>
      <w:r w:rsidRPr="00924EEC">
        <w:rPr>
          <w:rFonts w:asciiTheme="minorHAnsi" w:hAnsiTheme="minorHAnsi" w:cstheme="minorHAnsi"/>
        </w:rPr>
        <w:t xml:space="preserve">WHO. Assessment of iodine deficiency disorders and monitoring their elimination. A guide for programme managers. </w:t>
      </w:r>
      <w:hyperlink r:id="rId14" w:history="1">
        <w:r w:rsidRPr="00924EEC">
          <w:rPr>
            <w:rFonts w:asciiTheme="minorHAnsi" w:hAnsiTheme="minorHAnsi" w:cstheme="minorHAnsi"/>
          </w:rPr>
          <w:t>http://apps.who.int/iris/bitstream/ha dle/10665/43781/9789241595827_eng.pdf;jsessionid=48BBCC8BC3F9568251A8188D7DB301CF?sequence=1</w:t>
        </w:r>
      </w:hyperlink>
      <w:r w:rsidRPr="00924EEC">
        <w:rPr>
          <w:rFonts w:asciiTheme="minorHAnsi" w:hAnsiTheme="minorHAnsi" w:cstheme="minorHAnsi"/>
        </w:rPr>
        <w:t>. Third ed. France: World Health Organization; 2007.</w:t>
      </w:r>
    </w:p>
    <w:p w14:paraId="44E4BADF" w14:textId="29CA9F32" w:rsidR="00B90FCD" w:rsidRPr="00AC365D" w:rsidRDefault="00CB054A" w:rsidP="00924EEC">
      <w:pPr>
        <w:numPr>
          <w:ilvl w:val="0"/>
          <w:numId w:val="15"/>
        </w:numPr>
        <w:suppressAutoHyphens/>
        <w:spacing w:after="0" w:line="320" w:lineRule="atLeast"/>
        <w:rPr>
          <w:rFonts w:cstheme="minorHAnsi"/>
          <w:noProof/>
          <w:lang w:val="en-US"/>
        </w:rPr>
      </w:pPr>
      <w:r w:rsidRPr="00AC365D">
        <w:rPr>
          <w:rFonts w:eastAsia="Calibri" w:cstheme="minorHAnsi"/>
        </w:rPr>
        <w:t xml:space="preserve">Wright J, Small N, Raynor P, et al. Cohort Profile: the Born in Bradford multi-ethnic family cohort study. </w:t>
      </w:r>
      <w:r w:rsidRPr="00AC365D">
        <w:rPr>
          <w:rFonts w:eastAsia="Calibri" w:cstheme="minorHAnsi"/>
          <w:i/>
        </w:rPr>
        <w:t xml:space="preserve">International </w:t>
      </w:r>
      <w:r w:rsidR="00095729">
        <w:rPr>
          <w:rFonts w:eastAsia="Calibri" w:cstheme="minorHAnsi"/>
          <w:i/>
        </w:rPr>
        <w:t>J</w:t>
      </w:r>
      <w:r w:rsidR="00095729" w:rsidRPr="00AC365D">
        <w:rPr>
          <w:rFonts w:eastAsia="Calibri" w:cstheme="minorHAnsi"/>
          <w:i/>
        </w:rPr>
        <w:t xml:space="preserve">ournal </w:t>
      </w:r>
      <w:r w:rsidRPr="00AC365D">
        <w:rPr>
          <w:rFonts w:eastAsia="Calibri" w:cstheme="minorHAnsi"/>
          <w:i/>
        </w:rPr>
        <w:t xml:space="preserve">of </w:t>
      </w:r>
      <w:r w:rsidR="00095729">
        <w:rPr>
          <w:rFonts w:eastAsia="Calibri" w:cstheme="minorHAnsi"/>
          <w:i/>
        </w:rPr>
        <w:t>E</w:t>
      </w:r>
      <w:r w:rsidRPr="00AC365D">
        <w:rPr>
          <w:rFonts w:eastAsia="Calibri" w:cstheme="minorHAnsi"/>
          <w:i/>
        </w:rPr>
        <w:t>pidemiology</w:t>
      </w:r>
      <w:r w:rsidRPr="00AC365D">
        <w:rPr>
          <w:rFonts w:eastAsia="Calibri" w:cstheme="minorHAnsi"/>
        </w:rPr>
        <w:t xml:space="preserve"> 2013; </w:t>
      </w:r>
      <w:r w:rsidRPr="00AC365D">
        <w:rPr>
          <w:rFonts w:eastAsia="Calibri" w:cstheme="minorHAnsi"/>
          <w:b/>
        </w:rPr>
        <w:t>42</w:t>
      </w:r>
      <w:r w:rsidRPr="00AC365D">
        <w:rPr>
          <w:rFonts w:eastAsia="Calibri" w:cstheme="minorHAnsi"/>
        </w:rPr>
        <w:t>(4): 978-91.</w:t>
      </w:r>
    </w:p>
    <w:p w14:paraId="10CF8316" w14:textId="068C0692" w:rsidR="00CB054A" w:rsidRPr="00AC365D" w:rsidRDefault="00CB054A" w:rsidP="00924EEC">
      <w:pPr>
        <w:numPr>
          <w:ilvl w:val="0"/>
          <w:numId w:val="15"/>
        </w:numPr>
        <w:spacing w:after="0" w:line="320" w:lineRule="atLeast"/>
        <w:rPr>
          <w:rFonts w:cstheme="minorHAnsi"/>
          <w:noProof/>
          <w:lang w:val="en-US"/>
        </w:rPr>
      </w:pPr>
      <w:r w:rsidRPr="00AC365D">
        <w:rPr>
          <w:rFonts w:cstheme="minorHAnsi"/>
          <w:noProof/>
          <w:lang w:val="en-US"/>
        </w:rPr>
        <w:t xml:space="preserve">Caldwell KL, Makhmudov A, Jones RL, Hollowell JG. EQUIP: A worldwide program to ensure the quality of urinary iodine procedures. </w:t>
      </w:r>
      <w:r w:rsidRPr="00AC365D">
        <w:rPr>
          <w:rFonts w:cstheme="minorHAnsi"/>
          <w:i/>
          <w:noProof/>
          <w:lang w:val="en-US"/>
        </w:rPr>
        <w:t>Accreditation and Quality Assurance</w:t>
      </w:r>
      <w:r w:rsidRPr="00AC365D">
        <w:rPr>
          <w:rFonts w:cstheme="minorHAnsi"/>
          <w:noProof/>
          <w:lang w:val="en-US"/>
        </w:rPr>
        <w:t xml:space="preserve"> 2005; </w:t>
      </w:r>
      <w:r w:rsidRPr="00AC365D">
        <w:rPr>
          <w:rFonts w:cstheme="minorHAnsi"/>
          <w:b/>
          <w:noProof/>
          <w:lang w:val="en-US"/>
        </w:rPr>
        <w:t>10</w:t>
      </w:r>
      <w:r w:rsidRPr="00AC365D">
        <w:rPr>
          <w:rFonts w:cstheme="minorHAnsi"/>
          <w:noProof/>
          <w:lang w:val="en-US"/>
        </w:rPr>
        <w:t>(7): 356-61.</w:t>
      </w:r>
    </w:p>
    <w:p w14:paraId="03E4A23C" w14:textId="77777777" w:rsidR="00CB054A" w:rsidRPr="00924EEC" w:rsidRDefault="00CB054A" w:rsidP="00924EEC">
      <w:pPr>
        <w:pStyle w:val="ListParagraph"/>
        <w:numPr>
          <w:ilvl w:val="0"/>
          <w:numId w:val="15"/>
        </w:numPr>
        <w:rPr>
          <w:rFonts w:asciiTheme="minorHAnsi" w:hAnsiTheme="minorHAnsi"/>
          <w:lang w:val="en"/>
        </w:rPr>
      </w:pPr>
      <w:r w:rsidRPr="00924EEC">
        <w:rPr>
          <w:rFonts w:asciiTheme="minorHAnsi" w:hAnsiTheme="minorHAnsi" w:cstheme="minorHAnsi"/>
          <w:color w:val="000000"/>
          <w:lang w:val="en"/>
        </w:rPr>
        <w:t xml:space="preserve">Read Code System Classification Details [Internet]. NHS Digital. 2017 [cited 31 December 2019]. Available from: </w:t>
      </w:r>
      <w:hyperlink r:id="rId15" w:history="1">
        <w:r w:rsidRPr="00924EEC">
          <w:rPr>
            <w:rFonts w:asciiTheme="minorHAnsi" w:hAnsiTheme="minorHAnsi" w:cstheme="minorHAnsi"/>
            <w:color w:val="0000FF"/>
            <w:lang w:val="en"/>
          </w:rPr>
          <w:t>https://digital.nhs.uk/services/terminology-and-classifications/read-codes</w:t>
        </w:r>
      </w:hyperlink>
    </w:p>
    <w:p w14:paraId="753096F5" w14:textId="77777777" w:rsidR="00CB054A" w:rsidRPr="00AC365D" w:rsidRDefault="00CB054A" w:rsidP="00924EEC">
      <w:pPr>
        <w:numPr>
          <w:ilvl w:val="0"/>
          <w:numId w:val="15"/>
        </w:numPr>
        <w:suppressAutoHyphens/>
        <w:spacing w:after="0" w:line="320" w:lineRule="atLeast"/>
        <w:rPr>
          <w:rFonts w:eastAsia="Calibri" w:cstheme="minorHAnsi"/>
          <w:color w:val="000000" w:themeColor="text1"/>
        </w:rPr>
      </w:pPr>
      <w:r w:rsidRPr="00924EEC">
        <w:rPr>
          <w:rFonts w:eastAsia="Calibri" w:cs="Times New Roman"/>
        </w:rPr>
        <w:t xml:space="preserve">Hagberg KW, Jick SS. Validation of autism spectrum disorder diagnoses recorded in the clinical practice research Datalink, 1990- 2014. </w:t>
      </w:r>
      <w:r w:rsidRPr="00AC365D">
        <w:rPr>
          <w:rFonts w:eastAsia="Calibri" w:cstheme="minorHAnsi"/>
          <w:i/>
          <w:iCs/>
          <w:color w:val="000000" w:themeColor="text1"/>
        </w:rPr>
        <w:t xml:space="preserve">Clin Epidemiol </w:t>
      </w:r>
      <w:r w:rsidRPr="00AC365D">
        <w:rPr>
          <w:rFonts w:eastAsia="Calibri" w:cstheme="minorHAnsi"/>
          <w:color w:val="000000" w:themeColor="text1"/>
        </w:rPr>
        <w:t>2017;9:475–82.</w:t>
      </w:r>
    </w:p>
    <w:p w14:paraId="641C39ED" w14:textId="77777777" w:rsidR="00CB054A" w:rsidRPr="00AC365D" w:rsidRDefault="00CB054A" w:rsidP="00924EEC">
      <w:pPr>
        <w:numPr>
          <w:ilvl w:val="0"/>
          <w:numId w:val="15"/>
        </w:numPr>
        <w:spacing w:after="0" w:line="320" w:lineRule="atLeast"/>
        <w:rPr>
          <w:rFonts w:cstheme="minorHAnsi"/>
        </w:rPr>
      </w:pPr>
      <w:r w:rsidRPr="00AC365D">
        <w:rPr>
          <w:rFonts w:eastAsia="Times New Roman" w:cs="Arial"/>
          <w:color w:val="000000"/>
          <w:shd w:val="clear" w:color="auto" w:fill="FFFFFF"/>
        </w:rPr>
        <w:t xml:space="preserve">Gauthier J, Wu Q, Gooley T. Cubic splines to model relationships between continuous variables and outcomes: a guide for clinicians. </w:t>
      </w:r>
      <w:r w:rsidRPr="00924EEC">
        <w:rPr>
          <w:rFonts w:eastAsia="Times New Roman" w:cs="Arial"/>
          <w:i/>
          <w:iCs/>
          <w:color w:val="000000"/>
          <w:shd w:val="clear" w:color="auto" w:fill="FFFFFF"/>
        </w:rPr>
        <w:t>Bone Marrow Transplantation</w:t>
      </w:r>
      <w:r w:rsidRPr="00AC365D">
        <w:rPr>
          <w:rFonts w:eastAsia="Times New Roman" w:cs="Arial"/>
          <w:color w:val="000000"/>
          <w:shd w:val="clear" w:color="auto" w:fill="FFFFFF"/>
        </w:rPr>
        <w:t>. 2019;55(4):675-680.</w:t>
      </w:r>
    </w:p>
    <w:p w14:paraId="29E71BEE" w14:textId="7AD05703" w:rsidR="00CB054A" w:rsidRPr="00AC365D" w:rsidRDefault="00CB054A" w:rsidP="00924EEC">
      <w:pPr>
        <w:numPr>
          <w:ilvl w:val="0"/>
          <w:numId w:val="15"/>
        </w:numPr>
        <w:spacing w:after="0" w:line="320" w:lineRule="atLeast"/>
        <w:rPr>
          <w:rFonts w:cstheme="minorHAnsi"/>
        </w:rPr>
      </w:pPr>
      <w:r w:rsidRPr="00AC365D">
        <w:rPr>
          <w:rFonts w:cstheme="minorHAnsi"/>
          <w:noProof/>
          <w:lang w:val="en-US"/>
        </w:rPr>
        <w:t xml:space="preserve">White IR, Royston P, Wood AM. Multiple imputation using chained equations: Issues and guidance for practice. </w:t>
      </w:r>
      <w:r w:rsidRPr="00AC365D">
        <w:rPr>
          <w:rFonts w:cstheme="minorHAnsi"/>
          <w:i/>
          <w:noProof/>
          <w:lang w:val="en-US"/>
        </w:rPr>
        <w:t xml:space="preserve">Statistics in </w:t>
      </w:r>
      <w:r w:rsidR="00095729">
        <w:rPr>
          <w:rFonts w:cstheme="minorHAnsi"/>
          <w:i/>
          <w:noProof/>
          <w:lang w:val="en-US"/>
        </w:rPr>
        <w:t>M</w:t>
      </w:r>
      <w:r w:rsidR="00095729" w:rsidRPr="00AC365D">
        <w:rPr>
          <w:rFonts w:cstheme="minorHAnsi"/>
          <w:i/>
          <w:noProof/>
          <w:lang w:val="en-US"/>
        </w:rPr>
        <w:t>edicine</w:t>
      </w:r>
      <w:r w:rsidR="00095729" w:rsidRPr="00AC365D">
        <w:rPr>
          <w:rFonts w:cstheme="minorHAnsi"/>
          <w:noProof/>
          <w:lang w:val="en-US"/>
        </w:rPr>
        <w:t xml:space="preserve"> </w:t>
      </w:r>
      <w:r w:rsidRPr="00AC365D">
        <w:rPr>
          <w:rFonts w:cstheme="minorHAnsi"/>
          <w:noProof/>
          <w:lang w:val="en-US"/>
        </w:rPr>
        <w:t xml:space="preserve">2011; </w:t>
      </w:r>
      <w:r w:rsidRPr="00AC365D">
        <w:rPr>
          <w:rFonts w:cstheme="minorHAnsi"/>
          <w:b/>
          <w:noProof/>
          <w:lang w:val="en-US"/>
        </w:rPr>
        <w:t>30</w:t>
      </w:r>
      <w:r w:rsidRPr="00AC365D">
        <w:rPr>
          <w:rFonts w:cstheme="minorHAnsi"/>
          <w:noProof/>
          <w:lang w:val="en-US"/>
        </w:rPr>
        <w:t>(4): 377-99.</w:t>
      </w:r>
    </w:p>
    <w:p w14:paraId="22274358" w14:textId="77777777" w:rsidR="00CB054A" w:rsidRPr="00AC365D" w:rsidRDefault="00CB054A" w:rsidP="00924EEC">
      <w:pPr>
        <w:numPr>
          <w:ilvl w:val="0"/>
          <w:numId w:val="15"/>
        </w:numPr>
        <w:spacing w:after="0" w:line="320" w:lineRule="atLeast"/>
        <w:rPr>
          <w:rFonts w:cstheme="minorHAnsi"/>
        </w:rPr>
      </w:pPr>
      <w:r w:rsidRPr="00AC365D">
        <w:rPr>
          <w:rFonts w:cstheme="minorHAnsi"/>
          <w:noProof/>
          <w:color w:val="000000"/>
          <w:lang w:val="en"/>
        </w:rPr>
        <w:t xml:space="preserve">Brett D, Warnell F, McConachie H, Parr J. Factors Affecting Age at ASD Diagnosis in UK: No Evidence that Diagnosis Age has Decreased Between 2004 and 2014. </w:t>
      </w:r>
      <w:r w:rsidRPr="00AC365D">
        <w:rPr>
          <w:rFonts w:cstheme="minorHAnsi"/>
          <w:i/>
          <w:noProof/>
          <w:color w:val="000000"/>
          <w:lang w:val="en"/>
        </w:rPr>
        <w:t>Journal of Autism and Developmental Disorders</w:t>
      </w:r>
      <w:r w:rsidRPr="00AC365D">
        <w:rPr>
          <w:rFonts w:cstheme="minorHAnsi"/>
          <w:noProof/>
          <w:color w:val="000000"/>
          <w:lang w:val="en"/>
        </w:rPr>
        <w:t>. 2016;46(6):1974-1984.</w:t>
      </w:r>
    </w:p>
    <w:p w14:paraId="7B0D3EB9" w14:textId="590827AD" w:rsidR="00031657" w:rsidRPr="00924EEC" w:rsidRDefault="00031657" w:rsidP="00924EEC">
      <w:pPr>
        <w:numPr>
          <w:ilvl w:val="0"/>
          <w:numId w:val="15"/>
        </w:numPr>
        <w:spacing w:after="0" w:line="320" w:lineRule="atLeast"/>
        <w:rPr>
          <w:rFonts w:cstheme="minorHAnsi"/>
        </w:rPr>
      </w:pPr>
      <w:r w:rsidRPr="00924EEC">
        <w:rPr>
          <w:rFonts w:cstheme="minorHAnsi"/>
          <w:color w:val="000000"/>
          <w:shd w:val="clear" w:color="auto" w:fill="FFFFFF"/>
        </w:rPr>
        <w:t xml:space="preserve">Sahay R, Nagesh V. Hypothyroidism in pregnancy. </w:t>
      </w:r>
      <w:r w:rsidRPr="00924EEC">
        <w:rPr>
          <w:rFonts w:cstheme="minorHAnsi"/>
          <w:i/>
          <w:iCs/>
          <w:color w:val="000000"/>
          <w:shd w:val="clear" w:color="auto" w:fill="FFFFFF"/>
        </w:rPr>
        <w:t>Indian Journal of Endocrinology and Metabolism</w:t>
      </w:r>
      <w:r w:rsidRPr="00924EEC">
        <w:rPr>
          <w:rFonts w:cstheme="minorHAnsi"/>
          <w:color w:val="000000"/>
          <w:shd w:val="clear" w:color="auto" w:fill="FFFFFF"/>
        </w:rPr>
        <w:t>. 2012;16(3):364.</w:t>
      </w:r>
    </w:p>
    <w:p w14:paraId="28E702C6" w14:textId="531B417C" w:rsidR="00031657" w:rsidRPr="00924EEC" w:rsidRDefault="00031657">
      <w:pPr>
        <w:numPr>
          <w:ilvl w:val="0"/>
          <w:numId w:val="15"/>
        </w:numPr>
        <w:spacing w:after="0" w:line="320" w:lineRule="atLeast"/>
        <w:rPr>
          <w:rFonts w:cstheme="minorHAnsi"/>
        </w:rPr>
      </w:pPr>
      <w:r w:rsidRPr="00924EEC">
        <w:rPr>
          <w:rFonts w:cstheme="minorHAnsi"/>
          <w:color w:val="000000"/>
          <w:shd w:val="clear" w:color="auto" w:fill="FFFFFF"/>
        </w:rPr>
        <w:lastRenderedPageBreak/>
        <w:t xml:space="preserve">Klein R, Haddow J, Falx J, Brown R, Hermos R, Pulkkinen A et al. Prevalence of thyroid deficiency in pregnant women. </w:t>
      </w:r>
      <w:r w:rsidRPr="00924EEC">
        <w:rPr>
          <w:rFonts w:cstheme="minorHAnsi"/>
          <w:i/>
          <w:iCs/>
          <w:color w:val="000000"/>
          <w:shd w:val="clear" w:color="auto" w:fill="FFFFFF"/>
        </w:rPr>
        <w:t>Clinical Endocrinology</w:t>
      </w:r>
      <w:r w:rsidRPr="00924EEC">
        <w:rPr>
          <w:rFonts w:cstheme="minorHAnsi"/>
          <w:color w:val="000000"/>
          <w:shd w:val="clear" w:color="auto" w:fill="FFFFFF"/>
        </w:rPr>
        <w:t>. 1991;35(1):41-46.</w:t>
      </w:r>
    </w:p>
    <w:p w14:paraId="1611B29F" w14:textId="77777777" w:rsidR="00CB054A" w:rsidRPr="00AC365D" w:rsidRDefault="00CB054A" w:rsidP="00924EEC">
      <w:pPr>
        <w:numPr>
          <w:ilvl w:val="0"/>
          <w:numId w:val="15"/>
        </w:numPr>
        <w:spacing w:after="0" w:line="320" w:lineRule="atLeast"/>
        <w:rPr>
          <w:rFonts w:cstheme="minorHAnsi"/>
        </w:rPr>
      </w:pPr>
      <w:r w:rsidRPr="00AC365D">
        <w:rPr>
          <w:rFonts w:cstheme="minorHAnsi"/>
          <w:noProof/>
          <w:vanish/>
          <w:color w:val="222222"/>
          <w:lang w:val="en"/>
        </w:rPr>
        <w:t xml:space="preserve">de Cock M, Maas YG, van de Bor M . Does perinatal exposure to endocrine disruptors induce autism spectrum and attention deficit hyperactivity disorders? </w:t>
      </w:r>
      <w:r w:rsidRPr="00AC365D">
        <w:rPr>
          <w:rFonts w:cstheme="minorHAnsi"/>
          <w:i/>
          <w:iCs/>
          <w:noProof/>
          <w:vanish/>
          <w:color w:val="222222"/>
          <w:lang w:val="en"/>
        </w:rPr>
        <w:t>Rev Acta Paediatr</w:t>
      </w:r>
      <w:r w:rsidRPr="00AC365D">
        <w:rPr>
          <w:rFonts w:cstheme="minorHAnsi"/>
          <w:noProof/>
          <w:vanish/>
          <w:color w:val="222222"/>
          <w:lang w:val="en"/>
        </w:rPr>
        <w:t xml:space="preserve"> 2012;</w:t>
      </w:r>
      <w:r w:rsidRPr="00AC365D">
        <w:rPr>
          <w:rFonts w:cstheme="minorHAnsi"/>
          <w:b/>
          <w:bCs/>
          <w:noProof/>
          <w:vanish/>
          <w:color w:val="222222"/>
          <w:lang w:val="en"/>
        </w:rPr>
        <w:t>101</w:t>
      </w:r>
      <w:r w:rsidRPr="00AC365D">
        <w:rPr>
          <w:rFonts w:cstheme="minorHAnsi"/>
          <w:noProof/>
          <w:vanish/>
          <w:color w:val="222222"/>
          <w:lang w:val="en"/>
        </w:rPr>
        <w:t xml:space="preserve">:811–818. de Cock M, Maas YG, van de Bor M . Does perinatal exposure to endocrine disruptors induce autism spectrum and attention deficit hyperactivity disorders? </w:t>
      </w:r>
      <w:r w:rsidRPr="00AC365D">
        <w:rPr>
          <w:rFonts w:cstheme="minorHAnsi"/>
          <w:i/>
          <w:iCs/>
          <w:noProof/>
          <w:vanish/>
          <w:color w:val="222222"/>
          <w:lang w:val="en"/>
        </w:rPr>
        <w:t>Rev Acta Paediatr</w:t>
      </w:r>
      <w:r w:rsidRPr="00AC365D">
        <w:rPr>
          <w:rFonts w:cstheme="minorHAnsi"/>
          <w:noProof/>
          <w:vanish/>
          <w:color w:val="222222"/>
          <w:lang w:val="en"/>
        </w:rPr>
        <w:t xml:space="preserve"> 2012;</w:t>
      </w:r>
      <w:r w:rsidRPr="00AC365D">
        <w:rPr>
          <w:rFonts w:cstheme="minorHAnsi"/>
          <w:b/>
          <w:bCs/>
          <w:noProof/>
          <w:vanish/>
          <w:color w:val="222222"/>
          <w:lang w:val="en"/>
        </w:rPr>
        <w:t>101</w:t>
      </w:r>
      <w:r w:rsidRPr="00AC365D">
        <w:rPr>
          <w:rFonts w:cstheme="minorHAnsi"/>
          <w:noProof/>
          <w:vanish/>
          <w:color w:val="222222"/>
          <w:lang w:val="en"/>
        </w:rPr>
        <w:t xml:space="preserve">:811–818. de Cock M, Maas YG, van de Bor M . Does perinatal exposure to endocrine disruptors induce autism spectrum and attention deficit hyperactivity disorders? </w:t>
      </w:r>
      <w:r w:rsidRPr="00AC365D">
        <w:rPr>
          <w:rFonts w:cstheme="minorHAnsi"/>
          <w:i/>
          <w:iCs/>
          <w:noProof/>
          <w:vanish/>
          <w:color w:val="222222"/>
          <w:lang w:val="en"/>
        </w:rPr>
        <w:t>Rev Acta Paediatr</w:t>
      </w:r>
      <w:r w:rsidRPr="00AC365D">
        <w:rPr>
          <w:rFonts w:cstheme="minorHAnsi"/>
          <w:noProof/>
          <w:vanish/>
          <w:color w:val="222222"/>
          <w:lang w:val="en"/>
        </w:rPr>
        <w:t xml:space="preserve"> 2012;</w:t>
      </w:r>
      <w:r w:rsidRPr="00AC365D">
        <w:rPr>
          <w:rFonts w:cstheme="minorHAnsi"/>
          <w:b/>
          <w:bCs/>
          <w:noProof/>
          <w:vanish/>
          <w:color w:val="222222"/>
          <w:lang w:val="en"/>
        </w:rPr>
        <w:t>101</w:t>
      </w:r>
      <w:r w:rsidRPr="00AC365D">
        <w:rPr>
          <w:rFonts w:cstheme="minorHAnsi"/>
          <w:noProof/>
          <w:vanish/>
          <w:color w:val="222222"/>
          <w:lang w:val="en"/>
        </w:rPr>
        <w:t xml:space="preserve">:811–818. de Cock M, Maas YG, van de Bor M . Does perinatal exposure to endocrine disruptors induce autism spectrum and attention deficit hyperactivity disorders? </w:t>
      </w:r>
      <w:r w:rsidRPr="00AC365D">
        <w:rPr>
          <w:rFonts w:cstheme="minorHAnsi"/>
          <w:i/>
          <w:iCs/>
          <w:noProof/>
          <w:vanish/>
          <w:color w:val="222222"/>
          <w:lang w:val="en"/>
        </w:rPr>
        <w:t>Rev Acta Paediatr</w:t>
      </w:r>
      <w:r w:rsidRPr="00AC365D">
        <w:rPr>
          <w:rFonts w:cstheme="minorHAnsi"/>
          <w:noProof/>
          <w:vanish/>
          <w:color w:val="222222"/>
          <w:lang w:val="en"/>
        </w:rPr>
        <w:t xml:space="preserve"> 2012;</w:t>
      </w:r>
      <w:r w:rsidRPr="00AC365D">
        <w:rPr>
          <w:rFonts w:cstheme="minorHAnsi"/>
          <w:b/>
          <w:bCs/>
          <w:noProof/>
          <w:vanish/>
          <w:color w:val="222222"/>
          <w:lang w:val="en"/>
        </w:rPr>
        <w:t>101</w:t>
      </w:r>
      <w:r w:rsidRPr="00AC365D">
        <w:rPr>
          <w:rFonts w:cstheme="minorHAnsi"/>
          <w:noProof/>
          <w:vanish/>
          <w:color w:val="222222"/>
          <w:lang w:val="en"/>
        </w:rPr>
        <w:t xml:space="preserve">:811–818. de Cock M, Maas YG, van de Bor M . Does perinatal exposure to endocrine disruptors induce autism spectrum and attention deficit hyperactivity disorders? </w:t>
      </w:r>
      <w:r w:rsidRPr="00AC365D">
        <w:rPr>
          <w:rFonts w:cstheme="minorHAnsi"/>
          <w:i/>
          <w:iCs/>
          <w:noProof/>
          <w:vanish/>
          <w:color w:val="222222"/>
          <w:lang w:val="en"/>
        </w:rPr>
        <w:t>Rev Acta Paediatr</w:t>
      </w:r>
      <w:r w:rsidRPr="00AC365D">
        <w:rPr>
          <w:rFonts w:cstheme="minorHAnsi"/>
          <w:noProof/>
          <w:vanish/>
          <w:color w:val="222222"/>
          <w:lang w:val="en"/>
        </w:rPr>
        <w:t xml:space="preserve"> 2012;</w:t>
      </w:r>
      <w:r w:rsidRPr="00AC365D">
        <w:rPr>
          <w:rFonts w:cstheme="minorHAnsi"/>
          <w:b/>
          <w:bCs/>
          <w:noProof/>
          <w:vanish/>
          <w:color w:val="222222"/>
          <w:lang w:val="en"/>
        </w:rPr>
        <w:t>101</w:t>
      </w:r>
      <w:r w:rsidRPr="00AC365D">
        <w:rPr>
          <w:rFonts w:cstheme="minorHAnsi"/>
          <w:noProof/>
          <w:vanish/>
          <w:color w:val="222222"/>
          <w:lang w:val="en"/>
        </w:rPr>
        <w:t>:811–818.</w:t>
      </w:r>
      <w:r w:rsidRPr="00AC365D">
        <w:rPr>
          <w:rFonts w:cstheme="minorHAnsi"/>
          <w:noProof/>
          <w:color w:val="000000"/>
          <w:lang w:val="en"/>
        </w:rPr>
        <w:t xml:space="preserve">de Cock M, Maas Y, van de Bor M. Does perinatal exposure to endocrine disruptors induce autism spectrum and attention deficit hyperactivity disorders? Review. </w:t>
      </w:r>
      <w:r w:rsidRPr="00AC365D">
        <w:rPr>
          <w:rFonts w:cstheme="minorHAnsi"/>
          <w:i/>
          <w:noProof/>
          <w:color w:val="000000"/>
          <w:lang w:val="en"/>
        </w:rPr>
        <w:t>Acta Paediatrica</w:t>
      </w:r>
      <w:r w:rsidRPr="00AC365D">
        <w:rPr>
          <w:rFonts w:cstheme="minorHAnsi"/>
          <w:noProof/>
          <w:color w:val="000000"/>
          <w:lang w:val="en"/>
        </w:rPr>
        <w:t>. 2012;101(8):811-818.</w:t>
      </w:r>
    </w:p>
    <w:p w14:paraId="3FFE48EA" w14:textId="007A57B9" w:rsidR="00CB054A" w:rsidRPr="00AC365D" w:rsidRDefault="00CB054A" w:rsidP="00924EEC">
      <w:pPr>
        <w:numPr>
          <w:ilvl w:val="0"/>
          <w:numId w:val="15"/>
        </w:numPr>
        <w:spacing w:after="0" w:line="320" w:lineRule="atLeast"/>
        <w:rPr>
          <w:rFonts w:cstheme="minorHAnsi"/>
        </w:rPr>
      </w:pPr>
      <w:r w:rsidRPr="00AC365D">
        <w:rPr>
          <w:rFonts w:cstheme="minorHAnsi"/>
          <w:noProof/>
          <w:lang w:val="de-DE"/>
        </w:rPr>
        <w:t xml:space="preserve">Gardener H, Spiegelman D, Buka SL. </w:t>
      </w:r>
      <w:r w:rsidRPr="00AC365D">
        <w:rPr>
          <w:rFonts w:cstheme="minorHAnsi"/>
          <w:noProof/>
          <w:lang w:val="en-US"/>
        </w:rPr>
        <w:t xml:space="preserve">Prenatal risk factors for autism: Comprehensive meta-analysis. </w:t>
      </w:r>
      <w:r w:rsidRPr="00AC365D">
        <w:rPr>
          <w:rFonts w:cstheme="minorHAnsi"/>
          <w:i/>
          <w:noProof/>
          <w:lang w:val="en-US"/>
        </w:rPr>
        <w:t>Br</w:t>
      </w:r>
      <w:r w:rsidR="00095729">
        <w:rPr>
          <w:rFonts w:cstheme="minorHAnsi"/>
          <w:i/>
          <w:noProof/>
          <w:lang w:val="en-US"/>
        </w:rPr>
        <w:t>itish</w:t>
      </w:r>
      <w:r w:rsidRPr="00AC365D">
        <w:rPr>
          <w:rFonts w:cstheme="minorHAnsi"/>
          <w:i/>
          <w:noProof/>
          <w:lang w:val="en-US"/>
        </w:rPr>
        <w:t xml:space="preserve"> J</w:t>
      </w:r>
      <w:r w:rsidR="00095729">
        <w:rPr>
          <w:rFonts w:cstheme="minorHAnsi"/>
          <w:i/>
          <w:noProof/>
          <w:lang w:val="en-US"/>
        </w:rPr>
        <w:t>ournal of</w:t>
      </w:r>
      <w:r w:rsidRPr="00AC365D">
        <w:rPr>
          <w:rFonts w:cstheme="minorHAnsi"/>
          <w:i/>
          <w:noProof/>
          <w:lang w:val="en-US"/>
        </w:rPr>
        <w:t xml:space="preserve"> Psychiatry</w:t>
      </w:r>
      <w:r w:rsidRPr="00AC365D">
        <w:rPr>
          <w:rFonts w:cstheme="minorHAnsi"/>
          <w:noProof/>
          <w:lang w:val="en-US"/>
        </w:rPr>
        <w:t>. 2009;195:7–14.</w:t>
      </w:r>
    </w:p>
    <w:p w14:paraId="194019F8" w14:textId="77777777" w:rsidR="00CB054A" w:rsidRPr="00AC365D" w:rsidRDefault="00CB054A" w:rsidP="00924EEC">
      <w:pPr>
        <w:numPr>
          <w:ilvl w:val="0"/>
          <w:numId w:val="15"/>
        </w:numPr>
        <w:spacing w:after="0" w:line="320" w:lineRule="atLeast"/>
        <w:rPr>
          <w:rFonts w:cstheme="minorHAnsi"/>
        </w:rPr>
      </w:pPr>
      <w:r w:rsidRPr="00AC365D">
        <w:rPr>
          <w:rFonts w:cstheme="minorHAnsi"/>
          <w:noProof/>
          <w:lang w:val="en-US"/>
        </w:rPr>
        <w:t xml:space="preserve">Snart CJP, Keeble C, Taylor E, et al. Maternal Iodine Status and Associations with Birth Outcomes in Three Major Cities in the United Kingdom. </w:t>
      </w:r>
      <w:r w:rsidRPr="00AC365D">
        <w:rPr>
          <w:rFonts w:cstheme="minorHAnsi"/>
          <w:i/>
          <w:noProof/>
          <w:lang w:val="en-US"/>
        </w:rPr>
        <w:t>Nutrients</w:t>
      </w:r>
      <w:r w:rsidRPr="00AC365D">
        <w:rPr>
          <w:rFonts w:cstheme="minorHAnsi"/>
          <w:noProof/>
          <w:lang w:val="en-US"/>
        </w:rPr>
        <w:t xml:space="preserve"> 2019; </w:t>
      </w:r>
      <w:r w:rsidRPr="00AC365D">
        <w:rPr>
          <w:rFonts w:cstheme="minorHAnsi"/>
          <w:b/>
          <w:noProof/>
          <w:lang w:val="en-US"/>
        </w:rPr>
        <w:t>11(2)</w:t>
      </w:r>
      <w:r w:rsidRPr="00AC365D">
        <w:rPr>
          <w:rFonts w:cstheme="minorHAnsi"/>
          <w:noProof/>
          <w:lang w:val="en-US"/>
        </w:rPr>
        <w:t>(441).</w:t>
      </w:r>
    </w:p>
    <w:p w14:paraId="079425BA" w14:textId="4E66A7A0" w:rsidR="00AC365D" w:rsidRPr="00AC365D" w:rsidRDefault="009164BF" w:rsidP="00AC365D">
      <w:pPr>
        <w:numPr>
          <w:ilvl w:val="0"/>
          <w:numId w:val="15"/>
        </w:numPr>
        <w:spacing w:after="0" w:line="320" w:lineRule="atLeast"/>
        <w:rPr>
          <w:rFonts w:cstheme="minorHAnsi"/>
        </w:rPr>
      </w:pPr>
      <w:r w:rsidRPr="00924EEC">
        <w:rPr>
          <w:rFonts w:cs="Arial"/>
          <w:color w:val="000000"/>
          <w:shd w:val="clear" w:color="auto" w:fill="FFFFFF"/>
        </w:rPr>
        <w:t xml:space="preserve">Andersen S, Karmisholt J, Pedersen K, Laurberg P. Reliability of studies of iodine intake and recommendations for number of samples in groups and in individuals. </w:t>
      </w:r>
      <w:r w:rsidRPr="00924EEC">
        <w:rPr>
          <w:rFonts w:cs="Arial"/>
          <w:i/>
          <w:iCs/>
          <w:color w:val="000000"/>
          <w:shd w:val="clear" w:color="auto" w:fill="FFFFFF"/>
        </w:rPr>
        <w:t>Br</w:t>
      </w:r>
      <w:r w:rsidR="00095729">
        <w:rPr>
          <w:rFonts w:cs="Arial"/>
          <w:i/>
          <w:iCs/>
          <w:color w:val="000000"/>
          <w:shd w:val="clear" w:color="auto" w:fill="FFFFFF"/>
        </w:rPr>
        <w:t>itish</w:t>
      </w:r>
      <w:r w:rsidRPr="00924EEC">
        <w:rPr>
          <w:rFonts w:cs="Arial"/>
          <w:i/>
          <w:iCs/>
          <w:color w:val="000000"/>
          <w:shd w:val="clear" w:color="auto" w:fill="FFFFFF"/>
        </w:rPr>
        <w:t xml:space="preserve"> J</w:t>
      </w:r>
      <w:r w:rsidR="00095729">
        <w:rPr>
          <w:rFonts w:cs="Arial"/>
          <w:i/>
          <w:iCs/>
          <w:color w:val="000000"/>
          <w:shd w:val="clear" w:color="auto" w:fill="FFFFFF"/>
        </w:rPr>
        <w:t>ournal of</w:t>
      </w:r>
      <w:r w:rsidRPr="00924EEC">
        <w:rPr>
          <w:rFonts w:cs="Arial"/>
          <w:i/>
          <w:iCs/>
          <w:color w:val="000000"/>
          <w:shd w:val="clear" w:color="auto" w:fill="FFFFFF"/>
        </w:rPr>
        <w:t xml:space="preserve"> Nutr</w:t>
      </w:r>
      <w:r w:rsidR="00095729">
        <w:rPr>
          <w:rFonts w:cs="Arial"/>
          <w:i/>
          <w:iCs/>
          <w:color w:val="000000"/>
          <w:shd w:val="clear" w:color="auto" w:fill="FFFFFF"/>
        </w:rPr>
        <w:t>ition</w:t>
      </w:r>
      <w:r w:rsidRPr="00924EEC">
        <w:rPr>
          <w:rFonts w:cs="Arial"/>
          <w:color w:val="000000"/>
          <w:shd w:val="clear" w:color="auto" w:fill="FFFFFF"/>
        </w:rPr>
        <w:t>. 2007;99(4):813-818.</w:t>
      </w:r>
    </w:p>
    <w:p w14:paraId="1BC3FE14" w14:textId="4BB50867" w:rsidR="00AC365D" w:rsidRPr="00AC365D" w:rsidRDefault="009164BF" w:rsidP="00924EEC">
      <w:pPr>
        <w:numPr>
          <w:ilvl w:val="0"/>
          <w:numId w:val="15"/>
        </w:numPr>
        <w:spacing w:after="0" w:line="320" w:lineRule="atLeast"/>
        <w:rPr>
          <w:rFonts w:cstheme="minorHAnsi"/>
        </w:rPr>
      </w:pPr>
      <w:r w:rsidRPr="00924EEC">
        <w:rPr>
          <w:rFonts w:cs="Arial"/>
          <w:color w:val="000000"/>
          <w:shd w:val="clear" w:color="auto" w:fill="FFFFFF"/>
        </w:rPr>
        <w:t xml:space="preserve">Knudsen N, Christiansen E, Brandt-Christensen M, Nygaard B, Perrild H. Age- and sex-adjusted iodine/creatinine ratio. A new standard in epidemiological surveys? Evaluation of three different estimates of iodine excretion based on casual urine samples and comparison to 24 h values. </w:t>
      </w:r>
      <w:r w:rsidRPr="00924EEC">
        <w:rPr>
          <w:rFonts w:cs="Arial"/>
          <w:i/>
          <w:iCs/>
          <w:color w:val="000000"/>
          <w:shd w:val="clear" w:color="auto" w:fill="FFFFFF"/>
        </w:rPr>
        <w:t>European Journal of Clinical Nutrition</w:t>
      </w:r>
      <w:r w:rsidRPr="00924EEC">
        <w:rPr>
          <w:rFonts w:cs="Arial"/>
          <w:color w:val="000000"/>
          <w:shd w:val="clear" w:color="auto" w:fill="FFFFFF"/>
        </w:rPr>
        <w:t>. 2000;54(4):361-363.</w:t>
      </w:r>
    </w:p>
    <w:p w14:paraId="47123E4C" w14:textId="04988530" w:rsidR="00B03002" w:rsidRPr="00924EEC" w:rsidRDefault="003E67F6">
      <w:pPr>
        <w:pStyle w:val="ListParagraph"/>
        <w:numPr>
          <w:ilvl w:val="0"/>
          <w:numId w:val="15"/>
        </w:numPr>
        <w:rPr>
          <w:rFonts w:asciiTheme="minorHAnsi" w:hAnsiTheme="minorHAnsi" w:cstheme="minorHAnsi"/>
        </w:rPr>
      </w:pPr>
      <w:r w:rsidRPr="00924EEC">
        <w:rPr>
          <w:rFonts w:asciiTheme="minorHAnsi" w:hAnsiTheme="minorHAnsi" w:cstheme="minorHAnsi"/>
          <w:color w:val="000000"/>
          <w:shd w:val="clear" w:color="auto" w:fill="FFFFFF"/>
        </w:rPr>
        <w:t xml:space="preserve">Bernal J. Thyroid hormone regulated genes in cerebral cortex development. </w:t>
      </w:r>
      <w:r w:rsidRPr="00924EEC">
        <w:rPr>
          <w:rFonts w:asciiTheme="minorHAnsi" w:hAnsiTheme="minorHAnsi" w:cstheme="minorHAnsi"/>
          <w:i/>
          <w:iCs/>
          <w:color w:val="000000"/>
          <w:shd w:val="clear" w:color="auto" w:fill="FFFFFF"/>
        </w:rPr>
        <w:t>Journal of Endocrinology</w:t>
      </w:r>
      <w:r w:rsidRPr="00924EEC">
        <w:rPr>
          <w:rFonts w:asciiTheme="minorHAnsi" w:hAnsiTheme="minorHAnsi" w:cstheme="minorHAnsi"/>
          <w:color w:val="000000"/>
          <w:shd w:val="clear" w:color="auto" w:fill="FFFFFF"/>
        </w:rPr>
        <w:t>. 2017;232(2):R83-R97.</w:t>
      </w:r>
    </w:p>
    <w:p w14:paraId="6BFA1B9D" w14:textId="36817B7F" w:rsidR="00B03002" w:rsidRPr="00924EEC" w:rsidRDefault="00B03002">
      <w:pPr>
        <w:pStyle w:val="ListParagraph"/>
        <w:numPr>
          <w:ilvl w:val="0"/>
          <w:numId w:val="15"/>
        </w:numPr>
        <w:rPr>
          <w:rFonts w:cstheme="minorHAnsi"/>
        </w:rPr>
      </w:pPr>
      <w:r w:rsidRPr="00924EEC">
        <w:rPr>
          <w:rFonts w:asciiTheme="minorHAnsi" w:hAnsiTheme="minorHAnsi" w:cstheme="minorHAnsi"/>
          <w:color w:val="000000"/>
          <w:shd w:val="clear" w:color="auto" w:fill="FFFFFF"/>
        </w:rPr>
        <w:t xml:space="preserve">Stepien B, Huttner W. Transport, </w:t>
      </w:r>
      <w:r w:rsidR="00095729">
        <w:rPr>
          <w:rFonts w:asciiTheme="minorHAnsi" w:hAnsiTheme="minorHAnsi" w:cstheme="minorHAnsi"/>
          <w:color w:val="000000"/>
          <w:shd w:val="clear" w:color="auto" w:fill="FFFFFF"/>
        </w:rPr>
        <w:t>m</w:t>
      </w:r>
      <w:r w:rsidRPr="00924EEC">
        <w:rPr>
          <w:rFonts w:asciiTheme="minorHAnsi" w:hAnsiTheme="minorHAnsi" w:cstheme="minorHAnsi"/>
          <w:color w:val="000000"/>
          <w:shd w:val="clear" w:color="auto" w:fill="FFFFFF"/>
        </w:rPr>
        <w:t xml:space="preserve">etabolism, and </w:t>
      </w:r>
      <w:r w:rsidR="00095729">
        <w:rPr>
          <w:rFonts w:asciiTheme="minorHAnsi" w:hAnsiTheme="minorHAnsi" w:cstheme="minorHAnsi"/>
          <w:color w:val="000000"/>
          <w:shd w:val="clear" w:color="auto" w:fill="FFFFFF"/>
        </w:rPr>
        <w:t>f</w:t>
      </w:r>
      <w:r w:rsidRPr="00924EEC">
        <w:rPr>
          <w:rFonts w:asciiTheme="minorHAnsi" w:hAnsiTheme="minorHAnsi" w:cstheme="minorHAnsi"/>
          <w:color w:val="000000"/>
          <w:shd w:val="clear" w:color="auto" w:fill="FFFFFF"/>
        </w:rPr>
        <w:t xml:space="preserve">unction of </w:t>
      </w:r>
      <w:r w:rsidR="00095729">
        <w:rPr>
          <w:rFonts w:asciiTheme="minorHAnsi" w:hAnsiTheme="minorHAnsi" w:cstheme="minorHAnsi"/>
          <w:color w:val="000000"/>
          <w:shd w:val="clear" w:color="auto" w:fill="FFFFFF"/>
        </w:rPr>
        <w:t>t</w:t>
      </w:r>
      <w:r w:rsidRPr="00924EEC">
        <w:rPr>
          <w:rFonts w:asciiTheme="minorHAnsi" w:hAnsiTheme="minorHAnsi" w:cstheme="minorHAnsi"/>
          <w:color w:val="000000"/>
          <w:shd w:val="clear" w:color="auto" w:fill="FFFFFF"/>
        </w:rPr>
        <w:t xml:space="preserve">hyroid </w:t>
      </w:r>
      <w:r w:rsidR="00095729">
        <w:rPr>
          <w:rFonts w:asciiTheme="minorHAnsi" w:hAnsiTheme="minorHAnsi" w:cstheme="minorHAnsi"/>
          <w:color w:val="000000"/>
          <w:shd w:val="clear" w:color="auto" w:fill="FFFFFF"/>
        </w:rPr>
        <w:t>h</w:t>
      </w:r>
      <w:r w:rsidRPr="00924EEC">
        <w:rPr>
          <w:rFonts w:asciiTheme="minorHAnsi" w:hAnsiTheme="minorHAnsi" w:cstheme="minorHAnsi"/>
          <w:color w:val="000000"/>
          <w:shd w:val="clear" w:color="auto" w:fill="FFFFFF"/>
        </w:rPr>
        <w:t xml:space="preserve">ormones in the </w:t>
      </w:r>
      <w:r w:rsidR="00095729">
        <w:rPr>
          <w:rFonts w:asciiTheme="minorHAnsi" w:hAnsiTheme="minorHAnsi" w:cstheme="minorHAnsi"/>
          <w:color w:val="000000"/>
          <w:shd w:val="clear" w:color="auto" w:fill="FFFFFF"/>
        </w:rPr>
        <w:t>d</w:t>
      </w:r>
      <w:r w:rsidRPr="00924EEC">
        <w:rPr>
          <w:rFonts w:asciiTheme="minorHAnsi" w:hAnsiTheme="minorHAnsi" w:cstheme="minorHAnsi"/>
          <w:color w:val="000000"/>
          <w:shd w:val="clear" w:color="auto" w:fill="FFFFFF"/>
        </w:rPr>
        <w:t xml:space="preserve">eveloping </w:t>
      </w:r>
      <w:r w:rsidR="00095729">
        <w:rPr>
          <w:rFonts w:asciiTheme="minorHAnsi" w:hAnsiTheme="minorHAnsi" w:cstheme="minorHAnsi"/>
          <w:color w:val="000000"/>
          <w:shd w:val="clear" w:color="auto" w:fill="FFFFFF"/>
        </w:rPr>
        <w:t>m</w:t>
      </w:r>
      <w:r w:rsidRPr="00924EEC">
        <w:rPr>
          <w:rFonts w:asciiTheme="minorHAnsi" w:hAnsiTheme="minorHAnsi" w:cstheme="minorHAnsi"/>
          <w:color w:val="000000"/>
          <w:shd w:val="clear" w:color="auto" w:fill="FFFFFF"/>
        </w:rPr>
        <w:t xml:space="preserve">ammalian </w:t>
      </w:r>
      <w:r w:rsidR="00095729">
        <w:rPr>
          <w:rFonts w:asciiTheme="minorHAnsi" w:hAnsiTheme="minorHAnsi" w:cstheme="minorHAnsi"/>
          <w:color w:val="000000"/>
          <w:shd w:val="clear" w:color="auto" w:fill="FFFFFF"/>
        </w:rPr>
        <w:t>b</w:t>
      </w:r>
      <w:r w:rsidRPr="00924EEC">
        <w:rPr>
          <w:rFonts w:asciiTheme="minorHAnsi" w:hAnsiTheme="minorHAnsi" w:cstheme="minorHAnsi"/>
          <w:color w:val="000000"/>
          <w:shd w:val="clear" w:color="auto" w:fill="FFFFFF"/>
        </w:rPr>
        <w:t xml:space="preserve">rain. </w:t>
      </w:r>
      <w:r w:rsidRPr="00924EEC">
        <w:rPr>
          <w:rFonts w:asciiTheme="minorHAnsi" w:hAnsiTheme="minorHAnsi" w:cstheme="minorHAnsi"/>
          <w:i/>
          <w:iCs/>
          <w:color w:val="000000"/>
          <w:shd w:val="clear" w:color="auto" w:fill="FFFFFF"/>
        </w:rPr>
        <w:t>Frontiers in Endocrinology</w:t>
      </w:r>
      <w:r w:rsidRPr="00924EEC">
        <w:rPr>
          <w:rFonts w:asciiTheme="minorHAnsi" w:hAnsiTheme="minorHAnsi" w:cstheme="minorHAnsi"/>
          <w:color w:val="000000"/>
          <w:shd w:val="clear" w:color="auto" w:fill="FFFFFF"/>
        </w:rPr>
        <w:t>. 2019;10</w:t>
      </w:r>
      <w:r w:rsidR="0030480C">
        <w:rPr>
          <w:rFonts w:asciiTheme="minorHAnsi" w:hAnsiTheme="minorHAnsi" w:cstheme="minorHAnsi"/>
          <w:color w:val="000000"/>
          <w:shd w:val="clear" w:color="auto" w:fill="FFFFFF"/>
        </w:rPr>
        <w:t>:209.</w:t>
      </w:r>
    </w:p>
    <w:p w14:paraId="29ABFA23" w14:textId="3C15A13C" w:rsidR="00962040" w:rsidRDefault="00962040">
      <w:pPr>
        <w:pStyle w:val="ListParagraph"/>
        <w:numPr>
          <w:ilvl w:val="0"/>
          <w:numId w:val="15"/>
        </w:numPr>
        <w:rPr>
          <w:rFonts w:cstheme="minorHAnsi"/>
        </w:rPr>
      </w:pPr>
      <w:r w:rsidRPr="00962040">
        <w:rPr>
          <w:rFonts w:cstheme="minorHAnsi"/>
        </w:rPr>
        <w:t>Robinson</w:t>
      </w:r>
      <w:r>
        <w:rPr>
          <w:rFonts w:cstheme="minorHAnsi"/>
        </w:rPr>
        <w:t xml:space="preserve"> </w:t>
      </w:r>
      <w:r w:rsidRPr="00962040">
        <w:rPr>
          <w:rFonts w:cstheme="minorHAnsi"/>
        </w:rPr>
        <w:t>SM</w:t>
      </w:r>
      <w:r>
        <w:rPr>
          <w:rFonts w:cstheme="minorHAnsi"/>
        </w:rPr>
        <w:t>,</w:t>
      </w:r>
      <w:r w:rsidRPr="00962040">
        <w:rPr>
          <w:rFonts w:cstheme="minorHAnsi"/>
        </w:rPr>
        <w:t xml:space="preserve"> Crozier</w:t>
      </w:r>
      <w:r>
        <w:rPr>
          <w:rFonts w:cstheme="minorHAnsi"/>
        </w:rPr>
        <w:t xml:space="preserve"> </w:t>
      </w:r>
      <w:r w:rsidRPr="00962040">
        <w:rPr>
          <w:rFonts w:cstheme="minorHAnsi"/>
        </w:rPr>
        <w:t>SR</w:t>
      </w:r>
      <w:r>
        <w:rPr>
          <w:rFonts w:cstheme="minorHAnsi"/>
        </w:rPr>
        <w:t>,</w:t>
      </w:r>
      <w:r w:rsidRPr="00962040">
        <w:rPr>
          <w:rFonts w:cstheme="minorHAnsi"/>
        </w:rPr>
        <w:t xml:space="preserve"> Miles</w:t>
      </w:r>
      <w:r>
        <w:rPr>
          <w:rFonts w:cstheme="minorHAnsi"/>
        </w:rPr>
        <w:t xml:space="preserve"> </w:t>
      </w:r>
      <w:r w:rsidRPr="00962040">
        <w:rPr>
          <w:rFonts w:cstheme="minorHAnsi"/>
        </w:rPr>
        <w:t>EA</w:t>
      </w:r>
      <w:r>
        <w:rPr>
          <w:rFonts w:cstheme="minorHAnsi"/>
        </w:rPr>
        <w:t xml:space="preserve">, </w:t>
      </w:r>
      <w:r w:rsidR="00095729">
        <w:rPr>
          <w:rFonts w:cstheme="minorHAnsi"/>
        </w:rPr>
        <w:t>et al</w:t>
      </w:r>
      <w:r w:rsidRPr="00962040">
        <w:rPr>
          <w:rFonts w:cstheme="minorHAnsi"/>
        </w:rPr>
        <w:t>.</w:t>
      </w:r>
      <w:r w:rsidR="00095729">
        <w:rPr>
          <w:rFonts w:cstheme="minorHAnsi"/>
        </w:rPr>
        <w:t xml:space="preserve"> </w:t>
      </w:r>
      <w:r w:rsidR="00095729" w:rsidRPr="00095729">
        <w:rPr>
          <w:rFonts w:cstheme="minorHAnsi"/>
        </w:rPr>
        <w:t xml:space="preserve">Preconception </w:t>
      </w:r>
      <w:r w:rsidR="00095729">
        <w:rPr>
          <w:rFonts w:cstheme="minorHAnsi"/>
        </w:rPr>
        <w:t>m</w:t>
      </w:r>
      <w:r w:rsidR="00095729" w:rsidRPr="00095729">
        <w:rPr>
          <w:rFonts w:cstheme="minorHAnsi"/>
        </w:rPr>
        <w:t xml:space="preserve">aternal </w:t>
      </w:r>
      <w:r w:rsidR="00095729">
        <w:rPr>
          <w:rFonts w:cstheme="minorHAnsi"/>
        </w:rPr>
        <w:t>i</w:t>
      </w:r>
      <w:r w:rsidR="00095729" w:rsidRPr="00095729">
        <w:rPr>
          <w:rFonts w:cstheme="minorHAnsi"/>
        </w:rPr>
        <w:t xml:space="preserve">odine </w:t>
      </w:r>
      <w:r w:rsidR="00095729">
        <w:rPr>
          <w:rFonts w:cstheme="minorHAnsi"/>
        </w:rPr>
        <w:t>s</w:t>
      </w:r>
      <w:r w:rsidR="00095729" w:rsidRPr="00095729">
        <w:rPr>
          <w:rFonts w:cstheme="minorHAnsi"/>
        </w:rPr>
        <w:t xml:space="preserve">tatus Is </w:t>
      </w:r>
      <w:r w:rsidR="00095729">
        <w:rPr>
          <w:rFonts w:cstheme="minorHAnsi"/>
        </w:rPr>
        <w:t>p</w:t>
      </w:r>
      <w:r w:rsidR="00095729" w:rsidRPr="00095729">
        <w:rPr>
          <w:rFonts w:cstheme="minorHAnsi"/>
        </w:rPr>
        <w:t xml:space="preserve">ositively </w:t>
      </w:r>
      <w:r w:rsidR="00095729">
        <w:rPr>
          <w:rFonts w:cstheme="minorHAnsi"/>
        </w:rPr>
        <w:t>a</w:t>
      </w:r>
      <w:r w:rsidR="00095729" w:rsidRPr="00095729">
        <w:rPr>
          <w:rFonts w:cstheme="minorHAnsi"/>
        </w:rPr>
        <w:t xml:space="preserve">ssociated with IQ but </w:t>
      </w:r>
      <w:r w:rsidR="00095729">
        <w:rPr>
          <w:rFonts w:cstheme="minorHAnsi"/>
        </w:rPr>
        <w:t>n</w:t>
      </w:r>
      <w:r w:rsidR="00095729" w:rsidRPr="00095729">
        <w:rPr>
          <w:rFonts w:cstheme="minorHAnsi"/>
        </w:rPr>
        <w:t xml:space="preserve">ot with </w:t>
      </w:r>
      <w:r w:rsidR="00095729">
        <w:rPr>
          <w:rFonts w:cstheme="minorHAnsi"/>
        </w:rPr>
        <w:t>m</w:t>
      </w:r>
      <w:r w:rsidR="00095729" w:rsidRPr="00095729">
        <w:rPr>
          <w:rFonts w:cstheme="minorHAnsi"/>
        </w:rPr>
        <w:t xml:space="preserve">easures of </w:t>
      </w:r>
      <w:r w:rsidR="00095729">
        <w:rPr>
          <w:rFonts w:cstheme="minorHAnsi"/>
        </w:rPr>
        <w:t>e</w:t>
      </w:r>
      <w:r w:rsidR="00095729" w:rsidRPr="00095729">
        <w:rPr>
          <w:rFonts w:cstheme="minorHAnsi"/>
        </w:rPr>
        <w:t xml:space="preserve">xecutive </w:t>
      </w:r>
      <w:r w:rsidR="00095729">
        <w:rPr>
          <w:rFonts w:cstheme="minorHAnsi"/>
        </w:rPr>
        <w:t>f</w:t>
      </w:r>
      <w:r w:rsidR="00095729" w:rsidRPr="00095729">
        <w:rPr>
          <w:rFonts w:cstheme="minorHAnsi"/>
        </w:rPr>
        <w:t xml:space="preserve">unction in </w:t>
      </w:r>
      <w:r w:rsidR="00095729">
        <w:rPr>
          <w:rFonts w:cstheme="minorHAnsi"/>
        </w:rPr>
        <w:t>c</w:t>
      </w:r>
      <w:r w:rsidR="00095729" w:rsidRPr="00095729">
        <w:rPr>
          <w:rFonts w:cstheme="minorHAnsi"/>
        </w:rPr>
        <w:t>hildhood</w:t>
      </w:r>
      <w:r w:rsidR="00095729">
        <w:rPr>
          <w:rFonts w:cstheme="minorHAnsi"/>
        </w:rPr>
        <w:t xml:space="preserve">. </w:t>
      </w:r>
      <w:r w:rsidR="00095729" w:rsidRPr="00924EEC">
        <w:rPr>
          <w:rFonts w:cstheme="minorHAnsi"/>
          <w:i/>
          <w:iCs/>
        </w:rPr>
        <w:t>J</w:t>
      </w:r>
      <w:r w:rsidR="00095729">
        <w:rPr>
          <w:rFonts w:cstheme="minorHAnsi"/>
          <w:i/>
          <w:iCs/>
        </w:rPr>
        <w:t>ournal of</w:t>
      </w:r>
      <w:r w:rsidR="00095729" w:rsidRPr="00924EEC">
        <w:rPr>
          <w:rFonts w:cstheme="minorHAnsi"/>
          <w:i/>
          <w:iCs/>
        </w:rPr>
        <w:t xml:space="preserve"> Nutr</w:t>
      </w:r>
      <w:r w:rsidR="00095729">
        <w:rPr>
          <w:rFonts w:cstheme="minorHAnsi"/>
          <w:i/>
          <w:iCs/>
        </w:rPr>
        <w:t>ition</w:t>
      </w:r>
      <w:r w:rsidR="00095729">
        <w:rPr>
          <w:rFonts w:cstheme="minorHAnsi"/>
        </w:rPr>
        <w:t>. 2018;</w:t>
      </w:r>
      <w:r w:rsidR="00095729" w:rsidRPr="00095729">
        <w:rPr>
          <w:rFonts w:cstheme="minorHAnsi"/>
        </w:rPr>
        <w:t>148</w:t>
      </w:r>
      <w:r w:rsidR="00095729">
        <w:rPr>
          <w:rFonts w:cstheme="minorHAnsi"/>
        </w:rPr>
        <w:t>(</w:t>
      </w:r>
      <w:r w:rsidR="00095729" w:rsidRPr="00095729">
        <w:rPr>
          <w:rFonts w:cstheme="minorHAnsi"/>
        </w:rPr>
        <w:t>6</w:t>
      </w:r>
      <w:r w:rsidR="00095729">
        <w:rPr>
          <w:rFonts w:cstheme="minorHAnsi"/>
        </w:rPr>
        <w:t>):</w:t>
      </w:r>
      <w:r w:rsidR="00095729" w:rsidRPr="00095729">
        <w:rPr>
          <w:rFonts w:cstheme="minorHAnsi"/>
        </w:rPr>
        <w:t>959–966</w:t>
      </w:r>
      <w:r w:rsidR="00095729">
        <w:rPr>
          <w:rFonts w:cstheme="minorHAnsi"/>
        </w:rPr>
        <w:t>.</w:t>
      </w:r>
    </w:p>
    <w:p w14:paraId="24D74FD8" w14:textId="7E2A564F" w:rsidR="001657C0" w:rsidRPr="0030480C" w:rsidRDefault="001657C0" w:rsidP="00924EEC">
      <w:pPr>
        <w:pStyle w:val="ListParagraph"/>
        <w:numPr>
          <w:ilvl w:val="0"/>
          <w:numId w:val="15"/>
        </w:numPr>
        <w:rPr>
          <w:rFonts w:cstheme="minorHAnsi"/>
        </w:rPr>
      </w:pPr>
      <w:r w:rsidRPr="00A01E24">
        <w:rPr>
          <w:rFonts w:cstheme="minorHAnsi"/>
          <w:color w:val="000000"/>
          <w:shd w:val="clear" w:color="auto" w:fill="FFFFFF"/>
        </w:rPr>
        <w:t>Paredes M, James D, Gil-Perotin S, Kim H, Cotter J, Ng C</w:t>
      </w:r>
      <w:r>
        <w:rPr>
          <w:rFonts w:cstheme="minorHAnsi"/>
          <w:color w:val="000000"/>
          <w:shd w:val="clear" w:color="auto" w:fill="FFFFFF"/>
        </w:rPr>
        <w:t>,</w:t>
      </w:r>
      <w:r w:rsidRPr="00A01E24">
        <w:rPr>
          <w:rFonts w:cstheme="minorHAnsi"/>
          <w:color w:val="000000"/>
          <w:shd w:val="clear" w:color="auto" w:fill="FFFFFF"/>
        </w:rPr>
        <w:t xml:space="preserve"> et al. Extensive migration of young neurons into the infant human frontal lobe. </w:t>
      </w:r>
      <w:r w:rsidRPr="00924EEC">
        <w:rPr>
          <w:rFonts w:cstheme="minorHAnsi"/>
          <w:i/>
          <w:iCs/>
          <w:color w:val="000000"/>
          <w:shd w:val="clear" w:color="auto" w:fill="FFFFFF"/>
        </w:rPr>
        <w:t>Science</w:t>
      </w:r>
      <w:r w:rsidRPr="00A01E24">
        <w:rPr>
          <w:rFonts w:cstheme="minorHAnsi"/>
          <w:color w:val="000000"/>
          <w:shd w:val="clear" w:color="auto" w:fill="FFFFFF"/>
        </w:rPr>
        <w:t>. 2016;354(6308): aaf7073.</w:t>
      </w:r>
    </w:p>
    <w:p w14:paraId="68CC0D0F" w14:textId="2405405C" w:rsidR="00115CC4" w:rsidRPr="00AC365D" w:rsidRDefault="00115CC4" w:rsidP="00924EEC">
      <w:pPr>
        <w:ind w:left="283"/>
      </w:pPr>
    </w:p>
    <w:p w14:paraId="47C19709" w14:textId="77777777" w:rsidR="00115CC4" w:rsidRPr="00924EEC" w:rsidRDefault="00115CC4" w:rsidP="00411309">
      <w:pPr>
        <w:pStyle w:val="NormalWeb"/>
        <w:spacing w:before="0" w:beforeAutospacing="0" w:after="0" w:afterAutospacing="0"/>
        <w:rPr>
          <w:rFonts w:asciiTheme="minorHAnsi" w:hAnsiTheme="minorHAnsi" w:cstheme="minorHAnsi"/>
          <w:sz w:val="22"/>
          <w:szCs w:val="22"/>
        </w:rPr>
      </w:pPr>
    </w:p>
    <w:p w14:paraId="5D588BBA" w14:textId="63532CBD" w:rsidR="00AA2B8E" w:rsidRPr="00924EEC" w:rsidRDefault="00AA2B8E" w:rsidP="00444DE8">
      <w:pPr>
        <w:autoSpaceDE w:val="0"/>
        <w:autoSpaceDN w:val="0"/>
        <w:adjustRightInd w:val="0"/>
        <w:spacing w:after="0" w:line="320" w:lineRule="atLeast"/>
        <w:rPr>
          <w:rFonts w:eastAsia="Calibri" w:cstheme="minorHAnsi"/>
        </w:rPr>
      </w:pPr>
    </w:p>
    <w:p w14:paraId="49F9BF3C" w14:textId="180FC247" w:rsidR="00AA2B8E" w:rsidRPr="00924EEC" w:rsidRDefault="00AA2B8E" w:rsidP="00444DE8">
      <w:pPr>
        <w:autoSpaceDE w:val="0"/>
        <w:autoSpaceDN w:val="0"/>
        <w:adjustRightInd w:val="0"/>
        <w:spacing w:after="0" w:line="320" w:lineRule="atLeast"/>
        <w:rPr>
          <w:rFonts w:eastAsia="Calibri" w:cstheme="minorHAnsi"/>
        </w:rPr>
      </w:pPr>
    </w:p>
    <w:p w14:paraId="67186CD1" w14:textId="53E75AB6" w:rsidR="00AA2B8E" w:rsidRPr="00AA2B8E" w:rsidRDefault="00AA2B8E" w:rsidP="00444DE8">
      <w:pPr>
        <w:spacing w:before="120" w:after="0" w:line="320" w:lineRule="atLeast"/>
        <w:rPr>
          <w:rFonts w:cs="Arial"/>
          <w:b/>
          <w:szCs w:val="24"/>
        </w:rPr>
        <w:sectPr w:rsidR="00AA2B8E" w:rsidRPr="00AA2B8E" w:rsidSect="00924EEC">
          <w:footerReference w:type="default" r:id="rId16"/>
          <w:pgSz w:w="11906" w:h="16838"/>
          <w:pgMar w:top="1440" w:right="1440" w:bottom="1440" w:left="1440" w:header="720" w:footer="720" w:gutter="0"/>
          <w:cols w:space="720"/>
          <w:docGrid w:linePitch="299"/>
        </w:sectPr>
      </w:pPr>
    </w:p>
    <w:p w14:paraId="65726A6C" w14:textId="77777777" w:rsidR="00F32EDE" w:rsidRPr="005E5F88" w:rsidRDefault="00F32EDE" w:rsidP="00F32EDE">
      <w:pPr>
        <w:rPr>
          <w:b/>
        </w:rPr>
      </w:pPr>
      <w:r w:rsidRPr="005E5F88">
        <w:rPr>
          <w:b/>
        </w:rPr>
        <w:lastRenderedPageBreak/>
        <w:t>Table 1. Maternal characteristics according to urinary iodine to creatinine ratio.</w:t>
      </w:r>
    </w:p>
    <w:tbl>
      <w:tblPr>
        <w:tblStyle w:val="TableGridLight"/>
        <w:tblW w:w="1190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91"/>
        <w:gridCol w:w="2864"/>
        <w:gridCol w:w="2126"/>
        <w:gridCol w:w="1843"/>
        <w:gridCol w:w="1843"/>
        <w:gridCol w:w="2556"/>
      </w:tblGrid>
      <w:tr w:rsidR="00F32EDE" w:rsidRPr="001E0D36" w14:paraId="184DABC0" w14:textId="77777777" w:rsidTr="00FB6ABD">
        <w:tc>
          <w:tcPr>
            <w:tcW w:w="3539" w:type="dxa"/>
            <w:gridSpan w:val="3"/>
          </w:tcPr>
          <w:p w14:paraId="7169914A" w14:textId="77777777" w:rsidR="00F32EDE" w:rsidRPr="00342BAA" w:rsidRDefault="00F32EDE" w:rsidP="00FB6ABD">
            <w:pPr>
              <w:jc w:val="both"/>
              <w:rPr>
                <w:rFonts w:cstheme="minorHAnsi"/>
                <w:b/>
                <w:sz w:val="20"/>
                <w:szCs w:val="20"/>
              </w:rPr>
            </w:pPr>
          </w:p>
        </w:tc>
        <w:tc>
          <w:tcPr>
            <w:tcW w:w="2126" w:type="dxa"/>
          </w:tcPr>
          <w:p w14:paraId="79F7BED6" w14:textId="77777777" w:rsidR="00F32EDE" w:rsidRPr="00342BAA" w:rsidRDefault="00F32EDE" w:rsidP="00FB6ABD">
            <w:pPr>
              <w:jc w:val="center"/>
              <w:rPr>
                <w:rFonts w:cstheme="minorHAnsi"/>
                <w:sz w:val="20"/>
                <w:szCs w:val="20"/>
              </w:rPr>
            </w:pPr>
          </w:p>
        </w:tc>
        <w:tc>
          <w:tcPr>
            <w:tcW w:w="6242" w:type="dxa"/>
            <w:gridSpan w:val="3"/>
          </w:tcPr>
          <w:p w14:paraId="30611ACB" w14:textId="77777777" w:rsidR="00F32EDE" w:rsidRPr="00342BAA" w:rsidRDefault="00F32EDE" w:rsidP="00FB6ABD">
            <w:pPr>
              <w:tabs>
                <w:tab w:val="center" w:pos="3013"/>
              </w:tabs>
              <w:jc w:val="center"/>
              <w:rPr>
                <w:rFonts w:cstheme="minorHAnsi"/>
                <w:sz w:val="20"/>
                <w:szCs w:val="20"/>
              </w:rPr>
            </w:pPr>
            <w:r w:rsidRPr="00342BAA">
              <w:rPr>
                <w:rFonts w:cstheme="minorHAnsi"/>
                <w:sz w:val="20"/>
                <w:szCs w:val="20"/>
              </w:rPr>
              <w:t>Iodine-to-creatinine ratio (cohort split into thirds)</w:t>
            </w:r>
          </w:p>
        </w:tc>
      </w:tr>
      <w:tr w:rsidR="00F32EDE" w:rsidRPr="001E0D36" w14:paraId="73227DBA" w14:textId="77777777" w:rsidTr="00FB6ABD">
        <w:tc>
          <w:tcPr>
            <w:tcW w:w="3539" w:type="dxa"/>
            <w:gridSpan w:val="3"/>
          </w:tcPr>
          <w:p w14:paraId="76C29B98" w14:textId="77777777" w:rsidR="00F32EDE" w:rsidRPr="00342BAA" w:rsidRDefault="00F32EDE" w:rsidP="00FB6ABD">
            <w:pPr>
              <w:jc w:val="both"/>
              <w:rPr>
                <w:rFonts w:cstheme="minorHAnsi"/>
                <w:b/>
                <w:sz w:val="20"/>
                <w:szCs w:val="20"/>
              </w:rPr>
            </w:pPr>
          </w:p>
        </w:tc>
        <w:tc>
          <w:tcPr>
            <w:tcW w:w="2126" w:type="dxa"/>
          </w:tcPr>
          <w:p w14:paraId="22D814ED" w14:textId="77777777" w:rsidR="00F32EDE" w:rsidRPr="00342BAA" w:rsidRDefault="00F32EDE" w:rsidP="00FB6ABD">
            <w:pPr>
              <w:jc w:val="both"/>
              <w:rPr>
                <w:rFonts w:cstheme="minorHAnsi"/>
                <w:sz w:val="20"/>
                <w:szCs w:val="20"/>
              </w:rPr>
            </w:pPr>
            <w:r w:rsidRPr="00342BAA">
              <w:rPr>
                <w:rFonts w:cstheme="minorHAnsi"/>
                <w:sz w:val="20"/>
                <w:szCs w:val="20"/>
              </w:rPr>
              <w:t>All participants</w:t>
            </w:r>
          </w:p>
        </w:tc>
        <w:tc>
          <w:tcPr>
            <w:tcW w:w="6242" w:type="dxa"/>
            <w:gridSpan w:val="3"/>
          </w:tcPr>
          <w:p w14:paraId="56A78191" w14:textId="77777777" w:rsidR="00F32EDE" w:rsidRPr="00342BAA" w:rsidRDefault="00F32EDE" w:rsidP="00FB6ABD">
            <w:pPr>
              <w:tabs>
                <w:tab w:val="center" w:pos="3013"/>
              </w:tabs>
              <w:jc w:val="both"/>
              <w:rPr>
                <w:rFonts w:cstheme="minorHAnsi"/>
                <w:sz w:val="20"/>
                <w:szCs w:val="20"/>
              </w:rPr>
            </w:pPr>
            <w:r w:rsidRPr="00342BAA">
              <w:rPr>
                <w:rFonts w:cstheme="minorHAnsi"/>
                <w:sz w:val="20"/>
                <w:szCs w:val="20"/>
              </w:rPr>
              <w:t>lower third                        middle third                higher third</w:t>
            </w:r>
          </w:p>
        </w:tc>
      </w:tr>
      <w:tr w:rsidR="00F32EDE" w:rsidRPr="001E0D36" w14:paraId="74D68ED4" w14:textId="77777777" w:rsidTr="00FB6ABD">
        <w:tc>
          <w:tcPr>
            <w:tcW w:w="3539" w:type="dxa"/>
            <w:gridSpan w:val="3"/>
            <w:tcBorders>
              <w:bottom w:val="single" w:sz="4" w:space="0" w:color="auto"/>
            </w:tcBorders>
          </w:tcPr>
          <w:p w14:paraId="0D3E318C" w14:textId="77777777" w:rsidR="00F32EDE" w:rsidRPr="00342BAA" w:rsidRDefault="00F32EDE" w:rsidP="00FB6ABD">
            <w:pPr>
              <w:jc w:val="both"/>
              <w:rPr>
                <w:rFonts w:cstheme="minorHAnsi"/>
                <w:b/>
                <w:sz w:val="20"/>
                <w:szCs w:val="20"/>
              </w:rPr>
            </w:pPr>
            <w:r w:rsidRPr="00342BAA">
              <w:rPr>
                <w:rFonts w:cstheme="minorHAnsi"/>
                <w:sz w:val="20"/>
                <w:szCs w:val="20"/>
              </w:rPr>
              <w:t>I:Cr (µg/g), median (range)</w:t>
            </w:r>
          </w:p>
        </w:tc>
        <w:tc>
          <w:tcPr>
            <w:tcW w:w="2126" w:type="dxa"/>
            <w:tcBorders>
              <w:bottom w:val="single" w:sz="4" w:space="0" w:color="auto"/>
            </w:tcBorders>
          </w:tcPr>
          <w:p w14:paraId="25FF8DC5" w14:textId="77777777" w:rsidR="00F32EDE" w:rsidRPr="00342BAA" w:rsidRDefault="00F32EDE" w:rsidP="00FB6ABD">
            <w:pPr>
              <w:jc w:val="both"/>
              <w:rPr>
                <w:rFonts w:cstheme="minorHAnsi"/>
                <w:b/>
                <w:sz w:val="20"/>
                <w:szCs w:val="20"/>
              </w:rPr>
            </w:pPr>
            <w:r w:rsidRPr="00342BAA">
              <w:rPr>
                <w:rFonts w:cstheme="minorHAnsi"/>
                <w:sz w:val="20"/>
                <w:szCs w:val="20"/>
              </w:rPr>
              <w:t>83</w:t>
            </w:r>
          </w:p>
        </w:tc>
        <w:tc>
          <w:tcPr>
            <w:tcW w:w="1843" w:type="dxa"/>
            <w:tcBorders>
              <w:bottom w:val="single" w:sz="4" w:space="0" w:color="auto"/>
            </w:tcBorders>
          </w:tcPr>
          <w:p w14:paraId="57EE8419" w14:textId="5A757F92" w:rsidR="00F32EDE" w:rsidRPr="00342BAA" w:rsidRDefault="00C0467C" w:rsidP="00FB6ABD">
            <w:pPr>
              <w:jc w:val="both"/>
              <w:rPr>
                <w:rFonts w:cstheme="minorHAnsi"/>
                <w:b/>
                <w:sz w:val="20"/>
                <w:szCs w:val="20"/>
              </w:rPr>
            </w:pPr>
            <w:r>
              <w:rPr>
                <w:rFonts w:cstheme="minorHAnsi"/>
                <w:sz w:val="20"/>
                <w:szCs w:val="20"/>
              </w:rPr>
              <w:t>59</w:t>
            </w:r>
            <w:r>
              <w:rPr>
                <w:rStyle w:val="st1"/>
                <w:rFonts w:ascii="Arial" w:hAnsi="Arial" w:cs="Arial"/>
                <w:color w:val="3C4043"/>
                <w:sz w:val="21"/>
                <w:szCs w:val="21"/>
              </w:rPr>
              <w:t>·</w:t>
            </w:r>
            <w:r w:rsidR="00613E16" w:rsidRPr="00342BAA">
              <w:rPr>
                <w:rFonts w:cstheme="minorHAnsi"/>
                <w:sz w:val="20"/>
                <w:szCs w:val="20"/>
              </w:rPr>
              <w:t>5</w:t>
            </w:r>
            <w:r w:rsidR="00F32EDE" w:rsidRPr="00342BAA">
              <w:rPr>
                <w:rFonts w:cstheme="minorHAnsi"/>
                <w:sz w:val="20"/>
                <w:szCs w:val="20"/>
              </w:rPr>
              <w:t xml:space="preserve"> (&lt;67)</w:t>
            </w:r>
          </w:p>
        </w:tc>
        <w:tc>
          <w:tcPr>
            <w:tcW w:w="1843" w:type="dxa"/>
            <w:tcBorders>
              <w:bottom w:val="single" w:sz="4" w:space="0" w:color="auto"/>
            </w:tcBorders>
          </w:tcPr>
          <w:p w14:paraId="744EA27F" w14:textId="7290CCDA" w:rsidR="00F32EDE" w:rsidRPr="00342BAA" w:rsidRDefault="00C0467C" w:rsidP="00FB6ABD">
            <w:pPr>
              <w:jc w:val="both"/>
              <w:rPr>
                <w:rFonts w:cstheme="minorHAnsi"/>
                <w:b/>
                <w:sz w:val="20"/>
                <w:szCs w:val="20"/>
              </w:rPr>
            </w:pPr>
            <w:r>
              <w:rPr>
                <w:rFonts w:cstheme="minorHAnsi"/>
                <w:sz w:val="20"/>
                <w:szCs w:val="20"/>
              </w:rPr>
              <w:t>83</w:t>
            </w:r>
            <w:r>
              <w:rPr>
                <w:rStyle w:val="st1"/>
                <w:rFonts w:ascii="Arial" w:hAnsi="Arial" w:cs="Arial"/>
                <w:color w:val="3C4043"/>
                <w:sz w:val="21"/>
                <w:szCs w:val="21"/>
              </w:rPr>
              <w:t>·</w:t>
            </w:r>
            <w:r w:rsidR="00F32EDE" w:rsidRPr="00342BAA">
              <w:rPr>
                <w:rFonts w:cstheme="minorHAnsi"/>
                <w:sz w:val="20"/>
                <w:szCs w:val="20"/>
              </w:rPr>
              <w:t>1 (67 to 105)</w:t>
            </w:r>
          </w:p>
        </w:tc>
        <w:tc>
          <w:tcPr>
            <w:tcW w:w="2556" w:type="dxa"/>
            <w:tcBorders>
              <w:bottom w:val="single" w:sz="4" w:space="0" w:color="auto"/>
            </w:tcBorders>
          </w:tcPr>
          <w:p w14:paraId="07BCE62A" w14:textId="2C861201" w:rsidR="00F32EDE" w:rsidRPr="00342BAA" w:rsidRDefault="00C0467C" w:rsidP="00FB6ABD">
            <w:pPr>
              <w:jc w:val="both"/>
              <w:rPr>
                <w:rFonts w:cstheme="minorHAnsi"/>
                <w:b/>
                <w:sz w:val="20"/>
                <w:szCs w:val="20"/>
              </w:rPr>
            </w:pPr>
            <w:r>
              <w:rPr>
                <w:rFonts w:cstheme="minorHAnsi"/>
                <w:sz w:val="20"/>
                <w:szCs w:val="20"/>
              </w:rPr>
              <w:t>121</w:t>
            </w:r>
            <w:r>
              <w:rPr>
                <w:rStyle w:val="st1"/>
                <w:rFonts w:ascii="Arial" w:hAnsi="Arial" w:cs="Arial"/>
                <w:color w:val="3C4043"/>
                <w:sz w:val="21"/>
                <w:szCs w:val="21"/>
              </w:rPr>
              <w:t>·</w:t>
            </w:r>
            <w:r w:rsidR="00613E16" w:rsidRPr="00342BAA">
              <w:rPr>
                <w:rFonts w:cstheme="minorHAnsi"/>
                <w:sz w:val="20"/>
                <w:szCs w:val="20"/>
              </w:rPr>
              <w:t>9</w:t>
            </w:r>
            <w:r w:rsidR="00F32EDE" w:rsidRPr="00342BAA">
              <w:rPr>
                <w:rFonts w:cstheme="minorHAnsi"/>
                <w:sz w:val="20"/>
                <w:szCs w:val="20"/>
              </w:rPr>
              <w:t xml:space="preserve"> (&gt;105)</w:t>
            </w:r>
          </w:p>
        </w:tc>
      </w:tr>
      <w:tr w:rsidR="00F32EDE" w:rsidRPr="001E0D36" w14:paraId="585239AB" w14:textId="77777777" w:rsidTr="00FB6ABD">
        <w:tc>
          <w:tcPr>
            <w:tcW w:w="3539" w:type="dxa"/>
            <w:gridSpan w:val="3"/>
          </w:tcPr>
          <w:p w14:paraId="66325658" w14:textId="718D2829" w:rsidR="00F32EDE" w:rsidRPr="00342BAA" w:rsidRDefault="00C0467C" w:rsidP="00FB6ABD">
            <w:pPr>
              <w:jc w:val="both"/>
              <w:rPr>
                <w:rFonts w:cstheme="minorHAnsi"/>
                <w:sz w:val="20"/>
                <w:szCs w:val="20"/>
              </w:rPr>
            </w:pPr>
            <w:r w:rsidRPr="00342BAA">
              <w:rPr>
                <w:rFonts w:cstheme="minorHAnsi"/>
                <w:sz w:val="20"/>
                <w:szCs w:val="20"/>
              </w:rPr>
              <w:t>N</w:t>
            </w:r>
          </w:p>
        </w:tc>
        <w:tc>
          <w:tcPr>
            <w:tcW w:w="2126" w:type="dxa"/>
          </w:tcPr>
          <w:p w14:paraId="34276D93" w14:textId="235BC07C" w:rsidR="00F32EDE" w:rsidRPr="00342BAA" w:rsidRDefault="00613E16" w:rsidP="00FB6ABD">
            <w:pPr>
              <w:jc w:val="both"/>
              <w:rPr>
                <w:rFonts w:cstheme="minorHAnsi"/>
                <w:sz w:val="20"/>
                <w:szCs w:val="20"/>
              </w:rPr>
            </w:pPr>
            <w:r w:rsidRPr="00342BAA">
              <w:rPr>
                <w:rFonts w:cstheme="minorHAnsi"/>
                <w:sz w:val="20"/>
                <w:szCs w:val="20"/>
              </w:rPr>
              <w:t>6973</w:t>
            </w:r>
          </w:p>
        </w:tc>
        <w:tc>
          <w:tcPr>
            <w:tcW w:w="1843" w:type="dxa"/>
          </w:tcPr>
          <w:p w14:paraId="67A360B0" w14:textId="039ED6EB" w:rsidR="00F32EDE" w:rsidRPr="00342BAA" w:rsidRDefault="00613E16" w:rsidP="00FB6ABD">
            <w:pPr>
              <w:jc w:val="both"/>
              <w:rPr>
                <w:rFonts w:cstheme="minorHAnsi"/>
                <w:sz w:val="20"/>
                <w:szCs w:val="20"/>
              </w:rPr>
            </w:pPr>
            <w:r w:rsidRPr="00342BAA">
              <w:rPr>
                <w:rFonts w:cstheme="minorHAnsi"/>
                <w:sz w:val="20"/>
                <w:szCs w:val="20"/>
              </w:rPr>
              <w:t>2325</w:t>
            </w:r>
          </w:p>
        </w:tc>
        <w:tc>
          <w:tcPr>
            <w:tcW w:w="1843" w:type="dxa"/>
          </w:tcPr>
          <w:p w14:paraId="01C13A4D" w14:textId="6A3D19C8" w:rsidR="00F32EDE" w:rsidRPr="00342BAA" w:rsidRDefault="00613E16" w:rsidP="00FB6ABD">
            <w:pPr>
              <w:jc w:val="both"/>
              <w:rPr>
                <w:rFonts w:cstheme="minorHAnsi"/>
                <w:sz w:val="20"/>
                <w:szCs w:val="20"/>
              </w:rPr>
            </w:pPr>
            <w:r w:rsidRPr="00342BAA">
              <w:rPr>
                <w:rFonts w:cstheme="minorHAnsi"/>
                <w:sz w:val="20"/>
                <w:szCs w:val="20"/>
              </w:rPr>
              <w:t>2324</w:t>
            </w:r>
          </w:p>
        </w:tc>
        <w:tc>
          <w:tcPr>
            <w:tcW w:w="2556" w:type="dxa"/>
          </w:tcPr>
          <w:p w14:paraId="6CE640D6" w14:textId="7DD3CD11" w:rsidR="00F32EDE" w:rsidRPr="00342BAA" w:rsidRDefault="00613E16" w:rsidP="00FB6ABD">
            <w:pPr>
              <w:jc w:val="both"/>
              <w:rPr>
                <w:rFonts w:cstheme="minorHAnsi"/>
                <w:sz w:val="20"/>
                <w:szCs w:val="20"/>
              </w:rPr>
            </w:pPr>
            <w:r w:rsidRPr="00342BAA">
              <w:rPr>
                <w:rFonts w:cstheme="minorHAnsi"/>
                <w:sz w:val="20"/>
                <w:szCs w:val="20"/>
              </w:rPr>
              <w:t>2324</w:t>
            </w:r>
          </w:p>
        </w:tc>
      </w:tr>
      <w:tr w:rsidR="00F32EDE" w:rsidRPr="001E0D36" w14:paraId="258AB31D" w14:textId="77777777" w:rsidTr="00FB6ABD">
        <w:tc>
          <w:tcPr>
            <w:tcW w:w="3539" w:type="dxa"/>
            <w:gridSpan w:val="3"/>
          </w:tcPr>
          <w:p w14:paraId="657B437D" w14:textId="77777777" w:rsidR="00F32EDE" w:rsidRPr="00342BAA" w:rsidRDefault="00F32EDE" w:rsidP="00FB6ABD">
            <w:pPr>
              <w:jc w:val="both"/>
              <w:rPr>
                <w:rFonts w:cstheme="minorHAnsi"/>
                <w:sz w:val="20"/>
                <w:szCs w:val="20"/>
              </w:rPr>
            </w:pPr>
            <w:r w:rsidRPr="00342BAA">
              <w:rPr>
                <w:rFonts w:cstheme="minorHAnsi"/>
                <w:sz w:val="20"/>
                <w:szCs w:val="20"/>
              </w:rPr>
              <w:t>I:Cr (µg/g), geometric mean (95% CI)</w:t>
            </w:r>
          </w:p>
        </w:tc>
        <w:tc>
          <w:tcPr>
            <w:tcW w:w="2126" w:type="dxa"/>
          </w:tcPr>
          <w:p w14:paraId="44D9019B" w14:textId="2A14A595" w:rsidR="00F32EDE" w:rsidRPr="00342BAA" w:rsidRDefault="00553602" w:rsidP="00FB6ABD">
            <w:pPr>
              <w:jc w:val="both"/>
              <w:rPr>
                <w:rFonts w:cstheme="minorHAnsi"/>
                <w:sz w:val="20"/>
                <w:szCs w:val="20"/>
              </w:rPr>
            </w:pPr>
            <w:r>
              <w:rPr>
                <w:rFonts w:cstheme="minorHAnsi"/>
                <w:sz w:val="20"/>
                <w:szCs w:val="20"/>
              </w:rPr>
              <w:t>86</w:t>
            </w:r>
            <w:r>
              <w:rPr>
                <w:rStyle w:val="st1"/>
                <w:rFonts w:ascii="Arial" w:hAnsi="Arial" w:cs="Arial"/>
                <w:color w:val="3C4043"/>
                <w:sz w:val="21"/>
                <w:szCs w:val="21"/>
              </w:rPr>
              <w:t>·</w:t>
            </w:r>
            <w:r>
              <w:rPr>
                <w:rFonts w:cstheme="minorHAnsi"/>
                <w:sz w:val="20"/>
                <w:szCs w:val="20"/>
              </w:rPr>
              <w:t>0 (85</w:t>
            </w:r>
            <w:r>
              <w:rPr>
                <w:rStyle w:val="st1"/>
                <w:rFonts w:ascii="Arial" w:hAnsi="Arial" w:cs="Arial"/>
                <w:color w:val="3C4043"/>
                <w:sz w:val="21"/>
                <w:szCs w:val="21"/>
              </w:rPr>
              <w:t>·</w:t>
            </w:r>
            <w:r>
              <w:rPr>
                <w:rFonts w:cstheme="minorHAnsi"/>
                <w:sz w:val="20"/>
                <w:szCs w:val="20"/>
              </w:rPr>
              <w:t>0 to 87</w:t>
            </w:r>
            <w:r>
              <w:rPr>
                <w:rStyle w:val="st1"/>
                <w:rFonts w:ascii="Arial" w:hAnsi="Arial" w:cs="Arial"/>
                <w:color w:val="3C4043"/>
                <w:sz w:val="21"/>
                <w:szCs w:val="21"/>
              </w:rPr>
              <w:t>·</w:t>
            </w:r>
            <w:r w:rsidR="00F32EDE" w:rsidRPr="00342BAA">
              <w:rPr>
                <w:rFonts w:cstheme="minorHAnsi"/>
                <w:sz w:val="20"/>
                <w:szCs w:val="20"/>
              </w:rPr>
              <w:t>2)</w:t>
            </w:r>
          </w:p>
        </w:tc>
        <w:tc>
          <w:tcPr>
            <w:tcW w:w="1843" w:type="dxa"/>
          </w:tcPr>
          <w:p w14:paraId="541F6010" w14:textId="6060821D" w:rsidR="00F32EDE" w:rsidRPr="00342BAA" w:rsidRDefault="00553602" w:rsidP="00FB6ABD">
            <w:pPr>
              <w:jc w:val="both"/>
              <w:rPr>
                <w:rFonts w:cstheme="minorHAnsi"/>
                <w:sz w:val="20"/>
                <w:szCs w:val="20"/>
              </w:rPr>
            </w:pPr>
            <w:r>
              <w:rPr>
                <w:rFonts w:cstheme="minorHAnsi"/>
                <w:sz w:val="20"/>
                <w:szCs w:val="20"/>
              </w:rPr>
              <w:t>48</w:t>
            </w:r>
            <w:r>
              <w:rPr>
                <w:rStyle w:val="st1"/>
                <w:rFonts w:ascii="Arial" w:hAnsi="Arial" w:cs="Arial"/>
                <w:color w:val="3C4043"/>
                <w:sz w:val="21"/>
                <w:szCs w:val="21"/>
              </w:rPr>
              <w:t>·</w:t>
            </w:r>
            <w:r>
              <w:rPr>
                <w:rFonts w:cstheme="minorHAnsi"/>
                <w:sz w:val="20"/>
                <w:szCs w:val="20"/>
              </w:rPr>
              <w:t>6 (48</w:t>
            </w:r>
            <w:r>
              <w:rPr>
                <w:rStyle w:val="st1"/>
                <w:rFonts w:ascii="Arial" w:hAnsi="Arial" w:cs="Arial"/>
                <w:color w:val="3C4043"/>
                <w:sz w:val="21"/>
                <w:szCs w:val="21"/>
              </w:rPr>
              <w:t>·</w:t>
            </w:r>
            <w:r>
              <w:rPr>
                <w:rFonts w:cstheme="minorHAnsi"/>
                <w:sz w:val="20"/>
                <w:szCs w:val="20"/>
              </w:rPr>
              <w:t>1 to 49</w:t>
            </w:r>
            <w:r>
              <w:rPr>
                <w:rStyle w:val="st1"/>
                <w:rFonts w:ascii="Arial" w:hAnsi="Arial" w:cs="Arial"/>
                <w:color w:val="3C4043"/>
                <w:sz w:val="21"/>
                <w:szCs w:val="21"/>
              </w:rPr>
              <w:t>·</w:t>
            </w:r>
            <w:r w:rsidR="00F32EDE" w:rsidRPr="00342BAA">
              <w:rPr>
                <w:rFonts w:cstheme="minorHAnsi"/>
                <w:sz w:val="20"/>
                <w:szCs w:val="20"/>
              </w:rPr>
              <w:t>2)</w:t>
            </w:r>
          </w:p>
        </w:tc>
        <w:tc>
          <w:tcPr>
            <w:tcW w:w="1843" w:type="dxa"/>
          </w:tcPr>
          <w:p w14:paraId="52B52DF6" w14:textId="1A2CE0CE" w:rsidR="00F32EDE" w:rsidRPr="00342BAA" w:rsidRDefault="00C0467C" w:rsidP="00FB6ABD">
            <w:pPr>
              <w:jc w:val="both"/>
              <w:rPr>
                <w:rFonts w:cstheme="minorHAnsi"/>
                <w:sz w:val="20"/>
                <w:szCs w:val="20"/>
              </w:rPr>
            </w:pPr>
            <w:r>
              <w:rPr>
                <w:rFonts w:cstheme="minorHAnsi"/>
                <w:sz w:val="20"/>
                <w:szCs w:val="20"/>
              </w:rPr>
              <w:t>83</w:t>
            </w:r>
            <w:r>
              <w:rPr>
                <w:rStyle w:val="st1"/>
                <w:rFonts w:ascii="Arial" w:hAnsi="Arial" w:cs="Arial"/>
                <w:color w:val="3C4043"/>
                <w:sz w:val="21"/>
                <w:szCs w:val="21"/>
              </w:rPr>
              <w:t>·</w:t>
            </w:r>
            <w:r>
              <w:rPr>
                <w:rFonts w:cstheme="minorHAnsi"/>
                <w:sz w:val="20"/>
                <w:szCs w:val="20"/>
              </w:rPr>
              <w:t>4 (82</w:t>
            </w:r>
            <w:r>
              <w:rPr>
                <w:rStyle w:val="st1"/>
                <w:rFonts w:ascii="Arial" w:hAnsi="Arial" w:cs="Arial"/>
                <w:color w:val="3C4043"/>
                <w:sz w:val="21"/>
                <w:szCs w:val="21"/>
              </w:rPr>
              <w:t>·</w:t>
            </w:r>
            <w:r>
              <w:rPr>
                <w:rFonts w:cstheme="minorHAnsi"/>
                <w:sz w:val="20"/>
                <w:szCs w:val="20"/>
              </w:rPr>
              <w:t>9 to 83</w:t>
            </w:r>
            <w:r>
              <w:rPr>
                <w:rStyle w:val="st1"/>
                <w:rFonts w:ascii="Arial" w:hAnsi="Arial" w:cs="Arial"/>
                <w:color w:val="3C4043"/>
                <w:sz w:val="21"/>
                <w:szCs w:val="21"/>
              </w:rPr>
              <w:t>·</w:t>
            </w:r>
            <w:r w:rsidR="00613E16" w:rsidRPr="00342BAA">
              <w:rPr>
                <w:rFonts w:cstheme="minorHAnsi"/>
                <w:sz w:val="20"/>
                <w:szCs w:val="20"/>
              </w:rPr>
              <w:t>8</w:t>
            </w:r>
            <w:r w:rsidR="00F32EDE" w:rsidRPr="00342BAA">
              <w:rPr>
                <w:rFonts w:cstheme="minorHAnsi"/>
                <w:sz w:val="20"/>
                <w:szCs w:val="20"/>
              </w:rPr>
              <w:t>)</w:t>
            </w:r>
          </w:p>
        </w:tc>
        <w:tc>
          <w:tcPr>
            <w:tcW w:w="2556" w:type="dxa"/>
          </w:tcPr>
          <w:p w14:paraId="0BB122A4" w14:textId="40E5E074" w:rsidR="00F32EDE" w:rsidRPr="00342BAA" w:rsidRDefault="00C0467C" w:rsidP="00FB6ABD">
            <w:pPr>
              <w:jc w:val="both"/>
              <w:rPr>
                <w:rFonts w:cstheme="minorHAnsi"/>
                <w:sz w:val="20"/>
                <w:szCs w:val="20"/>
              </w:rPr>
            </w:pPr>
            <w:r>
              <w:rPr>
                <w:rFonts w:cstheme="minorHAnsi"/>
                <w:sz w:val="20"/>
                <w:szCs w:val="20"/>
              </w:rPr>
              <w:t>154</w:t>
            </w:r>
            <w:r>
              <w:rPr>
                <w:rStyle w:val="st1"/>
                <w:rFonts w:ascii="Arial" w:hAnsi="Arial" w:cs="Arial"/>
                <w:color w:val="3C4043"/>
                <w:sz w:val="21"/>
                <w:szCs w:val="21"/>
              </w:rPr>
              <w:t>·</w:t>
            </w:r>
            <w:r>
              <w:rPr>
                <w:rFonts w:cstheme="minorHAnsi"/>
                <w:sz w:val="20"/>
                <w:szCs w:val="20"/>
              </w:rPr>
              <w:t>9 (154</w:t>
            </w:r>
            <w:r>
              <w:rPr>
                <w:rStyle w:val="st1"/>
                <w:rFonts w:ascii="Arial" w:hAnsi="Arial" w:cs="Arial"/>
                <w:color w:val="3C4043"/>
                <w:sz w:val="21"/>
                <w:szCs w:val="21"/>
              </w:rPr>
              <w:t>·</w:t>
            </w:r>
            <w:r w:rsidR="00613E16" w:rsidRPr="00342BAA">
              <w:rPr>
                <w:rFonts w:cstheme="minorHAnsi"/>
                <w:sz w:val="20"/>
                <w:szCs w:val="20"/>
              </w:rPr>
              <w:t>9</w:t>
            </w:r>
            <w:r w:rsidR="00F32EDE" w:rsidRPr="00342BAA">
              <w:rPr>
                <w:rFonts w:cstheme="minorHAnsi"/>
                <w:sz w:val="20"/>
                <w:szCs w:val="20"/>
              </w:rPr>
              <w:t xml:space="preserve"> t</w:t>
            </w:r>
            <w:r>
              <w:rPr>
                <w:rFonts w:cstheme="minorHAnsi"/>
                <w:sz w:val="20"/>
                <w:szCs w:val="20"/>
              </w:rPr>
              <w:t>o 159</w:t>
            </w:r>
            <w:r>
              <w:rPr>
                <w:rStyle w:val="st1"/>
                <w:rFonts w:ascii="Arial" w:hAnsi="Arial" w:cs="Arial"/>
                <w:color w:val="3C4043"/>
                <w:sz w:val="21"/>
                <w:szCs w:val="21"/>
              </w:rPr>
              <w:t>·</w:t>
            </w:r>
            <w:r w:rsidR="00F32EDE" w:rsidRPr="00342BAA">
              <w:rPr>
                <w:rFonts w:cstheme="minorHAnsi"/>
                <w:sz w:val="20"/>
                <w:szCs w:val="20"/>
              </w:rPr>
              <w:t>3)</w:t>
            </w:r>
          </w:p>
        </w:tc>
      </w:tr>
      <w:tr w:rsidR="00F32EDE" w:rsidRPr="001E0D36" w14:paraId="2C0707D7" w14:textId="77777777" w:rsidTr="00FB6ABD">
        <w:tc>
          <w:tcPr>
            <w:tcW w:w="3539" w:type="dxa"/>
            <w:gridSpan w:val="3"/>
          </w:tcPr>
          <w:p w14:paraId="55062897" w14:textId="77777777" w:rsidR="00F32EDE" w:rsidRPr="00342BAA" w:rsidRDefault="00F32EDE" w:rsidP="00FB6ABD">
            <w:pPr>
              <w:jc w:val="both"/>
              <w:rPr>
                <w:rFonts w:cstheme="minorHAnsi"/>
                <w:sz w:val="20"/>
                <w:szCs w:val="20"/>
              </w:rPr>
            </w:pPr>
            <w:r w:rsidRPr="00342BAA">
              <w:rPr>
                <w:rFonts w:cstheme="minorHAnsi"/>
                <w:sz w:val="20"/>
                <w:szCs w:val="20"/>
              </w:rPr>
              <w:t>I:Cr (µg/g), median (IQR)</w:t>
            </w:r>
          </w:p>
        </w:tc>
        <w:tc>
          <w:tcPr>
            <w:tcW w:w="2126" w:type="dxa"/>
          </w:tcPr>
          <w:p w14:paraId="68500684" w14:textId="5CCFA16B" w:rsidR="00F32EDE" w:rsidRPr="00342BAA" w:rsidRDefault="00553602" w:rsidP="00FB6ABD">
            <w:pPr>
              <w:jc w:val="both"/>
              <w:rPr>
                <w:rFonts w:cstheme="minorHAnsi"/>
                <w:sz w:val="20"/>
                <w:szCs w:val="20"/>
              </w:rPr>
            </w:pPr>
            <w:r>
              <w:rPr>
                <w:rFonts w:cstheme="minorHAnsi"/>
                <w:sz w:val="20"/>
                <w:szCs w:val="20"/>
              </w:rPr>
              <w:t>83</w:t>
            </w:r>
            <w:r>
              <w:rPr>
                <w:rStyle w:val="st1"/>
                <w:rFonts w:ascii="Arial" w:hAnsi="Arial" w:cs="Arial"/>
                <w:color w:val="3C4043"/>
                <w:sz w:val="21"/>
                <w:szCs w:val="21"/>
              </w:rPr>
              <w:t>·</w:t>
            </w:r>
            <w:r>
              <w:rPr>
                <w:rFonts w:cstheme="minorHAnsi"/>
                <w:sz w:val="20"/>
                <w:szCs w:val="20"/>
              </w:rPr>
              <w:t>1 (59</w:t>
            </w:r>
            <w:r>
              <w:rPr>
                <w:rStyle w:val="st1"/>
                <w:rFonts w:ascii="Arial" w:hAnsi="Arial" w:cs="Arial"/>
                <w:color w:val="3C4043"/>
                <w:sz w:val="21"/>
                <w:szCs w:val="21"/>
              </w:rPr>
              <w:t>·</w:t>
            </w:r>
            <w:r>
              <w:rPr>
                <w:rFonts w:cstheme="minorHAnsi"/>
                <w:sz w:val="20"/>
                <w:szCs w:val="20"/>
              </w:rPr>
              <w:t>3 to 121</w:t>
            </w:r>
            <w:r>
              <w:rPr>
                <w:rStyle w:val="st1"/>
                <w:rFonts w:ascii="Arial" w:hAnsi="Arial" w:cs="Arial"/>
                <w:color w:val="3C4043"/>
                <w:sz w:val="21"/>
                <w:szCs w:val="21"/>
              </w:rPr>
              <w:t>·</w:t>
            </w:r>
            <w:r w:rsidR="00F32EDE" w:rsidRPr="00342BAA">
              <w:rPr>
                <w:rFonts w:cstheme="minorHAnsi"/>
                <w:sz w:val="20"/>
                <w:szCs w:val="20"/>
              </w:rPr>
              <w:t>0)</w:t>
            </w:r>
          </w:p>
        </w:tc>
        <w:tc>
          <w:tcPr>
            <w:tcW w:w="1843" w:type="dxa"/>
          </w:tcPr>
          <w:p w14:paraId="6116D1BD" w14:textId="562C180A" w:rsidR="00F32EDE" w:rsidRPr="00342BAA" w:rsidRDefault="00553602" w:rsidP="00FB6ABD">
            <w:pPr>
              <w:jc w:val="both"/>
              <w:rPr>
                <w:rFonts w:cstheme="minorHAnsi"/>
                <w:sz w:val="20"/>
                <w:szCs w:val="20"/>
              </w:rPr>
            </w:pPr>
            <w:r>
              <w:rPr>
                <w:rFonts w:cstheme="minorHAnsi"/>
                <w:sz w:val="20"/>
                <w:szCs w:val="20"/>
              </w:rPr>
              <w:t>51</w:t>
            </w:r>
            <w:r>
              <w:rPr>
                <w:rStyle w:val="st1"/>
                <w:rFonts w:ascii="Arial" w:hAnsi="Arial" w:cs="Arial"/>
                <w:color w:val="3C4043"/>
                <w:sz w:val="21"/>
                <w:szCs w:val="21"/>
              </w:rPr>
              <w:t>·</w:t>
            </w:r>
            <w:r w:rsidR="00C0467C">
              <w:rPr>
                <w:rFonts w:cstheme="minorHAnsi"/>
                <w:sz w:val="20"/>
                <w:szCs w:val="20"/>
              </w:rPr>
              <w:t>5 (42</w:t>
            </w:r>
            <w:r w:rsidR="00C0467C">
              <w:rPr>
                <w:rStyle w:val="st1"/>
                <w:rFonts w:ascii="Arial" w:hAnsi="Arial" w:cs="Arial"/>
                <w:color w:val="3C4043"/>
                <w:sz w:val="21"/>
                <w:szCs w:val="21"/>
              </w:rPr>
              <w:t>·</w:t>
            </w:r>
            <w:r w:rsidR="00C0467C">
              <w:rPr>
                <w:rFonts w:cstheme="minorHAnsi"/>
                <w:sz w:val="20"/>
                <w:szCs w:val="20"/>
              </w:rPr>
              <w:t>8 to 59</w:t>
            </w:r>
            <w:r w:rsidR="00C0467C">
              <w:rPr>
                <w:rStyle w:val="st1"/>
                <w:rFonts w:ascii="Arial" w:hAnsi="Arial" w:cs="Arial"/>
                <w:color w:val="3C4043"/>
                <w:sz w:val="21"/>
                <w:szCs w:val="21"/>
              </w:rPr>
              <w:t>·</w:t>
            </w:r>
            <w:r w:rsidR="00AE0873" w:rsidRPr="00342BAA">
              <w:rPr>
                <w:rFonts w:cstheme="minorHAnsi"/>
                <w:sz w:val="20"/>
                <w:szCs w:val="20"/>
              </w:rPr>
              <w:t>5</w:t>
            </w:r>
            <w:r w:rsidR="00F32EDE" w:rsidRPr="00342BAA">
              <w:rPr>
                <w:rFonts w:cstheme="minorHAnsi"/>
                <w:sz w:val="20"/>
                <w:szCs w:val="20"/>
              </w:rPr>
              <w:t>)</w:t>
            </w:r>
          </w:p>
        </w:tc>
        <w:tc>
          <w:tcPr>
            <w:tcW w:w="1843" w:type="dxa"/>
          </w:tcPr>
          <w:p w14:paraId="43792D0E" w14:textId="5E720409" w:rsidR="00F32EDE" w:rsidRPr="00342BAA" w:rsidRDefault="00C0467C" w:rsidP="00FB6ABD">
            <w:pPr>
              <w:jc w:val="both"/>
              <w:rPr>
                <w:rFonts w:cstheme="minorHAnsi"/>
                <w:sz w:val="20"/>
                <w:szCs w:val="20"/>
              </w:rPr>
            </w:pPr>
            <w:r>
              <w:rPr>
                <w:rFonts w:cstheme="minorHAnsi"/>
                <w:sz w:val="20"/>
                <w:szCs w:val="20"/>
              </w:rPr>
              <w:t>83</w:t>
            </w:r>
            <w:r>
              <w:rPr>
                <w:rStyle w:val="st1"/>
                <w:rFonts w:ascii="Arial" w:hAnsi="Arial" w:cs="Arial"/>
                <w:color w:val="3C4043"/>
                <w:sz w:val="21"/>
                <w:szCs w:val="21"/>
              </w:rPr>
              <w:t>·</w:t>
            </w:r>
            <w:r>
              <w:rPr>
                <w:rFonts w:cstheme="minorHAnsi"/>
                <w:sz w:val="20"/>
                <w:szCs w:val="20"/>
              </w:rPr>
              <w:t>1 (74</w:t>
            </w:r>
            <w:r>
              <w:rPr>
                <w:rStyle w:val="st1"/>
                <w:rFonts w:ascii="Arial" w:hAnsi="Arial" w:cs="Arial"/>
                <w:color w:val="3C4043"/>
                <w:sz w:val="21"/>
                <w:szCs w:val="21"/>
              </w:rPr>
              <w:t>·</w:t>
            </w:r>
            <w:r>
              <w:rPr>
                <w:rFonts w:cstheme="minorHAnsi"/>
                <w:sz w:val="20"/>
                <w:szCs w:val="20"/>
              </w:rPr>
              <w:t>4 to 93</w:t>
            </w:r>
            <w:r>
              <w:rPr>
                <w:rStyle w:val="st1"/>
                <w:rFonts w:ascii="Arial" w:hAnsi="Arial" w:cs="Arial"/>
                <w:color w:val="3C4043"/>
                <w:sz w:val="21"/>
                <w:szCs w:val="21"/>
              </w:rPr>
              <w:t>·</w:t>
            </w:r>
            <w:r w:rsidR="00F32EDE" w:rsidRPr="00342BAA">
              <w:rPr>
                <w:rFonts w:cstheme="minorHAnsi"/>
                <w:sz w:val="20"/>
                <w:szCs w:val="20"/>
              </w:rPr>
              <w:t>3)</w:t>
            </w:r>
          </w:p>
        </w:tc>
        <w:tc>
          <w:tcPr>
            <w:tcW w:w="2556" w:type="dxa"/>
          </w:tcPr>
          <w:p w14:paraId="1AC2536C" w14:textId="33C33DAB" w:rsidR="00F32EDE" w:rsidRPr="00342BAA" w:rsidRDefault="00C0467C" w:rsidP="00FB6ABD">
            <w:pPr>
              <w:jc w:val="both"/>
              <w:rPr>
                <w:rFonts w:cstheme="minorHAnsi"/>
                <w:sz w:val="20"/>
                <w:szCs w:val="20"/>
              </w:rPr>
            </w:pPr>
            <w:r>
              <w:rPr>
                <w:rFonts w:cstheme="minorHAnsi"/>
                <w:sz w:val="20"/>
                <w:szCs w:val="20"/>
              </w:rPr>
              <w:t>145</w:t>
            </w:r>
            <w:r>
              <w:rPr>
                <w:rStyle w:val="st1"/>
                <w:rFonts w:ascii="Arial" w:hAnsi="Arial" w:cs="Arial"/>
                <w:color w:val="3C4043"/>
                <w:sz w:val="21"/>
                <w:szCs w:val="21"/>
              </w:rPr>
              <w:t>·</w:t>
            </w:r>
            <w:r>
              <w:rPr>
                <w:rFonts w:cstheme="minorHAnsi"/>
                <w:sz w:val="20"/>
                <w:szCs w:val="20"/>
              </w:rPr>
              <w:t>7 (121</w:t>
            </w:r>
            <w:r>
              <w:rPr>
                <w:rStyle w:val="st1"/>
                <w:rFonts w:ascii="Arial" w:hAnsi="Arial" w:cs="Arial"/>
                <w:color w:val="3C4043"/>
                <w:sz w:val="21"/>
                <w:szCs w:val="21"/>
              </w:rPr>
              <w:t>·</w:t>
            </w:r>
            <w:r>
              <w:rPr>
                <w:rFonts w:cstheme="minorHAnsi"/>
                <w:sz w:val="20"/>
                <w:szCs w:val="20"/>
              </w:rPr>
              <w:t>0 to 185</w:t>
            </w:r>
            <w:r>
              <w:rPr>
                <w:rStyle w:val="st1"/>
                <w:rFonts w:ascii="Arial" w:hAnsi="Arial" w:cs="Arial"/>
                <w:color w:val="3C4043"/>
                <w:sz w:val="21"/>
                <w:szCs w:val="21"/>
              </w:rPr>
              <w:t>·</w:t>
            </w:r>
            <w:r w:rsidR="00AE0873" w:rsidRPr="00342BAA">
              <w:rPr>
                <w:rFonts w:cstheme="minorHAnsi"/>
                <w:sz w:val="20"/>
                <w:szCs w:val="20"/>
              </w:rPr>
              <w:t>9</w:t>
            </w:r>
            <w:r w:rsidR="00F32EDE" w:rsidRPr="00342BAA">
              <w:rPr>
                <w:rFonts w:cstheme="minorHAnsi"/>
                <w:sz w:val="20"/>
                <w:szCs w:val="20"/>
              </w:rPr>
              <w:t>)</w:t>
            </w:r>
          </w:p>
        </w:tc>
      </w:tr>
      <w:tr w:rsidR="00F32EDE" w:rsidRPr="001E0D36" w14:paraId="3EEE1728" w14:textId="77777777" w:rsidTr="00FB6ABD">
        <w:trPr>
          <w:trHeight w:val="70"/>
        </w:trPr>
        <w:tc>
          <w:tcPr>
            <w:tcW w:w="3539" w:type="dxa"/>
            <w:gridSpan w:val="3"/>
          </w:tcPr>
          <w:p w14:paraId="24C48006" w14:textId="77777777" w:rsidR="00F32EDE" w:rsidRPr="00342BAA" w:rsidRDefault="00F32EDE" w:rsidP="00FB6ABD">
            <w:pPr>
              <w:jc w:val="both"/>
              <w:rPr>
                <w:rFonts w:cstheme="minorHAnsi"/>
                <w:sz w:val="20"/>
                <w:szCs w:val="20"/>
                <w:highlight w:val="yellow"/>
              </w:rPr>
            </w:pPr>
            <w:r w:rsidRPr="00342BAA">
              <w:rPr>
                <w:rFonts w:cstheme="minorHAnsi"/>
                <w:sz w:val="20"/>
                <w:szCs w:val="20"/>
              </w:rPr>
              <w:t>UIC (µg/L), geometric mean (95% CI)</w:t>
            </w:r>
          </w:p>
        </w:tc>
        <w:tc>
          <w:tcPr>
            <w:tcW w:w="2126" w:type="dxa"/>
          </w:tcPr>
          <w:p w14:paraId="21703382" w14:textId="190D3B30" w:rsidR="00F32EDE" w:rsidRPr="00342BAA" w:rsidRDefault="00553602" w:rsidP="00FB6ABD">
            <w:pPr>
              <w:jc w:val="both"/>
              <w:rPr>
                <w:rFonts w:cstheme="minorHAnsi"/>
                <w:sz w:val="20"/>
                <w:szCs w:val="20"/>
              </w:rPr>
            </w:pPr>
            <w:r>
              <w:rPr>
                <w:rFonts w:cstheme="minorHAnsi"/>
                <w:sz w:val="20"/>
                <w:szCs w:val="20"/>
              </w:rPr>
              <w:t>70</w:t>
            </w:r>
            <w:r>
              <w:rPr>
                <w:rStyle w:val="st1"/>
                <w:rFonts w:ascii="Arial" w:hAnsi="Arial" w:cs="Arial"/>
                <w:color w:val="3C4043"/>
                <w:sz w:val="21"/>
                <w:szCs w:val="21"/>
              </w:rPr>
              <w:t>·</w:t>
            </w:r>
            <w:r w:rsidR="00613E16" w:rsidRPr="00342BAA">
              <w:rPr>
                <w:rFonts w:cstheme="minorHAnsi"/>
                <w:sz w:val="20"/>
                <w:szCs w:val="20"/>
              </w:rPr>
              <w:t>8</w:t>
            </w:r>
            <w:r>
              <w:rPr>
                <w:rFonts w:cstheme="minorHAnsi"/>
                <w:sz w:val="20"/>
                <w:szCs w:val="20"/>
              </w:rPr>
              <w:t xml:space="preserve"> (69</w:t>
            </w:r>
            <w:r>
              <w:rPr>
                <w:rStyle w:val="st1"/>
                <w:rFonts w:ascii="Arial" w:hAnsi="Arial" w:cs="Arial"/>
                <w:color w:val="3C4043"/>
                <w:sz w:val="21"/>
                <w:szCs w:val="21"/>
              </w:rPr>
              <w:t>·</w:t>
            </w:r>
            <w:r>
              <w:rPr>
                <w:rFonts w:cstheme="minorHAnsi"/>
                <w:sz w:val="20"/>
                <w:szCs w:val="20"/>
              </w:rPr>
              <w:t>6 to 72</w:t>
            </w:r>
            <w:r>
              <w:rPr>
                <w:rStyle w:val="st1"/>
                <w:rFonts w:ascii="Arial" w:hAnsi="Arial" w:cs="Arial"/>
                <w:color w:val="3C4043"/>
                <w:sz w:val="21"/>
                <w:szCs w:val="21"/>
              </w:rPr>
              <w:t>·</w:t>
            </w:r>
            <w:r w:rsidR="00F32EDE" w:rsidRPr="00342BAA">
              <w:rPr>
                <w:rFonts w:cstheme="minorHAnsi"/>
                <w:sz w:val="20"/>
                <w:szCs w:val="20"/>
              </w:rPr>
              <w:t>1)</w:t>
            </w:r>
          </w:p>
        </w:tc>
        <w:tc>
          <w:tcPr>
            <w:tcW w:w="1843" w:type="dxa"/>
          </w:tcPr>
          <w:p w14:paraId="6874C715" w14:textId="7C0A177B" w:rsidR="00F32EDE" w:rsidRPr="00342BAA" w:rsidRDefault="00553602" w:rsidP="00FB6ABD">
            <w:pPr>
              <w:jc w:val="both"/>
              <w:rPr>
                <w:rFonts w:cstheme="minorHAnsi"/>
                <w:sz w:val="20"/>
                <w:szCs w:val="20"/>
              </w:rPr>
            </w:pPr>
            <w:r>
              <w:rPr>
                <w:rFonts w:cstheme="minorHAnsi"/>
                <w:sz w:val="20"/>
                <w:szCs w:val="20"/>
              </w:rPr>
              <w:t>45</w:t>
            </w:r>
            <w:r>
              <w:rPr>
                <w:rStyle w:val="st1"/>
                <w:rFonts w:ascii="Arial" w:hAnsi="Arial" w:cs="Arial"/>
                <w:color w:val="3C4043"/>
                <w:sz w:val="21"/>
                <w:szCs w:val="21"/>
              </w:rPr>
              <w:t>·</w:t>
            </w:r>
            <w:r w:rsidR="00C0467C">
              <w:rPr>
                <w:rFonts w:cstheme="minorHAnsi"/>
                <w:sz w:val="20"/>
                <w:szCs w:val="20"/>
              </w:rPr>
              <w:t>9 (44</w:t>
            </w:r>
            <w:r w:rsidR="00C0467C">
              <w:rPr>
                <w:rStyle w:val="st1"/>
                <w:rFonts w:ascii="Arial" w:hAnsi="Arial" w:cs="Arial"/>
                <w:color w:val="3C4043"/>
                <w:sz w:val="21"/>
                <w:szCs w:val="21"/>
              </w:rPr>
              <w:t>·</w:t>
            </w:r>
            <w:r w:rsidR="00C0467C">
              <w:rPr>
                <w:rFonts w:cstheme="minorHAnsi"/>
                <w:sz w:val="20"/>
                <w:szCs w:val="20"/>
              </w:rPr>
              <w:t>6 to 47</w:t>
            </w:r>
            <w:r w:rsidR="00C0467C">
              <w:rPr>
                <w:rStyle w:val="st1"/>
                <w:rFonts w:ascii="Arial" w:hAnsi="Arial" w:cs="Arial"/>
                <w:color w:val="3C4043"/>
                <w:sz w:val="21"/>
                <w:szCs w:val="21"/>
              </w:rPr>
              <w:t>·</w:t>
            </w:r>
            <w:r w:rsidR="00F32EDE" w:rsidRPr="00342BAA">
              <w:rPr>
                <w:rFonts w:cstheme="minorHAnsi"/>
                <w:sz w:val="20"/>
                <w:szCs w:val="20"/>
              </w:rPr>
              <w:t>2)</w:t>
            </w:r>
          </w:p>
        </w:tc>
        <w:tc>
          <w:tcPr>
            <w:tcW w:w="1843" w:type="dxa"/>
          </w:tcPr>
          <w:p w14:paraId="63066E0F" w14:textId="0167DE2C" w:rsidR="00F32EDE" w:rsidRPr="00342BAA" w:rsidRDefault="00C0467C" w:rsidP="00FB6ABD">
            <w:pPr>
              <w:jc w:val="both"/>
              <w:rPr>
                <w:rFonts w:cstheme="minorHAnsi"/>
                <w:sz w:val="20"/>
                <w:szCs w:val="20"/>
              </w:rPr>
            </w:pPr>
            <w:r>
              <w:rPr>
                <w:rFonts w:cstheme="minorHAnsi"/>
                <w:sz w:val="20"/>
                <w:szCs w:val="20"/>
              </w:rPr>
              <w:t>69</w:t>
            </w:r>
            <w:r>
              <w:rPr>
                <w:rStyle w:val="st1"/>
                <w:rFonts w:ascii="Arial" w:hAnsi="Arial" w:cs="Arial"/>
                <w:color w:val="3C4043"/>
                <w:sz w:val="21"/>
                <w:szCs w:val="21"/>
              </w:rPr>
              <w:t>·</w:t>
            </w:r>
            <w:r>
              <w:rPr>
                <w:rFonts w:cstheme="minorHAnsi"/>
                <w:sz w:val="20"/>
                <w:szCs w:val="20"/>
              </w:rPr>
              <w:t>9 (68</w:t>
            </w:r>
            <w:r>
              <w:rPr>
                <w:rStyle w:val="st1"/>
                <w:rFonts w:ascii="Arial" w:hAnsi="Arial" w:cs="Arial"/>
                <w:color w:val="3C4043"/>
                <w:sz w:val="21"/>
                <w:szCs w:val="21"/>
              </w:rPr>
              <w:t>·</w:t>
            </w:r>
            <w:r>
              <w:rPr>
                <w:rFonts w:cstheme="minorHAnsi"/>
                <w:sz w:val="20"/>
                <w:szCs w:val="20"/>
              </w:rPr>
              <w:t>1 to 71</w:t>
            </w:r>
            <w:r>
              <w:rPr>
                <w:rStyle w:val="st1"/>
                <w:rFonts w:ascii="Arial" w:hAnsi="Arial" w:cs="Arial"/>
                <w:color w:val="3C4043"/>
                <w:sz w:val="21"/>
                <w:szCs w:val="21"/>
              </w:rPr>
              <w:t>·</w:t>
            </w:r>
            <w:r w:rsidR="00AE0873" w:rsidRPr="00342BAA">
              <w:rPr>
                <w:rFonts w:cstheme="minorHAnsi"/>
                <w:sz w:val="20"/>
                <w:szCs w:val="20"/>
              </w:rPr>
              <w:t>8</w:t>
            </w:r>
            <w:r w:rsidR="00F32EDE" w:rsidRPr="00342BAA">
              <w:rPr>
                <w:rFonts w:cstheme="minorHAnsi"/>
                <w:sz w:val="20"/>
                <w:szCs w:val="20"/>
              </w:rPr>
              <w:t>)</w:t>
            </w:r>
          </w:p>
        </w:tc>
        <w:tc>
          <w:tcPr>
            <w:tcW w:w="2556" w:type="dxa"/>
          </w:tcPr>
          <w:p w14:paraId="08B911D7" w14:textId="3A98F762" w:rsidR="00F32EDE" w:rsidRPr="00342BAA" w:rsidRDefault="00C0467C" w:rsidP="00FB6ABD">
            <w:pPr>
              <w:jc w:val="both"/>
              <w:rPr>
                <w:rFonts w:cstheme="minorHAnsi"/>
                <w:sz w:val="20"/>
                <w:szCs w:val="20"/>
              </w:rPr>
            </w:pPr>
            <w:r>
              <w:rPr>
                <w:rFonts w:cstheme="minorHAnsi"/>
                <w:sz w:val="20"/>
                <w:szCs w:val="20"/>
              </w:rPr>
              <w:t>110</w:t>
            </w:r>
            <w:r>
              <w:rPr>
                <w:rStyle w:val="st1"/>
                <w:rFonts w:ascii="Arial" w:hAnsi="Arial" w:cs="Arial"/>
                <w:color w:val="3C4043"/>
                <w:sz w:val="21"/>
                <w:szCs w:val="21"/>
              </w:rPr>
              <w:t>·</w:t>
            </w:r>
            <w:r>
              <w:rPr>
                <w:rFonts w:cstheme="minorHAnsi"/>
                <w:sz w:val="20"/>
                <w:szCs w:val="20"/>
              </w:rPr>
              <w:t>6 (107</w:t>
            </w:r>
            <w:r>
              <w:rPr>
                <w:rStyle w:val="st1"/>
                <w:rFonts w:ascii="Arial" w:hAnsi="Arial" w:cs="Arial"/>
                <w:color w:val="3C4043"/>
                <w:sz w:val="21"/>
                <w:szCs w:val="21"/>
              </w:rPr>
              <w:t>·</w:t>
            </w:r>
            <w:r>
              <w:rPr>
                <w:rFonts w:cstheme="minorHAnsi"/>
                <w:sz w:val="20"/>
                <w:szCs w:val="20"/>
              </w:rPr>
              <w:t>7 to 113</w:t>
            </w:r>
            <w:r>
              <w:rPr>
                <w:rStyle w:val="st1"/>
                <w:rFonts w:ascii="Arial" w:hAnsi="Arial" w:cs="Arial"/>
                <w:color w:val="3C4043"/>
                <w:sz w:val="21"/>
                <w:szCs w:val="21"/>
              </w:rPr>
              <w:t>·</w:t>
            </w:r>
            <w:r w:rsidR="00F32EDE" w:rsidRPr="00342BAA">
              <w:rPr>
                <w:rFonts w:cstheme="minorHAnsi"/>
                <w:sz w:val="20"/>
                <w:szCs w:val="20"/>
              </w:rPr>
              <w:t>7)</w:t>
            </w:r>
          </w:p>
        </w:tc>
      </w:tr>
      <w:tr w:rsidR="00F32EDE" w:rsidRPr="001E0D36" w14:paraId="23EB3BDD" w14:textId="77777777" w:rsidTr="00FB6ABD">
        <w:tc>
          <w:tcPr>
            <w:tcW w:w="3539" w:type="dxa"/>
            <w:gridSpan w:val="3"/>
          </w:tcPr>
          <w:p w14:paraId="4EFB4042" w14:textId="77777777" w:rsidR="00F32EDE" w:rsidRPr="00342BAA" w:rsidRDefault="00F32EDE" w:rsidP="00FB6ABD">
            <w:pPr>
              <w:jc w:val="both"/>
              <w:rPr>
                <w:rFonts w:cstheme="minorHAnsi"/>
                <w:sz w:val="20"/>
                <w:szCs w:val="20"/>
              </w:rPr>
            </w:pPr>
            <w:r w:rsidRPr="00342BAA">
              <w:rPr>
                <w:rFonts w:cstheme="minorHAnsi"/>
                <w:sz w:val="20"/>
                <w:szCs w:val="20"/>
              </w:rPr>
              <w:t>UIC (µg/L), median (IQR)</w:t>
            </w:r>
          </w:p>
        </w:tc>
        <w:tc>
          <w:tcPr>
            <w:tcW w:w="2126" w:type="dxa"/>
          </w:tcPr>
          <w:p w14:paraId="17DCFEF1" w14:textId="4FA8A821" w:rsidR="00F32EDE" w:rsidRPr="00342BAA" w:rsidRDefault="00553602" w:rsidP="00FB6ABD">
            <w:pPr>
              <w:jc w:val="both"/>
              <w:rPr>
                <w:rFonts w:cstheme="minorHAnsi"/>
                <w:sz w:val="20"/>
                <w:szCs w:val="20"/>
              </w:rPr>
            </w:pPr>
            <w:r>
              <w:rPr>
                <w:rFonts w:cstheme="minorHAnsi"/>
                <w:sz w:val="20"/>
                <w:szCs w:val="20"/>
              </w:rPr>
              <w:t>76</w:t>
            </w:r>
            <w:r>
              <w:rPr>
                <w:rStyle w:val="st1"/>
                <w:rFonts w:ascii="Arial" w:hAnsi="Arial" w:cs="Arial"/>
                <w:color w:val="3C4043"/>
                <w:sz w:val="21"/>
                <w:szCs w:val="21"/>
              </w:rPr>
              <w:t>·</w:t>
            </w:r>
            <w:r>
              <w:rPr>
                <w:rFonts w:cstheme="minorHAnsi"/>
                <w:sz w:val="20"/>
                <w:szCs w:val="20"/>
              </w:rPr>
              <w:t>3 (44</w:t>
            </w:r>
            <w:r>
              <w:rPr>
                <w:rStyle w:val="st1"/>
                <w:rFonts w:ascii="Arial" w:hAnsi="Arial" w:cs="Arial"/>
                <w:color w:val="3C4043"/>
                <w:sz w:val="21"/>
                <w:szCs w:val="21"/>
              </w:rPr>
              <w:t>·</w:t>
            </w:r>
            <w:r w:rsidR="00AE0873" w:rsidRPr="00342BAA">
              <w:rPr>
                <w:rFonts w:cstheme="minorHAnsi"/>
                <w:sz w:val="20"/>
                <w:szCs w:val="20"/>
              </w:rPr>
              <w:t>7</w:t>
            </w:r>
            <w:r>
              <w:rPr>
                <w:rFonts w:cstheme="minorHAnsi"/>
                <w:sz w:val="20"/>
                <w:szCs w:val="20"/>
              </w:rPr>
              <w:t xml:space="preserve"> to 120</w:t>
            </w:r>
            <w:r>
              <w:rPr>
                <w:rStyle w:val="st1"/>
                <w:rFonts w:ascii="Arial" w:hAnsi="Arial" w:cs="Arial"/>
                <w:color w:val="3C4043"/>
                <w:sz w:val="21"/>
                <w:szCs w:val="21"/>
              </w:rPr>
              <w:t>·</w:t>
            </w:r>
            <w:r w:rsidR="00F32EDE" w:rsidRPr="00342BAA">
              <w:rPr>
                <w:rFonts w:cstheme="minorHAnsi"/>
                <w:sz w:val="20"/>
                <w:szCs w:val="20"/>
              </w:rPr>
              <w:t>2)</w:t>
            </w:r>
          </w:p>
        </w:tc>
        <w:tc>
          <w:tcPr>
            <w:tcW w:w="1843" w:type="dxa"/>
          </w:tcPr>
          <w:p w14:paraId="142D2AA9" w14:textId="00BCBF13" w:rsidR="00F32EDE" w:rsidRPr="00342BAA" w:rsidRDefault="00553602" w:rsidP="00FB6ABD">
            <w:pPr>
              <w:jc w:val="both"/>
              <w:rPr>
                <w:rFonts w:cstheme="minorHAnsi"/>
                <w:sz w:val="20"/>
                <w:szCs w:val="20"/>
              </w:rPr>
            </w:pPr>
            <w:r>
              <w:rPr>
                <w:rFonts w:cstheme="minorHAnsi"/>
                <w:sz w:val="20"/>
                <w:szCs w:val="20"/>
              </w:rPr>
              <w:t>52</w:t>
            </w:r>
            <w:r>
              <w:rPr>
                <w:rStyle w:val="st1"/>
                <w:rFonts w:ascii="Arial" w:hAnsi="Arial" w:cs="Arial"/>
                <w:color w:val="3C4043"/>
                <w:sz w:val="21"/>
                <w:szCs w:val="21"/>
              </w:rPr>
              <w:t>·</w:t>
            </w:r>
            <w:r w:rsidR="00C0467C">
              <w:rPr>
                <w:rFonts w:cstheme="minorHAnsi"/>
                <w:sz w:val="20"/>
                <w:szCs w:val="20"/>
              </w:rPr>
              <w:t>1 (29</w:t>
            </w:r>
            <w:r w:rsidR="00C0467C">
              <w:rPr>
                <w:rStyle w:val="st1"/>
                <w:rFonts w:ascii="Arial" w:hAnsi="Arial" w:cs="Arial"/>
                <w:color w:val="3C4043"/>
                <w:sz w:val="21"/>
                <w:szCs w:val="21"/>
              </w:rPr>
              <w:t>·</w:t>
            </w:r>
            <w:r w:rsidR="00C0467C">
              <w:rPr>
                <w:rFonts w:cstheme="minorHAnsi"/>
                <w:sz w:val="20"/>
                <w:szCs w:val="20"/>
              </w:rPr>
              <w:t>0 to 78</w:t>
            </w:r>
            <w:r w:rsidR="00C0467C">
              <w:rPr>
                <w:rStyle w:val="st1"/>
                <w:rFonts w:ascii="Arial" w:hAnsi="Arial" w:cs="Arial"/>
                <w:color w:val="3C4043"/>
                <w:sz w:val="21"/>
                <w:szCs w:val="21"/>
              </w:rPr>
              <w:t>·</w:t>
            </w:r>
            <w:r w:rsidR="00AE0873" w:rsidRPr="00342BAA">
              <w:rPr>
                <w:rFonts w:cstheme="minorHAnsi"/>
                <w:sz w:val="20"/>
                <w:szCs w:val="20"/>
              </w:rPr>
              <w:t>1</w:t>
            </w:r>
            <w:r w:rsidR="00F32EDE" w:rsidRPr="00342BAA">
              <w:rPr>
                <w:rFonts w:cstheme="minorHAnsi"/>
                <w:sz w:val="20"/>
                <w:szCs w:val="20"/>
              </w:rPr>
              <w:t>)</w:t>
            </w:r>
          </w:p>
        </w:tc>
        <w:tc>
          <w:tcPr>
            <w:tcW w:w="1843" w:type="dxa"/>
          </w:tcPr>
          <w:p w14:paraId="23CA5755" w14:textId="63292805" w:rsidR="00F32EDE" w:rsidRPr="00342BAA" w:rsidRDefault="00C0467C" w:rsidP="00FB6ABD">
            <w:pPr>
              <w:jc w:val="both"/>
              <w:rPr>
                <w:rFonts w:cstheme="minorHAnsi"/>
                <w:sz w:val="20"/>
                <w:szCs w:val="20"/>
              </w:rPr>
            </w:pPr>
            <w:r>
              <w:rPr>
                <w:rFonts w:cstheme="minorHAnsi"/>
                <w:sz w:val="20"/>
                <w:szCs w:val="20"/>
              </w:rPr>
              <w:t>77</w:t>
            </w:r>
            <w:r>
              <w:rPr>
                <w:rStyle w:val="st1"/>
                <w:rFonts w:ascii="Arial" w:hAnsi="Arial" w:cs="Arial"/>
                <w:color w:val="3C4043"/>
                <w:sz w:val="21"/>
                <w:szCs w:val="21"/>
              </w:rPr>
              <w:t>·</w:t>
            </w:r>
            <w:r>
              <w:rPr>
                <w:rFonts w:cstheme="minorHAnsi"/>
                <w:sz w:val="20"/>
                <w:szCs w:val="20"/>
              </w:rPr>
              <w:t>4 (47</w:t>
            </w:r>
            <w:r>
              <w:rPr>
                <w:rStyle w:val="st1"/>
                <w:rFonts w:ascii="Arial" w:hAnsi="Arial" w:cs="Arial"/>
                <w:color w:val="3C4043"/>
                <w:sz w:val="21"/>
                <w:szCs w:val="21"/>
              </w:rPr>
              <w:t>·</w:t>
            </w:r>
            <w:r>
              <w:rPr>
                <w:rFonts w:cstheme="minorHAnsi"/>
                <w:sz w:val="20"/>
                <w:szCs w:val="20"/>
              </w:rPr>
              <w:t>4 to 111</w:t>
            </w:r>
            <w:r>
              <w:rPr>
                <w:rStyle w:val="st1"/>
                <w:rFonts w:ascii="Arial" w:hAnsi="Arial" w:cs="Arial"/>
                <w:color w:val="3C4043"/>
                <w:sz w:val="21"/>
                <w:szCs w:val="21"/>
              </w:rPr>
              <w:t>·</w:t>
            </w:r>
            <w:r w:rsidR="00AE0873" w:rsidRPr="00342BAA">
              <w:rPr>
                <w:rFonts w:cstheme="minorHAnsi"/>
                <w:sz w:val="20"/>
                <w:szCs w:val="20"/>
              </w:rPr>
              <w:t>4</w:t>
            </w:r>
            <w:r w:rsidR="00F32EDE" w:rsidRPr="00342BAA">
              <w:rPr>
                <w:rFonts w:cstheme="minorHAnsi"/>
                <w:sz w:val="20"/>
                <w:szCs w:val="20"/>
              </w:rPr>
              <w:t>)</w:t>
            </w:r>
          </w:p>
        </w:tc>
        <w:tc>
          <w:tcPr>
            <w:tcW w:w="2556" w:type="dxa"/>
          </w:tcPr>
          <w:p w14:paraId="24852BBA" w14:textId="0E5414C9" w:rsidR="00F32EDE" w:rsidRPr="00342BAA" w:rsidRDefault="00C0467C" w:rsidP="00AE0873">
            <w:pPr>
              <w:jc w:val="both"/>
              <w:rPr>
                <w:rFonts w:cstheme="minorHAnsi"/>
                <w:sz w:val="20"/>
                <w:szCs w:val="20"/>
              </w:rPr>
            </w:pPr>
            <w:r>
              <w:rPr>
                <w:rFonts w:cstheme="minorHAnsi"/>
                <w:sz w:val="20"/>
                <w:szCs w:val="20"/>
              </w:rPr>
              <w:t>117</w:t>
            </w:r>
            <w:r>
              <w:rPr>
                <w:rStyle w:val="st1"/>
                <w:rFonts w:ascii="Arial" w:hAnsi="Arial" w:cs="Arial"/>
                <w:color w:val="3C4043"/>
                <w:sz w:val="21"/>
                <w:szCs w:val="21"/>
              </w:rPr>
              <w:t>·</w:t>
            </w:r>
            <w:r w:rsidR="00F32EDE" w:rsidRPr="00342BAA">
              <w:rPr>
                <w:rFonts w:cstheme="minorHAnsi"/>
                <w:sz w:val="20"/>
                <w:szCs w:val="20"/>
              </w:rPr>
              <w:t>8 (7</w:t>
            </w:r>
            <w:r>
              <w:rPr>
                <w:rFonts w:cstheme="minorHAnsi"/>
                <w:sz w:val="20"/>
                <w:szCs w:val="20"/>
              </w:rPr>
              <w:t>2</w:t>
            </w:r>
            <w:r>
              <w:rPr>
                <w:rStyle w:val="st1"/>
                <w:rFonts w:ascii="Arial" w:hAnsi="Arial" w:cs="Arial"/>
                <w:color w:val="3C4043"/>
                <w:sz w:val="21"/>
                <w:szCs w:val="21"/>
              </w:rPr>
              <w:t>·</w:t>
            </w:r>
            <w:r w:rsidR="00AE0873" w:rsidRPr="00342BAA">
              <w:rPr>
                <w:rFonts w:cstheme="minorHAnsi"/>
                <w:sz w:val="20"/>
                <w:szCs w:val="20"/>
              </w:rPr>
              <w:t>0</w:t>
            </w:r>
            <w:r>
              <w:rPr>
                <w:rFonts w:cstheme="minorHAnsi"/>
                <w:sz w:val="20"/>
                <w:szCs w:val="20"/>
              </w:rPr>
              <w:t xml:space="preserve"> to 178</w:t>
            </w:r>
            <w:r>
              <w:rPr>
                <w:rStyle w:val="st1"/>
                <w:rFonts w:ascii="Arial" w:hAnsi="Arial" w:cs="Arial"/>
                <w:color w:val="3C4043"/>
                <w:sz w:val="21"/>
                <w:szCs w:val="21"/>
              </w:rPr>
              <w:t>·</w:t>
            </w:r>
            <w:r w:rsidR="00F32EDE" w:rsidRPr="00342BAA">
              <w:rPr>
                <w:rFonts w:cstheme="minorHAnsi"/>
                <w:sz w:val="20"/>
                <w:szCs w:val="20"/>
              </w:rPr>
              <w:t>9)</w:t>
            </w:r>
          </w:p>
        </w:tc>
      </w:tr>
      <w:tr w:rsidR="00F32EDE" w:rsidRPr="001E0D36" w14:paraId="524EFFA7" w14:textId="77777777" w:rsidTr="00FB6ABD">
        <w:tc>
          <w:tcPr>
            <w:tcW w:w="3539" w:type="dxa"/>
            <w:gridSpan w:val="3"/>
          </w:tcPr>
          <w:p w14:paraId="12645718" w14:textId="77777777" w:rsidR="00F32EDE" w:rsidRPr="00342BAA" w:rsidRDefault="00F32EDE" w:rsidP="00FB6ABD">
            <w:pPr>
              <w:jc w:val="both"/>
              <w:rPr>
                <w:rFonts w:cstheme="minorHAnsi"/>
                <w:sz w:val="20"/>
                <w:szCs w:val="20"/>
              </w:rPr>
            </w:pPr>
            <w:r w:rsidRPr="00342BAA">
              <w:rPr>
                <w:rFonts w:cstheme="minorHAnsi"/>
                <w:sz w:val="20"/>
                <w:szCs w:val="20"/>
              </w:rPr>
              <w:t>Age (years), mean (SD)</w:t>
            </w:r>
          </w:p>
        </w:tc>
        <w:tc>
          <w:tcPr>
            <w:tcW w:w="2126" w:type="dxa"/>
          </w:tcPr>
          <w:p w14:paraId="2E6DE3F9" w14:textId="7CAFD6B9" w:rsidR="00F32EDE" w:rsidRPr="00342BAA" w:rsidRDefault="00553602" w:rsidP="00FB6ABD">
            <w:pPr>
              <w:jc w:val="both"/>
              <w:rPr>
                <w:rFonts w:cstheme="minorHAnsi"/>
                <w:sz w:val="20"/>
                <w:szCs w:val="20"/>
              </w:rPr>
            </w:pPr>
            <w:r>
              <w:rPr>
                <w:rFonts w:cstheme="minorHAnsi"/>
                <w:sz w:val="20"/>
                <w:szCs w:val="20"/>
              </w:rPr>
              <w:t>27</w:t>
            </w:r>
            <w:r>
              <w:rPr>
                <w:rStyle w:val="st1"/>
                <w:rFonts w:ascii="Arial" w:hAnsi="Arial" w:cs="Arial"/>
                <w:color w:val="3C4043"/>
                <w:sz w:val="21"/>
                <w:szCs w:val="21"/>
              </w:rPr>
              <w:t>·</w:t>
            </w:r>
            <w:r>
              <w:rPr>
                <w:rFonts w:cstheme="minorHAnsi"/>
                <w:sz w:val="20"/>
                <w:szCs w:val="20"/>
              </w:rPr>
              <w:t>2 (5</w:t>
            </w:r>
            <w:r>
              <w:rPr>
                <w:rStyle w:val="st1"/>
                <w:rFonts w:ascii="Arial" w:hAnsi="Arial" w:cs="Arial"/>
                <w:color w:val="3C4043"/>
                <w:sz w:val="21"/>
                <w:szCs w:val="21"/>
              </w:rPr>
              <w:t>·</w:t>
            </w:r>
            <w:r w:rsidR="00F32EDE" w:rsidRPr="00342BAA">
              <w:rPr>
                <w:rFonts w:cstheme="minorHAnsi"/>
                <w:sz w:val="20"/>
                <w:szCs w:val="20"/>
              </w:rPr>
              <w:t>6)</w:t>
            </w:r>
          </w:p>
        </w:tc>
        <w:tc>
          <w:tcPr>
            <w:tcW w:w="1843" w:type="dxa"/>
          </w:tcPr>
          <w:p w14:paraId="48CFA066" w14:textId="6DEB6D31" w:rsidR="00F32EDE" w:rsidRPr="00342BAA" w:rsidRDefault="00553602" w:rsidP="00FB6ABD">
            <w:pPr>
              <w:jc w:val="both"/>
              <w:rPr>
                <w:rFonts w:cstheme="minorHAnsi"/>
                <w:sz w:val="20"/>
                <w:szCs w:val="20"/>
              </w:rPr>
            </w:pPr>
            <w:r>
              <w:rPr>
                <w:rFonts w:cstheme="minorHAnsi"/>
                <w:sz w:val="20"/>
                <w:szCs w:val="20"/>
              </w:rPr>
              <w:t>26</w:t>
            </w:r>
            <w:r>
              <w:rPr>
                <w:rStyle w:val="st1"/>
                <w:rFonts w:ascii="Arial" w:hAnsi="Arial" w:cs="Arial"/>
                <w:color w:val="3C4043"/>
                <w:sz w:val="21"/>
                <w:szCs w:val="21"/>
              </w:rPr>
              <w:t>·</w:t>
            </w:r>
            <w:r w:rsidR="00C0467C">
              <w:rPr>
                <w:rFonts w:cstheme="minorHAnsi"/>
                <w:sz w:val="20"/>
                <w:szCs w:val="20"/>
              </w:rPr>
              <w:t>5 (5</w:t>
            </w:r>
            <w:r w:rsidR="00C0467C">
              <w:rPr>
                <w:rStyle w:val="st1"/>
                <w:rFonts w:ascii="Arial" w:hAnsi="Arial" w:cs="Arial"/>
                <w:color w:val="3C4043"/>
                <w:sz w:val="21"/>
                <w:szCs w:val="21"/>
              </w:rPr>
              <w:t>·</w:t>
            </w:r>
            <w:r w:rsidR="00F32EDE" w:rsidRPr="00342BAA">
              <w:rPr>
                <w:rFonts w:cstheme="minorHAnsi"/>
                <w:sz w:val="20"/>
                <w:szCs w:val="20"/>
              </w:rPr>
              <w:t>5)</w:t>
            </w:r>
          </w:p>
        </w:tc>
        <w:tc>
          <w:tcPr>
            <w:tcW w:w="1843" w:type="dxa"/>
          </w:tcPr>
          <w:p w14:paraId="604933D5" w14:textId="182CD173" w:rsidR="00F32EDE" w:rsidRPr="00342BAA" w:rsidRDefault="00C0467C" w:rsidP="00FB6ABD">
            <w:pPr>
              <w:jc w:val="both"/>
              <w:rPr>
                <w:rFonts w:cstheme="minorHAnsi"/>
                <w:sz w:val="20"/>
                <w:szCs w:val="20"/>
              </w:rPr>
            </w:pPr>
            <w:r>
              <w:rPr>
                <w:rFonts w:cstheme="minorHAnsi"/>
                <w:sz w:val="20"/>
                <w:szCs w:val="20"/>
              </w:rPr>
              <w:t>27</w:t>
            </w:r>
            <w:r>
              <w:rPr>
                <w:rStyle w:val="st1"/>
                <w:rFonts w:ascii="Arial" w:hAnsi="Arial" w:cs="Arial"/>
                <w:color w:val="3C4043"/>
                <w:sz w:val="21"/>
                <w:szCs w:val="21"/>
              </w:rPr>
              <w:t>·</w:t>
            </w:r>
            <w:r>
              <w:rPr>
                <w:rFonts w:cstheme="minorHAnsi"/>
                <w:sz w:val="20"/>
                <w:szCs w:val="20"/>
              </w:rPr>
              <w:t>3 (5</w:t>
            </w:r>
            <w:r>
              <w:rPr>
                <w:rStyle w:val="st1"/>
                <w:rFonts w:ascii="Arial" w:hAnsi="Arial" w:cs="Arial"/>
                <w:color w:val="3C4043"/>
                <w:sz w:val="21"/>
                <w:szCs w:val="21"/>
              </w:rPr>
              <w:t>·</w:t>
            </w:r>
            <w:r w:rsidR="00656F71" w:rsidRPr="00342BAA">
              <w:rPr>
                <w:rFonts w:cstheme="minorHAnsi"/>
                <w:sz w:val="20"/>
                <w:szCs w:val="20"/>
              </w:rPr>
              <w:t>6</w:t>
            </w:r>
            <w:r w:rsidR="00F32EDE" w:rsidRPr="00342BAA">
              <w:rPr>
                <w:rFonts w:cstheme="minorHAnsi"/>
                <w:sz w:val="20"/>
                <w:szCs w:val="20"/>
              </w:rPr>
              <w:t>)</w:t>
            </w:r>
          </w:p>
        </w:tc>
        <w:tc>
          <w:tcPr>
            <w:tcW w:w="2556" w:type="dxa"/>
          </w:tcPr>
          <w:p w14:paraId="735656DB" w14:textId="251C0392" w:rsidR="00F32EDE" w:rsidRPr="00342BAA" w:rsidRDefault="00C0467C" w:rsidP="00FB6ABD">
            <w:pPr>
              <w:jc w:val="both"/>
              <w:rPr>
                <w:rFonts w:cstheme="minorHAnsi"/>
                <w:sz w:val="20"/>
                <w:szCs w:val="20"/>
              </w:rPr>
            </w:pPr>
            <w:r>
              <w:rPr>
                <w:rFonts w:cstheme="minorHAnsi"/>
                <w:sz w:val="20"/>
                <w:szCs w:val="20"/>
              </w:rPr>
              <w:t>27</w:t>
            </w:r>
            <w:r>
              <w:rPr>
                <w:rStyle w:val="st1"/>
                <w:rFonts w:ascii="Arial" w:hAnsi="Arial" w:cs="Arial"/>
                <w:color w:val="3C4043"/>
                <w:sz w:val="21"/>
                <w:szCs w:val="21"/>
              </w:rPr>
              <w:t>·</w:t>
            </w:r>
            <w:r>
              <w:rPr>
                <w:rFonts w:cstheme="minorHAnsi"/>
                <w:sz w:val="20"/>
                <w:szCs w:val="20"/>
              </w:rPr>
              <w:t>9 (5</w:t>
            </w:r>
            <w:r>
              <w:rPr>
                <w:rStyle w:val="st1"/>
                <w:rFonts w:ascii="Arial" w:hAnsi="Arial" w:cs="Arial"/>
                <w:color w:val="3C4043"/>
                <w:sz w:val="21"/>
                <w:szCs w:val="21"/>
              </w:rPr>
              <w:t>·</w:t>
            </w:r>
            <w:r w:rsidR="00656F71" w:rsidRPr="00342BAA">
              <w:rPr>
                <w:rFonts w:cstheme="minorHAnsi"/>
                <w:sz w:val="20"/>
                <w:szCs w:val="20"/>
              </w:rPr>
              <w:t>6</w:t>
            </w:r>
            <w:r w:rsidR="00F32EDE" w:rsidRPr="00342BAA">
              <w:rPr>
                <w:rFonts w:cstheme="minorHAnsi"/>
                <w:sz w:val="20"/>
                <w:szCs w:val="20"/>
              </w:rPr>
              <w:t>)</w:t>
            </w:r>
          </w:p>
        </w:tc>
      </w:tr>
      <w:tr w:rsidR="00F32EDE" w:rsidRPr="001E0D36" w14:paraId="283BA115" w14:textId="77777777" w:rsidTr="00FB6ABD">
        <w:tc>
          <w:tcPr>
            <w:tcW w:w="3539" w:type="dxa"/>
            <w:gridSpan w:val="3"/>
          </w:tcPr>
          <w:p w14:paraId="3BB27951" w14:textId="77777777" w:rsidR="00F32EDE" w:rsidRPr="00342BAA" w:rsidRDefault="00F32EDE" w:rsidP="00FB6ABD">
            <w:pPr>
              <w:jc w:val="both"/>
              <w:rPr>
                <w:rFonts w:cstheme="minorHAnsi"/>
                <w:sz w:val="20"/>
                <w:szCs w:val="20"/>
              </w:rPr>
            </w:pPr>
            <w:r w:rsidRPr="00342BAA">
              <w:rPr>
                <w:rFonts w:cstheme="minorHAnsi"/>
                <w:sz w:val="20"/>
                <w:szCs w:val="20"/>
              </w:rPr>
              <w:t>BMI (kg/M</w:t>
            </w:r>
            <w:r w:rsidRPr="00342BAA">
              <w:rPr>
                <w:rFonts w:cstheme="minorHAnsi"/>
                <w:sz w:val="20"/>
                <w:szCs w:val="20"/>
                <w:vertAlign w:val="superscript"/>
              </w:rPr>
              <w:t>2</w:t>
            </w:r>
            <w:r w:rsidRPr="00342BAA">
              <w:rPr>
                <w:rFonts w:cstheme="minorHAnsi"/>
                <w:sz w:val="20"/>
                <w:szCs w:val="20"/>
              </w:rPr>
              <w:t>), mean (SD)</w:t>
            </w:r>
          </w:p>
        </w:tc>
        <w:tc>
          <w:tcPr>
            <w:tcW w:w="2126" w:type="dxa"/>
          </w:tcPr>
          <w:p w14:paraId="48E4F57D" w14:textId="65718718" w:rsidR="00F32EDE" w:rsidRPr="00342BAA" w:rsidRDefault="00553602" w:rsidP="00FB6ABD">
            <w:pPr>
              <w:jc w:val="both"/>
              <w:rPr>
                <w:rFonts w:cstheme="minorHAnsi"/>
                <w:sz w:val="20"/>
                <w:szCs w:val="20"/>
              </w:rPr>
            </w:pPr>
            <w:r>
              <w:rPr>
                <w:rFonts w:cstheme="minorHAnsi"/>
                <w:sz w:val="20"/>
                <w:szCs w:val="20"/>
              </w:rPr>
              <w:t>25</w:t>
            </w:r>
            <w:r>
              <w:rPr>
                <w:rStyle w:val="st1"/>
                <w:rFonts w:ascii="Arial" w:hAnsi="Arial" w:cs="Arial"/>
                <w:color w:val="3C4043"/>
                <w:sz w:val="21"/>
                <w:szCs w:val="21"/>
              </w:rPr>
              <w:t>·</w:t>
            </w:r>
            <w:r>
              <w:rPr>
                <w:rFonts w:cstheme="minorHAnsi"/>
                <w:sz w:val="20"/>
                <w:szCs w:val="20"/>
              </w:rPr>
              <w:t>9 (5</w:t>
            </w:r>
            <w:r>
              <w:rPr>
                <w:rStyle w:val="st1"/>
                <w:rFonts w:ascii="Arial" w:hAnsi="Arial" w:cs="Arial"/>
                <w:color w:val="3C4043"/>
                <w:sz w:val="21"/>
                <w:szCs w:val="21"/>
              </w:rPr>
              <w:t>·</w:t>
            </w:r>
            <w:r w:rsidR="00F32EDE" w:rsidRPr="00342BAA">
              <w:rPr>
                <w:rFonts w:cstheme="minorHAnsi"/>
                <w:sz w:val="20"/>
                <w:szCs w:val="20"/>
              </w:rPr>
              <w:t>5)</w:t>
            </w:r>
          </w:p>
        </w:tc>
        <w:tc>
          <w:tcPr>
            <w:tcW w:w="1843" w:type="dxa"/>
          </w:tcPr>
          <w:p w14:paraId="12AA86D1" w14:textId="25B7CBA5" w:rsidR="00F32EDE" w:rsidRPr="00342BAA" w:rsidRDefault="00553602" w:rsidP="00FB6ABD">
            <w:pPr>
              <w:jc w:val="both"/>
              <w:rPr>
                <w:rFonts w:cstheme="minorHAnsi"/>
                <w:sz w:val="20"/>
                <w:szCs w:val="20"/>
              </w:rPr>
            </w:pPr>
            <w:r>
              <w:rPr>
                <w:rFonts w:cstheme="minorHAnsi"/>
                <w:sz w:val="20"/>
                <w:szCs w:val="20"/>
              </w:rPr>
              <w:t>26</w:t>
            </w:r>
            <w:r>
              <w:rPr>
                <w:rStyle w:val="st1"/>
                <w:rFonts w:ascii="Arial" w:hAnsi="Arial" w:cs="Arial"/>
                <w:color w:val="3C4043"/>
                <w:sz w:val="21"/>
                <w:szCs w:val="21"/>
              </w:rPr>
              <w:t>·</w:t>
            </w:r>
            <w:r w:rsidR="00C0467C">
              <w:rPr>
                <w:rFonts w:cstheme="minorHAnsi"/>
                <w:sz w:val="20"/>
                <w:szCs w:val="20"/>
              </w:rPr>
              <w:t>5 (5</w:t>
            </w:r>
            <w:r w:rsidR="00C0467C">
              <w:rPr>
                <w:rStyle w:val="st1"/>
                <w:rFonts w:ascii="Arial" w:hAnsi="Arial" w:cs="Arial"/>
                <w:color w:val="3C4043"/>
                <w:sz w:val="21"/>
                <w:szCs w:val="21"/>
              </w:rPr>
              <w:t>·</w:t>
            </w:r>
            <w:r w:rsidR="00F32EDE" w:rsidRPr="00342BAA">
              <w:rPr>
                <w:rFonts w:cstheme="minorHAnsi"/>
                <w:sz w:val="20"/>
                <w:szCs w:val="20"/>
              </w:rPr>
              <w:t>7)</w:t>
            </w:r>
          </w:p>
        </w:tc>
        <w:tc>
          <w:tcPr>
            <w:tcW w:w="1843" w:type="dxa"/>
          </w:tcPr>
          <w:p w14:paraId="3302C190" w14:textId="472B03F6" w:rsidR="00F32EDE" w:rsidRPr="00342BAA" w:rsidRDefault="00C0467C" w:rsidP="00FB6ABD">
            <w:pPr>
              <w:jc w:val="both"/>
              <w:rPr>
                <w:rFonts w:cstheme="minorHAnsi"/>
                <w:sz w:val="20"/>
                <w:szCs w:val="20"/>
              </w:rPr>
            </w:pPr>
            <w:r>
              <w:rPr>
                <w:rFonts w:cstheme="minorHAnsi"/>
                <w:sz w:val="20"/>
                <w:szCs w:val="20"/>
              </w:rPr>
              <w:t>25</w:t>
            </w:r>
            <w:r>
              <w:rPr>
                <w:rStyle w:val="st1"/>
                <w:rFonts w:ascii="Arial" w:hAnsi="Arial" w:cs="Arial"/>
                <w:color w:val="3C4043"/>
                <w:sz w:val="21"/>
                <w:szCs w:val="21"/>
              </w:rPr>
              <w:t>·</w:t>
            </w:r>
            <w:r>
              <w:rPr>
                <w:rFonts w:cstheme="minorHAnsi"/>
                <w:sz w:val="20"/>
                <w:szCs w:val="20"/>
              </w:rPr>
              <w:t>9 (5</w:t>
            </w:r>
            <w:r>
              <w:rPr>
                <w:rStyle w:val="st1"/>
                <w:rFonts w:ascii="Arial" w:hAnsi="Arial" w:cs="Arial"/>
                <w:color w:val="3C4043"/>
                <w:sz w:val="21"/>
                <w:szCs w:val="21"/>
              </w:rPr>
              <w:t>·</w:t>
            </w:r>
            <w:r w:rsidR="00F32EDE" w:rsidRPr="00342BAA">
              <w:rPr>
                <w:rFonts w:cstheme="minorHAnsi"/>
                <w:sz w:val="20"/>
                <w:szCs w:val="20"/>
              </w:rPr>
              <w:t>4)</w:t>
            </w:r>
          </w:p>
        </w:tc>
        <w:tc>
          <w:tcPr>
            <w:tcW w:w="2556" w:type="dxa"/>
          </w:tcPr>
          <w:p w14:paraId="0BC88FA7" w14:textId="63D14DA7" w:rsidR="00F32EDE" w:rsidRPr="00342BAA" w:rsidRDefault="00C0467C" w:rsidP="00FB6ABD">
            <w:pPr>
              <w:jc w:val="both"/>
              <w:rPr>
                <w:rFonts w:cstheme="minorHAnsi"/>
                <w:sz w:val="20"/>
                <w:szCs w:val="20"/>
              </w:rPr>
            </w:pPr>
            <w:r>
              <w:rPr>
                <w:rFonts w:cstheme="minorHAnsi"/>
                <w:sz w:val="20"/>
                <w:szCs w:val="20"/>
              </w:rPr>
              <w:t>25</w:t>
            </w:r>
            <w:r>
              <w:rPr>
                <w:rStyle w:val="st1"/>
                <w:rFonts w:ascii="Arial" w:hAnsi="Arial" w:cs="Arial"/>
                <w:color w:val="3C4043"/>
                <w:sz w:val="21"/>
                <w:szCs w:val="21"/>
              </w:rPr>
              <w:t>·</w:t>
            </w:r>
            <w:r>
              <w:rPr>
                <w:rFonts w:cstheme="minorHAnsi"/>
                <w:sz w:val="20"/>
                <w:szCs w:val="20"/>
              </w:rPr>
              <w:t>2 (5</w:t>
            </w:r>
            <w:r>
              <w:rPr>
                <w:rStyle w:val="st1"/>
                <w:rFonts w:ascii="Arial" w:hAnsi="Arial" w:cs="Arial"/>
                <w:color w:val="3C4043"/>
                <w:sz w:val="21"/>
                <w:szCs w:val="21"/>
              </w:rPr>
              <w:t>·</w:t>
            </w:r>
            <w:r w:rsidR="00F32EDE" w:rsidRPr="00342BAA">
              <w:rPr>
                <w:rFonts w:cstheme="minorHAnsi"/>
                <w:sz w:val="20"/>
                <w:szCs w:val="20"/>
              </w:rPr>
              <w:t>1)</w:t>
            </w:r>
          </w:p>
        </w:tc>
      </w:tr>
      <w:tr w:rsidR="00F32EDE" w:rsidRPr="001E0D36" w14:paraId="1E812812" w14:textId="77777777" w:rsidTr="00FB6ABD">
        <w:tc>
          <w:tcPr>
            <w:tcW w:w="3539" w:type="dxa"/>
            <w:gridSpan w:val="3"/>
          </w:tcPr>
          <w:p w14:paraId="129F6AF0" w14:textId="77777777" w:rsidR="00F32EDE" w:rsidRPr="00342BAA" w:rsidRDefault="00F32EDE" w:rsidP="00FB6ABD">
            <w:pPr>
              <w:jc w:val="both"/>
              <w:rPr>
                <w:rFonts w:cstheme="minorHAnsi"/>
                <w:sz w:val="20"/>
                <w:szCs w:val="20"/>
              </w:rPr>
            </w:pPr>
            <w:r w:rsidRPr="00342BAA">
              <w:rPr>
                <w:rFonts w:cstheme="minorHAnsi"/>
                <w:sz w:val="20"/>
                <w:szCs w:val="20"/>
              </w:rPr>
              <w:t>Socio-economic status</w:t>
            </w:r>
            <w:r w:rsidRPr="00342BAA">
              <w:rPr>
                <w:rFonts w:cstheme="minorHAnsi"/>
                <w:sz w:val="20"/>
                <w:szCs w:val="20"/>
                <w:vertAlign w:val="superscript"/>
              </w:rPr>
              <w:t>†</w:t>
            </w:r>
          </w:p>
        </w:tc>
        <w:tc>
          <w:tcPr>
            <w:tcW w:w="2126" w:type="dxa"/>
          </w:tcPr>
          <w:p w14:paraId="08D63788" w14:textId="77777777" w:rsidR="00F32EDE" w:rsidRPr="00342BAA" w:rsidRDefault="00F32EDE" w:rsidP="00FB6ABD">
            <w:pPr>
              <w:jc w:val="both"/>
              <w:rPr>
                <w:rFonts w:cstheme="minorHAnsi"/>
                <w:sz w:val="20"/>
                <w:szCs w:val="20"/>
              </w:rPr>
            </w:pPr>
          </w:p>
        </w:tc>
        <w:tc>
          <w:tcPr>
            <w:tcW w:w="1843" w:type="dxa"/>
          </w:tcPr>
          <w:p w14:paraId="1D1D14AE" w14:textId="77777777" w:rsidR="00F32EDE" w:rsidRPr="00342BAA" w:rsidRDefault="00F32EDE" w:rsidP="00FB6ABD">
            <w:pPr>
              <w:jc w:val="both"/>
              <w:rPr>
                <w:rFonts w:cstheme="minorHAnsi"/>
                <w:sz w:val="20"/>
                <w:szCs w:val="20"/>
              </w:rPr>
            </w:pPr>
          </w:p>
        </w:tc>
        <w:tc>
          <w:tcPr>
            <w:tcW w:w="1843" w:type="dxa"/>
          </w:tcPr>
          <w:p w14:paraId="7FAF1A7E" w14:textId="77777777" w:rsidR="00F32EDE" w:rsidRPr="00342BAA" w:rsidRDefault="00F32EDE" w:rsidP="00FB6ABD">
            <w:pPr>
              <w:jc w:val="both"/>
              <w:rPr>
                <w:rFonts w:cstheme="minorHAnsi"/>
                <w:sz w:val="20"/>
                <w:szCs w:val="20"/>
              </w:rPr>
            </w:pPr>
          </w:p>
        </w:tc>
        <w:tc>
          <w:tcPr>
            <w:tcW w:w="2556" w:type="dxa"/>
          </w:tcPr>
          <w:p w14:paraId="7B985851" w14:textId="77777777" w:rsidR="00F32EDE" w:rsidRPr="00342BAA" w:rsidRDefault="00F32EDE" w:rsidP="00FB6ABD">
            <w:pPr>
              <w:jc w:val="both"/>
              <w:rPr>
                <w:rFonts w:cstheme="minorHAnsi"/>
                <w:sz w:val="20"/>
                <w:szCs w:val="20"/>
              </w:rPr>
            </w:pPr>
          </w:p>
        </w:tc>
      </w:tr>
      <w:tr w:rsidR="00F32EDE" w:rsidRPr="001E0D36" w14:paraId="72CD0200" w14:textId="77777777" w:rsidTr="00FB6ABD">
        <w:tc>
          <w:tcPr>
            <w:tcW w:w="284" w:type="dxa"/>
          </w:tcPr>
          <w:p w14:paraId="5BEAEBC4" w14:textId="77777777" w:rsidR="00F32EDE" w:rsidRPr="00342BAA" w:rsidRDefault="00F32EDE" w:rsidP="00FB6ABD">
            <w:pPr>
              <w:jc w:val="both"/>
              <w:rPr>
                <w:rFonts w:cstheme="minorHAnsi"/>
                <w:sz w:val="20"/>
                <w:szCs w:val="20"/>
              </w:rPr>
            </w:pPr>
          </w:p>
        </w:tc>
        <w:tc>
          <w:tcPr>
            <w:tcW w:w="3255" w:type="dxa"/>
            <w:gridSpan w:val="2"/>
          </w:tcPr>
          <w:p w14:paraId="5E63A501" w14:textId="77777777" w:rsidR="00F32EDE" w:rsidRPr="00342BAA" w:rsidRDefault="00F32EDE" w:rsidP="00FB6ABD">
            <w:pPr>
              <w:jc w:val="both"/>
              <w:rPr>
                <w:rFonts w:cstheme="minorHAnsi"/>
                <w:sz w:val="20"/>
                <w:szCs w:val="20"/>
              </w:rPr>
            </w:pPr>
            <w:r w:rsidRPr="00342BAA">
              <w:rPr>
                <w:rFonts w:cstheme="minorHAnsi"/>
                <w:sz w:val="20"/>
                <w:szCs w:val="20"/>
              </w:rPr>
              <w:t>Least deprived and most educated</w:t>
            </w:r>
          </w:p>
        </w:tc>
        <w:tc>
          <w:tcPr>
            <w:tcW w:w="2126" w:type="dxa"/>
          </w:tcPr>
          <w:p w14:paraId="2FBDF94C" w14:textId="10AFF8F3" w:rsidR="00F32EDE" w:rsidRPr="00342BAA" w:rsidRDefault="00656F71" w:rsidP="00FB6ABD">
            <w:pPr>
              <w:jc w:val="both"/>
              <w:rPr>
                <w:rFonts w:cstheme="minorHAnsi"/>
                <w:sz w:val="20"/>
                <w:szCs w:val="20"/>
              </w:rPr>
            </w:pPr>
            <w:r w:rsidRPr="00342BAA">
              <w:rPr>
                <w:rFonts w:cstheme="minorHAnsi"/>
                <w:sz w:val="20"/>
                <w:szCs w:val="20"/>
              </w:rPr>
              <w:t>1313</w:t>
            </w:r>
            <w:r w:rsidR="00F32EDE" w:rsidRPr="00342BAA">
              <w:rPr>
                <w:rFonts w:cstheme="minorHAnsi"/>
                <w:sz w:val="20"/>
                <w:szCs w:val="20"/>
              </w:rPr>
              <w:t xml:space="preserve"> (21)</w:t>
            </w:r>
          </w:p>
        </w:tc>
        <w:tc>
          <w:tcPr>
            <w:tcW w:w="1843" w:type="dxa"/>
          </w:tcPr>
          <w:p w14:paraId="26119B99" w14:textId="739F2626" w:rsidR="00F32EDE" w:rsidRPr="00342BAA" w:rsidRDefault="00656F71" w:rsidP="00FB6ABD">
            <w:pPr>
              <w:jc w:val="both"/>
              <w:rPr>
                <w:rFonts w:cstheme="minorHAnsi"/>
                <w:sz w:val="20"/>
                <w:szCs w:val="20"/>
              </w:rPr>
            </w:pPr>
            <w:r w:rsidRPr="00342BAA">
              <w:rPr>
                <w:rFonts w:cstheme="minorHAnsi"/>
                <w:sz w:val="20"/>
                <w:szCs w:val="20"/>
              </w:rPr>
              <w:t>323</w:t>
            </w:r>
            <w:r w:rsidR="00F32EDE" w:rsidRPr="00342BAA">
              <w:rPr>
                <w:rFonts w:cstheme="minorHAnsi"/>
                <w:sz w:val="20"/>
                <w:szCs w:val="20"/>
              </w:rPr>
              <w:t xml:space="preserve"> (16)</w:t>
            </w:r>
          </w:p>
        </w:tc>
        <w:tc>
          <w:tcPr>
            <w:tcW w:w="1843" w:type="dxa"/>
          </w:tcPr>
          <w:p w14:paraId="0C8AFEE6" w14:textId="4396D33A" w:rsidR="00F32EDE" w:rsidRPr="00342BAA" w:rsidRDefault="00656F71" w:rsidP="00FB6ABD">
            <w:pPr>
              <w:jc w:val="both"/>
              <w:rPr>
                <w:rFonts w:cstheme="minorHAnsi"/>
                <w:sz w:val="20"/>
                <w:szCs w:val="20"/>
              </w:rPr>
            </w:pPr>
            <w:r w:rsidRPr="00342BAA">
              <w:rPr>
                <w:rFonts w:cstheme="minorHAnsi"/>
                <w:sz w:val="20"/>
                <w:szCs w:val="20"/>
              </w:rPr>
              <w:t>456</w:t>
            </w:r>
            <w:r w:rsidR="00F32EDE" w:rsidRPr="00342BAA">
              <w:rPr>
                <w:rFonts w:cstheme="minorHAnsi"/>
                <w:sz w:val="20"/>
                <w:szCs w:val="20"/>
              </w:rPr>
              <w:t xml:space="preserve"> (22)</w:t>
            </w:r>
          </w:p>
        </w:tc>
        <w:tc>
          <w:tcPr>
            <w:tcW w:w="2556" w:type="dxa"/>
          </w:tcPr>
          <w:p w14:paraId="4B616784" w14:textId="0E505679" w:rsidR="00F32EDE" w:rsidRPr="00342BAA" w:rsidRDefault="00656F71" w:rsidP="00FB6ABD">
            <w:pPr>
              <w:jc w:val="both"/>
              <w:rPr>
                <w:rFonts w:cstheme="minorHAnsi"/>
                <w:sz w:val="20"/>
                <w:szCs w:val="20"/>
              </w:rPr>
            </w:pPr>
            <w:r w:rsidRPr="00342BAA">
              <w:rPr>
                <w:rFonts w:cstheme="minorHAnsi"/>
                <w:sz w:val="20"/>
                <w:szCs w:val="20"/>
              </w:rPr>
              <w:t>534</w:t>
            </w:r>
            <w:r w:rsidR="00F32EDE" w:rsidRPr="00342BAA">
              <w:rPr>
                <w:rFonts w:cstheme="minorHAnsi"/>
                <w:sz w:val="20"/>
                <w:szCs w:val="20"/>
              </w:rPr>
              <w:t xml:space="preserve"> (26)</w:t>
            </w:r>
          </w:p>
        </w:tc>
      </w:tr>
      <w:tr w:rsidR="00F32EDE" w:rsidRPr="001E0D36" w14:paraId="3A76A0D7" w14:textId="77777777" w:rsidTr="00FB6ABD">
        <w:tc>
          <w:tcPr>
            <w:tcW w:w="284" w:type="dxa"/>
          </w:tcPr>
          <w:p w14:paraId="3DD2AC0B" w14:textId="77777777" w:rsidR="00F32EDE" w:rsidRPr="00342BAA" w:rsidRDefault="00F32EDE" w:rsidP="00FB6ABD">
            <w:pPr>
              <w:jc w:val="both"/>
              <w:rPr>
                <w:rFonts w:cstheme="minorHAnsi"/>
                <w:sz w:val="20"/>
                <w:szCs w:val="20"/>
              </w:rPr>
            </w:pPr>
          </w:p>
        </w:tc>
        <w:tc>
          <w:tcPr>
            <w:tcW w:w="3255" w:type="dxa"/>
            <w:gridSpan w:val="2"/>
          </w:tcPr>
          <w:p w14:paraId="561EE727" w14:textId="77777777" w:rsidR="00F32EDE" w:rsidRPr="00342BAA" w:rsidRDefault="00F32EDE" w:rsidP="00FB6ABD">
            <w:pPr>
              <w:jc w:val="both"/>
              <w:rPr>
                <w:rFonts w:cstheme="minorHAnsi"/>
                <w:sz w:val="20"/>
                <w:szCs w:val="20"/>
              </w:rPr>
            </w:pPr>
            <w:r w:rsidRPr="00342BAA">
              <w:rPr>
                <w:rFonts w:cstheme="minorHAnsi"/>
                <w:sz w:val="20"/>
                <w:szCs w:val="20"/>
              </w:rPr>
              <w:t>Employed, not materially deprived</w:t>
            </w:r>
          </w:p>
        </w:tc>
        <w:tc>
          <w:tcPr>
            <w:tcW w:w="2126" w:type="dxa"/>
          </w:tcPr>
          <w:p w14:paraId="7A96B61B" w14:textId="1E8C804F" w:rsidR="00F32EDE" w:rsidRPr="00342BAA" w:rsidRDefault="00656F71" w:rsidP="00FB6ABD">
            <w:pPr>
              <w:jc w:val="both"/>
              <w:rPr>
                <w:rFonts w:cstheme="minorHAnsi"/>
                <w:sz w:val="20"/>
                <w:szCs w:val="20"/>
              </w:rPr>
            </w:pPr>
            <w:r w:rsidRPr="00342BAA">
              <w:rPr>
                <w:rFonts w:cstheme="minorHAnsi"/>
                <w:sz w:val="20"/>
                <w:szCs w:val="20"/>
              </w:rPr>
              <w:t>1299</w:t>
            </w:r>
            <w:r w:rsidR="00F32EDE" w:rsidRPr="00342BAA">
              <w:rPr>
                <w:rFonts w:cstheme="minorHAnsi"/>
                <w:sz w:val="20"/>
                <w:szCs w:val="20"/>
              </w:rPr>
              <w:t xml:space="preserve"> (21)</w:t>
            </w:r>
          </w:p>
        </w:tc>
        <w:tc>
          <w:tcPr>
            <w:tcW w:w="1843" w:type="dxa"/>
          </w:tcPr>
          <w:p w14:paraId="02D51C14" w14:textId="1F126B73" w:rsidR="00F32EDE" w:rsidRPr="00342BAA" w:rsidRDefault="00656F71" w:rsidP="00FB6ABD">
            <w:pPr>
              <w:jc w:val="both"/>
              <w:rPr>
                <w:rFonts w:cstheme="minorHAnsi"/>
                <w:sz w:val="20"/>
                <w:szCs w:val="20"/>
              </w:rPr>
            </w:pPr>
            <w:r w:rsidRPr="00342BAA">
              <w:rPr>
                <w:rFonts w:cstheme="minorHAnsi"/>
                <w:sz w:val="20"/>
                <w:szCs w:val="20"/>
              </w:rPr>
              <w:t>353</w:t>
            </w:r>
            <w:r w:rsidR="00F32EDE" w:rsidRPr="00342BAA">
              <w:rPr>
                <w:rFonts w:cstheme="minorHAnsi"/>
                <w:sz w:val="20"/>
                <w:szCs w:val="20"/>
              </w:rPr>
              <w:t xml:space="preserve"> (17)</w:t>
            </w:r>
          </w:p>
        </w:tc>
        <w:tc>
          <w:tcPr>
            <w:tcW w:w="1843" w:type="dxa"/>
          </w:tcPr>
          <w:p w14:paraId="44A2DEE4" w14:textId="430E9845" w:rsidR="00F32EDE" w:rsidRPr="00342BAA" w:rsidRDefault="00656F71" w:rsidP="00FB6ABD">
            <w:pPr>
              <w:jc w:val="both"/>
              <w:rPr>
                <w:rFonts w:cstheme="minorHAnsi"/>
                <w:sz w:val="20"/>
                <w:szCs w:val="20"/>
              </w:rPr>
            </w:pPr>
            <w:r w:rsidRPr="00342BAA">
              <w:rPr>
                <w:rFonts w:cstheme="minorHAnsi"/>
                <w:sz w:val="20"/>
                <w:szCs w:val="20"/>
              </w:rPr>
              <w:t>458</w:t>
            </w:r>
            <w:r w:rsidR="00F32EDE" w:rsidRPr="00342BAA">
              <w:rPr>
                <w:rFonts w:cstheme="minorHAnsi"/>
                <w:sz w:val="20"/>
                <w:szCs w:val="20"/>
              </w:rPr>
              <w:t xml:space="preserve"> (22)</w:t>
            </w:r>
          </w:p>
        </w:tc>
        <w:tc>
          <w:tcPr>
            <w:tcW w:w="2556" w:type="dxa"/>
          </w:tcPr>
          <w:p w14:paraId="374DB071" w14:textId="21644319" w:rsidR="00F32EDE" w:rsidRPr="00342BAA" w:rsidRDefault="00656F71" w:rsidP="00FB6ABD">
            <w:pPr>
              <w:jc w:val="both"/>
              <w:rPr>
                <w:rFonts w:cstheme="minorHAnsi"/>
                <w:sz w:val="20"/>
                <w:szCs w:val="20"/>
              </w:rPr>
            </w:pPr>
            <w:r w:rsidRPr="00342BAA">
              <w:rPr>
                <w:rFonts w:cstheme="minorHAnsi"/>
                <w:sz w:val="20"/>
                <w:szCs w:val="20"/>
              </w:rPr>
              <w:t>488</w:t>
            </w:r>
            <w:r w:rsidR="00F32EDE" w:rsidRPr="00342BAA">
              <w:rPr>
                <w:rFonts w:cstheme="minorHAnsi"/>
                <w:sz w:val="20"/>
                <w:szCs w:val="20"/>
              </w:rPr>
              <w:t xml:space="preserve"> (23)</w:t>
            </w:r>
          </w:p>
        </w:tc>
      </w:tr>
      <w:tr w:rsidR="00F32EDE" w:rsidRPr="001E0D36" w14:paraId="2013DFCC" w14:textId="77777777" w:rsidTr="00FB6ABD">
        <w:tc>
          <w:tcPr>
            <w:tcW w:w="284" w:type="dxa"/>
          </w:tcPr>
          <w:p w14:paraId="74051E03" w14:textId="77777777" w:rsidR="00F32EDE" w:rsidRPr="00342BAA" w:rsidRDefault="00F32EDE" w:rsidP="00FB6ABD">
            <w:pPr>
              <w:jc w:val="both"/>
              <w:rPr>
                <w:rFonts w:cstheme="minorHAnsi"/>
                <w:sz w:val="20"/>
                <w:szCs w:val="20"/>
              </w:rPr>
            </w:pPr>
          </w:p>
        </w:tc>
        <w:tc>
          <w:tcPr>
            <w:tcW w:w="3255" w:type="dxa"/>
            <w:gridSpan w:val="2"/>
          </w:tcPr>
          <w:p w14:paraId="035D44FE" w14:textId="77777777" w:rsidR="00F32EDE" w:rsidRPr="00342BAA" w:rsidRDefault="00F32EDE" w:rsidP="00FB6ABD">
            <w:pPr>
              <w:jc w:val="both"/>
              <w:rPr>
                <w:rFonts w:cstheme="minorHAnsi"/>
                <w:sz w:val="20"/>
                <w:szCs w:val="20"/>
              </w:rPr>
            </w:pPr>
            <w:r w:rsidRPr="00342BAA">
              <w:rPr>
                <w:rFonts w:cstheme="minorHAnsi"/>
                <w:sz w:val="20"/>
                <w:szCs w:val="20"/>
              </w:rPr>
              <w:t>Employed, no access to money</w:t>
            </w:r>
          </w:p>
        </w:tc>
        <w:tc>
          <w:tcPr>
            <w:tcW w:w="2126" w:type="dxa"/>
          </w:tcPr>
          <w:p w14:paraId="2C2C66F7" w14:textId="3B768D82" w:rsidR="00F32EDE" w:rsidRPr="00342BAA" w:rsidRDefault="00656F71" w:rsidP="00FB6ABD">
            <w:pPr>
              <w:jc w:val="both"/>
              <w:rPr>
                <w:rFonts w:cstheme="minorHAnsi"/>
                <w:sz w:val="20"/>
                <w:szCs w:val="20"/>
              </w:rPr>
            </w:pPr>
            <w:r w:rsidRPr="00342BAA">
              <w:rPr>
                <w:rFonts w:cstheme="minorHAnsi"/>
                <w:sz w:val="20"/>
                <w:szCs w:val="20"/>
              </w:rPr>
              <w:t>966 (16</w:t>
            </w:r>
            <w:r w:rsidR="00F32EDE" w:rsidRPr="00342BAA">
              <w:rPr>
                <w:rFonts w:cstheme="minorHAnsi"/>
                <w:sz w:val="20"/>
                <w:szCs w:val="20"/>
              </w:rPr>
              <w:t>)</w:t>
            </w:r>
          </w:p>
        </w:tc>
        <w:tc>
          <w:tcPr>
            <w:tcW w:w="1843" w:type="dxa"/>
          </w:tcPr>
          <w:p w14:paraId="3E76EF64" w14:textId="77777777" w:rsidR="00F32EDE" w:rsidRPr="00342BAA" w:rsidRDefault="00F32EDE" w:rsidP="00FB6ABD">
            <w:pPr>
              <w:jc w:val="both"/>
              <w:rPr>
                <w:rFonts w:cstheme="minorHAnsi"/>
                <w:sz w:val="20"/>
                <w:szCs w:val="20"/>
              </w:rPr>
            </w:pPr>
            <w:r w:rsidRPr="00342BAA">
              <w:rPr>
                <w:rFonts w:cstheme="minorHAnsi"/>
                <w:sz w:val="20"/>
                <w:szCs w:val="20"/>
              </w:rPr>
              <w:t>338 (16)</w:t>
            </w:r>
          </w:p>
        </w:tc>
        <w:tc>
          <w:tcPr>
            <w:tcW w:w="1843" w:type="dxa"/>
          </w:tcPr>
          <w:p w14:paraId="73CAAB1D" w14:textId="1E1D435E" w:rsidR="00F32EDE" w:rsidRPr="00342BAA" w:rsidRDefault="00656F71" w:rsidP="00FB6ABD">
            <w:pPr>
              <w:jc w:val="both"/>
              <w:rPr>
                <w:rFonts w:cstheme="minorHAnsi"/>
                <w:sz w:val="20"/>
                <w:szCs w:val="20"/>
              </w:rPr>
            </w:pPr>
            <w:r w:rsidRPr="00342BAA">
              <w:rPr>
                <w:rFonts w:cstheme="minorHAnsi"/>
                <w:sz w:val="20"/>
                <w:szCs w:val="20"/>
              </w:rPr>
              <w:t>313</w:t>
            </w:r>
            <w:r w:rsidR="00F32EDE" w:rsidRPr="00342BAA">
              <w:rPr>
                <w:rFonts w:cstheme="minorHAnsi"/>
                <w:sz w:val="20"/>
                <w:szCs w:val="20"/>
              </w:rPr>
              <w:t xml:space="preserve"> (15)</w:t>
            </w:r>
          </w:p>
        </w:tc>
        <w:tc>
          <w:tcPr>
            <w:tcW w:w="2556" w:type="dxa"/>
          </w:tcPr>
          <w:p w14:paraId="411364EE" w14:textId="616B1FF7" w:rsidR="00F32EDE" w:rsidRPr="00342BAA" w:rsidRDefault="00656F71" w:rsidP="00FB6ABD">
            <w:pPr>
              <w:jc w:val="both"/>
              <w:rPr>
                <w:rFonts w:cstheme="minorHAnsi"/>
                <w:sz w:val="20"/>
                <w:szCs w:val="20"/>
              </w:rPr>
            </w:pPr>
            <w:r w:rsidRPr="00342BAA">
              <w:rPr>
                <w:rFonts w:cstheme="minorHAnsi"/>
                <w:sz w:val="20"/>
                <w:szCs w:val="20"/>
              </w:rPr>
              <w:t>315</w:t>
            </w:r>
            <w:r w:rsidR="00F32EDE" w:rsidRPr="00342BAA">
              <w:rPr>
                <w:rFonts w:cstheme="minorHAnsi"/>
                <w:sz w:val="20"/>
                <w:szCs w:val="20"/>
              </w:rPr>
              <w:t xml:space="preserve"> (15)</w:t>
            </w:r>
          </w:p>
        </w:tc>
      </w:tr>
      <w:tr w:rsidR="00F32EDE" w:rsidRPr="001E0D36" w14:paraId="68F03B1B" w14:textId="77777777" w:rsidTr="00FB6ABD">
        <w:tc>
          <w:tcPr>
            <w:tcW w:w="284" w:type="dxa"/>
          </w:tcPr>
          <w:p w14:paraId="357D46B6" w14:textId="77777777" w:rsidR="00F32EDE" w:rsidRPr="00342BAA" w:rsidRDefault="00F32EDE" w:rsidP="00FB6ABD">
            <w:pPr>
              <w:jc w:val="both"/>
              <w:rPr>
                <w:rFonts w:cstheme="minorHAnsi"/>
                <w:sz w:val="20"/>
                <w:szCs w:val="20"/>
              </w:rPr>
            </w:pPr>
          </w:p>
        </w:tc>
        <w:tc>
          <w:tcPr>
            <w:tcW w:w="3255" w:type="dxa"/>
            <w:gridSpan w:val="2"/>
          </w:tcPr>
          <w:p w14:paraId="220E9766" w14:textId="77777777" w:rsidR="00F32EDE" w:rsidRPr="00342BAA" w:rsidRDefault="00F32EDE" w:rsidP="00FB6ABD">
            <w:pPr>
              <w:jc w:val="both"/>
              <w:rPr>
                <w:rFonts w:cstheme="minorHAnsi"/>
                <w:sz w:val="20"/>
                <w:szCs w:val="20"/>
              </w:rPr>
            </w:pPr>
            <w:r w:rsidRPr="00342BAA">
              <w:rPr>
                <w:rFonts w:cstheme="minorHAnsi"/>
                <w:sz w:val="20"/>
                <w:szCs w:val="20"/>
              </w:rPr>
              <w:t>Receives benefits, not materially deprived</w:t>
            </w:r>
          </w:p>
        </w:tc>
        <w:tc>
          <w:tcPr>
            <w:tcW w:w="2126" w:type="dxa"/>
          </w:tcPr>
          <w:p w14:paraId="24D2F162" w14:textId="0B7FDD4B" w:rsidR="00F32EDE" w:rsidRPr="00342BAA" w:rsidRDefault="00656F71" w:rsidP="00FB6ABD">
            <w:pPr>
              <w:jc w:val="both"/>
              <w:rPr>
                <w:rFonts w:cstheme="minorHAnsi"/>
                <w:sz w:val="20"/>
                <w:szCs w:val="20"/>
              </w:rPr>
            </w:pPr>
            <w:r w:rsidRPr="00342BAA">
              <w:rPr>
                <w:rFonts w:cstheme="minorHAnsi"/>
                <w:sz w:val="20"/>
                <w:szCs w:val="20"/>
              </w:rPr>
              <w:t>1671</w:t>
            </w:r>
            <w:r w:rsidR="00F32EDE" w:rsidRPr="00342BAA">
              <w:rPr>
                <w:rFonts w:cstheme="minorHAnsi"/>
                <w:sz w:val="20"/>
                <w:szCs w:val="20"/>
              </w:rPr>
              <w:t xml:space="preserve"> (27)</w:t>
            </w:r>
          </w:p>
        </w:tc>
        <w:tc>
          <w:tcPr>
            <w:tcW w:w="1843" w:type="dxa"/>
          </w:tcPr>
          <w:p w14:paraId="4B830176" w14:textId="6B97FD8E" w:rsidR="00F32EDE" w:rsidRPr="00342BAA" w:rsidRDefault="00656F71" w:rsidP="00FB6ABD">
            <w:pPr>
              <w:jc w:val="both"/>
              <w:rPr>
                <w:rFonts w:cstheme="minorHAnsi"/>
                <w:sz w:val="20"/>
                <w:szCs w:val="20"/>
              </w:rPr>
            </w:pPr>
            <w:r w:rsidRPr="00342BAA">
              <w:rPr>
                <w:rFonts w:cstheme="minorHAnsi"/>
                <w:sz w:val="20"/>
                <w:szCs w:val="20"/>
              </w:rPr>
              <w:t>666</w:t>
            </w:r>
            <w:r w:rsidR="00F32EDE" w:rsidRPr="00342BAA">
              <w:rPr>
                <w:rFonts w:cstheme="minorHAnsi"/>
                <w:sz w:val="20"/>
                <w:szCs w:val="20"/>
              </w:rPr>
              <w:t xml:space="preserve"> (32)</w:t>
            </w:r>
          </w:p>
        </w:tc>
        <w:tc>
          <w:tcPr>
            <w:tcW w:w="1843" w:type="dxa"/>
          </w:tcPr>
          <w:p w14:paraId="7BDBE2EE" w14:textId="21F8BCBE" w:rsidR="00F32EDE" w:rsidRPr="00342BAA" w:rsidRDefault="00656F71" w:rsidP="00FB6ABD">
            <w:pPr>
              <w:jc w:val="both"/>
              <w:rPr>
                <w:rFonts w:cstheme="minorHAnsi"/>
                <w:sz w:val="20"/>
                <w:szCs w:val="20"/>
              </w:rPr>
            </w:pPr>
            <w:r w:rsidRPr="00342BAA">
              <w:rPr>
                <w:rFonts w:cstheme="minorHAnsi"/>
                <w:sz w:val="20"/>
                <w:szCs w:val="20"/>
              </w:rPr>
              <w:t>527</w:t>
            </w:r>
            <w:r w:rsidR="00F32EDE" w:rsidRPr="00342BAA">
              <w:rPr>
                <w:rFonts w:cstheme="minorHAnsi"/>
                <w:sz w:val="20"/>
                <w:szCs w:val="20"/>
              </w:rPr>
              <w:t xml:space="preserve"> (26)</w:t>
            </w:r>
          </w:p>
        </w:tc>
        <w:tc>
          <w:tcPr>
            <w:tcW w:w="2556" w:type="dxa"/>
          </w:tcPr>
          <w:p w14:paraId="3D9DC736" w14:textId="58DE94C0" w:rsidR="00F32EDE" w:rsidRPr="00342BAA" w:rsidRDefault="00656F71" w:rsidP="00FB6ABD">
            <w:pPr>
              <w:jc w:val="both"/>
              <w:rPr>
                <w:rFonts w:cstheme="minorHAnsi"/>
                <w:sz w:val="20"/>
                <w:szCs w:val="20"/>
              </w:rPr>
            </w:pPr>
            <w:r w:rsidRPr="00342BAA">
              <w:rPr>
                <w:rFonts w:cstheme="minorHAnsi"/>
                <w:sz w:val="20"/>
                <w:szCs w:val="20"/>
              </w:rPr>
              <w:t>478</w:t>
            </w:r>
            <w:r w:rsidR="00F32EDE" w:rsidRPr="00342BAA">
              <w:rPr>
                <w:rFonts w:cstheme="minorHAnsi"/>
                <w:sz w:val="20"/>
                <w:szCs w:val="20"/>
              </w:rPr>
              <w:t xml:space="preserve"> (23)</w:t>
            </w:r>
          </w:p>
        </w:tc>
      </w:tr>
      <w:tr w:rsidR="00F32EDE" w:rsidRPr="001E0D36" w14:paraId="48B31563" w14:textId="77777777" w:rsidTr="00FB6ABD">
        <w:tc>
          <w:tcPr>
            <w:tcW w:w="284" w:type="dxa"/>
          </w:tcPr>
          <w:p w14:paraId="63186880" w14:textId="77777777" w:rsidR="00F32EDE" w:rsidRPr="00342BAA" w:rsidRDefault="00F32EDE" w:rsidP="00FB6ABD">
            <w:pPr>
              <w:jc w:val="both"/>
              <w:rPr>
                <w:rFonts w:cstheme="minorHAnsi"/>
                <w:sz w:val="20"/>
                <w:szCs w:val="20"/>
              </w:rPr>
            </w:pPr>
          </w:p>
        </w:tc>
        <w:tc>
          <w:tcPr>
            <w:tcW w:w="3255" w:type="dxa"/>
            <w:gridSpan w:val="2"/>
          </w:tcPr>
          <w:p w14:paraId="3A6DF3B5" w14:textId="77777777" w:rsidR="00F32EDE" w:rsidRPr="00342BAA" w:rsidRDefault="00F32EDE" w:rsidP="00FB6ABD">
            <w:pPr>
              <w:jc w:val="both"/>
              <w:rPr>
                <w:rFonts w:cstheme="minorHAnsi"/>
                <w:sz w:val="20"/>
                <w:szCs w:val="20"/>
              </w:rPr>
            </w:pPr>
            <w:r w:rsidRPr="00342BAA">
              <w:rPr>
                <w:rFonts w:cstheme="minorHAnsi"/>
                <w:sz w:val="20"/>
                <w:szCs w:val="20"/>
              </w:rPr>
              <w:t>Most economically deprived</w:t>
            </w:r>
          </w:p>
        </w:tc>
        <w:tc>
          <w:tcPr>
            <w:tcW w:w="2126" w:type="dxa"/>
          </w:tcPr>
          <w:p w14:paraId="272B2E3D" w14:textId="6AC1E80D" w:rsidR="00F32EDE" w:rsidRPr="00342BAA" w:rsidRDefault="00656F71" w:rsidP="00FB6ABD">
            <w:pPr>
              <w:jc w:val="both"/>
              <w:rPr>
                <w:rFonts w:cstheme="minorHAnsi"/>
                <w:sz w:val="20"/>
                <w:szCs w:val="20"/>
              </w:rPr>
            </w:pPr>
            <w:r w:rsidRPr="00342BAA">
              <w:rPr>
                <w:rFonts w:cstheme="minorHAnsi"/>
                <w:sz w:val="20"/>
                <w:szCs w:val="20"/>
              </w:rPr>
              <w:t>954</w:t>
            </w:r>
            <w:r w:rsidR="00F32EDE" w:rsidRPr="00342BAA">
              <w:rPr>
                <w:rFonts w:cstheme="minorHAnsi"/>
                <w:sz w:val="20"/>
                <w:szCs w:val="20"/>
              </w:rPr>
              <w:t xml:space="preserve"> (15)</w:t>
            </w:r>
          </w:p>
        </w:tc>
        <w:tc>
          <w:tcPr>
            <w:tcW w:w="1843" w:type="dxa"/>
          </w:tcPr>
          <w:p w14:paraId="3E999893" w14:textId="76A3816E" w:rsidR="00F32EDE" w:rsidRPr="00342BAA" w:rsidRDefault="00656F71" w:rsidP="00FB6ABD">
            <w:pPr>
              <w:jc w:val="both"/>
              <w:rPr>
                <w:rFonts w:cstheme="minorHAnsi"/>
                <w:sz w:val="20"/>
                <w:szCs w:val="20"/>
              </w:rPr>
            </w:pPr>
            <w:r w:rsidRPr="00342BAA">
              <w:rPr>
                <w:rFonts w:cstheme="minorHAnsi"/>
                <w:sz w:val="20"/>
                <w:szCs w:val="20"/>
              </w:rPr>
              <w:t>378</w:t>
            </w:r>
            <w:r w:rsidR="00F32EDE" w:rsidRPr="00342BAA">
              <w:rPr>
                <w:rFonts w:cstheme="minorHAnsi"/>
                <w:sz w:val="20"/>
                <w:szCs w:val="20"/>
              </w:rPr>
              <w:t xml:space="preserve"> (19)</w:t>
            </w:r>
          </w:p>
        </w:tc>
        <w:tc>
          <w:tcPr>
            <w:tcW w:w="1843" w:type="dxa"/>
          </w:tcPr>
          <w:p w14:paraId="257F2502" w14:textId="6FE7DED9" w:rsidR="00F32EDE" w:rsidRPr="00342BAA" w:rsidRDefault="00656F71" w:rsidP="00FB6ABD">
            <w:pPr>
              <w:jc w:val="both"/>
              <w:rPr>
                <w:rFonts w:cstheme="minorHAnsi"/>
                <w:sz w:val="20"/>
                <w:szCs w:val="20"/>
              </w:rPr>
            </w:pPr>
            <w:r w:rsidRPr="00342BAA">
              <w:rPr>
                <w:rFonts w:cstheme="minorHAnsi"/>
                <w:sz w:val="20"/>
                <w:szCs w:val="20"/>
              </w:rPr>
              <w:t>304</w:t>
            </w:r>
            <w:r w:rsidR="00F32EDE" w:rsidRPr="00342BAA">
              <w:rPr>
                <w:rFonts w:cstheme="minorHAnsi"/>
                <w:sz w:val="20"/>
                <w:szCs w:val="20"/>
              </w:rPr>
              <w:t xml:space="preserve"> (15)</w:t>
            </w:r>
          </w:p>
        </w:tc>
        <w:tc>
          <w:tcPr>
            <w:tcW w:w="2556" w:type="dxa"/>
          </w:tcPr>
          <w:p w14:paraId="19BB7CE5" w14:textId="47743848" w:rsidR="00F32EDE" w:rsidRPr="00342BAA" w:rsidRDefault="00656F71" w:rsidP="00FB6ABD">
            <w:pPr>
              <w:jc w:val="both"/>
              <w:rPr>
                <w:rFonts w:cstheme="minorHAnsi"/>
                <w:sz w:val="20"/>
                <w:szCs w:val="20"/>
              </w:rPr>
            </w:pPr>
            <w:r w:rsidRPr="00342BAA">
              <w:rPr>
                <w:rFonts w:cstheme="minorHAnsi"/>
                <w:sz w:val="20"/>
                <w:szCs w:val="20"/>
              </w:rPr>
              <w:t>272</w:t>
            </w:r>
            <w:r w:rsidR="00F32EDE" w:rsidRPr="00342BAA">
              <w:rPr>
                <w:rFonts w:cstheme="minorHAnsi"/>
                <w:sz w:val="20"/>
                <w:szCs w:val="20"/>
              </w:rPr>
              <w:t xml:space="preserve"> (13)</w:t>
            </w:r>
          </w:p>
        </w:tc>
      </w:tr>
      <w:tr w:rsidR="00F32EDE" w:rsidRPr="001E0D36" w14:paraId="79CCE2AC" w14:textId="77777777" w:rsidTr="00FB6ABD">
        <w:tc>
          <w:tcPr>
            <w:tcW w:w="3539" w:type="dxa"/>
            <w:gridSpan w:val="3"/>
          </w:tcPr>
          <w:p w14:paraId="194859A6" w14:textId="77777777" w:rsidR="00F32EDE" w:rsidRPr="00342BAA" w:rsidRDefault="00F32EDE" w:rsidP="00FB6ABD">
            <w:pPr>
              <w:jc w:val="both"/>
              <w:rPr>
                <w:rFonts w:cstheme="minorHAnsi"/>
                <w:sz w:val="20"/>
                <w:szCs w:val="20"/>
              </w:rPr>
            </w:pPr>
            <w:r w:rsidRPr="00342BAA">
              <w:rPr>
                <w:rFonts w:cstheme="minorHAnsi"/>
                <w:sz w:val="20"/>
                <w:szCs w:val="20"/>
              </w:rPr>
              <w:t>Ethnic background, n (%)</w:t>
            </w:r>
          </w:p>
        </w:tc>
        <w:tc>
          <w:tcPr>
            <w:tcW w:w="2126" w:type="dxa"/>
          </w:tcPr>
          <w:p w14:paraId="07A3F140" w14:textId="77777777" w:rsidR="00F32EDE" w:rsidRPr="00342BAA" w:rsidRDefault="00F32EDE" w:rsidP="00FB6ABD">
            <w:pPr>
              <w:jc w:val="both"/>
              <w:rPr>
                <w:rFonts w:cstheme="minorHAnsi"/>
                <w:sz w:val="20"/>
                <w:szCs w:val="20"/>
              </w:rPr>
            </w:pPr>
          </w:p>
        </w:tc>
        <w:tc>
          <w:tcPr>
            <w:tcW w:w="1843" w:type="dxa"/>
          </w:tcPr>
          <w:p w14:paraId="376AE3B7" w14:textId="77777777" w:rsidR="00F32EDE" w:rsidRPr="00342BAA" w:rsidRDefault="00F32EDE" w:rsidP="00FB6ABD">
            <w:pPr>
              <w:jc w:val="both"/>
              <w:rPr>
                <w:rFonts w:cstheme="minorHAnsi"/>
                <w:sz w:val="20"/>
                <w:szCs w:val="20"/>
              </w:rPr>
            </w:pPr>
          </w:p>
        </w:tc>
        <w:tc>
          <w:tcPr>
            <w:tcW w:w="1843" w:type="dxa"/>
          </w:tcPr>
          <w:p w14:paraId="1AAEB78D" w14:textId="77777777" w:rsidR="00F32EDE" w:rsidRPr="00342BAA" w:rsidRDefault="00F32EDE" w:rsidP="00FB6ABD">
            <w:pPr>
              <w:jc w:val="both"/>
              <w:rPr>
                <w:rFonts w:cstheme="minorHAnsi"/>
                <w:sz w:val="20"/>
                <w:szCs w:val="20"/>
              </w:rPr>
            </w:pPr>
          </w:p>
        </w:tc>
        <w:tc>
          <w:tcPr>
            <w:tcW w:w="2556" w:type="dxa"/>
          </w:tcPr>
          <w:p w14:paraId="3BC46E6B" w14:textId="77777777" w:rsidR="00F32EDE" w:rsidRPr="00342BAA" w:rsidRDefault="00F32EDE" w:rsidP="00FB6ABD">
            <w:pPr>
              <w:jc w:val="both"/>
              <w:rPr>
                <w:rFonts w:cstheme="minorHAnsi"/>
                <w:sz w:val="20"/>
                <w:szCs w:val="20"/>
              </w:rPr>
            </w:pPr>
          </w:p>
        </w:tc>
      </w:tr>
      <w:tr w:rsidR="00F32EDE" w:rsidRPr="001E0D36" w14:paraId="57293803" w14:textId="77777777" w:rsidTr="00FB6ABD">
        <w:tc>
          <w:tcPr>
            <w:tcW w:w="284" w:type="dxa"/>
          </w:tcPr>
          <w:p w14:paraId="4420DE97" w14:textId="77777777" w:rsidR="00F32EDE" w:rsidRPr="00342BAA" w:rsidRDefault="00F32EDE" w:rsidP="00FB6ABD">
            <w:pPr>
              <w:jc w:val="both"/>
              <w:rPr>
                <w:rFonts w:cstheme="minorHAnsi"/>
                <w:sz w:val="20"/>
                <w:szCs w:val="20"/>
              </w:rPr>
            </w:pPr>
          </w:p>
        </w:tc>
        <w:tc>
          <w:tcPr>
            <w:tcW w:w="3255" w:type="dxa"/>
            <w:gridSpan w:val="2"/>
          </w:tcPr>
          <w:p w14:paraId="3C08154E" w14:textId="77777777" w:rsidR="00F32EDE" w:rsidRPr="00342BAA" w:rsidRDefault="00F32EDE" w:rsidP="00FB6ABD">
            <w:pPr>
              <w:jc w:val="both"/>
              <w:rPr>
                <w:rFonts w:cstheme="minorHAnsi"/>
                <w:sz w:val="20"/>
                <w:szCs w:val="20"/>
              </w:rPr>
            </w:pPr>
            <w:r w:rsidRPr="00342BAA">
              <w:rPr>
                <w:rFonts w:cstheme="minorHAnsi"/>
                <w:sz w:val="20"/>
                <w:szCs w:val="20"/>
              </w:rPr>
              <w:t>White British &amp; European</w:t>
            </w:r>
          </w:p>
        </w:tc>
        <w:tc>
          <w:tcPr>
            <w:tcW w:w="2126" w:type="dxa"/>
          </w:tcPr>
          <w:p w14:paraId="1D2631FF" w14:textId="14438BA8" w:rsidR="00F32EDE" w:rsidRPr="00342BAA" w:rsidRDefault="00656F71" w:rsidP="00FB6ABD">
            <w:pPr>
              <w:jc w:val="both"/>
              <w:rPr>
                <w:rFonts w:cstheme="minorHAnsi"/>
                <w:sz w:val="20"/>
                <w:szCs w:val="20"/>
              </w:rPr>
            </w:pPr>
            <w:r w:rsidRPr="00342BAA">
              <w:rPr>
                <w:rFonts w:cstheme="minorHAnsi"/>
                <w:sz w:val="20"/>
                <w:szCs w:val="20"/>
              </w:rPr>
              <w:t>3020 (43</w:t>
            </w:r>
            <w:r w:rsidR="00F32EDE" w:rsidRPr="00342BAA">
              <w:rPr>
                <w:rFonts w:cstheme="minorHAnsi"/>
                <w:sz w:val="20"/>
                <w:szCs w:val="20"/>
              </w:rPr>
              <w:t>)</w:t>
            </w:r>
          </w:p>
        </w:tc>
        <w:tc>
          <w:tcPr>
            <w:tcW w:w="1843" w:type="dxa"/>
          </w:tcPr>
          <w:p w14:paraId="5D58C340" w14:textId="569A668D" w:rsidR="00F32EDE" w:rsidRPr="00342BAA" w:rsidRDefault="00656F71" w:rsidP="00FB6ABD">
            <w:pPr>
              <w:jc w:val="both"/>
              <w:rPr>
                <w:rFonts w:cstheme="minorHAnsi"/>
                <w:sz w:val="20"/>
                <w:szCs w:val="20"/>
              </w:rPr>
            </w:pPr>
            <w:r w:rsidRPr="00342BAA">
              <w:rPr>
                <w:rFonts w:cstheme="minorHAnsi"/>
                <w:sz w:val="20"/>
                <w:szCs w:val="20"/>
              </w:rPr>
              <w:t>847</w:t>
            </w:r>
            <w:r w:rsidR="00F32EDE" w:rsidRPr="00342BAA">
              <w:rPr>
                <w:rFonts w:cstheme="minorHAnsi"/>
                <w:sz w:val="20"/>
                <w:szCs w:val="20"/>
              </w:rPr>
              <w:t xml:space="preserve"> (36)</w:t>
            </w:r>
          </w:p>
        </w:tc>
        <w:tc>
          <w:tcPr>
            <w:tcW w:w="1843" w:type="dxa"/>
          </w:tcPr>
          <w:p w14:paraId="31475042" w14:textId="168851AF" w:rsidR="00F32EDE" w:rsidRPr="00342BAA" w:rsidRDefault="00656F71" w:rsidP="00FB6ABD">
            <w:pPr>
              <w:jc w:val="both"/>
              <w:rPr>
                <w:rFonts w:cstheme="minorHAnsi"/>
                <w:sz w:val="20"/>
                <w:szCs w:val="20"/>
              </w:rPr>
            </w:pPr>
            <w:r w:rsidRPr="00342BAA">
              <w:rPr>
                <w:rFonts w:cstheme="minorHAnsi"/>
                <w:sz w:val="20"/>
                <w:szCs w:val="20"/>
              </w:rPr>
              <w:t>1061</w:t>
            </w:r>
            <w:r w:rsidR="00F32EDE" w:rsidRPr="00342BAA">
              <w:rPr>
                <w:rFonts w:cstheme="minorHAnsi"/>
                <w:sz w:val="20"/>
                <w:szCs w:val="20"/>
              </w:rPr>
              <w:t xml:space="preserve"> (46)</w:t>
            </w:r>
          </w:p>
        </w:tc>
        <w:tc>
          <w:tcPr>
            <w:tcW w:w="2556" w:type="dxa"/>
          </w:tcPr>
          <w:p w14:paraId="17DEBDEF" w14:textId="2E26BADB" w:rsidR="00F32EDE" w:rsidRPr="00342BAA" w:rsidRDefault="00656F71" w:rsidP="00FB6ABD">
            <w:pPr>
              <w:jc w:val="both"/>
              <w:rPr>
                <w:rFonts w:cstheme="minorHAnsi"/>
                <w:sz w:val="20"/>
                <w:szCs w:val="20"/>
              </w:rPr>
            </w:pPr>
            <w:r w:rsidRPr="00342BAA">
              <w:rPr>
                <w:rFonts w:cstheme="minorHAnsi"/>
                <w:sz w:val="20"/>
                <w:szCs w:val="20"/>
              </w:rPr>
              <w:t>1112</w:t>
            </w:r>
            <w:r w:rsidR="00F32EDE" w:rsidRPr="00342BAA">
              <w:rPr>
                <w:rFonts w:cstheme="minorHAnsi"/>
                <w:sz w:val="20"/>
                <w:szCs w:val="20"/>
              </w:rPr>
              <w:t xml:space="preserve"> (48)</w:t>
            </w:r>
          </w:p>
        </w:tc>
      </w:tr>
      <w:tr w:rsidR="00F32EDE" w:rsidRPr="001E0D36" w14:paraId="7B1A1381" w14:textId="77777777" w:rsidTr="00FB6ABD">
        <w:tc>
          <w:tcPr>
            <w:tcW w:w="284" w:type="dxa"/>
          </w:tcPr>
          <w:p w14:paraId="6356C226" w14:textId="77777777" w:rsidR="00F32EDE" w:rsidRPr="00342BAA" w:rsidRDefault="00F32EDE" w:rsidP="00FB6ABD">
            <w:pPr>
              <w:jc w:val="both"/>
              <w:rPr>
                <w:rFonts w:cstheme="minorHAnsi"/>
                <w:sz w:val="20"/>
                <w:szCs w:val="20"/>
              </w:rPr>
            </w:pPr>
          </w:p>
        </w:tc>
        <w:tc>
          <w:tcPr>
            <w:tcW w:w="3255" w:type="dxa"/>
            <w:gridSpan w:val="2"/>
          </w:tcPr>
          <w:p w14:paraId="12631DB3" w14:textId="77777777" w:rsidR="00F32EDE" w:rsidRPr="00342BAA" w:rsidRDefault="00F32EDE" w:rsidP="00FB6ABD">
            <w:pPr>
              <w:jc w:val="both"/>
              <w:rPr>
                <w:rFonts w:cstheme="minorHAnsi"/>
                <w:sz w:val="20"/>
                <w:szCs w:val="20"/>
              </w:rPr>
            </w:pPr>
            <w:r w:rsidRPr="00342BAA">
              <w:rPr>
                <w:rFonts w:cstheme="minorHAnsi"/>
                <w:sz w:val="20"/>
                <w:szCs w:val="20"/>
              </w:rPr>
              <w:t>Pakistani</w:t>
            </w:r>
          </w:p>
        </w:tc>
        <w:tc>
          <w:tcPr>
            <w:tcW w:w="2126" w:type="dxa"/>
          </w:tcPr>
          <w:p w14:paraId="7F771319" w14:textId="2746C79D" w:rsidR="00F32EDE" w:rsidRPr="00342BAA" w:rsidRDefault="00656F71" w:rsidP="00FB6ABD">
            <w:pPr>
              <w:jc w:val="both"/>
              <w:rPr>
                <w:rFonts w:cstheme="minorHAnsi"/>
                <w:sz w:val="20"/>
                <w:szCs w:val="20"/>
              </w:rPr>
            </w:pPr>
            <w:r w:rsidRPr="00342BAA">
              <w:rPr>
                <w:rFonts w:cstheme="minorHAnsi"/>
                <w:sz w:val="20"/>
                <w:szCs w:val="20"/>
              </w:rPr>
              <w:t xml:space="preserve">2951 </w:t>
            </w:r>
            <w:r w:rsidR="00F32EDE" w:rsidRPr="00342BAA">
              <w:rPr>
                <w:rFonts w:cstheme="minorHAnsi"/>
                <w:sz w:val="20"/>
                <w:szCs w:val="20"/>
              </w:rPr>
              <w:t>(43)</w:t>
            </w:r>
          </w:p>
        </w:tc>
        <w:tc>
          <w:tcPr>
            <w:tcW w:w="1843" w:type="dxa"/>
          </w:tcPr>
          <w:p w14:paraId="16249355" w14:textId="6994C7C7" w:rsidR="00F32EDE" w:rsidRPr="00342BAA" w:rsidRDefault="00656F71" w:rsidP="00FB6ABD">
            <w:pPr>
              <w:jc w:val="both"/>
              <w:rPr>
                <w:rFonts w:cstheme="minorHAnsi"/>
                <w:sz w:val="20"/>
                <w:szCs w:val="20"/>
              </w:rPr>
            </w:pPr>
            <w:r w:rsidRPr="00342BAA">
              <w:rPr>
                <w:rFonts w:cstheme="minorHAnsi"/>
                <w:sz w:val="20"/>
                <w:szCs w:val="20"/>
              </w:rPr>
              <w:t>1112</w:t>
            </w:r>
            <w:r w:rsidR="00F32EDE" w:rsidRPr="00342BAA">
              <w:rPr>
                <w:rFonts w:cstheme="minorHAnsi"/>
                <w:sz w:val="20"/>
                <w:szCs w:val="20"/>
              </w:rPr>
              <w:t xml:space="preserve"> (48)</w:t>
            </w:r>
          </w:p>
        </w:tc>
        <w:tc>
          <w:tcPr>
            <w:tcW w:w="1843" w:type="dxa"/>
          </w:tcPr>
          <w:p w14:paraId="1434D110" w14:textId="46FD48A0" w:rsidR="00F32EDE" w:rsidRPr="00342BAA" w:rsidRDefault="00656F71" w:rsidP="00FB6ABD">
            <w:pPr>
              <w:jc w:val="both"/>
              <w:rPr>
                <w:rFonts w:cstheme="minorHAnsi"/>
                <w:sz w:val="20"/>
                <w:szCs w:val="20"/>
              </w:rPr>
            </w:pPr>
            <w:r w:rsidRPr="00342BAA">
              <w:rPr>
                <w:rFonts w:cstheme="minorHAnsi"/>
                <w:sz w:val="20"/>
                <w:szCs w:val="20"/>
              </w:rPr>
              <w:t>951</w:t>
            </w:r>
            <w:r w:rsidR="00F32EDE" w:rsidRPr="00342BAA">
              <w:rPr>
                <w:rFonts w:cstheme="minorHAnsi"/>
                <w:sz w:val="20"/>
                <w:szCs w:val="20"/>
              </w:rPr>
              <w:t xml:space="preserve"> (41)</w:t>
            </w:r>
          </w:p>
        </w:tc>
        <w:tc>
          <w:tcPr>
            <w:tcW w:w="2556" w:type="dxa"/>
          </w:tcPr>
          <w:p w14:paraId="49451A98" w14:textId="0C2342A6" w:rsidR="00F32EDE" w:rsidRPr="00342BAA" w:rsidRDefault="00656F71" w:rsidP="00FB6ABD">
            <w:pPr>
              <w:jc w:val="both"/>
              <w:rPr>
                <w:rFonts w:cstheme="minorHAnsi"/>
                <w:sz w:val="20"/>
                <w:szCs w:val="20"/>
              </w:rPr>
            </w:pPr>
            <w:r w:rsidRPr="00342BAA">
              <w:rPr>
                <w:rFonts w:cstheme="minorHAnsi"/>
                <w:sz w:val="20"/>
                <w:szCs w:val="20"/>
              </w:rPr>
              <w:t>888</w:t>
            </w:r>
            <w:r w:rsidR="00F32EDE" w:rsidRPr="00342BAA">
              <w:rPr>
                <w:rFonts w:cstheme="minorHAnsi"/>
                <w:sz w:val="20"/>
                <w:szCs w:val="20"/>
              </w:rPr>
              <w:t xml:space="preserve"> (38)</w:t>
            </w:r>
          </w:p>
        </w:tc>
      </w:tr>
      <w:tr w:rsidR="00F32EDE" w:rsidRPr="001E0D36" w14:paraId="2FD36C40" w14:textId="77777777" w:rsidTr="00FB6ABD">
        <w:tc>
          <w:tcPr>
            <w:tcW w:w="284" w:type="dxa"/>
          </w:tcPr>
          <w:p w14:paraId="326B3759" w14:textId="77777777" w:rsidR="00F32EDE" w:rsidRPr="00342BAA" w:rsidRDefault="00F32EDE" w:rsidP="00FB6ABD">
            <w:pPr>
              <w:jc w:val="both"/>
              <w:rPr>
                <w:rFonts w:cstheme="minorHAnsi"/>
                <w:sz w:val="20"/>
                <w:szCs w:val="20"/>
              </w:rPr>
            </w:pPr>
          </w:p>
        </w:tc>
        <w:tc>
          <w:tcPr>
            <w:tcW w:w="3255" w:type="dxa"/>
            <w:gridSpan w:val="2"/>
          </w:tcPr>
          <w:p w14:paraId="563711FE" w14:textId="77777777" w:rsidR="00F32EDE" w:rsidRPr="00342BAA" w:rsidRDefault="00F32EDE" w:rsidP="00FB6ABD">
            <w:pPr>
              <w:jc w:val="both"/>
              <w:rPr>
                <w:rFonts w:cstheme="minorHAnsi"/>
                <w:sz w:val="20"/>
                <w:szCs w:val="20"/>
              </w:rPr>
            </w:pPr>
            <w:r w:rsidRPr="00342BAA">
              <w:rPr>
                <w:rFonts w:cstheme="minorHAnsi"/>
                <w:sz w:val="20"/>
                <w:szCs w:val="20"/>
              </w:rPr>
              <w:t>Other (Black, Indian, mixed, other)</w:t>
            </w:r>
          </w:p>
        </w:tc>
        <w:tc>
          <w:tcPr>
            <w:tcW w:w="2126" w:type="dxa"/>
          </w:tcPr>
          <w:p w14:paraId="19BA341D" w14:textId="5BA7E57D" w:rsidR="00F32EDE" w:rsidRPr="00342BAA" w:rsidRDefault="00656F71" w:rsidP="00FB6ABD">
            <w:pPr>
              <w:jc w:val="both"/>
              <w:rPr>
                <w:rFonts w:cstheme="minorHAnsi"/>
                <w:sz w:val="20"/>
                <w:szCs w:val="20"/>
              </w:rPr>
            </w:pPr>
            <w:r w:rsidRPr="00342BAA">
              <w:rPr>
                <w:rFonts w:cstheme="minorHAnsi"/>
                <w:sz w:val="20"/>
                <w:szCs w:val="20"/>
              </w:rPr>
              <w:t>964</w:t>
            </w:r>
            <w:r w:rsidR="00F32EDE" w:rsidRPr="00342BAA">
              <w:rPr>
                <w:rFonts w:cstheme="minorHAnsi"/>
                <w:sz w:val="20"/>
                <w:szCs w:val="20"/>
              </w:rPr>
              <w:t xml:space="preserve"> (14)</w:t>
            </w:r>
          </w:p>
        </w:tc>
        <w:tc>
          <w:tcPr>
            <w:tcW w:w="1843" w:type="dxa"/>
          </w:tcPr>
          <w:p w14:paraId="176DF329" w14:textId="20D64457" w:rsidR="00F32EDE" w:rsidRPr="00342BAA" w:rsidRDefault="00656F71" w:rsidP="00FB6ABD">
            <w:pPr>
              <w:jc w:val="both"/>
              <w:rPr>
                <w:rFonts w:cstheme="minorHAnsi"/>
                <w:sz w:val="20"/>
                <w:szCs w:val="20"/>
              </w:rPr>
            </w:pPr>
            <w:r w:rsidRPr="00342BAA">
              <w:rPr>
                <w:rFonts w:cstheme="minorHAnsi"/>
                <w:sz w:val="20"/>
                <w:szCs w:val="20"/>
              </w:rPr>
              <w:t>353</w:t>
            </w:r>
            <w:r w:rsidR="00F32EDE" w:rsidRPr="00342BAA">
              <w:rPr>
                <w:rFonts w:cstheme="minorHAnsi"/>
                <w:sz w:val="20"/>
                <w:szCs w:val="20"/>
              </w:rPr>
              <w:t xml:space="preserve"> (15)</w:t>
            </w:r>
          </w:p>
        </w:tc>
        <w:tc>
          <w:tcPr>
            <w:tcW w:w="1843" w:type="dxa"/>
          </w:tcPr>
          <w:p w14:paraId="70162F54" w14:textId="010D2417" w:rsidR="00F32EDE" w:rsidRPr="00342BAA" w:rsidRDefault="00656F71" w:rsidP="00FB6ABD">
            <w:pPr>
              <w:jc w:val="both"/>
              <w:rPr>
                <w:rFonts w:cstheme="minorHAnsi"/>
                <w:sz w:val="20"/>
                <w:szCs w:val="20"/>
              </w:rPr>
            </w:pPr>
            <w:r w:rsidRPr="00342BAA">
              <w:rPr>
                <w:rFonts w:cstheme="minorHAnsi"/>
                <w:sz w:val="20"/>
                <w:szCs w:val="20"/>
              </w:rPr>
              <w:t>299</w:t>
            </w:r>
            <w:r w:rsidR="00F32EDE" w:rsidRPr="00342BAA">
              <w:rPr>
                <w:rFonts w:cstheme="minorHAnsi"/>
                <w:sz w:val="20"/>
                <w:szCs w:val="20"/>
              </w:rPr>
              <w:t xml:space="preserve"> (13)</w:t>
            </w:r>
          </w:p>
        </w:tc>
        <w:tc>
          <w:tcPr>
            <w:tcW w:w="2556" w:type="dxa"/>
          </w:tcPr>
          <w:p w14:paraId="1E2295A4" w14:textId="466AFB39" w:rsidR="00F32EDE" w:rsidRPr="00342BAA" w:rsidRDefault="00656F71" w:rsidP="00FB6ABD">
            <w:pPr>
              <w:jc w:val="both"/>
              <w:rPr>
                <w:rFonts w:cstheme="minorHAnsi"/>
                <w:sz w:val="20"/>
                <w:szCs w:val="20"/>
              </w:rPr>
            </w:pPr>
            <w:r w:rsidRPr="00342BAA">
              <w:rPr>
                <w:rFonts w:cstheme="minorHAnsi"/>
                <w:sz w:val="20"/>
                <w:szCs w:val="20"/>
              </w:rPr>
              <w:t>312</w:t>
            </w:r>
            <w:r w:rsidR="00F32EDE" w:rsidRPr="00342BAA">
              <w:rPr>
                <w:rFonts w:cstheme="minorHAnsi"/>
                <w:sz w:val="20"/>
                <w:szCs w:val="20"/>
              </w:rPr>
              <w:t xml:space="preserve"> (14)</w:t>
            </w:r>
          </w:p>
        </w:tc>
      </w:tr>
      <w:tr w:rsidR="00F32EDE" w:rsidRPr="001E0D36" w14:paraId="3FD39A43" w14:textId="77777777" w:rsidTr="00FB6ABD">
        <w:tc>
          <w:tcPr>
            <w:tcW w:w="3539" w:type="dxa"/>
            <w:gridSpan w:val="3"/>
          </w:tcPr>
          <w:p w14:paraId="5CECAB84" w14:textId="77777777" w:rsidR="00F32EDE" w:rsidRPr="00342BAA" w:rsidRDefault="00F32EDE" w:rsidP="00FB6ABD">
            <w:pPr>
              <w:jc w:val="both"/>
              <w:rPr>
                <w:rFonts w:cstheme="minorHAnsi"/>
                <w:sz w:val="20"/>
                <w:szCs w:val="20"/>
              </w:rPr>
            </w:pPr>
            <w:r w:rsidRPr="00342BAA">
              <w:rPr>
                <w:rFonts w:cstheme="minorHAnsi"/>
                <w:sz w:val="20"/>
                <w:szCs w:val="20"/>
              </w:rPr>
              <w:t>Parity</w:t>
            </w:r>
          </w:p>
        </w:tc>
        <w:tc>
          <w:tcPr>
            <w:tcW w:w="2126" w:type="dxa"/>
          </w:tcPr>
          <w:p w14:paraId="7E7CBFBD" w14:textId="77777777" w:rsidR="00F32EDE" w:rsidRPr="00342BAA" w:rsidRDefault="00F32EDE" w:rsidP="00FB6ABD">
            <w:pPr>
              <w:jc w:val="both"/>
              <w:rPr>
                <w:rFonts w:cstheme="minorHAnsi"/>
                <w:sz w:val="20"/>
                <w:szCs w:val="20"/>
              </w:rPr>
            </w:pPr>
          </w:p>
        </w:tc>
        <w:tc>
          <w:tcPr>
            <w:tcW w:w="1843" w:type="dxa"/>
          </w:tcPr>
          <w:p w14:paraId="12D4BF3B" w14:textId="77777777" w:rsidR="00F32EDE" w:rsidRPr="00342BAA" w:rsidRDefault="00F32EDE" w:rsidP="00FB6ABD">
            <w:pPr>
              <w:jc w:val="both"/>
              <w:rPr>
                <w:rFonts w:cstheme="minorHAnsi"/>
                <w:sz w:val="20"/>
                <w:szCs w:val="20"/>
              </w:rPr>
            </w:pPr>
          </w:p>
        </w:tc>
        <w:tc>
          <w:tcPr>
            <w:tcW w:w="1843" w:type="dxa"/>
          </w:tcPr>
          <w:p w14:paraId="06B900CC" w14:textId="77777777" w:rsidR="00F32EDE" w:rsidRPr="00342BAA" w:rsidRDefault="00F32EDE" w:rsidP="00FB6ABD">
            <w:pPr>
              <w:jc w:val="both"/>
              <w:rPr>
                <w:rFonts w:cstheme="minorHAnsi"/>
                <w:sz w:val="20"/>
                <w:szCs w:val="20"/>
              </w:rPr>
            </w:pPr>
          </w:p>
        </w:tc>
        <w:tc>
          <w:tcPr>
            <w:tcW w:w="2556" w:type="dxa"/>
          </w:tcPr>
          <w:p w14:paraId="026034BB" w14:textId="77777777" w:rsidR="00F32EDE" w:rsidRPr="00342BAA" w:rsidRDefault="00F32EDE" w:rsidP="00FB6ABD">
            <w:pPr>
              <w:jc w:val="both"/>
              <w:rPr>
                <w:rFonts w:cstheme="minorHAnsi"/>
                <w:sz w:val="20"/>
                <w:szCs w:val="20"/>
              </w:rPr>
            </w:pPr>
          </w:p>
        </w:tc>
      </w:tr>
      <w:tr w:rsidR="00F32EDE" w:rsidRPr="001E0D36" w14:paraId="6B6F5B86" w14:textId="77777777" w:rsidTr="00FB6ABD">
        <w:tc>
          <w:tcPr>
            <w:tcW w:w="284" w:type="dxa"/>
          </w:tcPr>
          <w:p w14:paraId="33D1DC40" w14:textId="77777777" w:rsidR="00F32EDE" w:rsidRPr="00342BAA" w:rsidRDefault="00F32EDE" w:rsidP="00FB6ABD">
            <w:pPr>
              <w:jc w:val="both"/>
              <w:rPr>
                <w:rFonts w:cstheme="minorHAnsi"/>
                <w:sz w:val="20"/>
                <w:szCs w:val="20"/>
              </w:rPr>
            </w:pPr>
          </w:p>
        </w:tc>
        <w:tc>
          <w:tcPr>
            <w:tcW w:w="3255" w:type="dxa"/>
            <w:gridSpan w:val="2"/>
          </w:tcPr>
          <w:p w14:paraId="14FB60EA" w14:textId="77777777" w:rsidR="00F32EDE" w:rsidRPr="00342BAA" w:rsidRDefault="00F32EDE" w:rsidP="00FB6ABD">
            <w:pPr>
              <w:jc w:val="both"/>
              <w:rPr>
                <w:rFonts w:cstheme="minorHAnsi"/>
                <w:sz w:val="20"/>
                <w:szCs w:val="20"/>
              </w:rPr>
            </w:pPr>
            <w:r w:rsidRPr="00342BAA">
              <w:rPr>
                <w:rFonts w:cstheme="minorHAnsi"/>
                <w:sz w:val="20"/>
                <w:szCs w:val="20"/>
              </w:rPr>
              <w:t>0</w:t>
            </w:r>
          </w:p>
        </w:tc>
        <w:tc>
          <w:tcPr>
            <w:tcW w:w="2126" w:type="dxa"/>
          </w:tcPr>
          <w:p w14:paraId="0AC1A66F" w14:textId="77EDB216" w:rsidR="00F32EDE" w:rsidRPr="00342BAA" w:rsidRDefault="00656F71" w:rsidP="00FB6ABD">
            <w:pPr>
              <w:jc w:val="both"/>
              <w:rPr>
                <w:rFonts w:cstheme="minorHAnsi"/>
                <w:sz w:val="20"/>
                <w:szCs w:val="20"/>
              </w:rPr>
            </w:pPr>
            <w:r w:rsidRPr="00342BAA">
              <w:rPr>
                <w:rFonts w:cstheme="minorHAnsi"/>
                <w:sz w:val="20"/>
                <w:szCs w:val="20"/>
              </w:rPr>
              <w:t>3196</w:t>
            </w:r>
            <w:r w:rsidR="00F32EDE" w:rsidRPr="00342BAA">
              <w:rPr>
                <w:rFonts w:cstheme="minorHAnsi"/>
                <w:sz w:val="20"/>
                <w:szCs w:val="20"/>
              </w:rPr>
              <w:t xml:space="preserve"> (46)</w:t>
            </w:r>
          </w:p>
        </w:tc>
        <w:tc>
          <w:tcPr>
            <w:tcW w:w="1843" w:type="dxa"/>
          </w:tcPr>
          <w:p w14:paraId="421AB75B" w14:textId="4F7614E8" w:rsidR="00F32EDE" w:rsidRPr="00342BAA" w:rsidRDefault="00342BAA" w:rsidP="00FB6ABD">
            <w:pPr>
              <w:jc w:val="both"/>
              <w:rPr>
                <w:rFonts w:cstheme="minorHAnsi"/>
                <w:sz w:val="20"/>
                <w:szCs w:val="20"/>
              </w:rPr>
            </w:pPr>
            <w:r w:rsidRPr="00342BAA">
              <w:rPr>
                <w:rFonts w:cstheme="minorHAnsi"/>
                <w:sz w:val="20"/>
                <w:szCs w:val="20"/>
              </w:rPr>
              <w:t>1015</w:t>
            </w:r>
            <w:r w:rsidR="00F32EDE" w:rsidRPr="00342BAA">
              <w:rPr>
                <w:rFonts w:cstheme="minorHAnsi"/>
                <w:sz w:val="20"/>
                <w:szCs w:val="20"/>
              </w:rPr>
              <w:t xml:space="preserve"> (44)</w:t>
            </w:r>
          </w:p>
        </w:tc>
        <w:tc>
          <w:tcPr>
            <w:tcW w:w="1843" w:type="dxa"/>
          </w:tcPr>
          <w:p w14:paraId="15F8FF65" w14:textId="27BE24BE" w:rsidR="00F32EDE" w:rsidRPr="00342BAA" w:rsidRDefault="00342BAA" w:rsidP="00FB6ABD">
            <w:pPr>
              <w:jc w:val="both"/>
              <w:rPr>
                <w:rFonts w:cstheme="minorHAnsi"/>
                <w:sz w:val="20"/>
                <w:szCs w:val="20"/>
              </w:rPr>
            </w:pPr>
            <w:r w:rsidRPr="00342BAA">
              <w:rPr>
                <w:rFonts w:cstheme="minorHAnsi"/>
                <w:sz w:val="20"/>
                <w:szCs w:val="20"/>
              </w:rPr>
              <w:t>1055</w:t>
            </w:r>
            <w:r w:rsidR="00F32EDE" w:rsidRPr="00342BAA">
              <w:rPr>
                <w:rFonts w:cstheme="minorHAnsi"/>
                <w:sz w:val="20"/>
                <w:szCs w:val="20"/>
              </w:rPr>
              <w:t xml:space="preserve"> (46)</w:t>
            </w:r>
          </w:p>
        </w:tc>
        <w:tc>
          <w:tcPr>
            <w:tcW w:w="2556" w:type="dxa"/>
          </w:tcPr>
          <w:p w14:paraId="0C6A774C" w14:textId="727F87AE" w:rsidR="00F32EDE" w:rsidRPr="00342BAA" w:rsidRDefault="00342BAA" w:rsidP="00FB6ABD">
            <w:pPr>
              <w:jc w:val="both"/>
              <w:rPr>
                <w:rFonts w:cstheme="minorHAnsi"/>
                <w:sz w:val="20"/>
                <w:szCs w:val="20"/>
              </w:rPr>
            </w:pPr>
            <w:r w:rsidRPr="00342BAA">
              <w:rPr>
                <w:rFonts w:cstheme="minorHAnsi"/>
                <w:sz w:val="20"/>
                <w:szCs w:val="20"/>
              </w:rPr>
              <w:t>1126</w:t>
            </w:r>
            <w:r w:rsidR="00F32EDE" w:rsidRPr="00342BAA">
              <w:rPr>
                <w:rFonts w:cstheme="minorHAnsi"/>
                <w:sz w:val="20"/>
                <w:szCs w:val="20"/>
              </w:rPr>
              <w:t xml:space="preserve"> (49)</w:t>
            </w:r>
          </w:p>
        </w:tc>
      </w:tr>
      <w:tr w:rsidR="00F32EDE" w:rsidRPr="001E0D36" w14:paraId="071DCF86" w14:textId="77777777" w:rsidTr="00FB6ABD">
        <w:tc>
          <w:tcPr>
            <w:tcW w:w="284" w:type="dxa"/>
          </w:tcPr>
          <w:p w14:paraId="2A17175F" w14:textId="77777777" w:rsidR="00F32EDE" w:rsidRPr="00342BAA" w:rsidRDefault="00F32EDE" w:rsidP="00FB6ABD">
            <w:pPr>
              <w:jc w:val="both"/>
              <w:rPr>
                <w:rFonts w:cstheme="minorHAnsi"/>
                <w:sz w:val="20"/>
                <w:szCs w:val="20"/>
              </w:rPr>
            </w:pPr>
          </w:p>
        </w:tc>
        <w:tc>
          <w:tcPr>
            <w:tcW w:w="3255" w:type="dxa"/>
            <w:gridSpan w:val="2"/>
          </w:tcPr>
          <w:p w14:paraId="52E85C5F" w14:textId="77777777" w:rsidR="00F32EDE" w:rsidRPr="00342BAA" w:rsidRDefault="00F32EDE" w:rsidP="00FB6ABD">
            <w:pPr>
              <w:jc w:val="both"/>
              <w:rPr>
                <w:rFonts w:cstheme="minorHAnsi"/>
                <w:sz w:val="20"/>
                <w:szCs w:val="20"/>
              </w:rPr>
            </w:pPr>
            <w:r w:rsidRPr="00342BAA">
              <w:rPr>
                <w:rFonts w:cstheme="minorHAnsi"/>
                <w:sz w:val="20"/>
                <w:szCs w:val="20"/>
              </w:rPr>
              <w:t>1</w:t>
            </w:r>
          </w:p>
        </w:tc>
        <w:tc>
          <w:tcPr>
            <w:tcW w:w="2126" w:type="dxa"/>
          </w:tcPr>
          <w:p w14:paraId="372C7F94" w14:textId="3736DB9D" w:rsidR="00F32EDE" w:rsidRPr="00342BAA" w:rsidRDefault="00656F71" w:rsidP="00FB6ABD">
            <w:pPr>
              <w:jc w:val="both"/>
              <w:rPr>
                <w:rFonts w:cstheme="minorHAnsi"/>
                <w:sz w:val="20"/>
                <w:szCs w:val="20"/>
              </w:rPr>
            </w:pPr>
            <w:r w:rsidRPr="00342BAA">
              <w:rPr>
                <w:rFonts w:cstheme="minorHAnsi"/>
                <w:sz w:val="20"/>
                <w:szCs w:val="20"/>
              </w:rPr>
              <w:t>1896</w:t>
            </w:r>
            <w:r w:rsidR="00F32EDE" w:rsidRPr="00342BAA">
              <w:rPr>
                <w:rFonts w:cstheme="minorHAnsi"/>
                <w:sz w:val="20"/>
                <w:szCs w:val="20"/>
              </w:rPr>
              <w:t xml:space="preserve"> (27)</w:t>
            </w:r>
          </w:p>
        </w:tc>
        <w:tc>
          <w:tcPr>
            <w:tcW w:w="1843" w:type="dxa"/>
          </w:tcPr>
          <w:p w14:paraId="41272D27" w14:textId="7F044544" w:rsidR="00F32EDE" w:rsidRPr="00342BAA" w:rsidRDefault="00342BAA" w:rsidP="00FB6ABD">
            <w:pPr>
              <w:jc w:val="both"/>
              <w:rPr>
                <w:rFonts w:cstheme="minorHAnsi"/>
                <w:sz w:val="20"/>
                <w:szCs w:val="20"/>
              </w:rPr>
            </w:pPr>
            <w:r w:rsidRPr="00342BAA">
              <w:rPr>
                <w:rFonts w:cstheme="minorHAnsi"/>
                <w:sz w:val="20"/>
                <w:szCs w:val="20"/>
              </w:rPr>
              <w:t xml:space="preserve">617 </w:t>
            </w:r>
            <w:r w:rsidR="00F32EDE" w:rsidRPr="00342BAA">
              <w:rPr>
                <w:rFonts w:cstheme="minorHAnsi"/>
                <w:sz w:val="20"/>
                <w:szCs w:val="20"/>
              </w:rPr>
              <w:t>(27)</w:t>
            </w:r>
          </w:p>
        </w:tc>
        <w:tc>
          <w:tcPr>
            <w:tcW w:w="1843" w:type="dxa"/>
          </w:tcPr>
          <w:p w14:paraId="16FC0996" w14:textId="2AD96A48" w:rsidR="00F32EDE" w:rsidRPr="00342BAA" w:rsidRDefault="00342BAA" w:rsidP="00FB6ABD">
            <w:pPr>
              <w:jc w:val="both"/>
              <w:rPr>
                <w:rFonts w:cstheme="minorHAnsi"/>
                <w:sz w:val="20"/>
                <w:szCs w:val="20"/>
              </w:rPr>
            </w:pPr>
            <w:r w:rsidRPr="00342BAA">
              <w:rPr>
                <w:rFonts w:cstheme="minorHAnsi"/>
                <w:sz w:val="20"/>
                <w:szCs w:val="20"/>
              </w:rPr>
              <w:t>640</w:t>
            </w:r>
            <w:r w:rsidR="00F32EDE" w:rsidRPr="00342BAA">
              <w:rPr>
                <w:rFonts w:cstheme="minorHAnsi"/>
                <w:sz w:val="20"/>
                <w:szCs w:val="20"/>
              </w:rPr>
              <w:t xml:space="preserve"> (27)</w:t>
            </w:r>
          </w:p>
        </w:tc>
        <w:tc>
          <w:tcPr>
            <w:tcW w:w="2556" w:type="dxa"/>
          </w:tcPr>
          <w:p w14:paraId="5E087FDB" w14:textId="77777777" w:rsidR="00F32EDE" w:rsidRPr="00342BAA" w:rsidRDefault="00F32EDE" w:rsidP="00FB6ABD">
            <w:pPr>
              <w:jc w:val="both"/>
              <w:rPr>
                <w:rFonts w:cstheme="minorHAnsi"/>
                <w:sz w:val="20"/>
                <w:szCs w:val="20"/>
              </w:rPr>
            </w:pPr>
            <w:r w:rsidRPr="00342BAA">
              <w:rPr>
                <w:rFonts w:cstheme="minorHAnsi"/>
                <w:sz w:val="20"/>
                <w:szCs w:val="20"/>
              </w:rPr>
              <w:t>639 (27)</w:t>
            </w:r>
          </w:p>
        </w:tc>
      </w:tr>
      <w:tr w:rsidR="00F32EDE" w:rsidRPr="001E0D36" w14:paraId="10FEB79F" w14:textId="77777777" w:rsidTr="00FB6ABD">
        <w:tc>
          <w:tcPr>
            <w:tcW w:w="284" w:type="dxa"/>
          </w:tcPr>
          <w:p w14:paraId="1DAF0ECA" w14:textId="77777777" w:rsidR="00F32EDE" w:rsidRPr="00342BAA" w:rsidRDefault="00F32EDE" w:rsidP="00FB6ABD">
            <w:pPr>
              <w:jc w:val="both"/>
              <w:rPr>
                <w:rFonts w:cstheme="minorHAnsi"/>
                <w:sz w:val="20"/>
                <w:szCs w:val="20"/>
              </w:rPr>
            </w:pPr>
          </w:p>
        </w:tc>
        <w:tc>
          <w:tcPr>
            <w:tcW w:w="3255" w:type="dxa"/>
            <w:gridSpan w:val="2"/>
          </w:tcPr>
          <w:p w14:paraId="5FD71D51" w14:textId="77777777" w:rsidR="00F32EDE" w:rsidRPr="00342BAA" w:rsidRDefault="00F32EDE" w:rsidP="00FB6ABD">
            <w:pPr>
              <w:jc w:val="both"/>
              <w:rPr>
                <w:rFonts w:cstheme="minorHAnsi"/>
                <w:sz w:val="20"/>
                <w:szCs w:val="20"/>
              </w:rPr>
            </w:pPr>
            <w:r w:rsidRPr="00342BAA">
              <w:rPr>
                <w:rFonts w:cstheme="minorHAnsi"/>
                <w:sz w:val="20"/>
                <w:szCs w:val="20"/>
              </w:rPr>
              <w:t>2</w:t>
            </w:r>
          </w:p>
        </w:tc>
        <w:tc>
          <w:tcPr>
            <w:tcW w:w="2126" w:type="dxa"/>
          </w:tcPr>
          <w:p w14:paraId="5A8CA6A2" w14:textId="29BD5D40" w:rsidR="00F32EDE" w:rsidRPr="00342BAA" w:rsidRDefault="00656F71" w:rsidP="00FB6ABD">
            <w:pPr>
              <w:jc w:val="both"/>
              <w:rPr>
                <w:rFonts w:cstheme="minorHAnsi"/>
                <w:sz w:val="20"/>
                <w:szCs w:val="20"/>
              </w:rPr>
            </w:pPr>
            <w:r w:rsidRPr="00342BAA">
              <w:rPr>
                <w:rFonts w:cstheme="minorHAnsi"/>
                <w:sz w:val="20"/>
                <w:szCs w:val="20"/>
              </w:rPr>
              <w:t>1075</w:t>
            </w:r>
            <w:r w:rsidR="00F32EDE" w:rsidRPr="00342BAA">
              <w:rPr>
                <w:rFonts w:cstheme="minorHAnsi"/>
                <w:sz w:val="20"/>
                <w:szCs w:val="20"/>
              </w:rPr>
              <w:t xml:space="preserve"> (15)</w:t>
            </w:r>
          </w:p>
        </w:tc>
        <w:tc>
          <w:tcPr>
            <w:tcW w:w="1843" w:type="dxa"/>
          </w:tcPr>
          <w:p w14:paraId="60E17881" w14:textId="1AD9A34B" w:rsidR="00F32EDE" w:rsidRPr="00342BAA" w:rsidRDefault="00342BAA" w:rsidP="00FB6ABD">
            <w:pPr>
              <w:jc w:val="both"/>
              <w:rPr>
                <w:rFonts w:cstheme="minorHAnsi"/>
                <w:sz w:val="20"/>
                <w:szCs w:val="20"/>
              </w:rPr>
            </w:pPr>
            <w:r w:rsidRPr="00342BAA">
              <w:rPr>
                <w:rFonts w:cstheme="minorHAnsi"/>
                <w:sz w:val="20"/>
                <w:szCs w:val="20"/>
              </w:rPr>
              <w:t>376</w:t>
            </w:r>
            <w:r w:rsidR="00F32EDE" w:rsidRPr="00342BAA">
              <w:rPr>
                <w:rFonts w:cstheme="minorHAnsi"/>
                <w:sz w:val="20"/>
                <w:szCs w:val="20"/>
              </w:rPr>
              <w:t xml:space="preserve"> (16)</w:t>
            </w:r>
          </w:p>
        </w:tc>
        <w:tc>
          <w:tcPr>
            <w:tcW w:w="1843" w:type="dxa"/>
          </w:tcPr>
          <w:p w14:paraId="44D8DD08" w14:textId="0C550480" w:rsidR="00F32EDE" w:rsidRPr="00342BAA" w:rsidRDefault="00342BAA" w:rsidP="00FB6ABD">
            <w:pPr>
              <w:jc w:val="both"/>
              <w:rPr>
                <w:rFonts w:cstheme="minorHAnsi"/>
                <w:sz w:val="20"/>
                <w:szCs w:val="20"/>
              </w:rPr>
            </w:pPr>
            <w:r w:rsidRPr="00342BAA">
              <w:rPr>
                <w:rFonts w:cstheme="minorHAnsi"/>
                <w:sz w:val="20"/>
                <w:szCs w:val="20"/>
              </w:rPr>
              <w:t>363</w:t>
            </w:r>
            <w:r w:rsidR="00F32EDE" w:rsidRPr="00342BAA">
              <w:rPr>
                <w:rFonts w:cstheme="minorHAnsi"/>
                <w:sz w:val="20"/>
                <w:szCs w:val="20"/>
              </w:rPr>
              <w:t xml:space="preserve"> (16)</w:t>
            </w:r>
          </w:p>
        </w:tc>
        <w:tc>
          <w:tcPr>
            <w:tcW w:w="2556" w:type="dxa"/>
          </w:tcPr>
          <w:p w14:paraId="4EA45286" w14:textId="7BC755B2" w:rsidR="00F32EDE" w:rsidRPr="00342BAA" w:rsidRDefault="00342BAA" w:rsidP="00FB6ABD">
            <w:pPr>
              <w:jc w:val="both"/>
              <w:rPr>
                <w:rFonts w:cstheme="minorHAnsi"/>
                <w:sz w:val="20"/>
                <w:szCs w:val="20"/>
              </w:rPr>
            </w:pPr>
            <w:r w:rsidRPr="00342BAA">
              <w:rPr>
                <w:rFonts w:cstheme="minorHAnsi"/>
                <w:sz w:val="20"/>
                <w:szCs w:val="20"/>
              </w:rPr>
              <w:t>336</w:t>
            </w:r>
            <w:r w:rsidR="00F32EDE" w:rsidRPr="00342BAA">
              <w:rPr>
                <w:rFonts w:cstheme="minorHAnsi"/>
                <w:sz w:val="20"/>
                <w:szCs w:val="20"/>
              </w:rPr>
              <w:t xml:space="preserve"> (15)</w:t>
            </w:r>
          </w:p>
        </w:tc>
      </w:tr>
      <w:tr w:rsidR="00F32EDE" w:rsidRPr="001E0D36" w14:paraId="6490000E" w14:textId="77777777" w:rsidTr="00FB6ABD">
        <w:tc>
          <w:tcPr>
            <w:tcW w:w="284" w:type="dxa"/>
          </w:tcPr>
          <w:p w14:paraId="16D7198B" w14:textId="77777777" w:rsidR="00F32EDE" w:rsidRPr="00342BAA" w:rsidRDefault="00F32EDE" w:rsidP="00FB6ABD">
            <w:pPr>
              <w:jc w:val="both"/>
              <w:rPr>
                <w:rFonts w:cstheme="minorHAnsi"/>
                <w:sz w:val="20"/>
                <w:szCs w:val="20"/>
              </w:rPr>
            </w:pPr>
          </w:p>
        </w:tc>
        <w:tc>
          <w:tcPr>
            <w:tcW w:w="3255" w:type="dxa"/>
            <w:gridSpan w:val="2"/>
          </w:tcPr>
          <w:p w14:paraId="54FBA79C" w14:textId="77777777" w:rsidR="00F32EDE" w:rsidRPr="00342BAA" w:rsidRDefault="00F32EDE" w:rsidP="00FB6ABD">
            <w:pPr>
              <w:jc w:val="both"/>
              <w:rPr>
                <w:rFonts w:cstheme="minorHAnsi"/>
                <w:sz w:val="20"/>
                <w:szCs w:val="20"/>
              </w:rPr>
            </w:pPr>
            <w:r w:rsidRPr="00342BAA">
              <w:rPr>
                <w:rFonts w:cstheme="minorHAnsi"/>
                <w:sz w:val="20"/>
                <w:szCs w:val="20"/>
              </w:rPr>
              <w:t>3+</w:t>
            </w:r>
          </w:p>
        </w:tc>
        <w:tc>
          <w:tcPr>
            <w:tcW w:w="2126" w:type="dxa"/>
          </w:tcPr>
          <w:p w14:paraId="5559FBC3" w14:textId="28807B9C" w:rsidR="00F32EDE" w:rsidRPr="00342BAA" w:rsidRDefault="00656F71" w:rsidP="00FB6ABD">
            <w:pPr>
              <w:jc w:val="both"/>
              <w:rPr>
                <w:rFonts w:cstheme="minorHAnsi"/>
                <w:sz w:val="20"/>
                <w:szCs w:val="20"/>
              </w:rPr>
            </w:pPr>
            <w:r w:rsidRPr="00342BAA">
              <w:rPr>
                <w:rFonts w:cstheme="minorHAnsi"/>
                <w:sz w:val="20"/>
                <w:szCs w:val="20"/>
              </w:rPr>
              <w:t>806</w:t>
            </w:r>
            <w:r w:rsidR="00F32EDE" w:rsidRPr="00342BAA">
              <w:rPr>
                <w:rFonts w:cstheme="minorHAnsi"/>
                <w:sz w:val="20"/>
                <w:szCs w:val="20"/>
              </w:rPr>
              <w:t xml:space="preserve"> (12)</w:t>
            </w:r>
          </w:p>
        </w:tc>
        <w:tc>
          <w:tcPr>
            <w:tcW w:w="1843" w:type="dxa"/>
          </w:tcPr>
          <w:p w14:paraId="781C5DD9" w14:textId="77777777" w:rsidR="00F32EDE" w:rsidRPr="00342BAA" w:rsidRDefault="00F32EDE" w:rsidP="00FB6ABD">
            <w:pPr>
              <w:jc w:val="both"/>
              <w:rPr>
                <w:rFonts w:cstheme="minorHAnsi"/>
                <w:sz w:val="20"/>
                <w:szCs w:val="20"/>
              </w:rPr>
            </w:pPr>
            <w:r w:rsidRPr="00342BAA">
              <w:rPr>
                <w:rFonts w:cstheme="minorHAnsi"/>
                <w:sz w:val="20"/>
                <w:szCs w:val="20"/>
              </w:rPr>
              <w:t>317 (14)</w:t>
            </w:r>
          </w:p>
        </w:tc>
        <w:tc>
          <w:tcPr>
            <w:tcW w:w="1843" w:type="dxa"/>
          </w:tcPr>
          <w:p w14:paraId="73495141" w14:textId="4D226026" w:rsidR="00F32EDE" w:rsidRPr="00342BAA" w:rsidRDefault="00342BAA" w:rsidP="00FB6ABD">
            <w:pPr>
              <w:jc w:val="both"/>
              <w:rPr>
                <w:rFonts w:cstheme="minorHAnsi"/>
                <w:sz w:val="20"/>
                <w:szCs w:val="20"/>
              </w:rPr>
            </w:pPr>
            <w:r w:rsidRPr="00342BAA">
              <w:rPr>
                <w:rFonts w:cstheme="minorHAnsi"/>
                <w:sz w:val="20"/>
                <w:szCs w:val="20"/>
              </w:rPr>
              <w:t>266</w:t>
            </w:r>
            <w:r w:rsidR="00F32EDE" w:rsidRPr="00342BAA">
              <w:rPr>
                <w:rFonts w:cstheme="minorHAnsi"/>
                <w:sz w:val="20"/>
                <w:szCs w:val="20"/>
              </w:rPr>
              <w:t xml:space="preserve"> (11)</w:t>
            </w:r>
          </w:p>
        </w:tc>
        <w:tc>
          <w:tcPr>
            <w:tcW w:w="2556" w:type="dxa"/>
          </w:tcPr>
          <w:p w14:paraId="5EBF1B87" w14:textId="2E3BEDFA" w:rsidR="00F32EDE" w:rsidRPr="00342BAA" w:rsidRDefault="00342BAA" w:rsidP="00FB6ABD">
            <w:pPr>
              <w:jc w:val="both"/>
              <w:rPr>
                <w:rFonts w:cstheme="minorHAnsi"/>
                <w:sz w:val="20"/>
                <w:szCs w:val="20"/>
              </w:rPr>
            </w:pPr>
            <w:r w:rsidRPr="00342BAA">
              <w:rPr>
                <w:rFonts w:cstheme="minorHAnsi"/>
                <w:sz w:val="20"/>
                <w:szCs w:val="20"/>
              </w:rPr>
              <w:t>223</w:t>
            </w:r>
            <w:r w:rsidR="00F32EDE" w:rsidRPr="00342BAA">
              <w:rPr>
                <w:rFonts w:cstheme="minorHAnsi"/>
                <w:sz w:val="20"/>
                <w:szCs w:val="20"/>
              </w:rPr>
              <w:t xml:space="preserve"> (10)</w:t>
            </w:r>
          </w:p>
        </w:tc>
      </w:tr>
      <w:tr w:rsidR="00F32EDE" w:rsidRPr="001E0D36" w14:paraId="29EF0357" w14:textId="77777777" w:rsidTr="00FB6ABD">
        <w:tc>
          <w:tcPr>
            <w:tcW w:w="3539" w:type="dxa"/>
            <w:gridSpan w:val="3"/>
          </w:tcPr>
          <w:p w14:paraId="035EF627" w14:textId="77777777" w:rsidR="00F32EDE" w:rsidRPr="00342BAA" w:rsidRDefault="00F32EDE" w:rsidP="00FB6ABD">
            <w:pPr>
              <w:jc w:val="both"/>
              <w:rPr>
                <w:rFonts w:cstheme="minorHAnsi"/>
                <w:sz w:val="20"/>
                <w:szCs w:val="20"/>
              </w:rPr>
            </w:pPr>
            <w:r w:rsidRPr="00342BAA">
              <w:rPr>
                <w:rFonts w:cstheme="minorHAnsi"/>
                <w:sz w:val="20"/>
                <w:szCs w:val="20"/>
              </w:rPr>
              <w:t>Health and lifestyle in pregnancy</w:t>
            </w:r>
          </w:p>
        </w:tc>
        <w:tc>
          <w:tcPr>
            <w:tcW w:w="2126" w:type="dxa"/>
          </w:tcPr>
          <w:p w14:paraId="6D15DA35" w14:textId="77777777" w:rsidR="00F32EDE" w:rsidRPr="00342BAA" w:rsidRDefault="00F32EDE" w:rsidP="00FB6ABD">
            <w:pPr>
              <w:jc w:val="both"/>
              <w:rPr>
                <w:rFonts w:cstheme="minorHAnsi"/>
                <w:sz w:val="20"/>
                <w:szCs w:val="20"/>
              </w:rPr>
            </w:pPr>
          </w:p>
        </w:tc>
        <w:tc>
          <w:tcPr>
            <w:tcW w:w="1843" w:type="dxa"/>
          </w:tcPr>
          <w:p w14:paraId="7A610B40" w14:textId="77777777" w:rsidR="00F32EDE" w:rsidRPr="00342BAA" w:rsidRDefault="00F32EDE" w:rsidP="00FB6ABD">
            <w:pPr>
              <w:jc w:val="both"/>
              <w:rPr>
                <w:rFonts w:cstheme="minorHAnsi"/>
                <w:sz w:val="20"/>
                <w:szCs w:val="20"/>
              </w:rPr>
            </w:pPr>
          </w:p>
        </w:tc>
        <w:tc>
          <w:tcPr>
            <w:tcW w:w="1843" w:type="dxa"/>
          </w:tcPr>
          <w:p w14:paraId="77F99AF2" w14:textId="77777777" w:rsidR="00F32EDE" w:rsidRPr="00342BAA" w:rsidRDefault="00F32EDE" w:rsidP="00FB6ABD">
            <w:pPr>
              <w:jc w:val="both"/>
              <w:rPr>
                <w:rFonts w:cstheme="minorHAnsi"/>
                <w:sz w:val="20"/>
                <w:szCs w:val="20"/>
              </w:rPr>
            </w:pPr>
          </w:p>
        </w:tc>
        <w:tc>
          <w:tcPr>
            <w:tcW w:w="2556" w:type="dxa"/>
          </w:tcPr>
          <w:p w14:paraId="3DBA2A21" w14:textId="77777777" w:rsidR="00F32EDE" w:rsidRPr="00342BAA" w:rsidRDefault="00F32EDE" w:rsidP="00FB6ABD">
            <w:pPr>
              <w:jc w:val="both"/>
              <w:rPr>
                <w:rFonts w:cstheme="minorHAnsi"/>
                <w:sz w:val="20"/>
                <w:szCs w:val="20"/>
              </w:rPr>
            </w:pPr>
          </w:p>
        </w:tc>
      </w:tr>
      <w:tr w:rsidR="00F32EDE" w:rsidRPr="001E0D36" w14:paraId="4F877453" w14:textId="77777777" w:rsidTr="00FB6ABD">
        <w:tc>
          <w:tcPr>
            <w:tcW w:w="284" w:type="dxa"/>
          </w:tcPr>
          <w:p w14:paraId="515FE1CB" w14:textId="77777777" w:rsidR="00F32EDE" w:rsidRPr="00342BAA" w:rsidRDefault="00F32EDE" w:rsidP="00FB6ABD">
            <w:pPr>
              <w:jc w:val="both"/>
              <w:rPr>
                <w:rFonts w:cstheme="minorHAnsi"/>
                <w:sz w:val="20"/>
                <w:szCs w:val="20"/>
              </w:rPr>
            </w:pPr>
          </w:p>
        </w:tc>
        <w:tc>
          <w:tcPr>
            <w:tcW w:w="3255" w:type="dxa"/>
            <w:gridSpan w:val="2"/>
          </w:tcPr>
          <w:p w14:paraId="666603A2" w14:textId="77777777" w:rsidR="00F32EDE" w:rsidRPr="00342BAA" w:rsidRDefault="00F32EDE" w:rsidP="00FB6ABD">
            <w:pPr>
              <w:jc w:val="both"/>
              <w:rPr>
                <w:rFonts w:cstheme="minorHAnsi"/>
                <w:sz w:val="20"/>
                <w:szCs w:val="20"/>
              </w:rPr>
            </w:pPr>
            <w:r w:rsidRPr="00342BAA">
              <w:rPr>
                <w:rFonts w:cstheme="minorHAnsi"/>
                <w:sz w:val="20"/>
                <w:szCs w:val="20"/>
              </w:rPr>
              <w:t>Gestational diabetes, n (%)</w:t>
            </w:r>
          </w:p>
        </w:tc>
        <w:tc>
          <w:tcPr>
            <w:tcW w:w="2126" w:type="dxa"/>
          </w:tcPr>
          <w:p w14:paraId="72A6445A" w14:textId="25DB0FD9" w:rsidR="00F32EDE" w:rsidRPr="00342BAA" w:rsidRDefault="00656F71" w:rsidP="00FB6ABD">
            <w:pPr>
              <w:jc w:val="both"/>
              <w:rPr>
                <w:rFonts w:cstheme="minorHAnsi"/>
                <w:sz w:val="20"/>
                <w:szCs w:val="20"/>
              </w:rPr>
            </w:pPr>
            <w:r w:rsidRPr="00342BAA">
              <w:rPr>
                <w:rFonts w:cstheme="minorHAnsi"/>
                <w:sz w:val="20"/>
                <w:szCs w:val="20"/>
              </w:rPr>
              <w:t>525 (8</w:t>
            </w:r>
            <w:r w:rsidR="00F32EDE" w:rsidRPr="00342BAA">
              <w:rPr>
                <w:rFonts w:cstheme="minorHAnsi"/>
                <w:sz w:val="20"/>
                <w:szCs w:val="20"/>
              </w:rPr>
              <w:t>)</w:t>
            </w:r>
          </w:p>
        </w:tc>
        <w:tc>
          <w:tcPr>
            <w:tcW w:w="1843" w:type="dxa"/>
          </w:tcPr>
          <w:p w14:paraId="6F991D1D" w14:textId="2771DA38" w:rsidR="00F32EDE" w:rsidRPr="00342BAA" w:rsidRDefault="00342BAA" w:rsidP="00FB6ABD">
            <w:pPr>
              <w:jc w:val="both"/>
              <w:rPr>
                <w:rFonts w:cstheme="minorHAnsi"/>
                <w:sz w:val="20"/>
                <w:szCs w:val="20"/>
              </w:rPr>
            </w:pPr>
            <w:r w:rsidRPr="00342BAA">
              <w:rPr>
                <w:rFonts w:cstheme="minorHAnsi"/>
                <w:sz w:val="20"/>
                <w:szCs w:val="20"/>
              </w:rPr>
              <w:t>165</w:t>
            </w:r>
            <w:r w:rsidR="00F32EDE" w:rsidRPr="00342BAA">
              <w:rPr>
                <w:rFonts w:cstheme="minorHAnsi"/>
                <w:sz w:val="20"/>
                <w:szCs w:val="20"/>
              </w:rPr>
              <w:t xml:space="preserve"> (7)</w:t>
            </w:r>
          </w:p>
        </w:tc>
        <w:tc>
          <w:tcPr>
            <w:tcW w:w="1843" w:type="dxa"/>
          </w:tcPr>
          <w:p w14:paraId="5FFEDB71" w14:textId="77777777" w:rsidR="00F32EDE" w:rsidRPr="00342BAA" w:rsidRDefault="00F32EDE" w:rsidP="00FB6ABD">
            <w:pPr>
              <w:jc w:val="both"/>
              <w:rPr>
                <w:rFonts w:cstheme="minorHAnsi"/>
                <w:sz w:val="20"/>
                <w:szCs w:val="20"/>
              </w:rPr>
            </w:pPr>
            <w:r w:rsidRPr="00342BAA">
              <w:rPr>
                <w:rFonts w:cstheme="minorHAnsi"/>
                <w:sz w:val="20"/>
                <w:szCs w:val="20"/>
              </w:rPr>
              <w:t>174 (8)</w:t>
            </w:r>
          </w:p>
        </w:tc>
        <w:tc>
          <w:tcPr>
            <w:tcW w:w="2556" w:type="dxa"/>
          </w:tcPr>
          <w:p w14:paraId="4F356C45" w14:textId="29EDDD00" w:rsidR="00F32EDE" w:rsidRPr="00342BAA" w:rsidRDefault="00342BAA" w:rsidP="00FB6ABD">
            <w:pPr>
              <w:jc w:val="both"/>
              <w:rPr>
                <w:rFonts w:cstheme="minorHAnsi"/>
                <w:sz w:val="20"/>
                <w:szCs w:val="20"/>
              </w:rPr>
            </w:pPr>
            <w:r w:rsidRPr="00342BAA">
              <w:rPr>
                <w:rFonts w:cstheme="minorHAnsi"/>
                <w:sz w:val="20"/>
                <w:szCs w:val="20"/>
              </w:rPr>
              <w:t>186</w:t>
            </w:r>
            <w:r w:rsidR="00F32EDE" w:rsidRPr="00342BAA">
              <w:rPr>
                <w:rFonts w:cstheme="minorHAnsi"/>
                <w:sz w:val="20"/>
                <w:szCs w:val="20"/>
              </w:rPr>
              <w:t xml:space="preserve"> (8)</w:t>
            </w:r>
          </w:p>
        </w:tc>
      </w:tr>
      <w:tr w:rsidR="00F32EDE" w:rsidRPr="001E0D36" w14:paraId="4DBA73B2" w14:textId="77777777" w:rsidTr="00FB6ABD">
        <w:tc>
          <w:tcPr>
            <w:tcW w:w="284" w:type="dxa"/>
          </w:tcPr>
          <w:p w14:paraId="1A866527" w14:textId="77777777" w:rsidR="00F32EDE" w:rsidRPr="00342BAA" w:rsidRDefault="00F32EDE" w:rsidP="00FB6ABD">
            <w:pPr>
              <w:jc w:val="both"/>
              <w:rPr>
                <w:rFonts w:cstheme="minorHAnsi"/>
                <w:sz w:val="20"/>
                <w:szCs w:val="20"/>
              </w:rPr>
            </w:pPr>
          </w:p>
        </w:tc>
        <w:tc>
          <w:tcPr>
            <w:tcW w:w="3255" w:type="dxa"/>
            <w:gridSpan w:val="2"/>
          </w:tcPr>
          <w:p w14:paraId="30E34A35" w14:textId="77777777" w:rsidR="00F32EDE" w:rsidRPr="00342BAA" w:rsidRDefault="00F32EDE" w:rsidP="00FB6ABD">
            <w:pPr>
              <w:jc w:val="both"/>
              <w:rPr>
                <w:rFonts w:cstheme="minorHAnsi"/>
                <w:sz w:val="20"/>
                <w:szCs w:val="20"/>
              </w:rPr>
            </w:pPr>
            <w:r w:rsidRPr="00342BAA">
              <w:rPr>
                <w:rFonts w:cstheme="minorHAnsi"/>
                <w:sz w:val="20"/>
                <w:szCs w:val="20"/>
              </w:rPr>
              <w:t>Pre-pregnancy hypertension, n (%)</w:t>
            </w:r>
          </w:p>
        </w:tc>
        <w:tc>
          <w:tcPr>
            <w:tcW w:w="2126" w:type="dxa"/>
          </w:tcPr>
          <w:p w14:paraId="1AA2A035" w14:textId="05C80046" w:rsidR="00F32EDE" w:rsidRPr="00342BAA" w:rsidRDefault="00656F71" w:rsidP="00FB6ABD">
            <w:pPr>
              <w:jc w:val="both"/>
              <w:rPr>
                <w:rFonts w:cstheme="minorHAnsi"/>
                <w:sz w:val="20"/>
                <w:szCs w:val="20"/>
              </w:rPr>
            </w:pPr>
            <w:r w:rsidRPr="00342BAA">
              <w:rPr>
                <w:rFonts w:cstheme="minorHAnsi"/>
                <w:sz w:val="20"/>
                <w:szCs w:val="20"/>
              </w:rPr>
              <w:t>50</w:t>
            </w:r>
            <w:r w:rsidR="00F32EDE" w:rsidRPr="00342BAA">
              <w:rPr>
                <w:rFonts w:cstheme="minorHAnsi"/>
                <w:sz w:val="20"/>
                <w:szCs w:val="20"/>
              </w:rPr>
              <w:t xml:space="preserve"> (1)</w:t>
            </w:r>
          </w:p>
        </w:tc>
        <w:tc>
          <w:tcPr>
            <w:tcW w:w="1843" w:type="dxa"/>
          </w:tcPr>
          <w:p w14:paraId="6BE8D9A2" w14:textId="77777777" w:rsidR="00F32EDE" w:rsidRPr="00342BAA" w:rsidRDefault="00F32EDE" w:rsidP="00FB6ABD">
            <w:pPr>
              <w:jc w:val="both"/>
              <w:rPr>
                <w:rFonts w:cstheme="minorHAnsi"/>
                <w:sz w:val="20"/>
                <w:szCs w:val="20"/>
              </w:rPr>
            </w:pPr>
            <w:r w:rsidRPr="00342BAA">
              <w:rPr>
                <w:rFonts w:cstheme="minorHAnsi"/>
                <w:sz w:val="20"/>
                <w:szCs w:val="20"/>
              </w:rPr>
              <w:t>21 (1)</w:t>
            </w:r>
          </w:p>
        </w:tc>
        <w:tc>
          <w:tcPr>
            <w:tcW w:w="1843" w:type="dxa"/>
          </w:tcPr>
          <w:p w14:paraId="5EF20786" w14:textId="77777777" w:rsidR="00F32EDE" w:rsidRPr="00342BAA" w:rsidRDefault="00F32EDE" w:rsidP="00FB6ABD">
            <w:pPr>
              <w:jc w:val="both"/>
              <w:rPr>
                <w:rFonts w:cstheme="minorHAnsi"/>
                <w:sz w:val="20"/>
                <w:szCs w:val="20"/>
              </w:rPr>
            </w:pPr>
            <w:r w:rsidRPr="00342BAA">
              <w:rPr>
                <w:rFonts w:cstheme="minorHAnsi"/>
                <w:sz w:val="20"/>
                <w:szCs w:val="20"/>
              </w:rPr>
              <w:t>17 (1)</w:t>
            </w:r>
          </w:p>
        </w:tc>
        <w:tc>
          <w:tcPr>
            <w:tcW w:w="2556" w:type="dxa"/>
          </w:tcPr>
          <w:p w14:paraId="06177A46" w14:textId="54D986CD" w:rsidR="00F32EDE" w:rsidRPr="00342BAA" w:rsidRDefault="00342BAA" w:rsidP="00FB6ABD">
            <w:pPr>
              <w:jc w:val="both"/>
              <w:rPr>
                <w:rFonts w:cstheme="minorHAnsi"/>
                <w:sz w:val="20"/>
                <w:szCs w:val="20"/>
              </w:rPr>
            </w:pPr>
            <w:r w:rsidRPr="00342BAA">
              <w:rPr>
                <w:rFonts w:cstheme="minorHAnsi"/>
                <w:sz w:val="20"/>
                <w:szCs w:val="20"/>
              </w:rPr>
              <w:t>12</w:t>
            </w:r>
            <w:r w:rsidR="00F32EDE" w:rsidRPr="00342BAA">
              <w:rPr>
                <w:rFonts w:cstheme="minorHAnsi"/>
                <w:sz w:val="20"/>
                <w:szCs w:val="20"/>
              </w:rPr>
              <w:t xml:space="preserve"> (1)</w:t>
            </w:r>
          </w:p>
        </w:tc>
      </w:tr>
      <w:tr w:rsidR="00F32EDE" w:rsidRPr="001E0D36" w14:paraId="5F3742EB" w14:textId="77777777" w:rsidTr="00FB6ABD">
        <w:tc>
          <w:tcPr>
            <w:tcW w:w="284" w:type="dxa"/>
          </w:tcPr>
          <w:p w14:paraId="04F54A36" w14:textId="77777777" w:rsidR="00F32EDE" w:rsidRPr="00342BAA" w:rsidRDefault="00F32EDE" w:rsidP="00FB6ABD">
            <w:pPr>
              <w:jc w:val="both"/>
              <w:rPr>
                <w:rFonts w:cstheme="minorHAnsi"/>
                <w:sz w:val="20"/>
                <w:szCs w:val="20"/>
              </w:rPr>
            </w:pPr>
          </w:p>
        </w:tc>
        <w:tc>
          <w:tcPr>
            <w:tcW w:w="3255" w:type="dxa"/>
            <w:gridSpan w:val="2"/>
          </w:tcPr>
          <w:p w14:paraId="512CA53A" w14:textId="77777777" w:rsidR="00F32EDE" w:rsidRPr="00342BAA" w:rsidRDefault="00F32EDE" w:rsidP="00FB6ABD">
            <w:pPr>
              <w:jc w:val="both"/>
              <w:rPr>
                <w:rFonts w:cstheme="minorHAnsi"/>
                <w:sz w:val="20"/>
                <w:szCs w:val="20"/>
              </w:rPr>
            </w:pPr>
            <w:r w:rsidRPr="00342BAA">
              <w:rPr>
                <w:rFonts w:cstheme="minorHAnsi"/>
                <w:sz w:val="20"/>
                <w:szCs w:val="20"/>
              </w:rPr>
              <w:t>Pregnancy-induced hypertension, n (%)</w:t>
            </w:r>
          </w:p>
        </w:tc>
        <w:tc>
          <w:tcPr>
            <w:tcW w:w="2126" w:type="dxa"/>
          </w:tcPr>
          <w:p w14:paraId="38CB70F8" w14:textId="1489AAC7" w:rsidR="00F32EDE" w:rsidRPr="00342BAA" w:rsidRDefault="00656F71" w:rsidP="00FB6ABD">
            <w:pPr>
              <w:jc w:val="both"/>
              <w:rPr>
                <w:rFonts w:cstheme="minorHAnsi"/>
                <w:sz w:val="20"/>
                <w:szCs w:val="20"/>
              </w:rPr>
            </w:pPr>
            <w:r w:rsidRPr="00342BAA">
              <w:rPr>
                <w:rFonts w:cstheme="minorHAnsi"/>
                <w:sz w:val="20"/>
                <w:szCs w:val="20"/>
              </w:rPr>
              <w:t>383</w:t>
            </w:r>
            <w:r w:rsidR="00F32EDE" w:rsidRPr="00342BAA">
              <w:rPr>
                <w:rFonts w:cstheme="minorHAnsi"/>
                <w:sz w:val="20"/>
                <w:szCs w:val="20"/>
              </w:rPr>
              <w:t xml:space="preserve"> (5)</w:t>
            </w:r>
          </w:p>
        </w:tc>
        <w:tc>
          <w:tcPr>
            <w:tcW w:w="1843" w:type="dxa"/>
          </w:tcPr>
          <w:p w14:paraId="6FB9BE32" w14:textId="22A80344" w:rsidR="00F32EDE" w:rsidRPr="00342BAA" w:rsidRDefault="00342BAA" w:rsidP="00FB6ABD">
            <w:pPr>
              <w:jc w:val="both"/>
              <w:rPr>
                <w:rFonts w:cstheme="minorHAnsi"/>
                <w:sz w:val="20"/>
                <w:szCs w:val="20"/>
              </w:rPr>
            </w:pPr>
            <w:r w:rsidRPr="00342BAA">
              <w:rPr>
                <w:rFonts w:cstheme="minorHAnsi"/>
                <w:sz w:val="20"/>
                <w:szCs w:val="20"/>
              </w:rPr>
              <w:t>128</w:t>
            </w:r>
            <w:r w:rsidR="00F32EDE" w:rsidRPr="00342BAA">
              <w:rPr>
                <w:rFonts w:cstheme="minorHAnsi"/>
                <w:sz w:val="20"/>
                <w:szCs w:val="20"/>
              </w:rPr>
              <w:t xml:space="preserve"> (5)</w:t>
            </w:r>
          </w:p>
        </w:tc>
        <w:tc>
          <w:tcPr>
            <w:tcW w:w="1843" w:type="dxa"/>
          </w:tcPr>
          <w:p w14:paraId="43C277C7" w14:textId="0667B10B" w:rsidR="00F32EDE" w:rsidRPr="00342BAA" w:rsidRDefault="00342BAA" w:rsidP="00FB6ABD">
            <w:pPr>
              <w:jc w:val="both"/>
              <w:rPr>
                <w:rFonts w:cstheme="minorHAnsi"/>
                <w:sz w:val="20"/>
                <w:szCs w:val="20"/>
              </w:rPr>
            </w:pPr>
            <w:r w:rsidRPr="00342BAA">
              <w:rPr>
                <w:rFonts w:cstheme="minorHAnsi"/>
                <w:sz w:val="20"/>
                <w:szCs w:val="20"/>
              </w:rPr>
              <w:t>127</w:t>
            </w:r>
            <w:r w:rsidR="00F32EDE" w:rsidRPr="00342BAA">
              <w:rPr>
                <w:rFonts w:cstheme="minorHAnsi"/>
                <w:sz w:val="20"/>
                <w:szCs w:val="20"/>
              </w:rPr>
              <w:t xml:space="preserve"> (5)</w:t>
            </w:r>
          </w:p>
        </w:tc>
        <w:tc>
          <w:tcPr>
            <w:tcW w:w="2556" w:type="dxa"/>
          </w:tcPr>
          <w:p w14:paraId="1679F1A0" w14:textId="02634872" w:rsidR="00F32EDE" w:rsidRPr="00342BAA" w:rsidRDefault="00342BAA" w:rsidP="00FB6ABD">
            <w:pPr>
              <w:jc w:val="both"/>
              <w:rPr>
                <w:rFonts w:cstheme="minorHAnsi"/>
                <w:sz w:val="20"/>
                <w:szCs w:val="20"/>
              </w:rPr>
            </w:pPr>
            <w:r w:rsidRPr="00342BAA">
              <w:rPr>
                <w:rFonts w:cstheme="minorHAnsi"/>
                <w:sz w:val="20"/>
                <w:szCs w:val="20"/>
              </w:rPr>
              <w:t>128</w:t>
            </w:r>
            <w:r w:rsidR="00F32EDE" w:rsidRPr="00342BAA">
              <w:rPr>
                <w:rFonts w:cstheme="minorHAnsi"/>
                <w:sz w:val="20"/>
                <w:szCs w:val="20"/>
              </w:rPr>
              <w:t xml:space="preserve"> (6)</w:t>
            </w:r>
          </w:p>
        </w:tc>
      </w:tr>
      <w:tr w:rsidR="00F32EDE" w:rsidRPr="001E0D36" w14:paraId="37597C81" w14:textId="77777777" w:rsidTr="00FB6ABD">
        <w:tc>
          <w:tcPr>
            <w:tcW w:w="284" w:type="dxa"/>
          </w:tcPr>
          <w:p w14:paraId="660F0943" w14:textId="77777777" w:rsidR="00F32EDE" w:rsidRPr="00342BAA" w:rsidRDefault="00F32EDE" w:rsidP="00FB6ABD">
            <w:pPr>
              <w:jc w:val="both"/>
              <w:rPr>
                <w:rFonts w:cstheme="minorHAnsi"/>
                <w:sz w:val="20"/>
                <w:szCs w:val="20"/>
              </w:rPr>
            </w:pPr>
          </w:p>
        </w:tc>
        <w:tc>
          <w:tcPr>
            <w:tcW w:w="3255" w:type="dxa"/>
            <w:gridSpan w:val="2"/>
          </w:tcPr>
          <w:p w14:paraId="69E32BA6" w14:textId="77777777" w:rsidR="00F32EDE" w:rsidRPr="00342BAA" w:rsidRDefault="00F32EDE" w:rsidP="00FB6ABD">
            <w:pPr>
              <w:jc w:val="both"/>
              <w:rPr>
                <w:rFonts w:cstheme="minorHAnsi"/>
                <w:sz w:val="20"/>
                <w:szCs w:val="20"/>
              </w:rPr>
            </w:pPr>
            <w:r w:rsidRPr="00342BAA">
              <w:rPr>
                <w:rFonts w:cstheme="minorHAnsi"/>
                <w:sz w:val="20"/>
                <w:szCs w:val="20"/>
              </w:rPr>
              <w:t>Preeclampsia, n (%)</w:t>
            </w:r>
          </w:p>
        </w:tc>
        <w:tc>
          <w:tcPr>
            <w:tcW w:w="2126" w:type="dxa"/>
          </w:tcPr>
          <w:p w14:paraId="4B0E771D" w14:textId="7670F942" w:rsidR="00F32EDE" w:rsidRPr="00342BAA" w:rsidRDefault="00656F71" w:rsidP="00FB6ABD">
            <w:pPr>
              <w:jc w:val="both"/>
              <w:rPr>
                <w:rFonts w:cstheme="minorHAnsi"/>
                <w:sz w:val="20"/>
                <w:szCs w:val="20"/>
              </w:rPr>
            </w:pPr>
            <w:r w:rsidRPr="00342BAA">
              <w:rPr>
                <w:rFonts w:cstheme="minorHAnsi"/>
                <w:sz w:val="20"/>
                <w:szCs w:val="20"/>
              </w:rPr>
              <w:t>181</w:t>
            </w:r>
            <w:r w:rsidR="00F32EDE" w:rsidRPr="00342BAA">
              <w:rPr>
                <w:rFonts w:cstheme="minorHAnsi"/>
                <w:sz w:val="20"/>
                <w:szCs w:val="20"/>
              </w:rPr>
              <w:t xml:space="preserve"> (3)</w:t>
            </w:r>
          </w:p>
        </w:tc>
        <w:tc>
          <w:tcPr>
            <w:tcW w:w="1843" w:type="dxa"/>
          </w:tcPr>
          <w:p w14:paraId="04FC7E63" w14:textId="13211195" w:rsidR="00F32EDE" w:rsidRPr="00342BAA" w:rsidRDefault="00342BAA" w:rsidP="00FB6ABD">
            <w:pPr>
              <w:jc w:val="both"/>
              <w:rPr>
                <w:rFonts w:cstheme="minorHAnsi"/>
                <w:sz w:val="20"/>
                <w:szCs w:val="20"/>
              </w:rPr>
            </w:pPr>
            <w:r w:rsidRPr="00342BAA">
              <w:rPr>
                <w:rFonts w:cstheme="minorHAnsi"/>
                <w:sz w:val="20"/>
                <w:szCs w:val="20"/>
              </w:rPr>
              <w:t>64</w:t>
            </w:r>
            <w:r w:rsidR="00F32EDE" w:rsidRPr="00342BAA">
              <w:rPr>
                <w:rFonts w:cstheme="minorHAnsi"/>
                <w:sz w:val="20"/>
                <w:szCs w:val="20"/>
              </w:rPr>
              <w:t xml:space="preserve"> (3)</w:t>
            </w:r>
          </w:p>
        </w:tc>
        <w:tc>
          <w:tcPr>
            <w:tcW w:w="1843" w:type="dxa"/>
          </w:tcPr>
          <w:p w14:paraId="65895030" w14:textId="77777777" w:rsidR="00F32EDE" w:rsidRPr="00342BAA" w:rsidRDefault="00F32EDE" w:rsidP="00FB6ABD">
            <w:pPr>
              <w:jc w:val="both"/>
              <w:rPr>
                <w:rFonts w:cstheme="minorHAnsi"/>
                <w:sz w:val="20"/>
                <w:szCs w:val="20"/>
              </w:rPr>
            </w:pPr>
            <w:r w:rsidRPr="00342BAA">
              <w:rPr>
                <w:rFonts w:cstheme="minorHAnsi"/>
                <w:sz w:val="20"/>
                <w:szCs w:val="20"/>
              </w:rPr>
              <w:t>56 (2)</w:t>
            </w:r>
          </w:p>
        </w:tc>
        <w:tc>
          <w:tcPr>
            <w:tcW w:w="2556" w:type="dxa"/>
          </w:tcPr>
          <w:p w14:paraId="5FD6326E" w14:textId="6DEFB95B" w:rsidR="00F32EDE" w:rsidRPr="00342BAA" w:rsidRDefault="00342BAA" w:rsidP="00FB6ABD">
            <w:pPr>
              <w:jc w:val="both"/>
              <w:rPr>
                <w:rFonts w:cstheme="minorHAnsi"/>
                <w:sz w:val="20"/>
                <w:szCs w:val="20"/>
              </w:rPr>
            </w:pPr>
            <w:r w:rsidRPr="00342BAA">
              <w:rPr>
                <w:rFonts w:cstheme="minorHAnsi"/>
                <w:sz w:val="20"/>
                <w:szCs w:val="20"/>
              </w:rPr>
              <w:t>61</w:t>
            </w:r>
            <w:r w:rsidR="00F32EDE" w:rsidRPr="00342BAA">
              <w:rPr>
                <w:rFonts w:cstheme="minorHAnsi"/>
                <w:sz w:val="20"/>
                <w:szCs w:val="20"/>
              </w:rPr>
              <w:t xml:space="preserve"> (3)</w:t>
            </w:r>
          </w:p>
        </w:tc>
      </w:tr>
      <w:tr w:rsidR="00F32EDE" w:rsidRPr="001E0D36" w14:paraId="5E270AF9" w14:textId="77777777" w:rsidTr="00FB6ABD">
        <w:tc>
          <w:tcPr>
            <w:tcW w:w="284" w:type="dxa"/>
          </w:tcPr>
          <w:p w14:paraId="7F0A32D5" w14:textId="77777777" w:rsidR="00F32EDE" w:rsidRPr="00342BAA" w:rsidRDefault="00F32EDE" w:rsidP="00FB6ABD">
            <w:pPr>
              <w:jc w:val="both"/>
              <w:rPr>
                <w:rFonts w:cstheme="minorHAnsi"/>
                <w:sz w:val="20"/>
                <w:szCs w:val="20"/>
              </w:rPr>
            </w:pPr>
          </w:p>
        </w:tc>
        <w:tc>
          <w:tcPr>
            <w:tcW w:w="3255" w:type="dxa"/>
            <w:gridSpan w:val="2"/>
          </w:tcPr>
          <w:p w14:paraId="454D0AA4" w14:textId="77777777" w:rsidR="00F32EDE" w:rsidRPr="00342BAA" w:rsidRDefault="00F32EDE" w:rsidP="00FB6ABD">
            <w:pPr>
              <w:jc w:val="both"/>
              <w:rPr>
                <w:rFonts w:cstheme="minorHAnsi"/>
                <w:sz w:val="20"/>
                <w:szCs w:val="20"/>
              </w:rPr>
            </w:pPr>
            <w:r w:rsidRPr="00342BAA">
              <w:rPr>
                <w:rFonts w:cstheme="minorHAnsi"/>
                <w:sz w:val="20"/>
                <w:szCs w:val="20"/>
              </w:rPr>
              <w:t>Drank any alcohol, n (%)</w:t>
            </w:r>
          </w:p>
        </w:tc>
        <w:tc>
          <w:tcPr>
            <w:tcW w:w="2126" w:type="dxa"/>
          </w:tcPr>
          <w:p w14:paraId="379E19C2" w14:textId="5FAFB7B3" w:rsidR="00F32EDE" w:rsidRPr="00342BAA" w:rsidRDefault="00656F71" w:rsidP="00FB6ABD">
            <w:pPr>
              <w:jc w:val="both"/>
              <w:rPr>
                <w:rFonts w:cstheme="minorHAnsi"/>
                <w:sz w:val="20"/>
                <w:szCs w:val="20"/>
              </w:rPr>
            </w:pPr>
            <w:r w:rsidRPr="00342BAA">
              <w:rPr>
                <w:rFonts w:cstheme="minorHAnsi"/>
                <w:sz w:val="20"/>
                <w:szCs w:val="20"/>
              </w:rPr>
              <w:t xml:space="preserve">1323 </w:t>
            </w:r>
            <w:r w:rsidR="00F32EDE" w:rsidRPr="00342BAA">
              <w:rPr>
                <w:rFonts w:cstheme="minorHAnsi"/>
                <w:sz w:val="20"/>
                <w:szCs w:val="20"/>
              </w:rPr>
              <w:t>(19)</w:t>
            </w:r>
          </w:p>
        </w:tc>
        <w:tc>
          <w:tcPr>
            <w:tcW w:w="1843" w:type="dxa"/>
          </w:tcPr>
          <w:p w14:paraId="474EFBB2" w14:textId="0AA038F5" w:rsidR="00F32EDE" w:rsidRPr="00342BAA" w:rsidRDefault="00342BAA" w:rsidP="00FB6ABD">
            <w:pPr>
              <w:jc w:val="both"/>
              <w:rPr>
                <w:rFonts w:cstheme="minorHAnsi"/>
                <w:sz w:val="20"/>
                <w:szCs w:val="20"/>
              </w:rPr>
            </w:pPr>
            <w:r w:rsidRPr="00342BAA">
              <w:rPr>
                <w:rFonts w:cstheme="minorHAnsi"/>
                <w:sz w:val="20"/>
                <w:szCs w:val="20"/>
              </w:rPr>
              <w:t>386</w:t>
            </w:r>
            <w:r w:rsidR="00F32EDE" w:rsidRPr="00342BAA">
              <w:rPr>
                <w:rFonts w:cstheme="minorHAnsi"/>
                <w:sz w:val="20"/>
                <w:szCs w:val="20"/>
              </w:rPr>
              <w:t xml:space="preserve"> (17)</w:t>
            </w:r>
          </w:p>
        </w:tc>
        <w:tc>
          <w:tcPr>
            <w:tcW w:w="1843" w:type="dxa"/>
          </w:tcPr>
          <w:p w14:paraId="3C1ABBCC" w14:textId="027E3523" w:rsidR="00F32EDE" w:rsidRPr="00342BAA" w:rsidRDefault="00342BAA" w:rsidP="00FB6ABD">
            <w:pPr>
              <w:jc w:val="both"/>
              <w:rPr>
                <w:rFonts w:cstheme="minorHAnsi"/>
                <w:sz w:val="20"/>
                <w:szCs w:val="20"/>
              </w:rPr>
            </w:pPr>
            <w:r w:rsidRPr="00342BAA">
              <w:rPr>
                <w:rFonts w:cstheme="minorHAnsi"/>
                <w:sz w:val="20"/>
                <w:szCs w:val="20"/>
              </w:rPr>
              <w:t>476</w:t>
            </w:r>
            <w:r w:rsidR="00F32EDE" w:rsidRPr="00342BAA">
              <w:rPr>
                <w:rFonts w:cstheme="minorHAnsi"/>
                <w:sz w:val="20"/>
                <w:szCs w:val="20"/>
              </w:rPr>
              <w:t xml:space="preserve"> (20)</w:t>
            </w:r>
          </w:p>
        </w:tc>
        <w:tc>
          <w:tcPr>
            <w:tcW w:w="2556" w:type="dxa"/>
          </w:tcPr>
          <w:p w14:paraId="68A35CAB" w14:textId="2510C12C" w:rsidR="00F32EDE" w:rsidRPr="00342BAA" w:rsidRDefault="00342BAA" w:rsidP="00FB6ABD">
            <w:pPr>
              <w:jc w:val="both"/>
              <w:rPr>
                <w:rFonts w:cstheme="minorHAnsi"/>
                <w:sz w:val="20"/>
                <w:szCs w:val="20"/>
              </w:rPr>
            </w:pPr>
            <w:r w:rsidRPr="00342BAA">
              <w:rPr>
                <w:rFonts w:cstheme="minorHAnsi"/>
                <w:sz w:val="20"/>
                <w:szCs w:val="20"/>
              </w:rPr>
              <w:t>461</w:t>
            </w:r>
            <w:r w:rsidR="00F32EDE" w:rsidRPr="00342BAA">
              <w:rPr>
                <w:rFonts w:cstheme="minorHAnsi"/>
                <w:sz w:val="20"/>
                <w:szCs w:val="20"/>
              </w:rPr>
              <w:t xml:space="preserve"> (20)</w:t>
            </w:r>
          </w:p>
        </w:tc>
      </w:tr>
      <w:tr w:rsidR="00F32EDE" w:rsidRPr="001E0D36" w14:paraId="3B9E0E7D" w14:textId="77777777" w:rsidTr="00FB6ABD">
        <w:tc>
          <w:tcPr>
            <w:tcW w:w="284" w:type="dxa"/>
          </w:tcPr>
          <w:p w14:paraId="1ADCE028" w14:textId="77777777" w:rsidR="00F32EDE" w:rsidRPr="00342BAA" w:rsidRDefault="00F32EDE" w:rsidP="00FB6ABD">
            <w:pPr>
              <w:jc w:val="both"/>
              <w:rPr>
                <w:rFonts w:cstheme="minorHAnsi"/>
                <w:sz w:val="20"/>
                <w:szCs w:val="20"/>
              </w:rPr>
            </w:pPr>
          </w:p>
        </w:tc>
        <w:tc>
          <w:tcPr>
            <w:tcW w:w="3255" w:type="dxa"/>
            <w:gridSpan w:val="2"/>
          </w:tcPr>
          <w:p w14:paraId="26900F03" w14:textId="77777777" w:rsidR="00F32EDE" w:rsidRPr="00342BAA" w:rsidRDefault="00F32EDE" w:rsidP="00FB6ABD">
            <w:pPr>
              <w:jc w:val="both"/>
              <w:rPr>
                <w:rFonts w:cstheme="minorHAnsi"/>
                <w:sz w:val="20"/>
                <w:szCs w:val="20"/>
              </w:rPr>
            </w:pPr>
            <w:r w:rsidRPr="00342BAA">
              <w:rPr>
                <w:rFonts w:cstheme="minorHAnsi"/>
                <w:sz w:val="20"/>
                <w:szCs w:val="20"/>
              </w:rPr>
              <w:t>Smoked, n (%)</w:t>
            </w:r>
          </w:p>
        </w:tc>
        <w:tc>
          <w:tcPr>
            <w:tcW w:w="2126" w:type="dxa"/>
          </w:tcPr>
          <w:p w14:paraId="7F9CAD91" w14:textId="51B50482" w:rsidR="00F32EDE" w:rsidRPr="00342BAA" w:rsidRDefault="00656F71" w:rsidP="00FB6ABD">
            <w:pPr>
              <w:jc w:val="both"/>
              <w:rPr>
                <w:rFonts w:cstheme="minorHAnsi"/>
                <w:sz w:val="20"/>
                <w:szCs w:val="20"/>
              </w:rPr>
            </w:pPr>
            <w:r w:rsidRPr="00342BAA">
              <w:rPr>
                <w:rFonts w:cstheme="minorHAnsi"/>
                <w:sz w:val="20"/>
                <w:szCs w:val="20"/>
              </w:rPr>
              <w:t>1014</w:t>
            </w:r>
            <w:r w:rsidR="00F32EDE" w:rsidRPr="00342BAA">
              <w:rPr>
                <w:rFonts w:cstheme="minorHAnsi"/>
                <w:sz w:val="20"/>
                <w:szCs w:val="20"/>
              </w:rPr>
              <w:t xml:space="preserve"> (15)</w:t>
            </w:r>
          </w:p>
        </w:tc>
        <w:tc>
          <w:tcPr>
            <w:tcW w:w="1843" w:type="dxa"/>
          </w:tcPr>
          <w:p w14:paraId="38BB9ED2" w14:textId="0023A637" w:rsidR="00F32EDE" w:rsidRPr="00342BAA" w:rsidRDefault="00342BAA" w:rsidP="00FB6ABD">
            <w:pPr>
              <w:jc w:val="both"/>
              <w:rPr>
                <w:rFonts w:cstheme="minorHAnsi"/>
                <w:sz w:val="20"/>
                <w:szCs w:val="20"/>
              </w:rPr>
            </w:pPr>
            <w:r w:rsidRPr="00342BAA">
              <w:rPr>
                <w:rFonts w:cstheme="minorHAnsi"/>
                <w:sz w:val="20"/>
                <w:szCs w:val="20"/>
              </w:rPr>
              <w:t>321</w:t>
            </w:r>
            <w:r w:rsidR="00F32EDE" w:rsidRPr="00342BAA">
              <w:rPr>
                <w:rFonts w:cstheme="minorHAnsi"/>
                <w:sz w:val="20"/>
                <w:szCs w:val="20"/>
              </w:rPr>
              <w:t xml:space="preserve"> (14)</w:t>
            </w:r>
          </w:p>
        </w:tc>
        <w:tc>
          <w:tcPr>
            <w:tcW w:w="1843" w:type="dxa"/>
          </w:tcPr>
          <w:p w14:paraId="10C89D9B" w14:textId="5B02190F" w:rsidR="00F32EDE" w:rsidRPr="00342BAA" w:rsidRDefault="00342BAA" w:rsidP="00FB6ABD">
            <w:pPr>
              <w:jc w:val="both"/>
              <w:rPr>
                <w:rFonts w:cstheme="minorHAnsi"/>
                <w:sz w:val="20"/>
                <w:szCs w:val="20"/>
              </w:rPr>
            </w:pPr>
            <w:r w:rsidRPr="00342BAA">
              <w:rPr>
                <w:rFonts w:cstheme="minorHAnsi"/>
                <w:sz w:val="20"/>
                <w:szCs w:val="20"/>
              </w:rPr>
              <w:t>366</w:t>
            </w:r>
            <w:r w:rsidR="00F32EDE" w:rsidRPr="00342BAA">
              <w:rPr>
                <w:rFonts w:cstheme="minorHAnsi"/>
                <w:sz w:val="20"/>
                <w:szCs w:val="20"/>
              </w:rPr>
              <w:t xml:space="preserve"> (16)</w:t>
            </w:r>
          </w:p>
        </w:tc>
        <w:tc>
          <w:tcPr>
            <w:tcW w:w="2556" w:type="dxa"/>
          </w:tcPr>
          <w:p w14:paraId="7B530970" w14:textId="0734AFB2" w:rsidR="00F32EDE" w:rsidRPr="00342BAA" w:rsidRDefault="00342BAA" w:rsidP="00FB6ABD">
            <w:pPr>
              <w:jc w:val="both"/>
              <w:rPr>
                <w:rFonts w:cstheme="minorHAnsi"/>
                <w:sz w:val="20"/>
                <w:szCs w:val="20"/>
              </w:rPr>
            </w:pPr>
            <w:r w:rsidRPr="00342BAA">
              <w:rPr>
                <w:rFonts w:cstheme="minorHAnsi"/>
                <w:sz w:val="20"/>
                <w:szCs w:val="20"/>
              </w:rPr>
              <w:t>327</w:t>
            </w:r>
            <w:r w:rsidR="00F32EDE" w:rsidRPr="00342BAA">
              <w:rPr>
                <w:rFonts w:cstheme="minorHAnsi"/>
                <w:sz w:val="20"/>
                <w:szCs w:val="20"/>
              </w:rPr>
              <w:t xml:space="preserve"> (14)</w:t>
            </w:r>
          </w:p>
        </w:tc>
      </w:tr>
      <w:tr w:rsidR="00F32EDE" w:rsidRPr="001E0D36" w14:paraId="4DC2D4A6" w14:textId="77777777" w:rsidTr="00FB6ABD">
        <w:tc>
          <w:tcPr>
            <w:tcW w:w="284" w:type="dxa"/>
          </w:tcPr>
          <w:p w14:paraId="399EB48A" w14:textId="77777777" w:rsidR="00F32EDE" w:rsidRPr="00342BAA" w:rsidRDefault="00F32EDE" w:rsidP="00FB6ABD">
            <w:pPr>
              <w:jc w:val="both"/>
              <w:rPr>
                <w:rFonts w:cstheme="minorHAnsi"/>
                <w:sz w:val="20"/>
                <w:szCs w:val="20"/>
              </w:rPr>
            </w:pPr>
          </w:p>
        </w:tc>
        <w:tc>
          <w:tcPr>
            <w:tcW w:w="3255" w:type="dxa"/>
            <w:gridSpan w:val="2"/>
          </w:tcPr>
          <w:p w14:paraId="1880F7E3" w14:textId="77777777" w:rsidR="00F32EDE" w:rsidRPr="00342BAA" w:rsidRDefault="00F32EDE" w:rsidP="00FB6ABD">
            <w:pPr>
              <w:jc w:val="both"/>
              <w:rPr>
                <w:rFonts w:cstheme="minorHAnsi"/>
                <w:sz w:val="20"/>
                <w:szCs w:val="20"/>
              </w:rPr>
            </w:pPr>
            <w:r w:rsidRPr="00342BAA">
              <w:rPr>
                <w:rFonts w:cstheme="minorHAnsi"/>
                <w:sz w:val="20"/>
                <w:szCs w:val="20"/>
              </w:rPr>
              <w:t>Iodine-containing supplements, n (%)</w:t>
            </w:r>
          </w:p>
        </w:tc>
        <w:tc>
          <w:tcPr>
            <w:tcW w:w="2126" w:type="dxa"/>
          </w:tcPr>
          <w:p w14:paraId="26B28C91" w14:textId="3B4818B9" w:rsidR="00F32EDE" w:rsidRPr="00342BAA" w:rsidRDefault="00656F71" w:rsidP="00FB6ABD">
            <w:pPr>
              <w:jc w:val="both"/>
              <w:rPr>
                <w:rFonts w:cstheme="minorHAnsi"/>
                <w:sz w:val="20"/>
                <w:szCs w:val="20"/>
              </w:rPr>
            </w:pPr>
            <w:r w:rsidRPr="00342BAA">
              <w:rPr>
                <w:rFonts w:cstheme="minorHAnsi"/>
                <w:sz w:val="20"/>
                <w:szCs w:val="20"/>
              </w:rPr>
              <w:t>1036</w:t>
            </w:r>
            <w:r w:rsidR="00F32EDE" w:rsidRPr="00342BAA">
              <w:rPr>
                <w:rFonts w:cstheme="minorHAnsi"/>
                <w:sz w:val="20"/>
                <w:szCs w:val="20"/>
              </w:rPr>
              <w:t xml:space="preserve"> (15)</w:t>
            </w:r>
          </w:p>
        </w:tc>
        <w:tc>
          <w:tcPr>
            <w:tcW w:w="1843" w:type="dxa"/>
          </w:tcPr>
          <w:p w14:paraId="2AC76CFF" w14:textId="67A39C46" w:rsidR="00F32EDE" w:rsidRPr="00342BAA" w:rsidRDefault="00342BAA" w:rsidP="00FB6ABD">
            <w:pPr>
              <w:jc w:val="both"/>
              <w:rPr>
                <w:rFonts w:cstheme="minorHAnsi"/>
                <w:sz w:val="20"/>
                <w:szCs w:val="20"/>
              </w:rPr>
            </w:pPr>
            <w:r w:rsidRPr="00342BAA">
              <w:rPr>
                <w:rFonts w:cstheme="minorHAnsi"/>
                <w:sz w:val="20"/>
                <w:szCs w:val="20"/>
              </w:rPr>
              <w:t>134</w:t>
            </w:r>
            <w:r w:rsidR="00F32EDE" w:rsidRPr="00342BAA">
              <w:rPr>
                <w:rFonts w:cstheme="minorHAnsi"/>
                <w:sz w:val="20"/>
                <w:szCs w:val="20"/>
              </w:rPr>
              <w:t xml:space="preserve"> (6)</w:t>
            </w:r>
          </w:p>
        </w:tc>
        <w:tc>
          <w:tcPr>
            <w:tcW w:w="1843" w:type="dxa"/>
          </w:tcPr>
          <w:p w14:paraId="3FAD2FB4" w14:textId="50D3AF5A" w:rsidR="00F32EDE" w:rsidRPr="00342BAA" w:rsidRDefault="00342BAA" w:rsidP="00FB6ABD">
            <w:pPr>
              <w:jc w:val="both"/>
              <w:rPr>
                <w:rFonts w:cstheme="minorHAnsi"/>
                <w:sz w:val="20"/>
                <w:szCs w:val="20"/>
              </w:rPr>
            </w:pPr>
            <w:r w:rsidRPr="00342BAA">
              <w:rPr>
                <w:rFonts w:cstheme="minorHAnsi"/>
                <w:sz w:val="20"/>
                <w:szCs w:val="20"/>
              </w:rPr>
              <w:t>279</w:t>
            </w:r>
            <w:r w:rsidR="00F32EDE" w:rsidRPr="00342BAA">
              <w:rPr>
                <w:rFonts w:cstheme="minorHAnsi"/>
                <w:sz w:val="20"/>
                <w:szCs w:val="20"/>
              </w:rPr>
              <w:t xml:space="preserve"> (12)</w:t>
            </w:r>
          </w:p>
        </w:tc>
        <w:tc>
          <w:tcPr>
            <w:tcW w:w="2556" w:type="dxa"/>
          </w:tcPr>
          <w:p w14:paraId="720BE7A7" w14:textId="5088850C" w:rsidR="00F32EDE" w:rsidRPr="00342BAA" w:rsidRDefault="00342BAA" w:rsidP="00FB6ABD">
            <w:pPr>
              <w:jc w:val="both"/>
              <w:rPr>
                <w:rFonts w:cstheme="minorHAnsi"/>
                <w:sz w:val="20"/>
                <w:szCs w:val="20"/>
              </w:rPr>
            </w:pPr>
            <w:r w:rsidRPr="00342BAA">
              <w:rPr>
                <w:rFonts w:cstheme="minorHAnsi"/>
                <w:sz w:val="20"/>
                <w:szCs w:val="20"/>
              </w:rPr>
              <w:t>623</w:t>
            </w:r>
            <w:r w:rsidR="00F32EDE" w:rsidRPr="00342BAA">
              <w:rPr>
                <w:rFonts w:cstheme="minorHAnsi"/>
                <w:sz w:val="20"/>
                <w:szCs w:val="20"/>
              </w:rPr>
              <w:t xml:space="preserve"> (27)</w:t>
            </w:r>
          </w:p>
        </w:tc>
      </w:tr>
      <w:tr w:rsidR="00F32EDE" w:rsidRPr="001E0D36" w14:paraId="2B4525D8" w14:textId="77777777" w:rsidTr="00FB6ABD">
        <w:tc>
          <w:tcPr>
            <w:tcW w:w="284" w:type="dxa"/>
          </w:tcPr>
          <w:p w14:paraId="4664BC32" w14:textId="77777777" w:rsidR="00F32EDE" w:rsidRPr="00342BAA" w:rsidRDefault="00F32EDE" w:rsidP="00FB6ABD">
            <w:pPr>
              <w:jc w:val="both"/>
              <w:rPr>
                <w:rFonts w:cstheme="minorHAnsi"/>
                <w:sz w:val="20"/>
                <w:szCs w:val="20"/>
              </w:rPr>
            </w:pPr>
          </w:p>
        </w:tc>
        <w:tc>
          <w:tcPr>
            <w:tcW w:w="3255" w:type="dxa"/>
            <w:gridSpan w:val="2"/>
          </w:tcPr>
          <w:p w14:paraId="2194A67A" w14:textId="77777777" w:rsidR="00F32EDE" w:rsidRPr="00342BAA" w:rsidRDefault="00F32EDE" w:rsidP="00FB6ABD">
            <w:pPr>
              <w:jc w:val="both"/>
              <w:rPr>
                <w:rFonts w:cstheme="minorHAnsi"/>
                <w:sz w:val="20"/>
                <w:szCs w:val="20"/>
              </w:rPr>
            </w:pPr>
            <w:r w:rsidRPr="00342BAA">
              <w:rPr>
                <w:rFonts w:cstheme="minorHAnsi"/>
                <w:sz w:val="20"/>
                <w:szCs w:val="20"/>
              </w:rPr>
              <w:t>Total fish intake* (g/d), mean (SD)</w:t>
            </w:r>
          </w:p>
        </w:tc>
        <w:tc>
          <w:tcPr>
            <w:tcW w:w="2126" w:type="dxa"/>
          </w:tcPr>
          <w:p w14:paraId="5EC367C4" w14:textId="23D9DF80" w:rsidR="00F32EDE" w:rsidRPr="00342BAA" w:rsidRDefault="00656F71" w:rsidP="00FB6ABD">
            <w:pPr>
              <w:jc w:val="both"/>
              <w:rPr>
                <w:rFonts w:cstheme="minorHAnsi"/>
                <w:sz w:val="20"/>
                <w:szCs w:val="20"/>
              </w:rPr>
            </w:pPr>
            <w:r w:rsidRPr="00342BAA">
              <w:rPr>
                <w:rFonts w:cstheme="minorHAnsi"/>
                <w:sz w:val="20"/>
                <w:szCs w:val="20"/>
              </w:rPr>
              <w:t>23</w:t>
            </w:r>
            <w:r w:rsidR="00C0467C">
              <w:rPr>
                <w:rStyle w:val="st1"/>
                <w:rFonts w:ascii="Arial" w:hAnsi="Arial" w:cs="Arial"/>
                <w:color w:val="3C4043"/>
                <w:sz w:val="21"/>
                <w:szCs w:val="21"/>
              </w:rPr>
              <w:t>·</w:t>
            </w:r>
            <w:r w:rsidRPr="00342BAA">
              <w:rPr>
                <w:rFonts w:cstheme="minorHAnsi"/>
                <w:sz w:val="20"/>
                <w:szCs w:val="20"/>
              </w:rPr>
              <w:t>8</w:t>
            </w:r>
            <w:r w:rsidR="00F32EDE" w:rsidRPr="00342BAA">
              <w:rPr>
                <w:rFonts w:cstheme="minorHAnsi"/>
                <w:sz w:val="20"/>
                <w:szCs w:val="20"/>
              </w:rPr>
              <w:t xml:space="preserve"> (29</w:t>
            </w:r>
            <w:r w:rsidR="00C0467C">
              <w:rPr>
                <w:rStyle w:val="st1"/>
                <w:rFonts w:ascii="Arial" w:hAnsi="Arial" w:cs="Arial"/>
                <w:color w:val="3C4043"/>
                <w:sz w:val="21"/>
                <w:szCs w:val="21"/>
              </w:rPr>
              <w:t>·</w:t>
            </w:r>
            <w:r w:rsidRPr="00342BAA">
              <w:rPr>
                <w:rFonts w:cstheme="minorHAnsi"/>
                <w:sz w:val="20"/>
                <w:szCs w:val="20"/>
              </w:rPr>
              <w:t>3</w:t>
            </w:r>
            <w:r w:rsidR="00F32EDE" w:rsidRPr="00342BAA">
              <w:rPr>
                <w:rFonts w:cstheme="minorHAnsi"/>
                <w:sz w:val="20"/>
                <w:szCs w:val="20"/>
              </w:rPr>
              <w:t>)</w:t>
            </w:r>
          </w:p>
        </w:tc>
        <w:tc>
          <w:tcPr>
            <w:tcW w:w="1843" w:type="dxa"/>
          </w:tcPr>
          <w:p w14:paraId="0970B50E" w14:textId="478EF764" w:rsidR="00F32EDE" w:rsidRPr="00342BAA" w:rsidRDefault="00C0467C" w:rsidP="00FB6ABD">
            <w:pPr>
              <w:jc w:val="both"/>
              <w:rPr>
                <w:rFonts w:cstheme="minorHAnsi"/>
                <w:sz w:val="20"/>
                <w:szCs w:val="20"/>
              </w:rPr>
            </w:pPr>
            <w:r>
              <w:rPr>
                <w:rFonts w:cstheme="minorHAnsi"/>
                <w:sz w:val="20"/>
                <w:szCs w:val="20"/>
              </w:rPr>
              <w:t>20</w:t>
            </w:r>
            <w:r>
              <w:rPr>
                <w:rStyle w:val="st1"/>
                <w:rFonts w:ascii="Arial" w:hAnsi="Arial" w:cs="Arial"/>
                <w:color w:val="3C4043"/>
                <w:sz w:val="21"/>
                <w:szCs w:val="21"/>
              </w:rPr>
              <w:t>·</w:t>
            </w:r>
            <w:r>
              <w:rPr>
                <w:rFonts w:cstheme="minorHAnsi"/>
                <w:sz w:val="20"/>
                <w:szCs w:val="20"/>
              </w:rPr>
              <w:t>9 (28</w:t>
            </w:r>
            <w:r>
              <w:rPr>
                <w:rStyle w:val="st1"/>
                <w:rFonts w:ascii="Arial" w:hAnsi="Arial" w:cs="Arial"/>
                <w:color w:val="3C4043"/>
                <w:sz w:val="21"/>
                <w:szCs w:val="21"/>
              </w:rPr>
              <w:t>·</w:t>
            </w:r>
            <w:r w:rsidR="00342BAA" w:rsidRPr="00342BAA">
              <w:rPr>
                <w:rFonts w:cstheme="minorHAnsi"/>
                <w:sz w:val="20"/>
                <w:szCs w:val="20"/>
              </w:rPr>
              <w:t>3</w:t>
            </w:r>
            <w:r w:rsidR="00F32EDE" w:rsidRPr="00342BAA">
              <w:rPr>
                <w:rFonts w:cstheme="minorHAnsi"/>
                <w:sz w:val="20"/>
                <w:szCs w:val="20"/>
              </w:rPr>
              <w:t>)</w:t>
            </w:r>
          </w:p>
        </w:tc>
        <w:tc>
          <w:tcPr>
            <w:tcW w:w="1843" w:type="dxa"/>
          </w:tcPr>
          <w:p w14:paraId="43DE8E50" w14:textId="2BACEAB0" w:rsidR="00F32EDE" w:rsidRPr="00342BAA" w:rsidRDefault="00C0467C" w:rsidP="00FB6ABD">
            <w:pPr>
              <w:jc w:val="both"/>
              <w:rPr>
                <w:rFonts w:cstheme="minorHAnsi"/>
                <w:sz w:val="20"/>
                <w:szCs w:val="20"/>
              </w:rPr>
            </w:pPr>
            <w:r>
              <w:rPr>
                <w:rFonts w:cstheme="minorHAnsi"/>
                <w:sz w:val="20"/>
                <w:szCs w:val="20"/>
              </w:rPr>
              <w:t>25</w:t>
            </w:r>
            <w:r>
              <w:rPr>
                <w:rStyle w:val="st1"/>
                <w:rFonts w:ascii="Arial" w:hAnsi="Arial" w:cs="Arial"/>
                <w:color w:val="3C4043"/>
                <w:sz w:val="21"/>
                <w:szCs w:val="21"/>
              </w:rPr>
              <w:t>·</w:t>
            </w:r>
            <w:r>
              <w:rPr>
                <w:rFonts w:cstheme="minorHAnsi"/>
                <w:sz w:val="20"/>
                <w:szCs w:val="20"/>
              </w:rPr>
              <w:t>3 (30</w:t>
            </w:r>
            <w:r>
              <w:rPr>
                <w:rStyle w:val="st1"/>
                <w:rFonts w:ascii="Arial" w:hAnsi="Arial" w:cs="Arial"/>
                <w:color w:val="3C4043"/>
                <w:sz w:val="21"/>
                <w:szCs w:val="21"/>
              </w:rPr>
              <w:t>·</w:t>
            </w:r>
            <w:r w:rsidR="00342BAA" w:rsidRPr="00342BAA">
              <w:rPr>
                <w:rFonts w:cstheme="minorHAnsi"/>
                <w:sz w:val="20"/>
                <w:szCs w:val="20"/>
              </w:rPr>
              <w:t>8</w:t>
            </w:r>
            <w:r w:rsidR="00F32EDE" w:rsidRPr="00342BAA">
              <w:rPr>
                <w:rFonts w:cstheme="minorHAnsi"/>
                <w:sz w:val="20"/>
                <w:szCs w:val="20"/>
              </w:rPr>
              <w:t>)</w:t>
            </w:r>
          </w:p>
        </w:tc>
        <w:tc>
          <w:tcPr>
            <w:tcW w:w="2556" w:type="dxa"/>
          </w:tcPr>
          <w:p w14:paraId="4C065DB1" w14:textId="18A2B64D" w:rsidR="00F32EDE" w:rsidRPr="00342BAA" w:rsidRDefault="00C0467C" w:rsidP="00FB6ABD">
            <w:pPr>
              <w:jc w:val="both"/>
              <w:rPr>
                <w:rFonts w:cstheme="minorHAnsi"/>
                <w:sz w:val="20"/>
                <w:szCs w:val="20"/>
              </w:rPr>
            </w:pPr>
            <w:r>
              <w:rPr>
                <w:rFonts w:cstheme="minorHAnsi"/>
                <w:sz w:val="20"/>
                <w:szCs w:val="20"/>
              </w:rPr>
              <w:t>25</w:t>
            </w:r>
            <w:r>
              <w:rPr>
                <w:rStyle w:val="st1"/>
                <w:rFonts w:ascii="Arial" w:hAnsi="Arial" w:cs="Arial"/>
                <w:color w:val="3C4043"/>
                <w:sz w:val="21"/>
                <w:szCs w:val="21"/>
              </w:rPr>
              <w:t>·</w:t>
            </w:r>
            <w:r>
              <w:rPr>
                <w:rFonts w:cstheme="minorHAnsi"/>
                <w:sz w:val="20"/>
                <w:szCs w:val="20"/>
              </w:rPr>
              <w:t>3 (28</w:t>
            </w:r>
            <w:r>
              <w:rPr>
                <w:rStyle w:val="st1"/>
                <w:rFonts w:ascii="Arial" w:hAnsi="Arial" w:cs="Arial"/>
                <w:color w:val="3C4043"/>
                <w:sz w:val="21"/>
                <w:szCs w:val="21"/>
              </w:rPr>
              <w:t>·</w:t>
            </w:r>
            <w:r w:rsidR="00342BAA" w:rsidRPr="00342BAA">
              <w:rPr>
                <w:rFonts w:cstheme="minorHAnsi"/>
                <w:sz w:val="20"/>
                <w:szCs w:val="20"/>
              </w:rPr>
              <w:t>4</w:t>
            </w:r>
            <w:r w:rsidR="00F32EDE" w:rsidRPr="00342BAA">
              <w:rPr>
                <w:rFonts w:cstheme="minorHAnsi"/>
                <w:sz w:val="20"/>
                <w:szCs w:val="20"/>
              </w:rPr>
              <w:t>)</w:t>
            </w:r>
          </w:p>
        </w:tc>
      </w:tr>
      <w:tr w:rsidR="00F32EDE" w:rsidRPr="001E0D36" w14:paraId="2D9CF0BE" w14:textId="77777777" w:rsidTr="00FB6ABD">
        <w:tc>
          <w:tcPr>
            <w:tcW w:w="284" w:type="dxa"/>
          </w:tcPr>
          <w:p w14:paraId="16C9A171" w14:textId="77777777" w:rsidR="00F32EDE" w:rsidRPr="00342BAA" w:rsidRDefault="00F32EDE" w:rsidP="00FB6ABD">
            <w:pPr>
              <w:jc w:val="both"/>
              <w:rPr>
                <w:rFonts w:cstheme="minorHAnsi"/>
                <w:sz w:val="20"/>
                <w:szCs w:val="20"/>
              </w:rPr>
            </w:pPr>
          </w:p>
        </w:tc>
        <w:tc>
          <w:tcPr>
            <w:tcW w:w="3255" w:type="dxa"/>
            <w:gridSpan w:val="2"/>
          </w:tcPr>
          <w:p w14:paraId="50433AF3" w14:textId="77777777" w:rsidR="00F32EDE" w:rsidRPr="00342BAA" w:rsidRDefault="00F32EDE" w:rsidP="00FB6ABD">
            <w:pPr>
              <w:jc w:val="both"/>
              <w:rPr>
                <w:rFonts w:cstheme="minorHAnsi"/>
                <w:sz w:val="20"/>
                <w:szCs w:val="20"/>
              </w:rPr>
            </w:pPr>
            <w:r w:rsidRPr="00342BAA">
              <w:rPr>
                <w:rFonts w:cstheme="minorHAnsi"/>
                <w:sz w:val="20"/>
                <w:szCs w:val="20"/>
              </w:rPr>
              <w:t>Eat 5 fruit/vegetables per day*, n (%)</w:t>
            </w:r>
          </w:p>
        </w:tc>
        <w:tc>
          <w:tcPr>
            <w:tcW w:w="2126" w:type="dxa"/>
          </w:tcPr>
          <w:p w14:paraId="3E396062" w14:textId="77777777" w:rsidR="00F32EDE" w:rsidRPr="00342BAA" w:rsidRDefault="00F32EDE" w:rsidP="00FB6ABD">
            <w:pPr>
              <w:jc w:val="both"/>
              <w:rPr>
                <w:rFonts w:cstheme="minorHAnsi"/>
                <w:sz w:val="20"/>
                <w:szCs w:val="20"/>
              </w:rPr>
            </w:pPr>
          </w:p>
        </w:tc>
        <w:tc>
          <w:tcPr>
            <w:tcW w:w="1843" w:type="dxa"/>
          </w:tcPr>
          <w:p w14:paraId="3A335CDA" w14:textId="77777777" w:rsidR="00F32EDE" w:rsidRPr="00342BAA" w:rsidRDefault="00F32EDE" w:rsidP="00FB6ABD">
            <w:pPr>
              <w:jc w:val="both"/>
              <w:rPr>
                <w:rFonts w:cstheme="minorHAnsi"/>
                <w:sz w:val="20"/>
                <w:szCs w:val="20"/>
              </w:rPr>
            </w:pPr>
          </w:p>
        </w:tc>
        <w:tc>
          <w:tcPr>
            <w:tcW w:w="1843" w:type="dxa"/>
          </w:tcPr>
          <w:p w14:paraId="5F7DFB73" w14:textId="77777777" w:rsidR="00F32EDE" w:rsidRPr="00342BAA" w:rsidRDefault="00F32EDE" w:rsidP="00FB6ABD">
            <w:pPr>
              <w:jc w:val="both"/>
              <w:rPr>
                <w:rFonts w:cstheme="minorHAnsi"/>
                <w:sz w:val="20"/>
                <w:szCs w:val="20"/>
              </w:rPr>
            </w:pPr>
          </w:p>
        </w:tc>
        <w:tc>
          <w:tcPr>
            <w:tcW w:w="2556" w:type="dxa"/>
          </w:tcPr>
          <w:p w14:paraId="7F2445F6" w14:textId="77777777" w:rsidR="00F32EDE" w:rsidRPr="00342BAA" w:rsidRDefault="00F32EDE" w:rsidP="00FB6ABD">
            <w:pPr>
              <w:jc w:val="both"/>
              <w:rPr>
                <w:rFonts w:cstheme="minorHAnsi"/>
                <w:sz w:val="20"/>
                <w:szCs w:val="20"/>
              </w:rPr>
            </w:pPr>
          </w:p>
        </w:tc>
      </w:tr>
      <w:tr w:rsidR="00F32EDE" w:rsidRPr="001E0D36" w14:paraId="791C8C31" w14:textId="77777777" w:rsidTr="00FB6ABD">
        <w:tc>
          <w:tcPr>
            <w:tcW w:w="284" w:type="dxa"/>
          </w:tcPr>
          <w:p w14:paraId="78CC84F5" w14:textId="77777777" w:rsidR="00F32EDE" w:rsidRPr="00342BAA" w:rsidRDefault="00F32EDE" w:rsidP="00FB6ABD">
            <w:pPr>
              <w:jc w:val="both"/>
              <w:rPr>
                <w:rFonts w:cstheme="minorHAnsi"/>
                <w:sz w:val="20"/>
                <w:szCs w:val="20"/>
              </w:rPr>
            </w:pPr>
          </w:p>
        </w:tc>
        <w:tc>
          <w:tcPr>
            <w:tcW w:w="391" w:type="dxa"/>
          </w:tcPr>
          <w:p w14:paraId="5915A656" w14:textId="77777777" w:rsidR="00F32EDE" w:rsidRPr="00342BAA" w:rsidRDefault="00F32EDE" w:rsidP="00FB6ABD">
            <w:pPr>
              <w:jc w:val="both"/>
              <w:rPr>
                <w:rFonts w:cstheme="minorHAnsi"/>
                <w:sz w:val="20"/>
                <w:szCs w:val="20"/>
              </w:rPr>
            </w:pPr>
          </w:p>
        </w:tc>
        <w:tc>
          <w:tcPr>
            <w:tcW w:w="2864" w:type="dxa"/>
          </w:tcPr>
          <w:p w14:paraId="2E9B0A7C" w14:textId="77777777" w:rsidR="00F32EDE" w:rsidRPr="00342BAA" w:rsidRDefault="00F32EDE" w:rsidP="00FB6ABD">
            <w:pPr>
              <w:jc w:val="both"/>
              <w:rPr>
                <w:rFonts w:cstheme="minorHAnsi"/>
                <w:sz w:val="20"/>
                <w:szCs w:val="20"/>
              </w:rPr>
            </w:pPr>
            <w:r w:rsidRPr="00342BAA">
              <w:rPr>
                <w:rFonts w:cstheme="minorHAnsi"/>
                <w:sz w:val="20"/>
                <w:szCs w:val="20"/>
              </w:rPr>
              <w:t>Always</w:t>
            </w:r>
          </w:p>
        </w:tc>
        <w:tc>
          <w:tcPr>
            <w:tcW w:w="2126" w:type="dxa"/>
          </w:tcPr>
          <w:p w14:paraId="0CEDF757" w14:textId="7C1FBF3D" w:rsidR="00F32EDE" w:rsidRPr="00342BAA" w:rsidRDefault="00656F71" w:rsidP="00FB6ABD">
            <w:pPr>
              <w:jc w:val="both"/>
              <w:rPr>
                <w:rFonts w:cstheme="minorHAnsi"/>
                <w:sz w:val="20"/>
                <w:szCs w:val="20"/>
              </w:rPr>
            </w:pPr>
            <w:r w:rsidRPr="00342BAA">
              <w:rPr>
                <w:rFonts w:cstheme="minorHAnsi"/>
                <w:sz w:val="20"/>
                <w:szCs w:val="20"/>
              </w:rPr>
              <w:t>441</w:t>
            </w:r>
            <w:r w:rsidR="00F32EDE" w:rsidRPr="00342BAA">
              <w:rPr>
                <w:rFonts w:cstheme="minorHAnsi"/>
                <w:sz w:val="20"/>
                <w:szCs w:val="20"/>
              </w:rPr>
              <w:t xml:space="preserve"> (18)</w:t>
            </w:r>
          </w:p>
        </w:tc>
        <w:tc>
          <w:tcPr>
            <w:tcW w:w="1843" w:type="dxa"/>
          </w:tcPr>
          <w:p w14:paraId="2036723D" w14:textId="77777777" w:rsidR="00F32EDE" w:rsidRPr="00342BAA" w:rsidRDefault="00F32EDE" w:rsidP="00FB6ABD">
            <w:pPr>
              <w:jc w:val="both"/>
              <w:rPr>
                <w:rFonts w:cstheme="minorHAnsi"/>
                <w:sz w:val="20"/>
                <w:szCs w:val="20"/>
              </w:rPr>
            </w:pPr>
            <w:r w:rsidRPr="00342BAA">
              <w:rPr>
                <w:rFonts w:cstheme="minorHAnsi"/>
                <w:sz w:val="20"/>
                <w:szCs w:val="20"/>
              </w:rPr>
              <w:t>128 (15)</w:t>
            </w:r>
          </w:p>
        </w:tc>
        <w:tc>
          <w:tcPr>
            <w:tcW w:w="1843" w:type="dxa"/>
          </w:tcPr>
          <w:p w14:paraId="63C95963" w14:textId="6CE226D6" w:rsidR="00F32EDE" w:rsidRPr="00342BAA" w:rsidRDefault="00342BAA" w:rsidP="00FB6ABD">
            <w:pPr>
              <w:jc w:val="both"/>
              <w:rPr>
                <w:rFonts w:cstheme="minorHAnsi"/>
                <w:sz w:val="20"/>
                <w:szCs w:val="20"/>
              </w:rPr>
            </w:pPr>
            <w:r w:rsidRPr="00342BAA">
              <w:rPr>
                <w:rFonts w:cstheme="minorHAnsi"/>
                <w:sz w:val="20"/>
                <w:szCs w:val="20"/>
              </w:rPr>
              <w:t>164</w:t>
            </w:r>
            <w:r w:rsidR="00F32EDE" w:rsidRPr="00342BAA">
              <w:rPr>
                <w:rFonts w:cstheme="minorHAnsi"/>
                <w:sz w:val="20"/>
                <w:szCs w:val="20"/>
              </w:rPr>
              <w:t xml:space="preserve"> (20)</w:t>
            </w:r>
          </w:p>
        </w:tc>
        <w:tc>
          <w:tcPr>
            <w:tcW w:w="2556" w:type="dxa"/>
          </w:tcPr>
          <w:p w14:paraId="3E7712E4" w14:textId="77777777" w:rsidR="00F32EDE" w:rsidRPr="00342BAA" w:rsidRDefault="00F32EDE" w:rsidP="00FB6ABD">
            <w:pPr>
              <w:jc w:val="both"/>
              <w:rPr>
                <w:rFonts w:cstheme="minorHAnsi"/>
                <w:sz w:val="20"/>
                <w:szCs w:val="20"/>
              </w:rPr>
            </w:pPr>
            <w:r w:rsidRPr="00342BAA">
              <w:rPr>
                <w:rFonts w:cstheme="minorHAnsi"/>
                <w:sz w:val="20"/>
                <w:szCs w:val="20"/>
              </w:rPr>
              <w:t>149 (19)</w:t>
            </w:r>
          </w:p>
        </w:tc>
      </w:tr>
      <w:tr w:rsidR="00F32EDE" w:rsidRPr="001E0D36" w14:paraId="56EEE6CB" w14:textId="77777777" w:rsidTr="00FB6ABD">
        <w:tc>
          <w:tcPr>
            <w:tcW w:w="284" w:type="dxa"/>
          </w:tcPr>
          <w:p w14:paraId="573B2C0F" w14:textId="77777777" w:rsidR="00F32EDE" w:rsidRPr="00342BAA" w:rsidRDefault="00F32EDE" w:rsidP="00FB6ABD">
            <w:pPr>
              <w:jc w:val="both"/>
              <w:rPr>
                <w:rFonts w:cstheme="minorHAnsi"/>
                <w:sz w:val="20"/>
                <w:szCs w:val="20"/>
              </w:rPr>
            </w:pPr>
          </w:p>
        </w:tc>
        <w:tc>
          <w:tcPr>
            <w:tcW w:w="391" w:type="dxa"/>
          </w:tcPr>
          <w:p w14:paraId="141629D2" w14:textId="77777777" w:rsidR="00F32EDE" w:rsidRPr="00342BAA" w:rsidRDefault="00F32EDE" w:rsidP="00FB6ABD">
            <w:pPr>
              <w:jc w:val="both"/>
              <w:rPr>
                <w:rFonts w:cstheme="minorHAnsi"/>
                <w:sz w:val="20"/>
                <w:szCs w:val="20"/>
              </w:rPr>
            </w:pPr>
          </w:p>
        </w:tc>
        <w:tc>
          <w:tcPr>
            <w:tcW w:w="2864" w:type="dxa"/>
          </w:tcPr>
          <w:p w14:paraId="314F261F" w14:textId="77777777" w:rsidR="00F32EDE" w:rsidRPr="00342BAA" w:rsidRDefault="00F32EDE" w:rsidP="00FB6ABD">
            <w:pPr>
              <w:jc w:val="both"/>
              <w:rPr>
                <w:rFonts w:cstheme="minorHAnsi"/>
                <w:sz w:val="20"/>
                <w:szCs w:val="20"/>
              </w:rPr>
            </w:pPr>
            <w:r w:rsidRPr="00342BAA">
              <w:rPr>
                <w:rFonts w:cstheme="minorHAnsi"/>
                <w:sz w:val="20"/>
                <w:szCs w:val="20"/>
              </w:rPr>
              <w:t>Sometimes</w:t>
            </w:r>
          </w:p>
        </w:tc>
        <w:tc>
          <w:tcPr>
            <w:tcW w:w="2126" w:type="dxa"/>
          </w:tcPr>
          <w:p w14:paraId="44763C04" w14:textId="7F57247A" w:rsidR="00F32EDE" w:rsidRPr="00342BAA" w:rsidRDefault="00F32EDE" w:rsidP="00656F71">
            <w:pPr>
              <w:jc w:val="both"/>
              <w:rPr>
                <w:rFonts w:cstheme="minorHAnsi"/>
                <w:sz w:val="20"/>
                <w:szCs w:val="20"/>
              </w:rPr>
            </w:pPr>
            <w:r w:rsidRPr="00342BAA">
              <w:rPr>
                <w:rFonts w:cstheme="minorHAnsi"/>
                <w:sz w:val="20"/>
                <w:szCs w:val="20"/>
              </w:rPr>
              <w:t>1</w:t>
            </w:r>
            <w:r w:rsidR="00656F71" w:rsidRPr="00342BAA">
              <w:rPr>
                <w:rFonts w:cstheme="minorHAnsi"/>
                <w:sz w:val="20"/>
                <w:szCs w:val="20"/>
              </w:rPr>
              <w:t>782</w:t>
            </w:r>
            <w:r w:rsidRPr="00342BAA">
              <w:rPr>
                <w:rFonts w:cstheme="minorHAnsi"/>
                <w:sz w:val="20"/>
                <w:szCs w:val="20"/>
              </w:rPr>
              <w:t xml:space="preserve"> (75)</w:t>
            </w:r>
          </w:p>
        </w:tc>
        <w:tc>
          <w:tcPr>
            <w:tcW w:w="1843" w:type="dxa"/>
          </w:tcPr>
          <w:p w14:paraId="06E94D9B" w14:textId="047D1714" w:rsidR="00F32EDE" w:rsidRPr="00342BAA" w:rsidRDefault="00342BAA" w:rsidP="00FB6ABD">
            <w:pPr>
              <w:jc w:val="both"/>
              <w:rPr>
                <w:rFonts w:cstheme="minorHAnsi"/>
                <w:sz w:val="20"/>
                <w:szCs w:val="20"/>
              </w:rPr>
            </w:pPr>
            <w:r w:rsidRPr="00342BAA">
              <w:rPr>
                <w:rFonts w:cstheme="minorHAnsi"/>
                <w:sz w:val="20"/>
                <w:szCs w:val="20"/>
              </w:rPr>
              <w:t>628</w:t>
            </w:r>
            <w:r w:rsidR="00F32EDE" w:rsidRPr="00342BAA">
              <w:rPr>
                <w:rFonts w:cstheme="minorHAnsi"/>
                <w:sz w:val="20"/>
                <w:szCs w:val="20"/>
              </w:rPr>
              <w:t xml:space="preserve"> (77)</w:t>
            </w:r>
          </w:p>
        </w:tc>
        <w:tc>
          <w:tcPr>
            <w:tcW w:w="1843" w:type="dxa"/>
          </w:tcPr>
          <w:p w14:paraId="3F52F938" w14:textId="2D331A27" w:rsidR="00F32EDE" w:rsidRPr="00342BAA" w:rsidRDefault="00342BAA" w:rsidP="00FB6ABD">
            <w:pPr>
              <w:jc w:val="both"/>
              <w:rPr>
                <w:rFonts w:cstheme="minorHAnsi"/>
                <w:sz w:val="20"/>
                <w:szCs w:val="20"/>
              </w:rPr>
            </w:pPr>
            <w:r w:rsidRPr="00342BAA">
              <w:rPr>
                <w:rFonts w:cstheme="minorHAnsi"/>
                <w:sz w:val="20"/>
                <w:szCs w:val="20"/>
              </w:rPr>
              <w:t>595</w:t>
            </w:r>
            <w:r w:rsidR="00F32EDE" w:rsidRPr="00342BAA">
              <w:rPr>
                <w:rFonts w:cstheme="minorHAnsi"/>
                <w:sz w:val="20"/>
                <w:szCs w:val="20"/>
              </w:rPr>
              <w:t xml:space="preserve"> (73)</w:t>
            </w:r>
          </w:p>
        </w:tc>
        <w:tc>
          <w:tcPr>
            <w:tcW w:w="2556" w:type="dxa"/>
          </w:tcPr>
          <w:p w14:paraId="6D2F9EE0" w14:textId="1C2A18E4" w:rsidR="00F32EDE" w:rsidRPr="00342BAA" w:rsidRDefault="00342BAA" w:rsidP="00FB6ABD">
            <w:pPr>
              <w:jc w:val="both"/>
              <w:rPr>
                <w:rFonts w:cstheme="minorHAnsi"/>
                <w:sz w:val="20"/>
                <w:szCs w:val="20"/>
              </w:rPr>
            </w:pPr>
            <w:r w:rsidRPr="00342BAA">
              <w:rPr>
                <w:rFonts w:cstheme="minorHAnsi"/>
                <w:sz w:val="20"/>
                <w:szCs w:val="20"/>
              </w:rPr>
              <w:t>559</w:t>
            </w:r>
            <w:r w:rsidR="00F32EDE" w:rsidRPr="00342BAA">
              <w:rPr>
                <w:rFonts w:cstheme="minorHAnsi"/>
                <w:sz w:val="20"/>
                <w:szCs w:val="20"/>
              </w:rPr>
              <w:t xml:space="preserve"> (75)</w:t>
            </w:r>
          </w:p>
        </w:tc>
      </w:tr>
      <w:tr w:rsidR="00F32EDE" w:rsidRPr="001E0D36" w14:paraId="3373F2CA" w14:textId="77777777" w:rsidTr="00FB6ABD">
        <w:tc>
          <w:tcPr>
            <w:tcW w:w="284" w:type="dxa"/>
          </w:tcPr>
          <w:p w14:paraId="2618D77C" w14:textId="77777777" w:rsidR="00F32EDE" w:rsidRPr="00342BAA" w:rsidRDefault="00F32EDE" w:rsidP="00FB6ABD">
            <w:pPr>
              <w:jc w:val="both"/>
              <w:rPr>
                <w:rFonts w:cstheme="minorHAnsi"/>
                <w:sz w:val="20"/>
                <w:szCs w:val="20"/>
              </w:rPr>
            </w:pPr>
          </w:p>
        </w:tc>
        <w:tc>
          <w:tcPr>
            <w:tcW w:w="391" w:type="dxa"/>
          </w:tcPr>
          <w:p w14:paraId="220F6C71" w14:textId="77777777" w:rsidR="00F32EDE" w:rsidRPr="00342BAA" w:rsidRDefault="00F32EDE" w:rsidP="00FB6ABD">
            <w:pPr>
              <w:jc w:val="both"/>
              <w:rPr>
                <w:rFonts w:cstheme="minorHAnsi"/>
                <w:sz w:val="20"/>
                <w:szCs w:val="20"/>
              </w:rPr>
            </w:pPr>
          </w:p>
        </w:tc>
        <w:tc>
          <w:tcPr>
            <w:tcW w:w="2864" w:type="dxa"/>
          </w:tcPr>
          <w:p w14:paraId="44BFEDF6" w14:textId="77777777" w:rsidR="00F32EDE" w:rsidRPr="00342BAA" w:rsidRDefault="00F32EDE" w:rsidP="00FB6ABD">
            <w:pPr>
              <w:jc w:val="both"/>
              <w:rPr>
                <w:rFonts w:cstheme="minorHAnsi"/>
                <w:sz w:val="20"/>
                <w:szCs w:val="20"/>
              </w:rPr>
            </w:pPr>
            <w:r w:rsidRPr="00342BAA">
              <w:rPr>
                <w:rFonts w:cstheme="minorHAnsi"/>
                <w:sz w:val="20"/>
                <w:szCs w:val="20"/>
              </w:rPr>
              <w:t>Never</w:t>
            </w:r>
          </w:p>
        </w:tc>
        <w:tc>
          <w:tcPr>
            <w:tcW w:w="2126" w:type="dxa"/>
          </w:tcPr>
          <w:p w14:paraId="1218D814" w14:textId="469BD5E2" w:rsidR="00F32EDE" w:rsidRPr="00342BAA" w:rsidRDefault="00656F71" w:rsidP="00FB6ABD">
            <w:pPr>
              <w:jc w:val="both"/>
              <w:rPr>
                <w:rFonts w:cstheme="minorHAnsi"/>
                <w:sz w:val="20"/>
                <w:szCs w:val="20"/>
              </w:rPr>
            </w:pPr>
            <w:r w:rsidRPr="00342BAA">
              <w:rPr>
                <w:rFonts w:cstheme="minorHAnsi"/>
                <w:sz w:val="20"/>
                <w:szCs w:val="20"/>
              </w:rPr>
              <w:t xml:space="preserve">154 </w:t>
            </w:r>
            <w:r w:rsidR="00F32EDE" w:rsidRPr="00342BAA">
              <w:rPr>
                <w:rFonts w:cstheme="minorHAnsi"/>
                <w:sz w:val="20"/>
                <w:szCs w:val="20"/>
              </w:rPr>
              <w:t>(6)</w:t>
            </w:r>
          </w:p>
        </w:tc>
        <w:tc>
          <w:tcPr>
            <w:tcW w:w="1843" w:type="dxa"/>
          </w:tcPr>
          <w:p w14:paraId="5E262558" w14:textId="01AB6EDA" w:rsidR="00F32EDE" w:rsidRPr="00342BAA" w:rsidRDefault="00342BAA" w:rsidP="00FB6ABD">
            <w:pPr>
              <w:jc w:val="both"/>
              <w:rPr>
                <w:rFonts w:cstheme="minorHAnsi"/>
                <w:sz w:val="20"/>
                <w:szCs w:val="20"/>
              </w:rPr>
            </w:pPr>
            <w:r w:rsidRPr="00342BAA">
              <w:rPr>
                <w:rFonts w:cstheme="minorHAnsi"/>
                <w:sz w:val="20"/>
                <w:szCs w:val="20"/>
              </w:rPr>
              <w:t>59</w:t>
            </w:r>
            <w:r w:rsidR="00F32EDE" w:rsidRPr="00342BAA">
              <w:rPr>
                <w:rFonts w:cstheme="minorHAnsi"/>
                <w:sz w:val="20"/>
                <w:szCs w:val="20"/>
              </w:rPr>
              <w:t xml:space="preserve"> (7)</w:t>
            </w:r>
          </w:p>
        </w:tc>
        <w:tc>
          <w:tcPr>
            <w:tcW w:w="1843" w:type="dxa"/>
          </w:tcPr>
          <w:p w14:paraId="78739601" w14:textId="7EC585ED" w:rsidR="00F32EDE" w:rsidRPr="00342BAA" w:rsidRDefault="00342BAA" w:rsidP="00FB6ABD">
            <w:pPr>
              <w:jc w:val="both"/>
              <w:rPr>
                <w:rFonts w:cstheme="minorHAnsi"/>
                <w:sz w:val="20"/>
                <w:szCs w:val="20"/>
              </w:rPr>
            </w:pPr>
            <w:r w:rsidRPr="00342BAA">
              <w:rPr>
                <w:rFonts w:cstheme="minorHAnsi"/>
                <w:sz w:val="20"/>
                <w:szCs w:val="20"/>
              </w:rPr>
              <w:t>52</w:t>
            </w:r>
            <w:r w:rsidR="00F32EDE" w:rsidRPr="00342BAA">
              <w:rPr>
                <w:rFonts w:cstheme="minorHAnsi"/>
                <w:sz w:val="20"/>
                <w:szCs w:val="20"/>
              </w:rPr>
              <w:t xml:space="preserve"> (6)</w:t>
            </w:r>
          </w:p>
        </w:tc>
        <w:tc>
          <w:tcPr>
            <w:tcW w:w="2556" w:type="dxa"/>
          </w:tcPr>
          <w:p w14:paraId="054E99EE" w14:textId="77777777" w:rsidR="00F32EDE" w:rsidRPr="00342BAA" w:rsidRDefault="00F32EDE" w:rsidP="00FB6ABD">
            <w:pPr>
              <w:jc w:val="both"/>
              <w:rPr>
                <w:rFonts w:cstheme="minorHAnsi"/>
                <w:sz w:val="20"/>
                <w:szCs w:val="20"/>
              </w:rPr>
            </w:pPr>
            <w:r w:rsidRPr="00342BAA">
              <w:rPr>
                <w:rFonts w:cstheme="minorHAnsi"/>
                <w:sz w:val="20"/>
                <w:szCs w:val="20"/>
              </w:rPr>
              <w:t>43 (6)</w:t>
            </w:r>
          </w:p>
        </w:tc>
      </w:tr>
    </w:tbl>
    <w:p w14:paraId="0235F31F" w14:textId="77777777" w:rsidR="00F32EDE" w:rsidRPr="001E0D36" w:rsidRDefault="00F32EDE" w:rsidP="00F32EDE">
      <w:pPr>
        <w:rPr>
          <w:rFonts w:cstheme="minorHAnsi"/>
          <w:sz w:val="20"/>
          <w:szCs w:val="20"/>
        </w:rPr>
      </w:pPr>
    </w:p>
    <w:p w14:paraId="6ABCA787" w14:textId="77777777" w:rsidR="00F32EDE" w:rsidRPr="001E0D36" w:rsidRDefault="00F32EDE" w:rsidP="00F32EDE">
      <w:pPr>
        <w:tabs>
          <w:tab w:val="left" w:pos="1140"/>
        </w:tabs>
        <w:jc w:val="both"/>
        <w:rPr>
          <w:rFonts w:cstheme="minorHAnsi"/>
          <w:sz w:val="20"/>
          <w:szCs w:val="20"/>
        </w:rPr>
      </w:pPr>
      <w:r w:rsidRPr="001E0D36">
        <w:rPr>
          <w:rFonts w:cstheme="minorHAnsi"/>
          <w:sz w:val="20"/>
          <w:szCs w:val="20"/>
        </w:rPr>
        <w:t xml:space="preserve">Abbreviations: BMI body mass index; CI confidence intervals; I:Cr urinary iodine to creatinine ratio; IQR interquartile range; SD standard deviation; UIC urinary iodine concentration. </w:t>
      </w:r>
    </w:p>
    <w:p w14:paraId="6273D9E2" w14:textId="699374A6" w:rsidR="00F32EDE" w:rsidRPr="001E0D36" w:rsidRDefault="00F32EDE" w:rsidP="00F32EDE">
      <w:pPr>
        <w:tabs>
          <w:tab w:val="left" w:pos="1140"/>
        </w:tabs>
        <w:jc w:val="both"/>
        <w:rPr>
          <w:rFonts w:cstheme="minorHAnsi"/>
          <w:sz w:val="20"/>
          <w:szCs w:val="20"/>
        </w:rPr>
      </w:pPr>
      <w:r w:rsidRPr="001E0D36">
        <w:rPr>
          <w:rFonts w:cstheme="minorHAnsi"/>
          <w:sz w:val="20"/>
          <w:szCs w:val="20"/>
        </w:rPr>
        <w:t>*Data from women who were aske</w:t>
      </w:r>
      <w:r w:rsidR="003212E0">
        <w:rPr>
          <w:rFonts w:cstheme="minorHAnsi"/>
          <w:sz w:val="20"/>
          <w:szCs w:val="20"/>
        </w:rPr>
        <w:t>d about diet in pregnancy (n=2202</w:t>
      </w:r>
      <w:r w:rsidRPr="001E0D36">
        <w:rPr>
          <w:rFonts w:cstheme="minorHAnsi"/>
          <w:sz w:val="20"/>
          <w:szCs w:val="20"/>
        </w:rPr>
        <w:t xml:space="preserve">). </w:t>
      </w:r>
    </w:p>
    <w:p w14:paraId="117A9CE7" w14:textId="77777777" w:rsidR="00F32EDE" w:rsidRPr="001E0D36" w:rsidRDefault="00F32EDE" w:rsidP="00F32EDE">
      <w:pPr>
        <w:tabs>
          <w:tab w:val="left" w:pos="1140"/>
        </w:tabs>
        <w:jc w:val="both"/>
        <w:rPr>
          <w:rFonts w:cstheme="minorHAnsi"/>
          <w:sz w:val="20"/>
          <w:szCs w:val="20"/>
        </w:rPr>
      </w:pPr>
    </w:p>
    <w:p w14:paraId="27E20FAE" w14:textId="77777777" w:rsidR="00F32EDE" w:rsidRPr="001E0D36" w:rsidRDefault="00F32EDE" w:rsidP="00F32EDE">
      <w:pPr>
        <w:tabs>
          <w:tab w:val="left" w:pos="1140"/>
        </w:tabs>
        <w:jc w:val="both"/>
        <w:rPr>
          <w:rFonts w:cstheme="minorHAnsi"/>
          <w:sz w:val="20"/>
          <w:szCs w:val="20"/>
        </w:rPr>
      </w:pPr>
    </w:p>
    <w:p w14:paraId="2C5148EB" w14:textId="77777777" w:rsidR="00AA2B8E" w:rsidRPr="00AA2B8E" w:rsidRDefault="00AA2B8E" w:rsidP="00444DE8">
      <w:pPr>
        <w:autoSpaceDE w:val="0"/>
        <w:autoSpaceDN w:val="0"/>
        <w:adjustRightInd w:val="0"/>
        <w:spacing w:after="0" w:line="320" w:lineRule="atLeast"/>
        <w:rPr>
          <w:rFonts w:eastAsia="Calibri" w:cstheme="minorHAnsi"/>
        </w:rPr>
        <w:sectPr w:rsidR="00AA2B8E" w:rsidRPr="00AA2B8E" w:rsidSect="00FF7B06">
          <w:pgSz w:w="16838" w:h="11906" w:orient="landscape"/>
          <w:pgMar w:top="1440" w:right="1440" w:bottom="1440" w:left="1440" w:header="720" w:footer="720" w:gutter="0"/>
          <w:cols w:space="720"/>
          <w:docGrid w:linePitch="299"/>
        </w:sectPr>
      </w:pPr>
    </w:p>
    <w:p w14:paraId="45672847" w14:textId="3B2D38D2" w:rsidR="00F74995" w:rsidRPr="00AA2B8E" w:rsidRDefault="00AA2B8E" w:rsidP="00444DE8">
      <w:pPr>
        <w:spacing w:after="0" w:line="320" w:lineRule="atLeast"/>
        <w:jc w:val="both"/>
        <w:rPr>
          <w:rFonts w:cstheme="minorHAnsi"/>
        </w:rPr>
      </w:pPr>
      <w:r w:rsidRPr="00AA2B8E">
        <w:rPr>
          <w:rFonts w:cstheme="minorHAnsi"/>
          <w:b/>
        </w:rPr>
        <w:lastRenderedPageBreak/>
        <w:t>Table 2.</w:t>
      </w:r>
      <w:r w:rsidRPr="00AA2B8E">
        <w:rPr>
          <w:rFonts w:cstheme="minorHAnsi"/>
        </w:rPr>
        <w:t xml:space="preserve"> </w:t>
      </w:r>
      <w:r w:rsidR="00F74995">
        <w:rPr>
          <w:rFonts w:cstheme="minorHAnsi"/>
        </w:rPr>
        <w:t>Observed</w:t>
      </w:r>
      <w:r w:rsidRPr="00AA2B8E">
        <w:rPr>
          <w:rFonts w:cstheme="minorHAnsi"/>
        </w:rPr>
        <w:t xml:space="preserve"> number of ca</w:t>
      </w:r>
      <w:r w:rsidR="00F74995">
        <w:rPr>
          <w:rFonts w:cstheme="minorHAnsi"/>
        </w:rPr>
        <w:t>ses of autism spectrum disorder (ASD) both for the cohort as a whole (n=</w:t>
      </w:r>
      <w:r w:rsidR="00030DE0">
        <w:rPr>
          <w:rFonts w:cstheme="minorHAnsi"/>
        </w:rPr>
        <w:t>92</w:t>
      </w:r>
      <w:r w:rsidR="00F74995">
        <w:rPr>
          <w:rFonts w:cstheme="minorHAnsi"/>
        </w:rPr>
        <w:t xml:space="preserve">) and according to </w:t>
      </w:r>
      <w:r w:rsidR="004C35EE">
        <w:rPr>
          <w:rFonts w:cstheme="minorHAnsi"/>
        </w:rPr>
        <w:t>maternal iodine-to-creatinine ratio (I:Cr). In addition</w:t>
      </w:r>
      <w:r w:rsidR="008579B2">
        <w:rPr>
          <w:rFonts w:cstheme="minorHAnsi"/>
        </w:rPr>
        <w:t xml:space="preserve"> to</w:t>
      </w:r>
      <w:r w:rsidR="004C35EE">
        <w:rPr>
          <w:rFonts w:cstheme="minorHAnsi"/>
        </w:rPr>
        <w:t xml:space="preserve"> the</w:t>
      </w:r>
      <w:r w:rsidR="008579B2">
        <w:rPr>
          <w:rFonts w:cstheme="minorHAnsi"/>
        </w:rPr>
        <w:t xml:space="preserve"> modelled</w:t>
      </w:r>
      <w:r w:rsidR="00F74995">
        <w:rPr>
          <w:rFonts w:cstheme="minorHAnsi"/>
        </w:rPr>
        <w:t xml:space="preserve"> p</w:t>
      </w:r>
      <w:r w:rsidR="00723246">
        <w:rPr>
          <w:rFonts w:cstheme="minorHAnsi"/>
        </w:rPr>
        <w:t xml:space="preserve">redicted </w:t>
      </w:r>
      <w:r w:rsidR="00723246" w:rsidRPr="00723246">
        <w:rPr>
          <w:rFonts w:cstheme="minorHAnsi"/>
        </w:rPr>
        <w:t xml:space="preserve">probability of a diagnosis of </w:t>
      </w:r>
      <w:r w:rsidR="00BF683A">
        <w:rPr>
          <w:rFonts w:cstheme="minorHAnsi"/>
        </w:rPr>
        <w:t>ASD</w:t>
      </w:r>
      <w:r w:rsidR="00723246" w:rsidRPr="005721BA">
        <w:rPr>
          <w:rFonts w:cstheme="minorHAnsi"/>
          <w:b/>
          <w:sz w:val="20"/>
        </w:rPr>
        <w:t xml:space="preserve"> </w:t>
      </w:r>
      <w:r w:rsidR="00F74995">
        <w:rPr>
          <w:rFonts w:cstheme="minorHAnsi"/>
        </w:rPr>
        <w:t>(95% CIs) at the 25</w:t>
      </w:r>
      <w:r w:rsidR="00F74995" w:rsidRPr="00B165C8">
        <w:rPr>
          <w:rFonts w:cstheme="minorHAnsi"/>
          <w:vertAlign w:val="superscript"/>
        </w:rPr>
        <w:t>th</w:t>
      </w:r>
      <w:r w:rsidR="00F74995">
        <w:rPr>
          <w:rFonts w:cstheme="minorHAnsi"/>
        </w:rPr>
        <w:t>, 50</w:t>
      </w:r>
      <w:r w:rsidR="00F74995" w:rsidRPr="00B165C8">
        <w:rPr>
          <w:rFonts w:cstheme="minorHAnsi"/>
          <w:vertAlign w:val="superscript"/>
        </w:rPr>
        <w:t>th</w:t>
      </w:r>
      <w:r w:rsidR="00F74995">
        <w:rPr>
          <w:rFonts w:cstheme="minorHAnsi"/>
        </w:rPr>
        <w:t xml:space="preserve"> and 75</w:t>
      </w:r>
      <w:r w:rsidR="00F74995" w:rsidRPr="00B165C8">
        <w:rPr>
          <w:rFonts w:cstheme="minorHAnsi"/>
          <w:vertAlign w:val="superscript"/>
        </w:rPr>
        <w:t>th</w:t>
      </w:r>
      <w:r w:rsidR="00F74995">
        <w:rPr>
          <w:rFonts w:cstheme="minorHAnsi"/>
        </w:rPr>
        <w:t xml:space="preserve"> </w:t>
      </w:r>
      <w:r w:rsidR="004C35EE">
        <w:rPr>
          <w:rFonts w:cstheme="minorHAnsi"/>
        </w:rPr>
        <w:t>centiles of I:Cr</w:t>
      </w:r>
      <w:r w:rsidR="00986783">
        <w:rPr>
          <w:rFonts w:cstheme="minorHAnsi"/>
        </w:rPr>
        <w:t>, for ‘average’ participants</w:t>
      </w:r>
      <w:r w:rsidR="00986783" w:rsidRPr="00831FB6">
        <w:rPr>
          <w:rFonts w:cstheme="minorHAnsi"/>
          <w:szCs w:val="20"/>
        </w:rPr>
        <w:t>†</w:t>
      </w:r>
      <w:r w:rsidR="00F74995">
        <w:rPr>
          <w:rFonts w:cstheme="minorHAnsi"/>
        </w:rPr>
        <w:t>.</w:t>
      </w:r>
    </w:p>
    <w:p w14:paraId="2180FB85" w14:textId="77777777" w:rsidR="00AA2B8E" w:rsidRPr="00AA2B8E" w:rsidRDefault="00AA2B8E" w:rsidP="00444DE8">
      <w:pPr>
        <w:spacing w:after="0" w:line="320" w:lineRule="atLeast"/>
        <w:jc w:val="both"/>
        <w:rPr>
          <w:rFonts w:cstheme="minorHAnsi"/>
        </w:rPr>
      </w:pPr>
    </w:p>
    <w:tbl>
      <w:tblPr>
        <w:tblStyle w:val="PlainTable21"/>
        <w:tblpPr w:leftFromText="180" w:rightFromText="180" w:vertAnchor="page" w:horzAnchor="margin" w:tblpY="3166"/>
        <w:tblW w:w="9498" w:type="dxa"/>
        <w:tblLook w:val="04A0" w:firstRow="1" w:lastRow="0" w:firstColumn="1" w:lastColumn="0" w:noHBand="0" w:noVBand="1"/>
      </w:tblPr>
      <w:tblGrid>
        <w:gridCol w:w="282"/>
        <w:gridCol w:w="2690"/>
        <w:gridCol w:w="1399"/>
        <w:gridCol w:w="2371"/>
        <w:gridCol w:w="2756"/>
      </w:tblGrid>
      <w:tr w:rsidR="00FF7B06" w:rsidRPr="00AA2B8E" w14:paraId="25401FD1" w14:textId="77777777" w:rsidTr="00D24E95">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972" w:type="dxa"/>
            <w:gridSpan w:val="2"/>
          </w:tcPr>
          <w:p w14:paraId="6C3DDAFB" w14:textId="77777777" w:rsidR="00FF7B06" w:rsidRPr="000E50EC" w:rsidRDefault="00FF7B06" w:rsidP="00444DE8">
            <w:pPr>
              <w:spacing w:before="120" w:line="320" w:lineRule="atLeast"/>
              <w:jc w:val="center"/>
              <w:rPr>
                <w:rFonts w:cstheme="minorHAnsi"/>
                <w:sz w:val="20"/>
              </w:rPr>
            </w:pPr>
            <w:r w:rsidRPr="000E50EC">
              <w:rPr>
                <w:rFonts w:cstheme="minorHAnsi"/>
                <w:sz w:val="20"/>
              </w:rPr>
              <w:t>Iodine-to-creatinine ratio</w:t>
            </w:r>
          </w:p>
          <w:p w14:paraId="1C06BBD5" w14:textId="77777777" w:rsidR="00FF7B06" w:rsidRPr="000E50EC" w:rsidRDefault="00FF7B06" w:rsidP="00444DE8">
            <w:pPr>
              <w:spacing w:before="120" w:line="320" w:lineRule="atLeast"/>
              <w:jc w:val="center"/>
              <w:rPr>
                <w:rFonts w:cstheme="minorHAnsi"/>
                <w:b w:val="0"/>
                <w:sz w:val="20"/>
              </w:rPr>
            </w:pPr>
            <w:r w:rsidRPr="000E50EC">
              <w:rPr>
                <w:rFonts w:cstheme="minorHAnsi"/>
                <w:b w:val="0"/>
                <w:sz w:val="20"/>
              </w:rPr>
              <w:t>I:Cr (µg/g), median (range)</w:t>
            </w:r>
          </w:p>
        </w:tc>
        <w:tc>
          <w:tcPr>
            <w:tcW w:w="1399" w:type="dxa"/>
          </w:tcPr>
          <w:p w14:paraId="49609C8A" w14:textId="77777777" w:rsidR="000E50EC" w:rsidRDefault="000E50EC" w:rsidP="00444DE8">
            <w:pPr>
              <w:spacing w:before="120" w:line="32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p>
          <w:p w14:paraId="1A6242E3" w14:textId="77777777" w:rsidR="00FF7B06" w:rsidRPr="005721BA" w:rsidRDefault="00FF7B06" w:rsidP="00444DE8">
            <w:pPr>
              <w:spacing w:before="120" w:line="32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5721BA">
              <w:rPr>
                <w:rFonts w:cstheme="minorHAnsi"/>
                <w:b w:val="0"/>
                <w:sz w:val="20"/>
              </w:rPr>
              <w:t>(n)</w:t>
            </w:r>
          </w:p>
        </w:tc>
        <w:tc>
          <w:tcPr>
            <w:tcW w:w="2371" w:type="dxa"/>
          </w:tcPr>
          <w:p w14:paraId="46ACAF65" w14:textId="77777777" w:rsidR="00FF7B06" w:rsidRPr="00FF7B06" w:rsidDel="00FD5E85" w:rsidRDefault="00FF7B06" w:rsidP="00444DE8">
            <w:pPr>
              <w:spacing w:before="120" w:line="32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222222"/>
                <w:sz w:val="20"/>
                <w:shd w:val="clear" w:color="auto" w:fill="FFFFFF"/>
              </w:rPr>
            </w:pPr>
            <w:r w:rsidRPr="000E50EC">
              <w:rPr>
                <w:rFonts w:ascii="Calibri" w:hAnsi="Calibri" w:cstheme="minorHAnsi"/>
                <w:color w:val="222222"/>
                <w:sz w:val="20"/>
                <w:shd w:val="clear" w:color="auto" w:fill="FFFFFF"/>
              </w:rPr>
              <w:t>Observed ca</w:t>
            </w:r>
            <w:r w:rsidR="000E50EC" w:rsidRPr="000E50EC">
              <w:rPr>
                <w:rFonts w:ascii="Calibri" w:hAnsi="Calibri" w:cstheme="minorHAnsi"/>
                <w:color w:val="222222"/>
                <w:sz w:val="20"/>
                <w:shd w:val="clear" w:color="auto" w:fill="FFFFFF"/>
              </w:rPr>
              <w:t>ses of autism spectrum disorder</w:t>
            </w:r>
            <w:r w:rsidR="004C35EE">
              <w:rPr>
                <w:rFonts w:ascii="Calibri" w:hAnsi="Calibri" w:cstheme="minorHAnsi"/>
                <w:color w:val="222222"/>
                <w:sz w:val="20"/>
                <w:shd w:val="clear" w:color="auto" w:fill="FFFFFF"/>
              </w:rPr>
              <w:t xml:space="preserve"> (ASD)</w:t>
            </w:r>
            <w:r w:rsidR="000E50EC">
              <w:rPr>
                <w:rFonts w:ascii="Calibri" w:hAnsi="Calibri" w:cstheme="minorHAnsi"/>
                <w:b w:val="0"/>
                <w:color w:val="222222"/>
                <w:sz w:val="20"/>
                <w:shd w:val="clear" w:color="auto" w:fill="FFFFFF"/>
              </w:rPr>
              <w:t xml:space="preserve"> </w:t>
            </w:r>
            <w:r w:rsidRPr="000E50EC">
              <w:rPr>
                <w:rFonts w:ascii="Calibri" w:hAnsi="Calibri" w:cstheme="minorHAnsi"/>
                <w:b w:val="0"/>
                <w:color w:val="222222"/>
                <w:sz w:val="20"/>
                <w:shd w:val="clear" w:color="auto" w:fill="FFFFFF"/>
              </w:rPr>
              <w:t>(n) (percent)</w:t>
            </w:r>
          </w:p>
        </w:tc>
        <w:tc>
          <w:tcPr>
            <w:tcW w:w="2756" w:type="dxa"/>
          </w:tcPr>
          <w:p w14:paraId="69D1809E" w14:textId="77777777" w:rsidR="00FF7B06" w:rsidRPr="00FF7B06" w:rsidRDefault="005721BA" w:rsidP="00444DE8">
            <w:pPr>
              <w:spacing w:before="120" w:line="320"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18"/>
              </w:rPr>
            </w:pPr>
            <w:r w:rsidRPr="005721BA">
              <w:rPr>
                <w:rFonts w:cstheme="minorHAnsi"/>
                <w:sz w:val="20"/>
              </w:rPr>
              <w:t xml:space="preserve">Probability of a diagnosis of autism spectrum disorder </w:t>
            </w:r>
            <w:r w:rsidRPr="000E50EC">
              <w:rPr>
                <w:rFonts w:cstheme="minorHAnsi"/>
                <w:b w:val="0"/>
                <w:sz w:val="20"/>
              </w:rPr>
              <w:t>(percent) (95%CI</w:t>
            </w:r>
            <w:r w:rsidR="004C35EE">
              <w:rPr>
                <w:rFonts w:cstheme="minorHAnsi"/>
                <w:b w:val="0"/>
                <w:sz w:val="20"/>
              </w:rPr>
              <w:t>s</w:t>
            </w:r>
            <w:r w:rsidRPr="000E50EC">
              <w:rPr>
                <w:rFonts w:cstheme="minorHAnsi"/>
                <w:b w:val="0"/>
                <w:sz w:val="20"/>
              </w:rPr>
              <w:t>)</w:t>
            </w:r>
          </w:p>
        </w:tc>
      </w:tr>
      <w:tr w:rsidR="00FF7B06" w:rsidRPr="00AA2B8E" w14:paraId="0A6F2DCB" w14:textId="77777777" w:rsidTr="00D24E9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9D9D9" w:themeFill="background1" w:themeFillShade="D9"/>
          </w:tcPr>
          <w:p w14:paraId="2811566A" w14:textId="41FDD942" w:rsidR="00FF7B06" w:rsidRPr="00F32EDE" w:rsidRDefault="00606F33" w:rsidP="00444DE8">
            <w:pPr>
              <w:spacing w:before="120" w:line="320" w:lineRule="atLeast"/>
              <w:jc w:val="both"/>
              <w:rPr>
                <w:rFonts w:cstheme="minorHAnsi"/>
                <w:b w:val="0"/>
                <w:sz w:val="20"/>
              </w:rPr>
            </w:pPr>
            <w:r>
              <w:rPr>
                <w:rFonts w:cstheme="minorHAnsi"/>
                <w:sz w:val="20"/>
              </w:rPr>
              <w:t xml:space="preserve">All participants: </w:t>
            </w:r>
          </w:p>
        </w:tc>
        <w:tc>
          <w:tcPr>
            <w:tcW w:w="1399" w:type="dxa"/>
            <w:shd w:val="clear" w:color="auto" w:fill="D9D9D9" w:themeFill="background1" w:themeFillShade="D9"/>
          </w:tcPr>
          <w:p w14:paraId="3C2CF0E8" w14:textId="3E31FC54" w:rsidR="00FF7B06" w:rsidRPr="00F32EDE" w:rsidRDefault="00A37C51" w:rsidP="00A37C51">
            <w:pPr>
              <w:spacing w:before="12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6973</w:t>
            </w:r>
          </w:p>
        </w:tc>
        <w:tc>
          <w:tcPr>
            <w:tcW w:w="2371" w:type="dxa"/>
            <w:shd w:val="clear" w:color="auto" w:fill="D9D9D9" w:themeFill="background1" w:themeFillShade="D9"/>
          </w:tcPr>
          <w:p w14:paraId="2322CA4D" w14:textId="23985914" w:rsidR="00FF7B06" w:rsidRPr="00F32EDE" w:rsidRDefault="00030DE0" w:rsidP="00444DE8">
            <w:pPr>
              <w:spacing w:before="12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92</w:t>
            </w:r>
            <w:r w:rsidR="00FF7B06" w:rsidRPr="00F32EDE">
              <w:rPr>
                <w:rFonts w:cstheme="minorHAnsi"/>
                <w:sz w:val="20"/>
              </w:rPr>
              <w:t xml:space="preserve"> (</w:t>
            </w:r>
            <w:r w:rsidR="00C0467C">
              <w:rPr>
                <w:rFonts w:cstheme="minorHAnsi"/>
                <w:sz w:val="20"/>
              </w:rPr>
              <w:t>1</w:t>
            </w:r>
            <w:r w:rsidR="00C0467C">
              <w:rPr>
                <w:rStyle w:val="st1"/>
                <w:rFonts w:ascii="Arial" w:hAnsi="Arial" w:cs="Arial"/>
                <w:color w:val="3C4043"/>
                <w:sz w:val="21"/>
                <w:szCs w:val="21"/>
              </w:rPr>
              <w:t>·</w:t>
            </w:r>
            <w:r w:rsidR="00A37C51">
              <w:rPr>
                <w:rFonts w:cstheme="minorHAnsi"/>
                <w:sz w:val="20"/>
              </w:rPr>
              <w:t>3</w:t>
            </w:r>
            <w:r w:rsidR="00FF7B06" w:rsidRPr="00F32EDE">
              <w:rPr>
                <w:rFonts w:cstheme="minorHAnsi"/>
                <w:sz w:val="20"/>
              </w:rPr>
              <w:t>%)</w:t>
            </w:r>
          </w:p>
        </w:tc>
        <w:tc>
          <w:tcPr>
            <w:tcW w:w="2756" w:type="dxa"/>
            <w:shd w:val="clear" w:color="auto" w:fill="D9D9D9" w:themeFill="background1" w:themeFillShade="D9"/>
          </w:tcPr>
          <w:p w14:paraId="08B7B388" w14:textId="77777777" w:rsidR="00FF7B06" w:rsidRPr="00AA2B8E" w:rsidRDefault="00FF7B06" w:rsidP="00444DE8">
            <w:pPr>
              <w:spacing w:before="12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FF7B06" w:rsidRPr="00AA2B8E" w14:paraId="742385F8" w14:textId="77777777" w:rsidTr="00D24E95">
        <w:trPr>
          <w:trHeight w:val="383"/>
        </w:trPr>
        <w:tc>
          <w:tcPr>
            <w:cnfStyle w:val="001000000000" w:firstRow="0" w:lastRow="0" w:firstColumn="1" w:lastColumn="0" w:oddVBand="0" w:evenVBand="0" w:oddHBand="0" w:evenHBand="0" w:firstRowFirstColumn="0" w:firstRowLastColumn="0" w:lastRowFirstColumn="0" w:lastRowLastColumn="0"/>
            <w:tcW w:w="282" w:type="dxa"/>
          </w:tcPr>
          <w:p w14:paraId="663C7FDD" w14:textId="77777777" w:rsidR="00FF7B06" w:rsidRPr="00F32EDE" w:rsidRDefault="00FF7B06" w:rsidP="00444DE8">
            <w:pPr>
              <w:spacing w:before="120" w:line="320" w:lineRule="atLeast"/>
              <w:jc w:val="both"/>
              <w:rPr>
                <w:rFonts w:cstheme="minorHAnsi"/>
                <w:sz w:val="20"/>
              </w:rPr>
            </w:pPr>
          </w:p>
        </w:tc>
        <w:tc>
          <w:tcPr>
            <w:tcW w:w="2690" w:type="dxa"/>
          </w:tcPr>
          <w:p w14:paraId="3A022730" w14:textId="7E8B47CF" w:rsidR="00FF7B06" w:rsidRPr="00F32EDE" w:rsidRDefault="00FF7B06" w:rsidP="00444DE8">
            <w:pPr>
              <w:spacing w:before="120" w:line="32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F32EDE">
              <w:rPr>
                <w:rFonts w:cstheme="minorHAnsi"/>
                <w:b/>
                <w:sz w:val="20"/>
              </w:rPr>
              <w:t xml:space="preserve">Lower third:  </w:t>
            </w:r>
            <w:r w:rsidR="00C0467C">
              <w:rPr>
                <w:rFonts w:cstheme="minorHAnsi"/>
                <w:sz w:val="20"/>
                <w:szCs w:val="20"/>
              </w:rPr>
              <w:t>59</w:t>
            </w:r>
            <w:r w:rsidR="00C0467C">
              <w:rPr>
                <w:rStyle w:val="st1"/>
                <w:rFonts w:ascii="Arial" w:hAnsi="Arial" w:cs="Arial"/>
                <w:color w:val="3C4043"/>
                <w:sz w:val="21"/>
                <w:szCs w:val="21"/>
              </w:rPr>
              <w:t>·</w:t>
            </w:r>
            <w:r w:rsidR="00606F33" w:rsidRPr="00342BAA">
              <w:rPr>
                <w:rFonts w:cstheme="minorHAnsi"/>
                <w:sz w:val="20"/>
                <w:szCs w:val="20"/>
              </w:rPr>
              <w:t>5</w:t>
            </w:r>
            <w:r w:rsidR="00606F33">
              <w:rPr>
                <w:rFonts w:cstheme="minorHAnsi"/>
                <w:sz w:val="20"/>
                <w:szCs w:val="20"/>
              </w:rPr>
              <w:t xml:space="preserve">, </w:t>
            </w:r>
            <w:r w:rsidRPr="00F32EDE">
              <w:rPr>
                <w:rFonts w:cstheme="minorHAnsi"/>
                <w:sz w:val="20"/>
              </w:rPr>
              <w:t>(</w:t>
            </w:r>
            <w:r w:rsidR="00C0467C">
              <w:rPr>
                <w:rFonts w:cstheme="minorHAnsi"/>
                <w:sz w:val="20"/>
              </w:rPr>
              <w:t>0</w:t>
            </w:r>
            <w:r w:rsidR="00C0467C">
              <w:rPr>
                <w:rStyle w:val="st1"/>
                <w:rFonts w:ascii="Arial" w:hAnsi="Arial" w:cs="Arial"/>
                <w:color w:val="3C4043"/>
                <w:sz w:val="21"/>
                <w:szCs w:val="21"/>
              </w:rPr>
              <w:t>·</w:t>
            </w:r>
            <w:r w:rsidR="007A3656">
              <w:rPr>
                <w:rFonts w:cstheme="minorHAnsi"/>
                <w:sz w:val="20"/>
              </w:rPr>
              <w:t>7 to 6</w:t>
            </w:r>
            <w:r w:rsidRPr="00F32EDE">
              <w:rPr>
                <w:rFonts w:cstheme="minorHAnsi"/>
                <w:sz w:val="20"/>
              </w:rPr>
              <w:t>7)</w:t>
            </w:r>
          </w:p>
        </w:tc>
        <w:tc>
          <w:tcPr>
            <w:tcW w:w="1399" w:type="dxa"/>
          </w:tcPr>
          <w:p w14:paraId="7FA63779" w14:textId="5C890241" w:rsidR="00FF7B06" w:rsidRPr="00F32EDE" w:rsidRDefault="00A37C51" w:rsidP="00444DE8">
            <w:pPr>
              <w:spacing w:before="12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2325</w:t>
            </w:r>
          </w:p>
        </w:tc>
        <w:tc>
          <w:tcPr>
            <w:tcW w:w="2371" w:type="dxa"/>
          </w:tcPr>
          <w:p w14:paraId="26AB1166" w14:textId="51368273" w:rsidR="00FF7B06" w:rsidRPr="00F32EDE" w:rsidRDefault="00A37C51" w:rsidP="00444DE8">
            <w:pPr>
              <w:spacing w:before="12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28</w:t>
            </w:r>
            <w:r w:rsidR="00FF7B06" w:rsidRPr="00F32EDE">
              <w:rPr>
                <w:rFonts w:cstheme="minorHAnsi"/>
                <w:sz w:val="20"/>
              </w:rPr>
              <w:t xml:space="preserve"> (</w:t>
            </w:r>
            <w:r w:rsidR="00C0467C">
              <w:rPr>
                <w:rFonts w:cstheme="minorHAnsi"/>
                <w:sz w:val="20"/>
              </w:rPr>
              <w:t>1</w:t>
            </w:r>
            <w:r w:rsidR="00C0467C">
              <w:rPr>
                <w:rStyle w:val="st1"/>
                <w:rFonts w:ascii="Arial" w:hAnsi="Arial" w:cs="Arial"/>
                <w:color w:val="3C4043"/>
                <w:sz w:val="21"/>
                <w:szCs w:val="21"/>
              </w:rPr>
              <w:t>·</w:t>
            </w:r>
            <w:r>
              <w:rPr>
                <w:rFonts w:cstheme="minorHAnsi"/>
                <w:sz w:val="20"/>
              </w:rPr>
              <w:t>2</w:t>
            </w:r>
            <w:r w:rsidR="00FF7B06" w:rsidRPr="00F32EDE">
              <w:rPr>
                <w:rFonts w:cstheme="minorHAnsi"/>
                <w:sz w:val="20"/>
              </w:rPr>
              <w:t>%)</w:t>
            </w:r>
          </w:p>
        </w:tc>
        <w:tc>
          <w:tcPr>
            <w:tcW w:w="2756" w:type="dxa"/>
          </w:tcPr>
          <w:p w14:paraId="0BC73406" w14:textId="65E99511" w:rsidR="00FF7B06" w:rsidRPr="005721BA" w:rsidRDefault="00C0467C" w:rsidP="000D59F4">
            <w:pPr>
              <w:spacing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1</w:t>
            </w:r>
            <w:r>
              <w:rPr>
                <w:rStyle w:val="st1"/>
                <w:rFonts w:ascii="Arial" w:hAnsi="Arial" w:cs="Arial"/>
                <w:color w:val="3C4043"/>
                <w:sz w:val="21"/>
                <w:szCs w:val="21"/>
              </w:rPr>
              <w:t>·</w:t>
            </w:r>
            <w:r w:rsidR="000D59F4">
              <w:rPr>
                <w:rFonts w:cstheme="minorHAnsi"/>
                <w:sz w:val="20"/>
                <w:szCs w:val="18"/>
              </w:rPr>
              <w:t>0</w:t>
            </w:r>
            <w:r w:rsidR="00F32EDE">
              <w:rPr>
                <w:rFonts w:cstheme="minorHAnsi"/>
                <w:sz w:val="20"/>
                <w:szCs w:val="18"/>
              </w:rPr>
              <w:t xml:space="preserve"> </w:t>
            </w:r>
            <w:r w:rsidR="005721BA" w:rsidRPr="00831FB6">
              <w:rPr>
                <w:rFonts w:cstheme="minorHAnsi"/>
                <w:sz w:val="20"/>
                <w:szCs w:val="18"/>
              </w:rPr>
              <w:t>(</w:t>
            </w:r>
            <w:r>
              <w:rPr>
                <w:rFonts w:cstheme="minorHAnsi"/>
                <w:sz w:val="20"/>
                <w:szCs w:val="18"/>
              </w:rPr>
              <w:t>0</w:t>
            </w:r>
            <w:r>
              <w:rPr>
                <w:rStyle w:val="st1"/>
                <w:rFonts w:ascii="Arial" w:hAnsi="Arial" w:cs="Arial"/>
                <w:color w:val="3C4043"/>
                <w:sz w:val="21"/>
                <w:szCs w:val="21"/>
              </w:rPr>
              <w:t>·</w:t>
            </w:r>
            <w:r w:rsidR="000D59F4">
              <w:rPr>
                <w:rFonts w:cstheme="minorHAnsi"/>
                <w:sz w:val="20"/>
                <w:szCs w:val="18"/>
              </w:rPr>
              <w:t>3</w:t>
            </w:r>
            <w:r w:rsidR="005721BA">
              <w:rPr>
                <w:rFonts w:cstheme="minorHAnsi"/>
                <w:sz w:val="20"/>
                <w:szCs w:val="18"/>
              </w:rPr>
              <w:t xml:space="preserve"> to </w:t>
            </w:r>
            <w:r>
              <w:rPr>
                <w:rFonts w:cstheme="minorHAnsi"/>
                <w:sz w:val="20"/>
                <w:szCs w:val="18"/>
              </w:rPr>
              <w:t>1</w:t>
            </w:r>
            <w:r>
              <w:rPr>
                <w:rStyle w:val="st1"/>
                <w:rFonts w:ascii="Arial" w:hAnsi="Arial" w:cs="Arial"/>
                <w:color w:val="3C4043"/>
                <w:sz w:val="21"/>
                <w:szCs w:val="21"/>
              </w:rPr>
              <w:t>·</w:t>
            </w:r>
            <w:r w:rsidR="000D59F4">
              <w:rPr>
                <w:rFonts w:cstheme="minorHAnsi"/>
                <w:sz w:val="20"/>
                <w:szCs w:val="18"/>
              </w:rPr>
              <w:t>7</w:t>
            </w:r>
            <w:r w:rsidR="005721BA" w:rsidRPr="00831FB6">
              <w:rPr>
                <w:rFonts w:cstheme="minorHAnsi"/>
                <w:sz w:val="20"/>
                <w:szCs w:val="18"/>
              </w:rPr>
              <w:t>)</w:t>
            </w:r>
          </w:p>
        </w:tc>
      </w:tr>
      <w:tr w:rsidR="00FF7B06" w:rsidRPr="00AA2B8E" w14:paraId="664AF62A" w14:textId="77777777" w:rsidTr="00D24E9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82" w:type="dxa"/>
          </w:tcPr>
          <w:p w14:paraId="11D7795A" w14:textId="77777777" w:rsidR="00FF7B06" w:rsidRPr="00F32EDE" w:rsidRDefault="00FF7B06" w:rsidP="00444DE8">
            <w:pPr>
              <w:spacing w:before="120" w:line="320" w:lineRule="atLeast"/>
              <w:jc w:val="both"/>
              <w:rPr>
                <w:rFonts w:cstheme="minorHAnsi"/>
                <w:b w:val="0"/>
                <w:sz w:val="20"/>
              </w:rPr>
            </w:pPr>
          </w:p>
        </w:tc>
        <w:tc>
          <w:tcPr>
            <w:tcW w:w="2690" w:type="dxa"/>
          </w:tcPr>
          <w:p w14:paraId="125727B9" w14:textId="2917D74F" w:rsidR="00FF7B06" w:rsidRPr="00F32EDE" w:rsidRDefault="00FF7B06" w:rsidP="00444DE8">
            <w:pPr>
              <w:spacing w:before="120" w:line="320" w:lineRule="atLeast"/>
              <w:jc w:val="both"/>
              <w:cnfStyle w:val="000000100000" w:firstRow="0" w:lastRow="0" w:firstColumn="0" w:lastColumn="0" w:oddVBand="0" w:evenVBand="0" w:oddHBand="1" w:evenHBand="0" w:firstRowFirstColumn="0" w:firstRowLastColumn="0" w:lastRowFirstColumn="0" w:lastRowLastColumn="0"/>
              <w:rPr>
                <w:rFonts w:cstheme="minorHAnsi"/>
                <w:b/>
                <w:sz w:val="20"/>
              </w:rPr>
            </w:pPr>
            <w:r w:rsidRPr="00F32EDE">
              <w:rPr>
                <w:rFonts w:cstheme="minorHAnsi"/>
                <w:b/>
                <w:sz w:val="20"/>
              </w:rPr>
              <w:t xml:space="preserve">Middle third: </w:t>
            </w:r>
            <w:r w:rsidR="00C0467C">
              <w:rPr>
                <w:rFonts w:cstheme="minorHAnsi"/>
                <w:sz w:val="20"/>
              </w:rPr>
              <w:t>83</w:t>
            </w:r>
            <w:r w:rsidR="00C0467C">
              <w:rPr>
                <w:rStyle w:val="st1"/>
                <w:rFonts w:ascii="Arial" w:hAnsi="Arial" w:cs="Arial"/>
                <w:color w:val="3C4043"/>
                <w:sz w:val="21"/>
                <w:szCs w:val="21"/>
              </w:rPr>
              <w:t>·</w:t>
            </w:r>
            <w:r w:rsidR="00606F33">
              <w:rPr>
                <w:rFonts w:cstheme="minorHAnsi"/>
                <w:sz w:val="20"/>
              </w:rPr>
              <w:t>1</w:t>
            </w:r>
            <w:r w:rsidRPr="00F32EDE">
              <w:rPr>
                <w:rFonts w:cstheme="minorHAnsi"/>
                <w:sz w:val="20"/>
              </w:rPr>
              <w:t>, (67 to 105)</w:t>
            </w:r>
          </w:p>
        </w:tc>
        <w:tc>
          <w:tcPr>
            <w:tcW w:w="1399" w:type="dxa"/>
          </w:tcPr>
          <w:p w14:paraId="349B9643" w14:textId="2949869E" w:rsidR="00FF7B06" w:rsidRPr="00F32EDE" w:rsidRDefault="00FF7B06" w:rsidP="00444DE8">
            <w:pPr>
              <w:spacing w:before="12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sz w:val="20"/>
              </w:rPr>
            </w:pPr>
            <w:r w:rsidRPr="00F32EDE">
              <w:rPr>
                <w:rFonts w:cstheme="minorHAnsi"/>
                <w:sz w:val="20"/>
              </w:rPr>
              <w:t>2</w:t>
            </w:r>
            <w:r w:rsidR="00A37C51">
              <w:rPr>
                <w:rFonts w:cstheme="minorHAnsi"/>
                <w:sz w:val="20"/>
              </w:rPr>
              <w:t>324</w:t>
            </w:r>
          </w:p>
        </w:tc>
        <w:tc>
          <w:tcPr>
            <w:tcW w:w="2371" w:type="dxa"/>
          </w:tcPr>
          <w:p w14:paraId="4FE048B4" w14:textId="066AE47E" w:rsidR="00FF7B06" w:rsidRPr="00F32EDE" w:rsidRDefault="00A37C51" w:rsidP="00444DE8">
            <w:pPr>
              <w:spacing w:before="120"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27</w:t>
            </w:r>
            <w:r w:rsidR="00FF7B06" w:rsidRPr="00F32EDE">
              <w:rPr>
                <w:rFonts w:cstheme="minorHAnsi"/>
                <w:sz w:val="20"/>
              </w:rPr>
              <w:t xml:space="preserve"> (</w:t>
            </w:r>
            <w:r w:rsidR="00C0467C">
              <w:rPr>
                <w:rFonts w:cstheme="minorHAnsi"/>
                <w:sz w:val="20"/>
              </w:rPr>
              <w:t>1</w:t>
            </w:r>
            <w:r w:rsidR="00C0467C">
              <w:rPr>
                <w:rStyle w:val="st1"/>
                <w:rFonts w:ascii="Arial" w:hAnsi="Arial" w:cs="Arial"/>
                <w:color w:val="3C4043"/>
                <w:sz w:val="21"/>
                <w:szCs w:val="21"/>
              </w:rPr>
              <w:t>·</w:t>
            </w:r>
            <w:r>
              <w:rPr>
                <w:rFonts w:cstheme="minorHAnsi"/>
                <w:sz w:val="20"/>
              </w:rPr>
              <w:t>2</w:t>
            </w:r>
            <w:r w:rsidR="00FF7B06" w:rsidRPr="00F32EDE">
              <w:rPr>
                <w:rFonts w:cstheme="minorHAnsi"/>
                <w:sz w:val="20"/>
              </w:rPr>
              <w:t>%)</w:t>
            </w:r>
          </w:p>
        </w:tc>
        <w:tc>
          <w:tcPr>
            <w:tcW w:w="2756" w:type="dxa"/>
          </w:tcPr>
          <w:p w14:paraId="6A51FC5A" w14:textId="53E689EF" w:rsidR="00FF7B06" w:rsidRPr="005721BA" w:rsidRDefault="00C0467C" w:rsidP="00C0467C">
            <w:pPr>
              <w:spacing w:line="320" w:lineRule="atLeast"/>
              <w:jc w:val="cente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1</w:t>
            </w:r>
            <w:r>
              <w:rPr>
                <w:rStyle w:val="st1"/>
                <w:rFonts w:ascii="Arial" w:hAnsi="Arial" w:cs="Arial"/>
                <w:color w:val="3C4043"/>
                <w:sz w:val="21"/>
                <w:szCs w:val="21"/>
              </w:rPr>
              <w:t>·</w:t>
            </w:r>
            <w:r w:rsidR="000D59F4">
              <w:rPr>
                <w:rFonts w:cstheme="minorHAnsi"/>
                <w:sz w:val="20"/>
                <w:szCs w:val="18"/>
              </w:rPr>
              <w:t>1</w:t>
            </w:r>
            <w:r>
              <w:rPr>
                <w:rFonts w:cstheme="minorHAnsi"/>
                <w:sz w:val="20"/>
                <w:szCs w:val="18"/>
              </w:rPr>
              <w:t xml:space="preserve"> (</w:t>
            </w:r>
            <w:r w:rsidRPr="00294FCA">
              <w:rPr>
                <w:rFonts w:cstheme="minorHAnsi"/>
                <w:sz w:val="20"/>
                <w:szCs w:val="20"/>
              </w:rPr>
              <w:t>0</w:t>
            </w:r>
            <w:r w:rsidRPr="00294FCA">
              <w:rPr>
                <w:rStyle w:val="st1"/>
                <w:rFonts w:cs="Arial"/>
                <w:sz w:val="20"/>
                <w:szCs w:val="20"/>
              </w:rPr>
              <w:t>·4</w:t>
            </w:r>
            <w:r w:rsidR="005721BA" w:rsidRPr="00294FCA">
              <w:rPr>
                <w:rFonts w:cstheme="minorHAnsi"/>
                <w:sz w:val="20"/>
                <w:szCs w:val="20"/>
              </w:rPr>
              <w:t xml:space="preserve"> to </w:t>
            </w:r>
            <w:r w:rsidRPr="00294FCA">
              <w:rPr>
                <w:rFonts w:cstheme="minorHAnsi"/>
                <w:sz w:val="20"/>
                <w:szCs w:val="20"/>
              </w:rPr>
              <w:t>1</w:t>
            </w:r>
            <w:r>
              <w:rPr>
                <w:rStyle w:val="st1"/>
                <w:rFonts w:ascii="Arial" w:hAnsi="Arial" w:cs="Arial"/>
                <w:color w:val="3C4043"/>
                <w:sz w:val="21"/>
                <w:szCs w:val="21"/>
              </w:rPr>
              <w:t>·</w:t>
            </w:r>
            <w:r w:rsidR="000D59F4">
              <w:rPr>
                <w:rFonts w:cstheme="minorHAnsi"/>
                <w:sz w:val="20"/>
                <w:szCs w:val="18"/>
              </w:rPr>
              <w:t>8</w:t>
            </w:r>
            <w:r w:rsidR="005721BA">
              <w:rPr>
                <w:rFonts w:cstheme="minorHAnsi"/>
                <w:sz w:val="20"/>
                <w:szCs w:val="18"/>
              </w:rPr>
              <w:t>)</w:t>
            </w:r>
          </w:p>
        </w:tc>
      </w:tr>
      <w:tr w:rsidR="00FF7B06" w:rsidRPr="00AA2B8E" w14:paraId="3228F406" w14:textId="77777777" w:rsidTr="00D24E95">
        <w:trPr>
          <w:trHeight w:val="455"/>
        </w:trPr>
        <w:tc>
          <w:tcPr>
            <w:cnfStyle w:val="001000000000" w:firstRow="0" w:lastRow="0" w:firstColumn="1" w:lastColumn="0" w:oddVBand="0" w:evenVBand="0" w:oddHBand="0" w:evenHBand="0" w:firstRowFirstColumn="0" w:firstRowLastColumn="0" w:lastRowFirstColumn="0" w:lastRowLastColumn="0"/>
            <w:tcW w:w="282" w:type="dxa"/>
          </w:tcPr>
          <w:p w14:paraId="64D2918E" w14:textId="77777777" w:rsidR="00FF7B06" w:rsidRPr="00F32EDE" w:rsidRDefault="00FF7B06" w:rsidP="00444DE8">
            <w:pPr>
              <w:spacing w:before="120" w:line="320" w:lineRule="atLeast"/>
              <w:jc w:val="both"/>
              <w:rPr>
                <w:rFonts w:cstheme="minorHAnsi"/>
                <w:b w:val="0"/>
                <w:sz w:val="20"/>
              </w:rPr>
            </w:pPr>
          </w:p>
        </w:tc>
        <w:tc>
          <w:tcPr>
            <w:tcW w:w="2690" w:type="dxa"/>
          </w:tcPr>
          <w:p w14:paraId="7D26EECA" w14:textId="3EBD4C39" w:rsidR="00FF7B06" w:rsidRPr="00F32EDE" w:rsidRDefault="00FF7B06" w:rsidP="00444DE8">
            <w:pPr>
              <w:spacing w:before="120" w:line="320" w:lineRule="atLeast"/>
              <w:jc w:val="both"/>
              <w:cnfStyle w:val="000000000000" w:firstRow="0" w:lastRow="0" w:firstColumn="0" w:lastColumn="0" w:oddVBand="0" w:evenVBand="0" w:oddHBand="0" w:evenHBand="0" w:firstRowFirstColumn="0" w:firstRowLastColumn="0" w:lastRowFirstColumn="0" w:lastRowLastColumn="0"/>
              <w:rPr>
                <w:rFonts w:cstheme="minorHAnsi"/>
                <w:b/>
                <w:sz w:val="20"/>
              </w:rPr>
            </w:pPr>
            <w:r w:rsidRPr="00F32EDE">
              <w:rPr>
                <w:rFonts w:cstheme="minorHAnsi"/>
                <w:b/>
                <w:sz w:val="20"/>
              </w:rPr>
              <w:t xml:space="preserve">Higher third: </w:t>
            </w:r>
            <w:r w:rsidR="00C0467C">
              <w:rPr>
                <w:rFonts w:cstheme="minorHAnsi"/>
                <w:sz w:val="20"/>
              </w:rPr>
              <w:t>121</w:t>
            </w:r>
            <w:r w:rsidR="00C0467C">
              <w:rPr>
                <w:rStyle w:val="st1"/>
                <w:rFonts w:ascii="Arial" w:hAnsi="Arial" w:cs="Arial"/>
                <w:color w:val="3C4043"/>
                <w:sz w:val="21"/>
                <w:szCs w:val="21"/>
              </w:rPr>
              <w:t>·</w:t>
            </w:r>
            <w:r w:rsidR="00606F33">
              <w:rPr>
                <w:rFonts w:cstheme="minorHAnsi"/>
                <w:sz w:val="20"/>
              </w:rPr>
              <w:t>9</w:t>
            </w:r>
            <w:r w:rsidRPr="00F32EDE">
              <w:rPr>
                <w:rFonts w:cstheme="minorHAnsi"/>
                <w:sz w:val="20"/>
              </w:rPr>
              <w:t>, (&gt;105)</w:t>
            </w:r>
          </w:p>
        </w:tc>
        <w:tc>
          <w:tcPr>
            <w:tcW w:w="1399" w:type="dxa"/>
          </w:tcPr>
          <w:p w14:paraId="59A3C566" w14:textId="474DC52B" w:rsidR="00FF7B06" w:rsidRPr="00F32EDE" w:rsidRDefault="00FF7B06" w:rsidP="00444DE8">
            <w:pPr>
              <w:spacing w:before="12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F32EDE">
              <w:rPr>
                <w:rFonts w:cstheme="minorHAnsi"/>
                <w:sz w:val="20"/>
              </w:rPr>
              <w:t>2</w:t>
            </w:r>
            <w:r w:rsidR="00A37C51">
              <w:rPr>
                <w:rFonts w:cstheme="minorHAnsi"/>
                <w:sz w:val="20"/>
              </w:rPr>
              <w:t>324</w:t>
            </w:r>
          </w:p>
        </w:tc>
        <w:tc>
          <w:tcPr>
            <w:tcW w:w="2371" w:type="dxa"/>
          </w:tcPr>
          <w:p w14:paraId="7AD8CA5E" w14:textId="2AFFC75A" w:rsidR="00FF7B06" w:rsidRPr="00F32EDE" w:rsidRDefault="00A37C51" w:rsidP="00444DE8">
            <w:pPr>
              <w:spacing w:before="120"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37 </w:t>
            </w:r>
            <w:r w:rsidR="00FF7B06" w:rsidRPr="00F32EDE">
              <w:rPr>
                <w:rFonts w:cstheme="minorHAnsi"/>
                <w:sz w:val="20"/>
              </w:rPr>
              <w:t>(</w:t>
            </w:r>
            <w:r w:rsidR="00C0467C">
              <w:rPr>
                <w:rFonts w:cstheme="minorHAnsi"/>
                <w:sz w:val="20"/>
              </w:rPr>
              <w:t>1</w:t>
            </w:r>
            <w:r w:rsidR="00C0467C">
              <w:rPr>
                <w:rStyle w:val="st1"/>
                <w:rFonts w:ascii="Arial" w:hAnsi="Arial" w:cs="Arial"/>
                <w:color w:val="3C4043"/>
                <w:sz w:val="21"/>
                <w:szCs w:val="21"/>
              </w:rPr>
              <w:t>·</w:t>
            </w:r>
            <w:r>
              <w:rPr>
                <w:rFonts w:cstheme="minorHAnsi"/>
                <w:sz w:val="20"/>
              </w:rPr>
              <w:t>6</w:t>
            </w:r>
            <w:r w:rsidR="00FF7B06" w:rsidRPr="00F32EDE">
              <w:rPr>
                <w:rFonts w:cstheme="minorHAnsi"/>
                <w:sz w:val="20"/>
              </w:rPr>
              <w:t>%)</w:t>
            </w:r>
          </w:p>
        </w:tc>
        <w:tc>
          <w:tcPr>
            <w:tcW w:w="2756" w:type="dxa"/>
          </w:tcPr>
          <w:p w14:paraId="69D88310" w14:textId="2E437554" w:rsidR="00FF7B06" w:rsidRPr="005721BA" w:rsidRDefault="00C0467C" w:rsidP="00444DE8">
            <w:pPr>
              <w:spacing w:line="320" w:lineRule="atLeast"/>
              <w:jc w:val="cente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1</w:t>
            </w:r>
            <w:r>
              <w:rPr>
                <w:rStyle w:val="st1"/>
                <w:rFonts w:ascii="Arial" w:hAnsi="Arial" w:cs="Arial"/>
                <w:color w:val="3C4043"/>
                <w:sz w:val="21"/>
                <w:szCs w:val="21"/>
              </w:rPr>
              <w:t>·</w:t>
            </w:r>
            <w:r w:rsidR="000D59F4">
              <w:rPr>
                <w:rFonts w:cstheme="minorHAnsi"/>
                <w:sz w:val="20"/>
                <w:szCs w:val="18"/>
              </w:rPr>
              <w:t>5</w:t>
            </w:r>
            <w:r w:rsidR="005721BA">
              <w:rPr>
                <w:rFonts w:cstheme="minorHAnsi"/>
                <w:sz w:val="20"/>
                <w:szCs w:val="18"/>
              </w:rPr>
              <w:t xml:space="preserve"> </w:t>
            </w:r>
            <w:r w:rsidR="005721BA" w:rsidRPr="00831FB6">
              <w:rPr>
                <w:rFonts w:cstheme="minorHAnsi"/>
                <w:sz w:val="20"/>
                <w:szCs w:val="18"/>
              </w:rPr>
              <w:t>(</w:t>
            </w:r>
            <w:r>
              <w:rPr>
                <w:rFonts w:cstheme="minorHAnsi"/>
                <w:sz w:val="20"/>
                <w:szCs w:val="18"/>
              </w:rPr>
              <w:t>0</w:t>
            </w:r>
            <w:r>
              <w:rPr>
                <w:rStyle w:val="st1"/>
                <w:rFonts w:ascii="Arial" w:hAnsi="Arial" w:cs="Arial"/>
                <w:color w:val="3C4043"/>
                <w:sz w:val="21"/>
                <w:szCs w:val="21"/>
              </w:rPr>
              <w:t>·</w:t>
            </w:r>
            <w:r w:rsidR="00F32EDE">
              <w:rPr>
                <w:rFonts w:cstheme="minorHAnsi"/>
                <w:sz w:val="20"/>
                <w:szCs w:val="18"/>
              </w:rPr>
              <w:t>5</w:t>
            </w:r>
            <w:r w:rsidR="005721BA" w:rsidRPr="00831FB6">
              <w:rPr>
                <w:rFonts w:cstheme="minorHAnsi"/>
                <w:sz w:val="20"/>
                <w:szCs w:val="18"/>
              </w:rPr>
              <w:t xml:space="preserve"> to </w:t>
            </w:r>
            <w:r>
              <w:rPr>
                <w:rFonts w:cstheme="minorHAnsi"/>
                <w:sz w:val="20"/>
                <w:szCs w:val="18"/>
              </w:rPr>
              <w:t>2</w:t>
            </w:r>
            <w:r>
              <w:rPr>
                <w:rStyle w:val="st1"/>
                <w:rFonts w:ascii="Arial" w:hAnsi="Arial" w:cs="Arial"/>
                <w:color w:val="3C4043"/>
                <w:sz w:val="21"/>
                <w:szCs w:val="21"/>
              </w:rPr>
              <w:t>·</w:t>
            </w:r>
            <w:r w:rsidR="000D59F4">
              <w:rPr>
                <w:rFonts w:cstheme="minorHAnsi"/>
                <w:sz w:val="20"/>
                <w:szCs w:val="18"/>
              </w:rPr>
              <w:t>4</w:t>
            </w:r>
            <w:r w:rsidR="005721BA" w:rsidRPr="00831FB6">
              <w:rPr>
                <w:rFonts w:cstheme="minorHAnsi"/>
                <w:sz w:val="20"/>
                <w:szCs w:val="18"/>
              </w:rPr>
              <w:t>)</w:t>
            </w:r>
          </w:p>
        </w:tc>
      </w:tr>
    </w:tbl>
    <w:p w14:paraId="682663A4" w14:textId="77777777" w:rsidR="00AA2B8E" w:rsidRPr="00AA2B8E" w:rsidRDefault="00AA2B8E" w:rsidP="00444DE8">
      <w:pPr>
        <w:autoSpaceDE w:val="0"/>
        <w:autoSpaceDN w:val="0"/>
        <w:adjustRightInd w:val="0"/>
        <w:spacing w:after="0" w:line="320" w:lineRule="atLeast"/>
        <w:rPr>
          <w:rFonts w:eastAsia="Calibri" w:cstheme="minorHAnsi"/>
        </w:rPr>
      </w:pPr>
    </w:p>
    <w:p w14:paraId="23C98623" w14:textId="79C9962D" w:rsidR="00F74995" w:rsidRPr="00831FB6" w:rsidRDefault="00F74995" w:rsidP="00444DE8">
      <w:pPr>
        <w:spacing w:line="320" w:lineRule="atLeast"/>
        <w:rPr>
          <w:rFonts w:cstheme="minorHAnsi"/>
          <w:szCs w:val="20"/>
        </w:rPr>
      </w:pPr>
      <w:r w:rsidRPr="00831FB6">
        <w:rPr>
          <w:rFonts w:cstheme="minorHAnsi"/>
          <w:szCs w:val="20"/>
        </w:rPr>
        <w:t>† 'Average' participants were specified according to the largest categories or mean cohort values. Predicted estimates represent an a</w:t>
      </w:r>
      <w:r>
        <w:rPr>
          <w:rFonts w:cstheme="minorHAnsi"/>
          <w:szCs w:val="20"/>
        </w:rPr>
        <w:t>verage birth, not specified by c</w:t>
      </w:r>
      <w:r w:rsidRPr="00831FB6">
        <w:rPr>
          <w:rFonts w:cstheme="minorHAnsi"/>
          <w:szCs w:val="20"/>
        </w:rPr>
        <w:t xml:space="preserve">hild's sex </w:t>
      </w:r>
      <w:r>
        <w:rPr>
          <w:rFonts w:cstheme="minorHAnsi"/>
          <w:szCs w:val="20"/>
        </w:rPr>
        <w:t>- related</w:t>
      </w:r>
      <w:r w:rsidRPr="00831FB6">
        <w:rPr>
          <w:rFonts w:cstheme="minorHAnsi"/>
          <w:szCs w:val="20"/>
        </w:rPr>
        <w:t xml:space="preserve"> to </w:t>
      </w:r>
      <w:r w:rsidRPr="00831FB6">
        <w:rPr>
          <w:rFonts w:cstheme="minorHAnsi"/>
        </w:rPr>
        <w:t>participants who are primiparous, white ethnic background, 'Employed and not materially deprived', did not smoke, drink</w:t>
      </w:r>
      <w:r w:rsidR="00FC0337">
        <w:rPr>
          <w:rFonts w:cstheme="minorHAnsi"/>
        </w:rPr>
        <w:t xml:space="preserve">, were of mean </w:t>
      </w:r>
      <w:r w:rsidR="00AA116A">
        <w:rPr>
          <w:rFonts w:cstheme="minorHAnsi"/>
        </w:rPr>
        <w:t>a</w:t>
      </w:r>
      <w:r w:rsidRPr="00831FB6">
        <w:rPr>
          <w:rFonts w:cstheme="minorHAnsi"/>
        </w:rPr>
        <w:t>ge</w:t>
      </w:r>
      <w:r w:rsidR="00FC0337">
        <w:rPr>
          <w:rFonts w:cstheme="minorHAnsi"/>
        </w:rPr>
        <w:t xml:space="preserve"> and an average BMI</w:t>
      </w:r>
      <w:r w:rsidRPr="00831FB6">
        <w:rPr>
          <w:rFonts w:cstheme="minorHAnsi"/>
        </w:rPr>
        <w:t>.</w:t>
      </w:r>
      <w:r w:rsidRPr="00831FB6">
        <w:rPr>
          <w:rFonts w:cstheme="minorHAnsi"/>
          <w:szCs w:val="20"/>
        </w:rPr>
        <w:t xml:space="preserve"> </w:t>
      </w:r>
    </w:p>
    <w:p w14:paraId="052BB45A" w14:textId="77777777" w:rsidR="00AA2B8E" w:rsidRPr="00AA2B8E" w:rsidRDefault="00AA2B8E" w:rsidP="00444DE8">
      <w:pPr>
        <w:autoSpaceDE w:val="0"/>
        <w:autoSpaceDN w:val="0"/>
        <w:adjustRightInd w:val="0"/>
        <w:spacing w:after="0" w:line="320" w:lineRule="atLeast"/>
        <w:rPr>
          <w:rFonts w:eastAsia="Calibri" w:cstheme="minorHAnsi"/>
        </w:rPr>
      </w:pPr>
    </w:p>
    <w:p w14:paraId="78B286AE" w14:textId="77777777" w:rsidR="00AA2B8E" w:rsidRPr="00AA2B8E" w:rsidRDefault="00AA2B8E" w:rsidP="00444DE8">
      <w:pPr>
        <w:autoSpaceDE w:val="0"/>
        <w:autoSpaceDN w:val="0"/>
        <w:adjustRightInd w:val="0"/>
        <w:spacing w:after="0" w:line="320" w:lineRule="atLeast"/>
        <w:rPr>
          <w:rFonts w:eastAsia="Calibri" w:cstheme="minorHAnsi"/>
        </w:rPr>
      </w:pPr>
    </w:p>
    <w:p w14:paraId="73E5C4EF" w14:textId="77777777" w:rsidR="00AA2B8E" w:rsidRPr="00AA2B8E" w:rsidRDefault="00AA2B8E" w:rsidP="00444DE8">
      <w:pPr>
        <w:autoSpaceDE w:val="0"/>
        <w:autoSpaceDN w:val="0"/>
        <w:adjustRightInd w:val="0"/>
        <w:spacing w:after="0" w:line="320" w:lineRule="atLeast"/>
        <w:rPr>
          <w:rFonts w:eastAsia="Calibri" w:cstheme="minorHAnsi"/>
        </w:rPr>
      </w:pPr>
    </w:p>
    <w:p w14:paraId="50C0EB40" w14:textId="77777777" w:rsidR="00AA2B8E" w:rsidRPr="00AA2B8E" w:rsidRDefault="00AA2B8E" w:rsidP="00444DE8">
      <w:pPr>
        <w:autoSpaceDE w:val="0"/>
        <w:autoSpaceDN w:val="0"/>
        <w:adjustRightInd w:val="0"/>
        <w:spacing w:after="0" w:line="320" w:lineRule="atLeast"/>
        <w:rPr>
          <w:rFonts w:eastAsia="Calibri" w:cstheme="minorHAnsi"/>
        </w:rPr>
      </w:pPr>
    </w:p>
    <w:p w14:paraId="140DDBC8" w14:textId="77777777" w:rsidR="00AA2B8E" w:rsidRPr="00AA2B8E" w:rsidRDefault="00AA2B8E" w:rsidP="00444DE8">
      <w:pPr>
        <w:autoSpaceDE w:val="0"/>
        <w:autoSpaceDN w:val="0"/>
        <w:adjustRightInd w:val="0"/>
        <w:spacing w:after="0" w:line="320" w:lineRule="atLeast"/>
        <w:rPr>
          <w:rFonts w:eastAsia="Calibri" w:cstheme="minorHAnsi"/>
        </w:rPr>
      </w:pPr>
    </w:p>
    <w:p w14:paraId="278C6009" w14:textId="77777777" w:rsidR="00DD02F6" w:rsidRDefault="00DD02F6" w:rsidP="00DD02F6">
      <w:pPr>
        <w:autoSpaceDE w:val="0"/>
        <w:autoSpaceDN w:val="0"/>
        <w:adjustRightInd w:val="0"/>
        <w:spacing w:after="0" w:line="320" w:lineRule="atLeast"/>
        <w:rPr>
          <w:rFonts w:eastAsia="Calibri" w:cstheme="minorHAnsi"/>
          <w:b/>
        </w:rPr>
      </w:pPr>
    </w:p>
    <w:p w14:paraId="577ED1E6" w14:textId="77777777" w:rsidR="00DD02F6" w:rsidRDefault="00DD02F6" w:rsidP="00DD02F6">
      <w:pPr>
        <w:autoSpaceDE w:val="0"/>
        <w:autoSpaceDN w:val="0"/>
        <w:adjustRightInd w:val="0"/>
        <w:spacing w:after="0" w:line="320" w:lineRule="atLeast"/>
        <w:rPr>
          <w:rFonts w:eastAsia="Calibri" w:cstheme="minorHAnsi"/>
          <w:b/>
        </w:rPr>
      </w:pPr>
    </w:p>
    <w:p w14:paraId="45A9DDE9" w14:textId="77777777" w:rsidR="00DD02F6" w:rsidRDefault="00DD02F6" w:rsidP="00DD02F6">
      <w:pPr>
        <w:autoSpaceDE w:val="0"/>
        <w:autoSpaceDN w:val="0"/>
        <w:adjustRightInd w:val="0"/>
        <w:spacing w:after="0" w:line="320" w:lineRule="atLeast"/>
        <w:rPr>
          <w:rFonts w:eastAsia="Calibri" w:cstheme="minorHAnsi"/>
          <w:b/>
        </w:rPr>
      </w:pPr>
    </w:p>
    <w:p w14:paraId="1224482F" w14:textId="77777777" w:rsidR="00DD02F6" w:rsidRDefault="00DD02F6" w:rsidP="00DD02F6">
      <w:pPr>
        <w:autoSpaceDE w:val="0"/>
        <w:autoSpaceDN w:val="0"/>
        <w:adjustRightInd w:val="0"/>
        <w:spacing w:after="0" w:line="320" w:lineRule="atLeast"/>
        <w:rPr>
          <w:rFonts w:eastAsia="Calibri" w:cstheme="minorHAnsi"/>
          <w:b/>
        </w:rPr>
      </w:pPr>
    </w:p>
    <w:p w14:paraId="21AA63ED" w14:textId="77777777" w:rsidR="00DD02F6" w:rsidRDefault="00DD02F6" w:rsidP="00DD02F6">
      <w:pPr>
        <w:autoSpaceDE w:val="0"/>
        <w:autoSpaceDN w:val="0"/>
        <w:adjustRightInd w:val="0"/>
        <w:spacing w:after="0" w:line="320" w:lineRule="atLeast"/>
        <w:rPr>
          <w:rFonts w:eastAsia="Calibri" w:cstheme="minorHAnsi"/>
          <w:b/>
        </w:rPr>
      </w:pPr>
    </w:p>
    <w:p w14:paraId="400211C6" w14:textId="77777777" w:rsidR="00DD02F6" w:rsidRDefault="00DD02F6" w:rsidP="00DD02F6">
      <w:pPr>
        <w:autoSpaceDE w:val="0"/>
        <w:autoSpaceDN w:val="0"/>
        <w:adjustRightInd w:val="0"/>
        <w:spacing w:after="0" w:line="320" w:lineRule="atLeast"/>
        <w:rPr>
          <w:rFonts w:eastAsia="Calibri" w:cstheme="minorHAnsi"/>
          <w:b/>
        </w:rPr>
      </w:pPr>
    </w:p>
    <w:p w14:paraId="40EE7C95" w14:textId="77777777" w:rsidR="00DD02F6" w:rsidRDefault="00DD02F6" w:rsidP="00DD02F6">
      <w:pPr>
        <w:autoSpaceDE w:val="0"/>
        <w:autoSpaceDN w:val="0"/>
        <w:adjustRightInd w:val="0"/>
        <w:spacing w:after="0" w:line="320" w:lineRule="atLeast"/>
        <w:rPr>
          <w:rFonts w:eastAsia="Calibri" w:cstheme="minorHAnsi"/>
          <w:b/>
        </w:rPr>
      </w:pPr>
    </w:p>
    <w:p w14:paraId="4124E8BF" w14:textId="67E89240" w:rsidR="00DD02F6" w:rsidRDefault="00DD02F6" w:rsidP="00DD02F6">
      <w:pPr>
        <w:autoSpaceDE w:val="0"/>
        <w:autoSpaceDN w:val="0"/>
        <w:adjustRightInd w:val="0"/>
        <w:spacing w:after="0" w:line="320" w:lineRule="atLeast"/>
        <w:rPr>
          <w:rFonts w:eastAsia="Calibri" w:cstheme="minorHAnsi"/>
          <w:b/>
        </w:rPr>
      </w:pPr>
    </w:p>
    <w:p w14:paraId="603F9FE1" w14:textId="2AE76E9C" w:rsidR="00396072" w:rsidRDefault="00396072" w:rsidP="00DD02F6">
      <w:pPr>
        <w:autoSpaceDE w:val="0"/>
        <w:autoSpaceDN w:val="0"/>
        <w:adjustRightInd w:val="0"/>
        <w:spacing w:after="0" w:line="320" w:lineRule="atLeast"/>
        <w:rPr>
          <w:rFonts w:eastAsia="Calibri" w:cstheme="minorHAnsi"/>
          <w:b/>
        </w:rPr>
      </w:pPr>
    </w:p>
    <w:p w14:paraId="0B8B1FA8" w14:textId="734A205B" w:rsidR="00396072" w:rsidRDefault="00396072" w:rsidP="00DD02F6">
      <w:pPr>
        <w:autoSpaceDE w:val="0"/>
        <w:autoSpaceDN w:val="0"/>
        <w:adjustRightInd w:val="0"/>
        <w:spacing w:after="0" w:line="320" w:lineRule="atLeast"/>
        <w:rPr>
          <w:rFonts w:eastAsia="Calibri" w:cstheme="minorHAnsi"/>
          <w:b/>
        </w:rPr>
      </w:pPr>
    </w:p>
    <w:p w14:paraId="7DC84954" w14:textId="77777777" w:rsidR="00396072" w:rsidRDefault="00396072" w:rsidP="00DD02F6">
      <w:pPr>
        <w:autoSpaceDE w:val="0"/>
        <w:autoSpaceDN w:val="0"/>
        <w:adjustRightInd w:val="0"/>
        <w:spacing w:after="0" w:line="320" w:lineRule="atLeast"/>
        <w:rPr>
          <w:rFonts w:eastAsia="Calibri" w:cstheme="minorHAnsi"/>
          <w:b/>
        </w:rPr>
      </w:pPr>
    </w:p>
    <w:p w14:paraId="20418A05" w14:textId="77777777" w:rsidR="00DD02F6" w:rsidRDefault="00DD02F6" w:rsidP="00DD02F6">
      <w:pPr>
        <w:autoSpaceDE w:val="0"/>
        <w:autoSpaceDN w:val="0"/>
        <w:adjustRightInd w:val="0"/>
        <w:spacing w:after="0" w:line="320" w:lineRule="atLeast"/>
        <w:rPr>
          <w:rFonts w:eastAsia="Calibri" w:cstheme="minorHAnsi"/>
          <w:b/>
        </w:rPr>
      </w:pPr>
    </w:p>
    <w:p w14:paraId="1A0DF3CD" w14:textId="77777777" w:rsidR="00DD02F6" w:rsidRDefault="00DD02F6" w:rsidP="00DD02F6">
      <w:pPr>
        <w:autoSpaceDE w:val="0"/>
        <w:autoSpaceDN w:val="0"/>
        <w:adjustRightInd w:val="0"/>
        <w:spacing w:after="0" w:line="320" w:lineRule="atLeast"/>
        <w:rPr>
          <w:rFonts w:eastAsia="Calibri" w:cstheme="minorHAnsi"/>
          <w:b/>
        </w:rPr>
      </w:pPr>
    </w:p>
    <w:p w14:paraId="7B6A57FB" w14:textId="77777777" w:rsidR="00DD02F6" w:rsidRDefault="00DD02F6" w:rsidP="00DD02F6">
      <w:pPr>
        <w:autoSpaceDE w:val="0"/>
        <w:autoSpaceDN w:val="0"/>
        <w:adjustRightInd w:val="0"/>
        <w:spacing w:after="0" w:line="320" w:lineRule="atLeast"/>
        <w:rPr>
          <w:rFonts w:eastAsia="Calibri" w:cstheme="minorHAnsi"/>
          <w:b/>
        </w:rPr>
      </w:pPr>
    </w:p>
    <w:p w14:paraId="4DFF6852" w14:textId="77777777" w:rsidR="00DD02F6" w:rsidRDefault="00DD02F6" w:rsidP="00DD02F6">
      <w:pPr>
        <w:autoSpaceDE w:val="0"/>
        <w:autoSpaceDN w:val="0"/>
        <w:adjustRightInd w:val="0"/>
        <w:spacing w:after="0" w:line="320" w:lineRule="atLeast"/>
        <w:rPr>
          <w:rFonts w:eastAsia="Calibri" w:cstheme="minorHAnsi"/>
          <w:b/>
        </w:rPr>
      </w:pPr>
    </w:p>
    <w:p w14:paraId="1336B7C2" w14:textId="77777777" w:rsidR="00DD02F6" w:rsidRDefault="00DD02F6" w:rsidP="00DD02F6">
      <w:pPr>
        <w:autoSpaceDE w:val="0"/>
        <w:autoSpaceDN w:val="0"/>
        <w:adjustRightInd w:val="0"/>
        <w:spacing w:after="0" w:line="320" w:lineRule="atLeast"/>
        <w:rPr>
          <w:rFonts w:eastAsia="Calibri" w:cstheme="minorHAnsi"/>
          <w:b/>
        </w:rPr>
      </w:pPr>
    </w:p>
    <w:p w14:paraId="1822F7B7" w14:textId="77777777" w:rsidR="00396072" w:rsidRDefault="00396072" w:rsidP="00396072">
      <w:pPr>
        <w:autoSpaceDE w:val="0"/>
        <w:autoSpaceDN w:val="0"/>
        <w:adjustRightInd w:val="0"/>
        <w:spacing w:after="0" w:line="320" w:lineRule="atLeast"/>
        <w:rPr>
          <w:rFonts w:eastAsia="Calibri" w:cstheme="minorHAnsi"/>
          <w:b/>
        </w:rPr>
      </w:pPr>
    </w:p>
    <w:sectPr w:rsidR="00396072" w:rsidSect="00FF7B06">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34C31" w14:textId="77777777" w:rsidR="00EF7804" w:rsidRDefault="00EF7804" w:rsidP="00893C58">
      <w:pPr>
        <w:spacing w:after="0" w:line="240" w:lineRule="auto"/>
      </w:pPr>
      <w:r>
        <w:separator/>
      </w:r>
    </w:p>
  </w:endnote>
  <w:endnote w:type="continuationSeparator" w:id="0">
    <w:p w14:paraId="32BF4F61" w14:textId="77777777" w:rsidR="00EF7804" w:rsidRDefault="00EF7804" w:rsidP="0089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LMSans10-Regular">
    <w:altName w:val="Calibri"/>
    <w:panose1 w:val="00000000000000000000"/>
    <w:charset w:val="00"/>
    <w:family w:val="auto"/>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ScalaLancetPro">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29711"/>
      <w:docPartObj>
        <w:docPartGallery w:val="Page Numbers (Bottom of Page)"/>
        <w:docPartUnique/>
      </w:docPartObj>
    </w:sdtPr>
    <w:sdtEndPr>
      <w:rPr>
        <w:noProof/>
      </w:rPr>
    </w:sdtEndPr>
    <w:sdtContent>
      <w:p w14:paraId="59DAFF3D" w14:textId="07CE922E" w:rsidR="00451E35" w:rsidRDefault="00451E3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7479A50" w14:textId="77777777" w:rsidR="00451E35" w:rsidRDefault="0045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C6EC" w14:textId="77777777" w:rsidR="00EF7804" w:rsidRDefault="00EF7804" w:rsidP="00893C58">
      <w:pPr>
        <w:spacing w:after="0" w:line="240" w:lineRule="auto"/>
      </w:pPr>
      <w:r>
        <w:separator/>
      </w:r>
    </w:p>
  </w:footnote>
  <w:footnote w:type="continuationSeparator" w:id="0">
    <w:p w14:paraId="5CFA2093" w14:textId="77777777" w:rsidR="00EF7804" w:rsidRDefault="00EF7804" w:rsidP="00893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08B"/>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80A65"/>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46D37"/>
    <w:multiLevelType w:val="hybridMultilevel"/>
    <w:tmpl w:val="4FC0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580A"/>
    <w:multiLevelType w:val="hybridMultilevel"/>
    <w:tmpl w:val="ED7E7E1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31231"/>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42C22"/>
    <w:multiLevelType w:val="hybridMultilevel"/>
    <w:tmpl w:val="85081958"/>
    <w:lvl w:ilvl="0" w:tplc="B8AE8D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80E8A"/>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216"/>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02EAF"/>
    <w:multiLevelType w:val="hybridMultilevel"/>
    <w:tmpl w:val="7456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82DD4"/>
    <w:multiLevelType w:val="hybridMultilevel"/>
    <w:tmpl w:val="658403DA"/>
    <w:lvl w:ilvl="0" w:tplc="7EE816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03E0C"/>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4597D"/>
    <w:multiLevelType w:val="hybridMultilevel"/>
    <w:tmpl w:val="ED7E7E1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0377E"/>
    <w:multiLevelType w:val="hybridMultilevel"/>
    <w:tmpl w:val="9AD2FD70"/>
    <w:lvl w:ilvl="0" w:tplc="1BC0F9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25544"/>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C4761"/>
    <w:multiLevelType w:val="hybridMultilevel"/>
    <w:tmpl w:val="ED7E7E1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502F3B"/>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F4B93"/>
    <w:multiLevelType w:val="hybridMultilevel"/>
    <w:tmpl w:val="ED7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9"/>
  </w:num>
  <w:num w:numId="5">
    <w:abstractNumId w:val="12"/>
  </w:num>
  <w:num w:numId="6">
    <w:abstractNumId w:val="5"/>
  </w:num>
  <w:num w:numId="7">
    <w:abstractNumId w:val="10"/>
  </w:num>
  <w:num w:numId="8">
    <w:abstractNumId w:val="1"/>
  </w:num>
  <w:num w:numId="9">
    <w:abstractNumId w:val="16"/>
  </w:num>
  <w:num w:numId="10">
    <w:abstractNumId w:val="4"/>
  </w:num>
  <w:num w:numId="11">
    <w:abstractNumId w:val="0"/>
  </w:num>
  <w:num w:numId="12">
    <w:abstractNumId w:val="7"/>
  </w:num>
  <w:num w:numId="13">
    <w:abstractNumId w:val="13"/>
  </w:num>
  <w:num w:numId="14">
    <w:abstractNumId w:val="6"/>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8E"/>
    <w:rsid w:val="00000D1B"/>
    <w:rsid w:val="00005283"/>
    <w:rsid w:val="00012FF8"/>
    <w:rsid w:val="00016E56"/>
    <w:rsid w:val="00017687"/>
    <w:rsid w:val="00021815"/>
    <w:rsid w:val="0002395B"/>
    <w:rsid w:val="0002668A"/>
    <w:rsid w:val="0002786B"/>
    <w:rsid w:val="00030DE0"/>
    <w:rsid w:val="00031657"/>
    <w:rsid w:val="00037EC3"/>
    <w:rsid w:val="000431B4"/>
    <w:rsid w:val="00047288"/>
    <w:rsid w:val="00050C4E"/>
    <w:rsid w:val="00055A98"/>
    <w:rsid w:val="00055DCD"/>
    <w:rsid w:val="00057C7A"/>
    <w:rsid w:val="00061B5C"/>
    <w:rsid w:val="000636C2"/>
    <w:rsid w:val="00065F95"/>
    <w:rsid w:val="000721D2"/>
    <w:rsid w:val="00076CFD"/>
    <w:rsid w:val="00080BDB"/>
    <w:rsid w:val="00082650"/>
    <w:rsid w:val="00082ABD"/>
    <w:rsid w:val="000871DF"/>
    <w:rsid w:val="0009241C"/>
    <w:rsid w:val="0009486A"/>
    <w:rsid w:val="00095729"/>
    <w:rsid w:val="000A2671"/>
    <w:rsid w:val="000A4793"/>
    <w:rsid w:val="000B33F6"/>
    <w:rsid w:val="000B43E0"/>
    <w:rsid w:val="000B47FE"/>
    <w:rsid w:val="000B4EA0"/>
    <w:rsid w:val="000C1402"/>
    <w:rsid w:val="000C1DC5"/>
    <w:rsid w:val="000C200B"/>
    <w:rsid w:val="000C545A"/>
    <w:rsid w:val="000D24DA"/>
    <w:rsid w:val="000D30DC"/>
    <w:rsid w:val="000D3701"/>
    <w:rsid w:val="000D3826"/>
    <w:rsid w:val="000D59F4"/>
    <w:rsid w:val="000D64CA"/>
    <w:rsid w:val="000E3C35"/>
    <w:rsid w:val="000E50EC"/>
    <w:rsid w:val="000E65B8"/>
    <w:rsid w:val="000F046E"/>
    <w:rsid w:val="000F176E"/>
    <w:rsid w:val="000F7791"/>
    <w:rsid w:val="000F7C66"/>
    <w:rsid w:val="00106AB1"/>
    <w:rsid w:val="00115CC4"/>
    <w:rsid w:val="00116A32"/>
    <w:rsid w:val="00117CE3"/>
    <w:rsid w:val="001273F4"/>
    <w:rsid w:val="00134297"/>
    <w:rsid w:val="00135798"/>
    <w:rsid w:val="00136B03"/>
    <w:rsid w:val="00140EB9"/>
    <w:rsid w:val="001411B1"/>
    <w:rsid w:val="00141ED4"/>
    <w:rsid w:val="00142405"/>
    <w:rsid w:val="00147987"/>
    <w:rsid w:val="001535AF"/>
    <w:rsid w:val="0015398F"/>
    <w:rsid w:val="00153FC1"/>
    <w:rsid w:val="00154176"/>
    <w:rsid w:val="00156330"/>
    <w:rsid w:val="0015706B"/>
    <w:rsid w:val="001657C0"/>
    <w:rsid w:val="00181226"/>
    <w:rsid w:val="00190154"/>
    <w:rsid w:val="00190647"/>
    <w:rsid w:val="001908BF"/>
    <w:rsid w:val="00191849"/>
    <w:rsid w:val="001929D6"/>
    <w:rsid w:val="00193D54"/>
    <w:rsid w:val="00194882"/>
    <w:rsid w:val="00194F5B"/>
    <w:rsid w:val="00196873"/>
    <w:rsid w:val="0019737A"/>
    <w:rsid w:val="001A16D5"/>
    <w:rsid w:val="001A21AC"/>
    <w:rsid w:val="001A5023"/>
    <w:rsid w:val="001A5F9B"/>
    <w:rsid w:val="001B081E"/>
    <w:rsid w:val="001B12BF"/>
    <w:rsid w:val="001B279C"/>
    <w:rsid w:val="001B34BE"/>
    <w:rsid w:val="001C02F4"/>
    <w:rsid w:val="001C3357"/>
    <w:rsid w:val="001C53C1"/>
    <w:rsid w:val="001D3726"/>
    <w:rsid w:val="001D59D9"/>
    <w:rsid w:val="001E319C"/>
    <w:rsid w:val="001E4709"/>
    <w:rsid w:val="001E5315"/>
    <w:rsid w:val="001F20AE"/>
    <w:rsid w:val="001F37D8"/>
    <w:rsid w:val="001F4493"/>
    <w:rsid w:val="001F65AF"/>
    <w:rsid w:val="00201154"/>
    <w:rsid w:val="002017E0"/>
    <w:rsid w:val="00204132"/>
    <w:rsid w:val="002045B1"/>
    <w:rsid w:val="00205CBF"/>
    <w:rsid w:val="0021100E"/>
    <w:rsid w:val="0021350C"/>
    <w:rsid w:val="002170F9"/>
    <w:rsid w:val="0022410F"/>
    <w:rsid w:val="002335F5"/>
    <w:rsid w:val="002372F0"/>
    <w:rsid w:val="0024186A"/>
    <w:rsid w:val="002450E0"/>
    <w:rsid w:val="0024538F"/>
    <w:rsid w:val="00246284"/>
    <w:rsid w:val="00250569"/>
    <w:rsid w:val="002528DF"/>
    <w:rsid w:val="00257367"/>
    <w:rsid w:val="00263725"/>
    <w:rsid w:val="00267116"/>
    <w:rsid w:val="00270EB4"/>
    <w:rsid w:val="00280631"/>
    <w:rsid w:val="00280B72"/>
    <w:rsid w:val="00282E39"/>
    <w:rsid w:val="00290C5F"/>
    <w:rsid w:val="00291D61"/>
    <w:rsid w:val="002946FA"/>
    <w:rsid w:val="00294968"/>
    <w:rsid w:val="00294FCA"/>
    <w:rsid w:val="002A04D6"/>
    <w:rsid w:val="002B7BF1"/>
    <w:rsid w:val="002C195C"/>
    <w:rsid w:val="002D205A"/>
    <w:rsid w:val="002D253D"/>
    <w:rsid w:val="002E1663"/>
    <w:rsid w:val="002E67EF"/>
    <w:rsid w:val="002F286A"/>
    <w:rsid w:val="002F50BB"/>
    <w:rsid w:val="002F7353"/>
    <w:rsid w:val="00301FBF"/>
    <w:rsid w:val="00303C31"/>
    <w:rsid w:val="0030480C"/>
    <w:rsid w:val="00312134"/>
    <w:rsid w:val="00312B94"/>
    <w:rsid w:val="003212E0"/>
    <w:rsid w:val="0032358F"/>
    <w:rsid w:val="00342BAA"/>
    <w:rsid w:val="00344627"/>
    <w:rsid w:val="0034481C"/>
    <w:rsid w:val="00344970"/>
    <w:rsid w:val="003475A6"/>
    <w:rsid w:val="0035200D"/>
    <w:rsid w:val="003600A2"/>
    <w:rsid w:val="0036030B"/>
    <w:rsid w:val="00367011"/>
    <w:rsid w:val="003775E5"/>
    <w:rsid w:val="00377D5A"/>
    <w:rsid w:val="0038165C"/>
    <w:rsid w:val="00381ECF"/>
    <w:rsid w:val="00383630"/>
    <w:rsid w:val="00390AD9"/>
    <w:rsid w:val="003917B6"/>
    <w:rsid w:val="003923C9"/>
    <w:rsid w:val="00396072"/>
    <w:rsid w:val="003978A3"/>
    <w:rsid w:val="003C0B14"/>
    <w:rsid w:val="003C0D15"/>
    <w:rsid w:val="003C1CD2"/>
    <w:rsid w:val="003C4E9A"/>
    <w:rsid w:val="003C67C9"/>
    <w:rsid w:val="003D04EB"/>
    <w:rsid w:val="003D4092"/>
    <w:rsid w:val="003E2FA8"/>
    <w:rsid w:val="003E5B03"/>
    <w:rsid w:val="003E67F6"/>
    <w:rsid w:val="003E6DE4"/>
    <w:rsid w:val="003F2210"/>
    <w:rsid w:val="003F27A0"/>
    <w:rsid w:val="003F3AC2"/>
    <w:rsid w:val="00400C8E"/>
    <w:rsid w:val="00406B07"/>
    <w:rsid w:val="00406EB7"/>
    <w:rsid w:val="00411309"/>
    <w:rsid w:val="004113A1"/>
    <w:rsid w:val="0041277D"/>
    <w:rsid w:val="0041324B"/>
    <w:rsid w:val="00421A44"/>
    <w:rsid w:val="0042792B"/>
    <w:rsid w:val="004335A6"/>
    <w:rsid w:val="004374AB"/>
    <w:rsid w:val="00444DE8"/>
    <w:rsid w:val="0044606F"/>
    <w:rsid w:val="0045115F"/>
    <w:rsid w:val="004511D3"/>
    <w:rsid w:val="00451E35"/>
    <w:rsid w:val="00455369"/>
    <w:rsid w:val="004601C0"/>
    <w:rsid w:val="00466381"/>
    <w:rsid w:val="004663B0"/>
    <w:rsid w:val="00467043"/>
    <w:rsid w:val="004732C0"/>
    <w:rsid w:val="0047485E"/>
    <w:rsid w:val="004755D9"/>
    <w:rsid w:val="00481ADB"/>
    <w:rsid w:val="004833EF"/>
    <w:rsid w:val="00494FBB"/>
    <w:rsid w:val="004A14DC"/>
    <w:rsid w:val="004A48D2"/>
    <w:rsid w:val="004B1A20"/>
    <w:rsid w:val="004B1A40"/>
    <w:rsid w:val="004C02ED"/>
    <w:rsid w:val="004C35EE"/>
    <w:rsid w:val="004C4A82"/>
    <w:rsid w:val="004C6D86"/>
    <w:rsid w:val="004D0F53"/>
    <w:rsid w:val="004D3CD7"/>
    <w:rsid w:val="004D51F7"/>
    <w:rsid w:val="004D6C51"/>
    <w:rsid w:val="004E1572"/>
    <w:rsid w:val="004F3088"/>
    <w:rsid w:val="004F5B8C"/>
    <w:rsid w:val="004F6248"/>
    <w:rsid w:val="004F6C94"/>
    <w:rsid w:val="004F756B"/>
    <w:rsid w:val="00504AAA"/>
    <w:rsid w:val="00511379"/>
    <w:rsid w:val="0051257C"/>
    <w:rsid w:val="00514C73"/>
    <w:rsid w:val="005203A3"/>
    <w:rsid w:val="00521E68"/>
    <w:rsid w:val="005221B9"/>
    <w:rsid w:val="005259EA"/>
    <w:rsid w:val="0053446E"/>
    <w:rsid w:val="00534674"/>
    <w:rsid w:val="00535102"/>
    <w:rsid w:val="005358A3"/>
    <w:rsid w:val="0054170B"/>
    <w:rsid w:val="00542333"/>
    <w:rsid w:val="0054563A"/>
    <w:rsid w:val="00545BD1"/>
    <w:rsid w:val="0054719A"/>
    <w:rsid w:val="00553602"/>
    <w:rsid w:val="00555314"/>
    <w:rsid w:val="005559E8"/>
    <w:rsid w:val="00560750"/>
    <w:rsid w:val="0056277C"/>
    <w:rsid w:val="005656F2"/>
    <w:rsid w:val="005716E6"/>
    <w:rsid w:val="00571FEC"/>
    <w:rsid w:val="005721BA"/>
    <w:rsid w:val="0057229D"/>
    <w:rsid w:val="00572324"/>
    <w:rsid w:val="00582C2A"/>
    <w:rsid w:val="00584AE5"/>
    <w:rsid w:val="005856A6"/>
    <w:rsid w:val="00586F3F"/>
    <w:rsid w:val="005953D5"/>
    <w:rsid w:val="00595962"/>
    <w:rsid w:val="005A1C89"/>
    <w:rsid w:val="005B0A27"/>
    <w:rsid w:val="005B0A32"/>
    <w:rsid w:val="005B4E5F"/>
    <w:rsid w:val="005B52AA"/>
    <w:rsid w:val="005B70E0"/>
    <w:rsid w:val="005C2B6D"/>
    <w:rsid w:val="005C7A26"/>
    <w:rsid w:val="005D06F8"/>
    <w:rsid w:val="005D2273"/>
    <w:rsid w:val="005D5F68"/>
    <w:rsid w:val="005D6096"/>
    <w:rsid w:val="005D7137"/>
    <w:rsid w:val="005E10F2"/>
    <w:rsid w:val="005E3DBC"/>
    <w:rsid w:val="005E4EC0"/>
    <w:rsid w:val="005E59B9"/>
    <w:rsid w:val="005E68CF"/>
    <w:rsid w:val="005F354E"/>
    <w:rsid w:val="005F601F"/>
    <w:rsid w:val="005F62FF"/>
    <w:rsid w:val="00606F33"/>
    <w:rsid w:val="00613E16"/>
    <w:rsid w:val="00617FB6"/>
    <w:rsid w:val="0062367E"/>
    <w:rsid w:val="00626A50"/>
    <w:rsid w:val="0063229A"/>
    <w:rsid w:val="00632B1D"/>
    <w:rsid w:val="00634FA3"/>
    <w:rsid w:val="00642D19"/>
    <w:rsid w:val="0064441C"/>
    <w:rsid w:val="00647B17"/>
    <w:rsid w:val="00656F71"/>
    <w:rsid w:val="00663944"/>
    <w:rsid w:val="00666949"/>
    <w:rsid w:val="006713E4"/>
    <w:rsid w:val="00671634"/>
    <w:rsid w:val="006754D5"/>
    <w:rsid w:val="006763B5"/>
    <w:rsid w:val="00683603"/>
    <w:rsid w:val="00684B23"/>
    <w:rsid w:val="0068587C"/>
    <w:rsid w:val="0069109F"/>
    <w:rsid w:val="00694606"/>
    <w:rsid w:val="006974B1"/>
    <w:rsid w:val="006A2109"/>
    <w:rsid w:val="006B02EE"/>
    <w:rsid w:val="006B15CE"/>
    <w:rsid w:val="006B7CDA"/>
    <w:rsid w:val="006C0524"/>
    <w:rsid w:val="006D1BB1"/>
    <w:rsid w:val="006D2A1A"/>
    <w:rsid w:val="006D6241"/>
    <w:rsid w:val="006D6D9F"/>
    <w:rsid w:val="006D790F"/>
    <w:rsid w:val="006E0A18"/>
    <w:rsid w:val="006E4912"/>
    <w:rsid w:val="006E6C26"/>
    <w:rsid w:val="006F157E"/>
    <w:rsid w:val="007024E1"/>
    <w:rsid w:val="0070622A"/>
    <w:rsid w:val="007066A0"/>
    <w:rsid w:val="00707825"/>
    <w:rsid w:val="00711362"/>
    <w:rsid w:val="00711A31"/>
    <w:rsid w:val="00712C00"/>
    <w:rsid w:val="00717881"/>
    <w:rsid w:val="00721C9A"/>
    <w:rsid w:val="00723246"/>
    <w:rsid w:val="007348F5"/>
    <w:rsid w:val="007365BD"/>
    <w:rsid w:val="0074504B"/>
    <w:rsid w:val="00745C6F"/>
    <w:rsid w:val="007476B5"/>
    <w:rsid w:val="00751C0D"/>
    <w:rsid w:val="00766783"/>
    <w:rsid w:val="007729B5"/>
    <w:rsid w:val="00773B69"/>
    <w:rsid w:val="007757DF"/>
    <w:rsid w:val="00776D31"/>
    <w:rsid w:val="007815E1"/>
    <w:rsid w:val="00781ED9"/>
    <w:rsid w:val="007826E1"/>
    <w:rsid w:val="0078275C"/>
    <w:rsid w:val="00787E0D"/>
    <w:rsid w:val="00792C6D"/>
    <w:rsid w:val="00794B4F"/>
    <w:rsid w:val="007967AE"/>
    <w:rsid w:val="00796820"/>
    <w:rsid w:val="007A3656"/>
    <w:rsid w:val="007A46C1"/>
    <w:rsid w:val="007A4831"/>
    <w:rsid w:val="007A4B45"/>
    <w:rsid w:val="007A542B"/>
    <w:rsid w:val="007B02CA"/>
    <w:rsid w:val="007B0A53"/>
    <w:rsid w:val="007B4051"/>
    <w:rsid w:val="007B4456"/>
    <w:rsid w:val="007B490B"/>
    <w:rsid w:val="007B49C9"/>
    <w:rsid w:val="007B7FD2"/>
    <w:rsid w:val="007C7548"/>
    <w:rsid w:val="007C77A5"/>
    <w:rsid w:val="007D32A3"/>
    <w:rsid w:val="007E037D"/>
    <w:rsid w:val="007F1DCF"/>
    <w:rsid w:val="007F7A8D"/>
    <w:rsid w:val="0080648B"/>
    <w:rsid w:val="00812A1C"/>
    <w:rsid w:val="00813EEE"/>
    <w:rsid w:val="00824373"/>
    <w:rsid w:val="00831D4E"/>
    <w:rsid w:val="008326CD"/>
    <w:rsid w:val="00833FF4"/>
    <w:rsid w:val="008351D7"/>
    <w:rsid w:val="0084546F"/>
    <w:rsid w:val="0085042E"/>
    <w:rsid w:val="00855F38"/>
    <w:rsid w:val="008579B2"/>
    <w:rsid w:val="00873526"/>
    <w:rsid w:val="00875395"/>
    <w:rsid w:val="008771BD"/>
    <w:rsid w:val="00877F23"/>
    <w:rsid w:val="0088073D"/>
    <w:rsid w:val="00881280"/>
    <w:rsid w:val="00885CA0"/>
    <w:rsid w:val="008877C1"/>
    <w:rsid w:val="00893C58"/>
    <w:rsid w:val="0089701C"/>
    <w:rsid w:val="008A1E98"/>
    <w:rsid w:val="008B4AB1"/>
    <w:rsid w:val="008B4D55"/>
    <w:rsid w:val="008D0462"/>
    <w:rsid w:val="008D5221"/>
    <w:rsid w:val="008D5EDB"/>
    <w:rsid w:val="008E1AEA"/>
    <w:rsid w:val="008E5AE6"/>
    <w:rsid w:val="008E61B6"/>
    <w:rsid w:val="008E76B7"/>
    <w:rsid w:val="008E7944"/>
    <w:rsid w:val="008F28F5"/>
    <w:rsid w:val="008F2EF7"/>
    <w:rsid w:val="008F6622"/>
    <w:rsid w:val="008F6649"/>
    <w:rsid w:val="0090092F"/>
    <w:rsid w:val="0090240C"/>
    <w:rsid w:val="00907379"/>
    <w:rsid w:val="00907D4E"/>
    <w:rsid w:val="0091140D"/>
    <w:rsid w:val="009116C0"/>
    <w:rsid w:val="009164BF"/>
    <w:rsid w:val="00924EEC"/>
    <w:rsid w:val="009265A3"/>
    <w:rsid w:val="00926986"/>
    <w:rsid w:val="009271B4"/>
    <w:rsid w:val="00934135"/>
    <w:rsid w:val="009406D6"/>
    <w:rsid w:val="00944292"/>
    <w:rsid w:val="0094633E"/>
    <w:rsid w:val="00953FC1"/>
    <w:rsid w:val="00962040"/>
    <w:rsid w:val="00964422"/>
    <w:rsid w:val="009671A4"/>
    <w:rsid w:val="00972E90"/>
    <w:rsid w:val="00981E71"/>
    <w:rsid w:val="00984A07"/>
    <w:rsid w:val="00986783"/>
    <w:rsid w:val="009901F9"/>
    <w:rsid w:val="009A2D86"/>
    <w:rsid w:val="009A68AA"/>
    <w:rsid w:val="009B0D27"/>
    <w:rsid w:val="009B1319"/>
    <w:rsid w:val="009B2609"/>
    <w:rsid w:val="009B6D12"/>
    <w:rsid w:val="009C553C"/>
    <w:rsid w:val="009D0ACC"/>
    <w:rsid w:val="009D1C51"/>
    <w:rsid w:val="009D239D"/>
    <w:rsid w:val="009D447E"/>
    <w:rsid w:val="009D5007"/>
    <w:rsid w:val="009D5315"/>
    <w:rsid w:val="009D63C9"/>
    <w:rsid w:val="009D7AD5"/>
    <w:rsid w:val="009F095D"/>
    <w:rsid w:val="009F27A8"/>
    <w:rsid w:val="009F47E3"/>
    <w:rsid w:val="00A04819"/>
    <w:rsid w:val="00A13B2E"/>
    <w:rsid w:val="00A20BA1"/>
    <w:rsid w:val="00A215AE"/>
    <w:rsid w:val="00A22D53"/>
    <w:rsid w:val="00A2631F"/>
    <w:rsid w:val="00A2664B"/>
    <w:rsid w:val="00A312B0"/>
    <w:rsid w:val="00A323A8"/>
    <w:rsid w:val="00A36B7C"/>
    <w:rsid w:val="00A37C51"/>
    <w:rsid w:val="00A51603"/>
    <w:rsid w:val="00A65FA2"/>
    <w:rsid w:val="00A70352"/>
    <w:rsid w:val="00A70CC8"/>
    <w:rsid w:val="00A72849"/>
    <w:rsid w:val="00A73DB2"/>
    <w:rsid w:val="00A813E4"/>
    <w:rsid w:val="00A82BFD"/>
    <w:rsid w:val="00A874EE"/>
    <w:rsid w:val="00A9184E"/>
    <w:rsid w:val="00A91B35"/>
    <w:rsid w:val="00A93A38"/>
    <w:rsid w:val="00A93D53"/>
    <w:rsid w:val="00A957A2"/>
    <w:rsid w:val="00A96427"/>
    <w:rsid w:val="00A96A10"/>
    <w:rsid w:val="00AA116A"/>
    <w:rsid w:val="00AA1BD9"/>
    <w:rsid w:val="00AA2B8E"/>
    <w:rsid w:val="00AA33A9"/>
    <w:rsid w:val="00AA37D3"/>
    <w:rsid w:val="00AA6BB3"/>
    <w:rsid w:val="00AA7A57"/>
    <w:rsid w:val="00AB2DCC"/>
    <w:rsid w:val="00AB3BD2"/>
    <w:rsid w:val="00AB6DAC"/>
    <w:rsid w:val="00AC365D"/>
    <w:rsid w:val="00AC3982"/>
    <w:rsid w:val="00AC5C58"/>
    <w:rsid w:val="00AD0B4E"/>
    <w:rsid w:val="00AD607F"/>
    <w:rsid w:val="00AE0873"/>
    <w:rsid w:val="00AE3383"/>
    <w:rsid w:val="00AF58F2"/>
    <w:rsid w:val="00B0259C"/>
    <w:rsid w:val="00B03002"/>
    <w:rsid w:val="00B0375A"/>
    <w:rsid w:val="00B05078"/>
    <w:rsid w:val="00B112CA"/>
    <w:rsid w:val="00B12105"/>
    <w:rsid w:val="00B133C0"/>
    <w:rsid w:val="00B14277"/>
    <w:rsid w:val="00B32617"/>
    <w:rsid w:val="00B33645"/>
    <w:rsid w:val="00B353E7"/>
    <w:rsid w:val="00B36608"/>
    <w:rsid w:val="00B4044D"/>
    <w:rsid w:val="00B42D71"/>
    <w:rsid w:val="00B4313F"/>
    <w:rsid w:val="00B51087"/>
    <w:rsid w:val="00B54BAC"/>
    <w:rsid w:val="00B5670C"/>
    <w:rsid w:val="00B57880"/>
    <w:rsid w:val="00B62787"/>
    <w:rsid w:val="00B73F3C"/>
    <w:rsid w:val="00B77B9F"/>
    <w:rsid w:val="00B83E54"/>
    <w:rsid w:val="00B87235"/>
    <w:rsid w:val="00B872C1"/>
    <w:rsid w:val="00B90FCD"/>
    <w:rsid w:val="00B92A1C"/>
    <w:rsid w:val="00BA62CB"/>
    <w:rsid w:val="00BB30BC"/>
    <w:rsid w:val="00BB664D"/>
    <w:rsid w:val="00BC29E0"/>
    <w:rsid w:val="00BC4C53"/>
    <w:rsid w:val="00BD5CF1"/>
    <w:rsid w:val="00BD7B53"/>
    <w:rsid w:val="00BE0964"/>
    <w:rsid w:val="00BE1344"/>
    <w:rsid w:val="00BE5BD1"/>
    <w:rsid w:val="00BE5D33"/>
    <w:rsid w:val="00BE7411"/>
    <w:rsid w:val="00BF2188"/>
    <w:rsid w:val="00BF3748"/>
    <w:rsid w:val="00BF59C1"/>
    <w:rsid w:val="00BF683A"/>
    <w:rsid w:val="00C0467C"/>
    <w:rsid w:val="00C0513F"/>
    <w:rsid w:val="00C125AB"/>
    <w:rsid w:val="00C13902"/>
    <w:rsid w:val="00C2222C"/>
    <w:rsid w:val="00C22FB2"/>
    <w:rsid w:val="00C30174"/>
    <w:rsid w:val="00C3365D"/>
    <w:rsid w:val="00C430A2"/>
    <w:rsid w:val="00C44036"/>
    <w:rsid w:val="00C4777F"/>
    <w:rsid w:val="00C52A7C"/>
    <w:rsid w:val="00C53549"/>
    <w:rsid w:val="00C55D5A"/>
    <w:rsid w:val="00C705DD"/>
    <w:rsid w:val="00C768E5"/>
    <w:rsid w:val="00C852EF"/>
    <w:rsid w:val="00C86B00"/>
    <w:rsid w:val="00C96DF5"/>
    <w:rsid w:val="00C97334"/>
    <w:rsid w:val="00CA7C07"/>
    <w:rsid w:val="00CB054A"/>
    <w:rsid w:val="00CB11F7"/>
    <w:rsid w:val="00CB5C83"/>
    <w:rsid w:val="00CC1730"/>
    <w:rsid w:val="00CC180A"/>
    <w:rsid w:val="00CC3907"/>
    <w:rsid w:val="00CC4DCD"/>
    <w:rsid w:val="00CD09D6"/>
    <w:rsid w:val="00CD0C23"/>
    <w:rsid w:val="00CD0FF3"/>
    <w:rsid w:val="00CD3997"/>
    <w:rsid w:val="00CE4034"/>
    <w:rsid w:val="00CE4D9F"/>
    <w:rsid w:val="00CF4DCF"/>
    <w:rsid w:val="00CF53BD"/>
    <w:rsid w:val="00D029D6"/>
    <w:rsid w:val="00D02B29"/>
    <w:rsid w:val="00D035A7"/>
    <w:rsid w:val="00D0765C"/>
    <w:rsid w:val="00D14797"/>
    <w:rsid w:val="00D24E95"/>
    <w:rsid w:val="00D2695B"/>
    <w:rsid w:val="00D279CD"/>
    <w:rsid w:val="00D331C3"/>
    <w:rsid w:val="00D34D4B"/>
    <w:rsid w:val="00D35D57"/>
    <w:rsid w:val="00D36D6E"/>
    <w:rsid w:val="00D40C69"/>
    <w:rsid w:val="00D4174E"/>
    <w:rsid w:val="00D44C6C"/>
    <w:rsid w:val="00D46618"/>
    <w:rsid w:val="00D46D66"/>
    <w:rsid w:val="00D57A45"/>
    <w:rsid w:val="00D6793F"/>
    <w:rsid w:val="00D70615"/>
    <w:rsid w:val="00D740C7"/>
    <w:rsid w:val="00D762BC"/>
    <w:rsid w:val="00D80BD3"/>
    <w:rsid w:val="00D81617"/>
    <w:rsid w:val="00D83AA7"/>
    <w:rsid w:val="00D84673"/>
    <w:rsid w:val="00D91324"/>
    <w:rsid w:val="00D940CD"/>
    <w:rsid w:val="00DA41E2"/>
    <w:rsid w:val="00DA4EE8"/>
    <w:rsid w:val="00DA6023"/>
    <w:rsid w:val="00DA659D"/>
    <w:rsid w:val="00DB0A3E"/>
    <w:rsid w:val="00DB12B7"/>
    <w:rsid w:val="00DB1B52"/>
    <w:rsid w:val="00DB3D7B"/>
    <w:rsid w:val="00DB5A4B"/>
    <w:rsid w:val="00DC109E"/>
    <w:rsid w:val="00DD02F6"/>
    <w:rsid w:val="00DD1736"/>
    <w:rsid w:val="00DE1C8B"/>
    <w:rsid w:val="00DE1E87"/>
    <w:rsid w:val="00DE213D"/>
    <w:rsid w:val="00DE53D7"/>
    <w:rsid w:val="00DF0DBB"/>
    <w:rsid w:val="00E04B75"/>
    <w:rsid w:val="00E04C23"/>
    <w:rsid w:val="00E14722"/>
    <w:rsid w:val="00E202DC"/>
    <w:rsid w:val="00E21711"/>
    <w:rsid w:val="00E26E84"/>
    <w:rsid w:val="00E27535"/>
    <w:rsid w:val="00E357D2"/>
    <w:rsid w:val="00E36B9C"/>
    <w:rsid w:val="00E5286C"/>
    <w:rsid w:val="00E616FF"/>
    <w:rsid w:val="00E64307"/>
    <w:rsid w:val="00E65ED7"/>
    <w:rsid w:val="00E70570"/>
    <w:rsid w:val="00E71320"/>
    <w:rsid w:val="00E71854"/>
    <w:rsid w:val="00E76437"/>
    <w:rsid w:val="00E80140"/>
    <w:rsid w:val="00E831C2"/>
    <w:rsid w:val="00E84A78"/>
    <w:rsid w:val="00E85BAD"/>
    <w:rsid w:val="00E86C71"/>
    <w:rsid w:val="00E95104"/>
    <w:rsid w:val="00EA6DAB"/>
    <w:rsid w:val="00EA6F6C"/>
    <w:rsid w:val="00EB0EA1"/>
    <w:rsid w:val="00EB32CB"/>
    <w:rsid w:val="00EB3BCA"/>
    <w:rsid w:val="00EB5D5B"/>
    <w:rsid w:val="00EB75A8"/>
    <w:rsid w:val="00EC3BC7"/>
    <w:rsid w:val="00EC4926"/>
    <w:rsid w:val="00EC7251"/>
    <w:rsid w:val="00ED00B0"/>
    <w:rsid w:val="00ED0C96"/>
    <w:rsid w:val="00ED6F7E"/>
    <w:rsid w:val="00ED75D3"/>
    <w:rsid w:val="00EE3881"/>
    <w:rsid w:val="00EE4054"/>
    <w:rsid w:val="00EE4493"/>
    <w:rsid w:val="00EE6DEC"/>
    <w:rsid w:val="00EE7CD8"/>
    <w:rsid w:val="00EF3899"/>
    <w:rsid w:val="00EF3A5C"/>
    <w:rsid w:val="00EF56CD"/>
    <w:rsid w:val="00EF7804"/>
    <w:rsid w:val="00F01272"/>
    <w:rsid w:val="00F018DA"/>
    <w:rsid w:val="00F0635F"/>
    <w:rsid w:val="00F117B2"/>
    <w:rsid w:val="00F144FC"/>
    <w:rsid w:val="00F151B9"/>
    <w:rsid w:val="00F15FEA"/>
    <w:rsid w:val="00F16B2E"/>
    <w:rsid w:val="00F16E5A"/>
    <w:rsid w:val="00F17603"/>
    <w:rsid w:val="00F23E0C"/>
    <w:rsid w:val="00F24EB7"/>
    <w:rsid w:val="00F25E81"/>
    <w:rsid w:val="00F3222F"/>
    <w:rsid w:val="00F323BC"/>
    <w:rsid w:val="00F32EDE"/>
    <w:rsid w:val="00F36018"/>
    <w:rsid w:val="00F44DE0"/>
    <w:rsid w:val="00F45E2B"/>
    <w:rsid w:val="00F509B6"/>
    <w:rsid w:val="00F52232"/>
    <w:rsid w:val="00F53FAA"/>
    <w:rsid w:val="00F542D4"/>
    <w:rsid w:val="00F57791"/>
    <w:rsid w:val="00F602B5"/>
    <w:rsid w:val="00F60FE1"/>
    <w:rsid w:val="00F62D66"/>
    <w:rsid w:val="00F7086A"/>
    <w:rsid w:val="00F718E4"/>
    <w:rsid w:val="00F72385"/>
    <w:rsid w:val="00F74995"/>
    <w:rsid w:val="00F76042"/>
    <w:rsid w:val="00F77830"/>
    <w:rsid w:val="00F8437E"/>
    <w:rsid w:val="00F862EA"/>
    <w:rsid w:val="00F92239"/>
    <w:rsid w:val="00F9248A"/>
    <w:rsid w:val="00F93752"/>
    <w:rsid w:val="00FA37AF"/>
    <w:rsid w:val="00FA5331"/>
    <w:rsid w:val="00FA5D1D"/>
    <w:rsid w:val="00FA7CC6"/>
    <w:rsid w:val="00FB66AC"/>
    <w:rsid w:val="00FB6ABD"/>
    <w:rsid w:val="00FC0337"/>
    <w:rsid w:val="00FC2E66"/>
    <w:rsid w:val="00FC3BEF"/>
    <w:rsid w:val="00FC5991"/>
    <w:rsid w:val="00FD07F7"/>
    <w:rsid w:val="00FD235E"/>
    <w:rsid w:val="00FD562C"/>
    <w:rsid w:val="00FE320B"/>
    <w:rsid w:val="00FF26D5"/>
    <w:rsid w:val="00FF4A5D"/>
    <w:rsid w:val="00FF4D30"/>
    <w:rsid w:val="00FF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8C4A"/>
  <w15:docId w15:val="{9C09B80D-BF80-48FD-93AF-E20DAD8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2B8E"/>
    <w:pPr>
      <w:spacing w:after="0" w:line="240" w:lineRule="auto"/>
    </w:pPr>
  </w:style>
  <w:style w:type="numbering" w:customStyle="1" w:styleId="NoList1">
    <w:name w:val="No List1"/>
    <w:next w:val="NoList"/>
    <w:uiPriority w:val="99"/>
    <w:semiHidden/>
    <w:unhideWhenUsed/>
    <w:rsid w:val="00AA2B8E"/>
  </w:style>
  <w:style w:type="paragraph" w:styleId="ListParagraph">
    <w:name w:val="List Paragraph"/>
    <w:basedOn w:val="Normal"/>
    <w:uiPriority w:val="34"/>
    <w:qFormat/>
    <w:rsid w:val="00AA2B8E"/>
    <w:pPr>
      <w:spacing w:after="0" w:line="320" w:lineRule="atLeast"/>
      <w:ind w:left="720"/>
      <w:contextualSpacing/>
    </w:pPr>
    <w:rPr>
      <w:rFonts w:ascii="Calibri" w:eastAsia="Calibri" w:hAnsi="Calibri" w:cs="Times New Roman"/>
    </w:rPr>
  </w:style>
  <w:style w:type="character" w:customStyle="1" w:styleId="selectable">
    <w:name w:val="selectable"/>
    <w:basedOn w:val="DefaultParagraphFont"/>
    <w:rsid w:val="00AA2B8E"/>
  </w:style>
  <w:style w:type="character" w:styleId="Emphasis">
    <w:name w:val="Emphasis"/>
    <w:basedOn w:val="DefaultParagraphFont"/>
    <w:uiPriority w:val="20"/>
    <w:qFormat/>
    <w:rsid w:val="00AA2B8E"/>
    <w:rPr>
      <w:b/>
      <w:bCs/>
      <w:i w:val="0"/>
      <w:iCs w:val="0"/>
    </w:rPr>
  </w:style>
  <w:style w:type="character" w:customStyle="1" w:styleId="st1">
    <w:name w:val="st1"/>
    <w:basedOn w:val="DefaultParagraphFont"/>
    <w:rsid w:val="00AA2B8E"/>
  </w:style>
  <w:style w:type="character" w:styleId="Hyperlink">
    <w:name w:val="Hyperlink"/>
    <w:basedOn w:val="DefaultParagraphFont"/>
    <w:uiPriority w:val="99"/>
    <w:unhideWhenUsed/>
    <w:rsid w:val="00AA2B8E"/>
    <w:rPr>
      <w:strike w:val="0"/>
      <w:dstrike w:val="0"/>
      <w:color w:val="0000FF"/>
      <w:u w:val="none"/>
      <w:effect w:val="none"/>
    </w:rPr>
  </w:style>
  <w:style w:type="character" w:customStyle="1" w:styleId="element-citation">
    <w:name w:val="element-citation"/>
    <w:basedOn w:val="DefaultParagraphFont"/>
    <w:rsid w:val="00AA2B8E"/>
  </w:style>
  <w:style w:type="character" w:customStyle="1" w:styleId="ref-journal">
    <w:name w:val="ref-journal"/>
    <w:basedOn w:val="DefaultParagraphFont"/>
    <w:rsid w:val="00AA2B8E"/>
  </w:style>
  <w:style w:type="paragraph" w:customStyle="1" w:styleId="EndNoteBibliography">
    <w:name w:val="EndNote Bibliography"/>
    <w:basedOn w:val="Normal"/>
    <w:link w:val="EndNoteBibliographyChar"/>
    <w:rsid w:val="00AA2B8E"/>
    <w:pPr>
      <w:spacing w:after="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A2B8E"/>
    <w:rPr>
      <w:rFonts w:ascii="Calibri" w:hAnsi="Calibri" w:cs="Calibri"/>
      <w:noProof/>
      <w:lang w:val="en-US"/>
    </w:rPr>
  </w:style>
  <w:style w:type="paragraph" w:customStyle="1" w:styleId="Subheading">
    <w:name w:val="Subheading"/>
    <w:basedOn w:val="Normal"/>
    <w:next w:val="Normal"/>
    <w:link w:val="SubheadingChar"/>
    <w:rsid w:val="00AA2B8E"/>
    <w:pPr>
      <w:keepNext/>
      <w:spacing w:before="120" w:after="0" w:line="276" w:lineRule="auto"/>
    </w:pPr>
    <w:rPr>
      <w:rFonts w:cs="Arial"/>
      <w:b/>
      <w:szCs w:val="24"/>
    </w:rPr>
  </w:style>
  <w:style w:type="character" w:customStyle="1" w:styleId="SubheadingChar">
    <w:name w:val="Subheading Char"/>
    <w:basedOn w:val="DefaultParagraphFont"/>
    <w:link w:val="Subheading"/>
    <w:rsid w:val="00AA2B8E"/>
    <w:rPr>
      <w:rFonts w:cs="Arial"/>
      <w:b/>
      <w:szCs w:val="24"/>
    </w:rPr>
  </w:style>
  <w:style w:type="character" w:customStyle="1" w:styleId="ref-vol">
    <w:name w:val="ref-vol"/>
    <w:basedOn w:val="DefaultParagraphFont"/>
    <w:rsid w:val="00AA2B8E"/>
  </w:style>
  <w:style w:type="table" w:customStyle="1" w:styleId="TableGridLight1">
    <w:name w:val="Table Grid Light1"/>
    <w:basedOn w:val="TableNormal"/>
    <w:uiPriority w:val="40"/>
    <w:rsid w:val="00AA2B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A2B8E"/>
    <w:rPr>
      <w:sz w:val="16"/>
      <w:szCs w:val="16"/>
    </w:rPr>
  </w:style>
  <w:style w:type="paragraph" w:styleId="CommentText">
    <w:name w:val="annotation text"/>
    <w:basedOn w:val="Normal"/>
    <w:link w:val="CommentTextChar"/>
    <w:uiPriority w:val="99"/>
    <w:unhideWhenUsed/>
    <w:rsid w:val="00AA2B8E"/>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A2B8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2B8E"/>
    <w:rPr>
      <w:b/>
      <w:bCs/>
    </w:rPr>
  </w:style>
  <w:style w:type="character" w:customStyle="1" w:styleId="CommentSubjectChar">
    <w:name w:val="Comment Subject Char"/>
    <w:basedOn w:val="CommentTextChar"/>
    <w:link w:val="CommentSubject"/>
    <w:uiPriority w:val="99"/>
    <w:semiHidden/>
    <w:rsid w:val="00AA2B8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A2B8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A2B8E"/>
    <w:rPr>
      <w:rFonts w:ascii="Segoe UI" w:eastAsia="Calibri" w:hAnsi="Segoe UI" w:cs="Segoe UI"/>
      <w:sz w:val="18"/>
      <w:szCs w:val="18"/>
    </w:rPr>
  </w:style>
  <w:style w:type="paragraph" w:styleId="Revision">
    <w:name w:val="Revision"/>
    <w:hidden/>
    <w:uiPriority w:val="99"/>
    <w:semiHidden/>
    <w:rsid w:val="00AA2B8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A2B8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A2B8E"/>
    <w:rPr>
      <w:rFonts w:ascii="Calibri" w:eastAsia="Calibri" w:hAnsi="Calibri" w:cs="Times New Roman"/>
    </w:rPr>
  </w:style>
  <w:style w:type="paragraph" w:styleId="Footer">
    <w:name w:val="footer"/>
    <w:basedOn w:val="Normal"/>
    <w:link w:val="FooterChar"/>
    <w:uiPriority w:val="99"/>
    <w:unhideWhenUsed/>
    <w:rsid w:val="00AA2B8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A2B8E"/>
    <w:rPr>
      <w:rFonts w:ascii="Calibri" w:eastAsia="Calibri" w:hAnsi="Calibri" w:cs="Times New Roman"/>
    </w:rPr>
  </w:style>
  <w:style w:type="table" w:styleId="TableGrid">
    <w:name w:val="Table Grid"/>
    <w:basedOn w:val="TableNormal"/>
    <w:uiPriority w:val="39"/>
    <w:rsid w:val="00AA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0E50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E50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F018D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32E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562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6277C"/>
    <w:rPr>
      <w:rFonts w:ascii="Courier New" w:eastAsia="Times New Roman" w:hAnsi="Courier New" w:cs="Courier New"/>
      <w:sz w:val="20"/>
      <w:szCs w:val="20"/>
      <w:lang w:eastAsia="en-GB"/>
    </w:rPr>
  </w:style>
  <w:style w:type="character" w:customStyle="1" w:styleId="A4">
    <w:name w:val="A4"/>
    <w:uiPriority w:val="99"/>
    <w:rsid w:val="007B49C9"/>
    <w:rPr>
      <w:rFonts w:cs="Shaker 2 Lancet Regular"/>
      <w:color w:val="000000"/>
      <w:sz w:val="16"/>
      <w:szCs w:val="16"/>
    </w:rPr>
  </w:style>
  <w:style w:type="character" w:styleId="PlaceholderText">
    <w:name w:val="Placeholder Text"/>
    <w:basedOn w:val="DefaultParagraphFont"/>
    <w:uiPriority w:val="99"/>
    <w:semiHidden/>
    <w:rsid w:val="009265A3"/>
    <w:rPr>
      <w:color w:val="808080"/>
    </w:rPr>
  </w:style>
  <w:style w:type="character" w:styleId="LineNumber">
    <w:name w:val="line number"/>
    <w:basedOn w:val="DefaultParagraphFont"/>
    <w:uiPriority w:val="99"/>
    <w:semiHidden/>
    <w:unhideWhenUsed/>
    <w:rsid w:val="00D91324"/>
  </w:style>
  <w:style w:type="character" w:customStyle="1" w:styleId="NoSpacingChar">
    <w:name w:val="No Spacing Char"/>
    <w:basedOn w:val="DefaultParagraphFont"/>
    <w:link w:val="NoSpacing"/>
    <w:uiPriority w:val="1"/>
    <w:rsid w:val="00A6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179">
      <w:bodyDiv w:val="1"/>
      <w:marLeft w:val="0"/>
      <w:marRight w:val="0"/>
      <w:marTop w:val="0"/>
      <w:marBottom w:val="0"/>
      <w:divBdr>
        <w:top w:val="none" w:sz="0" w:space="0" w:color="auto"/>
        <w:left w:val="none" w:sz="0" w:space="0" w:color="auto"/>
        <w:bottom w:val="none" w:sz="0" w:space="0" w:color="auto"/>
        <w:right w:val="none" w:sz="0" w:space="0" w:color="auto"/>
      </w:divBdr>
    </w:div>
    <w:div w:id="572666733">
      <w:bodyDiv w:val="1"/>
      <w:marLeft w:val="0"/>
      <w:marRight w:val="0"/>
      <w:marTop w:val="0"/>
      <w:marBottom w:val="0"/>
      <w:divBdr>
        <w:top w:val="none" w:sz="0" w:space="0" w:color="auto"/>
        <w:left w:val="none" w:sz="0" w:space="0" w:color="auto"/>
        <w:bottom w:val="none" w:sz="0" w:space="0" w:color="auto"/>
        <w:right w:val="none" w:sz="0" w:space="0" w:color="auto"/>
      </w:divBdr>
      <w:divsChild>
        <w:div w:id="1168861816">
          <w:marLeft w:val="0"/>
          <w:marRight w:val="0"/>
          <w:marTop w:val="0"/>
          <w:marBottom w:val="0"/>
          <w:divBdr>
            <w:top w:val="none" w:sz="0" w:space="0" w:color="auto"/>
            <w:left w:val="none" w:sz="0" w:space="0" w:color="auto"/>
            <w:bottom w:val="none" w:sz="0" w:space="0" w:color="auto"/>
            <w:right w:val="none" w:sz="0" w:space="0" w:color="auto"/>
          </w:divBdr>
          <w:divsChild>
            <w:div w:id="1847287359">
              <w:marLeft w:val="0"/>
              <w:marRight w:val="0"/>
              <w:marTop w:val="0"/>
              <w:marBottom w:val="0"/>
              <w:divBdr>
                <w:top w:val="none" w:sz="0" w:space="0" w:color="auto"/>
                <w:left w:val="none" w:sz="0" w:space="0" w:color="auto"/>
                <w:bottom w:val="none" w:sz="0" w:space="0" w:color="auto"/>
                <w:right w:val="none" w:sz="0" w:space="0" w:color="auto"/>
              </w:divBdr>
              <w:divsChild>
                <w:div w:id="1108114870">
                  <w:marLeft w:val="0"/>
                  <w:marRight w:val="0"/>
                  <w:marTop w:val="0"/>
                  <w:marBottom w:val="0"/>
                  <w:divBdr>
                    <w:top w:val="none" w:sz="0" w:space="0" w:color="auto"/>
                    <w:left w:val="none" w:sz="0" w:space="0" w:color="auto"/>
                    <w:bottom w:val="none" w:sz="0" w:space="0" w:color="auto"/>
                    <w:right w:val="none" w:sz="0" w:space="0" w:color="auto"/>
                  </w:divBdr>
                  <w:divsChild>
                    <w:div w:id="487719044">
                      <w:marLeft w:val="0"/>
                      <w:marRight w:val="0"/>
                      <w:marTop w:val="0"/>
                      <w:marBottom w:val="0"/>
                      <w:divBdr>
                        <w:top w:val="none" w:sz="0" w:space="0" w:color="auto"/>
                        <w:left w:val="none" w:sz="0" w:space="0" w:color="auto"/>
                        <w:bottom w:val="none" w:sz="0" w:space="0" w:color="auto"/>
                        <w:right w:val="none" w:sz="0" w:space="0" w:color="auto"/>
                      </w:divBdr>
                      <w:divsChild>
                        <w:div w:id="453794259">
                          <w:marLeft w:val="0"/>
                          <w:marRight w:val="0"/>
                          <w:marTop w:val="0"/>
                          <w:marBottom w:val="0"/>
                          <w:divBdr>
                            <w:top w:val="none" w:sz="0" w:space="0" w:color="auto"/>
                            <w:left w:val="none" w:sz="0" w:space="0" w:color="auto"/>
                            <w:bottom w:val="none" w:sz="0" w:space="0" w:color="auto"/>
                            <w:right w:val="none" w:sz="0" w:space="0" w:color="auto"/>
                          </w:divBdr>
                          <w:divsChild>
                            <w:div w:id="1564364920">
                              <w:marLeft w:val="0"/>
                              <w:marRight w:val="0"/>
                              <w:marTop w:val="0"/>
                              <w:marBottom w:val="0"/>
                              <w:divBdr>
                                <w:top w:val="none" w:sz="0" w:space="0" w:color="auto"/>
                                <w:left w:val="none" w:sz="0" w:space="0" w:color="auto"/>
                                <w:bottom w:val="none" w:sz="0" w:space="0" w:color="auto"/>
                                <w:right w:val="none" w:sz="0" w:space="0" w:color="auto"/>
                              </w:divBdr>
                              <w:divsChild>
                                <w:div w:id="1666321538">
                                  <w:marLeft w:val="0"/>
                                  <w:marRight w:val="0"/>
                                  <w:marTop w:val="0"/>
                                  <w:marBottom w:val="0"/>
                                  <w:divBdr>
                                    <w:top w:val="none" w:sz="0" w:space="0" w:color="auto"/>
                                    <w:left w:val="none" w:sz="0" w:space="0" w:color="auto"/>
                                    <w:bottom w:val="none" w:sz="0" w:space="0" w:color="auto"/>
                                    <w:right w:val="none" w:sz="0" w:space="0" w:color="auto"/>
                                  </w:divBdr>
                                  <w:divsChild>
                                    <w:div w:id="165558899">
                                      <w:marLeft w:val="0"/>
                                      <w:marRight w:val="0"/>
                                      <w:marTop w:val="0"/>
                                      <w:marBottom w:val="0"/>
                                      <w:divBdr>
                                        <w:top w:val="none" w:sz="0" w:space="0" w:color="auto"/>
                                        <w:left w:val="none" w:sz="0" w:space="0" w:color="auto"/>
                                        <w:bottom w:val="none" w:sz="0" w:space="0" w:color="auto"/>
                                        <w:right w:val="none" w:sz="0" w:space="0" w:color="auto"/>
                                      </w:divBdr>
                                      <w:divsChild>
                                        <w:div w:id="1032070684">
                                          <w:marLeft w:val="0"/>
                                          <w:marRight w:val="0"/>
                                          <w:marTop w:val="0"/>
                                          <w:marBottom w:val="0"/>
                                          <w:divBdr>
                                            <w:top w:val="none" w:sz="0" w:space="0" w:color="auto"/>
                                            <w:left w:val="none" w:sz="0" w:space="0" w:color="auto"/>
                                            <w:bottom w:val="none" w:sz="0" w:space="0" w:color="auto"/>
                                            <w:right w:val="none" w:sz="0" w:space="0" w:color="auto"/>
                                          </w:divBdr>
                                          <w:divsChild>
                                            <w:div w:id="1265990292">
                                              <w:marLeft w:val="0"/>
                                              <w:marRight w:val="0"/>
                                              <w:marTop w:val="0"/>
                                              <w:marBottom w:val="0"/>
                                              <w:divBdr>
                                                <w:top w:val="none" w:sz="0" w:space="0" w:color="auto"/>
                                                <w:left w:val="none" w:sz="0" w:space="0" w:color="auto"/>
                                                <w:bottom w:val="none" w:sz="0" w:space="0" w:color="auto"/>
                                                <w:right w:val="none" w:sz="0" w:space="0" w:color="auto"/>
                                              </w:divBdr>
                                              <w:divsChild>
                                                <w:div w:id="1707482636">
                                                  <w:marLeft w:val="0"/>
                                                  <w:marRight w:val="0"/>
                                                  <w:marTop w:val="0"/>
                                                  <w:marBottom w:val="0"/>
                                                  <w:divBdr>
                                                    <w:top w:val="none" w:sz="0" w:space="0" w:color="auto"/>
                                                    <w:left w:val="none" w:sz="0" w:space="0" w:color="auto"/>
                                                    <w:bottom w:val="none" w:sz="0" w:space="0" w:color="auto"/>
                                                    <w:right w:val="none" w:sz="0" w:space="0" w:color="auto"/>
                                                  </w:divBdr>
                                                  <w:divsChild>
                                                    <w:div w:id="591549679">
                                                      <w:marLeft w:val="0"/>
                                                      <w:marRight w:val="0"/>
                                                      <w:marTop w:val="0"/>
                                                      <w:marBottom w:val="0"/>
                                                      <w:divBdr>
                                                        <w:top w:val="none" w:sz="0" w:space="0" w:color="auto"/>
                                                        <w:left w:val="none" w:sz="0" w:space="0" w:color="auto"/>
                                                        <w:bottom w:val="none" w:sz="0" w:space="0" w:color="auto"/>
                                                        <w:right w:val="none" w:sz="0" w:space="0" w:color="auto"/>
                                                      </w:divBdr>
                                                      <w:divsChild>
                                                        <w:div w:id="918711555">
                                                          <w:marLeft w:val="0"/>
                                                          <w:marRight w:val="0"/>
                                                          <w:marTop w:val="0"/>
                                                          <w:marBottom w:val="0"/>
                                                          <w:divBdr>
                                                            <w:top w:val="none" w:sz="0" w:space="0" w:color="auto"/>
                                                            <w:left w:val="none" w:sz="0" w:space="0" w:color="auto"/>
                                                            <w:bottom w:val="none" w:sz="0" w:space="0" w:color="auto"/>
                                                            <w:right w:val="none" w:sz="0" w:space="0" w:color="auto"/>
                                                          </w:divBdr>
                                                          <w:divsChild>
                                                            <w:div w:id="2135976812">
                                                              <w:marLeft w:val="0"/>
                                                              <w:marRight w:val="0"/>
                                                              <w:marTop w:val="0"/>
                                                              <w:marBottom w:val="0"/>
                                                              <w:divBdr>
                                                                <w:top w:val="none" w:sz="0" w:space="0" w:color="auto"/>
                                                                <w:left w:val="none" w:sz="0" w:space="0" w:color="auto"/>
                                                                <w:bottom w:val="none" w:sz="0" w:space="0" w:color="auto"/>
                                                                <w:right w:val="none" w:sz="0" w:space="0" w:color="auto"/>
                                                              </w:divBdr>
                                                              <w:divsChild>
                                                                <w:div w:id="223368955">
                                                                  <w:marLeft w:val="0"/>
                                                                  <w:marRight w:val="0"/>
                                                                  <w:marTop w:val="0"/>
                                                                  <w:marBottom w:val="0"/>
                                                                  <w:divBdr>
                                                                    <w:top w:val="none" w:sz="0" w:space="0" w:color="auto"/>
                                                                    <w:left w:val="none" w:sz="0" w:space="0" w:color="auto"/>
                                                                    <w:bottom w:val="none" w:sz="0" w:space="0" w:color="auto"/>
                                                                    <w:right w:val="none" w:sz="0" w:space="0" w:color="auto"/>
                                                                  </w:divBdr>
                                                                  <w:divsChild>
                                                                    <w:div w:id="2107535925">
                                                                      <w:marLeft w:val="0"/>
                                                                      <w:marRight w:val="0"/>
                                                                      <w:marTop w:val="0"/>
                                                                      <w:marBottom w:val="0"/>
                                                                      <w:divBdr>
                                                                        <w:top w:val="none" w:sz="0" w:space="0" w:color="auto"/>
                                                                        <w:left w:val="none" w:sz="0" w:space="0" w:color="auto"/>
                                                                        <w:bottom w:val="none" w:sz="0" w:space="0" w:color="auto"/>
                                                                        <w:right w:val="none" w:sz="0" w:space="0" w:color="auto"/>
                                                                      </w:divBdr>
                                                                      <w:divsChild>
                                                                        <w:div w:id="1511217458">
                                                                          <w:marLeft w:val="0"/>
                                                                          <w:marRight w:val="0"/>
                                                                          <w:marTop w:val="0"/>
                                                                          <w:marBottom w:val="0"/>
                                                                          <w:divBdr>
                                                                            <w:top w:val="none" w:sz="0" w:space="0" w:color="auto"/>
                                                                            <w:left w:val="none" w:sz="0" w:space="0" w:color="auto"/>
                                                                            <w:bottom w:val="none" w:sz="0" w:space="0" w:color="auto"/>
                                                                            <w:right w:val="none" w:sz="0" w:space="0" w:color="auto"/>
                                                                          </w:divBdr>
                                                                          <w:divsChild>
                                                                            <w:div w:id="1371758708">
                                                                              <w:marLeft w:val="0"/>
                                                                              <w:marRight w:val="0"/>
                                                                              <w:marTop w:val="0"/>
                                                                              <w:marBottom w:val="0"/>
                                                                              <w:divBdr>
                                                                                <w:top w:val="none" w:sz="0" w:space="0" w:color="auto"/>
                                                                                <w:left w:val="none" w:sz="0" w:space="0" w:color="auto"/>
                                                                                <w:bottom w:val="none" w:sz="0" w:space="0" w:color="auto"/>
                                                                                <w:right w:val="none" w:sz="0" w:space="0" w:color="auto"/>
                                                                              </w:divBdr>
                                                                              <w:divsChild>
                                                                                <w:div w:id="2089885820">
                                                                                  <w:marLeft w:val="0"/>
                                                                                  <w:marRight w:val="0"/>
                                                                                  <w:marTop w:val="0"/>
                                                                                  <w:marBottom w:val="0"/>
                                                                                  <w:divBdr>
                                                                                    <w:top w:val="none" w:sz="0" w:space="0" w:color="auto"/>
                                                                                    <w:left w:val="none" w:sz="0" w:space="0" w:color="auto"/>
                                                                                    <w:bottom w:val="none" w:sz="0" w:space="0" w:color="auto"/>
                                                                                    <w:right w:val="none" w:sz="0" w:space="0" w:color="auto"/>
                                                                                  </w:divBdr>
                                                                                  <w:divsChild>
                                                                                    <w:div w:id="1857226522">
                                                                                      <w:marLeft w:val="0"/>
                                                                                      <w:marRight w:val="0"/>
                                                                                      <w:marTop w:val="0"/>
                                                                                      <w:marBottom w:val="0"/>
                                                                                      <w:divBdr>
                                                                                        <w:top w:val="none" w:sz="0" w:space="0" w:color="auto"/>
                                                                                        <w:left w:val="none" w:sz="0" w:space="0" w:color="auto"/>
                                                                                        <w:bottom w:val="none" w:sz="0" w:space="0" w:color="auto"/>
                                                                                        <w:right w:val="none" w:sz="0" w:space="0" w:color="auto"/>
                                                                                      </w:divBdr>
                                                                                      <w:divsChild>
                                                                                        <w:div w:id="751317198">
                                                                                          <w:marLeft w:val="0"/>
                                                                                          <w:marRight w:val="0"/>
                                                                                          <w:marTop w:val="0"/>
                                                                                          <w:marBottom w:val="0"/>
                                                                                          <w:divBdr>
                                                                                            <w:top w:val="none" w:sz="0" w:space="0" w:color="auto"/>
                                                                                            <w:left w:val="none" w:sz="0" w:space="0" w:color="auto"/>
                                                                                            <w:bottom w:val="none" w:sz="0" w:space="0" w:color="auto"/>
                                                                                            <w:right w:val="none" w:sz="0" w:space="0" w:color="auto"/>
                                                                                          </w:divBdr>
                                                                                          <w:divsChild>
                                                                                            <w:div w:id="833380583">
                                                                                              <w:marLeft w:val="0"/>
                                                                                              <w:marRight w:val="0"/>
                                                                                              <w:marTop w:val="0"/>
                                                                                              <w:marBottom w:val="0"/>
                                                                                              <w:divBdr>
                                                                                                <w:top w:val="none" w:sz="0" w:space="0" w:color="auto"/>
                                                                                                <w:left w:val="none" w:sz="0" w:space="0" w:color="auto"/>
                                                                                                <w:bottom w:val="none" w:sz="0" w:space="0" w:color="auto"/>
                                                                                                <w:right w:val="none" w:sz="0" w:space="0" w:color="auto"/>
                                                                                              </w:divBdr>
                                                                                              <w:divsChild>
                                                                                                <w:div w:id="1831209232">
                                                                                                  <w:marLeft w:val="0"/>
                                                                                                  <w:marRight w:val="0"/>
                                                                                                  <w:marTop w:val="0"/>
                                                                                                  <w:marBottom w:val="0"/>
                                                                                                  <w:divBdr>
                                                                                                    <w:top w:val="none" w:sz="0" w:space="0" w:color="auto"/>
                                                                                                    <w:left w:val="none" w:sz="0" w:space="0" w:color="auto"/>
                                                                                                    <w:bottom w:val="none" w:sz="0" w:space="0" w:color="auto"/>
                                                                                                    <w:right w:val="none" w:sz="0" w:space="0" w:color="auto"/>
                                                                                                  </w:divBdr>
                                                                                                  <w:divsChild>
                                                                                                    <w:div w:id="19668019">
                                                                                                      <w:marLeft w:val="0"/>
                                                                                                      <w:marRight w:val="0"/>
                                                                                                      <w:marTop w:val="0"/>
                                                                                                      <w:marBottom w:val="0"/>
                                                                                                      <w:divBdr>
                                                                                                        <w:top w:val="none" w:sz="0" w:space="0" w:color="auto"/>
                                                                                                        <w:left w:val="none" w:sz="0" w:space="0" w:color="auto"/>
                                                                                                        <w:bottom w:val="none" w:sz="0" w:space="0" w:color="auto"/>
                                                                                                        <w:right w:val="none" w:sz="0" w:space="0" w:color="auto"/>
                                                                                                      </w:divBdr>
                                                                                                      <w:divsChild>
                                                                                                        <w:div w:id="19096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785545">
      <w:bodyDiv w:val="1"/>
      <w:marLeft w:val="0"/>
      <w:marRight w:val="0"/>
      <w:marTop w:val="0"/>
      <w:marBottom w:val="0"/>
      <w:divBdr>
        <w:top w:val="none" w:sz="0" w:space="0" w:color="auto"/>
        <w:left w:val="none" w:sz="0" w:space="0" w:color="auto"/>
        <w:bottom w:val="none" w:sz="0" w:space="0" w:color="auto"/>
        <w:right w:val="none" w:sz="0" w:space="0" w:color="auto"/>
      </w:divBdr>
    </w:div>
    <w:div w:id="1885942196">
      <w:bodyDiv w:val="1"/>
      <w:marLeft w:val="0"/>
      <w:marRight w:val="0"/>
      <w:marTop w:val="0"/>
      <w:marBottom w:val="0"/>
      <w:divBdr>
        <w:top w:val="none" w:sz="0" w:space="0" w:color="auto"/>
        <w:left w:val="none" w:sz="0" w:space="0" w:color="auto"/>
        <w:bottom w:val="none" w:sz="0" w:space="0" w:color="auto"/>
        <w:right w:val="none" w:sz="0" w:space="0" w:color="auto"/>
      </w:divBdr>
      <w:divsChild>
        <w:div w:id="1661033738">
          <w:marLeft w:val="0"/>
          <w:marRight w:val="0"/>
          <w:marTop w:val="0"/>
          <w:marBottom w:val="0"/>
          <w:divBdr>
            <w:top w:val="none" w:sz="0" w:space="0" w:color="auto"/>
            <w:left w:val="none" w:sz="0" w:space="0" w:color="auto"/>
            <w:bottom w:val="none" w:sz="0" w:space="0" w:color="auto"/>
            <w:right w:val="none" w:sz="0" w:space="0" w:color="auto"/>
          </w:divBdr>
          <w:divsChild>
            <w:div w:id="689377707">
              <w:marLeft w:val="0"/>
              <w:marRight w:val="0"/>
              <w:marTop w:val="615"/>
              <w:marBottom w:val="0"/>
              <w:divBdr>
                <w:top w:val="none" w:sz="0" w:space="0" w:color="auto"/>
                <w:left w:val="none" w:sz="0" w:space="0" w:color="auto"/>
                <w:bottom w:val="none" w:sz="0" w:space="0" w:color="auto"/>
                <w:right w:val="none" w:sz="0" w:space="0" w:color="auto"/>
              </w:divBdr>
              <w:divsChild>
                <w:div w:id="1499465252">
                  <w:marLeft w:val="0"/>
                  <w:marRight w:val="0"/>
                  <w:marTop w:val="0"/>
                  <w:marBottom w:val="0"/>
                  <w:divBdr>
                    <w:top w:val="none" w:sz="0" w:space="0" w:color="auto"/>
                    <w:left w:val="none" w:sz="0" w:space="0" w:color="auto"/>
                    <w:bottom w:val="none" w:sz="0" w:space="0" w:color="auto"/>
                    <w:right w:val="none" w:sz="0" w:space="0" w:color="auto"/>
                  </w:divBdr>
                  <w:divsChild>
                    <w:div w:id="144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99241/NDNS_results_years_7_and_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greenwood@leed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e.york.ac.uk/portal/en/researchers/barry-john-debenham-wright(36e3666b-ba9c-4fc6-b7bc-8c4a386040fb).html" TargetMode="External"/><Relationship Id="rId5" Type="http://schemas.openxmlformats.org/officeDocument/2006/relationships/numbering" Target="numbering.xml"/><Relationship Id="rId15" Type="http://schemas.openxmlformats.org/officeDocument/2006/relationships/hyperlink" Target="https://digital.nhs.uk/services/terminology-and-classifications/read-cod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who.int/iris/bitstream/ha%20dle/10665/43781/9789241595827_eng.pdf;jsessionid=48BBCC8BC3F9568251A8188D7DB301C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992AB11DA554D9FEA7A90197D945A" ma:contentTypeVersion="12" ma:contentTypeDescription="Create a new document." ma:contentTypeScope="" ma:versionID="7d1449a64ef682c8a7cf666b5ffa653d">
  <xsd:schema xmlns:xsd="http://www.w3.org/2001/XMLSchema" xmlns:xs="http://www.w3.org/2001/XMLSchema" xmlns:p="http://schemas.microsoft.com/office/2006/metadata/properties" xmlns:ns3="f4cda8fd-c9f2-4892-ab89-9d504feacb69" xmlns:ns4="0836bbf5-4aae-4f18-b516-d61fdd378d01" targetNamespace="http://schemas.microsoft.com/office/2006/metadata/properties" ma:root="true" ma:fieldsID="1a719b42907db7e4f37fd94e51acac75" ns3:_="" ns4:_="">
    <xsd:import namespace="f4cda8fd-c9f2-4892-ab89-9d504feacb69"/>
    <xsd:import namespace="0836bbf5-4aae-4f18-b516-d61fdd378d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da8fd-c9f2-4892-ab89-9d504feac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6bbf5-4aae-4f18-b516-d61fdd378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8927-C317-4F85-AE30-EC282B1AC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1E53C-1076-4645-B46B-6E400C338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da8fd-c9f2-4892-ab89-9d504feacb69"/>
    <ds:schemaRef ds:uri="0836bbf5-4aae-4f18-b516-d61fdd378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15F7E-A55F-473A-9AAD-07BCFFE03A4D}">
  <ds:schemaRefs>
    <ds:schemaRef ds:uri="http://schemas.microsoft.com/sharepoint/v3/contenttype/forms"/>
  </ds:schemaRefs>
</ds:datastoreItem>
</file>

<file path=customXml/itemProps4.xml><?xml version="1.0" encoding="utf-8"?>
<ds:datastoreItem xmlns:ds="http://schemas.openxmlformats.org/officeDocument/2006/customXml" ds:itemID="{0CA36F38-FF3F-4E83-A2A5-C59BE91B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6688</Words>
  <Characters>38125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Cromie</dc:creator>
  <cp:lastModifiedBy>Kirsten Cromie</cp:lastModifiedBy>
  <cp:revision>5</cp:revision>
  <dcterms:created xsi:type="dcterms:W3CDTF">2020-10-30T13:32:00Z</dcterms:created>
  <dcterms:modified xsi:type="dcterms:W3CDTF">2020-11-05T14:07:00Z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0x010100A8D992AB11DA554D9FEA7A90197D945A</vt:lpwstr>
  </property>
</Properties>
</file>