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CEFA2" w14:textId="5F3E816F" w:rsidR="00980B41" w:rsidRPr="006974E9" w:rsidRDefault="008D59D5" w:rsidP="0092016A">
      <w:pPr>
        <w:pStyle w:val="Normal1"/>
        <w:jc w:val="center"/>
        <w:rPr>
          <w:rFonts w:ascii="Calibri" w:hAnsi="Calibri"/>
          <w:b/>
          <w:lang w:val="en-GB"/>
        </w:rPr>
      </w:pPr>
      <w:bookmarkStart w:id="0" w:name="_GoBack"/>
      <w:bookmarkEnd w:id="0"/>
      <w:r w:rsidRPr="006974E9">
        <w:rPr>
          <w:rFonts w:ascii="Calibri" w:hAnsi="Calibri"/>
          <w:b/>
          <w:lang w:val="en-GB"/>
        </w:rPr>
        <w:t>The Intimate International Relations of Museums: a Method</w:t>
      </w:r>
    </w:p>
    <w:p w14:paraId="74A1F423" w14:textId="77777777" w:rsidR="00980B41" w:rsidRPr="006974E9" w:rsidRDefault="00980B41">
      <w:pPr>
        <w:pStyle w:val="Normal1"/>
        <w:rPr>
          <w:rFonts w:ascii="Calibri" w:hAnsi="Calibri"/>
          <w:b/>
          <w:i/>
          <w:lang w:val="en-GB"/>
        </w:rPr>
      </w:pPr>
    </w:p>
    <w:p w14:paraId="79F624B4" w14:textId="4EFB22DC" w:rsidR="00957C4D" w:rsidRDefault="008D59D5">
      <w:pPr>
        <w:pStyle w:val="Normal1"/>
        <w:jc w:val="both"/>
        <w:rPr>
          <w:rFonts w:ascii="Calibri" w:hAnsi="Calibri"/>
          <w:lang w:val="en-GB"/>
        </w:rPr>
      </w:pPr>
      <w:r w:rsidRPr="006974E9">
        <w:rPr>
          <w:rFonts w:ascii="Calibri" w:hAnsi="Calibri"/>
          <w:lang w:val="en-GB"/>
        </w:rPr>
        <w:t>This article proposes a method for analysing museums as sites of intimate</w:t>
      </w:r>
      <w:r w:rsidR="00477FC6">
        <w:rPr>
          <w:rFonts w:ascii="Calibri" w:hAnsi="Calibri"/>
          <w:lang w:val="en-GB"/>
        </w:rPr>
        <w:t xml:space="preserve"> and colonially-produced</w:t>
      </w:r>
      <w:r w:rsidRPr="006974E9">
        <w:rPr>
          <w:rFonts w:ascii="Calibri" w:hAnsi="Calibri"/>
          <w:lang w:val="en-GB"/>
        </w:rPr>
        <w:t xml:space="preserve"> international relations. Beginning with fieldwork that approaches museums as sites through which people intimately encounter the objects, institutions, selves and others of international politics, we explore how intimacy can be ‘read’ as socio-sexual affect, scales and proximities, and colonial differentiation/racialisation. The article is grounded in fieldwork at the British Army Royal Engineers museum in Kent, UK, conceptualised as an assembly of</w:t>
      </w:r>
      <w:r w:rsidR="006570F4">
        <w:rPr>
          <w:rFonts w:ascii="Calibri" w:hAnsi="Calibri"/>
          <w:lang w:val="en-GB"/>
        </w:rPr>
        <w:t>, following Stoler,</w:t>
      </w:r>
      <w:r w:rsidRPr="006974E9">
        <w:rPr>
          <w:rFonts w:ascii="Calibri" w:hAnsi="Calibri"/>
          <w:lang w:val="en-GB"/>
        </w:rPr>
        <w:t xml:space="preserve"> imperial debris. We explore how certain museum exhibits work as intimate ‘organising objects’, locating the museum collection, and those who visit or are excluded from it, within the intimate circulations of imperial and colonial violence. The article makes </w:t>
      </w:r>
      <w:r w:rsidR="00957C4D">
        <w:rPr>
          <w:rFonts w:ascii="Calibri" w:hAnsi="Calibri"/>
          <w:lang w:val="en-GB"/>
        </w:rPr>
        <w:t>two</w:t>
      </w:r>
      <w:r w:rsidR="00957C4D" w:rsidRPr="006974E9">
        <w:rPr>
          <w:rFonts w:ascii="Calibri" w:hAnsi="Calibri"/>
          <w:lang w:val="en-GB"/>
        </w:rPr>
        <w:t xml:space="preserve"> </w:t>
      </w:r>
      <w:r w:rsidRPr="006974E9">
        <w:rPr>
          <w:rFonts w:ascii="Calibri" w:hAnsi="Calibri"/>
          <w:lang w:val="en-GB"/>
        </w:rPr>
        <w:t xml:space="preserve">core contributions: </w:t>
      </w:r>
      <w:r w:rsidR="00957C4D">
        <w:rPr>
          <w:rFonts w:ascii="Calibri" w:hAnsi="Calibri"/>
          <w:lang w:val="en-GB"/>
        </w:rPr>
        <w:t xml:space="preserve">Firstly, responding to recent literature in IR on museums we propose a framework for understanding how museums and exhibitions function as everyday sites of coloniality and racialisation. Secondly, we propose that approaching intimacy as a method is instructive for fieldwork in international relations </w:t>
      </w:r>
      <w:r w:rsidR="00A6197E">
        <w:rPr>
          <w:rFonts w:ascii="Calibri" w:hAnsi="Calibri"/>
          <w:lang w:val="en-GB"/>
        </w:rPr>
        <w:t xml:space="preserve">(including museums) </w:t>
      </w:r>
      <w:r w:rsidR="00957C4D">
        <w:rPr>
          <w:rFonts w:ascii="Calibri" w:hAnsi="Calibri"/>
          <w:lang w:val="en-GB"/>
        </w:rPr>
        <w:t xml:space="preserve">which takes the colonial </w:t>
      </w:r>
      <w:r w:rsidR="00C5407D">
        <w:rPr>
          <w:rFonts w:ascii="Calibri" w:hAnsi="Calibri"/>
          <w:lang w:val="en-GB"/>
        </w:rPr>
        <w:t xml:space="preserve">constitution of the global/local seriously. </w:t>
      </w:r>
      <w:r w:rsidR="00957C4D">
        <w:rPr>
          <w:rFonts w:ascii="Calibri" w:hAnsi="Calibri"/>
          <w:lang w:val="en-GB"/>
        </w:rPr>
        <w:t xml:space="preserve"> </w:t>
      </w:r>
    </w:p>
    <w:p w14:paraId="3BA9923E" w14:textId="77777777" w:rsidR="00957C4D" w:rsidRDefault="00957C4D">
      <w:pPr>
        <w:pStyle w:val="Normal1"/>
        <w:jc w:val="both"/>
        <w:rPr>
          <w:rFonts w:ascii="Calibri" w:hAnsi="Calibri"/>
          <w:lang w:val="en-GB"/>
        </w:rPr>
      </w:pPr>
    </w:p>
    <w:p w14:paraId="559C0B31" w14:textId="0F25A026" w:rsidR="00980B41" w:rsidRPr="006974E9" w:rsidRDefault="00957C4D">
      <w:pPr>
        <w:pStyle w:val="Normal1"/>
        <w:jc w:val="both"/>
        <w:rPr>
          <w:rFonts w:ascii="Calibri" w:hAnsi="Calibri"/>
          <w:lang w:val="en-GB"/>
        </w:rPr>
      </w:pPr>
      <w:r>
        <w:rPr>
          <w:rFonts w:ascii="Calibri" w:hAnsi="Calibri"/>
          <w:lang w:val="en-GB"/>
        </w:rPr>
        <w:t xml:space="preserve"> </w:t>
      </w:r>
    </w:p>
    <w:p w14:paraId="5E662746" w14:textId="77777777" w:rsidR="00980B41" w:rsidRPr="006974E9" w:rsidRDefault="008D59D5">
      <w:pPr>
        <w:pStyle w:val="Normal1"/>
        <w:rPr>
          <w:rFonts w:ascii="Calibri" w:hAnsi="Calibri"/>
          <w:lang w:val="en-GB"/>
        </w:rPr>
      </w:pPr>
      <w:r w:rsidRPr="006974E9">
        <w:rPr>
          <w:rFonts w:ascii="Calibri" w:hAnsi="Calibri"/>
          <w:lang w:val="en-GB"/>
        </w:rPr>
        <w:t xml:space="preserve">Keywords: </w:t>
      </w:r>
      <w:r w:rsidRPr="006974E9">
        <w:rPr>
          <w:rFonts w:ascii="Calibri" w:hAnsi="Calibri"/>
          <w:i/>
          <w:lang w:val="en-GB"/>
        </w:rPr>
        <w:t>fieldwork, method, intimacy, museums, war, empire, coloniality, imperialism</w:t>
      </w:r>
      <w:r w:rsidRPr="006974E9">
        <w:rPr>
          <w:rFonts w:ascii="Calibri" w:hAnsi="Calibri"/>
          <w:lang w:val="en-GB"/>
        </w:rPr>
        <w:t xml:space="preserve"> </w:t>
      </w:r>
    </w:p>
    <w:p w14:paraId="0FFD856B" w14:textId="77777777" w:rsidR="00980B41" w:rsidRPr="006974E9" w:rsidRDefault="00980B41">
      <w:pPr>
        <w:pStyle w:val="Normal1"/>
        <w:jc w:val="both"/>
        <w:rPr>
          <w:rFonts w:ascii="Calibri" w:hAnsi="Calibri"/>
          <w:lang w:val="en-GB"/>
        </w:rPr>
      </w:pPr>
    </w:p>
    <w:p w14:paraId="0BF41D4F" w14:textId="77777777" w:rsidR="00980B41" w:rsidRPr="006974E9" w:rsidRDefault="00980B41">
      <w:pPr>
        <w:pStyle w:val="Normal1"/>
        <w:jc w:val="both"/>
        <w:rPr>
          <w:rFonts w:ascii="Calibri" w:hAnsi="Calibri"/>
          <w:b/>
          <w:lang w:val="en-GB"/>
        </w:rPr>
      </w:pPr>
    </w:p>
    <w:p w14:paraId="2F152575" w14:textId="77777777" w:rsidR="00980B41" w:rsidRPr="006974E9" w:rsidRDefault="008D59D5">
      <w:pPr>
        <w:pStyle w:val="Normal1"/>
        <w:jc w:val="both"/>
        <w:rPr>
          <w:rFonts w:ascii="Calibri" w:hAnsi="Calibri"/>
          <w:b/>
          <w:lang w:val="en-GB"/>
        </w:rPr>
      </w:pPr>
      <w:r w:rsidRPr="006974E9">
        <w:rPr>
          <w:rFonts w:ascii="Calibri" w:hAnsi="Calibri"/>
          <w:b/>
          <w:lang w:val="en-GB"/>
        </w:rPr>
        <w:t>Introduction</w:t>
      </w:r>
    </w:p>
    <w:p w14:paraId="594AD776" w14:textId="77777777" w:rsidR="00980B41" w:rsidRPr="006974E9" w:rsidRDefault="00980B41">
      <w:pPr>
        <w:pStyle w:val="Normal1"/>
        <w:jc w:val="both"/>
        <w:rPr>
          <w:rFonts w:ascii="Calibri" w:hAnsi="Calibri"/>
          <w:lang w:val="en-GB"/>
        </w:rPr>
      </w:pPr>
    </w:p>
    <w:p w14:paraId="2738C188" w14:textId="24EA7EBF" w:rsidR="00980B41" w:rsidRPr="006974E9" w:rsidRDefault="008D59D5">
      <w:pPr>
        <w:pStyle w:val="Normal1"/>
        <w:jc w:val="both"/>
        <w:rPr>
          <w:rFonts w:ascii="Calibri" w:hAnsi="Calibri"/>
          <w:lang w:val="en-GB"/>
        </w:rPr>
      </w:pPr>
      <w:r w:rsidRPr="006974E9">
        <w:rPr>
          <w:rFonts w:ascii="Calibri" w:hAnsi="Calibri"/>
          <w:lang w:val="en-GB"/>
        </w:rPr>
        <w:t xml:space="preserve">At the British Army Royal Engineers Museum in Kent, UK, visitors are invited to marvel at objects </w:t>
      </w:r>
      <w:r w:rsidR="00D70FEE" w:rsidRPr="006974E9">
        <w:rPr>
          <w:rFonts w:ascii="Calibri" w:hAnsi="Calibri"/>
          <w:lang w:val="en-GB"/>
        </w:rPr>
        <w:t xml:space="preserve">representing </w:t>
      </w:r>
      <w:r w:rsidRPr="006974E9">
        <w:rPr>
          <w:rFonts w:ascii="Calibri" w:hAnsi="Calibri"/>
          <w:lang w:val="en-GB"/>
        </w:rPr>
        <w:t xml:space="preserve">the might of British military engineering. In particular they are </w:t>
      </w:r>
      <w:r w:rsidR="00551836">
        <w:rPr>
          <w:rFonts w:ascii="Calibri" w:hAnsi="Calibri"/>
          <w:lang w:val="en-GB"/>
        </w:rPr>
        <w:t>called upon</w:t>
      </w:r>
      <w:r w:rsidRPr="006974E9">
        <w:rPr>
          <w:rFonts w:ascii="Calibri" w:hAnsi="Calibri"/>
          <w:lang w:val="en-GB"/>
        </w:rPr>
        <w:t xml:space="preserve"> to celebrate the role of that engineering in literally building empire, described by an information board as </w:t>
      </w:r>
      <w:r w:rsidR="00174E9D">
        <w:rPr>
          <w:rFonts w:ascii="Calibri" w:hAnsi="Calibri"/>
          <w:lang w:val="en-GB"/>
        </w:rPr>
        <w:t>‘</w:t>
      </w:r>
      <w:r w:rsidRPr="006974E9">
        <w:rPr>
          <w:rFonts w:ascii="Calibri" w:hAnsi="Calibri"/>
          <w:lang w:val="en-GB"/>
        </w:rPr>
        <w:t>honourable conquest</w:t>
      </w:r>
      <w:r w:rsidR="00174E9D">
        <w:rPr>
          <w:rFonts w:ascii="Calibri" w:hAnsi="Calibri"/>
          <w:lang w:val="en-GB"/>
        </w:rPr>
        <w:t>’</w:t>
      </w:r>
      <w:r w:rsidR="0054474B" w:rsidRPr="006974E9">
        <w:rPr>
          <w:rFonts w:ascii="Calibri" w:hAnsi="Calibri"/>
          <w:lang w:val="en-GB"/>
        </w:rPr>
        <w:t xml:space="preserve">. </w:t>
      </w:r>
      <w:r w:rsidR="009966AD">
        <w:rPr>
          <w:rFonts w:ascii="Calibri" w:hAnsi="Calibri"/>
          <w:lang w:val="en-GB"/>
        </w:rPr>
        <w:t>The m</w:t>
      </w:r>
      <w:r w:rsidRPr="006974E9">
        <w:rPr>
          <w:rFonts w:ascii="Calibri" w:hAnsi="Calibri"/>
          <w:lang w:val="en-GB"/>
        </w:rPr>
        <w:t>useum displays are dominated by machines and technology: bridging machines, mapping technologies, fortifications, weapons. Th</w:t>
      </w:r>
      <w:r w:rsidR="00E76548" w:rsidRPr="006974E9">
        <w:rPr>
          <w:rFonts w:ascii="Calibri" w:hAnsi="Calibri"/>
          <w:lang w:val="en-GB"/>
        </w:rPr>
        <w:t>ere is a lot of hard, forged metal</w:t>
      </w:r>
      <w:r w:rsidRPr="006974E9">
        <w:rPr>
          <w:rFonts w:ascii="Calibri" w:hAnsi="Calibri"/>
          <w:lang w:val="en-GB"/>
        </w:rPr>
        <w:t xml:space="preserve">, peppered with some more organic offerings such as a collection of teeth ripped from the mouths of the dead at Waterloo. Yet, these exhibits, and how visitors are invited to relate to them (and to the museum, the British Army, state and empire) occurs within the terms of a very different object. The visitor is guided through these material remains of state violence by something ‘cute’ and familiar: a small pet dog. Collected by British soldiers from a Crimean battlefield in 1854 and later becoming the mascot of the Royal Engineers and the museum, ‘Snob’ the terrier dog is now a taxidermy exhibit, a cartoon </w:t>
      </w:r>
      <w:r w:rsidR="00271828" w:rsidRPr="006974E9">
        <w:rPr>
          <w:rFonts w:ascii="Calibri" w:hAnsi="Calibri"/>
          <w:lang w:val="en-GB"/>
        </w:rPr>
        <w:t>character</w:t>
      </w:r>
      <w:r w:rsidR="00DC56E5" w:rsidRPr="006974E9">
        <w:rPr>
          <w:rFonts w:ascii="Calibri" w:hAnsi="Calibri"/>
          <w:lang w:val="en-GB"/>
        </w:rPr>
        <w:t xml:space="preserve"> o</w:t>
      </w:r>
      <w:r w:rsidR="00271828" w:rsidRPr="006974E9">
        <w:rPr>
          <w:rFonts w:ascii="Calibri" w:hAnsi="Calibri"/>
          <w:lang w:val="en-GB"/>
        </w:rPr>
        <w:t>n informational signs that guide</w:t>
      </w:r>
      <w:r w:rsidR="00DC56E5" w:rsidRPr="006974E9">
        <w:rPr>
          <w:rFonts w:ascii="Calibri" w:hAnsi="Calibri"/>
          <w:lang w:val="en-GB"/>
        </w:rPr>
        <w:t xml:space="preserve"> visitors (particularly children)</w:t>
      </w:r>
      <w:r w:rsidR="00271828" w:rsidRPr="006974E9">
        <w:rPr>
          <w:rFonts w:ascii="Calibri" w:hAnsi="Calibri"/>
          <w:lang w:val="en-GB"/>
        </w:rPr>
        <w:t xml:space="preserve"> through the museum</w:t>
      </w:r>
      <w:r w:rsidR="00DC56E5" w:rsidRPr="006974E9">
        <w:rPr>
          <w:rFonts w:ascii="Calibri" w:hAnsi="Calibri"/>
          <w:lang w:val="en-GB"/>
        </w:rPr>
        <w:t>,</w:t>
      </w:r>
      <w:r w:rsidRPr="006974E9">
        <w:rPr>
          <w:rFonts w:ascii="Calibri" w:hAnsi="Calibri"/>
          <w:lang w:val="en-GB"/>
        </w:rPr>
        <w:t xml:space="preserve"> and </w:t>
      </w:r>
      <w:r w:rsidR="00271828" w:rsidRPr="006974E9">
        <w:rPr>
          <w:rFonts w:ascii="Calibri" w:hAnsi="Calibri"/>
          <w:lang w:val="en-GB"/>
        </w:rPr>
        <w:t xml:space="preserve">a </w:t>
      </w:r>
      <w:r w:rsidRPr="006974E9">
        <w:rPr>
          <w:rFonts w:ascii="Calibri" w:hAnsi="Calibri"/>
          <w:lang w:val="en-GB"/>
        </w:rPr>
        <w:t>plush toy ambassador</w:t>
      </w:r>
      <w:r w:rsidR="00271828" w:rsidRPr="006974E9">
        <w:rPr>
          <w:rFonts w:ascii="Calibri" w:hAnsi="Calibri"/>
          <w:lang w:val="en-GB"/>
        </w:rPr>
        <w:t xml:space="preserve"> for the museum with its own Twitter account</w:t>
      </w:r>
      <w:r w:rsidR="009966AD">
        <w:rPr>
          <w:rStyle w:val="FootnoteReference"/>
          <w:rFonts w:ascii="Calibri" w:hAnsi="Calibri"/>
          <w:lang w:val="en-GB"/>
        </w:rPr>
        <w:footnoteReference w:id="1"/>
      </w:r>
      <w:r w:rsidR="00E57C65">
        <w:rPr>
          <w:rFonts w:ascii="Calibri" w:hAnsi="Calibri"/>
          <w:lang w:val="en-GB"/>
        </w:rPr>
        <w:t>.</w:t>
      </w:r>
      <w:r w:rsidRPr="006974E9">
        <w:rPr>
          <w:rFonts w:ascii="Calibri" w:hAnsi="Calibri"/>
          <w:lang w:val="en-GB"/>
        </w:rPr>
        <w:t xml:space="preserve"> </w:t>
      </w:r>
      <w:r w:rsidR="00501BFD">
        <w:rPr>
          <w:rFonts w:ascii="Calibri" w:hAnsi="Calibri"/>
          <w:lang w:val="en-GB"/>
        </w:rPr>
        <w:t>The juxtaposition of Snob and the other materials invites</w:t>
      </w:r>
      <w:r w:rsidR="0096079A">
        <w:rPr>
          <w:rFonts w:ascii="Calibri" w:hAnsi="Calibri"/>
          <w:lang w:val="en-GB"/>
        </w:rPr>
        <w:t xml:space="preserve"> in the visitor</w:t>
      </w:r>
      <w:r w:rsidR="00501BFD">
        <w:rPr>
          <w:rFonts w:ascii="Calibri" w:hAnsi="Calibri"/>
          <w:lang w:val="en-GB"/>
        </w:rPr>
        <w:t xml:space="preserve"> a set of emotional </w:t>
      </w:r>
      <w:r w:rsidR="0096079A">
        <w:rPr>
          <w:rFonts w:ascii="Calibri" w:hAnsi="Calibri"/>
          <w:lang w:val="en-GB"/>
        </w:rPr>
        <w:t xml:space="preserve">reactions and </w:t>
      </w:r>
      <w:r w:rsidR="007774F6">
        <w:rPr>
          <w:rFonts w:ascii="Calibri" w:hAnsi="Calibri"/>
          <w:lang w:val="en-GB"/>
        </w:rPr>
        <w:t xml:space="preserve">(perhaps) </w:t>
      </w:r>
      <w:r w:rsidR="003A595C">
        <w:rPr>
          <w:rFonts w:ascii="Calibri" w:hAnsi="Calibri"/>
          <w:lang w:val="en-GB"/>
        </w:rPr>
        <w:t xml:space="preserve">familiar </w:t>
      </w:r>
      <w:r w:rsidR="0096079A">
        <w:rPr>
          <w:rFonts w:ascii="Calibri" w:hAnsi="Calibri"/>
          <w:lang w:val="en-GB"/>
        </w:rPr>
        <w:t xml:space="preserve">relationships. </w:t>
      </w:r>
      <w:r w:rsidRPr="006974E9">
        <w:rPr>
          <w:rFonts w:ascii="Calibri" w:hAnsi="Calibri"/>
          <w:lang w:val="en-GB"/>
        </w:rPr>
        <w:t>On the floor of a glass case amongst an assortment of weapons, paraphernalia and battlefield materials the taxidermy dog is jarringly ‘</w:t>
      </w:r>
      <w:r w:rsidR="00EF2FB2" w:rsidRPr="006974E9">
        <w:rPr>
          <w:rFonts w:ascii="Calibri" w:hAnsi="Calibri"/>
          <w:lang w:val="en-GB"/>
        </w:rPr>
        <w:t>charming</w:t>
      </w:r>
      <w:r w:rsidRPr="006974E9">
        <w:rPr>
          <w:rFonts w:ascii="Calibri" w:hAnsi="Calibri"/>
          <w:lang w:val="en-GB"/>
        </w:rPr>
        <w:t xml:space="preserve">, ‘sweet’ and seems - against an array of metal things - paradoxically ‘alive’. Furthermore, to a </w:t>
      </w:r>
      <w:r w:rsidR="00551836">
        <w:rPr>
          <w:rFonts w:ascii="Calibri" w:hAnsi="Calibri"/>
          <w:lang w:val="en-GB"/>
        </w:rPr>
        <w:t xml:space="preserve">British </w:t>
      </w:r>
      <w:r w:rsidRPr="006974E9">
        <w:rPr>
          <w:rFonts w:ascii="Calibri" w:hAnsi="Calibri"/>
          <w:lang w:val="en-GB"/>
        </w:rPr>
        <w:t xml:space="preserve">civilian visitor he is </w:t>
      </w:r>
      <w:r w:rsidR="00551836">
        <w:rPr>
          <w:rFonts w:ascii="Calibri" w:hAnsi="Calibri"/>
          <w:lang w:val="en-GB"/>
        </w:rPr>
        <w:t xml:space="preserve">likely to be </w:t>
      </w:r>
      <w:r w:rsidRPr="006974E9">
        <w:rPr>
          <w:rFonts w:ascii="Calibri" w:hAnsi="Calibri"/>
          <w:lang w:val="en-GB"/>
        </w:rPr>
        <w:t>intimately familiar as a pet</w:t>
      </w:r>
      <w:r w:rsidR="00404AEF">
        <w:rPr>
          <w:rFonts w:ascii="Calibri" w:hAnsi="Calibri"/>
          <w:lang w:val="en-GB"/>
        </w:rPr>
        <w:t xml:space="preserve"> -</w:t>
      </w:r>
      <w:r w:rsidRPr="006974E9">
        <w:rPr>
          <w:rFonts w:ascii="Calibri" w:hAnsi="Calibri"/>
          <w:lang w:val="en-GB"/>
        </w:rPr>
        <w:t xml:space="preserve"> one of the family.</w:t>
      </w:r>
      <w:r w:rsidR="0073752B">
        <w:rPr>
          <w:rStyle w:val="FootnoteReference"/>
          <w:rFonts w:ascii="Calibri" w:hAnsi="Calibri"/>
          <w:lang w:val="en-GB"/>
        </w:rPr>
        <w:footnoteReference w:id="2"/>
      </w:r>
      <w:r w:rsidRPr="006974E9">
        <w:rPr>
          <w:rFonts w:ascii="Calibri" w:hAnsi="Calibri"/>
          <w:lang w:val="en-GB"/>
        </w:rPr>
        <w:t xml:space="preserve"> It is easy to imagine reaching down to pet him, an impulse, the visitor </w:t>
      </w:r>
      <w:r w:rsidR="005832EC">
        <w:rPr>
          <w:rFonts w:ascii="Calibri" w:hAnsi="Calibri"/>
          <w:lang w:val="en-GB"/>
        </w:rPr>
        <w:t>seems invited</w:t>
      </w:r>
      <w:r w:rsidRPr="006974E9">
        <w:rPr>
          <w:rFonts w:ascii="Calibri" w:hAnsi="Calibri"/>
          <w:lang w:val="en-GB"/>
        </w:rPr>
        <w:t xml:space="preserve"> to imagine, shared with the soldiers who brought him back with them to England.</w:t>
      </w:r>
      <w:r w:rsidR="0073752B">
        <w:rPr>
          <w:rFonts w:ascii="Calibri" w:hAnsi="Calibri"/>
          <w:lang w:val="en-GB"/>
        </w:rPr>
        <w:t xml:space="preserve"> </w:t>
      </w:r>
    </w:p>
    <w:p w14:paraId="476534F4" w14:textId="77777777" w:rsidR="00271828" w:rsidRPr="006974E9" w:rsidRDefault="00271828">
      <w:pPr>
        <w:pStyle w:val="Normal1"/>
        <w:jc w:val="both"/>
        <w:rPr>
          <w:rFonts w:ascii="Calibri" w:hAnsi="Calibri"/>
          <w:lang w:val="en-GB"/>
        </w:rPr>
      </w:pPr>
    </w:p>
    <w:p w14:paraId="10AD5779" w14:textId="1864820E" w:rsidR="00980B41" w:rsidRPr="006974E9" w:rsidRDefault="008D59D5" w:rsidP="00551836">
      <w:pPr>
        <w:pStyle w:val="Normal1"/>
        <w:jc w:val="both"/>
        <w:rPr>
          <w:rFonts w:ascii="Calibri" w:hAnsi="Calibri"/>
          <w:lang w:val="en-GB"/>
        </w:rPr>
      </w:pPr>
      <w:r w:rsidRPr="006974E9">
        <w:rPr>
          <w:rFonts w:ascii="Calibri" w:hAnsi="Calibri"/>
          <w:lang w:val="en-GB"/>
        </w:rPr>
        <w:lastRenderedPageBreak/>
        <w:t>This description, based on ethnographic fieldwork taken during a visit to the Royal Engineers Museum in the summer of 2018</w:t>
      </w:r>
      <w:r w:rsidR="00551836">
        <w:rPr>
          <w:rStyle w:val="FootnoteReference"/>
          <w:rFonts w:ascii="Calibri" w:hAnsi="Calibri"/>
          <w:lang w:val="en-GB"/>
        </w:rPr>
        <w:footnoteReference w:id="3"/>
      </w:r>
      <w:r w:rsidRPr="006974E9">
        <w:rPr>
          <w:rFonts w:ascii="Calibri" w:hAnsi="Calibri"/>
          <w:lang w:val="en-GB"/>
        </w:rPr>
        <w:t xml:space="preserve">, raises a number of important questions about how we might study museums as sites of international relations </w:t>
      </w:r>
      <w:r w:rsidR="004075A8">
        <w:rPr>
          <w:rFonts w:ascii="Calibri" w:hAnsi="Calibri"/>
          <w:lang w:val="en-GB"/>
        </w:rPr>
        <w:t xml:space="preserve">that are </w:t>
      </w:r>
      <w:r w:rsidRPr="006974E9">
        <w:rPr>
          <w:rFonts w:ascii="Calibri" w:hAnsi="Calibri"/>
          <w:lang w:val="en-GB"/>
        </w:rPr>
        <w:t xml:space="preserve">bound within the ‘collecting’ and ‘cataloguing’ </w:t>
      </w:r>
      <w:r w:rsidR="008951D9">
        <w:rPr>
          <w:rFonts w:ascii="Calibri" w:hAnsi="Calibri"/>
          <w:lang w:val="en-GB"/>
        </w:rPr>
        <w:t xml:space="preserve">objects </w:t>
      </w:r>
      <w:r w:rsidRPr="006974E9">
        <w:rPr>
          <w:rFonts w:ascii="Calibri" w:hAnsi="Calibri"/>
          <w:lang w:val="en-GB"/>
        </w:rPr>
        <w:t>of conquest</w:t>
      </w:r>
      <w:r w:rsidR="004075A8">
        <w:rPr>
          <w:rFonts w:ascii="Calibri" w:hAnsi="Calibri"/>
          <w:lang w:val="en-GB"/>
        </w:rPr>
        <w:t>.</w:t>
      </w:r>
      <w:r w:rsidR="0073752B">
        <w:rPr>
          <w:rFonts w:ascii="Calibri" w:hAnsi="Calibri"/>
          <w:lang w:val="en-GB"/>
        </w:rPr>
        <w:t xml:space="preserve"> </w:t>
      </w:r>
      <w:r w:rsidR="008951D9">
        <w:rPr>
          <w:rFonts w:ascii="Calibri" w:hAnsi="Calibri"/>
          <w:lang w:val="en-GB"/>
        </w:rPr>
        <w:t>In this particular instance of Snob, these</w:t>
      </w:r>
      <w:r w:rsidR="0073752B">
        <w:rPr>
          <w:rFonts w:ascii="Calibri" w:hAnsi="Calibri"/>
          <w:lang w:val="en-GB"/>
        </w:rPr>
        <w:t xml:space="preserve"> reflections relate to the historical conditions under which</w:t>
      </w:r>
      <w:r w:rsidR="006078F5">
        <w:rPr>
          <w:rFonts w:ascii="Calibri" w:hAnsi="Calibri"/>
          <w:lang w:val="en-GB"/>
        </w:rPr>
        <w:t xml:space="preserve">, </w:t>
      </w:r>
      <w:r w:rsidR="0073752B">
        <w:rPr>
          <w:rFonts w:ascii="Calibri" w:hAnsi="Calibri"/>
          <w:lang w:val="en-GB"/>
        </w:rPr>
        <w:t>to particular people</w:t>
      </w:r>
      <w:r w:rsidR="006078F5">
        <w:rPr>
          <w:rFonts w:ascii="Calibri" w:hAnsi="Calibri"/>
          <w:lang w:val="en-GB"/>
        </w:rPr>
        <w:t>,</w:t>
      </w:r>
      <w:r w:rsidR="0073752B">
        <w:rPr>
          <w:rFonts w:ascii="Calibri" w:hAnsi="Calibri"/>
          <w:lang w:val="en-GB"/>
        </w:rPr>
        <w:t xml:space="preserve"> dogs can be imagined as friendly and familial in the first place. Already, in this seemin</w:t>
      </w:r>
      <w:r w:rsidR="006078F5">
        <w:rPr>
          <w:rFonts w:ascii="Calibri" w:hAnsi="Calibri"/>
          <w:lang w:val="en-GB"/>
        </w:rPr>
        <w:t>g</w:t>
      </w:r>
      <w:r w:rsidR="0073752B">
        <w:rPr>
          <w:rFonts w:ascii="Calibri" w:hAnsi="Calibri"/>
          <w:lang w:val="en-GB"/>
        </w:rPr>
        <w:t>ly banal encounter in the Museum, we are confronted with an intimate encounter with an object that calls out our own positionality as white</w:t>
      </w:r>
      <w:r w:rsidR="00242472">
        <w:rPr>
          <w:rFonts w:ascii="Calibri" w:hAnsi="Calibri"/>
          <w:lang w:val="en-GB"/>
        </w:rPr>
        <w:t xml:space="preserve"> western</w:t>
      </w:r>
      <w:r w:rsidR="0073752B">
        <w:rPr>
          <w:rFonts w:ascii="Calibri" w:hAnsi="Calibri"/>
          <w:lang w:val="en-GB"/>
        </w:rPr>
        <w:t xml:space="preserve"> </w:t>
      </w:r>
      <w:r w:rsidR="006078F5">
        <w:rPr>
          <w:rFonts w:ascii="Calibri" w:hAnsi="Calibri"/>
          <w:lang w:val="en-GB"/>
        </w:rPr>
        <w:t>visitors/</w:t>
      </w:r>
      <w:r w:rsidR="0073752B">
        <w:rPr>
          <w:rFonts w:ascii="Calibri" w:hAnsi="Calibri"/>
          <w:lang w:val="en-GB"/>
        </w:rPr>
        <w:t>researchers who</w:t>
      </w:r>
      <w:r w:rsidR="006078F5">
        <w:rPr>
          <w:rFonts w:ascii="Calibri" w:hAnsi="Calibri"/>
          <w:lang w:val="en-GB"/>
        </w:rPr>
        <w:t>,</w:t>
      </w:r>
      <w:r w:rsidR="0073752B">
        <w:rPr>
          <w:rFonts w:ascii="Calibri" w:hAnsi="Calibri"/>
          <w:lang w:val="en-GB"/>
        </w:rPr>
        <w:t xml:space="preserve"> </w:t>
      </w:r>
      <w:r w:rsidR="00BC49A5">
        <w:rPr>
          <w:rFonts w:ascii="Calibri" w:hAnsi="Calibri"/>
          <w:lang w:val="en-GB"/>
        </w:rPr>
        <w:t>whilst critical of the museum, can still be invited to imagine Snob as ‘part of the family’</w:t>
      </w:r>
      <w:r w:rsidR="006078F5">
        <w:rPr>
          <w:rFonts w:ascii="Calibri" w:hAnsi="Calibri"/>
          <w:lang w:val="en-GB"/>
        </w:rPr>
        <w:t xml:space="preserve"> and through snob be invited to marvel at the ‘glory’ of British colonial and imperial militarism.</w:t>
      </w:r>
      <w:r w:rsidR="00BC49A5">
        <w:rPr>
          <w:rFonts w:ascii="Calibri" w:hAnsi="Calibri"/>
          <w:lang w:val="en-GB"/>
        </w:rPr>
        <w:t xml:space="preserve"> </w:t>
      </w:r>
      <w:r w:rsidR="004075A8">
        <w:rPr>
          <w:rFonts w:ascii="Calibri" w:hAnsi="Calibri"/>
          <w:lang w:val="en-GB"/>
        </w:rPr>
        <w:t xml:space="preserve">Following from this point, </w:t>
      </w:r>
      <w:r w:rsidR="008951D9">
        <w:rPr>
          <w:rFonts w:ascii="Calibri" w:hAnsi="Calibri"/>
          <w:lang w:val="en-GB"/>
        </w:rPr>
        <w:t xml:space="preserve">in this article we ask </w:t>
      </w:r>
      <w:r w:rsidR="004075A8">
        <w:rPr>
          <w:rFonts w:ascii="Calibri" w:hAnsi="Calibri"/>
          <w:lang w:val="en-GB"/>
        </w:rPr>
        <w:t>how</w:t>
      </w:r>
      <w:r w:rsidRPr="006974E9">
        <w:rPr>
          <w:rFonts w:ascii="Calibri" w:hAnsi="Calibri"/>
          <w:lang w:val="en-GB"/>
        </w:rPr>
        <w:t xml:space="preserve"> </w:t>
      </w:r>
      <w:r w:rsidR="00676773">
        <w:rPr>
          <w:rFonts w:ascii="Calibri" w:hAnsi="Calibri"/>
          <w:lang w:val="en-GB"/>
        </w:rPr>
        <w:t>can</w:t>
      </w:r>
      <w:r w:rsidR="002D4B89">
        <w:rPr>
          <w:rFonts w:ascii="Calibri" w:hAnsi="Calibri"/>
          <w:lang w:val="en-GB"/>
        </w:rPr>
        <w:t xml:space="preserve"> </w:t>
      </w:r>
      <w:r w:rsidRPr="006974E9">
        <w:rPr>
          <w:rFonts w:ascii="Calibri" w:hAnsi="Calibri"/>
          <w:lang w:val="en-GB"/>
        </w:rPr>
        <w:t xml:space="preserve">the museum itself </w:t>
      </w:r>
      <w:r w:rsidR="002D4B89">
        <w:rPr>
          <w:rFonts w:ascii="Calibri" w:hAnsi="Calibri"/>
          <w:lang w:val="en-GB"/>
        </w:rPr>
        <w:t xml:space="preserve">be understood </w:t>
      </w:r>
      <w:r w:rsidRPr="006974E9">
        <w:rPr>
          <w:rFonts w:ascii="Calibri" w:hAnsi="Calibri"/>
          <w:lang w:val="en-GB"/>
        </w:rPr>
        <w:t xml:space="preserve">as an institution that is made in histories and presents of IR? How </w:t>
      </w:r>
      <w:r w:rsidR="002D4B89">
        <w:rPr>
          <w:rFonts w:ascii="Calibri" w:hAnsi="Calibri"/>
          <w:lang w:val="en-GB"/>
        </w:rPr>
        <w:t>might we, as researchers,</w:t>
      </w:r>
      <w:r w:rsidRPr="006974E9">
        <w:rPr>
          <w:rFonts w:ascii="Calibri" w:hAnsi="Calibri"/>
          <w:lang w:val="en-GB"/>
        </w:rPr>
        <w:t xml:space="preserve"> approach the museum as a site of field</w:t>
      </w:r>
      <w:r w:rsidR="001E41A6" w:rsidRPr="006974E9">
        <w:rPr>
          <w:rFonts w:ascii="Calibri" w:hAnsi="Calibri"/>
          <w:lang w:val="en-GB"/>
        </w:rPr>
        <w:t>work; what should we look for? H</w:t>
      </w:r>
      <w:r w:rsidRPr="006974E9">
        <w:rPr>
          <w:rFonts w:ascii="Calibri" w:hAnsi="Calibri"/>
          <w:lang w:val="en-GB"/>
        </w:rPr>
        <w:t xml:space="preserve">ow might we account for our own positionality? How </w:t>
      </w:r>
      <w:r w:rsidR="00676773">
        <w:rPr>
          <w:rFonts w:ascii="Calibri" w:hAnsi="Calibri"/>
          <w:lang w:val="en-GB"/>
        </w:rPr>
        <w:t>can</w:t>
      </w:r>
      <w:r w:rsidRPr="006974E9">
        <w:rPr>
          <w:rFonts w:ascii="Calibri" w:hAnsi="Calibri"/>
          <w:lang w:val="en-GB"/>
        </w:rPr>
        <w:t xml:space="preserve"> we understand and analyse objects and the responses </w:t>
      </w:r>
      <w:r w:rsidR="001E41A6" w:rsidRPr="006974E9">
        <w:rPr>
          <w:rFonts w:ascii="Calibri" w:hAnsi="Calibri"/>
          <w:lang w:val="en-GB"/>
        </w:rPr>
        <w:t xml:space="preserve">they elicit? </w:t>
      </w:r>
    </w:p>
    <w:p w14:paraId="650186D6" w14:textId="77777777" w:rsidR="001E41A6" w:rsidRPr="006974E9" w:rsidRDefault="001E41A6">
      <w:pPr>
        <w:pStyle w:val="Normal1"/>
        <w:jc w:val="both"/>
        <w:rPr>
          <w:rFonts w:ascii="Calibri" w:hAnsi="Calibri"/>
          <w:lang w:val="en-GB"/>
        </w:rPr>
      </w:pPr>
    </w:p>
    <w:p w14:paraId="069E9D55" w14:textId="7929A6F6" w:rsidR="00980B41" w:rsidRPr="006974E9" w:rsidRDefault="001E41A6">
      <w:pPr>
        <w:pStyle w:val="Normal1"/>
        <w:jc w:val="both"/>
        <w:rPr>
          <w:rFonts w:ascii="Calibri" w:hAnsi="Calibri"/>
          <w:lang w:val="en-GB"/>
        </w:rPr>
      </w:pPr>
      <w:r w:rsidRPr="006974E9">
        <w:rPr>
          <w:rFonts w:ascii="Calibri" w:hAnsi="Calibri"/>
          <w:lang w:val="en-GB"/>
        </w:rPr>
        <w:t xml:space="preserve">We </w:t>
      </w:r>
      <w:r w:rsidR="008D59D5" w:rsidRPr="006974E9">
        <w:rPr>
          <w:rFonts w:ascii="Calibri" w:hAnsi="Calibri"/>
          <w:lang w:val="en-GB"/>
        </w:rPr>
        <w:t>contend that questi</w:t>
      </w:r>
      <w:r w:rsidRPr="006974E9">
        <w:rPr>
          <w:rFonts w:ascii="Calibri" w:hAnsi="Calibri"/>
          <w:lang w:val="en-GB"/>
        </w:rPr>
        <w:t>ons such as these can</w:t>
      </w:r>
      <w:r w:rsidR="008D59D5" w:rsidRPr="006974E9">
        <w:rPr>
          <w:rFonts w:ascii="Calibri" w:hAnsi="Calibri"/>
          <w:lang w:val="en-GB"/>
        </w:rPr>
        <w:t xml:space="preserve"> be addressed through a methodological and conceptual approac</w:t>
      </w:r>
      <w:r w:rsidR="00176389" w:rsidRPr="006974E9">
        <w:rPr>
          <w:rFonts w:ascii="Calibri" w:hAnsi="Calibri"/>
          <w:lang w:val="en-GB"/>
        </w:rPr>
        <w:t xml:space="preserve">h </w:t>
      </w:r>
      <w:r w:rsidR="002E6C74">
        <w:rPr>
          <w:rFonts w:ascii="Calibri" w:hAnsi="Calibri"/>
          <w:lang w:val="en-GB"/>
        </w:rPr>
        <w:t xml:space="preserve">which understands museums as everyday sites of coloniality and explores this through </w:t>
      </w:r>
      <w:r w:rsidR="00176389" w:rsidRPr="006974E9">
        <w:rPr>
          <w:rFonts w:ascii="Calibri" w:hAnsi="Calibri"/>
          <w:lang w:val="en-GB"/>
        </w:rPr>
        <w:t xml:space="preserve">fieldwork and analysis centred on the politics of intimacy. </w:t>
      </w:r>
      <w:r w:rsidR="00C12687">
        <w:rPr>
          <w:rFonts w:ascii="Calibri" w:hAnsi="Calibri"/>
          <w:lang w:val="en-GB"/>
        </w:rPr>
        <w:t>Using</w:t>
      </w:r>
      <w:r w:rsidR="008D59D5" w:rsidRPr="006974E9">
        <w:rPr>
          <w:rFonts w:ascii="Calibri" w:hAnsi="Calibri"/>
          <w:lang w:val="en-GB"/>
        </w:rPr>
        <w:t xml:space="preserve"> this approach, a museum can be ‘read’ as a space in which </w:t>
      </w:r>
      <w:r w:rsidR="00C81C4F">
        <w:rPr>
          <w:rFonts w:ascii="Calibri" w:hAnsi="Calibri"/>
          <w:lang w:val="en-GB"/>
        </w:rPr>
        <w:t>visitors</w:t>
      </w:r>
      <w:r w:rsidR="008D59D5" w:rsidRPr="006974E9">
        <w:rPr>
          <w:rFonts w:ascii="Calibri" w:hAnsi="Calibri"/>
          <w:lang w:val="en-GB"/>
        </w:rPr>
        <w:t xml:space="preserve"> are invited to intimately encounter the objects, institutions, selves</w:t>
      </w:r>
      <w:r w:rsidR="00176389" w:rsidRPr="006974E9">
        <w:rPr>
          <w:rFonts w:ascii="Calibri" w:hAnsi="Calibri"/>
          <w:lang w:val="en-GB"/>
        </w:rPr>
        <w:t>,</w:t>
      </w:r>
      <w:r w:rsidR="008D59D5" w:rsidRPr="006974E9">
        <w:rPr>
          <w:rFonts w:ascii="Calibri" w:hAnsi="Calibri"/>
          <w:lang w:val="en-GB"/>
        </w:rPr>
        <w:t xml:space="preserve"> and others of internat</w:t>
      </w:r>
      <w:r w:rsidR="00176389" w:rsidRPr="006974E9">
        <w:rPr>
          <w:rFonts w:ascii="Calibri" w:hAnsi="Calibri"/>
          <w:lang w:val="en-GB"/>
        </w:rPr>
        <w:t>ional relations</w:t>
      </w:r>
      <w:r w:rsidR="00C12687">
        <w:rPr>
          <w:rFonts w:ascii="Calibri" w:hAnsi="Calibri"/>
          <w:lang w:val="en-GB"/>
        </w:rPr>
        <w:t xml:space="preserve"> which comprise a system of power structured by colonially-forged racial logics and classifications </w:t>
      </w:r>
      <w:r w:rsidR="00C12687">
        <w:rPr>
          <w:rStyle w:val="FootnoteReference"/>
          <w:rFonts w:ascii="Calibri" w:hAnsi="Calibri"/>
          <w:lang w:val="en-GB"/>
        </w:rPr>
        <w:footnoteReference w:id="4"/>
      </w:r>
      <w:r w:rsidR="00176389" w:rsidRPr="006974E9">
        <w:rPr>
          <w:rFonts w:ascii="Calibri" w:hAnsi="Calibri"/>
          <w:lang w:val="en-GB"/>
        </w:rPr>
        <w:t xml:space="preserve"> W</w:t>
      </w:r>
      <w:r w:rsidR="008D59D5" w:rsidRPr="006974E9">
        <w:rPr>
          <w:rFonts w:ascii="Calibri" w:hAnsi="Calibri"/>
          <w:lang w:val="en-GB"/>
        </w:rPr>
        <w:t xml:space="preserve">e develop an approach to analysing intimacy as encompassing not only social relations between people but also processes of encountering objects and institutions. To illustrate </w:t>
      </w:r>
      <w:r w:rsidR="00176389" w:rsidRPr="006974E9">
        <w:rPr>
          <w:rFonts w:ascii="Calibri" w:hAnsi="Calibri"/>
          <w:lang w:val="en-GB"/>
        </w:rPr>
        <w:t>this</w:t>
      </w:r>
      <w:r w:rsidR="00FA0B93">
        <w:rPr>
          <w:rFonts w:ascii="Calibri" w:hAnsi="Calibri"/>
          <w:lang w:val="en-GB"/>
        </w:rPr>
        <w:t>,</w:t>
      </w:r>
      <w:r w:rsidR="00176389" w:rsidRPr="006974E9">
        <w:rPr>
          <w:rFonts w:ascii="Calibri" w:hAnsi="Calibri"/>
          <w:lang w:val="en-GB"/>
        </w:rPr>
        <w:t xml:space="preserve"> </w:t>
      </w:r>
      <w:r w:rsidR="008D59D5" w:rsidRPr="006974E9">
        <w:rPr>
          <w:rFonts w:ascii="Calibri" w:hAnsi="Calibri"/>
          <w:lang w:val="en-GB"/>
        </w:rPr>
        <w:t>we draw on and discuss the fieldwork at the museum of the British A</w:t>
      </w:r>
      <w:r w:rsidR="00176389" w:rsidRPr="006974E9">
        <w:rPr>
          <w:rFonts w:ascii="Calibri" w:hAnsi="Calibri"/>
          <w:lang w:val="en-GB"/>
        </w:rPr>
        <w:t>rmy Royal Engineers</w:t>
      </w:r>
      <w:r w:rsidR="008D59D5" w:rsidRPr="006974E9">
        <w:rPr>
          <w:rFonts w:ascii="Calibri" w:hAnsi="Calibri"/>
          <w:lang w:val="en-GB"/>
        </w:rPr>
        <w:t xml:space="preserve"> with which the article opened</w:t>
      </w:r>
      <w:r w:rsidR="00E57C65">
        <w:rPr>
          <w:rFonts w:ascii="Calibri" w:hAnsi="Calibri"/>
          <w:lang w:val="en-GB"/>
        </w:rPr>
        <w:t>.</w:t>
      </w:r>
      <w:r w:rsidR="008D59D5" w:rsidRPr="006974E9">
        <w:rPr>
          <w:rFonts w:ascii="Calibri" w:hAnsi="Calibri"/>
          <w:lang w:val="en-GB"/>
        </w:rPr>
        <w:t xml:space="preserve"> This is a site through which</w:t>
      </w:r>
      <w:r w:rsidR="00813984">
        <w:rPr>
          <w:rFonts w:ascii="Calibri" w:hAnsi="Calibri"/>
          <w:lang w:val="en-GB"/>
        </w:rPr>
        <w:t xml:space="preserve"> visitors</w:t>
      </w:r>
      <w:r w:rsidR="008D59D5" w:rsidRPr="006974E9">
        <w:rPr>
          <w:rFonts w:ascii="Calibri" w:hAnsi="Calibri"/>
          <w:lang w:val="en-GB"/>
        </w:rPr>
        <w:t xml:space="preserve"> are invited to engage with an institution of state power and violence via a collection of objects spanning hundreds of years of British imperial and colonial war. </w:t>
      </w:r>
      <w:r w:rsidR="006E53B4" w:rsidRPr="006E53B4">
        <w:rPr>
          <w:rFonts w:ascii="Calibri" w:hAnsi="Calibri"/>
          <w:lang w:val="en-GB"/>
        </w:rPr>
        <w:t xml:space="preserve">We </w:t>
      </w:r>
      <w:r w:rsidR="00997A98">
        <w:rPr>
          <w:rFonts w:ascii="Calibri" w:hAnsi="Calibri"/>
          <w:lang w:val="en-GB"/>
        </w:rPr>
        <w:t xml:space="preserve">also </w:t>
      </w:r>
      <w:r w:rsidR="006E53B4" w:rsidRPr="006E53B4">
        <w:rPr>
          <w:rFonts w:ascii="Calibri" w:hAnsi="Calibri"/>
          <w:lang w:val="en-GB"/>
        </w:rPr>
        <w:t xml:space="preserve">draw more broadly on our respective experiences of </w:t>
      </w:r>
      <w:r w:rsidR="007B28C1">
        <w:rPr>
          <w:rFonts w:ascii="Calibri" w:hAnsi="Calibri"/>
          <w:lang w:val="en-GB"/>
        </w:rPr>
        <w:t xml:space="preserve">developing methodological </w:t>
      </w:r>
      <w:r w:rsidR="00851BCD">
        <w:rPr>
          <w:rFonts w:ascii="Calibri" w:hAnsi="Calibri"/>
          <w:lang w:val="en-GB"/>
        </w:rPr>
        <w:t xml:space="preserve">and </w:t>
      </w:r>
      <w:r w:rsidR="007B28C1">
        <w:rPr>
          <w:rFonts w:ascii="Calibri" w:hAnsi="Calibri"/>
          <w:lang w:val="en-GB"/>
        </w:rPr>
        <w:t xml:space="preserve">conceptual approaches </w:t>
      </w:r>
      <w:r w:rsidR="008679DE">
        <w:rPr>
          <w:rFonts w:ascii="Calibri" w:hAnsi="Calibri"/>
          <w:lang w:val="en-GB"/>
        </w:rPr>
        <w:t xml:space="preserve">across </w:t>
      </w:r>
      <w:r w:rsidR="006E53B4" w:rsidRPr="006E53B4">
        <w:rPr>
          <w:rFonts w:ascii="Calibri" w:hAnsi="Calibri"/>
          <w:lang w:val="en-GB"/>
        </w:rPr>
        <w:t>a wider range of research encounters with museum sites</w:t>
      </w:r>
      <w:r w:rsidR="008679DE">
        <w:rPr>
          <w:rFonts w:ascii="Calibri" w:hAnsi="Calibri"/>
          <w:lang w:val="en-GB"/>
        </w:rPr>
        <w:t>.</w:t>
      </w:r>
      <w:r w:rsidR="006E53B4">
        <w:rPr>
          <w:rFonts w:ascii="Calibri" w:hAnsi="Calibri"/>
          <w:lang w:val="en-GB"/>
        </w:rPr>
        <w:t xml:space="preserve"> </w:t>
      </w:r>
      <w:r w:rsidR="0034075F">
        <w:rPr>
          <w:rFonts w:ascii="Calibri" w:hAnsi="Calibri"/>
          <w:lang w:val="en-GB"/>
        </w:rPr>
        <w:t xml:space="preserve">The work undertaken at the Royal Engineers Museum was part of </w:t>
      </w:r>
      <w:r w:rsidR="00851BCD">
        <w:rPr>
          <w:rFonts w:ascii="Calibri" w:hAnsi="Calibri"/>
          <w:lang w:val="en-GB"/>
        </w:rPr>
        <w:t>author 1</w:t>
      </w:r>
      <w:r w:rsidR="00997A98">
        <w:rPr>
          <w:rFonts w:ascii="Calibri" w:hAnsi="Calibri"/>
          <w:lang w:val="en-GB"/>
        </w:rPr>
        <w:t>’</w:t>
      </w:r>
      <w:r w:rsidR="00851BCD">
        <w:rPr>
          <w:rFonts w:ascii="Calibri" w:hAnsi="Calibri"/>
          <w:lang w:val="en-GB"/>
        </w:rPr>
        <w:t>s research on engineering and other ‘non-combat’ specialisations</w:t>
      </w:r>
      <w:r w:rsidR="00997A98">
        <w:rPr>
          <w:rFonts w:ascii="Calibri" w:hAnsi="Calibri"/>
          <w:lang w:val="en-GB"/>
        </w:rPr>
        <w:t xml:space="preserve"> within t</w:t>
      </w:r>
      <w:r w:rsidR="00431816">
        <w:rPr>
          <w:rFonts w:ascii="Calibri" w:hAnsi="Calibri"/>
          <w:lang w:val="en-GB"/>
        </w:rPr>
        <w:t>he British army and the role</w:t>
      </w:r>
      <w:r w:rsidR="00997A98">
        <w:rPr>
          <w:rFonts w:ascii="Calibri" w:hAnsi="Calibri"/>
          <w:lang w:val="en-GB"/>
        </w:rPr>
        <w:t xml:space="preserve"> of</w:t>
      </w:r>
      <w:r w:rsidR="00851BCD">
        <w:rPr>
          <w:rFonts w:ascii="Calibri" w:hAnsi="Calibri"/>
          <w:lang w:val="en-GB"/>
        </w:rPr>
        <w:t xml:space="preserve"> these </w:t>
      </w:r>
      <w:r w:rsidR="00997A98">
        <w:rPr>
          <w:rFonts w:ascii="Calibri" w:hAnsi="Calibri"/>
          <w:lang w:val="en-GB"/>
        </w:rPr>
        <w:t xml:space="preserve">forms of military labour within military power and violence. Author 2 has </w:t>
      </w:r>
      <w:r w:rsidR="00431816">
        <w:rPr>
          <w:rFonts w:ascii="Calibri" w:hAnsi="Calibri"/>
          <w:lang w:val="en-GB"/>
        </w:rPr>
        <w:t xml:space="preserve">engaged with museums and archives as part of their research on empire, borders and intimacy. </w:t>
      </w:r>
    </w:p>
    <w:p w14:paraId="0E067456" w14:textId="77777777" w:rsidR="00980B41" w:rsidRPr="006974E9" w:rsidRDefault="00980B41">
      <w:pPr>
        <w:pStyle w:val="Normal1"/>
        <w:jc w:val="both"/>
        <w:rPr>
          <w:rFonts w:ascii="Calibri" w:hAnsi="Calibri"/>
          <w:lang w:val="en-GB"/>
        </w:rPr>
      </w:pPr>
    </w:p>
    <w:p w14:paraId="122D89BA" w14:textId="30FAA5AA" w:rsidR="0069188B" w:rsidRPr="006974E9" w:rsidRDefault="008D59D5" w:rsidP="0069188B">
      <w:pPr>
        <w:pStyle w:val="Normal1"/>
        <w:jc w:val="both"/>
        <w:rPr>
          <w:rFonts w:ascii="Calibri" w:hAnsi="Calibri"/>
          <w:lang w:val="en-GB"/>
        </w:rPr>
      </w:pPr>
      <w:r w:rsidRPr="006974E9">
        <w:rPr>
          <w:rFonts w:ascii="Calibri" w:hAnsi="Calibri"/>
          <w:lang w:val="en-GB"/>
        </w:rPr>
        <w:t xml:space="preserve">Our starting point is that museums are important sites for the constitution of international politics. They are </w:t>
      </w:r>
      <w:r w:rsidR="004B57E2">
        <w:rPr>
          <w:rFonts w:ascii="Calibri" w:hAnsi="Calibri"/>
          <w:lang w:val="en-GB"/>
        </w:rPr>
        <w:t>locations</w:t>
      </w:r>
      <w:r w:rsidRPr="006974E9">
        <w:rPr>
          <w:rFonts w:ascii="Calibri" w:hAnsi="Calibri"/>
          <w:lang w:val="en-GB"/>
        </w:rPr>
        <w:t xml:space="preserve"> of embodied </w:t>
      </w:r>
      <w:r w:rsidR="009C6E70" w:rsidRPr="006974E9">
        <w:rPr>
          <w:rFonts w:ascii="Calibri" w:hAnsi="Calibri"/>
          <w:lang w:val="en-GB"/>
        </w:rPr>
        <w:t>experiences</w:t>
      </w:r>
      <w:r w:rsidR="00FC48CC">
        <w:rPr>
          <w:rFonts w:ascii="Calibri" w:hAnsi="Calibri"/>
          <w:lang w:val="en-GB"/>
        </w:rPr>
        <w:t xml:space="preserve"> which </w:t>
      </w:r>
      <w:r w:rsidRPr="006974E9">
        <w:rPr>
          <w:rFonts w:ascii="Calibri" w:hAnsi="Calibri"/>
          <w:lang w:val="en-GB"/>
        </w:rPr>
        <w:t xml:space="preserve">normalise the conduct of </w:t>
      </w:r>
      <w:r w:rsidR="00FC48CC">
        <w:rPr>
          <w:rFonts w:ascii="Calibri" w:hAnsi="Calibri"/>
          <w:lang w:val="en-GB"/>
        </w:rPr>
        <w:t xml:space="preserve">a range of </w:t>
      </w:r>
      <w:r w:rsidRPr="006974E9">
        <w:rPr>
          <w:rFonts w:ascii="Calibri" w:hAnsi="Calibri"/>
          <w:lang w:val="en-GB"/>
        </w:rPr>
        <w:t>geopolitical processes. Studying museums as site</w:t>
      </w:r>
      <w:r w:rsidR="003F70C3" w:rsidRPr="006974E9">
        <w:rPr>
          <w:rFonts w:ascii="Calibri" w:hAnsi="Calibri"/>
          <w:lang w:val="en-GB"/>
        </w:rPr>
        <w:t>s of international relations</w:t>
      </w:r>
      <w:r w:rsidRPr="006974E9">
        <w:rPr>
          <w:rFonts w:ascii="Calibri" w:hAnsi="Calibri"/>
          <w:lang w:val="en-GB"/>
        </w:rPr>
        <w:t xml:space="preserve"> illuminate</w:t>
      </w:r>
      <w:r w:rsidR="003F70C3" w:rsidRPr="006974E9">
        <w:rPr>
          <w:rFonts w:ascii="Calibri" w:hAnsi="Calibri"/>
          <w:lang w:val="en-GB"/>
        </w:rPr>
        <w:t xml:space="preserve">s </w:t>
      </w:r>
      <w:r w:rsidRPr="006974E9">
        <w:rPr>
          <w:rFonts w:ascii="Calibri" w:hAnsi="Calibri"/>
          <w:lang w:val="en-GB"/>
        </w:rPr>
        <w:t>the grammars, logics and narratives of international politics</w:t>
      </w:r>
      <w:r w:rsidRPr="006974E9">
        <w:rPr>
          <w:rFonts w:ascii="Calibri" w:hAnsi="Calibri"/>
          <w:vertAlign w:val="superscript"/>
          <w:lang w:val="en-GB"/>
        </w:rPr>
        <w:footnoteReference w:id="5"/>
      </w:r>
      <w:r w:rsidR="00FC48CC">
        <w:rPr>
          <w:rFonts w:ascii="Calibri" w:hAnsi="Calibri"/>
          <w:lang w:val="en-GB"/>
        </w:rPr>
        <w:t>; grammars, logics and narratives that comprise the ongoing coloniality of global power</w:t>
      </w:r>
      <w:r w:rsidR="009C6E70">
        <w:rPr>
          <w:rFonts w:ascii="Calibri" w:hAnsi="Calibri"/>
          <w:lang w:val="en-GB"/>
        </w:rPr>
        <w:t>.</w:t>
      </w:r>
      <w:r w:rsidRPr="006974E9">
        <w:rPr>
          <w:rFonts w:ascii="Calibri" w:hAnsi="Calibri"/>
          <w:lang w:val="en-GB"/>
        </w:rPr>
        <w:t xml:space="preserve"> In this article we draw on the burgeoning scholarship on museums, heritage a</w:t>
      </w:r>
      <w:r w:rsidR="00840691" w:rsidRPr="006974E9">
        <w:rPr>
          <w:rFonts w:ascii="Calibri" w:hAnsi="Calibri"/>
          <w:lang w:val="en-GB"/>
        </w:rPr>
        <w:t>nd memorialisation in IR</w:t>
      </w:r>
      <w:r w:rsidR="008A2D54">
        <w:rPr>
          <w:rFonts w:ascii="Calibri" w:hAnsi="Calibri"/>
          <w:lang w:val="en-GB"/>
        </w:rPr>
        <w:t>,</w:t>
      </w:r>
      <w:r w:rsidR="00840691" w:rsidRPr="006974E9">
        <w:rPr>
          <w:rFonts w:ascii="Calibri" w:hAnsi="Calibri"/>
          <w:lang w:val="en-GB"/>
        </w:rPr>
        <w:t xml:space="preserve"> which has provided </w:t>
      </w:r>
      <w:r w:rsidR="00840691" w:rsidRPr="006974E9">
        <w:rPr>
          <w:rFonts w:ascii="Calibri" w:hAnsi="Calibri"/>
          <w:lang w:val="en-GB"/>
        </w:rPr>
        <w:lastRenderedPageBreak/>
        <w:t>valuable</w:t>
      </w:r>
      <w:r w:rsidRPr="006974E9">
        <w:rPr>
          <w:rFonts w:ascii="Calibri" w:hAnsi="Calibri"/>
          <w:lang w:val="en-GB"/>
        </w:rPr>
        <w:t xml:space="preserve"> accounts of the everyday reproduction of IR in sites such as the museum or gallery</w:t>
      </w:r>
      <w:r w:rsidR="00221A00" w:rsidRPr="006974E9">
        <w:rPr>
          <w:rFonts w:ascii="Calibri" w:hAnsi="Calibri"/>
          <w:vertAlign w:val="superscript"/>
          <w:lang w:val="en-GB"/>
        </w:rPr>
        <w:footnoteReference w:id="6"/>
      </w:r>
      <w:r w:rsidRPr="006974E9">
        <w:rPr>
          <w:rFonts w:ascii="Calibri" w:hAnsi="Calibri"/>
          <w:lang w:val="en-GB"/>
        </w:rPr>
        <w:t>. Museums are important political sites b</w:t>
      </w:r>
      <w:r w:rsidR="00221A00" w:rsidRPr="006974E9">
        <w:rPr>
          <w:rFonts w:ascii="Calibri" w:hAnsi="Calibri"/>
          <w:lang w:val="en-GB"/>
        </w:rPr>
        <w:t>ecause they are rendered as locations</w:t>
      </w:r>
      <w:r w:rsidR="006975C8" w:rsidRPr="006974E9">
        <w:rPr>
          <w:rFonts w:ascii="Calibri" w:hAnsi="Calibri"/>
          <w:lang w:val="en-GB"/>
        </w:rPr>
        <w:t xml:space="preserve"> of truth</w:t>
      </w:r>
      <w:r w:rsidR="00FA0B93">
        <w:rPr>
          <w:rFonts w:ascii="Calibri" w:hAnsi="Calibri"/>
          <w:lang w:val="en-GB"/>
        </w:rPr>
        <w:t>-</w:t>
      </w:r>
      <w:r w:rsidR="006975C8" w:rsidRPr="006974E9">
        <w:rPr>
          <w:rFonts w:ascii="Calibri" w:hAnsi="Calibri"/>
          <w:lang w:val="en-GB"/>
        </w:rPr>
        <w:t xml:space="preserve">telling where they </w:t>
      </w:r>
      <w:r w:rsidRPr="006974E9">
        <w:rPr>
          <w:rFonts w:ascii="Calibri" w:hAnsi="Calibri"/>
          <w:lang w:val="en-GB"/>
        </w:rPr>
        <w:t>work as high-cultural sites for national</w:t>
      </w:r>
      <w:r w:rsidR="009C6E70">
        <w:rPr>
          <w:rFonts w:ascii="Calibri" w:hAnsi="Calibri"/>
          <w:lang w:val="en-GB"/>
        </w:rPr>
        <w:t xml:space="preserve"> and i</w:t>
      </w:r>
      <w:r w:rsidRPr="006974E9">
        <w:rPr>
          <w:rFonts w:ascii="Calibri" w:hAnsi="Calibri"/>
          <w:lang w:val="en-GB"/>
        </w:rPr>
        <w:t xml:space="preserve">mperial memorialisation and thus structure central accounts of who </w:t>
      </w:r>
      <w:r w:rsidR="006975C8" w:rsidRPr="006974E9">
        <w:rPr>
          <w:rFonts w:ascii="Calibri" w:hAnsi="Calibri"/>
          <w:lang w:val="en-GB"/>
        </w:rPr>
        <w:t xml:space="preserve">and what </w:t>
      </w:r>
      <w:r w:rsidRPr="006974E9">
        <w:rPr>
          <w:rFonts w:ascii="Calibri" w:hAnsi="Calibri"/>
          <w:lang w:val="en-GB"/>
        </w:rPr>
        <w:t xml:space="preserve">is </w:t>
      </w:r>
      <w:r w:rsidR="008553A5">
        <w:rPr>
          <w:rFonts w:ascii="Calibri" w:hAnsi="Calibri"/>
          <w:lang w:val="en-GB"/>
        </w:rPr>
        <w:t xml:space="preserve">deemed </w:t>
      </w:r>
      <w:r w:rsidRPr="006974E9">
        <w:rPr>
          <w:rFonts w:ascii="Calibri" w:hAnsi="Calibri"/>
          <w:lang w:val="en-GB"/>
        </w:rPr>
        <w:t>worthy</w:t>
      </w:r>
      <w:r w:rsidR="00FA0B93">
        <w:rPr>
          <w:rFonts w:ascii="Calibri" w:hAnsi="Calibri"/>
          <w:lang w:val="en-GB"/>
        </w:rPr>
        <w:t xml:space="preserve"> or </w:t>
      </w:r>
      <w:r w:rsidRPr="006974E9">
        <w:rPr>
          <w:rFonts w:ascii="Calibri" w:hAnsi="Calibri"/>
          <w:lang w:val="en-GB"/>
        </w:rPr>
        <w:t>unworthy</w:t>
      </w:r>
      <w:r w:rsidR="008553A5">
        <w:rPr>
          <w:rFonts w:ascii="Calibri" w:hAnsi="Calibri"/>
          <w:lang w:val="en-GB"/>
        </w:rPr>
        <w:t xml:space="preserve"> to be marked and remembered</w:t>
      </w:r>
      <w:r w:rsidRPr="006974E9">
        <w:rPr>
          <w:rFonts w:ascii="Calibri" w:hAnsi="Calibri"/>
          <w:lang w:val="en-GB"/>
        </w:rPr>
        <w:t xml:space="preserve"> in</w:t>
      </w:r>
      <w:r w:rsidR="008553A5">
        <w:rPr>
          <w:rFonts w:ascii="Calibri" w:hAnsi="Calibri"/>
          <w:lang w:val="en-GB"/>
        </w:rPr>
        <w:t xml:space="preserve"> national and imperial history and, through this, contemporary</w:t>
      </w:r>
      <w:r w:rsidRPr="006974E9">
        <w:rPr>
          <w:rFonts w:ascii="Calibri" w:hAnsi="Calibri"/>
          <w:lang w:val="en-GB"/>
        </w:rPr>
        <w:t xml:space="preserve"> international politics. Whilst existing studies </w:t>
      </w:r>
      <w:r w:rsidR="00FC7BC8">
        <w:rPr>
          <w:rFonts w:ascii="Calibri" w:hAnsi="Calibri"/>
          <w:lang w:val="en-GB"/>
        </w:rPr>
        <w:t>examine</w:t>
      </w:r>
      <w:r w:rsidRPr="006974E9">
        <w:rPr>
          <w:rFonts w:ascii="Calibri" w:hAnsi="Calibri"/>
          <w:lang w:val="en-GB"/>
        </w:rPr>
        <w:t xml:space="preserve"> the importance of museums to IR or undertake analys</w:t>
      </w:r>
      <w:r w:rsidR="00FA0B93">
        <w:rPr>
          <w:rFonts w:ascii="Calibri" w:hAnsi="Calibri"/>
          <w:lang w:val="en-GB"/>
        </w:rPr>
        <w:t>e</w:t>
      </w:r>
      <w:r w:rsidRPr="006974E9">
        <w:rPr>
          <w:rFonts w:ascii="Calibri" w:hAnsi="Calibri"/>
          <w:lang w:val="en-GB"/>
        </w:rPr>
        <w:t>s of aspects of the int</w:t>
      </w:r>
      <w:r w:rsidR="006975C8" w:rsidRPr="006974E9">
        <w:rPr>
          <w:rFonts w:ascii="Calibri" w:hAnsi="Calibri"/>
          <w:lang w:val="en-GB"/>
        </w:rPr>
        <w:t>ernational within museums sites,</w:t>
      </w:r>
      <w:r w:rsidR="00562CEA">
        <w:rPr>
          <w:rFonts w:ascii="Calibri" w:hAnsi="Calibri"/>
          <w:lang w:val="en-GB"/>
        </w:rPr>
        <w:t xml:space="preserve"> we </w:t>
      </w:r>
      <w:r w:rsidR="00FD282B">
        <w:rPr>
          <w:rFonts w:ascii="Calibri" w:hAnsi="Calibri"/>
          <w:lang w:val="en-GB"/>
        </w:rPr>
        <w:t>identify two</w:t>
      </w:r>
      <w:r w:rsidR="00D060D4">
        <w:rPr>
          <w:rFonts w:ascii="Calibri" w:hAnsi="Calibri"/>
          <w:lang w:val="en-GB"/>
        </w:rPr>
        <w:t xml:space="preserve"> important </w:t>
      </w:r>
      <w:r w:rsidR="00FD282B">
        <w:rPr>
          <w:rFonts w:ascii="Calibri" w:hAnsi="Calibri"/>
          <w:lang w:val="en-GB"/>
        </w:rPr>
        <w:t xml:space="preserve">areas that </w:t>
      </w:r>
      <w:r w:rsidR="00D060D4">
        <w:rPr>
          <w:rFonts w:ascii="Calibri" w:hAnsi="Calibri"/>
          <w:lang w:val="en-GB"/>
        </w:rPr>
        <w:t xml:space="preserve">have not been adequately addressed within existing work and which </w:t>
      </w:r>
      <w:r w:rsidR="0069188B">
        <w:rPr>
          <w:rFonts w:ascii="Calibri" w:hAnsi="Calibri"/>
          <w:lang w:val="en-GB"/>
        </w:rPr>
        <w:t>warrant further development</w:t>
      </w:r>
      <w:r w:rsidR="00FD282B">
        <w:rPr>
          <w:rFonts w:ascii="Calibri" w:hAnsi="Calibri"/>
          <w:lang w:val="en-GB"/>
        </w:rPr>
        <w:t xml:space="preserve">. Firstly, in order to understand the significance of </w:t>
      </w:r>
      <w:r w:rsidR="00562CEA">
        <w:rPr>
          <w:rFonts w:ascii="Calibri" w:hAnsi="Calibri"/>
          <w:lang w:val="en-GB"/>
        </w:rPr>
        <w:t>museums</w:t>
      </w:r>
      <w:r w:rsidR="00FD282B">
        <w:rPr>
          <w:rFonts w:ascii="Calibri" w:hAnsi="Calibri"/>
          <w:lang w:val="en-GB"/>
        </w:rPr>
        <w:t xml:space="preserve"> within international politics we </w:t>
      </w:r>
      <w:r w:rsidR="00D060D4">
        <w:rPr>
          <w:rFonts w:ascii="Calibri" w:hAnsi="Calibri"/>
          <w:lang w:val="en-GB"/>
        </w:rPr>
        <w:t xml:space="preserve">suggest that it is important to </w:t>
      </w:r>
      <w:r w:rsidR="00FD282B">
        <w:rPr>
          <w:rFonts w:ascii="Calibri" w:hAnsi="Calibri"/>
          <w:lang w:val="en-GB"/>
        </w:rPr>
        <w:t>pay attention to the ways in which they</w:t>
      </w:r>
      <w:r w:rsidR="00562CEA">
        <w:rPr>
          <w:rFonts w:ascii="Calibri" w:hAnsi="Calibri"/>
          <w:lang w:val="en-GB"/>
        </w:rPr>
        <w:t xml:space="preserve"> </w:t>
      </w:r>
      <w:r w:rsidR="00FD282B">
        <w:rPr>
          <w:rFonts w:ascii="Calibri" w:hAnsi="Calibri"/>
          <w:lang w:val="en-GB"/>
        </w:rPr>
        <w:t>function as</w:t>
      </w:r>
      <w:r w:rsidR="00562CEA">
        <w:rPr>
          <w:rFonts w:ascii="Calibri" w:hAnsi="Calibri"/>
          <w:lang w:val="en-GB"/>
        </w:rPr>
        <w:t xml:space="preserve"> everyday </w:t>
      </w:r>
      <w:r w:rsidR="00715E7A">
        <w:rPr>
          <w:rFonts w:ascii="Calibri" w:hAnsi="Calibri"/>
          <w:lang w:val="en-GB"/>
        </w:rPr>
        <w:t xml:space="preserve">(rather than spectacular) </w:t>
      </w:r>
      <w:r w:rsidR="00562CEA">
        <w:rPr>
          <w:rFonts w:ascii="Calibri" w:hAnsi="Calibri"/>
          <w:lang w:val="en-GB"/>
        </w:rPr>
        <w:t>sites of colonial</w:t>
      </w:r>
      <w:r w:rsidR="00FD282B">
        <w:rPr>
          <w:rFonts w:ascii="Calibri" w:hAnsi="Calibri"/>
          <w:lang w:val="en-GB"/>
        </w:rPr>
        <w:t>ity.</w:t>
      </w:r>
      <w:r w:rsidR="00D060D4">
        <w:rPr>
          <w:rFonts w:ascii="Calibri" w:hAnsi="Calibri"/>
          <w:lang w:val="en-GB"/>
        </w:rPr>
        <w:t xml:space="preserve"> This is because of the colonial logics underpinning the </w:t>
      </w:r>
      <w:r w:rsidR="00680BE5">
        <w:rPr>
          <w:rFonts w:ascii="Calibri" w:hAnsi="Calibri"/>
          <w:lang w:val="en-GB"/>
        </w:rPr>
        <w:t xml:space="preserve">museum as an institution, and because the ways in which contemporary global structures of power are shaped by colonially-produced arrangements and relations. </w:t>
      </w:r>
      <w:r w:rsidR="00FD282B">
        <w:rPr>
          <w:rFonts w:ascii="Calibri" w:hAnsi="Calibri"/>
          <w:lang w:val="en-GB"/>
        </w:rPr>
        <w:t xml:space="preserve">Secondly, </w:t>
      </w:r>
      <w:r w:rsidR="00680BE5">
        <w:rPr>
          <w:rFonts w:ascii="Calibri" w:hAnsi="Calibri"/>
          <w:lang w:val="en-GB"/>
        </w:rPr>
        <w:t>a</w:t>
      </w:r>
      <w:r w:rsidR="00680BE5" w:rsidRPr="00680BE5">
        <w:rPr>
          <w:rFonts w:ascii="Calibri" w:hAnsi="Calibri"/>
          <w:lang w:val="en-GB"/>
        </w:rPr>
        <w:t>s questions of method have become increasingly central to IR in both academic r</w:t>
      </w:r>
      <w:r w:rsidR="00680BE5">
        <w:rPr>
          <w:rFonts w:ascii="Calibri" w:hAnsi="Calibri"/>
          <w:lang w:val="en-GB"/>
        </w:rPr>
        <w:t>esearch and teaching</w:t>
      </w:r>
      <w:r w:rsidR="00680BE5">
        <w:rPr>
          <w:rStyle w:val="FootnoteReference"/>
          <w:rFonts w:ascii="Calibri" w:hAnsi="Calibri"/>
          <w:lang w:val="en-GB"/>
        </w:rPr>
        <w:footnoteReference w:id="7"/>
      </w:r>
      <w:r w:rsidR="00680BE5">
        <w:rPr>
          <w:rFonts w:ascii="Calibri" w:hAnsi="Calibri"/>
          <w:lang w:val="en-GB"/>
        </w:rPr>
        <w:t xml:space="preserve"> we see the question of methodological approaches to museums</w:t>
      </w:r>
      <w:r w:rsidR="00680BE5" w:rsidRPr="00680BE5">
        <w:rPr>
          <w:rFonts w:ascii="Calibri" w:hAnsi="Calibri"/>
          <w:lang w:val="en-GB"/>
        </w:rPr>
        <w:t xml:space="preserve"> as an important</w:t>
      </w:r>
      <w:r w:rsidR="00680BE5">
        <w:rPr>
          <w:rFonts w:ascii="Calibri" w:hAnsi="Calibri"/>
          <w:lang w:val="en-GB"/>
        </w:rPr>
        <w:t xml:space="preserve"> area for further consideration</w:t>
      </w:r>
      <w:r w:rsidR="00680BE5" w:rsidRPr="006974E9">
        <w:rPr>
          <w:rFonts w:ascii="Calibri" w:hAnsi="Calibri"/>
          <w:vertAlign w:val="superscript"/>
          <w:lang w:val="en-GB"/>
        </w:rPr>
        <w:footnoteReference w:id="8"/>
      </w:r>
      <w:r w:rsidR="00680BE5" w:rsidRPr="00680BE5">
        <w:rPr>
          <w:rFonts w:ascii="Calibri" w:hAnsi="Calibri"/>
          <w:lang w:val="en-GB"/>
        </w:rPr>
        <w:t>.</w:t>
      </w:r>
      <w:r w:rsidR="00680BE5">
        <w:rPr>
          <w:rFonts w:ascii="Calibri" w:hAnsi="Calibri"/>
          <w:lang w:val="en-GB"/>
        </w:rPr>
        <w:t xml:space="preserve"> In particular we suggest that it is important to develop methods that are attuned to relations of coloniality. </w:t>
      </w:r>
      <w:r w:rsidRPr="006974E9">
        <w:rPr>
          <w:rFonts w:ascii="Calibri" w:hAnsi="Calibri"/>
          <w:lang w:val="en-GB"/>
        </w:rPr>
        <w:t xml:space="preserve"> .</w:t>
      </w:r>
      <w:r w:rsidR="0069188B">
        <w:rPr>
          <w:rFonts w:ascii="Calibri" w:hAnsi="Calibri"/>
          <w:lang w:val="en-GB"/>
        </w:rPr>
        <w:t xml:space="preserve"> The</w:t>
      </w:r>
      <w:r w:rsidR="00680BE5">
        <w:rPr>
          <w:rFonts w:ascii="Calibri" w:hAnsi="Calibri"/>
          <w:lang w:val="en-GB"/>
        </w:rPr>
        <w:t xml:space="preserve"> central contribution</w:t>
      </w:r>
      <w:r w:rsidR="0069188B">
        <w:rPr>
          <w:rFonts w:ascii="Calibri" w:hAnsi="Calibri"/>
          <w:lang w:val="en-GB"/>
        </w:rPr>
        <w:t>s</w:t>
      </w:r>
      <w:r w:rsidR="00680BE5">
        <w:rPr>
          <w:rFonts w:ascii="Calibri" w:hAnsi="Calibri"/>
          <w:lang w:val="en-GB"/>
        </w:rPr>
        <w:t xml:space="preserve"> of this article </w:t>
      </w:r>
      <w:r w:rsidR="0069188B">
        <w:rPr>
          <w:rFonts w:ascii="Calibri" w:hAnsi="Calibri"/>
          <w:lang w:val="en-GB"/>
        </w:rPr>
        <w:t>stem from addressing these two related areas</w:t>
      </w:r>
      <w:r w:rsidR="009712CB">
        <w:rPr>
          <w:rFonts w:ascii="Calibri" w:hAnsi="Calibri"/>
          <w:lang w:val="en-GB"/>
        </w:rPr>
        <w:t xml:space="preserve"> through the development of an account of intimacy as method</w:t>
      </w:r>
      <w:r w:rsidR="0069188B">
        <w:rPr>
          <w:rFonts w:ascii="Calibri" w:hAnsi="Calibri"/>
          <w:lang w:val="en-GB"/>
        </w:rPr>
        <w:t>.</w:t>
      </w:r>
    </w:p>
    <w:p w14:paraId="15F94DA7" w14:textId="77777777" w:rsidR="00980B41" w:rsidRPr="006974E9" w:rsidRDefault="00980B41">
      <w:pPr>
        <w:pStyle w:val="Normal1"/>
        <w:jc w:val="both"/>
        <w:rPr>
          <w:rFonts w:ascii="Calibri" w:hAnsi="Calibri"/>
          <w:lang w:val="en-GB"/>
        </w:rPr>
      </w:pPr>
    </w:p>
    <w:p w14:paraId="1824B4CB" w14:textId="2A669595" w:rsidR="00980B41" w:rsidRPr="006974E9" w:rsidRDefault="003F70C3" w:rsidP="00715E7A">
      <w:pPr>
        <w:pStyle w:val="Normal1"/>
        <w:jc w:val="both"/>
        <w:rPr>
          <w:rFonts w:ascii="Calibri" w:hAnsi="Calibri"/>
          <w:sz w:val="24"/>
          <w:szCs w:val="24"/>
          <w:lang w:val="en-GB"/>
        </w:rPr>
      </w:pPr>
      <w:r w:rsidRPr="006974E9">
        <w:rPr>
          <w:rFonts w:ascii="Calibri" w:hAnsi="Calibri"/>
          <w:lang w:val="en-GB"/>
        </w:rPr>
        <w:t>T</w:t>
      </w:r>
      <w:r w:rsidR="00680BE5">
        <w:rPr>
          <w:rFonts w:ascii="Calibri" w:hAnsi="Calibri"/>
          <w:lang w:val="en-GB"/>
        </w:rPr>
        <w:t xml:space="preserve">o make these contributions </w:t>
      </w:r>
      <w:r w:rsidRPr="006974E9">
        <w:rPr>
          <w:rFonts w:ascii="Calibri" w:hAnsi="Calibri"/>
          <w:lang w:val="en-GB"/>
        </w:rPr>
        <w:t xml:space="preserve"> </w:t>
      </w:r>
      <w:r w:rsidR="0069188B">
        <w:rPr>
          <w:rFonts w:ascii="Calibri" w:hAnsi="Calibri"/>
          <w:lang w:val="en-GB"/>
        </w:rPr>
        <w:t xml:space="preserve">this </w:t>
      </w:r>
      <w:r w:rsidRPr="006974E9">
        <w:rPr>
          <w:rFonts w:ascii="Calibri" w:hAnsi="Calibri"/>
          <w:lang w:val="en-GB"/>
        </w:rPr>
        <w:t xml:space="preserve">article </w:t>
      </w:r>
      <w:r w:rsidR="00391A47">
        <w:rPr>
          <w:rFonts w:ascii="Calibri" w:hAnsi="Calibri"/>
          <w:lang w:val="en-GB"/>
        </w:rPr>
        <w:t xml:space="preserve">develops </w:t>
      </w:r>
      <w:r w:rsidRPr="006974E9">
        <w:rPr>
          <w:rFonts w:ascii="Calibri" w:hAnsi="Calibri"/>
          <w:lang w:val="en-GB"/>
        </w:rPr>
        <w:t xml:space="preserve"> </w:t>
      </w:r>
      <w:r w:rsidR="006975C8" w:rsidRPr="006974E9">
        <w:rPr>
          <w:rFonts w:ascii="Calibri" w:hAnsi="Calibri"/>
          <w:lang w:val="en-GB"/>
        </w:rPr>
        <w:t>an</w:t>
      </w:r>
      <w:r w:rsidR="00391A47">
        <w:rPr>
          <w:rFonts w:ascii="Calibri" w:hAnsi="Calibri"/>
          <w:lang w:val="en-GB"/>
        </w:rPr>
        <w:t xml:space="preserve"> account of intimacy as a method for studying museums as everyday sites of coloniality.</w:t>
      </w:r>
      <w:r w:rsidR="006975C8" w:rsidRPr="006974E9">
        <w:rPr>
          <w:rFonts w:ascii="Calibri" w:hAnsi="Calibri"/>
          <w:lang w:val="en-GB"/>
        </w:rPr>
        <w:t xml:space="preserve"> </w:t>
      </w:r>
      <w:r w:rsidR="00BD5AD7" w:rsidRPr="006974E9">
        <w:rPr>
          <w:rFonts w:ascii="Calibri" w:hAnsi="Calibri"/>
          <w:lang w:val="en-GB"/>
        </w:rPr>
        <w:t>Drawing upon extensive work taking place in other disciplines</w:t>
      </w:r>
      <w:r w:rsidR="004448B0">
        <w:rPr>
          <w:rFonts w:ascii="Calibri" w:hAnsi="Calibri"/>
          <w:lang w:val="en-GB"/>
        </w:rPr>
        <w:t>, particularly that within</w:t>
      </w:r>
      <w:r w:rsidR="00BD5AD7" w:rsidRPr="006974E9">
        <w:rPr>
          <w:rFonts w:ascii="Calibri" w:hAnsi="Calibri"/>
          <w:lang w:val="en-GB"/>
        </w:rPr>
        <w:t xml:space="preserve"> political geography</w:t>
      </w:r>
      <w:r w:rsidR="00BD5AD7" w:rsidRPr="006974E9">
        <w:rPr>
          <w:rFonts w:ascii="Calibri" w:hAnsi="Calibri"/>
          <w:vertAlign w:val="superscript"/>
          <w:lang w:val="en-GB"/>
        </w:rPr>
        <w:footnoteReference w:id="9"/>
      </w:r>
      <w:r w:rsidR="004448B0">
        <w:rPr>
          <w:rFonts w:ascii="Calibri" w:hAnsi="Calibri"/>
          <w:lang w:val="en-GB"/>
        </w:rPr>
        <w:t>,</w:t>
      </w:r>
      <w:r w:rsidR="00BD5AD7" w:rsidRPr="006974E9">
        <w:rPr>
          <w:rFonts w:ascii="Calibri" w:hAnsi="Calibri"/>
          <w:lang w:val="en-GB"/>
        </w:rPr>
        <w:t xml:space="preserve"> </w:t>
      </w:r>
      <w:r w:rsidR="008D59D5" w:rsidRPr="006974E9">
        <w:rPr>
          <w:rFonts w:ascii="Calibri" w:hAnsi="Calibri"/>
          <w:lang w:val="en-GB"/>
        </w:rPr>
        <w:t>we develop existing accounts of intimacy in international relations</w:t>
      </w:r>
      <w:r w:rsidR="008D59D5" w:rsidRPr="006974E9">
        <w:rPr>
          <w:rFonts w:ascii="Calibri" w:hAnsi="Calibri"/>
          <w:vertAlign w:val="superscript"/>
          <w:lang w:val="en-GB"/>
        </w:rPr>
        <w:footnoteReference w:id="10"/>
      </w:r>
      <w:r w:rsidR="00BD5AD7" w:rsidRPr="006974E9">
        <w:rPr>
          <w:rFonts w:ascii="Calibri" w:hAnsi="Calibri"/>
          <w:color w:val="343536"/>
          <w:sz w:val="20"/>
          <w:szCs w:val="20"/>
          <w:lang w:val="en-GB"/>
        </w:rPr>
        <w:t>.</w:t>
      </w:r>
      <w:r w:rsidR="008D59D5" w:rsidRPr="006974E9">
        <w:rPr>
          <w:rFonts w:ascii="Calibri" w:hAnsi="Calibri"/>
          <w:lang w:val="en-GB"/>
        </w:rPr>
        <w:t xml:space="preserve"> Queer theory and feminist scholars have demonstrated the</w:t>
      </w:r>
      <w:r w:rsidR="00BA4008">
        <w:rPr>
          <w:rFonts w:ascii="Calibri" w:hAnsi="Calibri"/>
          <w:lang w:val="en-GB"/>
        </w:rPr>
        <w:t xml:space="preserve"> importance o</w:t>
      </w:r>
      <w:r w:rsidR="008D59D5" w:rsidRPr="006974E9">
        <w:rPr>
          <w:rFonts w:ascii="Calibri" w:hAnsi="Calibri"/>
          <w:lang w:val="en-GB"/>
        </w:rPr>
        <w:t>f paying attention to intimacy to understand the gendere</w:t>
      </w:r>
      <w:r w:rsidR="0069188B">
        <w:rPr>
          <w:rFonts w:ascii="Calibri" w:hAnsi="Calibri"/>
          <w:lang w:val="en-GB"/>
        </w:rPr>
        <w:t>d and</w:t>
      </w:r>
      <w:r w:rsidR="00D12CE8">
        <w:rPr>
          <w:rFonts w:ascii="Calibri" w:hAnsi="Calibri"/>
          <w:lang w:val="en-GB"/>
        </w:rPr>
        <w:t xml:space="preserve"> </w:t>
      </w:r>
      <w:r w:rsidR="008D59D5" w:rsidRPr="006974E9">
        <w:rPr>
          <w:rFonts w:ascii="Calibri" w:hAnsi="Calibri"/>
          <w:lang w:val="en-GB"/>
        </w:rPr>
        <w:t>sexualised</w:t>
      </w:r>
      <w:r w:rsidR="003A5B95">
        <w:rPr>
          <w:rFonts w:ascii="Calibri" w:hAnsi="Calibri"/>
          <w:lang w:val="en-GB"/>
        </w:rPr>
        <w:t xml:space="preserve"> </w:t>
      </w:r>
      <w:commentRangeStart w:id="1"/>
      <w:commentRangeEnd w:id="1"/>
      <w:r w:rsidR="008D59D5" w:rsidRPr="006974E9">
        <w:rPr>
          <w:rFonts w:ascii="Calibri" w:hAnsi="Calibri"/>
          <w:lang w:val="en-GB"/>
        </w:rPr>
        <w:t>structures of the political</w:t>
      </w:r>
      <w:r w:rsidR="0069188B">
        <w:rPr>
          <w:rFonts w:ascii="Calibri" w:hAnsi="Calibri"/>
          <w:lang w:val="en-GB"/>
        </w:rPr>
        <w:t xml:space="preserve"> but have addressed the racialized and colonial to a much lesser extent</w:t>
      </w:r>
      <w:r w:rsidR="008D59D5" w:rsidRPr="006974E9">
        <w:rPr>
          <w:rFonts w:ascii="Calibri" w:hAnsi="Calibri"/>
          <w:lang w:val="en-GB"/>
        </w:rPr>
        <w:t>.</w:t>
      </w:r>
      <w:r w:rsidR="008D59D5" w:rsidRPr="006974E9">
        <w:rPr>
          <w:rFonts w:ascii="Calibri" w:hAnsi="Calibri"/>
          <w:vertAlign w:val="superscript"/>
          <w:lang w:val="en-GB"/>
        </w:rPr>
        <w:footnoteReference w:id="11"/>
      </w:r>
      <w:r w:rsidR="008D59D5" w:rsidRPr="006974E9">
        <w:rPr>
          <w:rFonts w:ascii="Calibri" w:hAnsi="Calibri"/>
          <w:lang w:val="en-GB"/>
        </w:rPr>
        <w:t xml:space="preserve"> We explore how intimacy provides both an analytical approach to the study of geopolitics which also </w:t>
      </w:r>
      <w:r w:rsidR="008D59D5" w:rsidRPr="006974E9">
        <w:rPr>
          <w:rFonts w:ascii="Calibri" w:hAnsi="Calibri"/>
          <w:lang w:val="en-GB"/>
        </w:rPr>
        <w:lastRenderedPageBreak/>
        <w:t>reflexively engages with the positionality of the researcher.</w:t>
      </w:r>
      <w:r w:rsidR="008D59D5" w:rsidRPr="006974E9">
        <w:rPr>
          <w:rFonts w:ascii="Calibri" w:hAnsi="Calibri"/>
          <w:vertAlign w:val="superscript"/>
          <w:lang w:val="en-GB"/>
        </w:rPr>
        <w:footnoteReference w:id="12"/>
      </w:r>
      <w:r w:rsidR="00755CDB" w:rsidRPr="006974E9">
        <w:rPr>
          <w:rFonts w:ascii="Calibri" w:hAnsi="Calibri"/>
          <w:lang w:val="en-GB"/>
        </w:rPr>
        <w:t xml:space="preserve"> E</w:t>
      </w:r>
      <w:r w:rsidR="008D59D5" w:rsidRPr="006974E9">
        <w:rPr>
          <w:rFonts w:ascii="Calibri" w:hAnsi="Calibri"/>
          <w:lang w:val="en-GB"/>
        </w:rPr>
        <w:t>xtending an account of intimacy as a method we also speak to the emergent body of  literature in IR on affect and emotions</w:t>
      </w:r>
      <w:r w:rsidR="008D59D5" w:rsidRPr="006974E9">
        <w:rPr>
          <w:rFonts w:ascii="Calibri" w:hAnsi="Calibri"/>
          <w:vertAlign w:val="superscript"/>
          <w:lang w:val="en-GB"/>
        </w:rPr>
        <w:footnoteReference w:id="13"/>
      </w:r>
      <w:r w:rsidR="008D59D5" w:rsidRPr="006974E9">
        <w:rPr>
          <w:rFonts w:ascii="Calibri" w:hAnsi="Calibri"/>
          <w:lang w:val="en-GB"/>
        </w:rPr>
        <w:t xml:space="preserve">, that whilst </w:t>
      </w:r>
      <w:r w:rsidR="004824AE">
        <w:rPr>
          <w:rFonts w:ascii="Calibri" w:hAnsi="Calibri"/>
          <w:lang w:val="en-GB"/>
        </w:rPr>
        <w:t>it tends not to be framed within the conceptual terms of ‘</w:t>
      </w:r>
      <w:r w:rsidR="008D59D5" w:rsidRPr="006974E9">
        <w:rPr>
          <w:rFonts w:ascii="Calibri" w:hAnsi="Calibri"/>
          <w:lang w:val="en-GB"/>
        </w:rPr>
        <w:t>intimacy</w:t>
      </w:r>
      <w:r w:rsidR="004824AE">
        <w:rPr>
          <w:rFonts w:ascii="Calibri" w:hAnsi="Calibri"/>
          <w:lang w:val="en-GB"/>
        </w:rPr>
        <w:t>’</w:t>
      </w:r>
      <w:r w:rsidR="008D59D5" w:rsidRPr="006974E9">
        <w:rPr>
          <w:rFonts w:ascii="Calibri" w:hAnsi="Calibri"/>
          <w:lang w:val="en-GB"/>
        </w:rPr>
        <w:t>, works to question the bodily sensations, encounters and sensibilities, and relations of objects that we are also interested in.</w:t>
      </w:r>
      <w:r w:rsidR="008D59D5" w:rsidRPr="006974E9">
        <w:rPr>
          <w:rFonts w:ascii="Calibri" w:hAnsi="Calibri"/>
          <w:vertAlign w:val="superscript"/>
          <w:lang w:val="en-GB"/>
        </w:rPr>
        <w:footnoteReference w:id="14"/>
      </w:r>
      <w:r w:rsidR="008D59D5" w:rsidRPr="006974E9">
        <w:rPr>
          <w:rFonts w:ascii="Calibri" w:hAnsi="Calibri"/>
          <w:lang w:val="en-GB"/>
        </w:rPr>
        <w:t xml:space="preserve"> Finally, throughout the article</w:t>
      </w:r>
      <w:r w:rsidR="00FE519F">
        <w:rPr>
          <w:rFonts w:ascii="Calibri" w:hAnsi="Calibri"/>
          <w:lang w:val="en-GB"/>
        </w:rPr>
        <w:t>,</w:t>
      </w:r>
      <w:r w:rsidR="008D59D5" w:rsidRPr="006974E9">
        <w:rPr>
          <w:rFonts w:ascii="Calibri" w:hAnsi="Calibri"/>
          <w:lang w:val="en-GB"/>
        </w:rPr>
        <w:t xml:space="preserve"> </w:t>
      </w:r>
      <w:r w:rsidR="004824AE">
        <w:rPr>
          <w:rFonts w:ascii="Calibri" w:hAnsi="Calibri"/>
          <w:lang w:val="en-GB"/>
        </w:rPr>
        <w:t xml:space="preserve">we draw on </w:t>
      </w:r>
      <w:r w:rsidR="0042456E">
        <w:rPr>
          <w:rFonts w:ascii="Calibri" w:hAnsi="Calibri"/>
          <w:lang w:val="en-GB"/>
        </w:rPr>
        <w:t xml:space="preserve">Ann Laura </w:t>
      </w:r>
      <w:r w:rsidR="004824AE">
        <w:rPr>
          <w:rFonts w:ascii="Calibri" w:hAnsi="Calibri"/>
          <w:lang w:val="en-GB"/>
        </w:rPr>
        <w:t xml:space="preserve">Stoler’s </w:t>
      </w:r>
      <w:r w:rsidR="00391A47">
        <w:rPr>
          <w:rFonts w:ascii="Calibri" w:hAnsi="Calibri"/>
          <w:lang w:val="en-GB"/>
        </w:rPr>
        <w:t xml:space="preserve">account of imperial debris which </w:t>
      </w:r>
      <w:r w:rsidR="00391A47" w:rsidRPr="006974E9">
        <w:rPr>
          <w:rFonts w:ascii="Calibri" w:hAnsi="Calibri"/>
          <w:lang w:val="en-GB"/>
        </w:rPr>
        <w:t>refer</w:t>
      </w:r>
      <w:r w:rsidR="00391A47">
        <w:rPr>
          <w:rFonts w:ascii="Calibri" w:hAnsi="Calibri"/>
          <w:lang w:val="en-GB"/>
        </w:rPr>
        <w:t>s</w:t>
      </w:r>
      <w:r w:rsidR="00391A47" w:rsidRPr="006974E9">
        <w:rPr>
          <w:rFonts w:ascii="Calibri" w:hAnsi="Calibri"/>
          <w:lang w:val="en-GB"/>
        </w:rPr>
        <w:t xml:space="preserve"> both </w:t>
      </w:r>
      <w:r w:rsidR="00391A47">
        <w:rPr>
          <w:rFonts w:ascii="Calibri" w:hAnsi="Calibri"/>
          <w:lang w:val="en-GB"/>
        </w:rPr>
        <w:t xml:space="preserve">to </w:t>
      </w:r>
      <w:r w:rsidR="00391A47" w:rsidRPr="006974E9">
        <w:rPr>
          <w:rFonts w:ascii="Calibri" w:hAnsi="Calibri"/>
          <w:lang w:val="en-GB"/>
        </w:rPr>
        <w:t>the ruins of Empire and the ongoing ruination caused by colonial power,</w:t>
      </w:r>
      <w:r w:rsidR="00391A47">
        <w:rPr>
          <w:rFonts w:ascii="Calibri" w:hAnsi="Calibri"/>
          <w:lang w:val="en-GB"/>
        </w:rPr>
        <w:t xml:space="preserve"> warfare and imperial</w:t>
      </w:r>
      <w:r w:rsidR="00391A47" w:rsidRPr="006974E9">
        <w:rPr>
          <w:rFonts w:ascii="Calibri" w:hAnsi="Calibri"/>
          <w:lang w:val="en-GB"/>
        </w:rPr>
        <w:t xml:space="preserve"> capitalism</w:t>
      </w:r>
      <w:r w:rsidR="00391A47" w:rsidRPr="006974E9">
        <w:rPr>
          <w:rFonts w:ascii="Calibri" w:hAnsi="Calibri"/>
          <w:vertAlign w:val="superscript"/>
          <w:lang w:val="en-GB"/>
        </w:rPr>
        <w:footnoteReference w:id="15"/>
      </w:r>
      <w:r w:rsidR="00391A47">
        <w:rPr>
          <w:rFonts w:ascii="Calibri" w:hAnsi="Calibri"/>
          <w:lang w:val="en-GB"/>
        </w:rPr>
        <w:t>. We put</w:t>
      </w:r>
      <w:r w:rsidR="004824AE">
        <w:rPr>
          <w:rFonts w:ascii="Calibri" w:hAnsi="Calibri"/>
          <w:lang w:val="en-GB"/>
        </w:rPr>
        <w:t xml:space="preserve"> forward an account of museums as sites of</w:t>
      </w:r>
      <w:r w:rsidR="007E424B">
        <w:rPr>
          <w:rFonts w:ascii="Calibri" w:hAnsi="Calibri"/>
          <w:lang w:val="en-GB"/>
        </w:rPr>
        <w:t xml:space="preserve"> </w:t>
      </w:r>
      <w:r w:rsidR="00174E9D">
        <w:rPr>
          <w:rFonts w:ascii="Calibri" w:hAnsi="Calibri"/>
          <w:lang w:val="en-GB"/>
        </w:rPr>
        <w:t>i</w:t>
      </w:r>
      <w:r w:rsidR="007E424B">
        <w:rPr>
          <w:rFonts w:ascii="Calibri" w:hAnsi="Calibri"/>
          <w:lang w:val="en-GB"/>
        </w:rPr>
        <w:t xml:space="preserve">mperial </w:t>
      </w:r>
      <w:r w:rsidR="00174E9D">
        <w:rPr>
          <w:rFonts w:ascii="Calibri" w:hAnsi="Calibri"/>
          <w:lang w:val="en-GB"/>
        </w:rPr>
        <w:t>d</w:t>
      </w:r>
      <w:r w:rsidR="007E424B">
        <w:rPr>
          <w:rFonts w:ascii="Calibri" w:hAnsi="Calibri"/>
          <w:lang w:val="en-GB"/>
        </w:rPr>
        <w:t>ebris</w:t>
      </w:r>
      <w:r w:rsidR="00391A47">
        <w:rPr>
          <w:rFonts w:ascii="Calibri" w:hAnsi="Calibri"/>
          <w:lang w:val="en-GB"/>
        </w:rPr>
        <w:t xml:space="preserve">, illuminating how they are simultaneously sites for the amassing of the material remains of projects of empire and also </w:t>
      </w:r>
      <w:r w:rsidR="00715E7A">
        <w:rPr>
          <w:rFonts w:ascii="Calibri" w:hAnsi="Calibri"/>
          <w:lang w:val="en-GB"/>
        </w:rPr>
        <w:t>for the reproduction of present and ongoing colonially-structured forms of power and violence</w:t>
      </w:r>
      <w:r w:rsidR="001E252C">
        <w:rPr>
          <w:rFonts w:ascii="Calibri" w:hAnsi="Calibri"/>
          <w:lang w:val="en-GB"/>
        </w:rPr>
        <w:t xml:space="preserve"> </w:t>
      </w:r>
      <w:r w:rsidR="004824AE">
        <w:rPr>
          <w:rFonts w:ascii="Calibri" w:hAnsi="Calibri"/>
          <w:lang w:val="en-GB"/>
        </w:rPr>
        <w:t>.</w:t>
      </w:r>
      <w:r w:rsidR="00596103" w:rsidRPr="006974E9">
        <w:rPr>
          <w:rFonts w:ascii="Calibri" w:hAnsi="Calibri"/>
          <w:lang w:val="en-GB"/>
        </w:rPr>
        <w:t xml:space="preserve"> E</w:t>
      </w:r>
      <w:r w:rsidR="008D59D5" w:rsidRPr="006974E9">
        <w:rPr>
          <w:rFonts w:ascii="Calibri" w:hAnsi="Calibri"/>
          <w:lang w:val="en-GB"/>
        </w:rPr>
        <w:t>xploring the colonial role of museums and how the</w:t>
      </w:r>
      <w:r w:rsidR="004723FC" w:rsidRPr="006974E9">
        <w:rPr>
          <w:rFonts w:ascii="Calibri" w:hAnsi="Calibri"/>
          <w:lang w:val="en-GB"/>
        </w:rPr>
        <w:t>y</w:t>
      </w:r>
      <w:r w:rsidR="008D59D5" w:rsidRPr="006974E9">
        <w:rPr>
          <w:rFonts w:ascii="Calibri" w:hAnsi="Calibri"/>
          <w:lang w:val="en-GB"/>
        </w:rPr>
        <w:t xml:space="preserve"> are arranged through and organise colonial forms of power and racialisation, we further engage with the burgeoning literature on IR, race and the colonial.</w:t>
      </w:r>
      <w:r w:rsidR="008D59D5" w:rsidRPr="006974E9">
        <w:rPr>
          <w:rFonts w:ascii="Calibri" w:hAnsi="Calibri"/>
          <w:vertAlign w:val="superscript"/>
          <w:lang w:val="en-GB"/>
        </w:rPr>
        <w:footnoteReference w:id="16"/>
      </w:r>
      <w:r w:rsidR="008D59D5" w:rsidRPr="006974E9">
        <w:rPr>
          <w:rFonts w:ascii="Calibri" w:hAnsi="Calibri"/>
          <w:lang w:val="en-GB"/>
        </w:rPr>
        <w:t xml:space="preserve"> In doing so</w:t>
      </w:r>
      <w:r w:rsidR="00742279">
        <w:rPr>
          <w:rFonts w:ascii="Calibri" w:hAnsi="Calibri"/>
          <w:lang w:val="en-GB"/>
        </w:rPr>
        <w:t>,</w:t>
      </w:r>
      <w:r w:rsidR="008D59D5" w:rsidRPr="006974E9">
        <w:rPr>
          <w:rFonts w:ascii="Calibri" w:hAnsi="Calibri"/>
          <w:lang w:val="en-GB"/>
        </w:rPr>
        <w:t xml:space="preserve"> we further demonstr</w:t>
      </w:r>
      <w:r w:rsidR="00C21777" w:rsidRPr="006974E9">
        <w:rPr>
          <w:rFonts w:ascii="Calibri" w:hAnsi="Calibri"/>
          <w:lang w:val="en-GB"/>
        </w:rPr>
        <w:t xml:space="preserve">ate the </w:t>
      </w:r>
      <w:r w:rsidR="008D59D5" w:rsidRPr="006974E9">
        <w:rPr>
          <w:rFonts w:ascii="Calibri" w:hAnsi="Calibri"/>
          <w:lang w:val="en-GB"/>
        </w:rPr>
        <w:t>everyday character of colonial politics and the mundane way that divisions around the human</w:t>
      </w:r>
      <w:r w:rsidR="008A2D54">
        <w:rPr>
          <w:rFonts w:ascii="Calibri" w:hAnsi="Calibri"/>
          <w:lang w:val="en-GB"/>
        </w:rPr>
        <w:t xml:space="preserve"> </w:t>
      </w:r>
      <w:r w:rsidR="008D59D5" w:rsidRPr="006974E9">
        <w:rPr>
          <w:rFonts w:ascii="Calibri" w:hAnsi="Calibri"/>
          <w:lang w:val="en-GB"/>
        </w:rPr>
        <w:t>other take place</w:t>
      </w:r>
      <w:r w:rsidR="008D59D5" w:rsidRPr="006974E9">
        <w:rPr>
          <w:rFonts w:ascii="Calibri" w:hAnsi="Calibri"/>
          <w:sz w:val="24"/>
          <w:szCs w:val="24"/>
          <w:lang w:val="en-GB"/>
        </w:rPr>
        <w:t xml:space="preserve">. </w:t>
      </w:r>
    </w:p>
    <w:p w14:paraId="5338A144" w14:textId="77777777" w:rsidR="00980B41" w:rsidRPr="006974E9" w:rsidRDefault="00980B41">
      <w:pPr>
        <w:pStyle w:val="Normal1"/>
        <w:jc w:val="both"/>
        <w:rPr>
          <w:rFonts w:ascii="Calibri" w:hAnsi="Calibri"/>
          <w:sz w:val="24"/>
          <w:szCs w:val="24"/>
          <w:lang w:val="en-GB"/>
        </w:rPr>
      </w:pPr>
    </w:p>
    <w:p w14:paraId="3E8F9F85" w14:textId="760ABB80" w:rsidR="00980B41" w:rsidRPr="006974E9" w:rsidRDefault="008D59D5">
      <w:pPr>
        <w:pStyle w:val="Normal1"/>
        <w:jc w:val="both"/>
        <w:rPr>
          <w:rFonts w:ascii="Calibri" w:hAnsi="Calibri"/>
          <w:lang w:val="en-GB"/>
        </w:rPr>
      </w:pPr>
      <w:r w:rsidRPr="006974E9">
        <w:rPr>
          <w:rFonts w:ascii="Calibri" w:hAnsi="Calibri"/>
          <w:lang w:val="en-GB"/>
        </w:rPr>
        <w:t>The article unfolds as follows.</w:t>
      </w:r>
      <w:r w:rsidRPr="006974E9">
        <w:rPr>
          <w:rFonts w:ascii="Calibri" w:hAnsi="Calibri"/>
          <w:sz w:val="24"/>
          <w:szCs w:val="24"/>
          <w:lang w:val="en-GB"/>
        </w:rPr>
        <w:t xml:space="preserve"> </w:t>
      </w:r>
      <w:r w:rsidRPr="006974E9">
        <w:rPr>
          <w:rFonts w:ascii="Calibri" w:hAnsi="Calibri"/>
          <w:lang w:val="en-GB"/>
        </w:rPr>
        <w:t xml:space="preserve">Firstly, we discuss museums as sites of international relations, everyday settings through which </w:t>
      </w:r>
      <w:r w:rsidR="00B54AC9">
        <w:rPr>
          <w:rFonts w:ascii="Calibri" w:hAnsi="Calibri"/>
          <w:lang w:val="en-GB"/>
        </w:rPr>
        <w:t>visitors</w:t>
      </w:r>
      <w:r w:rsidRPr="006974E9">
        <w:rPr>
          <w:rFonts w:ascii="Calibri" w:hAnsi="Calibri"/>
          <w:lang w:val="en-GB"/>
        </w:rPr>
        <w:t xml:space="preserve"> encounter and are situated within state power</w:t>
      </w:r>
      <w:r w:rsidR="00317FCD">
        <w:rPr>
          <w:rFonts w:ascii="Calibri" w:hAnsi="Calibri"/>
          <w:lang w:val="en-GB"/>
        </w:rPr>
        <w:t xml:space="preserve"> and coloniality</w:t>
      </w:r>
      <w:r w:rsidR="002A6AAD" w:rsidRPr="006974E9">
        <w:rPr>
          <w:rFonts w:ascii="Calibri" w:hAnsi="Calibri"/>
          <w:lang w:val="en-GB"/>
        </w:rPr>
        <w:t>.</w:t>
      </w:r>
      <w:r w:rsidRPr="006974E9">
        <w:rPr>
          <w:rFonts w:ascii="Calibri" w:hAnsi="Calibri"/>
          <w:lang w:val="en-GB"/>
        </w:rPr>
        <w:t xml:space="preserve"> </w:t>
      </w:r>
      <w:r w:rsidR="00AC1FD2">
        <w:rPr>
          <w:rFonts w:ascii="Calibri" w:hAnsi="Calibri"/>
          <w:lang w:val="en-GB"/>
        </w:rPr>
        <w:t xml:space="preserve">Thinking about museums as </w:t>
      </w:r>
      <w:r w:rsidR="00174E9D">
        <w:rPr>
          <w:rFonts w:ascii="Calibri" w:hAnsi="Calibri"/>
          <w:lang w:val="en-GB"/>
        </w:rPr>
        <w:t>i</w:t>
      </w:r>
      <w:r w:rsidR="00AC1FD2">
        <w:rPr>
          <w:rFonts w:ascii="Calibri" w:hAnsi="Calibri"/>
          <w:lang w:val="en-GB"/>
        </w:rPr>
        <w:t xml:space="preserve">mperial </w:t>
      </w:r>
      <w:r w:rsidR="00174E9D">
        <w:rPr>
          <w:rFonts w:ascii="Calibri" w:hAnsi="Calibri"/>
          <w:lang w:val="en-GB"/>
        </w:rPr>
        <w:t>d</w:t>
      </w:r>
      <w:r w:rsidR="00AC1FD2">
        <w:rPr>
          <w:rFonts w:ascii="Calibri" w:hAnsi="Calibri"/>
          <w:lang w:val="en-GB"/>
        </w:rPr>
        <w:t>ebris w</w:t>
      </w:r>
      <w:r w:rsidRPr="006974E9">
        <w:rPr>
          <w:rFonts w:ascii="Calibri" w:hAnsi="Calibri"/>
          <w:lang w:val="en-GB"/>
        </w:rPr>
        <w:t>e reflect on the patternings of raced and classed inclusion/exclusion through which these process</w:t>
      </w:r>
      <w:r w:rsidR="002A6AAD" w:rsidRPr="006974E9">
        <w:rPr>
          <w:rFonts w:ascii="Calibri" w:hAnsi="Calibri"/>
          <w:lang w:val="en-GB"/>
        </w:rPr>
        <w:t xml:space="preserve">es occur and consider how a </w:t>
      </w:r>
      <w:r w:rsidRPr="006974E9">
        <w:rPr>
          <w:rFonts w:ascii="Calibri" w:hAnsi="Calibri"/>
          <w:lang w:val="en-GB"/>
        </w:rPr>
        <w:t>researcher coming to a museum is (already) bound within them</w:t>
      </w:r>
      <w:r w:rsidR="005C45BD" w:rsidRPr="006974E9">
        <w:rPr>
          <w:rFonts w:ascii="Calibri" w:hAnsi="Calibri"/>
          <w:lang w:val="en-GB"/>
        </w:rPr>
        <w:t>.</w:t>
      </w:r>
      <w:r w:rsidR="00AC1FD2">
        <w:rPr>
          <w:rFonts w:ascii="Calibri" w:hAnsi="Calibri"/>
          <w:lang w:val="en-GB"/>
        </w:rPr>
        <w:t xml:space="preserve"> S</w:t>
      </w:r>
      <w:r w:rsidRPr="006974E9">
        <w:rPr>
          <w:rFonts w:ascii="Calibri" w:hAnsi="Calibri"/>
          <w:lang w:val="en-GB"/>
        </w:rPr>
        <w:t>econdly, we set out an approach to analysing processes of international relations at museum sites through fieldwork and conceptualisations of intimacy. We work with an understanding of intimacy as encompassing the circulatory processes of social-sexual affect, scales and proximities, and the enactment of colonial divisions and hiera</w:t>
      </w:r>
      <w:r w:rsidR="005E2867">
        <w:rPr>
          <w:rFonts w:ascii="Calibri" w:hAnsi="Calibri"/>
          <w:lang w:val="en-GB"/>
        </w:rPr>
        <w:t>r</w:t>
      </w:r>
      <w:r w:rsidRPr="006974E9">
        <w:rPr>
          <w:rFonts w:ascii="Calibri" w:hAnsi="Calibri"/>
          <w:lang w:val="en-GB"/>
        </w:rPr>
        <w:t>chies. We describe how intimacy can be useful to understanding not just relations between people (including in a fieldwork setting) but also how people relate to objects and the institutions they are understood to represent. Thirdly, we illustrate this approach ‘in application’ at the Royal Engineers Museum.</w:t>
      </w:r>
      <w:r w:rsidR="00B41F5F" w:rsidRPr="006974E9">
        <w:rPr>
          <w:rFonts w:ascii="Calibri" w:hAnsi="Calibri"/>
          <w:lang w:val="en-GB"/>
        </w:rPr>
        <w:t xml:space="preserve"> We analyse ‘Snob’ the dog </w:t>
      </w:r>
      <w:r w:rsidRPr="006974E9">
        <w:rPr>
          <w:rFonts w:ascii="Calibri" w:hAnsi="Calibri"/>
          <w:lang w:val="en-GB"/>
        </w:rPr>
        <w:t>as</w:t>
      </w:r>
      <w:r w:rsidR="002E604E">
        <w:rPr>
          <w:rFonts w:ascii="Calibri" w:hAnsi="Calibri"/>
          <w:lang w:val="en-GB"/>
        </w:rPr>
        <w:t xml:space="preserve"> something we term an</w:t>
      </w:r>
      <w:r w:rsidRPr="006974E9">
        <w:rPr>
          <w:rFonts w:ascii="Calibri" w:hAnsi="Calibri"/>
          <w:lang w:val="en-GB"/>
        </w:rPr>
        <w:t xml:space="preserve"> organising object</w:t>
      </w:r>
      <w:r w:rsidR="002E604E">
        <w:rPr>
          <w:rFonts w:ascii="Calibri" w:hAnsi="Calibri"/>
          <w:lang w:val="en-GB"/>
        </w:rPr>
        <w:t>, one</w:t>
      </w:r>
      <w:r w:rsidRPr="006974E9">
        <w:rPr>
          <w:rFonts w:ascii="Calibri" w:hAnsi="Calibri"/>
          <w:lang w:val="en-GB"/>
        </w:rPr>
        <w:t xml:space="preserve"> that indexes the broader museum collection, and those who visit or might be included</w:t>
      </w:r>
      <w:r w:rsidR="00393090">
        <w:rPr>
          <w:rFonts w:ascii="Calibri" w:hAnsi="Calibri"/>
          <w:lang w:val="en-GB"/>
        </w:rPr>
        <w:t xml:space="preserve"> or e</w:t>
      </w:r>
      <w:r w:rsidRPr="006974E9">
        <w:rPr>
          <w:rFonts w:ascii="Calibri" w:hAnsi="Calibri"/>
          <w:lang w:val="en-GB"/>
        </w:rPr>
        <w:t xml:space="preserve">xcluded from it on particular terms, within the intimate circulations of imperial and colonial violence in the past and present. Fourthly, in the conclusion we map the wider application of the </w:t>
      </w:r>
      <w:r w:rsidR="005C45BD" w:rsidRPr="006974E9">
        <w:rPr>
          <w:rFonts w:ascii="Calibri" w:hAnsi="Calibri"/>
          <w:lang w:val="en-GB"/>
        </w:rPr>
        <w:t xml:space="preserve">proposed </w:t>
      </w:r>
      <w:r w:rsidRPr="006974E9">
        <w:rPr>
          <w:rFonts w:ascii="Calibri" w:hAnsi="Calibri"/>
          <w:lang w:val="en-GB"/>
        </w:rPr>
        <w:t>method</w:t>
      </w:r>
      <w:r w:rsidR="002A6AAD" w:rsidRPr="006974E9">
        <w:rPr>
          <w:rFonts w:ascii="Calibri" w:hAnsi="Calibri"/>
          <w:lang w:val="en-GB"/>
        </w:rPr>
        <w:t>.</w:t>
      </w:r>
      <w:r w:rsidRPr="006974E9">
        <w:rPr>
          <w:rFonts w:ascii="Calibri" w:hAnsi="Calibri"/>
          <w:lang w:val="en-GB"/>
        </w:rPr>
        <w:t xml:space="preserve"> </w:t>
      </w:r>
    </w:p>
    <w:p w14:paraId="26E787C9" w14:textId="77777777" w:rsidR="00980B41" w:rsidRPr="006974E9" w:rsidRDefault="00980B41">
      <w:pPr>
        <w:pStyle w:val="Normal1"/>
        <w:jc w:val="both"/>
        <w:rPr>
          <w:rFonts w:ascii="Calibri" w:hAnsi="Calibri"/>
          <w:b/>
          <w:lang w:val="en-GB"/>
        </w:rPr>
      </w:pPr>
    </w:p>
    <w:p w14:paraId="77941A39" w14:textId="77777777" w:rsidR="008049BF" w:rsidRPr="008049BF" w:rsidRDefault="008049BF" w:rsidP="008049BF">
      <w:pPr>
        <w:spacing w:line="240" w:lineRule="auto"/>
        <w:rPr>
          <w:rFonts w:ascii="Times New Roman" w:eastAsia="Times New Roman" w:hAnsi="Times New Roman" w:cs="Times New Roman"/>
          <w:sz w:val="24"/>
          <w:szCs w:val="24"/>
          <w:lang w:val="en-GB" w:eastAsia="en-GB"/>
        </w:rPr>
      </w:pPr>
      <w:r w:rsidRPr="008049BF">
        <w:rPr>
          <w:rFonts w:ascii="Calibri" w:eastAsia="Times New Roman" w:hAnsi="Calibri" w:cs="Times New Roman"/>
          <w:color w:val="000000"/>
          <w:sz w:val="27"/>
          <w:szCs w:val="27"/>
          <w:shd w:val="clear" w:color="auto" w:fill="FFFFFF"/>
          <w:lang w:val="en-GB" w:eastAsia="en-GB"/>
        </w:rPr>
        <w:t>Visitors, Researchers and Coloniality at the Museum</w:t>
      </w:r>
    </w:p>
    <w:p w14:paraId="0BD4BA34" w14:textId="77777777" w:rsidR="00980B41" w:rsidRPr="006974E9" w:rsidRDefault="00980B41">
      <w:pPr>
        <w:pStyle w:val="Normal1"/>
        <w:jc w:val="both"/>
        <w:rPr>
          <w:rFonts w:ascii="Calibri" w:hAnsi="Calibri"/>
          <w:b/>
          <w:lang w:val="en-GB"/>
        </w:rPr>
      </w:pPr>
    </w:p>
    <w:p w14:paraId="7AF81A41" w14:textId="46369BAB" w:rsidR="00980B41" w:rsidRPr="006974E9" w:rsidRDefault="006F7E8F">
      <w:pPr>
        <w:pStyle w:val="Normal1"/>
        <w:jc w:val="both"/>
        <w:rPr>
          <w:rFonts w:ascii="Calibri" w:hAnsi="Calibri"/>
          <w:highlight w:val="white"/>
          <w:lang w:val="en-GB"/>
        </w:rPr>
      </w:pPr>
      <w:r>
        <w:rPr>
          <w:rFonts w:ascii="Calibri" w:hAnsi="Calibri"/>
          <w:lang w:val="en-GB"/>
        </w:rPr>
        <w:t>When r</w:t>
      </w:r>
      <w:r w:rsidR="001A2450">
        <w:rPr>
          <w:rFonts w:ascii="Calibri" w:hAnsi="Calibri"/>
          <w:lang w:val="en-GB"/>
        </w:rPr>
        <w:t xml:space="preserve">esearching museums as sites </w:t>
      </w:r>
      <w:r w:rsidR="008D59D5" w:rsidRPr="006974E9">
        <w:rPr>
          <w:rFonts w:ascii="Calibri" w:hAnsi="Calibri"/>
          <w:lang w:val="en-GB"/>
        </w:rPr>
        <w:t>of international politi</w:t>
      </w:r>
      <w:r w:rsidR="006E3443" w:rsidRPr="006974E9">
        <w:rPr>
          <w:rFonts w:ascii="Calibri" w:hAnsi="Calibri"/>
          <w:lang w:val="en-GB"/>
        </w:rPr>
        <w:t>cs we</w:t>
      </w:r>
      <w:r w:rsidR="001A2450">
        <w:rPr>
          <w:rFonts w:ascii="Calibri" w:hAnsi="Calibri"/>
          <w:lang w:val="en-GB"/>
        </w:rPr>
        <w:t xml:space="preserve"> have</w:t>
      </w:r>
      <w:r w:rsidR="006E3443" w:rsidRPr="006974E9">
        <w:rPr>
          <w:rFonts w:ascii="Calibri" w:hAnsi="Calibri"/>
          <w:lang w:val="en-GB"/>
        </w:rPr>
        <w:t xml:space="preserve"> pa</w:t>
      </w:r>
      <w:r w:rsidR="001A2450">
        <w:rPr>
          <w:rFonts w:ascii="Calibri" w:hAnsi="Calibri"/>
          <w:lang w:val="en-GB"/>
        </w:rPr>
        <w:t>id</w:t>
      </w:r>
      <w:r w:rsidR="006E3443" w:rsidRPr="006974E9">
        <w:rPr>
          <w:rFonts w:ascii="Calibri" w:hAnsi="Calibri"/>
          <w:lang w:val="en-GB"/>
        </w:rPr>
        <w:t xml:space="preserve"> attention to</w:t>
      </w:r>
      <w:r w:rsidR="008D59D5" w:rsidRPr="006974E9">
        <w:rPr>
          <w:rFonts w:ascii="Calibri" w:hAnsi="Calibri"/>
          <w:lang w:val="en-GB"/>
        </w:rPr>
        <w:t xml:space="preserve"> </w:t>
      </w:r>
      <w:r w:rsidR="00071E6E">
        <w:rPr>
          <w:rFonts w:ascii="Calibri" w:hAnsi="Calibri"/>
          <w:lang w:val="en-GB"/>
        </w:rPr>
        <w:t xml:space="preserve">a range of elements. These include the </w:t>
      </w:r>
      <w:r w:rsidR="008D59D5" w:rsidRPr="006974E9">
        <w:rPr>
          <w:rFonts w:ascii="Calibri" w:hAnsi="Calibri"/>
          <w:highlight w:val="white"/>
          <w:lang w:val="en-GB"/>
        </w:rPr>
        <w:t>institutional arrangement</w:t>
      </w:r>
      <w:r w:rsidR="006E3443" w:rsidRPr="006974E9">
        <w:rPr>
          <w:rFonts w:ascii="Calibri" w:hAnsi="Calibri"/>
          <w:highlight w:val="white"/>
          <w:lang w:val="en-GB"/>
        </w:rPr>
        <w:t>s</w:t>
      </w:r>
      <w:r w:rsidR="008D59D5" w:rsidRPr="006974E9">
        <w:rPr>
          <w:rFonts w:ascii="Calibri" w:hAnsi="Calibri"/>
          <w:highlight w:val="white"/>
          <w:lang w:val="en-GB"/>
        </w:rPr>
        <w:t xml:space="preserve"> </w:t>
      </w:r>
      <w:r w:rsidR="00071E6E">
        <w:rPr>
          <w:rFonts w:ascii="Calibri" w:hAnsi="Calibri"/>
          <w:highlight w:val="white"/>
          <w:lang w:val="en-GB"/>
        </w:rPr>
        <w:t xml:space="preserve">of the particular museum </w:t>
      </w:r>
      <w:r w:rsidR="008D59D5" w:rsidRPr="006974E9">
        <w:rPr>
          <w:rFonts w:ascii="Calibri" w:hAnsi="Calibri"/>
          <w:highlight w:val="white"/>
          <w:lang w:val="en-GB"/>
        </w:rPr>
        <w:t xml:space="preserve">(funding, mission objectives, state relations), </w:t>
      </w:r>
      <w:r w:rsidR="00071E6E">
        <w:rPr>
          <w:rFonts w:ascii="Calibri" w:hAnsi="Calibri"/>
          <w:highlight w:val="white"/>
          <w:lang w:val="en-GB"/>
        </w:rPr>
        <w:t xml:space="preserve">approaches to </w:t>
      </w:r>
      <w:r w:rsidR="008D59D5" w:rsidRPr="006974E9">
        <w:rPr>
          <w:rFonts w:ascii="Calibri" w:hAnsi="Calibri"/>
          <w:highlight w:val="white"/>
          <w:lang w:val="en-GB"/>
        </w:rPr>
        <w:t xml:space="preserve">curation (archival practices, exhibition rationale), specific exhibitions (objects, floor plans), and the </w:t>
      </w:r>
      <w:r w:rsidR="00071E6E">
        <w:rPr>
          <w:rFonts w:ascii="Calibri" w:hAnsi="Calibri"/>
          <w:highlight w:val="white"/>
          <w:lang w:val="en-GB"/>
        </w:rPr>
        <w:t xml:space="preserve">interactions, </w:t>
      </w:r>
      <w:r w:rsidR="008D59D5" w:rsidRPr="006974E9">
        <w:rPr>
          <w:rFonts w:ascii="Calibri" w:hAnsi="Calibri"/>
          <w:highlight w:val="white"/>
          <w:lang w:val="en-GB"/>
        </w:rPr>
        <w:t>emotions, feelings, and experiences</w:t>
      </w:r>
      <w:r w:rsidR="00445793" w:rsidRPr="006974E9">
        <w:rPr>
          <w:rFonts w:ascii="Calibri" w:hAnsi="Calibri"/>
          <w:highlight w:val="white"/>
          <w:lang w:val="en-GB"/>
        </w:rPr>
        <w:t xml:space="preserve"> of visitors. We might examine </w:t>
      </w:r>
      <w:r w:rsidR="008D59D5" w:rsidRPr="006974E9">
        <w:rPr>
          <w:rFonts w:ascii="Calibri" w:hAnsi="Calibri"/>
          <w:highlight w:val="white"/>
          <w:lang w:val="en-GB"/>
        </w:rPr>
        <w:t xml:space="preserve">how a museum is spatially </w:t>
      </w:r>
      <w:r w:rsidR="00445793" w:rsidRPr="006974E9">
        <w:rPr>
          <w:rFonts w:ascii="Calibri" w:hAnsi="Calibri"/>
          <w:highlight w:val="white"/>
          <w:lang w:val="en-GB"/>
        </w:rPr>
        <w:t xml:space="preserve">and sensorily </w:t>
      </w:r>
      <w:r w:rsidR="008D59D5" w:rsidRPr="006974E9">
        <w:rPr>
          <w:rFonts w:ascii="Calibri" w:hAnsi="Calibri"/>
          <w:highlight w:val="white"/>
          <w:lang w:val="en-GB"/>
        </w:rPr>
        <w:t xml:space="preserve">arranged, how objects, video installations and soundscapes are used within and configure the exhibits, how routes and journeys are scripted through the space, how visitors are invited to and do engage, both in the designated context of the ‘interactive exhibit’ and more generally. We might trace the stories about the world that are told in and through the museum, and the ways in which visitors are invited to be, to fit, and to be a part (or otherwise) within these stories. The museum fieldwork that we discuss in this article, and that </w:t>
      </w:r>
      <w:r w:rsidR="008D59D5" w:rsidRPr="006974E9">
        <w:rPr>
          <w:rFonts w:ascii="Calibri" w:hAnsi="Calibri"/>
          <w:lang w:val="en-GB"/>
        </w:rPr>
        <w:t>has been a wider feature of our respective work, has paid attention to these aspects of the museum space through a combination of research practices that fall, sometimes fairly loosely, into the categories of auto</w:t>
      </w:r>
      <w:r w:rsidR="003442BC">
        <w:rPr>
          <w:rFonts w:ascii="Calibri" w:hAnsi="Calibri"/>
          <w:lang w:val="en-GB"/>
        </w:rPr>
        <w:t>-</w:t>
      </w:r>
      <w:r w:rsidR="008D59D5" w:rsidRPr="006974E9">
        <w:rPr>
          <w:rFonts w:ascii="Calibri" w:hAnsi="Calibri"/>
          <w:lang w:val="en-GB"/>
        </w:rPr>
        <w:t xml:space="preserve">/ethnography, observation, discourse analysis, informal conversations and more formalised interviews. Photographs are typically taken along with written notes and, depending on the museum, we might come away with </w:t>
      </w:r>
      <w:r w:rsidR="00445793" w:rsidRPr="006974E9">
        <w:rPr>
          <w:rFonts w:ascii="Calibri" w:hAnsi="Calibri"/>
          <w:lang w:val="en-GB"/>
        </w:rPr>
        <w:t>a collection of objects such as</w:t>
      </w:r>
      <w:r w:rsidR="008D59D5" w:rsidRPr="006974E9">
        <w:rPr>
          <w:rFonts w:ascii="Calibri" w:hAnsi="Calibri"/>
          <w:lang w:val="en-GB"/>
        </w:rPr>
        <w:t xml:space="preserve"> leaflets for educational trails around the site or souvenirs from the sho</w:t>
      </w:r>
      <w:r w:rsidR="00DC057B">
        <w:rPr>
          <w:rFonts w:ascii="Calibri" w:hAnsi="Calibri"/>
          <w:lang w:val="en-GB"/>
        </w:rPr>
        <w:t>p (such objects often exemplify the stories that are told through the museum’s curatorial strategies whilst also being the focus of orchestrated interaction between the visitor and the museum space).</w:t>
      </w:r>
      <w:r w:rsidR="003500E4" w:rsidRPr="006974E9" w:rsidDel="003500E4">
        <w:rPr>
          <w:rFonts w:ascii="Calibri" w:hAnsi="Calibri"/>
          <w:lang w:val="en-GB"/>
        </w:rPr>
        <w:t xml:space="preserve"> </w:t>
      </w:r>
      <w:r w:rsidR="00DC057B">
        <w:rPr>
          <w:rFonts w:ascii="Calibri" w:hAnsi="Calibri"/>
          <w:lang w:val="en-GB"/>
        </w:rPr>
        <w:t>D</w:t>
      </w:r>
      <w:r w:rsidR="006A303B">
        <w:rPr>
          <w:rFonts w:ascii="Calibri" w:hAnsi="Calibri"/>
          <w:lang w:val="en-GB"/>
        </w:rPr>
        <w:t>epending on</w:t>
      </w:r>
      <w:r w:rsidR="002D7E38">
        <w:rPr>
          <w:rFonts w:ascii="Calibri" w:hAnsi="Calibri"/>
          <w:lang w:val="en-GB"/>
        </w:rPr>
        <w:t xml:space="preserve"> the size of the museum and practical</w:t>
      </w:r>
      <w:r w:rsidR="003E2A06">
        <w:rPr>
          <w:rFonts w:ascii="Calibri" w:hAnsi="Calibri"/>
          <w:lang w:val="en-GB"/>
        </w:rPr>
        <w:t xml:space="preserve"> </w:t>
      </w:r>
      <w:r w:rsidR="00393837">
        <w:rPr>
          <w:rFonts w:ascii="Calibri" w:hAnsi="Calibri"/>
          <w:lang w:val="en-GB"/>
        </w:rPr>
        <w:t xml:space="preserve">considerations </w:t>
      </w:r>
      <w:r w:rsidR="003E2A06">
        <w:rPr>
          <w:rFonts w:ascii="Calibri" w:hAnsi="Calibri"/>
          <w:lang w:val="en-GB"/>
        </w:rPr>
        <w:t>we will</w:t>
      </w:r>
      <w:r w:rsidR="002D7E38">
        <w:rPr>
          <w:rFonts w:ascii="Calibri" w:hAnsi="Calibri"/>
          <w:lang w:val="en-GB"/>
        </w:rPr>
        <w:t xml:space="preserve"> s</w:t>
      </w:r>
      <w:r w:rsidR="008D59D5" w:rsidRPr="006974E9">
        <w:rPr>
          <w:rFonts w:ascii="Calibri" w:hAnsi="Calibri"/>
          <w:lang w:val="en-GB"/>
        </w:rPr>
        <w:t xml:space="preserve">ometimes </w:t>
      </w:r>
      <w:r w:rsidR="003E2A06">
        <w:rPr>
          <w:rFonts w:ascii="Calibri" w:hAnsi="Calibri"/>
          <w:lang w:val="en-GB"/>
        </w:rPr>
        <w:t xml:space="preserve">encounter </w:t>
      </w:r>
      <w:r w:rsidR="008D59D5" w:rsidRPr="006974E9">
        <w:rPr>
          <w:rFonts w:ascii="Calibri" w:hAnsi="Calibri"/>
          <w:lang w:val="en-GB"/>
        </w:rPr>
        <w:t>a</w:t>
      </w:r>
      <w:r w:rsidR="002D7E38">
        <w:rPr>
          <w:rFonts w:ascii="Calibri" w:hAnsi="Calibri"/>
          <w:lang w:val="en-GB"/>
        </w:rPr>
        <w:t xml:space="preserve"> museum</w:t>
      </w:r>
      <w:r w:rsidR="0020614A">
        <w:rPr>
          <w:rFonts w:ascii="Calibri" w:hAnsi="Calibri"/>
          <w:lang w:val="en-GB"/>
        </w:rPr>
        <w:t xml:space="preserve"> over a single day and </w:t>
      </w:r>
      <w:r w:rsidR="008D59D5" w:rsidRPr="006974E9">
        <w:rPr>
          <w:rFonts w:ascii="Calibri" w:hAnsi="Calibri"/>
          <w:lang w:val="en-GB"/>
        </w:rPr>
        <w:t>sometimes over several.</w:t>
      </w:r>
      <w:r w:rsidR="00393837">
        <w:rPr>
          <w:rFonts w:ascii="Calibri" w:hAnsi="Calibri"/>
          <w:lang w:val="en-GB"/>
        </w:rPr>
        <w:t xml:space="preserve"> The museum’s website and associated websites such as Trip Advisor provide additional material. </w:t>
      </w:r>
      <w:r w:rsidR="00E836CC">
        <w:rPr>
          <w:rFonts w:ascii="Calibri" w:hAnsi="Calibri"/>
          <w:lang w:val="en-GB"/>
        </w:rPr>
        <w:t>The strategy</w:t>
      </w:r>
      <w:r w:rsidR="00393837">
        <w:rPr>
          <w:rFonts w:ascii="Calibri" w:hAnsi="Calibri"/>
          <w:lang w:val="en-GB"/>
        </w:rPr>
        <w:t xml:space="preserve"> outlined here has much in common with Audrey Reeves’ </w:t>
      </w:r>
      <w:r w:rsidR="00A96F42">
        <w:rPr>
          <w:rFonts w:ascii="Calibri" w:hAnsi="Calibri"/>
          <w:lang w:val="en-GB"/>
        </w:rPr>
        <w:t xml:space="preserve">auto-ethnographic approach to museums. In this approach the researcher is immersed in the social environment that they are studying </w:t>
      </w:r>
      <w:r w:rsidR="00253B8F">
        <w:rPr>
          <w:rFonts w:ascii="Calibri" w:hAnsi="Calibri"/>
          <w:lang w:val="en-GB"/>
        </w:rPr>
        <w:t>with a particular attention being paid to the affective experiences generated within the museum setting</w:t>
      </w:r>
      <w:r w:rsidR="00253B8F">
        <w:rPr>
          <w:rStyle w:val="FootnoteReference"/>
          <w:rFonts w:ascii="Calibri" w:hAnsi="Calibri"/>
          <w:lang w:val="en-GB"/>
        </w:rPr>
        <w:footnoteReference w:id="17"/>
      </w:r>
      <w:r w:rsidR="00FD6EF9">
        <w:rPr>
          <w:rFonts w:ascii="Calibri" w:hAnsi="Calibri"/>
          <w:lang w:val="en-GB"/>
        </w:rPr>
        <w:t>.</w:t>
      </w:r>
      <w:r w:rsidR="008D59D5" w:rsidRPr="006974E9">
        <w:rPr>
          <w:rFonts w:ascii="Calibri" w:hAnsi="Calibri"/>
          <w:lang w:val="en-GB"/>
        </w:rPr>
        <w:t xml:space="preserve"> </w:t>
      </w:r>
      <w:r w:rsidR="00317FCD">
        <w:rPr>
          <w:rFonts w:ascii="Calibri" w:hAnsi="Calibri"/>
          <w:lang w:val="en-GB"/>
        </w:rPr>
        <w:t xml:space="preserve">The strategy </w:t>
      </w:r>
      <w:r w:rsidR="005A2243">
        <w:rPr>
          <w:rFonts w:ascii="Calibri" w:hAnsi="Calibri"/>
          <w:lang w:val="en-GB"/>
        </w:rPr>
        <w:t xml:space="preserve"> </w:t>
      </w:r>
      <w:r w:rsidR="004570A0">
        <w:rPr>
          <w:rFonts w:ascii="Calibri" w:hAnsi="Calibri"/>
          <w:lang w:val="en-GB"/>
        </w:rPr>
        <w:t xml:space="preserve">can also be understood as </w:t>
      </w:r>
      <w:r w:rsidR="00371F69">
        <w:rPr>
          <w:rFonts w:ascii="Calibri" w:hAnsi="Calibri"/>
          <w:lang w:val="en-GB"/>
        </w:rPr>
        <w:t xml:space="preserve">an example of </w:t>
      </w:r>
      <w:r w:rsidR="004570A0">
        <w:rPr>
          <w:rFonts w:ascii="Calibri" w:hAnsi="Calibri"/>
          <w:lang w:val="en-GB"/>
        </w:rPr>
        <w:t>what Debbie Lisle describes as ‘site specific ethnography’</w:t>
      </w:r>
      <w:r w:rsidR="004570A0">
        <w:rPr>
          <w:rStyle w:val="FootnoteReference"/>
          <w:rFonts w:ascii="Calibri" w:hAnsi="Calibri"/>
          <w:lang w:val="en-GB"/>
        </w:rPr>
        <w:footnoteReference w:id="18"/>
      </w:r>
      <w:r w:rsidR="00371F69">
        <w:rPr>
          <w:rFonts w:ascii="Calibri" w:hAnsi="Calibri"/>
          <w:lang w:val="en-GB"/>
        </w:rPr>
        <w:t>.</w:t>
      </w:r>
    </w:p>
    <w:p w14:paraId="1B1426C0" w14:textId="77777777" w:rsidR="00980B41" w:rsidRPr="006974E9" w:rsidRDefault="00980B41">
      <w:pPr>
        <w:pStyle w:val="Normal1"/>
        <w:jc w:val="both"/>
        <w:rPr>
          <w:rFonts w:ascii="Calibri" w:hAnsi="Calibri"/>
          <w:highlight w:val="white"/>
          <w:lang w:val="en-GB"/>
        </w:rPr>
      </w:pPr>
    </w:p>
    <w:p w14:paraId="6F1F6665" w14:textId="7C7186BD" w:rsidR="00980B41" w:rsidRPr="006974E9" w:rsidRDefault="006E3443">
      <w:pPr>
        <w:pStyle w:val="Normal1"/>
        <w:jc w:val="both"/>
        <w:rPr>
          <w:rFonts w:ascii="Calibri" w:hAnsi="Calibri"/>
          <w:lang w:val="en-GB"/>
        </w:rPr>
      </w:pPr>
      <w:r w:rsidRPr="006974E9">
        <w:rPr>
          <w:rFonts w:ascii="Calibri" w:hAnsi="Calibri"/>
          <w:lang w:val="en-GB"/>
        </w:rPr>
        <w:t>Speaking</w:t>
      </w:r>
      <w:r w:rsidR="00E05E09">
        <w:rPr>
          <w:rFonts w:ascii="Calibri" w:hAnsi="Calibri"/>
          <w:lang w:val="en-GB"/>
        </w:rPr>
        <w:t xml:space="preserve"> as we have</w:t>
      </w:r>
      <w:r w:rsidRPr="006974E9">
        <w:rPr>
          <w:rFonts w:ascii="Calibri" w:hAnsi="Calibri"/>
          <w:lang w:val="en-GB"/>
        </w:rPr>
        <w:t xml:space="preserve"> of</w:t>
      </w:r>
      <w:r w:rsidR="008D59D5" w:rsidRPr="006974E9">
        <w:rPr>
          <w:rFonts w:ascii="Calibri" w:hAnsi="Calibri"/>
          <w:lang w:val="en-GB"/>
        </w:rPr>
        <w:t xml:space="preserve"> ‘the museum’ as a site, and people’s encounters</w:t>
      </w:r>
      <w:r w:rsidR="00375DD3" w:rsidRPr="006974E9">
        <w:rPr>
          <w:rFonts w:ascii="Calibri" w:hAnsi="Calibri"/>
          <w:lang w:val="en-GB"/>
        </w:rPr>
        <w:t xml:space="preserve"> with it</w:t>
      </w:r>
      <w:r w:rsidR="008D59D5" w:rsidRPr="006974E9">
        <w:rPr>
          <w:rFonts w:ascii="Calibri" w:hAnsi="Calibri"/>
          <w:lang w:val="en-GB"/>
        </w:rPr>
        <w:t xml:space="preserve">, </w:t>
      </w:r>
      <w:r w:rsidRPr="006974E9">
        <w:rPr>
          <w:rFonts w:ascii="Calibri" w:hAnsi="Calibri"/>
          <w:lang w:val="en-GB"/>
        </w:rPr>
        <w:t xml:space="preserve">risks </w:t>
      </w:r>
      <w:r w:rsidR="008D59D5" w:rsidRPr="006974E9">
        <w:rPr>
          <w:rFonts w:ascii="Calibri" w:hAnsi="Calibri"/>
          <w:lang w:val="en-GB"/>
        </w:rPr>
        <w:t>suggesting a homogeneity that does not exist</w:t>
      </w:r>
      <w:r w:rsidR="003442BC">
        <w:rPr>
          <w:rFonts w:ascii="Calibri" w:hAnsi="Calibri"/>
          <w:lang w:val="en-GB"/>
        </w:rPr>
        <w:t>.</w:t>
      </w:r>
      <w:r w:rsidR="008D59D5" w:rsidRPr="006974E9">
        <w:rPr>
          <w:rFonts w:ascii="Calibri" w:hAnsi="Calibri"/>
          <w:lang w:val="en-GB"/>
        </w:rPr>
        <w:t xml:space="preserve"> </w:t>
      </w:r>
      <w:r w:rsidR="003442BC">
        <w:rPr>
          <w:rFonts w:ascii="Calibri" w:hAnsi="Calibri"/>
          <w:lang w:val="en-GB"/>
        </w:rPr>
        <w:t>M</w:t>
      </w:r>
      <w:r w:rsidR="008D59D5" w:rsidRPr="006974E9">
        <w:rPr>
          <w:rFonts w:ascii="Calibri" w:hAnsi="Calibri"/>
          <w:lang w:val="en-GB"/>
        </w:rPr>
        <w:t>useum</w:t>
      </w:r>
      <w:r w:rsidR="00445793" w:rsidRPr="006974E9">
        <w:rPr>
          <w:rFonts w:ascii="Calibri" w:hAnsi="Calibri"/>
          <w:lang w:val="en-GB"/>
        </w:rPr>
        <w:t xml:space="preserve">s are diverse, </w:t>
      </w:r>
      <w:r w:rsidR="008D59D5" w:rsidRPr="006974E9">
        <w:rPr>
          <w:rFonts w:ascii="Calibri" w:hAnsi="Calibri"/>
          <w:lang w:val="en-GB"/>
        </w:rPr>
        <w:t>com</w:t>
      </w:r>
      <w:r w:rsidR="00375DD3" w:rsidRPr="006974E9">
        <w:rPr>
          <w:rFonts w:ascii="Calibri" w:hAnsi="Calibri"/>
          <w:lang w:val="en-GB"/>
        </w:rPr>
        <w:t>prised of many elements and</w:t>
      </w:r>
      <w:r w:rsidR="008D59D5" w:rsidRPr="006974E9">
        <w:rPr>
          <w:rFonts w:ascii="Calibri" w:hAnsi="Calibri"/>
          <w:lang w:val="en-GB"/>
        </w:rPr>
        <w:t xml:space="preserve"> can be many things.</w:t>
      </w:r>
      <w:r w:rsidR="008D59D5" w:rsidRPr="006974E9">
        <w:rPr>
          <w:rFonts w:ascii="Calibri" w:hAnsi="Calibri"/>
          <w:vertAlign w:val="superscript"/>
          <w:lang w:val="en-GB"/>
        </w:rPr>
        <w:footnoteReference w:id="19"/>
      </w:r>
      <w:r w:rsidR="008D59D5" w:rsidRPr="006974E9">
        <w:rPr>
          <w:rFonts w:ascii="Calibri" w:hAnsi="Calibri"/>
          <w:lang w:val="en-GB"/>
        </w:rPr>
        <w:t xml:space="preserve"> People relate to, or are excluded from, the museum space in many different ways. Our approach and analysis has been generated in the context of research at British museums, and we are two white British academics. We both grew up in the U</w:t>
      </w:r>
      <w:r w:rsidR="003442BC">
        <w:rPr>
          <w:rFonts w:ascii="Calibri" w:hAnsi="Calibri"/>
          <w:lang w:val="en-GB"/>
        </w:rPr>
        <w:t xml:space="preserve">nited </w:t>
      </w:r>
      <w:r w:rsidR="008D59D5" w:rsidRPr="006974E9">
        <w:rPr>
          <w:rFonts w:ascii="Calibri" w:hAnsi="Calibri"/>
          <w:lang w:val="en-GB"/>
        </w:rPr>
        <w:t>K</w:t>
      </w:r>
      <w:r w:rsidR="003442BC">
        <w:rPr>
          <w:rFonts w:ascii="Calibri" w:hAnsi="Calibri"/>
          <w:lang w:val="en-GB"/>
        </w:rPr>
        <w:t>ingdom</w:t>
      </w:r>
      <w:r w:rsidR="008D59D5" w:rsidRPr="006974E9">
        <w:rPr>
          <w:rFonts w:ascii="Calibri" w:hAnsi="Calibri"/>
          <w:lang w:val="en-GB"/>
        </w:rPr>
        <w:t xml:space="preserve"> and </w:t>
      </w:r>
      <w:r w:rsidR="00760BCA" w:rsidRPr="006974E9">
        <w:rPr>
          <w:rFonts w:ascii="Calibri" w:hAnsi="Calibri"/>
          <w:lang w:val="en-GB"/>
        </w:rPr>
        <w:t xml:space="preserve">like many other British kids </w:t>
      </w:r>
      <w:r w:rsidR="008D59D5" w:rsidRPr="006974E9">
        <w:rPr>
          <w:rFonts w:ascii="Calibri" w:hAnsi="Calibri"/>
          <w:lang w:val="en-GB"/>
        </w:rPr>
        <w:t>experienced our earliest encounters with the museum as simultaneously fun, dull, recreational, touristic and educational. We ha</w:t>
      </w:r>
      <w:r w:rsidR="002D512C">
        <w:rPr>
          <w:rFonts w:ascii="Calibri" w:hAnsi="Calibri"/>
          <w:lang w:val="en-GB"/>
        </w:rPr>
        <w:t>d</w:t>
      </w:r>
      <w:r w:rsidR="008D59D5" w:rsidRPr="006974E9">
        <w:rPr>
          <w:rFonts w:ascii="Calibri" w:hAnsi="Calibri"/>
          <w:lang w:val="en-GB"/>
        </w:rPr>
        <w:t xml:space="preserve"> been going to museums our whole lives before we began to encounter them consciously as a researc</w:t>
      </w:r>
      <w:r w:rsidR="003D0045" w:rsidRPr="006974E9">
        <w:rPr>
          <w:rFonts w:ascii="Calibri" w:hAnsi="Calibri"/>
          <w:lang w:val="en-GB"/>
        </w:rPr>
        <w:t xml:space="preserve">h site. </w:t>
      </w:r>
      <w:r w:rsidR="00F92131">
        <w:rPr>
          <w:rFonts w:ascii="Calibri" w:hAnsi="Calibri"/>
          <w:lang w:val="en-GB"/>
        </w:rPr>
        <w:t>As Reeves notes, the point of foregrounding the researcher is not to make the researcher the object of analysis, rather the ‘self’ of the researcher – including such things as the positionalities we refer to here – functions as a resource</w:t>
      </w:r>
      <w:r w:rsidR="00F92131">
        <w:rPr>
          <w:rStyle w:val="FootnoteReference"/>
          <w:rFonts w:ascii="Calibri" w:hAnsi="Calibri"/>
          <w:lang w:val="en-GB"/>
        </w:rPr>
        <w:footnoteReference w:id="20"/>
      </w:r>
      <w:r w:rsidR="00F92131">
        <w:rPr>
          <w:rFonts w:ascii="Calibri" w:hAnsi="Calibri"/>
          <w:lang w:val="en-GB"/>
        </w:rPr>
        <w:t xml:space="preserve"> </w:t>
      </w:r>
      <w:r w:rsidR="003D0045" w:rsidRPr="006974E9">
        <w:rPr>
          <w:rFonts w:ascii="Calibri" w:hAnsi="Calibri"/>
          <w:lang w:val="en-GB"/>
        </w:rPr>
        <w:t xml:space="preserve">Different contexts </w:t>
      </w:r>
      <w:r w:rsidR="008D59D5" w:rsidRPr="006974E9">
        <w:rPr>
          <w:rFonts w:ascii="Calibri" w:hAnsi="Calibri"/>
          <w:lang w:val="en-GB"/>
        </w:rPr>
        <w:t xml:space="preserve">call for different approaches; it is not our aim to create </w:t>
      </w:r>
      <w:r w:rsidR="00D937E3">
        <w:rPr>
          <w:rFonts w:ascii="Calibri" w:hAnsi="Calibri"/>
          <w:lang w:val="en-GB"/>
        </w:rPr>
        <w:t>a</w:t>
      </w:r>
      <w:r w:rsidR="00D937E3" w:rsidRPr="006974E9">
        <w:rPr>
          <w:rFonts w:ascii="Calibri" w:hAnsi="Calibri"/>
          <w:lang w:val="en-GB"/>
        </w:rPr>
        <w:t xml:space="preserve"> </w:t>
      </w:r>
      <w:r w:rsidR="008D59D5" w:rsidRPr="006974E9">
        <w:rPr>
          <w:rFonts w:ascii="Calibri" w:hAnsi="Calibri"/>
          <w:lang w:val="en-GB"/>
        </w:rPr>
        <w:t xml:space="preserve">universal template that </w:t>
      </w:r>
      <w:r w:rsidR="00473D59">
        <w:rPr>
          <w:rFonts w:ascii="Calibri" w:hAnsi="Calibri"/>
          <w:lang w:val="en-GB"/>
        </w:rPr>
        <w:t>can</w:t>
      </w:r>
      <w:r w:rsidR="008D59D5" w:rsidRPr="006974E9">
        <w:rPr>
          <w:rFonts w:ascii="Calibri" w:hAnsi="Calibri"/>
          <w:lang w:val="en-GB"/>
        </w:rPr>
        <w:t xml:space="preserve"> be identically applied to any museum anywhere by everyone. However, we s</w:t>
      </w:r>
      <w:r w:rsidR="00ED0DC5" w:rsidRPr="006974E9">
        <w:rPr>
          <w:rFonts w:ascii="Calibri" w:hAnsi="Calibri"/>
          <w:lang w:val="en-GB"/>
        </w:rPr>
        <w:t xml:space="preserve">uggest in the rest of this article that an attention to </w:t>
      </w:r>
      <w:r w:rsidR="000109D4">
        <w:rPr>
          <w:rFonts w:ascii="Calibri" w:hAnsi="Calibri"/>
          <w:lang w:val="en-GB"/>
        </w:rPr>
        <w:t>the e</w:t>
      </w:r>
      <w:r w:rsidR="008D59D5" w:rsidRPr="006974E9">
        <w:rPr>
          <w:rFonts w:ascii="Calibri" w:hAnsi="Calibri"/>
          <w:lang w:val="en-GB"/>
        </w:rPr>
        <w:t>xisting fa</w:t>
      </w:r>
      <w:r w:rsidR="00ED0DC5" w:rsidRPr="006974E9">
        <w:rPr>
          <w:rFonts w:ascii="Calibri" w:hAnsi="Calibri"/>
          <w:lang w:val="en-GB"/>
        </w:rPr>
        <w:t xml:space="preserve">miliarities </w:t>
      </w:r>
      <w:r w:rsidR="000109D4">
        <w:rPr>
          <w:rFonts w:ascii="Calibri" w:hAnsi="Calibri"/>
          <w:lang w:val="en-GB"/>
        </w:rPr>
        <w:t xml:space="preserve">that researchers might have </w:t>
      </w:r>
      <w:r w:rsidR="00ED0DC5" w:rsidRPr="006974E9">
        <w:rPr>
          <w:rFonts w:ascii="Calibri" w:hAnsi="Calibri"/>
          <w:lang w:val="en-GB"/>
        </w:rPr>
        <w:t>with museums and</w:t>
      </w:r>
      <w:r w:rsidR="008D59D5" w:rsidRPr="006974E9">
        <w:rPr>
          <w:rFonts w:ascii="Calibri" w:hAnsi="Calibri"/>
          <w:lang w:val="en-GB"/>
        </w:rPr>
        <w:t xml:space="preserve"> ways in which </w:t>
      </w:r>
      <w:r w:rsidR="000109D4">
        <w:rPr>
          <w:rFonts w:ascii="Calibri" w:hAnsi="Calibri"/>
          <w:lang w:val="en-GB"/>
        </w:rPr>
        <w:t>they</w:t>
      </w:r>
      <w:r w:rsidR="008D59D5" w:rsidRPr="006974E9">
        <w:rPr>
          <w:rFonts w:ascii="Calibri" w:hAnsi="Calibri"/>
          <w:lang w:val="en-GB"/>
        </w:rPr>
        <w:t xml:space="preserve"> might already be intimately connected to them, a reflexive attention to positionality, and a broader analysis of intimacy can be useful across museum sites. </w:t>
      </w:r>
    </w:p>
    <w:p w14:paraId="22A817F2" w14:textId="77777777" w:rsidR="00980B41" w:rsidRPr="006974E9" w:rsidRDefault="00980B41">
      <w:pPr>
        <w:pStyle w:val="Normal1"/>
        <w:jc w:val="both"/>
        <w:rPr>
          <w:rFonts w:ascii="Calibri" w:hAnsi="Calibri"/>
          <w:b/>
          <w:lang w:val="en-GB"/>
        </w:rPr>
      </w:pPr>
    </w:p>
    <w:p w14:paraId="25AB5E15" w14:textId="5339CB83" w:rsidR="00980B41" w:rsidRPr="006974E9" w:rsidRDefault="008D59D5" w:rsidP="009712CB">
      <w:pPr>
        <w:pStyle w:val="Normal1"/>
        <w:jc w:val="both"/>
        <w:rPr>
          <w:rFonts w:ascii="Calibri" w:hAnsi="Calibri"/>
          <w:lang w:val="en-GB"/>
        </w:rPr>
      </w:pPr>
      <w:r w:rsidRPr="006974E9">
        <w:rPr>
          <w:rFonts w:ascii="Calibri" w:hAnsi="Calibri"/>
          <w:lang w:val="en-GB"/>
        </w:rPr>
        <w:lastRenderedPageBreak/>
        <w:t xml:space="preserve">Museums are increasingly viewed </w:t>
      </w:r>
      <w:r w:rsidR="00B54AC9">
        <w:rPr>
          <w:rFonts w:ascii="Calibri" w:hAnsi="Calibri"/>
          <w:lang w:val="en-GB"/>
        </w:rPr>
        <w:t xml:space="preserve">within IR </w:t>
      </w:r>
      <w:r w:rsidRPr="006974E9">
        <w:rPr>
          <w:rFonts w:ascii="Calibri" w:hAnsi="Calibri"/>
          <w:lang w:val="en-GB"/>
        </w:rPr>
        <w:t>as sites of international politics, not just as repositories of heritage but the active production and remaking of the international.</w:t>
      </w:r>
      <w:r w:rsidRPr="006974E9">
        <w:rPr>
          <w:rFonts w:ascii="Calibri" w:hAnsi="Calibri"/>
          <w:vertAlign w:val="superscript"/>
          <w:lang w:val="en-GB"/>
        </w:rPr>
        <w:footnoteReference w:id="21"/>
      </w:r>
      <w:r w:rsidRPr="006974E9">
        <w:rPr>
          <w:rFonts w:ascii="Calibri" w:hAnsi="Calibri"/>
          <w:lang w:val="en-GB"/>
        </w:rPr>
        <w:t xml:space="preserve"> Museums are places in which political processes, institutions, logics, myths and so on are reconstituted, stabilised and naturalised. The museum is a space of ‘everyday’ politics</w:t>
      </w:r>
      <w:r w:rsidR="00ED0DC5" w:rsidRPr="006974E9">
        <w:rPr>
          <w:rFonts w:ascii="Calibri" w:hAnsi="Calibri"/>
          <w:lang w:val="en-GB"/>
        </w:rPr>
        <w:t xml:space="preserve">: </w:t>
      </w:r>
      <w:r w:rsidR="0011787F">
        <w:rPr>
          <w:rFonts w:ascii="Calibri" w:hAnsi="Calibri"/>
          <w:lang w:val="en-GB"/>
        </w:rPr>
        <w:t xml:space="preserve">museums often functions </w:t>
      </w:r>
      <w:r w:rsidR="003C53F9">
        <w:rPr>
          <w:rFonts w:ascii="Calibri" w:hAnsi="Calibri"/>
          <w:lang w:val="en-GB"/>
        </w:rPr>
        <w:t>site</w:t>
      </w:r>
      <w:r w:rsidR="0011787F">
        <w:rPr>
          <w:rFonts w:ascii="Calibri" w:hAnsi="Calibri"/>
          <w:lang w:val="en-GB"/>
        </w:rPr>
        <w:t>s</w:t>
      </w:r>
      <w:r w:rsidR="003C53F9">
        <w:rPr>
          <w:rFonts w:ascii="Calibri" w:hAnsi="Calibri"/>
          <w:lang w:val="en-GB"/>
        </w:rPr>
        <w:t xml:space="preserve"> through which</w:t>
      </w:r>
      <w:r w:rsidR="005A41FD">
        <w:rPr>
          <w:rFonts w:ascii="Calibri" w:hAnsi="Calibri"/>
          <w:lang w:val="en-GB"/>
        </w:rPr>
        <w:t xml:space="preserve"> certain</w:t>
      </w:r>
      <w:r w:rsidR="0011787F">
        <w:rPr>
          <w:rFonts w:ascii="Calibri" w:hAnsi="Calibri"/>
          <w:lang w:val="en-GB"/>
        </w:rPr>
        <w:t xml:space="preserve"> people are invited to</w:t>
      </w:r>
      <w:r w:rsidR="003C53F9">
        <w:rPr>
          <w:rFonts w:ascii="Calibri" w:hAnsi="Calibri"/>
          <w:lang w:val="en-GB"/>
        </w:rPr>
        <w:t xml:space="preserve"> </w:t>
      </w:r>
      <w:r w:rsidRPr="006974E9">
        <w:rPr>
          <w:rFonts w:ascii="Calibri" w:hAnsi="Calibri"/>
          <w:lang w:val="en-GB"/>
        </w:rPr>
        <w:t>understand the world</w:t>
      </w:r>
      <w:r w:rsidR="0011787F">
        <w:rPr>
          <w:rFonts w:ascii="Calibri" w:hAnsi="Calibri"/>
          <w:lang w:val="en-GB"/>
        </w:rPr>
        <w:t xml:space="preserve"> in particular ways</w:t>
      </w:r>
      <w:r w:rsidRPr="006974E9">
        <w:rPr>
          <w:rFonts w:ascii="Calibri" w:hAnsi="Calibri"/>
          <w:lang w:val="en-GB"/>
        </w:rPr>
        <w:t xml:space="preserve">. Museums are </w:t>
      </w:r>
      <w:r w:rsidR="005A41FD">
        <w:rPr>
          <w:rFonts w:ascii="Calibri" w:hAnsi="Calibri"/>
          <w:lang w:val="en-GB"/>
        </w:rPr>
        <w:t xml:space="preserve">often </w:t>
      </w:r>
      <w:r w:rsidRPr="006974E9">
        <w:rPr>
          <w:rFonts w:ascii="Calibri" w:hAnsi="Calibri"/>
          <w:lang w:val="en-GB"/>
        </w:rPr>
        <w:t>presented as places of learning, knowledge and are authorised as ‘histor</w:t>
      </w:r>
      <w:r w:rsidR="003D0045" w:rsidRPr="006974E9">
        <w:rPr>
          <w:rFonts w:ascii="Calibri" w:hAnsi="Calibri"/>
          <w:lang w:val="en-GB"/>
        </w:rPr>
        <w:t>y’, ‘culture’, ‘art’. T</w:t>
      </w:r>
      <w:r w:rsidRPr="006974E9">
        <w:rPr>
          <w:rFonts w:ascii="Calibri" w:hAnsi="Calibri"/>
          <w:lang w:val="en-GB"/>
        </w:rPr>
        <w:t>hey are repositories for state</w:t>
      </w:r>
      <w:r w:rsidR="003442BC">
        <w:rPr>
          <w:rFonts w:ascii="Calibri" w:hAnsi="Calibri"/>
          <w:lang w:val="en-GB"/>
        </w:rPr>
        <w:t>-</w:t>
      </w:r>
      <w:r w:rsidRPr="006974E9">
        <w:rPr>
          <w:rFonts w:ascii="Calibri" w:hAnsi="Calibri"/>
          <w:lang w:val="en-GB"/>
        </w:rPr>
        <w:t>sponsored and sanctioned versions of the social and cultural world. In this way</w:t>
      </w:r>
      <w:r w:rsidR="003442BC">
        <w:rPr>
          <w:rFonts w:ascii="Calibri" w:hAnsi="Calibri"/>
          <w:lang w:val="en-GB"/>
        </w:rPr>
        <w:t>,</w:t>
      </w:r>
      <w:r w:rsidRPr="006974E9">
        <w:rPr>
          <w:rFonts w:ascii="Calibri" w:hAnsi="Calibri"/>
          <w:lang w:val="en-GB"/>
        </w:rPr>
        <w:t xml:space="preserve"> they are produced as sites of ‘national debate’,</w:t>
      </w:r>
      <w:r w:rsidRPr="006974E9">
        <w:rPr>
          <w:rFonts w:ascii="Calibri" w:hAnsi="Calibri"/>
          <w:vertAlign w:val="superscript"/>
          <w:lang w:val="en-GB"/>
        </w:rPr>
        <w:footnoteReference w:id="22"/>
      </w:r>
      <w:r w:rsidRPr="006974E9">
        <w:rPr>
          <w:rFonts w:ascii="Calibri" w:hAnsi="Calibri"/>
          <w:lang w:val="en-GB"/>
        </w:rPr>
        <w:t xml:space="preserve"> memorialisation,</w:t>
      </w:r>
      <w:r w:rsidRPr="006974E9">
        <w:rPr>
          <w:rFonts w:ascii="Calibri" w:hAnsi="Calibri"/>
          <w:vertAlign w:val="superscript"/>
          <w:lang w:val="en-GB"/>
        </w:rPr>
        <w:footnoteReference w:id="23"/>
      </w:r>
      <w:r w:rsidRPr="006974E9">
        <w:rPr>
          <w:rFonts w:ascii="Calibri" w:hAnsi="Calibri"/>
          <w:lang w:val="en-GB"/>
        </w:rPr>
        <w:t xml:space="preserve"> the creation of ‘citizenship’.</w:t>
      </w:r>
      <w:r w:rsidRPr="006974E9">
        <w:rPr>
          <w:rFonts w:ascii="Calibri" w:hAnsi="Calibri"/>
          <w:vertAlign w:val="superscript"/>
          <w:lang w:val="en-GB"/>
        </w:rPr>
        <w:footnoteReference w:id="24"/>
      </w:r>
      <w:r w:rsidRPr="006974E9">
        <w:rPr>
          <w:rFonts w:ascii="Calibri" w:hAnsi="Calibri"/>
          <w:lang w:val="en-GB"/>
        </w:rPr>
        <w:t xml:space="preserve"> The</w:t>
      </w:r>
      <w:r w:rsidR="003D0045" w:rsidRPr="006974E9">
        <w:rPr>
          <w:rFonts w:ascii="Calibri" w:hAnsi="Calibri"/>
          <w:lang w:val="en-GB"/>
        </w:rPr>
        <w:t>y retain a pedagogical and civic</w:t>
      </w:r>
      <w:r w:rsidRPr="006974E9">
        <w:rPr>
          <w:rFonts w:ascii="Calibri" w:hAnsi="Calibri"/>
          <w:lang w:val="en-GB"/>
        </w:rPr>
        <w:t xml:space="preserve"> function at the same time that they are commodified and experienced through the neoliberal frame of ‘heritage tourism’</w:t>
      </w:r>
      <w:r w:rsidR="009712CB">
        <w:rPr>
          <w:rFonts w:ascii="Calibri" w:hAnsi="Calibri"/>
          <w:lang w:val="en-GB"/>
        </w:rPr>
        <w:t>.</w:t>
      </w:r>
    </w:p>
    <w:p w14:paraId="3A4503D3" w14:textId="77777777" w:rsidR="00980B41" w:rsidRPr="006974E9" w:rsidRDefault="00980B41">
      <w:pPr>
        <w:pStyle w:val="Normal1"/>
        <w:jc w:val="both"/>
        <w:rPr>
          <w:rFonts w:ascii="Calibri" w:hAnsi="Calibri"/>
          <w:lang w:val="en-GB"/>
        </w:rPr>
      </w:pPr>
    </w:p>
    <w:p w14:paraId="04B09856" w14:textId="6541430B" w:rsidR="00980B41" w:rsidRPr="006974E9" w:rsidRDefault="003D46B0">
      <w:pPr>
        <w:pStyle w:val="Normal1"/>
        <w:jc w:val="both"/>
        <w:rPr>
          <w:rFonts w:ascii="Calibri" w:hAnsi="Calibri"/>
          <w:lang w:val="en-GB"/>
        </w:rPr>
      </w:pPr>
      <w:r w:rsidRPr="006974E9">
        <w:rPr>
          <w:rFonts w:ascii="Calibri" w:hAnsi="Calibri"/>
          <w:lang w:val="en-GB"/>
        </w:rPr>
        <w:t>A</w:t>
      </w:r>
      <w:r w:rsidR="008D59D5" w:rsidRPr="006974E9">
        <w:rPr>
          <w:rFonts w:ascii="Calibri" w:hAnsi="Calibri"/>
          <w:lang w:val="en-GB"/>
        </w:rPr>
        <w:t xml:space="preserve">pproaching the study of museums we need to be attuned to how museums are sites of </w:t>
      </w:r>
      <w:r w:rsidR="008D59D5" w:rsidRPr="001C70B3">
        <w:rPr>
          <w:rFonts w:ascii="Calibri" w:hAnsi="Calibri"/>
          <w:i/>
          <w:lang w:val="en-GB"/>
        </w:rPr>
        <w:t>ongoing</w:t>
      </w:r>
      <w:r w:rsidR="008D59D5" w:rsidRPr="006974E9">
        <w:rPr>
          <w:rFonts w:ascii="Calibri" w:hAnsi="Calibri"/>
          <w:lang w:val="en-GB"/>
        </w:rPr>
        <w:t xml:space="preserve"> colonial power. </w:t>
      </w:r>
      <w:r w:rsidR="00F76F94">
        <w:rPr>
          <w:rFonts w:ascii="Calibri" w:hAnsi="Calibri"/>
          <w:lang w:val="en-GB"/>
        </w:rPr>
        <w:t>As Anibal Quijano, Walter Mignolo</w:t>
      </w:r>
      <w:r w:rsidR="00C57A12">
        <w:rPr>
          <w:rFonts w:ascii="Calibri" w:hAnsi="Calibri"/>
          <w:lang w:val="en-GB"/>
        </w:rPr>
        <w:t xml:space="preserve"> and </w:t>
      </w:r>
      <w:r w:rsidR="006640A8">
        <w:rPr>
          <w:rFonts w:ascii="Calibri" w:hAnsi="Calibri"/>
          <w:lang w:val="en-GB"/>
        </w:rPr>
        <w:t>others have detailed, c</w:t>
      </w:r>
      <w:r w:rsidR="00E07BF0">
        <w:rPr>
          <w:rFonts w:ascii="Calibri" w:hAnsi="Calibri"/>
          <w:lang w:val="en-GB"/>
        </w:rPr>
        <w:t>oloniality is the way in which</w:t>
      </w:r>
      <w:r w:rsidR="00DF1FB3">
        <w:rPr>
          <w:rFonts w:ascii="Calibri" w:hAnsi="Calibri"/>
          <w:lang w:val="en-GB"/>
        </w:rPr>
        <w:t xml:space="preserve"> the </w:t>
      </w:r>
      <w:r w:rsidR="006640A8">
        <w:rPr>
          <w:rFonts w:ascii="Calibri" w:hAnsi="Calibri"/>
          <w:lang w:val="en-GB"/>
        </w:rPr>
        <w:t xml:space="preserve">modern </w:t>
      </w:r>
      <w:r w:rsidR="00C57A12">
        <w:rPr>
          <w:rFonts w:ascii="Calibri" w:hAnsi="Calibri"/>
          <w:lang w:val="en-GB"/>
        </w:rPr>
        <w:t>world</w:t>
      </w:r>
      <w:r w:rsidR="00E24DB7">
        <w:rPr>
          <w:rFonts w:ascii="Calibri" w:hAnsi="Calibri"/>
          <w:lang w:val="en-GB"/>
        </w:rPr>
        <w:t xml:space="preserve"> and world power</w:t>
      </w:r>
      <w:r w:rsidR="00E07BF0">
        <w:rPr>
          <w:rFonts w:ascii="Calibri" w:hAnsi="Calibri"/>
          <w:lang w:val="en-GB"/>
        </w:rPr>
        <w:t xml:space="preserve"> is structured by</w:t>
      </w:r>
      <w:r w:rsidR="00475456">
        <w:rPr>
          <w:rFonts w:ascii="Calibri" w:hAnsi="Calibri"/>
          <w:lang w:val="en-GB"/>
        </w:rPr>
        <w:t xml:space="preserve"> logics of</w:t>
      </w:r>
      <w:r w:rsidR="00E07BF0">
        <w:rPr>
          <w:rFonts w:ascii="Calibri" w:hAnsi="Calibri"/>
          <w:lang w:val="en-GB"/>
        </w:rPr>
        <w:t xml:space="preserve"> </w:t>
      </w:r>
      <w:r w:rsidR="00E24DB7">
        <w:rPr>
          <w:rFonts w:ascii="Calibri" w:hAnsi="Calibri"/>
          <w:lang w:val="en-GB"/>
        </w:rPr>
        <w:t>racial classification</w:t>
      </w:r>
      <w:r w:rsidR="006640A8">
        <w:rPr>
          <w:rStyle w:val="FootnoteReference"/>
          <w:rFonts w:ascii="Calibri" w:hAnsi="Calibri"/>
          <w:lang w:val="en-GB"/>
        </w:rPr>
        <w:footnoteReference w:id="25"/>
      </w:r>
      <w:r w:rsidR="00F76F94">
        <w:rPr>
          <w:rFonts w:ascii="Calibri" w:hAnsi="Calibri"/>
          <w:lang w:val="en-GB"/>
        </w:rPr>
        <w:t xml:space="preserve">. </w:t>
      </w:r>
      <w:r w:rsidR="000D7C6B">
        <w:rPr>
          <w:rFonts w:ascii="Calibri" w:hAnsi="Calibri"/>
          <w:lang w:val="en-GB"/>
        </w:rPr>
        <w:t>The colonial is therefore not a matter of history but an ongoing power structure. Taking this seriously in the study of museums</w:t>
      </w:r>
      <w:r w:rsidR="008D59D5" w:rsidRPr="006974E9">
        <w:rPr>
          <w:rFonts w:ascii="Calibri" w:hAnsi="Calibri"/>
          <w:lang w:val="en-GB"/>
        </w:rPr>
        <w:t xml:space="preserve"> means moving beyond the idea that museums ar</w:t>
      </w:r>
      <w:r w:rsidR="00ED0DC5" w:rsidRPr="006974E9">
        <w:rPr>
          <w:rFonts w:ascii="Calibri" w:hAnsi="Calibri"/>
          <w:lang w:val="en-GB"/>
        </w:rPr>
        <w:t>e places of heritage but, rather, are</w:t>
      </w:r>
      <w:r w:rsidR="008D59D5" w:rsidRPr="006974E9">
        <w:rPr>
          <w:rFonts w:ascii="Calibri" w:hAnsi="Calibri"/>
          <w:lang w:val="en-GB"/>
        </w:rPr>
        <w:t xml:space="preserve"> sites which reproduce a colonially shaped and mandated </w:t>
      </w:r>
      <w:r w:rsidR="00475456">
        <w:rPr>
          <w:rFonts w:ascii="Calibri" w:hAnsi="Calibri"/>
          <w:lang w:val="en-GB"/>
        </w:rPr>
        <w:t xml:space="preserve">contemporary </w:t>
      </w:r>
      <w:r w:rsidR="008D59D5" w:rsidRPr="006974E9">
        <w:rPr>
          <w:rFonts w:ascii="Calibri" w:hAnsi="Calibri"/>
          <w:lang w:val="en-GB"/>
        </w:rPr>
        <w:t>world. Stoler’s work on ruins</w:t>
      </w:r>
      <w:r w:rsidR="00396DEB">
        <w:rPr>
          <w:rFonts w:ascii="Calibri" w:hAnsi="Calibri"/>
          <w:lang w:val="en-GB"/>
        </w:rPr>
        <w:t xml:space="preserve"> </w:t>
      </w:r>
      <w:r w:rsidR="005F25F5">
        <w:rPr>
          <w:rFonts w:ascii="Calibri" w:hAnsi="Calibri"/>
          <w:lang w:val="en-GB"/>
        </w:rPr>
        <w:t xml:space="preserve">provides a </w:t>
      </w:r>
      <w:r w:rsidR="00B27F91">
        <w:rPr>
          <w:rFonts w:ascii="Calibri" w:hAnsi="Calibri"/>
          <w:lang w:val="en-GB"/>
        </w:rPr>
        <w:t>useful means of thinking about the coloniality of the museum</w:t>
      </w:r>
      <w:r w:rsidR="008D59D5" w:rsidRPr="006974E9">
        <w:rPr>
          <w:rFonts w:ascii="Calibri" w:hAnsi="Calibri"/>
          <w:vertAlign w:val="superscript"/>
          <w:lang w:val="en-GB"/>
        </w:rPr>
        <w:footnoteReference w:id="26"/>
      </w:r>
      <w:r w:rsidR="003E6F67">
        <w:rPr>
          <w:rFonts w:ascii="Calibri" w:hAnsi="Calibri"/>
          <w:lang w:val="en-GB"/>
        </w:rPr>
        <w:t>.</w:t>
      </w:r>
      <w:r w:rsidR="008D59D5" w:rsidRPr="006974E9">
        <w:rPr>
          <w:rFonts w:ascii="Calibri" w:hAnsi="Calibri"/>
          <w:lang w:val="en-GB"/>
        </w:rPr>
        <w:t xml:space="preserve"> Whilst the ‘ruin’ is known by its decay</w:t>
      </w:r>
      <w:r w:rsidR="00364235" w:rsidRPr="006974E9">
        <w:rPr>
          <w:rFonts w:ascii="Calibri" w:hAnsi="Calibri"/>
          <w:lang w:val="en-GB"/>
        </w:rPr>
        <w:t>,</w:t>
      </w:r>
      <w:r w:rsidR="008D59D5" w:rsidRPr="006974E9">
        <w:rPr>
          <w:rFonts w:ascii="Calibri" w:hAnsi="Calibri"/>
          <w:lang w:val="en-GB"/>
        </w:rPr>
        <w:t xml:space="preserve"> often the museum is considered a site of preservation; the restoration of ‘ruins’. The museum is the spectacle of the exhibition, the authorising of material culture contrasted against the ‘rot’ of ruins. Within the imperial</w:t>
      </w:r>
      <w:r w:rsidR="003E6F67">
        <w:rPr>
          <w:rFonts w:ascii="Calibri" w:hAnsi="Calibri"/>
          <w:lang w:val="en-GB"/>
        </w:rPr>
        <w:t xml:space="preserve"> and </w:t>
      </w:r>
      <w:r w:rsidR="008D59D5" w:rsidRPr="006974E9">
        <w:rPr>
          <w:rFonts w:ascii="Calibri" w:hAnsi="Calibri"/>
          <w:lang w:val="en-GB"/>
        </w:rPr>
        <w:t xml:space="preserve">colonial </w:t>
      </w:r>
      <w:r w:rsidR="00317FCD" w:rsidRPr="006974E9">
        <w:rPr>
          <w:rFonts w:ascii="Calibri" w:hAnsi="Calibri"/>
          <w:lang w:val="en-GB"/>
        </w:rPr>
        <w:t>mind-set</w:t>
      </w:r>
      <w:r w:rsidR="008D59D5" w:rsidRPr="006974E9">
        <w:rPr>
          <w:rFonts w:ascii="Calibri" w:hAnsi="Calibri"/>
          <w:lang w:val="en-GB"/>
        </w:rPr>
        <w:t xml:space="preserve"> museums are the civilised counterpoint to cultures which cannot tell their own history (so t</w:t>
      </w:r>
      <w:r w:rsidR="008F72B9" w:rsidRPr="006974E9">
        <w:rPr>
          <w:rFonts w:ascii="Calibri" w:hAnsi="Calibri"/>
          <w:lang w:val="en-GB"/>
        </w:rPr>
        <w:t>hat some only have ruins). B</w:t>
      </w:r>
      <w:r w:rsidR="008D59D5" w:rsidRPr="006974E9">
        <w:rPr>
          <w:rFonts w:ascii="Calibri" w:hAnsi="Calibri"/>
          <w:lang w:val="en-GB"/>
        </w:rPr>
        <w:t>ecause of this, rather than in spite of it, we can think of museum as forms of imperial debris and part of the ongoing legacies of colonial ruination</w:t>
      </w:r>
      <w:r w:rsidR="008D59D5" w:rsidRPr="006974E9">
        <w:rPr>
          <w:rFonts w:ascii="Calibri" w:hAnsi="Calibri"/>
          <w:vertAlign w:val="superscript"/>
          <w:lang w:val="en-GB"/>
        </w:rPr>
        <w:footnoteReference w:id="27"/>
      </w:r>
      <w:r w:rsidR="00895789">
        <w:rPr>
          <w:rFonts w:ascii="Calibri" w:hAnsi="Calibri"/>
          <w:lang w:val="en-GB"/>
        </w:rPr>
        <w:t>.</w:t>
      </w:r>
      <w:r w:rsidR="008D59D5" w:rsidRPr="006974E9">
        <w:rPr>
          <w:rFonts w:ascii="Calibri" w:hAnsi="Calibri"/>
          <w:lang w:val="en-GB"/>
        </w:rPr>
        <w:t xml:space="preserve"> That is, the rot and decay central to the ‘ongoing nature of imperial process’</w:t>
      </w:r>
      <w:r w:rsidR="008D59D5" w:rsidRPr="006974E9">
        <w:rPr>
          <w:rFonts w:ascii="Calibri" w:hAnsi="Calibri"/>
          <w:vertAlign w:val="superscript"/>
          <w:lang w:val="en-GB"/>
        </w:rPr>
        <w:footnoteReference w:id="28"/>
      </w:r>
      <w:r w:rsidR="00895789">
        <w:rPr>
          <w:rFonts w:ascii="Calibri" w:hAnsi="Calibri"/>
          <w:lang w:val="en-GB"/>
        </w:rPr>
        <w:t>.</w:t>
      </w:r>
    </w:p>
    <w:p w14:paraId="05D0D730" w14:textId="77777777" w:rsidR="00980B41" w:rsidRPr="006974E9" w:rsidRDefault="00980B41">
      <w:pPr>
        <w:pStyle w:val="Normal1"/>
        <w:jc w:val="both"/>
        <w:rPr>
          <w:rFonts w:ascii="Calibri" w:hAnsi="Calibri"/>
          <w:lang w:val="en-GB"/>
        </w:rPr>
      </w:pPr>
    </w:p>
    <w:p w14:paraId="37DC0BE7" w14:textId="1D585280" w:rsidR="00980B41" w:rsidRPr="00D12CE8" w:rsidRDefault="008D59D5" w:rsidP="00CD69B6">
      <w:pPr>
        <w:pStyle w:val="Normal1"/>
        <w:jc w:val="both"/>
        <w:rPr>
          <w:rFonts w:ascii="Calibri" w:hAnsi="Calibri"/>
          <w:sz w:val="24"/>
          <w:szCs w:val="24"/>
          <w:lang w:val="en-GB"/>
        </w:rPr>
      </w:pPr>
      <w:r w:rsidRPr="006974E9">
        <w:rPr>
          <w:rFonts w:ascii="Calibri" w:hAnsi="Calibri"/>
          <w:lang w:val="en-GB"/>
        </w:rPr>
        <w:t>To speak of debris is to be reminded that Euro-American museums are filled with the looted, stolen, violently acquired objects of colonial occupation. Many are still funded by wealth extracted directly from the slave trade, or from other forms of accumulation by dispossession. The hoarding of artefacts by such institutions is not merely the valorising of ‘the spoils of war’ by an occupying force but part of the dual fun</w:t>
      </w:r>
      <w:r w:rsidR="00364235" w:rsidRPr="006974E9">
        <w:rPr>
          <w:rFonts w:ascii="Calibri" w:hAnsi="Calibri"/>
          <w:lang w:val="en-GB"/>
        </w:rPr>
        <w:t xml:space="preserve">ction of colonial violence. It </w:t>
      </w:r>
      <w:r w:rsidRPr="006974E9">
        <w:rPr>
          <w:rFonts w:ascii="Calibri" w:hAnsi="Calibri"/>
          <w:lang w:val="en-GB"/>
        </w:rPr>
        <w:t>sustains</w:t>
      </w:r>
      <w:r w:rsidR="00B27F91">
        <w:rPr>
          <w:rFonts w:ascii="Calibri" w:hAnsi="Calibri"/>
          <w:lang w:val="en-GB"/>
        </w:rPr>
        <w:t xml:space="preserve"> w</w:t>
      </w:r>
      <w:r w:rsidRPr="006974E9">
        <w:rPr>
          <w:rFonts w:ascii="Calibri" w:hAnsi="Calibri"/>
          <w:lang w:val="en-GB"/>
        </w:rPr>
        <w:t>hite European superiority as it subjugates and destroys other cultures. The exhibit, as with the museum, was a particular optic of imperial power</w:t>
      </w:r>
      <w:r w:rsidR="00895789">
        <w:rPr>
          <w:rFonts w:ascii="Calibri" w:hAnsi="Calibri"/>
          <w:lang w:val="en-GB"/>
        </w:rPr>
        <w:t xml:space="preserve"> through which </w:t>
      </w:r>
      <w:r w:rsidRPr="006974E9">
        <w:rPr>
          <w:rFonts w:ascii="Calibri" w:hAnsi="Calibri"/>
          <w:lang w:val="en-GB"/>
        </w:rPr>
        <w:t xml:space="preserve">colonised people </w:t>
      </w:r>
      <w:r w:rsidR="00895789">
        <w:rPr>
          <w:rFonts w:ascii="Calibri" w:hAnsi="Calibri"/>
          <w:lang w:val="en-GB"/>
        </w:rPr>
        <w:t>were</w:t>
      </w:r>
      <w:r w:rsidRPr="006974E9">
        <w:rPr>
          <w:rFonts w:ascii="Calibri" w:hAnsi="Calibri"/>
          <w:lang w:val="en-GB"/>
        </w:rPr>
        <w:t xml:space="preserve"> made into a spectacle of the white masculine gaze, to be objectified and examined</w:t>
      </w:r>
      <w:r w:rsidRPr="006974E9">
        <w:rPr>
          <w:rFonts w:ascii="Calibri" w:hAnsi="Calibri"/>
          <w:vertAlign w:val="superscript"/>
          <w:lang w:val="en-GB"/>
        </w:rPr>
        <w:footnoteReference w:id="29"/>
      </w:r>
      <w:r w:rsidR="00895789">
        <w:rPr>
          <w:rFonts w:ascii="Calibri" w:hAnsi="Calibri"/>
          <w:lang w:val="en-GB"/>
        </w:rPr>
        <w:t>.</w:t>
      </w:r>
      <w:r w:rsidRPr="006974E9">
        <w:rPr>
          <w:rFonts w:ascii="Calibri" w:hAnsi="Calibri"/>
          <w:lang w:val="en-GB"/>
        </w:rPr>
        <w:t xml:space="preserve"> This had a particular racialised-sexualised logic. Consider</w:t>
      </w:r>
      <w:r w:rsidR="008F72B9" w:rsidRPr="006974E9">
        <w:rPr>
          <w:rFonts w:ascii="Calibri" w:hAnsi="Calibri"/>
          <w:lang w:val="en-GB"/>
        </w:rPr>
        <w:t>,</w:t>
      </w:r>
      <w:r w:rsidRPr="006974E9">
        <w:rPr>
          <w:rFonts w:ascii="Calibri" w:hAnsi="Calibri"/>
          <w:lang w:val="en-GB"/>
        </w:rPr>
        <w:t xml:space="preserve"> for example</w:t>
      </w:r>
      <w:r w:rsidR="008F72B9" w:rsidRPr="006974E9">
        <w:rPr>
          <w:rFonts w:ascii="Calibri" w:hAnsi="Calibri"/>
          <w:lang w:val="en-GB"/>
        </w:rPr>
        <w:t>,</w:t>
      </w:r>
      <w:r w:rsidRPr="006974E9">
        <w:rPr>
          <w:rFonts w:ascii="Calibri" w:hAnsi="Calibri"/>
          <w:lang w:val="en-GB"/>
        </w:rPr>
        <w:t xml:space="preserve"> the exhibition of the ‘Venus Hottentot’ women </w:t>
      </w:r>
      <w:r w:rsidR="00A778AB">
        <w:rPr>
          <w:rFonts w:ascii="Calibri" w:hAnsi="Calibri"/>
          <w:lang w:val="en-GB"/>
        </w:rPr>
        <w:t>Saartjie</w:t>
      </w:r>
      <w:r w:rsidR="00A778AB" w:rsidRPr="006974E9">
        <w:rPr>
          <w:rFonts w:ascii="Calibri" w:hAnsi="Calibri"/>
          <w:lang w:val="en-GB"/>
        </w:rPr>
        <w:t xml:space="preserve"> </w:t>
      </w:r>
      <w:r w:rsidRPr="006974E9">
        <w:rPr>
          <w:rFonts w:ascii="Calibri" w:hAnsi="Calibri"/>
          <w:lang w:val="en-GB"/>
        </w:rPr>
        <w:t>Baartman across France and Britain in the late 1900s, produced as a figure of exoticism/eroticism. After being experimented upon after her death by the eugenicists George Cuvier (the founder of the Natural History Museum</w:t>
      </w:r>
      <w:r w:rsidR="003442BC">
        <w:rPr>
          <w:rFonts w:ascii="Calibri" w:hAnsi="Calibri"/>
          <w:lang w:val="en-GB"/>
        </w:rPr>
        <w:t xml:space="preserve"> in </w:t>
      </w:r>
      <w:r w:rsidRPr="006974E9">
        <w:rPr>
          <w:rFonts w:ascii="Calibri" w:hAnsi="Calibri"/>
          <w:lang w:val="en-GB"/>
        </w:rPr>
        <w:t xml:space="preserve">Paris) her body parts were kept on </w:t>
      </w:r>
      <w:r w:rsidRPr="006974E9">
        <w:rPr>
          <w:rFonts w:ascii="Calibri" w:hAnsi="Calibri"/>
          <w:lang w:val="en-GB"/>
        </w:rPr>
        <w:lastRenderedPageBreak/>
        <w:t>display in the Museum of Man until the late 1970s</w:t>
      </w:r>
      <w:r w:rsidRPr="006974E9">
        <w:rPr>
          <w:rFonts w:ascii="Calibri" w:hAnsi="Calibri"/>
          <w:vertAlign w:val="superscript"/>
          <w:lang w:val="en-GB"/>
        </w:rPr>
        <w:footnoteReference w:id="30"/>
      </w:r>
      <w:r w:rsidRPr="006974E9">
        <w:rPr>
          <w:rFonts w:ascii="Calibri" w:hAnsi="Calibri"/>
          <w:lang w:val="en-GB"/>
        </w:rPr>
        <w:t xml:space="preserve"> </w:t>
      </w:r>
      <w:r w:rsidR="008F72B9" w:rsidRPr="006974E9">
        <w:rPr>
          <w:rFonts w:ascii="Calibri" w:hAnsi="Calibri"/>
          <w:lang w:val="en-GB"/>
        </w:rPr>
        <w:t xml:space="preserve">and </w:t>
      </w:r>
      <w:r w:rsidRPr="006974E9">
        <w:rPr>
          <w:rFonts w:ascii="Calibri" w:hAnsi="Calibri"/>
          <w:lang w:val="en-GB"/>
        </w:rPr>
        <w:t xml:space="preserve">only returned to South Africa in 2002. </w:t>
      </w:r>
      <w:r w:rsidR="00087592">
        <w:rPr>
          <w:rFonts w:ascii="Calibri" w:hAnsi="Calibri"/>
          <w:lang w:val="en-GB"/>
        </w:rPr>
        <w:t xml:space="preserve">Thus the logic and </w:t>
      </w:r>
      <w:r w:rsidR="00087592" w:rsidRPr="00D12CE8">
        <w:rPr>
          <w:rFonts w:ascii="Calibri" w:hAnsi="Calibri"/>
          <w:sz w:val="24"/>
          <w:szCs w:val="24"/>
          <w:lang w:val="en-GB"/>
        </w:rPr>
        <w:t>the structure of the exhibit</w:t>
      </w:r>
      <w:r w:rsidR="001B453B" w:rsidRPr="00D12CE8">
        <w:rPr>
          <w:rFonts w:ascii="Calibri" w:hAnsi="Calibri"/>
          <w:sz w:val="24"/>
          <w:szCs w:val="24"/>
          <w:lang w:val="en-GB"/>
        </w:rPr>
        <w:t>, and that of the museums that house them,</w:t>
      </w:r>
      <w:r w:rsidR="00087592" w:rsidRPr="00D12CE8">
        <w:rPr>
          <w:rFonts w:ascii="Calibri" w:hAnsi="Calibri"/>
          <w:sz w:val="24"/>
          <w:szCs w:val="24"/>
          <w:lang w:val="en-GB"/>
        </w:rPr>
        <w:t xml:space="preserve"> has </w:t>
      </w:r>
      <w:r w:rsidR="001B453B" w:rsidRPr="00D12CE8">
        <w:rPr>
          <w:rFonts w:ascii="Calibri" w:hAnsi="Calibri"/>
          <w:sz w:val="24"/>
          <w:szCs w:val="24"/>
          <w:lang w:val="en-GB"/>
        </w:rPr>
        <w:t>been</w:t>
      </w:r>
      <w:r w:rsidR="00087592" w:rsidRPr="00D12CE8">
        <w:rPr>
          <w:rFonts w:ascii="Calibri" w:hAnsi="Calibri"/>
          <w:sz w:val="24"/>
          <w:szCs w:val="24"/>
          <w:lang w:val="en-GB"/>
        </w:rPr>
        <w:t xml:space="preserve"> </w:t>
      </w:r>
      <w:r w:rsidR="00CD69B6" w:rsidRPr="00D12CE8">
        <w:rPr>
          <w:rFonts w:ascii="Calibri" w:hAnsi="Calibri"/>
          <w:sz w:val="24"/>
          <w:szCs w:val="24"/>
          <w:lang w:val="en-GB"/>
        </w:rPr>
        <w:t xml:space="preserve">centrally involved in </w:t>
      </w:r>
      <w:r w:rsidR="001B453B" w:rsidRPr="00D12CE8">
        <w:rPr>
          <w:rFonts w:ascii="Calibri" w:hAnsi="Calibri"/>
          <w:sz w:val="24"/>
          <w:szCs w:val="24"/>
          <w:lang w:val="en-GB"/>
        </w:rPr>
        <w:t xml:space="preserve">the </w:t>
      </w:r>
      <w:r w:rsidR="00087592" w:rsidRPr="00D12CE8">
        <w:rPr>
          <w:rFonts w:ascii="Calibri" w:hAnsi="Calibri"/>
          <w:sz w:val="24"/>
          <w:szCs w:val="24"/>
          <w:lang w:val="en-GB"/>
        </w:rPr>
        <w:t>production of systems of racial classification</w:t>
      </w:r>
      <w:r w:rsidR="001B453B" w:rsidRPr="00D12CE8">
        <w:rPr>
          <w:rFonts w:ascii="Calibri" w:hAnsi="Calibri"/>
          <w:sz w:val="24"/>
          <w:szCs w:val="24"/>
          <w:lang w:val="en-GB"/>
        </w:rPr>
        <w:t>.</w:t>
      </w:r>
      <w:r w:rsidRPr="00D12CE8">
        <w:rPr>
          <w:rFonts w:ascii="Calibri" w:hAnsi="Calibri"/>
          <w:sz w:val="24"/>
          <w:szCs w:val="24"/>
          <w:lang w:val="en-GB"/>
        </w:rPr>
        <w:t xml:space="preserve"> </w:t>
      </w:r>
    </w:p>
    <w:p w14:paraId="0FC170FE" w14:textId="77777777" w:rsidR="00980B41" w:rsidRPr="00D12CE8" w:rsidRDefault="00980B41">
      <w:pPr>
        <w:pStyle w:val="Normal1"/>
        <w:jc w:val="both"/>
        <w:rPr>
          <w:rFonts w:ascii="Calibri" w:hAnsi="Calibri"/>
          <w:sz w:val="24"/>
          <w:szCs w:val="24"/>
          <w:lang w:val="en-GB"/>
        </w:rPr>
      </w:pPr>
    </w:p>
    <w:p w14:paraId="7D98246D" w14:textId="42964314" w:rsidR="00D47E25" w:rsidRPr="00D12CE8" w:rsidRDefault="001B453B" w:rsidP="00D47E25">
      <w:pPr>
        <w:jc w:val="both"/>
        <w:rPr>
          <w:rFonts w:ascii="Calibri" w:hAnsi="Calibri"/>
          <w:color w:val="000000" w:themeColor="text1"/>
          <w:sz w:val="24"/>
          <w:szCs w:val="24"/>
          <w:lang w:val="en-GB"/>
        </w:rPr>
      </w:pPr>
      <w:r w:rsidRPr="00D12CE8">
        <w:rPr>
          <w:rFonts w:ascii="Calibri" w:hAnsi="Calibri"/>
          <w:sz w:val="24"/>
          <w:szCs w:val="24"/>
          <w:lang w:val="en-GB"/>
        </w:rPr>
        <w:t>Within this logic, i</w:t>
      </w:r>
      <w:r w:rsidR="008D59D5" w:rsidRPr="00D12CE8">
        <w:rPr>
          <w:rFonts w:ascii="Calibri" w:hAnsi="Calibri"/>
          <w:sz w:val="24"/>
          <w:szCs w:val="24"/>
          <w:lang w:val="en-GB"/>
        </w:rPr>
        <w:t xml:space="preserve">mperial powers </w:t>
      </w:r>
      <w:r w:rsidRPr="00D12CE8">
        <w:rPr>
          <w:rFonts w:ascii="Calibri" w:hAnsi="Calibri"/>
          <w:sz w:val="24"/>
          <w:szCs w:val="24"/>
          <w:lang w:val="en-GB"/>
        </w:rPr>
        <w:t xml:space="preserve">have </w:t>
      </w:r>
      <w:r w:rsidR="008D59D5" w:rsidRPr="00D12CE8">
        <w:rPr>
          <w:rFonts w:ascii="Calibri" w:hAnsi="Calibri"/>
          <w:sz w:val="24"/>
          <w:szCs w:val="24"/>
          <w:lang w:val="en-GB"/>
        </w:rPr>
        <w:t>long used local populations</w:t>
      </w:r>
      <w:r w:rsidR="00364235" w:rsidRPr="00D12CE8">
        <w:rPr>
          <w:rFonts w:ascii="Calibri" w:hAnsi="Calibri"/>
          <w:sz w:val="24"/>
          <w:szCs w:val="24"/>
          <w:lang w:val="en-GB"/>
        </w:rPr>
        <w:t>’</w:t>
      </w:r>
      <w:r w:rsidR="008D59D5" w:rsidRPr="00D12CE8">
        <w:rPr>
          <w:rFonts w:ascii="Calibri" w:hAnsi="Calibri"/>
          <w:sz w:val="24"/>
          <w:szCs w:val="24"/>
          <w:lang w:val="en-GB"/>
        </w:rPr>
        <w:t xml:space="preserve"> a</w:t>
      </w:r>
      <w:r w:rsidR="002E1523" w:rsidRPr="00D12CE8">
        <w:rPr>
          <w:rFonts w:ascii="Calibri" w:hAnsi="Calibri"/>
          <w:sz w:val="24"/>
          <w:szCs w:val="24"/>
          <w:lang w:val="en-GB"/>
        </w:rPr>
        <w:t>lleged</w:t>
      </w:r>
      <w:r w:rsidR="008D59D5" w:rsidRPr="00D12CE8">
        <w:rPr>
          <w:rFonts w:ascii="Calibri" w:hAnsi="Calibri"/>
          <w:sz w:val="24"/>
          <w:szCs w:val="24"/>
          <w:lang w:val="en-GB"/>
        </w:rPr>
        <w:t xml:space="preserve"> inability to care for material culture as a sign of their ‘infancy’ and underdevelopment </w:t>
      </w:r>
      <w:r w:rsidR="00364235" w:rsidRPr="00D12CE8">
        <w:rPr>
          <w:rFonts w:ascii="Calibri" w:hAnsi="Calibri"/>
          <w:sz w:val="24"/>
          <w:szCs w:val="24"/>
          <w:lang w:val="en-GB"/>
        </w:rPr>
        <w:t xml:space="preserve">and </w:t>
      </w:r>
      <w:r w:rsidR="008D59D5" w:rsidRPr="00D12CE8">
        <w:rPr>
          <w:rFonts w:ascii="Calibri" w:hAnsi="Calibri"/>
          <w:sz w:val="24"/>
          <w:szCs w:val="24"/>
          <w:lang w:val="en-GB"/>
        </w:rPr>
        <w:t>a justification for not returning significant artefacts. Northern museums still refuse the return of artefacts often premised on claims to ‘global culture’ or humanity. In this way, ruination continues even as it is steadily remarked upon and reflected u</w:t>
      </w:r>
      <w:r w:rsidR="0097558F" w:rsidRPr="00D12CE8">
        <w:rPr>
          <w:rFonts w:ascii="Calibri" w:hAnsi="Calibri"/>
          <w:sz w:val="24"/>
          <w:szCs w:val="24"/>
          <w:lang w:val="en-GB"/>
        </w:rPr>
        <w:t xml:space="preserve">pon by </w:t>
      </w:r>
      <w:r w:rsidR="006570F4" w:rsidRPr="00D12CE8">
        <w:rPr>
          <w:rFonts w:ascii="Calibri" w:hAnsi="Calibri"/>
          <w:sz w:val="24"/>
          <w:szCs w:val="24"/>
          <w:lang w:val="en-GB"/>
        </w:rPr>
        <w:t xml:space="preserve">purportedly </w:t>
      </w:r>
      <w:r w:rsidR="0097558F" w:rsidRPr="00D12CE8">
        <w:rPr>
          <w:rFonts w:ascii="Calibri" w:hAnsi="Calibri"/>
          <w:sz w:val="24"/>
          <w:szCs w:val="24"/>
          <w:lang w:val="en-GB"/>
        </w:rPr>
        <w:t>‘progressive’ curation.</w:t>
      </w:r>
      <w:r w:rsidR="008D59D5" w:rsidRPr="00D12CE8">
        <w:rPr>
          <w:rFonts w:ascii="Calibri" w:hAnsi="Calibri"/>
          <w:sz w:val="24"/>
          <w:szCs w:val="24"/>
          <w:vertAlign w:val="superscript"/>
          <w:lang w:val="en-GB"/>
        </w:rPr>
        <w:footnoteReference w:id="31"/>
      </w:r>
      <w:r w:rsidR="00B03458" w:rsidRPr="00D12CE8">
        <w:rPr>
          <w:rFonts w:ascii="Calibri" w:hAnsi="Calibri"/>
          <w:sz w:val="24"/>
          <w:szCs w:val="24"/>
          <w:lang w:val="en-GB"/>
        </w:rPr>
        <w:t xml:space="preserve"> We </w:t>
      </w:r>
      <w:r w:rsidR="008D59D5" w:rsidRPr="00D12CE8">
        <w:rPr>
          <w:rFonts w:ascii="Calibri" w:hAnsi="Calibri"/>
          <w:sz w:val="24"/>
          <w:szCs w:val="24"/>
          <w:lang w:val="en-GB"/>
        </w:rPr>
        <w:t xml:space="preserve">stress that the imperial debris of museums is not only isolated to artefacts taken by colonising forces, or explicitly ‘about’ colonised populations, it can also concern the logics and arrangements of objects and their </w:t>
      </w:r>
      <w:r w:rsidR="008D59D5" w:rsidRPr="001C70B3">
        <w:rPr>
          <w:rFonts w:ascii="Calibri" w:hAnsi="Calibri"/>
          <w:sz w:val="24"/>
          <w:szCs w:val="24"/>
          <w:lang w:val="en-GB"/>
        </w:rPr>
        <w:t>relationships to the structural conditions of past and ongoing forms of colonial inequality and violence. Imperial debris is not just the remainder of colonial occupation in colonies but also within (neo)metropoles like Britain.</w:t>
      </w:r>
      <w:r w:rsidR="009A7186" w:rsidRPr="001C70B3">
        <w:rPr>
          <w:rFonts w:ascii="Calibri" w:hAnsi="Calibri"/>
          <w:sz w:val="24"/>
          <w:szCs w:val="24"/>
          <w:lang w:val="en-GB"/>
        </w:rPr>
        <w:t xml:space="preserve"> In the metropole Museums remain sites for the reproduction of colonial knowledge </w:t>
      </w:r>
      <w:r w:rsidR="00D47E25" w:rsidRPr="001C70B3">
        <w:rPr>
          <w:rFonts w:ascii="Calibri" w:hAnsi="Calibri"/>
          <w:sz w:val="24"/>
          <w:szCs w:val="24"/>
          <w:lang w:val="en-GB"/>
        </w:rPr>
        <w:t xml:space="preserve">– including </w:t>
      </w:r>
      <w:r w:rsidR="009A7186" w:rsidRPr="001C70B3">
        <w:rPr>
          <w:rFonts w:ascii="Calibri" w:hAnsi="Calibri"/>
          <w:sz w:val="24"/>
          <w:szCs w:val="24"/>
          <w:lang w:val="en-GB"/>
        </w:rPr>
        <w:t xml:space="preserve"> the ongoing categorisation people into more or less human based upon th</w:t>
      </w:r>
      <w:r w:rsidR="009A7186" w:rsidRPr="001C70B3">
        <w:rPr>
          <w:rFonts w:asciiTheme="majorHAnsi" w:hAnsiTheme="majorHAnsi"/>
          <w:sz w:val="24"/>
          <w:szCs w:val="24"/>
          <w:lang w:val="en-GB"/>
        </w:rPr>
        <w:t>eir historical ‘worth’</w:t>
      </w:r>
      <w:r w:rsidR="00D47E25" w:rsidRPr="001C70B3">
        <w:rPr>
          <w:rFonts w:asciiTheme="majorHAnsi" w:hAnsiTheme="majorHAnsi"/>
          <w:sz w:val="24"/>
          <w:szCs w:val="24"/>
          <w:lang w:val="en-GB"/>
        </w:rPr>
        <w:t xml:space="preserve"> and the making of colonised parts of </w:t>
      </w:r>
      <w:r w:rsidR="00D47E25" w:rsidRPr="001C70B3">
        <w:rPr>
          <w:rFonts w:asciiTheme="majorHAnsi" w:hAnsiTheme="majorHAnsi"/>
          <w:color w:val="000000" w:themeColor="text1"/>
          <w:sz w:val="24"/>
          <w:szCs w:val="24"/>
          <w:lang w:val="en-GB"/>
        </w:rPr>
        <w:t xml:space="preserve">the world into what Aurora </w:t>
      </w:r>
      <w:r w:rsidR="00D47E25" w:rsidRPr="001C70B3">
        <w:rPr>
          <w:rFonts w:asciiTheme="majorHAnsi" w:hAnsiTheme="majorHAnsi"/>
          <w:color w:val="000000" w:themeColor="text1"/>
          <w:sz w:val="24"/>
          <w:szCs w:val="24"/>
          <w:shd w:val="clear" w:color="auto" w:fill="FFFFFF"/>
        </w:rPr>
        <w:t>Vergara</w:t>
      </w:r>
      <w:r w:rsidR="00D47E25" w:rsidRPr="001C70B3">
        <w:rPr>
          <w:rStyle w:val="apple-converted-space"/>
          <w:rFonts w:asciiTheme="majorHAnsi" w:hAnsiTheme="majorHAnsi"/>
          <w:color w:val="000000" w:themeColor="text1"/>
          <w:sz w:val="24"/>
          <w:szCs w:val="24"/>
          <w:shd w:val="clear" w:color="auto" w:fill="FFFFFF"/>
        </w:rPr>
        <w:t> </w:t>
      </w:r>
      <w:r w:rsidR="00D47E25" w:rsidRPr="001C70B3">
        <w:rPr>
          <w:rStyle w:val="Emphasis"/>
          <w:rFonts w:asciiTheme="majorHAnsi" w:hAnsiTheme="majorHAnsi"/>
          <w:i w:val="0"/>
          <w:iCs w:val="0"/>
          <w:color w:val="000000" w:themeColor="text1"/>
          <w:sz w:val="24"/>
          <w:szCs w:val="24"/>
        </w:rPr>
        <w:t>Figueroa c</w:t>
      </w:r>
      <w:r w:rsidR="00D47E25" w:rsidRPr="001C70B3">
        <w:rPr>
          <w:rFonts w:ascii="Calibri" w:hAnsi="Calibri"/>
          <w:color w:val="000000" w:themeColor="text1"/>
          <w:sz w:val="24"/>
          <w:szCs w:val="24"/>
          <w:lang w:val="en-GB"/>
        </w:rPr>
        <w:t xml:space="preserve">alls  ‘empty spaces’ </w:t>
      </w:r>
      <w:r w:rsidR="00D12CE8" w:rsidRPr="00D12CE8">
        <w:rPr>
          <w:rFonts w:ascii="Calibri" w:hAnsi="Calibri"/>
          <w:color w:val="000000" w:themeColor="text1"/>
          <w:sz w:val="24"/>
          <w:szCs w:val="24"/>
          <w:lang w:val="en-GB"/>
        </w:rPr>
        <w:t xml:space="preserve">- </w:t>
      </w:r>
      <w:r w:rsidR="00D47E25" w:rsidRPr="001C70B3">
        <w:rPr>
          <w:rFonts w:ascii="Calibri" w:hAnsi="Calibri"/>
          <w:color w:val="000000" w:themeColor="text1"/>
          <w:sz w:val="24"/>
          <w:szCs w:val="24"/>
          <w:lang w:val="en-GB"/>
        </w:rPr>
        <w:t>devoid culture o</w:t>
      </w:r>
      <w:r w:rsidR="00D12CE8" w:rsidRPr="00D12CE8">
        <w:rPr>
          <w:rFonts w:ascii="Calibri" w:hAnsi="Calibri"/>
          <w:color w:val="000000" w:themeColor="text1"/>
          <w:sz w:val="24"/>
          <w:szCs w:val="24"/>
          <w:lang w:val="en-GB"/>
        </w:rPr>
        <w:t>r</w:t>
      </w:r>
      <w:r w:rsidR="00D47E25" w:rsidRPr="001C70B3">
        <w:rPr>
          <w:rFonts w:ascii="Calibri" w:hAnsi="Calibri"/>
          <w:color w:val="000000" w:themeColor="text1"/>
          <w:sz w:val="24"/>
          <w:szCs w:val="24"/>
          <w:lang w:val="en-GB"/>
        </w:rPr>
        <w:t xml:space="preserve"> history</w:t>
      </w:r>
      <w:r w:rsidR="009A7186" w:rsidRPr="001C70B3">
        <w:rPr>
          <w:rFonts w:ascii="Calibri" w:hAnsi="Calibri"/>
          <w:color w:val="000000" w:themeColor="text1"/>
          <w:sz w:val="24"/>
          <w:szCs w:val="24"/>
          <w:lang w:val="en-GB"/>
        </w:rPr>
        <w:t>.</w:t>
      </w:r>
      <w:r w:rsidR="009A7186" w:rsidRPr="001C70B3">
        <w:rPr>
          <w:rStyle w:val="FootnoteReference"/>
          <w:rFonts w:ascii="Calibri" w:hAnsi="Calibri"/>
          <w:color w:val="000000" w:themeColor="text1"/>
          <w:sz w:val="24"/>
          <w:szCs w:val="24"/>
          <w:lang w:val="en-GB"/>
        </w:rPr>
        <w:footnoteReference w:id="32"/>
      </w:r>
      <w:r w:rsidR="009A7186" w:rsidRPr="001C70B3">
        <w:rPr>
          <w:rFonts w:ascii="Calibri" w:hAnsi="Calibri"/>
          <w:color w:val="000000" w:themeColor="text1"/>
          <w:sz w:val="24"/>
          <w:szCs w:val="24"/>
          <w:lang w:val="en-GB"/>
        </w:rPr>
        <w:t xml:space="preserve"> </w:t>
      </w:r>
    </w:p>
    <w:p w14:paraId="52B6C072" w14:textId="77777777" w:rsidR="00D47E25" w:rsidRPr="00D12CE8" w:rsidRDefault="00D47E25" w:rsidP="00D47E25">
      <w:pPr>
        <w:jc w:val="both"/>
        <w:rPr>
          <w:rFonts w:ascii="Calibri" w:hAnsi="Calibri"/>
          <w:sz w:val="24"/>
          <w:szCs w:val="24"/>
          <w:lang w:val="en-GB"/>
        </w:rPr>
      </w:pPr>
    </w:p>
    <w:p w14:paraId="0B186C1C" w14:textId="641666D0" w:rsidR="00980B41" w:rsidRPr="001C70B3" w:rsidRDefault="008D59D5" w:rsidP="001C70B3">
      <w:pPr>
        <w:jc w:val="both"/>
        <w:rPr>
          <w:sz w:val="24"/>
          <w:szCs w:val="24"/>
        </w:rPr>
      </w:pPr>
      <w:r w:rsidRPr="001C70B3">
        <w:rPr>
          <w:rFonts w:ascii="Calibri" w:hAnsi="Calibri"/>
          <w:sz w:val="24"/>
          <w:szCs w:val="24"/>
          <w:lang w:val="en-GB"/>
        </w:rPr>
        <w:t>The Royal Engineers Museum is an exemplary case of imperial debris</w:t>
      </w:r>
      <w:r w:rsidR="00AB5E14" w:rsidRPr="001C70B3">
        <w:rPr>
          <w:rFonts w:ascii="Calibri" w:hAnsi="Calibri"/>
          <w:sz w:val="24"/>
          <w:szCs w:val="24"/>
          <w:lang w:val="en-GB"/>
        </w:rPr>
        <w:t>.</w:t>
      </w:r>
      <w:r w:rsidRPr="001C70B3">
        <w:rPr>
          <w:rFonts w:ascii="Calibri" w:hAnsi="Calibri"/>
          <w:sz w:val="24"/>
          <w:szCs w:val="24"/>
          <w:lang w:val="en-GB"/>
        </w:rPr>
        <w:t xml:space="preserve"> </w:t>
      </w:r>
      <w:r w:rsidR="005213F6" w:rsidRPr="001C70B3">
        <w:rPr>
          <w:rFonts w:ascii="Calibri" w:hAnsi="Calibri"/>
          <w:sz w:val="24"/>
          <w:szCs w:val="24"/>
          <w:lang w:val="en-GB"/>
        </w:rPr>
        <w:t xml:space="preserve">On the museum information board titled </w:t>
      </w:r>
      <w:r w:rsidR="00887D28" w:rsidRPr="001C70B3">
        <w:rPr>
          <w:rFonts w:ascii="Calibri" w:hAnsi="Calibri"/>
          <w:sz w:val="24"/>
          <w:szCs w:val="24"/>
          <w:lang w:val="en-GB"/>
        </w:rPr>
        <w:t>‘Honourable Conquests’</w:t>
      </w:r>
      <w:r w:rsidR="005213F6" w:rsidRPr="00D12CE8">
        <w:rPr>
          <w:rFonts w:ascii="Calibri" w:hAnsi="Calibri"/>
          <w:sz w:val="24"/>
          <w:szCs w:val="24"/>
          <w:lang w:val="en-GB"/>
        </w:rPr>
        <w:t xml:space="preserve">, </w:t>
      </w:r>
      <w:r w:rsidR="00887D28" w:rsidRPr="00D12CE8">
        <w:rPr>
          <w:rFonts w:ascii="Calibri" w:hAnsi="Calibri"/>
          <w:sz w:val="24"/>
          <w:szCs w:val="24"/>
          <w:lang w:val="en-GB"/>
        </w:rPr>
        <w:t>the visitor is told that in the 19th Century</w:t>
      </w:r>
      <w:r w:rsidR="005213F6" w:rsidRPr="00D12CE8">
        <w:rPr>
          <w:rFonts w:ascii="Calibri" w:hAnsi="Calibri"/>
          <w:sz w:val="24"/>
          <w:szCs w:val="24"/>
          <w:lang w:val="en-GB"/>
        </w:rPr>
        <w:t xml:space="preserve"> the Co</w:t>
      </w:r>
      <w:r w:rsidR="00887D28" w:rsidRPr="00D12CE8">
        <w:rPr>
          <w:rFonts w:ascii="Calibri" w:hAnsi="Calibri"/>
          <w:sz w:val="24"/>
          <w:szCs w:val="24"/>
          <w:lang w:val="en-GB"/>
        </w:rPr>
        <w:t>rps of Royal Engineers was the ‘</w:t>
      </w:r>
      <w:r w:rsidR="005213F6" w:rsidRPr="00D12CE8">
        <w:rPr>
          <w:rFonts w:ascii="Calibri" w:hAnsi="Calibri"/>
          <w:sz w:val="24"/>
          <w:szCs w:val="24"/>
          <w:lang w:val="en-GB"/>
        </w:rPr>
        <w:t>tec</w:t>
      </w:r>
      <w:r w:rsidR="00887D28" w:rsidRPr="00D12CE8">
        <w:rPr>
          <w:rFonts w:ascii="Calibri" w:hAnsi="Calibri"/>
          <w:sz w:val="24"/>
          <w:szCs w:val="24"/>
          <w:lang w:val="en-GB"/>
        </w:rPr>
        <w:t>hnical arm of the British Army’,</w:t>
      </w:r>
      <w:r w:rsidR="005213F6" w:rsidRPr="00D12CE8">
        <w:rPr>
          <w:rFonts w:ascii="Calibri" w:hAnsi="Calibri"/>
          <w:sz w:val="24"/>
          <w:szCs w:val="24"/>
          <w:lang w:val="en-GB"/>
        </w:rPr>
        <w:t xml:space="preserve"> </w:t>
      </w:r>
      <w:r w:rsidR="00887D28" w:rsidRPr="00D12CE8">
        <w:rPr>
          <w:rFonts w:ascii="Calibri" w:hAnsi="Calibri"/>
          <w:sz w:val="24"/>
          <w:szCs w:val="24"/>
          <w:lang w:val="en-GB"/>
        </w:rPr>
        <w:t>called upon to ‘</w:t>
      </w:r>
      <w:r w:rsidR="005213F6" w:rsidRPr="00D12CE8">
        <w:rPr>
          <w:rFonts w:ascii="Calibri" w:hAnsi="Calibri"/>
          <w:sz w:val="24"/>
          <w:szCs w:val="24"/>
          <w:lang w:val="en-GB"/>
        </w:rPr>
        <w:t>create, often from scratch, the inf</w:t>
      </w:r>
      <w:r w:rsidR="00887D28" w:rsidRPr="00D12CE8">
        <w:rPr>
          <w:rFonts w:ascii="Calibri" w:hAnsi="Calibri"/>
          <w:sz w:val="24"/>
          <w:szCs w:val="24"/>
          <w:lang w:val="en-GB"/>
        </w:rPr>
        <w:t>rastructure of the modern state’</w:t>
      </w:r>
      <w:r w:rsidR="005213F6" w:rsidRPr="00D12CE8">
        <w:rPr>
          <w:rFonts w:ascii="Calibri" w:hAnsi="Calibri"/>
          <w:sz w:val="24"/>
          <w:szCs w:val="24"/>
          <w:lang w:val="en-GB"/>
        </w:rPr>
        <w:t xml:space="preserve">. The board </w:t>
      </w:r>
      <w:r w:rsidR="00887D28" w:rsidRPr="00D12CE8">
        <w:rPr>
          <w:rFonts w:ascii="Calibri" w:hAnsi="Calibri"/>
          <w:sz w:val="24"/>
          <w:szCs w:val="24"/>
          <w:lang w:val="en-GB"/>
        </w:rPr>
        <w:t>celebrates the Engineers building of canals, roads and r</w:t>
      </w:r>
      <w:r w:rsidR="005213F6" w:rsidRPr="00D12CE8">
        <w:rPr>
          <w:rFonts w:ascii="Calibri" w:hAnsi="Calibri"/>
          <w:sz w:val="24"/>
          <w:szCs w:val="24"/>
          <w:lang w:val="en-GB"/>
        </w:rPr>
        <w:t xml:space="preserve">ailways in Canada, India, Eqypt and Sudan and </w:t>
      </w:r>
      <w:r w:rsidR="00887D28" w:rsidRPr="00D12CE8">
        <w:rPr>
          <w:rFonts w:ascii="Calibri" w:hAnsi="Calibri"/>
          <w:sz w:val="24"/>
          <w:szCs w:val="24"/>
          <w:lang w:val="en-GB"/>
        </w:rPr>
        <w:t>their undertaking of the survey of India</w:t>
      </w:r>
      <w:r w:rsidR="000705BF" w:rsidRPr="00D12CE8">
        <w:rPr>
          <w:rFonts w:ascii="Calibri" w:hAnsi="Calibri"/>
          <w:sz w:val="24"/>
          <w:szCs w:val="24"/>
          <w:lang w:val="en-GB"/>
        </w:rPr>
        <w:t>,</w:t>
      </w:r>
      <w:r w:rsidR="00887D28" w:rsidRPr="00D12CE8">
        <w:rPr>
          <w:rFonts w:ascii="Calibri" w:hAnsi="Calibri"/>
          <w:sz w:val="24"/>
          <w:szCs w:val="24"/>
          <w:lang w:val="en-GB"/>
        </w:rPr>
        <w:t xml:space="preserve"> which ‘</w:t>
      </w:r>
      <w:r w:rsidR="005213F6" w:rsidRPr="00D12CE8">
        <w:rPr>
          <w:rFonts w:ascii="Calibri" w:hAnsi="Calibri"/>
          <w:sz w:val="24"/>
          <w:szCs w:val="24"/>
          <w:lang w:val="en-GB"/>
        </w:rPr>
        <w:t>mapped and me</w:t>
      </w:r>
      <w:r w:rsidR="00887D28" w:rsidRPr="00D12CE8">
        <w:rPr>
          <w:rFonts w:ascii="Calibri" w:hAnsi="Calibri"/>
          <w:sz w:val="24"/>
          <w:szCs w:val="24"/>
          <w:lang w:val="en-GB"/>
        </w:rPr>
        <w:t>asured the entire sub-continent’. It is also noted that ‘[m]</w:t>
      </w:r>
      <w:r w:rsidR="005213F6" w:rsidRPr="00D12CE8">
        <w:rPr>
          <w:rFonts w:ascii="Calibri" w:hAnsi="Calibri"/>
          <w:sz w:val="24"/>
          <w:szCs w:val="24"/>
          <w:lang w:val="en-GB"/>
        </w:rPr>
        <w:t>any Royal Engineers were distinguishe</w:t>
      </w:r>
      <w:r w:rsidR="00887D28" w:rsidRPr="00D12CE8">
        <w:rPr>
          <w:rFonts w:ascii="Calibri" w:hAnsi="Calibri"/>
          <w:sz w:val="24"/>
          <w:szCs w:val="24"/>
          <w:lang w:val="en-GB"/>
        </w:rPr>
        <w:t>d archaeologists and explorers’ and several ‘</w:t>
      </w:r>
      <w:r w:rsidR="005213F6" w:rsidRPr="00D12CE8">
        <w:rPr>
          <w:rFonts w:ascii="Calibri" w:hAnsi="Calibri"/>
          <w:sz w:val="24"/>
          <w:szCs w:val="24"/>
          <w:lang w:val="en-GB"/>
        </w:rPr>
        <w:t>became imperial admini</w:t>
      </w:r>
      <w:r w:rsidR="00887D28" w:rsidRPr="00D12CE8">
        <w:rPr>
          <w:rFonts w:ascii="Calibri" w:hAnsi="Calibri"/>
          <w:sz w:val="24"/>
          <w:szCs w:val="24"/>
          <w:lang w:val="en-GB"/>
        </w:rPr>
        <w:t>strators and colonial governors’</w:t>
      </w:r>
      <w:r w:rsidR="005213F6" w:rsidRPr="00D12CE8">
        <w:rPr>
          <w:rFonts w:ascii="Calibri" w:hAnsi="Calibri"/>
          <w:sz w:val="24"/>
          <w:szCs w:val="24"/>
          <w:lang w:val="en-GB"/>
        </w:rPr>
        <w:t xml:space="preserve">. </w:t>
      </w:r>
      <w:r w:rsidR="00CD69B6" w:rsidRPr="00D12CE8">
        <w:rPr>
          <w:rFonts w:ascii="Calibri" w:hAnsi="Calibri"/>
          <w:sz w:val="24"/>
          <w:szCs w:val="24"/>
          <w:lang w:val="en-GB"/>
        </w:rPr>
        <w:t xml:space="preserve">Objects that are chosen to tell this story </w:t>
      </w:r>
      <w:r w:rsidR="004F4944" w:rsidRPr="00D12CE8">
        <w:rPr>
          <w:rFonts w:ascii="Calibri" w:hAnsi="Calibri"/>
          <w:sz w:val="24"/>
          <w:szCs w:val="24"/>
          <w:lang w:val="en-GB"/>
        </w:rPr>
        <w:t xml:space="preserve">are, for example, mapping </w:t>
      </w:r>
      <w:r w:rsidR="000705BF" w:rsidRPr="00D12CE8">
        <w:rPr>
          <w:rFonts w:ascii="Calibri" w:hAnsi="Calibri"/>
          <w:sz w:val="24"/>
          <w:szCs w:val="24"/>
          <w:lang w:val="en-GB"/>
        </w:rPr>
        <w:t xml:space="preserve">and surveying devices –technologies of colonialism whereby land was catalogued, measured and apportioned between the imperial powers. In another part of the museum the </w:t>
      </w:r>
      <w:r w:rsidR="004D694A" w:rsidRPr="00D12CE8">
        <w:rPr>
          <w:rFonts w:ascii="Calibri" w:hAnsi="Calibri"/>
          <w:sz w:val="24"/>
          <w:szCs w:val="24"/>
          <w:lang w:val="en-GB"/>
        </w:rPr>
        <w:t>Engineers’ role in contemporary wars and occupations is celebrated</w:t>
      </w:r>
      <w:r w:rsidR="00B25B99" w:rsidRPr="00D12CE8">
        <w:rPr>
          <w:rFonts w:ascii="Calibri" w:hAnsi="Calibri"/>
          <w:sz w:val="24"/>
          <w:szCs w:val="24"/>
          <w:lang w:val="en-GB"/>
        </w:rPr>
        <w:t xml:space="preserve">: visitors can learn about the tools and equipment used to build Camp Bastion, as well as roads and railways (the infrastuctures of </w:t>
      </w:r>
      <w:r w:rsidR="00BC0FF4" w:rsidRPr="00D12CE8">
        <w:rPr>
          <w:rFonts w:ascii="Calibri" w:hAnsi="Calibri"/>
          <w:sz w:val="24"/>
          <w:szCs w:val="24"/>
          <w:lang w:val="en-GB"/>
        </w:rPr>
        <w:t xml:space="preserve">occupation). </w:t>
      </w:r>
      <w:r w:rsidR="00B03458" w:rsidRPr="00D12CE8">
        <w:rPr>
          <w:rFonts w:ascii="Calibri" w:hAnsi="Calibri"/>
          <w:sz w:val="24"/>
          <w:szCs w:val="24"/>
          <w:lang w:val="en-GB"/>
        </w:rPr>
        <w:t>This</w:t>
      </w:r>
      <w:r w:rsidRPr="00D12CE8">
        <w:rPr>
          <w:rFonts w:ascii="Calibri" w:hAnsi="Calibri"/>
          <w:sz w:val="24"/>
          <w:szCs w:val="24"/>
          <w:lang w:val="en-GB"/>
        </w:rPr>
        <w:t xml:space="preserve"> </w:t>
      </w:r>
      <w:r w:rsidR="00B03458" w:rsidRPr="00D12CE8">
        <w:rPr>
          <w:rFonts w:ascii="Calibri" w:hAnsi="Calibri"/>
          <w:sz w:val="24"/>
          <w:szCs w:val="24"/>
          <w:lang w:val="en-GB"/>
        </w:rPr>
        <w:t>m</w:t>
      </w:r>
      <w:r w:rsidRPr="00D12CE8">
        <w:rPr>
          <w:rFonts w:ascii="Calibri" w:hAnsi="Calibri"/>
          <w:sz w:val="24"/>
          <w:szCs w:val="24"/>
          <w:lang w:val="en-GB"/>
        </w:rPr>
        <w:t>useum is an outward ‘public’ facing valorisation of (ongoing) tech</w:t>
      </w:r>
      <w:r w:rsidR="00B03458" w:rsidRPr="00D12CE8">
        <w:rPr>
          <w:rFonts w:ascii="Calibri" w:hAnsi="Calibri"/>
          <w:sz w:val="24"/>
          <w:szCs w:val="24"/>
          <w:lang w:val="en-GB"/>
        </w:rPr>
        <w:t>nologies of colonial war</w:t>
      </w:r>
      <w:r w:rsidR="00AB5E14" w:rsidRPr="00D12CE8">
        <w:rPr>
          <w:rFonts w:ascii="Calibri" w:hAnsi="Calibri"/>
          <w:sz w:val="24"/>
          <w:szCs w:val="24"/>
          <w:lang w:val="en-GB"/>
        </w:rPr>
        <w:t>,</w:t>
      </w:r>
      <w:r w:rsidR="001A7847" w:rsidRPr="00D12CE8">
        <w:rPr>
          <w:rFonts w:ascii="Calibri" w:hAnsi="Calibri"/>
          <w:sz w:val="24"/>
          <w:szCs w:val="24"/>
          <w:lang w:val="en-GB"/>
        </w:rPr>
        <w:t xml:space="preserve"> and i</w:t>
      </w:r>
      <w:r w:rsidR="00B03458" w:rsidRPr="00D12CE8">
        <w:rPr>
          <w:rFonts w:ascii="Calibri" w:hAnsi="Calibri"/>
          <w:sz w:val="24"/>
          <w:szCs w:val="24"/>
          <w:lang w:val="en-GB"/>
        </w:rPr>
        <w:t>t</w:t>
      </w:r>
      <w:r w:rsidRPr="00D12CE8">
        <w:rPr>
          <w:rFonts w:ascii="Calibri" w:hAnsi="Calibri"/>
          <w:sz w:val="24"/>
          <w:szCs w:val="24"/>
          <w:lang w:val="en-GB"/>
        </w:rPr>
        <w:t>s exhibitions are littered with artefacts which were used in acts of dom</w:t>
      </w:r>
      <w:r w:rsidR="0020411A" w:rsidRPr="00D12CE8">
        <w:rPr>
          <w:rFonts w:ascii="Calibri" w:hAnsi="Calibri"/>
          <w:sz w:val="24"/>
          <w:szCs w:val="24"/>
          <w:lang w:val="en-GB"/>
        </w:rPr>
        <w:t>ination and dispossession. The m</w:t>
      </w:r>
      <w:r w:rsidRPr="00D12CE8">
        <w:rPr>
          <w:rFonts w:ascii="Calibri" w:hAnsi="Calibri"/>
          <w:sz w:val="24"/>
          <w:szCs w:val="24"/>
          <w:lang w:val="en-GB"/>
        </w:rPr>
        <w:t xml:space="preserve">useum captures many of the violent accruals and perpetuations of Empire and, as we go onto argue with the case of Snob, </w:t>
      </w:r>
      <w:r w:rsidR="00AB5E14" w:rsidRPr="00D12CE8">
        <w:rPr>
          <w:rFonts w:ascii="Calibri" w:hAnsi="Calibri"/>
          <w:sz w:val="24"/>
          <w:szCs w:val="24"/>
          <w:lang w:val="en-GB"/>
        </w:rPr>
        <w:t xml:space="preserve">its </w:t>
      </w:r>
      <w:r w:rsidRPr="00D12CE8">
        <w:rPr>
          <w:rFonts w:ascii="Calibri" w:hAnsi="Calibri"/>
          <w:sz w:val="24"/>
          <w:szCs w:val="24"/>
          <w:lang w:val="en-GB"/>
        </w:rPr>
        <w:t>exhibitions</w:t>
      </w:r>
      <w:r w:rsidR="000D0F79" w:rsidRPr="00D12CE8">
        <w:rPr>
          <w:rFonts w:ascii="Calibri" w:hAnsi="Calibri"/>
          <w:sz w:val="24"/>
          <w:szCs w:val="24"/>
          <w:lang w:val="en-GB"/>
        </w:rPr>
        <w:t xml:space="preserve"> w</w:t>
      </w:r>
      <w:r w:rsidRPr="00D12CE8">
        <w:rPr>
          <w:rFonts w:ascii="Calibri" w:hAnsi="Calibri"/>
          <w:sz w:val="24"/>
          <w:szCs w:val="24"/>
          <w:lang w:val="en-GB"/>
        </w:rPr>
        <w:t xml:space="preserve">ork to normalise and </w:t>
      </w:r>
      <w:r w:rsidR="00CD69B6" w:rsidRPr="00D12CE8">
        <w:rPr>
          <w:rFonts w:ascii="Calibri" w:hAnsi="Calibri"/>
          <w:sz w:val="24"/>
          <w:szCs w:val="24"/>
          <w:lang w:val="en-GB"/>
        </w:rPr>
        <w:t>obscure</w:t>
      </w:r>
      <w:r w:rsidRPr="00D12CE8">
        <w:rPr>
          <w:rFonts w:ascii="Calibri" w:hAnsi="Calibri"/>
          <w:sz w:val="24"/>
          <w:szCs w:val="24"/>
          <w:lang w:val="en-GB"/>
        </w:rPr>
        <w:t xml:space="preserve"> these dynamics through particular curatorial strategies. </w:t>
      </w:r>
    </w:p>
    <w:p w14:paraId="42F82B9D" w14:textId="77777777" w:rsidR="00980B41" w:rsidRPr="006974E9" w:rsidRDefault="00980B41">
      <w:pPr>
        <w:pStyle w:val="Normal1"/>
        <w:jc w:val="both"/>
        <w:rPr>
          <w:rFonts w:ascii="Calibri" w:hAnsi="Calibri"/>
          <w:color w:val="383735"/>
          <w:sz w:val="26"/>
          <w:szCs w:val="26"/>
          <w:lang w:val="en-GB"/>
        </w:rPr>
      </w:pPr>
    </w:p>
    <w:p w14:paraId="2BC1754D" w14:textId="2EF68715" w:rsidR="00E84C7C" w:rsidRPr="006974E9" w:rsidRDefault="0020411A">
      <w:pPr>
        <w:pStyle w:val="Normal1"/>
        <w:jc w:val="both"/>
        <w:rPr>
          <w:rFonts w:ascii="Calibri" w:hAnsi="Calibri"/>
          <w:lang w:val="en-GB"/>
        </w:rPr>
      </w:pPr>
      <w:r w:rsidRPr="006974E9">
        <w:rPr>
          <w:rFonts w:ascii="Calibri" w:hAnsi="Calibri"/>
          <w:lang w:val="en-GB"/>
        </w:rPr>
        <w:lastRenderedPageBreak/>
        <w:t>Exploring</w:t>
      </w:r>
      <w:r w:rsidR="008D59D5" w:rsidRPr="006974E9">
        <w:rPr>
          <w:rFonts w:ascii="Calibri" w:hAnsi="Calibri"/>
          <w:lang w:val="en-GB"/>
        </w:rPr>
        <w:t xml:space="preserve"> museums as imp</w:t>
      </w:r>
      <w:r w:rsidRPr="006974E9">
        <w:rPr>
          <w:rFonts w:ascii="Calibri" w:hAnsi="Calibri"/>
          <w:lang w:val="en-GB"/>
        </w:rPr>
        <w:t>erial debris</w:t>
      </w:r>
      <w:r w:rsidR="008D59D5" w:rsidRPr="006974E9">
        <w:rPr>
          <w:rFonts w:ascii="Calibri" w:hAnsi="Calibri"/>
          <w:lang w:val="en-GB"/>
        </w:rPr>
        <w:t xml:space="preserve"> go</w:t>
      </w:r>
      <w:r w:rsidRPr="006974E9">
        <w:rPr>
          <w:rFonts w:ascii="Calibri" w:hAnsi="Calibri"/>
          <w:lang w:val="en-GB"/>
        </w:rPr>
        <w:t>es</w:t>
      </w:r>
      <w:r w:rsidR="008D59D5" w:rsidRPr="006974E9">
        <w:rPr>
          <w:rFonts w:ascii="Calibri" w:hAnsi="Calibri"/>
          <w:lang w:val="en-GB"/>
        </w:rPr>
        <w:t xml:space="preserve"> beyond recognising and tracing the artefacts an</w:t>
      </w:r>
      <w:r w:rsidRPr="006974E9">
        <w:rPr>
          <w:rFonts w:ascii="Calibri" w:hAnsi="Calibri"/>
          <w:lang w:val="en-GB"/>
        </w:rPr>
        <w:t>d structural conditions of the m</w:t>
      </w:r>
      <w:r w:rsidR="008D59D5" w:rsidRPr="006974E9">
        <w:rPr>
          <w:rFonts w:ascii="Calibri" w:hAnsi="Calibri"/>
          <w:lang w:val="en-GB"/>
        </w:rPr>
        <w:t>useu</w:t>
      </w:r>
      <w:r w:rsidR="001E511B" w:rsidRPr="006974E9">
        <w:rPr>
          <w:rFonts w:ascii="Calibri" w:hAnsi="Calibri"/>
          <w:lang w:val="en-GB"/>
        </w:rPr>
        <w:t>m as an institution; i</w:t>
      </w:r>
      <w:r w:rsidRPr="006974E9">
        <w:rPr>
          <w:rFonts w:ascii="Calibri" w:hAnsi="Calibri"/>
          <w:lang w:val="en-GB"/>
        </w:rPr>
        <w:t xml:space="preserve">t </w:t>
      </w:r>
      <w:r w:rsidR="008D59D5" w:rsidRPr="006974E9">
        <w:rPr>
          <w:rFonts w:ascii="Calibri" w:hAnsi="Calibri"/>
          <w:lang w:val="en-GB"/>
        </w:rPr>
        <w:t xml:space="preserve">requires </w:t>
      </w:r>
      <w:r w:rsidR="000D0F79" w:rsidRPr="001C70B3">
        <w:rPr>
          <w:rFonts w:ascii="Calibri" w:hAnsi="Calibri"/>
          <w:lang w:val="en-GB"/>
        </w:rPr>
        <w:t>the researcher</w:t>
      </w:r>
      <w:r w:rsidR="008D59D5" w:rsidRPr="006974E9">
        <w:rPr>
          <w:rFonts w:ascii="Calibri" w:hAnsi="Calibri"/>
          <w:lang w:val="en-GB"/>
        </w:rPr>
        <w:t xml:space="preserve"> to pay attention to how museums organise and address visitors,</w:t>
      </w:r>
      <w:r w:rsidR="001E511B" w:rsidRPr="006974E9">
        <w:rPr>
          <w:rFonts w:ascii="Calibri" w:hAnsi="Calibri"/>
          <w:lang w:val="en-GB"/>
        </w:rPr>
        <w:t xml:space="preserve"> researchers and so on. This matters for</w:t>
      </w:r>
      <w:r w:rsidR="008D59D5" w:rsidRPr="006974E9">
        <w:rPr>
          <w:rFonts w:ascii="Calibri" w:hAnsi="Calibri"/>
          <w:lang w:val="en-GB"/>
        </w:rPr>
        <w:t xml:space="preserve"> methodology. For example, the visitor being called upon by powerful retellings of British imperial history is a potent part of the heritage industry in the UK</w:t>
      </w:r>
      <w:r w:rsidR="001E511B" w:rsidRPr="006974E9">
        <w:rPr>
          <w:rFonts w:ascii="Calibri" w:hAnsi="Calibri"/>
          <w:lang w:val="en-GB"/>
        </w:rPr>
        <w:t xml:space="preserve"> which, as </w:t>
      </w:r>
      <w:r w:rsidR="002B5F2C" w:rsidRPr="006974E9">
        <w:rPr>
          <w:rFonts w:ascii="Calibri" w:hAnsi="Calibri"/>
          <w:lang w:val="en-GB"/>
        </w:rPr>
        <w:t>Divya Tolia-Kelly</w:t>
      </w:r>
      <w:r w:rsidR="001E511B" w:rsidRPr="006974E9">
        <w:rPr>
          <w:rFonts w:ascii="Calibri" w:hAnsi="Calibri"/>
          <w:lang w:val="en-GB"/>
        </w:rPr>
        <w:t xml:space="preserve"> </w:t>
      </w:r>
      <w:r w:rsidR="002B5F2C" w:rsidRPr="006974E9">
        <w:rPr>
          <w:rFonts w:ascii="Calibri" w:hAnsi="Calibri"/>
          <w:lang w:val="en-GB"/>
        </w:rPr>
        <w:t xml:space="preserve">has shown, </w:t>
      </w:r>
      <w:r w:rsidR="001E511B" w:rsidRPr="006974E9">
        <w:rPr>
          <w:rFonts w:ascii="Calibri" w:hAnsi="Calibri"/>
          <w:lang w:val="en-GB"/>
        </w:rPr>
        <w:t>relies on a deeply raciali</w:t>
      </w:r>
      <w:r w:rsidR="00AB5E14">
        <w:rPr>
          <w:rFonts w:ascii="Calibri" w:hAnsi="Calibri"/>
          <w:lang w:val="en-GB"/>
        </w:rPr>
        <w:t>s</w:t>
      </w:r>
      <w:r w:rsidR="001E511B" w:rsidRPr="006974E9">
        <w:rPr>
          <w:rFonts w:ascii="Calibri" w:hAnsi="Calibri"/>
          <w:lang w:val="en-GB"/>
        </w:rPr>
        <w:t>ed affective politic</w:t>
      </w:r>
      <w:r w:rsidR="002B5F2C" w:rsidRPr="006974E9">
        <w:rPr>
          <w:rFonts w:ascii="Calibri" w:hAnsi="Calibri"/>
          <w:lang w:val="en-GB"/>
        </w:rPr>
        <w:t xml:space="preserve">s that </w:t>
      </w:r>
      <w:r w:rsidR="008D59D5" w:rsidRPr="006974E9">
        <w:rPr>
          <w:rFonts w:ascii="Calibri" w:hAnsi="Calibri"/>
          <w:lang w:val="en-GB"/>
        </w:rPr>
        <w:t>interpellates</w:t>
      </w:r>
      <w:r w:rsidR="001462C3">
        <w:rPr>
          <w:rFonts w:ascii="Calibri" w:hAnsi="Calibri"/>
          <w:lang w:val="en-GB"/>
        </w:rPr>
        <w:t xml:space="preserve"> (hails or addresses)</w:t>
      </w:r>
      <w:r w:rsidR="008D59D5" w:rsidRPr="006974E9">
        <w:rPr>
          <w:rFonts w:ascii="Calibri" w:hAnsi="Calibri"/>
          <w:lang w:val="en-GB"/>
        </w:rPr>
        <w:t xml:space="preserve"> people based upon colonial schemas of human worth</w:t>
      </w:r>
      <w:r w:rsidR="002B5F2C" w:rsidRPr="006974E9">
        <w:rPr>
          <w:rFonts w:ascii="Calibri" w:hAnsi="Calibri"/>
          <w:vertAlign w:val="superscript"/>
          <w:lang w:val="en-GB"/>
        </w:rPr>
        <w:footnoteReference w:id="33"/>
      </w:r>
      <w:r w:rsidR="008049BF">
        <w:rPr>
          <w:rFonts w:ascii="Calibri" w:hAnsi="Calibri"/>
          <w:lang w:val="en-GB"/>
        </w:rPr>
        <w:t>.</w:t>
      </w:r>
      <w:r w:rsidR="008D59D5" w:rsidRPr="006974E9">
        <w:rPr>
          <w:rFonts w:ascii="Calibri" w:hAnsi="Calibri"/>
          <w:lang w:val="en-GB"/>
        </w:rPr>
        <w:t xml:space="preserve"> </w:t>
      </w:r>
      <w:r w:rsidR="001462C3">
        <w:rPr>
          <w:rFonts w:ascii="Calibri" w:hAnsi="Calibri"/>
          <w:lang w:val="en-GB"/>
        </w:rPr>
        <w:t>We might consider here h</w:t>
      </w:r>
      <w:r w:rsidR="008D59D5" w:rsidRPr="006974E9">
        <w:rPr>
          <w:rFonts w:ascii="Calibri" w:hAnsi="Calibri"/>
          <w:lang w:val="en-GB"/>
        </w:rPr>
        <w:t xml:space="preserve">ow </w:t>
      </w:r>
      <w:r w:rsidR="007D43D4">
        <w:rPr>
          <w:rFonts w:ascii="Calibri" w:hAnsi="Calibri"/>
          <w:lang w:val="en-GB"/>
        </w:rPr>
        <w:t>m</w:t>
      </w:r>
      <w:r w:rsidR="008D59D5" w:rsidRPr="006974E9">
        <w:rPr>
          <w:rFonts w:ascii="Calibri" w:hAnsi="Calibri"/>
          <w:lang w:val="en-GB"/>
        </w:rPr>
        <w:t>useum exhibitions</w:t>
      </w:r>
      <w:r w:rsidR="007D43D4">
        <w:rPr>
          <w:rFonts w:ascii="Calibri" w:hAnsi="Calibri"/>
          <w:lang w:val="en-GB"/>
        </w:rPr>
        <w:t xml:space="preserve"> appeal to visitors</w:t>
      </w:r>
      <w:r w:rsidR="008D59D5" w:rsidRPr="006974E9">
        <w:rPr>
          <w:rFonts w:ascii="Calibri" w:hAnsi="Calibri"/>
          <w:lang w:val="en-GB"/>
        </w:rPr>
        <w:t xml:space="preserve"> through the construction of spaces</w:t>
      </w:r>
      <w:r w:rsidR="007D43D4">
        <w:rPr>
          <w:rFonts w:ascii="Calibri" w:hAnsi="Calibri"/>
          <w:lang w:val="en-GB"/>
        </w:rPr>
        <w:t xml:space="preserve"> </w:t>
      </w:r>
      <w:r w:rsidR="001462C3">
        <w:rPr>
          <w:rFonts w:ascii="Calibri" w:hAnsi="Calibri"/>
          <w:lang w:val="en-GB"/>
        </w:rPr>
        <w:t xml:space="preserve">which </w:t>
      </w:r>
      <w:r w:rsidR="007D43D4">
        <w:rPr>
          <w:rFonts w:ascii="Calibri" w:hAnsi="Calibri"/>
          <w:lang w:val="en-GB"/>
        </w:rPr>
        <w:t>d</w:t>
      </w:r>
      <w:r w:rsidR="008D59D5" w:rsidRPr="006974E9">
        <w:rPr>
          <w:rFonts w:ascii="Calibri" w:hAnsi="Calibri"/>
          <w:lang w:val="en-GB"/>
        </w:rPr>
        <w:t>istinguish</w:t>
      </w:r>
      <w:r w:rsidR="001462C3">
        <w:rPr>
          <w:rFonts w:ascii="Calibri" w:hAnsi="Calibri"/>
          <w:lang w:val="en-GB"/>
        </w:rPr>
        <w:t xml:space="preserve"> or mark out</w:t>
      </w:r>
      <w:r w:rsidR="008D59D5" w:rsidRPr="006974E9">
        <w:rPr>
          <w:rFonts w:ascii="Calibri" w:hAnsi="Calibri"/>
          <w:lang w:val="en-GB"/>
        </w:rPr>
        <w:t xml:space="preserve"> white bodi</w:t>
      </w:r>
      <w:r w:rsidR="002B5F2C" w:rsidRPr="006974E9">
        <w:rPr>
          <w:rFonts w:ascii="Calibri" w:hAnsi="Calibri"/>
          <w:lang w:val="en-GB"/>
        </w:rPr>
        <w:t>es as citiz</w:t>
      </w:r>
      <w:r w:rsidR="005E7C75" w:rsidRPr="006974E9">
        <w:rPr>
          <w:rFonts w:ascii="Calibri" w:hAnsi="Calibri"/>
          <w:lang w:val="en-GB"/>
        </w:rPr>
        <w:t>ens ‘who fit’. T</w:t>
      </w:r>
      <w:r w:rsidR="008D59D5" w:rsidRPr="006974E9">
        <w:rPr>
          <w:rFonts w:ascii="Calibri" w:hAnsi="Calibri"/>
          <w:lang w:val="en-GB"/>
        </w:rPr>
        <w:t>his frequently works to raciali</w:t>
      </w:r>
      <w:r w:rsidR="00AB5E14">
        <w:rPr>
          <w:rFonts w:ascii="Calibri" w:hAnsi="Calibri"/>
          <w:lang w:val="en-GB"/>
        </w:rPr>
        <w:t>s</w:t>
      </w:r>
      <w:r w:rsidR="008D59D5" w:rsidRPr="006974E9">
        <w:rPr>
          <w:rFonts w:ascii="Calibri" w:hAnsi="Calibri"/>
          <w:lang w:val="en-GB"/>
        </w:rPr>
        <w:t xml:space="preserve">e </w:t>
      </w:r>
      <w:r w:rsidR="007D43D4">
        <w:rPr>
          <w:rFonts w:ascii="Calibri" w:hAnsi="Calibri"/>
          <w:lang w:val="en-GB"/>
        </w:rPr>
        <w:t xml:space="preserve">those who the </w:t>
      </w:r>
      <w:r w:rsidR="001462C3">
        <w:rPr>
          <w:rFonts w:ascii="Calibri" w:hAnsi="Calibri"/>
          <w:lang w:val="en-GB"/>
        </w:rPr>
        <w:t xml:space="preserve">institution and </w:t>
      </w:r>
      <w:r w:rsidR="007D43D4">
        <w:rPr>
          <w:rFonts w:ascii="Calibri" w:hAnsi="Calibri"/>
          <w:lang w:val="en-GB"/>
        </w:rPr>
        <w:t xml:space="preserve">space codes </w:t>
      </w:r>
      <w:r w:rsidR="008D59D5" w:rsidRPr="006974E9">
        <w:rPr>
          <w:rFonts w:ascii="Calibri" w:hAnsi="Calibri"/>
          <w:lang w:val="en-GB"/>
        </w:rPr>
        <w:t>as out of place, spoken about rather than to, or as objects fixed upon by</w:t>
      </w:r>
      <w:r w:rsidR="0077463B">
        <w:rPr>
          <w:rFonts w:ascii="Calibri" w:hAnsi="Calibri"/>
          <w:lang w:val="en-GB"/>
        </w:rPr>
        <w:t xml:space="preserve"> colonial r</w:t>
      </w:r>
      <w:r w:rsidR="008D59D5" w:rsidRPr="006974E9">
        <w:rPr>
          <w:rFonts w:ascii="Calibri" w:hAnsi="Calibri"/>
          <w:lang w:val="en-GB"/>
        </w:rPr>
        <w:t>etellings of history (colonialism as nostalgia, of white liberal guilt and so on)</w:t>
      </w:r>
      <w:r w:rsidR="002E1F1A" w:rsidRPr="006974E9">
        <w:rPr>
          <w:rStyle w:val="FootnoteReference"/>
          <w:rFonts w:ascii="Calibri" w:hAnsi="Calibri"/>
          <w:lang w:val="en-GB"/>
        </w:rPr>
        <w:footnoteReference w:id="34"/>
      </w:r>
      <w:r w:rsidR="0077463B">
        <w:rPr>
          <w:rFonts w:ascii="Calibri" w:hAnsi="Calibri"/>
          <w:lang w:val="en-GB"/>
        </w:rPr>
        <w:t>.</w:t>
      </w:r>
      <w:r w:rsidR="008D59D5" w:rsidRPr="006974E9">
        <w:rPr>
          <w:rFonts w:ascii="Calibri" w:hAnsi="Calibri"/>
          <w:lang w:val="en-GB"/>
        </w:rPr>
        <w:t xml:space="preserve"> </w:t>
      </w:r>
    </w:p>
    <w:p w14:paraId="700A9073" w14:textId="77777777" w:rsidR="003B40A7" w:rsidRPr="006974E9" w:rsidRDefault="003B40A7">
      <w:pPr>
        <w:pStyle w:val="Normal1"/>
        <w:jc w:val="both"/>
        <w:rPr>
          <w:rFonts w:ascii="Calibri" w:hAnsi="Calibri"/>
          <w:lang w:val="en-GB"/>
        </w:rPr>
      </w:pPr>
    </w:p>
    <w:p w14:paraId="52D200CC" w14:textId="685A6088" w:rsidR="00980B41" w:rsidRPr="006974E9" w:rsidRDefault="0013062B">
      <w:pPr>
        <w:pStyle w:val="Normal1"/>
        <w:jc w:val="both"/>
        <w:rPr>
          <w:rFonts w:ascii="Calibri" w:hAnsi="Calibri"/>
          <w:lang w:val="en-GB"/>
        </w:rPr>
      </w:pPr>
      <w:r>
        <w:rPr>
          <w:rFonts w:ascii="Calibri" w:hAnsi="Calibri"/>
          <w:lang w:val="en-GB"/>
        </w:rPr>
        <w:t xml:space="preserve">A method for studying museums that uses the positionality of the researcher as a tool of inquiry requires careful reflection on who is </w:t>
      </w:r>
      <w:r w:rsidR="007643DB">
        <w:rPr>
          <w:rFonts w:ascii="Calibri" w:hAnsi="Calibri"/>
          <w:lang w:val="en-GB"/>
        </w:rPr>
        <w:t xml:space="preserve">being </w:t>
      </w:r>
      <w:r>
        <w:rPr>
          <w:rFonts w:ascii="Calibri" w:hAnsi="Calibri"/>
          <w:lang w:val="en-GB"/>
        </w:rPr>
        <w:t xml:space="preserve">addressed and in what ways within a museum setting. </w:t>
      </w:r>
      <w:r w:rsidR="00E84C7C" w:rsidRPr="006974E9">
        <w:rPr>
          <w:rFonts w:ascii="Calibri" w:hAnsi="Calibri"/>
          <w:lang w:val="en-GB"/>
        </w:rPr>
        <w:t xml:space="preserve">Encountering </w:t>
      </w:r>
      <w:r w:rsidR="004E356F" w:rsidRPr="006974E9">
        <w:rPr>
          <w:rFonts w:ascii="Calibri" w:hAnsi="Calibri"/>
          <w:lang w:val="en-GB"/>
        </w:rPr>
        <w:t>a museum as researcher</w:t>
      </w:r>
      <w:r w:rsidR="00D05D61">
        <w:rPr>
          <w:rFonts w:ascii="Calibri" w:hAnsi="Calibri"/>
          <w:lang w:val="en-GB"/>
        </w:rPr>
        <w:t>s</w:t>
      </w:r>
      <w:r w:rsidR="00AB5E14">
        <w:rPr>
          <w:rFonts w:ascii="Calibri" w:hAnsi="Calibri"/>
          <w:lang w:val="en-GB"/>
        </w:rPr>
        <w:t>,</w:t>
      </w:r>
      <w:r w:rsidR="004E356F" w:rsidRPr="006974E9">
        <w:rPr>
          <w:rFonts w:ascii="Calibri" w:hAnsi="Calibri"/>
          <w:lang w:val="en-GB"/>
        </w:rPr>
        <w:t xml:space="preserve"> </w:t>
      </w:r>
      <w:r w:rsidR="00FD318D" w:rsidRPr="006974E9">
        <w:rPr>
          <w:rFonts w:ascii="Calibri" w:hAnsi="Calibri"/>
          <w:lang w:val="en-GB"/>
        </w:rPr>
        <w:t xml:space="preserve">we may be </w:t>
      </w:r>
      <w:r w:rsidR="00E84C7C" w:rsidRPr="006974E9">
        <w:rPr>
          <w:rFonts w:ascii="Calibri" w:hAnsi="Calibri"/>
          <w:lang w:val="en-GB"/>
        </w:rPr>
        <w:t>entering a</w:t>
      </w:r>
      <w:r w:rsidR="008D59D5" w:rsidRPr="006974E9">
        <w:rPr>
          <w:rFonts w:ascii="Calibri" w:hAnsi="Calibri"/>
          <w:lang w:val="en-GB"/>
        </w:rPr>
        <w:t xml:space="preserve"> familiar space, </w:t>
      </w:r>
      <w:r w:rsidR="00E84C7C" w:rsidRPr="006974E9">
        <w:rPr>
          <w:rFonts w:ascii="Calibri" w:hAnsi="Calibri"/>
          <w:lang w:val="en-GB"/>
        </w:rPr>
        <w:t xml:space="preserve">one in which </w:t>
      </w:r>
      <w:r w:rsidR="007643DB">
        <w:rPr>
          <w:rFonts w:ascii="Calibri" w:hAnsi="Calibri"/>
          <w:lang w:val="en-GB"/>
        </w:rPr>
        <w:t xml:space="preserve">we have </w:t>
      </w:r>
      <w:r w:rsidR="008B367E" w:rsidRPr="006974E9">
        <w:rPr>
          <w:rFonts w:ascii="Calibri" w:hAnsi="Calibri"/>
          <w:lang w:val="en-GB"/>
        </w:rPr>
        <w:t>already</w:t>
      </w:r>
      <w:r w:rsidR="008D59D5" w:rsidRPr="006974E9">
        <w:rPr>
          <w:rFonts w:ascii="Calibri" w:hAnsi="Calibri"/>
          <w:lang w:val="en-GB"/>
        </w:rPr>
        <w:t xml:space="preserve"> been invited to play a role in the making of </w:t>
      </w:r>
      <w:r w:rsidR="006B29E8">
        <w:rPr>
          <w:rFonts w:ascii="Calibri" w:hAnsi="Calibri"/>
          <w:lang w:val="en-GB"/>
        </w:rPr>
        <w:t xml:space="preserve">national identity, </w:t>
      </w:r>
      <w:r w:rsidR="008D59D5" w:rsidRPr="006974E9">
        <w:rPr>
          <w:rFonts w:ascii="Calibri" w:hAnsi="Calibri"/>
          <w:lang w:val="en-GB"/>
        </w:rPr>
        <w:t>or</w:t>
      </w:r>
      <w:r w:rsidR="00FD318D" w:rsidRPr="006974E9">
        <w:rPr>
          <w:rFonts w:ascii="Calibri" w:hAnsi="Calibri"/>
          <w:lang w:val="en-GB"/>
        </w:rPr>
        <w:t xml:space="preserve"> </w:t>
      </w:r>
      <w:r>
        <w:rPr>
          <w:rFonts w:ascii="Calibri" w:hAnsi="Calibri"/>
          <w:lang w:val="en-GB"/>
        </w:rPr>
        <w:t xml:space="preserve">we may be </w:t>
      </w:r>
      <w:r w:rsidR="00FD318D" w:rsidRPr="006974E9">
        <w:rPr>
          <w:rFonts w:ascii="Calibri" w:hAnsi="Calibri"/>
          <w:lang w:val="en-GB"/>
        </w:rPr>
        <w:t>placed in an exclusionary</w:t>
      </w:r>
      <w:r w:rsidR="008D59D5" w:rsidRPr="006974E9">
        <w:rPr>
          <w:rFonts w:ascii="Calibri" w:hAnsi="Calibri"/>
          <w:lang w:val="en-GB"/>
        </w:rPr>
        <w:t>, partial or marginal position from it. As white lower</w:t>
      </w:r>
      <w:r w:rsidR="000F7ACB">
        <w:rPr>
          <w:rFonts w:ascii="Calibri" w:hAnsi="Calibri"/>
          <w:lang w:val="en-GB"/>
        </w:rPr>
        <w:t xml:space="preserve"> </w:t>
      </w:r>
      <w:r w:rsidR="008D59D5" w:rsidRPr="006974E9">
        <w:rPr>
          <w:rFonts w:ascii="Calibri" w:hAnsi="Calibri"/>
          <w:lang w:val="en-GB"/>
        </w:rPr>
        <w:t>middle class children growing up in the UK the museum was a mainstay of ‘educational’ family trips, a place to press noses against glass to look at skeletons, get bored in the Saxon pottery exhibit, and - if we were good - bu</w:t>
      </w:r>
      <w:r w:rsidR="00FD318D" w:rsidRPr="006974E9">
        <w:rPr>
          <w:rFonts w:ascii="Calibri" w:hAnsi="Calibri"/>
          <w:lang w:val="en-GB"/>
        </w:rPr>
        <w:t>y an eraser from the shop. S</w:t>
      </w:r>
      <w:r w:rsidR="008D59D5" w:rsidRPr="006974E9">
        <w:rPr>
          <w:rFonts w:ascii="Calibri" w:hAnsi="Calibri"/>
          <w:lang w:val="en-GB"/>
        </w:rPr>
        <w:t xml:space="preserve">uch experiences are deeply embedded in the museum as imperial debris. Museums in postcolonial states like the UK are deeply racialised just as they are bound to bourgeois conceptions of the citizen. </w:t>
      </w:r>
      <w:r w:rsidR="00AB5E14">
        <w:rPr>
          <w:rFonts w:ascii="Calibri" w:hAnsi="Calibri"/>
          <w:lang w:val="en-GB"/>
        </w:rPr>
        <w:t>T</w:t>
      </w:r>
      <w:r w:rsidR="008D59D5" w:rsidRPr="006974E9">
        <w:rPr>
          <w:rFonts w:ascii="Calibri" w:hAnsi="Calibri"/>
          <w:lang w:val="en-GB"/>
        </w:rPr>
        <w:t>hey relate a class logic about the good citizen as a subject that should access</w:t>
      </w:r>
      <w:r w:rsidR="000F7ACB">
        <w:rPr>
          <w:rFonts w:ascii="Calibri" w:hAnsi="Calibri"/>
          <w:lang w:val="en-GB"/>
        </w:rPr>
        <w:t xml:space="preserve"> and </w:t>
      </w:r>
      <w:r w:rsidR="008D59D5" w:rsidRPr="006974E9">
        <w:rPr>
          <w:rFonts w:ascii="Calibri" w:hAnsi="Calibri"/>
          <w:lang w:val="en-GB"/>
        </w:rPr>
        <w:t>learn national</w:t>
      </w:r>
      <w:r w:rsidR="000F7ACB">
        <w:rPr>
          <w:rFonts w:ascii="Calibri" w:hAnsi="Calibri"/>
          <w:lang w:val="en-GB"/>
        </w:rPr>
        <w:t xml:space="preserve"> (</w:t>
      </w:r>
      <w:r w:rsidR="00012B64">
        <w:rPr>
          <w:rFonts w:ascii="Calibri" w:hAnsi="Calibri"/>
          <w:lang w:val="en-GB"/>
        </w:rPr>
        <w:t xml:space="preserve">which is in the UK case </w:t>
      </w:r>
      <w:r w:rsidR="008D59D5" w:rsidRPr="006974E9">
        <w:rPr>
          <w:rFonts w:ascii="Calibri" w:hAnsi="Calibri"/>
          <w:lang w:val="en-GB"/>
        </w:rPr>
        <w:t>imperial</w:t>
      </w:r>
      <w:r w:rsidR="000F7ACB">
        <w:rPr>
          <w:rFonts w:ascii="Calibri" w:hAnsi="Calibri"/>
          <w:lang w:val="en-GB"/>
        </w:rPr>
        <w:t>)</w:t>
      </w:r>
      <w:r w:rsidR="008D59D5" w:rsidRPr="006974E9">
        <w:rPr>
          <w:rFonts w:ascii="Calibri" w:hAnsi="Calibri"/>
          <w:lang w:val="en-GB"/>
        </w:rPr>
        <w:t xml:space="preserve"> history and culture. The class and race logics which shaped our experience of museums as sites of ‘familiarity’ work to stratify the affective politics of these spaces. </w:t>
      </w:r>
      <w:r w:rsidR="00E210B6" w:rsidRPr="006974E9">
        <w:rPr>
          <w:rFonts w:ascii="Calibri" w:hAnsi="Calibri"/>
          <w:lang w:val="en-GB"/>
        </w:rPr>
        <w:t>W</w:t>
      </w:r>
      <w:r w:rsidR="008D59D5" w:rsidRPr="006974E9">
        <w:rPr>
          <w:rFonts w:ascii="Calibri" w:hAnsi="Calibri"/>
          <w:lang w:val="en-GB"/>
        </w:rPr>
        <w:t>orking class children are invited into museums as places of aspirational citizenship through school visits, but of course how these subjects and populations are addressed is cut through with other organising principles of race, gender and sexuality</w:t>
      </w:r>
      <w:r w:rsidR="00012B64">
        <w:rPr>
          <w:rStyle w:val="FootnoteReference"/>
          <w:rFonts w:ascii="Calibri" w:hAnsi="Calibri"/>
          <w:lang w:val="en-GB"/>
        </w:rPr>
        <w:footnoteReference w:id="35"/>
      </w:r>
      <w:r w:rsidR="008D59D5" w:rsidRPr="006974E9">
        <w:rPr>
          <w:rFonts w:ascii="Calibri" w:hAnsi="Calibri"/>
          <w:lang w:val="en-GB"/>
        </w:rPr>
        <w:t>. A white working</w:t>
      </w:r>
      <w:r w:rsidR="00AB5E14">
        <w:rPr>
          <w:rFonts w:ascii="Calibri" w:hAnsi="Calibri"/>
          <w:lang w:val="en-GB"/>
        </w:rPr>
        <w:t>-</w:t>
      </w:r>
      <w:r w:rsidR="008D59D5" w:rsidRPr="006974E9">
        <w:rPr>
          <w:rFonts w:ascii="Calibri" w:hAnsi="Calibri"/>
          <w:lang w:val="en-GB"/>
        </w:rPr>
        <w:t xml:space="preserve">class child </w:t>
      </w:r>
      <w:r w:rsidR="005710A1">
        <w:rPr>
          <w:rFonts w:ascii="Calibri" w:hAnsi="Calibri"/>
          <w:lang w:val="en-GB"/>
        </w:rPr>
        <w:t xml:space="preserve">might </w:t>
      </w:r>
      <w:r w:rsidR="008D59D5" w:rsidRPr="006974E9">
        <w:rPr>
          <w:rFonts w:ascii="Calibri" w:hAnsi="Calibri"/>
          <w:lang w:val="en-GB"/>
        </w:rPr>
        <w:t>be addressed by narratives of Empire in radically different ways to a working</w:t>
      </w:r>
      <w:r w:rsidR="000B7B6B">
        <w:rPr>
          <w:rFonts w:ascii="Calibri" w:hAnsi="Calibri"/>
          <w:lang w:val="en-GB"/>
        </w:rPr>
        <w:t xml:space="preserve"> </w:t>
      </w:r>
      <w:r w:rsidR="008D59D5" w:rsidRPr="006974E9">
        <w:rPr>
          <w:rFonts w:ascii="Calibri" w:hAnsi="Calibri"/>
          <w:lang w:val="en-GB"/>
        </w:rPr>
        <w:t xml:space="preserve">class child of colour. Tolia-Kelly and Raymond record how Maori </w:t>
      </w:r>
      <w:r w:rsidR="00E210B6" w:rsidRPr="006974E9">
        <w:rPr>
          <w:rFonts w:ascii="Calibri" w:hAnsi="Calibri"/>
          <w:lang w:val="en-GB"/>
        </w:rPr>
        <w:t xml:space="preserve">research </w:t>
      </w:r>
      <w:r w:rsidR="008D59D5" w:rsidRPr="006974E9">
        <w:rPr>
          <w:rFonts w:ascii="Calibri" w:hAnsi="Calibri"/>
          <w:lang w:val="en-GB"/>
        </w:rPr>
        <w:t>participa</w:t>
      </w:r>
      <w:r w:rsidR="00CD69B6">
        <w:rPr>
          <w:rFonts w:ascii="Calibri" w:hAnsi="Calibri"/>
          <w:lang w:val="en-GB"/>
        </w:rPr>
        <w:t>nts</w:t>
      </w:r>
      <w:r w:rsidR="008D59D5" w:rsidRPr="006974E9">
        <w:rPr>
          <w:rFonts w:ascii="Calibri" w:hAnsi="Calibri"/>
          <w:lang w:val="en-GB"/>
        </w:rPr>
        <w:t xml:space="preserve"> experienced the imperial debris of museums and galleries </w:t>
      </w:r>
      <w:r w:rsidR="00D33E6E">
        <w:rPr>
          <w:rFonts w:ascii="Calibri" w:hAnsi="Calibri"/>
          <w:lang w:val="en-GB"/>
        </w:rPr>
        <w:t xml:space="preserve">at the British Museum </w:t>
      </w:r>
      <w:r w:rsidR="008D59D5" w:rsidRPr="006974E9">
        <w:rPr>
          <w:rFonts w:ascii="Calibri" w:hAnsi="Calibri"/>
          <w:lang w:val="en-GB"/>
        </w:rPr>
        <w:t>as ‘theatres of pain’, sites of ‘dismemberment’ and ‘disempowerment’.</w:t>
      </w:r>
      <w:r w:rsidR="008D59D5" w:rsidRPr="006974E9">
        <w:rPr>
          <w:rFonts w:ascii="Calibri" w:hAnsi="Calibri"/>
          <w:vertAlign w:val="superscript"/>
          <w:lang w:val="en-GB"/>
        </w:rPr>
        <w:footnoteReference w:id="36"/>
      </w:r>
      <w:r w:rsidR="008D59D5" w:rsidRPr="006974E9">
        <w:rPr>
          <w:rFonts w:ascii="Calibri" w:hAnsi="Calibri"/>
          <w:lang w:val="en-GB"/>
        </w:rPr>
        <w:t xml:space="preserve"> </w:t>
      </w:r>
      <w:r w:rsidR="003B40A7" w:rsidRPr="006974E9">
        <w:rPr>
          <w:rFonts w:ascii="Calibri" w:hAnsi="Calibri"/>
          <w:lang w:val="en-GB"/>
        </w:rPr>
        <w:t xml:space="preserve">This raises important questions for how </w:t>
      </w:r>
      <w:r w:rsidR="007643DB">
        <w:rPr>
          <w:rFonts w:ascii="Calibri" w:hAnsi="Calibri"/>
          <w:lang w:val="en-GB"/>
        </w:rPr>
        <w:t xml:space="preserve">to </w:t>
      </w:r>
      <w:r w:rsidR="003B40A7" w:rsidRPr="006974E9">
        <w:rPr>
          <w:rFonts w:ascii="Calibri" w:hAnsi="Calibri"/>
          <w:lang w:val="en-GB"/>
        </w:rPr>
        <w:t xml:space="preserve">study museums and approach them as spaces for ‘fieldwork’. How </w:t>
      </w:r>
      <w:r w:rsidR="007643DB">
        <w:rPr>
          <w:rFonts w:ascii="Calibri" w:hAnsi="Calibri"/>
          <w:lang w:val="en-GB"/>
        </w:rPr>
        <w:t xml:space="preserve">the researcher experiences the </w:t>
      </w:r>
      <w:r w:rsidR="003B40A7" w:rsidRPr="006974E9">
        <w:rPr>
          <w:rFonts w:ascii="Calibri" w:hAnsi="Calibri"/>
          <w:lang w:val="en-GB"/>
        </w:rPr>
        <w:t>museum is already</w:t>
      </w:r>
      <w:r w:rsidR="00AB5E14">
        <w:rPr>
          <w:rFonts w:ascii="Calibri" w:hAnsi="Calibri"/>
          <w:lang w:val="en-GB"/>
        </w:rPr>
        <w:t xml:space="preserve"> and </w:t>
      </w:r>
      <w:r w:rsidR="003B40A7" w:rsidRPr="006974E9">
        <w:rPr>
          <w:rFonts w:ascii="Calibri" w:hAnsi="Calibri"/>
          <w:lang w:val="en-GB"/>
        </w:rPr>
        <w:t xml:space="preserve">always bound to how and whether </w:t>
      </w:r>
      <w:r w:rsidR="00CD69B6">
        <w:rPr>
          <w:rFonts w:ascii="Calibri" w:hAnsi="Calibri"/>
          <w:lang w:val="en-GB"/>
        </w:rPr>
        <w:t>they</w:t>
      </w:r>
      <w:r w:rsidR="003B40A7" w:rsidRPr="006974E9">
        <w:rPr>
          <w:rFonts w:ascii="Calibri" w:hAnsi="Calibri"/>
          <w:lang w:val="en-GB"/>
        </w:rPr>
        <w:t xml:space="preserve"> ‘fit’ there, structured by wider pathways of imperial debris.</w:t>
      </w:r>
      <w:r w:rsidR="0061143C">
        <w:rPr>
          <w:rFonts w:ascii="Calibri" w:hAnsi="Calibri"/>
          <w:lang w:val="en-GB"/>
        </w:rPr>
        <w:t xml:space="preserve"> It is important to consider existing familiarities with the practice of visiting a museum and how this familiarity entails being continuously racially interpellated within the space </w:t>
      </w:r>
      <w:r w:rsidR="003B40A7" w:rsidRPr="006974E9">
        <w:rPr>
          <w:rFonts w:ascii="Calibri" w:hAnsi="Calibri"/>
          <w:vertAlign w:val="superscript"/>
          <w:lang w:val="en-GB"/>
        </w:rPr>
        <w:footnoteReference w:id="37"/>
      </w:r>
      <w:r w:rsidR="0061143C">
        <w:rPr>
          <w:rFonts w:ascii="Calibri" w:hAnsi="Calibri"/>
          <w:lang w:val="en-GB"/>
        </w:rPr>
        <w:t>.</w:t>
      </w:r>
      <w:r w:rsidR="003B40A7" w:rsidRPr="006974E9">
        <w:rPr>
          <w:rFonts w:ascii="Calibri" w:hAnsi="Calibri"/>
          <w:lang w:val="en-GB"/>
        </w:rPr>
        <w:t xml:space="preserve"> </w:t>
      </w:r>
      <w:r w:rsidR="008D59D5" w:rsidRPr="006974E9">
        <w:rPr>
          <w:rFonts w:ascii="Calibri" w:hAnsi="Calibri"/>
          <w:lang w:val="en-GB"/>
        </w:rPr>
        <w:t xml:space="preserve">In this context, how might </w:t>
      </w:r>
      <w:r w:rsidR="0061143C">
        <w:rPr>
          <w:rFonts w:ascii="Calibri" w:hAnsi="Calibri"/>
          <w:lang w:val="en-GB"/>
        </w:rPr>
        <w:t xml:space="preserve">researchers </w:t>
      </w:r>
      <w:r w:rsidR="008D59D5" w:rsidRPr="006974E9">
        <w:rPr>
          <w:rFonts w:ascii="Calibri" w:hAnsi="Calibri"/>
          <w:lang w:val="en-GB"/>
        </w:rPr>
        <w:t xml:space="preserve">navigate the study of museums? </w:t>
      </w:r>
    </w:p>
    <w:p w14:paraId="5D7560EF" w14:textId="77777777" w:rsidR="00980B41" w:rsidRPr="006974E9" w:rsidRDefault="00980B41">
      <w:pPr>
        <w:pStyle w:val="Normal1"/>
        <w:jc w:val="both"/>
        <w:rPr>
          <w:rFonts w:ascii="Calibri" w:hAnsi="Calibri"/>
          <w:lang w:val="en-GB"/>
        </w:rPr>
      </w:pPr>
    </w:p>
    <w:p w14:paraId="7B148DF5" w14:textId="3544273B" w:rsidR="00980B41" w:rsidRDefault="008D59D5">
      <w:pPr>
        <w:pStyle w:val="Normal1"/>
        <w:jc w:val="both"/>
        <w:rPr>
          <w:rFonts w:ascii="Calibri" w:hAnsi="Calibri"/>
          <w:b/>
          <w:lang w:val="en-GB"/>
        </w:rPr>
      </w:pPr>
      <w:r w:rsidRPr="006974E9">
        <w:rPr>
          <w:rFonts w:ascii="Calibri" w:hAnsi="Calibri"/>
          <w:b/>
          <w:lang w:val="en-GB"/>
        </w:rPr>
        <w:t>Intimacy as a method</w:t>
      </w:r>
    </w:p>
    <w:p w14:paraId="12A1CF9D" w14:textId="64A670F5" w:rsidR="00BD6180" w:rsidRDefault="00BD6180">
      <w:pPr>
        <w:pStyle w:val="Normal1"/>
        <w:jc w:val="both"/>
        <w:rPr>
          <w:rFonts w:ascii="Calibri" w:hAnsi="Calibri"/>
          <w:b/>
          <w:lang w:val="en-GB"/>
        </w:rPr>
      </w:pPr>
    </w:p>
    <w:p w14:paraId="3D521407" w14:textId="6E362B0D" w:rsidR="004D07D2" w:rsidRDefault="004D07D2" w:rsidP="00BD6180">
      <w:pPr>
        <w:pStyle w:val="Normal1"/>
        <w:jc w:val="both"/>
        <w:rPr>
          <w:rFonts w:ascii="Calibri" w:hAnsi="Calibri"/>
          <w:lang w:val="en-GB"/>
        </w:rPr>
      </w:pPr>
      <w:r w:rsidRPr="006974E9">
        <w:rPr>
          <w:rFonts w:ascii="Calibri" w:hAnsi="Calibri"/>
          <w:lang w:val="en-GB"/>
        </w:rPr>
        <w:lastRenderedPageBreak/>
        <w:t>Drawing on reflexive feminist research, one way of navigating the messiness of th</w:t>
      </w:r>
      <w:r w:rsidR="009F74A4">
        <w:rPr>
          <w:rFonts w:ascii="Calibri" w:hAnsi="Calibri"/>
          <w:lang w:val="en-GB"/>
        </w:rPr>
        <w:t>is</w:t>
      </w:r>
      <w:r w:rsidRPr="006974E9">
        <w:rPr>
          <w:rFonts w:ascii="Calibri" w:hAnsi="Calibri"/>
          <w:lang w:val="en-GB"/>
        </w:rPr>
        <w:t xml:space="preserve"> type of research is using ‘intimacy’ as a method.</w:t>
      </w:r>
      <w:r w:rsidRPr="006974E9">
        <w:rPr>
          <w:rFonts w:ascii="Calibri" w:hAnsi="Calibri"/>
          <w:vertAlign w:val="superscript"/>
          <w:lang w:val="en-GB"/>
        </w:rPr>
        <w:footnoteReference w:id="38"/>
      </w:r>
      <w:r w:rsidRPr="006974E9">
        <w:rPr>
          <w:rFonts w:ascii="Calibri" w:hAnsi="Calibri"/>
          <w:lang w:val="en-GB"/>
        </w:rPr>
        <w:t xml:space="preserve"> If we are already intimately bound to the museum through the collapsing distinctions of researcher</w:t>
      </w:r>
      <w:r>
        <w:rPr>
          <w:rFonts w:ascii="Calibri" w:hAnsi="Calibri"/>
          <w:lang w:val="en-GB"/>
        </w:rPr>
        <w:t xml:space="preserve"> and visitor</w:t>
      </w:r>
      <w:r w:rsidRPr="006974E9">
        <w:rPr>
          <w:rFonts w:ascii="Calibri" w:hAnsi="Calibri"/>
          <w:lang w:val="en-GB"/>
        </w:rPr>
        <w:t>, past experience, raced</w:t>
      </w:r>
      <w:r>
        <w:rPr>
          <w:rFonts w:ascii="Calibri" w:hAnsi="Calibri"/>
          <w:lang w:val="en-GB"/>
        </w:rPr>
        <w:t xml:space="preserve"> and </w:t>
      </w:r>
      <w:r w:rsidRPr="006974E9">
        <w:rPr>
          <w:rFonts w:ascii="Calibri" w:hAnsi="Calibri"/>
          <w:lang w:val="en-GB"/>
        </w:rPr>
        <w:t xml:space="preserve">gendered markers, then intimacy can provide a tool to unpack these relationships. </w:t>
      </w:r>
    </w:p>
    <w:p w14:paraId="23D20FD5" w14:textId="77777777" w:rsidR="004D07D2" w:rsidRDefault="004D07D2" w:rsidP="00BD6180">
      <w:pPr>
        <w:pStyle w:val="Normal1"/>
        <w:jc w:val="both"/>
        <w:rPr>
          <w:rFonts w:ascii="Calibri" w:hAnsi="Calibri"/>
          <w:lang w:val="en-GB"/>
        </w:rPr>
      </w:pPr>
    </w:p>
    <w:p w14:paraId="70FBD1A0" w14:textId="33AED2E2" w:rsidR="00E3290B" w:rsidRPr="0041253E" w:rsidRDefault="00BD6180" w:rsidP="00BD6180">
      <w:pPr>
        <w:pStyle w:val="Normal1"/>
        <w:jc w:val="both"/>
        <w:rPr>
          <w:rFonts w:ascii="Calibri" w:hAnsi="Calibri"/>
          <w:color w:val="000000" w:themeColor="text1"/>
          <w:lang w:val="en-GB"/>
        </w:rPr>
      </w:pPr>
      <w:r>
        <w:rPr>
          <w:rFonts w:ascii="Calibri" w:hAnsi="Calibri"/>
          <w:lang w:val="en-GB"/>
        </w:rPr>
        <w:t>The d</w:t>
      </w:r>
      <w:r w:rsidRPr="006974E9">
        <w:rPr>
          <w:rFonts w:ascii="Calibri" w:hAnsi="Calibri"/>
          <w:lang w:val="en-GB"/>
        </w:rPr>
        <w:t>iscussion of intimacy has had an increasing cache in critical social science research</w:t>
      </w:r>
      <w:r>
        <w:rPr>
          <w:rFonts w:ascii="Calibri" w:hAnsi="Calibri"/>
          <w:lang w:val="en-GB"/>
        </w:rPr>
        <w:t>,</w:t>
      </w:r>
      <w:r w:rsidRPr="006974E9">
        <w:rPr>
          <w:rFonts w:ascii="Calibri" w:hAnsi="Calibri"/>
          <w:lang w:val="en-GB"/>
        </w:rPr>
        <w:t xml:space="preserve"> </w:t>
      </w:r>
      <w:r>
        <w:rPr>
          <w:rFonts w:ascii="Calibri" w:hAnsi="Calibri"/>
          <w:lang w:val="en-GB"/>
        </w:rPr>
        <w:t>though</w:t>
      </w:r>
      <w:r w:rsidRPr="006974E9">
        <w:rPr>
          <w:rFonts w:ascii="Calibri" w:hAnsi="Calibri"/>
          <w:lang w:val="en-GB"/>
        </w:rPr>
        <w:t xml:space="preserve"> to a lesser extent IR,</w:t>
      </w:r>
      <w:r w:rsidRPr="006974E9">
        <w:rPr>
          <w:rFonts w:ascii="Calibri" w:hAnsi="Calibri"/>
          <w:vertAlign w:val="superscript"/>
          <w:lang w:val="en-GB"/>
        </w:rPr>
        <w:footnoteReference w:id="39"/>
      </w:r>
      <w:r w:rsidRPr="006974E9">
        <w:rPr>
          <w:rFonts w:ascii="Calibri" w:hAnsi="Calibri"/>
          <w:lang w:val="en-GB"/>
        </w:rPr>
        <w:t xml:space="preserve"> with extensive influence from feminist, queer and postcolonial scholarship. Whilst the intimate has often been assigned a place within the study of family and sexuality it has increasingly been discussed in relationship to questions of citizenship</w:t>
      </w:r>
      <w:r w:rsidRPr="006974E9">
        <w:rPr>
          <w:rFonts w:ascii="Calibri" w:hAnsi="Calibri"/>
          <w:vertAlign w:val="superscript"/>
          <w:lang w:val="en-GB"/>
        </w:rPr>
        <w:footnoteReference w:id="40"/>
      </w:r>
      <w:r w:rsidRPr="006974E9">
        <w:rPr>
          <w:rFonts w:ascii="Calibri" w:hAnsi="Calibri"/>
          <w:lang w:val="en-GB"/>
        </w:rPr>
        <w:t>, warfare</w:t>
      </w:r>
      <w:r w:rsidRPr="006974E9">
        <w:rPr>
          <w:rFonts w:ascii="Calibri" w:hAnsi="Calibri"/>
          <w:vertAlign w:val="superscript"/>
          <w:lang w:val="en-GB"/>
        </w:rPr>
        <w:footnoteReference w:id="41"/>
      </w:r>
      <w:r w:rsidRPr="006974E9">
        <w:rPr>
          <w:rFonts w:ascii="Calibri" w:hAnsi="Calibri"/>
          <w:lang w:val="en-GB"/>
        </w:rPr>
        <w:t>, empire</w:t>
      </w:r>
      <w:r w:rsidRPr="006974E9">
        <w:rPr>
          <w:rFonts w:ascii="Calibri" w:hAnsi="Calibri"/>
          <w:vertAlign w:val="superscript"/>
          <w:lang w:val="en-GB"/>
        </w:rPr>
        <w:footnoteReference w:id="42"/>
      </w:r>
      <w:r>
        <w:rPr>
          <w:rFonts w:ascii="Calibri" w:hAnsi="Calibri"/>
          <w:lang w:val="en-GB"/>
        </w:rPr>
        <w:t>.</w:t>
      </w:r>
      <w:r w:rsidRPr="006974E9">
        <w:rPr>
          <w:rFonts w:ascii="Calibri" w:hAnsi="Calibri"/>
          <w:lang w:val="en-GB"/>
        </w:rPr>
        <w:t xml:space="preserve"> The study of intimacy has been forged, alongside other feminist and queer projects, to denaturalise heteropatriarchy through the collapsing of binaries around private/public, global/local, and abnormality/normality to critique state power and the sanctioning of heterosexist family as </w:t>
      </w:r>
      <w:r w:rsidRPr="006974E9">
        <w:rPr>
          <w:rFonts w:ascii="Calibri" w:hAnsi="Calibri"/>
          <w:i/>
          <w:lang w:val="en-GB"/>
        </w:rPr>
        <w:t xml:space="preserve">the </w:t>
      </w:r>
      <w:r w:rsidRPr="006974E9">
        <w:rPr>
          <w:rFonts w:ascii="Calibri" w:hAnsi="Calibri"/>
          <w:lang w:val="en-GB"/>
        </w:rPr>
        <w:t>mode of socio-sexual relations</w:t>
      </w:r>
      <w:commentRangeStart w:id="2"/>
      <w:commentRangeStart w:id="3"/>
      <w:r w:rsidRPr="006974E9">
        <w:rPr>
          <w:rFonts w:ascii="Calibri" w:hAnsi="Calibri"/>
          <w:lang w:val="en-GB"/>
        </w:rPr>
        <w:t>.</w:t>
      </w:r>
      <w:commentRangeEnd w:id="2"/>
      <w:r>
        <w:rPr>
          <w:rStyle w:val="CommentReference"/>
          <w:lang w:val="en-GB"/>
        </w:rPr>
        <w:commentReference w:id="2"/>
      </w:r>
      <w:commentRangeEnd w:id="3"/>
      <w:r>
        <w:rPr>
          <w:rStyle w:val="CommentReference"/>
          <w:lang w:val="en-GB"/>
        </w:rPr>
        <w:commentReference w:id="3"/>
      </w:r>
      <w:r w:rsidRPr="006974E9">
        <w:rPr>
          <w:rFonts w:ascii="Calibri" w:hAnsi="Calibri"/>
          <w:vertAlign w:val="superscript"/>
          <w:lang w:val="en-GB"/>
        </w:rPr>
        <w:footnoteReference w:id="43"/>
      </w:r>
      <w:r w:rsidRPr="006974E9">
        <w:rPr>
          <w:rFonts w:ascii="Calibri" w:hAnsi="Calibri"/>
          <w:lang w:val="en-GB"/>
        </w:rPr>
        <w:t xml:space="preserve"> </w:t>
      </w:r>
      <w:r w:rsidR="00E3290B">
        <w:rPr>
          <w:rFonts w:ascii="Calibri" w:hAnsi="Calibri"/>
          <w:lang w:val="en-GB"/>
        </w:rPr>
        <w:t>Contemporary w</w:t>
      </w:r>
      <w:r w:rsidR="00E3290B" w:rsidRPr="006974E9">
        <w:rPr>
          <w:rFonts w:ascii="Calibri" w:hAnsi="Calibri"/>
          <w:lang w:val="en-GB"/>
        </w:rPr>
        <w:t>ork on intimate geopolitics has taken this in new directions,</w:t>
      </w:r>
      <w:r w:rsidR="00E3290B" w:rsidRPr="006974E9">
        <w:rPr>
          <w:rFonts w:ascii="Calibri" w:hAnsi="Calibri"/>
          <w:vertAlign w:val="superscript"/>
          <w:lang w:val="en-GB"/>
        </w:rPr>
        <w:footnoteReference w:id="44"/>
      </w:r>
      <w:r w:rsidR="00E3290B" w:rsidRPr="006974E9">
        <w:rPr>
          <w:rFonts w:ascii="Calibri" w:hAnsi="Calibri"/>
          <w:lang w:val="en-GB"/>
        </w:rPr>
        <w:t xml:space="preserve"> examining how intimacy is not just shaped by geopolitical processes - state sovereignty, international capitalism, warfare - but is central to the constitution of those processes.</w:t>
      </w:r>
      <w:r w:rsidR="00E3290B">
        <w:rPr>
          <w:rStyle w:val="FootnoteReference"/>
          <w:rFonts w:ascii="Calibri" w:hAnsi="Calibri"/>
          <w:lang w:val="en-GB"/>
        </w:rPr>
        <w:footnoteReference w:id="45"/>
      </w:r>
      <w:r w:rsidR="00E3290B" w:rsidRPr="006974E9">
        <w:rPr>
          <w:rFonts w:ascii="Calibri" w:hAnsi="Calibri"/>
          <w:lang w:val="en-GB"/>
        </w:rPr>
        <w:t xml:space="preserve"> To </w:t>
      </w:r>
      <w:r w:rsidR="00E3290B">
        <w:rPr>
          <w:rFonts w:ascii="Calibri" w:hAnsi="Calibri"/>
          <w:lang w:val="en-GB"/>
        </w:rPr>
        <w:t xml:space="preserve">Rachel </w:t>
      </w:r>
      <w:r w:rsidR="00E3290B" w:rsidRPr="006974E9">
        <w:rPr>
          <w:rFonts w:ascii="Calibri" w:hAnsi="Calibri"/>
          <w:lang w:val="en-GB"/>
        </w:rPr>
        <w:t>Pain,</w:t>
      </w:r>
      <w:r w:rsidR="00916EE3">
        <w:rPr>
          <w:rFonts w:ascii="Calibri" w:hAnsi="Calibri"/>
          <w:lang w:val="en-GB"/>
        </w:rPr>
        <w:t xml:space="preserve"> a</w:t>
      </w:r>
      <w:commentRangeStart w:id="4"/>
      <w:commentRangeEnd w:id="4"/>
      <w:r w:rsidR="00E3290B">
        <w:rPr>
          <w:rFonts w:ascii="Calibri" w:hAnsi="Calibri"/>
          <w:lang w:val="en-GB"/>
        </w:rPr>
        <w:t>n</w:t>
      </w:r>
      <w:r w:rsidR="0041253E">
        <w:rPr>
          <w:rFonts w:ascii="Calibri" w:hAnsi="Calibri"/>
          <w:lang w:val="en-GB"/>
        </w:rPr>
        <w:t xml:space="preserve"> </w:t>
      </w:r>
      <w:r w:rsidR="00E3290B">
        <w:rPr>
          <w:rFonts w:ascii="Calibri" w:hAnsi="Calibri"/>
          <w:lang w:val="en-GB"/>
        </w:rPr>
        <w:t>a</w:t>
      </w:r>
      <w:r w:rsidR="0041253E">
        <w:rPr>
          <w:rFonts w:ascii="Calibri" w:hAnsi="Calibri"/>
          <w:lang w:val="en-GB"/>
        </w:rPr>
        <w:t>na</w:t>
      </w:r>
      <w:r w:rsidR="00E3290B">
        <w:rPr>
          <w:rFonts w:ascii="Calibri" w:hAnsi="Calibri"/>
          <w:lang w:val="en-GB"/>
        </w:rPr>
        <w:t xml:space="preserve">lysis of </w:t>
      </w:r>
      <w:r w:rsidR="00E3290B" w:rsidRPr="006974E9">
        <w:rPr>
          <w:rFonts w:ascii="Calibri" w:hAnsi="Calibri"/>
          <w:lang w:val="en-GB"/>
        </w:rPr>
        <w:t xml:space="preserve">intimacy </w:t>
      </w:r>
      <w:r w:rsidR="00E3290B">
        <w:rPr>
          <w:rFonts w:ascii="Calibri" w:hAnsi="Calibri"/>
          <w:lang w:val="en-GB"/>
        </w:rPr>
        <w:t xml:space="preserve">helps </w:t>
      </w:r>
      <w:r w:rsidR="00E3290B" w:rsidRPr="006974E9">
        <w:rPr>
          <w:rFonts w:ascii="Calibri" w:hAnsi="Calibri"/>
          <w:lang w:val="en-GB"/>
        </w:rPr>
        <w:t>disturb how we think about space</w:t>
      </w:r>
      <w:r w:rsidR="00E3290B">
        <w:rPr>
          <w:rFonts w:ascii="Calibri" w:hAnsi="Calibri"/>
          <w:lang w:val="en-GB"/>
        </w:rPr>
        <w:t xml:space="preserve"> and </w:t>
      </w:r>
      <w:r w:rsidR="00E3290B" w:rsidRPr="006974E9">
        <w:rPr>
          <w:rFonts w:ascii="Calibri" w:hAnsi="Calibri"/>
          <w:lang w:val="en-GB"/>
        </w:rPr>
        <w:t>time and how we consider scales and proximities.</w:t>
      </w:r>
      <w:r w:rsidR="00E3290B" w:rsidRPr="006974E9">
        <w:rPr>
          <w:rFonts w:ascii="Calibri" w:hAnsi="Calibri"/>
          <w:vertAlign w:val="superscript"/>
          <w:lang w:val="en-GB"/>
        </w:rPr>
        <w:footnoteReference w:id="46"/>
      </w:r>
      <w:r w:rsidR="00E3290B" w:rsidRPr="006974E9">
        <w:rPr>
          <w:rFonts w:ascii="Calibri" w:hAnsi="Calibri"/>
          <w:lang w:val="en-GB"/>
        </w:rPr>
        <w:t xml:space="preserve"> For example, examining how fear works in </w:t>
      </w:r>
      <w:r w:rsidR="00E3290B" w:rsidRPr="0041253E">
        <w:rPr>
          <w:rFonts w:ascii="Calibri" w:hAnsi="Calibri"/>
          <w:color w:val="000000" w:themeColor="text1"/>
          <w:lang w:val="en-GB"/>
        </w:rPr>
        <w:t>both the colonial war on terror and in domestic violence collapses the distinctions between the domestic/international and war/household that patriarchal violence works to arrange. The house of domestic abuse is tied to the conduct of the battlefield in ways that disturb our existing categories of ‘there’/‘here’ and ‘now/then’.</w:t>
      </w:r>
      <w:r w:rsidR="00E3290B" w:rsidRPr="0041253E">
        <w:rPr>
          <w:rFonts w:ascii="Calibri" w:hAnsi="Calibri"/>
          <w:color w:val="000000" w:themeColor="text1"/>
          <w:vertAlign w:val="superscript"/>
          <w:lang w:val="en-GB"/>
        </w:rPr>
        <w:footnoteReference w:id="47"/>
      </w:r>
      <w:commentRangeStart w:id="5"/>
      <w:r w:rsidR="00E3290B" w:rsidRPr="0041253E">
        <w:rPr>
          <w:rFonts w:ascii="Calibri" w:hAnsi="Calibri"/>
          <w:color w:val="000000" w:themeColor="text1"/>
          <w:lang w:val="en-GB"/>
        </w:rPr>
        <w:t xml:space="preserve"> </w:t>
      </w:r>
      <w:commentRangeEnd w:id="5"/>
      <w:r w:rsidR="00E3290B" w:rsidRPr="0041253E">
        <w:rPr>
          <w:rStyle w:val="CommentReference"/>
          <w:color w:val="000000" w:themeColor="text1"/>
          <w:lang w:val="en-GB"/>
        </w:rPr>
        <w:commentReference w:id="5"/>
      </w:r>
      <w:r w:rsidR="007A31F2" w:rsidRPr="001C70B3">
        <w:rPr>
          <w:rFonts w:ascii="Calibri" w:hAnsi="Calibri"/>
          <w:color w:val="000000" w:themeColor="text1"/>
          <w:lang w:val="en-GB"/>
        </w:rPr>
        <w:t>We stress the importance of this burgeoning work on intimate geopol</w:t>
      </w:r>
      <w:r w:rsidR="007A31F2" w:rsidRPr="0041253E">
        <w:rPr>
          <w:rFonts w:ascii="Calibri" w:hAnsi="Calibri"/>
          <w:color w:val="000000" w:themeColor="text1"/>
          <w:lang w:val="en-GB"/>
        </w:rPr>
        <w:t>i</w:t>
      </w:r>
      <w:r w:rsidR="007A31F2" w:rsidRPr="001C70B3">
        <w:rPr>
          <w:rFonts w:ascii="Calibri" w:hAnsi="Calibri"/>
          <w:color w:val="000000" w:themeColor="text1"/>
          <w:lang w:val="en-GB"/>
        </w:rPr>
        <w:t xml:space="preserve">tics for helping us analyse how </w:t>
      </w:r>
      <w:r w:rsidR="00E13409">
        <w:rPr>
          <w:rFonts w:ascii="Calibri" w:hAnsi="Calibri"/>
          <w:color w:val="000000" w:themeColor="text1"/>
          <w:lang w:val="en-GB"/>
        </w:rPr>
        <w:t>m</w:t>
      </w:r>
      <w:r w:rsidR="007A31F2" w:rsidRPr="001C70B3">
        <w:rPr>
          <w:rFonts w:ascii="Calibri" w:hAnsi="Calibri"/>
          <w:color w:val="000000" w:themeColor="text1"/>
          <w:lang w:val="en-GB"/>
        </w:rPr>
        <w:t>use</w:t>
      </w:r>
      <w:r w:rsidR="007A31F2" w:rsidRPr="0041253E">
        <w:rPr>
          <w:rFonts w:ascii="Calibri" w:hAnsi="Calibri"/>
          <w:color w:val="000000" w:themeColor="text1"/>
          <w:lang w:val="en-GB"/>
        </w:rPr>
        <w:t>u</w:t>
      </w:r>
      <w:r w:rsidR="007A31F2" w:rsidRPr="001C70B3">
        <w:rPr>
          <w:rFonts w:ascii="Calibri" w:hAnsi="Calibri"/>
          <w:color w:val="000000" w:themeColor="text1"/>
          <w:lang w:val="en-GB"/>
        </w:rPr>
        <w:t>ms</w:t>
      </w:r>
      <w:r w:rsidR="007A31F2" w:rsidRPr="0041253E">
        <w:rPr>
          <w:rFonts w:ascii="Calibri" w:hAnsi="Calibri"/>
          <w:color w:val="000000" w:themeColor="text1"/>
          <w:lang w:val="en-GB"/>
        </w:rPr>
        <w:t xml:space="preserve"> work as </w:t>
      </w:r>
      <w:r w:rsidR="004D07D2" w:rsidRPr="0041253E">
        <w:rPr>
          <w:rFonts w:ascii="Calibri" w:hAnsi="Calibri"/>
          <w:color w:val="000000" w:themeColor="text1"/>
          <w:lang w:val="en-GB"/>
        </w:rPr>
        <w:t xml:space="preserve">everyday affective sites for the reproduction of international politics and violence.  </w:t>
      </w:r>
      <w:r w:rsidR="007A31F2" w:rsidRPr="0041253E">
        <w:rPr>
          <w:rFonts w:ascii="Calibri" w:hAnsi="Calibri"/>
          <w:color w:val="000000" w:themeColor="text1"/>
          <w:lang w:val="en-GB"/>
        </w:rPr>
        <w:t xml:space="preserve">    </w:t>
      </w:r>
      <w:r w:rsidR="00E3290B" w:rsidRPr="0041253E">
        <w:rPr>
          <w:rFonts w:ascii="Calibri" w:hAnsi="Calibri"/>
          <w:color w:val="000000" w:themeColor="text1"/>
          <w:lang w:val="en-GB"/>
        </w:rPr>
        <w:t xml:space="preserve"> </w:t>
      </w:r>
    </w:p>
    <w:p w14:paraId="249AC5FA" w14:textId="77777777" w:rsidR="00E3290B" w:rsidRPr="0041253E" w:rsidRDefault="00E3290B" w:rsidP="00BD6180">
      <w:pPr>
        <w:pStyle w:val="Normal1"/>
        <w:jc w:val="both"/>
        <w:rPr>
          <w:rFonts w:ascii="Calibri" w:hAnsi="Calibri"/>
          <w:color w:val="000000" w:themeColor="text1"/>
          <w:lang w:val="en-GB"/>
        </w:rPr>
      </w:pPr>
    </w:p>
    <w:p w14:paraId="60484650" w14:textId="19E53FC0" w:rsidR="00BD6180" w:rsidRPr="001C70B3" w:rsidRDefault="00BD6180">
      <w:pPr>
        <w:pStyle w:val="Normal1"/>
        <w:jc w:val="both"/>
        <w:rPr>
          <w:rFonts w:ascii="Calibri" w:hAnsi="Calibri"/>
          <w:lang w:val="en-GB"/>
        </w:rPr>
      </w:pPr>
      <w:r>
        <w:rPr>
          <w:rFonts w:ascii="Calibri" w:hAnsi="Calibri"/>
          <w:lang w:val="en-GB"/>
        </w:rPr>
        <w:t>However, postcolonial and decolonial feminist scholars</w:t>
      </w:r>
      <w:r w:rsidR="007A31F2">
        <w:rPr>
          <w:rFonts w:ascii="Calibri" w:hAnsi="Calibri"/>
          <w:lang w:val="en-GB"/>
        </w:rPr>
        <w:t>hip</w:t>
      </w:r>
      <w:r>
        <w:rPr>
          <w:rFonts w:ascii="Calibri" w:hAnsi="Calibri"/>
          <w:lang w:val="en-GB"/>
        </w:rPr>
        <w:t xml:space="preserve"> remind</w:t>
      </w:r>
      <w:r w:rsidR="00916EE3">
        <w:rPr>
          <w:rFonts w:ascii="Calibri" w:hAnsi="Calibri"/>
          <w:lang w:val="en-GB"/>
        </w:rPr>
        <w:t>s</w:t>
      </w:r>
      <w:r>
        <w:rPr>
          <w:rFonts w:ascii="Calibri" w:hAnsi="Calibri"/>
          <w:lang w:val="en-GB"/>
        </w:rPr>
        <w:t xml:space="preserve"> us that intimacy cannot be reduced to sexuality</w:t>
      </w:r>
      <w:r w:rsidR="007A31F2">
        <w:rPr>
          <w:rFonts w:ascii="Calibri" w:hAnsi="Calibri"/>
          <w:lang w:val="en-GB"/>
        </w:rPr>
        <w:t xml:space="preserve">, nor </w:t>
      </w:r>
      <w:r w:rsidR="00916EE3">
        <w:rPr>
          <w:rFonts w:ascii="Calibri" w:hAnsi="Calibri"/>
          <w:lang w:val="en-GB"/>
        </w:rPr>
        <w:t>can</w:t>
      </w:r>
      <w:r w:rsidR="007A31F2">
        <w:rPr>
          <w:rFonts w:ascii="Calibri" w:hAnsi="Calibri"/>
          <w:lang w:val="en-GB"/>
        </w:rPr>
        <w:t xml:space="preserve"> the geopolitics of intimacy be detached from questions of Empire</w:t>
      </w:r>
      <w:r>
        <w:rPr>
          <w:rFonts w:ascii="Calibri" w:hAnsi="Calibri"/>
          <w:lang w:val="en-GB"/>
        </w:rPr>
        <w:t xml:space="preserve">. In </w:t>
      </w:r>
      <w:r w:rsidRPr="006974E9">
        <w:rPr>
          <w:rFonts w:ascii="Calibri" w:hAnsi="Calibri"/>
          <w:lang w:val="en-GB"/>
        </w:rPr>
        <w:t>Stoler’s seminal work on intimacy</w:t>
      </w:r>
      <w:r>
        <w:rPr>
          <w:rFonts w:ascii="Calibri" w:hAnsi="Calibri"/>
          <w:lang w:val="en-GB"/>
        </w:rPr>
        <w:t>, she</w:t>
      </w:r>
      <w:r w:rsidRPr="006974E9">
        <w:rPr>
          <w:rFonts w:ascii="Calibri" w:hAnsi="Calibri"/>
          <w:lang w:val="en-GB"/>
        </w:rPr>
        <w:t xml:space="preserve"> explores how colonial rule in the 19th century was navigated around carnality and intimacy.</w:t>
      </w:r>
      <w:r w:rsidR="001A599D">
        <w:rPr>
          <w:rStyle w:val="FootnoteReference"/>
          <w:rFonts w:ascii="Calibri" w:hAnsi="Calibri"/>
          <w:lang w:val="en-GB"/>
        </w:rPr>
        <w:footnoteReference w:id="48"/>
      </w:r>
      <w:r w:rsidRPr="006974E9">
        <w:rPr>
          <w:rFonts w:ascii="Calibri" w:hAnsi="Calibri"/>
          <w:lang w:val="en-GB"/>
        </w:rPr>
        <w:t xml:space="preserve"> Here feelings and sensibilities that were ‘innermost’ (love, desire, bodied proximities, affective relations) were understood as central to how ideas of race and hierarchies of patriarchal imperialism were sustained and </w:t>
      </w:r>
      <w:r w:rsidRPr="006974E9">
        <w:rPr>
          <w:rFonts w:ascii="Calibri" w:hAnsi="Calibri"/>
          <w:lang w:val="en-GB"/>
        </w:rPr>
        <w:lastRenderedPageBreak/>
        <w:t>protected</w:t>
      </w:r>
      <w:r w:rsidR="00E3290B">
        <w:rPr>
          <w:rFonts w:ascii="Calibri" w:hAnsi="Calibri"/>
          <w:lang w:val="en-GB"/>
        </w:rPr>
        <w:t>, for example through rules on miscegenation or the distribution of inheritance rights and citizenship</w:t>
      </w:r>
      <w:r w:rsidRPr="006974E9">
        <w:rPr>
          <w:rFonts w:ascii="Calibri" w:hAnsi="Calibri"/>
          <w:vertAlign w:val="superscript"/>
          <w:lang w:val="en-GB"/>
        </w:rPr>
        <w:footnoteReference w:id="49"/>
      </w:r>
      <w:commentRangeStart w:id="6"/>
      <w:r w:rsidRPr="006974E9">
        <w:rPr>
          <w:rFonts w:ascii="Calibri" w:hAnsi="Calibri"/>
          <w:lang w:val="en-GB"/>
        </w:rPr>
        <w:t>.</w:t>
      </w:r>
      <w:commentRangeEnd w:id="6"/>
      <w:r>
        <w:rPr>
          <w:rStyle w:val="CommentReference"/>
          <w:lang w:val="en-GB"/>
        </w:rPr>
        <w:commentReference w:id="6"/>
      </w:r>
      <w:r w:rsidRPr="006974E9">
        <w:rPr>
          <w:rFonts w:ascii="Calibri" w:hAnsi="Calibri"/>
          <w:lang w:val="en-GB"/>
        </w:rPr>
        <w:t xml:space="preserve"> </w:t>
      </w:r>
      <w:r w:rsidR="00E3290B">
        <w:rPr>
          <w:rFonts w:ascii="Calibri" w:hAnsi="Calibri"/>
          <w:lang w:val="en-GB"/>
        </w:rPr>
        <w:t xml:space="preserve"> </w:t>
      </w:r>
      <w:r w:rsidRPr="006974E9">
        <w:rPr>
          <w:rFonts w:ascii="Calibri" w:hAnsi="Calibri"/>
          <w:lang w:val="en-GB"/>
        </w:rPr>
        <w:t>Postcolonial</w:t>
      </w:r>
      <w:r w:rsidR="004D07D2">
        <w:rPr>
          <w:rFonts w:ascii="Calibri" w:hAnsi="Calibri"/>
          <w:lang w:val="en-GB"/>
        </w:rPr>
        <w:t xml:space="preserve"> and decolonial feminist</w:t>
      </w:r>
      <w:r w:rsidRPr="006974E9">
        <w:rPr>
          <w:rFonts w:ascii="Calibri" w:hAnsi="Calibri"/>
          <w:lang w:val="en-GB"/>
        </w:rPr>
        <w:t xml:space="preserve"> </w:t>
      </w:r>
      <w:r w:rsidR="004D07D2">
        <w:rPr>
          <w:rFonts w:ascii="Calibri" w:hAnsi="Calibri"/>
          <w:lang w:val="en-GB"/>
        </w:rPr>
        <w:t xml:space="preserve">scholars </w:t>
      </w:r>
      <w:r w:rsidRPr="006974E9">
        <w:rPr>
          <w:rFonts w:ascii="Calibri" w:hAnsi="Calibri"/>
          <w:lang w:val="en-GB"/>
        </w:rPr>
        <w:t xml:space="preserve">have </w:t>
      </w:r>
      <w:r w:rsidR="004D07D2">
        <w:rPr>
          <w:rFonts w:ascii="Calibri" w:hAnsi="Calibri"/>
          <w:lang w:val="en-GB"/>
        </w:rPr>
        <w:t xml:space="preserve">been at the forefront of </w:t>
      </w:r>
      <w:r w:rsidRPr="006974E9">
        <w:rPr>
          <w:rFonts w:ascii="Calibri" w:hAnsi="Calibri"/>
          <w:lang w:val="en-GB"/>
        </w:rPr>
        <w:t>develop</w:t>
      </w:r>
      <w:r w:rsidR="004D07D2">
        <w:rPr>
          <w:rFonts w:ascii="Calibri" w:hAnsi="Calibri"/>
          <w:lang w:val="en-GB"/>
        </w:rPr>
        <w:t>ing</w:t>
      </w:r>
      <w:r w:rsidRPr="006974E9">
        <w:rPr>
          <w:rFonts w:ascii="Calibri" w:hAnsi="Calibri"/>
          <w:lang w:val="en-GB"/>
        </w:rPr>
        <w:t xml:space="preserve"> the analysis of intimacy to emphasise the ways in which intimacy is highly raced and bound to coloniality, </w:t>
      </w:r>
      <w:r w:rsidR="004D07D2">
        <w:rPr>
          <w:rFonts w:ascii="Calibri" w:hAnsi="Calibri"/>
          <w:lang w:val="en-GB"/>
        </w:rPr>
        <w:t>for instance by showing how dominant notions of intimacy such as heteronormative domesticity were western social relations that were imposed on colonised populations.</w:t>
      </w:r>
      <w:r w:rsidR="00916EE3" w:rsidRPr="006974E9">
        <w:rPr>
          <w:rFonts w:ascii="Calibri" w:hAnsi="Calibri"/>
          <w:vertAlign w:val="superscript"/>
          <w:lang w:val="en-GB"/>
        </w:rPr>
        <w:footnoteReference w:id="50"/>
      </w:r>
      <w:r w:rsidR="004D07D2">
        <w:rPr>
          <w:rFonts w:ascii="Calibri" w:hAnsi="Calibri"/>
          <w:lang w:val="en-GB"/>
        </w:rPr>
        <w:t xml:space="preserve"> Equally, i</w:t>
      </w:r>
      <w:r w:rsidRPr="006974E9">
        <w:rPr>
          <w:rFonts w:ascii="Calibri" w:hAnsi="Calibri"/>
          <w:lang w:val="en-GB"/>
        </w:rPr>
        <w:t>ntimacy</w:t>
      </w:r>
      <w:r w:rsidR="004D07D2">
        <w:rPr>
          <w:rFonts w:ascii="Calibri" w:hAnsi="Calibri"/>
          <w:lang w:val="en-GB"/>
        </w:rPr>
        <w:t xml:space="preserve"> was used to</w:t>
      </w:r>
      <w:r w:rsidRPr="006974E9">
        <w:rPr>
          <w:rFonts w:ascii="Calibri" w:hAnsi="Calibri"/>
          <w:lang w:val="en-GB"/>
        </w:rPr>
        <w:t xml:space="preserve"> organise the </w:t>
      </w:r>
      <w:r w:rsidR="004D07D2">
        <w:rPr>
          <w:rFonts w:ascii="Calibri" w:hAnsi="Calibri"/>
          <w:lang w:val="en-GB"/>
        </w:rPr>
        <w:t xml:space="preserve">construction the racial superiority/inferiority of </w:t>
      </w:r>
      <w:r w:rsidRPr="006974E9">
        <w:rPr>
          <w:rFonts w:ascii="Calibri" w:hAnsi="Calibri"/>
          <w:lang w:val="en-GB"/>
        </w:rPr>
        <w:t>coloniser/colonised through claims to modernity/savagery.</w:t>
      </w:r>
      <w:r w:rsidRPr="006974E9">
        <w:rPr>
          <w:rFonts w:ascii="Calibri" w:hAnsi="Calibri"/>
          <w:vertAlign w:val="superscript"/>
          <w:lang w:val="en-GB"/>
        </w:rPr>
        <w:footnoteReference w:id="51"/>
      </w:r>
      <w:r w:rsidRPr="006974E9">
        <w:rPr>
          <w:rFonts w:ascii="Calibri" w:hAnsi="Calibri"/>
          <w:lang w:val="en-GB"/>
        </w:rPr>
        <w:t xml:space="preserve"> </w:t>
      </w:r>
      <w:r w:rsidR="004D07D2">
        <w:rPr>
          <w:rFonts w:ascii="Calibri" w:hAnsi="Calibri"/>
          <w:lang w:val="en-GB"/>
        </w:rPr>
        <w:t>We are reminded here of how n</w:t>
      </w:r>
      <w:r w:rsidRPr="006974E9">
        <w:rPr>
          <w:rFonts w:ascii="Calibri" w:hAnsi="Calibri"/>
          <w:lang w:val="en-GB"/>
        </w:rPr>
        <w:t>ormative intimacy is arranged around the idea that non-European people’s kinship patterns are ‘backwards’, savage and in need of modernising.</w:t>
      </w:r>
      <w:r w:rsidRPr="006974E9">
        <w:rPr>
          <w:rFonts w:ascii="Calibri" w:hAnsi="Calibri"/>
          <w:vertAlign w:val="superscript"/>
          <w:lang w:val="en-GB"/>
        </w:rPr>
        <w:footnoteReference w:id="52"/>
      </w:r>
      <w:r w:rsidRPr="006974E9">
        <w:rPr>
          <w:rFonts w:ascii="Calibri" w:hAnsi="Calibri"/>
          <w:lang w:val="en-GB"/>
        </w:rPr>
        <w:t xml:space="preserve"> This remains central to the driving force of modernisation and development under liberal (neo)imperialism.</w:t>
      </w:r>
      <w:r w:rsidRPr="006974E9">
        <w:rPr>
          <w:rFonts w:ascii="Calibri" w:hAnsi="Calibri"/>
          <w:vertAlign w:val="superscript"/>
          <w:lang w:val="en-GB"/>
        </w:rPr>
        <w:footnoteReference w:id="53"/>
      </w:r>
      <w:r w:rsidRPr="006974E9">
        <w:rPr>
          <w:rFonts w:ascii="Calibri" w:hAnsi="Calibri"/>
          <w:lang w:val="en-GB"/>
        </w:rPr>
        <w:t xml:space="preserve"> </w:t>
      </w:r>
      <w:r w:rsidR="004D07D2" w:rsidRPr="001C70B3">
        <w:rPr>
          <w:rFonts w:ascii="Calibri" w:hAnsi="Calibri"/>
          <w:color w:val="4F81BD" w:themeColor="accent1"/>
          <w:lang w:val="en-GB"/>
        </w:rPr>
        <w:t xml:space="preserve">When we approach intimacy as a method we want to stress the way that </w:t>
      </w:r>
      <w:r w:rsidR="00F32B5D" w:rsidRPr="001C70B3">
        <w:rPr>
          <w:rFonts w:ascii="Calibri" w:hAnsi="Calibri"/>
          <w:color w:val="4F81BD" w:themeColor="accent1"/>
          <w:lang w:val="en-GB"/>
        </w:rPr>
        <w:t>proximities, circulations of the intimate cannot be divorced from the history of Empire and that when dominant heteronormative appeals to intimacy are coded, in for example Muse</w:t>
      </w:r>
      <w:r w:rsidR="00407AE7">
        <w:rPr>
          <w:rFonts w:ascii="Calibri" w:hAnsi="Calibri"/>
          <w:color w:val="4F81BD" w:themeColor="accent1"/>
          <w:lang w:val="en-GB"/>
        </w:rPr>
        <w:t>u</w:t>
      </w:r>
      <w:r w:rsidR="00F32B5D" w:rsidRPr="001C70B3">
        <w:rPr>
          <w:rFonts w:ascii="Calibri" w:hAnsi="Calibri"/>
          <w:color w:val="4F81BD" w:themeColor="accent1"/>
          <w:lang w:val="en-GB"/>
        </w:rPr>
        <w:t>m exhibitions, this is always/already racialised.</w:t>
      </w:r>
      <w:r w:rsidR="00F32B5D">
        <w:rPr>
          <w:rFonts w:ascii="Calibri" w:hAnsi="Calibri"/>
          <w:lang w:val="en-GB"/>
        </w:rPr>
        <w:t xml:space="preserve">    </w:t>
      </w:r>
    </w:p>
    <w:p w14:paraId="5E96E7BD" w14:textId="77777777" w:rsidR="00980B41" w:rsidRPr="006974E9" w:rsidRDefault="008D59D5">
      <w:pPr>
        <w:pStyle w:val="Normal1"/>
        <w:jc w:val="both"/>
        <w:rPr>
          <w:rFonts w:ascii="Calibri" w:hAnsi="Calibri"/>
          <w:shd w:val="clear" w:color="auto" w:fill="D9D9D9"/>
          <w:lang w:val="en-GB"/>
        </w:rPr>
      </w:pPr>
      <w:r w:rsidRPr="006974E9">
        <w:rPr>
          <w:rFonts w:ascii="Calibri" w:hAnsi="Calibri"/>
          <w:shd w:val="clear" w:color="auto" w:fill="D9D9D9"/>
          <w:lang w:val="en-GB"/>
        </w:rPr>
        <w:t xml:space="preserve"> </w:t>
      </w:r>
    </w:p>
    <w:p w14:paraId="5E4521B0" w14:textId="7143C98D" w:rsidR="00980B41" w:rsidRPr="006974E9" w:rsidRDefault="009A3299">
      <w:pPr>
        <w:pStyle w:val="Normal1"/>
        <w:jc w:val="both"/>
        <w:rPr>
          <w:rFonts w:ascii="Calibri" w:hAnsi="Calibri"/>
          <w:lang w:val="en-GB"/>
        </w:rPr>
      </w:pPr>
      <w:r w:rsidRPr="006974E9">
        <w:rPr>
          <w:rFonts w:ascii="Calibri" w:hAnsi="Calibri"/>
          <w:lang w:val="en-GB"/>
        </w:rPr>
        <w:t>W</w:t>
      </w:r>
      <w:r w:rsidR="008D59D5" w:rsidRPr="006974E9">
        <w:rPr>
          <w:rFonts w:ascii="Calibri" w:hAnsi="Calibri"/>
          <w:lang w:val="en-GB"/>
        </w:rPr>
        <w:t>hilst questions of intimacy may instinctively relate to ‘individual feelings’</w:t>
      </w:r>
      <w:r w:rsidR="009668CF" w:rsidRPr="006974E9">
        <w:rPr>
          <w:rFonts w:ascii="Calibri" w:hAnsi="Calibri"/>
          <w:lang w:val="en-GB"/>
        </w:rPr>
        <w:t>,</w:t>
      </w:r>
      <w:r w:rsidR="008D59D5" w:rsidRPr="006974E9">
        <w:rPr>
          <w:rFonts w:ascii="Calibri" w:hAnsi="Calibri"/>
          <w:lang w:val="en-GB"/>
        </w:rPr>
        <w:t xml:space="preserve"> work on intimate geopolitics</w:t>
      </w:r>
      <w:r w:rsidR="008D59D5" w:rsidRPr="006974E9">
        <w:rPr>
          <w:rFonts w:ascii="Calibri" w:hAnsi="Calibri"/>
          <w:vertAlign w:val="superscript"/>
          <w:lang w:val="en-GB"/>
        </w:rPr>
        <w:footnoteReference w:id="54"/>
      </w:r>
      <w:r w:rsidR="008D59D5" w:rsidRPr="006974E9">
        <w:rPr>
          <w:rFonts w:ascii="Calibri" w:hAnsi="Calibri"/>
          <w:lang w:val="en-GB"/>
        </w:rPr>
        <w:t xml:space="preserve"> has demonstrated </w:t>
      </w:r>
      <w:r w:rsidRPr="006974E9">
        <w:rPr>
          <w:rFonts w:ascii="Calibri" w:hAnsi="Calibri"/>
          <w:lang w:val="en-GB"/>
        </w:rPr>
        <w:t>intimacy is bound to power</w:t>
      </w:r>
      <w:r w:rsidR="0063343F">
        <w:rPr>
          <w:rFonts w:ascii="Calibri" w:hAnsi="Calibri"/>
          <w:lang w:val="en-GB"/>
        </w:rPr>
        <w:t>.</w:t>
      </w:r>
      <w:r w:rsidRPr="006974E9">
        <w:rPr>
          <w:rFonts w:ascii="Calibri" w:hAnsi="Calibri"/>
          <w:lang w:val="en-GB"/>
        </w:rPr>
        <w:t xml:space="preserve"> </w:t>
      </w:r>
      <w:r w:rsidR="0063343F">
        <w:rPr>
          <w:rFonts w:ascii="Calibri" w:hAnsi="Calibri"/>
          <w:lang w:val="en-GB"/>
        </w:rPr>
        <w:t xml:space="preserve">Attention to intimacy can reveal </w:t>
      </w:r>
      <w:r w:rsidR="008D59D5" w:rsidRPr="006974E9">
        <w:rPr>
          <w:rFonts w:ascii="Calibri" w:hAnsi="Calibri"/>
          <w:lang w:val="en-GB"/>
        </w:rPr>
        <w:t>how supposedly proximate, local, socio-sexual, affective encounters and relations are bound to and equally reproduce international and global regimes of power</w:t>
      </w:r>
      <w:r w:rsidR="00704081" w:rsidRPr="006974E9">
        <w:rPr>
          <w:rStyle w:val="FootnoteReference"/>
          <w:rFonts w:ascii="Calibri" w:hAnsi="Calibri"/>
          <w:lang w:val="en-GB"/>
        </w:rPr>
        <w:footnoteReference w:id="55"/>
      </w:r>
      <w:r w:rsidR="008D59D5" w:rsidRPr="006974E9">
        <w:rPr>
          <w:rFonts w:ascii="Calibri" w:hAnsi="Calibri"/>
          <w:lang w:val="en-GB"/>
        </w:rPr>
        <w:t>. This work is both conceptual and met</w:t>
      </w:r>
      <w:r w:rsidRPr="006974E9">
        <w:rPr>
          <w:rFonts w:ascii="Calibri" w:hAnsi="Calibri"/>
          <w:lang w:val="en-GB"/>
        </w:rPr>
        <w:t>hodological</w:t>
      </w:r>
      <w:r w:rsidR="008D2732">
        <w:rPr>
          <w:rFonts w:ascii="Calibri" w:hAnsi="Calibri"/>
          <w:lang w:val="en-GB"/>
        </w:rPr>
        <w:t>.</w:t>
      </w:r>
      <w:r w:rsidR="00D5389B" w:rsidRPr="006974E9">
        <w:rPr>
          <w:rStyle w:val="FootnoteReference"/>
          <w:rFonts w:ascii="Calibri" w:hAnsi="Calibri"/>
          <w:lang w:val="en-GB"/>
        </w:rPr>
        <w:footnoteReference w:id="56"/>
      </w:r>
      <w:r w:rsidR="008D59D5" w:rsidRPr="006974E9">
        <w:rPr>
          <w:rFonts w:ascii="Calibri" w:hAnsi="Calibri"/>
          <w:lang w:val="en-GB"/>
        </w:rPr>
        <w:t xml:space="preserve"> ‘</w:t>
      </w:r>
      <w:r w:rsidR="008D2732">
        <w:rPr>
          <w:rFonts w:ascii="Calibri" w:hAnsi="Calibri"/>
          <w:lang w:val="en-GB"/>
        </w:rPr>
        <w:t>I</w:t>
      </w:r>
      <w:r w:rsidR="008D59D5" w:rsidRPr="006974E9">
        <w:rPr>
          <w:rFonts w:ascii="Calibri" w:hAnsi="Calibri"/>
          <w:lang w:val="en-GB"/>
        </w:rPr>
        <w:t>ntimacy’ provides a means of denaturalising spatial and temporal assumption</w:t>
      </w:r>
      <w:r w:rsidR="009668CF" w:rsidRPr="006974E9">
        <w:rPr>
          <w:rFonts w:ascii="Calibri" w:hAnsi="Calibri"/>
          <w:lang w:val="en-GB"/>
        </w:rPr>
        <w:t>s</w:t>
      </w:r>
      <w:r w:rsidR="008D59D5" w:rsidRPr="006974E9">
        <w:rPr>
          <w:rFonts w:ascii="Calibri" w:hAnsi="Calibri"/>
          <w:lang w:val="en-GB"/>
        </w:rPr>
        <w:t xml:space="preserve"> whilst providing a series of practices which help </w:t>
      </w:r>
      <w:r w:rsidR="00914A47">
        <w:rPr>
          <w:rFonts w:ascii="Calibri" w:hAnsi="Calibri"/>
          <w:lang w:val="en-GB"/>
        </w:rPr>
        <w:t xml:space="preserve">the researcher be attuned to their </w:t>
      </w:r>
      <w:r w:rsidR="008D59D5" w:rsidRPr="006974E9">
        <w:rPr>
          <w:rFonts w:ascii="Calibri" w:hAnsi="Calibri"/>
          <w:lang w:val="en-GB"/>
        </w:rPr>
        <w:t xml:space="preserve">place within wider political processes. Thinking through our own intimate entanglements in the museum space calls upon us to be reflexively </w:t>
      </w:r>
      <w:r w:rsidR="0063343F">
        <w:rPr>
          <w:rFonts w:ascii="Calibri" w:hAnsi="Calibri"/>
          <w:lang w:val="en-GB"/>
        </w:rPr>
        <w:t xml:space="preserve">attentive </w:t>
      </w:r>
      <w:r w:rsidR="00914A47">
        <w:rPr>
          <w:rFonts w:ascii="Calibri" w:hAnsi="Calibri"/>
          <w:lang w:val="en-GB"/>
        </w:rPr>
        <w:t>t</w:t>
      </w:r>
      <w:r w:rsidR="008D59D5" w:rsidRPr="006974E9">
        <w:rPr>
          <w:rFonts w:ascii="Calibri" w:hAnsi="Calibri"/>
          <w:lang w:val="en-GB"/>
        </w:rPr>
        <w:t xml:space="preserve">o autoethnographic processes. It invites us to be critical about positionality and </w:t>
      </w:r>
      <w:r w:rsidR="009668CF" w:rsidRPr="006974E9">
        <w:rPr>
          <w:rFonts w:ascii="Calibri" w:hAnsi="Calibri"/>
          <w:lang w:val="en-GB"/>
        </w:rPr>
        <w:t>how</w:t>
      </w:r>
      <w:r w:rsidR="00914A47">
        <w:rPr>
          <w:rFonts w:ascii="Calibri" w:hAnsi="Calibri"/>
          <w:lang w:val="en-GB"/>
        </w:rPr>
        <w:t xml:space="preserve"> we, as researchers,  </w:t>
      </w:r>
      <w:r w:rsidR="008D59D5" w:rsidRPr="006974E9">
        <w:rPr>
          <w:rFonts w:ascii="Calibri" w:hAnsi="Calibri"/>
          <w:lang w:val="en-GB"/>
        </w:rPr>
        <w:t>encounter the unfamiliar yet already familiar museum as a research site. However, we contend that an attention to the politics of intimacy can have a much broader utility when ‘reading’ the museum, beyond a focus on the researcher ‘self</w:t>
      </w:r>
      <w:commentRangeStart w:id="7"/>
      <w:r w:rsidR="008D59D5" w:rsidRPr="006974E9">
        <w:rPr>
          <w:rFonts w:ascii="Calibri" w:hAnsi="Calibri"/>
          <w:lang w:val="en-GB"/>
        </w:rPr>
        <w:t xml:space="preserve">’. </w:t>
      </w:r>
      <w:commentRangeEnd w:id="7"/>
      <w:r w:rsidR="000405E3">
        <w:rPr>
          <w:rStyle w:val="CommentReference"/>
          <w:lang w:val="en-GB"/>
        </w:rPr>
        <w:commentReference w:id="7"/>
      </w:r>
    </w:p>
    <w:p w14:paraId="1D2A4996" w14:textId="77777777" w:rsidR="00980B41" w:rsidRPr="006974E9" w:rsidRDefault="00980B41">
      <w:pPr>
        <w:pStyle w:val="Normal1"/>
        <w:jc w:val="both"/>
        <w:rPr>
          <w:rFonts w:ascii="Calibri" w:hAnsi="Calibri"/>
          <w:lang w:val="en-GB"/>
        </w:rPr>
      </w:pPr>
    </w:p>
    <w:p w14:paraId="7A55C180" w14:textId="55A9DCE0" w:rsidR="00980B41" w:rsidRPr="006974E9" w:rsidRDefault="008D59D5">
      <w:pPr>
        <w:pStyle w:val="Normal1"/>
        <w:jc w:val="both"/>
        <w:rPr>
          <w:rFonts w:ascii="Calibri" w:hAnsi="Calibri"/>
          <w:lang w:val="en-GB"/>
        </w:rPr>
      </w:pPr>
      <w:r w:rsidRPr="006974E9">
        <w:rPr>
          <w:rFonts w:ascii="Calibri" w:hAnsi="Calibri"/>
          <w:lang w:val="en-GB"/>
        </w:rPr>
        <w:t>Intimacy, we suggest</w:t>
      </w:r>
      <w:r w:rsidR="00914A47">
        <w:rPr>
          <w:rFonts w:ascii="Calibri" w:hAnsi="Calibri"/>
          <w:lang w:val="en-GB"/>
        </w:rPr>
        <w:t xml:space="preserve"> here</w:t>
      </w:r>
      <w:r w:rsidRPr="006974E9">
        <w:rPr>
          <w:rFonts w:ascii="Calibri" w:hAnsi="Calibri"/>
          <w:lang w:val="en-GB"/>
        </w:rPr>
        <w:t>, is particularly useful for researching museums. Firstly, they are alre</w:t>
      </w:r>
      <w:r w:rsidR="00BD031F" w:rsidRPr="006974E9">
        <w:rPr>
          <w:rFonts w:ascii="Calibri" w:hAnsi="Calibri"/>
          <w:lang w:val="en-GB"/>
        </w:rPr>
        <w:t>ady a site of socialisation to which</w:t>
      </w:r>
      <w:r w:rsidRPr="006974E9">
        <w:rPr>
          <w:rFonts w:ascii="Calibri" w:hAnsi="Calibri"/>
          <w:lang w:val="en-GB"/>
        </w:rPr>
        <w:t xml:space="preserve"> visitors are often ‘intimately’ bound</w:t>
      </w:r>
      <w:r w:rsidR="00464F77">
        <w:rPr>
          <w:rFonts w:ascii="Calibri" w:hAnsi="Calibri"/>
          <w:lang w:val="en-GB"/>
        </w:rPr>
        <w:t xml:space="preserve"> through </w:t>
      </w:r>
      <w:r w:rsidR="008856D2">
        <w:rPr>
          <w:rFonts w:ascii="Calibri" w:hAnsi="Calibri"/>
          <w:lang w:val="en-GB"/>
        </w:rPr>
        <w:t>formative affective encounters</w:t>
      </w:r>
      <w:r w:rsidRPr="006974E9">
        <w:rPr>
          <w:rFonts w:ascii="Calibri" w:hAnsi="Calibri"/>
          <w:lang w:val="en-GB"/>
        </w:rPr>
        <w:t>; secondly, museums are places of particular embodied encounter</w:t>
      </w:r>
      <w:r w:rsidR="00884B83" w:rsidRPr="006974E9">
        <w:rPr>
          <w:rFonts w:ascii="Calibri" w:hAnsi="Calibri"/>
          <w:lang w:val="en-GB"/>
        </w:rPr>
        <w:t>s between institutional spaces</w:t>
      </w:r>
      <w:r w:rsidR="008D2732">
        <w:rPr>
          <w:rFonts w:ascii="Calibri" w:hAnsi="Calibri"/>
          <w:lang w:val="en-GB"/>
        </w:rPr>
        <w:t xml:space="preserve"> and </w:t>
      </w:r>
      <w:r w:rsidR="00884B83" w:rsidRPr="006974E9">
        <w:rPr>
          <w:rFonts w:ascii="Calibri" w:hAnsi="Calibri"/>
          <w:lang w:val="en-GB"/>
        </w:rPr>
        <w:t xml:space="preserve">objects </w:t>
      </w:r>
      <w:r w:rsidR="008D2732" w:rsidRPr="006974E9">
        <w:rPr>
          <w:rFonts w:ascii="Calibri" w:hAnsi="Calibri"/>
          <w:lang w:val="en-GB"/>
        </w:rPr>
        <w:t>reified</w:t>
      </w:r>
      <w:r w:rsidR="008D2732">
        <w:rPr>
          <w:rFonts w:ascii="Calibri" w:hAnsi="Calibri"/>
          <w:lang w:val="en-GB"/>
        </w:rPr>
        <w:t xml:space="preserve"> by </w:t>
      </w:r>
      <w:r w:rsidRPr="006974E9">
        <w:rPr>
          <w:rFonts w:ascii="Calibri" w:hAnsi="Calibri"/>
          <w:lang w:val="en-GB"/>
        </w:rPr>
        <w:t>nationalism and colonialism</w:t>
      </w:r>
      <w:r w:rsidR="00BD031F" w:rsidRPr="006974E9">
        <w:rPr>
          <w:rFonts w:ascii="Calibri" w:hAnsi="Calibri"/>
          <w:lang w:val="en-GB"/>
        </w:rPr>
        <w:t>;</w:t>
      </w:r>
      <w:r w:rsidRPr="006974E9">
        <w:rPr>
          <w:rFonts w:ascii="Calibri" w:hAnsi="Calibri"/>
          <w:lang w:val="en-GB"/>
        </w:rPr>
        <w:t xml:space="preserve"> and thirdly, as civic spaces museums are sites which rely upon mobilising particular regimes of socio-sexual and raced normalcy such as family, domesticity, heteronormativity, patriotism, able-bodiedness</w:t>
      </w:r>
      <w:r w:rsidR="00BD031F" w:rsidRPr="006974E9">
        <w:rPr>
          <w:rStyle w:val="FootnoteReference"/>
          <w:rFonts w:ascii="Calibri" w:hAnsi="Calibri"/>
          <w:lang w:val="en-GB"/>
        </w:rPr>
        <w:footnoteReference w:id="57"/>
      </w:r>
      <w:r w:rsidRPr="006974E9">
        <w:rPr>
          <w:rFonts w:ascii="Calibri" w:hAnsi="Calibri"/>
          <w:lang w:val="en-GB"/>
        </w:rPr>
        <w:t xml:space="preserve">. </w:t>
      </w:r>
      <w:r w:rsidR="002D3DC3" w:rsidRPr="006974E9">
        <w:rPr>
          <w:rFonts w:ascii="Calibri" w:hAnsi="Calibri"/>
          <w:lang w:val="en-GB"/>
        </w:rPr>
        <w:t>M</w:t>
      </w:r>
      <w:r w:rsidRPr="006974E9">
        <w:rPr>
          <w:rFonts w:ascii="Calibri" w:hAnsi="Calibri"/>
          <w:lang w:val="en-GB"/>
        </w:rPr>
        <w:t>useums are both ‘everyday’ and highly geopolitical as sites of imperial debris</w:t>
      </w:r>
      <w:r w:rsidR="00DF4BE0">
        <w:rPr>
          <w:rFonts w:ascii="Calibri" w:hAnsi="Calibri"/>
          <w:lang w:val="en-GB"/>
        </w:rPr>
        <w:t xml:space="preserve"> through which</w:t>
      </w:r>
      <w:r w:rsidRPr="006974E9">
        <w:rPr>
          <w:rFonts w:ascii="Calibri" w:hAnsi="Calibri"/>
          <w:lang w:val="en-GB"/>
        </w:rPr>
        <w:t xml:space="preserve"> colonial history, </w:t>
      </w:r>
      <w:r w:rsidR="004463BB">
        <w:rPr>
          <w:rFonts w:ascii="Calibri" w:hAnsi="Calibri"/>
          <w:lang w:val="en-GB"/>
        </w:rPr>
        <w:t>war, violence, and the ongoing power structures of coloniality circulate</w:t>
      </w:r>
      <w:r w:rsidRPr="006974E9">
        <w:rPr>
          <w:rFonts w:ascii="Calibri" w:hAnsi="Calibri"/>
          <w:lang w:val="en-GB"/>
        </w:rPr>
        <w:t xml:space="preserve">. Visiting a museum involves participation and engagement in the reproduction of these processes through, for example, reading, following trails, watching films, interactive exhibitions, and moving one's body in particular ways. The museum calls upon us through particular types of bodied intimacy and a relationship to objects and experiences. Museums </w:t>
      </w:r>
      <w:r w:rsidRPr="006974E9">
        <w:rPr>
          <w:rFonts w:ascii="Calibri" w:hAnsi="Calibri"/>
          <w:lang w:val="en-GB"/>
        </w:rPr>
        <w:lastRenderedPageBreak/>
        <w:t>include</w:t>
      </w:r>
      <w:r w:rsidR="00AC6EC2">
        <w:rPr>
          <w:rFonts w:ascii="Calibri" w:hAnsi="Calibri"/>
          <w:lang w:val="en-GB"/>
        </w:rPr>
        <w:t xml:space="preserve"> and </w:t>
      </w:r>
      <w:r w:rsidRPr="006974E9">
        <w:rPr>
          <w:rFonts w:ascii="Calibri" w:hAnsi="Calibri"/>
          <w:lang w:val="en-GB"/>
        </w:rPr>
        <w:t>exclude and racially interpellate subjects through intimate circulation of emotions and relationship to o</w:t>
      </w:r>
      <w:r w:rsidR="000B29CA" w:rsidRPr="006974E9">
        <w:rPr>
          <w:rFonts w:ascii="Calibri" w:hAnsi="Calibri"/>
          <w:lang w:val="en-GB"/>
        </w:rPr>
        <w:t>thers and objects. They</w:t>
      </w:r>
      <w:r w:rsidRPr="006974E9">
        <w:rPr>
          <w:rFonts w:ascii="Calibri" w:hAnsi="Calibri"/>
          <w:lang w:val="en-GB"/>
        </w:rPr>
        <w:t xml:space="preserve"> make appeals to normalcy (such as whiteness, maleness, colonial nostalgia, heterosexism</w:t>
      </w:r>
      <w:r w:rsidR="004A494F">
        <w:rPr>
          <w:rFonts w:ascii="Calibri" w:hAnsi="Calibri"/>
          <w:lang w:val="en-GB"/>
        </w:rPr>
        <w:t>, cisgenderism</w:t>
      </w:r>
      <w:r w:rsidRPr="006974E9">
        <w:rPr>
          <w:rFonts w:ascii="Calibri" w:hAnsi="Calibri"/>
          <w:lang w:val="en-GB"/>
        </w:rPr>
        <w:t>) that hide the very political work done in</w:t>
      </w:r>
      <w:r w:rsidR="00AC6EC2">
        <w:rPr>
          <w:rFonts w:ascii="Calibri" w:hAnsi="Calibri"/>
          <w:lang w:val="en-GB"/>
        </w:rPr>
        <w:t xml:space="preserve"> and </w:t>
      </w:r>
      <w:r w:rsidRPr="006974E9">
        <w:rPr>
          <w:rFonts w:ascii="Calibri" w:hAnsi="Calibri"/>
          <w:lang w:val="en-GB"/>
        </w:rPr>
        <w:t xml:space="preserve">by museums and exhibitions. Intimacy helps denaturalise and expose these processes whilst providing an (auto)ethnographic and reflexive practice to explore </w:t>
      </w:r>
      <w:r w:rsidR="004A494F">
        <w:rPr>
          <w:rFonts w:ascii="Calibri" w:hAnsi="Calibri"/>
          <w:lang w:val="en-GB"/>
        </w:rPr>
        <w:t xml:space="preserve">the researcher’s </w:t>
      </w:r>
      <w:r w:rsidR="00E85DEA">
        <w:rPr>
          <w:rFonts w:ascii="Calibri" w:hAnsi="Calibri"/>
          <w:lang w:val="en-GB"/>
        </w:rPr>
        <w:t>various complicities or exclusions</w:t>
      </w:r>
      <w:r w:rsidRPr="006974E9">
        <w:rPr>
          <w:rFonts w:ascii="Calibri" w:hAnsi="Calibri"/>
          <w:lang w:val="en-GB"/>
        </w:rPr>
        <w:t xml:space="preserve">. Thinking through intimacy gets at the affective and emotional circulations that are tied to museums as imperial debris.   </w:t>
      </w:r>
    </w:p>
    <w:p w14:paraId="46ED4CAD" w14:textId="77777777" w:rsidR="00980B41" w:rsidRPr="006974E9" w:rsidRDefault="00980B41">
      <w:pPr>
        <w:pStyle w:val="Normal1"/>
        <w:jc w:val="both"/>
        <w:rPr>
          <w:rFonts w:ascii="Calibri" w:hAnsi="Calibri"/>
          <w:lang w:val="en-GB"/>
        </w:rPr>
      </w:pPr>
    </w:p>
    <w:p w14:paraId="202CA06E" w14:textId="74548AF7" w:rsidR="00980B41" w:rsidRPr="006974E9" w:rsidRDefault="008D118A">
      <w:pPr>
        <w:pStyle w:val="Normal1"/>
        <w:jc w:val="both"/>
        <w:rPr>
          <w:rFonts w:ascii="Calibri" w:hAnsi="Calibri"/>
          <w:lang w:val="en-GB"/>
        </w:rPr>
      </w:pPr>
      <w:commentRangeStart w:id="8"/>
      <w:commentRangeStart w:id="9"/>
      <w:commentRangeStart w:id="10"/>
      <w:commentRangeStart w:id="11"/>
      <w:commentRangeStart w:id="12"/>
      <w:commentRangeStart w:id="13"/>
      <w:commentRangeStart w:id="14"/>
      <w:commentRangeStart w:id="15"/>
      <w:commentRangeEnd w:id="8"/>
      <w:commentRangeEnd w:id="9"/>
      <w:commentRangeEnd w:id="10"/>
      <w:commentRangeEnd w:id="11"/>
      <w:commentRangeEnd w:id="12"/>
      <w:commentRangeEnd w:id="13"/>
      <w:commentRangeEnd w:id="14"/>
      <w:commentRangeEnd w:id="15"/>
      <w:r w:rsidRPr="006974E9">
        <w:rPr>
          <w:rFonts w:ascii="Calibri" w:hAnsi="Calibri"/>
          <w:lang w:val="en-GB"/>
        </w:rPr>
        <w:t>We argue that intimacy is not only the navigation of social relations with another person</w:t>
      </w:r>
      <w:r w:rsidR="00B31162">
        <w:rPr>
          <w:rFonts w:ascii="Calibri" w:hAnsi="Calibri"/>
          <w:lang w:val="en-GB"/>
        </w:rPr>
        <w:t xml:space="preserve">, </w:t>
      </w:r>
      <w:r w:rsidRPr="006974E9">
        <w:rPr>
          <w:rFonts w:ascii="Calibri" w:hAnsi="Calibri"/>
          <w:lang w:val="en-GB"/>
        </w:rPr>
        <w:t xml:space="preserve">such as in </w:t>
      </w:r>
      <w:r w:rsidR="00AB3693" w:rsidRPr="006974E9">
        <w:rPr>
          <w:rFonts w:ascii="Calibri" w:hAnsi="Calibri"/>
          <w:lang w:val="en-GB"/>
        </w:rPr>
        <w:t xml:space="preserve">the </w:t>
      </w:r>
      <w:r w:rsidRPr="006974E9">
        <w:rPr>
          <w:rFonts w:ascii="Calibri" w:hAnsi="Calibri"/>
          <w:lang w:val="en-GB"/>
        </w:rPr>
        <w:t>close and proximate affective encounters which are centr</w:t>
      </w:r>
      <w:r w:rsidR="00AB3693" w:rsidRPr="006974E9">
        <w:rPr>
          <w:rFonts w:ascii="Calibri" w:hAnsi="Calibri"/>
          <w:lang w:val="en-GB"/>
        </w:rPr>
        <w:t>al to fieldwork</w:t>
      </w:r>
      <w:r w:rsidR="00B31162">
        <w:rPr>
          <w:rFonts w:ascii="Calibri" w:hAnsi="Calibri"/>
          <w:lang w:val="en-GB"/>
        </w:rPr>
        <w:t>,</w:t>
      </w:r>
      <w:r w:rsidR="00AB3693" w:rsidRPr="006974E9">
        <w:rPr>
          <w:rFonts w:ascii="Calibri" w:hAnsi="Calibri"/>
          <w:vertAlign w:val="superscript"/>
          <w:lang w:val="en-GB"/>
        </w:rPr>
        <w:footnoteReference w:id="58"/>
      </w:r>
      <w:r w:rsidRPr="006974E9">
        <w:rPr>
          <w:rFonts w:ascii="Calibri" w:hAnsi="Calibri"/>
          <w:lang w:val="en-GB"/>
        </w:rPr>
        <w:t xml:space="preserve"> but also our feelings and sensibilities when encountering objects and institutions.</w:t>
      </w:r>
      <w:r w:rsidR="008D59D5" w:rsidRPr="006974E9">
        <w:rPr>
          <w:rFonts w:ascii="Calibri" w:hAnsi="Calibri"/>
          <w:lang w:val="en-GB"/>
        </w:rPr>
        <w:t xml:space="preserve"> </w:t>
      </w:r>
      <w:r w:rsidR="00AB3693" w:rsidRPr="006974E9">
        <w:rPr>
          <w:rFonts w:ascii="Calibri" w:hAnsi="Calibri"/>
          <w:lang w:val="en-GB"/>
        </w:rPr>
        <w:t xml:space="preserve">This directs us to </w:t>
      </w:r>
      <w:r w:rsidR="008D59D5" w:rsidRPr="006974E9">
        <w:rPr>
          <w:rFonts w:ascii="Calibri" w:hAnsi="Calibri"/>
          <w:lang w:val="en-GB"/>
        </w:rPr>
        <w:t>examine processes</w:t>
      </w:r>
      <w:r w:rsidR="00104EEB">
        <w:rPr>
          <w:rFonts w:ascii="Calibri" w:hAnsi="Calibri"/>
          <w:lang w:val="en-GB"/>
        </w:rPr>
        <w:t xml:space="preserve"> in which</w:t>
      </w:r>
      <w:r w:rsidR="008D59D5" w:rsidRPr="006974E9">
        <w:rPr>
          <w:rFonts w:ascii="Calibri" w:hAnsi="Calibri"/>
          <w:lang w:val="en-GB"/>
        </w:rPr>
        <w:t xml:space="preserve"> we ours</w:t>
      </w:r>
      <w:r w:rsidR="00AB3693" w:rsidRPr="006974E9">
        <w:rPr>
          <w:rFonts w:ascii="Calibri" w:hAnsi="Calibri"/>
          <w:lang w:val="en-GB"/>
        </w:rPr>
        <w:t xml:space="preserve">elves are entangled. </w:t>
      </w:r>
      <w:r w:rsidR="008D59D5" w:rsidRPr="006974E9">
        <w:rPr>
          <w:rFonts w:ascii="Calibri" w:hAnsi="Calibri"/>
          <w:lang w:val="en-GB"/>
        </w:rPr>
        <w:t>Here</w:t>
      </w:r>
      <w:r w:rsidR="00B31162">
        <w:rPr>
          <w:rFonts w:ascii="Calibri" w:hAnsi="Calibri"/>
          <w:lang w:val="en-GB"/>
        </w:rPr>
        <w:t>,</w:t>
      </w:r>
      <w:r w:rsidR="008D59D5" w:rsidRPr="006974E9">
        <w:rPr>
          <w:rFonts w:ascii="Calibri" w:hAnsi="Calibri"/>
          <w:lang w:val="en-GB"/>
        </w:rPr>
        <w:t xml:space="preserve"> intimacy is a means of understanding our </w:t>
      </w:r>
      <w:r w:rsidR="00B31162">
        <w:rPr>
          <w:rFonts w:ascii="Calibri" w:hAnsi="Calibri"/>
          <w:lang w:val="en-GB"/>
        </w:rPr>
        <w:t>em</w:t>
      </w:r>
      <w:r w:rsidR="008D59D5" w:rsidRPr="006974E9">
        <w:rPr>
          <w:rFonts w:ascii="Calibri" w:hAnsi="Calibri"/>
          <w:lang w:val="en-GB"/>
        </w:rPr>
        <w:t>bodied and emotional relations to people and objects which often defy categorisation. At the same time</w:t>
      </w:r>
      <w:r w:rsidR="00B31162">
        <w:rPr>
          <w:rFonts w:ascii="Calibri" w:hAnsi="Calibri"/>
          <w:lang w:val="en-GB"/>
        </w:rPr>
        <w:t>,</w:t>
      </w:r>
      <w:r w:rsidR="008D59D5" w:rsidRPr="006974E9">
        <w:rPr>
          <w:rFonts w:ascii="Calibri" w:hAnsi="Calibri"/>
          <w:lang w:val="en-GB"/>
        </w:rPr>
        <w:t xml:space="preserve"> it is a means of exploring how those relations are always related to global</w:t>
      </w:r>
      <w:r w:rsidR="00496166">
        <w:rPr>
          <w:rFonts w:ascii="Calibri" w:hAnsi="Calibri"/>
          <w:lang w:val="en-GB"/>
        </w:rPr>
        <w:t>/colonial</w:t>
      </w:r>
      <w:r w:rsidR="008D59D5" w:rsidRPr="006974E9">
        <w:rPr>
          <w:rFonts w:ascii="Calibri" w:hAnsi="Calibri"/>
          <w:lang w:val="en-GB"/>
        </w:rPr>
        <w:t xml:space="preserve"> dynamics of power.   </w:t>
      </w:r>
    </w:p>
    <w:p w14:paraId="6B136ED4" w14:textId="77777777" w:rsidR="00980B41" w:rsidRPr="006974E9" w:rsidRDefault="008D59D5">
      <w:pPr>
        <w:pStyle w:val="Normal1"/>
        <w:jc w:val="both"/>
        <w:rPr>
          <w:rFonts w:ascii="Calibri" w:hAnsi="Calibri"/>
          <w:lang w:val="en-GB"/>
        </w:rPr>
      </w:pPr>
      <w:r w:rsidRPr="006974E9">
        <w:rPr>
          <w:rFonts w:ascii="Calibri" w:hAnsi="Calibri"/>
          <w:lang w:val="en-GB"/>
        </w:rPr>
        <w:t xml:space="preserve">      </w:t>
      </w:r>
    </w:p>
    <w:p w14:paraId="638FB72C" w14:textId="77777777" w:rsidR="00980B41" w:rsidRPr="006974E9" w:rsidRDefault="008D59D5">
      <w:pPr>
        <w:pStyle w:val="Normal1"/>
        <w:jc w:val="both"/>
        <w:rPr>
          <w:rFonts w:ascii="Calibri" w:hAnsi="Calibri"/>
          <w:lang w:val="en-GB"/>
        </w:rPr>
      </w:pPr>
      <w:r w:rsidRPr="006974E9">
        <w:rPr>
          <w:rFonts w:ascii="Calibri" w:hAnsi="Calibri"/>
          <w:lang w:val="en-GB"/>
        </w:rPr>
        <w:t xml:space="preserve">We draw upon different aspects of the literature discussed here to conceptualise intimacy in three overlapping processes:   </w:t>
      </w:r>
    </w:p>
    <w:p w14:paraId="1B72EC14" w14:textId="77777777" w:rsidR="00980B41" w:rsidRPr="006974E9" w:rsidRDefault="00980B41">
      <w:pPr>
        <w:pStyle w:val="Normal1"/>
        <w:jc w:val="both"/>
        <w:rPr>
          <w:rFonts w:ascii="Calibri" w:hAnsi="Calibri"/>
          <w:lang w:val="en-GB"/>
        </w:rPr>
      </w:pPr>
    </w:p>
    <w:p w14:paraId="22D76D9F" w14:textId="7C6E8667" w:rsidR="00980B41" w:rsidRPr="006974E9" w:rsidRDefault="008D59D5">
      <w:pPr>
        <w:pStyle w:val="Normal1"/>
        <w:jc w:val="both"/>
        <w:rPr>
          <w:rFonts w:ascii="Calibri" w:hAnsi="Calibri"/>
          <w:i/>
          <w:lang w:val="en-GB"/>
        </w:rPr>
      </w:pPr>
      <w:r w:rsidRPr="006974E9">
        <w:rPr>
          <w:rFonts w:ascii="Calibri" w:hAnsi="Calibri"/>
          <w:i/>
          <w:lang w:val="en-GB"/>
        </w:rPr>
        <w:t>1. Intimacy as socio-sexual affect.</w:t>
      </w:r>
      <w:r w:rsidR="00527C97" w:rsidRPr="006974E9">
        <w:rPr>
          <w:rFonts w:ascii="Calibri" w:hAnsi="Calibri"/>
          <w:i/>
          <w:lang w:val="en-GB"/>
        </w:rPr>
        <w:t xml:space="preserve"> </w:t>
      </w:r>
      <w:r w:rsidR="004E2101" w:rsidRPr="006974E9">
        <w:rPr>
          <w:rFonts w:ascii="Calibri" w:hAnsi="Calibri"/>
          <w:lang w:val="en-GB"/>
        </w:rPr>
        <w:t>Intimacy enables</w:t>
      </w:r>
      <w:r w:rsidRPr="006974E9">
        <w:rPr>
          <w:rFonts w:ascii="Calibri" w:hAnsi="Calibri"/>
          <w:lang w:val="en-GB"/>
        </w:rPr>
        <w:t xml:space="preserve"> us </w:t>
      </w:r>
      <w:r w:rsidR="004E2101" w:rsidRPr="006974E9">
        <w:rPr>
          <w:rFonts w:ascii="Calibri" w:hAnsi="Calibri"/>
          <w:lang w:val="en-GB"/>
        </w:rPr>
        <w:t xml:space="preserve">to </w:t>
      </w:r>
      <w:r w:rsidRPr="006974E9">
        <w:rPr>
          <w:rFonts w:ascii="Calibri" w:hAnsi="Calibri"/>
          <w:lang w:val="en-GB"/>
        </w:rPr>
        <w:t>question our relations to objects and subjects which are bound up with feelings of closeness and familiarity.</w:t>
      </w:r>
      <w:r w:rsidRPr="006974E9">
        <w:rPr>
          <w:rFonts w:ascii="Calibri" w:hAnsi="Calibri"/>
          <w:vertAlign w:val="superscript"/>
          <w:lang w:val="en-GB"/>
        </w:rPr>
        <w:footnoteReference w:id="59"/>
      </w:r>
      <w:r w:rsidRPr="006974E9">
        <w:rPr>
          <w:rFonts w:ascii="Calibri" w:hAnsi="Calibri"/>
          <w:lang w:val="en-GB"/>
        </w:rPr>
        <w:t xml:space="preserve"> This could be emotio</w:t>
      </w:r>
      <w:r w:rsidR="004E2101" w:rsidRPr="006974E9">
        <w:rPr>
          <w:rFonts w:ascii="Calibri" w:hAnsi="Calibri"/>
          <w:lang w:val="en-GB"/>
        </w:rPr>
        <w:t xml:space="preserve">nal and embodied states, but </w:t>
      </w:r>
      <w:r w:rsidRPr="006974E9">
        <w:rPr>
          <w:rFonts w:ascii="Calibri" w:hAnsi="Calibri"/>
          <w:lang w:val="en-GB"/>
        </w:rPr>
        <w:t>also refers to how intimacy</w:t>
      </w:r>
      <w:r w:rsidR="004E2101" w:rsidRPr="006974E9">
        <w:rPr>
          <w:rFonts w:ascii="Calibri" w:hAnsi="Calibri"/>
          <w:lang w:val="en-GB"/>
        </w:rPr>
        <w:t xml:space="preserve"> is made intelligible; </w:t>
      </w:r>
      <w:r w:rsidRPr="006974E9">
        <w:rPr>
          <w:rFonts w:ascii="Calibri" w:hAnsi="Calibri"/>
          <w:lang w:val="en-GB"/>
        </w:rPr>
        <w:t>how intimacy is understood and experienced is always tied to normative ways of being together, through heteronormativity and homonormativity.</w:t>
      </w:r>
      <w:r w:rsidRPr="006974E9">
        <w:rPr>
          <w:rFonts w:ascii="Calibri" w:hAnsi="Calibri"/>
          <w:vertAlign w:val="superscript"/>
          <w:lang w:val="en-GB"/>
        </w:rPr>
        <w:footnoteReference w:id="60"/>
      </w:r>
      <w:r w:rsidR="00017264">
        <w:rPr>
          <w:rFonts w:ascii="Calibri" w:hAnsi="Calibri"/>
          <w:lang w:val="en-GB"/>
        </w:rPr>
        <w:t xml:space="preserve"> For example, f</w:t>
      </w:r>
      <w:r w:rsidRPr="006974E9">
        <w:rPr>
          <w:rFonts w:ascii="Calibri" w:hAnsi="Calibri"/>
          <w:lang w:val="en-GB"/>
        </w:rPr>
        <w:t>eelings of intimacy relate to how we are orientated by wider regimes of power towards certain objects, bodies and others - through appeals to domesticity, family, household, consumption, reproduction, nationhood, cit</w:t>
      </w:r>
      <w:r w:rsidR="004E2101" w:rsidRPr="006974E9">
        <w:rPr>
          <w:rFonts w:ascii="Calibri" w:hAnsi="Calibri"/>
          <w:lang w:val="en-GB"/>
        </w:rPr>
        <w:t>izenship</w:t>
      </w:r>
      <w:r w:rsidRPr="006974E9">
        <w:rPr>
          <w:rFonts w:ascii="Calibri" w:hAnsi="Calibri"/>
          <w:lang w:val="en-GB"/>
        </w:rPr>
        <w:t>.</w:t>
      </w:r>
      <w:r w:rsidR="00017264">
        <w:rPr>
          <w:rFonts w:ascii="Calibri" w:hAnsi="Calibri"/>
          <w:lang w:val="en-GB"/>
        </w:rPr>
        <w:t xml:space="preserve"> How we might encounter or feel intimately connected to an object or picture can be viewed as organised around schemas of heteronormativity</w:t>
      </w:r>
      <w:r w:rsidR="004C0B8B">
        <w:rPr>
          <w:rFonts w:ascii="Calibri" w:hAnsi="Calibri"/>
          <w:lang w:val="en-GB"/>
        </w:rPr>
        <w:t xml:space="preserve"> and emotional circulations that are historically linked to these social relations</w:t>
      </w:r>
      <w:r w:rsidR="00017264">
        <w:rPr>
          <w:rFonts w:ascii="Calibri" w:hAnsi="Calibri"/>
          <w:lang w:val="en-GB"/>
        </w:rPr>
        <w:t xml:space="preserve">. </w:t>
      </w:r>
      <w:r w:rsidR="008F538B">
        <w:rPr>
          <w:rFonts w:ascii="Calibri" w:hAnsi="Calibri"/>
          <w:lang w:val="en-GB"/>
        </w:rPr>
        <w:t>Following Berlant and Warner</w:t>
      </w:r>
      <w:r w:rsidRPr="006974E9">
        <w:rPr>
          <w:rFonts w:ascii="Calibri" w:hAnsi="Calibri"/>
          <w:lang w:val="en-GB"/>
        </w:rPr>
        <w:t xml:space="preserve"> </w:t>
      </w:r>
      <w:r w:rsidR="00E25C85">
        <w:rPr>
          <w:rFonts w:ascii="Calibri" w:hAnsi="Calibri"/>
          <w:lang w:val="en-GB"/>
        </w:rPr>
        <w:t xml:space="preserve">we consider </w:t>
      </w:r>
      <w:r w:rsidRPr="006974E9">
        <w:rPr>
          <w:rFonts w:ascii="Calibri" w:hAnsi="Calibri"/>
          <w:lang w:val="en-GB"/>
        </w:rPr>
        <w:t xml:space="preserve">heteronormativity </w:t>
      </w:r>
      <w:r w:rsidR="00E25C85">
        <w:rPr>
          <w:rFonts w:ascii="Calibri" w:hAnsi="Calibri"/>
          <w:lang w:val="en-GB"/>
        </w:rPr>
        <w:t>as</w:t>
      </w:r>
      <w:r w:rsidR="005F7DA9">
        <w:rPr>
          <w:rFonts w:ascii="Calibri" w:hAnsi="Calibri"/>
          <w:lang w:val="en-GB"/>
        </w:rPr>
        <w:t xml:space="preserve"> </w:t>
      </w:r>
      <w:r w:rsidR="00017264">
        <w:rPr>
          <w:rFonts w:ascii="Calibri" w:hAnsi="Calibri"/>
          <w:lang w:val="en-GB"/>
        </w:rPr>
        <w:t xml:space="preserve">a series of </w:t>
      </w:r>
      <w:r w:rsidRPr="006974E9">
        <w:rPr>
          <w:rFonts w:ascii="Calibri" w:hAnsi="Calibri"/>
          <w:lang w:val="en-GB"/>
        </w:rPr>
        <w:t>moral</w:t>
      </w:r>
      <w:r w:rsidR="00017264">
        <w:rPr>
          <w:rFonts w:ascii="Calibri" w:hAnsi="Calibri"/>
          <w:lang w:val="en-GB"/>
        </w:rPr>
        <w:t xml:space="preserve"> privel</w:t>
      </w:r>
      <w:r w:rsidR="008F538B">
        <w:rPr>
          <w:rFonts w:ascii="Calibri" w:hAnsi="Calibri"/>
          <w:lang w:val="en-GB"/>
        </w:rPr>
        <w:t>e</w:t>
      </w:r>
      <w:r w:rsidR="00017264">
        <w:rPr>
          <w:rFonts w:ascii="Calibri" w:hAnsi="Calibri"/>
          <w:lang w:val="en-GB"/>
        </w:rPr>
        <w:t>dges</w:t>
      </w:r>
      <w:r w:rsidR="00E25C85">
        <w:rPr>
          <w:rFonts w:ascii="Calibri" w:hAnsi="Calibri"/>
          <w:lang w:val="en-GB"/>
        </w:rPr>
        <w:t xml:space="preserve"> embedded within systems of power</w:t>
      </w:r>
      <w:commentRangeStart w:id="16"/>
      <w:commentRangeEnd w:id="16"/>
      <w:r w:rsidR="005D3CBC">
        <w:rPr>
          <w:rStyle w:val="CommentReference"/>
          <w:lang w:val="en-GB"/>
        </w:rPr>
        <w:commentReference w:id="16"/>
      </w:r>
      <w:r w:rsidRPr="006974E9">
        <w:rPr>
          <w:rFonts w:ascii="Calibri" w:hAnsi="Calibri"/>
          <w:lang w:val="en-GB"/>
        </w:rPr>
        <w:t>.</w:t>
      </w:r>
      <w:r w:rsidRPr="006974E9">
        <w:rPr>
          <w:rFonts w:ascii="Calibri" w:hAnsi="Calibri"/>
          <w:vertAlign w:val="superscript"/>
          <w:lang w:val="en-GB"/>
        </w:rPr>
        <w:footnoteReference w:id="61"/>
      </w:r>
      <w:r w:rsidRPr="006974E9">
        <w:rPr>
          <w:rFonts w:ascii="Calibri" w:hAnsi="Calibri"/>
          <w:lang w:val="en-GB"/>
        </w:rPr>
        <w:t xml:space="preserve"> Heteronormativity (and</w:t>
      </w:r>
      <w:r w:rsidR="004E2101" w:rsidRPr="006974E9">
        <w:rPr>
          <w:rFonts w:ascii="Calibri" w:hAnsi="Calibri"/>
          <w:lang w:val="en-GB"/>
        </w:rPr>
        <w:t>,</w:t>
      </w:r>
      <w:r w:rsidRPr="006974E9">
        <w:rPr>
          <w:rFonts w:ascii="Calibri" w:hAnsi="Calibri"/>
          <w:lang w:val="en-GB"/>
        </w:rPr>
        <w:t xml:space="preserve"> bound to this</w:t>
      </w:r>
      <w:r w:rsidR="004E2101" w:rsidRPr="006974E9">
        <w:rPr>
          <w:rFonts w:ascii="Calibri" w:hAnsi="Calibri"/>
          <w:lang w:val="en-GB"/>
        </w:rPr>
        <w:t>,</w:t>
      </w:r>
      <w:r w:rsidRPr="006974E9">
        <w:rPr>
          <w:rFonts w:ascii="Calibri" w:hAnsi="Calibri"/>
          <w:lang w:val="en-GB"/>
        </w:rPr>
        <w:t xml:space="preserve"> homonormativity) relates to how heterosexualism is characterised as morally superior and how this is fashioned through markers of </w:t>
      </w:r>
      <w:r w:rsidR="00212A72">
        <w:rPr>
          <w:rFonts w:ascii="Calibri" w:hAnsi="Calibri"/>
          <w:lang w:val="en-GB"/>
        </w:rPr>
        <w:t>supposed ‘</w:t>
      </w:r>
      <w:r w:rsidRPr="006974E9">
        <w:rPr>
          <w:rFonts w:ascii="Calibri" w:hAnsi="Calibri"/>
          <w:lang w:val="en-GB"/>
        </w:rPr>
        <w:t>progress</w:t>
      </w:r>
      <w:r w:rsidR="00212A72">
        <w:rPr>
          <w:rFonts w:ascii="Calibri" w:hAnsi="Calibri"/>
          <w:lang w:val="en-GB"/>
        </w:rPr>
        <w:t>’</w:t>
      </w:r>
      <w:r w:rsidRPr="006974E9">
        <w:rPr>
          <w:rFonts w:ascii="Calibri" w:hAnsi="Calibri"/>
          <w:lang w:val="en-GB"/>
        </w:rPr>
        <w:t xml:space="preserve"> such as individualism, domesticity, hygiene, lifestyle, </w:t>
      </w:r>
      <w:r w:rsidR="00017264">
        <w:rPr>
          <w:rFonts w:ascii="Calibri" w:hAnsi="Calibri"/>
          <w:lang w:val="en-GB"/>
        </w:rPr>
        <w:t xml:space="preserve">patriarchal gender relations, </w:t>
      </w:r>
      <w:r w:rsidRPr="006974E9">
        <w:rPr>
          <w:rFonts w:ascii="Calibri" w:hAnsi="Calibri"/>
          <w:lang w:val="en-GB"/>
        </w:rPr>
        <w:t>child rearing</w:t>
      </w:r>
      <w:r w:rsidR="00017264">
        <w:rPr>
          <w:rFonts w:ascii="Calibri" w:hAnsi="Calibri"/>
          <w:lang w:val="en-GB"/>
        </w:rPr>
        <w:t xml:space="preserve">, social reproduction </w:t>
      </w:r>
      <w:r w:rsidRPr="006974E9">
        <w:rPr>
          <w:rFonts w:ascii="Calibri" w:hAnsi="Calibri"/>
          <w:lang w:val="en-GB"/>
        </w:rPr>
        <w:t>as much as sex.</w:t>
      </w:r>
      <w:r w:rsidRPr="006974E9">
        <w:rPr>
          <w:rFonts w:ascii="Calibri" w:hAnsi="Calibri"/>
          <w:vertAlign w:val="superscript"/>
          <w:lang w:val="en-GB"/>
        </w:rPr>
        <w:footnoteReference w:id="62"/>
      </w:r>
      <w:r w:rsidRPr="006974E9">
        <w:rPr>
          <w:rFonts w:ascii="Calibri" w:hAnsi="Calibri"/>
          <w:lang w:val="en-GB"/>
        </w:rPr>
        <w:t xml:space="preserve"> </w:t>
      </w:r>
    </w:p>
    <w:p w14:paraId="3D9522A3" w14:textId="77777777" w:rsidR="00980B41" w:rsidRPr="006974E9" w:rsidRDefault="00980B41">
      <w:pPr>
        <w:pStyle w:val="Normal1"/>
        <w:jc w:val="both"/>
        <w:rPr>
          <w:rFonts w:ascii="Calibri" w:hAnsi="Calibri"/>
          <w:lang w:val="en-GB"/>
        </w:rPr>
      </w:pPr>
    </w:p>
    <w:p w14:paraId="1D5E91B2" w14:textId="456871BF" w:rsidR="00980B41" w:rsidRPr="006974E9" w:rsidRDefault="008D59D5">
      <w:pPr>
        <w:pStyle w:val="Normal1"/>
        <w:jc w:val="both"/>
        <w:rPr>
          <w:rFonts w:ascii="Calibri" w:hAnsi="Calibri"/>
          <w:lang w:val="en-GB"/>
        </w:rPr>
      </w:pPr>
      <w:r w:rsidRPr="006974E9">
        <w:rPr>
          <w:rFonts w:ascii="Calibri" w:hAnsi="Calibri"/>
          <w:lang w:val="en-GB"/>
        </w:rPr>
        <w:t>Intimacy here is</w:t>
      </w:r>
      <w:r w:rsidR="00E92683" w:rsidRPr="006974E9">
        <w:rPr>
          <w:rFonts w:ascii="Calibri" w:hAnsi="Calibri"/>
          <w:lang w:val="en-GB"/>
        </w:rPr>
        <w:t xml:space="preserve"> not solely confined to human-</w:t>
      </w:r>
      <w:r w:rsidRPr="006974E9">
        <w:rPr>
          <w:rFonts w:ascii="Calibri" w:hAnsi="Calibri"/>
          <w:lang w:val="en-GB"/>
        </w:rPr>
        <w:t xml:space="preserve">human relations but can also encompass how humans relate to objects or </w:t>
      </w:r>
      <w:commentRangeStart w:id="17"/>
      <w:commentRangeEnd w:id="17"/>
      <w:r w:rsidRPr="006974E9">
        <w:rPr>
          <w:rFonts w:ascii="Calibri" w:hAnsi="Calibri"/>
          <w:lang w:val="en-GB"/>
        </w:rPr>
        <w:t>animals</w:t>
      </w:r>
      <w:r w:rsidR="00212A72">
        <w:rPr>
          <w:rFonts w:ascii="Calibri" w:hAnsi="Calibri"/>
          <w:lang w:val="en-GB"/>
        </w:rPr>
        <w:t>, as our analysis of Snob will illustrate</w:t>
      </w:r>
      <w:r w:rsidRPr="006974E9">
        <w:rPr>
          <w:rFonts w:ascii="Calibri" w:hAnsi="Calibri"/>
          <w:lang w:val="en-GB"/>
        </w:rPr>
        <w:t>. This recognises what Cudworth and Hobden call the deep embeddedness and connections and interdependencies between human and non-human animal systems</w:t>
      </w:r>
      <w:r w:rsidR="00E92683" w:rsidRPr="006974E9">
        <w:rPr>
          <w:rFonts w:ascii="Calibri" w:hAnsi="Calibri"/>
          <w:lang w:val="en-GB"/>
        </w:rPr>
        <w:t>,</w:t>
      </w:r>
      <w:r w:rsidRPr="006974E9">
        <w:rPr>
          <w:rFonts w:ascii="Calibri" w:hAnsi="Calibri"/>
          <w:vertAlign w:val="superscript"/>
          <w:lang w:val="en-GB"/>
        </w:rPr>
        <w:footnoteReference w:id="63"/>
      </w:r>
      <w:r w:rsidR="00E92683" w:rsidRPr="006974E9">
        <w:rPr>
          <w:rFonts w:ascii="Calibri" w:hAnsi="Calibri"/>
          <w:lang w:val="en-GB"/>
        </w:rPr>
        <w:t xml:space="preserve"> a</w:t>
      </w:r>
      <w:r w:rsidRPr="006974E9">
        <w:rPr>
          <w:rFonts w:ascii="Calibri" w:hAnsi="Calibri"/>
          <w:lang w:val="en-GB"/>
        </w:rPr>
        <w:t xml:space="preserve">s well as how experience of socio-sexual affect are stimulated and propagated by seemingly inanimate or moving objects. The intimate and the corporeal senses of proximity and affect they refer </w:t>
      </w:r>
      <w:r w:rsidR="00B31162">
        <w:rPr>
          <w:rFonts w:ascii="Calibri" w:hAnsi="Calibri"/>
          <w:lang w:val="en-GB"/>
        </w:rPr>
        <w:t xml:space="preserve">to </w:t>
      </w:r>
      <w:r w:rsidRPr="006974E9">
        <w:rPr>
          <w:rFonts w:ascii="Calibri" w:hAnsi="Calibri"/>
          <w:lang w:val="en-GB"/>
        </w:rPr>
        <w:t>are not always about posi</w:t>
      </w:r>
      <w:r w:rsidR="00E92683" w:rsidRPr="006974E9">
        <w:rPr>
          <w:rFonts w:ascii="Calibri" w:hAnsi="Calibri"/>
          <w:lang w:val="en-GB"/>
        </w:rPr>
        <w:t xml:space="preserve">tive emotional states - </w:t>
      </w:r>
      <w:r w:rsidRPr="006974E9">
        <w:rPr>
          <w:rFonts w:ascii="Calibri" w:hAnsi="Calibri"/>
          <w:lang w:val="en-GB"/>
        </w:rPr>
        <w:t xml:space="preserve">desire, love, eroticism - but can also be about revilement, hate, disgust. However, what we are interested in is both how these relations of intimacy emerge between humans, objects and animals and how they remain arranged through dominant normative heteronormative and colonial schemas of worth. Western forms </w:t>
      </w:r>
      <w:r w:rsidRPr="006974E9">
        <w:rPr>
          <w:rFonts w:ascii="Calibri" w:hAnsi="Calibri"/>
          <w:lang w:val="en-GB"/>
        </w:rPr>
        <w:lastRenderedPageBreak/>
        <w:t>of domesticity are imagined to be intimate spaces of family but this can also include relations to fetish</w:t>
      </w:r>
      <w:r w:rsidR="00475F43">
        <w:rPr>
          <w:rFonts w:ascii="Calibri" w:hAnsi="Calibri"/>
          <w:lang w:val="en-GB"/>
        </w:rPr>
        <w:t>is</w:t>
      </w:r>
      <w:r w:rsidRPr="006974E9">
        <w:rPr>
          <w:rFonts w:ascii="Calibri" w:hAnsi="Calibri"/>
          <w:lang w:val="en-GB"/>
        </w:rPr>
        <w:t>ed objects, commodities and of course animals. Intimate relations between humans and animals are governed by usually strict taboos around affection, particularly sex.</w:t>
      </w:r>
      <w:r w:rsidR="00E92683" w:rsidRPr="006974E9">
        <w:rPr>
          <w:rStyle w:val="FootnoteReference"/>
          <w:rFonts w:ascii="Calibri" w:hAnsi="Calibri"/>
          <w:lang w:val="en-GB"/>
        </w:rPr>
        <w:footnoteReference w:id="64"/>
      </w:r>
      <w:r w:rsidRPr="006974E9">
        <w:rPr>
          <w:rFonts w:ascii="Calibri" w:hAnsi="Calibri"/>
          <w:lang w:val="en-GB"/>
        </w:rPr>
        <w:t xml:space="preserve"> Equally, which animals are objects of affection is often governed by prior assumptions about their domestic fit as ‘pets’, wo</w:t>
      </w:r>
      <w:r w:rsidR="00576909" w:rsidRPr="006974E9">
        <w:rPr>
          <w:rFonts w:ascii="Calibri" w:hAnsi="Calibri"/>
          <w:lang w:val="en-GB"/>
        </w:rPr>
        <w:t>rking animals or as food.</w:t>
      </w:r>
      <w:r w:rsidRPr="006974E9">
        <w:rPr>
          <w:rFonts w:ascii="Calibri" w:hAnsi="Calibri"/>
          <w:lang w:val="en-GB"/>
        </w:rPr>
        <w:t xml:space="preserve"> Such strict boundaries around intimacy betray the place that sex has in marking further boundaries between human</w:t>
      </w:r>
      <w:r w:rsidR="00B31162">
        <w:rPr>
          <w:rFonts w:ascii="Calibri" w:hAnsi="Calibri"/>
          <w:lang w:val="en-GB"/>
        </w:rPr>
        <w:t xml:space="preserve"> and </w:t>
      </w:r>
      <w:r w:rsidRPr="006974E9">
        <w:rPr>
          <w:rFonts w:ascii="Calibri" w:hAnsi="Calibri"/>
          <w:lang w:val="en-GB"/>
        </w:rPr>
        <w:t>animals</w:t>
      </w:r>
      <w:r w:rsidR="00576909" w:rsidRPr="006974E9">
        <w:rPr>
          <w:rStyle w:val="FootnoteReference"/>
          <w:rFonts w:ascii="Calibri" w:hAnsi="Calibri"/>
          <w:lang w:val="en-GB"/>
        </w:rPr>
        <w:footnoteReference w:id="65"/>
      </w:r>
      <w:r w:rsidRPr="006974E9">
        <w:rPr>
          <w:rFonts w:ascii="Calibri" w:hAnsi="Calibri"/>
          <w:lang w:val="en-GB"/>
        </w:rPr>
        <w:t>, in ways that are parallel (if not directly comparable) to the way that sex was used to draw racial categories. The intimate as we use it gets at these encounters, bonds and affections and ask us to explore how these states emerge and the political work they do in museum spaces.</w:t>
      </w:r>
    </w:p>
    <w:p w14:paraId="63178B47" w14:textId="77777777" w:rsidR="00980B41" w:rsidRPr="006974E9" w:rsidRDefault="00980B41">
      <w:pPr>
        <w:pStyle w:val="Normal1"/>
        <w:jc w:val="both"/>
        <w:rPr>
          <w:rFonts w:ascii="Calibri" w:hAnsi="Calibri"/>
          <w:lang w:val="en-GB"/>
        </w:rPr>
      </w:pPr>
    </w:p>
    <w:p w14:paraId="1947174F" w14:textId="37F61CEF" w:rsidR="00980B41" w:rsidRPr="006974E9" w:rsidRDefault="008D59D5">
      <w:pPr>
        <w:pStyle w:val="Normal1"/>
        <w:jc w:val="both"/>
        <w:rPr>
          <w:rFonts w:ascii="Calibri" w:hAnsi="Calibri"/>
          <w:i/>
          <w:lang w:val="en-GB"/>
        </w:rPr>
      </w:pPr>
      <w:r w:rsidRPr="006974E9">
        <w:rPr>
          <w:rFonts w:ascii="Calibri" w:hAnsi="Calibri"/>
          <w:i/>
          <w:lang w:val="en-GB"/>
        </w:rPr>
        <w:t>2. Intimacy as scales and proximities</w:t>
      </w:r>
      <w:r w:rsidR="00B31162">
        <w:rPr>
          <w:rFonts w:ascii="Calibri" w:hAnsi="Calibri"/>
          <w:i/>
          <w:lang w:val="en-GB"/>
        </w:rPr>
        <w:t>.</w:t>
      </w:r>
      <w:r w:rsidR="005F7DA9">
        <w:rPr>
          <w:rStyle w:val="FootnoteReference"/>
          <w:rFonts w:ascii="Calibri" w:hAnsi="Calibri"/>
          <w:i/>
          <w:lang w:val="en-GB"/>
        </w:rPr>
        <w:footnoteReference w:id="66"/>
      </w:r>
      <w:r w:rsidR="00527C97" w:rsidRPr="006974E9">
        <w:rPr>
          <w:rFonts w:ascii="Calibri" w:hAnsi="Calibri"/>
          <w:i/>
          <w:lang w:val="en-GB"/>
        </w:rPr>
        <w:t xml:space="preserve"> </w:t>
      </w:r>
      <w:r w:rsidRPr="006974E9">
        <w:rPr>
          <w:rFonts w:ascii="Calibri" w:hAnsi="Calibri"/>
          <w:lang w:val="en-GB"/>
        </w:rPr>
        <w:t xml:space="preserve">Objects in museums can reveal intimate relations linking places and times. Circulations and relations between and across objects </w:t>
      </w:r>
      <w:r w:rsidR="0079469B" w:rsidRPr="006974E9">
        <w:rPr>
          <w:rFonts w:ascii="Calibri" w:hAnsi="Calibri"/>
          <w:lang w:val="en-GB"/>
        </w:rPr>
        <w:t xml:space="preserve">illuminate how </w:t>
      </w:r>
      <w:r w:rsidRPr="006974E9">
        <w:rPr>
          <w:rFonts w:ascii="Calibri" w:hAnsi="Calibri"/>
          <w:lang w:val="en-GB"/>
        </w:rPr>
        <w:t>what might otherwise be understood mainly as ‘past’, such as colonial violence, continue to be embedded in and r</w:t>
      </w:r>
      <w:r w:rsidR="00F40BAF" w:rsidRPr="006974E9">
        <w:rPr>
          <w:rFonts w:ascii="Calibri" w:hAnsi="Calibri"/>
          <w:lang w:val="en-GB"/>
        </w:rPr>
        <w:t>eproduced in the now. I</w:t>
      </w:r>
      <w:r w:rsidRPr="006974E9">
        <w:rPr>
          <w:rFonts w:ascii="Calibri" w:hAnsi="Calibri"/>
          <w:lang w:val="en-GB"/>
        </w:rPr>
        <w:t>ntimacy helps question the division of the world into domestic/international, local/global and complicates commonsense understandings of the ‘far’ and ‘near’ and ‘past’ and ‘present’. In the words of Lisa Lowe, an attention to intimacy can reveal the ‘proximities of the geographically, and conceptually distant sites’.</w:t>
      </w:r>
      <w:r w:rsidRPr="006974E9">
        <w:rPr>
          <w:rFonts w:ascii="Calibri" w:hAnsi="Calibri"/>
          <w:vertAlign w:val="superscript"/>
          <w:lang w:val="en-GB"/>
        </w:rPr>
        <w:footnoteReference w:id="67"/>
      </w:r>
      <w:r w:rsidRPr="006974E9">
        <w:rPr>
          <w:rFonts w:ascii="Calibri" w:hAnsi="Calibri"/>
          <w:lang w:val="en-GB"/>
        </w:rPr>
        <w:t xml:space="preserve"> For example</w:t>
      </w:r>
      <w:r w:rsidR="00B45648">
        <w:rPr>
          <w:rFonts w:ascii="Calibri" w:hAnsi="Calibri"/>
          <w:lang w:val="en-GB"/>
        </w:rPr>
        <w:t>,</w:t>
      </w:r>
      <w:r w:rsidRPr="006974E9">
        <w:rPr>
          <w:rFonts w:ascii="Calibri" w:hAnsi="Calibri"/>
          <w:lang w:val="en-GB"/>
        </w:rPr>
        <w:t xml:space="preserve"> an intimate attention to objects can illuminate how </w:t>
      </w:r>
      <w:r w:rsidR="00D4206E">
        <w:rPr>
          <w:rFonts w:ascii="Calibri" w:hAnsi="Calibri"/>
          <w:lang w:val="en-GB"/>
        </w:rPr>
        <w:t xml:space="preserve">imperial debris </w:t>
      </w:r>
      <w:r w:rsidRPr="006974E9">
        <w:rPr>
          <w:rFonts w:ascii="Calibri" w:hAnsi="Calibri"/>
          <w:lang w:val="en-GB"/>
        </w:rPr>
        <w:t xml:space="preserve">link together seemingly disparate sites, bodies, and subjects, that would otherwise (such as through ideas of the liberal nation state) appear distant: Birmingham and Kingstown, New Orleans and Lagos. A manacle might tell a story about its production in a 19th </w:t>
      </w:r>
      <w:r w:rsidR="00B45648">
        <w:rPr>
          <w:rFonts w:ascii="Calibri" w:hAnsi="Calibri"/>
          <w:lang w:val="en-GB"/>
        </w:rPr>
        <w:t xml:space="preserve">century </w:t>
      </w:r>
      <w:r w:rsidRPr="006974E9">
        <w:rPr>
          <w:rFonts w:ascii="Calibri" w:hAnsi="Calibri"/>
          <w:lang w:val="en-GB"/>
        </w:rPr>
        <w:t xml:space="preserve">Birmingham factory to it being bound to the leg of an African slave in the middle passage, to the life history and forms of oppression that </w:t>
      </w:r>
      <w:r w:rsidR="00D4206E">
        <w:rPr>
          <w:rFonts w:ascii="Calibri" w:hAnsi="Calibri"/>
          <w:lang w:val="en-GB"/>
        </w:rPr>
        <w:t>affect p</w:t>
      </w:r>
      <w:r w:rsidRPr="006974E9">
        <w:rPr>
          <w:rFonts w:ascii="Calibri" w:hAnsi="Calibri"/>
          <w:lang w:val="en-GB"/>
        </w:rPr>
        <w:t>eople raciali</w:t>
      </w:r>
      <w:r w:rsidR="00B45648">
        <w:rPr>
          <w:rFonts w:ascii="Calibri" w:hAnsi="Calibri"/>
          <w:lang w:val="en-GB"/>
        </w:rPr>
        <w:t>s</w:t>
      </w:r>
      <w:r w:rsidRPr="006974E9">
        <w:rPr>
          <w:rFonts w:ascii="Calibri" w:hAnsi="Calibri"/>
          <w:lang w:val="en-GB"/>
        </w:rPr>
        <w:t>ed as Black today. Intimacy helps address the ‘</w:t>
      </w:r>
      <w:r w:rsidRPr="006974E9">
        <w:rPr>
          <w:rFonts w:ascii="Calibri" w:hAnsi="Calibri"/>
          <w:highlight w:val="white"/>
          <w:lang w:val="en-GB"/>
        </w:rPr>
        <w:t>usually unrecognized and unacknowledged structural articulations’</w:t>
      </w:r>
      <w:r w:rsidRPr="006974E9">
        <w:rPr>
          <w:rFonts w:ascii="Calibri" w:hAnsi="Calibri"/>
          <w:highlight w:val="white"/>
          <w:vertAlign w:val="superscript"/>
          <w:lang w:val="en-GB"/>
        </w:rPr>
        <w:footnoteReference w:id="68"/>
      </w:r>
      <w:r w:rsidRPr="006974E9">
        <w:rPr>
          <w:rFonts w:ascii="Calibri" w:hAnsi="Calibri"/>
          <w:highlight w:val="white"/>
          <w:lang w:val="en-GB"/>
        </w:rPr>
        <w:t xml:space="preserve"> between objects, places, peoples</w:t>
      </w:r>
      <w:r w:rsidR="00B45648">
        <w:rPr>
          <w:rFonts w:ascii="Calibri" w:hAnsi="Calibri"/>
          <w:highlight w:val="white"/>
          <w:lang w:val="en-GB"/>
        </w:rPr>
        <w:t>.</w:t>
      </w:r>
      <w:r w:rsidRPr="006974E9">
        <w:rPr>
          <w:rFonts w:ascii="Calibri" w:hAnsi="Calibri"/>
          <w:highlight w:val="white"/>
          <w:lang w:val="en-GB"/>
        </w:rPr>
        <w:t xml:space="preserve">’ </w:t>
      </w:r>
      <w:r w:rsidRPr="006974E9">
        <w:rPr>
          <w:rFonts w:ascii="Calibri" w:hAnsi="Calibri"/>
          <w:lang w:val="en-GB"/>
        </w:rPr>
        <w:t>Whilst objects can remain static</w:t>
      </w:r>
      <w:r w:rsidR="00B45648">
        <w:rPr>
          <w:rFonts w:ascii="Calibri" w:hAnsi="Calibri"/>
          <w:lang w:val="en-GB"/>
        </w:rPr>
        <w:t xml:space="preserve">, for example </w:t>
      </w:r>
      <w:r w:rsidRPr="006974E9">
        <w:rPr>
          <w:rFonts w:ascii="Calibri" w:hAnsi="Calibri"/>
          <w:lang w:val="en-GB"/>
        </w:rPr>
        <w:t xml:space="preserve">in </w:t>
      </w:r>
      <w:r w:rsidR="00B45648">
        <w:rPr>
          <w:rFonts w:ascii="Calibri" w:hAnsi="Calibri"/>
          <w:lang w:val="en-GB"/>
        </w:rPr>
        <w:t xml:space="preserve">a </w:t>
      </w:r>
      <w:r w:rsidRPr="006974E9">
        <w:rPr>
          <w:rFonts w:ascii="Calibri" w:hAnsi="Calibri"/>
          <w:lang w:val="en-GB"/>
        </w:rPr>
        <w:t>glass box</w:t>
      </w:r>
      <w:r w:rsidR="00B45648">
        <w:rPr>
          <w:rFonts w:ascii="Calibri" w:hAnsi="Calibri"/>
          <w:lang w:val="en-GB"/>
        </w:rPr>
        <w:t xml:space="preserve"> in a museum</w:t>
      </w:r>
      <w:r w:rsidRPr="006974E9">
        <w:rPr>
          <w:rFonts w:ascii="Calibri" w:hAnsi="Calibri"/>
          <w:lang w:val="en-GB"/>
        </w:rPr>
        <w:t>, tracing</w:t>
      </w:r>
      <w:r w:rsidR="0079469B" w:rsidRPr="006974E9">
        <w:rPr>
          <w:rFonts w:ascii="Calibri" w:hAnsi="Calibri"/>
          <w:lang w:val="en-GB"/>
        </w:rPr>
        <w:t xml:space="preserve"> intimacies </w:t>
      </w:r>
      <w:r w:rsidRPr="006974E9">
        <w:rPr>
          <w:rFonts w:ascii="Calibri" w:hAnsi="Calibri"/>
          <w:lang w:val="en-GB"/>
        </w:rPr>
        <w:t>reveal</w:t>
      </w:r>
      <w:r w:rsidR="0079469B" w:rsidRPr="006974E9">
        <w:rPr>
          <w:rFonts w:ascii="Calibri" w:hAnsi="Calibri"/>
          <w:lang w:val="en-GB"/>
        </w:rPr>
        <w:t>s</w:t>
      </w:r>
      <w:r w:rsidRPr="006974E9">
        <w:rPr>
          <w:rFonts w:ascii="Calibri" w:hAnsi="Calibri"/>
          <w:lang w:val="en-GB"/>
        </w:rPr>
        <w:t xml:space="preserve"> the circulations of objects and their attachments which may leave traces of other ‘unruly’ stories and experiences. These are ‘stories’ that might not fit so neatly fit into the touristic, civil and nationalist/imperial role of the museum. </w:t>
      </w:r>
    </w:p>
    <w:p w14:paraId="5755F67B" w14:textId="77777777" w:rsidR="00980B41" w:rsidRPr="006974E9" w:rsidRDefault="00980B41">
      <w:pPr>
        <w:pStyle w:val="Normal1"/>
        <w:jc w:val="both"/>
        <w:rPr>
          <w:rFonts w:ascii="Calibri" w:hAnsi="Calibri"/>
          <w:lang w:val="en-GB"/>
        </w:rPr>
      </w:pPr>
    </w:p>
    <w:p w14:paraId="17DDC326" w14:textId="5D5C646D" w:rsidR="00980B41" w:rsidRPr="001C70B3" w:rsidRDefault="008D59D5">
      <w:pPr>
        <w:pStyle w:val="Normal1"/>
        <w:jc w:val="both"/>
        <w:rPr>
          <w:rFonts w:ascii="Calibri" w:hAnsi="Calibri"/>
          <w:lang w:val="en-GB"/>
        </w:rPr>
      </w:pPr>
      <w:r w:rsidRPr="006974E9">
        <w:rPr>
          <w:rFonts w:ascii="Calibri" w:hAnsi="Calibri"/>
          <w:lang w:val="en-GB"/>
        </w:rPr>
        <w:t>The use of intimacy here appeals precisely to</w:t>
      </w:r>
      <w:r w:rsidR="006B4D3F" w:rsidRPr="006974E9">
        <w:rPr>
          <w:rFonts w:ascii="Calibri" w:hAnsi="Calibri"/>
          <w:lang w:val="en-GB"/>
        </w:rPr>
        <w:t xml:space="preserve"> the museum as imperial debris, emerging</w:t>
      </w:r>
      <w:r w:rsidRPr="006974E9">
        <w:rPr>
          <w:rFonts w:ascii="Calibri" w:hAnsi="Calibri"/>
          <w:lang w:val="en-GB"/>
        </w:rPr>
        <w:t xml:space="preserve"> as a</w:t>
      </w:r>
      <w:r w:rsidR="00C1015A">
        <w:rPr>
          <w:rFonts w:ascii="Calibri" w:hAnsi="Calibri"/>
          <w:lang w:val="en-GB"/>
        </w:rPr>
        <w:t>n</w:t>
      </w:r>
      <w:r w:rsidRPr="006974E9">
        <w:rPr>
          <w:rFonts w:ascii="Calibri" w:hAnsi="Calibri"/>
          <w:lang w:val="en-GB"/>
        </w:rPr>
        <w:t xml:space="preserve"> institution and a series of practices of archiving, cataloguing, differentiating, and exhibiting, out of the processes of extending colonial k</w:t>
      </w:r>
      <w:r w:rsidR="006B4D3F" w:rsidRPr="006974E9">
        <w:rPr>
          <w:rFonts w:ascii="Calibri" w:hAnsi="Calibri"/>
          <w:lang w:val="en-GB"/>
        </w:rPr>
        <w:t>nowledge of the world. R</w:t>
      </w:r>
      <w:r w:rsidRPr="006974E9">
        <w:rPr>
          <w:rFonts w:ascii="Calibri" w:hAnsi="Calibri"/>
          <w:lang w:val="en-GB"/>
        </w:rPr>
        <w:t>egardless of whether or not an object is m</w:t>
      </w:r>
      <w:r w:rsidR="006B4D3F" w:rsidRPr="006974E9">
        <w:rPr>
          <w:rFonts w:ascii="Calibri" w:hAnsi="Calibri"/>
          <w:lang w:val="en-GB"/>
        </w:rPr>
        <w:t>aterially linked to imperialism, i</w:t>
      </w:r>
      <w:r w:rsidRPr="006974E9">
        <w:rPr>
          <w:rFonts w:ascii="Calibri" w:hAnsi="Calibri"/>
          <w:lang w:val="en-GB"/>
        </w:rPr>
        <w:t xml:space="preserve">ntimacy draws our attention to the circulations and the </w:t>
      </w:r>
      <w:r w:rsidR="00B45648">
        <w:rPr>
          <w:rFonts w:ascii="Calibri" w:hAnsi="Calibri"/>
          <w:lang w:val="en-GB"/>
        </w:rPr>
        <w:t>‘</w:t>
      </w:r>
      <w:r w:rsidRPr="006974E9">
        <w:rPr>
          <w:rFonts w:ascii="Calibri" w:hAnsi="Calibri"/>
          <w:lang w:val="en-GB"/>
        </w:rPr>
        <w:t>geopoliticalness</w:t>
      </w:r>
      <w:r w:rsidR="00B45648">
        <w:rPr>
          <w:rFonts w:ascii="Calibri" w:hAnsi="Calibri"/>
          <w:lang w:val="en-GB"/>
        </w:rPr>
        <w:t>’</w:t>
      </w:r>
      <w:r w:rsidRPr="006974E9">
        <w:rPr>
          <w:rFonts w:ascii="Calibri" w:hAnsi="Calibri"/>
          <w:lang w:val="en-GB"/>
        </w:rPr>
        <w:t xml:space="preserve"> of objects. To consider the intimacy of a series of objects is to recognise the economy of ruins and debris - where they were produced, what they were used for, bound to, broken from and how they were ‘discovered’</w:t>
      </w:r>
      <w:r w:rsidR="00B45648">
        <w:rPr>
          <w:rFonts w:ascii="Calibri" w:hAnsi="Calibri"/>
          <w:lang w:val="en-GB"/>
        </w:rPr>
        <w:t xml:space="preserve">, </w:t>
      </w:r>
      <w:r w:rsidRPr="006974E9">
        <w:rPr>
          <w:rFonts w:ascii="Calibri" w:hAnsi="Calibri"/>
          <w:lang w:val="en-GB"/>
        </w:rPr>
        <w:t>stolen</w:t>
      </w:r>
      <w:r w:rsidR="00B45648">
        <w:rPr>
          <w:rFonts w:ascii="Calibri" w:hAnsi="Calibri"/>
          <w:lang w:val="en-GB"/>
        </w:rPr>
        <w:t xml:space="preserve">, </w:t>
      </w:r>
      <w:r w:rsidRPr="006974E9">
        <w:rPr>
          <w:rFonts w:ascii="Calibri" w:hAnsi="Calibri"/>
          <w:lang w:val="en-GB"/>
        </w:rPr>
        <w:t>appropriated</w:t>
      </w:r>
      <w:r w:rsidR="00B45648">
        <w:rPr>
          <w:rFonts w:ascii="Calibri" w:hAnsi="Calibri"/>
          <w:lang w:val="en-GB"/>
        </w:rPr>
        <w:t xml:space="preserve">, </w:t>
      </w:r>
      <w:r w:rsidRPr="006974E9">
        <w:rPr>
          <w:rFonts w:ascii="Calibri" w:hAnsi="Calibri"/>
          <w:lang w:val="en-GB"/>
        </w:rPr>
        <w:t>gifted</w:t>
      </w:r>
      <w:r w:rsidR="00D4206E">
        <w:rPr>
          <w:rFonts w:ascii="Calibri" w:hAnsi="Calibri"/>
          <w:lang w:val="en-GB"/>
        </w:rPr>
        <w:t>, (allegedly legitimately) bought</w:t>
      </w:r>
      <w:r w:rsidRPr="006974E9">
        <w:rPr>
          <w:rFonts w:ascii="Calibri" w:hAnsi="Calibri"/>
          <w:lang w:val="en-GB"/>
        </w:rPr>
        <w:t xml:space="preserve"> and eventually curated. This draws our attention to the historicity of objects but also the politica</w:t>
      </w:r>
      <w:r w:rsidR="006B4D3F" w:rsidRPr="006974E9">
        <w:rPr>
          <w:rFonts w:ascii="Calibri" w:hAnsi="Calibri"/>
          <w:lang w:val="en-GB"/>
        </w:rPr>
        <w:t>l work they continue to do. A</w:t>
      </w:r>
      <w:r w:rsidRPr="006974E9">
        <w:rPr>
          <w:rFonts w:ascii="Calibri" w:hAnsi="Calibri"/>
          <w:lang w:val="en-GB"/>
        </w:rPr>
        <w:t>n object’s intimate relations to other objects, events, places, people, animals can challenge a conventional linear notion of time and our ‘common</w:t>
      </w:r>
      <w:r w:rsidR="00B45648">
        <w:rPr>
          <w:rFonts w:ascii="Calibri" w:hAnsi="Calibri"/>
          <w:lang w:val="en-GB"/>
        </w:rPr>
        <w:t xml:space="preserve"> </w:t>
      </w:r>
      <w:r w:rsidRPr="006974E9">
        <w:rPr>
          <w:rFonts w:ascii="Calibri" w:hAnsi="Calibri"/>
          <w:lang w:val="en-GB"/>
        </w:rPr>
        <w:t>sense’ understanding of what Empire was and is (such as, as a grand strategy of expansion ‘over there’).</w:t>
      </w:r>
      <w:r w:rsidRPr="006974E9">
        <w:rPr>
          <w:rFonts w:ascii="Calibri" w:hAnsi="Calibri"/>
          <w:vertAlign w:val="superscript"/>
          <w:lang w:val="en-GB"/>
        </w:rPr>
        <w:footnoteReference w:id="69"/>
      </w:r>
      <w:r w:rsidRPr="006974E9">
        <w:rPr>
          <w:rFonts w:ascii="Calibri" w:hAnsi="Calibri"/>
          <w:lang w:val="en-GB"/>
        </w:rPr>
        <w:t xml:space="preserve"> This is through the relations it reveals, opens up or hides. This also draws our attention to how museums remake and produce colonial power through the curating and narrating of objects. For example, the curation of the manacle of an African slave doesn’t only allude to the ‘dead past’ of history, but may work </w:t>
      </w:r>
      <w:r w:rsidR="004C0B8B">
        <w:rPr>
          <w:rFonts w:ascii="Calibri" w:hAnsi="Calibri"/>
          <w:lang w:val="en-GB"/>
        </w:rPr>
        <w:t>to</w:t>
      </w:r>
      <w:r w:rsidRPr="006974E9">
        <w:rPr>
          <w:rFonts w:ascii="Calibri" w:hAnsi="Calibri"/>
          <w:lang w:val="en-GB"/>
        </w:rPr>
        <w:t xml:space="preserve"> address</w:t>
      </w:r>
      <w:r w:rsidR="004C0B8B">
        <w:rPr>
          <w:rFonts w:ascii="Calibri" w:hAnsi="Calibri"/>
          <w:lang w:val="en-GB"/>
        </w:rPr>
        <w:t xml:space="preserve"> certain people racialised as Black within the histor</w:t>
      </w:r>
      <w:r w:rsidR="00845025">
        <w:rPr>
          <w:rFonts w:ascii="Calibri" w:hAnsi="Calibri"/>
          <w:lang w:val="en-GB"/>
        </w:rPr>
        <w:t>ical legacies</w:t>
      </w:r>
      <w:r w:rsidR="004C0B8B">
        <w:rPr>
          <w:rFonts w:ascii="Calibri" w:hAnsi="Calibri"/>
          <w:lang w:val="en-GB"/>
        </w:rPr>
        <w:t xml:space="preserve"> of </w:t>
      </w:r>
      <w:r w:rsidR="004C0B8B">
        <w:rPr>
          <w:rFonts w:ascii="Calibri" w:hAnsi="Calibri"/>
          <w:lang w:val="en-GB"/>
        </w:rPr>
        <w:lastRenderedPageBreak/>
        <w:t>slavery</w:t>
      </w:r>
      <w:r w:rsidR="002D33C4">
        <w:rPr>
          <w:rFonts w:ascii="Calibri" w:hAnsi="Calibri"/>
          <w:lang w:val="en-GB"/>
        </w:rPr>
        <w:t xml:space="preserve"> and anti-black violence today</w:t>
      </w:r>
      <w:r w:rsidRPr="006974E9">
        <w:rPr>
          <w:rFonts w:ascii="Calibri" w:hAnsi="Calibri"/>
          <w:lang w:val="en-GB"/>
        </w:rPr>
        <w:t>.</w:t>
      </w:r>
      <w:r w:rsidRPr="006974E9">
        <w:rPr>
          <w:rFonts w:ascii="Calibri" w:hAnsi="Calibri"/>
          <w:vertAlign w:val="superscript"/>
          <w:lang w:val="en-GB"/>
        </w:rPr>
        <w:footnoteReference w:id="70"/>
      </w:r>
      <w:r w:rsidRPr="006974E9">
        <w:rPr>
          <w:rFonts w:ascii="Calibri" w:hAnsi="Calibri"/>
          <w:lang w:val="en-GB"/>
        </w:rPr>
        <w:t xml:space="preserve"> Museums </w:t>
      </w:r>
      <w:r w:rsidR="00B45648">
        <w:rPr>
          <w:rFonts w:ascii="Calibri" w:hAnsi="Calibri"/>
          <w:lang w:val="en-GB"/>
        </w:rPr>
        <w:t>do not only</w:t>
      </w:r>
      <w:r w:rsidR="00B45648" w:rsidRPr="006974E9">
        <w:rPr>
          <w:rFonts w:ascii="Calibri" w:hAnsi="Calibri"/>
          <w:lang w:val="en-GB"/>
        </w:rPr>
        <w:t xml:space="preserve"> </w:t>
      </w:r>
      <w:r w:rsidRPr="006974E9">
        <w:rPr>
          <w:rFonts w:ascii="Calibri" w:hAnsi="Calibri"/>
          <w:lang w:val="en-GB"/>
        </w:rPr>
        <w:t>narrate Empire but are a part of the fabric of its reproduction. This is of course contingent and messy and rel</w:t>
      </w:r>
      <w:r w:rsidR="00B45648">
        <w:rPr>
          <w:rFonts w:ascii="Calibri" w:hAnsi="Calibri"/>
          <w:lang w:val="en-GB"/>
        </w:rPr>
        <w:t>ies</w:t>
      </w:r>
      <w:r w:rsidRPr="006974E9">
        <w:rPr>
          <w:rFonts w:ascii="Calibri" w:hAnsi="Calibri"/>
          <w:lang w:val="en-GB"/>
        </w:rPr>
        <w:t xml:space="preserve"> upon the frames through which the object is presented</w:t>
      </w:r>
      <w:r w:rsidR="00B45648">
        <w:rPr>
          <w:rFonts w:ascii="Calibri" w:hAnsi="Calibri"/>
          <w:lang w:val="en-GB"/>
        </w:rPr>
        <w:t xml:space="preserve"> and </w:t>
      </w:r>
      <w:r w:rsidRPr="006974E9">
        <w:rPr>
          <w:rFonts w:ascii="Calibri" w:hAnsi="Calibri"/>
          <w:lang w:val="en-GB"/>
        </w:rPr>
        <w:t>encountered</w:t>
      </w:r>
      <w:r w:rsidR="00BA3D59">
        <w:rPr>
          <w:rFonts w:ascii="Calibri" w:hAnsi="Calibri"/>
          <w:lang w:val="en-GB"/>
        </w:rPr>
        <w:t>.</w:t>
      </w:r>
      <w:r w:rsidRPr="006974E9">
        <w:rPr>
          <w:rFonts w:ascii="Calibri" w:hAnsi="Calibri"/>
          <w:lang w:val="en-GB"/>
        </w:rPr>
        <w:t xml:space="preserve"> What we suggest here, however, is that objects have intimacies born out of circulations and use. This in turn reveals how the past collapses into the present and how intimate apparently distant place</w:t>
      </w:r>
      <w:r w:rsidR="00B45648">
        <w:rPr>
          <w:rFonts w:ascii="Calibri" w:hAnsi="Calibri"/>
          <w:lang w:val="en-GB"/>
        </w:rPr>
        <w:t>s</w:t>
      </w:r>
      <w:r w:rsidRPr="006974E9">
        <w:rPr>
          <w:rFonts w:ascii="Calibri" w:hAnsi="Calibri"/>
          <w:lang w:val="en-GB"/>
        </w:rPr>
        <w:t xml:space="preserve"> and times suddenly become. Intimacy can work as an analytical strategy which allows us to see these circulations and how they are addressed and organised through museum curation.         </w:t>
      </w:r>
    </w:p>
    <w:p w14:paraId="319442F3" w14:textId="77777777" w:rsidR="00980B41" w:rsidRPr="006974E9" w:rsidRDefault="00980B41">
      <w:pPr>
        <w:pStyle w:val="Normal1"/>
        <w:jc w:val="both"/>
        <w:rPr>
          <w:rFonts w:ascii="Calibri" w:hAnsi="Calibri"/>
          <w:lang w:val="en-GB"/>
        </w:rPr>
      </w:pPr>
    </w:p>
    <w:p w14:paraId="0986D0AC" w14:textId="3C859F03" w:rsidR="004220CA" w:rsidRDefault="008D59D5" w:rsidP="00D23C3B">
      <w:pPr>
        <w:autoSpaceDE w:val="0"/>
        <w:autoSpaceDN w:val="0"/>
        <w:adjustRightInd w:val="0"/>
        <w:spacing w:line="240" w:lineRule="auto"/>
        <w:jc w:val="both"/>
        <w:rPr>
          <w:rFonts w:asciiTheme="majorHAnsi" w:hAnsiTheme="majorHAnsi"/>
          <w:lang w:val="en-GB"/>
        </w:rPr>
      </w:pPr>
      <w:r w:rsidRPr="001C70B3">
        <w:rPr>
          <w:rFonts w:asciiTheme="majorHAnsi" w:hAnsiTheme="majorHAnsi"/>
          <w:i/>
          <w:lang w:val="en-GB"/>
        </w:rPr>
        <w:t>3. Intimacy as colonial differentiation</w:t>
      </w:r>
      <w:r w:rsidR="00527C97" w:rsidRPr="001C70B3">
        <w:rPr>
          <w:rFonts w:asciiTheme="majorHAnsi" w:hAnsiTheme="majorHAnsi"/>
          <w:lang w:val="en-GB"/>
        </w:rPr>
        <w:t xml:space="preserve">. </w:t>
      </w:r>
      <w:r w:rsidR="00D23C3B" w:rsidRPr="001C70B3">
        <w:rPr>
          <w:rFonts w:asciiTheme="majorHAnsi" w:hAnsiTheme="majorHAnsi"/>
          <w:lang w:val="en-GB"/>
        </w:rPr>
        <w:t>Finally, intimacy relates to the racial stratifications of people under Empire, part of what Walter Mignolo calls the construction of ‘colonial difference’.</w:t>
      </w:r>
      <w:r w:rsidR="00D23C3B" w:rsidRPr="001C70B3">
        <w:rPr>
          <w:rStyle w:val="FootnoteReference"/>
          <w:rFonts w:asciiTheme="majorHAnsi" w:hAnsiTheme="majorHAnsi"/>
          <w:lang w:val="en-GB"/>
        </w:rPr>
        <w:footnoteReference w:id="71"/>
      </w:r>
      <w:r w:rsidR="00D23C3B" w:rsidRPr="001C70B3">
        <w:rPr>
          <w:rFonts w:asciiTheme="majorHAnsi" w:hAnsiTheme="majorHAnsi"/>
          <w:lang w:val="en-GB"/>
        </w:rPr>
        <w:t xml:space="preserve"> </w:t>
      </w:r>
      <w:r w:rsidR="004C0B8B">
        <w:rPr>
          <w:rFonts w:asciiTheme="majorHAnsi" w:hAnsiTheme="majorHAnsi"/>
          <w:lang w:val="en-GB"/>
        </w:rPr>
        <w:t>As we began to address above, m</w:t>
      </w:r>
      <w:r w:rsidR="00D23C3B" w:rsidRPr="001C70B3">
        <w:rPr>
          <w:rFonts w:asciiTheme="majorHAnsi" w:hAnsiTheme="majorHAnsi"/>
          <w:lang w:val="en-GB"/>
        </w:rPr>
        <w:t>odern intimacy is heteronormative, it relies on the idea of domesticity and family as key aspects of human progress.</w:t>
      </w:r>
      <w:r w:rsidR="00D23C3B" w:rsidRPr="001C70B3">
        <w:rPr>
          <w:rFonts w:asciiTheme="majorHAnsi" w:hAnsiTheme="majorHAnsi"/>
          <w:vertAlign w:val="superscript"/>
          <w:lang w:val="en-GB"/>
        </w:rPr>
        <w:footnoteReference w:id="72"/>
      </w:r>
      <w:r w:rsidR="00D23C3B" w:rsidRPr="001C70B3">
        <w:rPr>
          <w:rFonts w:asciiTheme="majorHAnsi" w:hAnsiTheme="majorHAnsi"/>
          <w:lang w:val="en-GB"/>
        </w:rPr>
        <w:t xml:space="preserve"> Appeals to intimacy whilst being concerned with appropriate feelings and orientations towards others (including sex, desire, touching etc) are also wrapped up with the delineation of suspect and suspicious intimacies. For example, those intimacies and kinship practices that have been historically deem abnormal or underdeveloped – those that challenge, rupture or threaten heteronormative universalism and order. Whilst queer theorists have long demonstrated how heteronormative ideals have cast homosexuality as deviant, this has largely ignored how heteronomativity has a profound relationship with colonial racism.</w:t>
      </w:r>
      <w:r w:rsidR="00D23C3B" w:rsidRPr="001C70B3">
        <w:rPr>
          <w:rStyle w:val="FootnoteReference"/>
          <w:rFonts w:asciiTheme="majorHAnsi" w:hAnsiTheme="majorHAnsi"/>
          <w:lang w:val="en-GB"/>
        </w:rPr>
        <w:footnoteReference w:id="73"/>
      </w:r>
      <w:r w:rsidR="00D23C3B" w:rsidRPr="001C70B3">
        <w:rPr>
          <w:rFonts w:asciiTheme="majorHAnsi" w:hAnsiTheme="majorHAnsi"/>
          <w:lang w:val="en-GB"/>
        </w:rPr>
        <w:t xml:space="preserve"> </w:t>
      </w:r>
    </w:p>
    <w:p w14:paraId="625C9F16" w14:textId="77777777" w:rsidR="004220CA" w:rsidRDefault="004220CA" w:rsidP="00D23C3B">
      <w:pPr>
        <w:autoSpaceDE w:val="0"/>
        <w:autoSpaceDN w:val="0"/>
        <w:adjustRightInd w:val="0"/>
        <w:spacing w:line="240" w:lineRule="auto"/>
        <w:jc w:val="both"/>
        <w:rPr>
          <w:rFonts w:asciiTheme="majorHAnsi" w:hAnsiTheme="majorHAnsi"/>
          <w:lang w:val="en-GB"/>
        </w:rPr>
      </w:pPr>
    </w:p>
    <w:p w14:paraId="322E6469" w14:textId="267B977C" w:rsidR="00D23C3B" w:rsidRPr="001C70B3" w:rsidRDefault="00D23C3B" w:rsidP="00D23C3B">
      <w:pPr>
        <w:autoSpaceDE w:val="0"/>
        <w:autoSpaceDN w:val="0"/>
        <w:adjustRightInd w:val="0"/>
        <w:spacing w:line="240" w:lineRule="auto"/>
        <w:jc w:val="both"/>
        <w:rPr>
          <w:rFonts w:asciiTheme="majorHAnsi" w:hAnsiTheme="majorHAnsi"/>
          <w:lang w:val="en-GB"/>
        </w:rPr>
      </w:pPr>
      <w:r w:rsidRPr="001C70B3">
        <w:rPr>
          <w:rFonts w:asciiTheme="majorHAnsi" w:hAnsiTheme="majorHAnsi"/>
          <w:lang w:val="en-GB"/>
        </w:rPr>
        <w:t>Dominant ideas of intimacy from the 19th century focussed on European domesticity, arranged around the bourgeois nuclear family and patriarchal gender relations. Queer of Colour scholars such as Roderick Ferguson and Decolonial feminists such as Maria Lugones have demonstrated how these conceptions of nuclear family are fundamentally based on western capitalist and patriachal conceptions of gender and sexuality and thus function as highly racialised social ideals.</w:t>
      </w:r>
      <w:r w:rsidRPr="001C70B3">
        <w:rPr>
          <w:rStyle w:val="FootnoteReference"/>
          <w:rFonts w:asciiTheme="majorHAnsi" w:hAnsiTheme="majorHAnsi"/>
          <w:lang w:val="en-GB"/>
        </w:rPr>
        <w:footnoteReference w:id="74"/>
      </w:r>
      <w:r w:rsidRPr="001C70B3">
        <w:rPr>
          <w:rFonts w:asciiTheme="majorHAnsi" w:hAnsiTheme="majorHAnsi"/>
          <w:lang w:val="en-GB"/>
        </w:rPr>
        <w:t xml:space="preserve"> Colonisers used what Ferguson calls ‘taxonomies of perversion’ to codify and evidence the inferiority of colonised people, indigenous communities and slaves, based upon how far they were viewed as emulating or deviating from western forms of domesticity, Christian marriage and heteronormative family.</w:t>
      </w:r>
      <w:r w:rsidRPr="001C70B3">
        <w:rPr>
          <w:rStyle w:val="FootnoteReference"/>
          <w:rFonts w:asciiTheme="majorHAnsi" w:hAnsiTheme="majorHAnsi"/>
          <w:lang w:val="en-GB"/>
        </w:rPr>
        <w:footnoteReference w:id="75"/>
      </w:r>
      <w:r w:rsidRPr="001C70B3">
        <w:rPr>
          <w:rFonts w:asciiTheme="majorHAnsi" w:hAnsiTheme="majorHAnsi"/>
          <w:lang w:val="en-GB"/>
        </w:rPr>
        <w:t xml:space="preserve">  Lugones and Nigerian Feminist </w:t>
      </w:r>
      <w:r w:rsidRPr="001C70B3">
        <w:rPr>
          <w:rFonts w:asciiTheme="majorHAnsi" w:hAnsiTheme="majorHAnsi" w:cs="Times New Roman"/>
          <w:lang w:val="en-GB"/>
        </w:rPr>
        <w:t>Oyeronke Oyewumi</w:t>
      </w:r>
      <w:r w:rsidRPr="001C70B3">
        <w:rPr>
          <w:rFonts w:asciiTheme="majorHAnsi" w:hAnsiTheme="majorHAnsi"/>
          <w:lang w:val="en-GB"/>
        </w:rPr>
        <w:t xml:space="preserve"> take this point further by showing how gender and sexuality where in fact central to how colonised people (in their separate case in West Africa and indigenous communities in Latin America) where subject to dispossession and control by (settler) colonisers, imperial governments and missionaries.</w:t>
      </w:r>
      <w:r w:rsidRPr="001C70B3">
        <w:rPr>
          <w:rStyle w:val="FootnoteReference"/>
          <w:rFonts w:asciiTheme="majorHAnsi" w:hAnsiTheme="majorHAnsi"/>
          <w:lang w:val="en-GB"/>
        </w:rPr>
        <w:footnoteReference w:id="76"/>
      </w:r>
      <w:r w:rsidRPr="001C70B3">
        <w:rPr>
          <w:rFonts w:asciiTheme="majorHAnsi" w:hAnsiTheme="majorHAnsi"/>
          <w:lang w:val="en-GB"/>
        </w:rPr>
        <w:t xml:space="preserve"> The historic system of gender and sexuality created in western Europe was firstly used to reveal the racial inferiority of colonised people and then used as a sign of communities ‘development’ towards European modernity. </w:t>
      </w:r>
      <w:r w:rsidR="00D47E25">
        <w:rPr>
          <w:rFonts w:asciiTheme="majorHAnsi" w:hAnsiTheme="majorHAnsi"/>
          <w:lang w:val="en-GB"/>
        </w:rPr>
        <w:t xml:space="preserve">To </w:t>
      </w:r>
      <w:r w:rsidR="004C0B8B">
        <w:rPr>
          <w:rFonts w:asciiTheme="majorHAnsi" w:hAnsiTheme="majorHAnsi"/>
          <w:lang w:val="en-GB"/>
        </w:rPr>
        <w:t>Lugones</w:t>
      </w:r>
      <w:r w:rsidR="00D47E25">
        <w:rPr>
          <w:rFonts w:asciiTheme="majorHAnsi" w:hAnsiTheme="majorHAnsi"/>
          <w:lang w:val="en-GB"/>
        </w:rPr>
        <w:t xml:space="preserve"> (drawing on </w:t>
      </w:r>
      <w:r w:rsidR="00D47E25" w:rsidRPr="00955CA2">
        <w:rPr>
          <w:rFonts w:asciiTheme="majorHAnsi" w:hAnsiTheme="majorHAnsi" w:cs="Times New Roman"/>
          <w:lang w:val="en-GB"/>
        </w:rPr>
        <w:t>Oyewumi</w:t>
      </w:r>
      <w:r w:rsidR="00D47E25">
        <w:rPr>
          <w:rFonts w:asciiTheme="majorHAnsi" w:hAnsiTheme="majorHAnsi" w:cs="Times New Roman"/>
          <w:lang w:val="en-GB"/>
        </w:rPr>
        <w:t>)</w:t>
      </w:r>
      <w:r w:rsidR="00D47E25">
        <w:rPr>
          <w:rFonts w:asciiTheme="majorHAnsi" w:hAnsiTheme="majorHAnsi"/>
          <w:lang w:val="en-GB"/>
        </w:rPr>
        <w:t xml:space="preserve"> </w:t>
      </w:r>
      <w:r w:rsidRPr="001C70B3">
        <w:rPr>
          <w:rFonts w:asciiTheme="majorHAnsi" w:hAnsiTheme="majorHAnsi" w:cs="Times New Roman"/>
          <w:lang w:val="en-GB"/>
        </w:rPr>
        <w:t xml:space="preserve">‘the scope of the system of gender imposed </w:t>
      </w:r>
      <w:r w:rsidRPr="001C70B3">
        <w:rPr>
          <w:rFonts w:asciiTheme="majorHAnsi" w:hAnsiTheme="majorHAnsi" w:cs="Times New Roman"/>
          <w:lang w:val="en-GB"/>
        </w:rPr>
        <w:lastRenderedPageBreak/>
        <w:t>through colonialism encompasses the subordination of females in every aspect of life’.</w:t>
      </w:r>
      <w:r w:rsidR="00D47E25">
        <w:rPr>
          <w:rStyle w:val="FootnoteReference"/>
          <w:rFonts w:asciiTheme="majorHAnsi" w:hAnsiTheme="majorHAnsi" w:cs="Times New Roman"/>
          <w:lang w:val="en-GB"/>
        </w:rPr>
        <w:footnoteReference w:id="77"/>
      </w:r>
      <w:r w:rsidRPr="001C70B3">
        <w:rPr>
          <w:rFonts w:asciiTheme="majorHAnsi" w:hAnsiTheme="majorHAnsi"/>
          <w:lang w:val="en-GB"/>
        </w:rPr>
        <w:t xml:space="preserve"> In considering how intimacy functions within broader patterns of imperial debris we need to stay alert to how questions of intimacy were central to the racialisation of colonised peoples who were viewed as underdeveloped in their practices of kinship and how this is refashioned through ongoing modes of colonial racism today. How for example,  communities in both the Global North and South are deemed ‘backwards’ and ‘savage’ because of their apparent absence of domesticity, ‘primitive kinship structures’ and the treatment of women.</w:t>
      </w:r>
      <w:r w:rsidRPr="001C70B3">
        <w:rPr>
          <w:rFonts w:asciiTheme="majorHAnsi" w:hAnsiTheme="majorHAnsi"/>
          <w:vertAlign w:val="superscript"/>
          <w:lang w:val="en-GB"/>
        </w:rPr>
        <w:t xml:space="preserve"> </w:t>
      </w:r>
      <w:r w:rsidRPr="001C70B3">
        <w:rPr>
          <w:rFonts w:asciiTheme="majorHAnsi" w:hAnsiTheme="majorHAnsi"/>
          <w:vertAlign w:val="superscript"/>
          <w:lang w:val="en-GB"/>
        </w:rPr>
        <w:footnoteReference w:id="78"/>
      </w:r>
      <w:r w:rsidRPr="001C70B3">
        <w:rPr>
          <w:rFonts w:asciiTheme="majorHAnsi" w:hAnsiTheme="majorHAnsi"/>
          <w:lang w:val="en-GB"/>
        </w:rPr>
        <w:t xml:space="preserve"> And how, in this way, through ideas of in</w:t>
      </w:r>
      <w:r w:rsidR="004220CA">
        <w:rPr>
          <w:rFonts w:asciiTheme="majorHAnsi" w:hAnsiTheme="majorHAnsi"/>
          <w:lang w:val="en-GB"/>
        </w:rPr>
        <w:t>t</w:t>
      </w:r>
      <w:r w:rsidRPr="001C70B3">
        <w:rPr>
          <w:rFonts w:asciiTheme="majorHAnsi" w:hAnsiTheme="majorHAnsi"/>
          <w:lang w:val="en-GB"/>
        </w:rPr>
        <w:t>imacy some people are viewed as not properly modern but also not properly human.</w:t>
      </w:r>
      <w:r w:rsidRPr="001C70B3">
        <w:rPr>
          <w:rFonts w:asciiTheme="majorHAnsi" w:hAnsiTheme="majorHAnsi"/>
          <w:vertAlign w:val="superscript"/>
          <w:lang w:val="en-GB"/>
        </w:rPr>
        <w:footnoteReference w:id="79"/>
      </w:r>
      <w:r w:rsidRPr="001C70B3">
        <w:rPr>
          <w:rFonts w:asciiTheme="majorHAnsi" w:hAnsiTheme="majorHAnsi"/>
          <w:lang w:val="en-GB"/>
        </w:rPr>
        <w:t xml:space="preserve"> Liberal personhood is defined by a capacity for proper intimacy and individualism</w:t>
      </w:r>
      <w:r w:rsidRPr="001C70B3">
        <w:rPr>
          <w:rStyle w:val="FootnoteReference"/>
          <w:rFonts w:asciiTheme="majorHAnsi" w:hAnsiTheme="majorHAnsi"/>
          <w:lang w:val="en-GB"/>
        </w:rPr>
        <w:footnoteReference w:id="80"/>
      </w:r>
      <w:r w:rsidRPr="001C70B3">
        <w:rPr>
          <w:rFonts w:asciiTheme="majorHAnsi" w:hAnsiTheme="majorHAnsi"/>
          <w:lang w:val="en-GB"/>
        </w:rPr>
        <w:t xml:space="preserve">. This supposed universalism masks the racial hierarchies and colonial violence that mark people out as human, not-quite human or non-human. In this way, intimacy can organise personhood by demarcating who is or is not properly intimate. </w:t>
      </w:r>
    </w:p>
    <w:p w14:paraId="38CEE617" w14:textId="77777777" w:rsidR="00D23C3B" w:rsidRPr="001C70B3" w:rsidRDefault="00D23C3B" w:rsidP="00D23C3B">
      <w:pPr>
        <w:pStyle w:val="Normal1"/>
        <w:jc w:val="both"/>
        <w:rPr>
          <w:rFonts w:asciiTheme="majorHAnsi" w:hAnsiTheme="majorHAnsi"/>
          <w:lang w:val="en-GB"/>
        </w:rPr>
      </w:pPr>
    </w:p>
    <w:p w14:paraId="745DC0F1" w14:textId="6E6F24CB" w:rsidR="00D23C3B" w:rsidRPr="001C70B3" w:rsidRDefault="00D23C3B" w:rsidP="00D23C3B">
      <w:pPr>
        <w:pStyle w:val="Normal1"/>
        <w:jc w:val="both"/>
        <w:rPr>
          <w:rFonts w:asciiTheme="majorHAnsi" w:hAnsiTheme="majorHAnsi"/>
          <w:lang w:val="en-GB"/>
        </w:rPr>
      </w:pPr>
      <w:r w:rsidRPr="001C70B3">
        <w:rPr>
          <w:rFonts w:asciiTheme="majorHAnsi" w:hAnsiTheme="majorHAnsi"/>
          <w:lang w:val="en-GB"/>
        </w:rPr>
        <w:t>Intimacy as colonial differentiation illuminates how intimate hierarchies are arranged through heteronormative appeals to domesticity. This, as suggested above, is not solely concerned with human-human relationships. Intimacy can also be about the appropriate treatment, practical and metaphysical relationship between humans, objects, the environment, plants and animals. Colonialism relied on dismantling local and indigenous knowledges and practices of relating to the human/non-human world, that is, subordinating them as backwards, dangerous or irrational. Western knowledge continues to propagate this dismantling and with it imposes particular normative modes of intimate interactions between people and things (even by positing this dualism - to question it - we reproduce a particular western and Eurocentric form of categorisation). Following John Kinder, we can consider the zoo as one tool of imperialism, obsessed as it is with the domestication, management and curation of nature at the same time as fetishising and exoticising habitats it plays a role in destroying.</w:t>
      </w:r>
      <w:r w:rsidRPr="001C70B3">
        <w:rPr>
          <w:rFonts w:asciiTheme="majorHAnsi" w:hAnsiTheme="majorHAnsi"/>
          <w:vertAlign w:val="superscript"/>
          <w:lang w:val="en-GB"/>
        </w:rPr>
        <w:footnoteReference w:id="81"/>
      </w:r>
      <w:r w:rsidRPr="001C70B3">
        <w:rPr>
          <w:rFonts w:asciiTheme="majorHAnsi" w:hAnsiTheme="majorHAnsi"/>
          <w:lang w:val="en-GB"/>
        </w:rPr>
        <w:t xml:space="preserve"> Normative conceptions of the intimate relay and reorganise principles around how modern ‘civilised’ societies treat animals, for example how ‘we’ treat non-human animals, the division between pets, farm animals and ‘wild animals’ for instance, the keeping of animals in a household, or even rites of death and use of</w:t>
      </w:r>
      <w:r w:rsidR="004C0B8B">
        <w:rPr>
          <w:rFonts w:asciiTheme="majorHAnsi" w:hAnsiTheme="majorHAnsi"/>
          <w:lang w:val="en-GB"/>
        </w:rPr>
        <w:t xml:space="preserve"> </w:t>
      </w:r>
      <w:commentRangeStart w:id="18"/>
      <w:r w:rsidRPr="001C70B3">
        <w:rPr>
          <w:rFonts w:asciiTheme="majorHAnsi" w:hAnsiTheme="majorHAnsi"/>
          <w:lang w:val="en-GB"/>
        </w:rPr>
        <w:t xml:space="preserve"> animals (for example horses, dogs, elephants etc) </w:t>
      </w:r>
      <w:commentRangeEnd w:id="18"/>
      <w:r w:rsidRPr="001C70B3">
        <w:rPr>
          <w:rStyle w:val="CommentReference"/>
          <w:rFonts w:asciiTheme="majorHAnsi" w:hAnsiTheme="majorHAnsi"/>
          <w:sz w:val="22"/>
          <w:szCs w:val="22"/>
          <w:lang w:val="en-GB"/>
        </w:rPr>
        <w:commentReference w:id="18"/>
      </w:r>
      <w:r w:rsidRPr="001C70B3">
        <w:rPr>
          <w:rFonts w:asciiTheme="majorHAnsi" w:hAnsiTheme="majorHAnsi"/>
          <w:lang w:val="en-GB"/>
        </w:rPr>
        <w:t>in warfare.</w:t>
      </w:r>
      <w:r w:rsidRPr="001C70B3">
        <w:rPr>
          <w:rFonts w:asciiTheme="majorHAnsi" w:hAnsiTheme="majorHAnsi"/>
          <w:vertAlign w:val="superscript"/>
          <w:lang w:val="en-GB"/>
        </w:rPr>
        <w:footnoteReference w:id="82"/>
      </w:r>
      <w:r w:rsidRPr="001C70B3">
        <w:rPr>
          <w:rFonts w:asciiTheme="majorHAnsi" w:hAnsiTheme="majorHAnsi"/>
          <w:lang w:val="en-GB"/>
        </w:rPr>
        <w:t xml:space="preserve"> We can still often see how the apparent ‘inappropriate’ treatment of animals is used as a proxy for racialisation of populations as ‘backwards’, ‘savage’ or ‘uncivilised.’    </w:t>
      </w:r>
    </w:p>
    <w:p w14:paraId="79855D64" w14:textId="77777777" w:rsidR="00980B41" w:rsidRPr="006974E9" w:rsidRDefault="00980B41">
      <w:pPr>
        <w:pStyle w:val="Normal1"/>
        <w:jc w:val="both"/>
        <w:rPr>
          <w:rFonts w:ascii="Calibri" w:hAnsi="Calibri"/>
          <w:b/>
          <w:lang w:val="en-GB"/>
        </w:rPr>
      </w:pPr>
    </w:p>
    <w:p w14:paraId="0C5CC635" w14:textId="77777777" w:rsidR="00980B41" w:rsidRPr="006974E9" w:rsidRDefault="008D59D5">
      <w:pPr>
        <w:pStyle w:val="Normal1"/>
        <w:jc w:val="both"/>
        <w:rPr>
          <w:rFonts w:ascii="Calibri" w:hAnsi="Calibri"/>
          <w:b/>
          <w:lang w:val="en-GB"/>
        </w:rPr>
      </w:pPr>
      <w:r w:rsidRPr="006974E9">
        <w:rPr>
          <w:rFonts w:ascii="Calibri" w:hAnsi="Calibri"/>
          <w:b/>
          <w:lang w:val="en-GB"/>
        </w:rPr>
        <w:t xml:space="preserve">Intimate Objects of Imperial and Colonial Violence </w:t>
      </w:r>
    </w:p>
    <w:p w14:paraId="5E2CA2EA" w14:textId="77777777" w:rsidR="00980B41" w:rsidRPr="006974E9" w:rsidRDefault="00980B41">
      <w:pPr>
        <w:pStyle w:val="Normal1"/>
        <w:jc w:val="both"/>
        <w:rPr>
          <w:rFonts w:ascii="Calibri" w:hAnsi="Calibri"/>
          <w:lang w:val="en-GB"/>
        </w:rPr>
      </w:pPr>
    </w:p>
    <w:p w14:paraId="7172C5AB" w14:textId="6330930C" w:rsidR="00980B41" w:rsidRPr="006974E9" w:rsidRDefault="007B68E5">
      <w:pPr>
        <w:pStyle w:val="Normal1"/>
        <w:jc w:val="both"/>
        <w:rPr>
          <w:rFonts w:ascii="Calibri" w:hAnsi="Calibri"/>
          <w:lang w:val="en-GB"/>
        </w:rPr>
      </w:pPr>
      <w:r w:rsidRPr="006974E9">
        <w:rPr>
          <w:rFonts w:ascii="Calibri" w:hAnsi="Calibri"/>
          <w:lang w:val="en-GB"/>
        </w:rPr>
        <w:t>T</w:t>
      </w:r>
      <w:r w:rsidR="008965E8" w:rsidRPr="006974E9">
        <w:rPr>
          <w:rFonts w:ascii="Calibri" w:hAnsi="Calibri"/>
          <w:lang w:val="en-GB"/>
        </w:rPr>
        <w:t>o illustrate</w:t>
      </w:r>
      <w:r w:rsidR="008D59D5" w:rsidRPr="006974E9">
        <w:rPr>
          <w:rFonts w:ascii="Calibri" w:hAnsi="Calibri"/>
          <w:lang w:val="en-GB"/>
        </w:rPr>
        <w:t xml:space="preserve"> the </w:t>
      </w:r>
      <w:r w:rsidRPr="006974E9">
        <w:rPr>
          <w:rFonts w:ascii="Calibri" w:hAnsi="Calibri"/>
          <w:lang w:val="en-GB"/>
        </w:rPr>
        <w:t>above approach</w:t>
      </w:r>
      <w:r w:rsidR="0059211E">
        <w:rPr>
          <w:rFonts w:ascii="Calibri" w:hAnsi="Calibri"/>
          <w:lang w:val="en-GB"/>
        </w:rPr>
        <w:t xml:space="preserve"> to intimacy as method</w:t>
      </w:r>
      <w:r w:rsidRPr="006974E9">
        <w:rPr>
          <w:rFonts w:ascii="Calibri" w:hAnsi="Calibri"/>
          <w:lang w:val="en-GB"/>
        </w:rPr>
        <w:t xml:space="preserve"> we turn </w:t>
      </w:r>
      <w:r w:rsidR="008D59D5" w:rsidRPr="006974E9">
        <w:rPr>
          <w:rFonts w:ascii="Calibri" w:hAnsi="Calibri"/>
          <w:lang w:val="en-GB"/>
        </w:rPr>
        <w:t>to fieldwork encounters a</w:t>
      </w:r>
      <w:r w:rsidRPr="006974E9">
        <w:rPr>
          <w:rFonts w:ascii="Calibri" w:hAnsi="Calibri"/>
          <w:lang w:val="en-GB"/>
        </w:rPr>
        <w:t>t the Royal Engineers Museum</w:t>
      </w:r>
      <w:r w:rsidR="008D59D5" w:rsidRPr="006974E9">
        <w:rPr>
          <w:rFonts w:ascii="Calibri" w:hAnsi="Calibri"/>
          <w:lang w:val="en-GB"/>
        </w:rPr>
        <w:t xml:space="preserve"> and the particular political significance of the Museum and Corps mascot, ‘Snob’ the dog. Snob exists as a taxidermy dog in a glass case in the Museum’s Crimean War gallery</w:t>
      </w:r>
      <w:r w:rsidR="00226771" w:rsidRPr="006974E9">
        <w:rPr>
          <w:rFonts w:ascii="Calibri" w:hAnsi="Calibri"/>
          <w:lang w:val="en-GB"/>
        </w:rPr>
        <w:t xml:space="preserve"> (Figure 1)</w:t>
      </w:r>
      <w:r w:rsidR="008D59D5" w:rsidRPr="006974E9">
        <w:rPr>
          <w:rFonts w:ascii="Calibri" w:hAnsi="Calibri"/>
          <w:lang w:val="en-GB"/>
        </w:rPr>
        <w:t xml:space="preserve">, a cheerful cartoon on printed signage placed around the museum </w:t>
      </w:r>
      <w:r w:rsidR="00CA02C7">
        <w:rPr>
          <w:rFonts w:ascii="Calibri" w:hAnsi="Calibri"/>
          <w:lang w:val="en-GB"/>
        </w:rPr>
        <w:t xml:space="preserve">which provides a fun family oriented trail </w:t>
      </w:r>
      <w:r w:rsidR="00104EEB">
        <w:rPr>
          <w:rFonts w:ascii="Calibri" w:hAnsi="Calibri"/>
          <w:lang w:val="en-GB"/>
        </w:rPr>
        <w:t>l</w:t>
      </w:r>
      <w:r w:rsidR="008D59D5" w:rsidRPr="006974E9">
        <w:rPr>
          <w:rFonts w:ascii="Calibri" w:hAnsi="Calibri"/>
          <w:lang w:val="en-GB"/>
        </w:rPr>
        <w:t>inking other objects</w:t>
      </w:r>
      <w:r w:rsidRPr="006974E9">
        <w:rPr>
          <w:rFonts w:ascii="Calibri" w:hAnsi="Calibri"/>
          <w:lang w:val="en-GB"/>
        </w:rPr>
        <w:t xml:space="preserve"> </w:t>
      </w:r>
      <w:r w:rsidR="00226771" w:rsidRPr="006974E9">
        <w:rPr>
          <w:rFonts w:ascii="Calibri" w:hAnsi="Calibri"/>
          <w:lang w:val="en-GB"/>
        </w:rPr>
        <w:t>(Figure 2)</w:t>
      </w:r>
      <w:r w:rsidR="00CA02C7">
        <w:rPr>
          <w:rFonts w:ascii="Calibri" w:hAnsi="Calibri"/>
          <w:lang w:val="en-GB"/>
        </w:rPr>
        <w:t>,</w:t>
      </w:r>
      <w:r w:rsidR="008D59D5" w:rsidRPr="006974E9">
        <w:rPr>
          <w:rFonts w:ascii="Calibri" w:hAnsi="Calibri"/>
          <w:lang w:val="en-GB"/>
        </w:rPr>
        <w:t xml:space="preserve"> and a soft and huggable plush reproduction dog</w:t>
      </w:r>
      <w:r w:rsidRPr="006974E9">
        <w:rPr>
          <w:rFonts w:ascii="Calibri" w:hAnsi="Calibri"/>
          <w:lang w:val="en-GB"/>
        </w:rPr>
        <w:t xml:space="preserve"> which is</w:t>
      </w:r>
      <w:r w:rsidR="008D59D5" w:rsidRPr="006974E9">
        <w:rPr>
          <w:rFonts w:ascii="Calibri" w:hAnsi="Calibri"/>
          <w:lang w:val="en-GB"/>
        </w:rPr>
        <w:t xml:space="preserve"> photographed by museum staff around the museum and beyond it, taking part in activities with children and doing school outreach work</w:t>
      </w:r>
      <w:r w:rsidRPr="006974E9">
        <w:rPr>
          <w:rFonts w:ascii="Calibri" w:hAnsi="Calibri"/>
          <w:lang w:val="en-GB"/>
        </w:rPr>
        <w:t>.</w:t>
      </w:r>
      <w:r w:rsidR="008D59D5" w:rsidRPr="006974E9">
        <w:rPr>
          <w:rFonts w:ascii="Calibri" w:hAnsi="Calibri"/>
          <w:lang w:val="en-GB"/>
        </w:rPr>
        <w:t xml:space="preserve"> The photographs are posted on a Twitter account associated with ‘Snob’ which purports to disseminate information about ‘fun family friendly activities, education events and learning news’</w:t>
      </w:r>
      <w:r w:rsidR="009E2A93">
        <w:rPr>
          <w:rStyle w:val="FootnoteReference"/>
          <w:rFonts w:ascii="Calibri" w:hAnsi="Calibri"/>
          <w:lang w:val="en-GB"/>
        </w:rPr>
        <w:footnoteReference w:id="83"/>
      </w:r>
      <w:r w:rsidR="008D59D5" w:rsidRPr="006974E9">
        <w:rPr>
          <w:rFonts w:ascii="Calibri" w:hAnsi="Calibri"/>
          <w:lang w:val="en-GB"/>
        </w:rPr>
        <w:t>. The object label for the taxidermy dog records the following:</w:t>
      </w:r>
    </w:p>
    <w:p w14:paraId="5B162914" w14:textId="77777777" w:rsidR="00980B41" w:rsidRPr="006974E9" w:rsidRDefault="00980B41">
      <w:pPr>
        <w:pStyle w:val="Normal1"/>
        <w:jc w:val="both"/>
        <w:rPr>
          <w:rFonts w:ascii="Calibri" w:hAnsi="Calibri"/>
          <w:lang w:val="en-GB"/>
        </w:rPr>
      </w:pPr>
    </w:p>
    <w:p w14:paraId="7C32DD1F" w14:textId="77777777" w:rsidR="00980B41" w:rsidRPr="006974E9" w:rsidRDefault="008D59D5">
      <w:pPr>
        <w:pStyle w:val="Normal1"/>
        <w:ind w:left="850" w:right="667"/>
        <w:jc w:val="both"/>
        <w:rPr>
          <w:rFonts w:ascii="Calibri" w:hAnsi="Calibri"/>
          <w:sz w:val="20"/>
          <w:szCs w:val="20"/>
          <w:lang w:val="en-GB"/>
        </w:rPr>
      </w:pPr>
      <w:r w:rsidRPr="006974E9">
        <w:rPr>
          <w:rFonts w:ascii="Calibri" w:hAnsi="Calibri"/>
          <w:sz w:val="20"/>
          <w:szCs w:val="20"/>
          <w:lang w:val="en-GB"/>
        </w:rPr>
        <w:lastRenderedPageBreak/>
        <w:t xml:space="preserve">Found beside the body of a Russian officer after the Battle of the Alma this dog was adopted by the 11th Company Royal Sappers and Miners. Brought back to England he was originally called ‘Alma’, but was re-christened ‘Snob’ when he preferred the Officers Mess at Chatham to the Guardroom. Next to him is the Crimea Campaign medal with an “Alma” clasp which was awarded to ‘Snob’ after the battle. </w:t>
      </w:r>
    </w:p>
    <w:p w14:paraId="4659EDF1" w14:textId="77777777" w:rsidR="00980B41" w:rsidRPr="006974E9" w:rsidRDefault="00980B41">
      <w:pPr>
        <w:pStyle w:val="Normal1"/>
        <w:jc w:val="both"/>
        <w:rPr>
          <w:rFonts w:ascii="Calibri" w:hAnsi="Calibri"/>
          <w:lang w:val="en-GB"/>
        </w:rPr>
      </w:pPr>
    </w:p>
    <w:p w14:paraId="0309FDD0" w14:textId="0323B3C6" w:rsidR="00980B41" w:rsidRPr="006974E9" w:rsidRDefault="008D59D5">
      <w:pPr>
        <w:pStyle w:val="Normal1"/>
        <w:jc w:val="both"/>
        <w:rPr>
          <w:rFonts w:ascii="Calibri" w:hAnsi="Calibri"/>
          <w:lang w:val="en-GB"/>
        </w:rPr>
      </w:pPr>
      <w:r w:rsidRPr="006974E9">
        <w:rPr>
          <w:rFonts w:ascii="Calibri" w:hAnsi="Calibri"/>
          <w:lang w:val="en-GB"/>
        </w:rPr>
        <w:t>When he died, the balance of ‘Snob’s’ remains were buried near the parade square at Brompton Barracks whilst his skin was stuffed to produce the taxidermy o</w:t>
      </w:r>
      <w:r w:rsidR="008560F0" w:rsidRPr="006974E9">
        <w:rPr>
          <w:rFonts w:ascii="Calibri" w:hAnsi="Calibri"/>
          <w:lang w:val="en-GB"/>
        </w:rPr>
        <w:t>bject. The cartoon and plush character</w:t>
      </w:r>
      <w:r w:rsidRPr="006974E9">
        <w:rPr>
          <w:rFonts w:ascii="Calibri" w:hAnsi="Calibri"/>
          <w:lang w:val="en-GB"/>
        </w:rPr>
        <w:t xml:space="preserve"> are more recent curatorial additions. The role that Snob plays within the museum occurs across multiple objects and platforms. He is </w:t>
      </w:r>
      <w:r w:rsidR="009E2A93">
        <w:rPr>
          <w:rFonts w:ascii="Calibri" w:hAnsi="Calibri"/>
          <w:lang w:val="en-GB"/>
        </w:rPr>
        <w:t>what we term an</w:t>
      </w:r>
      <w:r w:rsidRPr="006974E9">
        <w:rPr>
          <w:rFonts w:ascii="Calibri" w:hAnsi="Calibri"/>
          <w:lang w:val="en-GB"/>
        </w:rPr>
        <w:t xml:space="preserve"> organising object</w:t>
      </w:r>
      <w:r w:rsidR="008560F0" w:rsidRPr="006974E9">
        <w:rPr>
          <w:rFonts w:ascii="Calibri" w:hAnsi="Calibri"/>
          <w:lang w:val="en-GB"/>
        </w:rPr>
        <w:t>:</w:t>
      </w:r>
      <w:r w:rsidRPr="006974E9">
        <w:rPr>
          <w:rFonts w:ascii="Calibri" w:hAnsi="Calibri"/>
          <w:lang w:val="en-GB"/>
        </w:rPr>
        <w:t xml:space="preserve"> </w:t>
      </w:r>
      <w:r w:rsidR="008560F0" w:rsidRPr="006974E9">
        <w:rPr>
          <w:rFonts w:ascii="Calibri" w:hAnsi="Calibri"/>
          <w:lang w:val="en-GB"/>
        </w:rPr>
        <w:t xml:space="preserve">one </w:t>
      </w:r>
      <w:r w:rsidRPr="006974E9">
        <w:rPr>
          <w:rFonts w:ascii="Calibri" w:hAnsi="Calibri"/>
          <w:lang w:val="en-GB"/>
        </w:rPr>
        <w:t xml:space="preserve">that anchors, orientates and indexes the broader museum collection, its comprising objects, and those who visit or might be included/excluded from it on </w:t>
      </w:r>
      <w:r w:rsidR="008560F0" w:rsidRPr="006974E9">
        <w:rPr>
          <w:rFonts w:ascii="Calibri" w:hAnsi="Calibri"/>
          <w:lang w:val="en-GB"/>
        </w:rPr>
        <w:t>particular terms. B</w:t>
      </w:r>
      <w:r w:rsidRPr="006974E9">
        <w:rPr>
          <w:rFonts w:ascii="Calibri" w:hAnsi="Calibri"/>
          <w:lang w:val="en-GB"/>
        </w:rPr>
        <w:t xml:space="preserve">eing attuned to organising objects in the fieldwork setting allows access to the broader logics of meaning within a museum collection and a starting point to analyse a broad range of objects in intimate relation. </w:t>
      </w:r>
    </w:p>
    <w:p w14:paraId="3CEB7B0C" w14:textId="77777777" w:rsidR="00FA64D6" w:rsidRPr="006974E9" w:rsidRDefault="00FA64D6">
      <w:pPr>
        <w:pStyle w:val="Normal1"/>
        <w:jc w:val="both"/>
        <w:rPr>
          <w:rFonts w:ascii="Calibri" w:hAnsi="Calibri"/>
          <w:lang w:val="en-GB"/>
        </w:rPr>
      </w:pPr>
    </w:p>
    <w:p w14:paraId="315ABE13" w14:textId="77777777" w:rsidR="00980B41" w:rsidRPr="006974E9" w:rsidRDefault="008D59D5">
      <w:pPr>
        <w:pStyle w:val="Normal1"/>
        <w:jc w:val="center"/>
        <w:rPr>
          <w:rFonts w:ascii="Calibri" w:hAnsi="Calibri"/>
          <w:lang w:val="en-GB"/>
        </w:rPr>
      </w:pPr>
      <w:r w:rsidRPr="006974E9">
        <w:rPr>
          <w:rFonts w:ascii="Calibri" w:hAnsi="Calibri"/>
          <w:noProof/>
          <w:lang w:val="en-GB" w:eastAsia="zh-CN"/>
        </w:rPr>
        <w:drawing>
          <wp:inline distT="114300" distB="114300" distL="114300" distR="114300" wp14:anchorId="028BF7CA" wp14:editId="4EADC371">
            <wp:extent cx="4248745" cy="319563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4248745" cy="3195638"/>
                    </a:xfrm>
                    <a:prstGeom prst="rect">
                      <a:avLst/>
                    </a:prstGeom>
                    <a:ln/>
                  </pic:spPr>
                </pic:pic>
              </a:graphicData>
            </a:graphic>
          </wp:inline>
        </w:drawing>
      </w:r>
    </w:p>
    <w:p w14:paraId="013AAA83" w14:textId="77777777" w:rsidR="00980B41" w:rsidRPr="006974E9" w:rsidRDefault="00980B41">
      <w:pPr>
        <w:pStyle w:val="Normal1"/>
        <w:jc w:val="center"/>
        <w:rPr>
          <w:rFonts w:ascii="Calibri" w:hAnsi="Calibri"/>
          <w:lang w:val="en-GB"/>
        </w:rPr>
      </w:pPr>
    </w:p>
    <w:p w14:paraId="42AC1245" w14:textId="77777777" w:rsidR="00980B41" w:rsidRPr="006974E9" w:rsidRDefault="008D59D5">
      <w:pPr>
        <w:pStyle w:val="Normal1"/>
        <w:jc w:val="center"/>
        <w:rPr>
          <w:rFonts w:ascii="Calibri" w:hAnsi="Calibri"/>
          <w:sz w:val="20"/>
          <w:szCs w:val="20"/>
          <w:lang w:val="en-GB"/>
        </w:rPr>
      </w:pPr>
      <w:r w:rsidRPr="006974E9">
        <w:rPr>
          <w:rFonts w:ascii="Calibri" w:hAnsi="Calibri"/>
          <w:sz w:val="20"/>
          <w:szCs w:val="20"/>
          <w:lang w:val="en-GB"/>
        </w:rPr>
        <w:t>Figure 1. “Snob” at the Royal Engineers Museum, Gillingham, Kent, UK. Source: author</w:t>
      </w:r>
    </w:p>
    <w:p w14:paraId="5E45C120" w14:textId="77777777" w:rsidR="00980B41" w:rsidRPr="006974E9" w:rsidRDefault="00980B41">
      <w:pPr>
        <w:pStyle w:val="Normal1"/>
        <w:jc w:val="center"/>
        <w:rPr>
          <w:rFonts w:ascii="Calibri" w:hAnsi="Calibri"/>
          <w:lang w:val="en-GB"/>
        </w:rPr>
      </w:pPr>
    </w:p>
    <w:p w14:paraId="350EC8AF" w14:textId="22761935" w:rsidR="00980B41" w:rsidRPr="006974E9" w:rsidRDefault="008D59D5">
      <w:pPr>
        <w:pStyle w:val="Normal1"/>
        <w:jc w:val="both"/>
        <w:rPr>
          <w:rFonts w:ascii="Calibri" w:hAnsi="Calibri"/>
          <w:lang w:val="en-GB"/>
        </w:rPr>
      </w:pPr>
      <w:r w:rsidRPr="006974E9">
        <w:rPr>
          <w:rFonts w:ascii="Calibri" w:hAnsi="Calibri"/>
          <w:lang w:val="en-GB"/>
        </w:rPr>
        <w:t xml:space="preserve">In the fieldwork encounter one is struck not initially by the obvious </w:t>
      </w:r>
      <w:r w:rsidRPr="006974E9">
        <w:rPr>
          <w:rFonts w:ascii="Calibri" w:hAnsi="Calibri"/>
          <w:i/>
          <w:lang w:val="en-GB"/>
        </w:rPr>
        <w:t>politics</w:t>
      </w:r>
      <w:r w:rsidRPr="006974E9">
        <w:rPr>
          <w:rFonts w:ascii="Calibri" w:hAnsi="Calibri"/>
          <w:lang w:val="en-GB"/>
        </w:rPr>
        <w:t xml:space="preserve"> of Snob but by his ‘cuteness’ and out of placeness within a museum focused on mapping techniques, surveying instruments and bridging machines</w:t>
      </w:r>
      <w:r w:rsidR="001D39CA">
        <w:rPr>
          <w:rFonts w:ascii="Calibri" w:hAnsi="Calibri"/>
          <w:lang w:val="en-GB"/>
        </w:rPr>
        <w:t xml:space="preserve"> (such perceptions which in of themselves reveal western centric codifications of dogs as ‘domesticated’)</w:t>
      </w:r>
      <w:r w:rsidRPr="006974E9">
        <w:rPr>
          <w:rFonts w:ascii="Calibri" w:hAnsi="Calibri"/>
          <w:lang w:val="en-GB"/>
        </w:rPr>
        <w:t xml:space="preserve">. Snob is listed as object no. 24 </w:t>
      </w:r>
      <w:r w:rsidR="00FA64D6" w:rsidRPr="006974E9">
        <w:rPr>
          <w:rFonts w:ascii="Calibri" w:hAnsi="Calibri"/>
          <w:lang w:val="en-GB"/>
        </w:rPr>
        <w:t>in the glass case. No. 23 is a ‘Russian fireball’ and No. 25 is a ‘Russian landmine pressure plate’</w:t>
      </w:r>
      <w:r w:rsidRPr="006974E9">
        <w:rPr>
          <w:rFonts w:ascii="Calibri" w:hAnsi="Calibri"/>
          <w:lang w:val="en-GB"/>
        </w:rPr>
        <w:t>. Snob stands on the floor of his case amongst these items of battlefield debris, not at eye level like many exhibits but as something we look down upon as we would any other small dog. It would seem perfectly natural to stoop and pat him. He is soft amongst hard objects; the fireball, the landmine, guns, a helmet. Part of the impulse to stoop and touch the dog derives f</w:t>
      </w:r>
      <w:r w:rsidR="00FA64D6" w:rsidRPr="006974E9">
        <w:rPr>
          <w:rFonts w:ascii="Calibri" w:hAnsi="Calibri"/>
          <w:lang w:val="en-GB"/>
        </w:rPr>
        <w:t xml:space="preserve">rom his out-of-place tactility: </w:t>
      </w:r>
      <w:r w:rsidRPr="006974E9">
        <w:rPr>
          <w:rFonts w:ascii="Calibri" w:hAnsi="Calibri"/>
          <w:lang w:val="en-GB"/>
        </w:rPr>
        <w:t>his softness, his texture, his feel (something accentuated and rendered in his plush toy form). The visitor cannot touch him because he is inside a glass case but the familiarity of the enc</w:t>
      </w:r>
      <w:r w:rsidR="00FA64D6" w:rsidRPr="006974E9">
        <w:rPr>
          <w:rFonts w:ascii="Calibri" w:hAnsi="Calibri"/>
          <w:lang w:val="en-GB"/>
        </w:rPr>
        <w:t>ounter means we do not need to; t</w:t>
      </w:r>
      <w:r w:rsidRPr="006974E9">
        <w:rPr>
          <w:rFonts w:ascii="Calibri" w:hAnsi="Calibri"/>
          <w:lang w:val="en-GB"/>
        </w:rPr>
        <w:t>he visitor addressed by Snob’s familiar cuteness has stooped to pet many other dogs before. Through this tactile familiarity we are invited to relate to Snob in the same way, supposedly, as the Sappers who also had the urge to stoop and pet this dog on the battlefield and fold him into their domesticity and their institution.</w:t>
      </w:r>
    </w:p>
    <w:p w14:paraId="1335B62C" w14:textId="77777777" w:rsidR="00980B41" w:rsidRPr="006974E9" w:rsidRDefault="00980B41">
      <w:pPr>
        <w:pStyle w:val="Normal1"/>
        <w:jc w:val="both"/>
        <w:rPr>
          <w:rFonts w:ascii="Calibri" w:hAnsi="Calibri"/>
          <w:lang w:val="en-GB"/>
        </w:rPr>
      </w:pPr>
    </w:p>
    <w:p w14:paraId="0E9A6C3C" w14:textId="6C398212" w:rsidR="00980B41" w:rsidRPr="006974E9" w:rsidRDefault="008D59D5">
      <w:pPr>
        <w:pStyle w:val="Normal1"/>
        <w:jc w:val="both"/>
        <w:rPr>
          <w:rFonts w:ascii="Calibri" w:hAnsi="Calibri"/>
          <w:lang w:val="en-GB"/>
        </w:rPr>
      </w:pPr>
      <w:r w:rsidRPr="006974E9">
        <w:rPr>
          <w:rFonts w:ascii="Calibri" w:hAnsi="Calibri"/>
          <w:lang w:val="en-GB"/>
        </w:rPr>
        <w:t xml:space="preserve">The role of ‘Snob’ in the museum is particularly affecting. Snob is mobilised in a way that asks us to connect with him as a friendly, benign pet. We are called upon by particular normative claims to dogs as ‘family friendly’, as safe, as domesticated, as benign, in order to experience the museum, its comprising objects, and its stories about international relations - and particularly the </w:t>
      </w:r>
      <w:r w:rsidR="00DA78EB">
        <w:rPr>
          <w:rFonts w:ascii="Calibri" w:hAnsi="Calibri"/>
          <w:lang w:val="en-GB"/>
        </w:rPr>
        <w:t>‘</w:t>
      </w:r>
      <w:r w:rsidRPr="006974E9">
        <w:rPr>
          <w:rFonts w:ascii="Calibri" w:hAnsi="Calibri"/>
          <w:lang w:val="en-GB"/>
        </w:rPr>
        <w:t>benign conquest</w:t>
      </w:r>
      <w:r w:rsidR="00187A1C">
        <w:rPr>
          <w:rFonts w:ascii="Calibri" w:hAnsi="Calibri"/>
          <w:lang w:val="en-GB"/>
        </w:rPr>
        <w:t>’</w:t>
      </w:r>
      <w:r w:rsidRPr="006974E9">
        <w:rPr>
          <w:rFonts w:ascii="Calibri" w:hAnsi="Calibri"/>
          <w:lang w:val="en-GB"/>
        </w:rPr>
        <w:t xml:space="preserve"> of Empire, in a certain way. Calling upon us to relate intimately (‘non-politically’/’privately’; human to dog) to the museum and the military institution undertakes particular types of political work within the narration of the history of the Royal Engineers, British army and British imperial and colonial state more widely. </w:t>
      </w:r>
      <w:r w:rsidR="00D00AB8" w:rsidRPr="006974E9">
        <w:rPr>
          <w:rFonts w:ascii="Calibri" w:hAnsi="Calibri"/>
          <w:lang w:val="en-GB"/>
        </w:rPr>
        <w:t xml:space="preserve">‘Reading’ the intimacies of </w:t>
      </w:r>
      <w:r w:rsidRPr="006974E9">
        <w:rPr>
          <w:rFonts w:ascii="Calibri" w:hAnsi="Calibri"/>
          <w:lang w:val="en-GB"/>
        </w:rPr>
        <w:t xml:space="preserve">‘Snob’ </w:t>
      </w:r>
      <w:r w:rsidR="00D00AB8" w:rsidRPr="006974E9">
        <w:rPr>
          <w:rFonts w:ascii="Calibri" w:hAnsi="Calibri"/>
          <w:lang w:val="en-GB"/>
        </w:rPr>
        <w:t xml:space="preserve">reveals </w:t>
      </w:r>
      <w:r w:rsidRPr="006974E9">
        <w:rPr>
          <w:rFonts w:ascii="Calibri" w:hAnsi="Calibri"/>
          <w:lang w:val="en-GB"/>
        </w:rPr>
        <w:t>processes of colonial and imperial erasure, where the violence of Imperial war is hidden within and by appeals to ‘man’s best friend’. ‘Snob’ is a safe, and indeed cute and loveable, container for British state violence in the past and present.</w:t>
      </w:r>
    </w:p>
    <w:p w14:paraId="553700C1" w14:textId="77777777" w:rsidR="00980B41" w:rsidRPr="006974E9" w:rsidRDefault="00980B41">
      <w:pPr>
        <w:pStyle w:val="Normal1"/>
        <w:jc w:val="both"/>
        <w:rPr>
          <w:rFonts w:ascii="Calibri" w:hAnsi="Calibri"/>
          <w:lang w:val="en-GB"/>
        </w:rPr>
      </w:pPr>
    </w:p>
    <w:p w14:paraId="3A24C67A" w14:textId="77777777" w:rsidR="00980B41" w:rsidRPr="006974E9" w:rsidRDefault="00980B41">
      <w:pPr>
        <w:pStyle w:val="Normal1"/>
        <w:jc w:val="both"/>
        <w:rPr>
          <w:rFonts w:ascii="Calibri" w:hAnsi="Calibri"/>
          <w:lang w:val="en-GB"/>
        </w:rPr>
      </w:pPr>
    </w:p>
    <w:p w14:paraId="2FDF1269" w14:textId="77777777" w:rsidR="00980B41" w:rsidRPr="006974E9" w:rsidRDefault="008D59D5">
      <w:pPr>
        <w:pStyle w:val="Normal1"/>
        <w:jc w:val="center"/>
        <w:rPr>
          <w:rFonts w:ascii="Calibri" w:hAnsi="Calibri"/>
          <w:lang w:val="en-GB"/>
        </w:rPr>
      </w:pPr>
      <w:r w:rsidRPr="006974E9">
        <w:rPr>
          <w:rFonts w:ascii="Calibri" w:hAnsi="Calibri"/>
          <w:noProof/>
          <w:lang w:val="en-GB" w:eastAsia="zh-CN"/>
        </w:rPr>
        <w:drawing>
          <wp:inline distT="114300" distB="114300" distL="114300" distR="114300" wp14:anchorId="7B2FB5B1" wp14:editId="705A50DE">
            <wp:extent cx="2171700" cy="2357162"/>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171700" cy="2357162"/>
                    </a:xfrm>
                    <a:prstGeom prst="rect">
                      <a:avLst/>
                    </a:prstGeom>
                    <a:ln/>
                  </pic:spPr>
                </pic:pic>
              </a:graphicData>
            </a:graphic>
          </wp:inline>
        </w:drawing>
      </w:r>
      <w:r w:rsidRPr="006974E9">
        <w:rPr>
          <w:rFonts w:ascii="Calibri" w:hAnsi="Calibri"/>
          <w:lang w:val="en-GB"/>
        </w:rPr>
        <w:t xml:space="preserve">         </w:t>
      </w:r>
    </w:p>
    <w:p w14:paraId="1BD202B0" w14:textId="77777777" w:rsidR="00980B41" w:rsidRPr="006974E9" w:rsidRDefault="008D59D5">
      <w:pPr>
        <w:pStyle w:val="Normal1"/>
        <w:jc w:val="center"/>
        <w:rPr>
          <w:rFonts w:asciiTheme="majorHAnsi" w:hAnsiTheme="majorHAnsi"/>
          <w:sz w:val="18"/>
          <w:szCs w:val="18"/>
          <w:lang w:val="en-GB"/>
        </w:rPr>
      </w:pPr>
      <w:r w:rsidRPr="006974E9">
        <w:rPr>
          <w:rFonts w:asciiTheme="majorHAnsi" w:hAnsiTheme="majorHAnsi"/>
          <w:sz w:val="18"/>
          <w:szCs w:val="18"/>
          <w:lang w:val="en-GB"/>
        </w:rPr>
        <w:t>Figure 2. Cartoon “Snob”, mascot of the Royal Engineers Museum (Source: Royal Engineers Museum)</w:t>
      </w:r>
    </w:p>
    <w:p w14:paraId="62BDEAC9" w14:textId="77777777" w:rsidR="00980B41" w:rsidRPr="006974E9" w:rsidRDefault="00980B41">
      <w:pPr>
        <w:pStyle w:val="Normal1"/>
        <w:jc w:val="both"/>
        <w:rPr>
          <w:rFonts w:ascii="Calibri" w:hAnsi="Calibri"/>
          <w:lang w:val="en-GB"/>
        </w:rPr>
      </w:pPr>
    </w:p>
    <w:p w14:paraId="2AE4FA7C" w14:textId="77777777" w:rsidR="00980B41" w:rsidRPr="006974E9" w:rsidRDefault="00980B41">
      <w:pPr>
        <w:pStyle w:val="Normal1"/>
        <w:jc w:val="both"/>
        <w:rPr>
          <w:rFonts w:ascii="Calibri" w:hAnsi="Calibri"/>
          <w:lang w:val="en-GB"/>
        </w:rPr>
      </w:pPr>
    </w:p>
    <w:p w14:paraId="2D6A3C3E" w14:textId="77777777" w:rsidR="00980B41" w:rsidRPr="006974E9" w:rsidRDefault="008D59D5">
      <w:pPr>
        <w:pStyle w:val="Normal1"/>
        <w:jc w:val="both"/>
        <w:rPr>
          <w:rFonts w:ascii="Calibri" w:hAnsi="Calibri"/>
          <w:lang w:val="en-GB"/>
        </w:rPr>
      </w:pPr>
      <w:r w:rsidRPr="006974E9">
        <w:rPr>
          <w:rFonts w:ascii="Calibri" w:hAnsi="Calibri"/>
          <w:i/>
          <w:lang w:val="en-GB"/>
        </w:rPr>
        <w:t>Snob and intimacy as socio-sexual affect: The domestication of Snob and the Royal Engineers</w:t>
      </w:r>
    </w:p>
    <w:p w14:paraId="5F95DE27" w14:textId="220E5E49" w:rsidR="00980B41" w:rsidRPr="006974E9" w:rsidRDefault="008D59D5">
      <w:pPr>
        <w:pStyle w:val="Normal1"/>
        <w:jc w:val="both"/>
        <w:rPr>
          <w:rFonts w:ascii="Calibri" w:hAnsi="Calibri"/>
          <w:lang w:val="en-GB"/>
        </w:rPr>
      </w:pPr>
      <w:r w:rsidRPr="006974E9">
        <w:rPr>
          <w:rFonts w:ascii="Calibri" w:hAnsi="Calibri"/>
          <w:lang w:val="en-GB"/>
        </w:rPr>
        <w:t xml:space="preserve">Visitors are invited to relate to Snob as a family pet. As noted above, the </w:t>
      </w:r>
      <w:r w:rsidR="00314242" w:rsidRPr="006974E9">
        <w:rPr>
          <w:rFonts w:ascii="Calibri" w:hAnsi="Calibri"/>
          <w:lang w:val="en-GB"/>
        </w:rPr>
        <w:t>stuffed animal seems pattable, h</w:t>
      </w:r>
      <w:r w:rsidRPr="006974E9">
        <w:rPr>
          <w:rFonts w:ascii="Calibri" w:hAnsi="Calibri"/>
          <w:lang w:val="en-GB"/>
        </w:rPr>
        <w:t xml:space="preserve">e is cute and unthreatening. </w:t>
      </w:r>
      <w:commentRangeStart w:id="19"/>
      <w:r w:rsidRPr="006974E9">
        <w:rPr>
          <w:rFonts w:ascii="Calibri" w:hAnsi="Calibri"/>
          <w:lang w:val="en-GB"/>
        </w:rPr>
        <w:t xml:space="preserve">Contemporary </w:t>
      </w:r>
      <w:r w:rsidR="00D97913">
        <w:rPr>
          <w:rFonts w:ascii="Calibri" w:hAnsi="Calibri"/>
          <w:lang w:val="en-GB"/>
        </w:rPr>
        <w:t xml:space="preserve">western </w:t>
      </w:r>
      <w:r w:rsidRPr="006974E9">
        <w:rPr>
          <w:rFonts w:ascii="Calibri" w:hAnsi="Calibri"/>
          <w:lang w:val="en-GB"/>
        </w:rPr>
        <w:t>social relations cast animals as not just accessories to family life but intrinsic parts of i</w:t>
      </w:r>
      <w:r w:rsidR="001D39CA">
        <w:rPr>
          <w:rFonts w:ascii="Calibri" w:hAnsi="Calibri"/>
          <w:lang w:val="en-GB"/>
        </w:rPr>
        <w:t xml:space="preserve">t. However, for other visitors inhabiting this space, the dog may have entirely different intimate relations bound to very different historical experiences of the uses of dogs within strategies of colonial violence. </w:t>
      </w:r>
      <w:r w:rsidR="00F64F09">
        <w:rPr>
          <w:rFonts w:ascii="Calibri" w:hAnsi="Calibri"/>
          <w:lang w:val="en-GB"/>
        </w:rPr>
        <w:t xml:space="preserve">For the white coloniser dogs were ‘family pets’, for colonised populations dogs were frequently used in methods of control, disciplinary punishment and torture - for example, they were frequently used in </w:t>
      </w:r>
      <w:r w:rsidR="00AB7DCA">
        <w:rPr>
          <w:rFonts w:ascii="Calibri" w:hAnsi="Calibri"/>
          <w:lang w:val="en-GB"/>
        </w:rPr>
        <w:t>plantation</w:t>
      </w:r>
      <w:r w:rsidR="00F64F09">
        <w:rPr>
          <w:rFonts w:ascii="Calibri" w:hAnsi="Calibri"/>
          <w:lang w:val="en-GB"/>
        </w:rPr>
        <w:t xml:space="preserve"> economies to terrorise and hunt down escaped slaves.</w:t>
      </w:r>
      <w:r w:rsidR="00AB7DCA">
        <w:rPr>
          <w:rStyle w:val="FootnoteReference"/>
          <w:rFonts w:ascii="Calibri" w:hAnsi="Calibri"/>
          <w:lang w:val="en-GB"/>
        </w:rPr>
        <w:footnoteReference w:id="84"/>
      </w:r>
      <w:r w:rsidR="001D39CA">
        <w:rPr>
          <w:rFonts w:ascii="Calibri" w:hAnsi="Calibri"/>
          <w:lang w:val="en-GB"/>
        </w:rPr>
        <w:t xml:space="preserve"> S</w:t>
      </w:r>
      <w:commentRangeEnd w:id="19"/>
      <w:r w:rsidRPr="006974E9">
        <w:rPr>
          <w:rFonts w:ascii="Calibri" w:hAnsi="Calibri"/>
          <w:lang w:val="en-GB"/>
        </w:rPr>
        <w:t xml:space="preserve">o </w:t>
      </w:r>
      <w:r w:rsidR="00D97913">
        <w:rPr>
          <w:rFonts w:ascii="Calibri" w:hAnsi="Calibri"/>
          <w:lang w:val="en-GB"/>
        </w:rPr>
        <w:t>visitors</w:t>
      </w:r>
      <w:r w:rsidRPr="006974E9">
        <w:rPr>
          <w:rFonts w:ascii="Calibri" w:hAnsi="Calibri"/>
          <w:lang w:val="en-GB"/>
        </w:rPr>
        <w:t xml:space="preserve"> are invited to relate to the stuffed dog as a sort of quasi-family member and through him</w:t>
      </w:r>
      <w:r w:rsidR="00D97913">
        <w:rPr>
          <w:rFonts w:ascii="Calibri" w:hAnsi="Calibri"/>
          <w:lang w:val="en-GB"/>
        </w:rPr>
        <w:t xml:space="preserve"> they</w:t>
      </w:r>
      <w:r w:rsidRPr="006974E9">
        <w:rPr>
          <w:rFonts w:ascii="Calibri" w:hAnsi="Calibri"/>
          <w:lang w:val="en-GB"/>
        </w:rPr>
        <w:t xml:space="preserve"> are called upon to relate to British soldiers, and what it is that these soldiers have done and continue to do, in particular ways.</w:t>
      </w:r>
      <w:r w:rsidR="001D39CA">
        <w:rPr>
          <w:rFonts w:ascii="Calibri" w:hAnsi="Calibri"/>
          <w:lang w:val="en-GB"/>
        </w:rPr>
        <w:t xml:space="preserve"> But all of this depends upon the historical force of intimacy to make certain things relatable to certain bodies.</w:t>
      </w:r>
      <w:r w:rsidRPr="006974E9">
        <w:rPr>
          <w:rFonts w:ascii="Calibri" w:hAnsi="Calibri"/>
          <w:lang w:val="en-GB"/>
        </w:rPr>
        <w:t xml:space="preserve"> The benign story of Snob’s ‘adoption’ by the Royal Engineers emphasises the more relatable domestic aspects of soldiers lives; soldiers are just like us - they have pets too. The </w:t>
      </w:r>
      <w:r w:rsidRPr="006974E9">
        <w:rPr>
          <w:rFonts w:ascii="Calibri" w:hAnsi="Calibri"/>
          <w:lang w:val="en-GB"/>
        </w:rPr>
        <w:lastRenderedPageBreak/>
        <w:t xml:space="preserve">figuration of Snob suggests that the daily </w:t>
      </w:r>
      <w:r w:rsidR="00F755BB">
        <w:rPr>
          <w:rFonts w:ascii="Calibri" w:hAnsi="Calibri"/>
          <w:lang w:val="en-GB"/>
        </w:rPr>
        <w:t>contours</w:t>
      </w:r>
      <w:r w:rsidRPr="006974E9">
        <w:rPr>
          <w:rFonts w:ascii="Calibri" w:hAnsi="Calibri"/>
          <w:lang w:val="en-GB"/>
        </w:rPr>
        <w:t xml:space="preserve"> of ‘civilian’ and ‘mil</w:t>
      </w:r>
      <w:r w:rsidR="00444E8C" w:rsidRPr="006974E9">
        <w:rPr>
          <w:rFonts w:ascii="Calibri" w:hAnsi="Calibri"/>
          <w:lang w:val="en-GB"/>
        </w:rPr>
        <w:t>itary’ lives are not so different</w:t>
      </w:r>
      <w:r w:rsidRPr="006974E9">
        <w:rPr>
          <w:rFonts w:ascii="Calibri" w:hAnsi="Calibri"/>
          <w:lang w:val="en-GB"/>
        </w:rPr>
        <w:t>.</w:t>
      </w:r>
      <w:r w:rsidRPr="006974E9">
        <w:rPr>
          <w:rFonts w:ascii="Calibri" w:hAnsi="Calibri"/>
          <w:vertAlign w:val="superscript"/>
          <w:lang w:val="en-GB"/>
        </w:rPr>
        <w:footnoteReference w:id="85"/>
      </w:r>
      <w:r w:rsidRPr="006974E9">
        <w:rPr>
          <w:rFonts w:ascii="Calibri" w:hAnsi="Calibri"/>
          <w:lang w:val="en-GB"/>
        </w:rPr>
        <w:t xml:space="preserve"> </w:t>
      </w:r>
      <w:r w:rsidR="001D39CA">
        <w:rPr>
          <w:rFonts w:ascii="Calibri" w:hAnsi="Calibri"/>
          <w:lang w:val="en-GB"/>
        </w:rPr>
        <w:t xml:space="preserve">However, </w:t>
      </w:r>
      <w:r w:rsidR="00513D76">
        <w:rPr>
          <w:rFonts w:ascii="Calibri" w:hAnsi="Calibri"/>
          <w:lang w:val="en-GB"/>
        </w:rPr>
        <w:t xml:space="preserve">as such an </w:t>
      </w:r>
      <w:r w:rsidR="001D39CA">
        <w:rPr>
          <w:rFonts w:ascii="Calibri" w:hAnsi="Calibri"/>
          <w:lang w:val="en-GB"/>
        </w:rPr>
        <w:t xml:space="preserve">intimate encounter in of itself </w:t>
      </w:r>
      <w:r w:rsidR="00513D76">
        <w:rPr>
          <w:rFonts w:ascii="Calibri" w:hAnsi="Calibri"/>
          <w:lang w:val="en-GB"/>
        </w:rPr>
        <w:t>reproduces particular silences</w:t>
      </w:r>
      <w:r w:rsidR="00F9601E">
        <w:rPr>
          <w:rFonts w:ascii="Calibri" w:hAnsi="Calibri"/>
          <w:lang w:val="en-GB"/>
        </w:rPr>
        <w:t xml:space="preserve"> (more on this below)</w:t>
      </w:r>
      <w:r w:rsidR="00513D76">
        <w:rPr>
          <w:rFonts w:ascii="Calibri" w:hAnsi="Calibri"/>
          <w:lang w:val="en-GB"/>
        </w:rPr>
        <w:t xml:space="preserve">, the use of the dog as a ‘family friendly’ mascot is in of itself premised on a colonisers view of the intimate relations between humans and animals. </w:t>
      </w:r>
    </w:p>
    <w:p w14:paraId="137870E3" w14:textId="77777777" w:rsidR="00980B41" w:rsidRPr="006974E9" w:rsidRDefault="00980B41">
      <w:pPr>
        <w:pStyle w:val="Normal1"/>
        <w:jc w:val="both"/>
        <w:rPr>
          <w:rFonts w:ascii="Calibri" w:hAnsi="Calibri"/>
          <w:lang w:val="en-GB"/>
        </w:rPr>
      </w:pPr>
    </w:p>
    <w:p w14:paraId="0E8F6B77" w14:textId="5F09CAD6" w:rsidR="00980B41" w:rsidRPr="006974E9" w:rsidRDefault="008D59D5">
      <w:pPr>
        <w:pStyle w:val="Normal1"/>
        <w:jc w:val="both"/>
        <w:rPr>
          <w:rFonts w:ascii="Calibri" w:hAnsi="Calibri"/>
          <w:lang w:val="en-GB"/>
        </w:rPr>
      </w:pPr>
      <w:r w:rsidRPr="006974E9">
        <w:rPr>
          <w:rFonts w:ascii="Calibri" w:hAnsi="Calibri"/>
          <w:lang w:val="en-GB"/>
        </w:rPr>
        <w:t>The violence of Snob’s origins, part of the detritus of violence littering the battlefield, is elided by the neat narrative of his rescue and integration into British military life. The Crimean war becomes the setting for a heart</w:t>
      </w:r>
      <w:r w:rsidR="00EC50AB">
        <w:rPr>
          <w:rFonts w:ascii="Calibri" w:hAnsi="Calibri"/>
          <w:lang w:val="en-GB"/>
        </w:rPr>
        <w:t>-</w:t>
      </w:r>
      <w:r w:rsidRPr="006974E9">
        <w:rPr>
          <w:rFonts w:ascii="Calibri" w:hAnsi="Calibri"/>
          <w:lang w:val="en-GB"/>
        </w:rPr>
        <w:t>warming story about some soldiers getting a pet rather than one about the violence, loss and suffering of imperial violence. In several interconnected ways, therefore, the domestication of snob is simultaneously the domestication of soldiers, understood as the ways in which soldiers</w:t>
      </w:r>
      <w:r w:rsidR="004A1B9C" w:rsidRPr="006974E9">
        <w:rPr>
          <w:rFonts w:ascii="Calibri" w:hAnsi="Calibri"/>
          <w:lang w:val="en-GB"/>
        </w:rPr>
        <w:t>, as Paul Achter puts it,</w:t>
      </w:r>
      <w:r w:rsidR="001D5505" w:rsidRPr="006974E9">
        <w:rPr>
          <w:rFonts w:ascii="Calibri" w:hAnsi="Calibri"/>
          <w:lang w:val="en-GB"/>
        </w:rPr>
        <w:t xml:space="preserve"> are</w:t>
      </w:r>
      <w:r w:rsidRPr="006974E9">
        <w:rPr>
          <w:rFonts w:ascii="Calibri" w:hAnsi="Calibri"/>
          <w:lang w:val="en-GB"/>
        </w:rPr>
        <w:t xml:space="preserve"> “fit” into “conventional ideological structures</w:t>
      </w:r>
      <w:r w:rsidR="00233F65">
        <w:rPr>
          <w:rFonts w:ascii="Calibri" w:hAnsi="Calibri"/>
          <w:lang w:val="en-GB"/>
        </w:rPr>
        <w:t xml:space="preserve">… </w:t>
      </w:r>
      <w:r w:rsidRPr="006974E9">
        <w:rPr>
          <w:rFonts w:ascii="Calibri" w:hAnsi="Calibri"/>
          <w:lang w:val="en-GB"/>
        </w:rPr>
        <w:t>for consumption at home”, ideological structures that make “war seem permissible and worthy”,</w:t>
      </w:r>
      <w:r w:rsidRPr="006974E9">
        <w:rPr>
          <w:rFonts w:ascii="Calibri" w:hAnsi="Calibri"/>
          <w:vertAlign w:val="superscript"/>
          <w:lang w:val="en-GB"/>
        </w:rPr>
        <w:footnoteReference w:id="86"/>
      </w:r>
      <w:r w:rsidRPr="006974E9">
        <w:rPr>
          <w:rFonts w:ascii="Calibri" w:hAnsi="Calibri"/>
          <w:lang w:val="en-GB"/>
        </w:rPr>
        <w:t xml:space="preserve"> or, indeed, cute and fun</w:t>
      </w:r>
      <w:r w:rsidR="00187A1C">
        <w:rPr>
          <w:rStyle w:val="FootnoteReference"/>
          <w:rFonts w:ascii="Calibri" w:hAnsi="Calibri"/>
          <w:lang w:val="en-GB"/>
        </w:rPr>
        <w:footnoteReference w:id="87"/>
      </w:r>
      <w:r w:rsidRPr="006974E9">
        <w:rPr>
          <w:rFonts w:ascii="Calibri" w:hAnsi="Calibri"/>
          <w:lang w:val="en-GB"/>
        </w:rPr>
        <w:t xml:space="preserve">. This appeal to </w:t>
      </w:r>
      <w:r w:rsidR="00575A78">
        <w:rPr>
          <w:rFonts w:ascii="Calibri" w:hAnsi="Calibri"/>
          <w:lang w:val="en-GB"/>
        </w:rPr>
        <w:t>an endearing and</w:t>
      </w:r>
      <w:r w:rsidRPr="006974E9">
        <w:rPr>
          <w:rFonts w:ascii="Calibri" w:hAnsi="Calibri"/>
          <w:lang w:val="en-GB"/>
        </w:rPr>
        <w:t xml:space="preserve"> familiar domesticity relies on particular affective relations between</w:t>
      </w:r>
      <w:r w:rsidR="001D5505" w:rsidRPr="006974E9">
        <w:rPr>
          <w:rFonts w:ascii="Calibri" w:hAnsi="Calibri"/>
          <w:lang w:val="en-GB"/>
        </w:rPr>
        <w:t xml:space="preserve"> the visitor to the museum and S</w:t>
      </w:r>
      <w:r w:rsidRPr="006974E9">
        <w:rPr>
          <w:rFonts w:ascii="Calibri" w:hAnsi="Calibri"/>
          <w:lang w:val="en-GB"/>
        </w:rPr>
        <w:t>nob as an organising object. It relies on, envisions and includes a particular visitor subject, one for whom dogs elicit effective responses comprising the familial, the fond and the unthreatening. For some visitors a dog might elicit feelings of disgust or fear, and so this moment in which the visitor is invited to relate to Snob - as an organising and orienting principle within the wider museum - becomes one of fitting/unfitting, inclusion/exclusion</w:t>
      </w:r>
      <w:r w:rsidR="00EC50AB">
        <w:rPr>
          <w:rFonts w:ascii="Calibri" w:hAnsi="Calibri"/>
          <w:lang w:val="en-GB"/>
        </w:rPr>
        <w:t xml:space="preserve"> and </w:t>
      </w:r>
      <w:r w:rsidRPr="006974E9">
        <w:rPr>
          <w:rFonts w:ascii="Calibri" w:hAnsi="Calibri"/>
          <w:lang w:val="en-GB"/>
        </w:rPr>
        <w:t xml:space="preserve"> belonging/unbelonging.  </w:t>
      </w:r>
    </w:p>
    <w:p w14:paraId="2F1A7425" w14:textId="77777777" w:rsidR="00980B41" w:rsidRPr="006974E9" w:rsidRDefault="00980B41">
      <w:pPr>
        <w:pStyle w:val="Normal1"/>
        <w:jc w:val="both"/>
        <w:rPr>
          <w:rFonts w:ascii="Calibri" w:hAnsi="Calibri"/>
          <w:lang w:val="en-GB"/>
        </w:rPr>
      </w:pPr>
    </w:p>
    <w:p w14:paraId="24E686F6" w14:textId="77777777" w:rsidR="00980B41" w:rsidRPr="006974E9" w:rsidRDefault="008D59D5">
      <w:pPr>
        <w:pStyle w:val="Normal1"/>
        <w:jc w:val="both"/>
        <w:rPr>
          <w:rFonts w:ascii="Calibri" w:hAnsi="Calibri"/>
          <w:lang w:val="en-GB"/>
        </w:rPr>
      </w:pPr>
      <w:r w:rsidRPr="006974E9">
        <w:rPr>
          <w:rFonts w:ascii="Calibri" w:hAnsi="Calibri"/>
          <w:i/>
          <w:lang w:val="en-GB"/>
        </w:rPr>
        <w:t xml:space="preserve">Snob and intimacy as scales and proximities: The afterlife of Crimea </w:t>
      </w:r>
    </w:p>
    <w:p w14:paraId="4A0873B8" w14:textId="6F78A771" w:rsidR="00980B41" w:rsidRPr="006974E9" w:rsidRDefault="008D59D5">
      <w:pPr>
        <w:pStyle w:val="Normal1"/>
        <w:jc w:val="both"/>
        <w:rPr>
          <w:rFonts w:ascii="Calibri" w:hAnsi="Calibri"/>
          <w:lang w:val="en-GB"/>
        </w:rPr>
      </w:pPr>
      <w:r w:rsidRPr="006974E9">
        <w:rPr>
          <w:rFonts w:ascii="Calibri" w:hAnsi="Calibri"/>
          <w:lang w:val="en-GB"/>
        </w:rPr>
        <w:t>Snob</w:t>
      </w:r>
      <w:r w:rsidR="001D5505" w:rsidRPr="006974E9">
        <w:rPr>
          <w:rFonts w:ascii="Calibri" w:hAnsi="Calibri"/>
          <w:lang w:val="en-GB"/>
        </w:rPr>
        <w:t>’</w:t>
      </w:r>
      <w:r w:rsidRPr="006974E9">
        <w:rPr>
          <w:rFonts w:ascii="Calibri" w:hAnsi="Calibri"/>
          <w:lang w:val="en-GB"/>
        </w:rPr>
        <w:t>s curation has involved a once living thing being rendered into an inanimate object that is stuffed, mounted and displayed. Yet Snob continues to ‘live’, or rather he has an afterlife, in the form of his ca</w:t>
      </w:r>
      <w:r w:rsidR="001D5505" w:rsidRPr="006974E9">
        <w:rPr>
          <w:rFonts w:ascii="Calibri" w:hAnsi="Calibri"/>
          <w:lang w:val="en-GB"/>
        </w:rPr>
        <w:t>rtoon image and plush toy</w:t>
      </w:r>
      <w:r w:rsidRPr="006974E9">
        <w:rPr>
          <w:rFonts w:ascii="Calibri" w:hAnsi="Calibri"/>
          <w:lang w:val="en-GB"/>
        </w:rPr>
        <w:t>, and more broadly as the mascot of the Royal Engineers buried and memorialised beneath their parade ground. Across these multiple forms and objects Snob is connected to spaces, people and violences across space and time. The figure of the dog - in both his literal and more symbolic materialised forms - bonds the present</w:t>
      </w:r>
      <w:r w:rsidR="00EC50AB">
        <w:rPr>
          <w:rFonts w:ascii="Calibri" w:hAnsi="Calibri"/>
          <w:lang w:val="en-GB"/>
        </w:rPr>
        <w:t>-</w:t>
      </w:r>
      <w:r w:rsidRPr="006974E9">
        <w:rPr>
          <w:rFonts w:ascii="Calibri" w:hAnsi="Calibri"/>
          <w:lang w:val="en-GB"/>
        </w:rPr>
        <w:t>day museum space, visitors to it and the Royal Engineers as an institution, to the battlefields of the Crimean war and the narrative of (neo)colonial war more widely. As imperial remains, Snob is produced out of the ruination of colonial war (specifically, in the case of the Crimean War, the British and French Imperial forces’ attempts to stop the Russian Empire taking control of the Dardanelles straits and access to India.</w:t>
      </w:r>
      <w:r w:rsidRPr="006974E9">
        <w:rPr>
          <w:rFonts w:ascii="Calibri" w:hAnsi="Calibri"/>
          <w:vertAlign w:val="superscript"/>
          <w:lang w:val="en-GB"/>
        </w:rPr>
        <w:footnoteReference w:id="88"/>
      </w:r>
      <w:r w:rsidR="00D72985" w:rsidRPr="006974E9">
        <w:rPr>
          <w:rFonts w:ascii="Calibri" w:hAnsi="Calibri"/>
          <w:lang w:val="en-GB"/>
        </w:rPr>
        <w:t>)</w:t>
      </w:r>
      <w:r w:rsidRPr="006974E9">
        <w:rPr>
          <w:rFonts w:ascii="Calibri" w:hAnsi="Calibri"/>
          <w:lang w:val="en-GB"/>
        </w:rPr>
        <w:t xml:space="preserve"> Yet he animates the contemporary military institution’s origin story of Empire as ‘honourable conquest’. The way in which visitors are invited to intimately relate with Snob simultaneously makes what might seem ‘past’ and ‘dead’ much more ‘present’ and ‘alive’. This undertakes work for the idea of Empire and contemporary military violence as </w:t>
      </w:r>
      <w:r w:rsidR="001C5146">
        <w:rPr>
          <w:rFonts w:ascii="Calibri" w:hAnsi="Calibri"/>
          <w:lang w:val="en-GB"/>
        </w:rPr>
        <w:t>‘</w:t>
      </w:r>
      <w:r w:rsidRPr="006974E9">
        <w:rPr>
          <w:rFonts w:ascii="Calibri" w:hAnsi="Calibri"/>
          <w:lang w:val="en-GB"/>
        </w:rPr>
        <w:t>honourable conquest</w:t>
      </w:r>
      <w:r w:rsidR="001C5146">
        <w:rPr>
          <w:rFonts w:ascii="Calibri" w:hAnsi="Calibri"/>
          <w:lang w:val="en-GB"/>
        </w:rPr>
        <w:t>’</w:t>
      </w:r>
      <w:r w:rsidRPr="006974E9">
        <w:rPr>
          <w:rFonts w:ascii="Calibri" w:hAnsi="Calibri"/>
          <w:lang w:val="en-GB"/>
        </w:rPr>
        <w:t xml:space="preserve"> in how it circulates the past into the contemporary moment. As we have seen, the storying of Snob works to erase broader questions about the imperial presence of British soldiers in the Alma and makes it into a story of soldierly benign care and compassion; ‘good men’ looking after dogs. The movement of Snob</w:t>
      </w:r>
      <w:r w:rsidR="001C5146">
        <w:rPr>
          <w:rFonts w:ascii="Calibri" w:hAnsi="Calibri"/>
          <w:lang w:val="en-GB"/>
        </w:rPr>
        <w:t>’</w:t>
      </w:r>
      <w:r w:rsidRPr="006974E9">
        <w:rPr>
          <w:rFonts w:ascii="Calibri" w:hAnsi="Calibri"/>
          <w:lang w:val="en-GB"/>
        </w:rPr>
        <w:t>s body collapses the geographical ‘distance’ between Britain/Crimea/Turkey/India but it also collapses down distinctions between ‘past’ and ‘present’. Snob’s afterlife in the form of mascot and symbol of the R</w:t>
      </w:r>
      <w:r w:rsidR="00EC50AB">
        <w:rPr>
          <w:rFonts w:ascii="Calibri" w:hAnsi="Calibri"/>
          <w:lang w:val="en-GB"/>
        </w:rPr>
        <w:t xml:space="preserve">oyal </w:t>
      </w:r>
      <w:r w:rsidRPr="006974E9">
        <w:rPr>
          <w:rFonts w:ascii="Calibri" w:hAnsi="Calibri"/>
          <w:lang w:val="en-GB"/>
        </w:rPr>
        <w:t>E</w:t>
      </w:r>
      <w:r w:rsidR="00EC50AB">
        <w:rPr>
          <w:rFonts w:ascii="Calibri" w:hAnsi="Calibri"/>
          <w:lang w:val="en-GB"/>
        </w:rPr>
        <w:t>ngineers</w:t>
      </w:r>
      <w:r w:rsidRPr="006974E9">
        <w:rPr>
          <w:rFonts w:ascii="Calibri" w:hAnsi="Calibri"/>
          <w:lang w:val="en-GB"/>
        </w:rPr>
        <w:t xml:space="preserve"> makes the ‘good soldier’ story also one about soldiers of today and </w:t>
      </w:r>
      <w:r w:rsidR="009712CB">
        <w:rPr>
          <w:rFonts w:ascii="Calibri" w:hAnsi="Calibri"/>
          <w:lang w:val="en-GB"/>
        </w:rPr>
        <w:t xml:space="preserve">implicitly </w:t>
      </w:r>
      <w:r w:rsidRPr="006974E9">
        <w:rPr>
          <w:rFonts w:ascii="Calibri" w:hAnsi="Calibri"/>
          <w:lang w:val="en-GB"/>
        </w:rPr>
        <w:t xml:space="preserve">reassures the visitor that </w:t>
      </w:r>
      <w:r w:rsidR="00917D98" w:rsidRPr="006974E9">
        <w:rPr>
          <w:rFonts w:ascii="Calibri" w:hAnsi="Calibri"/>
          <w:lang w:val="en-GB"/>
        </w:rPr>
        <w:t xml:space="preserve">recent and </w:t>
      </w:r>
      <w:r w:rsidRPr="006974E9">
        <w:rPr>
          <w:rFonts w:ascii="Calibri" w:hAnsi="Calibri"/>
          <w:lang w:val="en-GB"/>
        </w:rPr>
        <w:t xml:space="preserve">contemporary conquests continue to be </w:t>
      </w:r>
      <w:r w:rsidR="001C5146">
        <w:rPr>
          <w:rFonts w:ascii="Calibri" w:hAnsi="Calibri"/>
          <w:lang w:val="en-GB"/>
        </w:rPr>
        <w:t>‘</w:t>
      </w:r>
      <w:r w:rsidRPr="006974E9">
        <w:rPr>
          <w:rFonts w:ascii="Calibri" w:hAnsi="Calibri"/>
          <w:lang w:val="en-GB"/>
        </w:rPr>
        <w:t>honourable</w:t>
      </w:r>
      <w:r w:rsidR="001C5146">
        <w:rPr>
          <w:rFonts w:ascii="Calibri" w:hAnsi="Calibri"/>
          <w:lang w:val="en-GB"/>
        </w:rPr>
        <w:t>’</w:t>
      </w:r>
      <w:r w:rsidRPr="006974E9">
        <w:rPr>
          <w:rFonts w:ascii="Calibri" w:hAnsi="Calibri"/>
          <w:lang w:val="en-GB"/>
        </w:rPr>
        <w:t xml:space="preserve">. The soldiers in Crimea who rescued Snob are translated, </w:t>
      </w:r>
      <w:r w:rsidRPr="006974E9">
        <w:rPr>
          <w:rFonts w:ascii="Calibri" w:hAnsi="Calibri"/>
          <w:lang w:val="en-GB"/>
        </w:rPr>
        <w:lastRenderedPageBreak/>
        <w:t>through the afterlives that circulate around the body of the dog, into an emblem for contemporary soldiers who can also be understood through ideas of care and compassion. They can then be mad</w:t>
      </w:r>
      <w:r w:rsidR="00917D98" w:rsidRPr="006974E9">
        <w:rPr>
          <w:rFonts w:ascii="Calibri" w:hAnsi="Calibri"/>
          <w:lang w:val="en-GB"/>
        </w:rPr>
        <w:t xml:space="preserve">e intelligible as good men on </w:t>
      </w:r>
      <w:r w:rsidRPr="006974E9">
        <w:rPr>
          <w:rFonts w:ascii="Calibri" w:hAnsi="Calibri"/>
          <w:lang w:val="en-GB"/>
        </w:rPr>
        <w:t>present da</w:t>
      </w:r>
      <w:r w:rsidR="00917D98" w:rsidRPr="006974E9">
        <w:rPr>
          <w:rFonts w:ascii="Calibri" w:hAnsi="Calibri"/>
          <w:lang w:val="en-GB"/>
        </w:rPr>
        <w:t xml:space="preserve">y honourable rescue missions in the </w:t>
      </w:r>
      <w:r w:rsidR="00EC50AB">
        <w:rPr>
          <w:rFonts w:ascii="Calibri" w:hAnsi="Calibri"/>
          <w:lang w:val="en-GB"/>
        </w:rPr>
        <w:t>M</w:t>
      </w:r>
      <w:r w:rsidR="00917D98" w:rsidRPr="006974E9">
        <w:rPr>
          <w:rFonts w:ascii="Calibri" w:hAnsi="Calibri"/>
          <w:lang w:val="en-GB"/>
        </w:rPr>
        <w:t xml:space="preserve">iddle </w:t>
      </w:r>
      <w:r w:rsidR="00EC50AB">
        <w:rPr>
          <w:rFonts w:ascii="Calibri" w:hAnsi="Calibri"/>
          <w:lang w:val="en-GB"/>
        </w:rPr>
        <w:t>E</w:t>
      </w:r>
      <w:r w:rsidR="00C80BD9" w:rsidRPr="006974E9">
        <w:rPr>
          <w:rFonts w:ascii="Calibri" w:hAnsi="Calibri"/>
          <w:lang w:val="en-GB"/>
        </w:rPr>
        <w:t>ast</w:t>
      </w:r>
      <w:r w:rsidR="00917D98" w:rsidRPr="006974E9">
        <w:rPr>
          <w:rFonts w:ascii="Calibri" w:hAnsi="Calibri"/>
          <w:lang w:val="en-GB"/>
        </w:rPr>
        <w:t>, saving</w:t>
      </w:r>
      <w:r w:rsidRPr="006974E9">
        <w:rPr>
          <w:rFonts w:ascii="Calibri" w:hAnsi="Calibri"/>
          <w:lang w:val="en-GB"/>
        </w:rPr>
        <w:t xml:space="preserve"> entire regions by bringing them the same civilised values that prompted them to stoop and pet Snob that day on the Crimean battlefield.</w:t>
      </w:r>
    </w:p>
    <w:p w14:paraId="414C461E" w14:textId="77777777" w:rsidR="00980B41" w:rsidRPr="006974E9" w:rsidRDefault="00980B41">
      <w:pPr>
        <w:pStyle w:val="Normal1"/>
        <w:jc w:val="both"/>
        <w:rPr>
          <w:rFonts w:ascii="Calibri" w:hAnsi="Calibri"/>
          <w:lang w:val="en-GB"/>
        </w:rPr>
      </w:pPr>
    </w:p>
    <w:p w14:paraId="262AB26F" w14:textId="2130FA63" w:rsidR="00980B41" w:rsidRDefault="008D59D5">
      <w:pPr>
        <w:pStyle w:val="Normal1"/>
        <w:jc w:val="both"/>
        <w:rPr>
          <w:rFonts w:ascii="Calibri" w:hAnsi="Calibri"/>
          <w:b/>
          <w:i/>
          <w:lang w:val="en-GB"/>
        </w:rPr>
      </w:pPr>
      <w:r w:rsidRPr="006974E9">
        <w:rPr>
          <w:rFonts w:ascii="Calibri" w:hAnsi="Calibri"/>
          <w:i/>
          <w:lang w:val="en-GB"/>
        </w:rPr>
        <w:t>Snob and intimacy as colonial differentiation: The personhood of snob, erasure, and differentiating the civil from the savage</w:t>
      </w:r>
      <w:r w:rsidRPr="006974E9">
        <w:rPr>
          <w:rFonts w:ascii="Calibri" w:hAnsi="Calibri"/>
          <w:b/>
          <w:i/>
          <w:lang w:val="en-GB"/>
        </w:rPr>
        <w:t xml:space="preserve"> </w:t>
      </w:r>
    </w:p>
    <w:p w14:paraId="6F0275D0" w14:textId="77777777" w:rsidR="00000E5C" w:rsidRPr="006974E9" w:rsidRDefault="00000E5C">
      <w:pPr>
        <w:pStyle w:val="Normal1"/>
        <w:jc w:val="both"/>
        <w:rPr>
          <w:rFonts w:ascii="Calibri" w:hAnsi="Calibri"/>
          <w:b/>
          <w:i/>
          <w:lang w:val="en-GB"/>
        </w:rPr>
      </w:pPr>
    </w:p>
    <w:p w14:paraId="4F0C1561" w14:textId="16099D4C" w:rsidR="00980B41" w:rsidRPr="006974E9" w:rsidRDefault="008D59D5">
      <w:pPr>
        <w:pStyle w:val="Normal1"/>
        <w:jc w:val="both"/>
        <w:rPr>
          <w:rFonts w:ascii="Calibri" w:hAnsi="Calibri"/>
          <w:lang w:val="en-GB"/>
        </w:rPr>
      </w:pPr>
      <w:r w:rsidRPr="006974E9">
        <w:rPr>
          <w:rFonts w:ascii="Calibri" w:hAnsi="Calibri"/>
          <w:lang w:val="en-GB"/>
        </w:rPr>
        <w:t>Although we started thinking and writing about Snob as an inanimate object the reader may observe how we have animated him in our prose. Snob is ‘he’ rather than ‘it’. We have written him into a position of gendered personhood, arguably to a greater extent than anyone else in this paper (incl</w:t>
      </w:r>
      <w:r w:rsidR="000B4EBD" w:rsidRPr="006974E9">
        <w:rPr>
          <w:rFonts w:ascii="Calibri" w:hAnsi="Calibri"/>
          <w:lang w:val="en-GB"/>
        </w:rPr>
        <w:t xml:space="preserve">uding ourselves). Within the </w:t>
      </w:r>
      <w:r w:rsidRPr="006974E9">
        <w:rPr>
          <w:rFonts w:ascii="Calibri" w:hAnsi="Calibri"/>
          <w:lang w:val="en-GB"/>
        </w:rPr>
        <w:t>museum Snob is awarded a great deal of personhood. He is given a name and a story, and individualised as a social media presence. We learn that he was given a medal, something usually reserved for people.</w:t>
      </w:r>
      <w:r w:rsidR="000B4EBD" w:rsidRPr="006974E9">
        <w:rPr>
          <w:rFonts w:ascii="Calibri" w:hAnsi="Calibri"/>
          <w:lang w:val="en-GB"/>
        </w:rPr>
        <w:t xml:space="preserve"> In these ways he is produced</w:t>
      </w:r>
      <w:r w:rsidRPr="006974E9">
        <w:rPr>
          <w:rFonts w:ascii="Calibri" w:hAnsi="Calibri"/>
          <w:lang w:val="en-GB"/>
        </w:rPr>
        <w:t xml:space="preserve">, and relatable </w:t>
      </w:r>
      <w:r w:rsidR="009712CB">
        <w:rPr>
          <w:rFonts w:ascii="Calibri" w:hAnsi="Calibri"/>
          <w:lang w:val="en-GB"/>
        </w:rPr>
        <w:t xml:space="preserve">to </w:t>
      </w:r>
      <w:r w:rsidRPr="006974E9">
        <w:rPr>
          <w:rFonts w:ascii="Calibri" w:hAnsi="Calibri"/>
          <w:lang w:val="en-GB"/>
        </w:rPr>
        <w:t>by visitors</w:t>
      </w:r>
      <w:r w:rsidR="000B4EBD" w:rsidRPr="006974E9">
        <w:rPr>
          <w:rFonts w:ascii="Calibri" w:hAnsi="Calibri"/>
          <w:lang w:val="en-GB"/>
        </w:rPr>
        <w:t xml:space="preserve">, as </w:t>
      </w:r>
      <w:r w:rsidRPr="006974E9">
        <w:rPr>
          <w:rFonts w:ascii="Calibri" w:hAnsi="Calibri"/>
          <w:lang w:val="en-GB"/>
        </w:rPr>
        <w:t>much more of a person than the millions of people who lived and died under British colonial rule. They are largely absent from the museum other than as terrain. The Museum proudly observes that the Royal Engineers literally built the British Empire. In its accounts of imperialist and colonial mapping, terrain, and bridging, those whose lands were mapped, whose bodies were collapsed into terrain, whose lives were carved as territory, are conspicuously erased</w:t>
      </w:r>
      <w:r w:rsidR="00B35BFE">
        <w:rPr>
          <w:rFonts w:ascii="Calibri" w:hAnsi="Calibri"/>
          <w:lang w:val="en-GB"/>
        </w:rPr>
        <w:t xml:space="preserve"> or held up as examples of exotic otherness – the ‘photograph of a Zulu Witch Doctor taken by a Royal Engineer in 1879’ being a prime example</w:t>
      </w:r>
      <w:r w:rsidR="0045138E">
        <w:rPr>
          <w:rFonts w:ascii="Calibri" w:hAnsi="Calibri"/>
          <w:lang w:val="en-GB"/>
        </w:rPr>
        <w:t xml:space="preserve"> within the museum</w:t>
      </w:r>
      <w:r w:rsidRPr="006974E9">
        <w:rPr>
          <w:rFonts w:ascii="Calibri" w:hAnsi="Calibri"/>
          <w:lang w:val="en-GB"/>
        </w:rPr>
        <w:t xml:space="preserve">. </w:t>
      </w:r>
    </w:p>
    <w:p w14:paraId="1D9D07E7" w14:textId="77777777" w:rsidR="00980B41" w:rsidRPr="006974E9" w:rsidRDefault="00980B41">
      <w:pPr>
        <w:pStyle w:val="Normal1"/>
        <w:jc w:val="both"/>
        <w:rPr>
          <w:rFonts w:ascii="Calibri" w:hAnsi="Calibri"/>
          <w:lang w:val="en-GB"/>
        </w:rPr>
      </w:pPr>
    </w:p>
    <w:p w14:paraId="2C44DE58" w14:textId="00C03864" w:rsidR="00980B41" w:rsidRDefault="008D59D5">
      <w:pPr>
        <w:pStyle w:val="Normal1"/>
        <w:jc w:val="both"/>
        <w:rPr>
          <w:rFonts w:ascii="Calibri" w:hAnsi="Calibri"/>
          <w:lang w:val="en-GB"/>
        </w:rPr>
      </w:pPr>
      <w:r w:rsidRPr="006974E9">
        <w:rPr>
          <w:rFonts w:ascii="Calibri" w:hAnsi="Calibri"/>
          <w:lang w:val="en-GB"/>
        </w:rPr>
        <w:t xml:space="preserve">The presence of Snob as a person entails the absence of others on these terms. The production of animal personhood functions as a differentiating mechanism that separates the ‘civilised’ (fully human) from the </w:t>
      </w:r>
      <w:r w:rsidR="005E6751">
        <w:rPr>
          <w:rFonts w:ascii="Calibri" w:hAnsi="Calibri"/>
          <w:lang w:val="en-GB"/>
        </w:rPr>
        <w:t>‘</w:t>
      </w:r>
      <w:r w:rsidRPr="006974E9">
        <w:rPr>
          <w:rFonts w:ascii="Calibri" w:hAnsi="Calibri"/>
          <w:lang w:val="en-GB"/>
        </w:rPr>
        <w:t>savage</w:t>
      </w:r>
      <w:r w:rsidR="005E6751">
        <w:rPr>
          <w:rFonts w:ascii="Calibri" w:hAnsi="Calibri"/>
          <w:lang w:val="en-GB"/>
        </w:rPr>
        <w:t>’</w:t>
      </w:r>
      <w:r w:rsidRPr="006974E9">
        <w:rPr>
          <w:rFonts w:ascii="Calibri" w:hAnsi="Calibri"/>
          <w:lang w:val="en-GB"/>
        </w:rPr>
        <w:t xml:space="preserve"> (not fully human). The treatment of Snob the dog as some</w:t>
      </w:r>
      <w:r w:rsidRPr="006974E9">
        <w:rPr>
          <w:rFonts w:ascii="Calibri" w:hAnsi="Calibri"/>
          <w:i/>
          <w:lang w:val="en-GB"/>
        </w:rPr>
        <w:t>one</w:t>
      </w:r>
      <w:r w:rsidRPr="006974E9">
        <w:rPr>
          <w:rFonts w:ascii="Calibri" w:hAnsi="Calibri"/>
          <w:lang w:val="en-GB"/>
        </w:rPr>
        <w:t xml:space="preserve"> to be cared for, and the situatedness of this within a particular cultural imagination of ‘man’s best friend’, is an example of the wider ways in which the relationship between humans and animals, and the appropriate treatment of particular animals become linked to ideas of civilisation and civilised personhood. This is about the intimate relations of who is allowed into domestic spaces, who is treated as ‘family’, and who is used for the family. Such cod</w:t>
      </w:r>
      <w:r w:rsidR="00000E5C">
        <w:rPr>
          <w:rFonts w:ascii="Calibri" w:hAnsi="Calibri"/>
          <w:lang w:val="en-GB"/>
        </w:rPr>
        <w:t>ification of appropriate relations if intimacy</w:t>
      </w:r>
      <w:r w:rsidRPr="006974E9">
        <w:rPr>
          <w:rFonts w:ascii="Calibri" w:hAnsi="Calibri"/>
          <w:lang w:val="en-GB"/>
        </w:rPr>
        <w:t xml:space="preserve"> relates to how people are deemed civilised</w:t>
      </w:r>
      <w:r w:rsidR="00EC50AB">
        <w:rPr>
          <w:rFonts w:ascii="Calibri" w:hAnsi="Calibri"/>
          <w:lang w:val="en-GB"/>
        </w:rPr>
        <w:t xml:space="preserve"> or </w:t>
      </w:r>
      <w:r w:rsidRPr="006974E9">
        <w:rPr>
          <w:rFonts w:ascii="Calibri" w:hAnsi="Calibri"/>
          <w:lang w:val="en-GB"/>
        </w:rPr>
        <w:t>uncivilised. There are those that have appropriate intimate and domestic relations (such as caring for dogs) and those who don’t</w:t>
      </w:r>
      <w:r w:rsidR="00D5461A">
        <w:rPr>
          <w:rFonts w:ascii="Calibri" w:hAnsi="Calibri"/>
          <w:lang w:val="en-GB"/>
        </w:rPr>
        <w:t xml:space="preserve"> (who may eat them, not care for them or fear them)</w:t>
      </w:r>
      <w:r w:rsidRPr="006974E9">
        <w:rPr>
          <w:rFonts w:ascii="Calibri" w:hAnsi="Calibri"/>
          <w:lang w:val="en-GB"/>
        </w:rPr>
        <w:t>. This is not only organised around human intimacy but intimacy with animals who are treated in particular ways based upon assumptions about appropriate</w:t>
      </w:r>
      <w:r w:rsidR="00EC50AB">
        <w:rPr>
          <w:rFonts w:ascii="Calibri" w:hAnsi="Calibri"/>
          <w:lang w:val="en-GB"/>
        </w:rPr>
        <w:t xml:space="preserve"> or </w:t>
      </w:r>
      <w:r w:rsidRPr="006974E9">
        <w:rPr>
          <w:rFonts w:ascii="Calibri" w:hAnsi="Calibri"/>
          <w:lang w:val="en-GB"/>
        </w:rPr>
        <w:t xml:space="preserve">suspicious intimacy and domesticity. The colonial figuration of the dog as a signifier of civilised differentiation is alive and well today - the practice of </w:t>
      </w:r>
      <w:r w:rsidR="00EC50AB">
        <w:rPr>
          <w:rFonts w:ascii="Calibri" w:hAnsi="Calibri"/>
          <w:lang w:val="en-GB"/>
        </w:rPr>
        <w:t>W</w:t>
      </w:r>
      <w:r w:rsidRPr="006974E9">
        <w:rPr>
          <w:rFonts w:ascii="Calibri" w:hAnsi="Calibri"/>
          <w:lang w:val="en-GB"/>
        </w:rPr>
        <w:t>estern soldiers ‘rescuing’ dogs from the countries they are occupying and bringing them ‘home’ has spawned myriad crowdfunding initiatives, charities and a subgenre of dog rescue memoir</w:t>
      </w:r>
      <w:r w:rsidR="00903C79">
        <w:rPr>
          <w:rStyle w:val="FootnoteReference"/>
          <w:rFonts w:ascii="Calibri" w:hAnsi="Calibri"/>
          <w:lang w:val="en-GB"/>
        </w:rPr>
        <w:footnoteReference w:id="89"/>
      </w:r>
      <w:r w:rsidRPr="006974E9">
        <w:rPr>
          <w:rFonts w:ascii="Calibri" w:hAnsi="Calibri"/>
          <w:lang w:val="en-GB"/>
        </w:rPr>
        <w:t xml:space="preserve">.  </w:t>
      </w:r>
    </w:p>
    <w:p w14:paraId="324C9313" w14:textId="06FC09EF" w:rsidR="00000E5C" w:rsidRDefault="00000E5C">
      <w:pPr>
        <w:pStyle w:val="Normal1"/>
        <w:jc w:val="both"/>
        <w:rPr>
          <w:rFonts w:ascii="Calibri" w:hAnsi="Calibri"/>
          <w:lang w:val="en-GB"/>
        </w:rPr>
      </w:pPr>
    </w:p>
    <w:p w14:paraId="0E15B9CB" w14:textId="4B0AECB1" w:rsidR="00000E5C" w:rsidRPr="006974E9" w:rsidRDefault="00000E5C">
      <w:pPr>
        <w:pStyle w:val="Normal1"/>
        <w:jc w:val="both"/>
        <w:rPr>
          <w:rFonts w:ascii="Calibri" w:hAnsi="Calibri"/>
          <w:lang w:val="en-GB"/>
        </w:rPr>
      </w:pPr>
      <w:r>
        <w:rPr>
          <w:rFonts w:ascii="Calibri" w:hAnsi="Calibri"/>
          <w:lang w:val="en-GB"/>
        </w:rPr>
        <w:t xml:space="preserve">Snob is part of the imperial debris of Museums and our encounter with snob is shaped by and reproductive of wider relations of colonial power. </w:t>
      </w:r>
      <w:r w:rsidR="00612C4E">
        <w:rPr>
          <w:rFonts w:ascii="Calibri" w:hAnsi="Calibri"/>
          <w:lang w:val="en-GB"/>
        </w:rPr>
        <w:t>As we have argued, within the Museum snob is given more personhood than the millions who were dispossessed and killed under British colonialism past and present</w:t>
      </w:r>
      <w:r w:rsidR="00D5461A">
        <w:rPr>
          <w:rFonts w:ascii="Calibri" w:hAnsi="Calibri"/>
          <w:lang w:val="en-GB"/>
        </w:rPr>
        <w:t xml:space="preserve"> and through the </w:t>
      </w:r>
      <w:r w:rsidR="00611C60">
        <w:rPr>
          <w:rFonts w:ascii="Calibri" w:hAnsi="Calibri"/>
          <w:lang w:val="en-GB"/>
        </w:rPr>
        <w:t>actions of units such as the Royal Engineers -</w:t>
      </w:r>
      <w:r w:rsidR="00612C4E">
        <w:rPr>
          <w:rFonts w:ascii="Calibri" w:hAnsi="Calibri"/>
          <w:lang w:val="en-GB"/>
        </w:rPr>
        <w:t xml:space="preserve"> whether in colonial India or in Iraq today. The treatment of </w:t>
      </w:r>
      <w:r w:rsidR="007C42D1">
        <w:rPr>
          <w:rFonts w:ascii="Calibri" w:hAnsi="Calibri"/>
          <w:lang w:val="en-GB"/>
        </w:rPr>
        <w:t>Snob</w:t>
      </w:r>
      <w:r w:rsidR="00612C4E">
        <w:rPr>
          <w:rFonts w:ascii="Calibri" w:hAnsi="Calibri"/>
          <w:lang w:val="en-GB"/>
        </w:rPr>
        <w:t xml:space="preserve"> as ‘part of the family’ is central to the way that th</w:t>
      </w:r>
      <w:r w:rsidR="007C42D1">
        <w:rPr>
          <w:rFonts w:ascii="Calibri" w:hAnsi="Calibri"/>
          <w:lang w:val="en-GB"/>
        </w:rPr>
        <w:t>is</w:t>
      </w:r>
      <w:r w:rsidR="00612C4E">
        <w:rPr>
          <w:rFonts w:ascii="Calibri" w:hAnsi="Calibri"/>
          <w:lang w:val="en-GB"/>
        </w:rPr>
        <w:t xml:space="preserve"> colonial violence is normalised</w:t>
      </w:r>
      <w:r w:rsidR="007C42D1">
        <w:rPr>
          <w:rFonts w:ascii="Calibri" w:hAnsi="Calibri"/>
          <w:lang w:val="en-GB"/>
        </w:rPr>
        <w:t xml:space="preserve"> and even celebrated</w:t>
      </w:r>
      <w:r w:rsidR="00612C4E">
        <w:rPr>
          <w:rFonts w:ascii="Calibri" w:hAnsi="Calibri"/>
          <w:lang w:val="en-GB"/>
        </w:rPr>
        <w:t xml:space="preserve"> within the exhibition.</w:t>
      </w:r>
      <w:r w:rsidR="007C42D1">
        <w:rPr>
          <w:rFonts w:ascii="Calibri" w:hAnsi="Calibri"/>
          <w:lang w:val="en-GB"/>
        </w:rPr>
        <w:t xml:space="preserve"> Snobs curation within the exhibition not only obscures </w:t>
      </w:r>
      <w:r w:rsidR="003B5071">
        <w:rPr>
          <w:rFonts w:ascii="Calibri" w:hAnsi="Calibri"/>
          <w:lang w:val="en-GB"/>
        </w:rPr>
        <w:t xml:space="preserve">the </w:t>
      </w:r>
      <w:r w:rsidR="004664A1">
        <w:rPr>
          <w:rFonts w:ascii="Calibri" w:hAnsi="Calibri"/>
          <w:lang w:val="en-GB"/>
        </w:rPr>
        <w:t>M</w:t>
      </w:r>
      <w:r w:rsidR="003B5071">
        <w:rPr>
          <w:rFonts w:ascii="Calibri" w:hAnsi="Calibri"/>
          <w:lang w:val="en-GB"/>
        </w:rPr>
        <w:t>use</w:t>
      </w:r>
      <w:r w:rsidR="00B85CB1">
        <w:rPr>
          <w:rFonts w:ascii="Calibri" w:hAnsi="Calibri"/>
          <w:lang w:val="en-GB"/>
        </w:rPr>
        <w:t>u</w:t>
      </w:r>
      <w:r w:rsidR="003B5071">
        <w:rPr>
          <w:rFonts w:ascii="Calibri" w:hAnsi="Calibri"/>
          <w:lang w:val="en-GB"/>
        </w:rPr>
        <w:t xml:space="preserve">ms as </w:t>
      </w:r>
      <w:r w:rsidR="007C42D1">
        <w:rPr>
          <w:rFonts w:ascii="Calibri" w:hAnsi="Calibri"/>
          <w:lang w:val="en-GB"/>
        </w:rPr>
        <w:t xml:space="preserve">imperial debris but Snob’s is imperial </w:t>
      </w:r>
      <w:r w:rsidR="007C42D1">
        <w:rPr>
          <w:rFonts w:ascii="Calibri" w:hAnsi="Calibri"/>
          <w:lang w:val="en-GB"/>
        </w:rPr>
        <w:lastRenderedPageBreak/>
        <w:t>debris</w:t>
      </w:r>
      <w:r w:rsidR="004664A1">
        <w:rPr>
          <w:rFonts w:ascii="Calibri" w:hAnsi="Calibri"/>
          <w:lang w:val="en-GB"/>
        </w:rPr>
        <w:t>;</w:t>
      </w:r>
      <w:r w:rsidR="007C42D1">
        <w:rPr>
          <w:rFonts w:ascii="Calibri" w:hAnsi="Calibri"/>
          <w:lang w:val="en-GB"/>
        </w:rPr>
        <w:t xml:space="preserve"> the </w:t>
      </w:r>
      <w:r w:rsidR="00E510B5">
        <w:rPr>
          <w:rFonts w:ascii="Calibri" w:hAnsi="Calibri"/>
          <w:lang w:val="en-GB"/>
        </w:rPr>
        <w:t xml:space="preserve">curated </w:t>
      </w:r>
      <w:r w:rsidR="007C42D1">
        <w:rPr>
          <w:rFonts w:ascii="Calibri" w:hAnsi="Calibri"/>
          <w:lang w:val="en-GB"/>
        </w:rPr>
        <w:t>object directly links the colonial and imperial wars of the Crimea and the protection/opening up of trade routes to India with the ongoing forms of warfare globally and conducted by the British state</w:t>
      </w:r>
      <w:r w:rsidR="00E510B5">
        <w:rPr>
          <w:rFonts w:ascii="Calibri" w:hAnsi="Calibri"/>
          <w:lang w:val="en-GB"/>
        </w:rPr>
        <w:t xml:space="preserve"> which the wider Museum narrates</w:t>
      </w:r>
      <w:r w:rsidR="007C42D1">
        <w:rPr>
          <w:rFonts w:ascii="Calibri" w:hAnsi="Calibri"/>
          <w:lang w:val="en-GB"/>
        </w:rPr>
        <w:t xml:space="preserve">. </w:t>
      </w:r>
      <w:r w:rsidR="004664A1">
        <w:rPr>
          <w:rFonts w:ascii="Calibri" w:hAnsi="Calibri"/>
          <w:lang w:val="en-GB"/>
        </w:rPr>
        <w:t>At the same time, t</w:t>
      </w:r>
      <w:r w:rsidR="00612C4E">
        <w:rPr>
          <w:rFonts w:ascii="Calibri" w:hAnsi="Calibri"/>
          <w:lang w:val="en-GB"/>
        </w:rPr>
        <w:t xml:space="preserve">he prominence and </w:t>
      </w:r>
      <w:r w:rsidR="007C42D1" w:rsidRPr="007C42D1">
        <w:rPr>
          <w:rFonts w:ascii="Calibri" w:hAnsi="Calibri"/>
          <w:lang w:val="en-GB"/>
        </w:rPr>
        <w:t>anthropomorphisation</w:t>
      </w:r>
      <w:r w:rsidR="007C42D1" w:rsidRPr="007C42D1" w:rsidDel="007C42D1">
        <w:rPr>
          <w:rFonts w:ascii="Calibri" w:hAnsi="Calibri"/>
          <w:lang w:val="en-GB"/>
        </w:rPr>
        <w:t xml:space="preserve"> </w:t>
      </w:r>
      <w:r w:rsidR="00612C4E">
        <w:rPr>
          <w:rFonts w:ascii="Calibri" w:hAnsi="Calibri"/>
          <w:lang w:val="en-GB"/>
        </w:rPr>
        <w:t xml:space="preserve">of snob </w:t>
      </w:r>
      <w:r w:rsidR="007C42D1">
        <w:rPr>
          <w:rFonts w:ascii="Calibri" w:hAnsi="Calibri"/>
          <w:lang w:val="en-GB"/>
        </w:rPr>
        <w:t>reveals the active legacies of racial schemas of human worth</w:t>
      </w:r>
      <w:r w:rsidR="00E510B5">
        <w:rPr>
          <w:rFonts w:ascii="Calibri" w:hAnsi="Calibri"/>
          <w:lang w:val="en-GB"/>
        </w:rPr>
        <w:t xml:space="preserve"> reproduced within the Museum space</w:t>
      </w:r>
      <w:r w:rsidR="004664A1">
        <w:rPr>
          <w:rFonts w:ascii="Calibri" w:hAnsi="Calibri"/>
          <w:lang w:val="en-GB"/>
        </w:rPr>
        <w:t xml:space="preserve"> and within contemporary international politics</w:t>
      </w:r>
      <w:r w:rsidR="002B5A13">
        <w:rPr>
          <w:rFonts w:ascii="Calibri" w:hAnsi="Calibri"/>
          <w:lang w:val="en-GB"/>
        </w:rPr>
        <w:t xml:space="preserve">. </w:t>
      </w:r>
      <w:r w:rsidR="00F814E4">
        <w:rPr>
          <w:rFonts w:ascii="Calibri" w:hAnsi="Calibri"/>
          <w:lang w:val="en-GB"/>
        </w:rPr>
        <w:t>In the treatment of snob w</w:t>
      </w:r>
      <w:r w:rsidR="002B5A13">
        <w:rPr>
          <w:rFonts w:ascii="Calibri" w:hAnsi="Calibri"/>
          <w:lang w:val="en-GB"/>
        </w:rPr>
        <w:t xml:space="preserve">e are reminded </w:t>
      </w:r>
      <w:r w:rsidR="0082460D">
        <w:rPr>
          <w:rFonts w:ascii="Calibri" w:hAnsi="Calibri"/>
          <w:lang w:val="en-GB"/>
        </w:rPr>
        <w:t xml:space="preserve">of </w:t>
      </w:r>
      <w:r w:rsidR="00612C4E">
        <w:rPr>
          <w:rFonts w:ascii="Calibri" w:hAnsi="Calibri"/>
          <w:lang w:val="en-GB"/>
        </w:rPr>
        <w:t xml:space="preserve">how </w:t>
      </w:r>
      <w:r w:rsidR="00424BF9">
        <w:rPr>
          <w:rFonts w:ascii="Calibri" w:hAnsi="Calibri"/>
          <w:lang w:val="en-GB"/>
        </w:rPr>
        <w:t xml:space="preserve">domesticated </w:t>
      </w:r>
      <w:r w:rsidR="00612C4E">
        <w:rPr>
          <w:rFonts w:ascii="Calibri" w:hAnsi="Calibri"/>
          <w:lang w:val="en-GB"/>
        </w:rPr>
        <w:t>animals</w:t>
      </w:r>
      <w:r w:rsidR="00424BF9">
        <w:rPr>
          <w:rFonts w:ascii="Calibri" w:hAnsi="Calibri"/>
          <w:lang w:val="en-GB"/>
        </w:rPr>
        <w:t xml:space="preserve"> were often </w:t>
      </w:r>
      <w:r w:rsidR="00EB13E9">
        <w:rPr>
          <w:rFonts w:ascii="Calibri" w:hAnsi="Calibri"/>
          <w:lang w:val="en-GB"/>
        </w:rPr>
        <w:t xml:space="preserve">(and we would argue continue to be) treated </w:t>
      </w:r>
      <w:r w:rsidR="007C42D1">
        <w:rPr>
          <w:rFonts w:ascii="Calibri" w:hAnsi="Calibri"/>
          <w:lang w:val="en-GB"/>
        </w:rPr>
        <w:t xml:space="preserve">as closer </w:t>
      </w:r>
      <w:r w:rsidR="00424BF9">
        <w:rPr>
          <w:rFonts w:ascii="Calibri" w:hAnsi="Calibri"/>
          <w:lang w:val="en-GB"/>
        </w:rPr>
        <w:t>to humanity than colonised peoples.</w:t>
      </w:r>
      <w:r w:rsidR="00424BF9">
        <w:rPr>
          <w:rStyle w:val="FootnoteReference"/>
          <w:rFonts w:ascii="Calibri" w:hAnsi="Calibri"/>
          <w:lang w:val="en-GB"/>
        </w:rPr>
        <w:footnoteReference w:id="90"/>
      </w:r>
      <w:r w:rsidR="00424BF9">
        <w:rPr>
          <w:rFonts w:ascii="Calibri" w:hAnsi="Calibri"/>
          <w:lang w:val="en-GB"/>
        </w:rPr>
        <w:t xml:space="preserve"> </w:t>
      </w:r>
      <w:r w:rsidR="000D5885">
        <w:rPr>
          <w:rFonts w:ascii="Calibri" w:hAnsi="Calibri"/>
          <w:lang w:val="en-GB"/>
        </w:rPr>
        <w:t xml:space="preserve">As with the examples we briefly touched upon above, dogs and other animals in contemporary conflict are frequently represented as more innocent than populations subject to occupation, aerial bombardment or drone warfare. </w:t>
      </w:r>
      <w:r w:rsidR="00424BF9">
        <w:rPr>
          <w:rFonts w:ascii="Calibri" w:hAnsi="Calibri"/>
          <w:lang w:val="en-GB"/>
        </w:rPr>
        <w:t>W</w:t>
      </w:r>
      <w:r w:rsidR="0041077D">
        <w:rPr>
          <w:rFonts w:ascii="Calibri" w:hAnsi="Calibri"/>
          <w:lang w:val="en-GB"/>
        </w:rPr>
        <w:t>h</w:t>
      </w:r>
      <w:r w:rsidR="00424BF9">
        <w:rPr>
          <w:rFonts w:ascii="Calibri" w:hAnsi="Calibri"/>
          <w:lang w:val="en-GB"/>
        </w:rPr>
        <w:t xml:space="preserve">ere dogs </w:t>
      </w:r>
      <w:r w:rsidR="0041077D">
        <w:rPr>
          <w:rFonts w:ascii="Calibri" w:hAnsi="Calibri"/>
          <w:lang w:val="en-GB"/>
        </w:rPr>
        <w:t>are</w:t>
      </w:r>
      <w:r w:rsidR="00424BF9">
        <w:rPr>
          <w:rFonts w:ascii="Calibri" w:hAnsi="Calibri"/>
          <w:lang w:val="en-GB"/>
        </w:rPr>
        <w:t xml:space="preserve"> recognised as part of the family, these same appeals to familial intimacy </w:t>
      </w:r>
      <w:r w:rsidR="0041077D">
        <w:rPr>
          <w:rFonts w:ascii="Calibri" w:hAnsi="Calibri"/>
          <w:lang w:val="en-GB"/>
        </w:rPr>
        <w:t xml:space="preserve">can be </w:t>
      </w:r>
      <w:r w:rsidR="00424BF9">
        <w:rPr>
          <w:rFonts w:ascii="Calibri" w:hAnsi="Calibri"/>
          <w:lang w:val="en-GB"/>
        </w:rPr>
        <w:t>used to reveal the apparent backwardsness of p</w:t>
      </w:r>
      <w:r w:rsidR="0041077D">
        <w:rPr>
          <w:rFonts w:ascii="Calibri" w:hAnsi="Calibri"/>
          <w:lang w:val="en-GB"/>
        </w:rPr>
        <w:t>opulations and communities racialised as non-white</w:t>
      </w:r>
      <w:r w:rsidR="007C42D1">
        <w:rPr>
          <w:rFonts w:ascii="Calibri" w:hAnsi="Calibri"/>
          <w:lang w:val="en-GB"/>
        </w:rPr>
        <w:t>.</w:t>
      </w:r>
      <w:r w:rsidR="00424BF9">
        <w:rPr>
          <w:rFonts w:ascii="Calibri" w:hAnsi="Calibri"/>
          <w:lang w:val="en-GB"/>
        </w:rPr>
        <w:t xml:space="preserve"> </w:t>
      </w:r>
      <w:r w:rsidR="007C42D1">
        <w:rPr>
          <w:rFonts w:ascii="Calibri" w:hAnsi="Calibri"/>
          <w:lang w:val="en-GB"/>
        </w:rPr>
        <w:t>T</w:t>
      </w:r>
      <w:r w:rsidR="00424BF9">
        <w:rPr>
          <w:rFonts w:ascii="Calibri" w:hAnsi="Calibri"/>
          <w:lang w:val="en-GB"/>
        </w:rPr>
        <w:t xml:space="preserve">he </w:t>
      </w:r>
      <w:r w:rsidR="00F814E4">
        <w:rPr>
          <w:rFonts w:ascii="Calibri" w:hAnsi="Calibri"/>
          <w:lang w:val="en-GB"/>
        </w:rPr>
        <w:t>‘</w:t>
      </w:r>
      <w:r w:rsidR="00424BF9">
        <w:rPr>
          <w:rFonts w:ascii="Calibri" w:hAnsi="Calibri"/>
          <w:lang w:val="en-GB"/>
        </w:rPr>
        <w:t>underdevelopment</w:t>
      </w:r>
      <w:r w:rsidR="00F814E4">
        <w:rPr>
          <w:rFonts w:ascii="Calibri" w:hAnsi="Calibri"/>
          <w:lang w:val="en-GB"/>
        </w:rPr>
        <w:t>’</w:t>
      </w:r>
      <w:r w:rsidR="00424BF9">
        <w:rPr>
          <w:rFonts w:ascii="Calibri" w:hAnsi="Calibri"/>
          <w:lang w:val="en-GB"/>
        </w:rPr>
        <w:t xml:space="preserve"> of heteronormative</w:t>
      </w:r>
      <w:r w:rsidR="007F1505">
        <w:rPr>
          <w:rFonts w:ascii="Calibri" w:hAnsi="Calibri"/>
          <w:lang w:val="en-GB"/>
        </w:rPr>
        <w:t xml:space="preserve"> domesticity and appropriate human and animal</w:t>
      </w:r>
      <w:r w:rsidR="00424BF9">
        <w:rPr>
          <w:rFonts w:ascii="Calibri" w:hAnsi="Calibri"/>
          <w:lang w:val="en-GB"/>
        </w:rPr>
        <w:t xml:space="preserve"> </w:t>
      </w:r>
      <w:r w:rsidR="007F1505">
        <w:rPr>
          <w:rFonts w:ascii="Calibri" w:hAnsi="Calibri"/>
          <w:lang w:val="en-GB"/>
        </w:rPr>
        <w:t>intimacies</w:t>
      </w:r>
      <w:r w:rsidR="00424BF9">
        <w:rPr>
          <w:rFonts w:ascii="Calibri" w:hAnsi="Calibri"/>
          <w:lang w:val="en-GB"/>
        </w:rPr>
        <w:t xml:space="preserve"> </w:t>
      </w:r>
      <w:r w:rsidR="0041077D">
        <w:rPr>
          <w:rFonts w:ascii="Calibri" w:hAnsi="Calibri"/>
          <w:lang w:val="en-GB"/>
        </w:rPr>
        <w:t>continues to be</w:t>
      </w:r>
      <w:r w:rsidR="00424BF9">
        <w:rPr>
          <w:rFonts w:ascii="Calibri" w:hAnsi="Calibri"/>
          <w:lang w:val="en-GB"/>
        </w:rPr>
        <w:t xml:space="preserve"> used a proxy for the </w:t>
      </w:r>
      <w:r w:rsidR="00424BF9" w:rsidRPr="00F807A0">
        <w:rPr>
          <w:rFonts w:ascii="Calibri" w:hAnsi="Calibri"/>
          <w:lang w:val="en-GB"/>
        </w:rPr>
        <w:t>apparent absence of civilisation and humanness and th</w:t>
      </w:r>
      <w:r w:rsidR="0041077D" w:rsidRPr="00F807A0">
        <w:rPr>
          <w:rFonts w:ascii="Calibri" w:hAnsi="Calibri"/>
          <w:lang w:val="en-GB"/>
        </w:rPr>
        <w:t>is works as a</w:t>
      </w:r>
      <w:r w:rsidR="00424BF9" w:rsidRPr="00F807A0">
        <w:rPr>
          <w:rFonts w:ascii="Calibri" w:hAnsi="Calibri"/>
          <w:lang w:val="en-GB"/>
        </w:rPr>
        <w:t xml:space="preserve"> justification for dispossession and violence.</w:t>
      </w:r>
      <w:r w:rsidR="00F807A0">
        <w:rPr>
          <w:rStyle w:val="FootnoteReference"/>
          <w:rFonts w:ascii="Calibri" w:hAnsi="Calibri"/>
          <w:lang w:val="en-GB"/>
        </w:rPr>
        <w:footnoteReference w:id="91"/>
      </w:r>
      <w:r w:rsidR="0041077D" w:rsidRPr="00F807A0">
        <w:rPr>
          <w:rFonts w:ascii="Calibri" w:hAnsi="Calibri"/>
          <w:lang w:val="en-GB"/>
        </w:rPr>
        <w:t xml:space="preserve"> </w:t>
      </w:r>
      <w:r w:rsidR="003E0FAC" w:rsidRPr="00F807A0">
        <w:rPr>
          <w:rFonts w:ascii="Calibri" w:hAnsi="Calibri"/>
          <w:lang w:val="en-GB"/>
        </w:rPr>
        <w:t xml:space="preserve">Whilst snob might invite </w:t>
      </w:r>
      <w:r w:rsidR="008412CA" w:rsidRPr="00F807A0">
        <w:rPr>
          <w:rFonts w:ascii="Calibri" w:hAnsi="Calibri"/>
          <w:lang w:val="en-GB"/>
        </w:rPr>
        <w:t>intimate feelings through the objects curation, this invitation</w:t>
      </w:r>
      <w:r w:rsidR="000D5885" w:rsidRPr="00F807A0">
        <w:rPr>
          <w:rFonts w:ascii="Calibri" w:hAnsi="Calibri"/>
          <w:lang w:val="en-GB"/>
        </w:rPr>
        <w:t xml:space="preserve"> -</w:t>
      </w:r>
      <w:r w:rsidR="008412CA" w:rsidRPr="00F807A0">
        <w:rPr>
          <w:rFonts w:ascii="Calibri" w:hAnsi="Calibri"/>
          <w:lang w:val="en-GB"/>
        </w:rPr>
        <w:t xml:space="preserve"> in of itself </w:t>
      </w:r>
      <w:r w:rsidR="000D5885" w:rsidRPr="00F807A0">
        <w:rPr>
          <w:rFonts w:ascii="Calibri" w:hAnsi="Calibri"/>
          <w:lang w:val="en-GB"/>
        </w:rPr>
        <w:t xml:space="preserve">- </w:t>
      </w:r>
      <w:r w:rsidR="008412CA" w:rsidRPr="00F807A0">
        <w:rPr>
          <w:rFonts w:ascii="Calibri" w:hAnsi="Calibri"/>
          <w:lang w:val="en-GB"/>
        </w:rPr>
        <w:t>works to sustain racialised modes of address</w:t>
      </w:r>
      <w:r w:rsidR="000D5885" w:rsidRPr="00F807A0">
        <w:rPr>
          <w:rFonts w:ascii="Calibri" w:hAnsi="Calibri"/>
          <w:lang w:val="en-GB"/>
        </w:rPr>
        <w:t>. The object works as a site of international politics by intimately addressing</w:t>
      </w:r>
      <w:r w:rsidR="008412CA" w:rsidRPr="00F807A0">
        <w:rPr>
          <w:rFonts w:ascii="Calibri" w:hAnsi="Calibri"/>
          <w:lang w:val="en-GB"/>
        </w:rPr>
        <w:t xml:space="preserve"> the position of the white coloniser/</w:t>
      </w:r>
      <w:r w:rsidR="007F1505" w:rsidRPr="00F807A0">
        <w:rPr>
          <w:rFonts w:ascii="Calibri" w:hAnsi="Calibri"/>
          <w:lang w:val="en-GB"/>
        </w:rPr>
        <w:t>visitor/researcher</w:t>
      </w:r>
      <w:r w:rsidR="008412CA" w:rsidRPr="00F807A0">
        <w:rPr>
          <w:rFonts w:ascii="Calibri" w:hAnsi="Calibri"/>
          <w:lang w:val="en-GB"/>
        </w:rPr>
        <w:t xml:space="preserve"> who can both imagine the dog as benign and </w:t>
      </w:r>
      <w:r w:rsidR="007F1505" w:rsidRPr="00F807A0">
        <w:rPr>
          <w:rFonts w:ascii="Calibri" w:hAnsi="Calibri"/>
          <w:lang w:val="en-GB"/>
        </w:rPr>
        <w:t xml:space="preserve">the </w:t>
      </w:r>
      <w:r w:rsidR="005605E3" w:rsidRPr="00F807A0">
        <w:rPr>
          <w:rFonts w:ascii="Calibri" w:hAnsi="Calibri"/>
          <w:lang w:val="en-GB"/>
        </w:rPr>
        <w:t xml:space="preserve">museum </w:t>
      </w:r>
      <w:r w:rsidR="00D60490" w:rsidRPr="00F807A0">
        <w:rPr>
          <w:rFonts w:ascii="Calibri" w:hAnsi="Calibri"/>
          <w:lang w:val="en-GB"/>
        </w:rPr>
        <w:t xml:space="preserve">as a space ‘free’ of colonial violence. </w:t>
      </w:r>
      <w:r w:rsidR="0034656C" w:rsidRPr="00F807A0">
        <w:rPr>
          <w:rFonts w:ascii="Calibri" w:hAnsi="Calibri"/>
          <w:lang w:val="en-GB"/>
        </w:rPr>
        <w:t>Within the broader logics and material linkages that const</w:t>
      </w:r>
      <w:r w:rsidR="00ED6A86">
        <w:rPr>
          <w:rFonts w:ascii="Calibri" w:hAnsi="Calibri"/>
          <w:lang w:val="en-GB"/>
        </w:rPr>
        <w:t>it</w:t>
      </w:r>
      <w:r w:rsidR="0034656C" w:rsidRPr="00F807A0">
        <w:rPr>
          <w:rFonts w:ascii="Calibri" w:hAnsi="Calibri"/>
          <w:lang w:val="en-GB"/>
        </w:rPr>
        <w:t>ute muse</w:t>
      </w:r>
      <w:r w:rsidR="00ED6A86">
        <w:rPr>
          <w:rFonts w:ascii="Calibri" w:hAnsi="Calibri"/>
          <w:lang w:val="en-GB"/>
        </w:rPr>
        <w:t>u</w:t>
      </w:r>
      <w:r w:rsidR="0034656C" w:rsidRPr="00F807A0">
        <w:rPr>
          <w:rFonts w:ascii="Calibri" w:hAnsi="Calibri"/>
          <w:lang w:val="en-GB"/>
        </w:rPr>
        <w:t>ms as Imperial</w:t>
      </w:r>
      <w:r w:rsidR="0034656C">
        <w:rPr>
          <w:rFonts w:ascii="Calibri" w:hAnsi="Calibri"/>
          <w:lang w:val="en-GB"/>
        </w:rPr>
        <w:t xml:space="preserve"> debris</w:t>
      </w:r>
      <w:r w:rsidR="00ED6A86">
        <w:rPr>
          <w:rFonts w:ascii="Calibri" w:hAnsi="Calibri"/>
          <w:lang w:val="en-GB"/>
        </w:rPr>
        <w:t>,</w:t>
      </w:r>
      <w:r w:rsidR="0034656C">
        <w:rPr>
          <w:rFonts w:ascii="Calibri" w:hAnsi="Calibri"/>
          <w:lang w:val="en-GB"/>
        </w:rPr>
        <w:t xml:space="preserve"> </w:t>
      </w:r>
      <w:r w:rsidR="00ED6A86">
        <w:rPr>
          <w:rFonts w:ascii="Calibri" w:hAnsi="Calibri"/>
          <w:lang w:val="en-GB"/>
        </w:rPr>
        <w:t>S</w:t>
      </w:r>
      <w:r w:rsidR="0034656C">
        <w:rPr>
          <w:rFonts w:ascii="Calibri" w:hAnsi="Calibri"/>
          <w:lang w:val="en-GB"/>
        </w:rPr>
        <w:t xml:space="preserve">nob is merely one node in how colonial knowledge and subject positions are reproduced within such sites in the metropole.  </w:t>
      </w:r>
    </w:p>
    <w:p w14:paraId="0A1DEA56" w14:textId="77777777" w:rsidR="00980B41" w:rsidRPr="006974E9" w:rsidRDefault="00980B41">
      <w:pPr>
        <w:pStyle w:val="Normal1"/>
        <w:jc w:val="both"/>
        <w:rPr>
          <w:rFonts w:ascii="Calibri" w:hAnsi="Calibri"/>
          <w:lang w:val="en-GB"/>
        </w:rPr>
      </w:pPr>
    </w:p>
    <w:p w14:paraId="38B396D8" w14:textId="77777777" w:rsidR="00980B41" w:rsidRPr="006974E9" w:rsidRDefault="008D59D5">
      <w:pPr>
        <w:pStyle w:val="Normal1"/>
        <w:jc w:val="both"/>
        <w:rPr>
          <w:rFonts w:ascii="Calibri" w:hAnsi="Calibri"/>
          <w:b/>
          <w:lang w:val="en-GB"/>
        </w:rPr>
      </w:pPr>
      <w:r w:rsidRPr="006974E9">
        <w:rPr>
          <w:rFonts w:ascii="Calibri" w:hAnsi="Calibri"/>
          <w:b/>
          <w:lang w:val="en-GB"/>
        </w:rPr>
        <w:t>Conclusion</w:t>
      </w:r>
    </w:p>
    <w:p w14:paraId="74A5AE28" w14:textId="46828A35" w:rsidR="00260EC4" w:rsidRPr="006974E9" w:rsidRDefault="00395B25" w:rsidP="00260EC4">
      <w:pPr>
        <w:pStyle w:val="Normal1"/>
        <w:jc w:val="both"/>
        <w:rPr>
          <w:rFonts w:ascii="Calibri" w:hAnsi="Calibri"/>
          <w:lang w:val="en-GB"/>
        </w:rPr>
      </w:pPr>
      <w:r w:rsidRPr="006974E9">
        <w:rPr>
          <w:rFonts w:ascii="Calibri" w:hAnsi="Calibri"/>
          <w:lang w:val="en-GB"/>
        </w:rPr>
        <w:t>When</w:t>
      </w:r>
      <w:r w:rsidR="008D59D5" w:rsidRPr="006974E9">
        <w:rPr>
          <w:rFonts w:ascii="Calibri" w:hAnsi="Calibri"/>
          <w:lang w:val="en-GB"/>
        </w:rPr>
        <w:t xml:space="preserve"> looking for ‘international relations’ at a British military museum, we might be tempted to pass over Snob the dog. </w:t>
      </w:r>
      <w:r w:rsidR="00EE0626">
        <w:rPr>
          <w:rFonts w:ascii="Calibri" w:hAnsi="Calibri"/>
          <w:lang w:val="en-GB"/>
        </w:rPr>
        <w:t>‘</w:t>
      </w:r>
      <w:r w:rsidR="008D59D5" w:rsidRPr="006974E9">
        <w:rPr>
          <w:rFonts w:ascii="Calibri" w:hAnsi="Calibri"/>
          <w:lang w:val="en-GB"/>
        </w:rPr>
        <w:t>He</w:t>
      </w:r>
      <w:r w:rsidR="00EE0626">
        <w:rPr>
          <w:rFonts w:ascii="Calibri" w:hAnsi="Calibri"/>
          <w:lang w:val="en-GB"/>
        </w:rPr>
        <w:t>’</w:t>
      </w:r>
      <w:r w:rsidR="008D59D5" w:rsidRPr="006974E9">
        <w:rPr>
          <w:rFonts w:ascii="Calibri" w:hAnsi="Calibri"/>
          <w:lang w:val="en-GB"/>
        </w:rPr>
        <w:t xml:space="preserve">, and </w:t>
      </w:r>
      <w:r w:rsidR="00097FBF">
        <w:rPr>
          <w:rFonts w:ascii="Calibri" w:hAnsi="Calibri"/>
          <w:lang w:val="en-GB"/>
        </w:rPr>
        <w:t xml:space="preserve">the </w:t>
      </w:r>
      <w:r w:rsidR="008D59D5" w:rsidRPr="006974E9">
        <w:rPr>
          <w:rFonts w:ascii="Calibri" w:hAnsi="Calibri"/>
          <w:lang w:val="en-GB"/>
        </w:rPr>
        <w:t xml:space="preserve">responses </w:t>
      </w:r>
      <w:r w:rsidR="007158B7">
        <w:rPr>
          <w:rFonts w:ascii="Calibri" w:hAnsi="Calibri"/>
          <w:lang w:val="en-GB"/>
        </w:rPr>
        <w:t xml:space="preserve">he seems to invite </w:t>
      </w:r>
      <w:r w:rsidR="008D59D5" w:rsidRPr="006974E9">
        <w:rPr>
          <w:rFonts w:ascii="Calibri" w:hAnsi="Calibri"/>
          <w:lang w:val="en-GB"/>
        </w:rPr>
        <w:t>(as cute, out of place, familiar and familial</w:t>
      </w:r>
      <w:r w:rsidR="000D5885">
        <w:rPr>
          <w:rFonts w:ascii="Calibri" w:hAnsi="Calibri"/>
          <w:lang w:val="en-GB"/>
        </w:rPr>
        <w:t>, or equally disgust and fear</w:t>
      </w:r>
      <w:r w:rsidR="008D59D5" w:rsidRPr="006974E9">
        <w:rPr>
          <w:rFonts w:ascii="Calibri" w:hAnsi="Calibri"/>
          <w:lang w:val="en-GB"/>
        </w:rPr>
        <w:t>), might seem like a fleeting curiosity but nothing much more. However, as we have shown, Snob</w:t>
      </w:r>
      <w:r w:rsidR="00726A22" w:rsidRPr="006974E9">
        <w:rPr>
          <w:rFonts w:ascii="Calibri" w:hAnsi="Calibri"/>
          <w:lang w:val="en-GB"/>
        </w:rPr>
        <w:t>, and the intimate</w:t>
      </w:r>
      <w:r w:rsidR="00941677" w:rsidRPr="006974E9">
        <w:rPr>
          <w:rFonts w:ascii="Calibri" w:hAnsi="Calibri"/>
          <w:lang w:val="en-GB"/>
        </w:rPr>
        <w:t xml:space="preserve"> responses he invites and elicits</w:t>
      </w:r>
      <w:r w:rsidR="00527F11">
        <w:rPr>
          <w:rFonts w:ascii="Calibri" w:hAnsi="Calibri"/>
          <w:lang w:val="en-GB"/>
        </w:rPr>
        <w:t xml:space="preserve"> (and the assumptions about these intimate responses that, as researchers, we made when encountering Snob during fieldwork)</w:t>
      </w:r>
      <w:r w:rsidR="00941677" w:rsidRPr="006974E9">
        <w:rPr>
          <w:rFonts w:ascii="Calibri" w:hAnsi="Calibri"/>
          <w:lang w:val="en-GB"/>
        </w:rPr>
        <w:t>,</w:t>
      </w:r>
      <w:r w:rsidR="008D59D5" w:rsidRPr="006974E9">
        <w:rPr>
          <w:rFonts w:ascii="Calibri" w:hAnsi="Calibri"/>
          <w:lang w:val="en-GB"/>
        </w:rPr>
        <w:t xml:space="preserve"> </w:t>
      </w:r>
      <w:r w:rsidR="00527F11">
        <w:rPr>
          <w:rFonts w:ascii="Calibri" w:hAnsi="Calibri"/>
          <w:lang w:val="en-GB"/>
        </w:rPr>
        <w:t>are</w:t>
      </w:r>
      <w:r w:rsidR="008D59D5" w:rsidRPr="006974E9">
        <w:rPr>
          <w:rFonts w:ascii="Calibri" w:hAnsi="Calibri"/>
          <w:lang w:val="en-GB"/>
        </w:rPr>
        <w:t xml:space="preserve"> key to understanding the British Army Royal Engineers Museum as </w:t>
      </w:r>
      <w:r w:rsidR="007158B7">
        <w:rPr>
          <w:rFonts w:ascii="Calibri" w:hAnsi="Calibri"/>
          <w:lang w:val="en-GB"/>
        </w:rPr>
        <w:t xml:space="preserve">an everyday site of coloniality. </w:t>
      </w:r>
      <w:r w:rsidR="008D59D5" w:rsidRPr="006974E9">
        <w:rPr>
          <w:rFonts w:ascii="Calibri" w:hAnsi="Calibri"/>
          <w:lang w:val="en-GB"/>
        </w:rPr>
        <w:t xml:space="preserve"> </w:t>
      </w:r>
      <w:r w:rsidR="007158B7">
        <w:rPr>
          <w:rFonts w:ascii="Calibri" w:hAnsi="Calibri"/>
          <w:lang w:val="en-GB"/>
        </w:rPr>
        <w:t>The starting point for our analysis in this ar</w:t>
      </w:r>
      <w:r w:rsidR="00260EC4">
        <w:rPr>
          <w:rFonts w:ascii="Calibri" w:hAnsi="Calibri"/>
          <w:lang w:val="en-GB"/>
        </w:rPr>
        <w:t>ticle has been</w:t>
      </w:r>
      <w:r w:rsidR="007158B7">
        <w:rPr>
          <w:rFonts w:ascii="Calibri" w:hAnsi="Calibri"/>
          <w:lang w:val="en-GB"/>
        </w:rPr>
        <w:t xml:space="preserve"> that when studying museums as sites of international relations we should be attuned to the ways in which they are sites of a colonially-produced international. Guided by the concept of coloniality, and framing this in the museum context through the notion of imperia</w:t>
      </w:r>
      <w:r w:rsidR="00097FBF">
        <w:rPr>
          <w:rFonts w:ascii="Calibri" w:hAnsi="Calibri"/>
          <w:lang w:val="en-GB"/>
        </w:rPr>
        <w:t>l</w:t>
      </w:r>
      <w:r w:rsidR="007158B7">
        <w:rPr>
          <w:rFonts w:ascii="Calibri" w:hAnsi="Calibri"/>
          <w:lang w:val="en-GB"/>
        </w:rPr>
        <w:t xml:space="preserve"> debris, we have </w:t>
      </w:r>
      <w:r w:rsidR="00097FBF">
        <w:rPr>
          <w:rFonts w:ascii="Calibri" w:hAnsi="Calibri"/>
          <w:lang w:val="en-GB"/>
        </w:rPr>
        <w:t xml:space="preserve">put forward </w:t>
      </w:r>
      <w:r w:rsidR="007158B7">
        <w:rPr>
          <w:rFonts w:ascii="Calibri" w:hAnsi="Calibri"/>
          <w:lang w:val="en-GB"/>
        </w:rPr>
        <w:t xml:space="preserve">a methodological approach to </w:t>
      </w:r>
      <w:r w:rsidR="008D59D5" w:rsidRPr="006974E9">
        <w:rPr>
          <w:rFonts w:ascii="Calibri" w:hAnsi="Calibri"/>
          <w:lang w:val="en-GB"/>
        </w:rPr>
        <w:t>the museum space which involves strategies for fieldwork and analysis oriented towards intimacy as socio-sexual affects, scales and proximities and differentiating logics.</w:t>
      </w:r>
      <w:r w:rsidR="00260EC4" w:rsidRPr="00260EC4">
        <w:t xml:space="preserve"> </w:t>
      </w:r>
      <w:r w:rsidR="00260EC4" w:rsidRPr="00260EC4">
        <w:rPr>
          <w:rFonts w:ascii="Calibri" w:hAnsi="Calibri"/>
          <w:lang w:val="en-GB"/>
        </w:rPr>
        <w:t>In particular we have drawn attention to the intimate politics of objects</w:t>
      </w:r>
      <w:r w:rsidR="00260EC4">
        <w:rPr>
          <w:rStyle w:val="FootnoteReference"/>
          <w:rFonts w:ascii="Calibri" w:hAnsi="Calibri"/>
          <w:lang w:val="en-GB"/>
        </w:rPr>
        <w:footnoteReference w:id="92"/>
      </w:r>
      <w:r w:rsidR="00260EC4" w:rsidRPr="00260EC4">
        <w:rPr>
          <w:rFonts w:ascii="Calibri" w:hAnsi="Calibri"/>
          <w:lang w:val="en-GB"/>
        </w:rPr>
        <w:t xml:space="preserve">, </w:t>
      </w:r>
      <w:r w:rsidR="00260EC4">
        <w:rPr>
          <w:rFonts w:ascii="Calibri" w:hAnsi="Calibri"/>
          <w:lang w:val="en-GB"/>
        </w:rPr>
        <w:t xml:space="preserve">such as in </w:t>
      </w:r>
      <w:r w:rsidR="00260EC4" w:rsidRPr="00260EC4">
        <w:rPr>
          <w:rFonts w:ascii="Calibri" w:hAnsi="Calibri"/>
          <w:lang w:val="en-GB"/>
        </w:rPr>
        <w:t xml:space="preserve">the way </w:t>
      </w:r>
      <w:r w:rsidR="00260EC4">
        <w:rPr>
          <w:rFonts w:ascii="Calibri" w:hAnsi="Calibri"/>
          <w:lang w:val="en-GB"/>
        </w:rPr>
        <w:t xml:space="preserve">that </w:t>
      </w:r>
      <w:r w:rsidR="00260EC4" w:rsidRPr="00260EC4">
        <w:rPr>
          <w:rFonts w:ascii="Calibri" w:hAnsi="Calibri"/>
          <w:lang w:val="en-GB"/>
        </w:rPr>
        <w:t>organising objects script</w:t>
      </w:r>
      <w:r w:rsidR="00260EC4" w:rsidRPr="00260EC4">
        <w:t xml:space="preserve"> </w:t>
      </w:r>
      <w:r w:rsidR="00260EC4">
        <w:rPr>
          <w:rFonts w:ascii="Calibri" w:hAnsi="Calibri"/>
          <w:lang w:val="en-GB"/>
        </w:rPr>
        <w:t xml:space="preserve">socio-sexual and </w:t>
      </w:r>
      <w:r w:rsidR="00260EC4" w:rsidRPr="00260EC4">
        <w:rPr>
          <w:rFonts w:ascii="Calibri" w:hAnsi="Calibri"/>
          <w:lang w:val="en-GB"/>
        </w:rPr>
        <w:t>affective encounters within museums</w:t>
      </w:r>
      <w:r w:rsidR="00E83A08">
        <w:rPr>
          <w:rFonts w:ascii="Calibri" w:hAnsi="Calibri"/>
          <w:lang w:val="en-GB"/>
        </w:rPr>
        <w:t>.</w:t>
      </w:r>
      <w:r w:rsidR="00260EC4" w:rsidRPr="00260EC4">
        <w:rPr>
          <w:rFonts w:ascii="Calibri" w:hAnsi="Calibri"/>
          <w:lang w:val="en-GB"/>
        </w:rPr>
        <w:t xml:space="preserve"> </w:t>
      </w:r>
      <w:r w:rsidR="00097FBF">
        <w:rPr>
          <w:rFonts w:ascii="Calibri" w:hAnsi="Calibri"/>
          <w:lang w:val="en-GB"/>
        </w:rPr>
        <w:t xml:space="preserve">In particular we have drawn attention to the ways in which </w:t>
      </w:r>
      <w:r w:rsidR="00527F11">
        <w:rPr>
          <w:rFonts w:ascii="Calibri" w:hAnsi="Calibri"/>
          <w:lang w:val="en-GB"/>
        </w:rPr>
        <w:t xml:space="preserve">a site-specific auto/ethnographic exploration of </w:t>
      </w:r>
      <w:r w:rsidR="00097FBF">
        <w:rPr>
          <w:rFonts w:ascii="Calibri" w:hAnsi="Calibri"/>
          <w:lang w:val="en-GB"/>
        </w:rPr>
        <w:t xml:space="preserve">coloniality and intimacy at the museum works with the ways in which researchers are </w:t>
      </w:r>
      <w:r w:rsidR="008D59D5" w:rsidRPr="006974E9">
        <w:rPr>
          <w:rFonts w:ascii="Calibri" w:hAnsi="Calibri"/>
          <w:lang w:val="en-GB"/>
        </w:rPr>
        <w:t xml:space="preserve">already called upon to experience them and their assemblies of ‘imperial debris’ through racial logics of citizenship, nationalism, history, </w:t>
      </w:r>
      <w:r w:rsidR="00097FBF">
        <w:rPr>
          <w:rFonts w:ascii="Calibri" w:hAnsi="Calibri"/>
          <w:lang w:val="en-GB"/>
        </w:rPr>
        <w:t xml:space="preserve">and </w:t>
      </w:r>
      <w:r w:rsidR="008D59D5" w:rsidRPr="006974E9">
        <w:rPr>
          <w:rFonts w:ascii="Calibri" w:hAnsi="Calibri"/>
          <w:lang w:val="en-GB"/>
        </w:rPr>
        <w:t xml:space="preserve">geopolitical institutions. </w:t>
      </w:r>
      <w:r w:rsidR="00097FBF">
        <w:rPr>
          <w:rFonts w:ascii="Calibri" w:hAnsi="Calibri"/>
          <w:lang w:val="en-GB"/>
        </w:rPr>
        <w:t>This directs attention to the positionality of the researcher and an entailed ethic</w:t>
      </w:r>
      <w:r w:rsidR="00527F11">
        <w:rPr>
          <w:rFonts w:ascii="Calibri" w:hAnsi="Calibri"/>
          <w:lang w:val="en-GB"/>
        </w:rPr>
        <w:t xml:space="preserve"> in which the inclusions, complicities or exclusions of the researcher are situated within ongoing colonial structures and relations. </w:t>
      </w:r>
      <w:r w:rsidR="00260EC4">
        <w:rPr>
          <w:rFonts w:ascii="Calibri" w:hAnsi="Calibri"/>
          <w:lang w:val="en-GB"/>
        </w:rPr>
        <w:t xml:space="preserve">These issues pertaining to </w:t>
      </w:r>
      <w:r w:rsidR="00260EC4" w:rsidRPr="00260EC4">
        <w:rPr>
          <w:rFonts w:ascii="Calibri" w:hAnsi="Calibri"/>
          <w:lang w:val="en-GB"/>
        </w:rPr>
        <w:t>reflex</w:t>
      </w:r>
      <w:r w:rsidR="00260EC4">
        <w:rPr>
          <w:rFonts w:ascii="Calibri" w:hAnsi="Calibri"/>
          <w:lang w:val="en-GB"/>
        </w:rPr>
        <w:t>ivity, positionality and power speaks more broadly to</w:t>
      </w:r>
      <w:r w:rsidR="00260EC4" w:rsidRPr="00260EC4">
        <w:rPr>
          <w:rFonts w:ascii="Calibri" w:hAnsi="Calibri"/>
          <w:lang w:val="en-GB"/>
        </w:rPr>
        <w:t xml:space="preserve"> </w:t>
      </w:r>
      <w:r w:rsidR="00260EC4" w:rsidRPr="00260EC4">
        <w:rPr>
          <w:rFonts w:ascii="Calibri" w:hAnsi="Calibri"/>
          <w:lang w:val="en-GB"/>
        </w:rPr>
        <w:lastRenderedPageBreak/>
        <w:t>the politics of fieldwork itself.</w:t>
      </w:r>
      <w:r w:rsidR="00260EC4">
        <w:rPr>
          <w:rFonts w:ascii="Calibri" w:hAnsi="Calibri"/>
          <w:lang w:val="en-GB"/>
        </w:rPr>
        <w:t xml:space="preserve"> </w:t>
      </w:r>
      <w:r w:rsidR="00260EC4" w:rsidRPr="00260EC4">
        <w:rPr>
          <w:rFonts w:ascii="Calibri" w:hAnsi="Calibri"/>
          <w:lang w:val="en-GB"/>
        </w:rPr>
        <w:t>Although here we have been focused on the museum as a research site, the questions, sensitivities and strategies we outline here could be applied to other forms of ‘collection’ or archive, and to other assemblies of, and social/political relations with,</w:t>
      </w:r>
      <w:r w:rsidR="00D16048">
        <w:rPr>
          <w:rFonts w:ascii="Calibri" w:hAnsi="Calibri"/>
          <w:lang w:val="en-GB"/>
        </w:rPr>
        <w:t xml:space="preserve"> </w:t>
      </w:r>
      <w:r w:rsidR="00260EC4" w:rsidRPr="00260EC4">
        <w:rPr>
          <w:rFonts w:ascii="Calibri" w:hAnsi="Calibri"/>
          <w:lang w:val="en-GB"/>
        </w:rPr>
        <w:t>objects.</w:t>
      </w:r>
      <w:r w:rsidR="00260EC4">
        <w:rPr>
          <w:rFonts w:ascii="Calibri" w:hAnsi="Calibri"/>
          <w:lang w:val="en-GB"/>
        </w:rPr>
        <w:t xml:space="preserve"> </w:t>
      </w:r>
    </w:p>
    <w:p w14:paraId="6E33221F" w14:textId="77777777" w:rsidR="00980B41" w:rsidRPr="006974E9" w:rsidRDefault="00980B41">
      <w:pPr>
        <w:pStyle w:val="Normal1"/>
        <w:jc w:val="both"/>
        <w:rPr>
          <w:rFonts w:ascii="Calibri" w:hAnsi="Calibri"/>
          <w:lang w:val="en-GB"/>
        </w:rPr>
      </w:pPr>
    </w:p>
    <w:p w14:paraId="3AB0FCB1" w14:textId="7005132A" w:rsidR="00980B41" w:rsidRPr="006974E9" w:rsidRDefault="00980B41" w:rsidP="00260EC4">
      <w:pPr>
        <w:pStyle w:val="Normal1"/>
        <w:jc w:val="both"/>
        <w:rPr>
          <w:rFonts w:ascii="Calibri" w:hAnsi="Calibri"/>
          <w:lang w:val="en-GB"/>
        </w:rPr>
      </w:pPr>
    </w:p>
    <w:p w14:paraId="32DAEED7" w14:textId="77777777" w:rsidR="00980B41" w:rsidRPr="006974E9" w:rsidRDefault="00980B41">
      <w:pPr>
        <w:pStyle w:val="Normal1"/>
        <w:jc w:val="both"/>
        <w:rPr>
          <w:rFonts w:ascii="Calibri" w:hAnsi="Calibri"/>
          <w:lang w:val="en-GB"/>
        </w:rPr>
      </w:pPr>
    </w:p>
    <w:p w14:paraId="14096E19" w14:textId="77777777" w:rsidR="00980B41" w:rsidRPr="006974E9" w:rsidRDefault="00980B41">
      <w:pPr>
        <w:pStyle w:val="Normal1"/>
        <w:jc w:val="both"/>
        <w:rPr>
          <w:rFonts w:ascii="Calibri" w:hAnsi="Calibri"/>
          <w:lang w:val="en-GB"/>
        </w:rPr>
      </w:pPr>
    </w:p>
    <w:p w14:paraId="48D16D34" w14:textId="77777777" w:rsidR="00980B41" w:rsidRPr="006974E9" w:rsidRDefault="00980B41">
      <w:pPr>
        <w:pStyle w:val="Normal1"/>
        <w:jc w:val="both"/>
        <w:rPr>
          <w:rFonts w:ascii="Calibri" w:hAnsi="Calibri"/>
          <w:lang w:val="en-GB"/>
        </w:rPr>
      </w:pPr>
    </w:p>
    <w:p w14:paraId="25573F9B" w14:textId="77777777" w:rsidR="00980B41" w:rsidRPr="006974E9" w:rsidRDefault="00980B41">
      <w:pPr>
        <w:pStyle w:val="Normal1"/>
        <w:jc w:val="both"/>
        <w:rPr>
          <w:rFonts w:ascii="Calibri" w:hAnsi="Calibri"/>
          <w:lang w:val="en-GB"/>
        </w:rPr>
      </w:pPr>
    </w:p>
    <w:p w14:paraId="1F2FDD60" w14:textId="77777777" w:rsidR="00980B41" w:rsidRPr="006974E9" w:rsidRDefault="00980B41">
      <w:pPr>
        <w:pStyle w:val="Normal1"/>
        <w:jc w:val="both"/>
        <w:rPr>
          <w:rFonts w:ascii="Calibri" w:hAnsi="Calibri"/>
          <w:lang w:val="en-GB"/>
        </w:rPr>
      </w:pPr>
    </w:p>
    <w:p w14:paraId="0A4C6AF8" w14:textId="77777777" w:rsidR="00980B41" w:rsidRPr="006974E9" w:rsidRDefault="00980B41">
      <w:pPr>
        <w:pStyle w:val="Normal1"/>
        <w:jc w:val="both"/>
        <w:rPr>
          <w:rFonts w:ascii="Calibri" w:hAnsi="Calibri"/>
          <w:b/>
          <w:lang w:val="en-GB"/>
        </w:rPr>
      </w:pPr>
    </w:p>
    <w:p w14:paraId="30B05D53" w14:textId="77777777" w:rsidR="00980B41" w:rsidRPr="006974E9" w:rsidRDefault="00980B41">
      <w:pPr>
        <w:pStyle w:val="Normal1"/>
        <w:jc w:val="both"/>
        <w:rPr>
          <w:rFonts w:ascii="Calibri" w:hAnsi="Calibri"/>
          <w:b/>
          <w:lang w:val="en-GB"/>
        </w:rPr>
      </w:pPr>
    </w:p>
    <w:p w14:paraId="78F8F996" w14:textId="77777777" w:rsidR="00980B41" w:rsidRPr="006974E9" w:rsidRDefault="00980B41">
      <w:pPr>
        <w:pStyle w:val="Normal1"/>
        <w:jc w:val="both"/>
        <w:rPr>
          <w:rFonts w:ascii="Calibri" w:hAnsi="Calibri"/>
          <w:b/>
          <w:lang w:val="en-GB"/>
        </w:rPr>
      </w:pPr>
    </w:p>
    <w:sectPr w:rsidR="00980B41" w:rsidRPr="006974E9" w:rsidSect="001C70B3">
      <w:footerReference w:type="default" r:id="rId12"/>
      <w:pgSz w:w="11909" w:h="16834"/>
      <w:pgMar w:top="1440" w:right="427"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initials="A">
    <w:p w14:paraId="784590FA" w14:textId="77777777" w:rsidR="0073752B" w:rsidRDefault="0073752B" w:rsidP="00BD6180">
      <w:pPr>
        <w:pStyle w:val="CommentText"/>
      </w:pPr>
      <w:r>
        <w:rPr>
          <w:rStyle w:val="CommentReference"/>
        </w:rPr>
        <w:annotationRef/>
      </w:r>
      <w:r>
        <w:rPr>
          <w:rStyle w:val="CommentReference"/>
        </w:rPr>
        <w:t xml:space="preserve"> Shows </w:t>
      </w:r>
    </w:p>
  </w:comment>
  <w:comment w:id="3" w:author="Author" w:initials="A">
    <w:p w14:paraId="70C1AEFD" w14:textId="51632582" w:rsidR="0073752B" w:rsidRDefault="0073752B">
      <w:pPr>
        <w:pStyle w:val="CommentText"/>
      </w:pPr>
      <w:r>
        <w:rPr>
          <w:rStyle w:val="CommentReference"/>
        </w:rPr>
        <w:annotationRef/>
      </w:r>
    </w:p>
  </w:comment>
  <w:comment w:id="5" w:author="Author" w:initials="A">
    <w:p w14:paraId="1156C30A" w14:textId="77777777" w:rsidR="0073752B" w:rsidRDefault="0073752B" w:rsidP="00E3290B">
      <w:pPr>
        <w:pStyle w:val="CommentText"/>
      </w:pPr>
      <w:r>
        <w:rPr>
          <w:rStyle w:val="CommentReference"/>
        </w:rPr>
        <w:annotationRef/>
      </w:r>
      <w:r>
        <w:rPr>
          <w:rFonts w:ascii="Helvetica" w:hAnsi="Helvetica" w:cs="Helvetica"/>
          <w:color w:val="000000"/>
          <w:sz w:val="26"/>
          <w:szCs w:val="26"/>
          <w:lang w:val="en-US"/>
        </w:rPr>
        <w:t>Before moving to postcolonial theory, can you please expand a little and make clear(er) how the works cited relate to the piece?</w:t>
      </w:r>
    </w:p>
  </w:comment>
  <w:comment w:id="6" w:author="Author" w:initials="A">
    <w:p w14:paraId="30B3A8B1" w14:textId="77777777" w:rsidR="0073752B" w:rsidRPr="00B31162" w:rsidRDefault="0073752B" w:rsidP="00BD61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hAnsi="Helvetica" w:cs="Helvetica"/>
          <w:color w:val="000000"/>
          <w:sz w:val="26"/>
          <w:szCs w:val="26"/>
          <w:lang w:val="en-US"/>
        </w:rPr>
      </w:pPr>
      <w:r>
        <w:rPr>
          <w:rStyle w:val="CommentReference"/>
        </w:rPr>
        <w:annotationRef/>
      </w:r>
      <w:r>
        <w:t xml:space="preserve">Can you perhaps </w:t>
      </w:r>
      <w:r>
        <w:rPr>
          <w:rFonts w:ascii="Helvetica" w:hAnsi="Helvetica" w:cs="Helvetica"/>
          <w:color w:val="000000"/>
          <w:sz w:val="26"/>
          <w:szCs w:val="26"/>
          <w:lang w:val="en-US"/>
        </w:rPr>
        <w:t xml:space="preserve">round up this paragraph by adding a line connecting this to museums more explicitly, to tie it back to the piece? </w:t>
      </w:r>
      <w:r>
        <w:t>Can you show the move by which these sensibilities produce the raced and gendered colonial hierarchies alluded to?</w:t>
      </w:r>
    </w:p>
  </w:comment>
  <w:comment w:id="7" w:author="Author" w:initials="A">
    <w:p w14:paraId="7FDA2C84" w14:textId="28614EB7" w:rsidR="0073752B" w:rsidRDefault="0073752B">
      <w:pPr>
        <w:pStyle w:val="CommentText"/>
      </w:pPr>
      <w:r>
        <w:rPr>
          <w:rStyle w:val="CommentReference"/>
        </w:rPr>
        <w:annotationRef/>
      </w:r>
      <w:r>
        <w:t>Can you provide a slightly more explicit location in feminist reflexivity and intimacy literatures?</w:t>
      </w:r>
    </w:p>
  </w:comment>
  <w:comment w:id="16" w:author="Author" w:initials="A">
    <w:p w14:paraId="61058DC3" w14:textId="08DBB908" w:rsidR="0073752B" w:rsidRDefault="0073752B">
      <w:pPr>
        <w:pStyle w:val="CommentText"/>
      </w:pPr>
      <w:r>
        <w:rPr>
          <w:rStyle w:val="CommentReference"/>
        </w:rPr>
        <w:annotationRef/>
      </w:r>
      <w:r>
        <w:t>Can you expand on how does its sexedness related to genderedness?</w:t>
      </w:r>
    </w:p>
  </w:comment>
  <w:comment w:id="18" w:author="Author" w:initials="A">
    <w:p w14:paraId="3925EA07" w14:textId="77777777" w:rsidR="0073752B" w:rsidRDefault="0073752B" w:rsidP="00D23C3B">
      <w:pPr>
        <w:pStyle w:val="CommentText"/>
      </w:pPr>
      <w:r>
        <w:rPr>
          <w:rStyle w:val="CommentReference"/>
        </w:rPr>
        <w:annotationRef/>
      </w:r>
      <w:r>
        <w:t xml:space="preserve">Can you clarify the use of non-human animals?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4590FA" w15:done="0"/>
  <w15:commentEx w15:paraId="70C1AEFD" w15:paraIdParent="784590FA" w15:done="0"/>
  <w15:commentEx w15:paraId="1156C30A" w15:done="0"/>
  <w15:commentEx w15:paraId="30B3A8B1" w15:done="0"/>
  <w15:commentEx w15:paraId="7FDA2C84" w15:done="0"/>
  <w15:commentEx w15:paraId="61058DC3" w15:done="0"/>
  <w15:commentEx w15:paraId="3925EA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590FA" w16cid:durableId="212B4214"/>
  <w16cid:commentId w16cid:paraId="70C1AEFD" w16cid:durableId="212B4235"/>
  <w16cid:commentId w16cid:paraId="1156C30A" w16cid:durableId="212B4210"/>
  <w16cid:commentId w16cid:paraId="30B3A8B1" w16cid:durableId="212B4212"/>
  <w16cid:commentId w16cid:paraId="7FDA2C84" w16cid:durableId="21118EE6"/>
  <w16cid:commentId w16cid:paraId="61058DC3" w16cid:durableId="21118EF8"/>
  <w16cid:commentId w16cid:paraId="3925EA07" w16cid:durableId="212B3A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1FA67" w14:textId="77777777" w:rsidR="00790CE5" w:rsidRDefault="00790CE5">
      <w:pPr>
        <w:spacing w:line="240" w:lineRule="auto"/>
      </w:pPr>
      <w:r>
        <w:separator/>
      </w:r>
    </w:p>
  </w:endnote>
  <w:endnote w:type="continuationSeparator" w:id="0">
    <w:p w14:paraId="3E8E9110" w14:textId="77777777" w:rsidR="00790CE5" w:rsidRDefault="00790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593791"/>
      <w:docPartObj>
        <w:docPartGallery w:val="Page Numbers (Bottom of Page)"/>
        <w:docPartUnique/>
      </w:docPartObj>
    </w:sdtPr>
    <w:sdtEndPr>
      <w:rPr>
        <w:noProof/>
      </w:rPr>
    </w:sdtEndPr>
    <w:sdtContent>
      <w:p w14:paraId="614BB0E0" w14:textId="6F1D1099" w:rsidR="0073752B" w:rsidRDefault="0073752B">
        <w:pPr>
          <w:pStyle w:val="Footer"/>
        </w:pPr>
        <w:r>
          <w:fldChar w:fldCharType="begin"/>
        </w:r>
        <w:r>
          <w:instrText xml:space="preserve"> PAGE   \* MERGEFORMAT </w:instrText>
        </w:r>
        <w:r>
          <w:fldChar w:fldCharType="separate"/>
        </w:r>
        <w:r>
          <w:rPr>
            <w:noProof/>
          </w:rPr>
          <w:t>20</w:t>
        </w:r>
        <w:r>
          <w:rPr>
            <w:noProof/>
          </w:rPr>
          <w:fldChar w:fldCharType="end"/>
        </w:r>
      </w:p>
    </w:sdtContent>
  </w:sdt>
  <w:p w14:paraId="0042A1F3" w14:textId="77777777" w:rsidR="0073752B" w:rsidRDefault="0073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AE511" w14:textId="77777777" w:rsidR="00790CE5" w:rsidRDefault="00790CE5">
      <w:pPr>
        <w:spacing w:line="240" w:lineRule="auto"/>
      </w:pPr>
      <w:r>
        <w:separator/>
      </w:r>
    </w:p>
  </w:footnote>
  <w:footnote w:type="continuationSeparator" w:id="0">
    <w:p w14:paraId="0A68D310" w14:textId="77777777" w:rsidR="00790CE5" w:rsidRDefault="00790CE5">
      <w:pPr>
        <w:spacing w:line="240" w:lineRule="auto"/>
      </w:pPr>
      <w:r>
        <w:continuationSeparator/>
      </w:r>
    </w:p>
  </w:footnote>
  <w:footnote w:id="1">
    <w:p w14:paraId="4679FD4E" w14:textId="39797913" w:rsidR="0073752B" w:rsidRPr="001C70B3" w:rsidRDefault="0073752B">
      <w:pPr>
        <w:pStyle w:val="FootnoteText"/>
        <w:rPr>
          <w:rFonts w:asciiTheme="majorHAnsi" w:hAnsiTheme="majorHAnsi"/>
          <w:sz w:val="18"/>
          <w:szCs w:val="18"/>
          <w:lang w:val="en-US"/>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 </w:t>
      </w:r>
      <w:r w:rsidRPr="001C70B3">
        <w:rPr>
          <w:rFonts w:asciiTheme="majorHAnsi" w:hAnsiTheme="majorHAnsi"/>
          <w:sz w:val="18"/>
          <w:szCs w:val="18"/>
          <w:lang w:val="en-GB"/>
        </w:rPr>
        <w:t>@REMuseum_Snob</w:t>
      </w:r>
    </w:p>
  </w:footnote>
  <w:footnote w:id="2">
    <w:p w14:paraId="0EAB6FBA" w14:textId="2D308640" w:rsidR="0073752B" w:rsidRPr="001C70B3" w:rsidRDefault="0073752B">
      <w:pPr>
        <w:pStyle w:val="FootnoteText"/>
        <w:rPr>
          <w:lang w:val="en-GB"/>
        </w:rPr>
      </w:pPr>
      <w:r w:rsidRPr="001C70B3">
        <w:rPr>
          <w:rStyle w:val="FootnoteReference"/>
          <w:sz w:val="18"/>
          <w:szCs w:val="18"/>
        </w:rPr>
        <w:footnoteRef/>
      </w:r>
      <w:r w:rsidRPr="001C70B3">
        <w:rPr>
          <w:sz w:val="18"/>
          <w:szCs w:val="18"/>
        </w:rPr>
        <w:t xml:space="preserve"> </w:t>
      </w:r>
      <w:r w:rsidRPr="001C70B3">
        <w:rPr>
          <w:sz w:val="18"/>
          <w:szCs w:val="18"/>
          <w:lang w:val="en-GB"/>
        </w:rPr>
        <w:t>We note the</w:t>
      </w:r>
      <w:r w:rsidR="00B0163A">
        <w:rPr>
          <w:sz w:val="18"/>
          <w:szCs w:val="18"/>
          <w:lang w:val="en-GB"/>
        </w:rPr>
        <w:t xml:space="preserve"> </w:t>
      </w:r>
      <w:r w:rsidRPr="001C70B3">
        <w:rPr>
          <w:sz w:val="18"/>
          <w:szCs w:val="18"/>
          <w:lang w:val="en-GB"/>
        </w:rPr>
        <w:t xml:space="preserve">western centric account of Dogs </w:t>
      </w:r>
      <w:r w:rsidRPr="001C70B3">
        <w:rPr>
          <w:i/>
          <w:iCs/>
          <w:sz w:val="18"/>
          <w:szCs w:val="18"/>
          <w:lang w:val="en-GB"/>
        </w:rPr>
        <w:t>as</w:t>
      </w:r>
      <w:r w:rsidRPr="001C70B3">
        <w:rPr>
          <w:sz w:val="18"/>
          <w:szCs w:val="18"/>
          <w:lang w:val="en-GB"/>
        </w:rPr>
        <w:t xml:space="preserve"> domesticated/family here. This is something we unpack in more detail below.</w:t>
      </w:r>
      <w:r>
        <w:rPr>
          <w:lang w:val="en-GB"/>
        </w:rPr>
        <w:t xml:space="preserve"> </w:t>
      </w:r>
    </w:p>
  </w:footnote>
  <w:footnote w:id="3">
    <w:p w14:paraId="4BF5E1B5" w14:textId="77777777" w:rsidR="0073752B" w:rsidRPr="00204F01" w:rsidRDefault="0073752B" w:rsidP="00551836">
      <w:pPr>
        <w:pStyle w:val="FootnoteText"/>
        <w:rPr>
          <w:rFonts w:asciiTheme="majorHAnsi" w:hAnsiTheme="majorHAnsi"/>
          <w:sz w:val="18"/>
          <w:szCs w:val="18"/>
          <w:lang w:val="en-US"/>
        </w:rPr>
      </w:pPr>
      <w:r w:rsidRPr="00204F01">
        <w:rPr>
          <w:rStyle w:val="FootnoteReference"/>
          <w:rFonts w:asciiTheme="majorHAnsi" w:hAnsiTheme="majorHAnsi"/>
          <w:sz w:val="18"/>
          <w:szCs w:val="18"/>
        </w:rPr>
        <w:footnoteRef/>
      </w:r>
      <w:r w:rsidRPr="00204F01">
        <w:rPr>
          <w:rFonts w:asciiTheme="majorHAnsi" w:hAnsiTheme="majorHAnsi"/>
          <w:sz w:val="18"/>
          <w:szCs w:val="18"/>
          <w:lang w:val="en-US"/>
        </w:rPr>
        <w:t xml:space="preserve"> We elaborate on an ethnographic approach to researching museums l</w:t>
      </w:r>
      <w:r w:rsidRPr="00BA50A1">
        <w:rPr>
          <w:rFonts w:asciiTheme="majorHAnsi" w:hAnsiTheme="majorHAnsi"/>
          <w:sz w:val="18"/>
          <w:szCs w:val="18"/>
          <w:lang w:val="en-US"/>
        </w:rPr>
        <w:t>ater in the paper, but briefly this</w:t>
      </w:r>
      <w:r w:rsidRPr="00204F01">
        <w:rPr>
          <w:rFonts w:asciiTheme="majorHAnsi" w:hAnsiTheme="majorHAnsi"/>
          <w:sz w:val="18"/>
          <w:szCs w:val="18"/>
          <w:lang w:val="en-US"/>
        </w:rPr>
        <w:t xml:space="preserve"> visit to the Royal Engineer</w:t>
      </w:r>
      <w:r w:rsidRPr="00BA50A1">
        <w:rPr>
          <w:rFonts w:asciiTheme="majorHAnsi" w:hAnsiTheme="majorHAnsi"/>
          <w:sz w:val="18"/>
          <w:szCs w:val="18"/>
          <w:lang w:val="en-US"/>
        </w:rPr>
        <w:t xml:space="preserve">s Museum was one of a number </w:t>
      </w:r>
      <w:r w:rsidRPr="00204F01">
        <w:rPr>
          <w:rFonts w:asciiTheme="majorHAnsi" w:hAnsiTheme="majorHAnsi"/>
          <w:sz w:val="18"/>
          <w:szCs w:val="18"/>
          <w:lang w:val="en-US"/>
        </w:rPr>
        <w:t>to military museums around the UK and involved the author immersing themselves in the visitor experience,</w:t>
      </w:r>
      <w:r>
        <w:rPr>
          <w:rFonts w:asciiTheme="majorHAnsi" w:hAnsiTheme="majorHAnsi"/>
          <w:sz w:val="18"/>
          <w:szCs w:val="18"/>
          <w:lang w:val="en-US"/>
        </w:rPr>
        <w:t xml:space="preserve"> observing both themselves (through</w:t>
      </w:r>
      <w:r w:rsidRPr="00BA50A1">
        <w:rPr>
          <w:rFonts w:asciiTheme="majorHAnsi" w:hAnsiTheme="majorHAnsi"/>
          <w:sz w:val="18"/>
          <w:szCs w:val="18"/>
          <w:lang w:val="en-US"/>
        </w:rPr>
        <w:t xml:space="preserve"> a form of authoethnographic encounter</w:t>
      </w:r>
      <w:r>
        <w:rPr>
          <w:rFonts w:asciiTheme="majorHAnsi" w:hAnsiTheme="majorHAnsi"/>
          <w:sz w:val="18"/>
          <w:szCs w:val="18"/>
          <w:lang w:val="en-US"/>
        </w:rPr>
        <w:t>) and other visitors/staff/curators, taking photographs and collecting documents and objects. This approach shares much with that detailed by Audrey Reeves in Audrey Reeves,</w:t>
      </w:r>
      <w:r w:rsidRPr="00806068">
        <w:rPr>
          <w:rFonts w:asciiTheme="majorHAnsi" w:hAnsiTheme="majorHAnsi"/>
          <w:sz w:val="18"/>
          <w:szCs w:val="18"/>
          <w:lang w:val="en-US"/>
        </w:rPr>
        <w:t xml:space="preserve"> ‘Auto-ethnography and the Study of Affect and Emotion in World Politics: Investigating Security Discourses at London’s Imperial War Museum’, in Maéva Clément and Éric Sangar, eds., </w:t>
      </w:r>
      <w:r w:rsidRPr="00204F01">
        <w:rPr>
          <w:rFonts w:asciiTheme="majorHAnsi" w:hAnsiTheme="majorHAnsi"/>
          <w:i/>
          <w:sz w:val="18"/>
          <w:szCs w:val="18"/>
          <w:lang w:val="en-US"/>
        </w:rPr>
        <w:t>Researching Emotions in International Relations: Methodological Perspectives on the Emotional Turn,</w:t>
      </w:r>
      <w:r w:rsidRPr="00806068">
        <w:rPr>
          <w:rFonts w:asciiTheme="majorHAnsi" w:hAnsiTheme="majorHAnsi"/>
          <w:sz w:val="18"/>
          <w:szCs w:val="18"/>
          <w:lang w:val="en-US"/>
        </w:rPr>
        <w:t xml:space="preserve"> </w:t>
      </w:r>
      <w:r>
        <w:rPr>
          <w:rFonts w:asciiTheme="majorHAnsi" w:hAnsiTheme="majorHAnsi"/>
          <w:sz w:val="18"/>
          <w:szCs w:val="18"/>
          <w:lang w:val="en-US"/>
        </w:rPr>
        <w:t xml:space="preserve">(London: </w:t>
      </w:r>
      <w:r w:rsidRPr="00806068">
        <w:rPr>
          <w:rFonts w:asciiTheme="majorHAnsi" w:hAnsiTheme="majorHAnsi"/>
          <w:sz w:val="18"/>
          <w:szCs w:val="18"/>
          <w:lang w:val="en-US"/>
        </w:rPr>
        <w:t>Palgrave Macmillan</w:t>
      </w:r>
      <w:r>
        <w:rPr>
          <w:rFonts w:asciiTheme="majorHAnsi" w:hAnsiTheme="majorHAnsi"/>
          <w:sz w:val="18"/>
          <w:szCs w:val="18"/>
          <w:lang w:val="en-US"/>
        </w:rPr>
        <w:t>, 2018)</w:t>
      </w:r>
      <w:r w:rsidRPr="00806068">
        <w:rPr>
          <w:rFonts w:asciiTheme="majorHAnsi" w:hAnsiTheme="majorHAnsi"/>
          <w:sz w:val="18"/>
          <w:szCs w:val="18"/>
          <w:lang w:val="en-US"/>
        </w:rPr>
        <w:t>.</w:t>
      </w:r>
    </w:p>
  </w:footnote>
  <w:footnote w:id="4">
    <w:p w14:paraId="612B158E" w14:textId="57F39C1A" w:rsidR="0073752B" w:rsidRPr="001C70B3" w:rsidRDefault="0073752B">
      <w:pPr>
        <w:pStyle w:val="FootnoteText"/>
        <w:rPr>
          <w:rFonts w:asciiTheme="majorHAnsi" w:hAnsiTheme="majorHAnsi" w:cstheme="majorHAnsi"/>
          <w:sz w:val="18"/>
          <w:szCs w:val="18"/>
          <w:lang w:val="en-GB"/>
        </w:rPr>
      </w:pPr>
      <w:r w:rsidRPr="001C70B3">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Anibal Quijano, ‘</w:t>
      </w:r>
      <w:r w:rsidRPr="00C12687">
        <w:rPr>
          <w:rFonts w:asciiTheme="majorHAnsi" w:hAnsiTheme="majorHAnsi" w:cstheme="majorHAnsi"/>
          <w:sz w:val="18"/>
          <w:szCs w:val="18"/>
        </w:rPr>
        <w:t>Coloniality of power and</w:t>
      </w:r>
      <w:r>
        <w:rPr>
          <w:rFonts w:asciiTheme="majorHAnsi" w:hAnsiTheme="majorHAnsi" w:cstheme="majorHAnsi"/>
          <w:sz w:val="18"/>
          <w:szCs w:val="18"/>
        </w:rPr>
        <w:t xml:space="preserve"> Eurocentrism in Latin America,’</w:t>
      </w:r>
      <w:r w:rsidRPr="00C12687">
        <w:rPr>
          <w:rFonts w:asciiTheme="majorHAnsi" w:hAnsiTheme="majorHAnsi" w:cstheme="majorHAnsi"/>
          <w:sz w:val="18"/>
          <w:szCs w:val="18"/>
        </w:rPr>
        <w:t xml:space="preserve"> </w:t>
      </w:r>
      <w:r w:rsidRPr="001C70B3">
        <w:rPr>
          <w:rFonts w:asciiTheme="majorHAnsi" w:hAnsiTheme="majorHAnsi" w:cstheme="majorHAnsi"/>
          <w:i/>
          <w:iCs/>
          <w:sz w:val="18"/>
          <w:szCs w:val="18"/>
        </w:rPr>
        <w:t>International Sociology</w:t>
      </w:r>
      <w:r>
        <w:rPr>
          <w:rFonts w:asciiTheme="majorHAnsi" w:hAnsiTheme="majorHAnsi" w:cstheme="majorHAnsi"/>
          <w:sz w:val="18"/>
          <w:szCs w:val="18"/>
        </w:rPr>
        <w:t xml:space="preserve"> 15, no. 2 (2000): 215-232, </w:t>
      </w:r>
      <w:r w:rsidRPr="00C12687">
        <w:rPr>
          <w:rFonts w:asciiTheme="majorHAnsi" w:hAnsiTheme="majorHAnsi" w:cstheme="majorHAnsi"/>
          <w:sz w:val="18"/>
          <w:szCs w:val="18"/>
        </w:rPr>
        <w:t xml:space="preserve">218; </w:t>
      </w:r>
      <w:r>
        <w:rPr>
          <w:rFonts w:asciiTheme="majorHAnsi" w:hAnsiTheme="majorHAnsi" w:cstheme="majorHAnsi"/>
          <w:sz w:val="18"/>
          <w:szCs w:val="18"/>
        </w:rPr>
        <w:t xml:space="preserve">Walter Mignolo  </w:t>
      </w:r>
      <w:r w:rsidRPr="00C12687">
        <w:rPr>
          <w:rFonts w:asciiTheme="majorHAnsi" w:hAnsiTheme="majorHAnsi" w:cstheme="majorHAnsi"/>
          <w:sz w:val="18"/>
          <w:szCs w:val="18"/>
        </w:rPr>
        <w:t xml:space="preserve">‘Delinking: The Rhetoric of modernity, the logic of coloniality and the grammar of de-coloniality,’ </w:t>
      </w:r>
      <w:r w:rsidRPr="001C70B3">
        <w:rPr>
          <w:rFonts w:asciiTheme="majorHAnsi" w:hAnsiTheme="majorHAnsi" w:cstheme="majorHAnsi"/>
          <w:i/>
          <w:iCs/>
          <w:sz w:val="18"/>
          <w:szCs w:val="18"/>
        </w:rPr>
        <w:t>Cultural Studies</w:t>
      </w:r>
      <w:r w:rsidRPr="00C12687">
        <w:rPr>
          <w:rFonts w:asciiTheme="majorHAnsi" w:hAnsiTheme="majorHAnsi" w:cstheme="majorHAnsi"/>
          <w:sz w:val="18"/>
          <w:szCs w:val="18"/>
        </w:rPr>
        <w:t>, 21 (2) (2007): 449-514.</w:t>
      </w:r>
    </w:p>
  </w:footnote>
  <w:footnote w:id="5">
    <w:p w14:paraId="6836675F" w14:textId="480C4C2F" w:rsidR="0073752B" w:rsidRPr="0006771E" w:rsidRDefault="0073752B">
      <w:pPr>
        <w:pStyle w:val="Normal1"/>
        <w:spacing w:line="240" w:lineRule="auto"/>
        <w:rPr>
          <w:rFonts w:asciiTheme="majorHAnsi" w:hAnsiTheme="majorHAnsi"/>
          <w:i/>
          <w:sz w:val="18"/>
          <w:szCs w:val="18"/>
        </w:rPr>
      </w:pPr>
      <w:r w:rsidRPr="0006771E">
        <w:rPr>
          <w:rFonts w:asciiTheme="majorHAnsi" w:hAnsiTheme="majorHAnsi"/>
          <w:sz w:val="18"/>
          <w:szCs w:val="18"/>
          <w:vertAlign w:val="superscript"/>
        </w:rPr>
        <w:footnoteRef/>
      </w:r>
      <w:r w:rsidRPr="0006771E">
        <w:rPr>
          <w:rFonts w:asciiTheme="majorHAnsi" w:hAnsiTheme="majorHAnsi"/>
          <w:sz w:val="18"/>
          <w:szCs w:val="18"/>
        </w:rPr>
        <w:t xml:space="preserve"> </w:t>
      </w:r>
      <w:r>
        <w:rPr>
          <w:rFonts w:asciiTheme="majorHAnsi" w:hAnsiTheme="majorHAnsi"/>
          <w:sz w:val="18"/>
          <w:szCs w:val="18"/>
        </w:rPr>
        <w:t xml:space="preserve">Debbie </w:t>
      </w:r>
      <w:r w:rsidRPr="0006771E">
        <w:rPr>
          <w:rFonts w:asciiTheme="majorHAnsi" w:hAnsiTheme="majorHAnsi"/>
          <w:sz w:val="18"/>
          <w:szCs w:val="18"/>
        </w:rPr>
        <w:t>Lisle, ‘Rejuv</w:t>
      </w:r>
      <w:r>
        <w:rPr>
          <w:rFonts w:asciiTheme="majorHAnsi" w:hAnsiTheme="majorHAnsi"/>
          <w:sz w:val="18"/>
          <w:szCs w:val="18"/>
        </w:rPr>
        <w:t>e</w:t>
      </w:r>
      <w:r w:rsidRPr="0006771E">
        <w:rPr>
          <w:rFonts w:asciiTheme="majorHAnsi" w:hAnsiTheme="majorHAnsi"/>
          <w:sz w:val="18"/>
          <w:szCs w:val="18"/>
        </w:rPr>
        <w:t>nating method,’</w:t>
      </w:r>
      <w:r w:rsidRPr="0006771E">
        <w:rPr>
          <w:rFonts w:asciiTheme="majorHAnsi" w:hAnsiTheme="majorHAnsi"/>
          <w:i/>
          <w:sz w:val="18"/>
          <w:szCs w:val="18"/>
        </w:rPr>
        <w:t xml:space="preserve"> Critical Studies on Security </w:t>
      </w:r>
      <w:r w:rsidRPr="001C70B3">
        <w:rPr>
          <w:rFonts w:asciiTheme="majorHAnsi" w:hAnsiTheme="majorHAnsi"/>
          <w:sz w:val="18"/>
          <w:szCs w:val="18"/>
        </w:rPr>
        <w:t>2</w:t>
      </w:r>
      <w:r w:rsidRPr="0006771E">
        <w:rPr>
          <w:rFonts w:asciiTheme="majorHAnsi" w:hAnsiTheme="majorHAnsi"/>
          <w:i/>
          <w:sz w:val="18"/>
          <w:szCs w:val="18"/>
        </w:rPr>
        <w:t xml:space="preserve">, </w:t>
      </w:r>
      <w:r w:rsidRPr="0006771E">
        <w:rPr>
          <w:rFonts w:asciiTheme="majorHAnsi" w:hAnsiTheme="majorHAnsi"/>
          <w:sz w:val="18"/>
          <w:szCs w:val="18"/>
        </w:rPr>
        <w:t>no.3 (2014)</w:t>
      </w:r>
      <w:r>
        <w:rPr>
          <w:rFonts w:asciiTheme="majorHAnsi" w:hAnsiTheme="majorHAnsi"/>
          <w:sz w:val="18"/>
          <w:szCs w:val="18"/>
        </w:rPr>
        <w:t>:</w:t>
      </w:r>
      <w:r w:rsidRPr="0006771E">
        <w:rPr>
          <w:rFonts w:asciiTheme="majorHAnsi" w:hAnsiTheme="majorHAnsi"/>
          <w:sz w:val="18"/>
          <w:szCs w:val="18"/>
        </w:rPr>
        <w:t xml:space="preserve"> </w:t>
      </w:r>
      <w:r>
        <w:rPr>
          <w:rFonts w:asciiTheme="majorHAnsi" w:hAnsiTheme="majorHAnsi"/>
          <w:sz w:val="18"/>
          <w:szCs w:val="18"/>
        </w:rPr>
        <w:t>370-</w:t>
      </w:r>
      <w:r w:rsidRPr="0006771E">
        <w:rPr>
          <w:rFonts w:asciiTheme="majorHAnsi" w:hAnsiTheme="majorHAnsi"/>
          <w:sz w:val="18"/>
          <w:szCs w:val="18"/>
        </w:rPr>
        <w:t>372</w:t>
      </w:r>
    </w:p>
  </w:footnote>
  <w:footnote w:id="6">
    <w:p w14:paraId="0A28A64B" w14:textId="3DB511D0" w:rsidR="0073752B" w:rsidRPr="0006771E" w:rsidRDefault="0073752B" w:rsidP="00221A00">
      <w:pPr>
        <w:pStyle w:val="Normal1"/>
        <w:jc w:val="both"/>
        <w:rPr>
          <w:rFonts w:asciiTheme="majorHAnsi" w:hAnsiTheme="majorHAnsi"/>
          <w:sz w:val="18"/>
          <w:szCs w:val="18"/>
        </w:rPr>
      </w:pPr>
      <w:r w:rsidRPr="0006771E">
        <w:rPr>
          <w:rFonts w:asciiTheme="majorHAnsi" w:hAnsiTheme="majorHAnsi"/>
          <w:sz w:val="18"/>
          <w:szCs w:val="18"/>
          <w:vertAlign w:val="superscript"/>
        </w:rPr>
        <w:footnoteRef/>
      </w:r>
      <w:r w:rsidRPr="0006771E">
        <w:rPr>
          <w:rFonts w:asciiTheme="majorHAnsi" w:hAnsiTheme="majorHAnsi"/>
          <w:sz w:val="18"/>
          <w:szCs w:val="18"/>
        </w:rPr>
        <w:t xml:space="preserve"> </w:t>
      </w:r>
      <w:r>
        <w:rPr>
          <w:rFonts w:asciiTheme="majorHAnsi" w:hAnsiTheme="majorHAnsi"/>
          <w:sz w:val="18"/>
          <w:szCs w:val="18"/>
        </w:rPr>
        <w:t>See, for example,</w:t>
      </w:r>
      <w:r w:rsidRPr="0006771E">
        <w:rPr>
          <w:rFonts w:asciiTheme="majorHAnsi" w:hAnsiTheme="majorHAnsi"/>
          <w:sz w:val="18"/>
          <w:szCs w:val="18"/>
        </w:rPr>
        <w:t xml:space="preserve"> </w:t>
      </w:r>
      <w:r>
        <w:rPr>
          <w:rFonts w:asciiTheme="majorHAnsi" w:hAnsiTheme="majorHAnsi"/>
          <w:sz w:val="18"/>
          <w:szCs w:val="18"/>
        </w:rPr>
        <w:t xml:space="preserve">Christine </w:t>
      </w:r>
      <w:r w:rsidRPr="0006771E">
        <w:rPr>
          <w:rFonts w:asciiTheme="majorHAnsi" w:hAnsiTheme="majorHAnsi"/>
          <w:sz w:val="18"/>
          <w:szCs w:val="18"/>
        </w:rPr>
        <w:t xml:space="preserve">Sylvester, </w:t>
      </w:r>
      <w:r w:rsidRPr="001C70B3">
        <w:rPr>
          <w:rFonts w:asciiTheme="majorHAnsi" w:hAnsiTheme="majorHAnsi"/>
          <w:i/>
          <w:sz w:val="18"/>
          <w:szCs w:val="18"/>
        </w:rPr>
        <w:t>Art/Museums: International Relations Where We Least Expect It</w:t>
      </w:r>
      <w:r w:rsidRPr="0006771E">
        <w:rPr>
          <w:rFonts w:asciiTheme="majorHAnsi" w:hAnsiTheme="majorHAnsi"/>
          <w:sz w:val="18"/>
          <w:szCs w:val="18"/>
        </w:rPr>
        <w:t xml:space="preserve"> (London: Paradigm, 2009);</w:t>
      </w:r>
      <w:r>
        <w:rPr>
          <w:rFonts w:asciiTheme="majorHAnsi" w:hAnsiTheme="majorHAnsi"/>
          <w:sz w:val="18"/>
          <w:szCs w:val="18"/>
        </w:rPr>
        <w:t xml:space="preserve"> Debbie</w:t>
      </w:r>
      <w:r w:rsidRPr="0006771E">
        <w:rPr>
          <w:rFonts w:asciiTheme="majorHAnsi" w:hAnsiTheme="majorHAnsi"/>
          <w:sz w:val="18"/>
          <w:szCs w:val="18"/>
        </w:rPr>
        <w:t xml:space="preserve"> Lisle, </w:t>
      </w:r>
      <w:r w:rsidRPr="0006771E">
        <w:rPr>
          <w:rFonts w:asciiTheme="majorHAnsi" w:hAnsiTheme="majorHAnsi"/>
          <w:i/>
          <w:sz w:val="18"/>
          <w:szCs w:val="18"/>
        </w:rPr>
        <w:t xml:space="preserve">Holidays in the Danger Zone: Entanglements of War and Tourism </w:t>
      </w:r>
      <w:r w:rsidRPr="0006771E">
        <w:rPr>
          <w:rFonts w:asciiTheme="majorHAnsi" w:hAnsiTheme="majorHAnsi"/>
          <w:sz w:val="18"/>
          <w:szCs w:val="18"/>
        </w:rPr>
        <w:t>(Minneapolis: University of Minnesota Press</w:t>
      </w:r>
      <w:r>
        <w:rPr>
          <w:rFonts w:asciiTheme="majorHAnsi" w:hAnsiTheme="majorHAnsi"/>
          <w:sz w:val="18"/>
          <w:szCs w:val="18"/>
        </w:rPr>
        <w:t>, 2016</w:t>
      </w:r>
      <w:r w:rsidRPr="0006771E">
        <w:rPr>
          <w:rFonts w:asciiTheme="majorHAnsi" w:hAnsiTheme="majorHAnsi"/>
          <w:sz w:val="18"/>
          <w:szCs w:val="18"/>
        </w:rPr>
        <w:t xml:space="preserve">); </w:t>
      </w:r>
      <w:r>
        <w:rPr>
          <w:rFonts w:asciiTheme="majorHAnsi" w:hAnsiTheme="majorHAnsi"/>
          <w:sz w:val="18"/>
          <w:szCs w:val="18"/>
        </w:rPr>
        <w:t xml:space="preserve">Gail Dexter </w:t>
      </w:r>
      <w:r w:rsidRPr="0006771E">
        <w:rPr>
          <w:rFonts w:asciiTheme="majorHAnsi" w:hAnsiTheme="majorHAnsi"/>
          <w:sz w:val="18"/>
          <w:szCs w:val="18"/>
        </w:rPr>
        <w:t xml:space="preserve">Lord and </w:t>
      </w:r>
      <w:r>
        <w:rPr>
          <w:rFonts w:asciiTheme="majorHAnsi" w:hAnsiTheme="majorHAnsi"/>
          <w:sz w:val="18"/>
          <w:szCs w:val="18"/>
        </w:rPr>
        <w:t xml:space="preserve">Ngaire </w:t>
      </w:r>
      <w:r w:rsidRPr="0006771E">
        <w:rPr>
          <w:rFonts w:asciiTheme="majorHAnsi" w:hAnsiTheme="majorHAnsi"/>
          <w:sz w:val="18"/>
          <w:szCs w:val="18"/>
        </w:rPr>
        <w:t xml:space="preserve">Blankenberg, </w:t>
      </w:r>
      <w:r w:rsidRPr="0006771E">
        <w:rPr>
          <w:rFonts w:asciiTheme="majorHAnsi" w:hAnsiTheme="majorHAnsi"/>
          <w:i/>
          <w:sz w:val="18"/>
          <w:szCs w:val="18"/>
        </w:rPr>
        <w:t>Cities, Museums and Soft power</w:t>
      </w:r>
      <w:r>
        <w:rPr>
          <w:rFonts w:asciiTheme="majorHAnsi" w:hAnsiTheme="majorHAnsi"/>
          <w:sz w:val="18"/>
          <w:szCs w:val="18"/>
        </w:rPr>
        <w:t xml:space="preserve"> (Lanham, MD: </w:t>
      </w:r>
      <w:r w:rsidRPr="0006771E">
        <w:rPr>
          <w:rFonts w:asciiTheme="majorHAnsi" w:hAnsiTheme="majorHAnsi"/>
          <w:sz w:val="18"/>
          <w:szCs w:val="18"/>
        </w:rPr>
        <w:t>Rowman &amp; Littlefield</w:t>
      </w:r>
      <w:r>
        <w:rPr>
          <w:rFonts w:asciiTheme="majorHAnsi" w:hAnsiTheme="majorHAnsi"/>
          <w:sz w:val="18"/>
          <w:szCs w:val="18"/>
        </w:rPr>
        <w:t>, 2015)</w:t>
      </w:r>
      <w:r w:rsidRPr="0006771E">
        <w:rPr>
          <w:rFonts w:asciiTheme="majorHAnsi" w:hAnsiTheme="majorHAnsi"/>
          <w:sz w:val="18"/>
          <w:szCs w:val="18"/>
        </w:rPr>
        <w:t xml:space="preserve">; </w:t>
      </w:r>
      <w:r>
        <w:rPr>
          <w:rFonts w:asciiTheme="majorHAnsi" w:hAnsiTheme="majorHAnsi"/>
          <w:sz w:val="18"/>
          <w:szCs w:val="18"/>
        </w:rPr>
        <w:t xml:space="preserve">Yunci </w:t>
      </w:r>
      <w:r w:rsidRPr="0006771E">
        <w:rPr>
          <w:rFonts w:asciiTheme="majorHAnsi" w:hAnsiTheme="majorHAnsi"/>
          <w:sz w:val="18"/>
          <w:szCs w:val="18"/>
        </w:rPr>
        <w:t xml:space="preserve">Cai, ‘The art of museum diplomacy: The Singapore–France cultural collaboration in perspective,’ </w:t>
      </w:r>
      <w:r w:rsidRPr="0006771E">
        <w:rPr>
          <w:rFonts w:asciiTheme="majorHAnsi" w:hAnsiTheme="majorHAnsi"/>
          <w:i/>
          <w:sz w:val="18"/>
          <w:szCs w:val="18"/>
        </w:rPr>
        <w:t>International Journal of Politics, Culture, and Society</w:t>
      </w:r>
      <w:r w:rsidRPr="0006771E">
        <w:rPr>
          <w:rFonts w:asciiTheme="majorHAnsi" w:hAnsiTheme="majorHAnsi"/>
          <w:sz w:val="18"/>
          <w:szCs w:val="18"/>
        </w:rPr>
        <w:t xml:space="preserve"> </w:t>
      </w:r>
      <w:r w:rsidRPr="001C70B3">
        <w:rPr>
          <w:rFonts w:asciiTheme="majorHAnsi" w:hAnsiTheme="majorHAnsi"/>
          <w:sz w:val="18"/>
          <w:szCs w:val="18"/>
        </w:rPr>
        <w:t>26</w:t>
      </w:r>
      <w:r w:rsidRPr="0006771E">
        <w:rPr>
          <w:rFonts w:asciiTheme="majorHAnsi" w:hAnsiTheme="majorHAnsi"/>
          <w:i/>
          <w:sz w:val="18"/>
          <w:szCs w:val="18"/>
        </w:rPr>
        <w:t>,</w:t>
      </w:r>
      <w:r w:rsidRPr="0006771E">
        <w:rPr>
          <w:rFonts w:asciiTheme="majorHAnsi" w:hAnsiTheme="majorHAnsi"/>
          <w:sz w:val="18"/>
          <w:szCs w:val="18"/>
        </w:rPr>
        <w:t xml:space="preserve"> no.2 (2013): 127-144; </w:t>
      </w:r>
      <w:r>
        <w:rPr>
          <w:rFonts w:asciiTheme="majorHAnsi" w:hAnsiTheme="majorHAnsi"/>
          <w:sz w:val="18"/>
          <w:szCs w:val="18"/>
        </w:rPr>
        <w:t xml:space="preserve">Audrey </w:t>
      </w:r>
      <w:r w:rsidRPr="0006771E">
        <w:rPr>
          <w:rFonts w:asciiTheme="majorHAnsi" w:hAnsiTheme="majorHAnsi"/>
          <w:sz w:val="18"/>
          <w:szCs w:val="18"/>
          <w:highlight w:val="white"/>
        </w:rPr>
        <w:t xml:space="preserve">Reeves, ‘Mobilising bodies, narrating security: tourist choreographies at Jerusalem’s Holocaust History Museum,’ </w:t>
      </w:r>
      <w:r w:rsidRPr="0006771E">
        <w:rPr>
          <w:rFonts w:asciiTheme="majorHAnsi" w:hAnsiTheme="majorHAnsi"/>
          <w:i/>
          <w:sz w:val="18"/>
          <w:szCs w:val="18"/>
          <w:highlight w:val="white"/>
        </w:rPr>
        <w:t>Mobilities</w:t>
      </w:r>
      <w:r w:rsidRPr="0006771E">
        <w:rPr>
          <w:rFonts w:asciiTheme="majorHAnsi" w:hAnsiTheme="majorHAnsi"/>
          <w:sz w:val="18"/>
          <w:szCs w:val="18"/>
          <w:highlight w:val="white"/>
        </w:rPr>
        <w:t xml:space="preserve"> 13, no. 2 (2018): 216-230; </w:t>
      </w:r>
      <w:r>
        <w:rPr>
          <w:rFonts w:asciiTheme="majorHAnsi" w:hAnsiTheme="majorHAnsi"/>
          <w:sz w:val="18"/>
          <w:szCs w:val="18"/>
          <w:highlight w:val="white"/>
        </w:rPr>
        <w:t xml:space="preserve">Julia </w:t>
      </w:r>
      <w:r w:rsidRPr="0006771E">
        <w:rPr>
          <w:rFonts w:asciiTheme="majorHAnsi" w:hAnsiTheme="majorHAnsi"/>
          <w:sz w:val="18"/>
          <w:szCs w:val="18"/>
          <w:highlight w:val="white"/>
        </w:rPr>
        <w:t xml:space="preserve">Welland, ‘Violence and the contemporary soldiering body’ </w:t>
      </w:r>
      <w:r w:rsidRPr="0006771E">
        <w:rPr>
          <w:rFonts w:asciiTheme="majorHAnsi" w:hAnsiTheme="majorHAnsi"/>
          <w:i/>
          <w:sz w:val="18"/>
          <w:szCs w:val="18"/>
          <w:highlight w:val="white"/>
        </w:rPr>
        <w:t>Security Dialogue</w:t>
      </w:r>
      <w:r w:rsidRPr="0006771E">
        <w:rPr>
          <w:rFonts w:asciiTheme="majorHAnsi" w:hAnsiTheme="majorHAnsi"/>
          <w:sz w:val="18"/>
          <w:szCs w:val="18"/>
          <w:highlight w:val="white"/>
        </w:rPr>
        <w:t xml:space="preserve">, 48, no. 6 (2017): 524–540; </w:t>
      </w:r>
      <w:r>
        <w:rPr>
          <w:rFonts w:asciiTheme="majorHAnsi" w:hAnsiTheme="majorHAnsi"/>
          <w:sz w:val="18"/>
          <w:szCs w:val="18"/>
          <w:highlight w:val="white"/>
        </w:rPr>
        <w:t xml:space="preserve">Elisa </w:t>
      </w:r>
      <w:r w:rsidRPr="0006771E">
        <w:rPr>
          <w:rFonts w:asciiTheme="majorHAnsi" w:hAnsiTheme="majorHAnsi"/>
          <w:sz w:val="18"/>
          <w:szCs w:val="18"/>
          <w:highlight w:val="white"/>
        </w:rPr>
        <w:t xml:space="preserve">Wynne-Hughes, </w:t>
      </w:r>
      <w:r>
        <w:rPr>
          <w:rFonts w:asciiTheme="majorHAnsi" w:hAnsiTheme="majorHAnsi"/>
          <w:sz w:val="18"/>
          <w:szCs w:val="18"/>
          <w:highlight w:val="white"/>
        </w:rPr>
        <w:t>‘</w:t>
      </w:r>
      <w:r w:rsidRPr="0006771E">
        <w:rPr>
          <w:rFonts w:asciiTheme="majorHAnsi" w:hAnsiTheme="majorHAnsi"/>
          <w:sz w:val="18"/>
          <w:szCs w:val="18"/>
          <w:highlight w:val="white"/>
        </w:rPr>
        <w:t>Governing through garbage-city tourism: Producing international neoliberal subjects</w:t>
      </w:r>
      <w:r>
        <w:rPr>
          <w:rFonts w:asciiTheme="majorHAnsi" w:hAnsiTheme="majorHAnsi"/>
          <w:sz w:val="18"/>
          <w:szCs w:val="18"/>
          <w:highlight w:val="white"/>
        </w:rPr>
        <w:t>’</w:t>
      </w:r>
      <w:r w:rsidRPr="0006771E">
        <w:rPr>
          <w:rFonts w:asciiTheme="majorHAnsi" w:hAnsiTheme="majorHAnsi"/>
          <w:sz w:val="18"/>
          <w:szCs w:val="18"/>
          <w:highlight w:val="white"/>
        </w:rPr>
        <w:t xml:space="preserve">. </w:t>
      </w:r>
      <w:r w:rsidRPr="0006771E">
        <w:rPr>
          <w:rFonts w:asciiTheme="majorHAnsi" w:hAnsiTheme="majorHAnsi"/>
          <w:i/>
          <w:sz w:val="18"/>
          <w:szCs w:val="18"/>
          <w:highlight w:val="white"/>
        </w:rPr>
        <w:t>Interventions: International Journal of Postcolonial Studies</w:t>
      </w:r>
      <w:r w:rsidRPr="0006771E">
        <w:rPr>
          <w:rFonts w:asciiTheme="majorHAnsi" w:hAnsiTheme="majorHAnsi"/>
          <w:sz w:val="18"/>
          <w:szCs w:val="18"/>
          <w:highlight w:val="white"/>
        </w:rPr>
        <w:t xml:space="preserve"> 17, no. 6 (2015): 839-852. </w:t>
      </w:r>
    </w:p>
  </w:footnote>
  <w:footnote w:id="7">
    <w:p w14:paraId="30637263" w14:textId="77777777" w:rsidR="0073752B" w:rsidRDefault="0073752B"/>
  </w:footnote>
  <w:footnote w:id="8">
    <w:p w14:paraId="507A8C07" w14:textId="715B2190" w:rsidR="0073752B" w:rsidRDefault="0073752B" w:rsidP="00680BE5">
      <w:pPr>
        <w:pStyle w:val="Normal1"/>
        <w:rPr>
          <w:sz w:val="20"/>
          <w:szCs w:val="20"/>
        </w:rPr>
      </w:pPr>
      <w:r w:rsidRPr="0006771E">
        <w:rPr>
          <w:rFonts w:asciiTheme="majorHAnsi" w:hAnsiTheme="majorHAnsi"/>
          <w:sz w:val="18"/>
          <w:szCs w:val="18"/>
          <w:vertAlign w:val="superscript"/>
        </w:rPr>
        <w:footnoteRef/>
      </w:r>
      <w:r w:rsidRPr="0006771E">
        <w:rPr>
          <w:rFonts w:asciiTheme="majorHAnsi" w:hAnsiTheme="majorHAnsi"/>
          <w:sz w:val="18"/>
          <w:szCs w:val="18"/>
        </w:rPr>
        <w:t xml:space="preserve"> </w:t>
      </w:r>
      <w:r>
        <w:rPr>
          <w:rFonts w:asciiTheme="majorHAnsi" w:hAnsiTheme="majorHAnsi"/>
          <w:sz w:val="18"/>
          <w:szCs w:val="18"/>
        </w:rPr>
        <w:t xml:space="preserve">Whilst there has been little in the way of a concerted engagement with questions of method in relation to museums in IR an important recent exception is </w:t>
      </w:r>
      <w:r>
        <w:rPr>
          <w:rFonts w:asciiTheme="majorHAnsi" w:hAnsiTheme="majorHAnsi"/>
          <w:sz w:val="18"/>
          <w:szCs w:val="18"/>
          <w:lang w:val="en-US"/>
        </w:rPr>
        <w:t xml:space="preserve">Reeves, </w:t>
      </w:r>
      <w:r w:rsidRPr="00806068">
        <w:rPr>
          <w:rFonts w:asciiTheme="majorHAnsi" w:hAnsiTheme="majorHAnsi"/>
          <w:sz w:val="18"/>
          <w:szCs w:val="18"/>
          <w:lang w:val="en-US"/>
        </w:rPr>
        <w:t>‘Auto-ethnography and the Study of Affect and Emotion in World Politics: Investigating Security Discourses at London’s Imperial War Museum’</w:t>
      </w:r>
      <w:r>
        <w:rPr>
          <w:rFonts w:asciiTheme="majorHAnsi" w:hAnsiTheme="majorHAnsi"/>
          <w:sz w:val="18"/>
          <w:szCs w:val="18"/>
          <w:lang w:val="en-US"/>
        </w:rPr>
        <w:t xml:space="preserve">. </w:t>
      </w:r>
      <w:r>
        <w:rPr>
          <w:rFonts w:asciiTheme="majorHAnsi" w:hAnsiTheme="majorHAnsi"/>
          <w:sz w:val="18"/>
          <w:szCs w:val="18"/>
        </w:rPr>
        <w:t>The question of a methodological approach to museums has been taken up</w:t>
      </w:r>
      <w:r w:rsidRPr="0006771E">
        <w:rPr>
          <w:rFonts w:asciiTheme="majorHAnsi" w:hAnsiTheme="majorHAnsi"/>
          <w:sz w:val="18"/>
          <w:szCs w:val="18"/>
        </w:rPr>
        <w:t xml:space="preserve"> in Museum Studies</w:t>
      </w:r>
      <w:r>
        <w:rPr>
          <w:rFonts w:asciiTheme="majorHAnsi" w:hAnsiTheme="majorHAnsi"/>
          <w:sz w:val="18"/>
          <w:szCs w:val="18"/>
        </w:rPr>
        <w:t xml:space="preserve"> but this </w:t>
      </w:r>
      <w:r w:rsidRPr="0006771E">
        <w:rPr>
          <w:rFonts w:asciiTheme="majorHAnsi" w:hAnsiTheme="majorHAnsi"/>
          <w:sz w:val="18"/>
          <w:szCs w:val="18"/>
        </w:rPr>
        <w:t xml:space="preserve">this has not been orientated towards questions of the international, geopolitics, warfare, violence which are central to IR. See </w:t>
      </w:r>
      <w:r>
        <w:rPr>
          <w:rFonts w:asciiTheme="majorHAnsi" w:hAnsiTheme="majorHAnsi"/>
          <w:sz w:val="18"/>
          <w:szCs w:val="18"/>
        </w:rPr>
        <w:t xml:space="preserve">Sharon </w:t>
      </w:r>
      <w:r w:rsidRPr="0006771E">
        <w:rPr>
          <w:rFonts w:asciiTheme="majorHAnsi" w:hAnsiTheme="majorHAnsi"/>
          <w:sz w:val="18"/>
          <w:szCs w:val="18"/>
        </w:rPr>
        <w:t xml:space="preserve">MacDonald, </w:t>
      </w:r>
      <w:r w:rsidRPr="00204F01">
        <w:rPr>
          <w:rFonts w:asciiTheme="majorHAnsi" w:hAnsiTheme="majorHAnsi"/>
          <w:i/>
          <w:sz w:val="18"/>
          <w:szCs w:val="18"/>
        </w:rPr>
        <w:t>A Companion to Museum Studies</w:t>
      </w:r>
      <w:r w:rsidRPr="0006771E">
        <w:rPr>
          <w:rFonts w:asciiTheme="majorHAnsi" w:hAnsiTheme="majorHAnsi"/>
          <w:sz w:val="18"/>
          <w:szCs w:val="18"/>
        </w:rPr>
        <w:t xml:space="preserve"> (Oxford: Blackwell, 2006).</w:t>
      </w:r>
    </w:p>
  </w:footnote>
  <w:footnote w:id="9">
    <w:p w14:paraId="58E17AA2" w14:textId="76FD5465" w:rsidR="0073752B" w:rsidRPr="004723FC" w:rsidRDefault="0073752B" w:rsidP="00BD5AD7">
      <w:pPr>
        <w:pStyle w:val="Normal1"/>
        <w:spacing w:line="240" w:lineRule="auto"/>
        <w:jc w:val="both"/>
        <w:rPr>
          <w:rFonts w:asciiTheme="majorHAnsi" w:hAnsiTheme="majorHAnsi"/>
          <w:sz w:val="18"/>
          <w:szCs w:val="18"/>
        </w:rPr>
      </w:pPr>
      <w:r w:rsidRPr="004723FC">
        <w:rPr>
          <w:rFonts w:asciiTheme="majorHAnsi" w:hAnsiTheme="majorHAnsi"/>
          <w:sz w:val="18"/>
          <w:szCs w:val="18"/>
          <w:vertAlign w:val="superscript"/>
        </w:rPr>
        <w:footnoteRef/>
      </w:r>
      <w:r w:rsidRPr="004723FC">
        <w:rPr>
          <w:rFonts w:asciiTheme="majorHAnsi" w:hAnsiTheme="majorHAnsi"/>
          <w:sz w:val="18"/>
          <w:szCs w:val="18"/>
        </w:rPr>
        <w:t xml:space="preserve"> </w:t>
      </w:r>
      <w:r>
        <w:rPr>
          <w:rFonts w:asciiTheme="majorHAnsi" w:hAnsiTheme="majorHAnsi"/>
          <w:sz w:val="18"/>
          <w:szCs w:val="18"/>
        </w:rPr>
        <w:t xml:space="preserve">Rachel </w:t>
      </w:r>
      <w:r w:rsidRPr="004723FC">
        <w:rPr>
          <w:rFonts w:asciiTheme="majorHAnsi" w:hAnsiTheme="majorHAnsi"/>
          <w:sz w:val="18"/>
          <w:szCs w:val="18"/>
        </w:rPr>
        <w:t xml:space="preserve">Pain(2015) </w:t>
      </w:r>
      <w:r>
        <w:rPr>
          <w:rFonts w:asciiTheme="majorHAnsi" w:hAnsiTheme="majorHAnsi"/>
          <w:sz w:val="18"/>
          <w:szCs w:val="18"/>
        </w:rPr>
        <w:t>‘</w:t>
      </w:r>
      <w:r w:rsidRPr="004723FC">
        <w:rPr>
          <w:rFonts w:asciiTheme="majorHAnsi" w:hAnsiTheme="majorHAnsi"/>
          <w:sz w:val="18"/>
          <w:szCs w:val="18"/>
        </w:rPr>
        <w:t>Intimate War</w:t>
      </w:r>
      <w:r>
        <w:rPr>
          <w:rFonts w:asciiTheme="majorHAnsi" w:hAnsiTheme="majorHAnsi"/>
          <w:sz w:val="18"/>
          <w:szCs w:val="18"/>
        </w:rPr>
        <w:t>’,</w:t>
      </w:r>
      <w:r w:rsidRPr="004723FC">
        <w:rPr>
          <w:rFonts w:asciiTheme="majorHAnsi" w:hAnsiTheme="majorHAnsi"/>
          <w:sz w:val="18"/>
          <w:szCs w:val="18"/>
        </w:rPr>
        <w:t xml:space="preserve"> </w:t>
      </w:r>
      <w:r w:rsidRPr="004723FC">
        <w:rPr>
          <w:rFonts w:asciiTheme="majorHAnsi" w:hAnsiTheme="majorHAnsi"/>
          <w:i/>
          <w:sz w:val="18"/>
          <w:szCs w:val="18"/>
        </w:rPr>
        <w:t>Political Geograph</w:t>
      </w:r>
      <w:r w:rsidRPr="004723FC">
        <w:rPr>
          <w:rFonts w:asciiTheme="majorHAnsi" w:hAnsiTheme="majorHAnsi"/>
          <w:sz w:val="18"/>
          <w:szCs w:val="18"/>
        </w:rPr>
        <w:t>y 44</w:t>
      </w:r>
      <w:r>
        <w:rPr>
          <w:rFonts w:asciiTheme="majorHAnsi" w:hAnsiTheme="majorHAnsi"/>
          <w:sz w:val="18"/>
          <w:szCs w:val="18"/>
        </w:rPr>
        <w:t>, (2015)</w:t>
      </w:r>
      <w:r w:rsidRPr="004723FC">
        <w:rPr>
          <w:rFonts w:asciiTheme="majorHAnsi" w:hAnsiTheme="majorHAnsi"/>
          <w:sz w:val="18"/>
          <w:szCs w:val="18"/>
        </w:rPr>
        <w:t>: 63-73;</w:t>
      </w:r>
      <w:r>
        <w:rPr>
          <w:rFonts w:asciiTheme="majorHAnsi" w:hAnsiTheme="majorHAnsi"/>
          <w:sz w:val="18"/>
          <w:szCs w:val="18"/>
        </w:rPr>
        <w:t xml:space="preserve"> Sara </w:t>
      </w:r>
      <w:r w:rsidRPr="004723FC">
        <w:rPr>
          <w:rFonts w:asciiTheme="majorHAnsi" w:hAnsiTheme="majorHAnsi"/>
          <w:sz w:val="18"/>
          <w:szCs w:val="18"/>
        </w:rPr>
        <w:t xml:space="preserve">Smith, ‘Intimacy and angst in the field,’ </w:t>
      </w:r>
      <w:r w:rsidRPr="004723FC">
        <w:rPr>
          <w:rFonts w:asciiTheme="majorHAnsi" w:hAnsiTheme="majorHAnsi"/>
          <w:i/>
          <w:sz w:val="18"/>
          <w:szCs w:val="18"/>
        </w:rPr>
        <w:t>Gender, Place &amp; Culture</w:t>
      </w:r>
      <w:r w:rsidRPr="004723FC">
        <w:rPr>
          <w:rFonts w:asciiTheme="majorHAnsi" w:hAnsiTheme="majorHAnsi"/>
          <w:sz w:val="18"/>
          <w:szCs w:val="18"/>
        </w:rPr>
        <w:t xml:space="preserve"> 23</w:t>
      </w:r>
      <w:r>
        <w:rPr>
          <w:rFonts w:asciiTheme="majorHAnsi" w:hAnsiTheme="majorHAnsi"/>
          <w:sz w:val="18"/>
          <w:szCs w:val="18"/>
        </w:rPr>
        <w:t>,</w:t>
      </w:r>
      <w:r w:rsidRPr="004723FC">
        <w:rPr>
          <w:rFonts w:asciiTheme="majorHAnsi" w:hAnsiTheme="majorHAnsi"/>
          <w:sz w:val="18"/>
          <w:szCs w:val="18"/>
        </w:rPr>
        <w:t xml:space="preserve"> no. 1 (2016): 134-146; </w:t>
      </w:r>
      <w:r>
        <w:rPr>
          <w:rFonts w:asciiTheme="majorHAnsi" w:hAnsiTheme="majorHAnsi"/>
          <w:sz w:val="18"/>
          <w:szCs w:val="18"/>
        </w:rPr>
        <w:t xml:space="preserve">Deborah </w:t>
      </w:r>
      <w:r w:rsidRPr="004723FC">
        <w:rPr>
          <w:rFonts w:asciiTheme="majorHAnsi" w:hAnsiTheme="majorHAnsi"/>
          <w:sz w:val="18"/>
          <w:szCs w:val="18"/>
        </w:rPr>
        <w:t xml:space="preserve">Cowen and </w:t>
      </w:r>
      <w:r>
        <w:rPr>
          <w:rFonts w:asciiTheme="majorHAnsi" w:hAnsiTheme="majorHAnsi"/>
          <w:sz w:val="18"/>
          <w:szCs w:val="18"/>
        </w:rPr>
        <w:t xml:space="preserve">Emily </w:t>
      </w:r>
      <w:r w:rsidRPr="004723FC">
        <w:rPr>
          <w:rFonts w:asciiTheme="majorHAnsi" w:hAnsiTheme="majorHAnsi"/>
          <w:sz w:val="18"/>
          <w:szCs w:val="18"/>
        </w:rPr>
        <w:t>Gilbert, ‘Fear and the Familial,’ in Rachel Pain and Sara Smith</w:t>
      </w:r>
      <w:r>
        <w:rPr>
          <w:rFonts w:asciiTheme="majorHAnsi" w:hAnsiTheme="majorHAnsi"/>
          <w:sz w:val="18"/>
          <w:szCs w:val="18"/>
        </w:rPr>
        <w:t xml:space="preserve">, eds., </w:t>
      </w:r>
      <w:r w:rsidRPr="004723FC">
        <w:rPr>
          <w:rFonts w:asciiTheme="majorHAnsi" w:hAnsiTheme="majorHAnsi"/>
          <w:i/>
          <w:sz w:val="18"/>
          <w:szCs w:val="18"/>
        </w:rPr>
        <w:t>Fear: Critical Geopolitics and Everyday Life</w:t>
      </w:r>
      <w:r w:rsidRPr="004723FC">
        <w:rPr>
          <w:rFonts w:asciiTheme="majorHAnsi" w:hAnsiTheme="majorHAnsi"/>
          <w:sz w:val="18"/>
          <w:szCs w:val="18"/>
        </w:rPr>
        <w:t>,(London: Ashgate</w:t>
      </w:r>
      <w:r>
        <w:rPr>
          <w:rFonts w:asciiTheme="majorHAnsi" w:hAnsiTheme="majorHAnsi"/>
          <w:sz w:val="18"/>
          <w:szCs w:val="18"/>
        </w:rPr>
        <w:t>: 2008</w:t>
      </w:r>
      <w:r w:rsidRPr="004723FC">
        <w:rPr>
          <w:rFonts w:asciiTheme="majorHAnsi" w:hAnsiTheme="majorHAnsi"/>
          <w:sz w:val="18"/>
          <w:szCs w:val="18"/>
        </w:rPr>
        <w:t xml:space="preserve">), 49-58; </w:t>
      </w:r>
    </w:p>
  </w:footnote>
  <w:footnote w:id="10">
    <w:p w14:paraId="5D2A8652" w14:textId="2AE1F57A" w:rsidR="0073752B" w:rsidRPr="004723FC" w:rsidRDefault="0073752B">
      <w:pPr>
        <w:pStyle w:val="Normal1"/>
        <w:spacing w:line="240" w:lineRule="auto"/>
        <w:rPr>
          <w:rFonts w:asciiTheme="majorHAnsi" w:hAnsiTheme="majorHAnsi"/>
          <w:sz w:val="18"/>
          <w:szCs w:val="18"/>
        </w:rPr>
      </w:pPr>
      <w:r w:rsidRPr="004723FC">
        <w:rPr>
          <w:rFonts w:asciiTheme="majorHAnsi" w:hAnsiTheme="majorHAnsi"/>
          <w:sz w:val="18"/>
          <w:szCs w:val="18"/>
          <w:vertAlign w:val="superscript"/>
        </w:rPr>
        <w:footnoteRef/>
      </w:r>
      <w:r w:rsidRPr="004723FC">
        <w:rPr>
          <w:rFonts w:asciiTheme="majorHAnsi" w:hAnsiTheme="majorHAnsi"/>
          <w:sz w:val="18"/>
          <w:szCs w:val="18"/>
        </w:rPr>
        <w:t xml:space="preserve"> </w:t>
      </w:r>
      <w:r>
        <w:rPr>
          <w:rFonts w:asciiTheme="majorHAnsi" w:hAnsiTheme="majorHAnsi"/>
          <w:sz w:val="18"/>
          <w:szCs w:val="18"/>
        </w:rPr>
        <w:t>For example,</w:t>
      </w:r>
      <w:r w:rsidRPr="004723FC">
        <w:rPr>
          <w:rFonts w:asciiTheme="majorHAnsi" w:hAnsiTheme="majorHAnsi"/>
          <w:sz w:val="18"/>
          <w:szCs w:val="18"/>
        </w:rPr>
        <w:t xml:space="preserve"> </w:t>
      </w:r>
      <w:r>
        <w:rPr>
          <w:rFonts w:asciiTheme="majorHAnsi" w:hAnsiTheme="majorHAnsi"/>
          <w:sz w:val="18"/>
          <w:szCs w:val="18"/>
        </w:rPr>
        <w:t xml:space="preserve">Rahul </w:t>
      </w:r>
      <w:r w:rsidRPr="004723FC">
        <w:rPr>
          <w:rFonts w:asciiTheme="majorHAnsi" w:hAnsiTheme="majorHAnsi"/>
          <w:sz w:val="18"/>
          <w:szCs w:val="18"/>
          <w:highlight w:val="white"/>
        </w:rPr>
        <w:t>Rao, ‘</w:t>
      </w:r>
      <w:r w:rsidRPr="004723FC">
        <w:rPr>
          <w:rFonts w:asciiTheme="majorHAnsi" w:hAnsiTheme="majorHAnsi"/>
          <w:sz w:val="18"/>
          <w:szCs w:val="18"/>
        </w:rPr>
        <w:t>The Diplomat and the Domestic: Or, Homage to 'Faking It'</w:t>
      </w:r>
      <w:r>
        <w:rPr>
          <w:rFonts w:asciiTheme="majorHAnsi" w:hAnsiTheme="majorHAnsi"/>
          <w:sz w:val="18"/>
          <w:szCs w:val="18"/>
        </w:rPr>
        <w:t>’</w:t>
      </w:r>
      <w:r w:rsidRPr="004723FC">
        <w:rPr>
          <w:rFonts w:asciiTheme="majorHAnsi" w:hAnsiTheme="majorHAnsi"/>
          <w:sz w:val="18"/>
          <w:szCs w:val="18"/>
        </w:rPr>
        <w:t xml:space="preserve">, </w:t>
      </w:r>
      <w:r w:rsidRPr="001C70B3">
        <w:rPr>
          <w:rFonts w:asciiTheme="majorHAnsi" w:hAnsiTheme="majorHAnsi"/>
          <w:i/>
          <w:sz w:val="18"/>
          <w:szCs w:val="18"/>
        </w:rPr>
        <w:t>Millennium: Journal of International Studies</w:t>
      </w:r>
      <w:r w:rsidRPr="001C70B3">
        <w:rPr>
          <w:rFonts w:asciiTheme="majorHAnsi" w:hAnsiTheme="majorHAnsi"/>
          <w:i/>
          <w:sz w:val="18"/>
          <w:szCs w:val="18"/>
          <w:highlight w:val="white"/>
        </w:rPr>
        <w:t xml:space="preserve"> 45</w:t>
      </w:r>
      <w:r>
        <w:rPr>
          <w:rFonts w:asciiTheme="majorHAnsi" w:hAnsiTheme="majorHAnsi"/>
          <w:sz w:val="18"/>
          <w:szCs w:val="18"/>
          <w:highlight w:val="white"/>
        </w:rPr>
        <w:t xml:space="preserve">, </w:t>
      </w:r>
      <w:r w:rsidRPr="004723FC">
        <w:rPr>
          <w:rFonts w:asciiTheme="majorHAnsi" w:hAnsiTheme="majorHAnsi"/>
          <w:sz w:val="18"/>
          <w:szCs w:val="18"/>
          <w:highlight w:val="white"/>
        </w:rPr>
        <w:t xml:space="preserve">no. 1 (2016): 105-112; </w:t>
      </w:r>
      <w:r>
        <w:rPr>
          <w:rFonts w:asciiTheme="majorHAnsi" w:hAnsiTheme="majorHAnsi"/>
          <w:sz w:val="18"/>
          <w:szCs w:val="18"/>
        </w:rPr>
        <w:t xml:space="preserve">Cynthia </w:t>
      </w:r>
      <w:r w:rsidRPr="004723FC">
        <w:rPr>
          <w:rFonts w:asciiTheme="majorHAnsi" w:hAnsiTheme="majorHAnsi"/>
          <w:sz w:val="18"/>
          <w:szCs w:val="18"/>
        </w:rPr>
        <w:t>Weber</w:t>
      </w:r>
      <w:r>
        <w:rPr>
          <w:rFonts w:asciiTheme="majorHAnsi" w:hAnsiTheme="majorHAnsi"/>
          <w:i/>
          <w:sz w:val="18"/>
          <w:szCs w:val="18"/>
        </w:rPr>
        <w:t xml:space="preserve">, </w:t>
      </w:r>
      <w:r w:rsidRPr="004723FC">
        <w:rPr>
          <w:rFonts w:asciiTheme="majorHAnsi" w:hAnsiTheme="majorHAnsi"/>
          <w:i/>
          <w:sz w:val="18"/>
          <w:szCs w:val="18"/>
        </w:rPr>
        <w:t xml:space="preserve">Queer International Relations </w:t>
      </w:r>
      <w:r w:rsidRPr="004723FC">
        <w:rPr>
          <w:rFonts w:asciiTheme="majorHAnsi" w:hAnsiTheme="majorHAnsi"/>
          <w:sz w:val="18"/>
          <w:szCs w:val="18"/>
        </w:rPr>
        <w:t xml:space="preserve">(Oxford: Oxford University Press); </w:t>
      </w:r>
      <w:r>
        <w:rPr>
          <w:rFonts w:asciiTheme="majorHAnsi" w:hAnsiTheme="majorHAnsi"/>
          <w:sz w:val="18"/>
          <w:szCs w:val="18"/>
        </w:rPr>
        <w:t xml:space="preserve">V. Spike </w:t>
      </w:r>
      <w:r w:rsidRPr="004723FC">
        <w:rPr>
          <w:rFonts w:asciiTheme="majorHAnsi" w:hAnsiTheme="majorHAnsi"/>
          <w:color w:val="2A2A2A"/>
          <w:sz w:val="18"/>
          <w:szCs w:val="18"/>
          <w:highlight w:val="white"/>
        </w:rPr>
        <w:t>Peterso</w:t>
      </w:r>
      <w:r w:rsidRPr="004723FC">
        <w:rPr>
          <w:rFonts w:asciiTheme="majorHAnsi" w:hAnsiTheme="majorHAnsi"/>
          <w:sz w:val="18"/>
          <w:szCs w:val="18"/>
          <w:highlight w:val="white"/>
        </w:rPr>
        <w:t xml:space="preserve">n, ‘Family Matters: How Queering the Intimate Queers the International,’ </w:t>
      </w:r>
      <w:r w:rsidRPr="004723FC">
        <w:rPr>
          <w:rFonts w:asciiTheme="majorHAnsi" w:hAnsiTheme="majorHAnsi"/>
          <w:i/>
          <w:sz w:val="18"/>
          <w:szCs w:val="18"/>
          <w:highlight w:val="white"/>
        </w:rPr>
        <w:t>International Studies Review</w:t>
      </w:r>
      <w:r w:rsidRPr="004723FC">
        <w:rPr>
          <w:rFonts w:asciiTheme="majorHAnsi" w:hAnsiTheme="majorHAnsi"/>
          <w:sz w:val="18"/>
          <w:szCs w:val="18"/>
          <w:highlight w:val="white"/>
        </w:rPr>
        <w:t xml:space="preserve"> 16, no. 4 (2014), 604–608.</w:t>
      </w:r>
      <w:r>
        <w:rPr>
          <w:rFonts w:asciiTheme="majorHAnsi" w:hAnsiTheme="majorHAnsi"/>
          <w:color w:val="2A2A2A"/>
          <w:sz w:val="18"/>
          <w:szCs w:val="18"/>
          <w:highlight w:val="white"/>
        </w:rPr>
        <w:t xml:space="preserve"> </w:t>
      </w:r>
    </w:p>
  </w:footnote>
  <w:footnote w:id="11">
    <w:p w14:paraId="436FE017" w14:textId="4F3ABC3F" w:rsidR="0073752B" w:rsidRPr="004723FC" w:rsidRDefault="0073752B">
      <w:pPr>
        <w:pStyle w:val="Normal1"/>
        <w:spacing w:line="240" w:lineRule="auto"/>
        <w:jc w:val="both"/>
        <w:rPr>
          <w:rFonts w:asciiTheme="majorHAnsi" w:hAnsiTheme="majorHAnsi"/>
          <w:sz w:val="18"/>
          <w:szCs w:val="18"/>
        </w:rPr>
      </w:pPr>
      <w:r w:rsidRPr="004723FC">
        <w:rPr>
          <w:rFonts w:asciiTheme="majorHAnsi" w:hAnsiTheme="majorHAnsi"/>
          <w:sz w:val="18"/>
          <w:szCs w:val="18"/>
          <w:vertAlign w:val="superscript"/>
        </w:rPr>
        <w:footnoteRef/>
      </w:r>
      <w:r w:rsidRPr="004723FC">
        <w:rPr>
          <w:rFonts w:asciiTheme="majorHAnsi" w:hAnsiTheme="majorHAnsi"/>
          <w:sz w:val="18"/>
          <w:szCs w:val="18"/>
        </w:rPr>
        <w:t xml:space="preserve"> </w:t>
      </w:r>
      <w:r>
        <w:rPr>
          <w:rFonts w:asciiTheme="majorHAnsi" w:hAnsiTheme="majorHAnsi"/>
          <w:sz w:val="18"/>
          <w:szCs w:val="18"/>
        </w:rPr>
        <w:t xml:space="preserve">Cynthia </w:t>
      </w:r>
      <w:r w:rsidRPr="004723FC">
        <w:rPr>
          <w:rFonts w:asciiTheme="majorHAnsi" w:hAnsiTheme="majorHAnsi"/>
          <w:sz w:val="18"/>
          <w:szCs w:val="18"/>
        </w:rPr>
        <w:t xml:space="preserve">Enloe, </w:t>
      </w:r>
      <w:r w:rsidRPr="001C70B3">
        <w:rPr>
          <w:rFonts w:asciiTheme="majorHAnsi" w:hAnsiTheme="majorHAnsi"/>
          <w:i/>
          <w:color w:val="111111"/>
          <w:sz w:val="18"/>
          <w:szCs w:val="18"/>
        </w:rPr>
        <w:t>Bananas, Beaches and Bases: Making Feminist Sense of International Politics</w:t>
      </w:r>
      <w:r w:rsidRPr="004723FC">
        <w:rPr>
          <w:rFonts w:asciiTheme="majorHAnsi" w:hAnsiTheme="majorHAnsi"/>
          <w:color w:val="111111"/>
          <w:sz w:val="18"/>
          <w:szCs w:val="18"/>
        </w:rPr>
        <w:t xml:space="preserve"> (Berkley: University of California, </w:t>
      </w:r>
      <w:r w:rsidRPr="004723FC">
        <w:rPr>
          <w:rFonts w:asciiTheme="majorHAnsi" w:hAnsiTheme="majorHAnsi"/>
          <w:sz w:val="18"/>
          <w:szCs w:val="18"/>
        </w:rPr>
        <w:t xml:space="preserve">1990); </w:t>
      </w:r>
      <w:r>
        <w:rPr>
          <w:rFonts w:asciiTheme="majorHAnsi" w:hAnsiTheme="majorHAnsi"/>
          <w:sz w:val="18"/>
          <w:szCs w:val="18"/>
        </w:rPr>
        <w:t xml:space="preserve">Lauren </w:t>
      </w:r>
      <w:r w:rsidRPr="004723FC">
        <w:rPr>
          <w:rFonts w:asciiTheme="majorHAnsi" w:hAnsiTheme="majorHAnsi"/>
          <w:sz w:val="18"/>
          <w:szCs w:val="18"/>
        </w:rPr>
        <w:t xml:space="preserve">Berlant, ed., </w:t>
      </w:r>
      <w:r w:rsidRPr="004723FC">
        <w:rPr>
          <w:rFonts w:asciiTheme="majorHAnsi" w:hAnsiTheme="majorHAnsi"/>
          <w:i/>
          <w:sz w:val="18"/>
          <w:szCs w:val="18"/>
        </w:rPr>
        <w:t xml:space="preserve">Intimacy </w:t>
      </w:r>
      <w:r w:rsidRPr="004723FC">
        <w:rPr>
          <w:rFonts w:asciiTheme="majorHAnsi" w:hAnsiTheme="majorHAnsi"/>
          <w:sz w:val="18"/>
          <w:szCs w:val="18"/>
        </w:rPr>
        <w:t>(Chicago: Chicago University Press, 2000);</w:t>
      </w:r>
      <w:r>
        <w:rPr>
          <w:rFonts w:asciiTheme="majorHAnsi" w:hAnsiTheme="majorHAnsi"/>
          <w:sz w:val="18"/>
          <w:szCs w:val="18"/>
        </w:rPr>
        <w:t xml:space="preserve"> For more explicit accounts of the imperial and colonial intimacy see Lisa </w:t>
      </w:r>
      <w:r w:rsidRPr="004723FC">
        <w:rPr>
          <w:rFonts w:asciiTheme="majorHAnsi" w:hAnsiTheme="majorHAnsi"/>
          <w:sz w:val="18"/>
          <w:szCs w:val="18"/>
        </w:rPr>
        <w:t>Lowe,</w:t>
      </w:r>
      <w:r>
        <w:rPr>
          <w:rFonts w:asciiTheme="majorHAnsi" w:hAnsiTheme="majorHAnsi"/>
          <w:sz w:val="18"/>
          <w:szCs w:val="18"/>
        </w:rPr>
        <w:t xml:space="preserve"> </w:t>
      </w:r>
      <w:r w:rsidRPr="004723FC">
        <w:rPr>
          <w:rFonts w:asciiTheme="majorHAnsi" w:hAnsiTheme="majorHAnsi"/>
          <w:i/>
          <w:sz w:val="18"/>
          <w:szCs w:val="18"/>
        </w:rPr>
        <w:t xml:space="preserve">The Intimacies of Four Continents </w:t>
      </w:r>
      <w:r w:rsidRPr="004723FC">
        <w:rPr>
          <w:rFonts w:asciiTheme="majorHAnsi" w:hAnsiTheme="majorHAnsi"/>
          <w:sz w:val="18"/>
          <w:szCs w:val="18"/>
        </w:rPr>
        <w:t xml:space="preserve">(Durham: Duke University Press, 2015); </w:t>
      </w:r>
      <w:r>
        <w:rPr>
          <w:rFonts w:asciiTheme="majorHAnsi" w:hAnsiTheme="majorHAnsi"/>
          <w:sz w:val="18"/>
          <w:szCs w:val="18"/>
        </w:rPr>
        <w:t xml:space="preserve">Victor Roman </w:t>
      </w:r>
      <w:r w:rsidRPr="004723FC">
        <w:rPr>
          <w:rFonts w:asciiTheme="majorHAnsi" w:hAnsiTheme="majorHAnsi"/>
          <w:sz w:val="18"/>
          <w:szCs w:val="18"/>
        </w:rPr>
        <w:t xml:space="preserve">Mendoza, </w:t>
      </w:r>
      <w:r w:rsidRPr="00955CA2">
        <w:rPr>
          <w:rFonts w:asciiTheme="majorHAnsi" w:hAnsiTheme="majorHAnsi"/>
          <w:i/>
          <w:sz w:val="18"/>
          <w:szCs w:val="18"/>
        </w:rPr>
        <w:t>Metroimperial Intimacies: Fantasy, Racial-Sexual Governance, and the Philippines in U.S. Imperialism, 1899-1913</w:t>
      </w:r>
      <w:r w:rsidRPr="004723FC">
        <w:rPr>
          <w:rFonts w:asciiTheme="majorHAnsi" w:hAnsiTheme="majorHAnsi"/>
          <w:sz w:val="18"/>
          <w:szCs w:val="18"/>
        </w:rPr>
        <w:t xml:space="preserve"> (Durham: Duke University Press, 2015).</w:t>
      </w:r>
      <w:r>
        <w:rPr>
          <w:rFonts w:asciiTheme="majorHAnsi" w:hAnsiTheme="majorHAnsi"/>
          <w:sz w:val="18"/>
          <w:szCs w:val="18"/>
        </w:rPr>
        <w:t xml:space="preserve"> </w:t>
      </w:r>
      <w:r w:rsidRPr="004723FC">
        <w:rPr>
          <w:rFonts w:asciiTheme="majorHAnsi" w:hAnsiTheme="majorHAnsi"/>
          <w:i/>
          <w:sz w:val="18"/>
          <w:szCs w:val="18"/>
        </w:rPr>
        <w:t xml:space="preserve"> </w:t>
      </w:r>
      <w:r>
        <w:rPr>
          <w:rFonts w:asciiTheme="majorHAnsi" w:hAnsiTheme="majorHAnsi"/>
          <w:iCs/>
          <w:sz w:val="18"/>
          <w:szCs w:val="18"/>
        </w:rPr>
        <w:t xml:space="preserve">Queer theory schoalrship has also more recently taken up questions of race: </w:t>
      </w:r>
      <w:r>
        <w:rPr>
          <w:rFonts w:asciiTheme="majorHAnsi" w:hAnsiTheme="majorHAnsi"/>
          <w:sz w:val="18"/>
          <w:szCs w:val="18"/>
        </w:rPr>
        <w:t xml:space="preserve">Sara </w:t>
      </w:r>
      <w:r w:rsidRPr="004723FC">
        <w:rPr>
          <w:rFonts w:asciiTheme="majorHAnsi" w:hAnsiTheme="majorHAnsi"/>
          <w:sz w:val="18"/>
          <w:szCs w:val="18"/>
        </w:rPr>
        <w:t xml:space="preserve">Ahmed, </w:t>
      </w:r>
      <w:r w:rsidRPr="004723FC">
        <w:rPr>
          <w:rFonts w:asciiTheme="majorHAnsi" w:hAnsiTheme="majorHAnsi"/>
          <w:i/>
          <w:sz w:val="18"/>
          <w:szCs w:val="18"/>
        </w:rPr>
        <w:t>Queer Phenomenology</w:t>
      </w:r>
      <w:r w:rsidRPr="004723FC">
        <w:rPr>
          <w:rFonts w:asciiTheme="majorHAnsi" w:hAnsiTheme="majorHAnsi"/>
          <w:sz w:val="18"/>
          <w:szCs w:val="18"/>
        </w:rPr>
        <w:t xml:space="preserve"> (Durham: Duke University Press, 2006); </w:t>
      </w:r>
      <w:r w:rsidRPr="00417621">
        <w:rPr>
          <w:rFonts w:asciiTheme="majorHAnsi" w:hAnsiTheme="majorHAnsi"/>
          <w:sz w:val="18"/>
          <w:szCs w:val="18"/>
        </w:rPr>
        <w:t>Jin Haritaworn, Adi Kuntsman, Silvia Posocco</w:t>
      </w:r>
      <w:r>
        <w:rPr>
          <w:rFonts w:asciiTheme="majorHAnsi" w:hAnsiTheme="majorHAnsi"/>
          <w:sz w:val="18"/>
          <w:szCs w:val="18"/>
          <w:highlight w:val="white"/>
        </w:rPr>
        <w:t xml:space="preserve">, </w:t>
      </w:r>
      <w:r w:rsidRPr="004723FC">
        <w:rPr>
          <w:rFonts w:asciiTheme="majorHAnsi" w:hAnsiTheme="majorHAnsi"/>
          <w:sz w:val="18"/>
          <w:szCs w:val="18"/>
          <w:highlight w:val="white"/>
        </w:rPr>
        <w:t xml:space="preserve">eds., </w:t>
      </w:r>
      <w:r w:rsidRPr="004723FC">
        <w:rPr>
          <w:rFonts w:asciiTheme="majorHAnsi" w:hAnsiTheme="majorHAnsi"/>
          <w:i/>
          <w:sz w:val="18"/>
          <w:szCs w:val="18"/>
          <w:highlight w:val="white"/>
        </w:rPr>
        <w:t>Queer Necropolitics</w:t>
      </w:r>
      <w:r w:rsidRPr="004723FC">
        <w:rPr>
          <w:rFonts w:asciiTheme="majorHAnsi" w:hAnsiTheme="majorHAnsi"/>
          <w:sz w:val="18"/>
          <w:szCs w:val="18"/>
          <w:highlight w:val="white"/>
        </w:rPr>
        <w:t xml:space="preserve"> (Abingdon: Routledge, 2014).</w:t>
      </w:r>
    </w:p>
  </w:footnote>
  <w:footnote w:id="12">
    <w:p w14:paraId="35F4A633" w14:textId="211FC075" w:rsidR="0073752B" w:rsidRPr="004723FC" w:rsidRDefault="0073752B">
      <w:pPr>
        <w:pStyle w:val="Normal1"/>
        <w:spacing w:line="240" w:lineRule="auto"/>
        <w:rPr>
          <w:rFonts w:asciiTheme="majorHAnsi" w:hAnsiTheme="majorHAnsi"/>
          <w:sz w:val="18"/>
          <w:szCs w:val="18"/>
        </w:rPr>
      </w:pPr>
      <w:r w:rsidRPr="004723FC">
        <w:rPr>
          <w:rFonts w:asciiTheme="majorHAnsi" w:hAnsiTheme="majorHAnsi"/>
          <w:sz w:val="18"/>
          <w:szCs w:val="18"/>
          <w:vertAlign w:val="superscript"/>
        </w:rPr>
        <w:footnoteRef/>
      </w:r>
      <w:r w:rsidRPr="004723FC">
        <w:rPr>
          <w:rFonts w:asciiTheme="majorHAnsi" w:hAnsiTheme="majorHAnsi"/>
          <w:sz w:val="18"/>
          <w:szCs w:val="18"/>
        </w:rPr>
        <w:t xml:space="preserve"> </w:t>
      </w:r>
      <w:r>
        <w:rPr>
          <w:rFonts w:asciiTheme="majorHAnsi" w:hAnsiTheme="majorHAnsi"/>
          <w:sz w:val="18"/>
          <w:szCs w:val="18"/>
        </w:rPr>
        <w:t xml:space="preserve">Kim V.L. </w:t>
      </w:r>
      <w:r w:rsidRPr="004723FC">
        <w:rPr>
          <w:rFonts w:asciiTheme="majorHAnsi" w:hAnsiTheme="majorHAnsi"/>
          <w:sz w:val="18"/>
          <w:szCs w:val="18"/>
          <w:highlight w:val="white"/>
        </w:rPr>
        <w:t>E</w:t>
      </w:r>
      <w:r w:rsidRPr="004723FC">
        <w:rPr>
          <w:rFonts w:asciiTheme="majorHAnsi" w:hAnsiTheme="majorHAnsi"/>
          <w:sz w:val="18"/>
          <w:szCs w:val="18"/>
        </w:rPr>
        <w:t xml:space="preserve">ngland, ‘Getting Personal: Reflexivity, Positionality, and Feminist Research’, </w:t>
      </w:r>
      <w:r w:rsidRPr="004723FC">
        <w:rPr>
          <w:rFonts w:asciiTheme="majorHAnsi" w:hAnsiTheme="majorHAnsi"/>
          <w:i/>
          <w:sz w:val="18"/>
          <w:szCs w:val="18"/>
        </w:rPr>
        <w:t>The Professional Geographe</w:t>
      </w:r>
      <w:r w:rsidRPr="004723FC">
        <w:rPr>
          <w:rFonts w:asciiTheme="majorHAnsi" w:hAnsiTheme="majorHAnsi"/>
          <w:sz w:val="18"/>
          <w:szCs w:val="18"/>
        </w:rPr>
        <w:t xml:space="preserve">r 46, no.1 </w:t>
      </w:r>
      <w:r w:rsidRPr="004723FC">
        <w:rPr>
          <w:rFonts w:asciiTheme="majorHAnsi" w:hAnsiTheme="majorHAnsi"/>
          <w:sz w:val="18"/>
          <w:szCs w:val="18"/>
          <w:highlight w:val="white"/>
        </w:rPr>
        <w:t>(1993): 80-89.</w:t>
      </w:r>
    </w:p>
  </w:footnote>
  <w:footnote w:id="13">
    <w:p w14:paraId="0598D630" w14:textId="1B54ADCE" w:rsidR="0073752B" w:rsidRPr="004723FC" w:rsidRDefault="0073752B">
      <w:pPr>
        <w:pStyle w:val="Normal1"/>
        <w:jc w:val="both"/>
        <w:rPr>
          <w:rFonts w:asciiTheme="majorHAnsi" w:hAnsiTheme="majorHAnsi"/>
          <w:sz w:val="18"/>
          <w:szCs w:val="18"/>
        </w:rPr>
      </w:pPr>
      <w:r w:rsidRPr="004723FC">
        <w:rPr>
          <w:rFonts w:asciiTheme="majorHAnsi" w:hAnsiTheme="majorHAnsi"/>
          <w:sz w:val="18"/>
          <w:szCs w:val="18"/>
          <w:vertAlign w:val="superscript"/>
        </w:rPr>
        <w:footnoteRef/>
      </w:r>
      <w:r w:rsidRPr="004723FC">
        <w:rPr>
          <w:rFonts w:asciiTheme="majorHAnsi" w:hAnsiTheme="majorHAnsi"/>
          <w:sz w:val="18"/>
          <w:szCs w:val="18"/>
        </w:rPr>
        <w:t xml:space="preserve"> </w:t>
      </w:r>
      <w:r>
        <w:rPr>
          <w:rFonts w:asciiTheme="majorHAnsi" w:hAnsiTheme="majorHAnsi"/>
          <w:sz w:val="18"/>
          <w:szCs w:val="18"/>
        </w:rPr>
        <w:t xml:space="preserve">Linda </w:t>
      </w:r>
      <w:r w:rsidRPr="004723FC">
        <w:rPr>
          <w:rFonts w:asciiTheme="majorHAnsi" w:hAnsiTheme="majorHAnsi"/>
          <w:sz w:val="18"/>
          <w:szCs w:val="18"/>
        </w:rPr>
        <w:t xml:space="preserve">Åhäll, </w:t>
      </w:r>
      <w:r>
        <w:rPr>
          <w:rFonts w:asciiTheme="majorHAnsi" w:hAnsiTheme="majorHAnsi"/>
          <w:sz w:val="18"/>
          <w:szCs w:val="18"/>
        </w:rPr>
        <w:t>‘</w:t>
      </w:r>
      <w:r w:rsidRPr="004723FC">
        <w:rPr>
          <w:rFonts w:asciiTheme="majorHAnsi" w:hAnsiTheme="majorHAnsi"/>
          <w:sz w:val="18"/>
          <w:szCs w:val="18"/>
        </w:rPr>
        <w:t>Affect as Methodology: Feminism and the Politics of Emotion</w:t>
      </w:r>
      <w:r>
        <w:rPr>
          <w:rFonts w:asciiTheme="majorHAnsi" w:hAnsiTheme="majorHAnsi"/>
          <w:sz w:val="18"/>
          <w:szCs w:val="18"/>
        </w:rPr>
        <w:t>’</w:t>
      </w:r>
      <w:r w:rsidRPr="004723FC">
        <w:rPr>
          <w:rFonts w:asciiTheme="majorHAnsi" w:hAnsiTheme="majorHAnsi"/>
          <w:sz w:val="18"/>
          <w:szCs w:val="18"/>
        </w:rPr>
        <w:t xml:space="preserve">, </w:t>
      </w:r>
      <w:r w:rsidRPr="001C70B3">
        <w:rPr>
          <w:rFonts w:asciiTheme="majorHAnsi" w:hAnsiTheme="majorHAnsi"/>
          <w:i/>
          <w:sz w:val="18"/>
          <w:szCs w:val="18"/>
        </w:rPr>
        <w:t>International Political Sociology</w:t>
      </w:r>
      <w:r w:rsidRPr="004723FC">
        <w:rPr>
          <w:rFonts w:asciiTheme="majorHAnsi" w:hAnsiTheme="majorHAnsi"/>
          <w:sz w:val="18"/>
          <w:szCs w:val="18"/>
        </w:rPr>
        <w:t xml:space="preserve"> 12, no 1 (2019): 36-52; </w:t>
      </w:r>
      <w:r>
        <w:rPr>
          <w:rFonts w:asciiTheme="majorHAnsi" w:hAnsiTheme="majorHAnsi"/>
          <w:sz w:val="18"/>
          <w:szCs w:val="18"/>
        </w:rPr>
        <w:t xml:space="preserve">Linda </w:t>
      </w:r>
      <w:r w:rsidRPr="004723FC">
        <w:rPr>
          <w:rFonts w:asciiTheme="majorHAnsi" w:hAnsiTheme="majorHAnsi"/>
          <w:sz w:val="18"/>
          <w:szCs w:val="18"/>
        </w:rPr>
        <w:t xml:space="preserve">Åhäll and </w:t>
      </w:r>
      <w:r>
        <w:rPr>
          <w:rFonts w:asciiTheme="majorHAnsi" w:hAnsiTheme="majorHAnsi"/>
          <w:sz w:val="18"/>
          <w:szCs w:val="18"/>
        </w:rPr>
        <w:t xml:space="preserve">Thomas </w:t>
      </w:r>
      <w:r w:rsidRPr="004723FC">
        <w:rPr>
          <w:rFonts w:asciiTheme="majorHAnsi" w:hAnsiTheme="majorHAnsi"/>
          <w:sz w:val="18"/>
          <w:szCs w:val="18"/>
        </w:rPr>
        <w:t xml:space="preserve">Gregory, </w:t>
      </w:r>
      <w:r w:rsidRPr="001C70B3">
        <w:rPr>
          <w:rFonts w:asciiTheme="majorHAnsi" w:hAnsiTheme="majorHAnsi"/>
          <w:i/>
          <w:sz w:val="18"/>
          <w:szCs w:val="18"/>
        </w:rPr>
        <w:t>Emotions, Politics and War</w:t>
      </w:r>
      <w:r w:rsidRPr="004723FC">
        <w:rPr>
          <w:rFonts w:asciiTheme="majorHAnsi" w:hAnsiTheme="majorHAnsi"/>
          <w:sz w:val="18"/>
          <w:szCs w:val="18"/>
        </w:rPr>
        <w:t xml:space="preserve"> (Abingdon: Routledge, 2015); </w:t>
      </w:r>
      <w:r>
        <w:rPr>
          <w:rFonts w:asciiTheme="majorHAnsi" w:hAnsiTheme="majorHAnsi"/>
          <w:sz w:val="18"/>
          <w:szCs w:val="18"/>
        </w:rPr>
        <w:t xml:space="preserve">Emma </w:t>
      </w:r>
      <w:r w:rsidRPr="004723FC">
        <w:rPr>
          <w:rFonts w:asciiTheme="majorHAnsi" w:hAnsiTheme="majorHAnsi"/>
          <w:sz w:val="18"/>
          <w:szCs w:val="18"/>
        </w:rPr>
        <w:t xml:space="preserve">Hutchinson, </w:t>
      </w:r>
      <w:r w:rsidRPr="001C70B3">
        <w:rPr>
          <w:rFonts w:asciiTheme="majorHAnsi" w:hAnsiTheme="majorHAnsi"/>
          <w:i/>
          <w:sz w:val="18"/>
          <w:szCs w:val="18"/>
        </w:rPr>
        <w:t>Affective Communities in World Politics: Collective Emotions after Trauma</w:t>
      </w:r>
      <w:r w:rsidRPr="004723FC">
        <w:rPr>
          <w:rFonts w:asciiTheme="majorHAnsi" w:hAnsiTheme="majorHAnsi"/>
          <w:sz w:val="18"/>
          <w:szCs w:val="18"/>
        </w:rPr>
        <w:t xml:space="preserve"> (Cambridge: Cambridge University Press, 2016); </w:t>
      </w:r>
      <w:r>
        <w:rPr>
          <w:rFonts w:asciiTheme="majorHAnsi" w:hAnsiTheme="majorHAnsi"/>
          <w:sz w:val="18"/>
          <w:szCs w:val="18"/>
        </w:rPr>
        <w:t xml:space="preserve">Asli </w:t>
      </w:r>
      <w:r w:rsidRPr="004723FC">
        <w:rPr>
          <w:rFonts w:asciiTheme="majorHAnsi" w:hAnsiTheme="majorHAnsi"/>
          <w:sz w:val="18"/>
          <w:szCs w:val="18"/>
        </w:rPr>
        <w:t xml:space="preserve">Calkivik and </w:t>
      </w:r>
      <w:r>
        <w:rPr>
          <w:rFonts w:asciiTheme="majorHAnsi" w:hAnsiTheme="majorHAnsi"/>
          <w:sz w:val="18"/>
          <w:szCs w:val="18"/>
        </w:rPr>
        <w:t xml:space="preserve">Jessica </w:t>
      </w:r>
      <w:r w:rsidRPr="004723FC">
        <w:rPr>
          <w:rFonts w:asciiTheme="majorHAnsi" w:hAnsiTheme="majorHAnsi"/>
          <w:sz w:val="18"/>
          <w:szCs w:val="18"/>
        </w:rPr>
        <w:t xml:space="preserve">Auchter, ‘Symposium Introduction: Debating Trauma and Emotion in World Politics’, </w:t>
      </w:r>
      <w:r w:rsidRPr="001C70B3">
        <w:rPr>
          <w:rFonts w:asciiTheme="majorHAnsi" w:hAnsiTheme="majorHAnsi"/>
          <w:i/>
          <w:sz w:val="18"/>
          <w:szCs w:val="18"/>
        </w:rPr>
        <w:t>Millennium: Journal of International Studies 47</w:t>
      </w:r>
      <w:r>
        <w:rPr>
          <w:rFonts w:asciiTheme="majorHAnsi" w:hAnsiTheme="majorHAnsi"/>
          <w:sz w:val="18"/>
          <w:szCs w:val="18"/>
        </w:rPr>
        <w:t xml:space="preserve">, </w:t>
      </w:r>
      <w:r w:rsidRPr="004723FC">
        <w:rPr>
          <w:rFonts w:asciiTheme="majorHAnsi" w:hAnsiTheme="majorHAnsi"/>
          <w:sz w:val="18"/>
          <w:szCs w:val="18"/>
        </w:rPr>
        <w:t xml:space="preserve">no. 2 (2019) 231–236. </w:t>
      </w:r>
    </w:p>
  </w:footnote>
  <w:footnote w:id="14">
    <w:p w14:paraId="535D92E1" w14:textId="5FB3FBAF" w:rsidR="0073752B" w:rsidRPr="004723FC" w:rsidRDefault="0073752B">
      <w:pPr>
        <w:pStyle w:val="Normal1"/>
        <w:jc w:val="both"/>
        <w:rPr>
          <w:rFonts w:asciiTheme="majorHAnsi" w:hAnsiTheme="majorHAnsi"/>
          <w:i/>
          <w:sz w:val="18"/>
          <w:szCs w:val="18"/>
        </w:rPr>
      </w:pPr>
      <w:r w:rsidRPr="004723FC">
        <w:rPr>
          <w:rFonts w:asciiTheme="majorHAnsi" w:hAnsiTheme="majorHAnsi"/>
          <w:sz w:val="18"/>
          <w:szCs w:val="18"/>
          <w:vertAlign w:val="superscript"/>
        </w:rPr>
        <w:footnoteRef/>
      </w:r>
      <w:r>
        <w:rPr>
          <w:rFonts w:asciiTheme="majorHAnsi" w:hAnsiTheme="majorHAnsi"/>
          <w:sz w:val="18"/>
          <w:szCs w:val="18"/>
          <w:lang w:val="en-US"/>
        </w:rPr>
        <w:t xml:space="preserve"> Clément and </w:t>
      </w:r>
      <w:r w:rsidRPr="00806068">
        <w:rPr>
          <w:rFonts w:asciiTheme="majorHAnsi" w:hAnsiTheme="majorHAnsi"/>
          <w:sz w:val="18"/>
          <w:szCs w:val="18"/>
          <w:lang w:val="en-US"/>
        </w:rPr>
        <w:t>Sangar</w:t>
      </w:r>
      <w:r w:rsidRPr="004723FC" w:rsidDel="00742279">
        <w:rPr>
          <w:rFonts w:asciiTheme="majorHAnsi" w:hAnsiTheme="majorHAnsi"/>
          <w:sz w:val="18"/>
          <w:szCs w:val="18"/>
        </w:rPr>
        <w:t xml:space="preserve"> </w:t>
      </w:r>
      <w:r w:rsidRPr="004723FC">
        <w:rPr>
          <w:rFonts w:asciiTheme="majorHAnsi" w:hAnsiTheme="majorHAnsi"/>
          <w:sz w:val="18"/>
          <w:szCs w:val="18"/>
        </w:rPr>
        <w:t xml:space="preserve"> eds., </w:t>
      </w:r>
      <w:r w:rsidRPr="004723FC">
        <w:rPr>
          <w:rFonts w:asciiTheme="majorHAnsi" w:hAnsiTheme="majorHAnsi"/>
          <w:i/>
          <w:sz w:val="18"/>
          <w:szCs w:val="18"/>
        </w:rPr>
        <w:t>Researching Emotions in International Relations</w:t>
      </w:r>
    </w:p>
    <w:p w14:paraId="47D8985B" w14:textId="30988848" w:rsidR="0073752B" w:rsidRPr="004723FC" w:rsidRDefault="0073752B">
      <w:pPr>
        <w:pStyle w:val="Normal1"/>
        <w:jc w:val="both"/>
        <w:rPr>
          <w:rFonts w:asciiTheme="majorHAnsi" w:hAnsiTheme="majorHAnsi"/>
          <w:sz w:val="18"/>
          <w:szCs w:val="18"/>
        </w:rPr>
      </w:pPr>
      <w:r w:rsidRPr="004723FC">
        <w:rPr>
          <w:rFonts w:asciiTheme="majorHAnsi" w:hAnsiTheme="majorHAnsi"/>
          <w:i/>
          <w:sz w:val="18"/>
          <w:szCs w:val="18"/>
        </w:rPr>
        <w:t>Methodological Perspectives on the Emotional Turn</w:t>
      </w:r>
      <w:r>
        <w:rPr>
          <w:rFonts w:asciiTheme="majorHAnsi" w:hAnsiTheme="majorHAnsi"/>
          <w:sz w:val="18"/>
          <w:szCs w:val="18"/>
        </w:rPr>
        <w:t xml:space="preserve">; Lauren </w:t>
      </w:r>
      <w:r w:rsidRPr="004723FC">
        <w:rPr>
          <w:rFonts w:asciiTheme="majorHAnsi" w:hAnsiTheme="majorHAnsi"/>
          <w:sz w:val="18"/>
          <w:szCs w:val="18"/>
        </w:rPr>
        <w:t xml:space="preserve">Wilcox, </w:t>
      </w:r>
      <w:r w:rsidRPr="001C70B3">
        <w:rPr>
          <w:rFonts w:asciiTheme="majorHAnsi" w:hAnsiTheme="majorHAnsi"/>
          <w:i/>
          <w:sz w:val="18"/>
          <w:szCs w:val="18"/>
        </w:rPr>
        <w:t>Bodies of Violence: Theorizing Embodied Subjects in International Relations</w:t>
      </w:r>
      <w:r w:rsidRPr="004723FC">
        <w:rPr>
          <w:rFonts w:asciiTheme="majorHAnsi" w:hAnsiTheme="majorHAnsi"/>
          <w:sz w:val="18"/>
          <w:szCs w:val="18"/>
        </w:rPr>
        <w:t xml:space="preserve"> (Oxford: Oxford University Press, 2015).</w:t>
      </w:r>
      <w:r>
        <w:rPr>
          <w:rFonts w:asciiTheme="majorHAnsi" w:hAnsiTheme="majorHAnsi"/>
          <w:sz w:val="18"/>
          <w:szCs w:val="18"/>
        </w:rPr>
        <w:t xml:space="preserve"> </w:t>
      </w:r>
    </w:p>
  </w:footnote>
  <w:footnote w:id="15">
    <w:p w14:paraId="77A77FCB" w14:textId="77777777" w:rsidR="0073752B" w:rsidRPr="004723FC" w:rsidRDefault="0073752B" w:rsidP="00391A47">
      <w:pPr>
        <w:pStyle w:val="Normal1"/>
        <w:spacing w:line="240" w:lineRule="auto"/>
        <w:rPr>
          <w:rFonts w:asciiTheme="majorHAnsi" w:hAnsiTheme="majorHAnsi"/>
          <w:sz w:val="18"/>
          <w:szCs w:val="18"/>
        </w:rPr>
      </w:pPr>
      <w:r w:rsidRPr="004723FC">
        <w:rPr>
          <w:rFonts w:asciiTheme="majorHAnsi" w:hAnsiTheme="majorHAnsi"/>
          <w:sz w:val="18"/>
          <w:szCs w:val="18"/>
          <w:vertAlign w:val="superscript"/>
        </w:rPr>
        <w:footnoteRef/>
      </w:r>
      <w:r w:rsidRPr="004723FC">
        <w:rPr>
          <w:rFonts w:asciiTheme="majorHAnsi" w:hAnsiTheme="majorHAnsi"/>
          <w:sz w:val="18"/>
          <w:szCs w:val="18"/>
        </w:rPr>
        <w:t xml:space="preserve"> </w:t>
      </w:r>
      <w:r>
        <w:rPr>
          <w:rFonts w:asciiTheme="majorHAnsi" w:hAnsiTheme="majorHAnsi"/>
          <w:sz w:val="18"/>
          <w:szCs w:val="18"/>
        </w:rPr>
        <w:t xml:space="preserve">Ann Laura </w:t>
      </w:r>
      <w:r w:rsidRPr="004723FC">
        <w:rPr>
          <w:rFonts w:asciiTheme="majorHAnsi" w:hAnsiTheme="majorHAnsi"/>
          <w:sz w:val="18"/>
          <w:szCs w:val="18"/>
        </w:rPr>
        <w:t xml:space="preserve">Stoler, </w:t>
      </w:r>
      <w:r w:rsidRPr="004723FC">
        <w:rPr>
          <w:rFonts w:asciiTheme="majorHAnsi" w:hAnsiTheme="majorHAnsi"/>
          <w:i/>
          <w:sz w:val="18"/>
          <w:szCs w:val="18"/>
        </w:rPr>
        <w:t xml:space="preserve">Imperial Debris: On Ruins and Ruination </w:t>
      </w:r>
      <w:r w:rsidRPr="004723FC">
        <w:rPr>
          <w:rFonts w:asciiTheme="majorHAnsi" w:hAnsiTheme="majorHAnsi"/>
          <w:sz w:val="18"/>
          <w:szCs w:val="18"/>
        </w:rPr>
        <w:t>(Durham: Duke University Press, 2013).</w:t>
      </w:r>
    </w:p>
  </w:footnote>
  <w:footnote w:id="16">
    <w:p w14:paraId="1B5B2EC8" w14:textId="64DEC599" w:rsidR="0073752B" w:rsidRPr="001C70B3" w:rsidRDefault="0073752B" w:rsidP="00477FC6">
      <w:pPr>
        <w:pStyle w:val="Normal1"/>
        <w:jc w:val="both"/>
        <w:rPr>
          <w:rFonts w:asciiTheme="majorHAnsi" w:hAnsiTheme="majorHAnsi"/>
          <w:color w:val="2A2A2A"/>
          <w:sz w:val="18"/>
          <w:szCs w:val="18"/>
          <w:highlight w:val="white"/>
          <w:lang w:val="en-GB"/>
        </w:rPr>
      </w:pPr>
      <w:r w:rsidRPr="004723FC">
        <w:rPr>
          <w:rFonts w:asciiTheme="majorHAnsi" w:hAnsiTheme="majorHAnsi"/>
          <w:sz w:val="18"/>
          <w:szCs w:val="18"/>
          <w:vertAlign w:val="superscript"/>
        </w:rPr>
        <w:footnoteRef/>
      </w:r>
      <w:r w:rsidRPr="004723FC">
        <w:rPr>
          <w:rFonts w:asciiTheme="majorHAnsi" w:hAnsiTheme="majorHAnsi"/>
          <w:sz w:val="18"/>
          <w:szCs w:val="18"/>
        </w:rPr>
        <w:t xml:space="preserve"> </w:t>
      </w:r>
      <w:r>
        <w:rPr>
          <w:rFonts w:asciiTheme="majorHAnsi" w:hAnsiTheme="majorHAnsi"/>
          <w:sz w:val="18"/>
          <w:szCs w:val="18"/>
        </w:rPr>
        <w:t xml:space="preserve">Illaria </w:t>
      </w:r>
      <w:r w:rsidRPr="004723FC">
        <w:rPr>
          <w:rFonts w:asciiTheme="majorHAnsi" w:hAnsiTheme="majorHAnsi"/>
          <w:sz w:val="18"/>
          <w:szCs w:val="18"/>
        </w:rPr>
        <w:t>Carrozza,</w:t>
      </w:r>
      <w:r>
        <w:rPr>
          <w:rFonts w:asciiTheme="majorHAnsi" w:hAnsiTheme="majorHAnsi"/>
          <w:sz w:val="18"/>
          <w:szCs w:val="18"/>
        </w:rPr>
        <w:t xml:space="preserve"> Ida Danewid and Evelyn Pauls,</w:t>
      </w:r>
      <w:r w:rsidRPr="004723FC">
        <w:rPr>
          <w:rFonts w:asciiTheme="majorHAnsi" w:hAnsiTheme="majorHAnsi"/>
          <w:sz w:val="18"/>
          <w:szCs w:val="18"/>
        </w:rPr>
        <w:t xml:space="preserve"> ‘Racialized Realities in World Politics’, </w:t>
      </w:r>
      <w:r w:rsidRPr="004723FC">
        <w:rPr>
          <w:rFonts w:asciiTheme="majorHAnsi" w:hAnsiTheme="majorHAnsi"/>
          <w:i/>
          <w:sz w:val="18"/>
          <w:szCs w:val="18"/>
        </w:rPr>
        <w:t>Millennium</w:t>
      </w:r>
      <w:r>
        <w:rPr>
          <w:rFonts w:asciiTheme="majorHAnsi" w:hAnsiTheme="majorHAnsi"/>
          <w:i/>
          <w:sz w:val="18"/>
          <w:szCs w:val="18"/>
        </w:rPr>
        <w:t>: Journal of International Studies</w:t>
      </w:r>
      <w:r w:rsidRPr="004723FC">
        <w:rPr>
          <w:rFonts w:asciiTheme="majorHAnsi" w:hAnsiTheme="majorHAnsi"/>
          <w:sz w:val="18"/>
          <w:szCs w:val="18"/>
        </w:rPr>
        <w:t xml:space="preserve"> </w:t>
      </w:r>
      <w:r w:rsidRPr="001C70B3">
        <w:rPr>
          <w:rFonts w:asciiTheme="majorHAnsi" w:hAnsiTheme="majorHAnsi"/>
          <w:i/>
          <w:sz w:val="18"/>
          <w:szCs w:val="18"/>
        </w:rPr>
        <w:t>45</w:t>
      </w:r>
      <w:r w:rsidRPr="004723FC">
        <w:rPr>
          <w:rFonts w:asciiTheme="majorHAnsi" w:hAnsiTheme="majorHAnsi"/>
          <w:sz w:val="18"/>
          <w:szCs w:val="18"/>
        </w:rPr>
        <w:t xml:space="preserve">, no. 3 (2017): 267–268; </w:t>
      </w:r>
      <w:r>
        <w:rPr>
          <w:rFonts w:asciiTheme="majorHAnsi" w:hAnsiTheme="majorHAnsi"/>
          <w:sz w:val="18"/>
          <w:szCs w:val="18"/>
        </w:rPr>
        <w:t xml:space="preserve">Alexander </w:t>
      </w:r>
      <w:r w:rsidRPr="004723FC">
        <w:rPr>
          <w:rFonts w:asciiTheme="majorHAnsi" w:hAnsiTheme="majorHAnsi"/>
          <w:sz w:val="18"/>
          <w:szCs w:val="18"/>
        </w:rPr>
        <w:t>Anievas</w:t>
      </w:r>
      <w:r>
        <w:rPr>
          <w:rFonts w:asciiTheme="majorHAnsi" w:hAnsiTheme="majorHAnsi"/>
          <w:sz w:val="18"/>
          <w:szCs w:val="18"/>
        </w:rPr>
        <w:t xml:space="preserve">, Nivi Manchanda and Robbie Shilliam </w:t>
      </w:r>
      <w:r w:rsidRPr="004723FC">
        <w:rPr>
          <w:rFonts w:asciiTheme="majorHAnsi" w:hAnsiTheme="majorHAnsi"/>
          <w:sz w:val="18"/>
          <w:szCs w:val="18"/>
        </w:rPr>
        <w:t>ed</w:t>
      </w:r>
      <w:r>
        <w:rPr>
          <w:rFonts w:asciiTheme="majorHAnsi" w:hAnsiTheme="majorHAnsi"/>
          <w:sz w:val="18"/>
          <w:szCs w:val="18"/>
        </w:rPr>
        <w:t>s</w:t>
      </w:r>
      <w:r w:rsidRPr="004723FC">
        <w:rPr>
          <w:rFonts w:asciiTheme="majorHAnsi" w:hAnsiTheme="majorHAnsi"/>
          <w:sz w:val="18"/>
          <w:szCs w:val="18"/>
        </w:rPr>
        <w:t xml:space="preserve">., </w:t>
      </w:r>
      <w:r w:rsidRPr="001C70B3">
        <w:rPr>
          <w:rFonts w:asciiTheme="majorHAnsi" w:hAnsiTheme="majorHAnsi"/>
          <w:i/>
          <w:sz w:val="18"/>
          <w:szCs w:val="18"/>
        </w:rPr>
        <w:t>Race and Racism in International Relations: Confronting the Global Colour Line</w:t>
      </w:r>
      <w:r w:rsidRPr="004723FC">
        <w:rPr>
          <w:rFonts w:asciiTheme="majorHAnsi" w:hAnsiTheme="majorHAnsi"/>
          <w:sz w:val="18"/>
          <w:szCs w:val="18"/>
        </w:rPr>
        <w:t xml:space="preserve"> (Abingdon: Routledge, 2014); </w:t>
      </w:r>
      <w:r>
        <w:rPr>
          <w:rFonts w:asciiTheme="majorHAnsi" w:hAnsiTheme="majorHAnsi"/>
          <w:sz w:val="18"/>
          <w:szCs w:val="18"/>
        </w:rPr>
        <w:t xml:space="preserve">Anna M. </w:t>
      </w:r>
      <w:r w:rsidRPr="004723FC">
        <w:rPr>
          <w:rFonts w:asciiTheme="majorHAnsi" w:hAnsiTheme="majorHAnsi"/>
          <w:sz w:val="18"/>
          <w:szCs w:val="18"/>
        </w:rPr>
        <w:t xml:space="preserve">Agathangelou and </w:t>
      </w:r>
      <w:r>
        <w:rPr>
          <w:rFonts w:asciiTheme="majorHAnsi" w:hAnsiTheme="majorHAnsi"/>
          <w:sz w:val="18"/>
          <w:szCs w:val="18"/>
        </w:rPr>
        <w:t xml:space="preserve">Kyle D. </w:t>
      </w:r>
      <w:r w:rsidRPr="004723FC">
        <w:rPr>
          <w:rFonts w:asciiTheme="majorHAnsi" w:hAnsiTheme="majorHAnsi"/>
          <w:sz w:val="18"/>
          <w:szCs w:val="18"/>
        </w:rPr>
        <w:t xml:space="preserve">Killian, ed., </w:t>
      </w:r>
      <w:r w:rsidRPr="004723FC">
        <w:rPr>
          <w:rFonts w:asciiTheme="majorHAnsi" w:hAnsiTheme="majorHAnsi"/>
          <w:i/>
          <w:sz w:val="18"/>
          <w:szCs w:val="18"/>
        </w:rPr>
        <w:t>Time, Temporality and Violence in International Relations: (De)fatalizing the Present, Forging Radical Alternatives</w:t>
      </w:r>
      <w:r w:rsidRPr="004723FC">
        <w:rPr>
          <w:rFonts w:asciiTheme="majorHAnsi" w:hAnsiTheme="majorHAnsi"/>
          <w:sz w:val="18"/>
          <w:szCs w:val="18"/>
        </w:rPr>
        <w:t xml:space="preserve"> (Abingdon: Routledge, 2016);</w:t>
      </w:r>
      <w:r w:rsidRPr="004723FC">
        <w:rPr>
          <w:rFonts w:asciiTheme="majorHAnsi" w:hAnsiTheme="majorHAnsi"/>
          <w:color w:val="2A2A2A"/>
          <w:sz w:val="18"/>
          <w:szCs w:val="18"/>
          <w:highlight w:val="white"/>
        </w:rPr>
        <w:t xml:space="preserve"> </w:t>
      </w:r>
      <w:r w:rsidRPr="008A0272">
        <w:rPr>
          <w:rFonts w:asciiTheme="majorHAnsi" w:hAnsiTheme="majorHAnsi"/>
          <w:color w:val="2A2A2A"/>
          <w:sz w:val="18"/>
          <w:szCs w:val="18"/>
          <w:highlight w:val="white"/>
          <w:lang w:val="en-GB"/>
        </w:rPr>
        <w:t xml:space="preserve">Howell, Alison, and Melanie Richter-Montpetit. "Racism in Foucauldian security studies: biopolitics, liberal war, and the whitewashing of colonial and racial violence." </w:t>
      </w:r>
      <w:r w:rsidRPr="008A0272">
        <w:rPr>
          <w:rFonts w:asciiTheme="majorHAnsi" w:hAnsiTheme="majorHAnsi"/>
          <w:i/>
          <w:iCs/>
          <w:color w:val="2A2A2A"/>
          <w:sz w:val="18"/>
          <w:szCs w:val="18"/>
          <w:highlight w:val="white"/>
          <w:lang w:val="en-GB"/>
        </w:rPr>
        <w:t>International Political Sociology</w:t>
      </w:r>
      <w:r w:rsidRPr="008A0272">
        <w:rPr>
          <w:rFonts w:asciiTheme="majorHAnsi" w:hAnsiTheme="majorHAnsi"/>
          <w:color w:val="2A2A2A"/>
          <w:sz w:val="18"/>
          <w:szCs w:val="18"/>
          <w:highlight w:val="white"/>
          <w:lang w:val="en-GB"/>
        </w:rPr>
        <w:t xml:space="preserve"> 13, no. 1 (2018): 2-19</w:t>
      </w:r>
      <w:r>
        <w:rPr>
          <w:rFonts w:asciiTheme="majorHAnsi" w:hAnsiTheme="majorHAnsi"/>
          <w:color w:val="2A2A2A"/>
          <w:sz w:val="18"/>
          <w:szCs w:val="18"/>
          <w:highlight w:val="white"/>
          <w:lang w:val="en-GB"/>
        </w:rPr>
        <w:t xml:space="preserve">; </w:t>
      </w:r>
      <w:r w:rsidRPr="00477FC6">
        <w:rPr>
          <w:rFonts w:asciiTheme="majorHAnsi" w:hAnsiTheme="majorHAnsi"/>
          <w:color w:val="2A2A2A"/>
          <w:sz w:val="18"/>
          <w:szCs w:val="18"/>
          <w:highlight w:val="white"/>
          <w:lang w:val="en-GB"/>
        </w:rPr>
        <w:t xml:space="preserve"> </w:t>
      </w:r>
      <w:r w:rsidRPr="008A0272">
        <w:rPr>
          <w:rFonts w:asciiTheme="majorHAnsi" w:hAnsiTheme="majorHAnsi"/>
          <w:color w:val="2A2A2A"/>
          <w:sz w:val="18"/>
          <w:szCs w:val="18"/>
          <w:highlight w:val="white"/>
          <w:lang w:val="en-GB"/>
        </w:rPr>
        <w:t>Howell, Alison, and Melanie Richter-Montpetit</w:t>
      </w:r>
      <w:r w:rsidRPr="00477FC6" w:rsidDel="00477FC6">
        <w:rPr>
          <w:rStyle w:val="cls-response"/>
          <w:rFonts w:asciiTheme="majorHAnsi" w:eastAsia="Times New Roman" w:hAnsiTheme="majorHAnsi" w:cs="Times New Roman"/>
          <w:sz w:val="18"/>
          <w:szCs w:val="18"/>
        </w:rPr>
        <w:t xml:space="preserve"> </w:t>
      </w:r>
      <w:r w:rsidRPr="005F440F">
        <w:rPr>
          <w:rStyle w:val="cls-response"/>
          <w:rFonts w:asciiTheme="majorHAnsi" w:eastAsia="Times New Roman" w:hAnsiTheme="majorHAnsi" w:cs="Times New Roman"/>
          <w:sz w:val="18"/>
          <w:szCs w:val="18"/>
        </w:rPr>
        <w:t xml:space="preserve">. </w:t>
      </w:r>
      <w:r>
        <w:rPr>
          <w:rStyle w:val="cls-response"/>
          <w:rFonts w:asciiTheme="majorHAnsi" w:eastAsia="Times New Roman" w:hAnsiTheme="majorHAnsi" w:cs="Times New Roman"/>
          <w:sz w:val="18"/>
          <w:szCs w:val="18"/>
        </w:rPr>
        <w:t>‘</w:t>
      </w:r>
      <w:r w:rsidRPr="001C70B3">
        <w:rPr>
          <w:rStyle w:val="cls-response"/>
          <w:rFonts w:asciiTheme="majorHAnsi" w:eastAsia="Times New Roman" w:hAnsiTheme="majorHAnsi" w:cs="Times New Roman"/>
          <w:sz w:val="18"/>
          <w:szCs w:val="18"/>
        </w:rPr>
        <w:t>Is securitization theory racist? Civilizationism, methodological whiteness, and antiblack thought in the Copenhagen School</w:t>
      </w:r>
      <w:r>
        <w:rPr>
          <w:rStyle w:val="cls-response"/>
          <w:rFonts w:asciiTheme="majorHAnsi" w:eastAsia="Times New Roman" w:hAnsiTheme="majorHAnsi" w:cs="Times New Roman"/>
          <w:sz w:val="18"/>
          <w:szCs w:val="18"/>
        </w:rPr>
        <w:t>’</w:t>
      </w:r>
      <w:r w:rsidRPr="001C70B3">
        <w:rPr>
          <w:rStyle w:val="cls-response"/>
          <w:rFonts w:asciiTheme="majorHAnsi" w:eastAsia="Times New Roman" w:hAnsiTheme="majorHAnsi" w:cs="Times New Roman"/>
          <w:sz w:val="18"/>
          <w:szCs w:val="18"/>
        </w:rPr>
        <w:t xml:space="preserve">. </w:t>
      </w:r>
      <w:r w:rsidRPr="001C70B3">
        <w:rPr>
          <w:rStyle w:val="cls-response"/>
          <w:rFonts w:asciiTheme="majorHAnsi" w:eastAsia="Times New Roman" w:hAnsiTheme="majorHAnsi" w:cs="Times New Roman"/>
          <w:i/>
          <w:iCs/>
          <w:sz w:val="18"/>
          <w:szCs w:val="18"/>
        </w:rPr>
        <w:t>Security Dialogue</w:t>
      </w:r>
      <w:r>
        <w:rPr>
          <w:rStyle w:val="cls-response"/>
          <w:rFonts w:asciiTheme="majorHAnsi" w:eastAsia="Times New Roman" w:hAnsiTheme="majorHAnsi" w:cs="Times New Roman"/>
          <w:i/>
          <w:iCs/>
          <w:sz w:val="18"/>
          <w:szCs w:val="18"/>
        </w:rPr>
        <w:t xml:space="preserve"> </w:t>
      </w:r>
      <w:r>
        <w:rPr>
          <w:rStyle w:val="cls-response"/>
          <w:rFonts w:asciiTheme="majorHAnsi" w:eastAsia="Times New Roman" w:hAnsiTheme="majorHAnsi" w:cs="Times New Roman"/>
          <w:iCs/>
          <w:sz w:val="18"/>
          <w:szCs w:val="18"/>
        </w:rPr>
        <w:t>(2019)</w:t>
      </w:r>
      <w:r w:rsidRPr="001C70B3">
        <w:rPr>
          <w:rStyle w:val="cls-response"/>
          <w:rFonts w:asciiTheme="majorHAnsi" w:eastAsia="Times New Roman" w:hAnsiTheme="majorHAnsi" w:cs="Times New Roman"/>
          <w:sz w:val="18"/>
          <w:szCs w:val="18"/>
        </w:rPr>
        <w:t xml:space="preserve">. </w:t>
      </w:r>
      <w:r>
        <w:rPr>
          <w:rStyle w:val="cls-response"/>
          <w:rFonts w:asciiTheme="majorHAnsi" w:eastAsia="Times New Roman" w:hAnsiTheme="majorHAnsi" w:cs="Times New Roman"/>
          <w:sz w:val="18"/>
          <w:szCs w:val="18"/>
        </w:rPr>
        <w:t xml:space="preserve">Ahead-of-print </w:t>
      </w:r>
      <w:hyperlink r:id="rId1" w:history="1">
        <w:r w:rsidRPr="001C70B3">
          <w:rPr>
            <w:rStyle w:val="Hyperlink"/>
            <w:rFonts w:asciiTheme="majorHAnsi" w:eastAsia="Times New Roman" w:hAnsiTheme="majorHAnsi" w:cs="Times New Roman"/>
            <w:sz w:val="18"/>
            <w:szCs w:val="18"/>
          </w:rPr>
          <w:t>https://doi.org/10.1177/0967010619862921</w:t>
        </w:r>
      </w:hyperlink>
    </w:p>
  </w:footnote>
  <w:footnote w:id="17">
    <w:p w14:paraId="35234DC4" w14:textId="1F76B999" w:rsidR="0073752B" w:rsidRPr="001C70B3" w:rsidRDefault="0073752B">
      <w:pPr>
        <w:pStyle w:val="FootnoteText"/>
        <w:rPr>
          <w:rFonts w:asciiTheme="majorHAnsi" w:hAnsiTheme="majorHAnsi"/>
          <w:sz w:val="18"/>
          <w:szCs w:val="18"/>
          <w:lang w:val="en-US"/>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 </w:t>
      </w:r>
      <w:r>
        <w:rPr>
          <w:rFonts w:asciiTheme="majorHAnsi" w:hAnsiTheme="majorHAnsi"/>
          <w:sz w:val="18"/>
          <w:szCs w:val="18"/>
          <w:lang w:val="en-US"/>
        </w:rPr>
        <w:t xml:space="preserve">Reeves, </w:t>
      </w:r>
      <w:r w:rsidRPr="00806068">
        <w:rPr>
          <w:rFonts w:asciiTheme="majorHAnsi" w:hAnsiTheme="majorHAnsi"/>
          <w:sz w:val="18"/>
          <w:szCs w:val="18"/>
          <w:lang w:val="en-US"/>
        </w:rPr>
        <w:t xml:space="preserve"> ‘Auto-ethnography and the Study of Affect and Emotion in World Politics: Investigating Security Discourses at London’s Imperial War Museum’</w:t>
      </w:r>
      <w:r>
        <w:rPr>
          <w:rFonts w:asciiTheme="majorHAnsi" w:hAnsiTheme="majorHAnsi"/>
          <w:sz w:val="18"/>
          <w:szCs w:val="18"/>
          <w:lang w:val="en-US"/>
        </w:rPr>
        <w:t xml:space="preserve"> p. 110-114</w:t>
      </w:r>
    </w:p>
  </w:footnote>
  <w:footnote w:id="18">
    <w:p w14:paraId="6898A327" w14:textId="3C0398B5" w:rsidR="0073752B" w:rsidRPr="001C70B3" w:rsidRDefault="0073752B">
      <w:pPr>
        <w:pStyle w:val="FootnoteText"/>
        <w:rPr>
          <w:rFonts w:asciiTheme="majorHAnsi" w:hAnsiTheme="majorHAnsi"/>
          <w:sz w:val="18"/>
          <w:szCs w:val="18"/>
          <w:lang w:val="en-US"/>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 </w:t>
      </w:r>
      <w:r w:rsidRPr="0006771E">
        <w:rPr>
          <w:rFonts w:asciiTheme="majorHAnsi" w:hAnsiTheme="majorHAnsi"/>
          <w:sz w:val="18"/>
          <w:szCs w:val="18"/>
        </w:rPr>
        <w:t>Lisle, ‘Rejuv</w:t>
      </w:r>
      <w:r>
        <w:rPr>
          <w:rFonts w:asciiTheme="majorHAnsi" w:hAnsiTheme="majorHAnsi"/>
          <w:sz w:val="18"/>
          <w:szCs w:val="18"/>
        </w:rPr>
        <w:t>e</w:t>
      </w:r>
      <w:r w:rsidRPr="0006771E">
        <w:rPr>
          <w:rFonts w:asciiTheme="majorHAnsi" w:hAnsiTheme="majorHAnsi"/>
          <w:sz w:val="18"/>
          <w:szCs w:val="18"/>
        </w:rPr>
        <w:t>nating method,’</w:t>
      </w:r>
      <w:r w:rsidRPr="0006771E">
        <w:rPr>
          <w:rFonts w:asciiTheme="majorHAnsi" w:hAnsiTheme="majorHAnsi"/>
          <w:i/>
          <w:sz w:val="18"/>
          <w:szCs w:val="18"/>
        </w:rPr>
        <w:t xml:space="preserve"> Critical Studies on Security</w:t>
      </w:r>
      <w:r>
        <w:rPr>
          <w:rFonts w:asciiTheme="majorHAnsi" w:hAnsiTheme="majorHAnsi"/>
          <w:i/>
          <w:sz w:val="18"/>
          <w:szCs w:val="18"/>
        </w:rPr>
        <w:t xml:space="preserve">, </w:t>
      </w:r>
      <w:r>
        <w:rPr>
          <w:rFonts w:asciiTheme="majorHAnsi" w:hAnsiTheme="majorHAnsi"/>
          <w:sz w:val="18"/>
          <w:szCs w:val="18"/>
        </w:rPr>
        <w:t>p.372</w:t>
      </w:r>
    </w:p>
  </w:footnote>
  <w:footnote w:id="19">
    <w:p w14:paraId="6E3FB1A8" w14:textId="514F60F6" w:rsidR="0073752B" w:rsidRDefault="0073752B" w:rsidP="00363F82">
      <w:pPr>
        <w:pStyle w:val="Normal1"/>
      </w:pPr>
      <w:r w:rsidRPr="00445793">
        <w:rPr>
          <w:rFonts w:asciiTheme="majorHAnsi" w:hAnsiTheme="majorHAnsi"/>
          <w:sz w:val="18"/>
          <w:szCs w:val="18"/>
          <w:vertAlign w:val="superscript"/>
        </w:rPr>
        <w:footnoteRef/>
      </w:r>
      <w:r w:rsidRPr="00445793">
        <w:rPr>
          <w:rFonts w:asciiTheme="majorHAnsi" w:hAnsiTheme="majorHAnsi"/>
          <w:sz w:val="18"/>
          <w:szCs w:val="18"/>
        </w:rPr>
        <w:t xml:space="preserve"> </w:t>
      </w:r>
      <w:r>
        <w:rPr>
          <w:rFonts w:asciiTheme="majorHAnsi" w:hAnsiTheme="majorHAnsi"/>
          <w:sz w:val="18"/>
          <w:szCs w:val="18"/>
        </w:rPr>
        <w:t xml:space="preserve">Tony </w:t>
      </w:r>
      <w:r w:rsidRPr="00445793">
        <w:rPr>
          <w:rFonts w:asciiTheme="majorHAnsi" w:hAnsiTheme="majorHAnsi"/>
          <w:sz w:val="18"/>
          <w:szCs w:val="18"/>
        </w:rPr>
        <w:t xml:space="preserve">Bennett and </w:t>
      </w:r>
      <w:r>
        <w:rPr>
          <w:rFonts w:asciiTheme="majorHAnsi" w:hAnsiTheme="majorHAnsi"/>
          <w:sz w:val="18"/>
          <w:szCs w:val="18"/>
        </w:rPr>
        <w:t xml:space="preserve">Chris </w:t>
      </w:r>
      <w:r w:rsidRPr="00445793">
        <w:rPr>
          <w:rFonts w:asciiTheme="majorHAnsi" w:hAnsiTheme="majorHAnsi"/>
          <w:sz w:val="18"/>
          <w:szCs w:val="18"/>
        </w:rPr>
        <w:t xml:space="preserve">Healy, ‘Introduction: assembling culture,’ in </w:t>
      </w:r>
      <w:r w:rsidRPr="001C70B3">
        <w:rPr>
          <w:rFonts w:asciiTheme="majorHAnsi" w:hAnsiTheme="majorHAnsi"/>
          <w:i/>
          <w:iCs/>
          <w:sz w:val="18"/>
          <w:szCs w:val="18"/>
        </w:rPr>
        <w:t>Assembling Culture</w:t>
      </w:r>
      <w:r w:rsidRPr="00445793">
        <w:rPr>
          <w:rFonts w:asciiTheme="majorHAnsi" w:hAnsiTheme="majorHAnsi"/>
          <w:sz w:val="18"/>
          <w:szCs w:val="18"/>
        </w:rPr>
        <w:t>, Tony Bennett and Chris Healy</w:t>
      </w:r>
      <w:r>
        <w:rPr>
          <w:rFonts w:asciiTheme="majorHAnsi" w:hAnsiTheme="majorHAnsi"/>
          <w:sz w:val="18"/>
          <w:szCs w:val="18"/>
        </w:rPr>
        <w:t xml:space="preserve"> eds.,</w:t>
      </w:r>
      <w:r w:rsidRPr="00445793">
        <w:rPr>
          <w:rFonts w:asciiTheme="majorHAnsi" w:hAnsiTheme="majorHAnsi"/>
          <w:sz w:val="18"/>
          <w:szCs w:val="18"/>
        </w:rPr>
        <w:t xml:space="preserve"> (London: Routledge, 2011), 1-8.</w:t>
      </w:r>
    </w:p>
  </w:footnote>
  <w:footnote w:id="20">
    <w:p w14:paraId="7DD274C9" w14:textId="6D47AA29" w:rsidR="0073752B" w:rsidRPr="00C4210A" w:rsidRDefault="0073752B" w:rsidP="00F92131">
      <w:pPr>
        <w:pStyle w:val="FootnoteText"/>
        <w:rPr>
          <w:rFonts w:asciiTheme="majorHAnsi" w:hAnsiTheme="majorHAnsi"/>
          <w:sz w:val="18"/>
          <w:szCs w:val="18"/>
          <w:lang w:val="en-US"/>
        </w:rPr>
      </w:pPr>
      <w:r w:rsidRPr="00C4210A">
        <w:rPr>
          <w:rStyle w:val="FootnoteReference"/>
          <w:rFonts w:asciiTheme="majorHAnsi" w:hAnsiTheme="majorHAnsi"/>
          <w:sz w:val="18"/>
          <w:szCs w:val="18"/>
        </w:rPr>
        <w:footnoteRef/>
      </w:r>
      <w:r w:rsidRPr="00C4210A">
        <w:rPr>
          <w:rFonts w:asciiTheme="majorHAnsi" w:hAnsiTheme="majorHAnsi"/>
          <w:sz w:val="18"/>
          <w:szCs w:val="18"/>
        </w:rPr>
        <w:t xml:space="preserve"> </w:t>
      </w:r>
      <w:r>
        <w:rPr>
          <w:rFonts w:asciiTheme="majorHAnsi" w:hAnsiTheme="majorHAnsi"/>
          <w:sz w:val="18"/>
          <w:szCs w:val="18"/>
        </w:rPr>
        <w:t xml:space="preserve">Reeves, </w:t>
      </w:r>
      <w:r>
        <w:rPr>
          <w:rFonts w:asciiTheme="majorHAnsi" w:hAnsiTheme="majorHAnsi"/>
          <w:sz w:val="18"/>
          <w:szCs w:val="18"/>
          <w:lang w:val="en-US"/>
        </w:rPr>
        <w:t xml:space="preserve">Reeves, </w:t>
      </w:r>
      <w:r w:rsidRPr="00806068">
        <w:rPr>
          <w:rFonts w:asciiTheme="majorHAnsi" w:hAnsiTheme="majorHAnsi"/>
          <w:sz w:val="18"/>
          <w:szCs w:val="18"/>
          <w:lang w:val="en-US"/>
        </w:rPr>
        <w:t xml:space="preserve"> ‘Auto-ethnography and the Study of Affect and Emotion in World Politics: Investigating Security Discourses at London’s Imperial War Museum’</w:t>
      </w:r>
      <w:r>
        <w:rPr>
          <w:rFonts w:asciiTheme="majorHAnsi" w:hAnsiTheme="majorHAnsi"/>
          <w:sz w:val="18"/>
          <w:szCs w:val="18"/>
          <w:lang w:val="en-US"/>
        </w:rPr>
        <w:t xml:space="preserve">, 110 quoting Wakeman (2014) and Brigg and Bleiker (2010), </w:t>
      </w:r>
    </w:p>
  </w:footnote>
  <w:footnote w:id="21">
    <w:p w14:paraId="1C8F700C" w14:textId="77777777" w:rsidR="0073752B" w:rsidRPr="003D46B0" w:rsidRDefault="0073752B">
      <w:pPr>
        <w:pStyle w:val="Normal1"/>
        <w:spacing w:line="240" w:lineRule="auto"/>
        <w:rPr>
          <w:rFonts w:asciiTheme="majorHAnsi" w:hAnsiTheme="majorHAnsi"/>
          <w:sz w:val="18"/>
          <w:szCs w:val="18"/>
        </w:rPr>
      </w:pPr>
      <w:r w:rsidRPr="003D46B0">
        <w:rPr>
          <w:rFonts w:asciiTheme="majorHAnsi" w:hAnsiTheme="majorHAnsi"/>
          <w:sz w:val="18"/>
          <w:szCs w:val="18"/>
          <w:vertAlign w:val="superscript"/>
        </w:rPr>
        <w:footnoteRef/>
      </w:r>
      <w:r w:rsidRPr="003D46B0">
        <w:rPr>
          <w:rFonts w:asciiTheme="majorHAnsi" w:hAnsiTheme="majorHAnsi"/>
          <w:sz w:val="18"/>
          <w:szCs w:val="18"/>
        </w:rPr>
        <w:t xml:space="preserve"> Sylvester, </w:t>
      </w:r>
      <w:r w:rsidRPr="003D46B0">
        <w:rPr>
          <w:rFonts w:asciiTheme="majorHAnsi" w:hAnsiTheme="majorHAnsi"/>
          <w:i/>
          <w:sz w:val="18"/>
          <w:szCs w:val="18"/>
        </w:rPr>
        <w:t>Art/Museums</w:t>
      </w:r>
      <w:r w:rsidRPr="003D46B0">
        <w:rPr>
          <w:rFonts w:asciiTheme="majorHAnsi" w:hAnsiTheme="majorHAnsi"/>
          <w:sz w:val="18"/>
          <w:szCs w:val="18"/>
        </w:rPr>
        <w:t>.</w:t>
      </w:r>
    </w:p>
  </w:footnote>
  <w:footnote w:id="22">
    <w:p w14:paraId="45CA3322" w14:textId="52FCEA19" w:rsidR="0073752B" w:rsidRPr="003D46B0" w:rsidRDefault="0073752B">
      <w:pPr>
        <w:pStyle w:val="Normal1"/>
        <w:spacing w:line="240" w:lineRule="auto"/>
        <w:rPr>
          <w:rFonts w:asciiTheme="majorHAnsi" w:hAnsiTheme="majorHAnsi"/>
          <w:sz w:val="18"/>
          <w:szCs w:val="18"/>
        </w:rPr>
      </w:pPr>
      <w:r w:rsidRPr="003D46B0">
        <w:rPr>
          <w:rFonts w:asciiTheme="majorHAnsi" w:hAnsiTheme="majorHAnsi"/>
          <w:sz w:val="18"/>
          <w:szCs w:val="18"/>
          <w:vertAlign w:val="superscript"/>
        </w:rPr>
        <w:footnoteRef/>
      </w:r>
      <w:r w:rsidRPr="003D46B0">
        <w:rPr>
          <w:rFonts w:asciiTheme="majorHAnsi" w:hAnsiTheme="majorHAnsi"/>
          <w:sz w:val="18"/>
          <w:szCs w:val="18"/>
        </w:rPr>
        <w:t xml:space="preserve"> </w:t>
      </w:r>
      <w:r>
        <w:rPr>
          <w:rFonts w:asciiTheme="majorHAnsi" w:hAnsiTheme="majorHAnsi"/>
          <w:sz w:val="18"/>
          <w:szCs w:val="18"/>
        </w:rPr>
        <w:t xml:space="preserve">Brenda S. E. </w:t>
      </w:r>
      <w:r w:rsidRPr="003D46B0">
        <w:rPr>
          <w:rFonts w:asciiTheme="majorHAnsi" w:hAnsiTheme="majorHAnsi"/>
          <w:sz w:val="18"/>
          <w:szCs w:val="18"/>
        </w:rPr>
        <w:t xml:space="preserve">Yeoh, ‘Museums and the cultural politics of displaying the nation to the world’, </w:t>
      </w:r>
      <w:r w:rsidRPr="003D46B0">
        <w:rPr>
          <w:rFonts w:asciiTheme="majorHAnsi" w:hAnsiTheme="majorHAnsi"/>
          <w:i/>
          <w:sz w:val="18"/>
          <w:szCs w:val="18"/>
        </w:rPr>
        <w:t>Identities</w:t>
      </w:r>
      <w:r w:rsidRPr="003D46B0">
        <w:rPr>
          <w:rFonts w:asciiTheme="majorHAnsi" w:hAnsiTheme="majorHAnsi"/>
          <w:sz w:val="18"/>
          <w:szCs w:val="18"/>
        </w:rPr>
        <w:t xml:space="preserve"> 21, no.4 (2017): 48-54. </w:t>
      </w:r>
    </w:p>
  </w:footnote>
  <w:footnote w:id="23">
    <w:p w14:paraId="791870B8" w14:textId="1A5350A3" w:rsidR="0073752B" w:rsidRPr="003D46B0" w:rsidRDefault="0073752B">
      <w:pPr>
        <w:pStyle w:val="Normal1"/>
        <w:spacing w:line="240" w:lineRule="auto"/>
        <w:rPr>
          <w:rFonts w:asciiTheme="majorHAnsi" w:hAnsiTheme="majorHAnsi"/>
          <w:sz w:val="18"/>
          <w:szCs w:val="18"/>
        </w:rPr>
      </w:pPr>
      <w:r w:rsidRPr="003D46B0">
        <w:rPr>
          <w:rFonts w:asciiTheme="majorHAnsi" w:hAnsiTheme="majorHAnsi"/>
          <w:sz w:val="18"/>
          <w:szCs w:val="18"/>
          <w:vertAlign w:val="superscript"/>
        </w:rPr>
        <w:footnoteRef/>
      </w:r>
      <w:r w:rsidRPr="003D46B0">
        <w:rPr>
          <w:rFonts w:asciiTheme="majorHAnsi" w:hAnsiTheme="majorHAnsi"/>
          <w:sz w:val="18"/>
          <w:szCs w:val="18"/>
        </w:rPr>
        <w:t xml:space="preserve"> </w:t>
      </w:r>
      <w:r>
        <w:rPr>
          <w:rFonts w:asciiTheme="majorHAnsi" w:hAnsiTheme="majorHAnsi"/>
          <w:sz w:val="18"/>
          <w:szCs w:val="18"/>
        </w:rPr>
        <w:t xml:space="preserve">Jessica </w:t>
      </w:r>
      <w:r w:rsidRPr="003D46B0">
        <w:rPr>
          <w:rFonts w:asciiTheme="majorHAnsi" w:hAnsiTheme="majorHAnsi"/>
          <w:sz w:val="18"/>
          <w:szCs w:val="18"/>
        </w:rPr>
        <w:t xml:space="preserve">Auchter, </w:t>
      </w:r>
      <w:r w:rsidRPr="003D46B0">
        <w:rPr>
          <w:rFonts w:asciiTheme="majorHAnsi" w:hAnsiTheme="majorHAnsi"/>
          <w:i/>
          <w:sz w:val="18"/>
          <w:szCs w:val="18"/>
        </w:rPr>
        <w:t>The Politics of Haunting and Memory in International Relations</w:t>
      </w:r>
      <w:r w:rsidRPr="003D46B0">
        <w:rPr>
          <w:rFonts w:asciiTheme="majorHAnsi" w:hAnsiTheme="majorHAnsi"/>
          <w:sz w:val="18"/>
          <w:szCs w:val="18"/>
        </w:rPr>
        <w:t xml:space="preserve"> (Abingdon: Routledge, 2014), 47.</w:t>
      </w:r>
    </w:p>
  </w:footnote>
  <w:footnote w:id="24">
    <w:p w14:paraId="39A94D16" w14:textId="0565B87B" w:rsidR="0073752B" w:rsidRPr="003D46B0" w:rsidRDefault="0073752B">
      <w:pPr>
        <w:pStyle w:val="Normal1"/>
        <w:spacing w:line="240" w:lineRule="auto"/>
        <w:rPr>
          <w:rFonts w:asciiTheme="majorHAnsi" w:hAnsiTheme="majorHAnsi"/>
          <w:sz w:val="18"/>
          <w:szCs w:val="18"/>
        </w:rPr>
      </w:pPr>
      <w:r w:rsidRPr="003D46B0">
        <w:rPr>
          <w:rFonts w:asciiTheme="majorHAnsi" w:hAnsiTheme="majorHAnsi"/>
          <w:sz w:val="18"/>
          <w:szCs w:val="18"/>
          <w:vertAlign w:val="superscript"/>
        </w:rPr>
        <w:footnoteRef/>
      </w:r>
      <w:r w:rsidRPr="003D46B0">
        <w:rPr>
          <w:rFonts w:asciiTheme="majorHAnsi" w:hAnsiTheme="majorHAnsi"/>
          <w:sz w:val="18"/>
          <w:szCs w:val="18"/>
        </w:rPr>
        <w:t xml:space="preserve"> </w:t>
      </w:r>
      <w:r>
        <w:rPr>
          <w:rFonts w:asciiTheme="majorHAnsi" w:hAnsiTheme="majorHAnsi"/>
          <w:sz w:val="18"/>
          <w:szCs w:val="18"/>
        </w:rPr>
        <w:t xml:space="preserve">Tony </w:t>
      </w:r>
      <w:r w:rsidRPr="003D46B0">
        <w:rPr>
          <w:rFonts w:asciiTheme="majorHAnsi" w:hAnsiTheme="majorHAnsi"/>
          <w:sz w:val="18"/>
          <w:szCs w:val="18"/>
        </w:rPr>
        <w:t xml:space="preserve">Bennett, </w:t>
      </w:r>
      <w:r>
        <w:rPr>
          <w:rFonts w:asciiTheme="majorHAnsi" w:hAnsiTheme="majorHAnsi"/>
          <w:sz w:val="18"/>
          <w:szCs w:val="18"/>
        </w:rPr>
        <w:t xml:space="preserve">Robin Trotter, Donna McAlear </w:t>
      </w:r>
      <w:r w:rsidRPr="003D46B0">
        <w:rPr>
          <w:rFonts w:asciiTheme="majorHAnsi" w:hAnsiTheme="majorHAnsi"/>
          <w:sz w:val="18"/>
          <w:szCs w:val="18"/>
        </w:rPr>
        <w:t>ed</w:t>
      </w:r>
      <w:r>
        <w:rPr>
          <w:rFonts w:asciiTheme="majorHAnsi" w:hAnsiTheme="majorHAnsi"/>
          <w:sz w:val="18"/>
          <w:szCs w:val="18"/>
        </w:rPr>
        <w:t>s</w:t>
      </w:r>
      <w:r w:rsidRPr="003D46B0">
        <w:rPr>
          <w:rFonts w:asciiTheme="majorHAnsi" w:hAnsiTheme="majorHAnsi"/>
          <w:sz w:val="18"/>
          <w:szCs w:val="18"/>
        </w:rPr>
        <w:t xml:space="preserve">., </w:t>
      </w:r>
      <w:r w:rsidRPr="003D46B0">
        <w:rPr>
          <w:rFonts w:asciiTheme="majorHAnsi" w:hAnsiTheme="majorHAnsi"/>
          <w:i/>
          <w:sz w:val="18"/>
          <w:szCs w:val="18"/>
        </w:rPr>
        <w:t xml:space="preserve">Museums and Citizenship: A Resource Book </w:t>
      </w:r>
      <w:r w:rsidRPr="003D46B0">
        <w:rPr>
          <w:rFonts w:asciiTheme="majorHAnsi" w:hAnsiTheme="majorHAnsi"/>
          <w:sz w:val="18"/>
          <w:szCs w:val="18"/>
        </w:rPr>
        <w:t>(Brisbane: Queensland Museum, 1996).</w:t>
      </w:r>
    </w:p>
  </w:footnote>
  <w:footnote w:id="25">
    <w:p w14:paraId="373B28F1" w14:textId="764202DB" w:rsidR="0073752B" w:rsidRPr="001C70B3" w:rsidRDefault="0073752B">
      <w:pPr>
        <w:pStyle w:val="FootnoteText"/>
        <w:rPr>
          <w:rFonts w:asciiTheme="majorHAnsi" w:hAnsiTheme="majorHAnsi"/>
          <w:sz w:val="18"/>
          <w:szCs w:val="18"/>
          <w:lang w:val="en-GB"/>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 </w:t>
      </w:r>
      <w:r w:rsidRPr="00E24DB7">
        <w:rPr>
          <w:rFonts w:asciiTheme="majorHAnsi" w:hAnsiTheme="majorHAnsi"/>
          <w:sz w:val="18"/>
          <w:szCs w:val="18"/>
          <w:lang w:val="en-GB"/>
        </w:rPr>
        <w:t>Quijano,Coloniality of power and Eurocentrism in Latin America</w:t>
      </w:r>
      <w:r>
        <w:rPr>
          <w:rFonts w:asciiTheme="majorHAnsi" w:hAnsiTheme="majorHAnsi"/>
          <w:sz w:val="18"/>
          <w:szCs w:val="18"/>
          <w:lang w:val="en-GB"/>
        </w:rPr>
        <w:t xml:space="preserve">,218; Mignolo </w:t>
      </w:r>
      <w:r w:rsidRPr="00475456">
        <w:rPr>
          <w:rFonts w:asciiTheme="majorHAnsi" w:hAnsiTheme="majorHAnsi"/>
          <w:sz w:val="18"/>
          <w:szCs w:val="18"/>
          <w:lang w:val="en-GB"/>
        </w:rPr>
        <w:t xml:space="preserve">‘Delinking: The Rhetoric of modernity, the logic of coloniality and the grammar of de-coloniality,’ </w:t>
      </w:r>
    </w:p>
  </w:footnote>
  <w:footnote w:id="26">
    <w:p w14:paraId="0D0C5A85" w14:textId="5D74719C" w:rsidR="0073752B" w:rsidRPr="003D46B0" w:rsidRDefault="0073752B">
      <w:pPr>
        <w:pStyle w:val="Normal1"/>
        <w:spacing w:line="240" w:lineRule="auto"/>
        <w:rPr>
          <w:rFonts w:asciiTheme="majorHAnsi" w:hAnsiTheme="majorHAnsi"/>
          <w:sz w:val="18"/>
          <w:szCs w:val="18"/>
        </w:rPr>
      </w:pPr>
      <w:r w:rsidRPr="003D46B0">
        <w:rPr>
          <w:rFonts w:asciiTheme="majorHAnsi" w:hAnsiTheme="majorHAnsi"/>
          <w:sz w:val="18"/>
          <w:szCs w:val="18"/>
          <w:vertAlign w:val="superscript"/>
        </w:rPr>
        <w:footnoteRef/>
      </w:r>
      <w:r w:rsidRPr="003D46B0">
        <w:rPr>
          <w:rFonts w:asciiTheme="majorHAnsi" w:hAnsiTheme="majorHAnsi"/>
          <w:sz w:val="18"/>
          <w:szCs w:val="18"/>
        </w:rPr>
        <w:t xml:space="preserve"> </w:t>
      </w:r>
      <w:r w:rsidRPr="004723FC">
        <w:rPr>
          <w:rFonts w:asciiTheme="majorHAnsi" w:hAnsiTheme="majorHAnsi"/>
          <w:sz w:val="18"/>
          <w:szCs w:val="18"/>
        </w:rPr>
        <w:t xml:space="preserve">Stoler, </w:t>
      </w:r>
      <w:r w:rsidRPr="004723FC">
        <w:rPr>
          <w:rFonts w:asciiTheme="majorHAnsi" w:hAnsiTheme="majorHAnsi"/>
          <w:i/>
          <w:sz w:val="18"/>
          <w:szCs w:val="18"/>
        </w:rPr>
        <w:t xml:space="preserve">Imperial Debris: On Ruins and Ruination </w:t>
      </w:r>
    </w:p>
  </w:footnote>
  <w:footnote w:id="27">
    <w:p w14:paraId="2DF94FE6" w14:textId="77777777" w:rsidR="0073752B" w:rsidRPr="003D46B0" w:rsidRDefault="0073752B">
      <w:pPr>
        <w:pStyle w:val="Normal1"/>
        <w:spacing w:line="240" w:lineRule="auto"/>
        <w:rPr>
          <w:rFonts w:asciiTheme="majorHAnsi" w:hAnsiTheme="majorHAnsi"/>
          <w:sz w:val="18"/>
          <w:szCs w:val="18"/>
        </w:rPr>
      </w:pPr>
      <w:r w:rsidRPr="003D46B0">
        <w:rPr>
          <w:rFonts w:asciiTheme="majorHAnsi" w:hAnsiTheme="majorHAnsi"/>
          <w:sz w:val="18"/>
          <w:szCs w:val="18"/>
          <w:vertAlign w:val="superscript"/>
        </w:rPr>
        <w:footnoteRef/>
      </w:r>
      <w:r w:rsidRPr="003D46B0">
        <w:rPr>
          <w:rFonts w:asciiTheme="majorHAnsi" w:hAnsiTheme="majorHAnsi"/>
          <w:sz w:val="18"/>
          <w:szCs w:val="18"/>
        </w:rPr>
        <w:t xml:space="preserve"> Ibid, 5.</w:t>
      </w:r>
    </w:p>
  </w:footnote>
  <w:footnote w:id="28">
    <w:p w14:paraId="507AEB24" w14:textId="77777777" w:rsidR="0073752B" w:rsidRDefault="0073752B">
      <w:pPr>
        <w:pStyle w:val="Normal1"/>
        <w:spacing w:line="240" w:lineRule="auto"/>
        <w:rPr>
          <w:sz w:val="20"/>
          <w:szCs w:val="20"/>
        </w:rPr>
      </w:pPr>
      <w:r w:rsidRPr="003D46B0">
        <w:rPr>
          <w:rFonts w:asciiTheme="majorHAnsi" w:hAnsiTheme="majorHAnsi"/>
          <w:sz w:val="18"/>
          <w:szCs w:val="18"/>
          <w:vertAlign w:val="superscript"/>
        </w:rPr>
        <w:footnoteRef/>
      </w:r>
      <w:r w:rsidRPr="003D46B0">
        <w:rPr>
          <w:rFonts w:asciiTheme="majorHAnsi" w:hAnsiTheme="majorHAnsi"/>
          <w:sz w:val="18"/>
          <w:szCs w:val="18"/>
        </w:rPr>
        <w:t xml:space="preserve"> Stoler, ‘Preface’, in </w:t>
      </w:r>
      <w:r w:rsidRPr="003D46B0">
        <w:rPr>
          <w:rFonts w:asciiTheme="majorHAnsi" w:hAnsiTheme="majorHAnsi"/>
          <w:i/>
          <w:sz w:val="18"/>
          <w:szCs w:val="18"/>
        </w:rPr>
        <w:t>Imperial Debris</w:t>
      </w:r>
      <w:r w:rsidRPr="003D46B0">
        <w:rPr>
          <w:rFonts w:asciiTheme="majorHAnsi" w:hAnsiTheme="majorHAnsi"/>
          <w:sz w:val="18"/>
          <w:szCs w:val="18"/>
        </w:rPr>
        <w:t>, IV.</w:t>
      </w:r>
      <w:r>
        <w:rPr>
          <w:sz w:val="20"/>
          <w:szCs w:val="20"/>
        </w:rPr>
        <w:t xml:space="preserve"> </w:t>
      </w:r>
    </w:p>
  </w:footnote>
  <w:footnote w:id="29">
    <w:p w14:paraId="169BB3F3" w14:textId="6FE8E286" w:rsidR="0073752B" w:rsidRPr="00364235" w:rsidRDefault="0073752B" w:rsidP="00294630">
      <w:pPr>
        <w:pStyle w:val="Normal1"/>
        <w:spacing w:line="240" w:lineRule="auto"/>
        <w:rPr>
          <w:rFonts w:asciiTheme="majorHAnsi" w:hAnsiTheme="majorHAnsi"/>
          <w:sz w:val="18"/>
          <w:szCs w:val="18"/>
        </w:rPr>
      </w:pPr>
      <w:r w:rsidRPr="00364235">
        <w:rPr>
          <w:rFonts w:asciiTheme="majorHAnsi" w:hAnsiTheme="majorHAnsi"/>
          <w:sz w:val="18"/>
          <w:szCs w:val="18"/>
          <w:vertAlign w:val="superscript"/>
        </w:rPr>
        <w:footnoteRef/>
      </w:r>
      <w:r w:rsidRPr="00364235">
        <w:rPr>
          <w:rFonts w:asciiTheme="majorHAnsi" w:hAnsiTheme="majorHAnsi"/>
          <w:sz w:val="18"/>
          <w:szCs w:val="18"/>
        </w:rPr>
        <w:t xml:space="preserve"> </w:t>
      </w:r>
      <w:r>
        <w:rPr>
          <w:rFonts w:asciiTheme="majorHAnsi" w:hAnsiTheme="majorHAnsi"/>
          <w:sz w:val="18"/>
          <w:szCs w:val="18"/>
        </w:rPr>
        <w:t xml:space="preserve">bell </w:t>
      </w:r>
      <w:r w:rsidRPr="00364235">
        <w:rPr>
          <w:rFonts w:asciiTheme="majorHAnsi" w:hAnsiTheme="majorHAnsi"/>
          <w:sz w:val="18"/>
          <w:szCs w:val="18"/>
        </w:rPr>
        <w:t xml:space="preserve">hooks, ‘The oppositional gaze : Black female spectators’, In </w:t>
      </w:r>
      <w:r w:rsidRPr="00364235">
        <w:rPr>
          <w:rFonts w:asciiTheme="majorHAnsi" w:hAnsiTheme="majorHAnsi"/>
          <w:i/>
          <w:sz w:val="18"/>
          <w:szCs w:val="18"/>
        </w:rPr>
        <w:t>The Film Theory Reader: Debates and Arguments</w:t>
      </w:r>
      <w:r w:rsidRPr="00364235">
        <w:rPr>
          <w:rFonts w:asciiTheme="majorHAnsi" w:hAnsiTheme="majorHAnsi"/>
          <w:sz w:val="18"/>
          <w:szCs w:val="18"/>
        </w:rPr>
        <w:t>, Marc Furstenau</w:t>
      </w:r>
      <w:r>
        <w:rPr>
          <w:rFonts w:asciiTheme="majorHAnsi" w:hAnsiTheme="majorHAnsi"/>
          <w:sz w:val="18"/>
          <w:szCs w:val="18"/>
        </w:rPr>
        <w:t xml:space="preserve"> ed., </w:t>
      </w:r>
      <w:r w:rsidRPr="00364235">
        <w:rPr>
          <w:rFonts w:asciiTheme="majorHAnsi" w:hAnsiTheme="majorHAnsi"/>
          <w:sz w:val="18"/>
          <w:szCs w:val="18"/>
        </w:rPr>
        <w:t xml:space="preserve">(Abingdon: Routledge, 2010), 229-243; </w:t>
      </w:r>
      <w:r>
        <w:rPr>
          <w:rFonts w:asciiTheme="majorHAnsi" w:hAnsiTheme="majorHAnsi"/>
          <w:sz w:val="18"/>
          <w:szCs w:val="18"/>
        </w:rPr>
        <w:t xml:space="preserve">Timothy </w:t>
      </w:r>
      <w:r w:rsidRPr="00364235">
        <w:rPr>
          <w:rFonts w:asciiTheme="majorHAnsi" w:hAnsiTheme="majorHAnsi"/>
          <w:sz w:val="18"/>
          <w:szCs w:val="18"/>
        </w:rPr>
        <w:t xml:space="preserve">Mitchell, </w:t>
      </w:r>
      <w:r w:rsidRPr="00364235">
        <w:rPr>
          <w:rFonts w:asciiTheme="majorHAnsi" w:hAnsiTheme="majorHAnsi"/>
          <w:i/>
          <w:sz w:val="18"/>
          <w:szCs w:val="18"/>
        </w:rPr>
        <w:t xml:space="preserve">Colonising Egypt </w:t>
      </w:r>
      <w:r w:rsidRPr="00364235">
        <w:rPr>
          <w:rFonts w:asciiTheme="majorHAnsi" w:hAnsiTheme="majorHAnsi"/>
          <w:sz w:val="18"/>
          <w:szCs w:val="18"/>
        </w:rPr>
        <w:t>(Berkley, University of California, 1991), 1-10.</w:t>
      </w:r>
      <w:r>
        <w:rPr>
          <w:rFonts w:asciiTheme="majorHAnsi" w:hAnsiTheme="majorHAnsi"/>
          <w:i/>
          <w:sz w:val="18"/>
          <w:szCs w:val="18"/>
        </w:rPr>
        <w:t xml:space="preserve"> </w:t>
      </w:r>
      <w:r w:rsidRPr="00364235">
        <w:rPr>
          <w:rFonts w:asciiTheme="majorHAnsi" w:hAnsiTheme="majorHAnsi"/>
          <w:sz w:val="18"/>
          <w:szCs w:val="18"/>
        </w:rPr>
        <w:t xml:space="preserve">Also see </w:t>
      </w:r>
      <w:r>
        <w:rPr>
          <w:rFonts w:asciiTheme="majorHAnsi" w:hAnsiTheme="majorHAnsi"/>
          <w:sz w:val="18"/>
          <w:szCs w:val="18"/>
        </w:rPr>
        <w:t xml:space="preserve">Tony </w:t>
      </w:r>
      <w:r w:rsidRPr="00364235">
        <w:rPr>
          <w:rFonts w:asciiTheme="majorHAnsi" w:hAnsiTheme="majorHAnsi"/>
          <w:sz w:val="18"/>
          <w:szCs w:val="18"/>
        </w:rPr>
        <w:t>Bennett, , 'Civic seeing: museums and the organisation of vision', in</w:t>
      </w:r>
      <w:r>
        <w:rPr>
          <w:rFonts w:asciiTheme="majorHAnsi" w:hAnsiTheme="majorHAnsi"/>
          <w:sz w:val="18"/>
          <w:szCs w:val="18"/>
        </w:rPr>
        <w:t xml:space="preserve"> </w:t>
      </w:r>
      <w:r w:rsidRPr="00364235">
        <w:rPr>
          <w:rFonts w:asciiTheme="majorHAnsi" w:hAnsiTheme="majorHAnsi"/>
          <w:i/>
          <w:sz w:val="18"/>
          <w:szCs w:val="18"/>
        </w:rPr>
        <w:t>Companion to Museum Studies</w:t>
      </w:r>
      <w:r w:rsidRPr="00364235">
        <w:rPr>
          <w:rFonts w:asciiTheme="majorHAnsi" w:hAnsiTheme="majorHAnsi"/>
          <w:sz w:val="18"/>
          <w:szCs w:val="18"/>
        </w:rPr>
        <w:t>, Sharon MacDonald ed., (Oxford: Blackwell, 2006), 263-81.</w:t>
      </w:r>
    </w:p>
  </w:footnote>
  <w:footnote w:id="30">
    <w:p w14:paraId="6E532C05" w14:textId="454C7A69" w:rsidR="0073752B" w:rsidRPr="00364235" w:rsidRDefault="0073752B">
      <w:pPr>
        <w:pStyle w:val="Normal1"/>
        <w:spacing w:line="240" w:lineRule="auto"/>
        <w:rPr>
          <w:rFonts w:asciiTheme="majorHAnsi" w:hAnsiTheme="majorHAnsi"/>
          <w:sz w:val="18"/>
          <w:szCs w:val="18"/>
        </w:rPr>
      </w:pPr>
      <w:r w:rsidRPr="00364235">
        <w:rPr>
          <w:rFonts w:asciiTheme="majorHAnsi" w:hAnsiTheme="majorHAnsi"/>
          <w:sz w:val="18"/>
          <w:szCs w:val="18"/>
          <w:vertAlign w:val="superscript"/>
        </w:rPr>
        <w:footnoteRef/>
      </w:r>
      <w:r w:rsidRPr="00364235">
        <w:rPr>
          <w:rFonts w:asciiTheme="majorHAnsi" w:hAnsiTheme="majorHAnsi"/>
          <w:sz w:val="18"/>
          <w:szCs w:val="18"/>
        </w:rPr>
        <w:t xml:space="preserve"> </w:t>
      </w:r>
      <w:r>
        <w:rPr>
          <w:rFonts w:asciiTheme="majorHAnsi" w:hAnsiTheme="majorHAnsi"/>
          <w:sz w:val="18"/>
          <w:szCs w:val="18"/>
        </w:rPr>
        <w:t xml:space="preserve">Lydie </w:t>
      </w:r>
      <w:r w:rsidRPr="00364235">
        <w:rPr>
          <w:rFonts w:asciiTheme="majorHAnsi" w:hAnsiTheme="majorHAnsi"/>
          <w:color w:val="2A2A2A"/>
          <w:sz w:val="18"/>
          <w:szCs w:val="18"/>
          <w:highlight w:val="white"/>
        </w:rPr>
        <w:t>Moudileno</w:t>
      </w:r>
      <w:r>
        <w:rPr>
          <w:rFonts w:asciiTheme="majorHAnsi" w:hAnsiTheme="majorHAnsi"/>
          <w:color w:val="2A2A2A"/>
          <w:sz w:val="18"/>
          <w:szCs w:val="18"/>
          <w:highlight w:val="white"/>
        </w:rPr>
        <w:t>,</w:t>
      </w:r>
      <w:r w:rsidRPr="00364235">
        <w:rPr>
          <w:rFonts w:asciiTheme="majorHAnsi" w:hAnsiTheme="majorHAnsi"/>
          <w:color w:val="2A2A2A"/>
          <w:sz w:val="18"/>
          <w:szCs w:val="18"/>
          <w:highlight w:val="white"/>
        </w:rPr>
        <w:t xml:space="preserve"> ‘Returning Remains: Saartjie Baartman, or the “Hottentot Venus” as Transnational Postcolonial Icon’, </w:t>
      </w:r>
      <w:r w:rsidRPr="00364235">
        <w:rPr>
          <w:rFonts w:asciiTheme="majorHAnsi" w:hAnsiTheme="majorHAnsi"/>
          <w:i/>
          <w:color w:val="2A2A2A"/>
          <w:sz w:val="18"/>
          <w:szCs w:val="18"/>
          <w:highlight w:val="white"/>
        </w:rPr>
        <w:t>Forum for Modern Language Studies</w:t>
      </w:r>
      <w:r w:rsidRPr="00364235">
        <w:rPr>
          <w:rFonts w:asciiTheme="majorHAnsi" w:hAnsiTheme="majorHAnsi"/>
          <w:color w:val="2A2A2A"/>
          <w:sz w:val="18"/>
          <w:szCs w:val="18"/>
          <w:highlight w:val="white"/>
        </w:rPr>
        <w:t xml:space="preserve"> 45, no 2 (2009): 200–212. </w:t>
      </w:r>
    </w:p>
  </w:footnote>
  <w:footnote w:id="31">
    <w:p w14:paraId="07CCA53F" w14:textId="2200DCD2" w:rsidR="0073752B" w:rsidRPr="001C70B3" w:rsidRDefault="0073752B" w:rsidP="001C70B3">
      <w:pPr>
        <w:rPr>
          <w:rFonts w:asciiTheme="majorHAnsi" w:hAnsiTheme="majorHAnsi" w:cs="Times New Roman"/>
          <w:color w:val="000000" w:themeColor="text1"/>
          <w:sz w:val="18"/>
          <w:szCs w:val="18"/>
        </w:rPr>
      </w:pPr>
      <w:r w:rsidRPr="001C70B3">
        <w:rPr>
          <w:rFonts w:asciiTheme="majorHAnsi" w:hAnsiTheme="majorHAnsi"/>
          <w:sz w:val="18"/>
          <w:szCs w:val="18"/>
          <w:vertAlign w:val="superscript"/>
        </w:rPr>
        <w:footnoteRef/>
      </w:r>
      <w:r w:rsidRPr="001C70B3">
        <w:rPr>
          <w:rFonts w:asciiTheme="majorHAnsi" w:hAnsiTheme="majorHAnsi"/>
          <w:sz w:val="18"/>
          <w:szCs w:val="18"/>
        </w:rPr>
        <w:t xml:space="preserve"> G</w:t>
      </w:r>
      <w:r w:rsidRPr="001C70B3">
        <w:rPr>
          <w:rFonts w:asciiTheme="majorHAnsi" w:hAnsiTheme="majorHAnsi"/>
          <w:color w:val="000000" w:themeColor="text1"/>
          <w:sz w:val="18"/>
          <w:szCs w:val="18"/>
        </w:rPr>
        <w:t xml:space="preserve">reater London Authority, </w:t>
      </w:r>
      <w:r w:rsidRPr="001C70B3">
        <w:rPr>
          <w:rFonts w:asciiTheme="majorHAnsi" w:hAnsiTheme="majorHAnsi"/>
          <w:i/>
          <w:color w:val="000000" w:themeColor="text1"/>
          <w:sz w:val="18"/>
          <w:szCs w:val="18"/>
        </w:rPr>
        <w:t>Delivering Shared Heritage: The Mayor's Commission on African and Asian Heritage</w:t>
      </w:r>
      <w:r w:rsidRPr="001C70B3">
        <w:rPr>
          <w:rFonts w:asciiTheme="majorHAnsi" w:hAnsiTheme="majorHAnsi"/>
          <w:color w:val="000000" w:themeColor="text1"/>
          <w:sz w:val="18"/>
          <w:szCs w:val="18"/>
        </w:rPr>
        <w:t xml:space="preserve"> (London: Greater London Authority, 2005); Roshi Naidoo ‘Nevermind the buzzwords: `race', heritage and the liberal agenda’, in </w:t>
      </w:r>
      <w:r w:rsidRPr="001C70B3">
        <w:rPr>
          <w:rFonts w:asciiTheme="majorHAnsi" w:hAnsiTheme="majorHAnsi"/>
          <w:i/>
          <w:color w:val="000000" w:themeColor="text1"/>
          <w:sz w:val="18"/>
          <w:szCs w:val="18"/>
        </w:rPr>
        <w:t xml:space="preserve">The Politics of Heritage: </w:t>
      </w:r>
      <w:r w:rsidRPr="001C70B3">
        <w:rPr>
          <w:rFonts w:asciiTheme="majorHAnsi" w:hAnsiTheme="majorHAnsi" w:cs="Times New Roman"/>
          <w:i/>
          <w:color w:val="000000" w:themeColor="text1"/>
          <w:sz w:val="18"/>
          <w:szCs w:val="18"/>
        </w:rPr>
        <w:t xml:space="preserve">The Legacies of Race, </w:t>
      </w:r>
      <w:r w:rsidRPr="001C70B3">
        <w:rPr>
          <w:rFonts w:asciiTheme="majorHAnsi" w:hAnsiTheme="majorHAnsi" w:cs="Times New Roman"/>
          <w:color w:val="000000" w:themeColor="text1"/>
          <w:sz w:val="18"/>
          <w:szCs w:val="18"/>
        </w:rPr>
        <w:t xml:space="preserve">Jo Littler and Roshi Naidoo eds., (Abingdon: Routledge, 2005), 36-48. </w:t>
      </w:r>
    </w:p>
  </w:footnote>
  <w:footnote w:id="32">
    <w:p w14:paraId="0DA63CFD" w14:textId="4EB7F54F" w:rsidR="0073752B" w:rsidRPr="001C70B3" w:rsidRDefault="0073752B" w:rsidP="001C70B3">
      <w:pPr>
        <w:rPr>
          <w:rFonts w:asciiTheme="majorHAnsi" w:eastAsia="Times New Roman" w:hAnsiTheme="majorHAnsi" w:cs="Times New Roman"/>
          <w:color w:val="000000" w:themeColor="text1"/>
          <w:sz w:val="18"/>
          <w:szCs w:val="18"/>
          <w:lang w:val="en-GB" w:eastAsia="en-GB"/>
        </w:rPr>
      </w:pPr>
      <w:r w:rsidRPr="001C70B3">
        <w:rPr>
          <w:rStyle w:val="FootnoteReference"/>
          <w:rFonts w:asciiTheme="majorHAnsi" w:hAnsiTheme="majorHAnsi" w:cs="Times New Roman"/>
          <w:color w:val="000000" w:themeColor="text1"/>
          <w:sz w:val="18"/>
          <w:szCs w:val="18"/>
        </w:rPr>
        <w:footnoteRef/>
      </w:r>
      <w:r w:rsidRPr="001C70B3">
        <w:rPr>
          <w:rFonts w:asciiTheme="majorHAnsi" w:hAnsiTheme="majorHAnsi" w:cs="Times New Roman"/>
          <w:color w:val="000000" w:themeColor="text1"/>
          <w:sz w:val="18"/>
          <w:szCs w:val="18"/>
        </w:rPr>
        <w:t xml:space="preserve"> Aurora </w:t>
      </w:r>
      <w:r w:rsidRPr="001C70B3">
        <w:rPr>
          <w:rFonts w:asciiTheme="majorHAnsi" w:hAnsiTheme="majorHAnsi"/>
          <w:color w:val="000000" w:themeColor="text1"/>
          <w:sz w:val="18"/>
          <w:szCs w:val="18"/>
          <w:shd w:val="clear" w:color="auto" w:fill="FFFFFF"/>
        </w:rPr>
        <w:t>Vergara</w:t>
      </w:r>
      <w:r w:rsidRPr="001C70B3">
        <w:rPr>
          <w:rStyle w:val="apple-converted-space"/>
          <w:rFonts w:asciiTheme="majorHAnsi" w:hAnsiTheme="majorHAnsi"/>
          <w:color w:val="000000" w:themeColor="text1"/>
          <w:sz w:val="18"/>
          <w:szCs w:val="18"/>
          <w:shd w:val="clear" w:color="auto" w:fill="FFFFFF"/>
        </w:rPr>
        <w:t> </w:t>
      </w:r>
      <w:r w:rsidRPr="001C70B3">
        <w:rPr>
          <w:rStyle w:val="Emphasis"/>
          <w:rFonts w:asciiTheme="majorHAnsi" w:hAnsiTheme="majorHAnsi"/>
          <w:i w:val="0"/>
          <w:iCs w:val="0"/>
          <w:color w:val="000000" w:themeColor="text1"/>
          <w:sz w:val="18"/>
          <w:szCs w:val="18"/>
        </w:rPr>
        <w:t xml:space="preserve">Figueroa, </w:t>
      </w:r>
      <w:r w:rsidRPr="001C70B3">
        <w:rPr>
          <w:rFonts w:asciiTheme="majorHAnsi" w:hAnsiTheme="majorHAnsi" w:cs="Gill Sans"/>
          <w:i/>
          <w:iCs/>
          <w:color w:val="000000" w:themeColor="text1"/>
          <w:spacing w:val="5"/>
          <w:sz w:val="18"/>
          <w:szCs w:val="18"/>
        </w:rPr>
        <w:t xml:space="preserve">Afrodescendant Resistance to Deracination in Colombia: </w:t>
      </w:r>
      <w:r w:rsidRPr="001C70B3">
        <w:rPr>
          <w:rFonts w:asciiTheme="majorHAnsi" w:hAnsiTheme="majorHAnsi" w:cs="Gill Sans"/>
          <w:i/>
          <w:iCs/>
          <w:color w:val="000000" w:themeColor="text1"/>
          <w:sz w:val="18"/>
          <w:szCs w:val="18"/>
        </w:rPr>
        <w:t>Massacre at Bellavista-Bojayá-Chocó</w:t>
      </w:r>
      <w:r w:rsidRPr="00B95E0F">
        <w:rPr>
          <w:rFonts w:asciiTheme="majorHAnsi" w:hAnsiTheme="majorHAnsi" w:cs="Gill Sans"/>
          <w:color w:val="000000" w:themeColor="text1"/>
          <w:sz w:val="18"/>
          <w:szCs w:val="18"/>
        </w:rPr>
        <w:t xml:space="preserve"> (London: Palgrave, 2018)</w:t>
      </w:r>
      <w:r w:rsidRPr="00B95E0F">
        <w:rPr>
          <w:rFonts w:asciiTheme="majorHAnsi" w:eastAsia="Times New Roman" w:hAnsiTheme="majorHAnsi" w:cs="Times New Roman"/>
          <w:color w:val="000000" w:themeColor="text1"/>
          <w:sz w:val="18"/>
          <w:szCs w:val="18"/>
          <w:lang w:val="en-GB" w:eastAsia="en-GB"/>
        </w:rPr>
        <w:t xml:space="preserve"> also </w:t>
      </w:r>
      <w:r>
        <w:rPr>
          <w:rFonts w:asciiTheme="majorHAnsi" w:eastAsia="Times New Roman" w:hAnsiTheme="majorHAnsi" w:cs="Times New Roman"/>
          <w:color w:val="000000" w:themeColor="text1"/>
          <w:sz w:val="18"/>
          <w:szCs w:val="18"/>
          <w:lang w:val="en-GB" w:eastAsia="en-GB"/>
        </w:rPr>
        <w:t xml:space="preserve">see </w:t>
      </w:r>
      <w:r w:rsidRPr="001C70B3">
        <w:rPr>
          <w:rFonts w:asciiTheme="majorHAnsi" w:eastAsia="Times New Roman" w:hAnsiTheme="majorHAnsi" w:cs="Times New Roman"/>
          <w:color w:val="000000" w:themeColor="text1"/>
          <w:sz w:val="18"/>
          <w:szCs w:val="18"/>
          <w:lang w:val="en-GB" w:eastAsia="en-GB"/>
        </w:rPr>
        <w:t>Bernadette T. Lynch &amp; Samuel J.M.M. Alberti</w:t>
      </w:r>
      <w:r w:rsidRPr="001C70B3">
        <w:rPr>
          <w:rFonts w:asciiTheme="majorHAnsi" w:eastAsia="Times New Roman" w:hAnsiTheme="majorHAnsi" w:cs="Times New Roman" w:hint="eastAsia"/>
          <w:color w:val="000000" w:themeColor="text1"/>
          <w:sz w:val="18"/>
          <w:szCs w:val="18"/>
          <w:shd w:val="clear" w:color="auto" w:fill="FFFFFF"/>
          <w:lang w:val="en-GB" w:eastAsia="en-GB"/>
        </w:rPr>
        <w:t> </w:t>
      </w:r>
      <w:r w:rsidRPr="001C70B3">
        <w:rPr>
          <w:rFonts w:asciiTheme="majorHAnsi" w:eastAsia="Times New Roman" w:hAnsiTheme="majorHAnsi" w:cs="Times New Roman"/>
          <w:color w:val="000000" w:themeColor="text1"/>
          <w:sz w:val="18"/>
          <w:szCs w:val="18"/>
          <w:lang w:val="en-GB" w:eastAsia="en-GB"/>
        </w:rPr>
        <w:t>(2010)</w:t>
      </w:r>
      <w:r w:rsidRPr="001C70B3">
        <w:rPr>
          <w:rFonts w:asciiTheme="majorHAnsi" w:eastAsia="Times New Roman" w:hAnsiTheme="majorHAnsi" w:cs="Times New Roman" w:hint="eastAsia"/>
          <w:color w:val="000000" w:themeColor="text1"/>
          <w:sz w:val="18"/>
          <w:szCs w:val="18"/>
          <w:shd w:val="clear" w:color="auto" w:fill="FFFFFF"/>
          <w:lang w:val="en-GB" w:eastAsia="en-GB"/>
        </w:rPr>
        <w:t> </w:t>
      </w:r>
      <w:r w:rsidRPr="001C70B3">
        <w:rPr>
          <w:rFonts w:asciiTheme="majorHAnsi" w:eastAsia="Times New Roman" w:hAnsiTheme="majorHAnsi" w:cs="Times New Roman"/>
          <w:color w:val="000000" w:themeColor="text1"/>
          <w:sz w:val="18"/>
          <w:szCs w:val="18"/>
          <w:lang w:val="en-GB" w:eastAsia="en-GB"/>
        </w:rPr>
        <w:t>Legacies of prejudice: racism, co-production and radical trust in the museum,</w:t>
      </w:r>
      <w:r w:rsidRPr="001C70B3">
        <w:rPr>
          <w:rFonts w:asciiTheme="majorHAnsi" w:eastAsia="Times New Roman" w:hAnsiTheme="majorHAnsi" w:cs="Times New Roman" w:hint="eastAsia"/>
          <w:color w:val="000000" w:themeColor="text1"/>
          <w:sz w:val="18"/>
          <w:szCs w:val="18"/>
          <w:shd w:val="clear" w:color="auto" w:fill="FFFFFF"/>
          <w:lang w:val="en-GB" w:eastAsia="en-GB"/>
        </w:rPr>
        <w:t> </w:t>
      </w:r>
      <w:r w:rsidRPr="001C70B3">
        <w:rPr>
          <w:rFonts w:asciiTheme="majorHAnsi" w:eastAsia="Times New Roman" w:hAnsiTheme="majorHAnsi" w:cs="Times New Roman"/>
          <w:color w:val="000000" w:themeColor="text1"/>
          <w:sz w:val="18"/>
          <w:szCs w:val="18"/>
          <w:lang w:val="en-GB" w:eastAsia="en-GB"/>
        </w:rPr>
        <w:t>Museum Management and Curatorship,</w:t>
      </w:r>
      <w:r w:rsidRPr="001C70B3">
        <w:rPr>
          <w:rFonts w:asciiTheme="majorHAnsi" w:eastAsia="Times New Roman" w:hAnsiTheme="majorHAnsi" w:cs="Times New Roman" w:hint="eastAsia"/>
          <w:color w:val="000000" w:themeColor="text1"/>
          <w:sz w:val="18"/>
          <w:szCs w:val="18"/>
          <w:shd w:val="clear" w:color="auto" w:fill="FFFFFF"/>
          <w:lang w:val="en-GB" w:eastAsia="en-GB"/>
        </w:rPr>
        <w:t> </w:t>
      </w:r>
      <w:r w:rsidRPr="001C70B3">
        <w:rPr>
          <w:rFonts w:asciiTheme="majorHAnsi" w:eastAsia="Times New Roman" w:hAnsiTheme="majorHAnsi" w:cs="Times New Roman"/>
          <w:color w:val="000000" w:themeColor="text1"/>
          <w:sz w:val="18"/>
          <w:szCs w:val="18"/>
          <w:lang w:val="en-GB" w:eastAsia="en-GB"/>
        </w:rPr>
        <w:t>25:1,</w:t>
      </w:r>
      <w:r w:rsidRPr="001C70B3">
        <w:rPr>
          <w:rFonts w:asciiTheme="majorHAnsi" w:eastAsia="Times New Roman" w:hAnsiTheme="majorHAnsi" w:cs="Times New Roman" w:hint="eastAsia"/>
          <w:color w:val="000000" w:themeColor="text1"/>
          <w:sz w:val="18"/>
          <w:szCs w:val="18"/>
          <w:shd w:val="clear" w:color="auto" w:fill="FFFFFF"/>
          <w:lang w:val="en-GB" w:eastAsia="en-GB"/>
        </w:rPr>
        <w:t> </w:t>
      </w:r>
      <w:r w:rsidRPr="001C70B3">
        <w:rPr>
          <w:rFonts w:asciiTheme="majorHAnsi" w:eastAsia="Times New Roman" w:hAnsiTheme="majorHAnsi" w:cs="Times New Roman"/>
          <w:color w:val="000000" w:themeColor="text1"/>
          <w:sz w:val="18"/>
          <w:szCs w:val="18"/>
          <w:lang w:val="en-GB" w:eastAsia="en-GB"/>
        </w:rPr>
        <w:t>13-35,</w:t>
      </w:r>
      <w:r w:rsidRPr="001C70B3">
        <w:rPr>
          <w:rFonts w:asciiTheme="majorHAnsi" w:eastAsia="Times New Roman" w:hAnsiTheme="majorHAnsi" w:cs="Times New Roman" w:hint="eastAsia"/>
          <w:color w:val="000000" w:themeColor="text1"/>
          <w:sz w:val="18"/>
          <w:szCs w:val="18"/>
          <w:shd w:val="clear" w:color="auto" w:fill="FFFFFF"/>
          <w:lang w:val="en-GB" w:eastAsia="en-GB"/>
        </w:rPr>
        <w:t> </w:t>
      </w:r>
    </w:p>
  </w:footnote>
  <w:footnote w:id="33">
    <w:p w14:paraId="50EC04E1" w14:textId="024ABD75" w:rsidR="0073752B" w:rsidRPr="001C70B3" w:rsidRDefault="0073752B" w:rsidP="001C70B3">
      <w:pPr>
        <w:rPr>
          <w:rFonts w:asciiTheme="majorHAnsi" w:hAnsiTheme="majorHAnsi"/>
          <w:sz w:val="18"/>
          <w:szCs w:val="18"/>
        </w:rPr>
      </w:pPr>
      <w:r w:rsidRPr="001C70B3">
        <w:rPr>
          <w:rFonts w:asciiTheme="majorHAnsi" w:hAnsiTheme="majorHAnsi" w:cs="Times New Roman"/>
          <w:color w:val="000000" w:themeColor="text1"/>
          <w:sz w:val="18"/>
          <w:szCs w:val="18"/>
          <w:vertAlign w:val="superscript"/>
        </w:rPr>
        <w:footnoteRef/>
      </w:r>
      <w:r w:rsidRPr="001C70B3">
        <w:rPr>
          <w:rFonts w:asciiTheme="majorHAnsi" w:hAnsiTheme="majorHAnsi" w:cs="Times New Roman"/>
          <w:color w:val="000000" w:themeColor="text1"/>
          <w:sz w:val="18"/>
          <w:szCs w:val="18"/>
        </w:rPr>
        <w:t xml:space="preserve"> Divya P. Tolia-Kelly, ‘Feeling and being at the (postcolonial) museum: presencing the affective politics</w:t>
      </w:r>
      <w:r w:rsidRPr="001C70B3">
        <w:rPr>
          <w:rFonts w:asciiTheme="majorHAnsi" w:hAnsiTheme="majorHAnsi"/>
          <w:color w:val="000000" w:themeColor="text1"/>
          <w:sz w:val="18"/>
          <w:szCs w:val="18"/>
        </w:rPr>
        <w:t xml:space="preserve"> of ‘race’ and culture’, </w:t>
      </w:r>
      <w:r w:rsidRPr="001C70B3">
        <w:rPr>
          <w:rFonts w:asciiTheme="majorHAnsi" w:hAnsiTheme="majorHAnsi"/>
          <w:i/>
          <w:color w:val="000000" w:themeColor="text1"/>
          <w:sz w:val="18"/>
          <w:szCs w:val="18"/>
        </w:rPr>
        <w:t>Sociology</w:t>
      </w:r>
      <w:r w:rsidRPr="001C70B3">
        <w:rPr>
          <w:rFonts w:asciiTheme="majorHAnsi" w:hAnsiTheme="majorHAnsi"/>
          <w:color w:val="000000" w:themeColor="text1"/>
          <w:sz w:val="18"/>
          <w:szCs w:val="18"/>
        </w:rPr>
        <w:t xml:space="preserve"> 50, no. 5 (2016): 896-912; on being made ‘out of place’ see Sara </w:t>
      </w:r>
      <w:r w:rsidRPr="001C70B3">
        <w:rPr>
          <w:rFonts w:asciiTheme="majorHAnsi" w:hAnsiTheme="majorHAnsi"/>
          <w:sz w:val="18"/>
          <w:szCs w:val="18"/>
        </w:rPr>
        <w:t xml:space="preserve">Ahmed, </w:t>
      </w:r>
      <w:r w:rsidRPr="001C70B3">
        <w:rPr>
          <w:rFonts w:asciiTheme="majorHAnsi" w:hAnsiTheme="majorHAnsi"/>
          <w:i/>
          <w:iCs/>
          <w:sz w:val="18"/>
          <w:szCs w:val="18"/>
        </w:rPr>
        <w:t>Strange Encounters: Embodied Others in Postcoloniality</w:t>
      </w:r>
      <w:r w:rsidRPr="001C70B3">
        <w:rPr>
          <w:rFonts w:asciiTheme="majorHAnsi" w:hAnsiTheme="majorHAnsi"/>
          <w:sz w:val="18"/>
          <w:szCs w:val="18"/>
        </w:rPr>
        <w:t xml:space="preserve">. London: Routledge; Nirmal Puwar, </w:t>
      </w:r>
      <w:r w:rsidRPr="001C70B3">
        <w:rPr>
          <w:rFonts w:asciiTheme="majorHAnsi" w:hAnsiTheme="majorHAnsi"/>
          <w:i/>
          <w:iCs/>
          <w:sz w:val="18"/>
          <w:szCs w:val="18"/>
        </w:rPr>
        <w:t xml:space="preserve">Space Invaders: Race Gender and Bodies Out of Place. </w:t>
      </w:r>
      <w:r w:rsidRPr="001C70B3">
        <w:rPr>
          <w:rFonts w:asciiTheme="majorHAnsi" w:hAnsiTheme="majorHAnsi"/>
          <w:sz w:val="18"/>
          <w:szCs w:val="18"/>
        </w:rPr>
        <w:t xml:space="preserve">Oxford: Berg Publishing. </w:t>
      </w:r>
    </w:p>
  </w:footnote>
  <w:footnote w:id="34">
    <w:p w14:paraId="7FDEBCB8" w14:textId="57E216F7" w:rsidR="0073752B" w:rsidRPr="009A7186" w:rsidRDefault="0073752B">
      <w:pPr>
        <w:pStyle w:val="FootnoteText"/>
        <w:rPr>
          <w:rFonts w:asciiTheme="majorHAnsi" w:hAnsiTheme="majorHAnsi"/>
          <w:sz w:val="18"/>
          <w:szCs w:val="18"/>
          <w:lang w:val="en-US"/>
        </w:rPr>
      </w:pPr>
      <w:r w:rsidRPr="009A7186">
        <w:rPr>
          <w:rStyle w:val="FootnoteReference"/>
          <w:rFonts w:asciiTheme="majorHAnsi" w:hAnsiTheme="majorHAnsi"/>
          <w:sz w:val="18"/>
          <w:szCs w:val="18"/>
        </w:rPr>
        <w:footnoteRef/>
      </w:r>
      <w:r w:rsidRPr="009A7186">
        <w:rPr>
          <w:rFonts w:asciiTheme="majorHAnsi" w:hAnsiTheme="majorHAnsi"/>
          <w:sz w:val="18"/>
          <w:szCs w:val="18"/>
        </w:rPr>
        <w:t xml:space="preserve"> Ibid</w:t>
      </w:r>
    </w:p>
  </w:footnote>
  <w:footnote w:id="35">
    <w:p w14:paraId="182086F1" w14:textId="09D867F6" w:rsidR="0073752B" w:rsidRPr="001C70B3" w:rsidRDefault="0073752B">
      <w:pPr>
        <w:pStyle w:val="FootnoteText"/>
        <w:rPr>
          <w:rFonts w:asciiTheme="majorHAnsi" w:hAnsiTheme="majorHAnsi"/>
          <w:sz w:val="18"/>
          <w:szCs w:val="18"/>
          <w:lang w:val="en-GB"/>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 </w:t>
      </w:r>
      <w:r>
        <w:rPr>
          <w:rFonts w:asciiTheme="majorHAnsi" w:hAnsiTheme="majorHAnsi"/>
          <w:sz w:val="18"/>
          <w:szCs w:val="18"/>
        </w:rPr>
        <w:t xml:space="preserve">Kimberle </w:t>
      </w:r>
      <w:r w:rsidRPr="00DB52A8">
        <w:rPr>
          <w:rFonts w:asciiTheme="majorHAnsi" w:hAnsiTheme="majorHAnsi"/>
          <w:sz w:val="18"/>
          <w:szCs w:val="18"/>
          <w:lang w:val="en-GB"/>
        </w:rPr>
        <w:t xml:space="preserve">Crenshaw,  </w:t>
      </w:r>
      <w:r>
        <w:rPr>
          <w:rFonts w:asciiTheme="majorHAnsi" w:hAnsiTheme="majorHAnsi"/>
          <w:sz w:val="18"/>
          <w:szCs w:val="18"/>
          <w:lang w:val="en-GB"/>
        </w:rPr>
        <w:t>‘</w:t>
      </w:r>
      <w:r w:rsidRPr="00DB52A8">
        <w:rPr>
          <w:rFonts w:asciiTheme="majorHAnsi" w:hAnsiTheme="majorHAnsi"/>
          <w:sz w:val="18"/>
          <w:szCs w:val="18"/>
          <w:lang w:val="en-GB"/>
        </w:rPr>
        <w:t>Mapping the margins: Intersectionality, identity politics, and violence against women of color</w:t>
      </w:r>
      <w:r>
        <w:rPr>
          <w:rFonts w:asciiTheme="majorHAnsi" w:hAnsiTheme="majorHAnsi"/>
          <w:sz w:val="18"/>
          <w:szCs w:val="18"/>
          <w:lang w:val="en-GB"/>
        </w:rPr>
        <w:t>’</w:t>
      </w:r>
      <w:r w:rsidRPr="00DB52A8">
        <w:rPr>
          <w:rFonts w:asciiTheme="majorHAnsi" w:hAnsiTheme="majorHAnsi"/>
          <w:sz w:val="18"/>
          <w:szCs w:val="18"/>
          <w:lang w:val="en-GB"/>
        </w:rPr>
        <w:t xml:space="preserve"> </w:t>
      </w:r>
      <w:r w:rsidRPr="00DB52A8">
        <w:rPr>
          <w:rFonts w:asciiTheme="majorHAnsi" w:hAnsiTheme="majorHAnsi"/>
          <w:i/>
          <w:iCs/>
          <w:sz w:val="18"/>
          <w:szCs w:val="18"/>
          <w:lang w:val="en-GB"/>
        </w:rPr>
        <w:t>Stan</w:t>
      </w:r>
      <w:r>
        <w:rPr>
          <w:rFonts w:asciiTheme="majorHAnsi" w:hAnsiTheme="majorHAnsi"/>
          <w:i/>
          <w:iCs/>
          <w:sz w:val="18"/>
          <w:szCs w:val="18"/>
          <w:lang w:val="en-GB"/>
        </w:rPr>
        <w:t xml:space="preserve">ford </w:t>
      </w:r>
      <w:r w:rsidRPr="00DB52A8">
        <w:rPr>
          <w:rFonts w:asciiTheme="majorHAnsi" w:hAnsiTheme="majorHAnsi"/>
          <w:i/>
          <w:iCs/>
          <w:sz w:val="18"/>
          <w:szCs w:val="18"/>
          <w:lang w:val="en-GB"/>
        </w:rPr>
        <w:t>L</w:t>
      </w:r>
      <w:r>
        <w:rPr>
          <w:rFonts w:asciiTheme="majorHAnsi" w:hAnsiTheme="majorHAnsi"/>
          <w:i/>
          <w:iCs/>
          <w:sz w:val="18"/>
          <w:szCs w:val="18"/>
          <w:lang w:val="en-GB"/>
        </w:rPr>
        <w:t>aw</w:t>
      </w:r>
      <w:r w:rsidRPr="00DB52A8">
        <w:rPr>
          <w:rFonts w:asciiTheme="majorHAnsi" w:hAnsiTheme="majorHAnsi"/>
          <w:i/>
          <w:iCs/>
          <w:sz w:val="18"/>
          <w:szCs w:val="18"/>
          <w:lang w:val="en-GB"/>
        </w:rPr>
        <w:t xml:space="preserve"> Rev</w:t>
      </w:r>
      <w:r>
        <w:rPr>
          <w:rFonts w:asciiTheme="majorHAnsi" w:hAnsiTheme="majorHAnsi"/>
          <w:i/>
          <w:iCs/>
          <w:sz w:val="18"/>
          <w:szCs w:val="18"/>
          <w:lang w:val="en-GB"/>
        </w:rPr>
        <w:t>iew</w:t>
      </w:r>
      <w:r w:rsidRPr="00DB52A8">
        <w:rPr>
          <w:rFonts w:asciiTheme="majorHAnsi" w:hAnsiTheme="majorHAnsi"/>
          <w:sz w:val="18"/>
          <w:szCs w:val="18"/>
          <w:lang w:val="en-GB"/>
        </w:rPr>
        <w:t xml:space="preserve"> 43 (1990): 1241</w:t>
      </w:r>
      <w:r>
        <w:rPr>
          <w:rFonts w:asciiTheme="majorHAnsi" w:hAnsiTheme="majorHAnsi"/>
          <w:sz w:val="18"/>
          <w:szCs w:val="18"/>
          <w:lang w:val="en-GB"/>
        </w:rPr>
        <w:t xml:space="preserve">; Angela </w:t>
      </w:r>
      <w:r w:rsidRPr="00270E63">
        <w:rPr>
          <w:rFonts w:asciiTheme="majorHAnsi" w:hAnsiTheme="majorHAnsi"/>
          <w:sz w:val="18"/>
          <w:szCs w:val="18"/>
          <w:lang w:val="en-GB"/>
        </w:rPr>
        <w:t xml:space="preserve">Davis,  </w:t>
      </w:r>
      <w:r w:rsidRPr="00270E63">
        <w:rPr>
          <w:rFonts w:asciiTheme="majorHAnsi" w:hAnsiTheme="majorHAnsi"/>
          <w:i/>
          <w:iCs/>
          <w:sz w:val="18"/>
          <w:szCs w:val="18"/>
          <w:lang w:val="en-GB"/>
        </w:rPr>
        <w:t>Women, Race and Class</w:t>
      </w:r>
      <w:r w:rsidRPr="00270E63">
        <w:rPr>
          <w:rFonts w:asciiTheme="majorHAnsi" w:hAnsiTheme="majorHAnsi"/>
          <w:sz w:val="18"/>
          <w:szCs w:val="18"/>
          <w:lang w:val="en-GB"/>
        </w:rPr>
        <w:t xml:space="preserve">, </w:t>
      </w:r>
      <w:r>
        <w:rPr>
          <w:rFonts w:asciiTheme="majorHAnsi" w:hAnsiTheme="majorHAnsi"/>
          <w:sz w:val="18"/>
          <w:szCs w:val="18"/>
          <w:lang w:val="en-GB"/>
        </w:rPr>
        <w:t>(</w:t>
      </w:r>
      <w:r w:rsidRPr="00270E63">
        <w:rPr>
          <w:rFonts w:asciiTheme="majorHAnsi" w:hAnsiTheme="majorHAnsi"/>
          <w:sz w:val="18"/>
          <w:szCs w:val="18"/>
          <w:lang w:val="en-GB"/>
        </w:rPr>
        <w:t>New York: Random House</w:t>
      </w:r>
      <w:r>
        <w:rPr>
          <w:rFonts w:asciiTheme="majorHAnsi" w:hAnsiTheme="majorHAnsi"/>
          <w:sz w:val="18"/>
          <w:szCs w:val="18"/>
          <w:lang w:val="en-GB"/>
        </w:rPr>
        <w:t xml:space="preserve">, 1981); Patricia Hill Collins, </w:t>
      </w:r>
      <w:r w:rsidRPr="001C70B3">
        <w:rPr>
          <w:rFonts w:asciiTheme="majorHAnsi" w:hAnsiTheme="majorHAnsi"/>
          <w:i/>
          <w:iCs/>
          <w:sz w:val="18"/>
          <w:szCs w:val="18"/>
          <w:lang w:val="en-GB"/>
        </w:rPr>
        <w:t>Black Feminist Thought: Knowledge, Consciousness, and the Politics of Empowerment</w:t>
      </w:r>
      <w:r w:rsidRPr="005710A1">
        <w:rPr>
          <w:rFonts w:asciiTheme="majorHAnsi" w:hAnsiTheme="majorHAnsi"/>
          <w:sz w:val="18"/>
          <w:szCs w:val="18"/>
          <w:lang w:val="en-GB"/>
        </w:rPr>
        <w:t xml:space="preserve">. 2d ed. </w:t>
      </w:r>
      <w:r>
        <w:rPr>
          <w:rFonts w:asciiTheme="majorHAnsi" w:hAnsiTheme="majorHAnsi"/>
          <w:sz w:val="18"/>
          <w:szCs w:val="18"/>
          <w:lang w:val="en-GB"/>
        </w:rPr>
        <w:t>(New York: Routledge, 2000).</w:t>
      </w:r>
    </w:p>
  </w:footnote>
  <w:footnote w:id="36">
    <w:p w14:paraId="27D6FBF3" w14:textId="77777777" w:rsidR="0073752B" w:rsidRPr="009B3E92" w:rsidRDefault="0073752B">
      <w:pPr>
        <w:pStyle w:val="Normal1"/>
        <w:spacing w:line="240" w:lineRule="auto"/>
        <w:rPr>
          <w:rFonts w:asciiTheme="majorHAnsi" w:hAnsiTheme="majorHAnsi"/>
          <w:sz w:val="18"/>
          <w:szCs w:val="18"/>
        </w:rPr>
      </w:pPr>
      <w:r w:rsidRPr="009B3E92">
        <w:rPr>
          <w:rFonts w:asciiTheme="majorHAnsi" w:hAnsiTheme="majorHAnsi"/>
          <w:sz w:val="18"/>
          <w:szCs w:val="18"/>
          <w:vertAlign w:val="superscript"/>
        </w:rPr>
        <w:footnoteRef/>
      </w:r>
      <w:r w:rsidRPr="009B3E92">
        <w:rPr>
          <w:rFonts w:asciiTheme="majorHAnsi" w:hAnsiTheme="majorHAnsi"/>
          <w:sz w:val="18"/>
          <w:szCs w:val="18"/>
        </w:rPr>
        <w:t xml:space="preserve"> Tolia-Kelly, ‘Feeling and being at the (postcolonial) museum’, 900-905.</w:t>
      </w:r>
    </w:p>
  </w:footnote>
  <w:footnote w:id="37">
    <w:p w14:paraId="13F5E6AB" w14:textId="61F6F1D5" w:rsidR="0073752B" w:rsidRPr="00E3290B" w:rsidRDefault="0073752B" w:rsidP="003B40A7">
      <w:pPr>
        <w:pStyle w:val="Normal1"/>
        <w:spacing w:line="240" w:lineRule="auto"/>
        <w:rPr>
          <w:rFonts w:asciiTheme="majorHAnsi" w:hAnsiTheme="majorHAnsi"/>
          <w:sz w:val="18"/>
          <w:szCs w:val="18"/>
        </w:rPr>
      </w:pPr>
      <w:r w:rsidRPr="009B3E92">
        <w:rPr>
          <w:rFonts w:asciiTheme="majorHAnsi" w:hAnsiTheme="majorHAnsi"/>
          <w:sz w:val="18"/>
          <w:szCs w:val="18"/>
          <w:vertAlign w:val="superscript"/>
        </w:rPr>
        <w:footnoteRef/>
      </w:r>
      <w:r w:rsidRPr="009B3E92">
        <w:rPr>
          <w:rFonts w:asciiTheme="majorHAnsi" w:hAnsiTheme="majorHAnsi"/>
          <w:sz w:val="18"/>
          <w:szCs w:val="18"/>
        </w:rPr>
        <w:t xml:space="preserve"> </w:t>
      </w:r>
      <w:r w:rsidRPr="00E3290B">
        <w:rPr>
          <w:rFonts w:asciiTheme="majorHAnsi" w:hAnsiTheme="majorHAnsi"/>
          <w:sz w:val="18"/>
          <w:szCs w:val="18"/>
        </w:rPr>
        <w:t xml:space="preserve">Ghassan Hage, ‘The Affective Politics of Racial Mis-interpellation’, </w:t>
      </w:r>
      <w:r w:rsidRPr="00E3290B">
        <w:rPr>
          <w:rFonts w:asciiTheme="majorHAnsi" w:hAnsiTheme="majorHAnsi"/>
          <w:i/>
          <w:sz w:val="18"/>
          <w:szCs w:val="18"/>
        </w:rPr>
        <w:t xml:space="preserve">Theory, Culture &amp; Society </w:t>
      </w:r>
      <w:r w:rsidRPr="00E3290B">
        <w:rPr>
          <w:rFonts w:asciiTheme="majorHAnsi" w:hAnsiTheme="majorHAnsi"/>
          <w:sz w:val="18"/>
          <w:szCs w:val="18"/>
        </w:rPr>
        <w:t>27, no. 7-8 (2011):112-129.</w:t>
      </w:r>
    </w:p>
  </w:footnote>
  <w:footnote w:id="38">
    <w:p w14:paraId="7E79065D" w14:textId="77777777" w:rsidR="0073752B" w:rsidRDefault="0073752B" w:rsidP="004D07D2">
      <w:pPr>
        <w:pStyle w:val="Normal1"/>
        <w:spacing w:line="240" w:lineRule="auto"/>
        <w:rPr>
          <w:sz w:val="20"/>
          <w:szCs w:val="20"/>
        </w:rPr>
      </w:pPr>
      <w:r w:rsidRPr="009B3E92">
        <w:rPr>
          <w:rFonts w:asciiTheme="majorHAnsi" w:hAnsiTheme="majorHAnsi"/>
          <w:sz w:val="18"/>
          <w:szCs w:val="18"/>
          <w:vertAlign w:val="superscript"/>
        </w:rPr>
        <w:footnoteRef/>
      </w:r>
      <w:r w:rsidRPr="009B3E92">
        <w:rPr>
          <w:rFonts w:asciiTheme="majorHAnsi" w:hAnsiTheme="majorHAnsi"/>
          <w:sz w:val="18"/>
          <w:szCs w:val="18"/>
        </w:rPr>
        <w:t xml:space="preserve"> </w:t>
      </w:r>
      <w:r>
        <w:rPr>
          <w:rFonts w:asciiTheme="majorHAnsi" w:hAnsiTheme="majorHAnsi"/>
          <w:sz w:val="18"/>
          <w:szCs w:val="18"/>
        </w:rPr>
        <w:t xml:space="preserve">Sara </w:t>
      </w:r>
      <w:r w:rsidRPr="009B3E92">
        <w:rPr>
          <w:rFonts w:asciiTheme="majorHAnsi" w:hAnsiTheme="majorHAnsi"/>
          <w:sz w:val="18"/>
          <w:szCs w:val="18"/>
        </w:rPr>
        <w:t xml:space="preserve">Smith, ‘Intimacy and angst in the field’, </w:t>
      </w:r>
      <w:r w:rsidRPr="009B3E92">
        <w:rPr>
          <w:rFonts w:asciiTheme="majorHAnsi" w:hAnsiTheme="majorHAnsi"/>
          <w:i/>
          <w:sz w:val="18"/>
          <w:szCs w:val="18"/>
        </w:rPr>
        <w:t>Gender, Place &amp; Culture</w:t>
      </w:r>
      <w:r w:rsidRPr="009B3E92">
        <w:rPr>
          <w:rFonts w:asciiTheme="majorHAnsi" w:hAnsiTheme="majorHAnsi"/>
          <w:sz w:val="18"/>
          <w:szCs w:val="18"/>
        </w:rPr>
        <w:t xml:space="preserve"> 23, no. 1 (2016): 134-146.</w:t>
      </w:r>
    </w:p>
  </w:footnote>
  <w:footnote w:id="39">
    <w:p w14:paraId="668E2DB5" w14:textId="77777777" w:rsidR="0073752B" w:rsidRPr="00E3290B" w:rsidRDefault="0073752B" w:rsidP="00BD6180">
      <w:pPr>
        <w:pStyle w:val="Normal1"/>
        <w:spacing w:line="240" w:lineRule="auto"/>
        <w:rPr>
          <w:rFonts w:asciiTheme="majorHAnsi" w:hAnsiTheme="majorHAnsi"/>
          <w:sz w:val="18"/>
          <w:szCs w:val="18"/>
        </w:rPr>
      </w:pPr>
      <w:r w:rsidRPr="00E3290B">
        <w:rPr>
          <w:rFonts w:asciiTheme="majorHAnsi" w:hAnsiTheme="majorHAnsi"/>
          <w:sz w:val="18"/>
          <w:szCs w:val="18"/>
          <w:vertAlign w:val="superscript"/>
        </w:rPr>
        <w:footnoteRef/>
      </w:r>
      <w:r w:rsidRPr="00E3290B">
        <w:rPr>
          <w:rFonts w:asciiTheme="majorHAnsi" w:hAnsiTheme="majorHAnsi"/>
          <w:sz w:val="18"/>
          <w:szCs w:val="18"/>
        </w:rPr>
        <w:t xml:space="preserve"> Weber, ‘Queer International Relations’.</w:t>
      </w:r>
    </w:p>
  </w:footnote>
  <w:footnote w:id="40">
    <w:p w14:paraId="777C6685" w14:textId="77777777" w:rsidR="0073752B" w:rsidRPr="00E3290B" w:rsidRDefault="0073752B" w:rsidP="00BD6180">
      <w:pPr>
        <w:pStyle w:val="Normal1"/>
        <w:spacing w:line="240" w:lineRule="auto"/>
        <w:rPr>
          <w:rFonts w:asciiTheme="majorHAnsi" w:hAnsiTheme="majorHAnsi"/>
          <w:sz w:val="18"/>
          <w:szCs w:val="18"/>
        </w:rPr>
      </w:pPr>
      <w:r w:rsidRPr="00E3290B">
        <w:rPr>
          <w:rFonts w:asciiTheme="majorHAnsi" w:hAnsiTheme="majorHAnsi"/>
          <w:sz w:val="18"/>
          <w:szCs w:val="18"/>
          <w:vertAlign w:val="superscript"/>
        </w:rPr>
        <w:footnoteRef/>
      </w:r>
      <w:r w:rsidRPr="00E3290B">
        <w:rPr>
          <w:rFonts w:asciiTheme="majorHAnsi" w:hAnsiTheme="majorHAnsi"/>
          <w:sz w:val="18"/>
          <w:szCs w:val="18"/>
        </w:rPr>
        <w:t xml:space="preserve"> Saha Roseneil, Isabel Crowhurst, Ana Cristina Santos and Mariya Stoilova</w:t>
      </w:r>
      <w:r w:rsidRPr="00E3290B">
        <w:rPr>
          <w:rFonts w:asciiTheme="majorHAnsi" w:hAnsiTheme="majorHAnsi"/>
          <w:i/>
          <w:sz w:val="18"/>
          <w:szCs w:val="18"/>
        </w:rPr>
        <w:t xml:space="preserve"> </w:t>
      </w:r>
      <w:r w:rsidRPr="00E3290B">
        <w:rPr>
          <w:rFonts w:asciiTheme="majorHAnsi" w:hAnsiTheme="majorHAnsi"/>
          <w:sz w:val="18"/>
          <w:szCs w:val="18"/>
        </w:rPr>
        <w:t>‘Reproduction and Citizenship/Reproducing Citizens: Editorial Introduction’,</w:t>
      </w:r>
      <w:r w:rsidRPr="00E3290B">
        <w:rPr>
          <w:rFonts w:asciiTheme="majorHAnsi" w:hAnsiTheme="majorHAnsi"/>
          <w:i/>
          <w:sz w:val="18"/>
          <w:szCs w:val="18"/>
        </w:rPr>
        <w:t xml:space="preserve"> Citizenship Studies </w:t>
      </w:r>
      <w:r w:rsidRPr="00E3290B">
        <w:rPr>
          <w:rFonts w:asciiTheme="majorHAnsi" w:hAnsiTheme="majorHAnsi"/>
          <w:sz w:val="18"/>
          <w:szCs w:val="18"/>
        </w:rPr>
        <w:t xml:space="preserve">17, no. 8 (2013): 901–911; David Bell and Jon Binnie, </w:t>
      </w:r>
      <w:r w:rsidRPr="00E3290B">
        <w:rPr>
          <w:rFonts w:asciiTheme="majorHAnsi" w:hAnsiTheme="majorHAnsi"/>
          <w:i/>
          <w:sz w:val="18"/>
          <w:szCs w:val="18"/>
        </w:rPr>
        <w:t>The Sexual Citizen Queer Politics and</w:t>
      </w:r>
      <w:r w:rsidRPr="001C70B3">
        <w:rPr>
          <w:rFonts w:asciiTheme="majorHAnsi" w:hAnsiTheme="majorHAnsi"/>
          <w:i/>
          <w:sz w:val="18"/>
          <w:szCs w:val="18"/>
        </w:rPr>
        <w:t xml:space="preserve"> </w:t>
      </w:r>
      <w:r w:rsidRPr="00E3290B">
        <w:rPr>
          <w:rFonts w:asciiTheme="majorHAnsi" w:hAnsiTheme="majorHAnsi"/>
          <w:i/>
          <w:sz w:val="18"/>
          <w:szCs w:val="18"/>
        </w:rPr>
        <w:t>Beyond</w:t>
      </w:r>
      <w:r w:rsidRPr="00E3290B">
        <w:rPr>
          <w:rFonts w:asciiTheme="majorHAnsi" w:hAnsiTheme="majorHAnsi"/>
          <w:sz w:val="18"/>
          <w:szCs w:val="18"/>
        </w:rPr>
        <w:t xml:space="preserve"> (Bristol: Polity Press, 2000); Joe Turner, ‘Governing the domestic space of the traveller in the UK: ‘family’, ‘home’ and the struggle over Dale Farm’, </w:t>
      </w:r>
      <w:r w:rsidRPr="00E3290B">
        <w:rPr>
          <w:rFonts w:asciiTheme="majorHAnsi" w:hAnsiTheme="majorHAnsi"/>
          <w:i/>
          <w:sz w:val="18"/>
          <w:szCs w:val="18"/>
        </w:rPr>
        <w:t>Citizenship Studies</w:t>
      </w:r>
      <w:r w:rsidRPr="00E3290B">
        <w:rPr>
          <w:rFonts w:asciiTheme="majorHAnsi" w:hAnsiTheme="majorHAnsi"/>
          <w:sz w:val="18"/>
          <w:szCs w:val="18"/>
        </w:rPr>
        <w:t xml:space="preserve"> 20, no. 2 (2016): 208-227.</w:t>
      </w:r>
    </w:p>
  </w:footnote>
  <w:footnote w:id="41">
    <w:p w14:paraId="7A76007D" w14:textId="77777777" w:rsidR="0073752B" w:rsidRPr="00E3290B" w:rsidRDefault="0073752B" w:rsidP="00BD6180">
      <w:pPr>
        <w:pStyle w:val="Normal1"/>
        <w:spacing w:line="240" w:lineRule="auto"/>
        <w:rPr>
          <w:rFonts w:asciiTheme="majorHAnsi" w:hAnsiTheme="majorHAnsi" w:cs="Times New Roman"/>
          <w:sz w:val="18"/>
          <w:szCs w:val="18"/>
        </w:rPr>
      </w:pPr>
      <w:r w:rsidRPr="00E3290B">
        <w:rPr>
          <w:rFonts w:asciiTheme="majorHAnsi" w:hAnsiTheme="majorHAnsi"/>
          <w:sz w:val="18"/>
          <w:szCs w:val="18"/>
          <w:vertAlign w:val="superscript"/>
        </w:rPr>
        <w:footnoteRef/>
      </w:r>
      <w:r w:rsidRPr="00E3290B">
        <w:rPr>
          <w:rFonts w:asciiTheme="majorHAnsi" w:hAnsiTheme="majorHAnsi"/>
          <w:sz w:val="18"/>
          <w:szCs w:val="18"/>
        </w:rPr>
        <w:t xml:space="preserve"> </w:t>
      </w:r>
      <w:r w:rsidRPr="00E3290B">
        <w:rPr>
          <w:rFonts w:asciiTheme="majorHAnsi" w:hAnsiTheme="majorHAnsi" w:cs="Times New Roman"/>
          <w:sz w:val="18"/>
          <w:szCs w:val="18"/>
        </w:rPr>
        <w:t xml:space="preserve">Cowen and Gilbert, ‘Fear and the Familial’; Jasbir Puar, </w:t>
      </w:r>
      <w:r w:rsidRPr="00E3290B">
        <w:rPr>
          <w:rFonts w:asciiTheme="majorHAnsi" w:hAnsiTheme="majorHAnsi" w:cs="Times New Roman"/>
          <w:i/>
          <w:sz w:val="18"/>
          <w:szCs w:val="18"/>
        </w:rPr>
        <w:t>Terrorist Assemblages: Homonationalism In Queer Times</w:t>
      </w:r>
      <w:r w:rsidRPr="00E3290B">
        <w:rPr>
          <w:rFonts w:asciiTheme="majorHAnsi" w:hAnsiTheme="majorHAnsi" w:cs="Times New Roman"/>
          <w:sz w:val="18"/>
          <w:szCs w:val="18"/>
        </w:rPr>
        <w:t xml:space="preserve"> (Durham: Duke University Press). Pain, ‘Intimate War’.</w:t>
      </w:r>
    </w:p>
  </w:footnote>
  <w:footnote w:id="42">
    <w:p w14:paraId="1BFDA523" w14:textId="77777777" w:rsidR="0073752B" w:rsidRPr="007A31F2" w:rsidRDefault="0073752B" w:rsidP="00BD6180">
      <w:pPr>
        <w:pStyle w:val="Normal1"/>
        <w:spacing w:line="240" w:lineRule="auto"/>
        <w:rPr>
          <w:rFonts w:asciiTheme="majorHAnsi" w:hAnsiTheme="majorHAnsi" w:cs="Times New Roman"/>
          <w:sz w:val="18"/>
          <w:szCs w:val="18"/>
        </w:rPr>
      </w:pPr>
      <w:r w:rsidRPr="00E3290B">
        <w:rPr>
          <w:rFonts w:asciiTheme="majorHAnsi" w:hAnsiTheme="majorHAnsi" w:cs="Times New Roman"/>
          <w:sz w:val="18"/>
          <w:szCs w:val="18"/>
          <w:vertAlign w:val="superscript"/>
        </w:rPr>
        <w:footnoteRef/>
      </w:r>
      <w:r w:rsidRPr="00E3290B">
        <w:rPr>
          <w:rFonts w:asciiTheme="majorHAnsi" w:hAnsiTheme="majorHAnsi" w:cs="Times New Roman"/>
          <w:sz w:val="18"/>
          <w:szCs w:val="18"/>
        </w:rPr>
        <w:t xml:space="preserve"> Stephen Legg, </w:t>
      </w:r>
      <w:r w:rsidRPr="00E3290B">
        <w:rPr>
          <w:rFonts w:asciiTheme="majorHAnsi" w:hAnsiTheme="majorHAnsi" w:cs="Times New Roman"/>
          <w:i/>
          <w:sz w:val="18"/>
          <w:szCs w:val="18"/>
        </w:rPr>
        <w:t>Prostitution and the Ends of Empire: Scale, Governmentalities, and Interwar India</w:t>
      </w:r>
      <w:r w:rsidRPr="00E3290B">
        <w:rPr>
          <w:rFonts w:asciiTheme="majorHAnsi" w:hAnsiTheme="majorHAnsi" w:cs="Times New Roman"/>
          <w:sz w:val="18"/>
          <w:szCs w:val="18"/>
        </w:rPr>
        <w:t xml:space="preserve"> (Durham: Duke University Press); Ann Laura Stoler,</w:t>
      </w:r>
      <w:r w:rsidRPr="00E3290B">
        <w:rPr>
          <w:rFonts w:asciiTheme="majorHAnsi" w:hAnsiTheme="majorHAnsi" w:cs="Times New Roman"/>
          <w:i/>
          <w:sz w:val="18"/>
          <w:szCs w:val="18"/>
        </w:rPr>
        <w:t xml:space="preserve"> Carnal Knowledge and Imperial Power: Race and the Intimate in Colonial Rule </w:t>
      </w:r>
      <w:r w:rsidRPr="00E3290B">
        <w:rPr>
          <w:rFonts w:asciiTheme="majorHAnsi" w:hAnsiTheme="majorHAnsi" w:cs="Times New Roman"/>
          <w:sz w:val="18"/>
          <w:szCs w:val="18"/>
        </w:rPr>
        <w:t xml:space="preserve">(Berkeley: University of California Press, 2002); Elizabeth Povinelli </w:t>
      </w:r>
      <w:r w:rsidRPr="00E3290B">
        <w:rPr>
          <w:rFonts w:asciiTheme="majorHAnsi" w:hAnsiTheme="majorHAnsi" w:cs="Times New Roman"/>
          <w:i/>
          <w:sz w:val="18"/>
          <w:szCs w:val="18"/>
        </w:rPr>
        <w:t xml:space="preserve"> The Empire of Love: Toward a Theory of Intimacy, Genealogy, and Carnality</w:t>
      </w:r>
      <w:r w:rsidRPr="00E3290B">
        <w:rPr>
          <w:rFonts w:asciiTheme="majorHAnsi" w:hAnsiTheme="majorHAnsi" w:cs="Times New Roman"/>
          <w:sz w:val="18"/>
          <w:szCs w:val="18"/>
        </w:rPr>
        <w:t xml:space="preserve"> (Durham: Duke University Press, 2006); Joe </w:t>
      </w:r>
      <w:r w:rsidRPr="00E3290B">
        <w:rPr>
          <w:rFonts w:asciiTheme="majorHAnsi" w:hAnsiTheme="majorHAnsi" w:cs="Times New Roman"/>
          <w:color w:val="333333"/>
          <w:sz w:val="18"/>
          <w:szCs w:val="18"/>
          <w:highlight w:val="white"/>
        </w:rPr>
        <w:t xml:space="preserve">Turner, ‘Internal colonisation: The intimate circulations of empire, race and liberal government’. </w:t>
      </w:r>
      <w:r w:rsidRPr="00E3290B">
        <w:rPr>
          <w:rFonts w:asciiTheme="majorHAnsi" w:hAnsiTheme="majorHAnsi" w:cs="Times New Roman"/>
          <w:i/>
          <w:color w:val="333333"/>
          <w:sz w:val="18"/>
          <w:szCs w:val="18"/>
          <w:highlight w:val="white"/>
        </w:rPr>
        <w:t xml:space="preserve">European Journal of </w:t>
      </w:r>
      <w:r w:rsidRPr="007A31F2">
        <w:rPr>
          <w:rFonts w:asciiTheme="majorHAnsi" w:hAnsiTheme="majorHAnsi" w:cs="Times New Roman"/>
          <w:i/>
          <w:color w:val="333333"/>
          <w:sz w:val="18"/>
          <w:szCs w:val="18"/>
          <w:highlight w:val="white"/>
        </w:rPr>
        <w:t>International Relations</w:t>
      </w:r>
      <w:r w:rsidRPr="007A31F2">
        <w:rPr>
          <w:rFonts w:asciiTheme="majorHAnsi" w:hAnsiTheme="majorHAnsi" w:cs="Times New Roman"/>
          <w:color w:val="333333"/>
          <w:sz w:val="18"/>
          <w:szCs w:val="18"/>
          <w:highlight w:val="white"/>
        </w:rPr>
        <w:t xml:space="preserve">, 24, no. 4 (2018): </w:t>
      </w:r>
      <w:r w:rsidRPr="007A31F2">
        <w:rPr>
          <w:rFonts w:asciiTheme="majorHAnsi" w:hAnsiTheme="majorHAnsi" w:cs="Times New Roman"/>
          <w:color w:val="333333"/>
          <w:sz w:val="18"/>
          <w:szCs w:val="18"/>
        </w:rPr>
        <w:t>765–790</w:t>
      </w:r>
      <w:r w:rsidRPr="007A31F2">
        <w:rPr>
          <w:rFonts w:asciiTheme="majorHAnsi" w:hAnsiTheme="majorHAnsi" w:cs="Times New Roman"/>
          <w:color w:val="333333"/>
          <w:sz w:val="18"/>
          <w:szCs w:val="18"/>
          <w:highlight w:val="white"/>
        </w:rPr>
        <w:t>.</w:t>
      </w:r>
    </w:p>
  </w:footnote>
  <w:footnote w:id="43">
    <w:p w14:paraId="6CB4EE94" w14:textId="77777777" w:rsidR="0073752B" w:rsidRPr="00351FC7" w:rsidRDefault="0073752B" w:rsidP="00BD6180">
      <w:pPr>
        <w:pStyle w:val="Normal1"/>
        <w:spacing w:line="240" w:lineRule="auto"/>
        <w:rPr>
          <w:rFonts w:asciiTheme="majorHAnsi" w:hAnsiTheme="majorHAnsi" w:cs="Times New Roman"/>
          <w:sz w:val="18"/>
          <w:szCs w:val="18"/>
        </w:rPr>
      </w:pPr>
      <w:r w:rsidRPr="007A31F2">
        <w:rPr>
          <w:rFonts w:asciiTheme="majorHAnsi" w:hAnsiTheme="majorHAnsi" w:cs="Times New Roman"/>
          <w:sz w:val="18"/>
          <w:szCs w:val="18"/>
          <w:vertAlign w:val="superscript"/>
        </w:rPr>
        <w:footnoteRef/>
      </w:r>
      <w:r w:rsidRPr="007A31F2">
        <w:rPr>
          <w:rFonts w:asciiTheme="majorHAnsi" w:hAnsiTheme="majorHAnsi" w:cs="Times New Roman"/>
          <w:sz w:val="18"/>
          <w:szCs w:val="18"/>
        </w:rPr>
        <w:t xml:space="preserve"> </w:t>
      </w:r>
      <w:r w:rsidRPr="00351FC7">
        <w:rPr>
          <w:rFonts w:asciiTheme="majorHAnsi" w:hAnsiTheme="majorHAnsi" w:cs="Times New Roman"/>
          <w:sz w:val="18"/>
          <w:szCs w:val="18"/>
        </w:rPr>
        <w:t xml:space="preserve">Lauren Berlant and Michael Warner, ‘Sex in Public’, </w:t>
      </w:r>
      <w:r w:rsidRPr="00351FC7">
        <w:rPr>
          <w:rFonts w:asciiTheme="majorHAnsi" w:hAnsiTheme="majorHAnsi" w:cs="Times New Roman"/>
          <w:i/>
          <w:sz w:val="18"/>
          <w:szCs w:val="18"/>
        </w:rPr>
        <w:t>Critical Inquiry</w:t>
      </w:r>
      <w:r w:rsidRPr="00351FC7">
        <w:rPr>
          <w:rFonts w:asciiTheme="majorHAnsi" w:hAnsiTheme="majorHAnsi" w:cs="Times New Roman"/>
          <w:sz w:val="18"/>
          <w:szCs w:val="18"/>
        </w:rPr>
        <w:t xml:space="preserve"> 24, No. 2 (1998): 547-566.</w:t>
      </w:r>
    </w:p>
  </w:footnote>
  <w:footnote w:id="44">
    <w:p w14:paraId="4884FFC5" w14:textId="5E279985" w:rsidR="0073752B" w:rsidRPr="00351FC7" w:rsidRDefault="0073752B" w:rsidP="00E3290B">
      <w:pPr>
        <w:pStyle w:val="Normal1"/>
        <w:spacing w:line="240" w:lineRule="auto"/>
        <w:rPr>
          <w:rFonts w:asciiTheme="majorHAnsi" w:hAnsiTheme="majorHAnsi" w:cs="Times New Roman"/>
          <w:sz w:val="18"/>
          <w:szCs w:val="18"/>
        </w:rPr>
      </w:pPr>
      <w:r w:rsidRPr="00351FC7">
        <w:rPr>
          <w:rFonts w:asciiTheme="majorHAnsi" w:hAnsiTheme="majorHAnsi" w:cs="Times New Roman"/>
          <w:sz w:val="18"/>
          <w:szCs w:val="18"/>
          <w:vertAlign w:val="superscript"/>
        </w:rPr>
        <w:footnoteRef/>
      </w:r>
      <w:r w:rsidRPr="00351FC7">
        <w:rPr>
          <w:rFonts w:asciiTheme="majorHAnsi" w:hAnsiTheme="majorHAnsi" w:cs="Times New Roman"/>
          <w:sz w:val="18"/>
          <w:szCs w:val="18"/>
        </w:rPr>
        <w:t xml:space="preserve"> Pain and Smith, </w:t>
      </w:r>
      <w:r>
        <w:rPr>
          <w:rFonts w:asciiTheme="majorHAnsi" w:hAnsiTheme="majorHAnsi" w:cs="Times New Roman"/>
          <w:sz w:val="18"/>
          <w:szCs w:val="18"/>
        </w:rPr>
        <w:t>‘</w:t>
      </w:r>
      <w:r w:rsidRPr="00351FC7">
        <w:rPr>
          <w:rFonts w:asciiTheme="majorHAnsi" w:hAnsiTheme="majorHAnsi" w:cs="Times New Roman"/>
          <w:sz w:val="18"/>
          <w:szCs w:val="18"/>
        </w:rPr>
        <w:t>Fear</w:t>
      </w:r>
      <w:r>
        <w:rPr>
          <w:rFonts w:asciiTheme="majorHAnsi" w:hAnsiTheme="majorHAnsi" w:cs="Times New Roman"/>
          <w:sz w:val="18"/>
          <w:szCs w:val="18"/>
        </w:rPr>
        <w:t>’</w:t>
      </w:r>
      <w:r w:rsidRPr="00351FC7">
        <w:rPr>
          <w:rFonts w:asciiTheme="majorHAnsi" w:hAnsiTheme="majorHAnsi" w:cs="Times New Roman"/>
          <w:sz w:val="18"/>
          <w:szCs w:val="18"/>
        </w:rPr>
        <w:t xml:space="preserve">; </w:t>
      </w:r>
      <w:r>
        <w:rPr>
          <w:rFonts w:asciiTheme="majorHAnsi" w:hAnsiTheme="majorHAnsi" w:cs="Times New Roman"/>
          <w:sz w:val="18"/>
          <w:szCs w:val="18"/>
        </w:rPr>
        <w:t xml:space="preserve"> V. Spike </w:t>
      </w:r>
      <w:r w:rsidRPr="00351FC7">
        <w:rPr>
          <w:rFonts w:asciiTheme="majorHAnsi" w:hAnsiTheme="majorHAnsi" w:cs="Times New Roman"/>
          <w:sz w:val="18"/>
          <w:szCs w:val="18"/>
        </w:rPr>
        <w:t xml:space="preserve">Peterson et al ‘On intimacy, geopolitics and discipline: Elena Barabantseva and Aoileann Ní Mhurchú in conversation with V. Spike Peterson’, </w:t>
      </w:r>
      <w:r w:rsidRPr="00351FC7">
        <w:rPr>
          <w:rFonts w:asciiTheme="majorHAnsi" w:hAnsiTheme="majorHAnsi" w:cs="Times New Roman"/>
          <w:i/>
          <w:sz w:val="18"/>
          <w:szCs w:val="18"/>
        </w:rPr>
        <w:t>International Feminist Journal of Politics</w:t>
      </w:r>
      <w:r w:rsidRPr="00351FC7">
        <w:rPr>
          <w:rFonts w:asciiTheme="majorHAnsi" w:hAnsiTheme="majorHAnsi" w:cs="Times New Roman"/>
          <w:sz w:val="18"/>
          <w:szCs w:val="18"/>
        </w:rPr>
        <w:t xml:space="preserve"> 20, no.2 (2018): 258-271.</w:t>
      </w:r>
    </w:p>
  </w:footnote>
  <w:footnote w:id="45">
    <w:p w14:paraId="5B8820B0" w14:textId="2F0C8472" w:rsidR="0073752B" w:rsidRPr="001C70B3" w:rsidRDefault="0073752B" w:rsidP="001C70B3">
      <w:pPr>
        <w:rPr>
          <w:rFonts w:asciiTheme="majorHAnsi" w:hAnsiTheme="majorHAnsi" w:cs="Times New Roman"/>
          <w:sz w:val="18"/>
          <w:szCs w:val="18"/>
        </w:rPr>
      </w:pPr>
      <w:r w:rsidRPr="001C70B3">
        <w:rPr>
          <w:rStyle w:val="FootnoteReference"/>
          <w:rFonts w:asciiTheme="majorHAnsi" w:hAnsiTheme="majorHAnsi" w:cs="Times New Roman"/>
          <w:sz w:val="18"/>
          <w:szCs w:val="18"/>
        </w:rPr>
        <w:footnoteRef/>
      </w:r>
      <w:r w:rsidRPr="001C70B3">
        <w:rPr>
          <w:rFonts w:asciiTheme="majorHAnsi" w:hAnsiTheme="majorHAnsi" w:cs="Times New Roman"/>
          <w:sz w:val="18"/>
          <w:szCs w:val="18"/>
        </w:rPr>
        <w:t xml:space="preserve"> </w:t>
      </w:r>
      <w:r w:rsidRPr="001C70B3">
        <w:rPr>
          <w:rStyle w:val="authors"/>
          <w:rFonts w:asciiTheme="majorHAnsi" w:hAnsiTheme="majorHAnsi" w:cs="Times New Roman"/>
          <w:color w:val="333333"/>
          <w:sz w:val="18"/>
          <w:szCs w:val="18"/>
        </w:rPr>
        <w:t>Elena Barabantseva, Aoileann N</w:t>
      </w:r>
      <w:r w:rsidRPr="001C70B3">
        <w:rPr>
          <w:rStyle w:val="authors"/>
          <w:rFonts w:asciiTheme="majorHAnsi" w:hAnsiTheme="majorHAnsi" w:cs="Times New Roman" w:hint="eastAsia"/>
          <w:color w:val="333333"/>
          <w:sz w:val="18"/>
          <w:szCs w:val="18"/>
        </w:rPr>
        <w:t>í</w:t>
      </w:r>
      <w:r w:rsidRPr="001C70B3">
        <w:rPr>
          <w:rStyle w:val="authors"/>
          <w:rFonts w:asciiTheme="majorHAnsi" w:hAnsiTheme="majorHAnsi" w:cs="Times New Roman"/>
          <w:color w:val="333333"/>
          <w:sz w:val="18"/>
          <w:szCs w:val="18"/>
        </w:rPr>
        <w:t xml:space="preserve"> Mhurch</w:t>
      </w:r>
      <w:r w:rsidRPr="001C70B3">
        <w:rPr>
          <w:rStyle w:val="authors"/>
          <w:rFonts w:asciiTheme="majorHAnsi" w:hAnsiTheme="majorHAnsi" w:cs="Times New Roman" w:hint="eastAsia"/>
          <w:color w:val="333333"/>
          <w:sz w:val="18"/>
          <w:szCs w:val="18"/>
        </w:rPr>
        <w:t>ú</w:t>
      </w:r>
      <w:r w:rsidRPr="001C70B3">
        <w:rPr>
          <w:rStyle w:val="authors"/>
          <w:rFonts w:asciiTheme="majorHAnsi" w:hAnsiTheme="majorHAnsi" w:cs="Times New Roman"/>
          <w:color w:val="333333"/>
          <w:sz w:val="18"/>
          <w:szCs w:val="18"/>
        </w:rPr>
        <w:t xml:space="preserve"> &amp; V. Spike Peterson</w:t>
      </w:r>
      <w:r>
        <w:rPr>
          <w:rStyle w:val="authors"/>
          <w:rFonts w:asciiTheme="majorHAnsi" w:hAnsiTheme="majorHAnsi" w:cs="Times New Roman"/>
          <w:color w:val="333333"/>
          <w:sz w:val="18"/>
          <w:szCs w:val="18"/>
        </w:rPr>
        <w:t>,</w:t>
      </w:r>
      <w:r w:rsidRPr="001C70B3">
        <w:rPr>
          <w:rStyle w:val="apple-converted-space"/>
          <w:rFonts w:asciiTheme="majorHAnsi" w:hAnsiTheme="majorHAnsi" w:cs="Times New Roman" w:hint="eastAsia"/>
          <w:color w:val="333333"/>
          <w:sz w:val="18"/>
          <w:szCs w:val="18"/>
          <w:shd w:val="clear" w:color="auto" w:fill="FFFFFF"/>
        </w:rPr>
        <w:t> </w:t>
      </w:r>
      <w:r w:rsidRPr="001C70B3">
        <w:rPr>
          <w:rStyle w:val="apple-converted-space"/>
          <w:rFonts w:asciiTheme="majorHAnsi" w:hAnsiTheme="majorHAnsi" w:cs="Times New Roman" w:hint="eastAsia"/>
          <w:color w:val="333333"/>
          <w:sz w:val="18"/>
          <w:szCs w:val="18"/>
          <w:shd w:val="clear" w:color="auto" w:fill="FFFFFF"/>
        </w:rPr>
        <w:t>‘</w:t>
      </w:r>
      <w:r w:rsidRPr="001C70B3">
        <w:rPr>
          <w:rStyle w:val="arttitle"/>
          <w:rFonts w:asciiTheme="majorHAnsi" w:hAnsiTheme="majorHAnsi" w:cs="Times New Roman"/>
          <w:color w:val="333333"/>
          <w:sz w:val="18"/>
          <w:szCs w:val="18"/>
        </w:rPr>
        <w:t>Introduction: Engaging Geopolitics through the Lens of the Intimate</w:t>
      </w:r>
      <w:r>
        <w:rPr>
          <w:rStyle w:val="arttitle"/>
          <w:rFonts w:asciiTheme="majorHAnsi" w:hAnsiTheme="majorHAnsi" w:cs="Times New Roman"/>
          <w:color w:val="333333"/>
          <w:sz w:val="18"/>
          <w:szCs w:val="18"/>
        </w:rPr>
        <w:t>’</w:t>
      </w:r>
      <w:r w:rsidRPr="001C70B3">
        <w:rPr>
          <w:rStyle w:val="arttitle"/>
          <w:rFonts w:asciiTheme="majorHAnsi" w:hAnsiTheme="majorHAnsi" w:cs="Times New Roman"/>
          <w:color w:val="333333"/>
          <w:sz w:val="18"/>
          <w:szCs w:val="18"/>
        </w:rPr>
        <w:t>,</w:t>
      </w:r>
      <w:r w:rsidRPr="001C70B3">
        <w:rPr>
          <w:rStyle w:val="apple-converted-space"/>
          <w:rFonts w:asciiTheme="majorHAnsi" w:hAnsiTheme="majorHAnsi" w:cs="Times New Roman" w:hint="eastAsia"/>
          <w:color w:val="333333"/>
          <w:sz w:val="18"/>
          <w:szCs w:val="18"/>
          <w:shd w:val="clear" w:color="auto" w:fill="FFFFFF"/>
        </w:rPr>
        <w:t> </w:t>
      </w:r>
      <w:r w:rsidRPr="001C70B3">
        <w:rPr>
          <w:rStyle w:val="serialtitle"/>
          <w:rFonts w:asciiTheme="majorHAnsi" w:hAnsiTheme="majorHAnsi" w:cs="Times New Roman"/>
          <w:i/>
          <w:iCs/>
          <w:color w:val="333333"/>
          <w:sz w:val="18"/>
          <w:szCs w:val="18"/>
        </w:rPr>
        <w:t>Geopolitics</w:t>
      </w:r>
      <w:r w:rsidRPr="001C70B3">
        <w:rPr>
          <w:rStyle w:val="serialtitle"/>
          <w:rFonts w:asciiTheme="majorHAnsi" w:hAnsiTheme="majorHAnsi" w:cs="Times New Roman"/>
          <w:color w:val="333333"/>
          <w:sz w:val="18"/>
          <w:szCs w:val="18"/>
        </w:rPr>
        <w:t>, 2019</w:t>
      </w:r>
      <w:r w:rsidRPr="001C70B3">
        <w:rPr>
          <w:rStyle w:val="apple-converted-space"/>
          <w:rFonts w:asciiTheme="majorHAnsi" w:hAnsiTheme="majorHAnsi" w:cs="Times New Roman" w:hint="eastAsia"/>
          <w:color w:val="333333"/>
          <w:sz w:val="18"/>
          <w:szCs w:val="18"/>
          <w:shd w:val="clear" w:color="auto" w:fill="FFFFFF"/>
        </w:rPr>
        <w:t> </w:t>
      </w:r>
      <w:r w:rsidRPr="001C70B3">
        <w:rPr>
          <w:rStyle w:val="doilink"/>
          <w:rFonts w:asciiTheme="majorHAnsi" w:hAnsiTheme="majorHAnsi" w:cs="Times New Roman"/>
          <w:color w:val="333333"/>
          <w:sz w:val="18"/>
          <w:szCs w:val="18"/>
        </w:rPr>
        <w:t>DOI:</w:t>
      </w:r>
      <w:r w:rsidRPr="001C70B3">
        <w:rPr>
          <w:rStyle w:val="apple-converted-space"/>
          <w:rFonts w:asciiTheme="majorHAnsi" w:hAnsiTheme="majorHAnsi" w:cs="Times New Roman" w:hint="eastAsia"/>
          <w:color w:val="333333"/>
          <w:sz w:val="18"/>
          <w:szCs w:val="18"/>
        </w:rPr>
        <w:t> </w:t>
      </w:r>
      <w:hyperlink r:id="rId2" w:history="1">
        <w:r w:rsidRPr="001C70B3">
          <w:rPr>
            <w:rStyle w:val="Hyperlink"/>
            <w:rFonts w:asciiTheme="majorHAnsi" w:hAnsiTheme="majorHAnsi" w:cs="Times New Roman"/>
            <w:color w:val="333333"/>
            <w:sz w:val="18"/>
            <w:szCs w:val="18"/>
          </w:rPr>
          <w:t>10.1080/14650045.2019.1636558</w:t>
        </w:r>
      </w:hyperlink>
      <w:r w:rsidRPr="001C70B3">
        <w:rPr>
          <w:rStyle w:val="doilink"/>
          <w:rFonts w:asciiTheme="majorHAnsi" w:hAnsiTheme="majorHAnsi" w:cs="Times New Roman"/>
          <w:color w:val="333333"/>
          <w:sz w:val="18"/>
          <w:szCs w:val="18"/>
        </w:rPr>
        <w:t xml:space="preserve">. </w:t>
      </w:r>
    </w:p>
  </w:footnote>
  <w:footnote w:id="46">
    <w:p w14:paraId="23AF13F3" w14:textId="178D0161" w:rsidR="0073752B" w:rsidRPr="00351FC7" w:rsidRDefault="0073752B" w:rsidP="00E3290B">
      <w:pPr>
        <w:pStyle w:val="Normal1"/>
        <w:spacing w:line="240" w:lineRule="auto"/>
        <w:rPr>
          <w:rFonts w:asciiTheme="majorHAnsi" w:hAnsiTheme="majorHAnsi" w:cs="Times New Roman"/>
          <w:sz w:val="18"/>
          <w:szCs w:val="18"/>
        </w:rPr>
      </w:pPr>
      <w:r w:rsidRPr="00351FC7">
        <w:rPr>
          <w:rFonts w:asciiTheme="majorHAnsi" w:hAnsiTheme="majorHAnsi" w:cs="Times New Roman"/>
          <w:sz w:val="18"/>
          <w:szCs w:val="18"/>
          <w:vertAlign w:val="superscript"/>
        </w:rPr>
        <w:footnoteRef/>
      </w:r>
      <w:r w:rsidRPr="00351FC7">
        <w:rPr>
          <w:rFonts w:asciiTheme="majorHAnsi" w:hAnsiTheme="majorHAnsi" w:cs="Times New Roman"/>
          <w:sz w:val="18"/>
          <w:szCs w:val="18"/>
        </w:rPr>
        <w:t xml:space="preserve"> Pain, ‘Intimate War’: Anderson, Carvalho, and Tolia-Kelly, ‘Intimate Distance: Fantasy Islands and English Lakes’ </w:t>
      </w:r>
      <w:r w:rsidRPr="00351FC7">
        <w:rPr>
          <w:rFonts w:asciiTheme="majorHAnsi" w:hAnsiTheme="majorHAnsi" w:cs="Times New Roman"/>
          <w:i/>
          <w:sz w:val="18"/>
          <w:szCs w:val="18"/>
        </w:rPr>
        <w:t>Ecumene</w:t>
      </w:r>
      <w:r w:rsidRPr="00351FC7">
        <w:rPr>
          <w:rFonts w:asciiTheme="majorHAnsi" w:hAnsiTheme="majorHAnsi" w:cs="Times New Roman"/>
          <w:sz w:val="18"/>
          <w:szCs w:val="18"/>
        </w:rPr>
        <w:t xml:space="preserve"> 8, no. 1 (2001): 112-119.</w:t>
      </w:r>
    </w:p>
  </w:footnote>
  <w:footnote w:id="47">
    <w:p w14:paraId="0E9D122B" w14:textId="509449BB" w:rsidR="0073752B" w:rsidRPr="00351FC7" w:rsidRDefault="0073752B" w:rsidP="00E3290B">
      <w:pPr>
        <w:pStyle w:val="Normal1"/>
        <w:spacing w:line="240" w:lineRule="auto"/>
        <w:rPr>
          <w:rFonts w:asciiTheme="majorHAnsi" w:hAnsiTheme="majorHAnsi" w:cs="Times New Roman"/>
          <w:sz w:val="18"/>
          <w:szCs w:val="18"/>
        </w:rPr>
      </w:pPr>
      <w:r w:rsidRPr="00351FC7">
        <w:rPr>
          <w:rFonts w:asciiTheme="majorHAnsi" w:hAnsiTheme="majorHAnsi" w:cs="Times New Roman"/>
          <w:sz w:val="18"/>
          <w:szCs w:val="18"/>
          <w:vertAlign w:val="superscript"/>
        </w:rPr>
        <w:footnoteRef/>
      </w:r>
      <w:r w:rsidRPr="00351FC7">
        <w:rPr>
          <w:rFonts w:asciiTheme="majorHAnsi" w:hAnsiTheme="majorHAnsi" w:cs="Times New Roman"/>
          <w:sz w:val="18"/>
          <w:szCs w:val="18"/>
        </w:rPr>
        <w:t xml:space="preserve"> Jaqueline Alexander, </w:t>
      </w:r>
      <w:r w:rsidRPr="00351FC7">
        <w:rPr>
          <w:rFonts w:asciiTheme="majorHAnsi" w:hAnsiTheme="majorHAnsi" w:cs="Times New Roman"/>
          <w:i/>
          <w:sz w:val="18"/>
          <w:szCs w:val="18"/>
        </w:rPr>
        <w:t>Pedagogies of Crossing: Meditations on Feminism, Sexual Politics, Memory, and the Sacred</w:t>
      </w:r>
      <w:r w:rsidRPr="00351FC7">
        <w:rPr>
          <w:rFonts w:asciiTheme="majorHAnsi" w:hAnsiTheme="majorHAnsi" w:cs="Times New Roman"/>
          <w:sz w:val="18"/>
          <w:szCs w:val="18"/>
        </w:rPr>
        <w:t xml:space="preserve"> (Durham: Duke University Press, 2006).</w:t>
      </w:r>
    </w:p>
  </w:footnote>
  <w:footnote w:id="48">
    <w:p w14:paraId="5F13D8FC" w14:textId="7780DA3A" w:rsidR="0073752B" w:rsidRPr="001C70B3" w:rsidRDefault="0073752B">
      <w:pPr>
        <w:pStyle w:val="FootnoteText"/>
        <w:rPr>
          <w:iCs/>
          <w:lang w:val="en-GB"/>
        </w:rPr>
      </w:pPr>
      <w:r>
        <w:rPr>
          <w:rStyle w:val="FootnoteReference"/>
        </w:rPr>
        <w:footnoteRef/>
      </w:r>
      <w:r>
        <w:rPr>
          <w:rFonts w:asciiTheme="majorHAnsi" w:hAnsiTheme="majorHAnsi" w:cs="Times New Roman"/>
          <w:sz w:val="18"/>
          <w:szCs w:val="18"/>
        </w:rPr>
        <w:t xml:space="preserve">Anne Laura </w:t>
      </w:r>
      <w:r w:rsidRPr="00351FC7">
        <w:rPr>
          <w:rFonts w:asciiTheme="majorHAnsi" w:hAnsiTheme="majorHAnsi" w:cs="Times New Roman"/>
          <w:sz w:val="18"/>
          <w:szCs w:val="18"/>
        </w:rPr>
        <w:t>Stoler,</w:t>
      </w:r>
      <w:r w:rsidRPr="00351FC7">
        <w:rPr>
          <w:rFonts w:asciiTheme="majorHAnsi" w:hAnsiTheme="majorHAnsi" w:cs="Times New Roman"/>
          <w:i/>
          <w:sz w:val="18"/>
          <w:szCs w:val="18"/>
        </w:rPr>
        <w:t xml:space="preserve"> Carnal Knowledge and Imperial Power</w:t>
      </w:r>
      <w:r>
        <w:rPr>
          <w:rFonts w:asciiTheme="majorHAnsi" w:hAnsiTheme="majorHAnsi" w:cs="Times New Roman"/>
          <w:i/>
          <w:sz w:val="18"/>
          <w:szCs w:val="18"/>
        </w:rPr>
        <w:t xml:space="preserve">: Race and the Intimate in Colonual Rule </w:t>
      </w:r>
      <w:r>
        <w:rPr>
          <w:rFonts w:asciiTheme="majorHAnsi" w:hAnsiTheme="majorHAnsi" w:cs="Times New Roman"/>
          <w:iCs/>
          <w:sz w:val="18"/>
          <w:szCs w:val="18"/>
        </w:rPr>
        <w:t>(Durham: Duke University Press).</w:t>
      </w:r>
    </w:p>
  </w:footnote>
  <w:footnote w:id="49">
    <w:p w14:paraId="2BF3FAE1" w14:textId="6BE2F96A" w:rsidR="0073752B" w:rsidRPr="00351FC7" w:rsidRDefault="0073752B" w:rsidP="001C70B3">
      <w:pPr>
        <w:rPr>
          <w:rFonts w:asciiTheme="majorHAnsi" w:hAnsiTheme="majorHAnsi" w:cs="Times New Roman"/>
          <w:iCs/>
          <w:sz w:val="18"/>
          <w:szCs w:val="18"/>
        </w:rPr>
      </w:pPr>
      <w:r w:rsidRPr="00351FC7">
        <w:rPr>
          <w:rFonts w:asciiTheme="majorHAnsi" w:hAnsiTheme="majorHAnsi" w:cs="Times New Roman"/>
          <w:sz w:val="18"/>
          <w:szCs w:val="18"/>
          <w:vertAlign w:val="superscript"/>
        </w:rPr>
        <w:footnoteRef/>
      </w:r>
      <w:r w:rsidRPr="00351FC7">
        <w:rPr>
          <w:rFonts w:asciiTheme="majorHAnsi" w:hAnsiTheme="majorHAnsi" w:cs="Times New Roman"/>
          <w:sz w:val="18"/>
          <w:szCs w:val="18"/>
        </w:rPr>
        <w:t xml:space="preserve"> Stoler,</w:t>
      </w:r>
      <w:r w:rsidRPr="00351FC7">
        <w:rPr>
          <w:rFonts w:asciiTheme="majorHAnsi" w:hAnsiTheme="majorHAnsi" w:cs="Times New Roman"/>
          <w:i/>
          <w:sz w:val="18"/>
          <w:szCs w:val="18"/>
        </w:rPr>
        <w:t xml:space="preserve"> Carnal Knowledge and Imperial Power</w:t>
      </w:r>
      <w:r w:rsidRPr="00351FC7">
        <w:rPr>
          <w:rFonts w:asciiTheme="majorHAnsi" w:hAnsiTheme="majorHAnsi" w:cs="Times New Roman"/>
          <w:iCs/>
          <w:sz w:val="18"/>
          <w:szCs w:val="18"/>
        </w:rPr>
        <w:t xml:space="preserve"> also see </w:t>
      </w:r>
      <w:r w:rsidRPr="001C70B3">
        <w:rPr>
          <w:rFonts w:asciiTheme="majorHAnsi" w:hAnsiTheme="majorHAnsi" w:cs="Times New Roman"/>
          <w:iCs/>
          <w:sz w:val="18"/>
          <w:szCs w:val="18"/>
        </w:rPr>
        <w:t xml:space="preserve">Nancy </w:t>
      </w:r>
      <w:r w:rsidRPr="00351FC7">
        <w:rPr>
          <w:rFonts w:asciiTheme="majorHAnsi" w:hAnsiTheme="majorHAnsi" w:cs="Times New Roman"/>
          <w:sz w:val="18"/>
          <w:szCs w:val="18"/>
        </w:rPr>
        <w:t xml:space="preserve">Cott, </w:t>
      </w:r>
      <w:r w:rsidRPr="00351FC7">
        <w:rPr>
          <w:rFonts w:asciiTheme="majorHAnsi" w:hAnsiTheme="majorHAnsi" w:cs="Times New Roman"/>
          <w:i/>
          <w:sz w:val="18"/>
          <w:szCs w:val="18"/>
        </w:rPr>
        <w:t>Public Vows: A History of Marriage and the Nation</w:t>
      </w:r>
      <w:r w:rsidRPr="00351FC7">
        <w:rPr>
          <w:rFonts w:asciiTheme="majorHAnsi" w:hAnsiTheme="majorHAnsi" w:cs="Times New Roman"/>
          <w:sz w:val="18"/>
          <w:szCs w:val="18"/>
        </w:rPr>
        <w:t xml:space="preserve"> (Cambridge: Harvard University Press, 2002).</w:t>
      </w:r>
    </w:p>
  </w:footnote>
  <w:footnote w:id="50">
    <w:p w14:paraId="3666A666" w14:textId="3453B54C" w:rsidR="0073752B" w:rsidRPr="001C70B3" w:rsidRDefault="0073752B" w:rsidP="001C70B3">
      <w:pPr>
        <w:rPr>
          <w:rFonts w:asciiTheme="majorHAnsi" w:eastAsia="Times New Roman" w:hAnsiTheme="majorHAnsi" w:cs="Times New Roman"/>
          <w:color w:val="505050"/>
          <w:kern w:val="36"/>
          <w:sz w:val="18"/>
          <w:szCs w:val="18"/>
          <w:lang w:val="en-GB" w:eastAsia="en-GB"/>
        </w:rPr>
      </w:pPr>
      <w:r w:rsidRPr="00351FC7">
        <w:rPr>
          <w:rFonts w:asciiTheme="majorHAnsi" w:hAnsiTheme="majorHAnsi" w:cs="Times New Roman"/>
          <w:sz w:val="18"/>
          <w:szCs w:val="18"/>
          <w:vertAlign w:val="superscript"/>
        </w:rPr>
        <w:footnoteRef/>
      </w:r>
      <w:r w:rsidRPr="00351FC7">
        <w:rPr>
          <w:rFonts w:asciiTheme="majorHAnsi" w:hAnsiTheme="majorHAnsi" w:cs="Times New Roman"/>
          <w:sz w:val="18"/>
          <w:szCs w:val="18"/>
        </w:rPr>
        <w:t xml:space="preserve"> </w:t>
      </w:r>
      <w:r>
        <w:rPr>
          <w:rFonts w:asciiTheme="majorHAnsi" w:hAnsiTheme="majorHAnsi" w:cs="Times New Roman"/>
          <w:sz w:val="18"/>
          <w:szCs w:val="18"/>
        </w:rPr>
        <w:t xml:space="preserve">Maria </w:t>
      </w:r>
      <w:r w:rsidRPr="00351FC7">
        <w:rPr>
          <w:rFonts w:asciiTheme="majorHAnsi" w:hAnsiTheme="majorHAnsi" w:cs="Times New Roman"/>
          <w:sz w:val="18"/>
          <w:szCs w:val="18"/>
        </w:rPr>
        <w:t>Lugones, ‘Heterosex</w:t>
      </w:r>
      <w:r w:rsidRPr="001C70B3">
        <w:rPr>
          <w:rFonts w:asciiTheme="majorHAnsi" w:hAnsiTheme="majorHAnsi" w:cs="Times New Roman"/>
          <w:sz w:val="18"/>
          <w:szCs w:val="18"/>
        </w:rPr>
        <w:t>u</w:t>
      </w:r>
      <w:r w:rsidRPr="00351FC7">
        <w:rPr>
          <w:rFonts w:asciiTheme="majorHAnsi" w:hAnsiTheme="majorHAnsi" w:cs="Times New Roman"/>
          <w:sz w:val="18"/>
          <w:szCs w:val="18"/>
        </w:rPr>
        <w:t xml:space="preserve">alism and the Colonial / Modern Gender System’, </w:t>
      </w:r>
      <w:r w:rsidRPr="00351FC7">
        <w:rPr>
          <w:rFonts w:asciiTheme="majorHAnsi" w:hAnsiTheme="majorHAnsi" w:cs="Times New Roman"/>
          <w:i/>
          <w:sz w:val="18"/>
          <w:szCs w:val="18"/>
        </w:rPr>
        <w:t>Hypatia</w:t>
      </w:r>
      <w:r w:rsidRPr="00351FC7">
        <w:rPr>
          <w:rFonts w:asciiTheme="majorHAnsi" w:hAnsiTheme="majorHAnsi" w:cs="Times New Roman"/>
          <w:sz w:val="18"/>
          <w:szCs w:val="18"/>
        </w:rPr>
        <w:t xml:space="preserve"> 22, no.1 (2007): 186-209; Lowe, </w:t>
      </w:r>
      <w:r w:rsidRPr="00351FC7">
        <w:rPr>
          <w:rFonts w:asciiTheme="majorHAnsi" w:hAnsiTheme="majorHAnsi" w:cs="Times New Roman"/>
          <w:i/>
          <w:sz w:val="18"/>
          <w:szCs w:val="18"/>
        </w:rPr>
        <w:t xml:space="preserve">The Intimacies of Four Continent; </w:t>
      </w:r>
      <w:r w:rsidRPr="00351FC7">
        <w:rPr>
          <w:rFonts w:asciiTheme="majorHAnsi" w:hAnsiTheme="majorHAnsi" w:cs="Times New Roman"/>
          <w:iCs/>
          <w:sz w:val="18"/>
          <w:szCs w:val="18"/>
        </w:rPr>
        <w:t xml:space="preserve">Nyan Shah, </w:t>
      </w:r>
      <w:r w:rsidRPr="001C70B3">
        <w:rPr>
          <w:rFonts w:asciiTheme="majorHAnsi" w:eastAsia="Times New Roman" w:hAnsiTheme="majorHAnsi" w:cs="Times New Roman"/>
          <w:i/>
          <w:iCs/>
          <w:color w:val="505050"/>
          <w:kern w:val="36"/>
          <w:sz w:val="18"/>
          <w:szCs w:val="18"/>
          <w:lang w:val="en-GB" w:eastAsia="en-GB"/>
        </w:rPr>
        <w:t xml:space="preserve">Stranger Intimacy: Contesting Race, Sexuality and the Law in the North American West </w:t>
      </w:r>
      <w:r w:rsidRPr="001C70B3">
        <w:rPr>
          <w:rFonts w:asciiTheme="majorHAnsi" w:eastAsia="Times New Roman" w:hAnsiTheme="majorHAnsi" w:cs="Times New Roman"/>
          <w:color w:val="505050"/>
          <w:kern w:val="36"/>
          <w:sz w:val="18"/>
          <w:szCs w:val="18"/>
          <w:lang w:val="en-GB" w:eastAsia="en-GB"/>
        </w:rPr>
        <w:t>(</w:t>
      </w:r>
      <w:r w:rsidRPr="001C70B3">
        <w:rPr>
          <w:rFonts w:asciiTheme="majorHAnsi" w:eastAsia="Times New Roman" w:hAnsiTheme="majorHAnsi" w:cs="Times New Roman"/>
          <w:iCs/>
          <w:color w:val="505050"/>
          <w:kern w:val="36"/>
          <w:sz w:val="18"/>
          <w:szCs w:val="18"/>
          <w:lang w:val="en-GB" w:eastAsia="en-GB"/>
        </w:rPr>
        <w:t>Berkley: University of California Press, 2012).</w:t>
      </w:r>
    </w:p>
  </w:footnote>
  <w:footnote w:id="51">
    <w:p w14:paraId="15E9BDBD" w14:textId="77777777" w:rsidR="0073752B" w:rsidRPr="00351FC7" w:rsidRDefault="0073752B" w:rsidP="001C70B3">
      <w:pPr>
        <w:rPr>
          <w:rFonts w:asciiTheme="majorHAnsi" w:hAnsiTheme="majorHAnsi" w:cs="Times New Roman"/>
          <w:sz w:val="18"/>
          <w:szCs w:val="18"/>
        </w:rPr>
      </w:pPr>
      <w:r w:rsidRPr="00351FC7">
        <w:rPr>
          <w:rFonts w:asciiTheme="majorHAnsi" w:hAnsiTheme="majorHAnsi" w:cs="Times New Roman"/>
          <w:sz w:val="18"/>
          <w:szCs w:val="18"/>
          <w:vertAlign w:val="superscript"/>
        </w:rPr>
        <w:footnoteRef/>
      </w:r>
      <w:r w:rsidRPr="00351FC7">
        <w:rPr>
          <w:rFonts w:asciiTheme="majorHAnsi" w:hAnsiTheme="majorHAnsi" w:cs="Times New Roman"/>
          <w:sz w:val="18"/>
          <w:szCs w:val="18"/>
        </w:rPr>
        <w:t xml:space="preserve"> Lugones, ‘Heterosexualism and the Colonial / Modern Gender System’. </w:t>
      </w:r>
    </w:p>
  </w:footnote>
  <w:footnote w:id="52">
    <w:p w14:paraId="4320B847" w14:textId="3D8C6D14" w:rsidR="0073752B" w:rsidRPr="00351FC7" w:rsidRDefault="0073752B" w:rsidP="00BD6180">
      <w:pPr>
        <w:pStyle w:val="Normal1"/>
        <w:spacing w:line="240" w:lineRule="auto"/>
        <w:rPr>
          <w:rFonts w:asciiTheme="majorHAnsi" w:hAnsiTheme="majorHAnsi" w:cs="Times New Roman"/>
          <w:sz w:val="18"/>
          <w:szCs w:val="18"/>
        </w:rPr>
      </w:pPr>
      <w:r w:rsidRPr="00351FC7">
        <w:rPr>
          <w:rFonts w:asciiTheme="majorHAnsi" w:hAnsiTheme="majorHAnsi" w:cs="Times New Roman"/>
          <w:sz w:val="18"/>
          <w:szCs w:val="18"/>
          <w:vertAlign w:val="superscript"/>
        </w:rPr>
        <w:footnoteRef/>
      </w:r>
      <w:r w:rsidRPr="00351FC7">
        <w:rPr>
          <w:rFonts w:asciiTheme="majorHAnsi" w:hAnsiTheme="majorHAnsi" w:cs="Times New Roman"/>
          <w:sz w:val="18"/>
          <w:szCs w:val="18"/>
        </w:rPr>
        <w:t xml:space="preserve"> </w:t>
      </w:r>
      <w:r>
        <w:rPr>
          <w:rFonts w:asciiTheme="majorHAnsi" w:hAnsiTheme="majorHAnsi" w:cs="Times New Roman"/>
          <w:sz w:val="18"/>
          <w:szCs w:val="18"/>
        </w:rPr>
        <w:t xml:space="preserve">Anne </w:t>
      </w:r>
      <w:r w:rsidRPr="00351FC7">
        <w:rPr>
          <w:rFonts w:asciiTheme="majorHAnsi" w:hAnsiTheme="majorHAnsi" w:cs="Times New Roman"/>
          <w:sz w:val="18"/>
          <w:szCs w:val="18"/>
        </w:rPr>
        <w:t xml:space="preserve">McClintock, </w:t>
      </w:r>
      <w:r w:rsidRPr="00351FC7">
        <w:rPr>
          <w:rFonts w:asciiTheme="majorHAnsi" w:hAnsiTheme="majorHAnsi" w:cs="Times New Roman"/>
          <w:i/>
          <w:sz w:val="18"/>
          <w:szCs w:val="18"/>
        </w:rPr>
        <w:t>Imperial Leather</w:t>
      </w:r>
      <w:r w:rsidRPr="00351FC7">
        <w:rPr>
          <w:rFonts w:asciiTheme="majorHAnsi" w:hAnsiTheme="majorHAnsi" w:cs="Times New Roman"/>
          <w:sz w:val="18"/>
          <w:szCs w:val="18"/>
        </w:rPr>
        <w:t xml:space="preserve"> (London: Routledge, 1995).</w:t>
      </w:r>
    </w:p>
  </w:footnote>
  <w:footnote w:id="53">
    <w:p w14:paraId="594A539C" w14:textId="543250D4" w:rsidR="0073752B" w:rsidRDefault="0073752B" w:rsidP="00BD6180">
      <w:pPr>
        <w:pStyle w:val="Normal1"/>
        <w:spacing w:line="240" w:lineRule="auto"/>
        <w:rPr>
          <w:sz w:val="20"/>
          <w:szCs w:val="20"/>
        </w:rPr>
      </w:pPr>
      <w:r w:rsidRPr="00351FC7">
        <w:rPr>
          <w:rFonts w:asciiTheme="majorHAnsi" w:hAnsiTheme="majorHAnsi" w:cs="Times New Roman"/>
          <w:sz w:val="18"/>
          <w:szCs w:val="18"/>
          <w:vertAlign w:val="superscript"/>
        </w:rPr>
        <w:footnoteRef/>
      </w:r>
      <w:r w:rsidRPr="00351FC7">
        <w:rPr>
          <w:rFonts w:asciiTheme="majorHAnsi" w:hAnsiTheme="majorHAnsi" w:cs="Times New Roman"/>
          <w:sz w:val="18"/>
          <w:szCs w:val="18"/>
        </w:rPr>
        <w:t xml:space="preserve"> See </w:t>
      </w:r>
      <w:r>
        <w:rPr>
          <w:rFonts w:asciiTheme="majorHAnsi" w:hAnsiTheme="majorHAnsi" w:cs="Times New Roman"/>
          <w:sz w:val="18"/>
          <w:szCs w:val="18"/>
        </w:rPr>
        <w:t xml:space="preserve">Patricia </w:t>
      </w:r>
      <w:r w:rsidRPr="00351FC7">
        <w:rPr>
          <w:rFonts w:asciiTheme="majorHAnsi" w:hAnsiTheme="majorHAnsi" w:cs="Times New Roman"/>
          <w:sz w:val="18"/>
          <w:szCs w:val="18"/>
        </w:rPr>
        <w:t>Owens,</w:t>
      </w:r>
      <w:r w:rsidRPr="00351FC7">
        <w:rPr>
          <w:rFonts w:asciiTheme="majorHAnsi" w:hAnsiTheme="majorHAnsi" w:cs="Times New Roman"/>
          <w:i/>
          <w:sz w:val="18"/>
          <w:szCs w:val="18"/>
        </w:rPr>
        <w:t xml:space="preserve"> Economy of Force </w:t>
      </w:r>
      <w:r w:rsidRPr="00351FC7">
        <w:rPr>
          <w:rFonts w:asciiTheme="majorHAnsi" w:hAnsiTheme="majorHAnsi" w:cs="Times New Roman"/>
          <w:sz w:val="18"/>
          <w:szCs w:val="18"/>
        </w:rPr>
        <w:t>(Cambridge: Cambridge University Press, 2015</w:t>
      </w:r>
      <w:r w:rsidRPr="005536E2">
        <w:rPr>
          <w:rFonts w:asciiTheme="majorHAnsi" w:hAnsiTheme="majorHAnsi"/>
          <w:sz w:val="18"/>
          <w:szCs w:val="18"/>
        </w:rPr>
        <w:t>).</w:t>
      </w:r>
    </w:p>
  </w:footnote>
  <w:footnote w:id="54">
    <w:p w14:paraId="0D911573" w14:textId="448F9A1D" w:rsidR="0073752B" w:rsidRPr="00D5389B" w:rsidRDefault="0073752B">
      <w:pPr>
        <w:pStyle w:val="Normal1"/>
        <w:spacing w:line="240" w:lineRule="auto"/>
        <w:rPr>
          <w:rFonts w:asciiTheme="majorHAnsi" w:hAnsiTheme="majorHAnsi"/>
          <w:sz w:val="18"/>
          <w:szCs w:val="18"/>
        </w:rPr>
      </w:pPr>
      <w:r w:rsidRPr="00D5389B">
        <w:rPr>
          <w:rFonts w:asciiTheme="majorHAnsi" w:hAnsiTheme="majorHAnsi"/>
          <w:sz w:val="18"/>
          <w:szCs w:val="18"/>
          <w:vertAlign w:val="superscript"/>
        </w:rPr>
        <w:footnoteRef/>
      </w:r>
      <w:r w:rsidRPr="00D5389B">
        <w:rPr>
          <w:rFonts w:asciiTheme="majorHAnsi" w:hAnsiTheme="majorHAnsi"/>
          <w:sz w:val="18"/>
          <w:szCs w:val="18"/>
        </w:rPr>
        <w:t xml:space="preserve"> Pain, ‘Intimate War’;</w:t>
      </w:r>
      <w:r>
        <w:rPr>
          <w:rFonts w:asciiTheme="majorHAnsi" w:hAnsiTheme="majorHAnsi"/>
          <w:sz w:val="18"/>
          <w:szCs w:val="18"/>
        </w:rPr>
        <w:t xml:space="preserve"> V. Spike</w:t>
      </w:r>
      <w:r w:rsidRPr="00D5389B">
        <w:rPr>
          <w:rFonts w:asciiTheme="majorHAnsi" w:hAnsiTheme="majorHAnsi"/>
          <w:sz w:val="18"/>
          <w:szCs w:val="18"/>
        </w:rPr>
        <w:t xml:space="preserve"> Peterson, ‘Towards Queering the Globally Intimate’, </w:t>
      </w:r>
      <w:r w:rsidRPr="00D5389B">
        <w:rPr>
          <w:rFonts w:asciiTheme="majorHAnsi" w:hAnsiTheme="majorHAnsi"/>
          <w:i/>
          <w:sz w:val="18"/>
          <w:szCs w:val="18"/>
        </w:rPr>
        <w:t>Political Geography</w:t>
      </w:r>
      <w:r w:rsidRPr="00D5389B">
        <w:rPr>
          <w:rFonts w:asciiTheme="majorHAnsi" w:hAnsiTheme="majorHAnsi"/>
          <w:sz w:val="18"/>
          <w:szCs w:val="18"/>
        </w:rPr>
        <w:t xml:space="preserve"> 56, (2017): 114-116; </w:t>
      </w:r>
      <w:r>
        <w:rPr>
          <w:rFonts w:asciiTheme="majorHAnsi" w:hAnsiTheme="majorHAnsi"/>
          <w:sz w:val="18"/>
          <w:szCs w:val="18"/>
        </w:rPr>
        <w:t xml:space="preserve">Alison </w:t>
      </w:r>
      <w:r w:rsidRPr="00D5389B">
        <w:rPr>
          <w:rFonts w:asciiTheme="majorHAnsi" w:hAnsiTheme="majorHAnsi"/>
          <w:sz w:val="18"/>
          <w:szCs w:val="18"/>
        </w:rPr>
        <w:t>Mountz and</w:t>
      </w:r>
      <w:r>
        <w:rPr>
          <w:rFonts w:asciiTheme="majorHAnsi" w:hAnsiTheme="majorHAnsi"/>
          <w:sz w:val="18"/>
          <w:szCs w:val="18"/>
        </w:rPr>
        <w:t xml:space="preserve"> Alison</w:t>
      </w:r>
      <w:r w:rsidRPr="00D5389B">
        <w:rPr>
          <w:rFonts w:asciiTheme="majorHAnsi" w:hAnsiTheme="majorHAnsi"/>
          <w:sz w:val="18"/>
          <w:szCs w:val="18"/>
        </w:rPr>
        <w:t xml:space="preserve"> Hyndman, ‘Feminist Approaches to the Global Intimate’, </w:t>
      </w:r>
      <w:r w:rsidRPr="00D5389B">
        <w:rPr>
          <w:rFonts w:asciiTheme="majorHAnsi" w:hAnsiTheme="majorHAnsi"/>
          <w:i/>
          <w:sz w:val="18"/>
          <w:szCs w:val="18"/>
        </w:rPr>
        <w:t>Women's Studies Quarterly</w:t>
      </w:r>
      <w:r w:rsidRPr="00D5389B">
        <w:rPr>
          <w:rFonts w:asciiTheme="majorHAnsi" w:hAnsiTheme="majorHAnsi"/>
          <w:sz w:val="18"/>
          <w:szCs w:val="18"/>
        </w:rPr>
        <w:t xml:space="preserve"> 34, no. 1/2 (2006): 449.</w:t>
      </w:r>
    </w:p>
  </w:footnote>
  <w:footnote w:id="55">
    <w:p w14:paraId="11F088C3" w14:textId="77777777" w:rsidR="0073752B" w:rsidRPr="00704081" w:rsidRDefault="0073752B">
      <w:pPr>
        <w:pStyle w:val="FootnoteText"/>
        <w:rPr>
          <w:rFonts w:asciiTheme="majorHAnsi" w:hAnsiTheme="majorHAnsi"/>
          <w:sz w:val="18"/>
          <w:szCs w:val="18"/>
          <w:lang w:val="en-US"/>
        </w:rPr>
      </w:pPr>
      <w:r w:rsidRPr="00704081">
        <w:rPr>
          <w:rStyle w:val="FootnoteReference"/>
          <w:rFonts w:asciiTheme="majorHAnsi" w:hAnsiTheme="majorHAnsi"/>
          <w:sz w:val="18"/>
          <w:szCs w:val="18"/>
        </w:rPr>
        <w:footnoteRef/>
      </w:r>
      <w:r>
        <w:rPr>
          <w:rFonts w:asciiTheme="majorHAnsi" w:hAnsiTheme="majorHAnsi"/>
          <w:sz w:val="18"/>
          <w:szCs w:val="18"/>
        </w:rPr>
        <w:t xml:space="preserve"> Peterson ‘</w:t>
      </w:r>
      <w:r w:rsidRPr="00704081">
        <w:rPr>
          <w:rFonts w:asciiTheme="majorHAnsi" w:hAnsiTheme="majorHAnsi"/>
          <w:sz w:val="18"/>
          <w:szCs w:val="18"/>
        </w:rPr>
        <w:t>Towards queering the globally intimate</w:t>
      </w:r>
      <w:r>
        <w:rPr>
          <w:rFonts w:asciiTheme="majorHAnsi" w:hAnsiTheme="majorHAnsi"/>
          <w:sz w:val="18"/>
          <w:szCs w:val="18"/>
        </w:rPr>
        <w:t>’</w:t>
      </w:r>
      <w:r w:rsidRPr="00704081">
        <w:rPr>
          <w:rFonts w:asciiTheme="majorHAnsi" w:hAnsiTheme="majorHAnsi"/>
          <w:sz w:val="18"/>
          <w:szCs w:val="18"/>
        </w:rPr>
        <w:t xml:space="preserve">. </w:t>
      </w:r>
    </w:p>
  </w:footnote>
  <w:footnote w:id="56">
    <w:p w14:paraId="53BB6C38" w14:textId="77777777" w:rsidR="0073752B" w:rsidRPr="00D5389B" w:rsidRDefault="0073752B">
      <w:pPr>
        <w:pStyle w:val="FootnoteText"/>
        <w:rPr>
          <w:rFonts w:asciiTheme="majorHAnsi" w:hAnsiTheme="majorHAnsi"/>
          <w:sz w:val="18"/>
          <w:szCs w:val="18"/>
          <w:lang w:val="en-US"/>
        </w:rPr>
      </w:pPr>
      <w:r w:rsidRPr="00D5389B">
        <w:rPr>
          <w:rStyle w:val="FootnoteReference"/>
          <w:rFonts w:asciiTheme="majorHAnsi" w:hAnsiTheme="majorHAnsi"/>
          <w:sz w:val="18"/>
          <w:szCs w:val="18"/>
        </w:rPr>
        <w:footnoteRef/>
      </w:r>
      <w:r>
        <w:rPr>
          <w:rFonts w:asciiTheme="majorHAnsi" w:hAnsiTheme="majorHAnsi"/>
          <w:sz w:val="18"/>
          <w:szCs w:val="18"/>
        </w:rPr>
        <w:t xml:space="preserve"> Smith</w:t>
      </w:r>
      <w:r w:rsidRPr="00D5389B">
        <w:rPr>
          <w:rFonts w:asciiTheme="majorHAnsi" w:hAnsiTheme="majorHAnsi"/>
          <w:sz w:val="18"/>
          <w:szCs w:val="18"/>
        </w:rPr>
        <w:t xml:space="preserve"> </w:t>
      </w:r>
      <w:r>
        <w:rPr>
          <w:rFonts w:asciiTheme="majorHAnsi" w:hAnsiTheme="majorHAnsi"/>
          <w:sz w:val="18"/>
          <w:szCs w:val="18"/>
        </w:rPr>
        <w:t>‘</w:t>
      </w:r>
      <w:r w:rsidRPr="00D5389B">
        <w:rPr>
          <w:rFonts w:asciiTheme="majorHAnsi" w:hAnsiTheme="majorHAnsi"/>
          <w:sz w:val="18"/>
          <w:szCs w:val="18"/>
        </w:rPr>
        <w:t>Intimacy and angst in the field</w:t>
      </w:r>
      <w:r>
        <w:rPr>
          <w:rFonts w:asciiTheme="majorHAnsi" w:hAnsiTheme="majorHAnsi"/>
          <w:sz w:val="18"/>
          <w:szCs w:val="18"/>
        </w:rPr>
        <w:t>’</w:t>
      </w:r>
    </w:p>
  </w:footnote>
  <w:footnote w:id="57">
    <w:p w14:paraId="58336FD7" w14:textId="77777777" w:rsidR="0073752B" w:rsidRPr="00BD031F" w:rsidRDefault="0073752B">
      <w:pPr>
        <w:pStyle w:val="FootnoteText"/>
        <w:rPr>
          <w:rFonts w:asciiTheme="majorHAnsi" w:hAnsiTheme="majorHAnsi"/>
          <w:sz w:val="18"/>
          <w:szCs w:val="18"/>
          <w:lang w:val="en-US"/>
        </w:rPr>
      </w:pPr>
      <w:r w:rsidRPr="00BD031F">
        <w:rPr>
          <w:rStyle w:val="FootnoteReference"/>
          <w:rFonts w:asciiTheme="majorHAnsi" w:hAnsiTheme="majorHAnsi"/>
          <w:sz w:val="18"/>
          <w:szCs w:val="18"/>
        </w:rPr>
        <w:footnoteRef/>
      </w:r>
      <w:r w:rsidRPr="00BD031F">
        <w:rPr>
          <w:rFonts w:asciiTheme="majorHAnsi" w:hAnsiTheme="majorHAnsi"/>
          <w:sz w:val="18"/>
          <w:szCs w:val="18"/>
        </w:rPr>
        <w:t xml:space="preserve"> </w:t>
      </w:r>
      <w:r w:rsidRPr="009B3E92">
        <w:rPr>
          <w:rFonts w:asciiTheme="majorHAnsi" w:hAnsiTheme="majorHAnsi"/>
          <w:sz w:val="18"/>
          <w:szCs w:val="18"/>
        </w:rPr>
        <w:t>Tolia-Kelly, ‘Feeling and being at the (postcolonial) museum’</w:t>
      </w:r>
    </w:p>
  </w:footnote>
  <w:footnote w:id="58">
    <w:p w14:paraId="23E34845" w14:textId="0E41CBF4" w:rsidR="0073752B" w:rsidRPr="005536E2" w:rsidRDefault="0073752B" w:rsidP="00AB3693">
      <w:pPr>
        <w:pStyle w:val="Normal1"/>
        <w:spacing w:line="240" w:lineRule="auto"/>
        <w:rPr>
          <w:rFonts w:asciiTheme="majorHAnsi" w:hAnsiTheme="majorHAnsi"/>
          <w:sz w:val="18"/>
          <w:szCs w:val="18"/>
        </w:rPr>
      </w:pPr>
      <w:r w:rsidRPr="005536E2">
        <w:rPr>
          <w:rFonts w:asciiTheme="majorHAnsi" w:hAnsiTheme="majorHAnsi"/>
          <w:sz w:val="18"/>
          <w:szCs w:val="18"/>
          <w:vertAlign w:val="superscript"/>
        </w:rPr>
        <w:footnoteRef/>
      </w:r>
      <w:r w:rsidRPr="005536E2">
        <w:rPr>
          <w:rFonts w:asciiTheme="majorHAnsi" w:hAnsiTheme="majorHAnsi"/>
          <w:sz w:val="18"/>
          <w:szCs w:val="18"/>
        </w:rPr>
        <w:t xml:space="preserve"> Smith</w:t>
      </w:r>
      <w:r w:rsidRPr="005536E2">
        <w:rPr>
          <w:rFonts w:asciiTheme="majorHAnsi" w:hAnsiTheme="majorHAnsi"/>
          <w:i/>
          <w:sz w:val="18"/>
          <w:szCs w:val="18"/>
        </w:rPr>
        <w:t xml:space="preserve">, </w:t>
      </w:r>
      <w:r w:rsidRPr="005536E2">
        <w:rPr>
          <w:rFonts w:asciiTheme="majorHAnsi" w:hAnsiTheme="majorHAnsi"/>
          <w:sz w:val="18"/>
          <w:szCs w:val="18"/>
        </w:rPr>
        <w:t xml:space="preserve">‘Intimacy and </w:t>
      </w:r>
      <w:r>
        <w:rPr>
          <w:rFonts w:asciiTheme="majorHAnsi" w:hAnsiTheme="majorHAnsi"/>
          <w:sz w:val="18"/>
          <w:szCs w:val="18"/>
        </w:rPr>
        <w:t>a</w:t>
      </w:r>
      <w:r w:rsidRPr="005536E2">
        <w:rPr>
          <w:rFonts w:asciiTheme="majorHAnsi" w:hAnsiTheme="majorHAnsi"/>
          <w:sz w:val="18"/>
          <w:szCs w:val="18"/>
        </w:rPr>
        <w:t xml:space="preserve">ngst in the Field’. </w:t>
      </w:r>
    </w:p>
  </w:footnote>
  <w:footnote w:id="59">
    <w:p w14:paraId="61584772" w14:textId="2CE2E0D1" w:rsidR="0073752B" w:rsidRPr="004E2101" w:rsidRDefault="0073752B">
      <w:pPr>
        <w:pStyle w:val="Normal1"/>
        <w:spacing w:line="240" w:lineRule="auto"/>
        <w:rPr>
          <w:rFonts w:asciiTheme="majorHAnsi" w:hAnsiTheme="majorHAnsi"/>
          <w:sz w:val="18"/>
          <w:szCs w:val="18"/>
        </w:rPr>
      </w:pPr>
      <w:r w:rsidRPr="004E2101">
        <w:rPr>
          <w:rFonts w:asciiTheme="majorHAnsi" w:hAnsiTheme="majorHAnsi"/>
          <w:sz w:val="18"/>
          <w:szCs w:val="18"/>
          <w:vertAlign w:val="superscript"/>
        </w:rPr>
        <w:footnoteRef/>
      </w:r>
      <w:r w:rsidRPr="004E2101">
        <w:rPr>
          <w:rFonts w:asciiTheme="majorHAnsi" w:hAnsiTheme="majorHAnsi"/>
          <w:sz w:val="18"/>
          <w:szCs w:val="18"/>
        </w:rPr>
        <w:t xml:space="preserve"> </w:t>
      </w:r>
      <w:r>
        <w:rPr>
          <w:rFonts w:asciiTheme="majorHAnsi" w:hAnsiTheme="majorHAnsi"/>
          <w:sz w:val="18"/>
          <w:szCs w:val="18"/>
        </w:rPr>
        <w:t xml:space="preserve">Natalie </w:t>
      </w:r>
      <w:r w:rsidRPr="004E2101">
        <w:rPr>
          <w:rFonts w:asciiTheme="majorHAnsi" w:hAnsiTheme="majorHAnsi"/>
          <w:sz w:val="18"/>
          <w:szCs w:val="18"/>
        </w:rPr>
        <w:t xml:space="preserve">Oswin and </w:t>
      </w:r>
      <w:r>
        <w:rPr>
          <w:rFonts w:asciiTheme="majorHAnsi" w:hAnsiTheme="majorHAnsi"/>
          <w:sz w:val="18"/>
          <w:szCs w:val="18"/>
        </w:rPr>
        <w:t xml:space="preserve">Eric </w:t>
      </w:r>
      <w:r w:rsidRPr="004E2101">
        <w:rPr>
          <w:rFonts w:asciiTheme="majorHAnsi" w:hAnsiTheme="majorHAnsi"/>
          <w:sz w:val="18"/>
          <w:szCs w:val="18"/>
        </w:rPr>
        <w:t>Olund, ‘Governing intimacy’,</w:t>
      </w:r>
      <w:r w:rsidRPr="004E2101">
        <w:rPr>
          <w:rFonts w:asciiTheme="majorHAnsi" w:hAnsiTheme="majorHAnsi"/>
          <w:i/>
          <w:sz w:val="18"/>
          <w:szCs w:val="18"/>
        </w:rPr>
        <w:t xml:space="preserve"> Environment and Planning D </w:t>
      </w:r>
      <w:r w:rsidRPr="004E2101">
        <w:rPr>
          <w:rFonts w:asciiTheme="majorHAnsi" w:hAnsiTheme="majorHAnsi"/>
          <w:sz w:val="18"/>
          <w:szCs w:val="18"/>
        </w:rPr>
        <w:t>28, no. 1:</w:t>
      </w:r>
      <w:r w:rsidRPr="004E2101">
        <w:rPr>
          <w:rFonts w:asciiTheme="majorHAnsi" w:hAnsiTheme="majorHAnsi"/>
          <w:i/>
          <w:sz w:val="18"/>
          <w:szCs w:val="18"/>
        </w:rPr>
        <w:t xml:space="preserve"> </w:t>
      </w:r>
      <w:r w:rsidRPr="004E2101">
        <w:rPr>
          <w:rFonts w:asciiTheme="majorHAnsi" w:hAnsiTheme="majorHAnsi"/>
          <w:sz w:val="18"/>
          <w:szCs w:val="18"/>
        </w:rPr>
        <w:t>60-67.</w:t>
      </w:r>
    </w:p>
  </w:footnote>
  <w:footnote w:id="60">
    <w:p w14:paraId="12B9CC17" w14:textId="77777777" w:rsidR="0073752B" w:rsidRPr="004E2101" w:rsidRDefault="0073752B">
      <w:pPr>
        <w:pStyle w:val="Normal1"/>
        <w:spacing w:line="240" w:lineRule="auto"/>
        <w:rPr>
          <w:rFonts w:asciiTheme="majorHAnsi" w:hAnsiTheme="majorHAnsi"/>
          <w:sz w:val="18"/>
          <w:szCs w:val="18"/>
        </w:rPr>
      </w:pPr>
      <w:r w:rsidRPr="004E2101">
        <w:rPr>
          <w:rFonts w:asciiTheme="majorHAnsi" w:hAnsiTheme="majorHAnsi"/>
          <w:sz w:val="18"/>
          <w:szCs w:val="18"/>
          <w:vertAlign w:val="superscript"/>
        </w:rPr>
        <w:footnoteRef/>
      </w:r>
      <w:r w:rsidRPr="004E2101">
        <w:rPr>
          <w:rFonts w:asciiTheme="majorHAnsi" w:hAnsiTheme="majorHAnsi"/>
          <w:sz w:val="18"/>
          <w:szCs w:val="18"/>
        </w:rPr>
        <w:t xml:space="preserve"> Puar, </w:t>
      </w:r>
      <w:r w:rsidRPr="004E2101">
        <w:rPr>
          <w:rFonts w:asciiTheme="majorHAnsi" w:hAnsiTheme="majorHAnsi"/>
          <w:i/>
          <w:sz w:val="18"/>
          <w:szCs w:val="18"/>
        </w:rPr>
        <w:t xml:space="preserve">Terrorist Assemblages, </w:t>
      </w:r>
      <w:r w:rsidRPr="004E2101">
        <w:rPr>
          <w:rFonts w:asciiTheme="majorHAnsi" w:hAnsiTheme="majorHAnsi"/>
          <w:sz w:val="18"/>
          <w:szCs w:val="18"/>
        </w:rPr>
        <w:t>30-31.</w:t>
      </w:r>
    </w:p>
  </w:footnote>
  <w:footnote w:id="61">
    <w:p w14:paraId="7CD74281" w14:textId="77777777" w:rsidR="0073752B" w:rsidRPr="004C0B8B" w:rsidRDefault="0073752B">
      <w:pPr>
        <w:pStyle w:val="Normal1"/>
        <w:spacing w:line="240" w:lineRule="auto"/>
        <w:rPr>
          <w:rFonts w:asciiTheme="majorHAnsi" w:hAnsiTheme="majorHAnsi"/>
          <w:sz w:val="18"/>
          <w:szCs w:val="18"/>
        </w:rPr>
      </w:pPr>
      <w:r w:rsidRPr="004C0B8B">
        <w:rPr>
          <w:rFonts w:asciiTheme="majorHAnsi" w:hAnsiTheme="majorHAnsi"/>
          <w:sz w:val="18"/>
          <w:szCs w:val="18"/>
          <w:vertAlign w:val="superscript"/>
        </w:rPr>
        <w:footnoteRef/>
      </w:r>
      <w:r w:rsidRPr="004C0B8B">
        <w:rPr>
          <w:rFonts w:asciiTheme="majorHAnsi" w:hAnsiTheme="majorHAnsi"/>
          <w:sz w:val="18"/>
          <w:szCs w:val="18"/>
        </w:rPr>
        <w:t xml:space="preserve"> Berlant and Warner, ‘Sex in Public’.</w:t>
      </w:r>
    </w:p>
  </w:footnote>
  <w:footnote w:id="62">
    <w:p w14:paraId="691F38E2" w14:textId="77777777" w:rsidR="0073752B" w:rsidRPr="001C70B3" w:rsidRDefault="0073752B">
      <w:pPr>
        <w:pStyle w:val="Normal1"/>
        <w:spacing w:line="240" w:lineRule="auto"/>
        <w:rPr>
          <w:rFonts w:asciiTheme="majorHAnsi" w:hAnsiTheme="majorHAnsi"/>
          <w:color w:val="000000" w:themeColor="text1"/>
          <w:sz w:val="18"/>
          <w:szCs w:val="18"/>
        </w:rPr>
      </w:pPr>
      <w:r w:rsidRPr="004C0B8B">
        <w:rPr>
          <w:rFonts w:asciiTheme="majorHAnsi" w:hAnsiTheme="majorHAnsi"/>
          <w:sz w:val="18"/>
          <w:szCs w:val="18"/>
          <w:vertAlign w:val="superscript"/>
        </w:rPr>
        <w:footnoteRef/>
      </w:r>
      <w:r w:rsidRPr="004C0B8B">
        <w:rPr>
          <w:rFonts w:asciiTheme="majorHAnsi" w:hAnsiTheme="majorHAnsi"/>
          <w:sz w:val="18"/>
          <w:szCs w:val="18"/>
        </w:rPr>
        <w:t xml:space="preserve"> Puar, </w:t>
      </w:r>
      <w:r w:rsidRPr="001C70B3">
        <w:rPr>
          <w:rFonts w:asciiTheme="majorHAnsi" w:hAnsiTheme="majorHAnsi"/>
          <w:i/>
          <w:color w:val="000000" w:themeColor="text1"/>
          <w:sz w:val="18"/>
          <w:szCs w:val="18"/>
        </w:rPr>
        <w:t>Terrorist Assemblages</w:t>
      </w:r>
      <w:r w:rsidRPr="001C70B3">
        <w:rPr>
          <w:rFonts w:asciiTheme="majorHAnsi" w:hAnsiTheme="majorHAnsi"/>
          <w:color w:val="000000" w:themeColor="text1"/>
          <w:sz w:val="18"/>
          <w:szCs w:val="18"/>
        </w:rPr>
        <w:t xml:space="preserve">, 31. </w:t>
      </w:r>
    </w:p>
  </w:footnote>
  <w:footnote w:id="63">
    <w:p w14:paraId="6DD63733" w14:textId="39BF21F4" w:rsidR="0073752B" w:rsidRPr="001C70B3" w:rsidRDefault="0073752B" w:rsidP="001C70B3">
      <w:pPr>
        <w:rPr>
          <w:rFonts w:asciiTheme="majorHAnsi" w:hAnsiTheme="majorHAnsi"/>
          <w:sz w:val="18"/>
          <w:szCs w:val="18"/>
        </w:rPr>
      </w:pPr>
      <w:r w:rsidRPr="004C0B8B">
        <w:rPr>
          <w:rFonts w:asciiTheme="majorHAnsi" w:hAnsiTheme="majorHAnsi"/>
          <w:sz w:val="18"/>
          <w:szCs w:val="18"/>
          <w:vertAlign w:val="superscript"/>
        </w:rPr>
        <w:footnoteRef/>
      </w:r>
      <w:r w:rsidRPr="004C0B8B">
        <w:rPr>
          <w:rFonts w:asciiTheme="majorHAnsi" w:hAnsiTheme="majorHAnsi"/>
          <w:sz w:val="18"/>
          <w:szCs w:val="18"/>
        </w:rPr>
        <w:t xml:space="preserve"> </w:t>
      </w:r>
      <w:r>
        <w:rPr>
          <w:rFonts w:asciiTheme="majorHAnsi" w:hAnsiTheme="majorHAnsi"/>
          <w:sz w:val="18"/>
          <w:szCs w:val="18"/>
        </w:rPr>
        <w:t xml:space="preserve">Eric </w:t>
      </w:r>
      <w:r w:rsidRPr="001C70B3">
        <w:rPr>
          <w:rFonts w:asciiTheme="majorHAnsi" w:hAnsiTheme="majorHAnsi"/>
          <w:sz w:val="18"/>
          <w:szCs w:val="18"/>
          <w:highlight w:val="white"/>
        </w:rPr>
        <w:t xml:space="preserve">Cudworth and </w:t>
      </w:r>
      <w:r>
        <w:rPr>
          <w:rFonts w:asciiTheme="majorHAnsi" w:hAnsiTheme="majorHAnsi"/>
          <w:sz w:val="18"/>
          <w:szCs w:val="18"/>
          <w:highlight w:val="white"/>
        </w:rPr>
        <w:t xml:space="preserve">Steve </w:t>
      </w:r>
      <w:r w:rsidRPr="001C70B3">
        <w:rPr>
          <w:rFonts w:asciiTheme="majorHAnsi" w:hAnsiTheme="majorHAnsi"/>
          <w:sz w:val="18"/>
          <w:szCs w:val="18"/>
          <w:highlight w:val="white"/>
        </w:rPr>
        <w:t xml:space="preserve">Hobden, ‘The posthuman way of war’, </w:t>
      </w:r>
      <w:r w:rsidRPr="001C70B3">
        <w:rPr>
          <w:rFonts w:asciiTheme="majorHAnsi" w:hAnsiTheme="majorHAnsi"/>
          <w:i/>
          <w:sz w:val="18"/>
          <w:szCs w:val="18"/>
          <w:highlight w:val="white"/>
        </w:rPr>
        <w:t>Security Dialogue</w:t>
      </w:r>
      <w:r w:rsidRPr="001C70B3">
        <w:rPr>
          <w:rFonts w:asciiTheme="majorHAnsi" w:hAnsiTheme="majorHAnsi"/>
          <w:sz w:val="18"/>
          <w:szCs w:val="18"/>
          <w:highlight w:val="white"/>
        </w:rPr>
        <w:t xml:space="preserve"> 46, no. 6 (2016): 513–529. </w:t>
      </w:r>
    </w:p>
  </w:footnote>
  <w:footnote w:id="64">
    <w:p w14:paraId="4E109E75" w14:textId="074B53EB" w:rsidR="0073752B" w:rsidRPr="004C0B8B" w:rsidRDefault="0073752B" w:rsidP="001C70B3">
      <w:pPr>
        <w:rPr>
          <w:rFonts w:asciiTheme="majorHAnsi" w:hAnsiTheme="majorHAnsi"/>
          <w:sz w:val="18"/>
          <w:szCs w:val="18"/>
          <w:lang w:val="en-US"/>
        </w:rPr>
      </w:pPr>
      <w:r w:rsidRPr="001C70B3">
        <w:rPr>
          <w:rStyle w:val="FootnoteReference"/>
          <w:rFonts w:asciiTheme="majorHAnsi" w:hAnsiTheme="majorHAnsi"/>
          <w:color w:val="000000" w:themeColor="text1"/>
          <w:sz w:val="18"/>
          <w:szCs w:val="18"/>
        </w:rPr>
        <w:footnoteRef/>
      </w:r>
      <w:r w:rsidRPr="004C0B8B">
        <w:rPr>
          <w:rFonts w:asciiTheme="majorHAnsi" w:hAnsiTheme="majorHAnsi"/>
          <w:sz w:val="18"/>
          <w:szCs w:val="18"/>
        </w:rPr>
        <w:t xml:space="preserve"> </w:t>
      </w:r>
      <w:r>
        <w:rPr>
          <w:rFonts w:asciiTheme="majorHAnsi" w:hAnsiTheme="majorHAnsi"/>
          <w:sz w:val="18"/>
          <w:szCs w:val="18"/>
        </w:rPr>
        <w:t xml:space="preserve">Micheal </w:t>
      </w:r>
      <w:r w:rsidRPr="004C0B8B">
        <w:rPr>
          <w:rFonts w:asciiTheme="majorHAnsi" w:hAnsiTheme="majorHAnsi"/>
          <w:sz w:val="18"/>
          <w:szCs w:val="18"/>
        </w:rPr>
        <w:t xml:space="preserve">Brown and </w:t>
      </w:r>
      <w:r>
        <w:rPr>
          <w:rFonts w:asciiTheme="majorHAnsi" w:hAnsiTheme="majorHAnsi"/>
          <w:sz w:val="18"/>
          <w:szCs w:val="18"/>
        </w:rPr>
        <w:t xml:space="preserve">Claire </w:t>
      </w:r>
      <w:r w:rsidRPr="004C0B8B">
        <w:rPr>
          <w:rFonts w:asciiTheme="majorHAnsi" w:hAnsiTheme="majorHAnsi"/>
          <w:sz w:val="18"/>
          <w:szCs w:val="18"/>
        </w:rPr>
        <w:t>Rasmussen</w:t>
      </w:r>
      <w:r>
        <w:rPr>
          <w:rFonts w:asciiTheme="majorHAnsi" w:hAnsiTheme="majorHAnsi"/>
          <w:sz w:val="18"/>
          <w:szCs w:val="18"/>
        </w:rPr>
        <w:t>,</w:t>
      </w:r>
      <w:r w:rsidRPr="004C0B8B">
        <w:rPr>
          <w:rFonts w:asciiTheme="majorHAnsi" w:hAnsiTheme="majorHAnsi"/>
          <w:sz w:val="18"/>
          <w:szCs w:val="18"/>
        </w:rPr>
        <w:t xml:space="preserve"> ‘Bestiality and the Queering of the Human Animal’. </w:t>
      </w:r>
      <w:r w:rsidRPr="004C0B8B">
        <w:rPr>
          <w:rFonts w:asciiTheme="majorHAnsi" w:hAnsiTheme="majorHAnsi"/>
          <w:i/>
          <w:sz w:val="18"/>
          <w:szCs w:val="18"/>
        </w:rPr>
        <w:t>Environment and Planning D: Society and Space</w:t>
      </w:r>
      <w:r w:rsidRPr="004C0B8B">
        <w:rPr>
          <w:rFonts w:asciiTheme="majorHAnsi" w:hAnsiTheme="majorHAnsi"/>
          <w:sz w:val="18"/>
          <w:szCs w:val="18"/>
        </w:rPr>
        <w:t>, 28, no. 1 (2010), 158–17.</w:t>
      </w:r>
    </w:p>
  </w:footnote>
  <w:footnote w:id="65">
    <w:p w14:paraId="6E9BBCF4" w14:textId="77777777" w:rsidR="0073752B" w:rsidRPr="004C0B8B" w:rsidRDefault="0073752B" w:rsidP="001C70B3">
      <w:pPr>
        <w:rPr>
          <w:rFonts w:asciiTheme="majorHAnsi" w:hAnsiTheme="majorHAnsi"/>
          <w:sz w:val="18"/>
          <w:szCs w:val="18"/>
          <w:lang w:val="en-US"/>
        </w:rPr>
      </w:pPr>
      <w:r w:rsidRPr="001C70B3">
        <w:rPr>
          <w:rStyle w:val="FootnoteReference"/>
          <w:rFonts w:asciiTheme="majorHAnsi" w:hAnsiTheme="majorHAnsi"/>
          <w:color w:val="000000" w:themeColor="text1"/>
          <w:sz w:val="18"/>
          <w:szCs w:val="18"/>
        </w:rPr>
        <w:footnoteRef/>
      </w:r>
      <w:r w:rsidRPr="004C0B8B">
        <w:rPr>
          <w:rFonts w:asciiTheme="majorHAnsi" w:hAnsiTheme="majorHAnsi"/>
          <w:sz w:val="18"/>
          <w:szCs w:val="18"/>
        </w:rPr>
        <w:t xml:space="preserve"> Ibid, 160</w:t>
      </w:r>
    </w:p>
  </w:footnote>
  <w:footnote w:id="66">
    <w:p w14:paraId="6D46BC3E" w14:textId="59C85A01" w:rsidR="0073752B" w:rsidRPr="001C70B3" w:rsidRDefault="0073752B" w:rsidP="001C70B3">
      <w:pPr>
        <w:rPr>
          <w:rFonts w:asciiTheme="majorHAnsi" w:hAnsiTheme="majorHAnsi"/>
          <w:sz w:val="18"/>
          <w:szCs w:val="18"/>
          <w:lang w:val="en-GB"/>
        </w:rPr>
      </w:pPr>
      <w:r w:rsidRPr="001C70B3">
        <w:rPr>
          <w:rStyle w:val="FootnoteReference"/>
          <w:rFonts w:asciiTheme="majorHAnsi" w:hAnsiTheme="majorHAnsi"/>
          <w:color w:val="000000" w:themeColor="text1"/>
          <w:sz w:val="18"/>
          <w:szCs w:val="18"/>
        </w:rPr>
        <w:footnoteRef/>
      </w:r>
      <w:r w:rsidRPr="001C70B3">
        <w:rPr>
          <w:rFonts w:asciiTheme="majorHAnsi" w:hAnsiTheme="majorHAnsi"/>
          <w:sz w:val="18"/>
          <w:szCs w:val="18"/>
        </w:rPr>
        <w:t xml:space="preserve"> </w:t>
      </w:r>
      <w:r w:rsidRPr="001C70B3">
        <w:rPr>
          <w:rFonts w:asciiTheme="majorHAnsi" w:hAnsiTheme="majorHAnsi"/>
          <w:sz w:val="18"/>
          <w:szCs w:val="18"/>
          <w:lang w:val="en-GB"/>
        </w:rPr>
        <w:t xml:space="preserve">Our conception of scales and proximities draws heavily on Pain, ‘Intimate War’ and Lisa Lowe, </w:t>
      </w:r>
      <w:r w:rsidRPr="001C70B3">
        <w:rPr>
          <w:rFonts w:asciiTheme="majorHAnsi" w:hAnsiTheme="majorHAnsi"/>
          <w:i/>
          <w:iCs/>
          <w:sz w:val="18"/>
          <w:szCs w:val="18"/>
          <w:lang w:val="en-GB"/>
        </w:rPr>
        <w:t>The Intimacies of Four Continents</w:t>
      </w:r>
      <w:r w:rsidRPr="001C70B3">
        <w:rPr>
          <w:rFonts w:asciiTheme="majorHAnsi" w:hAnsiTheme="majorHAnsi"/>
          <w:sz w:val="18"/>
          <w:szCs w:val="18"/>
          <w:lang w:val="en-GB"/>
        </w:rPr>
        <w:t>,</w:t>
      </w:r>
    </w:p>
  </w:footnote>
  <w:footnote w:id="67">
    <w:p w14:paraId="67ACBD4C" w14:textId="7631CC46" w:rsidR="0073752B" w:rsidRPr="001C70B3" w:rsidRDefault="0073752B">
      <w:pPr>
        <w:pStyle w:val="Normal1"/>
        <w:spacing w:line="240" w:lineRule="auto"/>
        <w:rPr>
          <w:rFonts w:asciiTheme="majorHAnsi" w:hAnsiTheme="majorHAnsi"/>
          <w:color w:val="000000" w:themeColor="text1"/>
          <w:sz w:val="18"/>
          <w:szCs w:val="18"/>
        </w:rPr>
      </w:pPr>
      <w:r w:rsidRPr="001C70B3">
        <w:rPr>
          <w:rFonts w:asciiTheme="majorHAnsi" w:hAnsiTheme="majorHAnsi"/>
          <w:color w:val="000000" w:themeColor="text1"/>
          <w:sz w:val="18"/>
          <w:szCs w:val="18"/>
          <w:vertAlign w:val="superscript"/>
        </w:rPr>
        <w:footnoteRef/>
      </w:r>
      <w:r w:rsidRPr="001C70B3">
        <w:rPr>
          <w:rFonts w:asciiTheme="majorHAnsi" w:hAnsiTheme="majorHAnsi"/>
          <w:color w:val="000000" w:themeColor="text1"/>
          <w:sz w:val="18"/>
          <w:szCs w:val="18"/>
        </w:rPr>
        <w:t xml:space="preserve"> Lowe, </w:t>
      </w:r>
      <w:r w:rsidRPr="001C70B3">
        <w:rPr>
          <w:rFonts w:asciiTheme="majorHAnsi" w:hAnsiTheme="majorHAnsi"/>
          <w:i/>
          <w:color w:val="000000" w:themeColor="text1"/>
          <w:sz w:val="18"/>
          <w:szCs w:val="18"/>
        </w:rPr>
        <w:t>The Intimacies of Four Continents</w:t>
      </w:r>
      <w:r w:rsidRPr="001C70B3">
        <w:rPr>
          <w:rFonts w:asciiTheme="majorHAnsi" w:hAnsiTheme="majorHAnsi"/>
          <w:color w:val="000000" w:themeColor="text1"/>
          <w:sz w:val="18"/>
          <w:szCs w:val="18"/>
        </w:rPr>
        <w:t>, 2.</w:t>
      </w:r>
    </w:p>
  </w:footnote>
  <w:footnote w:id="68">
    <w:p w14:paraId="68E6F2BC" w14:textId="59E2E9F8" w:rsidR="0073752B" w:rsidRPr="00F40BAF" w:rsidRDefault="0073752B">
      <w:pPr>
        <w:pStyle w:val="Normal1"/>
        <w:spacing w:line="240" w:lineRule="auto"/>
        <w:rPr>
          <w:rFonts w:asciiTheme="majorHAnsi" w:hAnsiTheme="majorHAnsi"/>
          <w:sz w:val="18"/>
          <w:szCs w:val="18"/>
        </w:rPr>
      </w:pPr>
      <w:r w:rsidRPr="001C70B3">
        <w:rPr>
          <w:rFonts w:asciiTheme="majorHAnsi" w:hAnsiTheme="majorHAnsi"/>
          <w:color w:val="000000" w:themeColor="text1"/>
          <w:sz w:val="18"/>
          <w:szCs w:val="18"/>
          <w:vertAlign w:val="superscript"/>
        </w:rPr>
        <w:footnoteRef/>
      </w:r>
      <w:r w:rsidRPr="001C70B3">
        <w:rPr>
          <w:rFonts w:asciiTheme="majorHAnsi" w:hAnsiTheme="majorHAnsi"/>
          <w:color w:val="000000" w:themeColor="text1"/>
          <w:sz w:val="18"/>
          <w:szCs w:val="18"/>
        </w:rPr>
        <w:t xml:space="preserve"> </w:t>
      </w:r>
      <w:r>
        <w:rPr>
          <w:rFonts w:asciiTheme="majorHAnsi" w:hAnsiTheme="majorHAnsi"/>
          <w:color w:val="000000" w:themeColor="text1"/>
          <w:sz w:val="18"/>
          <w:szCs w:val="18"/>
        </w:rPr>
        <w:t xml:space="preserve">Stephanie </w:t>
      </w:r>
      <w:r w:rsidRPr="001C70B3">
        <w:rPr>
          <w:rFonts w:asciiTheme="majorHAnsi" w:hAnsiTheme="majorHAnsi"/>
          <w:color w:val="000000" w:themeColor="text1"/>
          <w:sz w:val="18"/>
          <w:szCs w:val="18"/>
        </w:rPr>
        <w:t xml:space="preserve">Smallwood, ‘Reading the archive of liberalism with Lisa Lowe: Reflections on The Intimacies of Four Continents’, </w:t>
      </w:r>
      <w:r w:rsidRPr="001C70B3">
        <w:rPr>
          <w:rFonts w:asciiTheme="majorHAnsi" w:hAnsiTheme="majorHAnsi"/>
          <w:i/>
          <w:color w:val="000000" w:themeColor="text1"/>
          <w:sz w:val="18"/>
          <w:szCs w:val="18"/>
        </w:rPr>
        <w:t>Cultural Dynamics,</w:t>
      </w:r>
      <w:r w:rsidRPr="001C70B3">
        <w:rPr>
          <w:rFonts w:asciiTheme="majorHAnsi" w:hAnsiTheme="majorHAnsi"/>
          <w:color w:val="000000" w:themeColor="text1"/>
          <w:sz w:val="18"/>
          <w:szCs w:val="18"/>
        </w:rPr>
        <w:t xml:space="preserve"> 29, no. 1–2 (2017): 83–88.</w:t>
      </w:r>
    </w:p>
  </w:footnote>
  <w:footnote w:id="69">
    <w:p w14:paraId="7EFB063C" w14:textId="6F76998E" w:rsidR="0073752B" w:rsidRPr="00F40BAF" w:rsidRDefault="0073752B">
      <w:pPr>
        <w:pStyle w:val="Normal1"/>
        <w:spacing w:line="240" w:lineRule="auto"/>
        <w:rPr>
          <w:rFonts w:asciiTheme="majorHAnsi" w:hAnsiTheme="majorHAnsi"/>
          <w:sz w:val="18"/>
          <w:szCs w:val="18"/>
        </w:rPr>
      </w:pPr>
      <w:r w:rsidRPr="00F40BAF">
        <w:rPr>
          <w:rFonts w:asciiTheme="majorHAnsi" w:hAnsiTheme="majorHAnsi"/>
          <w:sz w:val="18"/>
          <w:szCs w:val="18"/>
          <w:vertAlign w:val="superscript"/>
        </w:rPr>
        <w:footnoteRef/>
      </w:r>
      <w:r w:rsidRPr="00F40BAF">
        <w:rPr>
          <w:rFonts w:asciiTheme="majorHAnsi" w:hAnsiTheme="majorHAnsi"/>
          <w:sz w:val="18"/>
          <w:szCs w:val="18"/>
        </w:rPr>
        <w:t xml:space="preserve"> Lowe, </w:t>
      </w:r>
      <w:r w:rsidRPr="00F40BAF">
        <w:rPr>
          <w:rFonts w:asciiTheme="majorHAnsi" w:hAnsiTheme="majorHAnsi"/>
          <w:i/>
          <w:sz w:val="18"/>
          <w:szCs w:val="18"/>
        </w:rPr>
        <w:t>The Intimacies of Four Continents</w:t>
      </w:r>
      <w:r w:rsidRPr="00F40BAF">
        <w:rPr>
          <w:rFonts w:asciiTheme="majorHAnsi" w:hAnsiTheme="majorHAnsi"/>
          <w:sz w:val="18"/>
          <w:szCs w:val="18"/>
        </w:rPr>
        <w:t>, 25.</w:t>
      </w:r>
      <w:r>
        <w:rPr>
          <w:rFonts w:asciiTheme="majorHAnsi" w:hAnsiTheme="majorHAnsi"/>
          <w:sz w:val="18"/>
          <w:szCs w:val="18"/>
        </w:rPr>
        <w:t xml:space="preserve"> </w:t>
      </w:r>
    </w:p>
  </w:footnote>
  <w:footnote w:id="70">
    <w:p w14:paraId="7F2B3A3B" w14:textId="04366449" w:rsidR="0073752B" w:rsidRDefault="0073752B">
      <w:pPr>
        <w:pStyle w:val="Normal1"/>
        <w:spacing w:line="240" w:lineRule="auto"/>
        <w:rPr>
          <w:sz w:val="20"/>
          <w:szCs w:val="20"/>
        </w:rPr>
      </w:pPr>
      <w:r w:rsidRPr="00F40BAF">
        <w:rPr>
          <w:rFonts w:asciiTheme="majorHAnsi" w:hAnsiTheme="majorHAnsi"/>
          <w:sz w:val="18"/>
          <w:szCs w:val="18"/>
          <w:vertAlign w:val="superscript"/>
        </w:rPr>
        <w:footnoteRef/>
      </w:r>
      <w:r w:rsidRPr="00F40BAF">
        <w:rPr>
          <w:rFonts w:asciiTheme="majorHAnsi" w:hAnsiTheme="majorHAnsi"/>
          <w:sz w:val="18"/>
          <w:szCs w:val="18"/>
        </w:rPr>
        <w:t xml:space="preserve"> </w:t>
      </w:r>
      <w:r>
        <w:rPr>
          <w:rFonts w:asciiTheme="majorHAnsi" w:hAnsiTheme="majorHAnsi"/>
          <w:sz w:val="18"/>
          <w:szCs w:val="18"/>
        </w:rPr>
        <w:t xml:space="preserve">Juanita </w:t>
      </w:r>
      <w:r w:rsidRPr="00F40BAF">
        <w:rPr>
          <w:rFonts w:asciiTheme="majorHAnsi" w:hAnsiTheme="majorHAnsi"/>
          <w:sz w:val="18"/>
          <w:szCs w:val="18"/>
        </w:rPr>
        <w:t xml:space="preserve">Sundberg, ‘Trash-Talk’ &amp; the Production of Quotidian Geopolitical Boundaries in the United States-Mexico borderlands’ </w:t>
      </w:r>
      <w:r w:rsidRPr="00F40BAF">
        <w:rPr>
          <w:rFonts w:asciiTheme="majorHAnsi" w:hAnsiTheme="majorHAnsi"/>
          <w:i/>
          <w:sz w:val="18"/>
          <w:szCs w:val="18"/>
        </w:rPr>
        <w:t>Social and Cultural Geography</w:t>
      </w:r>
      <w:r w:rsidRPr="00F40BAF">
        <w:rPr>
          <w:rFonts w:asciiTheme="majorHAnsi" w:hAnsiTheme="majorHAnsi"/>
          <w:sz w:val="18"/>
          <w:szCs w:val="18"/>
        </w:rPr>
        <w:t xml:space="preserve"> 9, no. 8 (2008): 871-890.</w:t>
      </w:r>
    </w:p>
  </w:footnote>
  <w:footnote w:id="71">
    <w:p w14:paraId="7E8FDA71" w14:textId="4C2CF8C6" w:rsidR="0073752B" w:rsidRPr="001C70B3" w:rsidRDefault="0073752B" w:rsidP="00D23C3B">
      <w:pPr>
        <w:rPr>
          <w:rFonts w:asciiTheme="majorHAnsi" w:hAnsiTheme="majorHAnsi"/>
          <w:sz w:val="18"/>
          <w:szCs w:val="18"/>
          <w:lang w:val="en-GB"/>
        </w:rPr>
      </w:pPr>
      <w:r w:rsidRPr="001C70B3">
        <w:rPr>
          <w:rStyle w:val="FootnoteReference"/>
          <w:rFonts w:asciiTheme="majorHAnsi" w:hAnsiTheme="majorHAnsi" w:cs="Times New Roman"/>
          <w:sz w:val="18"/>
          <w:szCs w:val="18"/>
        </w:rPr>
        <w:footnoteRef/>
      </w:r>
      <w:r w:rsidRPr="001C70B3">
        <w:rPr>
          <w:rFonts w:asciiTheme="majorHAnsi" w:hAnsiTheme="majorHAnsi" w:cs="Times New Roman"/>
          <w:sz w:val="18"/>
          <w:szCs w:val="18"/>
        </w:rPr>
        <w:t xml:space="preserve"> </w:t>
      </w:r>
      <w:r>
        <w:rPr>
          <w:rFonts w:asciiTheme="majorHAnsi" w:hAnsiTheme="majorHAnsi" w:cs="Times New Roman"/>
          <w:sz w:val="18"/>
          <w:szCs w:val="18"/>
        </w:rPr>
        <w:t xml:space="preserve">Walter </w:t>
      </w:r>
      <w:r w:rsidRPr="001C70B3">
        <w:rPr>
          <w:rFonts w:asciiTheme="majorHAnsi" w:hAnsiTheme="majorHAnsi" w:cs="Times New Roman"/>
          <w:sz w:val="18"/>
          <w:szCs w:val="18"/>
          <w:lang w:val="en-GB"/>
        </w:rPr>
        <w:t>Mignolo,</w:t>
      </w:r>
      <w:r w:rsidRPr="001C70B3">
        <w:rPr>
          <w:rFonts w:asciiTheme="majorHAnsi" w:eastAsia="Times New Roman" w:hAnsiTheme="majorHAnsi" w:cs="Times New Roman" w:hint="eastAsia"/>
          <w:color w:val="333333"/>
          <w:sz w:val="18"/>
          <w:szCs w:val="18"/>
          <w:shd w:val="clear" w:color="auto" w:fill="FFFFFF"/>
          <w:lang w:val="en-GB" w:eastAsia="en-GB"/>
        </w:rPr>
        <w:t> ‘</w:t>
      </w:r>
      <w:r w:rsidRPr="001C70B3">
        <w:rPr>
          <w:rFonts w:asciiTheme="majorHAnsi" w:eastAsia="Times New Roman" w:hAnsiTheme="majorHAnsi" w:cs="Times New Roman"/>
          <w:color w:val="333333"/>
          <w:sz w:val="18"/>
          <w:szCs w:val="18"/>
          <w:lang w:val="en-GB" w:eastAsia="en-GB"/>
        </w:rPr>
        <w:t>I am where i think: Epistemology and the colonial difference’</w:t>
      </w:r>
      <w:r w:rsidRPr="001C70B3">
        <w:rPr>
          <w:rFonts w:asciiTheme="majorHAnsi" w:eastAsia="Times New Roman" w:hAnsiTheme="majorHAnsi" w:cs="Times New Roman" w:hint="eastAsia"/>
          <w:i/>
          <w:iCs/>
          <w:color w:val="333333"/>
          <w:sz w:val="18"/>
          <w:szCs w:val="18"/>
          <w:shd w:val="clear" w:color="auto" w:fill="FFFFFF"/>
          <w:lang w:val="en-GB" w:eastAsia="en-GB"/>
        </w:rPr>
        <w:t> </w:t>
      </w:r>
      <w:r w:rsidRPr="001C70B3">
        <w:rPr>
          <w:rFonts w:asciiTheme="majorHAnsi" w:eastAsia="Times New Roman" w:hAnsiTheme="majorHAnsi" w:cs="Times New Roman"/>
          <w:i/>
          <w:iCs/>
          <w:color w:val="333333"/>
          <w:sz w:val="18"/>
          <w:szCs w:val="18"/>
          <w:lang w:val="en-GB" w:eastAsia="en-GB"/>
        </w:rPr>
        <w:t>Journal of Latin American Cultural Studies</w:t>
      </w:r>
      <w:r w:rsidRPr="001C70B3">
        <w:rPr>
          <w:rFonts w:asciiTheme="majorHAnsi" w:eastAsia="Times New Roman" w:hAnsiTheme="majorHAnsi" w:cs="Times New Roman" w:hint="eastAsia"/>
          <w:color w:val="333333"/>
          <w:sz w:val="18"/>
          <w:szCs w:val="18"/>
          <w:shd w:val="clear" w:color="auto" w:fill="FFFFFF"/>
          <w:lang w:val="en-GB" w:eastAsia="en-GB"/>
        </w:rPr>
        <w:t> </w:t>
      </w:r>
      <w:r w:rsidRPr="001C70B3">
        <w:rPr>
          <w:rFonts w:asciiTheme="majorHAnsi" w:eastAsia="Times New Roman" w:hAnsiTheme="majorHAnsi" w:cs="Times New Roman"/>
          <w:color w:val="333333"/>
          <w:sz w:val="18"/>
          <w:szCs w:val="18"/>
          <w:lang w:val="en-GB" w:eastAsia="en-GB"/>
        </w:rPr>
        <w:t>8 no. 2 (1999):</w:t>
      </w:r>
      <w:r w:rsidRPr="001C70B3">
        <w:rPr>
          <w:rFonts w:asciiTheme="majorHAnsi" w:eastAsia="Times New Roman" w:hAnsiTheme="majorHAnsi" w:cs="Times New Roman" w:hint="eastAsia"/>
          <w:color w:val="333333"/>
          <w:sz w:val="18"/>
          <w:szCs w:val="18"/>
          <w:shd w:val="clear" w:color="auto" w:fill="FFFFFF"/>
          <w:lang w:val="en-GB" w:eastAsia="en-GB"/>
        </w:rPr>
        <w:t> </w:t>
      </w:r>
      <w:r w:rsidRPr="001C70B3">
        <w:rPr>
          <w:rFonts w:asciiTheme="majorHAnsi" w:eastAsia="Times New Roman" w:hAnsiTheme="majorHAnsi" w:cs="Times New Roman"/>
          <w:color w:val="333333"/>
          <w:sz w:val="18"/>
          <w:szCs w:val="18"/>
          <w:lang w:val="en-GB" w:eastAsia="en-GB"/>
        </w:rPr>
        <w:t>235-245</w:t>
      </w:r>
    </w:p>
  </w:footnote>
  <w:footnote w:id="72">
    <w:p w14:paraId="6FBC2153" w14:textId="77777777" w:rsidR="0073752B" w:rsidRPr="002E61E5" w:rsidRDefault="0073752B" w:rsidP="00D23C3B">
      <w:pPr>
        <w:pStyle w:val="Normal1"/>
        <w:spacing w:line="240" w:lineRule="auto"/>
        <w:rPr>
          <w:rFonts w:asciiTheme="majorHAnsi" w:hAnsiTheme="majorHAnsi"/>
          <w:sz w:val="18"/>
          <w:szCs w:val="18"/>
        </w:rPr>
      </w:pPr>
      <w:r w:rsidRPr="001C70B3">
        <w:rPr>
          <w:rFonts w:asciiTheme="majorHAnsi" w:hAnsiTheme="majorHAnsi" w:cs="Times New Roman"/>
          <w:sz w:val="18"/>
          <w:szCs w:val="18"/>
          <w:vertAlign w:val="superscript"/>
        </w:rPr>
        <w:footnoteRef/>
      </w:r>
      <w:r w:rsidRPr="001C70B3">
        <w:rPr>
          <w:rFonts w:asciiTheme="majorHAnsi" w:hAnsiTheme="majorHAnsi" w:cs="Times New Roman"/>
          <w:sz w:val="18"/>
          <w:szCs w:val="18"/>
        </w:rPr>
        <w:t xml:space="preserve"> Povinelli, </w:t>
      </w:r>
      <w:r w:rsidRPr="001C70B3">
        <w:rPr>
          <w:rFonts w:asciiTheme="majorHAnsi" w:hAnsiTheme="majorHAnsi" w:cs="Times New Roman"/>
          <w:i/>
          <w:sz w:val="18"/>
          <w:szCs w:val="18"/>
        </w:rPr>
        <w:t>Empire of Love.</w:t>
      </w:r>
    </w:p>
  </w:footnote>
  <w:footnote w:id="73">
    <w:p w14:paraId="1F576C28" w14:textId="70BE4617" w:rsidR="0073752B" w:rsidRPr="001C70B3" w:rsidRDefault="0073752B" w:rsidP="00D23C3B">
      <w:pPr>
        <w:jc w:val="both"/>
        <w:rPr>
          <w:rFonts w:asciiTheme="majorHAnsi" w:eastAsia="Times New Roman" w:hAnsiTheme="majorHAnsi" w:cs="Times New Roman"/>
          <w:sz w:val="18"/>
          <w:szCs w:val="18"/>
          <w:lang w:val="en-GB" w:eastAsia="en-GB"/>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 For example, See Lauren Berlant, ed. </w:t>
      </w:r>
      <w:r w:rsidRPr="001C70B3">
        <w:rPr>
          <w:rFonts w:asciiTheme="majorHAnsi" w:hAnsiTheme="majorHAnsi"/>
          <w:i/>
          <w:iCs/>
          <w:sz w:val="18"/>
          <w:szCs w:val="18"/>
        </w:rPr>
        <w:t xml:space="preserve">Intimacy. </w:t>
      </w:r>
      <w:r w:rsidRPr="001C70B3">
        <w:rPr>
          <w:rFonts w:asciiTheme="majorHAnsi" w:hAnsiTheme="majorHAnsi"/>
          <w:sz w:val="18"/>
          <w:szCs w:val="18"/>
        </w:rPr>
        <w:t xml:space="preserve">Chicago; David L. Eng, Judith Halberstam, and José Esteban Muñoz, ‘Introduction: What’s Queer about Queer Studies Now?’, </w:t>
      </w:r>
      <w:r w:rsidRPr="001C70B3">
        <w:rPr>
          <w:rFonts w:asciiTheme="majorHAnsi" w:hAnsiTheme="majorHAnsi"/>
          <w:i/>
          <w:iCs/>
          <w:sz w:val="18"/>
          <w:szCs w:val="18"/>
        </w:rPr>
        <w:t xml:space="preserve">Social Text </w:t>
      </w:r>
      <w:r w:rsidRPr="001C70B3">
        <w:rPr>
          <w:rFonts w:asciiTheme="majorHAnsi" w:hAnsiTheme="majorHAnsi"/>
          <w:sz w:val="18"/>
          <w:szCs w:val="18"/>
        </w:rPr>
        <w:t xml:space="preserve">23, nos. 3–4 (2005): 1-18. On the white amnesia  and </w:t>
      </w:r>
      <w:r>
        <w:rPr>
          <w:rFonts w:asciiTheme="majorHAnsi" w:hAnsiTheme="majorHAnsi"/>
          <w:sz w:val="18"/>
          <w:szCs w:val="18"/>
        </w:rPr>
        <w:t>E</w:t>
      </w:r>
      <w:r w:rsidRPr="001C70B3">
        <w:rPr>
          <w:rFonts w:asciiTheme="majorHAnsi" w:hAnsiTheme="majorHAnsi"/>
          <w:sz w:val="18"/>
          <w:szCs w:val="18"/>
        </w:rPr>
        <w:t xml:space="preserve">urocentricism of queer theory see </w:t>
      </w:r>
      <w:r w:rsidRPr="001C70B3">
        <w:rPr>
          <w:rFonts w:asciiTheme="majorHAnsi" w:eastAsia="Times New Roman" w:hAnsiTheme="majorHAnsi" w:cs="Times New Roman"/>
          <w:color w:val="000000"/>
          <w:sz w:val="18"/>
          <w:szCs w:val="18"/>
          <w:shd w:val="clear" w:color="auto" w:fill="FFFFFF"/>
          <w:lang w:val="en-GB" w:eastAsia="en-GB"/>
        </w:rPr>
        <w:t>Keguro Macharia</w:t>
      </w:r>
      <w:r>
        <w:rPr>
          <w:rFonts w:asciiTheme="majorHAnsi" w:eastAsia="Times New Roman" w:hAnsiTheme="majorHAnsi" w:cs="Times New Roman"/>
          <w:color w:val="000000"/>
          <w:sz w:val="18"/>
          <w:szCs w:val="18"/>
          <w:shd w:val="clear" w:color="auto" w:fill="FFFFFF"/>
          <w:lang w:val="en-GB" w:eastAsia="en-GB"/>
        </w:rPr>
        <w:t>,</w:t>
      </w:r>
      <w:r w:rsidRPr="001C70B3">
        <w:rPr>
          <w:rFonts w:asciiTheme="majorHAnsi" w:eastAsia="Times New Roman" w:hAnsiTheme="majorHAnsi" w:cs="Times New Roman"/>
          <w:color w:val="000000"/>
          <w:sz w:val="18"/>
          <w:szCs w:val="18"/>
          <w:shd w:val="clear" w:color="auto" w:fill="FFFFFF"/>
          <w:lang w:val="en-GB" w:eastAsia="en-GB"/>
        </w:rPr>
        <w:t xml:space="preserve"> </w:t>
      </w:r>
      <w:r>
        <w:rPr>
          <w:rFonts w:asciiTheme="majorHAnsi" w:eastAsia="Times New Roman" w:hAnsiTheme="majorHAnsi" w:cs="Times New Roman"/>
          <w:color w:val="000000"/>
          <w:sz w:val="18"/>
          <w:szCs w:val="18"/>
          <w:shd w:val="clear" w:color="auto" w:fill="FFFFFF"/>
          <w:lang w:val="en-GB" w:eastAsia="en-GB"/>
        </w:rPr>
        <w:t>‘</w:t>
      </w:r>
      <w:r w:rsidRPr="001C70B3">
        <w:rPr>
          <w:rFonts w:asciiTheme="majorHAnsi" w:eastAsia="Times New Roman" w:hAnsiTheme="majorHAnsi" w:cs="Times New Roman"/>
          <w:color w:val="000000"/>
          <w:sz w:val="18"/>
          <w:szCs w:val="18"/>
          <w:shd w:val="clear" w:color="auto" w:fill="FFFFFF"/>
          <w:lang w:val="en-GB" w:eastAsia="en-GB"/>
        </w:rPr>
        <w:t>On Being Area-Studied</w:t>
      </w:r>
      <w:r w:rsidRPr="001C70B3">
        <w:rPr>
          <w:rFonts w:asciiTheme="majorHAnsi" w:eastAsia="Times New Roman" w:hAnsiTheme="majorHAnsi" w:cs="Times New Roman"/>
          <w:color w:val="000000"/>
          <w:sz w:val="18"/>
          <w:szCs w:val="18"/>
          <w:bdr w:val="none" w:sz="0" w:space="0" w:color="auto" w:frame="1"/>
          <w:lang w:val="en-GB" w:eastAsia="en-GB"/>
        </w:rPr>
        <w:t>: A Litany of Complaint</w:t>
      </w:r>
      <w:r>
        <w:rPr>
          <w:rFonts w:asciiTheme="majorHAnsi" w:eastAsia="Times New Roman" w:hAnsiTheme="majorHAnsi" w:cs="Times New Roman"/>
          <w:color w:val="000000"/>
          <w:sz w:val="18"/>
          <w:szCs w:val="18"/>
          <w:bdr w:val="none" w:sz="0" w:space="0" w:color="auto" w:frame="1"/>
          <w:lang w:val="en-GB" w:eastAsia="en-GB"/>
        </w:rPr>
        <w:t>’,</w:t>
      </w:r>
      <w:r w:rsidRPr="001C70B3">
        <w:rPr>
          <w:rFonts w:asciiTheme="majorHAnsi" w:eastAsia="Times New Roman" w:hAnsiTheme="majorHAnsi" w:cs="Times New Roman"/>
          <w:color w:val="000000"/>
          <w:sz w:val="18"/>
          <w:szCs w:val="18"/>
          <w:shd w:val="clear" w:color="auto" w:fill="FFFFFF"/>
          <w:lang w:val="en-GB" w:eastAsia="en-GB"/>
        </w:rPr>
        <w:t> </w:t>
      </w:r>
      <w:r w:rsidRPr="001C70B3">
        <w:rPr>
          <w:rFonts w:asciiTheme="majorHAnsi" w:eastAsia="Times New Roman" w:hAnsiTheme="majorHAnsi" w:cs="Times New Roman"/>
          <w:i/>
          <w:iCs/>
          <w:color w:val="000000"/>
          <w:sz w:val="18"/>
          <w:szCs w:val="18"/>
          <w:bdr w:val="none" w:sz="0" w:space="0" w:color="auto" w:frame="1"/>
          <w:lang w:val="en-GB" w:eastAsia="en-GB"/>
        </w:rPr>
        <w:t>GLQ</w:t>
      </w:r>
      <w:r w:rsidRPr="001C70B3">
        <w:rPr>
          <w:rFonts w:asciiTheme="majorHAnsi" w:eastAsia="Times New Roman" w:hAnsiTheme="majorHAnsi" w:cs="Times New Roman"/>
          <w:i/>
          <w:iCs/>
          <w:color w:val="000000"/>
          <w:sz w:val="18"/>
          <w:szCs w:val="18"/>
          <w:shd w:val="clear" w:color="auto" w:fill="FFFFFF"/>
          <w:lang w:val="en-GB" w:eastAsia="en-GB"/>
        </w:rPr>
        <w:t>: A Journal of Lesbian and Gay Studies,</w:t>
      </w:r>
      <w:r w:rsidRPr="001C70B3">
        <w:rPr>
          <w:rFonts w:asciiTheme="majorHAnsi" w:eastAsia="Times New Roman" w:hAnsiTheme="majorHAnsi" w:cs="Times New Roman"/>
          <w:color w:val="000000"/>
          <w:sz w:val="18"/>
          <w:szCs w:val="18"/>
          <w:shd w:val="clear" w:color="auto" w:fill="FFFFFF"/>
          <w:lang w:val="en-GB" w:eastAsia="en-GB"/>
        </w:rPr>
        <w:t xml:space="preserve"> 22</w:t>
      </w:r>
      <w:r>
        <w:rPr>
          <w:rFonts w:asciiTheme="majorHAnsi" w:eastAsia="Times New Roman" w:hAnsiTheme="majorHAnsi" w:cs="Times New Roman"/>
          <w:color w:val="000000"/>
          <w:sz w:val="18"/>
          <w:szCs w:val="18"/>
          <w:shd w:val="clear" w:color="auto" w:fill="FFFFFF"/>
          <w:lang w:val="en-GB" w:eastAsia="en-GB"/>
        </w:rPr>
        <w:t>, no.2</w:t>
      </w:r>
      <w:r w:rsidRPr="001C70B3">
        <w:rPr>
          <w:rFonts w:asciiTheme="majorHAnsi" w:eastAsia="Times New Roman" w:hAnsiTheme="majorHAnsi" w:cs="Times New Roman"/>
          <w:color w:val="000000"/>
          <w:sz w:val="18"/>
          <w:szCs w:val="18"/>
          <w:shd w:val="clear" w:color="auto" w:fill="FFFFFF"/>
          <w:lang w:val="en-GB" w:eastAsia="en-GB"/>
        </w:rPr>
        <w:t xml:space="preserve"> (</w:t>
      </w:r>
      <w:r>
        <w:rPr>
          <w:rFonts w:asciiTheme="majorHAnsi" w:eastAsia="Times New Roman" w:hAnsiTheme="majorHAnsi" w:cs="Times New Roman"/>
          <w:color w:val="000000"/>
          <w:sz w:val="18"/>
          <w:szCs w:val="18"/>
          <w:shd w:val="clear" w:color="auto" w:fill="FFFFFF"/>
          <w:lang w:val="en-GB" w:eastAsia="en-GB"/>
        </w:rPr>
        <w:t>2016</w:t>
      </w:r>
      <w:r w:rsidRPr="001C70B3">
        <w:rPr>
          <w:rFonts w:asciiTheme="majorHAnsi" w:eastAsia="Times New Roman" w:hAnsiTheme="majorHAnsi" w:cs="Times New Roman"/>
          <w:color w:val="000000"/>
          <w:sz w:val="18"/>
          <w:szCs w:val="18"/>
          <w:shd w:val="clear" w:color="auto" w:fill="FFFFFF"/>
          <w:lang w:val="en-GB" w:eastAsia="en-GB"/>
        </w:rPr>
        <w:t>): 183–189. </w:t>
      </w:r>
      <w:r w:rsidRPr="001C70B3">
        <w:rPr>
          <w:rFonts w:asciiTheme="majorHAnsi" w:eastAsia="Times New Roman" w:hAnsiTheme="majorHAnsi" w:cs="Times New Roman"/>
          <w:sz w:val="18"/>
          <w:szCs w:val="18"/>
          <w:lang w:val="en-GB" w:eastAsia="en-GB"/>
        </w:rPr>
        <w:t xml:space="preserve">For an </w:t>
      </w:r>
      <w:r w:rsidRPr="001C70B3">
        <w:rPr>
          <w:rFonts w:asciiTheme="majorHAnsi" w:hAnsiTheme="majorHAnsi"/>
          <w:sz w:val="18"/>
          <w:szCs w:val="18"/>
        </w:rPr>
        <w:t xml:space="preserve">overview of debates on queer thoery in IR and questions of race see </w:t>
      </w:r>
      <w:r>
        <w:rPr>
          <w:rFonts w:asciiTheme="majorHAnsi" w:hAnsiTheme="majorHAnsi"/>
          <w:sz w:val="18"/>
          <w:szCs w:val="18"/>
        </w:rPr>
        <w:t xml:space="preserve">Melanie </w:t>
      </w:r>
      <w:r w:rsidRPr="001C70B3">
        <w:rPr>
          <w:rFonts w:asciiTheme="majorHAnsi" w:eastAsia="Times New Roman" w:hAnsiTheme="majorHAnsi"/>
          <w:color w:val="333333"/>
          <w:sz w:val="18"/>
          <w:szCs w:val="18"/>
          <w:shd w:val="clear" w:color="auto" w:fill="FFFFFF"/>
          <w:lang w:val="en-GB" w:eastAsia="en-GB"/>
        </w:rPr>
        <w:t>Richter-Montpetit. ‘Everything You Always Wanted to Know about Sex (in IR) But were Afraid to Ask: The ‘Queer Turn’ in International Relations,’ </w:t>
      </w:r>
      <w:r w:rsidRPr="001C70B3">
        <w:rPr>
          <w:rFonts w:asciiTheme="majorHAnsi" w:eastAsia="Times New Roman" w:hAnsiTheme="majorHAnsi"/>
          <w:i/>
          <w:iCs/>
          <w:color w:val="333333"/>
          <w:sz w:val="18"/>
          <w:szCs w:val="18"/>
          <w:lang w:val="en-GB" w:eastAsia="en-GB"/>
        </w:rPr>
        <w:t>Millennium</w:t>
      </w:r>
      <w:r w:rsidRPr="001C70B3">
        <w:rPr>
          <w:rFonts w:asciiTheme="majorHAnsi" w:eastAsia="Times New Roman" w:hAnsiTheme="majorHAnsi"/>
          <w:color w:val="333333"/>
          <w:sz w:val="18"/>
          <w:szCs w:val="18"/>
          <w:shd w:val="clear" w:color="auto" w:fill="FFFFFF"/>
          <w:lang w:val="en-GB" w:eastAsia="en-GB"/>
        </w:rPr>
        <w:t>, </w:t>
      </w:r>
      <w:r w:rsidRPr="001C70B3">
        <w:rPr>
          <w:rFonts w:asciiTheme="majorHAnsi" w:eastAsia="Times New Roman" w:hAnsiTheme="majorHAnsi"/>
          <w:i/>
          <w:iCs/>
          <w:color w:val="333333"/>
          <w:sz w:val="18"/>
          <w:szCs w:val="18"/>
          <w:lang w:val="en-GB" w:eastAsia="en-GB"/>
        </w:rPr>
        <w:t>46</w:t>
      </w:r>
      <w:r w:rsidRPr="001C70B3">
        <w:rPr>
          <w:rFonts w:asciiTheme="majorHAnsi" w:eastAsia="Times New Roman" w:hAnsiTheme="majorHAnsi"/>
          <w:color w:val="333333"/>
          <w:sz w:val="18"/>
          <w:szCs w:val="18"/>
          <w:shd w:val="clear" w:color="auto" w:fill="FFFFFF"/>
          <w:lang w:val="en-GB" w:eastAsia="en-GB"/>
        </w:rPr>
        <w:t xml:space="preserve">, no.2 (2018): 220–240. </w:t>
      </w:r>
    </w:p>
  </w:footnote>
  <w:footnote w:id="74">
    <w:p w14:paraId="77DD0FDF" w14:textId="4E93DC10" w:rsidR="0073752B" w:rsidRPr="001C70B3" w:rsidRDefault="0073752B" w:rsidP="00D23C3B">
      <w:pPr>
        <w:jc w:val="both"/>
        <w:rPr>
          <w:rFonts w:asciiTheme="majorHAnsi" w:eastAsia="Times New Roman" w:hAnsiTheme="majorHAnsi" w:cs="Times New Roman"/>
          <w:sz w:val="18"/>
          <w:szCs w:val="18"/>
          <w:lang w:val="en-GB" w:eastAsia="en-GB"/>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Roderick </w:t>
      </w:r>
      <w:r w:rsidRPr="001C70B3">
        <w:rPr>
          <w:rFonts w:asciiTheme="majorHAnsi" w:hAnsiTheme="majorHAnsi"/>
          <w:sz w:val="18"/>
          <w:szCs w:val="18"/>
          <w:lang w:val="en-GB"/>
        </w:rPr>
        <w:t xml:space="preserve">Ferguson, </w:t>
      </w:r>
      <w:r w:rsidRPr="001C70B3">
        <w:rPr>
          <w:rStyle w:val="a-size-large"/>
          <w:rFonts w:asciiTheme="majorHAnsi" w:hAnsiTheme="majorHAnsi"/>
          <w:i/>
          <w:iCs/>
          <w:color w:val="111111"/>
          <w:sz w:val="18"/>
          <w:szCs w:val="18"/>
        </w:rPr>
        <w:t>Aberrations In Black: Toward A Queer Of Color Critique</w:t>
      </w:r>
      <w:r w:rsidRPr="001C70B3">
        <w:rPr>
          <w:rStyle w:val="a-size-large"/>
          <w:rFonts w:asciiTheme="majorHAnsi" w:hAnsiTheme="majorHAnsi"/>
          <w:color w:val="111111"/>
          <w:sz w:val="18"/>
          <w:szCs w:val="18"/>
        </w:rPr>
        <w:t xml:space="preserve">. Minneapolis: </w:t>
      </w:r>
      <w:r w:rsidRPr="001C70B3">
        <w:rPr>
          <w:rFonts w:asciiTheme="majorHAnsi" w:eastAsia="Times New Roman" w:hAnsiTheme="majorHAnsi" w:cs="Times New Roman"/>
          <w:color w:val="333333"/>
          <w:sz w:val="18"/>
          <w:szCs w:val="18"/>
          <w:shd w:val="clear" w:color="auto" w:fill="FFFFFF"/>
          <w:lang w:val="en-GB" w:eastAsia="en-GB"/>
        </w:rPr>
        <w:t>University Of Minnesota Press</w:t>
      </w:r>
      <w:r w:rsidRPr="001C70B3">
        <w:rPr>
          <w:rFonts w:asciiTheme="majorHAnsi" w:eastAsia="Times New Roman" w:hAnsiTheme="majorHAnsi" w:cs="Times New Roman"/>
          <w:sz w:val="18"/>
          <w:szCs w:val="18"/>
          <w:lang w:val="en-GB" w:eastAsia="en-GB"/>
        </w:rPr>
        <w:t xml:space="preserve">. Maria </w:t>
      </w:r>
      <w:r w:rsidRPr="001C70B3">
        <w:rPr>
          <w:rFonts w:asciiTheme="majorHAnsi" w:hAnsiTheme="majorHAnsi"/>
          <w:sz w:val="18"/>
          <w:szCs w:val="18"/>
        </w:rPr>
        <w:t>Lugones, ’</w:t>
      </w:r>
      <w:hyperlink r:id="rId3" w:history="1">
        <w:r w:rsidRPr="001C70B3">
          <w:rPr>
            <w:rStyle w:val="Hyperlink"/>
            <w:rFonts w:asciiTheme="majorHAnsi" w:hAnsiTheme="majorHAnsi"/>
            <w:color w:val="000000"/>
            <w:sz w:val="18"/>
            <w:szCs w:val="18"/>
          </w:rPr>
          <w:t>The coloniality of gender</w:t>
        </w:r>
      </w:hyperlink>
      <w:r w:rsidRPr="001C70B3">
        <w:rPr>
          <w:rFonts w:asciiTheme="majorHAnsi" w:hAnsiTheme="majorHAnsi"/>
          <w:sz w:val="18"/>
          <w:szCs w:val="18"/>
        </w:rPr>
        <w:t>’, </w:t>
      </w:r>
      <w:r w:rsidRPr="001C70B3">
        <w:rPr>
          <w:rFonts w:asciiTheme="majorHAnsi" w:hAnsiTheme="majorHAnsi"/>
          <w:i/>
          <w:iCs/>
          <w:sz w:val="18"/>
          <w:szCs w:val="18"/>
        </w:rPr>
        <w:t>Worlds &amp; Knowledges Otherwise</w:t>
      </w:r>
      <w:r w:rsidRPr="001C70B3">
        <w:rPr>
          <w:rFonts w:asciiTheme="majorHAnsi" w:hAnsiTheme="majorHAnsi"/>
          <w:sz w:val="18"/>
          <w:szCs w:val="18"/>
        </w:rPr>
        <w:t>, 2 (2008): 1–17.</w:t>
      </w:r>
    </w:p>
  </w:footnote>
  <w:footnote w:id="75">
    <w:p w14:paraId="76B6D9F1" w14:textId="196E2775" w:rsidR="0073752B" w:rsidRPr="001C70B3" w:rsidRDefault="0073752B" w:rsidP="00D23C3B">
      <w:pPr>
        <w:jc w:val="both"/>
        <w:rPr>
          <w:rFonts w:asciiTheme="majorHAnsi" w:hAnsiTheme="majorHAnsi"/>
          <w:sz w:val="18"/>
          <w:szCs w:val="18"/>
          <w:lang w:val="en-GB"/>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 Broadly on imperialism, colonialism and domesticity see Anne McClintock, </w:t>
      </w:r>
      <w:r w:rsidRPr="001C70B3">
        <w:rPr>
          <w:rFonts w:asciiTheme="majorHAnsi" w:hAnsiTheme="majorHAnsi"/>
          <w:i/>
          <w:iCs/>
          <w:sz w:val="18"/>
          <w:szCs w:val="18"/>
        </w:rPr>
        <w:t xml:space="preserve">Imperial Leather. </w:t>
      </w:r>
      <w:r w:rsidRPr="001C70B3">
        <w:rPr>
          <w:rFonts w:asciiTheme="majorHAnsi" w:hAnsiTheme="majorHAnsi"/>
          <w:sz w:val="18"/>
          <w:szCs w:val="18"/>
        </w:rPr>
        <w:t>London</w:t>
      </w:r>
      <w:r w:rsidRPr="001C70B3">
        <w:rPr>
          <w:rFonts w:asciiTheme="majorHAnsi" w:hAnsiTheme="majorHAnsi"/>
          <w:i/>
          <w:iCs/>
          <w:sz w:val="18"/>
          <w:szCs w:val="18"/>
        </w:rPr>
        <w:t xml:space="preserve">: </w:t>
      </w:r>
      <w:r w:rsidRPr="001C70B3">
        <w:rPr>
          <w:rFonts w:asciiTheme="majorHAnsi" w:hAnsiTheme="majorHAnsi"/>
          <w:sz w:val="18"/>
          <w:szCs w:val="18"/>
        </w:rPr>
        <w:t xml:space="preserve">Routledge. On indigenous communities see </w:t>
      </w:r>
      <w:r>
        <w:rPr>
          <w:rFonts w:asciiTheme="majorHAnsi" w:hAnsiTheme="majorHAnsi"/>
          <w:sz w:val="18"/>
          <w:szCs w:val="18"/>
        </w:rPr>
        <w:t xml:space="preserve">Maria </w:t>
      </w:r>
      <w:r w:rsidRPr="001C70B3">
        <w:rPr>
          <w:rFonts w:asciiTheme="majorHAnsi" w:hAnsiTheme="majorHAnsi"/>
          <w:sz w:val="18"/>
          <w:szCs w:val="18"/>
        </w:rPr>
        <w:t>Lugones,‘Toward a Decolonial Feminism</w:t>
      </w:r>
      <w:r w:rsidRPr="001C70B3">
        <w:rPr>
          <w:rFonts w:asciiTheme="majorHAnsi" w:hAnsiTheme="majorHAnsi"/>
          <w:i/>
          <w:iCs/>
          <w:sz w:val="18"/>
          <w:szCs w:val="18"/>
        </w:rPr>
        <w:t xml:space="preserve"> Hypatia</w:t>
      </w:r>
      <w:r w:rsidRPr="001C70B3">
        <w:rPr>
          <w:rFonts w:asciiTheme="majorHAnsi" w:hAnsiTheme="majorHAnsi"/>
          <w:sz w:val="18"/>
          <w:szCs w:val="18"/>
        </w:rPr>
        <w:t xml:space="preserve"> 25 no. 4 (2011): 742–759; </w:t>
      </w:r>
      <w:r>
        <w:rPr>
          <w:rFonts w:asciiTheme="majorHAnsi" w:hAnsiTheme="majorHAnsi"/>
          <w:sz w:val="18"/>
          <w:szCs w:val="18"/>
        </w:rPr>
        <w:t xml:space="preserve">Mark </w:t>
      </w:r>
      <w:r w:rsidRPr="001C70B3">
        <w:rPr>
          <w:rFonts w:asciiTheme="majorHAnsi" w:hAnsiTheme="majorHAnsi"/>
          <w:sz w:val="18"/>
          <w:szCs w:val="18"/>
        </w:rPr>
        <w:t xml:space="preserve">Rifkin, </w:t>
      </w:r>
      <w:r w:rsidRPr="001C70B3">
        <w:rPr>
          <w:rFonts w:asciiTheme="majorHAnsi" w:hAnsiTheme="majorHAnsi"/>
          <w:i/>
          <w:sz w:val="18"/>
          <w:szCs w:val="18"/>
        </w:rPr>
        <w:t>When Did Indians Become Straight?: Kinship, the History of Sexuality, and Native Sovereignty</w:t>
      </w:r>
      <w:r w:rsidRPr="001C70B3">
        <w:rPr>
          <w:rFonts w:asciiTheme="majorHAnsi" w:hAnsiTheme="majorHAnsi"/>
          <w:sz w:val="18"/>
          <w:szCs w:val="18"/>
        </w:rPr>
        <w:t xml:space="preserve"> (Oxford: Oxford University Press, 2015); On slavery see Hortense Spillers, ‘Mama's Baby, Papa's Maybe: An American Grammar Book’</w:t>
      </w:r>
      <w:r w:rsidRPr="001C70B3">
        <w:rPr>
          <w:rFonts w:asciiTheme="majorHAnsi" w:hAnsiTheme="majorHAnsi"/>
          <w:i/>
          <w:sz w:val="18"/>
          <w:szCs w:val="18"/>
        </w:rPr>
        <w:t xml:space="preserve">, Diacritics, </w:t>
      </w:r>
      <w:r w:rsidRPr="001C70B3">
        <w:rPr>
          <w:rFonts w:asciiTheme="majorHAnsi" w:hAnsiTheme="majorHAnsi"/>
          <w:sz w:val="18"/>
          <w:szCs w:val="18"/>
        </w:rPr>
        <w:t>17, no. 2</w:t>
      </w:r>
      <w:r w:rsidRPr="001C70B3">
        <w:rPr>
          <w:rFonts w:asciiTheme="majorHAnsi" w:hAnsiTheme="majorHAnsi"/>
          <w:i/>
          <w:sz w:val="18"/>
          <w:szCs w:val="18"/>
        </w:rPr>
        <w:t xml:space="preserve"> </w:t>
      </w:r>
      <w:r w:rsidRPr="001C70B3">
        <w:rPr>
          <w:rFonts w:asciiTheme="majorHAnsi" w:hAnsiTheme="majorHAnsi"/>
          <w:sz w:val="18"/>
          <w:szCs w:val="18"/>
        </w:rPr>
        <w:t>(1987)</w:t>
      </w:r>
      <w:r w:rsidRPr="001C70B3">
        <w:rPr>
          <w:rFonts w:asciiTheme="majorHAnsi" w:hAnsiTheme="majorHAnsi"/>
          <w:i/>
          <w:sz w:val="18"/>
          <w:szCs w:val="18"/>
        </w:rPr>
        <w:t xml:space="preserve"> </w:t>
      </w:r>
      <w:r w:rsidRPr="001C70B3">
        <w:rPr>
          <w:rFonts w:asciiTheme="majorHAnsi" w:hAnsiTheme="majorHAnsi"/>
          <w:sz w:val="18"/>
          <w:szCs w:val="18"/>
        </w:rPr>
        <w:t xml:space="preserve">64-81; Patricia </w:t>
      </w:r>
      <w:r w:rsidRPr="001C70B3">
        <w:rPr>
          <w:rFonts w:asciiTheme="majorHAnsi" w:eastAsia="Times New Roman" w:hAnsiTheme="majorHAnsi"/>
          <w:color w:val="333333"/>
          <w:sz w:val="18"/>
          <w:szCs w:val="18"/>
          <w:shd w:val="clear" w:color="auto" w:fill="FFFFFF"/>
          <w:lang w:val="en-GB" w:eastAsia="en-GB"/>
        </w:rPr>
        <w:t>Collins</w:t>
      </w:r>
      <w:r>
        <w:rPr>
          <w:rFonts w:asciiTheme="majorHAnsi" w:eastAsia="Times New Roman" w:hAnsiTheme="majorHAnsi"/>
          <w:color w:val="333333"/>
          <w:sz w:val="18"/>
          <w:szCs w:val="18"/>
          <w:shd w:val="clear" w:color="auto" w:fill="FFFFFF"/>
          <w:lang w:val="en-GB" w:eastAsia="en-GB"/>
        </w:rPr>
        <w:t>,</w:t>
      </w:r>
      <w:r w:rsidRPr="001C70B3">
        <w:rPr>
          <w:rFonts w:asciiTheme="majorHAnsi" w:eastAsia="Times New Roman" w:hAnsiTheme="majorHAnsi"/>
          <w:color w:val="333333"/>
          <w:sz w:val="18"/>
          <w:szCs w:val="18"/>
          <w:shd w:val="clear" w:color="auto" w:fill="FFFFFF"/>
          <w:lang w:val="en-GB" w:eastAsia="en-GB"/>
        </w:rPr>
        <w:t xml:space="preserve"> "It's All in the Family: Intersections of Gender, Race, and Nation." </w:t>
      </w:r>
      <w:r w:rsidRPr="001C70B3">
        <w:rPr>
          <w:rFonts w:asciiTheme="majorHAnsi" w:eastAsia="Times New Roman" w:hAnsiTheme="majorHAnsi"/>
          <w:i/>
          <w:iCs/>
          <w:color w:val="333333"/>
          <w:sz w:val="18"/>
          <w:szCs w:val="18"/>
          <w:lang w:val="en-GB" w:eastAsia="en-GB"/>
        </w:rPr>
        <w:t>Hypatia</w:t>
      </w:r>
      <w:r w:rsidRPr="001C70B3">
        <w:rPr>
          <w:rFonts w:asciiTheme="majorHAnsi" w:eastAsia="Times New Roman" w:hAnsiTheme="majorHAnsi"/>
          <w:color w:val="333333"/>
          <w:sz w:val="18"/>
          <w:szCs w:val="18"/>
          <w:shd w:val="clear" w:color="auto" w:fill="FFFFFF"/>
          <w:lang w:val="en-GB" w:eastAsia="en-GB"/>
        </w:rPr>
        <w:t xml:space="preserve"> 13, no. 3 (1998): 62-8; Christina </w:t>
      </w:r>
      <w:r w:rsidRPr="001C70B3">
        <w:rPr>
          <w:rFonts w:asciiTheme="majorHAnsi" w:hAnsiTheme="majorHAnsi"/>
          <w:sz w:val="18"/>
          <w:szCs w:val="18"/>
        </w:rPr>
        <w:t>Sharpe</w:t>
      </w:r>
      <w:r>
        <w:rPr>
          <w:rFonts w:asciiTheme="majorHAnsi" w:hAnsiTheme="majorHAnsi"/>
          <w:sz w:val="18"/>
          <w:szCs w:val="18"/>
        </w:rPr>
        <w:t xml:space="preserve">, </w:t>
      </w:r>
      <w:r w:rsidRPr="001C70B3">
        <w:rPr>
          <w:rFonts w:asciiTheme="majorHAnsi" w:hAnsiTheme="majorHAnsi"/>
          <w:i/>
          <w:sz w:val="18"/>
          <w:szCs w:val="18"/>
        </w:rPr>
        <w:t>Monstrous Intimacies: Making Post-Slavery Subjects</w:t>
      </w:r>
      <w:r w:rsidRPr="001C70B3">
        <w:rPr>
          <w:rFonts w:asciiTheme="majorHAnsi" w:hAnsiTheme="majorHAnsi"/>
          <w:sz w:val="18"/>
          <w:szCs w:val="18"/>
        </w:rPr>
        <w:t xml:space="preserve"> (Durham: Duke University Press, 2010).</w:t>
      </w:r>
    </w:p>
  </w:footnote>
  <w:footnote w:id="76">
    <w:p w14:paraId="5FD3DD2C" w14:textId="7D620281" w:rsidR="0073752B" w:rsidRPr="001C70B3" w:rsidRDefault="0073752B" w:rsidP="00D23C3B">
      <w:pPr>
        <w:rPr>
          <w:rFonts w:asciiTheme="majorHAnsi" w:hAnsiTheme="majorHAnsi"/>
          <w:sz w:val="18"/>
          <w:szCs w:val="18"/>
          <w:lang w:val="en-GB"/>
        </w:rPr>
      </w:pPr>
      <w:r w:rsidRPr="001C70B3">
        <w:rPr>
          <w:rStyle w:val="FootnoteReference"/>
          <w:rFonts w:asciiTheme="majorHAnsi" w:hAnsiTheme="majorHAnsi" w:cs="Times New Roman"/>
          <w:sz w:val="18"/>
          <w:szCs w:val="18"/>
        </w:rPr>
        <w:footnoteRef/>
      </w:r>
      <w:r w:rsidRPr="001C70B3">
        <w:rPr>
          <w:rFonts w:asciiTheme="majorHAnsi" w:hAnsiTheme="majorHAnsi"/>
          <w:sz w:val="18"/>
          <w:szCs w:val="18"/>
        </w:rPr>
        <w:t xml:space="preserve"> Lugones, ’</w:t>
      </w:r>
      <w:hyperlink r:id="rId4" w:history="1">
        <w:r w:rsidRPr="001C70B3">
          <w:rPr>
            <w:rStyle w:val="Hyperlink"/>
            <w:rFonts w:asciiTheme="majorHAnsi" w:hAnsiTheme="majorHAnsi" w:cs="Times New Roman"/>
            <w:color w:val="000000"/>
            <w:sz w:val="18"/>
            <w:szCs w:val="18"/>
          </w:rPr>
          <w:t>The coloniality of gender</w:t>
        </w:r>
      </w:hyperlink>
      <w:r w:rsidRPr="001C70B3">
        <w:rPr>
          <w:rStyle w:val="Hyperlink"/>
          <w:rFonts w:asciiTheme="majorHAnsi" w:hAnsiTheme="majorHAnsi" w:cs="Times New Roman"/>
          <w:color w:val="000000"/>
          <w:sz w:val="18"/>
          <w:szCs w:val="18"/>
        </w:rPr>
        <w:t xml:space="preserve">’; </w:t>
      </w:r>
      <w:r w:rsidRPr="001C70B3">
        <w:rPr>
          <w:rFonts w:asciiTheme="majorHAnsi" w:hAnsiTheme="majorHAnsi"/>
          <w:sz w:val="18"/>
          <w:szCs w:val="18"/>
        </w:rPr>
        <w:t xml:space="preserve">Lugones,‘Toward a Decolonial Feminism; </w:t>
      </w:r>
      <w:r w:rsidRPr="001C70B3">
        <w:rPr>
          <w:rFonts w:asciiTheme="majorHAnsi" w:hAnsiTheme="majorHAnsi"/>
          <w:sz w:val="18"/>
          <w:szCs w:val="18"/>
          <w:lang w:val="en-GB"/>
        </w:rPr>
        <w:t>Oyewumi The Invention of Women. Making an African Sense of Western Gender Discourses</w:t>
      </w:r>
      <w:r>
        <w:rPr>
          <w:rFonts w:asciiTheme="majorHAnsi" w:hAnsiTheme="majorHAnsi"/>
          <w:sz w:val="18"/>
          <w:szCs w:val="18"/>
          <w:lang w:val="en-GB"/>
        </w:rPr>
        <w:t xml:space="preserve"> (</w:t>
      </w:r>
      <w:r w:rsidRPr="001C70B3">
        <w:rPr>
          <w:rFonts w:asciiTheme="majorHAnsi" w:hAnsiTheme="majorHAnsi"/>
          <w:sz w:val="18"/>
          <w:szCs w:val="18"/>
          <w:lang w:val="en-GB"/>
        </w:rPr>
        <w:t>Minneapolis: University of Minnesota Press</w:t>
      </w:r>
      <w:r>
        <w:rPr>
          <w:rFonts w:asciiTheme="majorHAnsi" w:hAnsiTheme="majorHAnsi"/>
          <w:sz w:val="18"/>
          <w:szCs w:val="18"/>
          <w:lang w:val="en-GB"/>
        </w:rPr>
        <w:t>)</w:t>
      </w:r>
      <w:r w:rsidRPr="001C70B3">
        <w:rPr>
          <w:rFonts w:asciiTheme="majorHAnsi" w:hAnsiTheme="majorHAnsi"/>
          <w:sz w:val="18"/>
          <w:szCs w:val="18"/>
          <w:lang w:val="en-GB"/>
        </w:rPr>
        <w:t>.</w:t>
      </w:r>
      <w:r w:rsidRPr="001C70B3">
        <w:rPr>
          <w:rFonts w:asciiTheme="majorHAnsi" w:hAnsiTheme="majorHAnsi"/>
          <w:sz w:val="18"/>
          <w:szCs w:val="18"/>
        </w:rPr>
        <w:t xml:space="preserve"> </w:t>
      </w:r>
    </w:p>
  </w:footnote>
  <w:footnote w:id="77">
    <w:p w14:paraId="427362EC" w14:textId="2A71F702" w:rsidR="0073752B" w:rsidRPr="001C70B3" w:rsidRDefault="0073752B">
      <w:pPr>
        <w:pStyle w:val="FootnoteText"/>
        <w:rPr>
          <w:lang w:val="en-GB"/>
        </w:rPr>
      </w:pPr>
      <w:r>
        <w:rPr>
          <w:rStyle w:val="FootnoteReference"/>
        </w:rPr>
        <w:footnoteRef/>
      </w:r>
      <w:r>
        <w:t xml:space="preserve"> </w:t>
      </w:r>
      <w:r w:rsidRPr="00955CA2">
        <w:rPr>
          <w:rFonts w:asciiTheme="majorHAnsi" w:hAnsiTheme="majorHAnsi"/>
          <w:sz w:val="18"/>
          <w:szCs w:val="18"/>
        </w:rPr>
        <w:t>Lugones, ’</w:t>
      </w:r>
      <w:hyperlink r:id="rId5" w:history="1">
        <w:r w:rsidRPr="00955CA2">
          <w:rPr>
            <w:rStyle w:val="Hyperlink"/>
            <w:rFonts w:asciiTheme="majorHAnsi" w:hAnsiTheme="majorHAnsi" w:cs="Times New Roman"/>
            <w:color w:val="000000"/>
            <w:sz w:val="18"/>
            <w:szCs w:val="18"/>
          </w:rPr>
          <w:t>The coloniality of gender</w:t>
        </w:r>
      </w:hyperlink>
      <w:r>
        <w:rPr>
          <w:rStyle w:val="Hyperlink"/>
          <w:rFonts w:asciiTheme="majorHAnsi" w:hAnsiTheme="majorHAnsi" w:cs="Times New Roman"/>
          <w:color w:val="000000"/>
          <w:sz w:val="18"/>
          <w:szCs w:val="18"/>
        </w:rPr>
        <w:t>’, 7.</w:t>
      </w:r>
    </w:p>
  </w:footnote>
  <w:footnote w:id="78">
    <w:p w14:paraId="5DD8CD1B" w14:textId="2F8F6A61" w:rsidR="0073752B" w:rsidRPr="001C70B3" w:rsidRDefault="0073752B" w:rsidP="00D23C3B">
      <w:pPr>
        <w:rPr>
          <w:rFonts w:asciiTheme="majorHAnsi" w:hAnsiTheme="majorHAnsi" w:cs="Times New Roman"/>
          <w:sz w:val="18"/>
          <w:szCs w:val="18"/>
        </w:rPr>
      </w:pPr>
      <w:r w:rsidRPr="001C70B3">
        <w:rPr>
          <w:rFonts w:asciiTheme="majorHAnsi" w:hAnsiTheme="majorHAnsi" w:cs="Times New Roman"/>
          <w:sz w:val="18"/>
          <w:szCs w:val="18"/>
          <w:vertAlign w:val="superscript"/>
        </w:rPr>
        <w:footnoteRef/>
      </w:r>
      <w:r w:rsidRPr="001C70B3">
        <w:rPr>
          <w:rFonts w:asciiTheme="majorHAnsi" w:hAnsiTheme="majorHAnsi" w:cs="Times New Roman"/>
          <w:sz w:val="18"/>
          <w:szCs w:val="18"/>
        </w:rPr>
        <w:t xml:space="preserve"> Puar, </w:t>
      </w:r>
      <w:r w:rsidRPr="001C70B3">
        <w:rPr>
          <w:rFonts w:asciiTheme="majorHAnsi" w:hAnsiTheme="majorHAnsi"/>
          <w:i/>
          <w:sz w:val="18"/>
          <w:szCs w:val="18"/>
        </w:rPr>
        <w:t>Terrorist Assemblages</w:t>
      </w:r>
      <w:r w:rsidRPr="001C70B3">
        <w:rPr>
          <w:rFonts w:asciiTheme="majorHAnsi" w:hAnsiTheme="majorHAnsi"/>
          <w:iCs/>
          <w:sz w:val="18"/>
          <w:szCs w:val="18"/>
        </w:rPr>
        <w:t>;</w:t>
      </w:r>
      <w:r w:rsidRPr="001C70B3">
        <w:rPr>
          <w:rFonts w:asciiTheme="majorHAnsi" w:hAnsiTheme="majorHAnsi"/>
          <w:i/>
          <w:sz w:val="18"/>
          <w:szCs w:val="18"/>
        </w:rPr>
        <w:t xml:space="preserve"> </w:t>
      </w:r>
      <w:r w:rsidRPr="001C70B3">
        <w:rPr>
          <w:rFonts w:asciiTheme="majorHAnsi" w:hAnsiTheme="majorHAnsi"/>
          <w:iCs/>
          <w:sz w:val="18"/>
          <w:szCs w:val="18"/>
        </w:rPr>
        <w:t xml:space="preserve">also see Joe Turner, </w:t>
      </w:r>
      <w:r w:rsidRPr="001C70B3">
        <w:rPr>
          <w:rFonts w:asciiTheme="majorHAnsi" w:hAnsiTheme="majorHAnsi"/>
          <w:i/>
          <w:sz w:val="18"/>
          <w:szCs w:val="18"/>
        </w:rPr>
        <w:t>Bordering</w:t>
      </w:r>
      <w:r>
        <w:rPr>
          <w:rFonts w:asciiTheme="majorHAnsi" w:hAnsiTheme="majorHAnsi"/>
          <w:i/>
          <w:sz w:val="24"/>
          <w:szCs w:val="24"/>
        </w:rPr>
        <w:t xml:space="preserve"> </w:t>
      </w:r>
      <w:r w:rsidRPr="001C70B3">
        <w:rPr>
          <w:rFonts w:asciiTheme="majorHAnsi" w:hAnsiTheme="majorHAnsi"/>
          <w:i/>
          <w:sz w:val="18"/>
          <w:szCs w:val="18"/>
        </w:rPr>
        <w:t>intimacy: Post</w:t>
      </w:r>
      <w:r>
        <w:rPr>
          <w:rFonts w:asciiTheme="majorHAnsi" w:hAnsiTheme="majorHAnsi"/>
          <w:i/>
          <w:sz w:val="18"/>
          <w:szCs w:val="18"/>
        </w:rPr>
        <w:t>colonial</w:t>
      </w:r>
      <w:r w:rsidRPr="001C70B3">
        <w:rPr>
          <w:rFonts w:asciiTheme="majorHAnsi" w:hAnsiTheme="majorHAnsi"/>
          <w:i/>
          <w:sz w:val="18"/>
          <w:szCs w:val="18"/>
        </w:rPr>
        <w:t xml:space="preserve"> governance and the policing of family </w:t>
      </w:r>
      <w:r w:rsidRPr="001C70B3">
        <w:rPr>
          <w:rFonts w:asciiTheme="majorHAnsi" w:hAnsiTheme="majorHAnsi"/>
          <w:iCs/>
          <w:sz w:val="18"/>
          <w:szCs w:val="18"/>
        </w:rPr>
        <w:t xml:space="preserve">(Manchester: Manchester University, forthcoming). </w:t>
      </w:r>
      <w:r w:rsidRPr="001C70B3">
        <w:rPr>
          <w:rFonts w:asciiTheme="majorHAnsi" w:hAnsiTheme="majorHAnsi"/>
          <w:i/>
          <w:sz w:val="18"/>
          <w:szCs w:val="18"/>
        </w:rPr>
        <w:t xml:space="preserve"> </w:t>
      </w:r>
    </w:p>
  </w:footnote>
  <w:footnote w:id="79">
    <w:p w14:paraId="614162C4" w14:textId="25C8870C" w:rsidR="0073752B" w:rsidRPr="001C70B3" w:rsidRDefault="0073752B" w:rsidP="00D23C3B">
      <w:pPr>
        <w:pStyle w:val="Normal1"/>
        <w:spacing w:line="240" w:lineRule="auto"/>
        <w:rPr>
          <w:rFonts w:asciiTheme="majorHAnsi" w:hAnsiTheme="majorHAnsi"/>
          <w:sz w:val="18"/>
          <w:szCs w:val="18"/>
        </w:rPr>
      </w:pPr>
      <w:r w:rsidRPr="001C70B3">
        <w:rPr>
          <w:rFonts w:asciiTheme="majorHAnsi" w:hAnsiTheme="majorHAnsi" w:cs="Times New Roman"/>
          <w:sz w:val="18"/>
          <w:szCs w:val="18"/>
          <w:vertAlign w:val="superscript"/>
        </w:rPr>
        <w:footnoteRef/>
      </w:r>
      <w:r w:rsidRPr="001C70B3">
        <w:rPr>
          <w:rFonts w:asciiTheme="majorHAnsi" w:hAnsiTheme="majorHAnsi" w:cs="Times New Roman"/>
          <w:sz w:val="18"/>
          <w:szCs w:val="18"/>
        </w:rPr>
        <w:t xml:space="preserve"> Spillers, ‘Mama's Baby, Papa's Maybe: An American Grammar Book’</w:t>
      </w:r>
      <w:r>
        <w:rPr>
          <w:rFonts w:asciiTheme="majorHAnsi" w:hAnsiTheme="majorHAnsi" w:cs="Times New Roman"/>
          <w:i/>
          <w:sz w:val="18"/>
          <w:szCs w:val="18"/>
        </w:rPr>
        <w:t>.</w:t>
      </w:r>
    </w:p>
  </w:footnote>
  <w:footnote w:id="80">
    <w:p w14:paraId="2476F0DE" w14:textId="77777777" w:rsidR="0073752B" w:rsidRPr="001C70B3" w:rsidRDefault="0073752B" w:rsidP="00D23C3B">
      <w:pPr>
        <w:pStyle w:val="FootnoteText"/>
        <w:rPr>
          <w:rFonts w:asciiTheme="majorHAnsi" w:hAnsiTheme="majorHAnsi"/>
          <w:sz w:val="18"/>
          <w:szCs w:val="18"/>
          <w:lang w:val="en-US"/>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 Lowe, </w:t>
      </w:r>
      <w:r w:rsidRPr="001C70B3">
        <w:rPr>
          <w:rFonts w:asciiTheme="majorHAnsi" w:hAnsiTheme="majorHAnsi"/>
          <w:i/>
          <w:sz w:val="18"/>
          <w:szCs w:val="18"/>
        </w:rPr>
        <w:t xml:space="preserve">The Intimacies of Four Continents, </w:t>
      </w:r>
      <w:r w:rsidRPr="001C70B3">
        <w:rPr>
          <w:rFonts w:asciiTheme="majorHAnsi" w:hAnsiTheme="majorHAnsi"/>
          <w:sz w:val="18"/>
          <w:szCs w:val="18"/>
        </w:rPr>
        <w:t>23</w:t>
      </w:r>
    </w:p>
  </w:footnote>
  <w:footnote w:id="81">
    <w:p w14:paraId="02032B33" w14:textId="4150B892" w:rsidR="0073752B" w:rsidRPr="001C70B3" w:rsidRDefault="0073752B" w:rsidP="00D23C3B">
      <w:pPr>
        <w:pStyle w:val="Normal1"/>
        <w:spacing w:line="240" w:lineRule="auto"/>
        <w:rPr>
          <w:rFonts w:asciiTheme="majorHAnsi" w:hAnsiTheme="majorHAnsi"/>
          <w:sz w:val="18"/>
          <w:szCs w:val="18"/>
        </w:rPr>
      </w:pPr>
      <w:r w:rsidRPr="001C70B3">
        <w:rPr>
          <w:rFonts w:asciiTheme="majorHAnsi" w:hAnsiTheme="majorHAnsi"/>
          <w:sz w:val="18"/>
          <w:szCs w:val="18"/>
          <w:vertAlign w:val="superscript"/>
        </w:rPr>
        <w:footnoteRef/>
      </w:r>
      <w:r w:rsidRPr="001C70B3">
        <w:rPr>
          <w:rFonts w:asciiTheme="majorHAnsi" w:hAnsiTheme="majorHAnsi"/>
          <w:sz w:val="18"/>
          <w:szCs w:val="18"/>
        </w:rPr>
        <w:t xml:space="preserve"> </w:t>
      </w:r>
      <w:r>
        <w:rPr>
          <w:rFonts w:asciiTheme="majorHAnsi" w:hAnsiTheme="majorHAnsi"/>
          <w:sz w:val="18"/>
          <w:szCs w:val="18"/>
        </w:rPr>
        <w:t xml:space="preserve">John </w:t>
      </w:r>
      <w:r w:rsidRPr="001C70B3">
        <w:rPr>
          <w:rFonts w:asciiTheme="majorHAnsi" w:hAnsiTheme="majorHAnsi"/>
          <w:sz w:val="18"/>
          <w:szCs w:val="18"/>
        </w:rPr>
        <w:t xml:space="preserve">Kinder, ‘Zoo Animals and Modern War: Captive Casualties, Patriotic Citizens, and Good Soldiers’, in </w:t>
      </w:r>
      <w:r w:rsidRPr="001C70B3">
        <w:rPr>
          <w:rFonts w:asciiTheme="majorHAnsi" w:hAnsiTheme="majorHAnsi"/>
          <w:i/>
          <w:sz w:val="18"/>
          <w:szCs w:val="18"/>
        </w:rPr>
        <w:t>Animals and War : Studies of Europe and North America</w:t>
      </w:r>
      <w:r w:rsidRPr="001C70B3">
        <w:rPr>
          <w:rFonts w:asciiTheme="majorHAnsi" w:hAnsiTheme="majorHAnsi"/>
          <w:sz w:val="18"/>
          <w:szCs w:val="18"/>
        </w:rPr>
        <w:t xml:space="preserve">, ed., Ryan Hediger (Leiden: Brill Publishing), 45 - 75 </w:t>
      </w:r>
    </w:p>
  </w:footnote>
  <w:footnote w:id="82">
    <w:p w14:paraId="4E9CFFFE" w14:textId="77777777" w:rsidR="0073752B" w:rsidRPr="00C4210A" w:rsidRDefault="0073752B" w:rsidP="00D23C3B">
      <w:pPr>
        <w:pStyle w:val="Normal1"/>
        <w:spacing w:line="240" w:lineRule="auto"/>
        <w:rPr>
          <w:rFonts w:asciiTheme="majorHAnsi" w:hAnsiTheme="majorHAnsi"/>
        </w:rPr>
      </w:pPr>
      <w:r w:rsidRPr="001C70B3">
        <w:rPr>
          <w:rFonts w:asciiTheme="majorHAnsi" w:hAnsiTheme="majorHAnsi"/>
          <w:sz w:val="18"/>
          <w:szCs w:val="18"/>
          <w:vertAlign w:val="superscript"/>
        </w:rPr>
        <w:footnoteRef/>
      </w:r>
      <w:r w:rsidRPr="001C70B3">
        <w:rPr>
          <w:rFonts w:asciiTheme="majorHAnsi" w:hAnsiTheme="majorHAnsi"/>
          <w:sz w:val="18"/>
          <w:szCs w:val="18"/>
        </w:rPr>
        <w:t xml:space="preserve"> </w:t>
      </w:r>
      <w:r w:rsidRPr="001C70B3">
        <w:rPr>
          <w:rFonts w:asciiTheme="majorHAnsi" w:hAnsiTheme="majorHAnsi"/>
          <w:sz w:val="18"/>
          <w:szCs w:val="18"/>
          <w:highlight w:val="white"/>
        </w:rPr>
        <w:t>Cudworth and Hobden, ‘The posthuman way of war’</w:t>
      </w:r>
      <w:r w:rsidRPr="001C70B3">
        <w:rPr>
          <w:rFonts w:asciiTheme="majorHAnsi" w:hAnsiTheme="majorHAnsi"/>
          <w:color w:val="333333"/>
          <w:sz w:val="18"/>
          <w:szCs w:val="18"/>
          <w:highlight w:val="white"/>
        </w:rPr>
        <w:t>.</w:t>
      </w:r>
    </w:p>
  </w:footnote>
  <w:footnote w:id="83">
    <w:p w14:paraId="7C18ADD4" w14:textId="77DC1B01" w:rsidR="0073752B" w:rsidRPr="001C70B3" w:rsidRDefault="0073752B">
      <w:pPr>
        <w:pStyle w:val="FootnoteText"/>
        <w:rPr>
          <w:lang w:val="en-US"/>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 </w:t>
      </w:r>
      <w:r w:rsidRPr="009E2A93">
        <w:rPr>
          <w:rFonts w:asciiTheme="majorHAnsi" w:hAnsiTheme="majorHAnsi"/>
          <w:sz w:val="18"/>
          <w:szCs w:val="18"/>
        </w:rPr>
        <w:t>@REMuseum_Snob</w:t>
      </w:r>
    </w:p>
  </w:footnote>
  <w:footnote w:id="84">
    <w:p w14:paraId="66C66BC8" w14:textId="5606EC13" w:rsidR="00AB7DCA" w:rsidRPr="00AB7DCA" w:rsidRDefault="00AB7DCA" w:rsidP="00AB7DCA">
      <w:pPr>
        <w:rPr>
          <w:rFonts w:asciiTheme="majorHAnsi" w:eastAsia="Times New Roman" w:hAnsiTheme="majorHAnsi" w:cs="Times New Roman"/>
          <w:sz w:val="18"/>
          <w:szCs w:val="18"/>
          <w:lang w:val="en-GB" w:eastAsia="en-GB"/>
        </w:rPr>
      </w:pPr>
      <w:r w:rsidRPr="00AB7DCA">
        <w:rPr>
          <w:rStyle w:val="FootnoteReference"/>
          <w:rFonts w:asciiTheme="majorHAnsi" w:hAnsiTheme="majorHAnsi" w:cs="Times New Roman"/>
          <w:sz w:val="18"/>
          <w:szCs w:val="18"/>
        </w:rPr>
        <w:footnoteRef/>
      </w:r>
      <w:r w:rsidRPr="00AB7DCA">
        <w:rPr>
          <w:rFonts w:asciiTheme="majorHAnsi" w:hAnsiTheme="majorHAnsi" w:cs="Times New Roman"/>
          <w:sz w:val="18"/>
          <w:szCs w:val="18"/>
        </w:rPr>
        <w:t xml:space="preserve"> </w:t>
      </w:r>
      <w:r w:rsidRPr="00AB7DCA">
        <w:rPr>
          <w:rFonts w:asciiTheme="majorHAnsi" w:hAnsiTheme="majorHAnsi" w:cs="Times New Roman"/>
          <w:sz w:val="18"/>
          <w:szCs w:val="18"/>
          <w:lang w:val="en-GB"/>
        </w:rPr>
        <w:t xml:space="preserve">For example see </w:t>
      </w:r>
      <w:r w:rsidRPr="00AB7DCA">
        <w:rPr>
          <w:rFonts w:asciiTheme="majorHAnsi" w:eastAsia="Times New Roman" w:hAnsiTheme="majorHAnsi"/>
          <w:color w:val="333333"/>
          <w:sz w:val="18"/>
          <w:szCs w:val="18"/>
          <w:shd w:val="clear" w:color="auto" w:fill="FFFFFF"/>
          <w:lang w:val="en-GB" w:eastAsia="en-GB"/>
        </w:rPr>
        <w:t>Larry Spruill, "Slave Patrols, “Packs of Negro Dogs” and Policing Black Communities." </w:t>
      </w:r>
      <w:r w:rsidRPr="00AB7DCA">
        <w:rPr>
          <w:rFonts w:asciiTheme="majorHAnsi" w:eastAsia="Times New Roman" w:hAnsiTheme="majorHAnsi"/>
          <w:i/>
          <w:iCs/>
          <w:color w:val="333333"/>
          <w:sz w:val="18"/>
          <w:szCs w:val="18"/>
          <w:lang w:val="en-GB" w:eastAsia="en-GB"/>
        </w:rPr>
        <w:t>Phylon (1960-)</w:t>
      </w:r>
      <w:r w:rsidRPr="00AB7DCA">
        <w:rPr>
          <w:rFonts w:asciiTheme="majorHAnsi" w:eastAsia="Times New Roman" w:hAnsiTheme="majorHAnsi"/>
          <w:color w:val="333333"/>
          <w:sz w:val="18"/>
          <w:szCs w:val="18"/>
          <w:shd w:val="clear" w:color="auto" w:fill="FFFFFF"/>
          <w:lang w:val="en-GB" w:eastAsia="en-GB"/>
        </w:rPr>
        <w:t> 53, no. 1 (2016): 42-66.</w:t>
      </w:r>
    </w:p>
    <w:p w14:paraId="05FB408D" w14:textId="49F5BFF6" w:rsidR="00AB7DCA" w:rsidRPr="00AB7DCA" w:rsidRDefault="00AB7DCA">
      <w:pPr>
        <w:pStyle w:val="FootnoteText"/>
        <w:rPr>
          <w:rFonts w:ascii="Times New Roman" w:hAnsi="Times New Roman" w:cs="Times New Roman"/>
          <w:sz w:val="18"/>
          <w:szCs w:val="18"/>
          <w:lang w:val="en-GB"/>
        </w:rPr>
      </w:pPr>
    </w:p>
  </w:footnote>
  <w:footnote w:id="85">
    <w:p w14:paraId="142C23EF" w14:textId="18F1A896" w:rsidR="0073752B" w:rsidRPr="00786530" w:rsidRDefault="0073752B">
      <w:pPr>
        <w:pStyle w:val="Normal1"/>
        <w:spacing w:line="240" w:lineRule="auto"/>
        <w:rPr>
          <w:rFonts w:asciiTheme="majorHAnsi" w:hAnsiTheme="majorHAnsi"/>
          <w:sz w:val="18"/>
          <w:szCs w:val="18"/>
        </w:rPr>
      </w:pPr>
      <w:r w:rsidRPr="00AB7DCA">
        <w:rPr>
          <w:rFonts w:ascii="Times New Roman" w:hAnsi="Times New Roman" w:cs="Times New Roman"/>
          <w:sz w:val="18"/>
          <w:szCs w:val="18"/>
          <w:vertAlign w:val="superscript"/>
        </w:rPr>
        <w:footnoteRef/>
      </w:r>
      <w:r w:rsidRPr="00AB7DCA">
        <w:rPr>
          <w:rFonts w:ascii="Times New Roman" w:hAnsi="Times New Roman" w:cs="Times New Roman"/>
          <w:sz w:val="18"/>
          <w:szCs w:val="18"/>
        </w:rPr>
        <w:t xml:space="preserve"> Using the example of the ‘funny music video’ genre, Dinnen notes a similar collapsing of distance between civilian and military through the invocation of</w:t>
      </w:r>
      <w:r>
        <w:rPr>
          <w:rFonts w:asciiTheme="majorHAnsi" w:hAnsiTheme="majorHAnsi"/>
          <w:sz w:val="18"/>
          <w:szCs w:val="18"/>
        </w:rPr>
        <w:t xml:space="preserve"> relateable and wholesome common experience – Zara </w:t>
      </w:r>
      <w:r w:rsidRPr="00786530">
        <w:rPr>
          <w:rFonts w:asciiTheme="majorHAnsi" w:hAnsiTheme="majorHAnsi"/>
          <w:sz w:val="18"/>
          <w:szCs w:val="18"/>
        </w:rPr>
        <w:t xml:space="preserve">Dinnen, ‘Understanding the Funny Military Music Video’, </w:t>
      </w:r>
      <w:r w:rsidRPr="00786530">
        <w:rPr>
          <w:rFonts w:asciiTheme="majorHAnsi" w:hAnsiTheme="majorHAnsi"/>
          <w:i/>
          <w:sz w:val="18"/>
          <w:szCs w:val="18"/>
        </w:rPr>
        <w:t xml:space="preserve">Journal of American Studies, </w:t>
      </w:r>
      <w:r w:rsidRPr="00786530">
        <w:rPr>
          <w:rFonts w:asciiTheme="majorHAnsi" w:hAnsiTheme="majorHAnsi"/>
          <w:sz w:val="18"/>
          <w:szCs w:val="18"/>
        </w:rPr>
        <w:t>50(4): 899-921.</w:t>
      </w:r>
    </w:p>
  </w:footnote>
  <w:footnote w:id="86">
    <w:p w14:paraId="7C6B4AF5" w14:textId="3A58594D" w:rsidR="0073752B" w:rsidRPr="00786530" w:rsidRDefault="0073752B">
      <w:pPr>
        <w:pStyle w:val="Normal1"/>
        <w:spacing w:line="240" w:lineRule="auto"/>
        <w:rPr>
          <w:rFonts w:asciiTheme="majorHAnsi" w:hAnsiTheme="majorHAnsi"/>
          <w:sz w:val="18"/>
          <w:szCs w:val="18"/>
        </w:rPr>
      </w:pPr>
      <w:r w:rsidRPr="00786530">
        <w:rPr>
          <w:rFonts w:asciiTheme="majorHAnsi" w:hAnsiTheme="majorHAnsi"/>
          <w:sz w:val="18"/>
          <w:szCs w:val="18"/>
          <w:vertAlign w:val="superscript"/>
        </w:rPr>
        <w:footnoteRef/>
      </w:r>
      <w:r w:rsidRPr="00786530">
        <w:rPr>
          <w:rFonts w:asciiTheme="majorHAnsi" w:hAnsiTheme="majorHAnsi"/>
          <w:sz w:val="18"/>
          <w:szCs w:val="18"/>
        </w:rPr>
        <w:t xml:space="preserve"> </w:t>
      </w:r>
      <w:r>
        <w:rPr>
          <w:rFonts w:asciiTheme="majorHAnsi" w:hAnsiTheme="majorHAnsi"/>
          <w:sz w:val="18"/>
          <w:szCs w:val="18"/>
        </w:rPr>
        <w:t xml:space="preserve">Paul </w:t>
      </w:r>
      <w:r w:rsidRPr="00786530">
        <w:rPr>
          <w:rFonts w:asciiTheme="majorHAnsi" w:hAnsiTheme="majorHAnsi"/>
          <w:sz w:val="18"/>
          <w:szCs w:val="18"/>
        </w:rPr>
        <w:t xml:space="preserve">Achter, ‘Unruly Bodies: The Rhetorical Domestication of Twenty-First-Century Veterans of War’, </w:t>
      </w:r>
      <w:r w:rsidRPr="00786530">
        <w:rPr>
          <w:rFonts w:asciiTheme="majorHAnsi" w:hAnsiTheme="majorHAnsi"/>
          <w:i/>
          <w:sz w:val="18"/>
          <w:szCs w:val="18"/>
        </w:rPr>
        <w:t>Quarterly Journal of Speech</w:t>
      </w:r>
      <w:r w:rsidRPr="00786530">
        <w:rPr>
          <w:rFonts w:asciiTheme="majorHAnsi" w:hAnsiTheme="majorHAnsi"/>
          <w:sz w:val="18"/>
          <w:szCs w:val="18"/>
        </w:rPr>
        <w:t xml:space="preserve"> 96, no. 1 (2010): 48.</w:t>
      </w:r>
    </w:p>
  </w:footnote>
  <w:footnote w:id="87">
    <w:p w14:paraId="485B87E1" w14:textId="2BDAFA9D" w:rsidR="0073752B" w:rsidRPr="001C70B3" w:rsidRDefault="0073752B" w:rsidP="00187A1C">
      <w:pPr>
        <w:pStyle w:val="FootnoteText"/>
        <w:rPr>
          <w:rFonts w:asciiTheme="majorHAnsi" w:hAnsiTheme="majorHAnsi" w:cstheme="majorHAnsi"/>
          <w:sz w:val="18"/>
          <w:szCs w:val="18"/>
        </w:rPr>
      </w:pPr>
      <w:r w:rsidRPr="001C70B3">
        <w:rPr>
          <w:rStyle w:val="FootnoteReference"/>
          <w:rFonts w:asciiTheme="majorHAnsi" w:hAnsiTheme="majorHAnsi" w:cstheme="majorHAnsi"/>
          <w:sz w:val="18"/>
          <w:szCs w:val="18"/>
        </w:rPr>
        <w:footnoteRef/>
      </w:r>
      <w:r w:rsidRPr="001C70B3">
        <w:rPr>
          <w:rFonts w:asciiTheme="majorHAnsi" w:hAnsiTheme="majorHAnsi" w:cstheme="majorHAnsi"/>
          <w:sz w:val="18"/>
          <w:szCs w:val="18"/>
        </w:rPr>
        <w:t xml:space="preserve"> </w:t>
      </w:r>
      <w:r>
        <w:rPr>
          <w:rFonts w:asciiTheme="majorHAnsi" w:hAnsiTheme="majorHAnsi" w:cstheme="majorHAnsi"/>
          <w:sz w:val="18"/>
          <w:szCs w:val="18"/>
        </w:rPr>
        <w:t>See: Julia Welland, ‘</w:t>
      </w:r>
      <w:r w:rsidRPr="00187A1C">
        <w:rPr>
          <w:rFonts w:asciiTheme="majorHAnsi" w:hAnsiTheme="majorHAnsi" w:cstheme="majorHAnsi"/>
          <w:sz w:val="18"/>
          <w:szCs w:val="18"/>
        </w:rPr>
        <w:t>Joy and war: Reading pleasure in wartime experiences</w:t>
      </w:r>
      <w:r>
        <w:rPr>
          <w:rFonts w:asciiTheme="majorHAnsi" w:hAnsiTheme="majorHAnsi" w:cstheme="majorHAnsi"/>
          <w:sz w:val="18"/>
          <w:szCs w:val="18"/>
        </w:rPr>
        <w:t>’,</w:t>
      </w:r>
      <w:r w:rsidRPr="00187A1C">
        <w:rPr>
          <w:rFonts w:asciiTheme="majorHAnsi" w:hAnsiTheme="majorHAnsi" w:cstheme="majorHAnsi"/>
          <w:sz w:val="18"/>
          <w:szCs w:val="18"/>
        </w:rPr>
        <w:t xml:space="preserve"> </w:t>
      </w:r>
      <w:r w:rsidRPr="001C70B3">
        <w:rPr>
          <w:rFonts w:asciiTheme="majorHAnsi" w:hAnsiTheme="majorHAnsi" w:cstheme="majorHAnsi"/>
          <w:i/>
          <w:iCs/>
          <w:sz w:val="18"/>
          <w:szCs w:val="18"/>
        </w:rPr>
        <w:t>Review of International Studies</w:t>
      </w:r>
      <w:r>
        <w:rPr>
          <w:rFonts w:asciiTheme="majorHAnsi" w:hAnsiTheme="majorHAnsi" w:cstheme="majorHAnsi"/>
          <w:sz w:val="18"/>
          <w:szCs w:val="18"/>
        </w:rPr>
        <w:t xml:space="preserve"> 44, no.3 (2018): 438–455; Joanna Tidy, ‘War Craft: The Embodied Politics of Making War’, </w:t>
      </w:r>
      <w:r>
        <w:rPr>
          <w:rFonts w:asciiTheme="majorHAnsi" w:hAnsiTheme="majorHAnsi" w:cstheme="majorHAnsi"/>
          <w:i/>
          <w:iCs/>
          <w:sz w:val="18"/>
          <w:szCs w:val="18"/>
        </w:rPr>
        <w:t>Security Dialogue</w:t>
      </w:r>
      <w:r>
        <w:rPr>
          <w:rFonts w:asciiTheme="majorHAnsi" w:hAnsiTheme="majorHAnsi" w:cstheme="majorHAnsi"/>
          <w:sz w:val="18"/>
          <w:szCs w:val="18"/>
        </w:rPr>
        <w:t xml:space="preserve"> 50, no.3 (2019): 220-238, 234-5</w:t>
      </w:r>
    </w:p>
  </w:footnote>
  <w:footnote w:id="88">
    <w:p w14:paraId="3B278F9E" w14:textId="568E43A7" w:rsidR="0073752B" w:rsidRPr="00786530" w:rsidRDefault="0073752B">
      <w:pPr>
        <w:pStyle w:val="Normal1"/>
        <w:spacing w:line="240" w:lineRule="auto"/>
        <w:rPr>
          <w:rFonts w:asciiTheme="majorHAnsi" w:hAnsiTheme="majorHAnsi"/>
          <w:sz w:val="18"/>
          <w:szCs w:val="18"/>
        </w:rPr>
      </w:pPr>
      <w:r w:rsidRPr="00786530">
        <w:rPr>
          <w:rFonts w:asciiTheme="majorHAnsi" w:hAnsiTheme="majorHAnsi"/>
          <w:sz w:val="18"/>
          <w:szCs w:val="18"/>
          <w:vertAlign w:val="superscript"/>
        </w:rPr>
        <w:footnoteRef/>
      </w:r>
      <w:r w:rsidRPr="00786530">
        <w:rPr>
          <w:rFonts w:asciiTheme="majorHAnsi" w:hAnsiTheme="majorHAnsi"/>
          <w:sz w:val="18"/>
          <w:szCs w:val="18"/>
        </w:rPr>
        <w:t xml:space="preserve"> </w:t>
      </w:r>
      <w:r>
        <w:rPr>
          <w:rFonts w:asciiTheme="majorHAnsi" w:hAnsiTheme="majorHAnsi"/>
          <w:sz w:val="18"/>
          <w:szCs w:val="18"/>
        </w:rPr>
        <w:t xml:space="preserve">David </w:t>
      </w:r>
      <w:r w:rsidRPr="00786530">
        <w:rPr>
          <w:rFonts w:asciiTheme="majorHAnsi" w:hAnsiTheme="majorHAnsi"/>
          <w:sz w:val="18"/>
          <w:szCs w:val="18"/>
        </w:rPr>
        <w:t xml:space="preserve">Goldfrank, </w:t>
      </w:r>
      <w:r w:rsidRPr="00786530">
        <w:rPr>
          <w:rFonts w:asciiTheme="majorHAnsi" w:hAnsiTheme="majorHAnsi"/>
          <w:i/>
          <w:sz w:val="18"/>
          <w:szCs w:val="18"/>
        </w:rPr>
        <w:t xml:space="preserve">The Origins of the Crimean War </w:t>
      </w:r>
      <w:r w:rsidRPr="00786530">
        <w:rPr>
          <w:rFonts w:asciiTheme="majorHAnsi" w:hAnsiTheme="majorHAnsi"/>
          <w:sz w:val="18"/>
          <w:szCs w:val="18"/>
        </w:rPr>
        <w:t>(London: Routledge, 1993).</w:t>
      </w:r>
    </w:p>
  </w:footnote>
  <w:footnote w:id="89">
    <w:p w14:paraId="1F3C35BB" w14:textId="1B168248" w:rsidR="0073752B" w:rsidRPr="001C70B3" w:rsidRDefault="0073752B">
      <w:pPr>
        <w:pStyle w:val="FootnoteText"/>
        <w:rPr>
          <w:rFonts w:ascii="Times New Roman" w:hAnsi="Times New Roman" w:cs="Times New Roman"/>
          <w:sz w:val="18"/>
          <w:szCs w:val="18"/>
          <w:lang w:val="en-US"/>
        </w:rPr>
      </w:pPr>
      <w:r w:rsidRPr="001C70B3">
        <w:rPr>
          <w:rStyle w:val="FootnoteReference"/>
          <w:rFonts w:asciiTheme="majorHAnsi" w:hAnsiTheme="majorHAnsi"/>
          <w:sz w:val="18"/>
          <w:szCs w:val="18"/>
        </w:rPr>
        <w:footnoteRef/>
      </w:r>
      <w:r w:rsidRPr="001C70B3">
        <w:rPr>
          <w:rFonts w:asciiTheme="majorHAnsi" w:hAnsiTheme="majorHAnsi"/>
          <w:sz w:val="18"/>
          <w:szCs w:val="18"/>
        </w:rPr>
        <w:t xml:space="preserve"> Examples include </w:t>
      </w:r>
      <w:r>
        <w:rPr>
          <w:rFonts w:asciiTheme="majorHAnsi" w:hAnsiTheme="majorHAnsi"/>
          <w:sz w:val="18"/>
          <w:szCs w:val="18"/>
        </w:rPr>
        <w:t xml:space="preserve">Craig </w:t>
      </w:r>
      <w:r w:rsidRPr="001C70B3">
        <w:rPr>
          <w:rFonts w:asciiTheme="majorHAnsi" w:hAnsiTheme="majorHAnsi"/>
          <w:sz w:val="18"/>
          <w:szCs w:val="18"/>
        </w:rPr>
        <w:t xml:space="preserve">Grossi. </w:t>
      </w:r>
      <w:r w:rsidRPr="001C70B3">
        <w:rPr>
          <w:rFonts w:asciiTheme="majorHAnsi" w:hAnsiTheme="majorHAnsi"/>
          <w:i/>
          <w:sz w:val="18"/>
          <w:szCs w:val="18"/>
        </w:rPr>
        <w:t>Craig And Fred: A Marine, a Stray Dog, and How they Saved Each Other</w:t>
      </w:r>
      <w:r>
        <w:rPr>
          <w:rFonts w:asciiTheme="majorHAnsi" w:hAnsiTheme="majorHAnsi"/>
          <w:sz w:val="18"/>
          <w:szCs w:val="18"/>
        </w:rPr>
        <w:t xml:space="preserve"> (New York, Harper Collins: 2017); Jay Kopelman . </w:t>
      </w:r>
      <w:r w:rsidRPr="001C70B3">
        <w:rPr>
          <w:rFonts w:asciiTheme="majorHAnsi" w:hAnsiTheme="majorHAnsi"/>
          <w:i/>
          <w:sz w:val="18"/>
          <w:szCs w:val="18"/>
        </w:rPr>
        <w:t>From Baghdad to America: Life after War for a Marine and His Rescued Dog</w:t>
      </w:r>
      <w:r>
        <w:rPr>
          <w:rFonts w:asciiTheme="majorHAnsi" w:hAnsiTheme="majorHAnsi"/>
          <w:i/>
          <w:sz w:val="18"/>
          <w:szCs w:val="18"/>
        </w:rPr>
        <w:t xml:space="preserve">, </w:t>
      </w:r>
      <w:r>
        <w:rPr>
          <w:rFonts w:asciiTheme="majorHAnsi" w:hAnsiTheme="majorHAnsi"/>
          <w:sz w:val="18"/>
          <w:szCs w:val="18"/>
        </w:rPr>
        <w:t xml:space="preserve">(New York: Skyhorse Publishing, </w:t>
      </w:r>
      <w:r w:rsidRPr="001C70B3">
        <w:rPr>
          <w:rFonts w:ascii="Times New Roman" w:hAnsi="Times New Roman" w:cs="Times New Roman"/>
          <w:sz w:val="18"/>
          <w:szCs w:val="18"/>
        </w:rPr>
        <w:t>2010); Terri</w:t>
      </w:r>
      <w:r>
        <w:rPr>
          <w:rFonts w:ascii="Times New Roman" w:hAnsi="Times New Roman" w:cs="Times New Roman"/>
          <w:sz w:val="18"/>
          <w:szCs w:val="18"/>
        </w:rPr>
        <w:t xml:space="preserve"> Crisp</w:t>
      </w:r>
      <w:r w:rsidRPr="001C70B3">
        <w:rPr>
          <w:rFonts w:ascii="Times New Roman" w:hAnsi="Times New Roman" w:cs="Times New Roman"/>
          <w:sz w:val="18"/>
          <w:szCs w:val="18"/>
        </w:rPr>
        <w:t xml:space="preserve">. </w:t>
      </w:r>
      <w:r w:rsidRPr="001C70B3">
        <w:rPr>
          <w:rFonts w:ascii="Times New Roman" w:hAnsi="Times New Roman" w:cs="Times New Roman"/>
          <w:i/>
          <w:sz w:val="18"/>
          <w:szCs w:val="18"/>
        </w:rPr>
        <w:t xml:space="preserve">No Buddy Left Behind: Bringing U.S. Troops' Dogs and Cats Safely Home from the Combat Zone, </w:t>
      </w:r>
      <w:r w:rsidRPr="001C70B3">
        <w:rPr>
          <w:rFonts w:ascii="Times New Roman" w:hAnsi="Times New Roman" w:cs="Times New Roman"/>
          <w:sz w:val="18"/>
          <w:szCs w:val="18"/>
        </w:rPr>
        <w:t xml:space="preserve">(Guilford, CT: Globe Pequot Press, 2012. </w:t>
      </w:r>
    </w:p>
  </w:footnote>
  <w:footnote w:id="90">
    <w:p w14:paraId="4346E3A9" w14:textId="17F21BF5" w:rsidR="0073752B" w:rsidRPr="001C70B3" w:rsidRDefault="0073752B" w:rsidP="001C70B3">
      <w:pPr>
        <w:rPr>
          <w:rFonts w:asciiTheme="majorHAnsi" w:hAnsiTheme="majorHAnsi" w:cs="Times New Roman"/>
          <w:sz w:val="18"/>
          <w:szCs w:val="18"/>
          <w:lang w:val="en-GB"/>
        </w:rPr>
      </w:pPr>
      <w:r w:rsidRPr="001C70B3">
        <w:rPr>
          <w:rStyle w:val="FootnoteReference"/>
          <w:rFonts w:ascii="Times New Roman" w:hAnsi="Times New Roman" w:cs="Times New Roman"/>
          <w:sz w:val="18"/>
          <w:szCs w:val="18"/>
        </w:rPr>
        <w:footnoteRef/>
      </w:r>
      <w:r w:rsidRPr="001C70B3">
        <w:rPr>
          <w:rFonts w:ascii="Times New Roman" w:hAnsi="Times New Roman" w:cs="Times New Roman"/>
          <w:sz w:val="18"/>
          <w:szCs w:val="18"/>
        </w:rPr>
        <w:t xml:space="preserve"> </w:t>
      </w:r>
      <w:r w:rsidRPr="001C70B3">
        <w:rPr>
          <w:rFonts w:asciiTheme="majorHAnsi" w:hAnsiTheme="majorHAnsi" w:cs="Times New Roman"/>
          <w:sz w:val="18"/>
          <w:szCs w:val="18"/>
          <w:lang w:val="en-GB"/>
        </w:rPr>
        <w:t>Take for example</w:t>
      </w:r>
      <w:r>
        <w:rPr>
          <w:rFonts w:asciiTheme="majorHAnsi" w:hAnsiTheme="majorHAnsi" w:cs="Times New Roman"/>
          <w:sz w:val="18"/>
          <w:szCs w:val="18"/>
          <w:lang w:val="en-GB"/>
        </w:rPr>
        <w:t xml:space="preserve"> </w:t>
      </w:r>
      <w:r w:rsidRPr="001C70B3">
        <w:rPr>
          <w:rFonts w:asciiTheme="majorHAnsi" w:hAnsiTheme="majorHAnsi" w:cs="Times New Roman"/>
          <w:sz w:val="18"/>
          <w:szCs w:val="18"/>
          <w:lang w:val="en-GB"/>
        </w:rPr>
        <w:t xml:space="preserve">the case of </w:t>
      </w:r>
      <w:r w:rsidRPr="001C70B3">
        <w:rPr>
          <w:rFonts w:asciiTheme="majorHAnsi" w:eastAsia="Times New Roman" w:hAnsiTheme="majorHAnsi" w:cs="Times New Roman"/>
          <w:color w:val="222222"/>
          <w:sz w:val="18"/>
          <w:szCs w:val="18"/>
          <w:shd w:val="clear" w:color="auto" w:fill="FFFFFF"/>
          <w:lang w:val="en-GB" w:eastAsia="en-GB"/>
        </w:rPr>
        <w:t xml:space="preserve">‘Just Nuisance’. This was the name of a dog that used to frolic among the naval officers in Simon’s Town, South Africa in the early 1940s. The dog was subsequently formally enlisted in the Royal Navy and was buried with a full military funeral. At this time black people were often not considered fully human and were subject to violent policies of white supremacist rule. Today, there is a bronze statue of Just Nuisance in the Simon’s Town harbour. See https://www.simonstown.com/just-nuisance. We would like to thank the editorial team for this illustrative example. </w:t>
      </w:r>
    </w:p>
  </w:footnote>
  <w:footnote w:id="91">
    <w:p w14:paraId="1CB5347C" w14:textId="385C558F" w:rsidR="0073752B" w:rsidRPr="001C70B3" w:rsidRDefault="0073752B">
      <w:pPr>
        <w:pStyle w:val="FootnoteText"/>
        <w:rPr>
          <w:rFonts w:asciiTheme="majorHAnsi" w:hAnsiTheme="majorHAnsi" w:cs="Times New Roman"/>
          <w:sz w:val="18"/>
          <w:szCs w:val="18"/>
        </w:rPr>
      </w:pPr>
      <w:r w:rsidRPr="001C70B3">
        <w:rPr>
          <w:rStyle w:val="FootnoteReference"/>
          <w:rFonts w:asciiTheme="majorHAnsi" w:hAnsiTheme="majorHAnsi" w:cs="Times New Roman"/>
          <w:sz w:val="18"/>
          <w:szCs w:val="18"/>
        </w:rPr>
        <w:footnoteRef/>
      </w:r>
      <w:r w:rsidRPr="001C70B3">
        <w:rPr>
          <w:rFonts w:asciiTheme="majorHAnsi" w:hAnsiTheme="majorHAnsi" w:cs="Times New Roman"/>
          <w:sz w:val="18"/>
          <w:szCs w:val="18"/>
        </w:rPr>
        <w:t xml:space="preserve"> Turner, </w:t>
      </w:r>
      <w:r w:rsidRPr="001C70B3">
        <w:rPr>
          <w:rFonts w:asciiTheme="majorHAnsi" w:hAnsiTheme="majorHAnsi" w:cs="Times New Roman"/>
          <w:i/>
          <w:iCs/>
          <w:sz w:val="18"/>
          <w:szCs w:val="18"/>
        </w:rPr>
        <w:t>Bordering intimacy</w:t>
      </w:r>
    </w:p>
  </w:footnote>
  <w:footnote w:id="92">
    <w:p w14:paraId="50ACB4FF" w14:textId="2354444B" w:rsidR="0073752B" w:rsidRPr="001C70B3" w:rsidRDefault="0073752B">
      <w:pPr>
        <w:pStyle w:val="FootnoteText"/>
        <w:rPr>
          <w:rFonts w:asciiTheme="majorHAnsi" w:hAnsiTheme="majorHAnsi" w:cstheme="majorHAnsi"/>
          <w:sz w:val="18"/>
          <w:szCs w:val="18"/>
          <w:lang w:val="en-GB"/>
        </w:rPr>
      </w:pPr>
      <w:r w:rsidRPr="001C70B3">
        <w:rPr>
          <w:rStyle w:val="FootnoteReference"/>
          <w:rFonts w:asciiTheme="majorHAnsi" w:hAnsiTheme="majorHAnsi" w:cs="Times New Roman"/>
          <w:sz w:val="18"/>
          <w:szCs w:val="18"/>
        </w:rPr>
        <w:footnoteRef/>
      </w:r>
      <w:r w:rsidRPr="001C70B3">
        <w:rPr>
          <w:rFonts w:asciiTheme="majorHAnsi" w:hAnsiTheme="majorHAnsi" w:cs="Times New Roman"/>
          <w:sz w:val="18"/>
          <w:szCs w:val="18"/>
        </w:rPr>
        <w:t xml:space="preserve"> </w:t>
      </w:r>
      <w:r w:rsidRPr="00F807A0">
        <w:rPr>
          <w:rFonts w:asciiTheme="majorHAnsi" w:hAnsiTheme="majorHAnsi" w:cs="Times New Roman"/>
          <w:sz w:val="18"/>
          <w:szCs w:val="18"/>
        </w:rPr>
        <w:t>Tidy, ‘War Craft: The Embodied</w:t>
      </w:r>
      <w:r>
        <w:rPr>
          <w:rFonts w:asciiTheme="majorHAnsi" w:hAnsiTheme="majorHAnsi" w:cstheme="majorHAnsi"/>
          <w:sz w:val="18"/>
          <w:szCs w:val="18"/>
        </w:rPr>
        <w:t xml:space="preserve"> Politics of Making War’.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41"/>
    <w:rsid w:val="00000E5C"/>
    <w:rsid w:val="000109D4"/>
    <w:rsid w:val="00012B64"/>
    <w:rsid w:val="00014DEF"/>
    <w:rsid w:val="00017264"/>
    <w:rsid w:val="0002408F"/>
    <w:rsid w:val="000405E3"/>
    <w:rsid w:val="0006771E"/>
    <w:rsid w:val="000705BF"/>
    <w:rsid w:val="00071E6E"/>
    <w:rsid w:val="0008743A"/>
    <w:rsid w:val="00087592"/>
    <w:rsid w:val="00093DDC"/>
    <w:rsid w:val="00097FBF"/>
    <w:rsid w:val="000A2898"/>
    <w:rsid w:val="000A6234"/>
    <w:rsid w:val="000B29CA"/>
    <w:rsid w:val="000B4EBD"/>
    <w:rsid w:val="000B7B6B"/>
    <w:rsid w:val="000D0F79"/>
    <w:rsid w:val="000D5885"/>
    <w:rsid w:val="000D7C6B"/>
    <w:rsid w:val="000D7CB5"/>
    <w:rsid w:val="000F7ACB"/>
    <w:rsid w:val="001001DB"/>
    <w:rsid w:val="00100F75"/>
    <w:rsid w:val="0010382F"/>
    <w:rsid w:val="00104EEB"/>
    <w:rsid w:val="00111417"/>
    <w:rsid w:val="0011787F"/>
    <w:rsid w:val="0013062B"/>
    <w:rsid w:val="001308AA"/>
    <w:rsid w:val="0014571B"/>
    <w:rsid w:val="001462C3"/>
    <w:rsid w:val="00164ACD"/>
    <w:rsid w:val="00171877"/>
    <w:rsid w:val="00171BE9"/>
    <w:rsid w:val="00174E9D"/>
    <w:rsid w:val="00176389"/>
    <w:rsid w:val="00180243"/>
    <w:rsid w:val="00187A1C"/>
    <w:rsid w:val="00194461"/>
    <w:rsid w:val="0019702E"/>
    <w:rsid w:val="001A2450"/>
    <w:rsid w:val="001A599D"/>
    <w:rsid w:val="001A7847"/>
    <w:rsid w:val="001B453B"/>
    <w:rsid w:val="001C5146"/>
    <w:rsid w:val="001C519C"/>
    <w:rsid w:val="001C5E45"/>
    <w:rsid w:val="001C6081"/>
    <w:rsid w:val="001C6335"/>
    <w:rsid w:val="001C70B3"/>
    <w:rsid w:val="001C77AB"/>
    <w:rsid w:val="001C797C"/>
    <w:rsid w:val="001D39CA"/>
    <w:rsid w:val="001D5505"/>
    <w:rsid w:val="001D7B5A"/>
    <w:rsid w:val="001E252C"/>
    <w:rsid w:val="001E41A6"/>
    <w:rsid w:val="001E511B"/>
    <w:rsid w:val="0020411A"/>
    <w:rsid w:val="0020614A"/>
    <w:rsid w:val="00212A72"/>
    <w:rsid w:val="002202DD"/>
    <w:rsid w:val="00221A00"/>
    <w:rsid w:val="00226771"/>
    <w:rsid w:val="002332F5"/>
    <w:rsid w:val="00233F65"/>
    <w:rsid w:val="0023621C"/>
    <w:rsid w:val="00242472"/>
    <w:rsid w:val="00244AF4"/>
    <w:rsid w:val="00253B8F"/>
    <w:rsid w:val="00260EC4"/>
    <w:rsid w:val="00270E63"/>
    <w:rsid w:val="00271828"/>
    <w:rsid w:val="002873BB"/>
    <w:rsid w:val="00293540"/>
    <w:rsid w:val="00294630"/>
    <w:rsid w:val="002A6AAD"/>
    <w:rsid w:val="002B0FB8"/>
    <w:rsid w:val="002B5A13"/>
    <w:rsid w:val="002B5F2C"/>
    <w:rsid w:val="002B6E3B"/>
    <w:rsid w:val="002C0D7E"/>
    <w:rsid w:val="002D33C4"/>
    <w:rsid w:val="002D3DC3"/>
    <w:rsid w:val="002D4B89"/>
    <w:rsid w:val="002D512C"/>
    <w:rsid w:val="002D7E38"/>
    <w:rsid w:val="002E1523"/>
    <w:rsid w:val="002E1F1A"/>
    <w:rsid w:val="002E3AC3"/>
    <w:rsid w:val="002E604E"/>
    <w:rsid w:val="002E61E5"/>
    <w:rsid w:val="002E6C74"/>
    <w:rsid w:val="002E7169"/>
    <w:rsid w:val="00304CAD"/>
    <w:rsid w:val="0031099A"/>
    <w:rsid w:val="00312B26"/>
    <w:rsid w:val="00314242"/>
    <w:rsid w:val="00315291"/>
    <w:rsid w:val="00317FCD"/>
    <w:rsid w:val="00334ACF"/>
    <w:rsid w:val="0034075F"/>
    <w:rsid w:val="003442BC"/>
    <w:rsid w:val="00345F47"/>
    <w:rsid w:val="0034656C"/>
    <w:rsid w:val="003500E4"/>
    <w:rsid w:val="00351FC7"/>
    <w:rsid w:val="00357349"/>
    <w:rsid w:val="00363F82"/>
    <w:rsid w:val="00364235"/>
    <w:rsid w:val="00371C4B"/>
    <w:rsid w:val="00371F69"/>
    <w:rsid w:val="00375DD3"/>
    <w:rsid w:val="003764B6"/>
    <w:rsid w:val="00380B40"/>
    <w:rsid w:val="00391A47"/>
    <w:rsid w:val="00393090"/>
    <w:rsid w:val="00393837"/>
    <w:rsid w:val="00395B25"/>
    <w:rsid w:val="00396DEB"/>
    <w:rsid w:val="003A595C"/>
    <w:rsid w:val="003A5B95"/>
    <w:rsid w:val="003B31DD"/>
    <w:rsid w:val="003B40A7"/>
    <w:rsid w:val="003B5071"/>
    <w:rsid w:val="003C53F9"/>
    <w:rsid w:val="003D0045"/>
    <w:rsid w:val="003D46B0"/>
    <w:rsid w:val="003E0FAC"/>
    <w:rsid w:val="003E2A06"/>
    <w:rsid w:val="003E6F67"/>
    <w:rsid w:val="003F5E3E"/>
    <w:rsid w:val="003F70C3"/>
    <w:rsid w:val="00404AEF"/>
    <w:rsid w:val="004075A8"/>
    <w:rsid w:val="00407AE7"/>
    <w:rsid w:val="0041077D"/>
    <w:rsid w:val="0041253E"/>
    <w:rsid w:val="00414501"/>
    <w:rsid w:val="00417621"/>
    <w:rsid w:val="004220CA"/>
    <w:rsid w:val="00422CD3"/>
    <w:rsid w:val="0042456E"/>
    <w:rsid w:val="00424BF9"/>
    <w:rsid w:val="00431816"/>
    <w:rsid w:val="004336D1"/>
    <w:rsid w:val="00440CFA"/>
    <w:rsid w:val="004448B0"/>
    <w:rsid w:val="00444E8C"/>
    <w:rsid w:val="00445793"/>
    <w:rsid w:val="004463BB"/>
    <w:rsid w:val="00446C1A"/>
    <w:rsid w:val="0045138E"/>
    <w:rsid w:val="00454585"/>
    <w:rsid w:val="00455BC9"/>
    <w:rsid w:val="00456E3E"/>
    <w:rsid w:val="004570A0"/>
    <w:rsid w:val="00457EE0"/>
    <w:rsid w:val="00464F77"/>
    <w:rsid w:val="004664A1"/>
    <w:rsid w:val="004723FC"/>
    <w:rsid w:val="00473D59"/>
    <w:rsid w:val="00475456"/>
    <w:rsid w:val="00475F43"/>
    <w:rsid w:val="00477FC6"/>
    <w:rsid w:val="004824AE"/>
    <w:rsid w:val="0048733A"/>
    <w:rsid w:val="0049520A"/>
    <w:rsid w:val="00496166"/>
    <w:rsid w:val="00497AC5"/>
    <w:rsid w:val="004A0522"/>
    <w:rsid w:val="004A1B9C"/>
    <w:rsid w:val="004A494F"/>
    <w:rsid w:val="004B57E2"/>
    <w:rsid w:val="004C0B8B"/>
    <w:rsid w:val="004D07D2"/>
    <w:rsid w:val="004D694A"/>
    <w:rsid w:val="004E2101"/>
    <w:rsid w:val="004E356F"/>
    <w:rsid w:val="004E4B37"/>
    <w:rsid w:val="004E6B54"/>
    <w:rsid w:val="004F48DF"/>
    <w:rsid w:val="004F4944"/>
    <w:rsid w:val="00501BFD"/>
    <w:rsid w:val="00513D76"/>
    <w:rsid w:val="00515131"/>
    <w:rsid w:val="005213F6"/>
    <w:rsid w:val="00527C97"/>
    <w:rsid w:val="00527F11"/>
    <w:rsid w:val="005356E8"/>
    <w:rsid w:val="0054474B"/>
    <w:rsid w:val="005477CE"/>
    <w:rsid w:val="00551836"/>
    <w:rsid w:val="005536E2"/>
    <w:rsid w:val="005602C5"/>
    <w:rsid w:val="005605E3"/>
    <w:rsid w:val="00562CEA"/>
    <w:rsid w:val="005706F0"/>
    <w:rsid w:val="005710A1"/>
    <w:rsid w:val="00575A78"/>
    <w:rsid w:val="00576909"/>
    <w:rsid w:val="005832EC"/>
    <w:rsid w:val="00584CCB"/>
    <w:rsid w:val="0059211E"/>
    <w:rsid w:val="00596103"/>
    <w:rsid w:val="00597FF6"/>
    <w:rsid w:val="005A2243"/>
    <w:rsid w:val="005A36BF"/>
    <w:rsid w:val="005A41FD"/>
    <w:rsid w:val="005A69F1"/>
    <w:rsid w:val="005C45BD"/>
    <w:rsid w:val="005D320C"/>
    <w:rsid w:val="005D3CBC"/>
    <w:rsid w:val="005D74CB"/>
    <w:rsid w:val="005E2867"/>
    <w:rsid w:val="005E5D64"/>
    <w:rsid w:val="005E6751"/>
    <w:rsid w:val="005E7C75"/>
    <w:rsid w:val="005F25F5"/>
    <w:rsid w:val="005F440F"/>
    <w:rsid w:val="005F7DA9"/>
    <w:rsid w:val="006004CA"/>
    <w:rsid w:val="00606B06"/>
    <w:rsid w:val="006078F5"/>
    <w:rsid w:val="0061143C"/>
    <w:rsid w:val="00611C60"/>
    <w:rsid w:val="00612ABE"/>
    <w:rsid w:val="00612C4E"/>
    <w:rsid w:val="00632AE9"/>
    <w:rsid w:val="0063343F"/>
    <w:rsid w:val="006570F4"/>
    <w:rsid w:val="006640A8"/>
    <w:rsid w:val="00676773"/>
    <w:rsid w:val="00680BE5"/>
    <w:rsid w:val="00683003"/>
    <w:rsid w:val="0068609B"/>
    <w:rsid w:val="00687586"/>
    <w:rsid w:val="0069188B"/>
    <w:rsid w:val="00692C1C"/>
    <w:rsid w:val="006974E9"/>
    <w:rsid w:val="006975C8"/>
    <w:rsid w:val="006A303B"/>
    <w:rsid w:val="006A4FFB"/>
    <w:rsid w:val="006B29E8"/>
    <w:rsid w:val="006B4D3F"/>
    <w:rsid w:val="006C6B27"/>
    <w:rsid w:val="006E3443"/>
    <w:rsid w:val="006E53B4"/>
    <w:rsid w:val="006F7E8F"/>
    <w:rsid w:val="00704081"/>
    <w:rsid w:val="007158B7"/>
    <w:rsid w:val="00715E7A"/>
    <w:rsid w:val="007215FF"/>
    <w:rsid w:val="00726A22"/>
    <w:rsid w:val="00735616"/>
    <w:rsid w:val="0073752B"/>
    <w:rsid w:val="00742279"/>
    <w:rsid w:val="0075033C"/>
    <w:rsid w:val="00755CDB"/>
    <w:rsid w:val="00760BCA"/>
    <w:rsid w:val="00760CD8"/>
    <w:rsid w:val="00761546"/>
    <w:rsid w:val="007643DB"/>
    <w:rsid w:val="0077463B"/>
    <w:rsid w:val="007774F6"/>
    <w:rsid w:val="00786530"/>
    <w:rsid w:val="00790CE5"/>
    <w:rsid w:val="0079469B"/>
    <w:rsid w:val="007957DA"/>
    <w:rsid w:val="007A31F2"/>
    <w:rsid w:val="007B28C1"/>
    <w:rsid w:val="007B68E5"/>
    <w:rsid w:val="007C42D1"/>
    <w:rsid w:val="007D43D4"/>
    <w:rsid w:val="007E363F"/>
    <w:rsid w:val="007E424B"/>
    <w:rsid w:val="007F1505"/>
    <w:rsid w:val="008049BF"/>
    <w:rsid w:val="00806068"/>
    <w:rsid w:val="00807BF9"/>
    <w:rsid w:val="00813984"/>
    <w:rsid w:val="00813DE0"/>
    <w:rsid w:val="008143EF"/>
    <w:rsid w:val="0082460D"/>
    <w:rsid w:val="008255D1"/>
    <w:rsid w:val="00840691"/>
    <w:rsid w:val="008412CA"/>
    <w:rsid w:val="00841D93"/>
    <w:rsid w:val="00845025"/>
    <w:rsid w:val="00851BCD"/>
    <w:rsid w:val="008553A5"/>
    <w:rsid w:val="008560F0"/>
    <w:rsid w:val="008604F9"/>
    <w:rsid w:val="008679DE"/>
    <w:rsid w:val="008702A0"/>
    <w:rsid w:val="00884B83"/>
    <w:rsid w:val="008856D2"/>
    <w:rsid w:val="00887D28"/>
    <w:rsid w:val="00894F34"/>
    <w:rsid w:val="008951D9"/>
    <w:rsid w:val="00895789"/>
    <w:rsid w:val="008965E8"/>
    <w:rsid w:val="008A0272"/>
    <w:rsid w:val="008A2D54"/>
    <w:rsid w:val="008A3956"/>
    <w:rsid w:val="008B367E"/>
    <w:rsid w:val="008B5271"/>
    <w:rsid w:val="008D118A"/>
    <w:rsid w:val="008D2732"/>
    <w:rsid w:val="008D59D5"/>
    <w:rsid w:val="008F538B"/>
    <w:rsid w:val="008F72B9"/>
    <w:rsid w:val="00903C79"/>
    <w:rsid w:val="00905EDC"/>
    <w:rsid w:val="00914A47"/>
    <w:rsid w:val="00916EE3"/>
    <w:rsid w:val="00917D98"/>
    <w:rsid w:val="0092016A"/>
    <w:rsid w:val="00925713"/>
    <w:rsid w:val="0093103D"/>
    <w:rsid w:val="00941677"/>
    <w:rsid w:val="00943298"/>
    <w:rsid w:val="00957C4D"/>
    <w:rsid w:val="0096079A"/>
    <w:rsid w:val="009668CF"/>
    <w:rsid w:val="00966B23"/>
    <w:rsid w:val="009712CB"/>
    <w:rsid w:val="0097558F"/>
    <w:rsid w:val="00976DF7"/>
    <w:rsid w:val="00980B41"/>
    <w:rsid w:val="00986DC4"/>
    <w:rsid w:val="009966AD"/>
    <w:rsid w:val="00997A98"/>
    <w:rsid w:val="009A06A3"/>
    <w:rsid w:val="009A3299"/>
    <w:rsid w:val="009A7186"/>
    <w:rsid w:val="009B3E92"/>
    <w:rsid w:val="009B6777"/>
    <w:rsid w:val="009C6E70"/>
    <w:rsid w:val="009D7E79"/>
    <w:rsid w:val="009E2A93"/>
    <w:rsid w:val="009E5A82"/>
    <w:rsid w:val="009F29D3"/>
    <w:rsid w:val="009F3BA2"/>
    <w:rsid w:val="009F74A4"/>
    <w:rsid w:val="00A0233E"/>
    <w:rsid w:val="00A368EE"/>
    <w:rsid w:val="00A45F94"/>
    <w:rsid w:val="00A50E2B"/>
    <w:rsid w:val="00A550AC"/>
    <w:rsid w:val="00A6197E"/>
    <w:rsid w:val="00A718F8"/>
    <w:rsid w:val="00A778AB"/>
    <w:rsid w:val="00A96F42"/>
    <w:rsid w:val="00A97912"/>
    <w:rsid w:val="00A979B2"/>
    <w:rsid w:val="00AB3693"/>
    <w:rsid w:val="00AB5E14"/>
    <w:rsid w:val="00AB7DCA"/>
    <w:rsid w:val="00AC1DF2"/>
    <w:rsid w:val="00AC1FD2"/>
    <w:rsid w:val="00AC3D82"/>
    <w:rsid w:val="00AC6EC2"/>
    <w:rsid w:val="00AE7567"/>
    <w:rsid w:val="00AF07B2"/>
    <w:rsid w:val="00B0163A"/>
    <w:rsid w:val="00B03458"/>
    <w:rsid w:val="00B23FE4"/>
    <w:rsid w:val="00B25B99"/>
    <w:rsid w:val="00B27F91"/>
    <w:rsid w:val="00B31162"/>
    <w:rsid w:val="00B35BFE"/>
    <w:rsid w:val="00B41D65"/>
    <w:rsid w:val="00B41F5F"/>
    <w:rsid w:val="00B426BD"/>
    <w:rsid w:val="00B45648"/>
    <w:rsid w:val="00B50EF2"/>
    <w:rsid w:val="00B54AC9"/>
    <w:rsid w:val="00B550B8"/>
    <w:rsid w:val="00B700A8"/>
    <w:rsid w:val="00B722BF"/>
    <w:rsid w:val="00B73BAE"/>
    <w:rsid w:val="00B84B75"/>
    <w:rsid w:val="00B85CB1"/>
    <w:rsid w:val="00B95E0F"/>
    <w:rsid w:val="00B962A9"/>
    <w:rsid w:val="00BA3D59"/>
    <w:rsid w:val="00BA4008"/>
    <w:rsid w:val="00BA50A1"/>
    <w:rsid w:val="00BB6621"/>
    <w:rsid w:val="00BC0BEC"/>
    <w:rsid w:val="00BC0FF4"/>
    <w:rsid w:val="00BC49A5"/>
    <w:rsid w:val="00BC6A4C"/>
    <w:rsid w:val="00BC7381"/>
    <w:rsid w:val="00BD031F"/>
    <w:rsid w:val="00BD5AD7"/>
    <w:rsid w:val="00BD6180"/>
    <w:rsid w:val="00BE2380"/>
    <w:rsid w:val="00C1015A"/>
    <w:rsid w:val="00C11FF3"/>
    <w:rsid w:val="00C1213A"/>
    <w:rsid w:val="00C12687"/>
    <w:rsid w:val="00C21777"/>
    <w:rsid w:val="00C31D3A"/>
    <w:rsid w:val="00C51854"/>
    <w:rsid w:val="00C5407D"/>
    <w:rsid w:val="00C54A7A"/>
    <w:rsid w:val="00C57A12"/>
    <w:rsid w:val="00C70909"/>
    <w:rsid w:val="00C72226"/>
    <w:rsid w:val="00C80BD9"/>
    <w:rsid w:val="00C81C4F"/>
    <w:rsid w:val="00C95062"/>
    <w:rsid w:val="00CA02C7"/>
    <w:rsid w:val="00CD69B6"/>
    <w:rsid w:val="00CF2578"/>
    <w:rsid w:val="00D00AB8"/>
    <w:rsid w:val="00D00CA3"/>
    <w:rsid w:val="00D02CB8"/>
    <w:rsid w:val="00D03D45"/>
    <w:rsid w:val="00D0401E"/>
    <w:rsid w:val="00D05D61"/>
    <w:rsid w:val="00D060D4"/>
    <w:rsid w:val="00D06FDF"/>
    <w:rsid w:val="00D12CE8"/>
    <w:rsid w:val="00D159CC"/>
    <w:rsid w:val="00D16048"/>
    <w:rsid w:val="00D17890"/>
    <w:rsid w:val="00D23C3B"/>
    <w:rsid w:val="00D33E6E"/>
    <w:rsid w:val="00D4206E"/>
    <w:rsid w:val="00D479F2"/>
    <w:rsid w:val="00D47DE7"/>
    <w:rsid w:val="00D47E25"/>
    <w:rsid w:val="00D51763"/>
    <w:rsid w:val="00D5389B"/>
    <w:rsid w:val="00D5461A"/>
    <w:rsid w:val="00D60490"/>
    <w:rsid w:val="00D70FEE"/>
    <w:rsid w:val="00D72985"/>
    <w:rsid w:val="00D76D2A"/>
    <w:rsid w:val="00D7787D"/>
    <w:rsid w:val="00D8719C"/>
    <w:rsid w:val="00D937E3"/>
    <w:rsid w:val="00D97913"/>
    <w:rsid w:val="00DA78EB"/>
    <w:rsid w:val="00DB2F1A"/>
    <w:rsid w:val="00DB52A8"/>
    <w:rsid w:val="00DB7C79"/>
    <w:rsid w:val="00DC057B"/>
    <w:rsid w:val="00DC56E5"/>
    <w:rsid w:val="00DD0652"/>
    <w:rsid w:val="00DD2507"/>
    <w:rsid w:val="00DF1FB3"/>
    <w:rsid w:val="00DF4BE0"/>
    <w:rsid w:val="00E05E09"/>
    <w:rsid w:val="00E07BF0"/>
    <w:rsid w:val="00E11A47"/>
    <w:rsid w:val="00E13409"/>
    <w:rsid w:val="00E210B6"/>
    <w:rsid w:val="00E22A8C"/>
    <w:rsid w:val="00E24DB7"/>
    <w:rsid w:val="00E25C85"/>
    <w:rsid w:val="00E30B5E"/>
    <w:rsid w:val="00E316DA"/>
    <w:rsid w:val="00E3290B"/>
    <w:rsid w:val="00E510B5"/>
    <w:rsid w:val="00E536DE"/>
    <w:rsid w:val="00E56290"/>
    <w:rsid w:val="00E57C65"/>
    <w:rsid w:val="00E64776"/>
    <w:rsid w:val="00E76548"/>
    <w:rsid w:val="00E81315"/>
    <w:rsid w:val="00E836CC"/>
    <w:rsid w:val="00E83A08"/>
    <w:rsid w:val="00E84C7C"/>
    <w:rsid w:val="00E85DEA"/>
    <w:rsid w:val="00E87F4F"/>
    <w:rsid w:val="00E92683"/>
    <w:rsid w:val="00EA0701"/>
    <w:rsid w:val="00EA14AC"/>
    <w:rsid w:val="00EB13E9"/>
    <w:rsid w:val="00EC50AB"/>
    <w:rsid w:val="00ED0DC5"/>
    <w:rsid w:val="00ED6A86"/>
    <w:rsid w:val="00ED7BFD"/>
    <w:rsid w:val="00ED7E8E"/>
    <w:rsid w:val="00EE0626"/>
    <w:rsid w:val="00EF0576"/>
    <w:rsid w:val="00EF2FB2"/>
    <w:rsid w:val="00F01FA3"/>
    <w:rsid w:val="00F32B5D"/>
    <w:rsid w:val="00F40BAF"/>
    <w:rsid w:val="00F40FE4"/>
    <w:rsid w:val="00F46D28"/>
    <w:rsid w:val="00F61050"/>
    <w:rsid w:val="00F64F09"/>
    <w:rsid w:val="00F7350E"/>
    <w:rsid w:val="00F74075"/>
    <w:rsid w:val="00F743F1"/>
    <w:rsid w:val="00F755BB"/>
    <w:rsid w:val="00F76F94"/>
    <w:rsid w:val="00F807A0"/>
    <w:rsid w:val="00F814E4"/>
    <w:rsid w:val="00F83EF1"/>
    <w:rsid w:val="00F85C92"/>
    <w:rsid w:val="00F92131"/>
    <w:rsid w:val="00F94D42"/>
    <w:rsid w:val="00F9601E"/>
    <w:rsid w:val="00F971B0"/>
    <w:rsid w:val="00F97463"/>
    <w:rsid w:val="00FA0B93"/>
    <w:rsid w:val="00FA1BD6"/>
    <w:rsid w:val="00FA2BE6"/>
    <w:rsid w:val="00FA64D6"/>
    <w:rsid w:val="00FB2718"/>
    <w:rsid w:val="00FC48CC"/>
    <w:rsid w:val="00FC7BC8"/>
    <w:rsid w:val="00FD282B"/>
    <w:rsid w:val="00FD318D"/>
    <w:rsid w:val="00FD6EF9"/>
    <w:rsid w:val="00FE478B"/>
    <w:rsid w:val="00FE519F"/>
    <w:rsid w:val="00FF4491"/>
    <w:rsid w:val="00FF60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1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af"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1"/>
    <w:next w:val="Normal1"/>
    <w:link w:val="Heading1Char"/>
    <w:uiPriority w:val="9"/>
    <w:qFormat/>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FootnoteText">
    <w:name w:val="footnote text"/>
    <w:basedOn w:val="Normal"/>
    <w:link w:val="FootnoteTextChar"/>
    <w:uiPriority w:val="99"/>
    <w:unhideWhenUsed/>
    <w:rsid w:val="00D5389B"/>
    <w:pPr>
      <w:spacing w:line="240" w:lineRule="auto"/>
    </w:pPr>
    <w:rPr>
      <w:sz w:val="24"/>
      <w:szCs w:val="24"/>
    </w:rPr>
  </w:style>
  <w:style w:type="character" w:customStyle="1" w:styleId="FootnoteTextChar">
    <w:name w:val="Footnote Text Char"/>
    <w:basedOn w:val="DefaultParagraphFont"/>
    <w:link w:val="FootnoteText"/>
    <w:uiPriority w:val="99"/>
    <w:rsid w:val="00D5389B"/>
    <w:rPr>
      <w:sz w:val="24"/>
      <w:szCs w:val="24"/>
    </w:rPr>
  </w:style>
  <w:style w:type="character" w:styleId="FootnoteReference">
    <w:name w:val="footnote reference"/>
    <w:basedOn w:val="DefaultParagraphFont"/>
    <w:uiPriority w:val="99"/>
    <w:unhideWhenUsed/>
    <w:rsid w:val="00D5389B"/>
    <w:rPr>
      <w:vertAlign w:val="superscript"/>
    </w:rPr>
  </w:style>
  <w:style w:type="paragraph" w:styleId="BalloonText">
    <w:name w:val="Balloon Text"/>
    <w:basedOn w:val="Normal"/>
    <w:link w:val="BalloonTextChar"/>
    <w:uiPriority w:val="99"/>
    <w:semiHidden/>
    <w:unhideWhenUsed/>
    <w:rsid w:val="00D5389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389B"/>
    <w:rPr>
      <w:rFonts w:ascii="Lucida Grande" w:hAnsi="Lucida Grande" w:cs="Lucida Grande"/>
      <w:sz w:val="18"/>
      <w:szCs w:val="18"/>
    </w:rPr>
  </w:style>
  <w:style w:type="paragraph" w:styleId="Header">
    <w:name w:val="header"/>
    <w:basedOn w:val="Normal"/>
    <w:link w:val="HeaderChar"/>
    <w:uiPriority w:val="99"/>
    <w:unhideWhenUsed/>
    <w:rsid w:val="00312B26"/>
    <w:pPr>
      <w:tabs>
        <w:tab w:val="center" w:pos="4513"/>
        <w:tab w:val="right" w:pos="9026"/>
      </w:tabs>
      <w:spacing w:line="240" w:lineRule="auto"/>
    </w:pPr>
  </w:style>
  <w:style w:type="character" w:customStyle="1" w:styleId="HeaderChar">
    <w:name w:val="Header Char"/>
    <w:basedOn w:val="DefaultParagraphFont"/>
    <w:link w:val="Header"/>
    <w:uiPriority w:val="99"/>
    <w:rsid w:val="00312B26"/>
  </w:style>
  <w:style w:type="paragraph" w:styleId="Footer">
    <w:name w:val="footer"/>
    <w:basedOn w:val="Normal"/>
    <w:link w:val="FooterChar"/>
    <w:uiPriority w:val="99"/>
    <w:unhideWhenUsed/>
    <w:rsid w:val="00312B26"/>
    <w:pPr>
      <w:tabs>
        <w:tab w:val="center" w:pos="4513"/>
        <w:tab w:val="right" w:pos="9026"/>
      </w:tabs>
      <w:spacing w:line="240" w:lineRule="auto"/>
    </w:pPr>
  </w:style>
  <w:style w:type="character" w:customStyle="1" w:styleId="FooterChar">
    <w:name w:val="Footer Char"/>
    <w:basedOn w:val="DefaultParagraphFont"/>
    <w:link w:val="Footer"/>
    <w:uiPriority w:val="99"/>
    <w:rsid w:val="00312B26"/>
  </w:style>
  <w:style w:type="character" w:styleId="CommentReference">
    <w:name w:val="annotation reference"/>
    <w:basedOn w:val="DefaultParagraphFont"/>
    <w:uiPriority w:val="99"/>
    <w:semiHidden/>
    <w:unhideWhenUsed/>
    <w:rsid w:val="00D47DE7"/>
    <w:rPr>
      <w:sz w:val="16"/>
      <w:szCs w:val="16"/>
    </w:rPr>
  </w:style>
  <w:style w:type="paragraph" w:styleId="CommentText">
    <w:name w:val="annotation text"/>
    <w:basedOn w:val="Normal"/>
    <w:link w:val="CommentTextChar"/>
    <w:uiPriority w:val="99"/>
    <w:unhideWhenUsed/>
    <w:rsid w:val="005602C5"/>
    <w:pPr>
      <w:spacing w:line="240" w:lineRule="auto"/>
    </w:pPr>
    <w:rPr>
      <w:sz w:val="20"/>
      <w:szCs w:val="20"/>
      <w:lang w:val="en-GB"/>
    </w:rPr>
  </w:style>
  <w:style w:type="character" w:customStyle="1" w:styleId="CommentTextChar">
    <w:name w:val="Comment Text Char"/>
    <w:basedOn w:val="DefaultParagraphFont"/>
    <w:link w:val="CommentText"/>
    <w:uiPriority w:val="99"/>
    <w:rsid w:val="005602C5"/>
    <w:rPr>
      <w:sz w:val="20"/>
      <w:szCs w:val="20"/>
      <w:lang w:val="en-GB"/>
    </w:rPr>
  </w:style>
  <w:style w:type="paragraph" w:styleId="CommentSubject">
    <w:name w:val="annotation subject"/>
    <w:basedOn w:val="CommentText"/>
    <w:next w:val="CommentText"/>
    <w:link w:val="CommentSubjectChar"/>
    <w:uiPriority w:val="99"/>
    <w:semiHidden/>
    <w:unhideWhenUsed/>
    <w:rsid w:val="00D47DE7"/>
    <w:rPr>
      <w:b/>
      <w:bCs/>
    </w:rPr>
  </w:style>
  <w:style w:type="character" w:customStyle="1" w:styleId="CommentSubjectChar">
    <w:name w:val="Comment Subject Char"/>
    <w:basedOn w:val="CommentTextChar"/>
    <w:link w:val="CommentSubject"/>
    <w:uiPriority w:val="99"/>
    <w:semiHidden/>
    <w:rsid w:val="00D47DE7"/>
    <w:rPr>
      <w:b/>
      <w:bCs/>
      <w:sz w:val="20"/>
      <w:szCs w:val="20"/>
      <w:lang w:val="en-GB"/>
    </w:rPr>
  </w:style>
  <w:style w:type="paragraph" w:styleId="Revision">
    <w:name w:val="Revision"/>
    <w:hidden/>
    <w:uiPriority w:val="99"/>
    <w:semiHidden/>
    <w:rsid w:val="008A2D54"/>
    <w:pPr>
      <w:spacing w:line="240" w:lineRule="auto"/>
    </w:pPr>
  </w:style>
  <w:style w:type="character" w:customStyle="1" w:styleId="cls-response">
    <w:name w:val="cls-response"/>
    <w:basedOn w:val="DefaultParagraphFont"/>
    <w:rsid w:val="002B0FB8"/>
  </w:style>
  <w:style w:type="character" w:styleId="Hyperlink">
    <w:name w:val="Hyperlink"/>
    <w:basedOn w:val="DefaultParagraphFont"/>
    <w:uiPriority w:val="99"/>
    <w:semiHidden/>
    <w:unhideWhenUsed/>
    <w:rsid w:val="002B0FB8"/>
    <w:rPr>
      <w:color w:val="0000FF"/>
      <w:u w:val="single"/>
    </w:rPr>
  </w:style>
  <w:style w:type="character" w:customStyle="1" w:styleId="a-size-large">
    <w:name w:val="a-size-large"/>
    <w:basedOn w:val="DefaultParagraphFont"/>
    <w:rsid w:val="00D23C3B"/>
  </w:style>
  <w:style w:type="character" w:customStyle="1" w:styleId="authors">
    <w:name w:val="authors"/>
    <w:basedOn w:val="DefaultParagraphFont"/>
    <w:rsid w:val="00E3290B"/>
  </w:style>
  <w:style w:type="character" w:customStyle="1" w:styleId="apple-converted-space">
    <w:name w:val="apple-converted-space"/>
    <w:basedOn w:val="DefaultParagraphFont"/>
    <w:rsid w:val="00E3290B"/>
  </w:style>
  <w:style w:type="character" w:customStyle="1" w:styleId="Date1">
    <w:name w:val="Date1"/>
    <w:basedOn w:val="DefaultParagraphFont"/>
    <w:rsid w:val="00E3290B"/>
  </w:style>
  <w:style w:type="character" w:customStyle="1" w:styleId="arttitle">
    <w:name w:val="art_title"/>
    <w:basedOn w:val="DefaultParagraphFont"/>
    <w:rsid w:val="00E3290B"/>
  </w:style>
  <w:style w:type="character" w:customStyle="1" w:styleId="serialtitle">
    <w:name w:val="serial_title"/>
    <w:basedOn w:val="DefaultParagraphFont"/>
    <w:rsid w:val="00E3290B"/>
  </w:style>
  <w:style w:type="character" w:customStyle="1" w:styleId="doilink">
    <w:name w:val="doi_link"/>
    <w:basedOn w:val="DefaultParagraphFont"/>
    <w:rsid w:val="00E3290B"/>
  </w:style>
  <w:style w:type="character" w:customStyle="1" w:styleId="volumeissue">
    <w:name w:val="volume_issue"/>
    <w:basedOn w:val="DefaultParagraphFont"/>
    <w:rsid w:val="009A7186"/>
  </w:style>
  <w:style w:type="character" w:customStyle="1" w:styleId="pagerange">
    <w:name w:val="page_range"/>
    <w:basedOn w:val="DefaultParagraphFont"/>
    <w:rsid w:val="009A7186"/>
  </w:style>
  <w:style w:type="character" w:customStyle="1" w:styleId="Heading1Char">
    <w:name w:val="Heading 1 Char"/>
    <w:basedOn w:val="DefaultParagraphFont"/>
    <w:link w:val="Heading1"/>
    <w:uiPriority w:val="9"/>
    <w:rsid w:val="00916EE3"/>
    <w:rPr>
      <w:sz w:val="40"/>
      <w:szCs w:val="40"/>
    </w:rPr>
  </w:style>
  <w:style w:type="character" w:styleId="Emphasis">
    <w:name w:val="Emphasis"/>
    <w:basedOn w:val="DefaultParagraphFont"/>
    <w:uiPriority w:val="20"/>
    <w:qFormat/>
    <w:rsid w:val="00D47E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3950">
      <w:bodyDiv w:val="1"/>
      <w:marLeft w:val="0"/>
      <w:marRight w:val="0"/>
      <w:marTop w:val="0"/>
      <w:marBottom w:val="0"/>
      <w:divBdr>
        <w:top w:val="none" w:sz="0" w:space="0" w:color="auto"/>
        <w:left w:val="none" w:sz="0" w:space="0" w:color="auto"/>
        <w:bottom w:val="none" w:sz="0" w:space="0" w:color="auto"/>
        <w:right w:val="none" w:sz="0" w:space="0" w:color="auto"/>
      </w:divBdr>
    </w:div>
    <w:div w:id="63643758">
      <w:bodyDiv w:val="1"/>
      <w:marLeft w:val="0"/>
      <w:marRight w:val="0"/>
      <w:marTop w:val="0"/>
      <w:marBottom w:val="0"/>
      <w:divBdr>
        <w:top w:val="none" w:sz="0" w:space="0" w:color="auto"/>
        <w:left w:val="none" w:sz="0" w:space="0" w:color="auto"/>
        <w:bottom w:val="none" w:sz="0" w:space="0" w:color="auto"/>
        <w:right w:val="none" w:sz="0" w:space="0" w:color="auto"/>
      </w:divBdr>
    </w:div>
    <w:div w:id="241836819">
      <w:bodyDiv w:val="1"/>
      <w:marLeft w:val="0"/>
      <w:marRight w:val="0"/>
      <w:marTop w:val="0"/>
      <w:marBottom w:val="0"/>
      <w:divBdr>
        <w:top w:val="none" w:sz="0" w:space="0" w:color="auto"/>
        <w:left w:val="none" w:sz="0" w:space="0" w:color="auto"/>
        <w:bottom w:val="none" w:sz="0" w:space="0" w:color="auto"/>
        <w:right w:val="none" w:sz="0" w:space="0" w:color="auto"/>
      </w:divBdr>
    </w:div>
    <w:div w:id="243146836">
      <w:bodyDiv w:val="1"/>
      <w:marLeft w:val="0"/>
      <w:marRight w:val="0"/>
      <w:marTop w:val="0"/>
      <w:marBottom w:val="0"/>
      <w:divBdr>
        <w:top w:val="none" w:sz="0" w:space="0" w:color="auto"/>
        <w:left w:val="none" w:sz="0" w:space="0" w:color="auto"/>
        <w:bottom w:val="none" w:sz="0" w:space="0" w:color="auto"/>
        <w:right w:val="none" w:sz="0" w:space="0" w:color="auto"/>
      </w:divBdr>
      <w:divsChild>
        <w:div w:id="1452899731">
          <w:marLeft w:val="0"/>
          <w:marRight w:val="0"/>
          <w:marTop w:val="0"/>
          <w:marBottom w:val="0"/>
          <w:divBdr>
            <w:top w:val="none" w:sz="0" w:space="0" w:color="auto"/>
            <w:left w:val="none" w:sz="0" w:space="0" w:color="auto"/>
            <w:bottom w:val="none" w:sz="0" w:space="0" w:color="auto"/>
            <w:right w:val="none" w:sz="0" w:space="0" w:color="auto"/>
          </w:divBdr>
        </w:div>
      </w:divsChild>
    </w:div>
    <w:div w:id="254048306">
      <w:bodyDiv w:val="1"/>
      <w:marLeft w:val="0"/>
      <w:marRight w:val="0"/>
      <w:marTop w:val="0"/>
      <w:marBottom w:val="0"/>
      <w:divBdr>
        <w:top w:val="none" w:sz="0" w:space="0" w:color="auto"/>
        <w:left w:val="none" w:sz="0" w:space="0" w:color="auto"/>
        <w:bottom w:val="none" w:sz="0" w:space="0" w:color="auto"/>
        <w:right w:val="none" w:sz="0" w:space="0" w:color="auto"/>
      </w:divBdr>
      <w:divsChild>
        <w:div w:id="52317186">
          <w:marLeft w:val="0"/>
          <w:marRight w:val="0"/>
          <w:marTop w:val="0"/>
          <w:marBottom w:val="0"/>
          <w:divBdr>
            <w:top w:val="none" w:sz="0" w:space="0" w:color="auto"/>
            <w:left w:val="none" w:sz="0" w:space="0" w:color="auto"/>
            <w:bottom w:val="none" w:sz="0" w:space="0" w:color="auto"/>
            <w:right w:val="none" w:sz="0" w:space="0" w:color="auto"/>
          </w:divBdr>
        </w:div>
      </w:divsChild>
    </w:div>
    <w:div w:id="440684306">
      <w:bodyDiv w:val="1"/>
      <w:marLeft w:val="0"/>
      <w:marRight w:val="0"/>
      <w:marTop w:val="0"/>
      <w:marBottom w:val="0"/>
      <w:divBdr>
        <w:top w:val="none" w:sz="0" w:space="0" w:color="auto"/>
        <w:left w:val="none" w:sz="0" w:space="0" w:color="auto"/>
        <w:bottom w:val="none" w:sz="0" w:space="0" w:color="auto"/>
        <w:right w:val="none" w:sz="0" w:space="0" w:color="auto"/>
      </w:divBdr>
    </w:div>
    <w:div w:id="731390416">
      <w:bodyDiv w:val="1"/>
      <w:marLeft w:val="0"/>
      <w:marRight w:val="0"/>
      <w:marTop w:val="0"/>
      <w:marBottom w:val="0"/>
      <w:divBdr>
        <w:top w:val="none" w:sz="0" w:space="0" w:color="auto"/>
        <w:left w:val="none" w:sz="0" w:space="0" w:color="auto"/>
        <w:bottom w:val="none" w:sz="0" w:space="0" w:color="auto"/>
        <w:right w:val="none" w:sz="0" w:space="0" w:color="auto"/>
      </w:divBdr>
      <w:divsChild>
        <w:div w:id="985354150">
          <w:marLeft w:val="0"/>
          <w:marRight w:val="0"/>
          <w:marTop w:val="0"/>
          <w:marBottom w:val="0"/>
          <w:divBdr>
            <w:top w:val="none" w:sz="0" w:space="0" w:color="auto"/>
            <w:left w:val="none" w:sz="0" w:space="0" w:color="auto"/>
            <w:bottom w:val="none" w:sz="0" w:space="0" w:color="auto"/>
            <w:right w:val="none" w:sz="0" w:space="0" w:color="auto"/>
          </w:divBdr>
        </w:div>
      </w:divsChild>
    </w:div>
    <w:div w:id="871454938">
      <w:bodyDiv w:val="1"/>
      <w:marLeft w:val="0"/>
      <w:marRight w:val="0"/>
      <w:marTop w:val="0"/>
      <w:marBottom w:val="0"/>
      <w:divBdr>
        <w:top w:val="none" w:sz="0" w:space="0" w:color="auto"/>
        <w:left w:val="none" w:sz="0" w:space="0" w:color="auto"/>
        <w:bottom w:val="none" w:sz="0" w:space="0" w:color="auto"/>
        <w:right w:val="none" w:sz="0" w:space="0" w:color="auto"/>
      </w:divBdr>
    </w:div>
    <w:div w:id="1101297207">
      <w:bodyDiv w:val="1"/>
      <w:marLeft w:val="0"/>
      <w:marRight w:val="0"/>
      <w:marTop w:val="0"/>
      <w:marBottom w:val="0"/>
      <w:divBdr>
        <w:top w:val="none" w:sz="0" w:space="0" w:color="auto"/>
        <w:left w:val="none" w:sz="0" w:space="0" w:color="auto"/>
        <w:bottom w:val="none" w:sz="0" w:space="0" w:color="auto"/>
        <w:right w:val="none" w:sz="0" w:space="0" w:color="auto"/>
      </w:divBdr>
      <w:divsChild>
        <w:div w:id="940069422">
          <w:marLeft w:val="0"/>
          <w:marRight w:val="0"/>
          <w:marTop w:val="0"/>
          <w:marBottom w:val="0"/>
          <w:divBdr>
            <w:top w:val="none" w:sz="0" w:space="0" w:color="auto"/>
            <w:left w:val="none" w:sz="0" w:space="0" w:color="auto"/>
            <w:bottom w:val="none" w:sz="0" w:space="0" w:color="auto"/>
            <w:right w:val="none" w:sz="0" w:space="0" w:color="auto"/>
          </w:divBdr>
        </w:div>
      </w:divsChild>
    </w:div>
    <w:div w:id="1102069153">
      <w:bodyDiv w:val="1"/>
      <w:marLeft w:val="0"/>
      <w:marRight w:val="0"/>
      <w:marTop w:val="0"/>
      <w:marBottom w:val="0"/>
      <w:divBdr>
        <w:top w:val="none" w:sz="0" w:space="0" w:color="auto"/>
        <w:left w:val="none" w:sz="0" w:space="0" w:color="auto"/>
        <w:bottom w:val="none" w:sz="0" w:space="0" w:color="auto"/>
        <w:right w:val="none" w:sz="0" w:space="0" w:color="auto"/>
      </w:divBdr>
      <w:divsChild>
        <w:div w:id="263075445">
          <w:marLeft w:val="0"/>
          <w:marRight w:val="0"/>
          <w:marTop w:val="0"/>
          <w:marBottom w:val="0"/>
          <w:divBdr>
            <w:top w:val="none" w:sz="0" w:space="0" w:color="auto"/>
            <w:left w:val="none" w:sz="0" w:space="0" w:color="auto"/>
            <w:bottom w:val="none" w:sz="0" w:space="0" w:color="auto"/>
            <w:right w:val="none" w:sz="0" w:space="0" w:color="auto"/>
          </w:divBdr>
        </w:div>
      </w:divsChild>
    </w:div>
    <w:div w:id="1176459616">
      <w:bodyDiv w:val="1"/>
      <w:marLeft w:val="0"/>
      <w:marRight w:val="0"/>
      <w:marTop w:val="0"/>
      <w:marBottom w:val="0"/>
      <w:divBdr>
        <w:top w:val="none" w:sz="0" w:space="0" w:color="auto"/>
        <w:left w:val="none" w:sz="0" w:space="0" w:color="auto"/>
        <w:bottom w:val="none" w:sz="0" w:space="0" w:color="auto"/>
        <w:right w:val="none" w:sz="0" w:space="0" w:color="auto"/>
      </w:divBdr>
    </w:div>
    <w:div w:id="1189222609">
      <w:bodyDiv w:val="1"/>
      <w:marLeft w:val="0"/>
      <w:marRight w:val="0"/>
      <w:marTop w:val="0"/>
      <w:marBottom w:val="0"/>
      <w:divBdr>
        <w:top w:val="none" w:sz="0" w:space="0" w:color="auto"/>
        <w:left w:val="none" w:sz="0" w:space="0" w:color="auto"/>
        <w:bottom w:val="none" w:sz="0" w:space="0" w:color="auto"/>
        <w:right w:val="none" w:sz="0" w:space="0" w:color="auto"/>
      </w:divBdr>
    </w:div>
    <w:div w:id="1211113778">
      <w:bodyDiv w:val="1"/>
      <w:marLeft w:val="0"/>
      <w:marRight w:val="0"/>
      <w:marTop w:val="0"/>
      <w:marBottom w:val="0"/>
      <w:divBdr>
        <w:top w:val="none" w:sz="0" w:space="0" w:color="auto"/>
        <w:left w:val="none" w:sz="0" w:space="0" w:color="auto"/>
        <w:bottom w:val="none" w:sz="0" w:space="0" w:color="auto"/>
        <w:right w:val="none" w:sz="0" w:space="0" w:color="auto"/>
      </w:divBdr>
    </w:div>
    <w:div w:id="1229727605">
      <w:bodyDiv w:val="1"/>
      <w:marLeft w:val="0"/>
      <w:marRight w:val="0"/>
      <w:marTop w:val="0"/>
      <w:marBottom w:val="0"/>
      <w:divBdr>
        <w:top w:val="none" w:sz="0" w:space="0" w:color="auto"/>
        <w:left w:val="none" w:sz="0" w:space="0" w:color="auto"/>
        <w:bottom w:val="none" w:sz="0" w:space="0" w:color="auto"/>
        <w:right w:val="none" w:sz="0" w:space="0" w:color="auto"/>
      </w:divBdr>
    </w:div>
    <w:div w:id="1341278439">
      <w:bodyDiv w:val="1"/>
      <w:marLeft w:val="0"/>
      <w:marRight w:val="0"/>
      <w:marTop w:val="0"/>
      <w:marBottom w:val="0"/>
      <w:divBdr>
        <w:top w:val="none" w:sz="0" w:space="0" w:color="auto"/>
        <w:left w:val="none" w:sz="0" w:space="0" w:color="auto"/>
        <w:bottom w:val="none" w:sz="0" w:space="0" w:color="auto"/>
        <w:right w:val="none" w:sz="0" w:space="0" w:color="auto"/>
      </w:divBdr>
    </w:div>
    <w:div w:id="1588349188">
      <w:bodyDiv w:val="1"/>
      <w:marLeft w:val="0"/>
      <w:marRight w:val="0"/>
      <w:marTop w:val="0"/>
      <w:marBottom w:val="0"/>
      <w:divBdr>
        <w:top w:val="none" w:sz="0" w:space="0" w:color="auto"/>
        <w:left w:val="none" w:sz="0" w:space="0" w:color="auto"/>
        <w:bottom w:val="none" w:sz="0" w:space="0" w:color="auto"/>
        <w:right w:val="none" w:sz="0" w:space="0" w:color="auto"/>
      </w:divBdr>
    </w:div>
    <w:div w:id="1861242671">
      <w:bodyDiv w:val="1"/>
      <w:marLeft w:val="0"/>
      <w:marRight w:val="0"/>
      <w:marTop w:val="0"/>
      <w:marBottom w:val="0"/>
      <w:divBdr>
        <w:top w:val="none" w:sz="0" w:space="0" w:color="auto"/>
        <w:left w:val="none" w:sz="0" w:space="0" w:color="auto"/>
        <w:bottom w:val="none" w:sz="0" w:space="0" w:color="auto"/>
        <w:right w:val="none" w:sz="0" w:space="0" w:color="auto"/>
      </w:divBdr>
    </w:div>
    <w:div w:id="1910074254">
      <w:bodyDiv w:val="1"/>
      <w:marLeft w:val="0"/>
      <w:marRight w:val="0"/>
      <w:marTop w:val="0"/>
      <w:marBottom w:val="0"/>
      <w:divBdr>
        <w:top w:val="none" w:sz="0" w:space="0" w:color="auto"/>
        <w:left w:val="none" w:sz="0" w:space="0" w:color="auto"/>
        <w:bottom w:val="none" w:sz="0" w:space="0" w:color="auto"/>
        <w:right w:val="none" w:sz="0" w:space="0" w:color="auto"/>
      </w:divBdr>
    </w:div>
    <w:div w:id="1973948788">
      <w:bodyDiv w:val="1"/>
      <w:marLeft w:val="0"/>
      <w:marRight w:val="0"/>
      <w:marTop w:val="0"/>
      <w:marBottom w:val="0"/>
      <w:divBdr>
        <w:top w:val="none" w:sz="0" w:space="0" w:color="auto"/>
        <w:left w:val="none" w:sz="0" w:space="0" w:color="auto"/>
        <w:bottom w:val="none" w:sz="0" w:space="0" w:color="auto"/>
        <w:right w:val="none" w:sz="0" w:space="0" w:color="auto"/>
      </w:divBdr>
    </w:div>
    <w:div w:id="2132360503">
      <w:bodyDiv w:val="1"/>
      <w:marLeft w:val="0"/>
      <w:marRight w:val="0"/>
      <w:marTop w:val="0"/>
      <w:marBottom w:val="0"/>
      <w:divBdr>
        <w:top w:val="none" w:sz="0" w:space="0" w:color="auto"/>
        <w:left w:val="none" w:sz="0" w:space="0" w:color="auto"/>
        <w:bottom w:val="none" w:sz="0" w:space="0" w:color="auto"/>
        <w:right w:val="none" w:sz="0" w:space="0" w:color="auto"/>
      </w:divBdr>
    </w:div>
    <w:div w:id="2141999104">
      <w:bodyDiv w:val="1"/>
      <w:marLeft w:val="0"/>
      <w:marRight w:val="0"/>
      <w:marTop w:val="0"/>
      <w:marBottom w:val="0"/>
      <w:divBdr>
        <w:top w:val="none" w:sz="0" w:space="0" w:color="auto"/>
        <w:left w:val="none" w:sz="0" w:space="0" w:color="auto"/>
        <w:bottom w:val="none" w:sz="0" w:space="0" w:color="auto"/>
        <w:right w:val="none" w:sz="0" w:space="0" w:color="auto"/>
      </w:divBdr>
      <w:divsChild>
        <w:div w:id="6112544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lobalstudies.trinity.duke.edu/wp-content/themes/cgsh/materials/WKO/v2d2_Lugones.pdf" TargetMode="External"/><Relationship Id="rId2" Type="http://schemas.openxmlformats.org/officeDocument/2006/relationships/hyperlink" Target="https://doi.org/10.1080/14650045.2019.1636558" TargetMode="External"/><Relationship Id="rId1" Type="http://schemas.openxmlformats.org/officeDocument/2006/relationships/hyperlink" Target="https://doi.org/10.1177/0967010619862921" TargetMode="External"/><Relationship Id="rId5" Type="http://schemas.openxmlformats.org/officeDocument/2006/relationships/hyperlink" Target="https://globalstudies.trinity.duke.edu/wp-content/themes/cgsh/materials/WKO/v2d2_Lugones.pdf" TargetMode="External"/><Relationship Id="rId4" Type="http://schemas.openxmlformats.org/officeDocument/2006/relationships/hyperlink" Target="https://globalstudies.trinity.duke.edu/wp-content/themes/cgsh/materials/WKO/v2d2_Lugo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EF83B-8588-5248-ADFD-5C6F79C6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9382</Words>
  <Characters>53481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2019-09-20T14:06:00Z</dcterms:created>
  <dcterms:modified xsi:type="dcterms:W3CDTF">2019-09-20T14:06:00Z</dcterms:modified>
</cp:coreProperties>
</file>