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1177C" w14:textId="77777777" w:rsidR="0038512E" w:rsidRDefault="0038512E" w:rsidP="00CF20ED">
      <w:pPr>
        <w:tabs>
          <w:tab w:val="left" w:pos="1368"/>
          <w:tab w:val="left" w:pos="3141"/>
          <w:tab w:val="left" w:pos="4428"/>
          <w:tab w:val="left" w:pos="5938"/>
          <w:tab w:val="left" w:pos="7308"/>
          <w:tab w:val="left" w:pos="9648"/>
        </w:tabs>
        <w:spacing w:before="120" w:line="480" w:lineRule="auto"/>
        <w:rPr>
          <w:rFonts w:asciiTheme="minorHAnsi" w:hAnsiTheme="minorHAnsi" w:cstheme="minorHAnsi"/>
          <w:b/>
          <w:sz w:val="22"/>
          <w:szCs w:val="22"/>
        </w:rPr>
      </w:pPr>
      <w:r>
        <w:rPr>
          <w:rFonts w:asciiTheme="minorHAnsi" w:hAnsiTheme="minorHAnsi" w:cstheme="minorHAnsi"/>
          <w:b/>
          <w:sz w:val="22"/>
          <w:szCs w:val="22"/>
        </w:rPr>
        <w:t>Exploratory v</w:t>
      </w:r>
      <w:r w:rsidRPr="004856DE">
        <w:rPr>
          <w:rFonts w:asciiTheme="minorHAnsi" w:hAnsiTheme="minorHAnsi" w:cstheme="minorHAnsi"/>
          <w:b/>
          <w:sz w:val="22"/>
          <w:szCs w:val="22"/>
        </w:rPr>
        <w:t xml:space="preserve">alidation </w:t>
      </w:r>
      <w:r>
        <w:rPr>
          <w:rFonts w:asciiTheme="minorHAnsi" w:hAnsiTheme="minorHAnsi" w:cstheme="minorHAnsi"/>
          <w:b/>
          <w:sz w:val="22"/>
          <w:szCs w:val="22"/>
        </w:rPr>
        <w:t xml:space="preserve">study </w:t>
      </w:r>
      <w:r w:rsidRPr="004856DE">
        <w:rPr>
          <w:rFonts w:asciiTheme="minorHAnsi" w:hAnsiTheme="minorHAnsi" w:cstheme="minorHAnsi"/>
          <w:b/>
          <w:sz w:val="22"/>
          <w:szCs w:val="22"/>
        </w:rPr>
        <w:t>of</w:t>
      </w:r>
      <w:r>
        <w:rPr>
          <w:rFonts w:asciiTheme="minorHAnsi" w:hAnsiTheme="minorHAnsi" w:cstheme="minorHAnsi"/>
          <w:b/>
          <w:sz w:val="22"/>
          <w:szCs w:val="22"/>
        </w:rPr>
        <w:t xml:space="preserve"> the individual </w:t>
      </w:r>
      <w:r w:rsidRPr="004856DE">
        <w:rPr>
          <w:rFonts w:asciiTheme="minorHAnsi" w:hAnsiTheme="minorHAnsi" w:cstheme="minorHAnsi"/>
          <w:b/>
          <w:sz w:val="22"/>
          <w:szCs w:val="22"/>
        </w:rPr>
        <w:t>AUDIT-C</w:t>
      </w:r>
      <w:r>
        <w:rPr>
          <w:rFonts w:asciiTheme="minorHAnsi" w:hAnsiTheme="minorHAnsi" w:cstheme="minorHAnsi"/>
          <w:b/>
          <w:sz w:val="22"/>
          <w:szCs w:val="22"/>
        </w:rPr>
        <w:t xml:space="preserve"> items among</w:t>
      </w:r>
      <w:r w:rsidRPr="004856DE">
        <w:rPr>
          <w:rFonts w:asciiTheme="minorHAnsi" w:hAnsiTheme="minorHAnsi" w:cstheme="minorHAnsi"/>
          <w:b/>
          <w:sz w:val="22"/>
          <w:szCs w:val="22"/>
        </w:rPr>
        <w:t xml:space="preserve"> older </w:t>
      </w:r>
      <w:r>
        <w:rPr>
          <w:rFonts w:asciiTheme="minorHAnsi" w:hAnsiTheme="minorHAnsi" w:cstheme="minorHAnsi"/>
          <w:b/>
          <w:sz w:val="22"/>
          <w:szCs w:val="22"/>
        </w:rPr>
        <w:t>people</w:t>
      </w:r>
      <w:r w:rsidRPr="004856DE">
        <w:rPr>
          <w:rFonts w:asciiTheme="minorHAnsi" w:hAnsiTheme="minorHAnsi" w:cstheme="minorHAnsi"/>
          <w:b/>
          <w:sz w:val="22"/>
          <w:szCs w:val="22"/>
        </w:rPr>
        <w:t xml:space="preserve"> </w:t>
      </w:r>
    </w:p>
    <w:p w14:paraId="735EA23F" w14:textId="77777777" w:rsidR="0038512E" w:rsidRDefault="0038512E" w:rsidP="00CF20ED">
      <w:pPr>
        <w:tabs>
          <w:tab w:val="left" w:pos="1368"/>
          <w:tab w:val="left" w:pos="3141"/>
          <w:tab w:val="left" w:pos="4428"/>
          <w:tab w:val="left" w:pos="5938"/>
          <w:tab w:val="left" w:pos="7308"/>
          <w:tab w:val="left" w:pos="9648"/>
        </w:tabs>
        <w:spacing w:before="120" w:line="480" w:lineRule="auto"/>
        <w:rPr>
          <w:rFonts w:asciiTheme="minorHAnsi" w:hAnsiTheme="minorHAnsi" w:cstheme="minorHAnsi"/>
          <w:b/>
          <w:sz w:val="22"/>
          <w:szCs w:val="22"/>
        </w:rPr>
      </w:pPr>
    </w:p>
    <w:p w14:paraId="10833F8E" w14:textId="77777777" w:rsidR="0038512E" w:rsidRDefault="0038512E" w:rsidP="00CF20ED">
      <w:pPr>
        <w:tabs>
          <w:tab w:val="left" w:pos="1368"/>
          <w:tab w:val="left" w:pos="3141"/>
          <w:tab w:val="left" w:pos="4428"/>
          <w:tab w:val="left" w:pos="5938"/>
          <w:tab w:val="left" w:pos="7308"/>
          <w:tab w:val="left" w:pos="9648"/>
        </w:tabs>
        <w:spacing w:before="120" w:line="480" w:lineRule="auto"/>
        <w:rPr>
          <w:rFonts w:asciiTheme="minorHAnsi" w:hAnsiTheme="minorHAnsi" w:cstheme="minorHAnsi"/>
          <w:b/>
          <w:sz w:val="22"/>
          <w:szCs w:val="22"/>
        </w:rPr>
      </w:pPr>
      <w:r>
        <w:rPr>
          <w:rFonts w:asciiTheme="minorHAnsi" w:hAnsiTheme="minorHAnsi" w:cstheme="minorHAnsi"/>
          <w:b/>
          <w:sz w:val="22"/>
          <w:szCs w:val="22"/>
        </w:rPr>
        <w:t>Abstract</w:t>
      </w:r>
    </w:p>
    <w:p w14:paraId="1629D705" w14:textId="77777777" w:rsidR="0038512E" w:rsidRDefault="0038512E" w:rsidP="00CF20ED">
      <w:pPr>
        <w:tabs>
          <w:tab w:val="left" w:pos="1368"/>
          <w:tab w:val="left" w:pos="3141"/>
          <w:tab w:val="left" w:pos="4428"/>
          <w:tab w:val="left" w:pos="5938"/>
          <w:tab w:val="left" w:pos="7308"/>
          <w:tab w:val="left" w:pos="9648"/>
        </w:tabs>
        <w:spacing w:before="120" w:line="480" w:lineRule="auto"/>
        <w:rPr>
          <w:rFonts w:asciiTheme="minorHAnsi" w:hAnsiTheme="minorHAnsi" w:cstheme="minorHAnsi"/>
          <w:sz w:val="22"/>
          <w:szCs w:val="22"/>
        </w:rPr>
      </w:pPr>
      <w:r w:rsidRPr="00E717C8">
        <w:rPr>
          <w:rFonts w:asciiTheme="minorHAnsi" w:hAnsiTheme="minorHAnsi" w:cstheme="minorHAnsi"/>
          <w:b/>
          <w:sz w:val="22"/>
          <w:szCs w:val="22"/>
        </w:rPr>
        <w:t>Aims</w:t>
      </w:r>
      <w:r>
        <w:rPr>
          <w:rFonts w:asciiTheme="minorHAnsi" w:hAnsiTheme="minorHAnsi" w:cstheme="minorHAnsi"/>
          <w:b/>
          <w:sz w:val="22"/>
          <w:szCs w:val="22"/>
        </w:rPr>
        <w:t xml:space="preserve">: </w:t>
      </w:r>
      <w:r>
        <w:rPr>
          <w:rFonts w:asciiTheme="minorHAnsi" w:hAnsiTheme="minorHAnsi" w:cstheme="minorHAnsi"/>
          <w:sz w:val="22"/>
          <w:szCs w:val="22"/>
        </w:rPr>
        <w:t xml:space="preserve">The AUDIT-C is a brief and commonly used alcohol screening tool, with few data available on the relative validity of the three individual items in older adult populations.  The aim of this study was to explore the validity of the AUDIT-C items in identifying </w:t>
      </w:r>
      <w:r w:rsidRPr="004856DE">
        <w:rPr>
          <w:rFonts w:asciiTheme="minorHAnsi" w:hAnsiTheme="minorHAnsi" w:cstheme="minorHAnsi"/>
          <w:sz w:val="22"/>
          <w:szCs w:val="22"/>
        </w:rPr>
        <w:t xml:space="preserve">unhealthy drinking </w:t>
      </w:r>
      <w:r>
        <w:rPr>
          <w:rFonts w:asciiTheme="minorHAnsi" w:hAnsiTheme="minorHAnsi" w:cstheme="minorHAnsi"/>
          <w:sz w:val="22"/>
          <w:szCs w:val="22"/>
        </w:rPr>
        <w:t>among</w:t>
      </w:r>
      <w:r w:rsidRPr="004856DE">
        <w:rPr>
          <w:rFonts w:asciiTheme="minorHAnsi" w:hAnsiTheme="minorHAnsi" w:cstheme="minorHAnsi"/>
          <w:sz w:val="22"/>
          <w:szCs w:val="22"/>
        </w:rPr>
        <w:t xml:space="preserve"> older </w:t>
      </w:r>
      <w:r>
        <w:rPr>
          <w:rFonts w:asciiTheme="minorHAnsi" w:hAnsiTheme="minorHAnsi" w:cstheme="minorHAnsi"/>
          <w:sz w:val="22"/>
          <w:szCs w:val="22"/>
        </w:rPr>
        <w:t>people, with a view to developing a single item screener.</w:t>
      </w:r>
    </w:p>
    <w:p w14:paraId="5E2AA9A4" w14:textId="77777777" w:rsidR="0038512E" w:rsidRDefault="0038512E" w:rsidP="00CF20ED">
      <w:pPr>
        <w:tabs>
          <w:tab w:val="left" w:pos="1368"/>
          <w:tab w:val="left" w:pos="3141"/>
          <w:tab w:val="left" w:pos="4428"/>
          <w:tab w:val="left" w:pos="5938"/>
          <w:tab w:val="left" w:pos="7308"/>
          <w:tab w:val="left" w:pos="9648"/>
        </w:tabs>
        <w:spacing w:line="480" w:lineRule="auto"/>
        <w:rPr>
          <w:rFonts w:asciiTheme="minorHAnsi" w:hAnsiTheme="minorHAnsi" w:cstheme="minorHAnsi"/>
          <w:sz w:val="22"/>
          <w:szCs w:val="22"/>
        </w:rPr>
      </w:pPr>
      <w:r>
        <w:rPr>
          <w:rFonts w:asciiTheme="minorHAnsi" w:hAnsiTheme="minorHAnsi" w:cstheme="minorHAnsi"/>
          <w:b/>
          <w:sz w:val="22"/>
          <w:szCs w:val="22"/>
        </w:rPr>
        <w:t xml:space="preserve">Methods: </w:t>
      </w:r>
      <w:r>
        <w:rPr>
          <w:rFonts w:asciiTheme="minorHAnsi" w:hAnsiTheme="minorHAnsi" w:cstheme="minorHAnsi"/>
          <w:sz w:val="22"/>
          <w:szCs w:val="22"/>
        </w:rPr>
        <w:t>A</w:t>
      </w:r>
      <w:r w:rsidRPr="000C6994">
        <w:rPr>
          <w:rFonts w:asciiTheme="minorHAnsi" w:hAnsiTheme="minorHAnsi" w:cstheme="minorHAnsi"/>
          <w:sz w:val="22"/>
          <w:szCs w:val="22"/>
        </w:rPr>
        <w:t xml:space="preserve"> sample of 143 </w:t>
      </w:r>
      <w:r>
        <w:rPr>
          <w:rFonts w:asciiTheme="minorHAnsi" w:hAnsiTheme="minorHAnsi" w:cstheme="minorHAnsi"/>
          <w:sz w:val="22"/>
          <w:szCs w:val="22"/>
        </w:rPr>
        <w:t xml:space="preserve">older adults (mean age=71) were recruited from non-clinical settings in the UK.  </w:t>
      </w:r>
      <w:r w:rsidRPr="004856DE">
        <w:rPr>
          <w:rFonts w:asciiTheme="minorHAnsi" w:hAnsiTheme="minorHAnsi" w:cstheme="minorHAnsi"/>
          <w:sz w:val="22"/>
          <w:szCs w:val="22"/>
        </w:rPr>
        <w:t xml:space="preserve">AUDIT-C </w:t>
      </w:r>
      <w:r>
        <w:rPr>
          <w:rFonts w:asciiTheme="minorHAnsi" w:hAnsiTheme="minorHAnsi" w:cstheme="minorHAnsi"/>
          <w:sz w:val="22"/>
          <w:szCs w:val="22"/>
        </w:rPr>
        <w:t xml:space="preserve">scores were compared to an unhealthy drinking reference category of consuming more than the UK recommended weekly units of alcohol.  Standard analyses were conducted </w:t>
      </w:r>
      <w:r w:rsidRPr="004856DE">
        <w:rPr>
          <w:rFonts w:asciiTheme="minorHAnsi" w:hAnsiTheme="minorHAnsi" w:cstheme="minorHAnsi"/>
          <w:sz w:val="22"/>
          <w:szCs w:val="22"/>
        </w:rPr>
        <w:t>for men and women</w:t>
      </w:r>
      <w:r>
        <w:rPr>
          <w:rFonts w:asciiTheme="minorHAnsi" w:hAnsiTheme="minorHAnsi" w:cstheme="minorHAnsi"/>
          <w:sz w:val="22"/>
          <w:szCs w:val="22"/>
        </w:rPr>
        <w:t>,</w:t>
      </w:r>
      <w:r w:rsidRPr="004856DE">
        <w:rPr>
          <w:rFonts w:asciiTheme="minorHAnsi" w:hAnsiTheme="minorHAnsi" w:cstheme="minorHAnsi"/>
          <w:sz w:val="22"/>
          <w:szCs w:val="22"/>
        </w:rPr>
        <w:t xml:space="preserve"> </w:t>
      </w:r>
      <w:r>
        <w:rPr>
          <w:rFonts w:asciiTheme="minorHAnsi" w:hAnsiTheme="minorHAnsi" w:cstheme="minorHAnsi"/>
          <w:sz w:val="22"/>
          <w:szCs w:val="22"/>
        </w:rPr>
        <w:t xml:space="preserve">and for those </w:t>
      </w:r>
      <w:r w:rsidRPr="00097DC8">
        <w:rPr>
          <w:rFonts w:asciiTheme="minorHAnsi" w:hAnsiTheme="minorHAnsi" w:cstheme="minorHAnsi"/>
          <w:sz w:val="22"/>
          <w:szCs w:val="22"/>
        </w:rPr>
        <w:t>prescribed medications for long term conditions</w:t>
      </w:r>
      <w:r>
        <w:rPr>
          <w:rFonts w:asciiTheme="minorHAnsi" w:hAnsiTheme="minorHAnsi" w:cstheme="minorHAnsi"/>
          <w:sz w:val="22"/>
          <w:szCs w:val="22"/>
        </w:rPr>
        <w:t>.</w:t>
      </w:r>
    </w:p>
    <w:p w14:paraId="25BAD5B7" w14:textId="77777777" w:rsidR="0038512E" w:rsidRDefault="0038512E" w:rsidP="00CF20ED">
      <w:pPr>
        <w:tabs>
          <w:tab w:val="left" w:pos="1368"/>
          <w:tab w:val="left" w:pos="3141"/>
          <w:tab w:val="left" w:pos="4428"/>
          <w:tab w:val="left" w:pos="5938"/>
          <w:tab w:val="left" w:pos="7308"/>
          <w:tab w:val="left" w:pos="9648"/>
        </w:tabs>
        <w:spacing w:before="120" w:line="480" w:lineRule="auto"/>
        <w:rPr>
          <w:rFonts w:asciiTheme="minorHAnsi" w:hAnsiTheme="minorHAnsi" w:cstheme="minorHAnsi"/>
          <w:sz w:val="22"/>
          <w:szCs w:val="22"/>
        </w:rPr>
      </w:pPr>
      <w:r>
        <w:rPr>
          <w:rFonts w:asciiTheme="minorHAnsi" w:hAnsiTheme="minorHAnsi" w:cstheme="minorHAnsi"/>
          <w:b/>
          <w:sz w:val="22"/>
          <w:szCs w:val="22"/>
        </w:rPr>
        <w:t xml:space="preserve">Results: </w:t>
      </w:r>
      <w:r>
        <w:rPr>
          <w:rFonts w:asciiTheme="minorHAnsi" w:hAnsiTheme="minorHAnsi" w:cstheme="minorHAnsi"/>
          <w:sz w:val="22"/>
          <w:szCs w:val="22"/>
        </w:rPr>
        <w:t xml:space="preserve">The AUDIT-C items performed well in identifying unhealthy drinking in this sample of older people, with generally high sensitivity, specificity and area under the ROC curve.  No significant differences were found in the validity of the three items, though the combined sensitivity and specificity scores and ROC values for item 3 were consistently slightly lower than for items 1 and 2. The findings were similar for men and women, and for participants prescribed medications for long term conditions.  </w:t>
      </w:r>
    </w:p>
    <w:p w14:paraId="0BA59EDB" w14:textId="77777777" w:rsidR="0038512E" w:rsidRDefault="0038512E" w:rsidP="00CF20ED">
      <w:pPr>
        <w:tabs>
          <w:tab w:val="left" w:pos="1368"/>
          <w:tab w:val="left" w:pos="3141"/>
          <w:tab w:val="left" w:pos="4428"/>
          <w:tab w:val="left" w:pos="5938"/>
          <w:tab w:val="left" w:pos="7308"/>
          <w:tab w:val="left" w:pos="9648"/>
        </w:tabs>
        <w:spacing w:before="120" w:line="480" w:lineRule="auto"/>
        <w:rPr>
          <w:rFonts w:asciiTheme="minorHAnsi" w:hAnsiTheme="minorHAnsi" w:cstheme="minorHAnsi"/>
          <w:b/>
          <w:sz w:val="22"/>
          <w:szCs w:val="22"/>
        </w:rPr>
      </w:pPr>
      <w:r w:rsidRPr="00E717C8">
        <w:rPr>
          <w:rFonts w:asciiTheme="minorHAnsi" w:hAnsiTheme="minorHAnsi" w:cstheme="minorHAnsi"/>
          <w:b/>
          <w:sz w:val="22"/>
          <w:szCs w:val="22"/>
        </w:rPr>
        <w:t>Conclusions</w:t>
      </w:r>
      <w:r>
        <w:rPr>
          <w:rFonts w:asciiTheme="minorHAnsi" w:hAnsiTheme="minorHAnsi" w:cstheme="minorHAnsi"/>
          <w:b/>
          <w:sz w:val="22"/>
          <w:szCs w:val="22"/>
        </w:rPr>
        <w:t xml:space="preserve">: </w:t>
      </w:r>
      <w:r w:rsidRPr="006B6CBE">
        <w:rPr>
          <w:rFonts w:asciiTheme="minorHAnsi" w:hAnsiTheme="minorHAnsi" w:cstheme="minorHAnsi"/>
          <w:sz w:val="22"/>
          <w:szCs w:val="22"/>
        </w:rPr>
        <w:t>AUDIT-C</w:t>
      </w:r>
      <w:r>
        <w:rPr>
          <w:rFonts w:asciiTheme="minorHAnsi" w:hAnsiTheme="minorHAnsi" w:cstheme="minorHAnsi"/>
          <w:b/>
          <w:sz w:val="22"/>
          <w:szCs w:val="22"/>
        </w:rPr>
        <w:t xml:space="preserve"> </w:t>
      </w:r>
      <w:r>
        <w:rPr>
          <w:rFonts w:asciiTheme="minorHAnsi" w:hAnsiTheme="minorHAnsi" w:cstheme="minorHAnsi"/>
          <w:sz w:val="22"/>
          <w:szCs w:val="22"/>
        </w:rPr>
        <w:t xml:space="preserve">items 1 and 2 performed as well as item 3 in identifying unhealthy drinking among older people in this study. Both are reasonable single item screener candidates, especially given relative ease of administration, with further validation study needed to examine psychometrics and how alcohol screening for older people can best be implemented in clinical settings.  </w:t>
      </w:r>
    </w:p>
    <w:p w14:paraId="6BCBF513" w14:textId="77777777" w:rsidR="0038512E" w:rsidRDefault="0038512E" w:rsidP="00CF20ED">
      <w:pPr>
        <w:tabs>
          <w:tab w:val="left" w:pos="1368"/>
          <w:tab w:val="left" w:pos="3141"/>
          <w:tab w:val="left" w:pos="4428"/>
          <w:tab w:val="left" w:pos="5938"/>
          <w:tab w:val="left" w:pos="7308"/>
          <w:tab w:val="left" w:pos="9648"/>
        </w:tabs>
        <w:spacing w:before="120" w:line="480" w:lineRule="auto"/>
        <w:rPr>
          <w:rFonts w:asciiTheme="minorHAnsi" w:hAnsiTheme="minorHAnsi" w:cstheme="minorHAnsi"/>
          <w:b/>
          <w:sz w:val="22"/>
          <w:szCs w:val="22"/>
        </w:rPr>
      </w:pPr>
    </w:p>
    <w:p w14:paraId="0A85B89E" w14:textId="77777777" w:rsidR="0038512E" w:rsidRDefault="0038512E" w:rsidP="00CF20ED">
      <w:pPr>
        <w:spacing w:after="200" w:line="480" w:lineRule="auto"/>
        <w:rPr>
          <w:rFonts w:asciiTheme="minorHAnsi" w:hAnsiTheme="minorHAnsi" w:cstheme="minorHAnsi"/>
          <w:b/>
          <w:sz w:val="22"/>
          <w:szCs w:val="22"/>
        </w:rPr>
      </w:pPr>
    </w:p>
    <w:p w14:paraId="4708294A" w14:textId="77777777" w:rsidR="0038512E" w:rsidRPr="00F4792D" w:rsidRDefault="0038512E" w:rsidP="00CF20ED">
      <w:pPr>
        <w:spacing w:after="200" w:line="480" w:lineRule="auto"/>
        <w:rPr>
          <w:rFonts w:asciiTheme="minorHAnsi" w:hAnsiTheme="minorHAnsi" w:cstheme="minorHAnsi"/>
          <w:b/>
          <w:sz w:val="22"/>
          <w:szCs w:val="22"/>
        </w:rPr>
      </w:pPr>
      <w:r w:rsidRPr="00F4792D">
        <w:rPr>
          <w:rFonts w:asciiTheme="minorHAnsi" w:hAnsiTheme="minorHAnsi" w:cstheme="minorHAnsi"/>
          <w:b/>
          <w:sz w:val="22"/>
          <w:szCs w:val="22"/>
        </w:rPr>
        <w:lastRenderedPageBreak/>
        <w:t>S</w:t>
      </w:r>
      <w:r>
        <w:rPr>
          <w:rFonts w:asciiTheme="minorHAnsi" w:hAnsiTheme="minorHAnsi" w:cstheme="minorHAnsi"/>
          <w:b/>
          <w:sz w:val="22"/>
          <w:szCs w:val="22"/>
        </w:rPr>
        <w:t>hort S</w:t>
      </w:r>
      <w:r w:rsidRPr="00F4792D">
        <w:rPr>
          <w:rFonts w:asciiTheme="minorHAnsi" w:hAnsiTheme="minorHAnsi" w:cstheme="minorHAnsi"/>
          <w:b/>
          <w:sz w:val="22"/>
          <w:szCs w:val="22"/>
        </w:rPr>
        <w:t>ummary</w:t>
      </w:r>
    </w:p>
    <w:p w14:paraId="1F24D5F3" w14:textId="77777777" w:rsidR="0038512E" w:rsidRPr="00732E45" w:rsidRDefault="0038512E" w:rsidP="00CF20ED">
      <w:pPr>
        <w:spacing w:after="200" w:line="480" w:lineRule="auto"/>
        <w:rPr>
          <w:rFonts w:asciiTheme="minorHAnsi" w:hAnsiTheme="minorHAnsi" w:cstheme="minorHAnsi"/>
          <w:sz w:val="22"/>
          <w:szCs w:val="22"/>
        </w:rPr>
      </w:pPr>
      <w:r>
        <w:rPr>
          <w:rFonts w:asciiTheme="minorHAnsi" w:hAnsiTheme="minorHAnsi" w:cstheme="minorHAnsi"/>
          <w:sz w:val="22"/>
          <w:szCs w:val="22"/>
        </w:rPr>
        <w:t>The AUDIT-C and its component items performed well in identifying unhealthy drinking in this sample of older people, with generally high sensitivity, specificity and area under the ROC curve. Items 1 and 2 performed as well as item 3 and both are reasonable single item screener candidates for further research.</w:t>
      </w:r>
    </w:p>
    <w:p w14:paraId="63308B7D" w14:textId="77777777" w:rsidR="0038512E" w:rsidRDefault="0038512E" w:rsidP="00CF20ED">
      <w:pPr>
        <w:spacing w:after="200" w:line="480" w:lineRule="auto"/>
        <w:rPr>
          <w:rFonts w:asciiTheme="minorHAnsi" w:hAnsiTheme="minorHAnsi" w:cstheme="minorHAnsi"/>
          <w:b/>
          <w:sz w:val="22"/>
          <w:szCs w:val="22"/>
        </w:rPr>
      </w:pPr>
      <w:r>
        <w:rPr>
          <w:rFonts w:asciiTheme="minorHAnsi" w:hAnsiTheme="minorHAnsi" w:cstheme="minorHAnsi"/>
          <w:b/>
          <w:sz w:val="22"/>
          <w:szCs w:val="22"/>
        </w:rPr>
        <w:t xml:space="preserve"> </w:t>
      </w:r>
      <w:r>
        <w:rPr>
          <w:rFonts w:asciiTheme="minorHAnsi" w:hAnsiTheme="minorHAnsi" w:cstheme="minorHAnsi"/>
          <w:b/>
          <w:sz w:val="22"/>
          <w:szCs w:val="22"/>
        </w:rPr>
        <w:br w:type="page"/>
      </w:r>
    </w:p>
    <w:p w14:paraId="58642DCC" w14:textId="77777777" w:rsidR="0038512E" w:rsidRDefault="0038512E" w:rsidP="00CF20ED">
      <w:pPr>
        <w:tabs>
          <w:tab w:val="left" w:pos="1368"/>
          <w:tab w:val="left" w:pos="3141"/>
          <w:tab w:val="left" w:pos="4428"/>
          <w:tab w:val="left" w:pos="5938"/>
          <w:tab w:val="left" w:pos="7308"/>
          <w:tab w:val="left" w:pos="9648"/>
        </w:tabs>
        <w:spacing w:before="120" w:line="480" w:lineRule="auto"/>
        <w:rPr>
          <w:rFonts w:asciiTheme="minorHAnsi" w:hAnsiTheme="minorHAnsi" w:cstheme="minorHAnsi"/>
          <w:b/>
          <w:sz w:val="22"/>
          <w:szCs w:val="22"/>
        </w:rPr>
      </w:pPr>
      <w:r>
        <w:rPr>
          <w:rFonts w:asciiTheme="minorHAnsi" w:hAnsiTheme="minorHAnsi" w:cstheme="minorHAnsi"/>
          <w:b/>
          <w:sz w:val="22"/>
          <w:szCs w:val="22"/>
        </w:rPr>
        <w:lastRenderedPageBreak/>
        <w:t>Introduction</w:t>
      </w:r>
    </w:p>
    <w:p w14:paraId="163DE0D3" w14:textId="6FEC5811" w:rsidR="0038512E" w:rsidRPr="00E03DE8" w:rsidRDefault="0038512E" w:rsidP="00CF20ED">
      <w:pPr>
        <w:spacing w:line="480" w:lineRule="auto"/>
        <w:rPr>
          <w:rFonts w:asciiTheme="minorHAnsi" w:hAnsiTheme="minorHAnsi" w:cstheme="minorHAnsi"/>
          <w:sz w:val="22"/>
          <w:szCs w:val="22"/>
        </w:rPr>
      </w:pPr>
      <w:r w:rsidRPr="00E03DE8">
        <w:rPr>
          <w:rFonts w:asciiTheme="minorHAnsi" w:hAnsiTheme="minorHAnsi" w:cstheme="minorHAnsi"/>
          <w:sz w:val="22"/>
          <w:szCs w:val="22"/>
        </w:rPr>
        <w:t>Age is a determinant of disease burden, and this relationship is influenced by alcohol consumption</w:t>
      </w:r>
      <w:r>
        <w:rPr>
          <w:rFonts w:asciiTheme="minorHAnsi" w:hAnsiTheme="minorHAnsi" w:cstheme="minorHAnsi"/>
          <w:sz w:val="22"/>
          <w:szCs w:val="22"/>
        </w:rPr>
        <w:t xml:space="preserve"> in complex ways </w:t>
      </w:r>
      <w:r>
        <w:rPr>
          <w:rFonts w:asciiTheme="minorHAnsi" w:hAnsiTheme="minorHAnsi" w:cstheme="minorHAnsi"/>
          <w:noProof/>
          <w:sz w:val="22"/>
          <w:szCs w:val="22"/>
        </w:rPr>
        <w:t>(Stewart and McCambridge, 2019)</w:t>
      </w:r>
      <w:r w:rsidRPr="00E03DE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6B0F40">
        <w:rPr>
          <w:rFonts w:asciiTheme="minorHAnsi" w:hAnsiTheme="minorHAnsi" w:cstheme="minorHAnsi"/>
          <w:sz w:val="22"/>
          <w:szCs w:val="22"/>
        </w:rPr>
        <w:t xml:space="preserve">Alcohol is known to cause a wide range of health problems and to reduce life expectancy in the general population </w:t>
      </w:r>
      <w:r>
        <w:rPr>
          <w:rFonts w:asciiTheme="minorHAnsi" w:hAnsiTheme="minorHAnsi" w:cstheme="minorHAnsi"/>
          <w:noProof/>
          <w:sz w:val="22"/>
          <w:szCs w:val="22"/>
        </w:rPr>
        <w:t>(Forouzanfar et al., 2015)</w:t>
      </w:r>
      <w:r>
        <w:rPr>
          <w:rFonts w:asciiTheme="minorHAnsi" w:hAnsiTheme="minorHAnsi" w:cstheme="minorHAnsi"/>
          <w:sz w:val="22"/>
          <w:szCs w:val="22"/>
        </w:rPr>
        <w:t>. It</w:t>
      </w:r>
      <w:r w:rsidRPr="006F2E2F">
        <w:rPr>
          <w:rFonts w:asciiTheme="minorHAnsi" w:hAnsiTheme="minorHAnsi" w:cstheme="minorHAnsi"/>
          <w:sz w:val="22"/>
          <w:szCs w:val="22"/>
        </w:rPr>
        <w:t xml:space="preserve"> is the thi</w:t>
      </w:r>
      <w:r>
        <w:rPr>
          <w:rFonts w:asciiTheme="minorHAnsi" w:hAnsiTheme="minorHAnsi" w:cstheme="minorHAnsi"/>
          <w:sz w:val="22"/>
          <w:szCs w:val="22"/>
        </w:rPr>
        <w:t>rd biggest risk factor for ill health among those aged o</w:t>
      </w:r>
      <w:r w:rsidRPr="006F2E2F">
        <w:rPr>
          <w:rFonts w:asciiTheme="minorHAnsi" w:hAnsiTheme="minorHAnsi" w:cstheme="minorHAnsi"/>
          <w:sz w:val="22"/>
          <w:szCs w:val="22"/>
        </w:rPr>
        <w:t>ver 50 globally</w:t>
      </w:r>
      <w:r>
        <w:rPr>
          <w:rFonts w:asciiTheme="minorHAnsi" w:hAnsiTheme="minorHAnsi" w:cstheme="minorHAnsi"/>
          <w:sz w:val="22"/>
          <w:szCs w:val="22"/>
        </w:rPr>
        <w:t xml:space="preserve"> </w:t>
      </w:r>
      <w:r>
        <w:rPr>
          <w:rFonts w:asciiTheme="minorHAnsi" w:hAnsiTheme="minorHAnsi" w:cstheme="minorHAnsi"/>
          <w:noProof/>
          <w:sz w:val="22"/>
          <w:szCs w:val="22"/>
        </w:rPr>
        <w:t>(GBD 2016 Alcohol Collaborators, 2018)</w:t>
      </w:r>
      <w:r w:rsidRPr="00E03DE8">
        <w:rPr>
          <w:rFonts w:asciiTheme="minorHAnsi" w:hAnsiTheme="minorHAnsi" w:cstheme="minorHAnsi"/>
          <w:sz w:val="22"/>
          <w:szCs w:val="22"/>
        </w:rPr>
        <w:t>.  High levels of unhealthy alcohol consumption</w:t>
      </w:r>
      <w:r w:rsidR="003602D0">
        <w:rPr>
          <w:rFonts w:asciiTheme="minorHAnsi" w:hAnsiTheme="minorHAnsi" w:cstheme="minorHAnsi"/>
          <w:sz w:val="22"/>
          <w:szCs w:val="22"/>
        </w:rPr>
        <w:t xml:space="preserve"> (</w:t>
      </w:r>
      <w:r w:rsidR="00C171EA">
        <w:rPr>
          <w:rFonts w:asciiTheme="minorHAnsi" w:hAnsiTheme="minorHAnsi" w:cstheme="minorHAnsi"/>
          <w:sz w:val="22"/>
          <w:szCs w:val="22"/>
        </w:rPr>
        <w:t>use that risk</w:t>
      </w:r>
      <w:r w:rsidR="004969B1">
        <w:rPr>
          <w:rFonts w:asciiTheme="minorHAnsi" w:hAnsiTheme="minorHAnsi" w:cstheme="minorHAnsi"/>
          <w:sz w:val="22"/>
          <w:szCs w:val="22"/>
        </w:rPr>
        <w:t>s</w:t>
      </w:r>
      <w:r w:rsidR="00C171EA">
        <w:rPr>
          <w:rFonts w:asciiTheme="minorHAnsi" w:hAnsiTheme="minorHAnsi" w:cstheme="minorHAnsi"/>
          <w:sz w:val="22"/>
          <w:szCs w:val="22"/>
        </w:rPr>
        <w:t xml:space="preserve"> health consequences</w:t>
      </w:r>
      <w:r w:rsidR="003E7CCF">
        <w:rPr>
          <w:rFonts w:asciiTheme="minorHAnsi" w:hAnsiTheme="minorHAnsi" w:cstheme="minorHAnsi"/>
          <w:sz w:val="22"/>
          <w:szCs w:val="22"/>
        </w:rPr>
        <w:t>)</w:t>
      </w:r>
      <w:r w:rsidR="00C171EA">
        <w:rPr>
          <w:rFonts w:asciiTheme="minorHAnsi" w:hAnsiTheme="minorHAnsi" w:cstheme="minorHAnsi"/>
          <w:sz w:val="22"/>
          <w:szCs w:val="22"/>
        </w:rPr>
        <w:t xml:space="preserve"> </w:t>
      </w:r>
      <w:r w:rsidRPr="00E03DE8">
        <w:rPr>
          <w:rFonts w:asciiTheme="minorHAnsi" w:hAnsiTheme="minorHAnsi" w:cstheme="minorHAnsi"/>
          <w:sz w:val="22"/>
          <w:szCs w:val="22"/>
        </w:rPr>
        <w:t>are reported in older</w:t>
      </w:r>
      <w:r>
        <w:rPr>
          <w:rFonts w:asciiTheme="minorHAnsi" w:hAnsiTheme="minorHAnsi" w:cstheme="minorHAnsi"/>
          <w:sz w:val="22"/>
          <w:szCs w:val="22"/>
        </w:rPr>
        <w:t xml:space="preserve"> populations in the </w:t>
      </w:r>
      <w:r w:rsidRPr="00E03DE8">
        <w:rPr>
          <w:rFonts w:asciiTheme="minorHAnsi" w:hAnsiTheme="minorHAnsi" w:cstheme="minorHAnsi"/>
          <w:sz w:val="22"/>
          <w:szCs w:val="22"/>
        </w:rPr>
        <w:t xml:space="preserve">UK </w:t>
      </w:r>
      <w:r>
        <w:rPr>
          <w:rFonts w:asciiTheme="minorHAnsi" w:hAnsiTheme="minorHAnsi" w:cstheme="minorHAnsi"/>
          <w:noProof/>
          <w:sz w:val="22"/>
          <w:szCs w:val="22"/>
        </w:rPr>
        <w:t>(Meng et al., 2014)</w:t>
      </w:r>
      <w:r w:rsidRPr="00E03DE8">
        <w:rPr>
          <w:rFonts w:asciiTheme="minorHAnsi" w:hAnsiTheme="minorHAnsi" w:cstheme="minorHAnsi"/>
          <w:sz w:val="22"/>
          <w:szCs w:val="22"/>
        </w:rPr>
        <w:t xml:space="preserve"> and</w:t>
      </w:r>
      <w:r>
        <w:rPr>
          <w:rFonts w:asciiTheme="minorHAnsi" w:hAnsiTheme="minorHAnsi" w:cstheme="minorHAnsi"/>
          <w:sz w:val="22"/>
          <w:szCs w:val="22"/>
        </w:rPr>
        <w:t xml:space="preserve"> elsewhere </w:t>
      </w:r>
      <w:r>
        <w:rPr>
          <w:rFonts w:asciiTheme="minorHAnsi" w:hAnsiTheme="minorHAnsi" w:cstheme="minorHAnsi"/>
          <w:noProof/>
          <w:sz w:val="22"/>
          <w:szCs w:val="22"/>
        </w:rPr>
        <w:t xml:space="preserve">(Gell et al., 2015; Grant et al., 2017), </w:t>
      </w:r>
      <w:r w:rsidRPr="00E03DE8">
        <w:rPr>
          <w:rFonts w:asciiTheme="minorHAnsi" w:hAnsiTheme="minorHAnsi" w:cstheme="minorHAnsi"/>
          <w:sz w:val="22"/>
          <w:szCs w:val="22"/>
        </w:rPr>
        <w:t>heighten</w:t>
      </w:r>
      <w:r>
        <w:rPr>
          <w:rFonts w:asciiTheme="minorHAnsi" w:hAnsiTheme="minorHAnsi" w:cstheme="minorHAnsi"/>
          <w:sz w:val="22"/>
          <w:szCs w:val="22"/>
        </w:rPr>
        <w:t>ing</w:t>
      </w:r>
      <w:r w:rsidRPr="00E03DE8">
        <w:rPr>
          <w:rFonts w:asciiTheme="minorHAnsi" w:hAnsiTheme="minorHAnsi" w:cstheme="minorHAnsi"/>
          <w:sz w:val="22"/>
          <w:szCs w:val="22"/>
        </w:rPr>
        <w:t xml:space="preserve"> the ris</w:t>
      </w:r>
      <w:r>
        <w:rPr>
          <w:rFonts w:asciiTheme="minorHAnsi" w:hAnsiTheme="minorHAnsi" w:cstheme="minorHAnsi"/>
          <w:sz w:val="22"/>
          <w:szCs w:val="22"/>
        </w:rPr>
        <w:t xml:space="preserve">ks of direct harms to health </w:t>
      </w:r>
      <w:r>
        <w:rPr>
          <w:rFonts w:asciiTheme="minorHAnsi" w:hAnsiTheme="minorHAnsi" w:cstheme="minorHAnsi"/>
          <w:noProof/>
          <w:sz w:val="22"/>
          <w:szCs w:val="22"/>
        </w:rPr>
        <w:t>(GBD 2016 Alcohol Collaborators, 2018)</w:t>
      </w:r>
      <w:r>
        <w:rPr>
          <w:rFonts w:asciiTheme="minorHAnsi" w:hAnsiTheme="minorHAnsi" w:cstheme="minorHAnsi"/>
          <w:sz w:val="22"/>
          <w:szCs w:val="22"/>
        </w:rPr>
        <w:t>,</w:t>
      </w:r>
      <w:r w:rsidRPr="00E03DE8">
        <w:rPr>
          <w:rFonts w:asciiTheme="minorHAnsi" w:hAnsiTheme="minorHAnsi" w:cstheme="minorHAnsi"/>
          <w:sz w:val="22"/>
          <w:szCs w:val="22"/>
        </w:rPr>
        <w:t xml:space="preserve"> interactions with medications</w:t>
      </w:r>
      <w:r>
        <w:rPr>
          <w:rFonts w:asciiTheme="minorHAnsi" w:hAnsiTheme="minorHAnsi" w:cstheme="minorHAnsi"/>
          <w:sz w:val="22"/>
          <w:szCs w:val="22"/>
        </w:rPr>
        <w:t xml:space="preserve"> prescribed for </w:t>
      </w:r>
      <w:r w:rsidR="003E7FAD">
        <w:rPr>
          <w:rFonts w:asciiTheme="minorHAnsi" w:hAnsiTheme="minorHAnsi" w:cstheme="minorHAnsi"/>
          <w:sz w:val="22"/>
          <w:szCs w:val="22"/>
        </w:rPr>
        <w:t xml:space="preserve">(often multiple) </w:t>
      </w:r>
      <w:r>
        <w:rPr>
          <w:rFonts w:asciiTheme="minorHAnsi" w:hAnsiTheme="minorHAnsi" w:cstheme="minorHAnsi"/>
          <w:sz w:val="22"/>
          <w:szCs w:val="22"/>
        </w:rPr>
        <w:t xml:space="preserve">chronic conditions </w:t>
      </w:r>
      <w:r>
        <w:rPr>
          <w:rFonts w:asciiTheme="minorHAnsi" w:hAnsiTheme="minorHAnsi" w:cstheme="minorHAnsi"/>
          <w:noProof/>
          <w:sz w:val="22"/>
          <w:szCs w:val="22"/>
        </w:rPr>
        <w:t>(Moore et al., 2007)</w:t>
      </w:r>
      <w:r>
        <w:rPr>
          <w:rFonts w:asciiTheme="minorHAnsi" w:hAnsiTheme="minorHAnsi" w:cstheme="minorHAnsi"/>
          <w:sz w:val="22"/>
          <w:szCs w:val="22"/>
        </w:rPr>
        <w:t>, and relatedly, complicating clinical management</w:t>
      </w:r>
      <w:r w:rsidR="002176D1">
        <w:rPr>
          <w:rFonts w:asciiTheme="minorHAnsi" w:hAnsiTheme="minorHAnsi" w:cstheme="minorHAnsi"/>
          <w:sz w:val="22"/>
          <w:szCs w:val="22"/>
        </w:rPr>
        <w:t xml:space="preserve"> </w:t>
      </w:r>
      <w:r>
        <w:rPr>
          <w:rFonts w:asciiTheme="minorHAnsi" w:hAnsiTheme="minorHAnsi" w:cstheme="minorHAnsi"/>
          <w:noProof/>
          <w:sz w:val="22"/>
          <w:szCs w:val="22"/>
        </w:rPr>
        <w:t>(Stewart and McCambridge, 2019)</w:t>
      </w:r>
      <w:r w:rsidRPr="00E03DE8">
        <w:rPr>
          <w:rFonts w:asciiTheme="minorHAnsi" w:hAnsiTheme="minorHAnsi" w:cstheme="minorHAnsi"/>
          <w:sz w:val="22"/>
          <w:szCs w:val="22"/>
        </w:rPr>
        <w:t>.</w:t>
      </w:r>
      <w:r>
        <w:rPr>
          <w:rFonts w:asciiTheme="minorHAnsi" w:hAnsiTheme="minorHAnsi" w:cstheme="minorHAnsi"/>
          <w:sz w:val="22"/>
          <w:szCs w:val="22"/>
        </w:rPr>
        <w:t xml:space="preserve">  </w:t>
      </w:r>
    </w:p>
    <w:p w14:paraId="5EE6BFD7" w14:textId="0057457F" w:rsidR="0038512E" w:rsidRDefault="0038512E" w:rsidP="00CF20ED">
      <w:pPr>
        <w:tabs>
          <w:tab w:val="left" w:pos="1368"/>
          <w:tab w:val="left" w:pos="3141"/>
          <w:tab w:val="left" w:pos="4428"/>
          <w:tab w:val="left" w:pos="5938"/>
          <w:tab w:val="left" w:pos="7308"/>
          <w:tab w:val="left" w:pos="9648"/>
        </w:tabs>
        <w:spacing w:before="120" w:after="120" w:line="480" w:lineRule="auto"/>
        <w:rPr>
          <w:rFonts w:asciiTheme="minorHAnsi" w:hAnsiTheme="minorHAnsi" w:cstheme="minorHAnsi"/>
          <w:sz w:val="22"/>
          <w:szCs w:val="22"/>
        </w:rPr>
      </w:pPr>
      <w:r>
        <w:rPr>
          <w:rFonts w:asciiTheme="minorHAnsi" w:hAnsiTheme="minorHAnsi" w:cstheme="minorHAnsi"/>
          <w:sz w:val="22"/>
          <w:szCs w:val="22"/>
        </w:rPr>
        <w:t xml:space="preserve">Screening for alcohol consumption is recommended to identify people for whom brief interventions may be applicable, in primary care and other healthcare settings </w:t>
      </w:r>
      <w:r>
        <w:rPr>
          <w:rFonts w:asciiTheme="minorHAnsi" w:hAnsiTheme="minorHAnsi" w:cstheme="minorHAnsi"/>
          <w:noProof/>
          <w:sz w:val="22"/>
          <w:szCs w:val="22"/>
        </w:rPr>
        <w:t>(National Institute for Health and Clinical Excellence, 2010)</w:t>
      </w:r>
      <w:r>
        <w:rPr>
          <w:rFonts w:asciiTheme="minorHAnsi" w:hAnsiTheme="minorHAnsi" w:cstheme="minorHAnsi"/>
          <w:sz w:val="22"/>
          <w:szCs w:val="22"/>
        </w:rPr>
        <w:t xml:space="preserve">.  Successful implementation </w:t>
      </w:r>
      <w:r w:rsidRPr="004856DE">
        <w:rPr>
          <w:rFonts w:asciiTheme="minorHAnsi" w:hAnsiTheme="minorHAnsi" w:cstheme="minorHAnsi"/>
          <w:sz w:val="22"/>
          <w:szCs w:val="22"/>
        </w:rPr>
        <w:t>rel</w:t>
      </w:r>
      <w:r>
        <w:rPr>
          <w:rFonts w:asciiTheme="minorHAnsi" w:hAnsiTheme="minorHAnsi" w:cstheme="minorHAnsi"/>
          <w:sz w:val="22"/>
          <w:szCs w:val="22"/>
        </w:rPr>
        <w:t>ies up</w:t>
      </w:r>
      <w:r w:rsidRPr="004856DE">
        <w:rPr>
          <w:rFonts w:asciiTheme="minorHAnsi" w:hAnsiTheme="minorHAnsi" w:cstheme="minorHAnsi"/>
          <w:sz w:val="22"/>
          <w:szCs w:val="22"/>
        </w:rPr>
        <w:t>on accurate screening</w:t>
      </w:r>
      <w:r w:rsidR="003E7CCF">
        <w:rPr>
          <w:rFonts w:asciiTheme="minorHAnsi" w:hAnsiTheme="minorHAnsi" w:cstheme="minorHAnsi"/>
          <w:sz w:val="22"/>
          <w:szCs w:val="22"/>
        </w:rPr>
        <w:t xml:space="preserve"> tools</w:t>
      </w:r>
      <w:r>
        <w:rPr>
          <w:rFonts w:asciiTheme="minorHAnsi" w:hAnsiTheme="minorHAnsi" w:cstheme="minorHAnsi"/>
          <w:sz w:val="22"/>
          <w:szCs w:val="22"/>
        </w:rPr>
        <w:t xml:space="preserve">, and clinicians being willing to actively identify unhealthy drinking among their patients in ways which encourage subsequent discussion of drinking </w:t>
      </w:r>
      <w:r>
        <w:rPr>
          <w:rFonts w:asciiTheme="minorHAnsi" w:hAnsiTheme="minorHAnsi" w:cstheme="minorHAnsi"/>
          <w:noProof/>
          <w:sz w:val="22"/>
          <w:szCs w:val="22"/>
        </w:rPr>
        <w:t>(Andréasson, 2017)</w:t>
      </w:r>
      <w:r>
        <w:rPr>
          <w:rFonts w:asciiTheme="minorHAnsi" w:hAnsiTheme="minorHAnsi" w:cstheme="minorHAnsi"/>
          <w:sz w:val="22"/>
          <w:szCs w:val="22"/>
        </w:rPr>
        <w:t xml:space="preserve">.  In practice, relatively few patients are routinely identified by primary care clinicians as unhealthy drinkers </w:t>
      </w:r>
      <w:r>
        <w:rPr>
          <w:rFonts w:asciiTheme="minorHAnsi" w:hAnsiTheme="minorHAnsi" w:cstheme="minorHAnsi"/>
          <w:noProof/>
          <w:sz w:val="22"/>
          <w:szCs w:val="22"/>
        </w:rPr>
        <w:t>(Cheeta et al., 2008)</w:t>
      </w:r>
      <w:r>
        <w:rPr>
          <w:rFonts w:asciiTheme="minorHAnsi" w:hAnsiTheme="minorHAnsi" w:cstheme="minorHAnsi"/>
          <w:sz w:val="22"/>
          <w:szCs w:val="22"/>
        </w:rPr>
        <w:t>, and only a small proportion of patients who drink excessively report receiving advice from a general practitioner about their alcohol consumption in the UK</w:t>
      </w:r>
      <w:r>
        <w:rPr>
          <w:rFonts w:asciiTheme="minorHAnsi" w:hAnsiTheme="minorHAnsi" w:cstheme="minorHAnsi"/>
          <w:noProof/>
          <w:sz w:val="22"/>
          <w:szCs w:val="22"/>
        </w:rPr>
        <w:t>(Brown et al., 2016)</w:t>
      </w:r>
      <w:r>
        <w:rPr>
          <w:rFonts w:asciiTheme="minorHAnsi" w:hAnsiTheme="minorHAnsi" w:cstheme="minorHAnsi"/>
          <w:sz w:val="22"/>
          <w:szCs w:val="22"/>
        </w:rPr>
        <w:t xml:space="preserve"> and elsewhere </w:t>
      </w:r>
      <w:r>
        <w:rPr>
          <w:rFonts w:asciiTheme="minorHAnsi" w:hAnsiTheme="minorHAnsi" w:cstheme="minorHAnsi"/>
          <w:noProof/>
          <w:sz w:val="22"/>
          <w:szCs w:val="22"/>
        </w:rPr>
        <w:t>(Nilsen et al., 2011)</w:t>
      </w:r>
      <w:r>
        <w:rPr>
          <w:rFonts w:asciiTheme="minorHAnsi" w:hAnsiTheme="minorHAnsi" w:cstheme="minorHAnsi"/>
          <w:sz w:val="22"/>
          <w:szCs w:val="22"/>
        </w:rPr>
        <w:t>.   There are clear limitations to</w:t>
      </w:r>
      <w:r w:rsidRPr="004856DE">
        <w:rPr>
          <w:rFonts w:asciiTheme="minorHAnsi" w:hAnsiTheme="minorHAnsi" w:cstheme="minorHAnsi"/>
          <w:sz w:val="22"/>
          <w:szCs w:val="22"/>
        </w:rPr>
        <w:t xml:space="preserve"> the </w:t>
      </w:r>
      <w:r>
        <w:rPr>
          <w:rFonts w:asciiTheme="minorHAnsi" w:hAnsiTheme="minorHAnsi" w:cstheme="minorHAnsi"/>
          <w:sz w:val="22"/>
          <w:szCs w:val="22"/>
        </w:rPr>
        <w:t xml:space="preserve">existing alcohol </w:t>
      </w:r>
      <w:r w:rsidRPr="004856DE">
        <w:rPr>
          <w:rFonts w:asciiTheme="minorHAnsi" w:hAnsiTheme="minorHAnsi" w:cstheme="minorHAnsi"/>
          <w:sz w:val="22"/>
          <w:szCs w:val="22"/>
        </w:rPr>
        <w:t>screening and brief intervention literature</w:t>
      </w:r>
      <w:r>
        <w:rPr>
          <w:rFonts w:asciiTheme="minorHAnsi" w:hAnsiTheme="minorHAnsi" w:cstheme="minorHAnsi"/>
          <w:sz w:val="22"/>
          <w:szCs w:val="22"/>
        </w:rPr>
        <w:t xml:space="preserve">, even in primary care where it is most developed, being mainly </w:t>
      </w:r>
      <w:r w:rsidRPr="004856DE">
        <w:rPr>
          <w:rFonts w:asciiTheme="minorHAnsi" w:hAnsiTheme="minorHAnsi" w:cstheme="minorHAnsi"/>
          <w:sz w:val="22"/>
          <w:szCs w:val="22"/>
        </w:rPr>
        <w:t xml:space="preserve">focussed on </w:t>
      </w:r>
      <w:r>
        <w:rPr>
          <w:rFonts w:asciiTheme="minorHAnsi" w:hAnsiTheme="minorHAnsi" w:cstheme="minorHAnsi"/>
          <w:sz w:val="22"/>
          <w:szCs w:val="22"/>
        </w:rPr>
        <w:t xml:space="preserve">general adults (i.e. </w:t>
      </w:r>
      <w:r w:rsidRPr="004856DE">
        <w:rPr>
          <w:rFonts w:asciiTheme="minorHAnsi" w:hAnsiTheme="minorHAnsi" w:cstheme="minorHAnsi"/>
          <w:sz w:val="22"/>
          <w:szCs w:val="22"/>
        </w:rPr>
        <w:t>mixed age</w:t>
      </w:r>
      <w:r>
        <w:rPr>
          <w:rFonts w:asciiTheme="minorHAnsi" w:hAnsiTheme="minorHAnsi" w:cstheme="minorHAnsi"/>
          <w:sz w:val="22"/>
          <w:szCs w:val="22"/>
        </w:rPr>
        <w:t>s)</w:t>
      </w:r>
      <w:r w:rsidRPr="004856DE">
        <w:rPr>
          <w:rFonts w:asciiTheme="minorHAnsi" w:hAnsiTheme="minorHAnsi" w:cstheme="minorHAnsi"/>
          <w:sz w:val="22"/>
          <w:szCs w:val="22"/>
        </w:rPr>
        <w:t xml:space="preserve"> with relatively little attention paid to older </w:t>
      </w:r>
      <w:r>
        <w:rPr>
          <w:rFonts w:asciiTheme="minorHAnsi" w:hAnsiTheme="minorHAnsi" w:cstheme="minorHAnsi"/>
          <w:sz w:val="22"/>
          <w:szCs w:val="22"/>
        </w:rPr>
        <w:t xml:space="preserve">people and receptivity to interventions </w:t>
      </w:r>
      <w:r>
        <w:rPr>
          <w:rFonts w:asciiTheme="minorHAnsi" w:hAnsiTheme="minorHAnsi" w:cstheme="minorHAnsi"/>
          <w:noProof/>
          <w:sz w:val="22"/>
          <w:szCs w:val="22"/>
        </w:rPr>
        <w:t>(McCambridge and Saitz, 2017)</w:t>
      </w:r>
      <w:r>
        <w:rPr>
          <w:rFonts w:asciiTheme="minorHAnsi" w:hAnsiTheme="minorHAnsi" w:cstheme="minorHAnsi"/>
          <w:sz w:val="22"/>
          <w:szCs w:val="22"/>
        </w:rPr>
        <w:t>. This is important because of the known differences in</w:t>
      </w:r>
      <w:r w:rsidRPr="004856DE">
        <w:rPr>
          <w:rFonts w:asciiTheme="minorHAnsi" w:hAnsiTheme="minorHAnsi" w:cstheme="minorHAnsi"/>
          <w:sz w:val="22"/>
          <w:szCs w:val="22"/>
        </w:rPr>
        <w:t xml:space="preserve"> pattern</w:t>
      </w:r>
      <w:r>
        <w:rPr>
          <w:rFonts w:asciiTheme="minorHAnsi" w:hAnsiTheme="minorHAnsi" w:cstheme="minorHAnsi"/>
          <w:sz w:val="22"/>
          <w:szCs w:val="22"/>
        </w:rPr>
        <w:t>s</w:t>
      </w:r>
      <w:r w:rsidRPr="004856DE">
        <w:rPr>
          <w:rFonts w:asciiTheme="minorHAnsi" w:hAnsiTheme="minorHAnsi" w:cstheme="minorHAnsi"/>
          <w:sz w:val="22"/>
          <w:szCs w:val="22"/>
        </w:rPr>
        <w:t xml:space="preserve"> of drinkin</w:t>
      </w:r>
      <w:r>
        <w:rPr>
          <w:rFonts w:asciiTheme="minorHAnsi" w:hAnsiTheme="minorHAnsi" w:cstheme="minorHAnsi"/>
          <w:sz w:val="22"/>
          <w:szCs w:val="22"/>
        </w:rPr>
        <w:t xml:space="preserve">g between younger and older age groups </w:t>
      </w:r>
      <w:r>
        <w:rPr>
          <w:rFonts w:asciiTheme="minorHAnsi" w:hAnsiTheme="minorHAnsi" w:cstheme="minorHAnsi"/>
          <w:noProof/>
          <w:sz w:val="22"/>
          <w:szCs w:val="22"/>
        </w:rPr>
        <w:t>(Meng et al., 2014)</w:t>
      </w:r>
      <w:r>
        <w:rPr>
          <w:rFonts w:asciiTheme="minorHAnsi" w:hAnsiTheme="minorHAnsi" w:cstheme="minorHAnsi"/>
          <w:sz w:val="22"/>
          <w:szCs w:val="22"/>
        </w:rPr>
        <w:t xml:space="preserve"> </w:t>
      </w:r>
      <w:r w:rsidRPr="00CB07D2">
        <w:rPr>
          <w:rFonts w:asciiTheme="minorHAnsi" w:hAnsiTheme="minorHAnsi" w:cstheme="minorHAnsi"/>
          <w:sz w:val="22"/>
          <w:szCs w:val="22"/>
        </w:rPr>
        <w:t xml:space="preserve">and </w:t>
      </w:r>
      <w:r>
        <w:rPr>
          <w:rFonts w:asciiTheme="minorHAnsi" w:hAnsiTheme="minorHAnsi" w:cstheme="minorHAnsi"/>
          <w:sz w:val="22"/>
          <w:szCs w:val="22"/>
        </w:rPr>
        <w:t xml:space="preserve">greater </w:t>
      </w:r>
      <w:r w:rsidRPr="00CB07D2">
        <w:rPr>
          <w:rFonts w:asciiTheme="minorHAnsi" w:hAnsiTheme="minorHAnsi" w:cstheme="minorHAnsi"/>
          <w:sz w:val="22"/>
          <w:szCs w:val="22"/>
        </w:rPr>
        <w:t>vulnerability to harm</w:t>
      </w:r>
      <w:r>
        <w:rPr>
          <w:rFonts w:asciiTheme="minorHAnsi" w:hAnsiTheme="minorHAnsi" w:cstheme="minorHAnsi"/>
          <w:sz w:val="22"/>
          <w:szCs w:val="22"/>
        </w:rPr>
        <w:t xml:space="preserve"> from alcohol at older ages </w:t>
      </w:r>
      <w:r>
        <w:rPr>
          <w:rFonts w:asciiTheme="minorHAnsi" w:hAnsiTheme="minorHAnsi" w:cstheme="minorHAnsi"/>
          <w:noProof/>
          <w:sz w:val="22"/>
          <w:szCs w:val="22"/>
        </w:rPr>
        <w:t>(Stewart and McCambridge, 2019)</w:t>
      </w:r>
      <w:r w:rsidRPr="00CB07D2">
        <w:rPr>
          <w:rFonts w:asciiTheme="minorHAnsi" w:hAnsiTheme="minorHAnsi" w:cstheme="minorHAnsi"/>
          <w:sz w:val="22"/>
          <w:szCs w:val="22"/>
        </w:rPr>
        <w:t>.</w:t>
      </w:r>
      <w:r>
        <w:rPr>
          <w:rFonts w:asciiTheme="minorHAnsi" w:hAnsiTheme="minorHAnsi" w:cstheme="minorHAnsi"/>
          <w:sz w:val="22"/>
          <w:szCs w:val="22"/>
        </w:rPr>
        <w:t xml:space="preserve">  </w:t>
      </w:r>
    </w:p>
    <w:p w14:paraId="555A75FE" w14:textId="5B9A0B74" w:rsidR="0038512E" w:rsidRDefault="0038512E" w:rsidP="00CF20ED">
      <w:pPr>
        <w:tabs>
          <w:tab w:val="left" w:pos="1368"/>
          <w:tab w:val="left" w:pos="3141"/>
          <w:tab w:val="left" w:pos="4428"/>
          <w:tab w:val="left" w:pos="5938"/>
          <w:tab w:val="left" w:pos="7308"/>
          <w:tab w:val="left" w:pos="9648"/>
        </w:tabs>
        <w:spacing w:before="120" w:after="120" w:line="480" w:lineRule="auto"/>
        <w:rPr>
          <w:rFonts w:asciiTheme="minorHAnsi" w:hAnsiTheme="minorHAnsi" w:cstheme="minorHAnsi"/>
          <w:sz w:val="22"/>
          <w:szCs w:val="22"/>
        </w:rPr>
      </w:pPr>
      <w:r w:rsidRPr="004856DE">
        <w:rPr>
          <w:rFonts w:asciiTheme="minorHAnsi" w:hAnsiTheme="minorHAnsi" w:cstheme="minorHAnsi"/>
          <w:sz w:val="22"/>
          <w:szCs w:val="22"/>
        </w:rPr>
        <w:lastRenderedPageBreak/>
        <w:t xml:space="preserve">Abbreviated versions of the 10-item Alcohol Use Disorders Identification Test (AUDIT) are recommended for </w:t>
      </w:r>
      <w:r>
        <w:rPr>
          <w:rFonts w:asciiTheme="minorHAnsi" w:hAnsiTheme="minorHAnsi" w:cstheme="minorHAnsi"/>
          <w:sz w:val="22"/>
          <w:szCs w:val="22"/>
        </w:rPr>
        <w:t xml:space="preserve">practice and </w:t>
      </w:r>
      <w:r w:rsidRPr="004856DE">
        <w:rPr>
          <w:rFonts w:asciiTheme="minorHAnsi" w:hAnsiTheme="minorHAnsi" w:cstheme="minorHAnsi"/>
          <w:sz w:val="22"/>
          <w:szCs w:val="22"/>
        </w:rPr>
        <w:t xml:space="preserve">research where time to administer a screening instrument is limited </w:t>
      </w:r>
      <w:r>
        <w:rPr>
          <w:rFonts w:asciiTheme="minorHAnsi" w:hAnsiTheme="minorHAnsi" w:cstheme="minorHAnsi"/>
          <w:noProof/>
          <w:sz w:val="22"/>
          <w:szCs w:val="22"/>
        </w:rPr>
        <w:t>(National Institute for Health and Clinical Excellence, 2010), such as in busy clinical settings</w:t>
      </w:r>
      <w:r w:rsidRPr="004856DE">
        <w:rPr>
          <w:rFonts w:asciiTheme="minorHAnsi" w:hAnsiTheme="minorHAnsi" w:cstheme="minorHAnsi"/>
          <w:sz w:val="22"/>
          <w:szCs w:val="22"/>
        </w:rPr>
        <w:t xml:space="preserve">.  </w:t>
      </w:r>
      <w:r>
        <w:rPr>
          <w:rFonts w:asciiTheme="minorHAnsi" w:hAnsiTheme="minorHAnsi" w:cstheme="minorHAnsi"/>
          <w:sz w:val="22"/>
          <w:szCs w:val="22"/>
        </w:rPr>
        <w:t xml:space="preserve"> The first three</w:t>
      </w:r>
      <w:r w:rsidRPr="004856DE">
        <w:rPr>
          <w:rFonts w:asciiTheme="minorHAnsi" w:hAnsiTheme="minorHAnsi" w:cstheme="minorHAnsi"/>
          <w:sz w:val="22"/>
          <w:szCs w:val="22"/>
        </w:rPr>
        <w:t xml:space="preserve"> questions of the AUDIT, the AUDIT-C, </w:t>
      </w:r>
      <w:r>
        <w:rPr>
          <w:rFonts w:asciiTheme="minorHAnsi" w:hAnsiTheme="minorHAnsi" w:cstheme="minorHAnsi"/>
          <w:sz w:val="22"/>
          <w:szCs w:val="22"/>
        </w:rPr>
        <w:t xml:space="preserve">concern alcohol consumption only and </w:t>
      </w:r>
      <w:r w:rsidRPr="004856DE">
        <w:rPr>
          <w:rFonts w:asciiTheme="minorHAnsi" w:hAnsiTheme="minorHAnsi" w:cstheme="minorHAnsi"/>
          <w:sz w:val="22"/>
          <w:szCs w:val="22"/>
        </w:rPr>
        <w:t>have been found to be as accurate as the full version</w:t>
      </w:r>
      <w:r>
        <w:rPr>
          <w:rFonts w:asciiTheme="minorHAnsi" w:hAnsiTheme="minorHAnsi" w:cstheme="minorHAnsi"/>
          <w:sz w:val="22"/>
          <w:szCs w:val="22"/>
        </w:rPr>
        <w:t xml:space="preserve"> in various populations </w:t>
      </w:r>
      <w:r>
        <w:rPr>
          <w:rFonts w:asciiTheme="minorHAnsi" w:hAnsiTheme="minorHAnsi" w:cstheme="minorHAnsi"/>
          <w:noProof/>
          <w:sz w:val="22"/>
          <w:szCs w:val="22"/>
        </w:rPr>
        <w:t>(Bradley et al., 2003; Bradley et al., 2007; Bush et al., 1998; Kriston et al., 2008)</w:t>
      </w:r>
      <w:r>
        <w:rPr>
          <w:rFonts w:asciiTheme="minorHAnsi" w:hAnsiTheme="minorHAnsi" w:cstheme="minorHAnsi"/>
          <w:sz w:val="22"/>
          <w:szCs w:val="22"/>
        </w:rPr>
        <w:t>, including among older adults</w:t>
      </w:r>
      <w:r>
        <w:rPr>
          <w:rFonts w:asciiTheme="minorHAnsi" w:hAnsiTheme="minorHAnsi" w:cstheme="minorHAnsi"/>
          <w:noProof/>
          <w:sz w:val="22"/>
          <w:szCs w:val="22"/>
        </w:rPr>
        <w:t>(Gómez et al., 2006)</w:t>
      </w:r>
      <w:r>
        <w:rPr>
          <w:rFonts w:asciiTheme="minorHAnsi" w:hAnsiTheme="minorHAnsi" w:cstheme="minorHAnsi"/>
          <w:sz w:val="22"/>
          <w:szCs w:val="22"/>
        </w:rPr>
        <w:t xml:space="preserve">.  The AUDIT-C also compares favourably with much longer assessments of unhealthy drinking in older adults that take account of </w:t>
      </w:r>
      <w:r w:rsidRPr="00A2532B">
        <w:rPr>
          <w:rFonts w:asciiTheme="minorHAnsi" w:hAnsiTheme="minorHAnsi" w:cstheme="minorHAnsi"/>
          <w:sz w:val="22"/>
          <w:szCs w:val="22"/>
        </w:rPr>
        <w:t>comorbidities, health issues, and medications</w:t>
      </w:r>
      <w:r>
        <w:rPr>
          <w:rFonts w:asciiTheme="minorHAnsi" w:hAnsiTheme="minorHAnsi" w:cstheme="minorHAnsi"/>
          <w:sz w:val="22"/>
          <w:szCs w:val="22"/>
        </w:rPr>
        <w:t xml:space="preserve"> </w:t>
      </w:r>
      <w:r>
        <w:rPr>
          <w:rFonts w:asciiTheme="minorHAnsi" w:hAnsiTheme="minorHAnsi" w:cstheme="minorHAnsi"/>
          <w:noProof/>
          <w:sz w:val="22"/>
          <w:szCs w:val="22"/>
        </w:rPr>
        <w:t>(Towers et al., 2019)</w:t>
      </w:r>
      <w:r w:rsidRPr="00A2532B">
        <w:rPr>
          <w:rFonts w:asciiTheme="minorHAnsi" w:hAnsiTheme="minorHAnsi" w:cstheme="minorHAnsi"/>
          <w:sz w:val="22"/>
          <w:szCs w:val="22"/>
        </w:rPr>
        <w:t xml:space="preserve">.  </w:t>
      </w:r>
      <w:r w:rsidR="002D6ADF">
        <w:rPr>
          <w:rFonts w:asciiTheme="minorHAnsi" w:hAnsiTheme="minorHAnsi" w:cstheme="minorHAnsi"/>
          <w:sz w:val="22"/>
          <w:szCs w:val="22"/>
        </w:rPr>
        <w:t xml:space="preserve">The search for ever briefer screening tools is attractive to practitioners in busy clinical contexts, particularly where there are imperatives to screen for multiple risk behaviours and health conditions.  </w:t>
      </w:r>
      <w:r>
        <w:rPr>
          <w:rFonts w:asciiTheme="minorHAnsi" w:hAnsiTheme="minorHAnsi" w:cstheme="minorHAnsi"/>
          <w:sz w:val="22"/>
          <w:szCs w:val="22"/>
        </w:rPr>
        <w:t xml:space="preserve">However, few studies have examined the performance of the individual AUDIT-C items, with most attention given to item 3, </w:t>
      </w:r>
      <w:r w:rsidRPr="005A70F5">
        <w:rPr>
          <w:rFonts w:asciiTheme="minorHAnsi" w:hAnsiTheme="minorHAnsi" w:cstheme="minorHAnsi"/>
          <w:sz w:val="22"/>
          <w:szCs w:val="22"/>
        </w:rPr>
        <w:t>which ask</w:t>
      </w:r>
      <w:r>
        <w:rPr>
          <w:rFonts w:asciiTheme="minorHAnsi" w:hAnsiTheme="minorHAnsi" w:cstheme="minorHAnsi"/>
          <w:sz w:val="22"/>
          <w:szCs w:val="22"/>
        </w:rPr>
        <w:t>s</w:t>
      </w:r>
      <w:r w:rsidRPr="005A70F5">
        <w:rPr>
          <w:rFonts w:asciiTheme="minorHAnsi" w:hAnsiTheme="minorHAnsi" w:cstheme="minorHAnsi"/>
          <w:sz w:val="22"/>
          <w:szCs w:val="22"/>
        </w:rPr>
        <w:t xml:space="preserve"> about </w:t>
      </w:r>
      <w:r>
        <w:rPr>
          <w:rFonts w:asciiTheme="minorHAnsi" w:hAnsiTheme="minorHAnsi" w:cstheme="minorHAnsi"/>
          <w:sz w:val="22"/>
          <w:szCs w:val="22"/>
        </w:rPr>
        <w:t>heavy episodic drinking</w:t>
      </w:r>
      <w:r w:rsidRPr="004856DE">
        <w:rPr>
          <w:rFonts w:asciiTheme="minorHAnsi" w:hAnsiTheme="minorHAnsi" w:cstheme="minorHAnsi"/>
          <w:sz w:val="22"/>
          <w:szCs w:val="22"/>
        </w:rPr>
        <w:t xml:space="preserve">, </w:t>
      </w:r>
      <w:r>
        <w:rPr>
          <w:rFonts w:asciiTheme="minorHAnsi" w:hAnsiTheme="minorHAnsi" w:cstheme="minorHAnsi"/>
          <w:sz w:val="22"/>
          <w:szCs w:val="22"/>
        </w:rPr>
        <w:t xml:space="preserve">and </w:t>
      </w:r>
      <w:r w:rsidRPr="004856DE">
        <w:rPr>
          <w:rFonts w:asciiTheme="minorHAnsi" w:hAnsiTheme="minorHAnsi" w:cstheme="minorHAnsi"/>
          <w:sz w:val="22"/>
          <w:szCs w:val="22"/>
        </w:rPr>
        <w:t xml:space="preserve">has been </w:t>
      </w:r>
      <w:r>
        <w:rPr>
          <w:rFonts w:asciiTheme="minorHAnsi" w:hAnsiTheme="minorHAnsi" w:cstheme="minorHAnsi"/>
          <w:sz w:val="22"/>
          <w:szCs w:val="22"/>
        </w:rPr>
        <w:t xml:space="preserve">validated as a single item screener </w:t>
      </w:r>
      <w:r>
        <w:rPr>
          <w:rFonts w:asciiTheme="minorHAnsi" w:hAnsiTheme="minorHAnsi" w:cstheme="minorHAnsi"/>
          <w:noProof/>
          <w:sz w:val="22"/>
          <w:szCs w:val="22"/>
        </w:rPr>
        <w:t>(Canagasaby, 2005; Mitchell et al., 2014)</w:t>
      </w:r>
      <w:r>
        <w:rPr>
          <w:rFonts w:asciiTheme="minorHAnsi" w:hAnsiTheme="minorHAnsi" w:cstheme="minorHAnsi"/>
          <w:sz w:val="22"/>
          <w:szCs w:val="22"/>
        </w:rPr>
        <w:t>.  The performance of item 3 may be importantly different among people who usually consume smaller</w:t>
      </w:r>
      <w:r w:rsidRPr="004856DE">
        <w:rPr>
          <w:rFonts w:asciiTheme="minorHAnsi" w:hAnsiTheme="minorHAnsi" w:cstheme="minorHAnsi"/>
          <w:sz w:val="22"/>
          <w:szCs w:val="22"/>
        </w:rPr>
        <w:t xml:space="preserve"> </w:t>
      </w:r>
      <w:r>
        <w:rPr>
          <w:rFonts w:asciiTheme="minorHAnsi" w:hAnsiTheme="minorHAnsi" w:cstheme="minorHAnsi"/>
          <w:sz w:val="22"/>
          <w:szCs w:val="22"/>
        </w:rPr>
        <w:t xml:space="preserve">quantities of alcohol relatively frequently, a pattern of consumption more typical at older ages </w:t>
      </w:r>
      <w:r>
        <w:rPr>
          <w:rFonts w:asciiTheme="minorHAnsi" w:hAnsiTheme="minorHAnsi" w:cstheme="minorHAnsi"/>
          <w:noProof/>
          <w:sz w:val="22"/>
          <w:szCs w:val="22"/>
        </w:rPr>
        <w:t>(Britton et al., 2015)</w:t>
      </w:r>
      <w:r>
        <w:rPr>
          <w:rFonts w:asciiTheme="minorHAnsi" w:hAnsiTheme="minorHAnsi" w:cstheme="minorHAnsi"/>
          <w:sz w:val="22"/>
          <w:szCs w:val="22"/>
        </w:rPr>
        <w:t xml:space="preserve">.  For this reason, it may be useful to explore usual frequency or usual quantity of drinking as candidates for single item screeners for use with older patient groups.  </w:t>
      </w:r>
    </w:p>
    <w:p w14:paraId="0A6D77C7" w14:textId="3DAC2604" w:rsidR="0038512E" w:rsidRPr="004856DE" w:rsidRDefault="0038512E" w:rsidP="00837C60">
      <w:pPr>
        <w:tabs>
          <w:tab w:val="left" w:pos="1368"/>
          <w:tab w:val="left" w:pos="3141"/>
          <w:tab w:val="left" w:pos="4428"/>
          <w:tab w:val="left" w:pos="5938"/>
          <w:tab w:val="left" w:pos="7308"/>
          <w:tab w:val="left" w:pos="9648"/>
        </w:tabs>
        <w:spacing w:before="120" w:after="120" w:line="480" w:lineRule="auto"/>
        <w:rPr>
          <w:rFonts w:asciiTheme="minorHAnsi" w:hAnsiTheme="minorHAnsi" w:cstheme="minorHAnsi"/>
        </w:rPr>
      </w:pPr>
      <w:r w:rsidRPr="004856DE">
        <w:rPr>
          <w:rFonts w:asciiTheme="minorHAnsi" w:hAnsiTheme="minorHAnsi" w:cstheme="minorHAnsi"/>
          <w:sz w:val="22"/>
          <w:szCs w:val="22"/>
        </w:rPr>
        <w:t>The aim of th</w:t>
      </w:r>
      <w:r>
        <w:rPr>
          <w:rFonts w:asciiTheme="minorHAnsi" w:hAnsiTheme="minorHAnsi" w:cstheme="minorHAnsi"/>
          <w:sz w:val="22"/>
          <w:szCs w:val="22"/>
        </w:rPr>
        <w:t xml:space="preserve">is </w:t>
      </w:r>
      <w:r w:rsidRPr="004856DE">
        <w:rPr>
          <w:rFonts w:asciiTheme="minorHAnsi" w:hAnsiTheme="minorHAnsi" w:cstheme="minorHAnsi"/>
          <w:sz w:val="22"/>
          <w:szCs w:val="22"/>
        </w:rPr>
        <w:t>study</w:t>
      </w:r>
      <w:r>
        <w:rPr>
          <w:rFonts w:asciiTheme="minorHAnsi" w:hAnsiTheme="minorHAnsi" w:cstheme="minorHAnsi"/>
          <w:sz w:val="22"/>
          <w:szCs w:val="22"/>
        </w:rPr>
        <w:t xml:space="preserve"> was </w:t>
      </w:r>
      <w:r w:rsidRPr="004856DE">
        <w:rPr>
          <w:rFonts w:asciiTheme="minorHAnsi" w:hAnsiTheme="minorHAnsi" w:cstheme="minorHAnsi"/>
          <w:sz w:val="22"/>
          <w:szCs w:val="22"/>
        </w:rPr>
        <w:t>to</w:t>
      </w:r>
      <w:r>
        <w:rPr>
          <w:rFonts w:asciiTheme="minorHAnsi" w:hAnsiTheme="minorHAnsi" w:cstheme="minorHAnsi"/>
          <w:sz w:val="22"/>
          <w:szCs w:val="22"/>
        </w:rPr>
        <w:t xml:space="preserve"> conduct a preliminary assessment of the validity of the </w:t>
      </w:r>
      <w:r w:rsidRPr="004856DE">
        <w:rPr>
          <w:rFonts w:asciiTheme="minorHAnsi" w:hAnsiTheme="minorHAnsi" w:cstheme="minorHAnsi"/>
          <w:sz w:val="22"/>
          <w:szCs w:val="22"/>
        </w:rPr>
        <w:t>AUDIT-C</w:t>
      </w:r>
      <w:r>
        <w:rPr>
          <w:rFonts w:asciiTheme="minorHAnsi" w:hAnsiTheme="minorHAnsi" w:cstheme="minorHAnsi"/>
          <w:sz w:val="22"/>
          <w:szCs w:val="22"/>
        </w:rPr>
        <w:t xml:space="preserve"> in identifying unhealthy drinking in a sample of older people, and to examine the performance of the three </w:t>
      </w:r>
      <w:r w:rsidR="003A37DA">
        <w:rPr>
          <w:rFonts w:asciiTheme="minorHAnsi" w:hAnsiTheme="minorHAnsi" w:cstheme="minorHAnsi"/>
          <w:sz w:val="22"/>
          <w:szCs w:val="22"/>
        </w:rPr>
        <w:t xml:space="preserve">AUDIT-C </w:t>
      </w:r>
      <w:r>
        <w:rPr>
          <w:rFonts w:asciiTheme="minorHAnsi" w:hAnsiTheme="minorHAnsi" w:cstheme="minorHAnsi"/>
          <w:sz w:val="22"/>
          <w:szCs w:val="22"/>
        </w:rPr>
        <w:t>items relative to each other</w:t>
      </w:r>
      <w:r w:rsidR="008A3B99">
        <w:rPr>
          <w:rFonts w:asciiTheme="minorHAnsi" w:hAnsiTheme="minorHAnsi" w:cstheme="minorHAnsi"/>
          <w:sz w:val="22"/>
          <w:szCs w:val="22"/>
        </w:rPr>
        <w:t xml:space="preserve"> with a view to developing a single item screener</w:t>
      </w:r>
      <w:r w:rsidR="003A37DA">
        <w:rPr>
          <w:rFonts w:asciiTheme="minorHAnsi" w:hAnsiTheme="minorHAnsi" w:cstheme="minorHAnsi"/>
          <w:sz w:val="22"/>
          <w:szCs w:val="22"/>
        </w:rPr>
        <w:t xml:space="preserve"> for this population</w:t>
      </w:r>
      <w:r w:rsidR="008A3B99">
        <w:rPr>
          <w:rFonts w:asciiTheme="minorHAnsi" w:hAnsiTheme="minorHAnsi" w:cstheme="minorHAnsi"/>
          <w:sz w:val="22"/>
          <w:szCs w:val="22"/>
        </w:rPr>
        <w:t xml:space="preserve">.  </w:t>
      </w:r>
      <w:r w:rsidR="001248FE">
        <w:rPr>
          <w:rFonts w:asciiTheme="minorHAnsi" w:hAnsiTheme="minorHAnsi" w:cstheme="minorHAnsi"/>
          <w:sz w:val="22"/>
          <w:szCs w:val="22"/>
        </w:rPr>
        <w:t>T</w:t>
      </w:r>
      <w:r>
        <w:rPr>
          <w:rFonts w:asciiTheme="minorHAnsi" w:hAnsiTheme="minorHAnsi" w:cstheme="minorHAnsi"/>
          <w:sz w:val="22"/>
          <w:szCs w:val="22"/>
        </w:rPr>
        <w:t xml:space="preserve">he </w:t>
      </w:r>
      <w:r w:rsidRPr="00097DC8">
        <w:rPr>
          <w:rFonts w:asciiTheme="minorHAnsi" w:hAnsiTheme="minorHAnsi" w:cstheme="minorHAnsi"/>
          <w:sz w:val="22"/>
          <w:szCs w:val="22"/>
        </w:rPr>
        <w:t xml:space="preserve">high prevalence </w:t>
      </w:r>
      <w:r w:rsidR="001248FE">
        <w:rPr>
          <w:rFonts w:asciiTheme="minorHAnsi" w:hAnsiTheme="minorHAnsi" w:cstheme="minorHAnsi"/>
          <w:sz w:val="22"/>
          <w:szCs w:val="22"/>
        </w:rPr>
        <w:t xml:space="preserve">of </w:t>
      </w:r>
      <w:proofErr w:type="gramStart"/>
      <w:r w:rsidR="001248FE">
        <w:rPr>
          <w:rFonts w:asciiTheme="minorHAnsi" w:hAnsiTheme="minorHAnsi" w:cstheme="minorHAnsi"/>
          <w:sz w:val="22"/>
          <w:szCs w:val="22"/>
        </w:rPr>
        <w:t>long term</w:t>
      </w:r>
      <w:proofErr w:type="gramEnd"/>
      <w:r w:rsidR="001248FE">
        <w:rPr>
          <w:rFonts w:asciiTheme="minorHAnsi" w:hAnsiTheme="minorHAnsi" w:cstheme="minorHAnsi"/>
          <w:sz w:val="22"/>
          <w:szCs w:val="22"/>
        </w:rPr>
        <w:t xml:space="preserve"> conditions </w:t>
      </w:r>
      <w:r w:rsidRPr="00097DC8">
        <w:rPr>
          <w:rFonts w:asciiTheme="minorHAnsi" w:hAnsiTheme="minorHAnsi" w:cstheme="minorHAnsi"/>
          <w:sz w:val="22"/>
          <w:szCs w:val="22"/>
        </w:rPr>
        <w:t xml:space="preserve">among older adults </w:t>
      </w:r>
      <w:r>
        <w:rPr>
          <w:rFonts w:asciiTheme="minorHAnsi" w:hAnsiTheme="minorHAnsi" w:cstheme="minorHAnsi"/>
          <w:noProof/>
          <w:sz w:val="22"/>
          <w:szCs w:val="22"/>
        </w:rPr>
        <w:t>(Barnett et al., 2012)</w:t>
      </w:r>
      <w:r w:rsidR="001248FE">
        <w:rPr>
          <w:rFonts w:asciiTheme="minorHAnsi" w:hAnsiTheme="minorHAnsi" w:cstheme="minorHAnsi"/>
          <w:noProof/>
          <w:sz w:val="22"/>
          <w:szCs w:val="22"/>
        </w:rPr>
        <w:t xml:space="preserve"> give</w:t>
      </w:r>
      <w:r w:rsidR="003A37DA">
        <w:rPr>
          <w:rFonts w:asciiTheme="minorHAnsi" w:hAnsiTheme="minorHAnsi" w:cstheme="minorHAnsi"/>
          <w:noProof/>
          <w:sz w:val="22"/>
          <w:szCs w:val="22"/>
        </w:rPr>
        <w:t>s</w:t>
      </w:r>
      <w:r w:rsidR="001248FE">
        <w:rPr>
          <w:rFonts w:asciiTheme="minorHAnsi" w:hAnsiTheme="minorHAnsi" w:cstheme="minorHAnsi"/>
          <w:noProof/>
          <w:sz w:val="22"/>
          <w:szCs w:val="22"/>
        </w:rPr>
        <w:t xml:space="preserve"> rise to concerns about </w:t>
      </w:r>
      <w:r>
        <w:rPr>
          <w:rFonts w:asciiTheme="minorHAnsi" w:hAnsiTheme="minorHAnsi" w:cstheme="minorHAnsi"/>
          <w:sz w:val="22"/>
          <w:szCs w:val="22"/>
        </w:rPr>
        <w:t xml:space="preserve">the potential impact of alcohol </w:t>
      </w:r>
      <w:r w:rsidR="001248FE">
        <w:rPr>
          <w:rFonts w:asciiTheme="minorHAnsi" w:hAnsiTheme="minorHAnsi" w:cstheme="minorHAnsi"/>
          <w:sz w:val="22"/>
          <w:szCs w:val="22"/>
        </w:rPr>
        <w:t xml:space="preserve">consumption </w:t>
      </w:r>
      <w:r>
        <w:rPr>
          <w:rFonts w:asciiTheme="minorHAnsi" w:hAnsiTheme="minorHAnsi" w:cstheme="minorHAnsi"/>
          <w:sz w:val="22"/>
          <w:szCs w:val="22"/>
        </w:rPr>
        <w:t xml:space="preserve">on the effectiveness of </w:t>
      </w:r>
      <w:r w:rsidR="001248FE">
        <w:rPr>
          <w:rFonts w:asciiTheme="minorHAnsi" w:hAnsiTheme="minorHAnsi" w:cstheme="minorHAnsi"/>
          <w:sz w:val="22"/>
          <w:szCs w:val="22"/>
        </w:rPr>
        <w:t xml:space="preserve">prescribed </w:t>
      </w:r>
      <w:r>
        <w:rPr>
          <w:rFonts w:asciiTheme="minorHAnsi" w:hAnsiTheme="minorHAnsi" w:cstheme="minorHAnsi"/>
          <w:sz w:val="22"/>
          <w:szCs w:val="22"/>
        </w:rPr>
        <w:t xml:space="preserve">medications </w:t>
      </w:r>
      <w:r w:rsidR="002D6ADF">
        <w:rPr>
          <w:rFonts w:asciiTheme="minorHAnsi" w:hAnsiTheme="minorHAnsi" w:cstheme="minorHAnsi"/>
          <w:sz w:val="22"/>
          <w:szCs w:val="22"/>
        </w:rPr>
        <w:t>and other indirect harms to health and well-being</w:t>
      </w:r>
      <w:r w:rsidR="004741EF">
        <w:rPr>
          <w:rFonts w:asciiTheme="minorHAnsi" w:hAnsiTheme="minorHAnsi" w:cstheme="minorHAnsi"/>
          <w:sz w:val="22"/>
          <w:szCs w:val="22"/>
        </w:rPr>
        <w:t xml:space="preserve"> </w:t>
      </w:r>
      <w:r>
        <w:rPr>
          <w:rFonts w:asciiTheme="minorHAnsi" w:hAnsiTheme="minorHAnsi" w:cstheme="minorHAnsi"/>
          <w:noProof/>
          <w:sz w:val="22"/>
          <w:szCs w:val="22"/>
        </w:rPr>
        <w:t>(Stewart and McCambridge, 2019)</w:t>
      </w:r>
      <w:r w:rsidRPr="00B14F92">
        <w:rPr>
          <w:rFonts w:asciiTheme="minorHAnsi" w:hAnsiTheme="minorHAnsi" w:cstheme="minorHAnsi"/>
          <w:sz w:val="22"/>
          <w:szCs w:val="22"/>
        </w:rPr>
        <w:t>.</w:t>
      </w:r>
      <w:r w:rsidR="00015B5F">
        <w:rPr>
          <w:rFonts w:asciiTheme="minorHAnsi" w:hAnsiTheme="minorHAnsi" w:cstheme="minorHAnsi"/>
          <w:sz w:val="22"/>
          <w:szCs w:val="22"/>
        </w:rPr>
        <w:t xml:space="preserve"> </w:t>
      </w:r>
      <w:r w:rsidR="001248FE">
        <w:rPr>
          <w:rFonts w:asciiTheme="minorHAnsi" w:hAnsiTheme="minorHAnsi" w:cstheme="minorHAnsi"/>
          <w:sz w:val="22"/>
          <w:szCs w:val="22"/>
        </w:rPr>
        <w:t xml:space="preserve">  </w:t>
      </w:r>
      <w:r w:rsidR="00CF2E01">
        <w:rPr>
          <w:rFonts w:asciiTheme="minorHAnsi" w:hAnsiTheme="minorHAnsi" w:cstheme="minorHAnsi"/>
          <w:sz w:val="22"/>
          <w:szCs w:val="22"/>
        </w:rPr>
        <w:t>Given the paucity of research in this field, w</w:t>
      </w:r>
      <w:r w:rsidR="007350AA">
        <w:rPr>
          <w:rFonts w:asciiTheme="minorHAnsi" w:hAnsiTheme="minorHAnsi" w:cstheme="minorHAnsi"/>
          <w:sz w:val="22"/>
          <w:szCs w:val="22"/>
        </w:rPr>
        <w:t xml:space="preserve">e </w:t>
      </w:r>
      <w:r w:rsidR="005B62AB">
        <w:rPr>
          <w:rFonts w:asciiTheme="minorHAnsi" w:hAnsiTheme="minorHAnsi" w:cstheme="minorHAnsi"/>
          <w:sz w:val="22"/>
          <w:szCs w:val="22"/>
        </w:rPr>
        <w:t>explore</w:t>
      </w:r>
      <w:r w:rsidR="007350AA">
        <w:rPr>
          <w:rFonts w:asciiTheme="minorHAnsi" w:hAnsiTheme="minorHAnsi" w:cstheme="minorHAnsi"/>
          <w:sz w:val="22"/>
          <w:szCs w:val="22"/>
        </w:rPr>
        <w:t>d</w:t>
      </w:r>
      <w:r w:rsidR="005B62AB">
        <w:rPr>
          <w:rFonts w:asciiTheme="minorHAnsi" w:hAnsiTheme="minorHAnsi" w:cstheme="minorHAnsi"/>
          <w:sz w:val="22"/>
          <w:szCs w:val="22"/>
        </w:rPr>
        <w:t xml:space="preserve"> the AUDIT-C in sub-group</w:t>
      </w:r>
      <w:r w:rsidR="002D6ADF">
        <w:rPr>
          <w:rFonts w:asciiTheme="minorHAnsi" w:hAnsiTheme="minorHAnsi" w:cstheme="minorHAnsi"/>
          <w:sz w:val="22"/>
          <w:szCs w:val="22"/>
        </w:rPr>
        <w:t>s</w:t>
      </w:r>
      <w:r w:rsidR="005B62AB">
        <w:rPr>
          <w:rFonts w:asciiTheme="minorHAnsi" w:hAnsiTheme="minorHAnsi" w:cstheme="minorHAnsi"/>
          <w:sz w:val="22"/>
          <w:szCs w:val="22"/>
        </w:rPr>
        <w:t xml:space="preserve"> </w:t>
      </w:r>
      <w:r w:rsidR="00871C24">
        <w:rPr>
          <w:rFonts w:asciiTheme="minorHAnsi" w:hAnsiTheme="minorHAnsi" w:cstheme="minorHAnsi"/>
          <w:sz w:val="22"/>
          <w:szCs w:val="22"/>
        </w:rPr>
        <w:t xml:space="preserve">of participants </w:t>
      </w:r>
      <w:r w:rsidR="007350AA">
        <w:rPr>
          <w:rFonts w:asciiTheme="minorHAnsi" w:hAnsiTheme="minorHAnsi" w:cstheme="minorHAnsi"/>
          <w:sz w:val="22"/>
          <w:szCs w:val="22"/>
        </w:rPr>
        <w:t>prescribed medication for long term conditions</w:t>
      </w:r>
      <w:r w:rsidR="000B6E7C">
        <w:rPr>
          <w:rFonts w:asciiTheme="minorHAnsi" w:hAnsiTheme="minorHAnsi" w:cstheme="minorHAnsi"/>
          <w:sz w:val="22"/>
          <w:szCs w:val="22"/>
        </w:rPr>
        <w:t xml:space="preserve"> </w:t>
      </w:r>
      <w:r w:rsidR="002D6ADF">
        <w:rPr>
          <w:rFonts w:asciiTheme="minorHAnsi" w:hAnsiTheme="minorHAnsi" w:cstheme="minorHAnsi"/>
          <w:sz w:val="22"/>
          <w:szCs w:val="22"/>
        </w:rPr>
        <w:t>or not</w:t>
      </w:r>
      <w:r w:rsidR="007350AA">
        <w:rPr>
          <w:rFonts w:asciiTheme="minorHAnsi" w:hAnsiTheme="minorHAnsi" w:cstheme="minorHAnsi"/>
          <w:sz w:val="22"/>
          <w:szCs w:val="22"/>
        </w:rPr>
        <w:t>,</w:t>
      </w:r>
      <w:r w:rsidR="002D6ADF" w:rsidRPr="002D6ADF">
        <w:rPr>
          <w:rFonts w:asciiTheme="minorHAnsi" w:hAnsiTheme="minorHAnsi" w:cstheme="minorHAnsi"/>
          <w:sz w:val="22"/>
          <w:szCs w:val="22"/>
        </w:rPr>
        <w:t xml:space="preserve"> </w:t>
      </w:r>
      <w:r w:rsidR="002D6ADF">
        <w:rPr>
          <w:rFonts w:asciiTheme="minorHAnsi" w:hAnsiTheme="minorHAnsi" w:cstheme="minorHAnsi"/>
          <w:sz w:val="22"/>
          <w:szCs w:val="22"/>
        </w:rPr>
        <w:t>in part to gain insight into whether there may be distinct issues raised in connection with the validity of screening tools</w:t>
      </w:r>
      <w:r w:rsidR="00CF2E01">
        <w:rPr>
          <w:rFonts w:asciiTheme="minorHAnsi" w:hAnsiTheme="minorHAnsi" w:cstheme="minorHAnsi"/>
          <w:sz w:val="22"/>
          <w:szCs w:val="22"/>
        </w:rPr>
        <w:t>.</w:t>
      </w:r>
    </w:p>
    <w:p w14:paraId="2498D35A" w14:textId="77777777" w:rsidR="0038512E" w:rsidRPr="00A97839" w:rsidRDefault="0038512E" w:rsidP="00CF20ED">
      <w:pPr>
        <w:spacing w:line="480" w:lineRule="auto"/>
        <w:rPr>
          <w:rFonts w:asciiTheme="minorHAnsi" w:hAnsiTheme="minorHAnsi" w:cstheme="minorHAnsi"/>
          <w:b/>
          <w:sz w:val="22"/>
          <w:szCs w:val="22"/>
        </w:rPr>
      </w:pPr>
      <w:r>
        <w:rPr>
          <w:rFonts w:asciiTheme="minorHAnsi" w:hAnsiTheme="minorHAnsi" w:cstheme="minorHAnsi"/>
          <w:b/>
          <w:sz w:val="22"/>
          <w:szCs w:val="22"/>
        </w:rPr>
        <w:lastRenderedPageBreak/>
        <w:t>Method</w:t>
      </w:r>
    </w:p>
    <w:p w14:paraId="15F0F72B" w14:textId="77777777" w:rsidR="0038512E" w:rsidRDefault="0038512E" w:rsidP="00CF20ED">
      <w:pPr>
        <w:spacing w:line="480" w:lineRule="auto"/>
        <w:rPr>
          <w:rFonts w:asciiTheme="minorHAnsi" w:hAnsiTheme="minorHAnsi" w:cstheme="minorHAnsi"/>
          <w:sz w:val="22"/>
          <w:szCs w:val="22"/>
        </w:rPr>
      </w:pPr>
      <w:r>
        <w:rPr>
          <w:rFonts w:asciiTheme="minorHAnsi" w:hAnsiTheme="minorHAnsi" w:cstheme="minorHAnsi"/>
          <w:sz w:val="22"/>
          <w:szCs w:val="22"/>
        </w:rPr>
        <w:t xml:space="preserve">Participants were </w:t>
      </w:r>
      <w:r w:rsidRPr="004856DE">
        <w:rPr>
          <w:rFonts w:asciiTheme="minorHAnsi" w:hAnsiTheme="minorHAnsi" w:cstheme="minorHAnsi"/>
          <w:sz w:val="22"/>
          <w:szCs w:val="22"/>
        </w:rPr>
        <w:t>recruite</w:t>
      </w:r>
      <w:r>
        <w:rPr>
          <w:rFonts w:asciiTheme="minorHAnsi" w:hAnsiTheme="minorHAnsi" w:cstheme="minorHAnsi"/>
          <w:sz w:val="22"/>
          <w:szCs w:val="22"/>
        </w:rPr>
        <w:t xml:space="preserve">d from non-clinical community groups for older people, </w:t>
      </w:r>
      <w:r w:rsidRPr="004856DE">
        <w:rPr>
          <w:rFonts w:asciiTheme="minorHAnsi" w:hAnsiTheme="minorHAnsi" w:cstheme="minorHAnsi"/>
          <w:sz w:val="22"/>
          <w:szCs w:val="22"/>
        </w:rPr>
        <w:t>including those that support people with specific chronic health conditions</w:t>
      </w:r>
      <w:r>
        <w:rPr>
          <w:rFonts w:asciiTheme="minorHAnsi" w:hAnsiTheme="minorHAnsi" w:cstheme="minorHAnsi"/>
          <w:sz w:val="22"/>
          <w:szCs w:val="22"/>
        </w:rPr>
        <w:t xml:space="preserve">, over a </w:t>
      </w:r>
      <w:proofErr w:type="gramStart"/>
      <w:r>
        <w:rPr>
          <w:rFonts w:asciiTheme="minorHAnsi" w:hAnsiTheme="minorHAnsi" w:cstheme="minorHAnsi"/>
          <w:sz w:val="22"/>
          <w:szCs w:val="22"/>
        </w:rPr>
        <w:t>two month</w:t>
      </w:r>
      <w:proofErr w:type="gramEnd"/>
      <w:r>
        <w:rPr>
          <w:rFonts w:asciiTheme="minorHAnsi" w:hAnsiTheme="minorHAnsi" w:cstheme="minorHAnsi"/>
          <w:sz w:val="22"/>
          <w:szCs w:val="22"/>
        </w:rPr>
        <w:t xml:space="preserve"> period in 2018</w:t>
      </w:r>
      <w:r w:rsidRPr="004856DE">
        <w:rPr>
          <w:rFonts w:asciiTheme="minorHAnsi" w:hAnsiTheme="minorHAnsi" w:cstheme="minorHAnsi"/>
          <w:sz w:val="22"/>
          <w:szCs w:val="22"/>
        </w:rPr>
        <w:t xml:space="preserve">.  Eligible participants </w:t>
      </w:r>
      <w:r>
        <w:rPr>
          <w:rFonts w:asciiTheme="minorHAnsi" w:hAnsiTheme="minorHAnsi" w:cstheme="minorHAnsi"/>
          <w:sz w:val="22"/>
          <w:szCs w:val="22"/>
        </w:rPr>
        <w:t xml:space="preserve">were </w:t>
      </w:r>
      <w:r w:rsidRPr="00E307DC">
        <w:rPr>
          <w:rFonts w:asciiTheme="minorHAnsi" w:hAnsiTheme="minorHAnsi" w:cstheme="minorHAnsi"/>
          <w:sz w:val="22"/>
          <w:szCs w:val="22"/>
        </w:rPr>
        <w:t>50 years of age or older</w:t>
      </w:r>
      <w:r>
        <w:rPr>
          <w:rFonts w:asciiTheme="minorHAnsi" w:hAnsiTheme="minorHAnsi" w:cstheme="minorHAnsi"/>
          <w:sz w:val="22"/>
          <w:szCs w:val="22"/>
        </w:rPr>
        <w:t xml:space="preserve"> and self-reported being </w:t>
      </w:r>
      <w:r w:rsidRPr="004856DE">
        <w:rPr>
          <w:rFonts w:asciiTheme="minorHAnsi" w:hAnsiTheme="minorHAnsi" w:cstheme="minorHAnsi"/>
          <w:sz w:val="22"/>
          <w:szCs w:val="22"/>
        </w:rPr>
        <w:t>current drinkers</w:t>
      </w:r>
      <w:r>
        <w:rPr>
          <w:rFonts w:asciiTheme="minorHAnsi" w:hAnsiTheme="minorHAnsi" w:cstheme="minorHAnsi"/>
          <w:sz w:val="22"/>
          <w:szCs w:val="22"/>
        </w:rPr>
        <w:t>, defined as having consumed alcohol within the past month.   The study was ethically approved by the University of York Department of Health Sciences.  For each group, a</w:t>
      </w:r>
      <w:r w:rsidRPr="00E307DC">
        <w:rPr>
          <w:rFonts w:asciiTheme="minorHAnsi" w:hAnsiTheme="minorHAnsi" w:cstheme="minorHAnsi"/>
          <w:sz w:val="22"/>
          <w:szCs w:val="22"/>
        </w:rPr>
        <w:t xml:space="preserve"> date for the researcher’s visit was arranged</w:t>
      </w:r>
      <w:r>
        <w:rPr>
          <w:rFonts w:asciiTheme="minorHAnsi" w:hAnsiTheme="minorHAnsi" w:cstheme="minorHAnsi"/>
          <w:sz w:val="22"/>
          <w:szCs w:val="22"/>
        </w:rPr>
        <w:t xml:space="preserve"> and</w:t>
      </w:r>
      <w:r w:rsidRPr="00E307DC">
        <w:rPr>
          <w:rFonts w:asciiTheme="minorHAnsi" w:hAnsiTheme="minorHAnsi" w:cstheme="minorHAnsi"/>
          <w:sz w:val="22"/>
          <w:szCs w:val="22"/>
        </w:rPr>
        <w:t xml:space="preserve"> a flyer for distribution to group members sent in advance.  Our aim was to approach all potential participants, but we were guided by group leads as to whether any individuals on the day of the visit should not be approached (e.g. have expressed unwillingness to take part, lacking capacity to consent, or for some other reason e.g. distress).  Since group attendance could not be known in advance, the researcher recruited participants opportunistically, ensuring that only those </w:t>
      </w:r>
      <w:r>
        <w:rPr>
          <w:rFonts w:asciiTheme="minorHAnsi" w:hAnsiTheme="minorHAnsi" w:cstheme="minorHAnsi"/>
          <w:sz w:val="22"/>
          <w:szCs w:val="22"/>
        </w:rPr>
        <w:t xml:space="preserve">eligible </w:t>
      </w:r>
      <w:r w:rsidRPr="00E307DC">
        <w:rPr>
          <w:rFonts w:asciiTheme="minorHAnsi" w:hAnsiTheme="minorHAnsi" w:cstheme="minorHAnsi"/>
          <w:sz w:val="22"/>
          <w:szCs w:val="22"/>
        </w:rPr>
        <w:t>and not previous participa</w:t>
      </w:r>
      <w:r>
        <w:rPr>
          <w:rFonts w:asciiTheme="minorHAnsi" w:hAnsiTheme="minorHAnsi" w:cstheme="minorHAnsi"/>
          <w:sz w:val="22"/>
          <w:szCs w:val="22"/>
        </w:rPr>
        <w:t xml:space="preserve">nts </w:t>
      </w:r>
      <w:r w:rsidRPr="00E307DC">
        <w:rPr>
          <w:rFonts w:asciiTheme="minorHAnsi" w:hAnsiTheme="minorHAnsi" w:cstheme="minorHAnsi"/>
          <w:sz w:val="22"/>
          <w:szCs w:val="22"/>
        </w:rPr>
        <w:t>at another group were invited to take part.  P</w:t>
      </w:r>
      <w:r>
        <w:rPr>
          <w:rFonts w:asciiTheme="minorHAnsi" w:hAnsiTheme="minorHAnsi" w:cstheme="minorHAnsi"/>
          <w:sz w:val="22"/>
          <w:szCs w:val="22"/>
        </w:rPr>
        <w:t>otential p</w:t>
      </w:r>
      <w:r w:rsidRPr="00E307DC">
        <w:rPr>
          <w:rFonts w:asciiTheme="minorHAnsi" w:hAnsiTheme="minorHAnsi" w:cstheme="minorHAnsi"/>
          <w:sz w:val="22"/>
          <w:szCs w:val="22"/>
        </w:rPr>
        <w:t>articipants were provided with a study information sheet and the researcher answered any questions before a consent form was signed.</w:t>
      </w:r>
      <w:r>
        <w:rPr>
          <w:rFonts w:asciiTheme="minorHAnsi" w:hAnsiTheme="minorHAnsi" w:cstheme="minorHAnsi"/>
          <w:sz w:val="22"/>
          <w:szCs w:val="22"/>
        </w:rPr>
        <w:t xml:space="preserve">  Each participant completed a general health questionnaire (the alcohol focus of the research was not disclosed), including t</w:t>
      </w:r>
      <w:r w:rsidRPr="004856DE">
        <w:rPr>
          <w:rFonts w:asciiTheme="minorHAnsi" w:hAnsiTheme="minorHAnsi" w:cstheme="minorHAnsi"/>
          <w:sz w:val="22"/>
          <w:szCs w:val="22"/>
        </w:rPr>
        <w:t xml:space="preserve">he AUDIT-C and </w:t>
      </w:r>
      <w:r>
        <w:rPr>
          <w:rFonts w:asciiTheme="minorHAnsi" w:hAnsiTheme="minorHAnsi" w:cstheme="minorHAnsi"/>
          <w:sz w:val="22"/>
          <w:szCs w:val="22"/>
        </w:rPr>
        <w:t xml:space="preserve">a retrospective </w:t>
      </w:r>
      <w:r w:rsidRPr="004856DE">
        <w:rPr>
          <w:rFonts w:asciiTheme="minorHAnsi" w:hAnsiTheme="minorHAnsi" w:cstheme="minorHAnsi"/>
          <w:sz w:val="22"/>
          <w:szCs w:val="22"/>
        </w:rPr>
        <w:t>7-day drinking diary (</w:t>
      </w:r>
      <w:r>
        <w:rPr>
          <w:rFonts w:asciiTheme="minorHAnsi" w:hAnsiTheme="minorHAnsi" w:cstheme="minorHAnsi"/>
          <w:sz w:val="22"/>
          <w:szCs w:val="22"/>
        </w:rPr>
        <w:t xml:space="preserve">in that order).  The questionnaire </w:t>
      </w:r>
      <w:r w:rsidRPr="00EC2498">
        <w:rPr>
          <w:rFonts w:asciiTheme="minorHAnsi" w:hAnsiTheme="minorHAnsi" w:cstheme="minorHAnsi"/>
          <w:sz w:val="22"/>
          <w:szCs w:val="22"/>
        </w:rPr>
        <w:t xml:space="preserve">took approximately 10-15 minutes to complete.  </w:t>
      </w:r>
      <w:r w:rsidRPr="00C02064">
        <w:rPr>
          <w:rFonts w:asciiTheme="minorHAnsi" w:hAnsiTheme="minorHAnsi" w:cstheme="minorHAnsi"/>
          <w:sz w:val="22"/>
          <w:szCs w:val="22"/>
        </w:rPr>
        <w:t xml:space="preserve">The </w:t>
      </w:r>
      <w:r>
        <w:rPr>
          <w:rFonts w:asciiTheme="minorHAnsi" w:hAnsiTheme="minorHAnsi" w:cstheme="minorHAnsi"/>
          <w:sz w:val="22"/>
          <w:szCs w:val="22"/>
        </w:rPr>
        <w:t xml:space="preserve">three </w:t>
      </w:r>
      <w:r w:rsidRPr="00C02064">
        <w:rPr>
          <w:rFonts w:asciiTheme="minorHAnsi" w:hAnsiTheme="minorHAnsi" w:cstheme="minorHAnsi"/>
          <w:sz w:val="22"/>
          <w:szCs w:val="22"/>
        </w:rPr>
        <w:t xml:space="preserve">AUDIT-C </w:t>
      </w:r>
      <w:r>
        <w:rPr>
          <w:rFonts w:asciiTheme="minorHAnsi" w:hAnsiTheme="minorHAnsi" w:cstheme="minorHAnsi"/>
          <w:sz w:val="22"/>
          <w:szCs w:val="22"/>
        </w:rPr>
        <w:t>questions (for the last 3 months), response categories and scoring were</w:t>
      </w:r>
      <w:r w:rsidRPr="00C02064">
        <w:rPr>
          <w:rFonts w:asciiTheme="minorHAnsi" w:hAnsiTheme="minorHAnsi" w:cstheme="minorHAnsi"/>
          <w:sz w:val="22"/>
          <w:szCs w:val="22"/>
        </w:rPr>
        <w:t>:</w:t>
      </w:r>
    </w:p>
    <w:p w14:paraId="5846ED6F" w14:textId="77777777" w:rsidR="0038512E" w:rsidRPr="00C02064" w:rsidRDefault="0038512E" w:rsidP="00CF20ED">
      <w:pPr>
        <w:spacing w:line="480" w:lineRule="auto"/>
        <w:rPr>
          <w:rFonts w:asciiTheme="minorHAnsi" w:hAnsiTheme="minorHAnsi" w:cstheme="minorHAnsi"/>
          <w:sz w:val="22"/>
          <w:szCs w:val="22"/>
        </w:rPr>
      </w:pPr>
    </w:p>
    <w:p w14:paraId="340F99BC" w14:textId="77777777" w:rsidR="0038512E" w:rsidRDefault="0038512E" w:rsidP="00CF20ED">
      <w:pPr>
        <w:spacing w:line="480" w:lineRule="auto"/>
        <w:rPr>
          <w:rFonts w:asciiTheme="minorHAnsi" w:hAnsiTheme="minorHAnsi" w:cstheme="minorHAnsi"/>
          <w:sz w:val="22"/>
          <w:szCs w:val="22"/>
        </w:rPr>
      </w:pPr>
      <w:r w:rsidRPr="00C02064">
        <w:rPr>
          <w:rFonts w:asciiTheme="minorHAnsi" w:hAnsiTheme="minorHAnsi" w:cstheme="minorHAnsi"/>
          <w:sz w:val="22"/>
          <w:szCs w:val="22"/>
        </w:rPr>
        <w:t>1. How often do you have a drink containing alcohol?</w:t>
      </w:r>
      <w:r>
        <w:rPr>
          <w:rFonts w:asciiTheme="minorHAnsi" w:hAnsiTheme="minorHAnsi" w:cstheme="minorHAnsi"/>
          <w:sz w:val="22"/>
          <w:szCs w:val="22"/>
        </w:rPr>
        <w:t xml:space="preserve">  </w:t>
      </w:r>
      <w:r w:rsidRPr="00C02064">
        <w:rPr>
          <w:rFonts w:asciiTheme="minorHAnsi" w:hAnsiTheme="minorHAnsi" w:cstheme="minorHAnsi"/>
          <w:sz w:val="22"/>
          <w:szCs w:val="22"/>
        </w:rPr>
        <w:t>Never (</w:t>
      </w:r>
      <w:r>
        <w:rPr>
          <w:rFonts w:asciiTheme="minorHAnsi" w:hAnsiTheme="minorHAnsi" w:cstheme="minorHAnsi"/>
          <w:sz w:val="22"/>
          <w:szCs w:val="22"/>
        </w:rPr>
        <w:t>0), Monthly or less (1</w:t>
      </w:r>
      <w:r w:rsidRPr="00C02064">
        <w:rPr>
          <w:rFonts w:asciiTheme="minorHAnsi" w:hAnsiTheme="minorHAnsi" w:cstheme="minorHAnsi"/>
          <w:sz w:val="22"/>
          <w:szCs w:val="22"/>
        </w:rPr>
        <w:t>),2–4 times per month (2), 2–3 times per week</w:t>
      </w:r>
      <w:r>
        <w:rPr>
          <w:rFonts w:asciiTheme="minorHAnsi" w:hAnsiTheme="minorHAnsi" w:cstheme="minorHAnsi"/>
          <w:sz w:val="22"/>
          <w:szCs w:val="22"/>
        </w:rPr>
        <w:t xml:space="preserve"> </w:t>
      </w:r>
      <w:r w:rsidRPr="00C02064">
        <w:rPr>
          <w:rFonts w:asciiTheme="minorHAnsi" w:hAnsiTheme="minorHAnsi" w:cstheme="minorHAnsi"/>
          <w:sz w:val="22"/>
          <w:szCs w:val="22"/>
        </w:rPr>
        <w:t>(3), 4+ times per week (</w:t>
      </w:r>
      <w:r>
        <w:rPr>
          <w:rFonts w:asciiTheme="minorHAnsi" w:hAnsiTheme="minorHAnsi" w:cstheme="minorHAnsi"/>
          <w:sz w:val="22"/>
          <w:szCs w:val="22"/>
        </w:rPr>
        <w:t>4).</w:t>
      </w:r>
    </w:p>
    <w:p w14:paraId="5589960A" w14:textId="77777777" w:rsidR="0038512E" w:rsidRPr="00C02064" w:rsidRDefault="0038512E" w:rsidP="00CF20ED">
      <w:pPr>
        <w:spacing w:line="480" w:lineRule="auto"/>
        <w:rPr>
          <w:rFonts w:asciiTheme="minorHAnsi" w:hAnsiTheme="minorHAnsi" w:cstheme="minorHAnsi"/>
          <w:sz w:val="22"/>
          <w:szCs w:val="22"/>
        </w:rPr>
      </w:pPr>
    </w:p>
    <w:p w14:paraId="1A4DE82F" w14:textId="77777777" w:rsidR="0038512E" w:rsidRPr="00C02064" w:rsidRDefault="0038512E" w:rsidP="00CF20ED">
      <w:pPr>
        <w:spacing w:line="480" w:lineRule="auto"/>
        <w:rPr>
          <w:rFonts w:asciiTheme="minorHAnsi" w:hAnsiTheme="minorHAnsi" w:cstheme="minorHAnsi"/>
          <w:sz w:val="22"/>
          <w:szCs w:val="22"/>
        </w:rPr>
      </w:pPr>
      <w:r w:rsidRPr="00C02064">
        <w:rPr>
          <w:rFonts w:asciiTheme="minorHAnsi" w:hAnsiTheme="minorHAnsi" w:cstheme="minorHAnsi"/>
          <w:sz w:val="22"/>
          <w:szCs w:val="22"/>
        </w:rPr>
        <w:t>2. How many units of alcohol do you drink on a typical</w:t>
      </w:r>
      <w:r>
        <w:rPr>
          <w:rFonts w:asciiTheme="minorHAnsi" w:hAnsiTheme="minorHAnsi" w:cstheme="minorHAnsi"/>
          <w:sz w:val="22"/>
          <w:szCs w:val="22"/>
        </w:rPr>
        <w:t xml:space="preserve"> </w:t>
      </w:r>
      <w:r w:rsidRPr="00C02064">
        <w:rPr>
          <w:rFonts w:asciiTheme="minorHAnsi" w:hAnsiTheme="minorHAnsi" w:cstheme="minorHAnsi"/>
          <w:sz w:val="22"/>
          <w:szCs w:val="22"/>
        </w:rPr>
        <w:t>day when you are drinking?</w:t>
      </w:r>
      <w:r>
        <w:rPr>
          <w:rFonts w:asciiTheme="minorHAnsi" w:hAnsiTheme="minorHAnsi" w:cstheme="minorHAnsi"/>
          <w:sz w:val="22"/>
          <w:szCs w:val="22"/>
        </w:rPr>
        <w:t xml:space="preserve">  </w:t>
      </w:r>
      <w:r w:rsidRPr="00C02064">
        <w:rPr>
          <w:rFonts w:asciiTheme="minorHAnsi" w:hAnsiTheme="minorHAnsi" w:cstheme="minorHAnsi"/>
          <w:sz w:val="22"/>
          <w:szCs w:val="22"/>
        </w:rPr>
        <w:t>1–2 (0),</w:t>
      </w:r>
    </w:p>
    <w:p w14:paraId="39D111CA" w14:textId="77777777" w:rsidR="0038512E" w:rsidRDefault="0038512E" w:rsidP="00CF20ED">
      <w:pPr>
        <w:spacing w:line="480" w:lineRule="auto"/>
        <w:rPr>
          <w:rFonts w:asciiTheme="minorHAnsi" w:hAnsiTheme="minorHAnsi" w:cstheme="minorHAnsi"/>
          <w:sz w:val="22"/>
          <w:szCs w:val="22"/>
        </w:rPr>
      </w:pPr>
      <w:r w:rsidRPr="00C02064">
        <w:rPr>
          <w:rFonts w:asciiTheme="minorHAnsi" w:hAnsiTheme="minorHAnsi" w:cstheme="minorHAnsi"/>
          <w:sz w:val="22"/>
          <w:szCs w:val="22"/>
        </w:rPr>
        <w:t>3–4 (1), 5–6 (2), 7–9 (3), 10+ (4)</w:t>
      </w:r>
      <w:r>
        <w:rPr>
          <w:rFonts w:asciiTheme="minorHAnsi" w:hAnsiTheme="minorHAnsi" w:cstheme="minorHAnsi"/>
          <w:sz w:val="22"/>
          <w:szCs w:val="22"/>
        </w:rPr>
        <w:t>.</w:t>
      </w:r>
    </w:p>
    <w:p w14:paraId="24A44D7F" w14:textId="77777777" w:rsidR="0038512E" w:rsidRPr="00C02064" w:rsidRDefault="0038512E" w:rsidP="00CF20ED">
      <w:pPr>
        <w:spacing w:line="480" w:lineRule="auto"/>
        <w:rPr>
          <w:rFonts w:asciiTheme="minorHAnsi" w:hAnsiTheme="minorHAnsi" w:cstheme="minorHAnsi"/>
          <w:sz w:val="22"/>
          <w:szCs w:val="22"/>
        </w:rPr>
      </w:pPr>
    </w:p>
    <w:p w14:paraId="4E3DD62E" w14:textId="77777777" w:rsidR="0038512E" w:rsidRDefault="0038512E" w:rsidP="00CF20ED">
      <w:pPr>
        <w:spacing w:line="480" w:lineRule="auto"/>
        <w:rPr>
          <w:rFonts w:asciiTheme="minorHAnsi" w:hAnsiTheme="minorHAnsi" w:cstheme="minorHAnsi"/>
          <w:sz w:val="22"/>
          <w:szCs w:val="22"/>
        </w:rPr>
      </w:pPr>
      <w:r w:rsidRPr="00C02064">
        <w:rPr>
          <w:rFonts w:asciiTheme="minorHAnsi" w:hAnsiTheme="minorHAnsi" w:cstheme="minorHAnsi"/>
          <w:sz w:val="22"/>
          <w:szCs w:val="22"/>
        </w:rPr>
        <w:lastRenderedPageBreak/>
        <w:t>3. How often have you had 6 or more units if female,</w:t>
      </w:r>
      <w:r>
        <w:rPr>
          <w:rFonts w:asciiTheme="minorHAnsi" w:hAnsiTheme="minorHAnsi" w:cstheme="minorHAnsi"/>
          <w:sz w:val="22"/>
          <w:szCs w:val="22"/>
        </w:rPr>
        <w:t xml:space="preserve"> </w:t>
      </w:r>
      <w:r w:rsidRPr="00C02064">
        <w:rPr>
          <w:rFonts w:asciiTheme="minorHAnsi" w:hAnsiTheme="minorHAnsi" w:cstheme="minorHAnsi"/>
          <w:sz w:val="22"/>
          <w:szCs w:val="22"/>
        </w:rPr>
        <w:t>or 8 or mor</w:t>
      </w:r>
      <w:r>
        <w:rPr>
          <w:rFonts w:asciiTheme="minorHAnsi" w:hAnsiTheme="minorHAnsi" w:cstheme="minorHAnsi"/>
          <w:sz w:val="22"/>
          <w:szCs w:val="22"/>
        </w:rPr>
        <w:t xml:space="preserve">e if male, on a single occasion?  </w:t>
      </w:r>
      <w:r w:rsidRPr="00C02064">
        <w:rPr>
          <w:rFonts w:asciiTheme="minorHAnsi" w:hAnsiTheme="minorHAnsi" w:cstheme="minorHAnsi"/>
          <w:sz w:val="22"/>
          <w:szCs w:val="22"/>
        </w:rPr>
        <w:t>Never (</w:t>
      </w:r>
      <w:r>
        <w:rPr>
          <w:rFonts w:asciiTheme="minorHAnsi" w:hAnsiTheme="minorHAnsi" w:cstheme="minorHAnsi"/>
          <w:sz w:val="22"/>
          <w:szCs w:val="22"/>
        </w:rPr>
        <w:t>0), l</w:t>
      </w:r>
      <w:r w:rsidRPr="00C02064">
        <w:rPr>
          <w:rFonts w:asciiTheme="minorHAnsi" w:hAnsiTheme="minorHAnsi" w:cstheme="minorHAnsi"/>
          <w:sz w:val="22"/>
          <w:szCs w:val="22"/>
        </w:rPr>
        <w:t>ess than monthly</w:t>
      </w:r>
      <w:r>
        <w:rPr>
          <w:rFonts w:asciiTheme="minorHAnsi" w:hAnsiTheme="minorHAnsi" w:cstheme="minorHAnsi"/>
          <w:sz w:val="22"/>
          <w:szCs w:val="22"/>
        </w:rPr>
        <w:t xml:space="preserve"> </w:t>
      </w:r>
      <w:r w:rsidRPr="00C02064">
        <w:rPr>
          <w:rFonts w:asciiTheme="minorHAnsi" w:hAnsiTheme="minorHAnsi" w:cstheme="minorHAnsi"/>
          <w:sz w:val="22"/>
          <w:szCs w:val="22"/>
        </w:rPr>
        <w:t xml:space="preserve">(1), </w:t>
      </w:r>
      <w:r>
        <w:rPr>
          <w:rFonts w:asciiTheme="minorHAnsi" w:hAnsiTheme="minorHAnsi" w:cstheme="minorHAnsi"/>
          <w:sz w:val="22"/>
          <w:szCs w:val="22"/>
        </w:rPr>
        <w:t>m</w:t>
      </w:r>
      <w:r w:rsidRPr="00C02064">
        <w:rPr>
          <w:rFonts w:asciiTheme="minorHAnsi" w:hAnsiTheme="minorHAnsi" w:cstheme="minorHAnsi"/>
          <w:sz w:val="22"/>
          <w:szCs w:val="22"/>
        </w:rPr>
        <w:t xml:space="preserve">onthly (2), </w:t>
      </w:r>
      <w:r>
        <w:rPr>
          <w:rFonts w:asciiTheme="minorHAnsi" w:hAnsiTheme="minorHAnsi" w:cstheme="minorHAnsi"/>
          <w:sz w:val="22"/>
          <w:szCs w:val="22"/>
        </w:rPr>
        <w:t>weekly (</w:t>
      </w:r>
      <w:r w:rsidRPr="00C02064">
        <w:rPr>
          <w:rFonts w:asciiTheme="minorHAnsi" w:hAnsiTheme="minorHAnsi" w:cstheme="minorHAnsi"/>
          <w:sz w:val="22"/>
          <w:szCs w:val="22"/>
        </w:rPr>
        <w:t>3</w:t>
      </w:r>
      <w:proofErr w:type="gramStart"/>
      <w:r w:rsidRPr="00C02064">
        <w:rPr>
          <w:rFonts w:asciiTheme="minorHAnsi" w:hAnsiTheme="minorHAnsi" w:cstheme="minorHAnsi"/>
          <w:sz w:val="22"/>
          <w:szCs w:val="22"/>
        </w:rPr>
        <w:t>),</w:t>
      </w:r>
      <w:r>
        <w:rPr>
          <w:rFonts w:asciiTheme="minorHAnsi" w:hAnsiTheme="minorHAnsi" w:cstheme="minorHAnsi"/>
          <w:sz w:val="22"/>
          <w:szCs w:val="22"/>
        </w:rPr>
        <w:t>d</w:t>
      </w:r>
      <w:r w:rsidRPr="00C02064">
        <w:rPr>
          <w:rFonts w:asciiTheme="minorHAnsi" w:hAnsiTheme="minorHAnsi" w:cstheme="minorHAnsi"/>
          <w:sz w:val="22"/>
          <w:szCs w:val="22"/>
        </w:rPr>
        <w:t>aily</w:t>
      </w:r>
      <w:proofErr w:type="gramEnd"/>
      <w:r>
        <w:rPr>
          <w:rFonts w:asciiTheme="minorHAnsi" w:hAnsiTheme="minorHAnsi" w:cstheme="minorHAnsi"/>
          <w:sz w:val="22"/>
          <w:szCs w:val="22"/>
        </w:rPr>
        <w:t xml:space="preserve"> </w:t>
      </w:r>
      <w:r w:rsidRPr="00C02064">
        <w:rPr>
          <w:rFonts w:asciiTheme="minorHAnsi" w:hAnsiTheme="minorHAnsi" w:cstheme="minorHAnsi"/>
          <w:sz w:val="22"/>
          <w:szCs w:val="22"/>
        </w:rPr>
        <w:t>or almost daily (4).</w:t>
      </w:r>
    </w:p>
    <w:p w14:paraId="354E82C5" w14:textId="77777777" w:rsidR="0038512E" w:rsidRDefault="0038512E" w:rsidP="00CF20ED">
      <w:pPr>
        <w:spacing w:line="480" w:lineRule="auto"/>
        <w:rPr>
          <w:rFonts w:asciiTheme="minorHAnsi" w:hAnsiTheme="minorHAnsi" w:cstheme="minorHAnsi"/>
          <w:sz w:val="22"/>
          <w:szCs w:val="22"/>
        </w:rPr>
      </w:pPr>
    </w:p>
    <w:p w14:paraId="1FFB942A" w14:textId="103B499D" w:rsidR="0038512E" w:rsidRDefault="0038512E" w:rsidP="00CF20ED">
      <w:pPr>
        <w:spacing w:line="480" w:lineRule="auto"/>
        <w:rPr>
          <w:rFonts w:asciiTheme="minorHAnsi" w:hAnsiTheme="minorHAnsi" w:cstheme="minorHAnsi"/>
          <w:sz w:val="22"/>
          <w:szCs w:val="22"/>
        </w:rPr>
      </w:pPr>
      <w:r>
        <w:rPr>
          <w:rFonts w:asciiTheme="minorHAnsi" w:hAnsiTheme="minorHAnsi" w:cstheme="minorHAnsi"/>
          <w:sz w:val="22"/>
          <w:szCs w:val="22"/>
        </w:rPr>
        <w:t xml:space="preserve">Total weekly alcohol consumption was calculated from quantities of specific beverages recorded for each day.  The reference category was defined as drinking above UK recommended limits of 14 units per week </w:t>
      </w:r>
      <w:r w:rsidRPr="006A296A">
        <w:rPr>
          <w:rFonts w:asciiTheme="minorHAnsi" w:hAnsiTheme="minorHAnsi" w:cstheme="minorHAnsi"/>
          <w:sz w:val="22"/>
          <w:szCs w:val="22"/>
        </w:rPr>
        <w:t>(1 UK unit is 8 grams of ethanol)</w:t>
      </w:r>
      <w:r>
        <w:rPr>
          <w:rFonts w:asciiTheme="minorHAnsi" w:hAnsiTheme="minorHAnsi" w:cstheme="minorHAnsi"/>
          <w:sz w:val="22"/>
          <w:szCs w:val="22"/>
        </w:rPr>
        <w:t xml:space="preserve"> </w:t>
      </w:r>
      <w:r w:rsidRPr="0055254A">
        <w:rPr>
          <w:rFonts w:asciiTheme="minorHAnsi" w:hAnsiTheme="minorHAnsi" w:cstheme="minorHAnsi"/>
          <w:sz w:val="22"/>
          <w:szCs w:val="22"/>
        </w:rPr>
        <w:t xml:space="preserve">for both men and women (the </w:t>
      </w:r>
      <w:r>
        <w:rPr>
          <w:rFonts w:asciiTheme="minorHAnsi" w:hAnsiTheme="minorHAnsi" w:cstheme="minorHAnsi"/>
          <w:sz w:val="22"/>
          <w:szCs w:val="22"/>
        </w:rPr>
        <w:t>threshold</w:t>
      </w:r>
      <w:r w:rsidRPr="0055254A">
        <w:rPr>
          <w:rFonts w:asciiTheme="minorHAnsi" w:hAnsiTheme="minorHAnsi" w:cstheme="minorHAnsi"/>
          <w:sz w:val="22"/>
          <w:szCs w:val="22"/>
        </w:rPr>
        <w:t xml:space="preserve"> for men w</w:t>
      </w:r>
      <w:r>
        <w:rPr>
          <w:rFonts w:asciiTheme="minorHAnsi" w:hAnsiTheme="minorHAnsi" w:cstheme="minorHAnsi"/>
          <w:sz w:val="22"/>
          <w:szCs w:val="22"/>
        </w:rPr>
        <w:t>as</w:t>
      </w:r>
      <w:r w:rsidRPr="0055254A">
        <w:rPr>
          <w:rFonts w:asciiTheme="minorHAnsi" w:hAnsiTheme="minorHAnsi" w:cstheme="minorHAnsi"/>
          <w:sz w:val="22"/>
          <w:szCs w:val="22"/>
        </w:rPr>
        <w:t xml:space="preserve"> revised down</w:t>
      </w:r>
      <w:r>
        <w:rPr>
          <w:rFonts w:asciiTheme="minorHAnsi" w:hAnsiTheme="minorHAnsi" w:cstheme="minorHAnsi"/>
          <w:sz w:val="22"/>
          <w:szCs w:val="22"/>
        </w:rPr>
        <w:t>wards</w:t>
      </w:r>
      <w:r w:rsidRPr="0055254A">
        <w:rPr>
          <w:rFonts w:asciiTheme="minorHAnsi" w:hAnsiTheme="minorHAnsi" w:cstheme="minorHAnsi"/>
          <w:sz w:val="22"/>
          <w:szCs w:val="22"/>
        </w:rPr>
        <w:t xml:space="preserve"> from 21 in 2016)</w:t>
      </w:r>
      <w:r>
        <w:rPr>
          <w:rFonts w:asciiTheme="minorHAnsi" w:hAnsiTheme="minorHAnsi" w:cstheme="minorHAnsi"/>
          <w:sz w:val="22"/>
          <w:szCs w:val="22"/>
        </w:rPr>
        <w:t xml:space="preserve"> </w:t>
      </w:r>
      <w:r>
        <w:rPr>
          <w:rFonts w:asciiTheme="minorHAnsi" w:hAnsiTheme="minorHAnsi" w:cstheme="minorHAnsi"/>
          <w:noProof/>
          <w:sz w:val="22"/>
          <w:szCs w:val="22"/>
        </w:rPr>
        <w:t>(UK Chief Medical Officers, 2016)</w:t>
      </w:r>
      <w:r>
        <w:rPr>
          <w:rFonts w:asciiTheme="minorHAnsi" w:hAnsiTheme="minorHAnsi" w:cstheme="minorHAnsi"/>
          <w:sz w:val="22"/>
          <w:szCs w:val="22"/>
        </w:rPr>
        <w:t xml:space="preserve">.  Participants also completed a </w:t>
      </w:r>
      <w:proofErr w:type="gramStart"/>
      <w:r>
        <w:rPr>
          <w:rFonts w:asciiTheme="minorHAnsi" w:hAnsiTheme="minorHAnsi" w:cstheme="minorHAnsi"/>
          <w:sz w:val="22"/>
          <w:szCs w:val="22"/>
        </w:rPr>
        <w:t>22 item</w:t>
      </w:r>
      <w:proofErr w:type="gramEnd"/>
      <w:r>
        <w:rPr>
          <w:rFonts w:asciiTheme="minorHAnsi" w:hAnsiTheme="minorHAnsi" w:cstheme="minorHAnsi"/>
          <w:sz w:val="22"/>
          <w:szCs w:val="22"/>
        </w:rPr>
        <w:t xml:space="preserve"> checklist of common long term health problems </w:t>
      </w:r>
      <w:r>
        <w:rPr>
          <w:rFonts w:asciiTheme="minorHAnsi" w:hAnsiTheme="minorHAnsi" w:cstheme="minorHAnsi"/>
          <w:noProof/>
          <w:sz w:val="22"/>
          <w:szCs w:val="22"/>
        </w:rPr>
        <w:t>(Barnett et al., 2012)</w:t>
      </w:r>
      <w:r>
        <w:rPr>
          <w:rFonts w:asciiTheme="minorHAnsi" w:hAnsiTheme="minorHAnsi" w:cstheme="minorHAnsi"/>
          <w:sz w:val="22"/>
          <w:szCs w:val="22"/>
        </w:rPr>
        <w:t xml:space="preserve"> for which they were </w:t>
      </w:r>
      <w:r w:rsidRPr="00267759">
        <w:rPr>
          <w:rFonts w:asciiTheme="minorHAnsi" w:hAnsiTheme="minorHAnsi" w:cstheme="minorHAnsi"/>
          <w:sz w:val="22"/>
          <w:szCs w:val="22"/>
        </w:rPr>
        <w:t>prescribed medication</w:t>
      </w:r>
      <w:r>
        <w:rPr>
          <w:rFonts w:asciiTheme="minorHAnsi" w:hAnsiTheme="minorHAnsi" w:cstheme="minorHAnsi"/>
          <w:sz w:val="22"/>
          <w:szCs w:val="22"/>
        </w:rPr>
        <w:t xml:space="preserve">, including the following </w:t>
      </w:r>
      <w:r w:rsidR="002D6ADF">
        <w:rPr>
          <w:rFonts w:asciiTheme="minorHAnsi" w:hAnsiTheme="minorHAnsi" w:cstheme="minorHAnsi"/>
          <w:sz w:val="22"/>
          <w:szCs w:val="22"/>
        </w:rPr>
        <w:t xml:space="preserve">British National Formulary </w:t>
      </w:r>
      <w:r>
        <w:rPr>
          <w:rFonts w:asciiTheme="minorHAnsi" w:hAnsiTheme="minorHAnsi" w:cstheme="minorHAnsi"/>
          <w:sz w:val="22"/>
          <w:szCs w:val="22"/>
        </w:rPr>
        <w:t xml:space="preserve">categories of condition: cardiovascular, respiratory, musculoskeletal, </w:t>
      </w:r>
      <w:r w:rsidR="002D6ADF">
        <w:rPr>
          <w:rFonts w:asciiTheme="minorHAnsi" w:hAnsiTheme="minorHAnsi" w:cstheme="minorHAnsi"/>
          <w:sz w:val="22"/>
          <w:szCs w:val="22"/>
        </w:rPr>
        <w:t>Central Nervous System, endocrine system and malignant disease</w:t>
      </w:r>
      <w:r>
        <w:rPr>
          <w:rFonts w:asciiTheme="minorHAnsi" w:hAnsiTheme="minorHAnsi" w:cstheme="minorHAnsi"/>
          <w:sz w:val="22"/>
          <w:szCs w:val="22"/>
        </w:rPr>
        <w:t xml:space="preserve">.   </w:t>
      </w:r>
    </w:p>
    <w:p w14:paraId="116FC582" w14:textId="77777777" w:rsidR="0038512E" w:rsidRDefault="0038512E" w:rsidP="00CF20ED">
      <w:pPr>
        <w:spacing w:line="480" w:lineRule="auto"/>
        <w:rPr>
          <w:rFonts w:asciiTheme="minorHAnsi" w:hAnsiTheme="minorHAnsi" w:cstheme="minorHAnsi"/>
          <w:sz w:val="22"/>
          <w:szCs w:val="22"/>
        </w:rPr>
      </w:pPr>
    </w:p>
    <w:p w14:paraId="07F8D330" w14:textId="520C19A0" w:rsidR="0038512E" w:rsidRDefault="0038512E" w:rsidP="00CF20ED">
      <w:pPr>
        <w:spacing w:line="480" w:lineRule="auto"/>
        <w:rPr>
          <w:rFonts w:asciiTheme="minorHAnsi" w:hAnsiTheme="minorHAnsi" w:cstheme="minorHAnsi"/>
          <w:sz w:val="22"/>
          <w:szCs w:val="22"/>
        </w:rPr>
      </w:pPr>
      <w:r>
        <w:rPr>
          <w:rFonts w:asciiTheme="minorHAnsi" w:hAnsiTheme="minorHAnsi" w:cstheme="minorHAnsi"/>
          <w:sz w:val="22"/>
          <w:szCs w:val="22"/>
        </w:rPr>
        <w:t xml:space="preserve">Analyses were conducted in Stata SE v15.  Differences in sample characteristics were </w:t>
      </w:r>
      <w:r w:rsidRPr="000B0A2B">
        <w:rPr>
          <w:rFonts w:asciiTheme="minorHAnsi" w:hAnsiTheme="minorHAnsi" w:cstheme="minorHAnsi"/>
          <w:sz w:val="22"/>
          <w:szCs w:val="22"/>
        </w:rPr>
        <w:t>assessed by t-tests and χ</w:t>
      </w:r>
      <w:r w:rsidRPr="000B0A2B">
        <w:rPr>
          <w:rFonts w:asciiTheme="minorHAnsi" w:hAnsiTheme="minorHAnsi" w:cstheme="minorHAnsi"/>
          <w:sz w:val="22"/>
          <w:szCs w:val="22"/>
          <w:vertAlign w:val="superscript"/>
        </w:rPr>
        <w:t>2</w:t>
      </w:r>
      <w:r w:rsidRPr="000B0A2B">
        <w:rPr>
          <w:rFonts w:asciiTheme="minorHAnsi" w:hAnsiTheme="minorHAnsi" w:cstheme="minorHAnsi"/>
          <w:sz w:val="22"/>
          <w:szCs w:val="22"/>
        </w:rPr>
        <w:t xml:space="preserve"> tests for continuous and binary variables respectively</w:t>
      </w:r>
      <w:r>
        <w:rPr>
          <w:rFonts w:asciiTheme="minorHAnsi" w:hAnsiTheme="minorHAnsi" w:cstheme="minorHAnsi"/>
          <w:sz w:val="22"/>
          <w:szCs w:val="22"/>
        </w:rPr>
        <w:t xml:space="preserve">.  </w:t>
      </w:r>
      <w:r w:rsidR="009A51A7">
        <w:rPr>
          <w:rFonts w:asciiTheme="minorHAnsi" w:hAnsiTheme="minorHAnsi" w:cstheme="minorHAnsi"/>
          <w:sz w:val="22"/>
          <w:szCs w:val="22"/>
        </w:rPr>
        <w:t>A</w:t>
      </w:r>
      <w:r>
        <w:rPr>
          <w:rFonts w:asciiTheme="minorHAnsi" w:hAnsiTheme="minorHAnsi" w:cstheme="minorHAnsi"/>
          <w:sz w:val="22"/>
          <w:szCs w:val="22"/>
        </w:rPr>
        <w:t>ssociation</w:t>
      </w:r>
      <w:r w:rsidR="009A51A7">
        <w:rPr>
          <w:rFonts w:asciiTheme="minorHAnsi" w:hAnsiTheme="minorHAnsi" w:cstheme="minorHAnsi"/>
          <w:sz w:val="22"/>
          <w:szCs w:val="22"/>
        </w:rPr>
        <w:t>s</w:t>
      </w:r>
      <w:r>
        <w:rPr>
          <w:rFonts w:asciiTheme="minorHAnsi" w:hAnsiTheme="minorHAnsi" w:cstheme="minorHAnsi"/>
          <w:sz w:val="22"/>
          <w:szCs w:val="22"/>
        </w:rPr>
        <w:t xml:space="preserve"> between </w:t>
      </w:r>
      <w:r w:rsidR="004918BB">
        <w:rPr>
          <w:rFonts w:asciiTheme="minorHAnsi" w:hAnsiTheme="minorHAnsi" w:cstheme="minorHAnsi"/>
          <w:sz w:val="22"/>
          <w:szCs w:val="22"/>
        </w:rPr>
        <w:t xml:space="preserve">alcohol consumption variables </w:t>
      </w:r>
      <w:r w:rsidR="0018285E">
        <w:rPr>
          <w:rFonts w:asciiTheme="minorHAnsi" w:hAnsiTheme="minorHAnsi" w:cstheme="minorHAnsi"/>
          <w:sz w:val="22"/>
          <w:szCs w:val="22"/>
        </w:rPr>
        <w:t>(positive screen, above median units per drinking day and drinking on 5 days or more</w:t>
      </w:r>
      <w:r w:rsidR="004F23FF">
        <w:rPr>
          <w:rFonts w:asciiTheme="minorHAnsi" w:hAnsiTheme="minorHAnsi" w:cstheme="minorHAnsi"/>
          <w:sz w:val="22"/>
          <w:szCs w:val="22"/>
        </w:rPr>
        <w:t xml:space="preserve"> per week</w:t>
      </w:r>
      <w:r w:rsidR="0018285E">
        <w:rPr>
          <w:rFonts w:asciiTheme="minorHAnsi" w:hAnsiTheme="minorHAnsi" w:cstheme="minorHAnsi"/>
          <w:sz w:val="22"/>
          <w:szCs w:val="22"/>
        </w:rPr>
        <w:t xml:space="preserve">) </w:t>
      </w:r>
      <w:r>
        <w:rPr>
          <w:rFonts w:asciiTheme="minorHAnsi" w:hAnsiTheme="minorHAnsi" w:cstheme="minorHAnsi"/>
          <w:sz w:val="22"/>
          <w:szCs w:val="22"/>
        </w:rPr>
        <w:t>and use of medication for long term conditions w</w:t>
      </w:r>
      <w:r w:rsidR="009A51A7">
        <w:rPr>
          <w:rFonts w:asciiTheme="minorHAnsi" w:hAnsiTheme="minorHAnsi" w:cstheme="minorHAnsi"/>
          <w:sz w:val="22"/>
          <w:szCs w:val="22"/>
        </w:rPr>
        <w:t>ere</w:t>
      </w:r>
      <w:r>
        <w:rPr>
          <w:rFonts w:asciiTheme="minorHAnsi" w:hAnsiTheme="minorHAnsi" w:cstheme="minorHAnsi"/>
          <w:sz w:val="22"/>
          <w:szCs w:val="22"/>
        </w:rPr>
        <w:t xml:space="preserve"> analysed by logistic regression, adjusted for age and gender</w:t>
      </w:r>
      <w:r w:rsidR="004C7A7F">
        <w:rPr>
          <w:rFonts w:asciiTheme="minorHAnsi" w:hAnsiTheme="minorHAnsi" w:cstheme="minorHAnsi"/>
          <w:sz w:val="22"/>
          <w:szCs w:val="22"/>
        </w:rPr>
        <w:t xml:space="preserve"> </w:t>
      </w:r>
      <w:r w:rsidR="00102455">
        <w:rPr>
          <w:rFonts w:asciiTheme="minorHAnsi" w:hAnsiTheme="minorHAnsi" w:cstheme="minorHAnsi"/>
          <w:sz w:val="22"/>
          <w:szCs w:val="22"/>
        </w:rPr>
        <w:t xml:space="preserve">and shown as adjusted odds ratios </w:t>
      </w:r>
      <w:r w:rsidR="004C7A7F">
        <w:rPr>
          <w:rFonts w:asciiTheme="minorHAnsi" w:hAnsiTheme="minorHAnsi" w:cstheme="minorHAnsi"/>
          <w:sz w:val="22"/>
          <w:szCs w:val="22"/>
        </w:rPr>
        <w:t>(AOR)</w:t>
      </w:r>
      <w:r>
        <w:rPr>
          <w:rFonts w:asciiTheme="minorHAnsi" w:hAnsiTheme="minorHAnsi" w:cstheme="minorHAnsi"/>
          <w:sz w:val="22"/>
          <w:szCs w:val="22"/>
        </w:rPr>
        <w:t xml:space="preserve">. </w:t>
      </w:r>
      <w:r w:rsidRPr="00845962">
        <w:rPr>
          <w:rFonts w:asciiTheme="minorHAnsi" w:hAnsiTheme="minorHAnsi" w:cstheme="minorHAnsi"/>
          <w:sz w:val="22"/>
          <w:szCs w:val="22"/>
        </w:rPr>
        <w:t>Sensitivity</w:t>
      </w:r>
      <w:r>
        <w:rPr>
          <w:rFonts w:asciiTheme="minorHAnsi" w:hAnsiTheme="minorHAnsi" w:cstheme="minorHAnsi"/>
          <w:sz w:val="22"/>
          <w:szCs w:val="22"/>
        </w:rPr>
        <w:t xml:space="preserve"> (true positive rate) </w:t>
      </w:r>
      <w:r w:rsidRPr="00845962">
        <w:rPr>
          <w:rFonts w:asciiTheme="minorHAnsi" w:hAnsiTheme="minorHAnsi" w:cstheme="minorHAnsi"/>
          <w:sz w:val="22"/>
          <w:szCs w:val="22"/>
        </w:rPr>
        <w:t>and specificity</w:t>
      </w:r>
      <w:r>
        <w:rPr>
          <w:rFonts w:asciiTheme="minorHAnsi" w:hAnsiTheme="minorHAnsi" w:cstheme="minorHAnsi"/>
          <w:sz w:val="22"/>
          <w:szCs w:val="22"/>
        </w:rPr>
        <w:t xml:space="preserve"> (true negative rate) for identifying drinking above recommended weekly limits </w:t>
      </w:r>
      <w:r w:rsidRPr="00845962">
        <w:rPr>
          <w:rFonts w:asciiTheme="minorHAnsi" w:hAnsiTheme="minorHAnsi" w:cstheme="minorHAnsi"/>
          <w:sz w:val="22"/>
          <w:szCs w:val="22"/>
        </w:rPr>
        <w:t xml:space="preserve">were </w:t>
      </w:r>
      <w:r>
        <w:rPr>
          <w:rFonts w:asciiTheme="minorHAnsi" w:hAnsiTheme="minorHAnsi" w:cstheme="minorHAnsi"/>
          <w:sz w:val="22"/>
          <w:szCs w:val="22"/>
        </w:rPr>
        <w:t xml:space="preserve">assessed </w:t>
      </w:r>
      <w:r w:rsidRPr="00845962">
        <w:rPr>
          <w:rFonts w:asciiTheme="minorHAnsi" w:hAnsiTheme="minorHAnsi" w:cstheme="minorHAnsi"/>
          <w:sz w:val="22"/>
          <w:szCs w:val="22"/>
        </w:rPr>
        <w:t>for</w:t>
      </w:r>
      <w:r>
        <w:rPr>
          <w:rFonts w:asciiTheme="minorHAnsi" w:hAnsiTheme="minorHAnsi" w:cstheme="minorHAnsi"/>
          <w:sz w:val="22"/>
          <w:szCs w:val="22"/>
        </w:rPr>
        <w:t xml:space="preserve"> the total AUDIT-C and for the three individual items.  </w:t>
      </w:r>
      <w:r w:rsidRPr="00097DC8">
        <w:rPr>
          <w:rFonts w:asciiTheme="minorHAnsi" w:hAnsiTheme="minorHAnsi" w:cstheme="minorHAnsi"/>
          <w:sz w:val="22"/>
          <w:szCs w:val="22"/>
        </w:rPr>
        <w:t>As with previous AUDIT-C validation studie</w:t>
      </w:r>
      <w:r>
        <w:rPr>
          <w:rFonts w:asciiTheme="minorHAnsi" w:hAnsiTheme="minorHAnsi" w:cstheme="minorHAnsi"/>
          <w:sz w:val="22"/>
          <w:szCs w:val="22"/>
        </w:rPr>
        <w:t xml:space="preserve">s </w:t>
      </w:r>
      <w:r>
        <w:rPr>
          <w:rFonts w:asciiTheme="minorHAnsi" w:hAnsiTheme="minorHAnsi" w:cstheme="minorHAnsi"/>
          <w:noProof/>
          <w:sz w:val="22"/>
          <w:szCs w:val="22"/>
        </w:rPr>
        <w:t>(Bradley et al., 2007; Khadjesari et al., 2017)</w:t>
      </w:r>
      <w:r w:rsidRPr="00097DC8">
        <w:rPr>
          <w:rFonts w:asciiTheme="minorHAnsi" w:hAnsiTheme="minorHAnsi" w:cstheme="minorHAnsi"/>
          <w:sz w:val="22"/>
          <w:szCs w:val="22"/>
        </w:rPr>
        <w:t xml:space="preserve">, </w:t>
      </w:r>
      <w:r>
        <w:rPr>
          <w:rFonts w:asciiTheme="minorHAnsi" w:hAnsiTheme="minorHAnsi" w:cstheme="minorHAnsi"/>
          <w:sz w:val="22"/>
          <w:szCs w:val="22"/>
        </w:rPr>
        <w:t xml:space="preserve">we </w:t>
      </w:r>
      <w:r w:rsidRPr="00097DC8">
        <w:rPr>
          <w:rFonts w:asciiTheme="minorHAnsi" w:hAnsiTheme="minorHAnsi" w:cstheme="minorHAnsi"/>
          <w:sz w:val="22"/>
          <w:szCs w:val="22"/>
        </w:rPr>
        <w:t>identif</w:t>
      </w:r>
      <w:r>
        <w:rPr>
          <w:rFonts w:asciiTheme="minorHAnsi" w:hAnsiTheme="minorHAnsi" w:cstheme="minorHAnsi"/>
          <w:sz w:val="22"/>
          <w:szCs w:val="22"/>
        </w:rPr>
        <w:t>ied</w:t>
      </w:r>
      <w:r w:rsidRPr="00097DC8">
        <w:rPr>
          <w:rFonts w:asciiTheme="minorHAnsi" w:hAnsiTheme="minorHAnsi" w:cstheme="minorHAnsi"/>
          <w:sz w:val="22"/>
          <w:szCs w:val="22"/>
        </w:rPr>
        <w:t xml:space="preserve"> </w:t>
      </w:r>
      <w:r>
        <w:rPr>
          <w:rFonts w:asciiTheme="minorHAnsi" w:hAnsiTheme="minorHAnsi" w:cstheme="minorHAnsi"/>
          <w:sz w:val="22"/>
          <w:szCs w:val="22"/>
        </w:rPr>
        <w:t xml:space="preserve">optimal </w:t>
      </w:r>
      <w:r w:rsidRPr="00097DC8">
        <w:rPr>
          <w:rFonts w:asciiTheme="minorHAnsi" w:hAnsiTheme="minorHAnsi" w:cstheme="minorHAnsi"/>
          <w:sz w:val="22"/>
          <w:szCs w:val="22"/>
        </w:rPr>
        <w:t>cut-offs with the best balance of sensitivity and specificity.</w:t>
      </w:r>
      <w:r>
        <w:rPr>
          <w:rFonts w:asciiTheme="minorHAnsi" w:hAnsiTheme="minorHAnsi" w:cstheme="minorHAnsi"/>
          <w:sz w:val="22"/>
          <w:szCs w:val="22"/>
        </w:rPr>
        <w:t xml:space="preserve">  The sum of the sensitivity and specificity and the proportion of cases correctly classified were also calculated</w:t>
      </w:r>
      <w:r w:rsidRPr="004856DE">
        <w:rPr>
          <w:rFonts w:asciiTheme="minorHAnsi" w:hAnsiTheme="minorHAnsi" w:cstheme="minorHAnsi"/>
          <w:sz w:val="22"/>
          <w:szCs w:val="22"/>
        </w:rPr>
        <w:t>.</w:t>
      </w:r>
      <w:r>
        <w:rPr>
          <w:rFonts w:asciiTheme="minorHAnsi" w:hAnsiTheme="minorHAnsi" w:cstheme="minorHAnsi"/>
          <w:sz w:val="22"/>
          <w:szCs w:val="22"/>
        </w:rPr>
        <w:t xml:space="preserve">  T</w:t>
      </w:r>
      <w:r w:rsidRPr="0050559C">
        <w:rPr>
          <w:rFonts w:asciiTheme="minorHAnsi" w:hAnsiTheme="minorHAnsi" w:cstheme="minorHAnsi"/>
          <w:sz w:val="22"/>
          <w:szCs w:val="22"/>
        </w:rPr>
        <w:t xml:space="preserve">he performance of cut-off scores </w:t>
      </w:r>
      <w:r>
        <w:rPr>
          <w:rFonts w:asciiTheme="minorHAnsi" w:hAnsiTheme="minorHAnsi" w:cstheme="minorHAnsi"/>
          <w:sz w:val="22"/>
          <w:szCs w:val="22"/>
        </w:rPr>
        <w:t>was assessed by r</w:t>
      </w:r>
      <w:r w:rsidRPr="0050559C">
        <w:rPr>
          <w:rFonts w:asciiTheme="minorHAnsi" w:hAnsiTheme="minorHAnsi" w:cstheme="minorHAnsi"/>
          <w:sz w:val="22"/>
          <w:szCs w:val="22"/>
        </w:rPr>
        <w:t xml:space="preserve">eceiver-operating characteristic (ROC) curves. </w:t>
      </w:r>
      <w:r>
        <w:rPr>
          <w:rFonts w:asciiTheme="minorHAnsi" w:hAnsiTheme="minorHAnsi" w:cstheme="minorHAnsi"/>
          <w:sz w:val="22"/>
          <w:szCs w:val="22"/>
        </w:rPr>
        <w:t xml:space="preserve"> Chi-squared values are presented for comparative t</w:t>
      </w:r>
      <w:r w:rsidRPr="00CE591D">
        <w:rPr>
          <w:rFonts w:asciiTheme="minorHAnsi" w:hAnsiTheme="minorHAnsi" w:cstheme="minorHAnsi"/>
          <w:sz w:val="22"/>
          <w:szCs w:val="22"/>
        </w:rPr>
        <w:t xml:space="preserve">ests for the equality of the area under the curve.  </w:t>
      </w:r>
      <w:r>
        <w:rPr>
          <w:rFonts w:asciiTheme="minorHAnsi" w:hAnsiTheme="minorHAnsi" w:cstheme="minorHAnsi"/>
          <w:sz w:val="22"/>
          <w:szCs w:val="22"/>
        </w:rPr>
        <w:t xml:space="preserve">Analyses were conducted </w:t>
      </w:r>
      <w:r w:rsidRPr="004856DE">
        <w:rPr>
          <w:rFonts w:asciiTheme="minorHAnsi" w:hAnsiTheme="minorHAnsi" w:cstheme="minorHAnsi"/>
          <w:sz w:val="22"/>
          <w:szCs w:val="22"/>
        </w:rPr>
        <w:t>for the whole sample</w:t>
      </w:r>
      <w:r>
        <w:rPr>
          <w:rFonts w:asciiTheme="minorHAnsi" w:hAnsiTheme="minorHAnsi" w:cstheme="minorHAnsi"/>
          <w:sz w:val="22"/>
          <w:szCs w:val="22"/>
        </w:rPr>
        <w:t xml:space="preserve"> and</w:t>
      </w:r>
      <w:r w:rsidRPr="004856DE">
        <w:rPr>
          <w:rFonts w:asciiTheme="minorHAnsi" w:hAnsiTheme="minorHAnsi" w:cstheme="minorHAnsi"/>
          <w:sz w:val="22"/>
          <w:szCs w:val="22"/>
        </w:rPr>
        <w:t xml:space="preserve"> for men and women separately</w:t>
      </w:r>
      <w:r>
        <w:rPr>
          <w:rFonts w:asciiTheme="minorHAnsi" w:hAnsiTheme="minorHAnsi" w:cstheme="minorHAnsi"/>
          <w:sz w:val="22"/>
          <w:szCs w:val="22"/>
        </w:rPr>
        <w:t xml:space="preserve">, and for </w:t>
      </w:r>
      <w:r w:rsidRPr="00097DC8">
        <w:rPr>
          <w:rFonts w:asciiTheme="minorHAnsi" w:hAnsiTheme="minorHAnsi" w:cstheme="minorHAnsi"/>
          <w:sz w:val="22"/>
          <w:szCs w:val="22"/>
        </w:rPr>
        <w:t>participants prescribed medications for long term conditions</w:t>
      </w:r>
      <w:r>
        <w:rPr>
          <w:rFonts w:asciiTheme="minorHAnsi" w:hAnsiTheme="minorHAnsi" w:cstheme="minorHAnsi"/>
          <w:sz w:val="22"/>
          <w:szCs w:val="22"/>
        </w:rPr>
        <w:t xml:space="preserve">.  </w:t>
      </w:r>
    </w:p>
    <w:p w14:paraId="6FCA8C6F" w14:textId="77777777" w:rsidR="0038512E" w:rsidRPr="0050559C" w:rsidRDefault="0038512E" w:rsidP="00CF20ED">
      <w:pPr>
        <w:spacing w:line="480" w:lineRule="auto"/>
        <w:rPr>
          <w:rFonts w:asciiTheme="minorHAnsi" w:hAnsiTheme="minorHAnsi" w:cstheme="minorHAnsi"/>
          <w:sz w:val="22"/>
          <w:szCs w:val="22"/>
        </w:rPr>
      </w:pPr>
      <w:r w:rsidRPr="00097DC8">
        <w:rPr>
          <w:rFonts w:asciiTheme="minorHAnsi" w:hAnsiTheme="minorHAnsi" w:cstheme="minorHAnsi"/>
          <w:sz w:val="22"/>
          <w:szCs w:val="22"/>
        </w:rPr>
        <w:lastRenderedPageBreak/>
        <w:t xml:space="preserve"> </w:t>
      </w:r>
    </w:p>
    <w:p w14:paraId="487A80C6" w14:textId="77777777" w:rsidR="0038512E" w:rsidRPr="004856DE" w:rsidRDefault="0038512E" w:rsidP="00CF20ED">
      <w:pPr>
        <w:spacing w:line="480" w:lineRule="auto"/>
        <w:rPr>
          <w:rFonts w:asciiTheme="minorHAnsi" w:hAnsiTheme="minorHAnsi" w:cstheme="minorHAnsi"/>
          <w:sz w:val="22"/>
          <w:szCs w:val="22"/>
        </w:rPr>
      </w:pPr>
      <w:r w:rsidRPr="004856DE">
        <w:rPr>
          <w:rFonts w:asciiTheme="minorHAnsi" w:hAnsiTheme="minorHAnsi" w:cstheme="minorHAnsi"/>
          <w:sz w:val="22"/>
          <w:szCs w:val="22"/>
        </w:rPr>
        <w:t xml:space="preserve"> </w:t>
      </w:r>
    </w:p>
    <w:p w14:paraId="1EAB0EEA" w14:textId="77777777" w:rsidR="0038512E" w:rsidRPr="00FF14AF" w:rsidRDefault="0038512E" w:rsidP="00CF20ED">
      <w:pPr>
        <w:spacing w:line="480" w:lineRule="auto"/>
        <w:rPr>
          <w:rFonts w:asciiTheme="minorHAnsi" w:hAnsiTheme="minorHAnsi" w:cstheme="minorHAnsi"/>
          <w:b/>
          <w:sz w:val="22"/>
          <w:szCs w:val="22"/>
        </w:rPr>
      </w:pPr>
      <w:r w:rsidRPr="00FF14AF">
        <w:rPr>
          <w:rFonts w:asciiTheme="minorHAnsi" w:hAnsiTheme="minorHAnsi" w:cstheme="minorHAnsi"/>
          <w:b/>
          <w:sz w:val="22"/>
          <w:szCs w:val="22"/>
        </w:rPr>
        <w:t>Results</w:t>
      </w:r>
    </w:p>
    <w:p w14:paraId="61E7FC35" w14:textId="52E4B745" w:rsidR="0038512E" w:rsidRDefault="0038512E" w:rsidP="00CF20ED">
      <w:pPr>
        <w:spacing w:line="480" w:lineRule="auto"/>
        <w:rPr>
          <w:rFonts w:asciiTheme="minorHAnsi" w:hAnsiTheme="minorHAnsi" w:cstheme="minorHAnsi"/>
          <w:sz w:val="22"/>
          <w:szCs w:val="22"/>
        </w:rPr>
      </w:pPr>
      <w:r>
        <w:rPr>
          <w:rFonts w:asciiTheme="minorHAnsi" w:hAnsiTheme="minorHAnsi" w:cstheme="minorHAnsi"/>
          <w:sz w:val="22"/>
          <w:szCs w:val="22"/>
        </w:rPr>
        <w:t xml:space="preserve">Characteristics and drinking patterns of the 143 participants are shown in Table 1.  The mean age of the sample was 71.  Men reported consuming significantly more units of alcohol per week, drinking on more days per week, consuming more units of alcohol per drinking day, with a higher proportion of men than women reported drinking on 5 days or more per week.  These gender differences were also reflected in mean total and individual AUDIT-C item scores.  </w:t>
      </w:r>
      <w:r w:rsidR="004918BB">
        <w:rPr>
          <w:rFonts w:asciiTheme="minorHAnsi" w:hAnsiTheme="minorHAnsi" w:cstheme="minorHAnsi"/>
          <w:sz w:val="22"/>
          <w:szCs w:val="22"/>
        </w:rPr>
        <w:t>Prescription medications for long term conditions were reported by 70% of the sample, with cardiovascular disease the most prevalent</w:t>
      </w:r>
      <w:r w:rsidR="009A51A7">
        <w:rPr>
          <w:rFonts w:asciiTheme="minorHAnsi" w:hAnsiTheme="minorHAnsi" w:cstheme="minorHAnsi"/>
          <w:sz w:val="22"/>
          <w:szCs w:val="22"/>
        </w:rPr>
        <w:t>,</w:t>
      </w:r>
      <w:r w:rsidR="00837C60">
        <w:rPr>
          <w:rFonts w:asciiTheme="minorHAnsi" w:hAnsiTheme="minorHAnsi" w:cstheme="minorHAnsi"/>
          <w:sz w:val="22"/>
          <w:szCs w:val="22"/>
        </w:rPr>
        <w:t xml:space="preserve"> </w:t>
      </w:r>
      <w:r w:rsidR="0010315F">
        <w:rPr>
          <w:rFonts w:asciiTheme="minorHAnsi" w:hAnsiTheme="minorHAnsi" w:cstheme="minorHAnsi"/>
          <w:sz w:val="22"/>
          <w:szCs w:val="22"/>
        </w:rPr>
        <w:t xml:space="preserve">and </w:t>
      </w:r>
      <w:r w:rsidR="004918BB">
        <w:rPr>
          <w:rFonts w:asciiTheme="minorHAnsi" w:hAnsiTheme="minorHAnsi" w:cstheme="minorHAnsi"/>
          <w:sz w:val="22"/>
          <w:szCs w:val="22"/>
        </w:rPr>
        <w:t>no statistically significant differences between men and women</w:t>
      </w:r>
      <w:r w:rsidR="00166D0B">
        <w:rPr>
          <w:rFonts w:asciiTheme="minorHAnsi" w:hAnsiTheme="minorHAnsi" w:cstheme="minorHAnsi"/>
          <w:sz w:val="22"/>
          <w:szCs w:val="22"/>
        </w:rPr>
        <w:t xml:space="preserve">.  </w:t>
      </w:r>
      <w:r w:rsidR="00BE07B5">
        <w:rPr>
          <w:rFonts w:asciiTheme="minorHAnsi" w:hAnsiTheme="minorHAnsi" w:cstheme="minorHAnsi"/>
          <w:sz w:val="22"/>
          <w:szCs w:val="22"/>
        </w:rPr>
        <w:t>P</w:t>
      </w:r>
      <w:r w:rsidR="00D9464C">
        <w:rPr>
          <w:rFonts w:asciiTheme="minorHAnsi" w:hAnsiTheme="minorHAnsi" w:cstheme="minorHAnsi"/>
          <w:sz w:val="22"/>
          <w:szCs w:val="22"/>
        </w:rPr>
        <w:t xml:space="preserve">articipants </w:t>
      </w:r>
      <w:r w:rsidR="00BE07B5">
        <w:rPr>
          <w:rFonts w:asciiTheme="minorHAnsi" w:hAnsiTheme="minorHAnsi" w:cstheme="minorHAnsi"/>
          <w:sz w:val="22"/>
          <w:szCs w:val="22"/>
        </w:rPr>
        <w:t xml:space="preserve">with </w:t>
      </w:r>
      <w:r w:rsidR="00102455">
        <w:rPr>
          <w:rFonts w:asciiTheme="minorHAnsi" w:hAnsiTheme="minorHAnsi" w:cstheme="minorHAnsi"/>
          <w:sz w:val="22"/>
          <w:szCs w:val="22"/>
        </w:rPr>
        <w:t xml:space="preserve">long term conditions </w:t>
      </w:r>
      <w:r w:rsidR="00BE07B5">
        <w:rPr>
          <w:rFonts w:asciiTheme="minorHAnsi" w:hAnsiTheme="minorHAnsi" w:cstheme="minorHAnsi"/>
          <w:sz w:val="22"/>
          <w:szCs w:val="22"/>
        </w:rPr>
        <w:t xml:space="preserve">consumed less alcohol and drank less frequently than the remainder of the sample but these differences were not statistically significant.  Respective results were: </w:t>
      </w:r>
      <w:r w:rsidR="004C7A7F">
        <w:rPr>
          <w:rFonts w:asciiTheme="minorHAnsi" w:hAnsiTheme="minorHAnsi" w:cstheme="minorHAnsi"/>
          <w:sz w:val="22"/>
          <w:szCs w:val="22"/>
        </w:rPr>
        <w:t xml:space="preserve"> </w:t>
      </w:r>
      <w:r w:rsidR="002A09F6">
        <w:rPr>
          <w:rFonts w:asciiTheme="minorHAnsi" w:hAnsiTheme="minorHAnsi" w:cstheme="minorHAnsi"/>
          <w:sz w:val="22"/>
          <w:szCs w:val="22"/>
        </w:rPr>
        <w:t xml:space="preserve">21.0% vs </w:t>
      </w:r>
      <w:r w:rsidR="004C7A7F">
        <w:rPr>
          <w:rFonts w:asciiTheme="minorHAnsi" w:hAnsiTheme="minorHAnsi" w:cstheme="minorHAnsi"/>
          <w:sz w:val="22"/>
          <w:szCs w:val="22"/>
        </w:rPr>
        <w:t>27.9%</w:t>
      </w:r>
      <w:r w:rsidR="00BE07B5">
        <w:rPr>
          <w:rFonts w:asciiTheme="minorHAnsi" w:hAnsiTheme="minorHAnsi" w:cstheme="minorHAnsi"/>
          <w:sz w:val="22"/>
          <w:szCs w:val="22"/>
        </w:rPr>
        <w:t>,</w:t>
      </w:r>
      <w:r w:rsidR="004C7A7F">
        <w:rPr>
          <w:rFonts w:asciiTheme="minorHAnsi" w:hAnsiTheme="minorHAnsi" w:cstheme="minorHAnsi"/>
          <w:sz w:val="22"/>
          <w:szCs w:val="22"/>
        </w:rPr>
        <w:t xml:space="preserve"> A</w:t>
      </w:r>
      <w:r>
        <w:rPr>
          <w:rFonts w:asciiTheme="minorHAnsi" w:hAnsiTheme="minorHAnsi" w:cstheme="minorHAnsi"/>
          <w:sz w:val="22"/>
          <w:szCs w:val="22"/>
        </w:rPr>
        <w:t xml:space="preserve">OR </w:t>
      </w:r>
      <w:r w:rsidRPr="00837C60">
        <w:rPr>
          <w:rFonts w:asciiTheme="minorHAnsi" w:hAnsiTheme="minorHAnsi" w:cstheme="minorHAnsi"/>
          <w:sz w:val="22"/>
          <w:szCs w:val="22"/>
        </w:rPr>
        <w:t>=</w:t>
      </w:r>
      <w:r w:rsidR="008B1432">
        <w:rPr>
          <w:rFonts w:asciiTheme="minorHAnsi" w:hAnsiTheme="minorHAnsi" w:cstheme="minorHAnsi"/>
          <w:sz w:val="22"/>
          <w:szCs w:val="22"/>
        </w:rPr>
        <w:t>0.8</w:t>
      </w:r>
      <w:r w:rsidR="004C7A7F">
        <w:rPr>
          <w:rFonts w:asciiTheme="minorHAnsi" w:hAnsiTheme="minorHAnsi" w:cstheme="minorHAnsi"/>
          <w:sz w:val="22"/>
          <w:szCs w:val="22"/>
        </w:rPr>
        <w:t>6</w:t>
      </w:r>
      <w:r w:rsidR="008B1432">
        <w:rPr>
          <w:rFonts w:asciiTheme="minorHAnsi" w:hAnsiTheme="minorHAnsi" w:cstheme="minorHAnsi"/>
          <w:sz w:val="22"/>
          <w:szCs w:val="22"/>
        </w:rPr>
        <w:t xml:space="preserve"> (95% CI=0.3</w:t>
      </w:r>
      <w:r w:rsidR="004C7A7F">
        <w:rPr>
          <w:rFonts w:asciiTheme="minorHAnsi" w:hAnsiTheme="minorHAnsi" w:cstheme="minorHAnsi"/>
          <w:sz w:val="22"/>
          <w:szCs w:val="22"/>
        </w:rPr>
        <w:t>4</w:t>
      </w:r>
      <w:r w:rsidR="008B1432">
        <w:rPr>
          <w:rFonts w:asciiTheme="minorHAnsi" w:hAnsiTheme="minorHAnsi" w:cstheme="minorHAnsi"/>
          <w:sz w:val="22"/>
          <w:szCs w:val="22"/>
        </w:rPr>
        <w:t>, 2.2</w:t>
      </w:r>
      <w:r w:rsidR="004C7A7F">
        <w:rPr>
          <w:rFonts w:asciiTheme="minorHAnsi" w:hAnsiTheme="minorHAnsi" w:cstheme="minorHAnsi"/>
          <w:sz w:val="22"/>
          <w:szCs w:val="22"/>
        </w:rPr>
        <w:t>2</w:t>
      </w:r>
      <w:r w:rsidR="008B1432">
        <w:rPr>
          <w:rFonts w:asciiTheme="minorHAnsi" w:hAnsiTheme="minorHAnsi" w:cstheme="minorHAnsi"/>
          <w:sz w:val="22"/>
          <w:szCs w:val="22"/>
        </w:rPr>
        <w:t>, p=0.7</w:t>
      </w:r>
      <w:r w:rsidR="004C7A7F">
        <w:rPr>
          <w:rFonts w:asciiTheme="minorHAnsi" w:hAnsiTheme="minorHAnsi" w:cstheme="minorHAnsi"/>
          <w:sz w:val="22"/>
          <w:szCs w:val="22"/>
        </w:rPr>
        <w:t>60</w:t>
      </w:r>
      <w:r w:rsidR="008B1432">
        <w:rPr>
          <w:rFonts w:asciiTheme="minorHAnsi" w:hAnsiTheme="minorHAnsi" w:cstheme="minorHAnsi"/>
          <w:sz w:val="22"/>
          <w:szCs w:val="22"/>
        </w:rPr>
        <w:t>)</w:t>
      </w:r>
      <w:r w:rsidR="00BE07B5">
        <w:rPr>
          <w:rFonts w:asciiTheme="minorHAnsi" w:hAnsiTheme="minorHAnsi" w:cstheme="minorHAnsi"/>
          <w:sz w:val="22"/>
          <w:szCs w:val="22"/>
        </w:rPr>
        <w:t xml:space="preserve"> for screening positive for unhealthy drinking; 40.0 % vs 44.2%, AOR = </w:t>
      </w:r>
      <w:r w:rsidR="0018285E">
        <w:rPr>
          <w:rFonts w:asciiTheme="minorHAnsi" w:hAnsiTheme="minorHAnsi" w:cstheme="minorHAnsi"/>
          <w:sz w:val="22"/>
          <w:szCs w:val="22"/>
        </w:rPr>
        <w:t>1.28 (95% CI=0.51, 3.24, p=0.598) for above median units per drinking day;</w:t>
      </w:r>
      <w:r w:rsidR="00BE07B5">
        <w:rPr>
          <w:rFonts w:asciiTheme="minorHAnsi" w:hAnsiTheme="minorHAnsi" w:cstheme="minorHAnsi"/>
          <w:sz w:val="22"/>
          <w:szCs w:val="22"/>
        </w:rPr>
        <w:t xml:space="preserve"> and </w:t>
      </w:r>
      <w:r w:rsidR="002A09F6">
        <w:rPr>
          <w:rFonts w:asciiTheme="minorHAnsi" w:hAnsiTheme="minorHAnsi" w:cstheme="minorHAnsi"/>
          <w:sz w:val="22"/>
          <w:szCs w:val="22"/>
        </w:rPr>
        <w:t>20.0% vs 27.9%</w:t>
      </w:r>
      <w:r w:rsidR="00BE07B5">
        <w:rPr>
          <w:rFonts w:asciiTheme="minorHAnsi" w:hAnsiTheme="minorHAnsi" w:cstheme="minorHAnsi"/>
          <w:sz w:val="22"/>
          <w:szCs w:val="22"/>
        </w:rPr>
        <w:t>,</w:t>
      </w:r>
      <w:r w:rsidR="002A09F6">
        <w:rPr>
          <w:rFonts w:asciiTheme="minorHAnsi" w:hAnsiTheme="minorHAnsi" w:cstheme="minorHAnsi"/>
          <w:sz w:val="22"/>
          <w:szCs w:val="22"/>
        </w:rPr>
        <w:t xml:space="preserve"> AOR=0.56</w:t>
      </w:r>
      <w:r w:rsidR="00BE07B5">
        <w:rPr>
          <w:rFonts w:asciiTheme="minorHAnsi" w:hAnsiTheme="minorHAnsi" w:cstheme="minorHAnsi"/>
          <w:sz w:val="22"/>
          <w:szCs w:val="22"/>
        </w:rPr>
        <w:t xml:space="preserve"> (</w:t>
      </w:r>
      <w:r w:rsidR="002A09F6">
        <w:rPr>
          <w:rFonts w:asciiTheme="minorHAnsi" w:hAnsiTheme="minorHAnsi" w:cstheme="minorHAnsi"/>
          <w:sz w:val="22"/>
          <w:szCs w:val="22"/>
        </w:rPr>
        <w:t>95% CI=0.23, 1.37, p=0.208)</w:t>
      </w:r>
      <w:r w:rsidR="00BE07B5">
        <w:rPr>
          <w:rFonts w:asciiTheme="minorHAnsi" w:hAnsiTheme="minorHAnsi" w:cstheme="minorHAnsi"/>
          <w:sz w:val="22"/>
          <w:szCs w:val="22"/>
        </w:rPr>
        <w:t xml:space="preserve"> for drinking on 5 days or more per week</w:t>
      </w:r>
      <w:r w:rsidR="00166D0B">
        <w:rPr>
          <w:rFonts w:asciiTheme="minorHAnsi" w:hAnsiTheme="minorHAnsi" w:cstheme="minorHAnsi"/>
          <w:sz w:val="22"/>
          <w:szCs w:val="22"/>
        </w:rPr>
        <w:t xml:space="preserve">.  </w:t>
      </w:r>
    </w:p>
    <w:p w14:paraId="1BC37930" w14:textId="77777777" w:rsidR="0038512E" w:rsidRPr="005D1B03" w:rsidRDefault="0038512E" w:rsidP="00CF20ED">
      <w:pPr>
        <w:pStyle w:val="ListParagraph"/>
        <w:spacing w:line="480" w:lineRule="auto"/>
        <w:ind w:left="3240" w:firstLine="360"/>
        <w:rPr>
          <w:rFonts w:asciiTheme="minorHAnsi" w:hAnsiTheme="minorHAnsi" w:cstheme="minorHAnsi"/>
          <w:sz w:val="22"/>
          <w:szCs w:val="22"/>
        </w:rPr>
      </w:pPr>
      <w:r>
        <w:rPr>
          <w:rFonts w:asciiTheme="minorHAnsi" w:hAnsiTheme="minorHAnsi" w:cstheme="minorHAnsi"/>
          <w:sz w:val="22"/>
          <w:szCs w:val="22"/>
        </w:rPr>
        <w:t xml:space="preserve">-Table 1 about here - </w:t>
      </w:r>
    </w:p>
    <w:p w14:paraId="350CEA8C" w14:textId="77777777" w:rsidR="0038512E" w:rsidRPr="005D1B03" w:rsidRDefault="0038512E" w:rsidP="00CF20ED">
      <w:pPr>
        <w:spacing w:line="480" w:lineRule="auto"/>
        <w:rPr>
          <w:rFonts w:asciiTheme="minorHAnsi" w:hAnsiTheme="minorHAnsi" w:cstheme="minorHAnsi"/>
          <w:sz w:val="22"/>
          <w:szCs w:val="22"/>
        </w:rPr>
      </w:pPr>
    </w:p>
    <w:p w14:paraId="4B8EDAF8" w14:textId="77777777" w:rsidR="0038512E" w:rsidRDefault="0038512E" w:rsidP="00CF20ED">
      <w:pPr>
        <w:spacing w:line="480" w:lineRule="auto"/>
        <w:rPr>
          <w:rFonts w:asciiTheme="minorHAnsi" w:hAnsiTheme="minorHAnsi" w:cstheme="minorHAnsi"/>
          <w:i/>
          <w:sz w:val="22"/>
          <w:szCs w:val="22"/>
        </w:rPr>
      </w:pPr>
      <w:r>
        <w:rPr>
          <w:rFonts w:asciiTheme="minorHAnsi" w:hAnsiTheme="minorHAnsi" w:cstheme="minorHAnsi"/>
          <w:i/>
          <w:sz w:val="22"/>
          <w:szCs w:val="22"/>
        </w:rPr>
        <w:t>Total AUDIT-C scores</w:t>
      </w:r>
    </w:p>
    <w:p w14:paraId="42733B54" w14:textId="77777777" w:rsidR="0038512E" w:rsidRDefault="0038512E" w:rsidP="00CF20ED">
      <w:pPr>
        <w:spacing w:line="480" w:lineRule="auto"/>
        <w:rPr>
          <w:rFonts w:asciiTheme="minorHAnsi" w:hAnsiTheme="minorHAnsi" w:cstheme="minorHAnsi"/>
          <w:sz w:val="22"/>
          <w:szCs w:val="22"/>
        </w:rPr>
      </w:pPr>
      <w:r>
        <w:rPr>
          <w:rFonts w:asciiTheme="minorHAnsi" w:hAnsiTheme="minorHAnsi" w:cstheme="minorHAnsi"/>
          <w:sz w:val="22"/>
          <w:szCs w:val="22"/>
        </w:rPr>
        <w:t>The optimal cut-off for the whole sample was ≥5, with 88% sensitivity and 85% specificity, correctly classifying 85% of cases (Table 2).  The area under the ROC curve was not significantly different between men and women (χ</w:t>
      </w:r>
      <w:r w:rsidRPr="00854510">
        <w:rPr>
          <w:rFonts w:asciiTheme="minorHAnsi" w:hAnsiTheme="minorHAnsi" w:cstheme="minorHAnsi"/>
          <w:sz w:val="22"/>
          <w:szCs w:val="22"/>
          <w:vertAlign w:val="superscript"/>
        </w:rPr>
        <w:t>2</w:t>
      </w:r>
      <w:r>
        <w:rPr>
          <w:rFonts w:asciiTheme="minorHAnsi" w:hAnsiTheme="minorHAnsi" w:cstheme="minorHAnsi"/>
          <w:sz w:val="22"/>
          <w:szCs w:val="22"/>
        </w:rPr>
        <w:t xml:space="preserve"> [</w:t>
      </w:r>
      <w:proofErr w:type="gramStart"/>
      <w:r>
        <w:rPr>
          <w:rFonts w:asciiTheme="minorHAnsi" w:hAnsiTheme="minorHAnsi" w:cstheme="minorHAnsi"/>
          <w:sz w:val="22"/>
          <w:szCs w:val="22"/>
        </w:rPr>
        <w:t>2]=</w:t>
      </w:r>
      <w:proofErr w:type="gramEnd"/>
      <w:r>
        <w:rPr>
          <w:rFonts w:asciiTheme="minorHAnsi" w:hAnsiTheme="minorHAnsi" w:cstheme="minorHAnsi"/>
          <w:sz w:val="22"/>
          <w:szCs w:val="22"/>
        </w:rPr>
        <w:t>0.24, p=0.625; Figure 1).  The optimal cut-off was ≥5 for both men and women.  Overall, optimal cut-offs did not change when analyses were restricted to participants who were prescribed medications, nor was there a significant difference in the area under the ROC curve between men and women within this group (χ</w:t>
      </w:r>
      <w:r w:rsidRPr="00854510">
        <w:rPr>
          <w:rFonts w:asciiTheme="minorHAnsi" w:hAnsiTheme="minorHAnsi" w:cstheme="minorHAnsi"/>
          <w:sz w:val="22"/>
          <w:szCs w:val="22"/>
          <w:vertAlign w:val="superscript"/>
        </w:rPr>
        <w:t>2</w:t>
      </w:r>
      <w:r>
        <w:rPr>
          <w:rFonts w:asciiTheme="minorHAnsi" w:hAnsiTheme="minorHAnsi" w:cstheme="minorHAnsi"/>
          <w:sz w:val="22"/>
          <w:szCs w:val="22"/>
        </w:rPr>
        <w:t xml:space="preserve"> [</w:t>
      </w:r>
      <w:proofErr w:type="gramStart"/>
      <w:r>
        <w:rPr>
          <w:rFonts w:asciiTheme="minorHAnsi" w:hAnsiTheme="minorHAnsi" w:cstheme="minorHAnsi"/>
          <w:sz w:val="22"/>
          <w:szCs w:val="22"/>
        </w:rPr>
        <w:t>2]=</w:t>
      </w:r>
      <w:proofErr w:type="gramEnd"/>
      <w:r>
        <w:rPr>
          <w:rFonts w:asciiTheme="minorHAnsi" w:hAnsiTheme="minorHAnsi" w:cstheme="minorHAnsi"/>
          <w:sz w:val="22"/>
          <w:szCs w:val="22"/>
        </w:rPr>
        <w:t xml:space="preserve">1.14, p=0.286).  However, the optimal cut-off for total AUDIT-C among women reduced to </w:t>
      </w:r>
      <w:r w:rsidRPr="00E27139">
        <w:rPr>
          <w:rFonts w:asciiTheme="minorHAnsi" w:hAnsiTheme="minorHAnsi" w:cstheme="minorHAnsi"/>
          <w:sz w:val="22"/>
          <w:szCs w:val="22"/>
        </w:rPr>
        <w:t>≥</w:t>
      </w:r>
      <w:r>
        <w:rPr>
          <w:rFonts w:asciiTheme="minorHAnsi" w:hAnsiTheme="minorHAnsi" w:cstheme="minorHAnsi"/>
          <w:sz w:val="22"/>
          <w:szCs w:val="22"/>
        </w:rPr>
        <w:t xml:space="preserve">4, with 100% sensitivity and 80% specificity.  </w:t>
      </w:r>
    </w:p>
    <w:p w14:paraId="59B7DA2F" w14:textId="77777777" w:rsidR="0038512E" w:rsidRDefault="0038512E" w:rsidP="00CF20ED">
      <w:pPr>
        <w:spacing w:line="480" w:lineRule="auto"/>
        <w:rPr>
          <w:rFonts w:asciiTheme="minorHAnsi" w:hAnsiTheme="minorHAnsi" w:cstheme="minorHAnsi"/>
          <w:sz w:val="22"/>
          <w:szCs w:val="22"/>
        </w:rPr>
      </w:pPr>
    </w:p>
    <w:p w14:paraId="7D3A20A7" w14:textId="77777777" w:rsidR="0038512E" w:rsidRDefault="0038512E" w:rsidP="00CF20ED">
      <w:pPr>
        <w:spacing w:line="480" w:lineRule="auto"/>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-Table 2 about here-</w:t>
      </w:r>
    </w:p>
    <w:p w14:paraId="3A038FDE" w14:textId="77777777" w:rsidR="0038512E" w:rsidRPr="005D1B03" w:rsidRDefault="0038512E" w:rsidP="00CF20ED">
      <w:pPr>
        <w:spacing w:line="480" w:lineRule="auto"/>
        <w:rPr>
          <w:rFonts w:asciiTheme="minorHAnsi" w:hAnsiTheme="minorHAnsi" w:cstheme="minorHAnsi"/>
          <w:sz w:val="22"/>
          <w:szCs w:val="22"/>
        </w:rPr>
      </w:pPr>
    </w:p>
    <w:p w14:paraId="35B31263" w14:textId="77777777" w:rsidR="0038512E" w:rsidRPr="00F70C2A" w:rsidRDefault="0038512E" w:rsidP="00CF20ED">
      <w:pPr>
        <w:spacing w:line="480" w:lineRule="auto"/>
        <w:rPr>
          <w:rFonts w:asciiTheme="minorHAnsi" w:hAnsiTheme="minorHAnsi" w:cstheme="minorHAnsi"/>
          <w:i/>
          <w:sz w:val="22"/>
          <w:szCs w:val="22"/>
        </w:rPr>
      </w:pPr>
      <w:r>
        <w:rPr>
          <w:rFonts w:asciiTheme="minorHAnsi" w:hAnsiTheme="minorHAnsi" w:cstheme="minorHAnsi"/>
          <w:i/>
          <w:sz w:val="22"/>
          <w:szCs w:val="22"/>
        </w:rPr>
        <w:t>AUDIT-C item scores</w:t>
      </w:r>
    </w:p>
    <w:p w14:paraId="31D53888" w14:textId="77777777" w:rsidR="0038512E" w:rsidRDefault="0038512E" w:rsidP="00CF20ED">
      <w:pPr>
        <w:spacing w:after="200" w:line="480" w:lineRule="auto"/>
        <w:rPr>
          <w:rFonts w:asciiTheme="minorHAnsi" w:hAnsiTheme="minorHAnsi" w:cstheme="minorHAnsi"/>
          <w:sz w:val="22"/>
          <w:szCs w:val="22"/>
        </w:rPr>
      </w:pPr>
      <w:r>
        <w:rPr>
          <w:rFonts w:asciiTheme="minorHAnsi" w:hAnsiTheme="minorHAnsi" w:cstheme="minorHAnsi"/>
          <w:sz w:val="22"/>
          <w:szCs w:val="22"/>
        </w:rPr>
        <w:t>For the whole sample, t</w:t>
      </w:r>
      <w:r w:rsidRPr="00446E07">
        <w:rPr>
          <w:rFonts w:asciiTheme="minorHAnsi" w:hAnsiTheme="minorHAnsi" w:cstheme="minorHAnsi"/>
          <w:sz w:val="22"/>
          <w:szCs w:val="22"/>
        </w:rPr>
        <w:t xml:space="preserve">he area under the ROC curve was </w:t>
      </w:r>
      <w:r>
        <w:rPr>
          <w:rFonts w:asciiTheme="minorHAnsi" w:hAnsiTheme="minorHAnsi" w:cstheme="minorHAnsi"/>
          <w:sz w:val="22"/>
          <w:szCs w:val="22"/>
        </w:rPr>
        <w:t>similar for the three items: 0.85, 0.87 and 0.82 (χ</w:t>
      </w:r>
      <w:r w:rsidRPr="00854510">
        <w:rPr>
          <w:rFonts w:asciiTheme="minorHAnsi" w:hAnsiTheme="minorHAnsi" w:cstheme="minorHAnsi"/>
          <w:sz w:val="22"/>
          <w:szCs w:val="22"/>
          <w:vertAlign w:val="superscript"/>
        </w:rPr>
        <w:t>2</w:t>
      </w:r>
      <w:r>
        <w:rPr>
          <w:rFonts w:asciiTheme="minorHAnsi" w:hAnsiTheme="minorHAnsi" w:cstheme="minorHAnsi"/>
          <w:sz w:val="22"/>
          <w:szCs w:val="22"/>
        </w:rPr>
        <w:t>[</w:t>
      </w:r>
      <w:proofErr w:type="gramStart"/>
      <w:r>
        <w:rPr>
          <w:rFonts w:asciiTheme="minorHAnsi" w:hAnsiTheme="minorHAnsi" w:cstheme="minorHAnsi"/>
          <w:sz w:val="22"/>
          <w:szCs w:val="22"/>
        </w:rPr>
        <w:t>2]=</w:t>
      </w:r>
      <w:proofErr w:type="gramEnd"/>
      <w:r>
        <w:rPr>
          <w:rFonts w:asciiTheme="minorHAnsi" w:hAnsiTheme="minorHAnsi" w:cstheme="minorHAnsi"/>
          <w:sz w:val="22"/>
          <w:szCs w:val="22"/>
        </w:rPr>
        <w:t>1.76, p=0.415)( Table 3).  For usual frequency of drinking (item 1), the optimal cut-offs were ≥3 and ≥4, with little difference between them, although a higher proportion of correctly classified cases were found for scores of ≥4 (83% vs 71% respectively).  For usual quantity of drinking (item 2), the optimal cut-off was ≥1, with a sensitivity of 91% and s</w:t>
      </w:r>
      <w:r w:rsidR="00117DFE">
        <w:rPr>
          <w:rFonts w:asciiTheme="minorHAnsi" w:hAnsiTheme="minorHAnsi" w:cstheme="minorHAnsi"/>
          <w:sz w:val="22"/>
          <w:szCs w:val="22"/>
        </w:rPr>
        <w:t>pecificity</w:t>
      </w:r>
      <w:r>
        <w:rPr>
          <w:rFonts w:asciiTheme="minorHAnsi" w:hAnsiTheme="minorHAnsi" w:cstheme="minorHAnsi"/>
          <w:sz w:val="22"/>
          <w:szCs w:val="22"/>
        </w:rPr>
        <w:t xml:space="preserve"> of 75%.  For heavy episodic drinking (item 3), the best balance between sensitivity and specificity was at ≥1, but the combined score was higher at ≥2, for which the most cases were correctly classified (85%).   No significant difference in the area under the ROC curve was found when analyses were restricted to men (χ</w:t>
      </w:r>
      <w:r w:rsidRPr="00854510">
        <w:rPr>
          <w:rFonts w:asciiTheme="minorHAnsi" w:hAnsiTheme="minorHAnsi" w:cstheme="minorHAnsi"/>
          <w:sz w:val="22"/>
          <w:szCs w:val="22"/>
          <w:vertAlign w:val="superscript"/>
        </w:rPr>
        <w:t>2</w:t>
      </w:r>
      <w:r>
        <w:rPr>
          <w:rFonts w:asciiTheme="minorHAnsi" w:hAnsiTheme="minorHAnsi" w:cstheme="minorHAnsi"/>
          <w:sz w:val="22"/>
          <w:szCs w:val="22"/>
        </w:rPr>
        <w:t>[</w:t>
      </w:r>
      <w:proofErr w:type="gramStart"/>
      <w:r>
        <w:rPr>
          <w:rFonts w:asciiTheme="minorHAnsi" w:hAnsiTheme="minorHAnsi" w:cstheme="minorHAnsi"/>
          <w:sz w:val="22"/>
          <w:szCs w:val="22"/>
        </w:rPr>
        <w:t>2]=</w:t>
      </w:r>
      <w:proofErr w:type="gramEnd"/>
      <w:r>
        <w:rPr>
          <w:rFonts w:asciiTheme="minorHAnsi" w:hAnsiTheme="minorHAnsi" w:cstheme="minorHAnsi"/>
          <w:sz w:val="22"/>
          <w:szCs w:val="22"/>
        </w:rPr>
        <w:t>0.65, p=0.723) or women (χ</w:t>
      </w:r>
      <w:r w:rsidRPr="00854510">
        <w:rPr>
          <w:rFonts w:asciiTheme="minorHAnsi" w:hAnsiTheme="minorHAnsi" w:cstheme="minorHAnsi"/>
          <w:sz w:val="22"/>
          <w:szCs w:val="22"/>
          <w:vertAlign w:val="superscript"/>
        </w:rPr>
        <w:t>2</w:t>
      </w:r>
      <w:r>
        <w:rPr>
          <w:rFonts w:asciiTheme="minorHAnsi" w:hAnsiTheme="minorHAnsi" w:cstheme="minorHAnsi"/>
          <w:sz w:val="22"/>
          <w:szCs w:val="22"/>
        </w:rPr>
        <w:t xml:space="preserve">[2]=0.69, p=0.710). </w:t>
      </w:r>
    </w:p>
    <w:p w14:paraId="5BE687B4" w14:textId="77777777" w:rsidR="0038512E" w:rsidRDefault="0038512E" w:rsidP="00CF20ED">
      <w:pPr>
        <w:spacing w:after="200" w:line="480" w:lineRule="auto"/>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-Figures 1 &amp; 2 about here-</w:t>
      </w:r>
    </w:p>
    <w:p w14:paraId="35F0FD7A" w14:textId="77777777" w:rsidR="0038512E" w:rsidRDefault="0038512E" w:rsidP="00CF20ED">
      <w:pPr>
        <w:spacing w:after="200" w:line="480" w:lineRule="auto"/>
        <w:rPr>
          <w:rFonts w:asciiTheme="minorHAnsi" w:hAnsiTheme="minorHAnsi" w:cstheme="minorHAnsi"/>
          <w:sz w:val="22"/>
          <w:szCs w:val="22"/>
        </w:rPr>
      </w:pPr>
      <w:r>
        <w:rPr>
          <w:rFonts w:asciiTheme="minorHAnsi" w:hAnsiTheme="minorHAnsi" w:cstheme="minorHAnsi"/>
          <w:sz w:val="22"/>
          <w:szCs w:val="22"/>
        </w:rPr>
        <w:t xml:space="preserve">There was greater distinction in the optimal cut-offs for items 1 and 2 among women compared to men (Table 3).  For women, the optimal cut-off for usual drinking frequency was ≥4 and it was ≥1 for usual quantity.  For men, there was little difference between ≥3 and ≥4 for usual frequency, but the optimal cut-off for usual quantity remained ≥1.  For heavy episodic drinking, the ≥2 cut-off score was optimal for men, whilst ≥1 was the optimal threshold score for women.  </w:t>
      </w:r>
    </w:p>
    <w:p w14:paraId="7938F92C" w14:textId="77777777" w:rsidR="0038512E" w:rsidRDefault="0038512E" w:rsidP="00CF20ED">
      <w:pPr>
        <w:spacing w:after="200" w:line="480" w:lineRule="auto"/>
        <w:rPr>
          <w:rFonts w:asciiTheme="minorHAnsi" w:hAnsiTheme="minorHAnsi" w:cstheme="minorHAnsi"/>
          <w:i/>
          <w:sz w:val="22"/>
          <w:szCs w:val="22"/>
        </w:rPr>
      </w:pPr>
      <w:r>
        <w:rPr>
          <w:rFonts w:asciiTheme="minorHAnsi" w:hAnsiTheme="minorHAnsi" w:cstheme="minorHAnsi"/>
          <w:sz w:val="22"/>
          <w:szCs w:val="22"/>
        </w:rPr>
        <w:t xml:space="preserve">For participants with long term conditions, the optimal cut-offs remained highest at </w:t>
      </w:r>
      <w:r w:rsidRPr="00E27139">
        <w:rPr>
          <w:rFonts w:asciiTheme="minorHAnsi" w:hAnsiTheme="minorHAnsi" w:cstheme="minorHAnsi"/>
          <w:sz w:val="22"/>
          <w:szCs w:val="22"/>
        </w:rPr>
        <w:t>≥</w:t>
      </w:r>
      <w:r>
        <w:rPr>
          <w:rFonts w:asciiTheme="minorHAnsi" w:hAnsiTheme="minorHAnsi" w:cstheme="minorHAnsi"/>
          <w:sz w:val="22"/>
          <w:szCs w:val="22"/>
        </w:rPr>
        <w:t xml:space="preserve">4 for usual frequency and </w:t>
      </w:r>
      <w:r w:rsidRPr="00E27139">
        <w:rPr>
          <w:rFonts w:asciiTheme="minorHAnsi" w:hAnsiTheme="minorHAnsi" w:cstheme="minorHAnsi"/>
          <w:sz w:val="22"/>
          <w:szCs w:val="22"/>
        </w:rPr>
        <w:t>≥</w:t>
      </w:r>
      <w:r>
        <w:rPr>
          <w:rFonts w:asciiTheme="minorHAnsi" w:hAnsiTheme="minorHAnsi" w:cstheme="minorHAnsi"/>
          <w:sz w:val="22"/>
          <w:szCs w:val="22"/>
        </w:rPr>
        <w:t>1 for the usual quantity and heavy episodic drinking items.  For men, the optimal cut-off for item 1 was more clearly ≥3.  Again, there was no significant difference between the area under the ROC curves for the three items (χ</w:t>
      </w:r>
      <w:r w:rsidRPr="00854510">
        <w:rPr>
          <w:rFonts w:asciiTheme="minorHAnsi" w:hAnsiTheme="minorHAnsi" w:cstheme="minorHAnsi"/>
          <w:sz w:val="22"/>
          <w:szCs w:val="22"/>
          <w:vertAlign w:val="superscript"/>
        </w:rPr>
        <w:t>2</w:t>
      </w:r>
      <w:r>
        <w:rPr>
          <w:rFonts w:asciiTheme="minorHAnsi" w:hAnsiTheme="minorHAnsi" w:cstheme="minorHAnsi"/>
          <w:sz w:val="22"/>
          <w:szCs w:val="22"/>
        </w:rPr>
        <w:t>[</w:t>
      </w:r>
      <w:proofErr w:type="gramStart"/>
      <w:r>
        <w:rPr>
          <w:rFonts w:asciiTheme="minorHAnsi" w:hAnsiTheme="minorHAnsi" w:cstheme="minorHAnsi"/>
          <w:sz w:val="22"/>
          <w:szCs w:val="22"/>
        </w:rPr>
        <w:t>2]=</w:t>
      </w:r>
      <w:proofErr w:type="gramEnd"/>
      <w:r>
        <w:rPr>
          <w:rFonts w:asciiTheme="minorHAnsi" w:hAnsiTheme="minorHAnsi" w:cstheme="minorHAnsi"/>
          <w:sz w:val="22"/>
          <w:szCs w:val="22"/>
        </w:rPr>
        <w:t xml:space="preserve">1.30, p=0.522).  </w:t>
      </w:r>
    </w:p>
    <w:p w14:paraId="19BC149B" w14:textId="77777777" w:rsidR="0038512E" w:rsidRPr="006C3940" w:rsidRDefault="0038512E" w:rsidP="00CF20ED">
      <w:pPr>
        <w:spacing w:after="200" w:line="480" w:lineRule="auto"/>
        <w:rPr>
          <w:rFonts w:asciiTheme="minorHAnsi" w:hAnsiTheme="minorHAnsi" w:cstheme="minorHAnsi"/>
          <w:sz w:val="22"/>
          <w:szCs w:val="22"/>
        </w:rPr>
      </w:pPr>
      <w:r w:rsidRPr="006C3940">
        <w:rPr>
          <w:rFonts w:asciiTheme="minorHAnsi" w:hAnsiTheme="minorHAnsi" w:cstheme="minorHAnsi"/>
          <w:sz w:val="22"/>
          <w:szCs w:val="22"/>
        </w:rPr>
        <w:tab/>
      </w:r>
      <w:r w:rsidRPr="006C3940">
        <w:rPr>
          <w:rFonts w:asciiTheme="minorHAnsi" w:hAnsiTheme="minorHAnsi" w:cstheme="minorHAnsi"/>
          <w:sz w:val="22"/>
          <w:szCs w:val="22"/>
        </w:rPr>
        <w:tab/>
      </w:r>
      <w:r w:rsidRPr="006C3940">
        <w:rPr>
          <w:rFonts w:asciiTheme="minorHAnsi" w:hAnsiTheme="minorHAnsi" w:cstheme="minorHAnsi"/>
          <w:sz w:val="22"/>
          <w:szCs w:val="22"/>
        </w:rPr>
        <w:tab/>
      </w:r>
      <w:r w:rsidRPr="006C3940">
        <w:rPr>
          <w:rFonts w:asciiTheme="minorHAnsi" w:hAnsiTheme="minorHAnsi" w:cstheme="minorHAnsi"/>
          <w:sz w:val="22"/>
          <w:szCs w:val="22"/>
        </w:rPr>
        <w:tab/>
      </w:r>
      <w:r w:rsidRPr="006C3940">
        <w:rPr>
          <w:rFonts w:asciiTheme="minorHAnsi" w:hAnsiTheme="minorHAnsi" w:cstheme="minorHAnsi"/>
          <w:sz w:val="22"/>
          <w:szCs w:val="22"/>
        </w:rPr>
        <w:tab/>
        <w:t>-Table 3 about here-</w:t>
      </w:r>
    </w:p>
    <w:p w14:paraId="5F6F4F74" w14:textId="77777777" w:rsidR="0038512E" w:rsidRPr="00FF478D" w:rsidRDefault="0038512E" w:rsidP="00CF20ED">
      <w:pPr>
        <w:spacing w:after="200" w:line="480" w:lineRule="auto"/>
        <w:rPr>
          <w:rFonts w:asciiTheme="minorHAnsi" w:hAnsiTheme="minorHAnsi" w:cstheme="minorHAnsi"/>
          <w:b/>
          <w:sz w:val="22"/>
          <w:szCs w:val="22"/>
        </w:rPr>
      </w:pPr>
      <w:r w:rsidRPr="00FF478D">
        <w:rPr>
          <w:rFonts w:asciiTheme="minorHAnsi" w:hAnsiTheme="minorHAnsi" w:cstheme="minorHAnsi"/>
          <w:b/>
          <w:sz w:val="22"/>
          <w:szCs w:val="22"/>
        </w:rPr>
        <w:t>Discussion</w:t>
      </w:r>
    </w:p>
    <w:p w14:paraId="4C480A7A" w14:textId="4E9DB650" w:rsidR="0038512E" w:rsidRDefault="0038512E" w:rsidP="00CF20ED">
      <w:pPr>
        <w:spacing w:after="200" w:line="480" w:lineRule="auto"/>
        <w:rPr>
          <w:rFonts w:asciiTheme="minorHAnsi" w:hAnsiTheme="minorHAnsi" w:cstheme="minorHAnsi"/>
          <w:sz w:val="22"/>
          <w:szCs w:val="22"/>
        </w:rPr>
      </w:pPr>
      <w:r>
        <w:rPr>
          <w:rFonts w:asciiTheme="minorHAnsi" w:hAnsiTheme="minorHAnsi" w:cstheme="minorHAnsi"/>
          <w:sz w:val="22"/>
          <w:szCs w:val="22"/>
        </w:rPr>
        <w:lastRenderedPageBreak/>
        <w:t xml:space="preserve">This exploratory study examines the performance of the AUDIT-C and its individual items among a community sample of older people in the UK, identifying that the AUDIT-C performs </w:t>
      </w:r>
      <w:r w:rsidR="002D6ADF">
        <w:rPr>
          <w:rFonts w:asciiTheme="minorHAnsi" w:hAnsiTheme="minorHAnsi" w:cstheme="minorHAnsi"/>
          <w:sz w:val="22"/>
          <w:szCs w:val="22"/>
        </w:rPr>
        <w:t>best</w:t>
      </w:r>
      <w:r>
        <w:rPr>
          <w:rFonts w:asciiTheme="minorHAnsi" w:hAnsiTheme="minorHAnsi" w:cstheme="minorHAnsi"/>
          <w:sz w:val="22"/>
          <w:szCs w:val="22"/>
        </w:rPr>
        <w:t xml:space="preserve"> overall, and that items 1 and 2 are at least as promising single-item screeners as item 3 in this population.  We found the AUDIT-C to perform well in identifying unhealthy drinking among older men and women, with an</w:t>
      </w:r>
      <w:r w:rsidRPr="00625898">
        <w:rPr>
          <w:rFonts w:asciiTheme="minorHAnsi" w:hAnsiTheme="minorHAnsi" w:cstheme="minorHAnsi"/>
          <w:sz w:val="22"/>
          <w:szCs w:val="22"/>
        </w:rPr>
        <w:t xml:space="preserve"> optimal cut-off of ≥5 for both men and women. </w:t>
      </w:r>
      <w:r>
        <w:rPr>
          <w:rFonts w:asciiTheme="minorHAnsi" w:hAnsiTheme="minorHAnsi" w:cstheme="minorHAnsi"/>
          <w:sz w:val="22"/>
          <w:szCs w:val="22"/>
        </w:rPr>
        <w:t xml:space="preserve"> This is lower than the only other UK validation study of the instrument </w:t>
      </w:r>
      <w:r>
        <w:rPr>
          <w:rFonts w:asciiTheme="minorHAnsi" w:hAnsiTheme="minorHAnsi" w:cstheme="minorHAnsi"/>
          <w:noProof/>
          <w:sz w:val="22"/>
          <w:szCs w:val="22"/>
        </w:rPr>
        <w:t>(Khadjesari et al., 2017)</w:t>
      </w:r>
      <w:r>
        <w:rPr>
          <w:rFonts w:asciiTheme="minorHAnsi" w:hAnsiTheme="minorHAnsi" w:cstheme="minorHAnsi"/>
          <w:sz w:val="22"/>
          <w:szCs w:val="22"/>
        </w:rPr>
        <w:t>, but that study was of a younger average age sample of people seeking help for their drinking and used the previous UK recommended weekly consumption limits as a reference category (21 units for men and 14 for women</w:t>
      </w:r>
      <w:r w:rsidRPr="005541CB">
        <w:rPr>
          <w:rFonts w:asciiTheme="minorHAnsi" w:hAnsiTheme="minorHAnsi" w:cstheme="minorHAnsi"/>
          <w:sz w:val="22"/>
          <w:szCs w:val="22"/>
        </w:rPr>
        <w:t>)</w:t>
      </w:r>
      <w:r>
        <w:rPr>
          <w:rFonts w:asciiTheme="minorHAnsi" w:hAnsiTheme="minorHAnsi" w:cstheme="minorHAnsi"/>
          <w:sz w:val="22"/>
          <w:szCs w:val="22"/>
        </w:rPr>
        <w:t xml:space="preserve">.  </w:t>
      </w:r>
      <w:r w:rsidR="00D30F26">
        <w:rPr>
          <w:rFonts w:asciiTheme="minorHAnsi" w:hAnsiTheme="minorHAnsi" w:cstheme="minorHAnsi"/>
          <w:sz w:val="22"/>
          <w:szCs w:val="22"/>
        </w:rPr>
        <w:t xml:space="preserve">Findings for the sensitivity and specificity of the AUDIT-C </w:t>
      </w:r>
      <w:r w:rsidR="0082211B">
        <w:rPr>
          <w:rFonts w:asciiTheme="minorHAnsi" w:hAnsiTheme="minorHAnsi" w:cstheme="minorHAnsi"/>
          <w:sz w:val="22"/>
          <w:szCs w:val="22"/>
        </w:rPr>
        <w:t xml:space="preserve">are broadly comparable with </w:t>
      </w:r>
      <w:r w:rsidR="002D6ADF">
        <w:rPr>
          <w:rFonts w:asciiTheme="minorHAnsi" w:hAnsiTheme="minorHAnsi" w:cstheme="minorHAnsi"/>
          <w:sz w:val="22"/>
          <w:szCs w:val="22"/>
        </w:rPr>
        <w:t xml:space="preserve">those </w:t>
      </w:r>
      <w:r w:rsidR="00356DA6">
        <w:rPr>
          <w:rFonts w:asciiTheme="minorHAnsi" w:hAnsiTheme="minorHAnsi" w:cstheme="minorHAnsi"/>
          <w:sz w:val="22"/>
          <w:szCs w:val="22"/>
        </w:rPr>
        <w:t xml:space="preserve">reported in systematic reviews of </w:t>
      </w:r>
      <w:r w:rsidR="00D30F26">
        <w:rPr>
          <w:rFonts w:asciiTheme="minorHAnsi" w:hAnsiTheme="minorHAnsi" w:cstheme="minorHAnsi"/>
          <w:sz w:val="22"/>
          <w:szCs w:val="22"/>
        </w:rPr>
        <w:t xml:space="preserve">non-UK </w:t>
      </w:r>
      <w:r w:rsidR="000B6959">
        <w:rPr>
          <w:rFonts w:asciiTheme="minorHAnsi" w:hAnsiTheme="minorHAnsi" w:cstheme="minorHAnsi"/>
          <w:sz w:val="22"/>
          <w:szCs w:val="22"/>
        </w:rPr>
        <w:t xml:space="preserve">validation </w:t>
      </w:r>
      <w:r w:rsidR="0082211B">
        <w:rPr>
          <w:rFonts w:asciiTheme="minorHAnsi" w:hAnsiTheme="minorHAnsi" w:cstheme="minorHAnsi"/>
          <w:sz w:val="22"/>
          <w:szCs w:val="22"/>
        </w:rPr>
        <w:t xml:space="preserve">studies </w:t>
      </w:r>
      <w:r w:rsidR="000B6959">
        <w:rPr>
          <w:rFonts w:asciiTheme="minorHAnsi" w:hAnsiTheme="minorHAnsi" w:cstheme="minorHAnsi"/>
          <w:sz w:val="22"/>
          <w:szCs w:val="22"/>
        </w:rPr>
        <w:t xml:space="preserve">in </w:t>
      </w:r>
      <w:r w:rsidR="00B478A9">
        <w:rPr>
          <w:rFonts w:asciiTheme="minorHAnsi" w:hAnsiTheme="minorHAnsi" w:cstheme="minorHAnsi"/>
          <w:sz w:val="22"/>
          <w:szCs w:val="22"/>
        </w:rPr>
        <w:t>young people (Toner et al., 2019)</w:t>
      </w:r>
      <w:r w:rsidR="000B6959">
        <w:rPr>
          <w:rFonts w:asciiTheme="minorHAnsi" w:hAnsiTheme="minorHAnsi" w:cstheme="minorHAnsi"/>
          <w:sz w:val="22"/>
          <w:szCs w:val="22"/>
        </w:rPr>
        <w:t xml:space="preserve">, </w:t>
      </w:r>
      <w:r w:rsidR="00102455">
        <w:rPr>
          <w:rFonts w:asciiTheme="minorHAnsi" w:hAnsiTheme="minorHAnsi" w:cstheme="minorHAnsi"/>
          <w:sz w:val="22"/>
          <w:szCs w:val="22"/>
        </w:rPr>
        <w:t xml:space="preserve">in </w:t>
      </w:r>
      <w:r w:rsidR="00CE1D06">
        <w:rPr>
          <w:rFonts w:asciiTheme="minorHAnsi" w:hAnsiTheme="minorHAnsi" w:cstheme="minorHAnsi"/>
          <w:sz w:val="22"/>
          <w:szCs w:val="22"/>
        </w:rPr>
        <w:t xml:space="preserve">primary care </w:t>
      </w:r>
      <w:r w:rsidR="00102455">
        <w:rPr>
          <w:rFonts w:asciiTheme="minorHAnsi" w:hAnsiTheme="minorHAnsi" w:cstheme="minorHAnsi"/>
          <w:sz w:val="22"/>
          <w:szCs w:val="22"/>
        </w:rPr>
        <w:t xml:space="preserve">patients </w:t>
      </w:r>
      <w:r w:rsidR="00CE1D06">
        <w:rPr>
          <w:rFonts w:asciiTheme="minorHAnsi" w:hAnsiTheme="minorHAnsi" w:cstheme="minorHAnsi"/>
          <w:sz w:val="22"/>
          <w:szCs w:val="22"/>
        </w:rPr>
        <w:t xml:space="preserve">and </w:t>
      </w:r>
      <w:r w:rsidR="00102455">
        <w:rPr>
          <w:rFonts w:asciiTheme="minorHAnsi" w:hAnsiTheme="minorHAnsi" w:cstheme="minorHAnsi"/>
          <w:sz w:val="22"/>
          <w:szCs w:val="22"/>
        </w:rPr>
        <w:t xml:space="preserve">in </w:t>
      </w:r>
      <w:r w:rsidR="00504257">
        <w:rPr>
          <w:rFonts w:asciiTheme="minorHAnsi" w:hAnsiTheme="minorHAnsi" w:cstheme="minorHAnsi"/>
          <w:sz w:val="22"/>
          <w:szCs w:val="22"/>
        </w:rPr>
        <w:t>other clinical settings</w:t>
      </w:r>
      <w:r w:rsidR="007C7900">
        <w:rPr>
          <w:rFonts w:asciiTheme="minorHAnsi" w:hAnsiTheme="minorHAnsi" w:cstheme="minorHAnsi"/>
          <w:sz w:val="22"/>
          <w:szCs w:val="22"/>
        </w:rPr>
        <w:t xml:space="preserve"> </w:t>
      </w:r>
      <w:r w:rsidR="00CE1D06">
        <w:rPr>
          <w:rFonts w:asciiTheme="minorHAnsi" w:hAnsiTheme="minorHAnsi" w:cstheme="minorHAnsi"/>
          <w:sz w:val="22"/>
          <w:szCs w:val="22"/>
        </w:rPr>
        <w:t>(</w:t>
      </w:r>
      <w:proofErr w:type="spellStart"/>
      <w:r w:rsidR="00CE1D06">
        <w:rPr>
          <w:rFonts w:asciiTheme="minorHAnsi" w:hAnsiTheme="minorHAnsi" w:cstheme="minorHAnsi"/>
          <w:sz w:val="22"/>
          <w:szCs w:val="22"/>
        </w:rPr>
        <w:t>Kriston</w:t>
      </w:r>
      <w:proofErr w:type="spellEnd"/>
      <w:r w:rsidR="00CE1D06">
        <w:rPr>
          <w:rFonts w:asciiTheme="minorHAnsi" w:hAnsiTheme="minorHAnsi" w:cstheme="minorHAnsi"/>
          <w:sz w:val="22"/>
          <w:szCs w:val="22"/>
        </w:rPr>
        <w:t xml:space="preserve"> et al., 2008; Re</w:t>
      </w:r>
      <w:r w:rsidR="00356DA6">
        <w:rPr>
          <w:rFonts w:asciiTheme="minorHAnsi" w:hAnsiTheme="minorHAnsi" w:cstheme="minorHAnsi"/>
          <w:sz w:val="22"/>
          <w:szCs w:val="22"/>
        </w:rPr>
        <w:t>i</w:t>
      </w:r>
      <w:r w:rsidR="00CE1D06">
        <w:rPr>
          <w:rFonts w:asciiTheme="minorHAnsi" w:hAnsiTheme="minorHAnsi" w:cstheme="minorHAnsi"/>
          <w:sz w:val="22"/>
          <w:szCs w:val="22"/>
        </w:rPr>
        <w:t xml:space="preserve">nert and Allen, 2007).  </w:t>
      </w:r>
      <w:r w:rsidR="00D30F26">
        <w:rPr>
          <w:rFonts w:asciiTheme="minorHAnsi" w:hAnsiTheme="minorHAnsi" w:cstheme="minorHAnsi"/>
          <w:sz w:val="22"/>
          <w:szCs w:val="22"/>
        </w:rPr>
        <w:t>However, t</w:t>
      </w:r>
      <w:r w:rsidR="00CE1D06">
        <w:rPr>
          <w:rFonts w:asciiTheme="minorHAnsi" w:hAnsiTheme="minorHAnsi" w:cstheme="minorHAnsi"/>
          <w:sz w:val="22"/>
          <w:szCs w:val="22"/>
        </w:rPr>
        <w:t>he</w:t>
      </w:r>
      <w:r w:rsidR="00287D5E">
        <w:rPr>
          <w:rFonts w:asciiTheme="minorHAnsi" w:hAnsiTheme="minorHAnsi" w:cstheme="minorHAnsi"/>
          <w:sz w:val="22"/>
          <w:szCs w:val="22"/>
        </w:rPr>
        <w:t xml:space="preserve">se </w:t>
      </w:r>
      <w:r w:rsidR="000B6959">
        <w:rPr>
          <w:rFonts w:asciiTheme="minorHAnsi" w:hAnsiTheme="minorHAnsi" w:cstheme="minorHAnsi"/>
          <w:sz w:val="22"/>
          <w:szCs w:val="22"/>
        </w:rPr>
        <w:t>studies</w:t>
      </w:r>
      <w:r w:rsidR="00287D5E">
        <w:rPr>
          <w:rFonts w:asciiTheme="minorHAnsi" w:hAnsiTheme="minorHAnsi" w:cstheme="minorHAnsi"/>
          <w:sz w:val="22"/>
          <w:szCs w:val="22"/>
        </w:rPr>
        <w:t xml:space="preserve"> using a variety of reference categories have found</w:t>
      </w:r>
      <w:r w:rsidR="00CE1D06">
        <w:rPr>
          <w:rFonts w:asciiTheme="minorHAnsi" w:hAnsiTheme="minorHAnsi" w:cstheme="minorHAnsi"/>
          <w:sz w:val="22"/>
          <w:szCs w:val="22"/>
        </w:rPr>
        <w:t xml:space="preserve"> </w:t>
      </w:r>
      <w:r w:rsidR="00287D5E">
        <w:rPr>
          <w:rFonts w:asciiTheme="minorHAnsi" w:hAnsiTheme="minorHAnsi" w:cstheme="minorHAnsi"/>
          <w:sz w:val="22"/>
          <w:szCs w:val="22"/>
        </w:rPr>
        <w:t xml:space="preserve">lower </w:t>
      </w:r>
      <w:r w:rsidR="00CE1D06">
        <w:rPr>
          <w:rFonts w:asciiTheme="minorHAnsi" w:hAnsiTheme="minorHAnsi" w:cstheme="minorHAnsi"/>
          <w:sz w:val="22"/>
          <w:szCs w:val="22"/>
        </w:rPr>
        <w:t xml:space="preserve">optimal </w:t>
      </w:r>
      <w:r w:rsidR="00287D5E">
        <w:rPr>
          <w:rFonts w:asciiTheme="minorHAnsi" w:hAnsiTheme="minorHAnsi" w:cstheme="minorHAnsi"/>
          <w:sz w:val="22"/>
          <w:szCs w:val="22"/>
        </w:rPr>
        <w:t xml:space="preserve">AUDIT-C </w:t>
      </w:r>
      <w:r w:rsidR="00CE1D06">
        <w:rPr>
          <w:rFonts w:asciiTheme="minorHAnsi" w:hAnsiTheme="minorHAnsi" w:cstheme="minorHAnsi"/>
          <w:sz w:val="22"/>
          <w:szCs w:val="22"/>
        </w:rPr>
        <w:t>cut-off</w:t>
      </w:r>
      <w:r w:rsidR="00287D5E">
        <w:rPr>
          <w:rFonts w:asciiTheme="minorHAnsi" w:hAnsiTheme="minorHAnsi" w:cstheme="minorHAnsi"/>
          <w:sz w:val="22"/>
          <w:szCs w:val="22"/>
        </w:rPr>
        <w:t xml:space="preserve">s and greater differences for men and women than reported here </w:t>
      </w:r>
      <w:r w:rsidR="00356DA6">
        <w:rPr>
          <w:rFonts w:asciiTheme="minorHAnsi" w:hAnsiTheme="minorHAnsi" w:cstheme="minorHAnsi"/>
          <w:sz w:val="22"/>
          <w:szCs w:val="22"/>
        </w:rPr>
        <w:t>(</w:t>
      </w:r>
      <w:proofErr w:type="spellStart"/>
      <w:r w:rsidR="00356DA6">
        <w:rPr>
          <w:rFonts w:asciiTheme="minorHAnsi" w:hAnsiTheme="minorHAnsi" w:cstheme="minorHAnsi"/>
          <w:sz w:val="22"/>
          <w:szCs w:val="22"/>
        </w:rPr>
        <w:t>Kriston</w:t>
      </w:r>
      <w:proofErr w:type="spellEnd"/>
      <w:r w:rsidR="00356DA6">
        <w:rPr>
          <w:rFonts w:asciiTheme="minorHAnsi" w:hAnsiTheme="minorHAnsi" w:cstheme="minorHAnsi"/>
          <w:sz w:val="22"/>
          <w:szCs w:val="22"/>
        </w:rPr>
        <w:t xml:space="preserve"> et al., 2008; Reinert and Allen, 2007).</w:t>
      </w:r>
      <w:r>
        <w:rPr>
          <w:rFonts w:asciiTheme="minorHAnsi" w:hAnsiTheme="minorHAnsi" w:cstheme="minorHAnsi"/>
          <w:sz w:val="22"/>
          <w:szCs w:val="22"/>
        </w:rPr>
        <w:t xml:space="preserve"> With these caveats in mind, it is also interesting that there have been calls for consideration of lower recommended drinking thresholds for older adults</w:t>
      </w:r>
      <w:r w:rsidR="009E3A82">
        <w:rPr>
          <w:rFonts w:asciiTheme="minorHAnsi" w:hAnsiTheme="minorHAnsi" w:cstheme="minorHAnsi"/>
          <w:sz w:val="22"/>
          <w:szCs w:val="22"/>
        </w:rPr>
        <w:t xml:space="preserve"> </w:t>
      </w:r>
      <w:r>
        <w:rPr>
          <w:rFonts w:asciiTheme="minorHAnsi" w:hAnsiTheme="minorHAnsi" w:cstheme="minorHAnsi"/>
          <w:noProof/>
          <w:sz w:val="22"/>
          <w:szCs w:val="22"/>
        </w:rPr>
        <w:t>(Crome et al., 2011)</w:t>
      </w:r>
      <w:r>
        <w:rPr>
          <w:rFonts w:asciiTheme="minorHAnsi" w:hAnsiTheme="minorHAnsi" w:cstheme="minorHAnsi"/>
          <w:sz w:val="22"/>
          <w:szCs w:val="22"/>
        </w:rPr>
        <w:t xml:space="preserve">, because physiological changes from ageing, more complex health problems and potential interactions with medications heighten the risk of harm from alcohol </w:t>
      </w:r>
      <w:r>
        <w:rPr>
          <w:rFonts w:asciiTheme="minorHAnsi" w:hAnsiTheme="minorHAnsi" w:cstheme="minorHAnsi"/>
          <w:noProof/>
          <w:sz w:val="22"/>
          <w:szCs w:val="22"/>
        </w:rPr>
        <w:t>(Crome et al., 2012)</w:t>
      </w:r>
      <w:r>
        <w:rPr>
          <w:rFonts w:asciiTheme="minorHAnsi" w:hAnsiTheme="minorHAnsi" w:cstheme="minorHAnsi"/>
          <w:sz w:val="22"/>
          <w:szCs w:val="22"/>
        </w:rPr>
        <w:t>.</w:t>
      </w:r>
    </w:p>
    <w:p w14:paraId="02C6D566" w14:textId="3A3A891D" w:rsidR="0038512E" w:rsidRDefault="0038512E" w:rsidP="008E667E">
      <w:pPr>
        <w:spacing w:after="200" w:line="480" w:lineRule="auto"/>
        <w:rPr>
          <w:rFonts w:asciiTheme="minorHAnsi" w:hAnsiTheme="minorHAnsi" w:cstheme="minorHAnsi"/>
          <w:sz w:val="22"/>
          <w:szCs w:val="22"/>
        </w:rPr>
      </w:pPr>
      <w:r>
        <w:rPr>
          <w:rFonts w:asciiTheme="minorHAnsi" w:hAnsiTheme="minorHAnsi" w:cstheme="minorHAnsi"/>
          <w:sz w:val="22"/>
          <w:szCs w:val="22"/>
        </w:rPr>
        <w:t xml:space="preserve">The individual AUDIT-C items performed similarly well in identifying unhealthy drinking in this sample, with no significant difference in the area under the ROC curve.  Across analyses, the optimal cut-offs were usually drinking at least twice per week, usually drinking at least three units per drinking day or any heavy episodic drinking.  </w:t>
      </w:r>
      <w:r w:rsidRPr="00900858">
        <w:rPr>
          <w:rFonts w:asciiTheme="minorHAnsi" w:hAnsiTheme="minorHAnsi" w:cstheme="minorHAnsi"/>
          <w:sz w:val="22"/>
          <w:szCs w:val="22"/>
        </w:rPr>
        <w:t xml:space="preserve">Comparisons between AUDIT-C total scores and individual items scores in tables 2 and 3 respectively indicate that the total scores do add to the performance of screening in comparison to individual items. </w:t>
      </w:r>
      <w:r w:rsidR="002D6ADF">
        <w:rPr>
          <w:rFonts w:asciiTheme="minorHAnsi" w:hAnsiTheme="minorHAnsi" w:cstheme="minorHAnsi"/>
          <w:sz w:val="22"/>
          <w:szCs w:val="22"/>
        </w:rPr>
        <w:t>T</w:t>
      </w:r>
      <w:r w:rsidR="007E2C11">
        <w:rPr>
          <w:rFonts w:asciiTheme="minorHAnsi" w:hAnsiTheme="minorHAnsi" w:cstheme="minorHAnsi"/>
          <w:sz w:val="22"/>
          <w:szCs w:val="22"/>
        </w:rPr>
        <w:t>hese findings</w:t>
      </w:r>
      <w:r w:rsidR="002D6ADF">
        <w:rPr>
          <w:rFonts w:asciiTheme="minorHAnsi" w:hAnsiTheme="minorHAnsi" w:cstheme="minorHAnsi"/>
          <w:sz w:val="22"/>
          <w:szCs w:val="22"/>
        </w:rPr>
        <w:t xml:space="preserve"> thus indicate that</w:t>
      </w:r>
      <w:r w:rsidR="007E2C11">
        <w:rPr>
          <w:rFonts w:asciiTheme="minorHAnsi" w:hAnsiTheme="minorHAnsi" w:cstheme="minorHAnsi"/>
          <w:sz w:val="22"/>
          <w:szCs w:val="22"/>
        </w:rPr>
        <w:t xml:space="preserve"> the full AUDIT-C </w:t>
      </w:r>
      <w:r w:rsidR="002D6ADF">
        <w:rPr>
          <w:rFonts w:asciiTheme="minorHAnsi" w:hAnsiTheme="minorHAnsi" w:cstheme="minorHAnsi"/>
          <w:sz w:val="22"/>
          <w:szCs w:val="22"/>
        </w:rPr>
        <w:t>is superior</w:t>
      </w:r>
      <w:r w:rsidR="000B6E7C">
        <w:rPr>
          <w:rFonts w:asciiTheme="minorHAnsi" w:hAnsiTheme="minorHAnsi" w:cstheme="minorHAnsi"/>
          <w:sz w:val="22"/>
          <w:szCs w:val="22"/>
        </w:rPr>
        <w:t xml:space="preserve"> </w:t>
      </w:r>
      <w:r w:rsidR="007E2C11">
        <w:rPr>
          <w:rFonts w:asciiTheme="minorHAnsi" w:hAnsiTheme="minorHAnsi" w:cstheme="minorHAnsi"/>
          <w:sz w:val="22"/>
          <w:szCs w:val="22"/>
        </w:rPr>
        <w:t xml:space="preserve">for use with older adults.  </w:t>
      </w:r>
      <w:r w:rsidR="00CA6C98">
        <w:rPr>
          <w:rFonts w:asciiTheme="minorHAnsi" w:hAnsiTheme="minorHAnsi" w:cstheme="minorHAnsi"/>
          <w:sz w:val="22"/>
          <w:szCs w:val="22"/>
        </w:rPr>
        <w:t>Nonetheless</w:t>
      </w:r>
      <w:r w:rsidR="00AD2D2D">
        <w:rPr>
          <w:rFonts w:asciiTheme="minorHAnsi" w:hAnsiTheme="minorHAnsi" w:cstheme="minorHAnsi"/>
          <w:sz w:val="22"/>
          <w:szCs w:val="22"/>
        </w:rPr>
        <w:t xml:space="preserve">, </w:t>
      </w:r>
      <w:r w:rsidR="000B6959">
        <w:rPr>
          <w:rFonts w:asciiTheme="minorHAnsi" w:hAnsiTheme="minorHAnsi" w:cstheme="minorHAnsi"/>
          <w:sz w:val="22"/>
          <w:szCs w:val="22"/>
        </w:rPr>
        <w:t xml:space="preserve">the </w:t>
      </w:r>
      <w:r w:rsidR="007D2197">
        <w:rPr>
          <w:rFonts w:asciiTheme="minorHAnsi" w:hAnsiTheme="minorHAnsi" w:cstheme="minorHAnsi"/>
          <w:sz w:val="22"/>
          <w:szCs w:val="22"/>
        </w:rPr>
        <w:t xml:space="preserve">validity </w:t>
      </w:r>
      <w:r w:rsidR="00CA6C98">
        <w:rPr>
          <w:rFonts w:asciiTheme="minorHAnsi" w:hAnsiTheme="minorHAnsi" w:cstheme="minorHAnsi"/>
          <w:sz w:val="22"/>
          <w:szCs w:val="22"/>
        </w:rPr>
        <w:t xml:space="preserve">of the AUDIT-C items as single screening questions </w:t>
      </w:r>
      <w:r w:rsidR="002D6ADF">
        <w:rPr>
          <w:rFonts w:asciiTheme="minorHAnsi" w:hAnsiTheme="minorHAnsi" w:cstheme="minorHAnsi"/>
          <w:sz w:val="22"/>
          <w:szCs w:val="22"/>
        </w:rPr>
        <w:t>is promising</w:t>
      </w:r>
      <w:r w:rsidR="00102455">
        <w:rPr>
          <w:rFonts w:asciiTheme="minorHAnsi" w:hAnsiTheme="minorHAnsi" w:cstheme="minorHAnsi"/>
          <w:sz w:val="22"/>
          <w:szCs w:val="22"/>
        </w:rPr>
        <w:t xml:space="preserve"> in this study</w:t>
      </w:r>
      <w:r w:rsidR="000B6E7C">
        <w:rPr>
          <w:rFonts w:asciiTheme="minorHAnsi" w:hAnsiTheme="minorHAnsi" w:cstheme="minorHAnsi"/>
          <w:sz w:val="22"/>
          <w:szCs w:val="22"/>
        </w:rPr>
        <w:t xml:space="preserve"> </w:t>
      </w:r>
      <w:r w:rsidR="002D6ADF">
        <w:rPr>
          <w:rFonts w:asciiTheme="minorHAnsi" w:hAnsiTheme="minorHAnsi" w:cstheme="minorHAnsi"/>
          <w:sz w:val="22"/>
          <w:szCs w:val="22"/>
        </w:rPr>
        <w:t xml:space="preserve">and </w:t>
      </w:r>
      <w:r>
        <w:rPr>
          <w:rFonts w:asciiTheme="minorHAnsi" w:hAnsiTheme="minorHAnsi" w:cstheme="minorHAnsi"/>
          <w:sz w:val="22"/>
          <w:szCs w:val="22"/>
        </w:rPr>
        <w:t xml:space="preserve">call into question somewhat the efficiency of common approaches to alcohol screening that utilise a single combined quantity and frequency </w:t>
      </w:r>
      <w:r>
        <w:rPr>
          <w:rFonts w:asciiTheme="minorHAnsi" w:hAnsiTheme="minorHAnsi" w:cstheme="minorHAnsi"/>
          <w:sz w:val="22"/>
          <w:szCs w:val="22"/>
        </w:rPr>
        <w:lastRenderedPageBreak/>
        <w:t xml:space="preserve">question to identify unhealthy drinking among older people.  </w:t>
      </w:r>
      <w:r w:rsidRPr="001E2A6A">
        <w:rPr>
          <w:rFonts w:asciiTheme="minorHAnsi" w:hAnsiTheme="minorHAnsi" w:cstheme="minorHAnsi"/>
          <w:sz w:val="22"/>
          <w:szCs w:val="22"/>
        </w:rPr>
        <w:t>For time pressured practitioners use of a single usual frequency or quantity of drinking screening question is likely to be appealing</w:t>
      </w:r>
      <w:r w:rsidR="007D2197">
        <w:rPr>
          <w:rFonts w:asciiTheme="minorHAnsi" w:hAnsiTheme="minorHAnsi" w:cstheme="minorHAnsi"/>
          <w:sz w:val="22"/>
          <w:szCs w:val="22"/>
        </w:rPr>
        <w:t xml:space="preserve">.  </w:t>
      </w:r>
      <w:r w:rsidR="00024532">
        <w:rPr>
          <w:rFonts w:asciiTheme="minorHAnsi" w:hAnsiTheme="minorHAnsi" w:cstheme="minorHAnsi"/>
          <w:sz w:val="22"/>
          <w:szCs w:val="22"/>
        </w:rPr>
        <w:t>The former</w:t>
      </w:r>
      <w:r w:rsidRPr="001E2A6A">
        <w:rPr>
          <w:rFonts w:asciiTheme="minorHAnsi" w:hAnsiTheme="minorHAnsi" w:cstheme="minorHAnsi"/>
          <w:sz w:val="22"/>
          <w:szCs w:val="22"/>
        </w:rPr>
        <w:t xml:space="preserve"> avoid</w:t>
      </w:r>
      <w:r w:rsidR="007D2197">
        <w:rPr>
          <w:rFonts w:asciiTheme="minorHAnsi" w:hAnsiTheme="minorHAnsi" w:cstheme="minorHAnsi"/>
          <w:sz w:val="22"/>
          <w:szCs w:val="22"/>
        </w:rPr>
        <w:t xml:space="preserve">s </w:t>
      </w:r>
      <w:r w:rsidRPr="001E2A6A">
        <w:rPr>
          <w:rFonts w:asciiTheme="minorHAnsi" w:hAnsiTheme="minorHAnsi" w:cstheme="minorHAnsi"/>
          <w:sz w:val="22"/>
          <w:szCs w:val="22"/>
        </w:rPr>
        <w:t xml:space="preserve">lengthier discussion </w:t>
      </w:r>
      <w:r w:rsidR="00024532">
        <w:rPr>
          <w:rFonts w:asciiTheme="minorHAnsi" w:hAnsiTheme="minorHAnsi" w:cstheme="minorHAnsi"/>
          <w:sz w:val="22"/>
          <w:szCs w:val="22"/>
        </w:rPr>
        <w:t xml:space="preserve">about what constitutes a unit or standard drink and </w:t>
      </w:r>
      <w:r w:rsidRPr="001E2A6A">
        <w:rPr>
          <w:rFonts w:asciiTheme="minorHAnsi" w:hAnsiTheme="minorHAnsi" w:cstheme="minorHAnsi"/>
          <w:sz w:val="22"/>
          <w:szCs w:val="22"/>
        </w:rPr>
        <w:t xml:space="preserve">complications </w:t>
      </w:r>
      <w:r w:rsidR="00024532">
        <w:rPr>
          <w:rFonts w:asciiTheme="minorHAnsi" w:hAnsiTheme="minorHAnsi" w:cstheme="minorHAnsi"/>
          <w:sz w:val="22"/>
          <w:szCs w:val="22"/>
        </w:rPr>
        <w:t xml:space="preserve">arising </w:t>
      </w:r>
      <w:r w:rsidRPr="001E2A6A">
        <w:rPr>
          <w:rFonts w:asciiTheme="minorHAnsi" w:hAnsiTheme="minorHAnsi" w:cstheme="minorHAnsi"/>
          <w:sz w:val="22"/>
          <w:szCs w:val="22"/>
        </w:rPr>
        <w:t xml:space="preserve">from </w:t>
      </w:r>
      <w:r w:rsidR="00024532">
        <w:rPr>
          <w:rFonts w:asciiTheme="minorHAnsi" w:hAnsiTheme="minorHAnsi" w:cstheme="minorHAnsi"/>
          <w:sz w:val="22"/>
          <w:szCs w:val="22"/>
        </w:rPr>
        <w:t xml:space="preserve">making </w:t>
      </w:r>
      <w:r w:rsidRPr="001E2A6A">
        <w:rPr>
          <w:rFonts w:asciiTheme="minorHAnsi" w:hAnsiTheme="minorHAnsi" w:cstheme="minorHAnsi"/>
          <w:sz w:val="22"/>
          <w:szCs w:val="22"/>
        </w:rPr>
        <w:t>calculati</w:t>
      </w:r>
      <w:r w:rsidR="00024532">
        <w:rPr>
          <w:rFonts w:asciiTheme="minorHAnsi" w:hAnsiTheme="minorHAnsi" w:cstheme="minorHAnsi"/>
          <w:sz w:val="22"/>
          <w:szCs w:val="22"/>
        </w:rPr>
        <w:t>ons</w:t>
      </w:r>
      <w:r w:rsidRPr="001E2A6A">
        <w:rPr>
          <w:rFonts w:asciiTheme="minorHAnsi" w:hAnsiTheme="minorHAnsi" w:cstheme="minorHAnsi"/>
          <w:sz w:val="22"/>
          <w:szCs w:val="22"/>
        </w:rPr>
        <w:t>.</w:t>
      </w:r>
      <w:r>
        <w:rPr>
          <w:rFonts w:asciiTheme="minorHAnsi" w:hAnsiTheme="minorHAnsi" w:cstheme="minorHAnsi"/>
          <w:sz w:val="22"/>
          <w:szCs w:val="22"/>
        </w:rPr>
        <w:t xml:space="preserve">  </w:t>
      </w:r>
      <w:r w:rsidR="007D2197">
        <w:rPr>
          <w:rFonts w:asciiTheme="minorHAnsi" w:hAnsiTheme="minorHAnsi" w:cstheme="minorHAnsi"/>
          <w:sz w:val="22"/>
          <w:szCs w:val="22"/>
        </w:rPr>
        <w:t xml:space="preserve">This may </w:t>
      </w:r>
      <w:r w:rsidR="002575A1">
        <w:rPr>
          <w:rFonts w:asciiTheme="minorHAnsi" w:hAnsiTheme="minorHAnsi" w:cstheme="minorHAnsi"/>
          <w:sz w:val="22"/>
          <w:szCs w:val="22"/>
        </w:rPr>
        <w:t xml:space="preserve">be </w:t>
      </w:r>
      <w:r w:rsidR="00024532">
        <w:rPr>
          <w:rFonts w:asciiTheme="minorHAnsi" w:hAnsiTheme="minorHAnsi" w:cstheme="minorHAnsi"/>
          <w:sz w:val="22"/>
          <w:szCs w:val="22"/>
        </w:rPr>
        <w:t xml:space="preserve">useful </w:t>
      </w:r>
      <w:r w:rsidR="007D2197">
        <w:rPr>
          <w:rFonts w:asciiTheme="minorHAnsi" w:hAnsiTheme="minorHAnsi" w:cstheme="minorHAnsi"/>
          <w:sz w:val="22"/>
          <w:szCs w:val="22"/>
        </w:rPr>
        <w:t xml:space="preserve">for </w:t>
      </w:r>
      <w:r w:rsidR="008E667E">
        <w:rPr>
          <w:rFonts w:asciiTheme="minorHAnsi" w:hAnsiTheme="minorHAnsi" w:cstheme="minorHAnsi"/>
          <w:sz w:val="22"/>
          <w:szCs w:val="22"/>
        </w:rPr>
        <w:t>overcoming perceived barriers to</w:t>
      </w:r>
      <w:r w:rsidR="00024532">
        <w:rPr>
          <w:rFonts w:asciiTheme="minorHAnsi" w:hAnsiTheme="minorHAnsi" w:cstheme="minorHAnsi"/>
          <w:sz w:val="22"/>
          <w:szCs w:val="22"/>
        </w:rPr>
        <w:t xml:space="preserve"> screening and </w:t>
      </w:r>
      <w:r w:rsidR="008E667E">
        <w:rPr>
          <w:rFonts w:asciiTheme="minorHAnsi" w:hAnsiTheme="minorHAnsi" w:cstheme="minorHAnsi"/>
          <w:sz w:val="22"/>
          <w:szCs w:val="22"/>
        </w:rPr>
        <w:t>raising</w:t>
      </w:r>
      <w:r w:rsidR="00024532">
        <w:rPr>
          <w:rFonts w:asciiTheme="minorHAnsi" w:hAnsiTheme="minorHAnsi" w:cstheme="minorHAnsi"/>
          <w:sz w:val="22"/>
          <w:szCs w:val="22"/>
        </w:rPr>
        <w:t xml:space="preserve"> the subject of </w:t>
      </w:r>
      <w:r w:rsidR="008E667E">
        <w:rPr>
          <w:rFonts w:asciiTheme="minorHAnsi" w:hAnsiTheme="minorHAnsi" w:cstheme="minorHAnsi"/>
          <w:sz w:val="22"/>
          <w:szCs w:val="22"/>
        </w:rPr>
        <w:t xml:space="preserve">alcohol in </w:t>
      </w:r>
      <w:r w:rsidR="007D2197">
        <w:rPr>
          <w:rFonts w:asciiTheme="minorHAnsi" w:hAnsiTheme="minorHAnsi" w:cstheme="minorHAnsi"/>
          <w:sz w:val="22"/>
          <w:szCs w:val="22"/>
        </w:rPr>
        <w:t>clinical consultations</w:t>
      </w:r>
      <w:r w:rsidR="00024532">
        <w:rPr>
          <w:rFonts w:asciiTheme="minorHAnsi" w:hAnsiTheme="minorHAnsi" w:cstheme="minorHAnsi"/>
          <w:sz w:val="22"/>
          <w:szCs w:val="22"/>
        </w:rPr>
        <w:t xml:space="preserve">, particularly where they involve the </w:t>
      </w:r>
      <w:r w:rsidR="002575A1">
        <w:rPr>
          <w:rFonts w:asciiTheme="minorHAnsi" w:hAnsiTheme="minorHAnsi" w:cstheme="minorHAnsi"/>
          <w:sz w:val="22"/>
          <w:szCs w:val="22"/>
        </w:rPr>
        <w:t xml:space="preserve">management of </w:t>
      </w:r>
      <w:r w:rsidR="008D5C16">
        <w:rPr>
          <w:rFonts w:asciiTheme="minorHAnsi" w:hAnsiTheme="minorHAnsi" w:cstheme="minorHAnsi"/>
          <w:sz w:val="22"/>
          <w:szCs w:val="22"/>
        </w:rPr>
        <w:t>multiple health problems</w:t>
      </w:r>
      <w:r w:rsidR="00742BCC">
        <w:rPr>
          <w:rFonts w:asciiTheme="minorHAnsi" w:hAnsiTheme="minorHAnsi" w:cstheme="minorHAnsi"/>
          <w:sz w:val="22"/>
          <w:szCs w:val="22"/>
        </w:rPr>
        <w:t xml:space="preserve"> </w:t>
      </w:r>
      <w:r w:rsidR="008E667E">
        <w:rPr>
          <w:rFonts w:asciiTheme="minorHAnsi" w:hAnsiTheme="minorHAnsi" w:cstheme="minorHAnsi"/>
          <w:sz w:val="22"/>
          <w:szCs w:val="22"/>
        </w:rPr>
        <w:t>(</w:t>
      </w:r>
      <w:proofErr w:type="spellStart"/>
      <w:r w:rsidR="008E667E">
        <w:rPr>
          <w:rFonts w:asciiTheme="minorHAnsi" w:hAnsiTheme="minorHAnsi" w:cstheme="minorHAnsi"/>
          <w:sz w:val="22"/>
          <w:szCs w:val="22"/>
        </w:rPr>
        <w:t>Rapley</w:t>
      </w:r>
      <w:proofErr w:type="spellEnd"/>
      <w:r w:rsidR="008E667E">
        <w:rPr>
          <w:rFonts w:asciiTheme="minorHAnsi" w:hAnsiTheme="minorHAnsi" w:cstheme="minorHAnsi"/>
          <w:sz w:val="22"/>
          <w:szCs w:val="22"/>
        </w:rPr>
        <w:t xml:space="preserve"> et al., 2006).  </w:t>
      </w:r>
      <w:r>
        <w:rPr>
          <w:rFonts w:asciiTheme="minorHAnsi" w:hAnsiTheme="minorHAnsi" w:cstheme="minorHAnsi"/>
          <w:sz w:val="22"/>
          <w:szCs w:val="22"/>
        </w:rPr>
        <w:t>For all the attractiveness, however, the implications of false results need to be considered carefully. The complexities inherent in adjusting the usual quantity and heavy episodic drinking items of the AUDIT-C to take account of national variations in standard drinks have previously been described, alongside recommended changes to improve screening accuracy</w:t>
      </w:r>
      <w:r w:rsidR="009E3A82">
        <w:rPr>
          <w:rFonts w:asciiTheme="minorHAnsi" w:hAnsiTheme="minorHAnsi" w:cstheme="minorHAnsi"/>
          <w:sz w:val="22"/>
          <w:szCs w:val="22"/>
        </w:rPr>
        <w:t xml:space="preserve"> </w:t>
      </w:r>
      <w:r>
        <w:rPr>
          <w:rFonts w:asciiTheme="minorHAnsi" w:hAnsiTheme="minorHAnsi" w:cstheme="minorHAnsi"/>
          <w:noProof/>
          <w:sz w:val="22"/>
          <w:szCs w:val="22"/>
        </w:rPr>
        <w:t>(Higgins-Biddle and Babor, 2018)</w:t>
      </w:r>
      <w:r>
        <w:rPr>
          <w:rFonts w:asciiTheme="minorHAnsi" w:hAnsiTheme="minorHAnsi" w:cstheme="minorHAnsi"/>
          <w:sz w:val="22"/>
          <w:szCs w:val="22"/>
        </w:rPr>
        <w:t xml:space="preserve">. A frequency only question avoids such issues.  The levels of sensitivity and specificity in identifying unhealthy drinking in this sample compare favourably to those reported for pooled analyses of other single item screening questions to identify alcohol use disorders </w:t>
      </w:r>
      <w:r>
        <w:rPr>
          <w:rFonts w:asciiTheme="minorHAnsi" w:hAnsiTheme="minorHAnsi" w:cstheme="minorHAnsi"/>
          <w:noProof/>
          <w:sz w:val="22"/>
          <w:szCs w:val="22"/>
        </w:rPr>
        <w:t>(Mitchell et al., 2014)</w:t>
      </w:r>
      <w:r>
        <w:rPr>
          <w:rFonts w:asciiTheme="minorHAnsi" w:hAnsiTheme="minorHAnsi" w:cstheme="minorHAnsi"/>
          <w:sz w:val="22"/>
          <w:szCs w:val="22"/>
        </w:rPr>
        <w:t xml:space="preserve">,  in studies of the SASQ to identify hazardous drinking or harmful drinking </w:t>
      </w:r>
      <w:r w:rsidR="007A621A">
        <w:rPr>
          <w:rFonts w:asciiTheme="minorHAnsi" w:hAnsiTheme="minorHAnsi" w:cstheme="minorHAnsi"/>
          <w:sz w:val="22"/>
          <w:szCs w:val="22"/>
        </w:rPr>
        <w:t xml:space="preserve">in </w:t>
      </w:r>
      <w:r w:rsidR="00915BA2">
        <w:rPr>
          <w:rFonts w:asciiTheme="minorHAnsi" w:hAnsiTheme="minorHAnsi" w:cstheme="minorHAnsi"/>
          <w:sz w:val="22"/>
          <w:szCs w:val="22"/>
        </w:rPr>
        <w:t xml:space="preserve">hospital settings </w:t>
      </w:r>
      <w:r>
        <w:rPr>
          <w:rFonts w:asciiTheme="minorHAnsi" w:hAnsiTheme="minorHAnsi" w:cstheme="minorHAnsi"/>
          <w:noProof/>
          <w:sz w:val="22"/>
          <w:szCs w:val="22"/>
        </w:rPr>
        <w:t>(Canagasaby, 2005; Williams and Vinson, 2001)</w:t>
      </w:r>
      <w:r w:rsidR="007A621A">
        <w:rPr>
          <w:rFonts w:asciiTheme="minorHAnsi" w:hAnsiTheme="minorHAnsi" w:cstheme="minorHAnsi"/>
          <w:noProof/>
          <w:sz w:val="22"/>
          <w:szCs w:val="22"/>
        </w:rPr>
        <w:t>, and in identifying heavy drinking among older male primary care paitents (Bradley et al., 1998)</w:t>
      </w:r>
      <w:r>
        <w:rPr>
          <w:rFonts w:asciiTheme="minorHAnsi" w:hAnsiTheme="minorHAnsi" w:cstheme="minorHAnsi"/>
          <w:sz w:val="22"/>
          <w:szCs w:val="22"/>
        </w:rPr>
        <w:t xml:space="preserve">. There are, however, diagnostic accuracy issues also to consider, where the purpose is screening to identify alcohol problems </w:t>
      </w:r>
      <w:r>
        <w:rPr>
          <w:rFonts w:asciiTheme="minorHAnsi" w:hAnsiTheme="minorHAnsi" w:cstheme="minorHAnsi"/>
          <w:noProof/>
          <w:sz w:val="22"/>
          <w:szCs w:val="22"/>
        </w:rPr>
        <w:t>(Mitchell et al., 2014)</w:t>
      </w:r>
      <w:r>
        <w:rPr>
          <w:rFonts w:asciiTheme="minorHAnsi" w:hAnsiTheme="minorHAnsi" w:cstheme="minorHAnsi"/>
          <w:sz w:val="22"/>
          <w:szCs w:val="22"/>
        </w:rPr>
        <w:t>.</w:t>
      </w:r>
    </w:p>
    <w:p w14:paraId="20F54CD3" w14:textId="056BC357" w:rsidR="0038512E" w:rsidRDefault="0038512E" w:rsidP="00CF20ED">
      <w:pPr>
        <w:spacing w:after="200" w:line="480" w:lineRule="auto"/>
        <w:rPr>
          <w:rFonts w:asciiTheme="minorHAnsi" w:hAnsiTheme="minorHAnsi" w:cstheme="minorHAnsi"/>
          <w:sz w:val="22"/>
          <w:szCs w:val="22"/>
        </w:rPr>
      </w:pPr>
      <w:r>
        <w:rPr>
          <w:rFonts w:asciiTheme="minorHAnsi" w:hAnsiTheme="minorHAnsi" w:cstheme="minorHAnsi"/>
          <w:sz w:val="22"/>
          <w:szCs w:val="22"/>
        </w:rPr>
        <w:t xml:space="preserve">The optimal cut-offs for total and individual item scores were little changed when analyses were restricted to participants taking medications for long term conditions, indicating that the AUDIT-C, and </w:t>
      </w:r>
      <w:r w:rsidR="00002562">
        <w:rPr>
          <w:rFonts w:asciiTheme="minorHAnsi" w:hAnsiTheme="minorHAnsi" w:cstheme="minorHAnsi"/>
          <w:sz w:val="22"/>
          <w:szCs w:val="22"/>
        </w:rPr>
        <w:t xml:space="preserve">a </w:t>
      </w:r>
      <w:r>
        <w:rPr>
          <w:rFonts w:asciiTheme="minorHAnsi" w:hAnsiTheme="minorHAnsi" w:cstheme="minorHAnsi"/>
          <w:sz w:val="22"/>
          <w:szCs w:val="22"/>
        </w:rPr>
        <w:t xml:space="preserve">usual </w:t>
      </w:r>
      <w:r w:rsidR="00002562">
        <w:rPr>
          <w:rFonts w:asciiTheme="minorHAnsi" w:hAnsiTheme="minorHAnsi" w:cstheme="minorHAnsi"/>
          <w:sz w:val="22"/>
          <w:szCs w:val="22"/>
        </w:rPr>
        <w:t xml:space="preserve">frequency of </w:t>
      </w:r>
      <w:r>
        <w:rPr>
          <w:rFonts w:asciiTheme="minorHAnsi" w:hAnsiTheme="minorHAnsi" w:cstheme="minorHAnsi"/>
          <w:sz w:val="22"/>
          <w:szCs w:val="22"/>
        </w:rPr>
        <w:t xml:space="preserve">consumption question in particular, could be suitable for identifying unhealthy drinking in older clinical populations with long term conditions. There are many reasons for healthcare professionals to routinely ask about alcohol consumption with people prescribed medications for multiple morbidities </w:t>
      </w:r>
      <w:r>
        <w:rPr>
          <w:rFonts w:asciiTheme="minorHAnsi" w:hAnsiTheme="minorHAnsi" w:cstheme="minorHAnsi"/>
          <w:noProof/>
          <w:sz w:val="22"/>
          <w:szCs w:val="22"/>
        </w:rPr>
        <w:t>(Stewart and McCambridge, 2019)</w:t>
      </w:r>
      <w:r>
        <w:rPr>
          <w:rFonts w:asciiTheme="minorHAnsi" w:hAnsiTheme="minorHAnsi" w:cstheme="minorHAnsi"/>
          <w:sz w:val="22"/>
          <w:szCs w:val="22"/>
        </w:rPr>
        <w:t xml:space="preserve">, particularly for medications known to interact with alcohol </w:t>
      </w:r>
      <w:r>
        <w:rPr>
          <w:rFonts w:asciiTheme="minorHAnsi" w:hAnsiTheme="minorHAnsi" w:cstheme="minorHAnsi"/>
          <w:noProof/>
          <w:sz w:val="22"/>
          <w:szCs w:val="22"/>
        </w:rPr>
        <w:t>(Holton et al., 2017)</w:t>
      </w:r>
      <w:r w:rsidR="00024532">
        <w:rPr>
          <w:rFonts w:asciiTheme="minorHAnsi" w:hAnsiTheme="minorHAnsi" w:cstheme="minorHAnsi"/>
          <w:noProof/>
          <w:sz w:val="22"/>
          <w:szCs w:val="22"/>
        </w:rPr>
        <w:t>.  For such populations,</w:t>
      </w:r>
      <w:r w:rsidR="007169DA">
        <w:rPr>
          <w:rFonts w:asciiTheme="minorHAnsi" w:hAnsiTheme="minorHAnsi" w:cstheme="minorHAnsi"/>
          <w:noProof/>
          <w:sz w:val="22"/>
          <w:szCs w:val="22"/>
        </w:rPr>
        <w:t xml:space="preserve"> t</w:t>
      </w:r>
      <w:r w:rsidR="001A0CC3">
        <w:rPr>
          <w:rFonts w:asciiTheme="minorHAnsi" w:hAnsiTheme="minorHAnsi" w:cstheme="minorHAnsi"/>
          <w:sz w:val="22"/>
          <w:szCs w:val="22"/>
        </w:rPr>
        <w:t xml:space="preserve">he implications </w:t>
      </w:r>
      <w:r w:rsidR="00E717E8">
        <w:rPr>
          <w:rFonts w:asciiTheme="minorHAnsi" w:hAnsiTheme="minorHAnsi" w:cstheme="minorHAnsi"/>
          <w:sz w:val="22"/>
          <w:szCs w:val="22"/>
        </w:rPr>
        <w:t xml:space="preserve">of a positive screen </w:t>
      </w:r>
      <w:r w:rsidR="007169DA">
        <w:rPr>
          <w:rFonts w:asciiTheme="minorHAnsi" w:hAnsiTheme="minorHAnsi" w:cstheme="minorHAnsi"/>
          <w:sz w:val="22"/>
          <w:szCs w:val="22"/>
        </w:rPr>
        <w:t xml:space="preserve">for their health and care </w:t>
      </w:r>
      <w:r w:rsidR="00742BCC">
        <w:rPr>
          <w:rFonts w:asciiTheme="minorHAnsi" w:hAnsiTheme="minorHAnsi" w:cstheme="minorHAnsi"/>
          <w:sz w:val="22"/>
          <w:szCs w:val="22"/>
        </w:rPr>
        <w:t xml:space="preserve">present </w:t>
      </w:r>
      <w:r w:rsidR="0052459A">
        <w:rPr>
          <w:rFonts w:asciiTheme="minorHAnsi" w:hAnsiTheme="minorHAnsi" w:cstheme="minorHAnsi"/>
          <w:sz w:val="22"/>
          <w:szCs w:val="22"/>
        </w:rPr>
        <w:t xml:space="preserve">significant </w:t>
      </w:r>
      <w:r w:rsidR="007169DA">
        <w:rPr>
          <w:rFonts w:asciiTheme="minorHAnsi" w:hAnsiTheme="minorHAnsi" w:cstheme="minorHAnsi"/>
          <w:sz w:val="22"/>
          <w:szCs w:val="22"/>
        </w:rPr>
        <w:t>challeng</w:t>
      </w:r>
      <w:r w:rsidR="00742BCC">
        <w:rPr>
          <w:rFonts w:asciiTheme="minorHAnsi" w:hAnsiTheme="minorHAnsi" w:cstheme="minorHAnsi"/>
          <w:sz w:val="22"/>
          <w:szCs w:val="22"/>
        </w:rPr>
        <w:t xml:space="preserve">es for </w:t>
      </w:r>
      <w:r w:rsidR="00024532">
        <w:rPr>
          <w:rFonts w:asciiTheme="minorHAnsi" w:hAnsiTheme="minorHAnsi" w:cstheme="minorHAnsi"/>
          <w:sz w:val="22"/>
          <w:szCs w:val="22"/>
        </w:rPr>
        <w:t xml:space="preserve">both </w:t>
      </w:r>
      <w:r w:rsidR="00742BCC">
        <w:rPr>
          <w:rFonts w:asciiTheme="minorHAnsi" w:hAnsiTheme="minorHAnsi" w:cstheme="minorHAnsi"/>
          <w:sz w:val="22"/>
          <w:szCs w:val="22"/>
        </w:rPr>
        <w:t>practitioners and health service systems</w:t>
      </w:r>
      <w:r w:rsidR="00E717E8">
        <w:rPr>
          <w:rFonts w:asciiTheme="minorHAnsi" w:hAnsiTheme="minorHAnsi" w:cstheme="minorHAnsi"/>
          <w:sz w:val="22"/>
          <w:szCs w:val="22"/>
        </w:rPr>
        <w:t xml:space="preserve"> (Stewart and McCambridge, 2019</w:t>
      </w:r>
      <w:r w:rsidR="00590C28">
        <w:rPr>
          <w:rFonts w:asciiTheme="minorHAnsi" w:hAnsiTheme="minorHAnsi" w:cstheme="minorHAnsi"/>
          <w:sz w:val="22"/>
          <w:szCs w:val="22"/>
        </w:rPr>
        <w:t>)</w:t>
      </w:r>
      <w:r w:rsidR="001A0CC3">
        <w:rPr>
          <w:rFonts w:asciiTheme="minorHAnsi" w:hAnsiTheme="minorHAnsi" w:cstheme="minorHAnsi"/>
          <w:sz w:val="22"/>
          <w:szCs w:val="22"/>
        </w:rPr>
        <w:t xml:space="preserve">.  </w:t>
      </w:r>
      <w:r>
        <w:rPr>
          <w:rFonts w:asciiTheme="minorHAnsi" w:hAnsiTheme="minorHAnsi" w:cstheme="minorHAnsi"/>
          <w:sz w:val="22"/>
          <w:szCs w:val="22"/>
        </w:rPr>
        <w:t xml:space="preserve">Whilst alcohol screening and brief </w:t>
      </w:r>
      <w:r>
        <w:rPr>
          <w:rFonts w:asciiTheme="minorHAnsi" w:hAnsiTheme="minorHAnsi" w:cstheme="minorHAnsi"/>
          <w:sz w:val="22"/>
          <w:szCs w:val="22"/>
        </w:rPr>
        <w:lastRenderedPageBreak/>
        <w:t>psycho-social interventions have been trialled in different countries and health service settings,</w:t>
      </w:r>
      <w:r>
        <w:rPr>
          <w:rFonts w:asciiTheme="minorHAnsi" w:hAnsiTheme="minorHAnsi" w:cstheme="minorHAnsi"/>
          <w:noProof/>
          <w:sz w:val="22"/>
          <w:szCs w:val="22"/>
        </w:rPr>
        <w:t xml:space="preserve"> </w:t>
      </w:r>
      <w:r>
        <w:rPr>
          <w:rFonts w:asciiTheme="minorHAnsi" w:hAnsiTheme="minorHAnsi" w:cstheme="minorHAnsi"/>
          <w:sz w:val="22"/>
          <w:szCs w:val="22"/>
        </w:rPr>
        <w:t>evidence specific to older people is much more limited</w:t>
      </w:r>
      <w:r w:rsidRPr="005827B9">
        <w:rPr>
          <w:rFonts w:asciiTheme="minorHAnsi" w:hAnsiTheme="minorHAnsi" w:cstheme="minorHAnsi"/>
          <w:sz w:val="22"/>
          <w:szCs w:val="22"/>
        </w:rPr>
        <w:t xml:space="preserve"> </w:t>
      </w:r>
      <w:r>
        <w:rPr>
          <w:rFonts w:asciiTheme="minorHAnsi" w:hAnsiTheme="minorHAnsi" w:cstheme="minorHAnsi"/>
          <w:noProof/>
          <w:sz w:val="22"/>
          <w:szCs w:val="22"/>
        </w:rPr>
        <w:t>(Kaner et al., 2018; Kelly et al., 2018b)</w:t>
      </w:r>
      <w:r w:rsidRPr="005827B9">
        <w:rPr>
          <w:rFonts w:asciiTheme="minorHAnsi" w:hAnsiTheme="minorHAnsi" w:cstheme="minorHAnsi"/>
          <w:sz w:val="22"/>
          <w:szCs w:val="22"/>
        </w:rPr>
        <w:t xml:space="preserve">.  </w:t>
      </w:r>
      <w:r>
        <w:rPr>
          <w:rFonts w:asciiTheme="minorHAnsi" w:hAnsiTheme="minorHAnsi" w:cstheme="minorHAnsi"/>
          <w:sz w:val="22"/>
          <w:szCs w:val="22"/>
        </w:rPr>
        <w:t xml:space="preserve">Future development of screening and intervention programmes will need to take account </w:t>
      </w:r>
      <w:r w:rsidR="007169DA">
        <w:rPr>
          <w:rFonts w:asciiTheme="minorHAnsi" w:hAnsiTheme="minorHAnsi" w:cstheme="minorHAnsi"/>
          <w:sz w:val="22"/>
          <w:szCs w:val="22"/>
        </w:rPr>
        <w:t xml:space="preserve">not only </w:t>
      </w:r>
      <w:r>
        <w:rPr>
          <w:rFonts w:asciiTheme="minorHAnsi" w:hAnsiTheme="minorHAnsi" w:cstheme="minorHAnsi"/>
          <w:sz w:val="22"/>
          <w:szCs w:val="22"/>
        </w:rPr>
        <w:t xml:space="preserve">of </w:t>
      </w:r>
      <w:r w:rsidR="007A6B76">
        <w:rPr>
          <w:rFonts w:asciiTheme="minorHAnsi" w:hAnsiTheme="minorHAnsi" w:cstheme="minorHAnsi"/>
          <w:sz w:val="22"/>
          <w:szCs w:val="22"/>
        </w:rPr>
        <w:t xml:space="preserve">extensive </w:t>
      </w:r>
      <w:r w:rsidR="00002562">
        <w:rPr>
          <w:rFonts w:asciiTheme="minorHAnsi" w:hAnsiTheme="minorHAnsi" w:cstheme="minorHAnsi"/>
          <w:sz w:val="22"/>
          <w:szCs w:val="22"/>
        </w:rPr>
        <w:t>multi</w:t>
      </w:r>
      <w:r w:rsidR="007169DA">
        <w:rPr>
          <w:rFonts w:asciiTheme="minorHAnsi" w:hAnsiTheme="minorHAnsi" w:cstheme="minorHAnsi"/>
          <w:sz w:val="22"/>
          <w:szCs w:val="22"/>
        </w:rPr>
        <w:t>morbidit</w:t>
      </w:r>
      <w:r w:rsidR="007A6B76">
        <w:rPr>
          <w:rFonts w:asciiTheme="minorHAnsi" w:hAnsiTheme="minorHAnsi" w:cstheme="minorHAnsi"/>
          <w:sz w:val="22"/>
          <w:szCs w:val="22"/>
        </w:rPr>
        <w:t xml:space="preserve">y </w:t>
      </w:r>
      <w:r w:rsidR="007169DA">
        <w:rPr>
          <w:rFonts w:asciiTheme="minorHAnsi" w:hAnsiTheme="minorHAnsi" w:cstheme="minorHAnsi"/>
          <w:sz w:val="22"/>
          <w:szCs w:val="22"/>
        </w:rPr>
        <w:t>among older people</w:t>
      </w:r>
      <w:r w:rsidR="00742BCC">
        <w:rPr>
          <w:rFonts w:asciiTheme="minorHAnsi" w:hAnsiTheme="minorHAnsi" w:cstheme="minorHAnsi"/>
          <w:sz w:val="22"/>
          <w:szCs w:val="22"/>
        </w:rPr>
        <w:t>,</w:t>
      </w:r>
      <w:r w:rsidR="007169DA">
        <w:rPr>
          <w:rFonts w:asciiTheme="minorHAnsi" w:hAnsiTheme="minorHAnsi" w:cstheme="minorHAnsi"/>
          <w:sz w:val="22"/>
          <w:szCs w:val="22"/>
        </w:rPr>
        <w:t xml:space="preserve"> but also </w:t>
      </w:r>
      <w:r w:rsidR="007A6B76">
        <w:rPr>
          <w:rFonts w:asciiTheme="minorHAnsi" w:hAnsiTheme="minorHAnsi" w:cstheme="minorHAnsi"/>
          <w:sz w:val="22"/>
          <w:szCs w:val="22"/>
        </w:rPr>
        <w:t xml:space="preserve">variations </w:t>
      </w:r>
      <w:r w:rsidR="007169DA">
        <w:rPr>
          <w:rFonts w:asciiTheme="minorHAnsi" w:hAnsiTheme="minorHAnsi" w:cstheme="minorHAnsi"/>
          <w:sz w:val="22"/>
          <w:szCs w:val="22"/>
        </w:rPr>
        <w:t xml:space="preserve">in the </w:t>
      </w:r>
      <w:r>
        <w:rPr>
          <w:rFonts w:asciiTheme="minorHAnsi" w:hAnsiTheme="minorHAnsi" w:cstheme="minorHAnsi"/>
          <w:sz w:val="22"/>
          <w:szCs w:val="22"/>
        </w:rPr>
        <w:t xml:space="preserve">experiences and understanding of alcohol and medication risks </w:t>
      </w:r>
      <w:r>
        <w:rPr>
          <w:rFonts w:asciiTheme="minorHAnsi" w:hAnsiTheme="minorHAnsi" w:cstheme="minorHAnsi"/>
          <w:noProof/>
          <w:sz w:val="22"/>
          <w:szCs w:val="22"/>
        </w:rPr>
        <w:t>(Rao et al., 2016)</w:t>
      </w:r>
      <w:r>
        <w:rPr>
          <w:rFonts w:asciiTheme="minorHAnsi" w:hAnsiTheme="minorHAnsi" w:cstheme="minorHAnsi"/>
          <w:sz w:val="22"/>
          <w:szCs w:val="22"/>
        </w:rPr>
        <w:t xml:space="preserve">, such as knowledge (or lack of) of the potential harms from alcohol, mixed perceptions of the effects of alcohol on their own health, and views on the health and social benefits of alcohol consumption </w:t>
      </w:r>
      <w:r>
        <w:rPr>
          <w:rFonts w:asciiTheme="minorHAnsi" w:hAnsiTheme="minorHAnsi" w:cstheme="minorHAnsi"/>
          <w:noProof/>
          <w:sz w:val="22"/>
          <w:szCs w:val="22"/>
        </w:rPr>
        <w:t>(Bareham et al., 2019; Kelly et al., 2018a; Madden et al., 2020)</w:t>
      </w:r>
      <w:r>
        <w:rPr>
          <w:rFonts w:asciiTheme="minorHAnsi" w:hAnsiTheme="minorHAnsi" w:cstheme="minorHAnsi"/>
          <w:sz w:val="22"/>
          <w:szCs w:val="22"/>
        </w:rPr>
        <w:t xml:space="preserve">.  </w:t>
      </w:r>
    </w:p>
    <w:p w14:paraId="7D90F8EB" w14:textId="77777777" w:rsidR="0038512E" w:rsidRDefault="0038512E" w:rsidP="00CF20ED">
      <w:pPr>
        <w:spacing w:after="200" w:line="480" w:lineRule="auto"/>
        <w:rPr>
          <w:rFonts w:asciiTheme="minorHAnsi" w:hAnsiTheme="minorHAnsi" w:cstheme="minorHAnsi"/>
          <w:sz w:val="22"/>
          <w:szCs w:val="22"/>
        </w:rPr>
      </w:pPr>
      <w:r>
        <w:rPr>
          <w:rFonts w:asciiTheme="minorHAnsi" w:hAnsiTheme="minorHAnsi" w:cstheme="minorHAnsi"/>
          <w:sz w:val="22"/>
          <w:szCs w:val="22"/>
        </w:rPr>
        <w:t xml:space="preserve">The study has limitations that are important to consider.  This was a small, convenience sample that was not recruited from clinical services, although the majority were receiving treatments for long term conditions. These factors limit the generalisability of the findings, as does the </w:t>
      </w:r>
      <w:r w:rsidRPr="005B6FC7">
        <w:rPr>
          <w:rFonts w:asciiTheme="minorHAnsi" w:hAnsiTheme="minorHAnsi" w:cstheme="minorHAnsi"/>
          <w:sz w:val="22"/>
          <w:szCs w:val="22"/>
        </w:rPr>
        <w:t xml:space="preserve">lack of information about people who did not </w:t>
      </w:r>
      <w:r>
        <w:rPr>
          <w:rFonts w:asciiTheme="minorHAnsi" w:hAnsiTheme="minorHAnsi" w:cstheme="minorHAnsi"/>
          <w:sz w:val="22"/>
          <w:szCs w:val="22"/>
        </w:rPr>
        <w:t xml:space="preserve">volunteer to </w:t>
      </w:r>
      <w:r w:rsidRPr="005B6FC7">
        <w:rPr>
          <w:rFonts w:asciiTheme="minorHAnsi" w:hAnsiTheme="minorHAnsi" w:cstheme="minorHAnsi"/>
          <w:sz w:val="22"/>
          <w:szCs w:val="22"/>
        </w:rPr>
        <w:t xml:space="preserve">participate.  </w:t>
      </w:r>
      <w:r>
        <w:rPr>
          <w:rFonts w:asciiTheme="minorHAnsi" w:hAnsiTheme="minorHAnsi" w:cstheme="minorHAnsi"/>
          <w:sz w:val="22"/>
          <w:szCs w:val="22"/>
        </w:rPr>
        <w:t>This was an exploratory study that establishes the need for further research</w:t>
      </w:r>
      <w:r w:rsidR="009C6BB4">
        <w:rPr>
          <w:rFonts w:asciiTheme="minorHAnsi" w:hAnsiTheme="minorHAnsi" w:cstheme="minorHAnsi"/>
          <w:sz w:val="22"/>
          <w:szCs w:val="22"/>
        </w:rPr>
        <w:t xml:space="preserve"> </w:t>
      </w:r>
      <w:r>
        <w:rPr>
          <w:rFonts w:asciiTheme="minorHAnsi" w:hAnsiTheme="minorHAnsi" w:cstheme="minorHAnsi"/>
          <w:sz w:val="22"/>
          <w:szCs w:val="22"/>
        </w:rPr>
        <w:t xml:space="preserve">and should not be interpreted to mean that we recommend that </w:t>
      </w:r>
      <w:r w:rsidRPr="001131C5">
        <w:rPr>
          <w:rFonts w:asciiTheme="minorHAnsi" w:hAnsiTheme="minorHAnsi" w:cstheme="minorHAnsi"/>
          <w:sz w:val="22"/>
          <w:szCs w:val="22"/>
        </w:rPr>
        <w:t xml:space="preserve">a single </w:t>
      </w:r>
      <w:r>
        <w:rPr>
          <w:rFonts w:asciiTheme="minorHAnsi" w:hAnsiTheme="minorHAnsi" w:cstheme="minorHAnsi"/>
          <w:sz w:val="22"/>
          <w:szCs w:val="22"/>
        </w:rPr>
        <w:t>usual consumption</w:t>
      </w:r>
      <w:r w:rsidRPr="001131C5">
        <w:rPr>
          <w:rFonts w:asciiTheme="minorHAnsi" w:hAnsiTheme="minorHAnsi" w:cstheme="minorHAnsi"/>
          <w:sz w:val="22"/>
          <w:szCs w:val="22"/>
        </w:rPr>
        <w:t xml:space="preserve"> screening question</w:t>
      </w:r>
      <w:r>
        <w:rPr>
          <w:rFonts w:asciiTheme="minorHAnsi" w:hAnsiTheme="minorHAnsi" w:cstheme="minorHAnsi"/>
          <w:sz w:val="22"/>
          <w:szCs w:val="22"/>
        </w:rPr>
        <w:t xml:space="preserve"> should be adopted by practitioners.  In undertaking further study, the high sensitivity and specificity of the AUDIT-C items reported in this exploratory study warrant further investigation in larger samples, and more specifically, to confirm the utility of usual consumption single screening questions asked of older people in health care settings.  </w:t>
      </w:r>
      <w:r w:rsidRPr="002E2D78">
        <w:rPr>
          <w:rFonts w:asciiTheme="minorHAnsi" w:hAnsiTheme="minorHAnsi" w:cstheme="minorHAnsi"/>
          <w:sz w:val="22"/>
          <w:szCs w:val="22"/>
        </w:rPr>
        <w:t>Since the AUDIT-C is a measure of alcohol consumption, rather than a direct measure of alcohol related harm, we used recommended weekly limits of alcohol consumption as a reference category.  Whilst appropriate</w:t>
      </w:r>
      <w:r>
        <w:rPr>
          <w:rFonts w:asciiTheme="minorHAnsi" w:hAnsiTheme="minorHAnsi" w:cstheme="minorHAnsi"/>
          <w:sz w:val="22"/>
          <w:szCs w:val="22"/>
        </w:rPr>
        <w:t xml:space="preserve"> for the identification of a level of risk warranting consideration in clinical consultations</w:t>
      </w:r>
      <w:r w:rsidRPr="002E2D78">
        <w:rPr>
          <w:rFonts w:asciiTheme="minorHAnsi" w:hAnsiTheme="minorHAnsi" w:cstheme="minorHAnsi"/>
          <w:sz w:val="22"/>
          <w:szCs w:val="22"/>
        </w:rPr>
        <w:t xml:space="preserve">, this means that participants </w:t>
      </w:r>
      <w:r>
        <w:rPr>
          <w:rFonts w:asciiTheme="minorHAnsi" w:hAnsiTheme="minorHAnsi" w:cstheme="minorHAnsi"/>
          <w:sz w:val="22"/>
          <w:szCs w:val="22"/>
        </w:rPr>
        <w:t>sh</w:t>
      </w:r>
      <w:r w:rsidRPr="002E2D78">
        <w:rPr>
          <w:rFonts w:asciiTheme="minorHAnsi" w:hAnsiTheme="minorHAnsi" w:cstheme="minorHAnsi"/>
          <w:sz w:val="22"/>
          <w:szCs w:val="22"/>
        </w:rPr>
        <w:t>ould not be classified as problem drinkers</w:t>
      </w:r>
      <w:proofErr w:type="gramStart"/>
      <w:r w:rsidRPr="002E2D78">
        <w:rPr>
          <w:rFonts w:asciiTheme="minorHAnsi" w:hAnsiTheme="minorHAnsi" w:cstheme="minorHAnsi"/>
          <w:sz w:val="22"/>
          <w:szCs w:val="22"/>
        </w:rPr>
        <w:t xml:space="preserve">  </w:t>
      </w:r>
      <w:r>
        <w:rPr>
          <w:rFonts w:asciiTheme="minorHAnsi" w:hAnsiTheme="minorHAnsi" w:cstheme="minorHAnsi"/>
          <w:sz w:val="22"/>
          <w:szCs w:val="22"/>
        </w:rPr>
        <w:t xml:space="preserve"> </w:t>
      </w:r>
      <w:r>
        <w:rPr>
          <w:rFonts w:asciiTheme="minorHAnsi" w:hAnsiTheme="minorHAnsi" w:cstheme="minorHAnsi"/>
          <w:noProof/>
          <w:sz w:val="22"/>
          <w:szCs w:val="22"/>
        </w:rPr>
        <w:t>(</w:t>
      </w:r>
      <w:proofErr w:type="gramEnd"/>
      <w:r>
        <w:rPr>
          <w:rFonts w:asciiTheme="minorHAnsi" w:hAnsiTheme="minorHAnsi" w:cstheme="minorHAnsi"/>
          <w:noProof/>
          <w:sz w:val="22"/>
          <w:szCs w:val="22"/>
        </w:rPr>
        <w:t>Higgins-Biddle and Babor, 2018)</w:t>
      </w:r>
      <w:r>
        <w:rPr>
          <w:rFonts w:asciiTheme="minorHAnsi" w:hAnsiTheme="minorHAnsi" w:cstheme="minorHAnsi"/>
          <w:sz w:val="22"/>
          <w:szCs w:val="22"/>
        </w:rPr>
        <w:t xml:space="preserve">. We have given equal weight to sensitivity and specificity in this study; there may be circumstances in which one is more important than the other.  Finally, a short recall period may minimise bias </w:t>
      </w:r>
      <w:r>
        <w:rPr>
          <w:rFonts w:asciiTheme="minorHAnsi" w:hAnsiTheme="minorHAnsi" w:cstheme="minorHAnsi"/>
          <w:noProof/>
          <w:sz w:val="22"/>
          <w:szCs w:val="22"/>
        </w:rPr>
        <w:t>(Rehm, 1998)</w:t>
      </w:r>
      <w:r>
        <w:rPr>
          <w:rFonts w:asciiTheme="minorHAnsi" w:hAnsiTheme="minorHAnsi" w:cstheme="minorHAnsi"/>
          <w:sz w:val="22"/>
          <w:szCs w:val="22"/>
        </w:rPr>
        <w:t xml:space="preserve">, but the retrospective 7 day drinking diary used for the measurement of the reference category in this study may have included or missed less frequent heavy episodic drinking patterns that fell outside of this period.  </w:t>
      </w:r>
    </w:p>
    <w:p w14:paraId="3DAA3E0A" w14:textId="77777777" w:rsidR="0038512E" w:rsidRDefault="0038512E" w:rsidP="00CF20ED">
      <w:pPr>
        <w:spacing w:after="200" w:line="480" w:lineRule="auto"/>
        <w:rPr>
          <w:rFonts w:asciiTheme="minorHAnsi" w:hAnsiTheme="minorHAnsi" w:cstheme="minorHAnsi"/>
          <w:b/>
          <w:sz w:val="22"/>
          <w:szCs w:val="22"/>
        </w:rPr>
      </w:pPr>
    </w:p>
    <w:p w14:paraId="471AEA69" w14:textId="77777777" w:rsidR="0038512E" w:rsidRPr="00F5360A" w:rsidRDefault="0038512E" w:rsidP="00CF20ED">
      <w:pPr>
        <w:spacing w:after="200" w:line="480" w:lineRule="auto"/>
        <w:rPr>
          <w:rFonts w:asciiTheme="minorHAnsi" w:hAnsiTheme="minorHAnsi" w:cstheme="minorHAnsi"/>
          <w:b/>
          <w:sz w:val="22"/>
          <w:szCs w:val="22"/>
        </w:rPr>
      </w:pPr>
      <w:r w:rsidRPr="00F5360A">
        <w:rPr>
          <w:rFonts w:asciiTheme="minorHAnsi" w:hAnsiTheme="minorHAnsi" w:cstheme="minorHAnsi"/>
          <w:b/>
          <w:sz w:val="22"/>
          <w:szCs w:val="22"/>
        </w:rPr>
        <w:t>Conclusion</w:t>
      </w:r>
    </w:p>
    <w:p w14:paraId="6E9FA3BF" w14:textId="731B5F0D" w:rsidR="0038512E" w:rsidRDefault="0038512E" w:rsidP="00CF20ED">
      <w:pPr>
        <w:spacing w:after="200" w:line="480" w:lineRule="auto"/>
        <w:rPr>
          <w:rFonts w:asciiTheme="minorHAnsi" w:hAnsiTheme="minorHAnsi" w:cstheme="minorHAnsi"/>
          <w:sz w:val="22"/>
          <w:szCs w:val="22"/>
        </w:rPr>
      </w:pPr>
      <w:r>
        <w:rPr>
          <w:rFonts w:asciiTheme="minorHAnsi" w:hAnsiTheme="minorHAnsi" w:cstheme="minorHAnsi"/>
          <w:sz w:val="22"/>
          <w:szCs w:val="22"/>
        </w:rPr>
        <w:t>The possibility of using a single usual consumption screening question may be attractive to practitioners and to older people, perhaps particularly a frequency question about how often one drinks; this approach to screening does not in any way impede more detailed discussion of alcohol during clinical consultations.  Further investigation by practitioners would be needed to identify risk and specific alcohol related problems more carefully, and the</w:t>
      </w:r>
      <w:r w:rsidR="00024532">
        <w:rPr>
          <w:rFonts w:asciiTheme="minorHAnsi" w:hAnsiTheme="minorHAnsi" w:cstheme="minorHAnsi"/>
          <w:sz w:val="22"/>
          <w:szCs w:val="22"/>
        </w:rPr>
        <w:t xml:space="preserve"> AUDIT-C or the</w:t>
      </w:r>
      <w:r w:rsidR="00EC261B">
        <w:rPr>
          <w:rFonts w:asciiTheme="minorHAnsi" w:hAnsiTheme="minorHAnsi" w:cstheme="minorHAnsi"/>
          <w:sz w:val="22"/>
          <w:szCs w:val="22"/>
        </w:rPr>
        <w:t xml:space="preserve"> </w:t>
      </w:r>
      <w:r>
        <w:rPr>
          <w:rFonts w:asciiTheme="minorHAnsi" w:hAnsiTheme="minorHAnsi" w:cstheme="minorHAnsi"/>
          <w:sz w:val="22"/>
          <w:szCs w:val="22"/>
        </w:rPr>
        <w:t xml:space="preserve">full AUDIT could be used when judged useful for those who screen positive, should further evidence support use of a single usual consumption question in this population. The main contribution of this study is not to overlook simple existing questions in further research on the identification of potentially unhealthy drinking among older people. </w:t>
      </w:r>
    </w:p>
    <w:p w14:paraId="7D59BBE9" w14:textId="77777777" w:rsidR="0049154F" w:rsidRDefault="0049154F">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768ADEA4" w14:textId="77777777" w:rsidR="0049154F" w:rsidRPr="00D070C1" w:rsidRDefault="0049154F" w:rsidP="0049154F">
      <w:pPr>
        <w:spacing w:line="480" w:lineRule="auto"/>
        <w:rPr>
          <w:rFonts w:asciiTheme="minorHAnsi" w:hAnsiTheme="minorHAnsi" w:cstheme="minorHAnsi"/>
          <w:b/>
          <w:sz w:val="22"/>
          <w:szCs w:val="22"/>
        </w:rPr>
      </w:pPr>
      <w:r w:rsidRPr="00D070C1">
        <w:rPr>
          <w:rFonts w:asciiTheme="minorHAnsi" w:hAnsiTheme="minorHAnsi" w:cstheme="minorHAnsi"/>
          <w:b/>
          <w:sz w:val="22"/>
          <w:szCs w:val="22"/>
        </w:rPr>
        <w:lastRenderedPageBreak/>
        <w:t>References</w:t>
      </w:r>
    </w:p>
    <w:p w14:paraId="488C234D" w14:textId="77777777" w:rsidR="0049154F" w:rsidRPr="00D070C1" w:rsidRDefault="0049154F" w:rsidP="0049154F">
      <w:pPr>
        <w:spacing w:line="480" w:lineRule="auto"/>
        <w:rPr>
          <w:rFonts w:asciiTheme="minorHAnsi" w:hAnsiTheme="minorHAnsi" w:cstheme="minorHAnsi"/>
          <w:sz w:val="22"/>
          <w:szCs w:val="22"/>
        </w:rPr>
      </w:pPr>
    </w:p>
    <w:p w14:paraId="43332633"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Andréasson, SB (2017) Tackling alcohol use: screening, target group, and patient centred care. </w:t>
      </w:r>
      <w:r w:rsidRPr="00D070C1">
        <w:rPr>
          <w:rFonts w:asciiTheme="minorHAnsi" w:hAnsiTheme="minorHAnsi" w:cstheme="minorHAnsi"/>
          <w:i/>
          <w:sz w:val="22"/>
          <w:szCs w:val="22"/>
        </w:rPr>
        <w:t>BMJ</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356</w:t>
      </w:r>
      <w:r w:rsidRPr="00D070C1">
        <w:rPr>
          <w:rFonts w:asciiTheme="minorHAnsi" w:hAnsiTheme="minorHAnsi" w:cstheme="minorHAnsi"/>
          <w:sz w:val="22"/>
          <w:szCs w:val="22"/>
        </w:rPr>
        <w:t>: j1119.</w:t>
      </w:r>
    </w:p>
    <w:p w14:paraId="1C4D5B94"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Bareham, BK, Kaner, E, Spencer, LP, Hanratty, B (2019) Drinking in later life: a systematic review and thematic synthesis of qualitative studies exploring older people's perceptions and experiences. </w:t>
      </w:r>
      <w:r w:rsidRPr="00D070C1">
        <w:rPr>
          <w:rFonts w:asciiTheme="minorHAnsi" w:hAnsiTheme="minorHAnsi" w:cstheme="minorHAnsi"/>
          <w:i/>
          <w:sz w:val="22"/>
          <w:szCs w:val="22"/>
        </w:rPr>
        <w:t>Age Ageing</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48</w:t>
      </w:r>
      <w:r w:rsidRPr="00D070C1">
        <w:rPr>
          <w:rFonts w:asciiTheme="minorHAnsi" w:hAnsiTheme="minorHAnsi" w:cstheme="minorHAnsi"/>
          <w:sz w:val="22"/>
          <w:szCs w:val="22"/>
        </w:rPr>
        <w:t>: 134-46.</w:t>
      </w:r>
    </w:p>
    <w:p w14:paraId="5EBF0991"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Barnett, K, Mercer, S, Norbury, M, Watt, G, Wyke, S, Guthrie, B (2012) Epidemiology of multimorbidity and implications for healthcare, research, and medical education: a cross-sectional study. </w:t>
      </w:r>
      <w:r w:rsidRPr="00D070C1">
        <w:rPr>
          <w:rFonts w:asciiTheme="minorHAnsi" w:hAnsiTheme="minorHAnsi" w:cstheme="minorHAnsi"/>
          <w:i/>
          <w:sz w:val="22"/>
          <w:szCs w:val="22"/>
        </w:rPr>
        <w:t>Lancet</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380</w:t>
      </w:r>
      <w:r w:rsidRPr="00D070C1">
        <w:rPr>
          <w:rFonts w:asciiTheme="minorHAnsi" w:hAnsiTheme="minorHAnsi" w:cstheme="minorHAnsi"/>
          <w:sz w:val="22"/>
          <w:szCs w:val="22"/>
        </w:rPr>
        <w:t>.</w:t>
      </w:r>
    </w:p>
    <w:p w14:paraId="61DEE07B"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Bradley, KA, Bush, KR, Epler, AJ</w:t>
      </w:r>
      <w:r w:rsidRPr="00D070C1">
        <w:rPr>
          <w:rFonts w:asciiTheme="minorHAnsi" w:hAnsiTheme="minorHAnsi" w:cstheme="minorHAnsi"/>
          <w:i/>
          <w:sz w:val="22"/>
          <w:szCs w:val="22"/>
        </w:rPr>
        <w:t xml:space="preserve"> et al.</w:t>
      </w:r>
      <w:r w:rsidRPr="00D070C1">
        <w:rPr>
          <w:rFonts w:asciiTheme="minorHAnsi" w:hAnsiTheme="minorHAnsi" w:cstheme="minorHAnsi"/>
          <w:sz w:val="22"/>
          <w:szCs w:val="22"/>
        </w:rPr>
        <w:t xml:space="preserve"> (2003) Two brief alcohol-screening tests From the Alcohol Use Disorders Identification Test (AUDIT): validation in a female Veterans Affairs patient population. </w:t>
      </w:r>
      <w:r w:rsidRPr="00D070C1">
        <w:rPr>
          <w:rFonts w:asciiTheme="minorHAnsi" w:hAnsiTheme="minorHAnsi" w:cstheme="minorHAnsi"/>
          <w:i/>
          <w:sz w:val="22"/>
          <w:szCs w:val="22"/>
        </w:rPr>
        <w:t>Arch Intern Med</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163</w:t>
      </w:r>
      <w:r w:rsidRPr="00D070C1">
        <w:rPr>
          <w:rFonts w:asciiTheme="minorHAnsi" w:hAnsiTheme="minorHAnsi" w:cstheme="minorHAnsi"/>
          <w:sz w:val="22"/>
          <w:szCs w:val="22"/>
        </w:rPr>
        <w:t>: 821-9.</w:t>
      </w:r>
    </w:p>
    <w:p w14:paraId="3E56C299" w14:textId="708572CF"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Bradley, KA, DeBenedetti, AF, Volk, RJ, Williams, EC, Frank, D, Kivlahan, DR (2007) AUDIT-C as a brief screen for alcohol misuse in primary care. </w:t>
      </w:r>
      <w:r w:rsidR="00BE6B3E" w:rsidRPr="00BE6B3E">
        <w:rPr>
          <w:rFonts w:asciiTheme="minorHAnsi" w:hAnsiTheme="minorHAnsi" w:cstheme="minorHAnsi"/>
          <w:i/>
          <w:sz w:val="22"/>
          <w:szCs w:val="22"/>
        </w:rPr>
        <w:t>Alcohol Clin Exp Res</w:t>
      </w:r>
      <w:r w:rsidR="00BE6B3E">
        <w:rPr>
          <w:rFonts w:ascii="Segoe UI" w:eastAsiaTheme="minorHAnsi" w:hAnsi="Segoe UI" w:cs="Segoe UI"/>
          <w:i/>
          <w:iCs/>
          <w:color w:val="000000"/>
          <w:sz w:val="21"/>
          <w:szCs w:val="21"/>
        </w:rPr>
        <w:t xml:space="preserve"> </w:t>
      </w:r>
      <w:r w:rsidRPr="00D070C1">
        <w:rPr>
          <w:rFonts w:asciiTheme="minorHAnsi" w:hAnsiTheme="minorHAnsi" w:cstheme="minorHAnsi"/>
          <w:b/>
          <w:sz w:val="22"/>
          <w:szCs w:val="22"/>
        </w:rPr>
        <w:t>31</w:t>
      </w:r>
      <w:r w:rsidRPr="00D070C1">
        <w:rPr>
          <w:rFonts w:asciiTheme="minorHAnsi" w:hAnsiTheme="minorHAnsi" w:cstheme="minorHAnsi"/>
          <w:sz w:val="22"/>
          <w:szCs w:val="22"/>
        </w:rPr>
        <w:t>: 1208-17.</w:t>
      </w:r>
    </w:p>
    <w:p w14:paraId="21744159" w14:textId="00A27231"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Britton, A, Ben-Shlomo, Y, Benzeval, M, Kuh, D, Bell, S (2015) Life course trajectories of alcohol consumption in the United Kingdom using longitudinal data from nine cohort studies. </w:t>
      </w:r>
      <w:r w:rsidRPr="00D070C1">
        <w:rPr>
          <w:rFonts w:asciiTheme="minorHAnsi" w:hAnsiTheme="minorHAnsi" w:cstheme="minorHAnsi"/>
          <w:i/>
          <w:sz w:val="22"/>
          <w:szCs w:val="22"/>
        </w:rPr>
        <w:t>BMC Med</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13</w:t>
      </w:r>
      <w:r w:rsidRPr="00D070C1">
        <w:rPr>
          <w:rFonts w:asciiTheme="minorHAnsi" w:hAnsiTheme="minorHAnsi" w:cstheme="minorHAnsi"/>
          <w:sz w:val="22"/>
          <w:szCs w:val="22"/>
        </w:rPr>
        <w:t>: 47.</w:t>
      </w:r>
    </w:p>
    <w:p w14:paraId="03FBBE0A" w14:textId="041E4496"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Brown, J, West, R, Angus, C, Beard, E, Brennan, A, Drummond, C (2016) Comparison of brief interventions in primary care on smoking and excessive alcohol consumption: a population survey in England. </w:t>
      </w:r>
      <w:r w:rsidR="00BE6B3E" w:rsidRPr="00BE6B3E">
        <w:rPr>
          <w:rFonts w:asciiTheme="minorHAnsi" w:hAnsiTheme="minorHAnsi" w:cstheme="minorHAnsi"/>
          <w:i/>
          <w:sz w:val="22"/>
          <w:szCs w:val="22"/>
        </w:rPr>
        <w:t>Br Gen Pract</w:t>
      </w:r>
      <w:r w:rsidR="00BE6B3E">
        <w:rPr>
          <w:rFonts w:ascii="Segoe UI" w:eastAsiaTheme="minorHAnsi" w:hAnsi="Segoe UI" w:cs="Segoe UI"/>
          <w:i/>
          <w:iCs/>
          <w:color w:val="000000"/>
          <w:sz w:val="20"/>
          <w:szCs w:val="20"/>
        </w:rPr>
        <w:t xml:space="preserve"> </w:t>
      </w:r>
      <w:r w:rsidR="00BE6B3E" w:rsidRPr="00BE6B3E">
        <w:rPr>
          <w:rFonts w:asciiTheme="minorHAnsi" w:hAnsiTheme="minorHAnsi" w:cstheme="minorHAnsi"/>
          <w:b/>
          <w:bCs/>
          <w:sz w:val="22"/>
          <w:szCs w:val="22"/>
        </w:rPr>
        <w:t>66</w:t>
      </w:r>
      <w:r w:rsidR="00BE6B3E" w:rsidRPr="00BE6B3E">
        <w:rPr>
          <w:rFonts w:asciiTheme="minorHAnsi" w:hAnsiTheme="minorHAnsi" w:cstheme="minorHAnsi"/>
          <w:sz w:val="22"/>
          <w:szCs w:val="22"/>
        </w:rPr>
        <w:t>:e1-9</w:t>
      </w:r>
      <w:r w:rsidRPr="00D070C1">
        <w:rPr>
          <w:rFonts w:asciiTheme="minorHAnsi" w:hAnsiTheme="minorHAnsi" w:cstheme="minorHAnsi"/>
          <w:sz w:val="22"/>
          <w:szCs w:val="22"/>
        </w:rPr>
        <w:t>.</w:t>
      </w:r>
    </w:p>
    <w:p w14:paraId="6BB63CC7"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Bush, K, Kivlahan, DR, McDonell, MB, Fihn, SD, Bradley, KA (1998) The AUDIT alcohol consumption questions (AUDIT-C): an effective brief screening test for problem drinking. Ambulatory Care Quality Improvement Project (ACQUIP). Alcohol Use Disorders Identification Test. </w:t>
      </w:r>
      <w:r w:rsidRPr="00D070C1">
        <w:rPr>
          <w:rFonts w:asciiTheme="minorHAnsi" w:hAnsiTheme="minorHAnsi" w:cstheme="minorHAnsi"/>
          <w:i/>
          <w:sz w:val="22"/>
          <w:szCs w:val="22"/>
        </w:rPr>
        <w:t>Arch Intern Med</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158</w:t>
      </w:r>
      <w:r w:rsidRPr="00D070C1">
        <w:rPr>
          <w:rFonts w:asciiTheme="minorHAnsi" w:hAnsiTheme="minorHAnsi" w:cstheme="minorHAnsi"/>
          <w:sz w:val="22"/>
          <w:szCs w:val="22"/>
        </w:rPr>
        <w:t>: 1789-95.</w:t>
      </w:r>
    </w:p>
    <w:p w14:paraId="49469282" w14:textId="6E5A736C"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lastRenderedPageBreak/>
        <w:t xml:space="preserve">Canagasaby, A, Vinson, D.C. (2005) Screening for hazardous or harmful drinking using one or two quantity-frequency questions. </w:t>
      </w:r>
      <w:r w:rsidRPr="00D070C1">
        <w:rPr>
          <w:rFonts w:asciiTheme="minorHAnsi" w:hAnsiTheme="minorHAnsi" w:cstheme="minorHAnsi"/>
          <w:i/>
          <w:sz w:val="22"/>
          <w:szCs w:val="22"/>
        </w:rPr>
        <w:t>Alcohol Alcohol</w:t>
      </w:r>
      <w:r w:rsidR="00BE6B3E">
        <w:rPr>
          <w:rFonts w:asciiTheme="minorHAnsi" w:hAnsiTheme="minorHAnsi" w:cstheme="minorHAnsi"/>
          <w:i/>
          <w:sz w:val="22"/>
          <w:szCs w:val="22"/>
        </w:rPr>
        <w:t xml:space="preserve"> </w:t>
      </w:r>
      <w:r w:rsidRPr="00D070C1">
        <w:rPr>
          <w:rFonts w:asciiTheme="minorHAnsi" w:hAnsiTheme="minorHAnsi" w:cstheme="minorHAnsi"/>
          <w:b/>
          <w:sz w:val="22"/>
          <w:szCs w:val="22"/>
        </w:rPr>
        <w:t>40</w:t>
      </w:r>
      <w:r w:rsidRPr="00D070C1">
        <w:rPr>
          <w:rFonts w:asciiTheme="minorHAnsi" w:hAnsiTheme="minorHAnsi" w:cstheme="minorHAnsi"/>
          <w:sz w:val="22"/>
          <w:szCs w:val="22"/>
        </w:rPr>
        <w:t>: 208-13.</w:t>
      </w:r>
    </w:p>
    <w:p w14:paraId="336F5494"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Cheeta, S, Drummond, C, Oyefeso, A</w:t>
      </w:r>
      <w:r w:rsidRPr="00D070C1">
        <w:rPr>
          <w:rFonts w:asciiTheme="minorHAnsi" w:hAnsiTheme="minorHAnsi" w:cstheme="minorHAnsi"/>
          <w:i/>
          <w:sz w:val="22"/>
          <w:szCs w:val="22"/>
        </w:rPr>
        <w:t xml:space="preserve"> et al.</w:t>
      </w:r>
      <w:r w:rsidRPr="00D070C1">
        <w:rPr>
          <w:rFonts w:asciiTheme="minorHAnsi" w:hAnsiTheme="minorHAnsi" w:cstheme="minorHAnsi"/>
          <w:sz w:val="22"/>
          <w:szCs w:val="22"/>
        </w:rPr>
        <w:t xml:space="preserve"> (2008) Low identification of alcohol use disorders in general practice in England. </w:t>
      </w:r>
      <w:r w:rsidRPr="00D070C1">
        <w:rPr>
          <w:rFonts w:asciiTheme="minorHAnsi" w:hAnsiTheme="minorHAnsi" w:cstheme="minorHAnsi"/>
          <w:i/>
          <w:sz w:val="22"/>
          <w:szCs w:val="22"/>
        </w:rPr>
        <w:t>Addiction</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103</w:t>
      </w:r>
      <w:r w:rsidRPr="00D070C1">
        <w:rPr>
          <w:rFonts w:asciiTheme="minorHAnsi" w:hAnsiTheme="minorHAnsi" w:cstheme="minorHAnsi"/>
          <w:sz w:val="22"/>
          <w:szCs w:val="22"/>
        </w:rPr>
        <w:t>: 766-73.</w:t>
      </w:r>
    </w:p>
    <w:p w14:paraId="510C72F4"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Crome, I, Brown, A, Dar, K, Harris, L, Janikiewicz, S (2011) </w:t>
      </w:r>
      <w:r w:rsidRPr="00D070C1">
        <w:rPr>
          <w:rFonts w:asciiTheme="minorHAnsi" w:hAnsiTheme="minorHAnsi" w:cstheme="minorHAnsi"/>
          <w:i/>
          <w:sz w:val="22"/>
          <w:szCs w:val="22"/>
        </w:rPr>
        <w:t>Our invisible addicts: first report of the Older Persons’ Substance Misuse Working Group of the Royal College of Psychiatrists</w:t>
      </w:r>
      <w:r w:rsidRPr="00D070C1">
        <w:rPr>
          <w:rFonts w:asciiTheme="minorHAnsi" w:hAnsiTheme="minorHAnsi" w:cstheme="minorHAnsi"/>
          <w:sz w:val="22"/>
          <w:szCs w:val="22"/>
        </w:rPr>
        <w:t>. London: Royal College of Psychiatrists.</w:t>
      </w:r>
    </w:p>
    <w:p w14:paraId="65A2D587"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Crome, I, Li, TK, Rao, R, Wu, LT (2012) Alcohol limits in older people. </w:t>
      </w:r>
      <w:r w:rsidRPr="00D070C1">
        <w:rPr>
          <w:rFonts w:asciiTheme="minorHAnsi" w:hAnsiTheme="minorHAnsi" w:cstheme="minorHAnsi"/>
          <w:i/>
          <w:sz w:val="22"/>
          <w:szCs w:val="22"/>
        </w:rPr>
        <w:t>Addiction</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107</w:t>
      </w:r>
      <w:r w:rsidRPr="00D070C1">
        <w:rPr>
          <w:rFonts w:asciiTheme="minorHAnsi" w:hAnsiTheme="minorHAnsi" w:cstheme="minorHAnsi"/>
          <w:sz w:val="22"/>
          <w:szCs w:val="22"/>
        </w:rPr>
        <w:t>: 1541-3.</w:t>
      </w:r>
    </w:p>
    <w:p w14:paraId="32E6828C"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Forouzanfar, MH and Alexander, L and Anderson, HR</w:t>
      </w:r>
      <w:r w:rsidRPr="00D070C1">
        <w:rPr>
          <w:rFonts w:asciiTheme="minorHAnsi" w:hAnsiTheme="minorHAnsi" w:cstheme="minorHAnsi"/>
          <w:i/>
          <w:sz w:val="22"/>
          <w:szCs w:val="22"/>
        </w:rPr>
        <w:t xml:space="preserve"> et al.</w:t>
      </w:r>
      <w:r w:rsidRPr="00D070C1">
        <w:rPr>
          <w:rFonts w:asciiTheme="minorHAnsi" w:hAnsiTheme="minorHAnsi" w:cstheme="minorHAnsi"/>
          <w:sz w:val="22"/>
          <w:szCs w:val="22"/>
        </w:rPr>
        <w:t xml:space="preserve"> (2015) Global, regional, and national comparative risk assessment of 79 behavioural, environmental and occupational, and metabolic risks or clusters of risks in 188 countries, 1990-2013: a systematic analysis for the Global Burden of Disease Study 2013. </w:t>
      </w:r>
      <w:r w:rsidRPr="00D070C1">
        <w:rPr>
          <w:rFonts w:asciiTheme="minorHAnsi" w:hAnsiTheme="minorHAnsi" w:cstheme="minorHAnsi"/>
          <w:i/>
          <w:sz w:val="22"/>
          <w:szCs w:val="22"/>
        </w:rPr>
        <w:t>The Lancet</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386</w:t>
      </w:r>
      <w:r w:rsidRPr="00D070C1">
        <w:rPr>
          <w:rFonts w:asciiTheme="minorHAnsi" w:hAnsiTheme="minorHAnsi" w:cstheme="minorHAnsi"/>
          <w:sz w:val="22"/>
          <w:szCs w:val="22"/>
        </w:rPr>
        <w:t>: 2287-323.</w:t>
      </w:r>
    </w:p>
    <w:p w14:paraId="502AFAEB" w14:textId="0C27C639"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GBD 2016 Alcohol Collaborators (2018) Alcohol use and burden for 195 countries and territories 1990-2016: a systematic analysis for the Global Burden of Disease Study 2016. </w:t>
      </w:r>
      <w:r w:rsidRPr="00D070C1">
        <w:rPr>
          <w:rFonts w:asciiTheme="minorHAnsi" w:hAnsiTheme="minorHAnsi" w:cstheme="minorHAnsi"/>
          <w:i/>
          <w:sz w:val="22"/>
          <w:szCs w:val="22"/>
        </w:rPr>
        <w:t>The Lancet</w:t>
      </w:r>
      <w:r w:rsidR="00BE6B3E">
        <w:rPr>
          <w:rFonts w:asciiTheme="minorHAnsi" w:hAnsiTheme="minorHAnsi" w:cstheme="minorHAnsi"/>
          <w:sz w:val="22"/>
          <w:szCs w:val="22"/>
        </w:rPr>
        <w:t xml:space="preserve"> </w:t>
      </w:r>
      <w:r w:rsidR="00BE6B3E" w:rsidRPr="00BE6B3E">
        <w:rPr>
          <w:rFonts w:ascii="Segoe UI" w:eastAsiaTheme="minorHAnsi" w:hAnsi="Segoe UI" w:cs="Segoe UI"/>
          <w:b/>
          <w:bCs/>
          <w:color w:val="000000"/>
          <w:sz w:val="20"/>
          <w:szCs w:val="20"/>
        </w:rPr>
        <w:t>392</w:t>
      </w:r>
      <w:r w:rsidR="00BE6B3E">
        <w:rPr>
          <w:rFonts w:ascii="Segoe UI" w:eastAsiaTheme="minorHAnsi" w:hAnsi="Segoe UI" w:cs="Segoe UI"/>
          <w:color w:val="000000"/>
          <w:sz w:val="20"/>
          <w:szCs w:val="20"/>
        </w:rPr>
        <w:t>:1015-1035.</w:t>
      </w:r>
    </w:p>
    <w:p w14:paraId="1BE8DCD8" w14:textId="5AB80849"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Gell, L, Meier, PS, Goyder, E (2015) Alcohol Consumption Among the Over 50s: International Comparisons. </w:t>
      </w:r>
      <w:r w:rsidRPr="00D070C1">
        <w:rPr>
          <w:rFonts w:asciiTheme="minorHAnsi" w:hAnsiTheme="minorHAnsi" w:cstheme="minorHAnsi"/>
          <w:i/>
          <w:sz w:val="22"/>
          <w:szCs w:val="22"/>
        </w:rPr>
        <w:t>Alcohol Alcohol</w:t>
      </w:r>
      <w:r w:rsidR="00BE6B3E">
        <w:rPr>
          <w:rFonts w:asciiTheme="minorHAnsi" w:hAnsiTheme="minorHAnsi" w:cstheme="minorHAnsi"/>
          <w:i/>
          <w:sz w:val="22"/>
          <w:szCs w:val="22"/>
        </w:rPr>
        <w:t xml:space="preserve"> </w:t>
      </w:r>
      <w:r w:rsidRPr="00D070C1">
        <w:rPr>
          <w:rFonts w:asciiTheme="minorHAnsi" w:hAnsiTheme="minorHAnsi" w:cstheme="minorHAnsi"/>
          <w:b/>
          <w:sz w:val="22"/>
          <w:szCs w:val="22"/>
        </w:rPr>
        <w:t>50</w:t>
      </w:r>
      <w:r w:rsidRPr="00D070C1">
        <w:rPr>
          <w:rFonts w:asciiTheme="minorHAnsi" w:hAnsiTheme="minorHAnsi" w:cstheme="minorHAnsi"/>
          <w:sz w:val="22"/>
          <w:szCs w:val="22"/>
        </w:rPr>
        <w:t>: 1-10.</w:t>
      </w:r>
    </w:p>
    <w:p w14:paraId="4F6D0B48" w14:textId="7C1AA45F"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Gómez, A, Conde, A, Santana, JM, Jorrín, A, Serrano, IM, Medina, R (2006) The diagnostic usefulness of AUDIT and AUDIT-C for detecting hazardous drinkers in the elderly. </w:t>
      </w:r>
      <w:r w:rsidRPr="00D070C1">
        <w:rPr>
          <w:rFonts w:asciiTheme="minorHAnsi" w:hAnsiTheme="minorHAnsi" w:cstheme="minorHAnsi"/>
          <w:i/>
          <w:sz w:val="22"/>
          <w:szCs w:val="22"/>
        </w:rPr>
        <w:t>Aging Ment Health</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10</w:t>
      </w:r>
      <w:r w:rsidRPr="00D070C1">
        <w:rPr>
          <w:rFonts w:asciiTheme="minorHAnsi" w:hAnsiTheme="minorHAnsi" w:cstheme="minorHAnsi"/>
          <w:sz w:val="22"/>
          <w:szCs w:val="22"/>
        </w:rPr>
        <w:t>: 558-61.</w:t>
      </w:r>
    </w:p>
    <w:p w14:paraId="2556A791"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Grant, BF, Chou, SP, Saha, TD</w:t>
      </w:r>
      <w:r w:rsidRPr="00D070C1">
        <w:rPr>
          <w:rFonts w:asciiTheme="minorHAnsi" w:hAnsiTheme="minorHAnsi" w:cstheme="minorHAnsi"/>
          <w:i/>
          <w:sz w:val="22"/>
          <w:szCs w:val="22"/>
        </w:rPr>
        <w:t xml:space="preserve"> et al.</w:t>
      </w:r>
      <w:r w:rsidRPr="00D070C1">
        <w:rPr>
          <w:rFonts w:asciiTheme="minorHAnsi" w:hAnsiTheme="minorHAnsi" w:cstheme="minorHAnsi"/>
          <w:sz w:val="22"/>
          <w:szCs w:val="22"/>
        </w:rPr>
        <w:t xml:space="preserve"> (2017) Prevalence of 12-Month Alcohol Use, High-Risk Drinking, and DSM-IV Alcohol Use Disorder in the United States, 2001-2002 to 2012-2013: Results From the National Epidemiologic Survey on Alcohol and Related Conditions. </w:t>
      </w:r>
      <w:r w:rsidRPr="00D070C1">
        <w:rPr>
          <w:rFonts w:asciiTheme="minorHAnsi" w:hAnsiTheme="minorHAnsi" w:cstheme="minorHAnsi"/>
          <w:i/>
          <w:sz w:val="22"/>
          <w:szCs w:val="22"/>
        </w:rPr>
        <w:t>JAMA Psychiatry</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74</w:t>
      </w:r>
      <w:r w:rsidRPr="00D070C1">
        <w:rPr>
          <w:rFonts w:asciiTheme="minorHAnsi" w:hAnsiTheme="minorHAnsi" w:cstheme="minorHAnsi"/>
          <w:sz w:val="22"/>
          <w:szCs w:val="22"/>
        </w:rPr>
        <w:t>: 911-23.</w:t>
      </w:r>
    </w:p>
    <w:p w14:paraId="08673A6C"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lastRenderedPageBreak/>
        <w:t xml:space="preserve">Higgins-Biddle, JC and Babor, TF (2018) A review of the Alcohol Use Disorders Identification Test (AUDIT), AUDIT-C, and USAUDIT for screening in the United States: Past issues and future directions. </w:t>
      </w:r>
      <w:r w:rsidRPr="00D070C1">
        <w:rPr>
          <w:rFonts w:asciiTheme="minorHAnsi" w:hAnsiTheme="minorHAnsi" w:cstheme="minorHAnsi"/>
          <w:i/>
          <w:sz w:val="22"/>
          <w:szCs w:val="22"/>
        </w:rPr>
        <w:t>Am J Drug Alcohol Abuse</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44</w:t>
      </w:r>
      <w:r w:rsidRPr="00D070C1">
        <w:rPr>
          <w:rFonts w:asciiTheme="minorHAnsi" w:hAnsiTheme="minorHAnsi" w:cstheme="minorHAnsi"/>
          <w:sz w:val="22"/>
          <w:szCs w:val="22"/>
        </w:rPr>
        <w:t>: 578-86.</w:t>
      </w:r>
    </w:p>
    <w:p w14:paraId="7B39056A" w14:textId="69A0EA46"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Holton, AE, Gallagher, PJ, Ryan, C, Fahey, T, Cousins, G (2017) Consensus validation of the POSAMINO (POtentially Serious Alcohol–Medication INteractions in Older adults) criteria. </w:t>
      </w:r>
      <w:r w:rsidRPr="00D070C1">
        <w:rPr>
          <w:rFonts w:asciiTheme="minorHAnsi" w:hAnsiTheme="minorHAnsi" w:cstheme="minorHAnsi"/>
          <w:i/>
          <w:sz w:val="22"/>
          <w:szCs w:val="22"/>
        </w:rPr>
        <w:t>BMJ open</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7</w:t>
      </w:r>
      <w:r w:rsidR="00BE6B3E">
        <w:rPr>
          <w:rFonts w:ascii="Segoe UI" w:eastAsiaTheme="minorHAnsi" w:hAnsi="Segoe UI" w:cs="Segoe UI"/>
          <w:color w:val="000000"/>
          <w:sz w:val="20"/>
          <w:szCs w:val="20"/>
        </w:rPr>
        <w:t>:e017453.</w:t>
      </w:r>
    </w:p>
    <w:p w14:paraId="5591BEF3"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Kaner, EF, Beyer, FR, Muirhead, C</w:t>
      </w:r>
      <w:r w:rsidRPr="00D070C1">
        <w:rPr>
          <w:rFonts w:asciiTheme="minorHAnsi" w:hAnsiTheme="minorHAnsi" w:cstheme="minorHAnsi"/>
          <w:i/>
          <w:sz w:val="22"/>
          <w:szCs w:val="22"/>
        </w:rPr>
        <w:t xml:space="preserve"> et al.</w:t>
      </w:r>
      <w:r w:rsidRPr="00D070C1">
        <w:rPr>
          <w:rFonts w:asciiTheme="minorHAnsi" w:hAnsiTheme="minorHAnsi" w:cstheme="minorHAnsi"/>
          <w:sz w:val="22"/>
          <w:szCs w:val="22"/>
        </w:rPr>
        <w:t xml:space="preserve"> (2018) Effectiveness of brief alcohol interventions in primary care populations. </w:t>
      </w:r>
      <w:r w:rsidRPr="00D070C1">
        <w:rPr>
          <w:rFonts w:asciiTheme="minorHAnsi" w:hAnsiTheme="minorHAnsi" w:cstheme="minorHAnsi"/>
          <w:i/>
          <w:sz w:val="22"/>
          <w:szCs w:val="22"/>
        </w:rPr>
        <w:t>Cochrane Database Syst Rev</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2</w:t>
      </w:r>
      <w:r w:rsidRPr="00D070C1">
        <w:rPr>
          <w:rFonts w:asciiTheme="minorHAnsi" w:hAnsiTheme="minorHAnsi" w:cstheme="minorHAnsi"/>
          <w:sz w:val="22"/>
          <w:szCs w:val="22"/>
        </w:rPr>
        <w:t>: Cd004148.</w:t>
      </w:r>
    </w:p>
    <w:p w14:paraId="53574B77"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Kelly, S, Olanrewaju, O, Cowan, A, Brayne, C, Lafortune, L (2018a) Alcohol and older people: A systematic review of barriers, facilitators and context of drinking in older people and implications for intervention design. </w:t>
      </w:r>
      <w:r w:rsidRPr="00D070C1">
        <w:rPr>
          <w:rFonts w:asciiTheme="minorHAnsi" w:hAnsiTheme="minorHAnsi" w:cstheme="minorHAnsi"/>
          <w:i/>
          <w:sz w:val="22"/>
          <w:szCs w:val="22"/>
        </w:rPr>
        <w:t>PloS one</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13</w:t>
      </w:r>
      <w:r w:rsidRPr="00D070C1">
        <w:rPr>
          <w:rFonts w:asciiTheme="minorHAnsi" w:hAnsiTheme="minorHAnsi" w:cstheme="minorHAnsi"/>
          <w:sz w:val="22"/>
          <w:szCs w:val="22"/>
        </w:rPr>
        <w:t>: e0191189.</w:t>
      </w:r>
    </w:p>
    <w:p w14:paraId="56F6F03E"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Kelly, S, Olanrewaju, O, Cowan, A, Brayne, C, Lafortune, L (2018b) Interventions to prevent and reduce excessive alcohol consumption in older people: a systematic review and meta-analysis. </w:t>
      </w:r>
      <w:r w:rsidRPr="00D070C1">
        <w:rPr>
          <w:rFonts w:asciiTheme="minorHAnsi" w:hAnsiTheme="minorHAnsi" w:cstheme="minorHAnsi"/>
          <w:i/>
          <w:sz w:val="22"/>
          <w:szCs w:val="22"/>
        </w:rPr>
        <w:t>Age Ageing</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47</w:t>
      </w:r>
      <w:r w:rsidRPr="00D070C1">
        <w:rPr>
          <w:rFonts w:asciiTheme="minorHAnsi" w:hAnsiTheme="minorHAnsi" w:cstheme="minorHAnsi"/>
          <w:sz w:val="22"/>
          <w:szCs w:val="22"/>
        </w:rPr>
        <w:t>: 175-84.</w:t>
      </w:r>
    </w:p>
    <w:p w14:paraId="5A6B5676"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Khadjesari, Z, White, IR, McCambridge, J</w:t>
      </w:r>
      <w:r w:rsidRPr="00D070C1">
        <w:rPr>
          <w:rFonts w:asciiTheme="minorHAnsi" w:hAnsiTheme="minorHAnsi" w:cstheme="minorHAnsi"/>
          <w:i/>
          <w:sz w:val="22"/>
          <w:szCs w:val="22"/>
        </w:rPr>
        <w:t xml:space="preserve"> et al.</w:t>
      </w:r>
      <w:r w:rsidRPr="00D070C1">
        <w:rPr>
          <w:rFonts w:asciiTheme="minorHAnsi" w:hAnsiTheme="minorHAnsi" w:cstheme="minorHAnsi"/>
          <w:sz w:val="22"/>
          <w:szCs w:val="22"/>
        </w:rPr>
        <w:t xml:space="preserve"> (2017) Validation of the AUDIT-C in adults seeking help with their drinking online. </w:t>
      </w:r>
      <w:r w:rsidRPr="00D070C1">
        <w:rPr>
          <w:rFonts w:asciiTheme="minorHAnsi" w:hAnsiTheme="minorHAnsi" w:cstheme="minorHAnsi"/>
          <w:i/>
          <w:sz w:val="22"/>
          <w:szCs w:val="22"/>
        </w:rPr>
        <w:t>Addict Sci Clin Pract</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12</w:t>
      </w:r>
      <w:r w:rsidRPr="00D070C1">
        <w:rPr>
          <w:rFonts w:asciiTheme="minorHAnsi" w:hAnsiTheme="minorHAnsi" w:cstheme="minorHAnsi"/>
          <w:sz w:val="22"/>
          <w:szCs w:val="22"/>
        </w:rPr>
        <w:t>: 2.</w:t>
      </w:r>
    </w:p>
    <w:p w14:paraId="62E0C1D6"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Kriston, L, Holzel, L, Weiser, AK, Berner, MM, Harter, M (2008) Meta-analysis: are 3 questions enough to detect unhealthy alcohol use? </w:t>
      </w:r>
      <w:r w:rsidRPr="00D070C1">
        <w:rPr>
          <w:rFonts w:asciiTheme="minorHAnsi" w:hAnsiTheme="minorHAnsi" w:cstheme="minorHAnsi"/>
          <w:i/>
          <w:sz w:val="22"/>
          <w:szCs w:val="22"/>
        </w:rPr>
        <w:t>Ann Intern Med</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149</w:t>
      </w:r>
      <w:r w:rsidRPr="00D070C1">
        <w:rPr>
          <w:rFonts w:asciiTheme="minorHAnsi" w:hAnsiTheme="minorHAnsi" w:cstheme="minorHAnsi"/>
          <w:sz w:val="22"/>
          <w:szCs w:val="22"/>
        </w:rPr>
        <w:t>: 879-88.</w:t>
      </w:r>
    </w:p>
    <w:p w14:paraId="637907D5" w14:textId="70AF2CEB"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Madden, M, Morris, S, Atkin, K, Gough, B, McCambridge, J (2020) Patient perspectives on discussing alcohol as part of medicines review in community pharmacies. </w:t>
      </w:r>
      <w:r w:rsidRPr="00D070C1">
        <w:rPr>
          <w:rFonts w:asciiTheme="minorHAnsi" w:hAnsiTheme="minorHAnsi" w:cstheme="minorHAnsi"/>
          <w:i/>
          <w:sz w:val="22"/>
          <w:szCs w:val="22"/>
        </w:rPr>
        <w:t>Res soc admin pharm</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16</w:t>
      </w:r>
      <w:r w:rsidRPr="00D070C1">
        <w:rPr>
          <w:rFonts w:asciiTheme="minorHAnsi" w:hAnsiTheme="minorHAnsi" w:cstheme="minorHAnsi"/>
          <w:sz w:val="22"/>
          <w:szCs w:val="22"/>
        </w:rPr>
        <w:t>: 96-101.</w:t>
      </w:r>
    </w:p>
    <w:p w14:paraId="352E4F18" w14:textId="3D6A5A9D"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McCambridge, J and Saitz, R (2017) Rethinking brief interventions for alcohol in general practice. </w:t>
      </w:r>
      <w:r w:rsidRPr="00D070C1">
        <w:rPr>
          <w:rFonts w:asciiTheme="minorHAnsi" w:hAnsiTheme="minorHAnsi" w:cstheme="minorHAnsi"/>
          <w:i/>
          <w:sz w:val="22"/>
          <w:szCs w:val="22"/>
        </w:rPr>
        <w:t>BMJ</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356</w:t>
      </w:r>
      <w:r w:rsidR="00BE6B3E">
        <w:rPr>
          <w:rFonts w:ascii="Segoe UI" w:eastAsiaTheme="minorHAnsi" w:hAnsi="Segoe UI" w:cs="Segoe UI"/>
          <w:color w:val="000000"/>
          <w:sz w:val="20"/>
          <w:szCs w:val="20"/>
        </w:rPr>
        <w:t>:j116.</w:t>
      </w:r>
    </w:p>
    <w:p w14:paraId="4C9D27F4" w14:textId="1920F13B"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Meng, Y, Holmes, J, Hill-McManus, D, Brennan, A, Meier, PS (2014) Trend analysis and modelling of gender-specific age, period and birth cohort effects on alcohol abstention and consumption </w:t>
      </w:r>
      <w:r w:rsidRPr="00D070C1">
        <w:rPr>
          <w:rFonts w:asciiTheme="minorHAnsi" w:hAnsiTheme="minorHAnsi" w:cstheme="minorHAnsi"/>
          <w:sz w:val="22"/>
          <w:szCs w:val="22"/>
        </w:rPr>
        <w:lastRenderedPageBreak/>
        <w:t xml:space="preserve">level for drinkers in Great Britain using the General Lifestyle Survey 1984–2009. </w:t>
      </w:r>
      <w:r w:rsidRPr="00D070C1">
        <w:rPr>
          <w:rFonts w:asciiTheme="minorHAnsi" w:hAnsiTheme="minorHAnsi" w:cstheme="minorHAnsi"/>
          <w:i/>
          <w:sz w:val="22"/>
          <w:szCs w:val="22"/>
        </w:rPr>
        <w:t>Addiction</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109</w:t>
      </w:r>
      <w:r w:rsidR="00BE6B3E">
        <w:rPr>
          <w:rFonts w:ascii="Segoe UI" w:eastAsiaTheme="minorHAnsi" w:hAnsi="Segoe UI" w:cs="Segoe UI"/>
          <w:color w:val="000000"/>
          <w:sz w:val="20"/>
          <w:szCs w:val="20"/>
        </w:rPr>
        <w:t>:206-15.</w:t>
      </w:r>
    </w:p>
    <w:p w14:paraId="4412AC7C"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Mitchell, AJ, Bird, V, Rizzo, M, Hussain, S, Meader, N (2014) Accuracy of one or two simple questions to identify alcohol-use disorder in primary care: a meta-analysis. </w:t>
      </w:r>
      <w:r w:rsidRPr="00D070C1">
        <w:rPr>
          <w:rFonts w:asciiTheme="minorHAnsi" w:hAnsiTheme="minorHAnsi" w:cstheme="minorHAnsi"/>
          <w:i/>
          <w:sz w:val="22"/>
          <w:szCs w:val="22"/>
        </w:rPr>
        <w:t>The British journal of general practice : the journal of the Royal College of General Practitioners</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64</w:t>
      </w:r>
      <w:r w:rsidRPr="00D070C1">
        <w:rPr>
          <w:rFonts w:asciiTheme="minorHAnsi" w:hAnsiTheme="minorHAnsi" w:cstheme="minorHAnsi"/>
          <w:sz w:val="22"/>
          <w:szCs w:val="22"/>
        </w:rPr>
        <w:t>: e408-e18.</w:t>
      </w:r>
    </w:p>
    <w:p w14:paraId="1B6FD9A8" w14:textId="303F48A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Moore, AA, Whiteman, EJ, Ward, KT (2007) Risks of combined alcohol/medication use in older adults. </w:t>
      </w:r>
      <w:r w:rsidRPr="00D070C1">
        <w:rPr>
          <w:rFonts w:asciiTheme="minorHAnsi" w:hAnsiTheme="minorHAnsi" w:cstheme="minorHAnsi"/>
          <w:i/>
          <w:sz w:val="22"/>
          <w:szCs w:val="22"/>
        </w:rPr>
        <w:t>Am J Geriatr Pharmacother</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5</w:t>
      </w:r>
      <w:r w:rsidR="00BE6B3E">
        <w:rPr>
          <w:rFonts w:ascii="Segoe UI" w:eastAsiaTheme="minorHAnsi" w:hAnsi="Segoe UI" w:cs="Segoe UI"/>
          <w:color w:val="000000"/>
          <w:sz w:val="20"/>
          <w:szCs w:val="20"/>
        </w:rPr>
        <w:t>:</w:t>
      </w:r>
      <w:r w:rsidR="00BE6B3E" w:rsidRPr="00BE6B3E">
        <w:rPr>
          <w:rFonts w:asciiTheme="minorHAnsi" w:hAnsiTheme="minorHAnsi" w:cstheme="minorHAnsi"/>
          <w:sz w:val="22"/>
          <w:szCs w:val="22"/>
        </w:rPr>
        <w:t>64-74</w:t>
      </w:r>
      <w:r w:rsidR="00BE6B3E">
        <w:rPr>
          <w:rFonts w:ascii="Segoe UI" w:eastAsiaTheme="minorHAnsi" w:hAnsi="Segoe UI" w:cs="Segoe UI"/>
          <w:color w:val="000000"/>
          <w:sz w:val="20"/>
          <w:szCs w:val="20"/>
        </w:rPr>
        <w:t>.</w:t>
      </w:r>
    </w:p>
    <w:p w14:paraId="2CFDB5E2"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National Institute for Health and Clinical Excellence (2010) Alcohol-use disorders: prevention.    Public health guideline [PH24]: National Institute for Health and Clinical Excellence.</w:t>
      </w:r>
    </w:p>
    <w:p w14:paraId="1C376D41"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Nilsen, P, McCambridge, J, Karlsson, N, Bendtsen, P (2011) Brief interventions in routine health care: a population-based study of conversations about alcohol in Sweden. </w:t>
      </w:r>
      <w:r w:rsidRPr="00D070C1">
        <w:rPr>
          <w:rFonts w:asciiTheme="minorHAnsi" w:hAnsiTheme="minorHAnsi" w:cstheme="minorHAnsi"/>
          <w:i/>
          <w:sz w:val="22"/>
          <w:szCs w:val="22"/>
        </w:rPr>
        <w:t>Addiction</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106</w:t>
      </w:r>
      <w:r w:rsidRPr="00D070C1">
        <w:rPr>
          <w:rFonts w:asciiTheme="minorHAnsi" w:hAnsiTheme="minorHAnsi" w:cstheme="minorHAnsi"/>
          <w:sz w:val="22"/>
          <w:szCs w:val="22"/>
        </w:rPr>
        <w:t>: 1748-56.</w:t>
      </w:r>
    </w:p>
    <w:p w14:paraId="15671B66" w14:textId="64F8608E"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Rao, R, Crome, IB, Crome, P (2016) Managing older people’s alcohol misuse in primary care</w:t>
      </w:r>
      <w:r w:rsidR="00BE6B3E">
        <w:rPr>
          <w:rFonts w:asciiTheme="minorHAnsi" w:hAnsiTheme="minorHAnsi" w:cstheme="minorHAnsi"/>
          <w:sz w:val="22"/>
          <w:szCs w:val="22"/>
        </w:rPr>
        <w:t xml:space="preserve">. </w:t>
      </w:r>
      <w:r w:rsidR="00BE6B3E" w:rsidRPr="00BE6B3E">
        <w:rPr>
          <w:rFonts w:asciiTheme="minorHAnsi" w:hAnsiTheme="minorHAnsi" w:cstheme="minorHAnsi"/>
          <w:sz w:val="22"/>
          <w:szCs w:val="22"/>
        </w:rPr>
        <w:t xml:space="preserve">Br J Gen Pract </w:t>
      </w:r>
      <w:r w:rsidR="00BE6B3E" w:rsidRPr="00BE6B3E">
        <w:rPr>
          <w:rFonts w:asciiTheme="minorHAnsi" w:hAnsiTheme="minorHAnsi" w:cstheme="minorHAnsi"/>
          <w:b/>
          <w:bCs/>
          <w:sz w:val="22"/>
          <w:szCs w:val="22"/>
        </w:rPr>
        <w:t>66</w:t>
      </w:r>
      <w:r w:rsidR="00BE6B3E" w:rsidRPr="00BE6B3E">
        <w:rPr>
          <w:rFonts w:asciiTheme="minorHAnsi" w:hAnsiTheme="minorHAnsi" w:cstheme="minorHAnsi"/>
          <w:sz w:val="22"/>
          <w:szCs w:val="22"/>
        </w:rPr>
        <w:t>: 6–7</w:t>
      </w:r>
    </w:p>
    <w:p w14:paraId="2F92E828" w14:textId="3CD605C7" w:rsidR="007A6B76" w:rsidRDefault="007A6B76" w:rsidP="0049154F">
      <w:pPr>
        <w:pStyle w:val="EndNoteBibliography"/>
        <w:spacing w:line="480" w:lineRule="auto"/>
        <w:ind w:left="720" w:hanging="720"/>
        <w:rPr>
          <w:rFonts w:asciiTheme="minorHAnsi" w:hAnsiTheme="minorHAnsi" w:cstheme="minorHAnsi"/>
          <w:sz w:val="22"/>
          <w:szCs w:val="22"/>
        </w:rPr>
      </w:pPr>
      <w:r>
        <w:rPr>
          <w:rFonts w:asciiTheme="minorHAnsi" w:hAnsiTheme="minorHAnsi" w:cstheme="minorHAnsi"/>
          <w:sz w:val="22"/>
          <w:szCs w:val="22"/>
        </w:rPr>
        <w:t xml:space="preserve">Rapley, May, C, Kaner, EF (2007) Still a difficult business?  Negotiating alcohol-related problems in genral practice consultations.  </w:t>
      </w:r>
      <w:r w:rsidRPr="007A6B76">
        <w:rPr>
          <w:rFonts w:asciiTheme="minorHAnsi" w:hAnsiTheme="minorHAnsi" w:cstheme="minorHAnsi"/>
          <w:i/>
          <w:iCs/>
          <w:sz w:val="22"/>
          <w:szCs w:val="22"/>
        </w:rPr>
        <w:t>Soc Sci Med</w:t>
      </w:r>
      <w:r>
        <w:rPr>
          <w:rFonts w:asciiTheme="minorHAnsi" w:hAnsiTheme="minorHAnsi" w:cstheme="minorHAnsi"/>
          <w:sz w:val="22"/>
          <w:szCs w:val="22"/>
        </w:rPr>
        <w:t xml:space="preserve"> </w:t>
      </w:r>
      <w:r w:rsidRPr="007A6B76">
        <w:rPr>
          <w:rFonts w:asciiTheme="minorHAnsi" w:hAnsiTheme="minorHAnsi" w:cstheme="minorHAnsi"/>
          <w:b/>
          <w:bCs/>
          <w:sz w:val="22"/>
          <w:szCs w:val="22"/>
        </w:rPr>
        <w:t>63</w:t>
      </w:r>
      <w:r>
        <w:rPr>
          <w:rFonts w:asciiTheme="minorHAnsi" w:hAnsiTheme="minorHAnsi" w:cstheme="minorHAnsi"/>
          <w:sz w:val="22"/>
          <w:szCs w:val="22"/>
        </w:rPr>
        <w:t>:2418-2428.</w:t>
      </w:r>
    </w:p>
    <w:p w14:paraId="31E100AD"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Rehm, J (1998) Measuring quantity, frequency, and volume of drinking. </w:t>
      </w:r>
      <w:r w:rsidRPr="00D070C1">
        <w:rPr>
          <w:rFonts w:asciiTheme="minorHAnsi" w:hAnsiTheme="minorHAnsi" w:cstheme="minorHAnsi"/>
          <w:i/>
          <w:sz w:val="22"/>
          <w:szCs w:val="22"/>
        </w:rPr>
        <w:t>Alcoholism, clinical and experimental research</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22</w:t>
      </w:r>
      <w:r w:rsidRPr="00D070C1">
        <w:rPr>
          <w:rFonts w:asciiTheme="minorHAnsi" w:hAnsiTheme="minorHAnsi" w:cstheme="minorHAnsi"/>
          <w:sz w:val="22"/>
          <w:szCs w:val="22"/>
        </w:rPr>
        <w:t>: 4S-14S.</w:t>
      </w:r>
    </w:p>
    <w:p w14:paraId="1FE3C4E4" w14:textId="25163519"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Reinert, DF and Allen, JP (2007) The alcohol use disorders identification test: an update of research findings. </w:t>
      </w:r>
      <w:r w:rsidRPr="00D070C1">
        <w:rPr>
          <w:rFonts w:asciiTheme="minorHAnsi" w:hAnsiTheme="minorHAnsi" w:cstheme="minorHAnsi"/>
          <w:i/>
          <w:sz w:val="22"/>
          <w:szCs w:val="22"/>
        </w:rPr>
        <w:t>Alc clin</w:t>
      </w:r>
      <w:r w:rsidR="00BE6B3E">
        <w:rPr>
          <w:rFonts w:asciiTheme="minorHAnsi" w:hAnsiTheme="minorHAnsi" w:cstheme="minorHAnsi"/>
          <w:i/>
          <w:sz w:val="22"/>
          <w:szCs w:val="22"/>
        </w:rPr>
        <w:t xml:space="preserve"> </w:t>
      </w:r>
      <w:r w:rsidRPr="00D070C1">
        <w:rPr>
          <w:rFonts w:asciiTheme="minorHAnsi" w:hAnsiTheme="minorHAnsi" w:cstheme="minorHAnsi"/>
          <w:i/>
          <w:sz w:val="22"/>
          <w:szCs w:val="22"/>
        </w:rPr>
        <w:t>exp res</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31</w:t>
      </w:r>
      <w:r w:rsidRPr="00D070C1">
        <w:rPr>
          <w:rFonts w:asciiTheme="minorHAnsi" w:hAnsiTheme="minorHAnsi" w:cstheme="minorHAnsi"/>
          <w:sz w:val="22"/>
          <w:szCs w:val="22"/>
        </w:rPr>
        <w:t>: 185-99.</w:t>
      </w:r>
    </w:p>
    <w:p w14:paraId="000522B8"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 xml:space="preserve">Stewart, D and McCambridge, J (2019) Alcohol complicates multimorbidity in older adults. </w:t>
      </w:r>
      <w:r w:rsidRPr="00D070C1">
        <w:rPr>
          <w:rFonts w:asciiTheme="minorHAnsi" w:hAnsiTheme="minorHAnsi" w:cstheme="minorHAnsi"/>
          <w:i/>
          <w:sz w:val="22"/>
          <w:szCs w:val="22"/>
        </w:rPr>
        <w:t>BMJ</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365</w:t>
      </w:r>
      <w:r w:rsidRPr="00D070C1">
        <w:rPr>
          <w:rFonts w:asciiTheme="minorHAnsi" w:hAnsiTheme="minorHAnsi" w:cstheme="minorHAnsi"/>
          <w:sz w:val="22"/>
          <w:szCs w:val="22"/>
        </w:rPr>
        <w:t>: l4304.</w:t>
      </w:r>
    </w:p>
    <w:p w14:paraId="60118FAF" w14:textId="3B5107D1" w:rsidR="00603EBF" w:rsidRDefault="00603EBF" w:rsidP="0049154F">
      <w:pPr>
        <w:pStyle w:val="EndNoteBibliography"/>
        <w:spacing w:line="480" w:lineRule="auto"/>
        <w:ind w:left="720" w:hanging="720"/>
        <w:rPr>
          <w:rFonts w:asciiTheme="minorHAnsi" w:hAnsiTheme="minorHAnsi" w:cstheme="minorHAnsi"/>
          <w:sz w:val="22"/>
          <w:szCs w:val="22"/>
        </w:rPr>
      </w:pPr>
      <w:r>
        <w:rPr>
          <w:rFonts w:asciiTheme="minorHAnsi" w:hAnsiTheme="minorHAnsi" w:cstheme="minorHAnsi"/>
          <w:sz w:val="22"/>
          <w:szCs w:val="22"/>
        </w:rPr>
        <w:t>Toner</w:t>
      </w:r>
      <w:r w:rsidR="007A6B76">
        <w:rPr>
          <w:rFonts w:asciiTheme="minorHAnsi" w:hAnsiTheme="minorHAnsi" w:cstheme="minorHAnsi"/>
          <w:sz w:val="22"/>
          <w:szCs w:val="22"/>
        </w:rPr>
        <w:t xml:space="preserve">, P, </w:t>
      </w:r>
      <w:r w:rsidR="007A6B76" w:rsidRPr="007A6B76">
        <w:rPr>
          <w:rFonts w:asciiTheme="minorHAnsi" w:hAnsiTheme="minorHAnsi" w:cstheme="minorHAnsi"/>
          <w:sz w:val="22"/>
          <w:szCs w:val="22"/>
        </w:rPr>
        <w:t xml:space="preserve">Böhnke JR, </w:t>
      </w:r>
      <w:r w:rsidR="007A6B76">
        <w:rPr>
          <w:rFonts w:asciiTheme="minorHAnsi" w:hAnsiTheme="minorHAnsi" w:cstheme="minorHAnsi"/>
          <w:sz w:val="22"/>
          <w:szCs w:val="22"/>
        </w:rPr>
        <w:t xml:space="preserve">Anderson, P et </w:t>
      </w:r>
      <w:r w:rsidR="007A6B76" w:rsidRPr="00447991">
        <w:rPr>
          <w:rFonts w:asciiTheme="minorHAnsi" w:hAnsiTheme="minorHAnsi" w:cstheme="minorHAnsi"/>
          <w:sz w:val="22"/>
          <w:szCs w:val="22"/>
        </w:rPr>
        <w:t>al</w:t>
      </w:r>
      <w:r w:rsidR="007A6B76">
        <w:rPr>
          <w:rFonts w:asciiTheme="minorHAnsi" w:hAnsiTheme="minorHAnsi" w:cstheme="minorHAnsi"/>
          <w:sz w:val="22"/>
          <w:szCs w:val="22"/>
        </w:rPr>
        <w:t xml:space="preserve">. (2019)  </w:t>
      </w:r>
      <w:r w:rsidR="007A6B76" w:rsidRPr="00447991">
        <w:rPr>
          <w:rFonts w:asciiTheme="minorHAnsi" w:hAnsiTheme="minorHAnsi" w:cstheme="minorHAnsi"/>
          <w:sz w:val="22"/>
          <w:szCs w:val="22"/>
        </w:rPr>
        <w:t xml:space="preserve">Alcohol screening and assessment measures for young people: a systematic review and meta-analysis of validation </w:t>
      </w:r>
      <w:r w:rsidR="007A6B76" w:rsidRPr="004662D7">
        <w:rPr>
          <w:rFonts w:asciiTheme="minorHAnsi" w:hAnsiTheme="minorHAnsi" w:cstheme="minorHAnsi"/>
          <w:sz w:val="22"/>
          <w:szCs w:val="22"/>
        </w:rPr>
        <w:t>studies</w:t>
      </w:r>
      <w:r w:rsidR="00447991">
        <w:rPr>
          <w:rFonts w:asciiTheme="minorHAnsi" w:hAnsiTheme="minorHAnsi" w:cstheme="minorHAnsi"/>
          <w:sz w:val="22"/>
          <w:szCs w:val="22"/>
        </w:rPr>
        <w:t xml:space="preserve">.  </w:t>
      </w:r>
      <w:r w:rsidR="004662D7" w:rsidRPr="004662D7">
        <w:rPr>
          <w:rFonts w:asciiTheme="minorHAnsi" w:hAnsiTheme="minorHAnsi" w:cstheme="minorHAnsi"/>
          <w:i/>
          <w:iCs/>
          <w:sz w:val="22"/>
          <w:szCs w:val="22"/>
        </w:rPr>
        <w:t xml:space="preserve">Drug Alcohol Depend </w:t>
      </w:r>
      <w:r w:rsidR="00447991" w:rsidRPr="00447991">
        <w:rPr>
          <w:rFonts w:asciiTheme="minorHAnsi" w:hAnsiTheme="minorHAnsi" w:cstheme="minorHAnsi"/>
          <w:b/>
          <w:bCs/>
          <w:sz w:val="22"/>
          <w:szCs w:val="22"/>
        </w:rPr>
        <w:t>202</w:t>
      </w:r>
      <w:r w:rsidR="00447991">
        <w:rPr>
          <w:rFonts w:asciiTheme="minorHAnsi" w:hAnsiTheme="minorHAnsi" w:cstheme="minorHAnsi"/>
          <w:sz w:val="22"/>
          <w:szCs w:val="22"/>
        </w:rPr>
        <w:t>: 39-49.</w:t>
      </w:r>
    </w:p>
    <w:p w14:paraId="1CC2182D"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lastRenderedPageBreak/>
        <w:t>Towers, A, Szabo, A, Newcombe, DAL</w:t>
      </w:r>
      <w:r w:rsidRPr="00D070C1">
        <w:rPr>
          <w:rFonts w:asciiTheme="minorHAnsi" w:hAnsiTheme="minorHAnsi" w:cstheme="minorHAnsi"/>
          <w:i/>
          <w:sz w:val="22"/>
          <w:szCs w:val="22"/>
        </w:rPr>
        <w:t xml:space="preserve"> et al.</w:t>
      </w:r>
      <w:r w:rsidRPr="00D070C1">
        <w:rPr>
          <w:rFonts w:asciiTheme="minorHAnsi" w:hAnsiTheme="minorHAnsi" w:cstheme="minorHAnsi"/>
          <w:sz w:val="22"/>
          <w:szCs w:val="22"/>
        </w:rPr>
        <w:t xml:space="preserve"> (2019) Hazardous Drinking Prevalence and Correlates in Older New Zealanders: A Comparison of the AUDIT-C and the CARET. </w:t>
      </w:r>
      <w:r w:rsidRPr="00D070C1">
        <w:rPr>
          <w:rFonts w:asciiTheme="minorHAnsi" w:hAnsiTheme="minorHAnsi" w:cstheme="minorHAnsi"/>
          <w:i/>
          <w:sz w:val="22"/>
          <w:szCs w:val="22"/>
        </w:rPr>
        <w:t>J Aging Health</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31</w:t>
      </w:r>
      <w:r w:rsidRPr="00D070C1">
        <w:rPr>
          <w:rFonts w:asciiTheme="minorHAnsi" w:hAnsiTheme="minorHAnsi" w:cstheme="minorHAnsi"/>
          <w:sz w:val="22"/>
          <w:szCs w:val="22"/>
        </w:rPr>
        <w:t>: 1770-89.</w:t>
      </w:r>
    </w:p>
    <w:p w14:paraId="5D263164" w14:textId="77777777"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UK Chief Medical Officers (2016) UK Chief Medical Officers’ Low Risk Drinking Guidelines.</w:t>
      </w:r>
    </w:p>
    <w:p w14:paraId="1D41A844" w14:textId="3F7F14C4" w:rsidR="0049154F" w:rsidRPr="00D070C1" w:rsidRDefault="0049154F" w:rsidP="0049154F">
      <w:pPr>
        <w:pStyle w:val="EndNoteBibliography"/>
        <w:spacing w:line="480" w:lineRule="auto"/>
        <w:ind w:left="720" w:hanging="720"/>
        <w:rPr>
          <w:rFonts w:asciiTheme="minorHAnsi" w:hAnsiTheme="minorHAnsi" w:cstheme="minorHAnsi"/>
          <w:sz w:val="22"/>
          <w:szCs w:val="22"/>
        </w:rPr>
      </w:pPr>
      <w:r w:rsidRPr="00D070C1">
        <w:rPr>
          <w:rFonts w:asciiTheme="minorHAnsi" w:hAnsiTheme="minorHAnsi" w:cstheme="minorHAnsi"/>
          <w:sz w:val="22"/>
          <w:szCs w:val="22"/>
        </w:rPr>
        <w:t>Williams, R and Vinson, DC (2001) Validation of a single screening question for problem drinking.</w:t>
      </w:r>
      <w:r w:rsidR="004662D7">
        <w:rPr>
          <w:rFonts w:asciiTheme="minorHAnsi" w:hAnsiTheme="minorHAnsi" w:cstheme="minorHAnsi"/>
          <w:sz w:val="22"/>
          <w:szCs w:val="22"/>
        </w:rPr>
        <w:t xml:space="preserve"> </w:t>
      </w:r>
      <w:r w:rsidRPr="00D070C1">
        <w:rPr>
          <w:rFonts w:asciiTheme="minorHAnsi" w:hAnsiTheme="minorHAnsi" w:cstheme="minorHAnsi"/>
          <w:i/>
          <w:sz w:val="22"/>
          <w:szCs w:val="22"/>
        </w:rPr>
        <w:t>J</w:t>
      </w:r>
      <w:r w:rsidR="004662D7">
        <w:rPr>
          <w:rFonts w:asciiTheme="minorHAnsi" w:hAnsiTheme="minorHAnsi" w:cstheme="minorHAnsi"/>
          <w:i/>
          <w:sz w:val="22"/>
          <w:szCs w:val="22"/>
        </w:rPr>
        <w:t xml:space="preserve"> Fam Pract</w:t>
      </w:r>
      <w:r w:rsidRPr="00D070C1">
        <w:rPr>
          <w:rFonts w:asciiTheme="minorHAnsi" w:hAnsiTheme="minorHAnsi" w:cstheme="minorHAnsi"/>
          <w:sz w:val="22"/>
          <w:szCs w:val="22"/>
        </w:rPr>
        <w:t xml:space="preserve"> </w:t>
      </w:r>
      <w:r w:rsidRPr="00D070C1">
        <w:rPr>
          <w:rFonts w:asciiTheme="minorHAnsi" w:hAnsiTheme="minorHAnsi" w:cstheme="minorHAnsi"/>
          <w:b/>
          <w:sz w:val="22"/>
          <w:szCs w:val="22"/>
        </w:rPr>
        <w:t>50</w:t>
      </w:r>
      <w:r w:rsidRPr="00D070C1">
        <w:rPr>
          <w:rFonts w:asciiTheme="minorHAnsi" w:hAnsiTheme="minorHAnsi" w:cstheme="minorHAnsi"/>
          <w:sz w:val="22"/>
          <w:szCs w:val="22"/>
        </w:rPr>
        <w:t>: 307-12.</w:t>
      </w:r>
    </w:p>
    <w:p w14:paraId="7AE0F17F" w14:textId="77777777" w:rsidR="003E0BD3" w:rsidRPr="003A2315" w:rsidRDefault="003E0BD3" w:rsidP="003E0BD3">
      <w:pPr>
        <w:pStyle w:val="Customheading1"/>
      </w:pPr>
      <w:r w:rsidRPr="003A2315">
        <w:t>Acknowledgements</w:t>
      </w:r>
    </w:p>
    <w:p w14:paraId="229D8934" w14:textId="00176F14" w:rsidR="003E0BD3" w:rsidRDefault="00B30AEA" w:rsidP="003E0BD3">
      <w:pPr>
        <w:pStyle w:val="Customheading1"/>
        <w:spacing w:line="480" w:lineRule="auto"/>
        <w:rPr>
          <w:rFonts w:asciiTheme="minorHAnsi" w:hAnsiTheme="minorHAnsi" w:cstheme="minorHAnsi"/>
          <w:b w:val="0"/>
          <w:sz w:val="22"/>
        </w:rPr>
      </w:pPr>
      <w:r w:rsidRPr="00B30AEA">
        <w:rPr>
          <w:rFonts w:asciiTheme="minorHAnsi" w:hAnsiTheme="minorHAnsi" w:cstheme="minorHAnsi"/>
          <w:b w:val="0"/>
          <w:sz w:val="22"/>
        </w:rPr>
        <w:t xml:space="preserve">This research was funded by the National Institute for Health Research </w:t>
      </w:r>
      <w:r w:rsidR="00D35944">
        <w:rPr>
          <w:rFonts w:asciiTheme="minorHAnsi" w:hAnsiTheme="minorHAnsi" w:cstheme="minorHAnsi"/>
          <w:b w:val="0"/>
          <w:sz w:val="22"/>
        </w:rPr>
        <w:t>(</w:t>
      </w:r>
      <w:r w:rsidRPr="00B30AEA">
        <w:rPr>
          <w:rFonts w:asciiTheme="minorHAnsi" w:hAnsiTheme="minorHAnsi" w:cstheme="minorHAnsi"/>
          <w:b w:val="0"/>
          <w:sz w:val="22"/>
        </w:rPr>
        <w:t>NIHR</w:t>
      </w:r>
      <w:r w:rsidR="00D35944">
        <w:rPr>
          <w:rFonts w:asciiTheme="minorHAnsi" w:hAnsiTheme="minorHAnsi" w:cstheme="minorHAnsi"/>
          <w:b w:val="0"/>
          <w:sz w:val="22"/>
        </w:rPr>
        <w:t>)</w:t>
      </w:r>
      <w:r w:rsidRPr="00B30AEA">
        <w:rPr>
          <w:rFonts w:asciiTheme="minorHAnsi" w:hAnsiTheme="minorHAnsi" w:cstheme="minorHAnsi"/>
          <w:b w:val="0"/>
          <w:sz w:val="22"/>
        </w:rPr>
        <w:t xml:space="preserve"> </w:t>
      </w:r>
      <w:proofErr w:type="spellStart"/>
      <w:r w:rsidRPr="00B30AEA">
        <w:rPr>
          <w:rFonts w:asciiTheme="minorHAnsi" w:hAnsiTheme="minorHAnsi" w:cstheme="minorHAnsi"/>
          <w:b w:val="0"/>
          <w:sz w:val="22"/>
        </w:rPr>
        <w:t>PGfAR</w:t>
      </w:r>
      <w:proofErr w:type="spellEnd"/>
      <w:r w:rsidR="00D35944">
        <w:rPr>
          <w:rFonts w:asciiTheme="minorHAnsi" w:hAnsiTheme="minorHAnsi" w:cstheme="minorHAnsi"/>
          <w:b w:val="0"/>
          <w:sz w:val="22"/>
        </w:rPr>
        <w:t xml:space="preserve"> (</w:t>
      </w:r>
      <w:r w:rsidRPr="00B30AEA">
        <w:rPr>
          <w:rFonts w:asciiTheme="minorHAnsi" w:hAnsiTheme="minorHAnsi" w:cstheme="minorHAnsi"/>
          <w:b w:val="0"/>
          <w:sz w:val="22"/>
        </w:rPr>
        <w:t>RP-PG-0216-20002</w:t>
      </w:r>
      <w:r w:rsidR="00D35944">
        <w:rPr>
          <w:rFonts w:asciiTheme="minorHAnsi" w:hAnsiTheme="minorHAnsi" w:cstheme="minorHAnsi"/>
          <w:b w:val="0"/>
          <w:sz w:val="22"/>
        </w:rPr>
        <w:t>)</w:t>
      </w:r>
      <w:r w:rsidRPr="00B30AEA">
        <w:rPr>
          <w:rFonts w:asciiTheme="minorHAnsi" w:hAnsiTheme="minorHAnsi" w:cstheme="minorHAnsi"/>
          <w:b w:val="0"/>
          <w:sz w:val="22"/>
        </w:rPr>
        <w:t>. The views expressed are those of the authors and not necessarily those of the NHS, the NIHR or the Department of Health and Social Care. We have no conflicts of interest to declare</w:t>
      </w:r>
      <w:r w:rsidR="003E0BD3">
        <w:rPr>
          <w:rFonts w:asciiTheme="minorHAnsi" w:hAnsiTheme="minorHAnsi" w:cstheme="minorHAnsi"/>
          <w:b w:val="0"/>
          <w:sz w:val="22"/>
        </w:rPr>
        <w:t>.</w:t>
      </w:r>
    </w:p>
    <w:p w14:paraId="10A5514E" w14:textId="77777777" w:rsidR="003E0BD3" w:rsidRPr="00513C7A" w:rsidRDefault="003E0BD3" w:rsidP="0049154F">
      <w:pPr>
        <w:pStyle w:val="EndNoteBibliography"/>
        <w:spacing w:line="480" w:lineRule="auto"/>
        <w:ind w:left="720" w:hanging="720"/>
      </w:pPr>
    </w:p>
    <w:p w14:paraId="312CE6C4" w14:textId="77777777" w:rsidR="0049154F" w:rsidRDefault="0049154F" w:rsidP="0049154F">
      <w:pPr>
        <w:spacing w:line="480" w:lineRule="auto"/>
      </w:pPr>
    </w:p>
    <w:p w14:paraId="229DC758" w14:textId="77777777" w:rsidR="0049154F" w:rsidRDefault="0049154F" w:rsidP="0049154F"/>
    <w:p w14:paraId="19F54227" w14:textId="77777777" w:rsidR="0038512E" w:rsidRDefault="0038512E" w:rsidP="00CF20ED">
      <w:pPr>
        <w:spacing w:after="200" w:line="360" w:lineRule="auto"/>
        <w:rPr>
          <w:rFonts w:asciiTheme="minorHAnsi" w:hAnsiTheme="minorHAnsi" w:cstheme="minorHAnsi"/>
          <w:sz w:val="22"/>
          <w:szCs w:val="22"/>
        </w:rPr>
      </w:pPr>
    </w:p>
    <w:p w14:paraId="70F79B12" w14:textId="77777777" w:rsidR="0038512E" w:rsidRPr="00C0698C" w:rsidRDefault="0038512E" w:rsidP="00CF20ED">
      <w:pPr>
        <w:spacing w:after="200" w:line="360" w:lineRule="auto"/>
        <w:rPr>
          <w:rFonts w:asciiTheme="minorHAnsi" w:hAnsiTheme="minorHAnsi" w:cstheme="minorHAnsi"/>
          <w:sz w:val="22"/>
          <w:szCs w:val="22"/>
        </w:rPr>
      </w:pPr>
      <w:r w:rsidRPr="005B6FC7">
        <w:rPr>
          <w:rFonts w:asciiTheme="minorHAnsi" w:hAnsiTheme="minorHAnsi" w:cstheme="minorHAnsi"/>
          <w:sz w:val="22"/>
          <w:szCs w:val="22"/>
        </w:rPr>
        <w:br w:type="page"/>
      </w:r>
      <w:r w:rsidRPr="00C0698C">
        <w:rPr>
          <w:rFonts w:asciiTheme="minorHAnsi" w:hAnsiTheme="minorHAnsi" w:cstheme="minorHAnsi"/>
          <w:b/>
          <w:sz w:val="22"/>
          <w:szCs w:val="22"/>
        </w:rPr>
        <w:lastRenderedPageBreak/>
        <w:t>Table 1: Sample characteristics and alcohol consumption</w:t>
      </w:r>
    </w:p>
    <w:tbl>
      <w:tblPr>
        <w:tblW w:w="9910" w:type="dxa"/>
        <w:tblInd w:w="-812" w:type="dxa"/>
        <w:tblLook w:val="04A0" w:firstRow="1" w:lastRow="0" w:firstColumn="1" w:lastColumn="0" w:noHBand="0" w:noVBand="1"/>
      </w:tblPr>
      <w:tblGrid>
        <w:gridCol w:w="4640"/>
        <w:gridCol w:w="1500"/>
        <w:gridCol w:w="1500"/>
        <w:gridCol w:w="1440"/>
        <w:gridCol w:w="830"/>
      </w:tblGrid>
      <w:tr w:rsidR="0038512E" w:rsidRPr="00E31DFB" w14:paraId="7EEB1392" w14:textId="77777777" w:rsidTr="00CF20ED">
        <w:trPr>
          <w:trHeight w:val="300"/>
        </w:trPr>
        <w:tc>
          <w:tcPr>
            <w:tcW w:w="4640" w:type="dxa"/>
            <w:tcBorders>
              <w:top w:val="single" w:sz="4" w:space="0" w:color="auto"/>
              <w:left w:val="nil"/>
              <w:bottom w:val="single" w:sz="4" w:space="0" w:color="auto"/>
              <w:right w:val="nil"/>
            </w:tcBorders>
            <w:shd w:val="clear" w:color="auto" w:fill="auto"/>
            <w:noWrap/>
            <w:vAlign w:val="bottom"/>
            <w:hideMark/>
          </w:tcPr>
          <w:p w14:paraId="6604F7A0"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 </w:t>
            </w:r>
          </w:p>
        </w:tc>
        <w:tc>
          <w:tcPr>
            <w:tcW w:w="1500" w:type="dxa"/>
            <w:tcBorders>
              <w:top w:val="single" w:sz="4" w:space="0" w:color="auto"/>
              <w:left w:val="nil"/>
              <w:bottom w:val="single" w:sz="4" w:space="0" w:color="auto"/>
              <w:right w:val="nil"/>
            </w:tcBorders>
            <w:vAlign w:val="bottom"/>
          </w:tcPr>
          <w:p w14:paraId="679C9927" w14:textId="77777777" w:rsidR="0038512E" w:rsidRDefault="0038512E" w:rsidP="00CF20ED">
            <w:pPr>
              <w:jc w:val="center"/>
              <w:rPr>
                <w:rFonts w:ascii="Calibri" w:hAnsi="Calibri" w:cs="Calibri"/>
                <w:b/>
                <w:bCs/>
                <w:color w:val="000000"/>
                <w:sz w:val="22"/>
                <w:szCs w:val="22"/>
                <w:lang w:eastAsia="en-GB"/>
              </w:rPr>
            </w:pPr>
            <w:r w:rsidRPr="00E31DFB">
              <w:rPr>
                <w:rFonts w:ascii="Calibri" w:hAnsi="Calibri" w:cs="Calibri"/>
                <w:b/>
                <w:bCs/>
                <w:color w:val="000000"/>
                <w:sz w:val="22"/>
                <w:szCs w:val="22"/>
                <w:lang w:eastAsia="en-GB"/>
              </w:rPr>
              <w:t xml:space="preserve">All </w:t>
            </w:r>
          </w:p>
          <w:p w14:paraId="7DAC59D0" w14:textId="77777777" w:rsidR="0038512E" w:rsidRPr="00E31DFB" w:rsidRDefault="0038512E" w:rsidP="00CF20ED">
            <w:pPr>
              <w:jc w:val="center"/>
              <w:rPr>
                <w:rFonts w:ascii="Calibri" w:hAnsi="Calibri" w:cs="Calibri"/>
                <w:b/>
                <w:bCs/>
                <w:color w:val="000000"/>
                <w:sz w:val="22"/>
                <w:szCs w:val="22"/>
                <w:lang w:eastAsia="en-GB"/>
              </w:rPr>
            </w:pPr>
            <w:r w:rsidRPr="00E31DFB">
              <w:rPr>
                <w:rFonts w:ascii="Calibri" w:hAnsi="Calibri" w:cs="Calibri"/>
                <w:b/>
                <w:bCs/>
                <w:color w:val="000000"/>
                <w:sz w:val="22"/>
                <w:szCs w:val="22"/>
                <w:lang w:eastAsia="en-GB"/>
              </w:rPr>
              <w:t>(n=143)</w:t>
            </w:r>
          </w:p>
        </w:tc>
        <w:tc>
          <w:tcPr>
            <w:tcW w:w="1500" w:type="dxa"/>
            <w:tcBorders>
              <w:top w:val="single" w:sz="4" w:space="0" w:color="auto"/>
              <w:left w:val="nil"/>
              <w:bottom w:val="single" w:sz="4" w:space="0" w:color="auto"/>
              <w:right w:val="nil"/>
            </w:tcBorders>
            <w:shd w:val="clear" w:color="auto" w:fill="auto"/>
            <w:noWrap/>
            <w:vAlign w:val="bottom"/>
            <w:hideMark/>
          </w:tcPr>
          <w:p w14:paraId="57FE68F0" w14:textId="77777777" w:rsidR="0038512E" w:rsidRDefault="0038512E" w:rsidP="00CF20ED">
            <w:pPr>
              <w:jc w:val="center"/>
              <w:rPr>
                <w:rFonts w:ascii="Calibri" w:hAnsi="Calibri" w:cs="Calibri"/>
                <w:b/>
                <w:bCs/>
                <w:color w:val="000000"/>
                <w:sz w:val="22"/>
                <w:szCs w:val="22"/>
                <w:lang w:eastAsia="en-GB"/>
              </w:rPr>
            </w:pPr>
            <w:r w:rsidRPr="00E31DFB">
              <w:rPr>
                <w:rFonts w:ascii="Calibri" w:hAnsi="Calibri" w:cs="Calibri"/>
                <w:b/>
                <w:bCs/>
                <w:color w:val="000000"/>
                <w:sz w:val="22"/>
                <w:szCs w:val="22"/>
                <w:lang w:eastAsia="en-GB"/>
              </w:rPr>
              <w:t xml:space="preserve">Men </w:t>
            </w:r>
          </w:p>
          <w:p w14:paraId="560C9A13" w14:textId="77777777" w:rsidR="0038512E" w:rsidRPr="00E31DFB" w:rsidRDefault="0038512E" w:rsidP="00CF20ED">
            <w:pPr>
              <w:jc w:val="center"/>
              <w:rPr>
                <w:rFonts w:ascii="Calibri" w:hAnsi="Calibri" w:cs="Calibri"/>
                <w:b/>
                <w:bCs/>
                <w:color w:val="000000"/>
                <w:sz w:val="22"/>
                <w:szCs w:val="22"/>
                <w:lang w:eastAsia="en-GB"/>
              </w:rPr>
            </w:pPr>
            <w:r w:rsidRPr="00E31DFB">
              <w:rPr>
                <w:rFonts w:ascii="Calibri" w:hAnsi="Calibri" w:cs="Calibri"/>
                <w:b/>
                <w:bCs/>
                <w:color w:val="000000"/>
                <w:sz w:val="22"/>
                <w:szCs w:val="22"/>
                <w:lang w:eastAsia="en-GB"/>
              </w:rPr>
              <w:t>(n=53)</w:t>
            </w:r>
          </w:p>
        </w:tc>
        <w:tc>
          <w:tcPr>
            <w:tcW w:w="1440" w:type="dxa"/>
            <w:tcBorders>
              <w:top w:val="single" w:sz="4" w:space="0" w:color="auto"/>
              <w:left w:val="nil"/>
              <w:bottom w:val="single" w:sz="4" w:space="0" w:color="auto"/>
              <w:right w:val="nil"/>
            </w:tcBorders>
            <w:shd w:val="clear" w:color="auto" w:fill="auto"/>
            <w:noWrap/>
            <w:vAlign w:val="bottom"/>
            <w:hideMark/>
          </w:tcPr>
          <w:p w14:paraId="3C7FB168" w14:textId="77777777" w:rsidR="0038512E" w:rsidRPr="00E31DFB" w:rsidRDefault="0038512E" w:rsidP="00CF20ED">
            <w:pPr>
              <w:jc w:val="center"/>
              <w:rPr>
                <w:rFonts w:ascii="Calibri" w:hAnsi="Calibri" w:cs="Calibri"/>
                <w:b/>
                <w:bCs/>
                <w:color w:val="000000"/>
                <w:sz w:val="22"/>
                <w:szCs w:val="22"/>
                <w:lang w:eastAsia="en-GB"/>
              </w:rPr>
            </w:pPr>
            <w:r w:rsidRPr="00E31DFB">
              <w:rPr>
                <w:rFonts w:ascii="Calibri" w:hAnsi="Calibri" w:cs="Calibri"/>
                <w:b/>
                <w:bCs/>
                <w:color w:val="000000"/>
                <w:sz w:val="22"/>
                <w:szCs w:val="22"/>
                <w:lang w:eastAsia="en-GB"/>
              </w:rPr>
              <w:t>Women (n=90)</w:t>
            </w:r>
          </w:p>
        </w:tc>
        <w:tc>
          <w:tcPr>
            <w:tcW w:w="830" w:type="dxa"/>
            <w:tcBorders>
              <w:top w:val="single" w:sz="4" w:space="0" w:color="auto"/>
              <w:left w:val="nil"/>
              <w:bottom w:val="single" w:sz="4" w:space="0" w:color="auto"/>
              <w:right w:val="nil"/>
            </w:tcBorders>
            <w:shd w:val="clear" w:color="auto" w:fill="auto"/>
            <w:vAlign w:val="bottom"/>
            <w:hideMark/>
          </w:tcPr>
          <w:p w14:paraId="09C5A8D8" w14:textId="77777777" w:rsidR="0038512E" w:rsidRPr="00E31DFB" w:rsidRDefault="0038512E" w:rsidP="00CF20ED">
            <w:pPr>
              <w:jc w:val="center"/>
              <w:rPr>
                <w:rFonts w:ascii="Calibri" w:hAnsi="Calibri" w:cs="Calibri"/>
                <w:b/>
                <w:bCs/>
                <w:color w:val="000000"/>
                <w:sz w:val="22"/>
                <w:szCs w:val="22"/>
                <w:lang w:eastAsia="en-GB"/>
              </w:rPr>
            </w:pPr>
            <w:r w:rsidRPr="00E31DFB">
              <w:rPr>
                <w:rFonts w:ascii="Calibri" w:hAnsi="Calibri" w:cs="Calibri"/>
                <w:b/>
                <w:bCs/>
                <w:color w:val="000000"/>
                <w:sz w:val="22"/>
                <w:szCs w:val="22"/>
                <w:lang w:eastAsia="en-GB"/>
              </w:rPr>
              <w:t>P</w:t>
            </w:r>
            <w:r w:rsidR="004A2CD3" w:rsidRPr="004A2CD3">
              <w:rPr>
                <w:rFonts w:ascii="Calibri" w:hAnsi="Calibri" w:cs="Calibri"/>
                <w:b/>
                <w:bCs/>
                <w:color w:val="000000"/>
                <w:sz w:val="22"/>
                <w:szCs w:val="22"/>
                <w:vertAlign w:val="superscript"/>
                <w:lang w:eastAsia="en-GB"/>
              </w:rPr>
              <w:t>1</w:t>
            </w:r>
          </w:p>
        </w:tc>
      </w:tr>
      <w:tr w:rsidR="0038512E" w:rsidRPr="00E31DFB" w14:paraId="11543B46" w14:textId="77777777" w:rsidTr="00CF20ED">
        <w:trPr>
          <w:trHeight w:val="300"/>
        </w:trPr>
        <w:tc>
          <w:tcPr>
            <w:tcW w:w="4640" w:type="dxa"/>
            <w:tcBorders>
              <w:top w:val="single" w:sz="4" w:space="0" w:color="auto"/>
              <w:left w:val="nil"/>
              <w:bottom w:val="nil"/>
              <w:right w:val="nil"/>
            </w:tcBorders>
            <w:shd w:val="clear" w:color="auto" w:fill="auto"/>
            <w:noWrap/>
            <w:vAlign w:val="bottom"/>
            <w:hideMark/>
          </w:tcPr>
          <w:p w14:paraId="1B5AD595"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Age (SD)</w:t>
            </w:r>
          </w:p>
        </w:tc>
        <w:tc>
          <w:tcPr>
            <w:tcW w:w="1500" w:type="dxa"/>
            <w:tcBorders>
              <w:top w:val="single" w:sz="4" w:space="0" w:color="auto"/>
              <w:left w:val="nil"/>
              <w:bottom w:val="nil"/>
              <w:right w:val="nil"/>
            </w:tcBorders>
            <w:vAlign w:val="bottom"/>
          </w:tcPr>
          <w:p w14:paraId="06C06D41"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70.79 (10.67)</w:t>
            </w:r>
          </w:p>
        </w:tc>
        <w:tc>
          <w:tcPr>
            <w:tcW w:w="1500" w:type="dxa"/>
            <w:tcBorders>
              <w:top w:val="single" w:sz="4" w:space="0" w:color="auto"/>
              <w:left w:val="nil"/>
              <w:bottom w:val="nil"/>
              <w:right w:val="nil"/>
            </w:tcBorders>
            <w:shd w:val="clear" w:color="auto" w:fill="auto"/>
            <w:noWrap/>
            <w:vAlign w:val="bottom"/>
            <w:hideMark/>
          </w:tcPr>
          <w:p w14:paraId="1F2C0BF7"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69.63 (10.63)</w:t>
            </w:r>
          </w:p>
        </w:tc>
        <w:tc>
          <w:tcPr>
            <w:tcW w:w="1440" w:type="dxa"/>
            <w:tcBorders>
              <w:top w:val="single" w:sz="4" w:space="0" w:color="auto"/>
              <w:left w:val="nil"/>
              <w:bottom w:val="nil"/>
              <w:right w:val="nil"/>
            </w:tcBorders>
            <w:shd w:val="clear" w:color="auto" w:fill="auto"/>
            <w:noWrap/>
            <w:vAlign w:val="bottom"/>
            <w:hideMark/>
          </w:tcPr>
          <w:p w14:paraId="77D3C2CB"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71.46 (10.69)</w:t>
            </w:r>
          </w:p>
        </w:tc>
        <w:tc>
          <w:tcPr>
            <w:tcW w:w="830" w:type="dxa"/>
            <w:tcBorders>
              <w:top w:val="single" w:sz="4" w:space="0" w:color="auto"/>
              <w:left w:val="nil"/>
              <w:bottom w:val="nil"/>
              <w:right w:val="nil"/>
            </w:tcBorders>
            <w:shd w:val="clear" w:color="auto" w:fill="auto"/>
            <w:vAlign w:val="bottom"/>
            <w:hideMark/>
          </w:tcPr>
          <w:p w14:paraId="11E4CB34"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0.320</w:t>
            </w:r>
          </w:p>
        </w:tc>
      </w:tr>
      <w:tr w:rsidR="0038512E" w:rsidRPr="00E31DFB" w14:paraId="227A621A" w14:textId="77777777" w:rsidTr="00CF20ED">
        <w:trPr>
          <w:trHeight w:val="300"/>
        </w:trPr>
        <w:tc>
          <w:tcPr>
            <w:tcW w:w="4640" w:type="dxa"/>
            <w:tcBorders>
              <w:top w:val="nil"/>
              <w:left w:val="nil"/>
              <w:bottom w:val="nil"/>
              <w:right w:val="nil"/>
            </w:tcBorders>
            <w:shd w:val="clear" w:color="auto" w:fill="auto"/>
            <w:noWrap/>
            <w:vAlign w:val="bottom"/>
            <w:hideMark/>
          </w:tcPr>
          <w:p w14:paraId="67729470"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 xml:space="preserve">White UK </w:t>
            </w:r>
            <w:proofErr w:type="gramStart"/>
            <w:r w:rsidRPr="00E31DFB">
              <w:rPr>
                <w:rFonts w:ascii="Calibri" w:hAnsi="Calibri" w:cs="Calibri"/>
                <w:color w:val="000000"/>
                <w:sz w:val="22"/>
                <w:szCs w:val="22"/>
                <w:lang w:eastAsia="en-GB"/>
              </w:rPr>
              <w:t>n(</w:t>
            </w:r>
            <w:proofErr w:type="gramEnd"/>
            <w:r w:rsidRPr="00E31DFB">
              <w:rPr>
                <w:rFonts w:ascii="Calibri" w:hAnsi="Calibri" w:cs="Calibri"/>
                <w:color w:val="000000"/>
                <w:sz w:val="22"/>
                <w:szCs w:val="22"/>
                <w:lang w:eastAsia="en-GB"/>
              </w:rPr>
              <w:t>%)</w:t>
            </w:r>
          </w:p>
        </w:tc>
        <w:tc>
          <w:tcPr>
            <w:tcW w:w="1500" w:type="dxa"/>
            <w:tcBorders>
              <w:top w:val="nil"/>
              <w:left w:val="nil"/>
              <w:bottom w:val="nil"/>
              <w:right w:val="nil"/>
            </w:tcBorders>
            <w:vAlign w:val="bottom"/>
          </w:tcPr>
          <w:p w14:paraId="31B58CBE"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141 (98.6)</w:t>
            </w:r>
          </w:p>
        </w:tc>
        <w:tc>
          <w:tcPr>
            <w:tcW w:w="1500" w:type="dxa"/>
            <w:tcBorders>
              <w:top w:val="nil"/>
              <w:left w:val="nil"/>
              <w:bottom w:val="nil"/>
              <w:right w:val="nil"/>
            </w:tcBorders>
            <w:shd w:val="clear" w:color="auto" w:fill="auto"/>
            <w:noWrap/>
            <w:vAlign w:val="bottom"/>
            <w:hideMark/>
          </w:tcPr>
          <w:p w14:paraId="1CE518C3"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52 (98.1)</w:t>
            </w:r>
          </w:p>
        </w:tc>
        <w:tc>
          <w:tcPr>
            <w:tcW w:w="1440" w:type="dxa"/>
            <w:tcBorders>
              <w:top w:val="nil"/>
              <w:left w:val="nil"/>
              <w:bottom w:val="nil"/>
              <w:right w:val="nil"/>
            </w:tcBorders>
            <w:shd w:val="clear" w:color="auto" w:fill="auto"/>
            <w:noWrap/>
            <w:vAlign w:val="bottom"/>
            <w:hideMark/>
          </w:tcPr>
          <w:p w14:paraId="1BF3AC1C"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89 (98.9)</w:t>
            </w:r>
          </w:p>
        </w:tc>
        <w:tc>
          <w:tcPr>
            <w:tcW w:w="830" w:type="dxa"/>
            <w:tcBorders>
              <w:top w:val="nil"/>
              <w:left w:val="nil"/>
              <w:bottom w:val="nil"/>
              <w:right w:val="nil"/>
            </w:tcBorders>
            <w:shd w:val="clear" w:color="auto" w:fill="auto"/>
            <w:vAlign w:val="bottom"/>
            <w:hideMark/>
          </w:tcPr>
          <w:p w14:paraId="6E1E7BA5"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0.703</w:t>
            </w:r>
          </w:p>
        </w:tc>
      </w:tr>
      <w:tr w:rsidR="0038512E" w:rsidRPr="00E31DFB" w14:paraId="207C7B24" w14:textId="77777777" w:rsidTr="00CF20ED">
        <w:trPr>
          <w:trHeight w:val="300"/>
        </w:trPr>
        <w:tc>
          <w:tcPr>
            <w:tcW w:w="4640" w:type="dxa"/>
            <w:tcBorders>
              <w:top w:val="nil"/>
              <w:left w:val="nil"/>
              <w:bottom w:val="nil"/>
              <w:right w:val="nil"/>
            </w:tcBorders>
            <w:shd w:val="clear" w:color="auto" w:fill="auto"/>
            <w:noWrap/>
            <w:vAlign w:val="bottom"/>
            <w:hideMark/>
          </w:tcPr>
          <w:p w14:paraId="4C124E58"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Medicat</w:t>
            </w:r>
            <w:r>
              <w:rPr>
                <w:rFonts w:ascii="Calibri" w:hAnsi="Calibri" w:cs="Calibri"/>
                <w:color w:val="000000"/>
                <w:sz w:val="22"/>
                <w:szCs w:val="22"/>
                <w:lang w:eastAsia="en-GB"/>
              </w:rPr>
              <w:t>i</w:t>
            </w:r>
            <w:r w:rsidRPr="00E31DFB">
              <w:rPr>
                <w:rFonts w:ascii="Calibri" w:hAnsi="Calibri" w:cs="Calibri"/>
                <w:color w:val="000000"/>
                <w:sz w:val="22"/>
                <w:szCs w:val="22"/>
                <w:lang w:eastAsia="en-GB"/>
              </w:rPr>
              <w:t xml:space="preserve">ons for </w:t>
            </w:r>
            <w:r w:rsidR="004F3848">
              <w:rPr>
                <w:rFonts w:ascii="Calibri" w:hAnsi="Calibri" w:cs="Calibri"/>
                <w:color w:val="000000"/>
                <w:sz w:val="22"/>
                <w:szCs w:val="22"/>
                <w:lang w:eastAsia="en-GB"/>
              </w:rPr>
              <w:t xml:space="preserve">all </w:t>
            </w:r>
            <w:r w:rsidRPr="00E31DFB">
              <w:rPr>
                <w:rFonts w:ascii="Calibri" w:hAnsi="Calibri" w:cs="Calibri"/>
                <w:color w:val="000000"/>
                <w:sz w:val="22"/>
                <w:szCs w:val="22"/>
                <w:lang w:eastAsia="en-GB"/>
              </w:rPr>
              <w:t xml:space="preserve">LTCs </w:t>
            </w:r>
            <w:proofErr w:type="gramStart"/>
            <w:r w:rsidRPr="00E31DFB">
              <w:rPr>
                <w:rFonts w:ascii="Calibri" w:hAnsi="Calibri" w:cs="Calibri"/>
                <w:color w:val="000000"/>
                <w:sz w:val="22"/>
                <w:szCs w:val="22"/>
                <w:lang w:eastAsia="en-GB"/>
              </w:rPr>
              <w:t>n(</w:t>
            </w:r>
            <w:proofErr w:type="gramEnd"/>
            <w:r w:rsidRPr="00E31DFB">
              <w:rPr>
                <w:rFonts w:ascii="Calibri" w:hAnsi="Calibri" w:cs="Calibri"/>
                <w:color w:val="000000"/>
                <w:sz w:val="22"/>
                <w:szCs w:val="22"/>
                <w:lang w:eastAsia="en-GB"/>
              </w:rPr>
              <w:t>%)</w:t>
            </w:r>
          </w:p>
        </w:tc>
        <w:tc>
          <w:tcPr>
            <w:tcW w:w="1500" w:type="dxa"/>
            <w:tcBorders>
              <w:top w:val="nil"/>
              <w:left w:val="nil"/>
              <w:bottom w:val="nil"/>
              <w:right w:val="nil"/>
            </w:tcBorders>
            <w:vAlign w:val="bottom"/>
          </w:tcPr>
          <w:p w14:paraId="75546A12"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100 (69.9)</w:t>
            </w:r>
          </w:p>
        </w:tc>
        <w:tc>
          <w:tcPr>
            <w:tcW w:w="1500" w:type="dxa"/>
            <w:tcBorders>
              <w:top w:val="nil"/>
              <w:left w:val="nil"/>
              <w:bottom w:val="nil"/>
              <w:right w:val="nil"/>
            </w:tcBorders>
            <w:shd w:val="clear" w:color="auto" w:fill="auto"/>
            <w:noWrap/>
            <w:vAlign w:val="bottom"/>
            <w:hideMark/>
          </w:tcPr>
          <w:p w14:paraId="42762827"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39 (73.6)</w:t>
            </w:r>
          </w:p>
        </w:tc>
        <w:tc>
          <w:tcPr>
            <w:tcW w:w="1440" w:type="dxa"/>
            <w:tcBorders>
              <w:top w:val="nil"/>
              <w:left w:val="nil"/>
              <w:bottom w:val="nil"/>
              <w:right w:val="nil"/>
            </w:tcBorders>
            <w:shd w:val="clear" w:color="auto" w:fill="auto"/>
            <w:noWrap/>
            <w:vAlign w:val="bottom"/>
            <w:hideMark/>
          </w:tcPr>
          <w:p w14:paraId="49EF447F"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61 (67.8)</w:t>
            </w:r>
          </w:p>
        </w:tc>
        <w:tc>
          <w:tcPr>
            <w:tcW w:w="830" w:type="dxa"/>
            <w:tcBorders>
              <w:top w:val="nil"/>
              <w:left w:val="nil"/>
              <w:bottom w:val="nil"/>
              <w:right w:val="nil"/>
            </w:tcBorders>
            <w:shd w:val="clear" w:color="auto" w:fill="auto"/>
            <w:vAlign w:val="bottom"/>
            <w:hideMark/>
          </w:tcPr>
          <w:p w14:paraId="7B239E4A"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0.465</w:t>
            </w:r>
          </w:p>
        </w:tc>
      </w:tr>
      <w:tr w:rsidR="0038512E" w:rsidRPr="00E31DFB" w14:paraId="4A5B9E07" w14:textId="77777777" w:rsidTr="00CF20ED">
        <w:trPr>
          <w:trHeight w:val="300"/>
        </w:trPr>
        <w:tc>
          <w:tcPr>
            <w:tcW w:w="4640" w:type="dxa"/>
            <w:tcBorders>
              <w:top w:val="nil"/>
              <w:left w:val="nil"/>
              <w:bottom w:val="nil"/>
              <w:right w:val="nil"/>
            </w:tcBorders>
            <w:shd w:val="clear" w:color="auto" w:fill="auto"/>
            <w:noWrap/>
            <w:vAlign w:val="bottom"/>
            <w:hideMark/>
          </w:tcPr>
          <w:p w14:paraId="628CCA1A"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Mean (SD) units of alcohol in past week</w:t>
            </w:r>
          </w:p>
        </w:tc>
        <w:tc>
          <w:tcPr>
            <w:tcW w:w="1500" w:type="dxa"/>
            <w:tcBorders>
              <w:top w:val="nil"/>
              <w:left w:val="nil"/>
              <w:bottom w:val="nil"/>
              <w:right w:val="nil"/>
            </w:tcBorders>
            <w:vAlign w:val="bottom"/>
          </w:tcPr>
          <w:p w14:paraId="4E321FDC"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11.10 (17.38)</w:t>
            </w:r>
          </w:p>
        </w:tc>
        <w:tc>
          <w:tcPr>
            <w:tcW w:w="1500" w:type="dxa"/>
            <w:tcBorders>
              <w:top w:val="nil"/>
              <w:left w:val="nil"/>
              <w:bottom w:val="nil"/>
              <w:right w:val="nil"/>
            </w:tcBorders>
            <w:shd w:val="clear" w:color="auto" w:fill="auto"/>
            <w:noWrap/>
            <w:vAlign w:val="bottom"/>
            <w:hideMark/>
          </w:tcPr>
          <w:p w14:paraId="73FD21A5"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16.65 (20.14)</w:t>
            </w:r>
          </w:p>
        </w:tc>
        <w:tc>
          <w:tcPr>
            <w:tcW w:w="1440" w:type="dxa"/>
            <w:tcBorders>
              <w:top w:val="nil"/>
              <w:left w:val="nil"/>
              <w:bottom w:val="nil"/>
              <w:right w:val="nil"/>
            </w:tcBorders>
            <w:shd w:val="clear" w:color="auto" w:fill="auto"/>
            <w:noWrap/>
            <w:vAlign w:val="bottom"/>
            <w:hideMark/>
          </w:tcPr>
          <w:p w14:paraId="5100B844"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7.84 (14.69)</w:t>
            </w:r>
          </w:p>
        </w:tc>
        <w:tc>
          <w:tcPr>
            <w:tcW w:w="830" w:type="dxa"/>
            <w:tcBorders>
              <w:top w:val="nil"/>
              <w:left w:val="nil"/>
              <w:bottom w:val="nil"/>
              <w:right w:val="nil"/>
            </w:tcBorders>
            <w:shd w:val="clear" w:color="auto" w:fill="auto"/>
            <w:vAlign w:val="bottom"/>
            <w:hideMark/>
          </w:tcPr>
          <w:p w14:paraId="23A9F653"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0.003</w:t>
            </w:r>
          </w:p>
        </w:tc>
      </w:tr>
      <w:tr w:rsidR="000E43F0" w:rsidRPr="00E31DFB" w14:paraId="2472FB82" w14:textId="77777777" w:rsidTr="0082211B">
        <w:trPr>
          <w:trHeight w:val="300"/>
        </w:trPr>
        <w:tc>
          <w:tcPr>
            <w:tcW w:w="4640" w:type="dxa"/>
            <w:tcBorders>
              <w:top w:val="nil"/>
              <w:left w:val="nil"/>
              <w:bottom w:val="nil"/>
              <w:right w:val="nil"/>
            </w:tcBorders>
            <w:shd w:val="clear" w:color="auto" w:fill="auto"/>
            <w:noWrap/>
            <w:vAlign w:val="bottom"/>
          </w:tcPr>
          <w:p w14:paraId="37CA3E25" w14:textId="77777777" w:rsidR="000E43F0" w:rsidRPr="00E31DFB" w:rsidRDefault="000E43F0" w:rsidP="0082211B">
            <w:pPr>
              <w:rPr>
                <w:rFonts w:ascii="Calibri" w:hAnsi="Calibri" w:cs="Calibri"/>
                <w:color w:val="000000"/>
                <w:sz w:val="22"/>
                <w:szCs w:val="22"/>
                <w:lang w:eastAsia="en-GB"/>
              </w:rPr>
            </w:pPr>
            <w:r>
              <w:rPr>
                <w:rFonts w:ascii="Calibri" w:hAnsi="Calibri" w:cs="Calibri"/>
                <w:color w:val="000000"/>
                <w:sz w:val="22"/>
                <w:szCs w:val="22"/>
                <w:lang w:eastAsia="en-GB"/>
              </w:rPr>
              <w:t xml:space="preserve">   Cardiovascular</w:t>
            </w:r>
          </w:p>
        </w:tc>
        <w:tc>
          <w:tcPr>
            <w:tcW w:w="1500" w:type="dxa"/>
            <w:tcBorders>
              <w:top w:val="nil"/>
              <w:left w:val="nil"/>
              <w:bottom w:val="nil"/>
              <w:right w:val="nil"/>
            </w:tcBorders>
            <w:vAlign w:val="bottom"/>
          </w:tcPr>
          <w:p w14:paraId="64BEF5D8"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70 (49.0)</w:t>
            </w:r>
          </w:p>
        </w:tc>
        <w:tc>
          <w:tcPr>
            <w:tcW w:w="1500" w:type="dxa"/>
            <w:tcBorders>
              <w:top w:val="nil"/>
              <w:left w:val="nil"/>
              <w:bottom w:val="nil"/>
              <w:right w:val="nil"/>
            </w:tcBorders>
            <w:shd w:val="clear" w:color="auto" w:fill="auto"/>
            <w:noWrap/>
            <w:vAlign w:val="bottom"/>
          </w:tcPr>
          <w:p w14:paraId="0CEA4899"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26 (49.1)</w:t>
            </w:r>
          </w:p>
        </w:tc>
        <w:tc>
          <w:tcPr>
            <w:tcW w:w="1440" w:type="dxa"/>
            <w:tcBorders>
              <w:top w:val="nil"/>
              <w:left w:val="nil"/>
              <w:bottom w:val="nil"/>
              <w:right w:val="nil"/>
            </w:tcBorders>
            <w:shd w:val="clear" w:color="auto" w:fill="auto"/>
            <w:noWrap/>
            <w:vAlign w:val="bottom"/>
          </w:tcPr>
          <w:p w14:paraId="12EFC2FE"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44 (48.9)</w:t>
            </w:r>
          </w:p>
        </w:tc>
        <w:tc>
          <w:tcPr>
            <w:tcW w:w="830" w:type="dxa"/>
            <w:tcBorders>
              <w:top w:val="nil"/>
              <w:left w:val="nil"/>
              <w:bottom w:val="nil"/>
              <w:right w:val="nil"/>
            </w:tcBorders>
            <w:shd w:val="clear" w:color="auto" w:fill="auto"/>
            <w:vAlign w:val="bottom"/>
          </w:tcPr>
          <w:p w14:paraId="13184099" w14:textId="77777777" w:rsidR="000E43F0" w:rsidRPr="00E31DFB" w:rsidRDefault="000E43F0" w:rsidP="0082211B">
            <w:pPr>
              <w:jc w:val="right"/>
              <w:rPr>
                <w:rFonts w:ascii="Calibri" w:hAnsi="Calibri" w:cs="Calibri"/>
                <w:color w:val="000000"/>
                <w:sz w:val="22"/>
                <w:szCs w:val="22"/>
                <w:lang w:eastAsia="en-GB"/>
              </w:rPr>
            </w:pPr>
            <w:r>
              <w:rPr>
                <w:rFonts w:ascii="Calibri" w:hAnsi="Calibri" w:cs="Calibri"/>
                <w:color w:val="000000"/>
                <w:sz w:val="22"/>
                <w:szCs w:val="22"/>
                <w:lang w:eastAsia="en-GB"/>
              </w:rPr>
              <w:t>0.985</w:t>
            </w:r>
          </w:p>
        </w:tc>
      </w:tr>
      <w:tr w:rsidR="000E43F0" w14:paraId="2A4F293C" w14:textId="77777777" w:rsidTr="0082211B">
        <w:trPr>
          <w:trHeight w:val="300"/>
        </w:trPr>
        <w:tc>
          <w:tcPr>
            <w:tcW w:w="4640" w:type="dxa"/>
            <w:tcBorders>
              <w:top w:val="nil"/>
              <w:left w:val="nil"/>
              <w:bottom w:val="nil"/>
              <w:right w:val="nil"/>
            </w:tcBorders>
            <w:shd w:val="clear" w:color="auto" w:fill="auto"/>
            <w:noWrap/>
            <w:vAlign w:val="bottom"/>
          </w:tcPr>
          <w:p w14:paraId="6A278077" w14:textId="77777777" w:rsidR="000E43F0" w:rsidRDefault="000E43F0" w:rsidP="0082211B">
            <w:pPr>
              <w:rPr>
                <w:rFonts w:ascii="Calibri" w:hAnsi="Calibri" w:cs="Calibri"/>
                <w:color w:val="000000"/>
                <w:sz w:val="22"/>
                <w:szCs w:val="22"/>
                <w:lang w:eastAsia="en-GB"/>
              </w:rPr>
            </w:pPr>
            <w:r>
              <w:rPr>
                <w:rFonts w:ascii="Calibri" w:hAnsi="Calibri" w:cs="Calibri"/>
                <w:color w:val="000000"/>
                <w:sz w:val="22"/>
                <w:szCs w:val="22"/>
                <w:lang w:eastAsia="en-GB"/>
              </w:rPr>
              <w:t xml:space="preserve">   Endocrine</w:t>
            </w:r>
          </w:p>
        </w:tc>
        <w:tc>
          <w:tcPr>
            <w:tcW w:w="1500" w:type="dxa"/>
            <w:tcBorders>
              <w:top w:val="nil"/>
              <w:left w:val="nil"/>
              <w:bottom w:val="nil"/>
              <w:right w:val="nil"/>
            </w:tcBorders>
            <w:vAlign w:val="bottom"/>
          </w:tcPr>
          <w:p w14:paraId="0878580F" w14:textId="77777777" w:rsidR="000E43F0"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25 (17.5)</w:t>
            </w:r>
          </w:p>
        </w:tc>
        <w:tc>
          <w:tcPr>
            <w:tcW w:w="1500" w:type="dxa"/>
            <w:tcBorders>
              <w:top w:val="nil"/>
              <w:left w:val="nil"/>
              <w:bottom w:val="nil"/>
              <w:right w:val="nil"/>
            </w:tcBorders>
            <w:shd w:val="clear" w:color="auto" w:fill="auto"/>
            <w:noWrap/>
            <w:vAlign w:val="bottom"/>
          </w:tcPr>
          <w:p w14:paraId="0BD6F079" w14:textId="77777777" w:rsidR="000E43F0"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5 (9.4)</w:t>
            </w:r>
          </w:p>
        </w:tc>
        <w:tc>
          <w:tcPr>
            <w:tcW w:w="1440" w:type="dxa"/>
            <w:tcBorders>
              <w:top w:val="nil"/>
              <w:left w:val="nil"/>
              <w:bottom w:val="nil"/>
              <w:right w:val="nil"/>
            </w:tcBorders>
            <w:shd w:val="clear" w:color="auto" w:fill="auto"/>
            <w:noWrap/>
            <w:vAlign w:val="bottom"/>
          </w:tcPr>
          <w:p w14:paraId="4FD40E33" w14:textId="77777777" w:rsidR="000E43F0"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20 (22.2)</w:t>
            </w:r>
          </w:p>
        </w:tc>
        <w:tc>
          <w:tcPr>
            <w:tcW w:w="830" w:type="dxa"/>
            <w:tcBorders>
              <w:top w:val="nil"/>
              <w:left w:val="nil"/>
              <w:bottom w:val="nil"/>
              <w:right w:val="nil"/>
            </w:tcBorders>
            <w:shd w:val="clear" w:color="auto" w:fill="auto"/>
            <w:vAlign w:val="bottom"/>
          </w:tcPr>
          <w:p w14:paraId="153195DE" w14:textId="77777777" w:rsidR="000E43F0" w:rsidRDefault="000E43F0" w:rsidP="0082211B">
            <w:pPr>
              <w:jc w:val="right"/>
              <w:rPr>
                <w:rFonts w:ascii="Calibri" w:hAnsi="Calibri" w:cs="Calibri"/>
                <w:color w:val="000000"/>
                <w:sz w:val="22"/>
                <w:szCs w:val="22"/>
                <w:lang w:eastAsia="en-GB"/>
              </w:rPr>
            </w:pPr>
            <w:r>
              <w:rPr>
                <w:rFonts w:ascii="Calibri" w:hAnsi="Calibri" w:cs="Calibri"/>
                <w:color w:val="000000"/>
                <w:sz w:val="22"/>
                <w:szCs w:val="22"/>
                <w:lang w:eastAsia="en-GB"/>
              </w:rPr>
              <w:t>0.052</w:t>
            </w:r>
          </w:p>
        </w:tc>
      </w:tr>
      <w:tr w:rsidR="000E43F0" w:rsidRPr="00E31DFB" w14:paraId="6C4D2756" w14:textId="77777777" w:rsidTr="0082211B">
        <w:trPr>
          <w:trHeight w:val="300"/>
        </w:trPr>
        <w:tc>
          <w:tcPr>
            <w:tcW w:w="4640" w:type="dxa"/>
            <w:tcBorders>
              <w:top w:val="nil"/>
              <w:left w:val="nil"/>
              <w:bottom w:val="nil"/>
              <w:right w:val="nil"/>
            </w:tcBorders>
            <w:shd w:val="clear" w:color="auto" w:fill="auto"/>
            <w:noWrap/>
            <w:vAlign w:val="bottom"/>
          </w:tcPr>
          <w:p w14:paraId="39EDB67E" w14:textId="77777777" w:rsidR="000E43F0" w:rsidRPr="00E31DFB" w:rsidRDefault="000E43F0" w:rsidP="0082211B">
            <w:pPr>
              <w:rPr>
                <w:rFonts w:ascii="Calibri" w:hAnsi="Calibri" w:cs="Calibri"/>
                <w:color w:val="000000"/>
                <w:sz w:val="22"/>
                <w:szCs w:val="22"/>
                <w:lang w:eastAsia="en-GB"/>
              </w:rPr>
            </w:pPr>
            <w:r>
              <w:rPr>
                <w:rFonts w:ascii="Calibri" w:hAnsi="Calibri" w:cs="Calibri"/>
                <w:color w:val="000000"/>
                <w:sz w:val="22"/>
                <w:szCs w:val="22"/>
                <w:lang w:eastAsia="en-GB"/>
              </w:rPr>
              <w:t xml:space="preserve">   Respiratory</w:t>
            </w:r>
          </w:p>
        </w:tc>
        <w:tc>
          <w:tcPr>
            <w:tcW w:w="1500" w:type="dxa"/>
            <w:tcBorders>
              <w:top w:val="nil"/>
              <w:left w:val="nil"/>
              <w:bottom w:val="nil"/>
              <w:right w:val="nil"/>
            </w:tcBorders>
            <w:vAlign w:val="bottom"/>
          </w:tcPr>
          <w:p w14:paraId="6F7ED57D"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21 (14.7)</w:t>
            </w:r>
          </w:p>
        </w:tc>
        <w:tc>
          <w:tcPr>
            <w:tcW w:w="1500" w:type="dxa"/>
            <w:tcBorders>
              <w:top w:val="nil"/>
              <w:left w:val="nil"/>
              <w:bottom w:val="nil"/>
              <w:right w:val="nil"/>
            </w:tcBorders>
            <w:shd w:val="clear" w:color="auto" w:fill="auto"/>
            <w:noWrap/>
            <w:vAlign w:val="bottom"/>
          </w:tcPr>
          <w:p w14:paraId="6FD114D1"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8 (15.1)</w:t>
            </w:r>
          </w:p>
        </w:tc>
        <w:tc>
          <w:tcPr>
            <w:tcW w:w="1440" w:type="dxa"/>
            <w:tcBorders>
              <w:top w:val="nil"/>
              <w:left w:val="nil"/>
              <w:bottom w:val="nil"/>
              <w:right w:val="nil"/>
            </w:tcBorders>
            <w:shd w:val="clear" w:color="auto" w:fill="auto"/>
            <w:noWrap/>
            <w:vAlign w:val="bottom"/>
          </w:tcPr>
          <w:p w14:paraId="4318923B"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13 (14.4)</w:t>
            </w:r>
          </w:p>
        </w:tc>
        <w:tc>
          <w:tcPr>
            <w:tcW w:w="830" w:type="dxa"/>
            <w:tcBorders>
              <w:top w:val="nil"/>
              <w:left w:val="nil"/>
              <w:bottom w:val="nil"/>
              <w:right w:val="nil"/>
            </w:tcBorders>
            <w:shd w:val="clear" w:color="auto" w:fill="auto"/>
            <w:vAlign w:val="bottom"/>
          </w:tcPr>
          <w:p w14:paraId="20AEC876" w14:textId="77777777" w:rsidR="000E43F0" w:rsidRPr="00E31DFB" w:rsidRDefault="000E43F0" w:rsidP="0082211B">
            <w:pPr>
              <w:jc w:val="right"/>
              <w:rPr>
                <w:rFonts w:ascii="Calibri" w:hAnsi="Calibri" w:cs="Calibri"/>
                <w:color w:val="000000"/>
                <w:sz w:val="22"/>
                <w:szCs w:val="22"/>
                <w:lang w:eastAsia="en-GB"/>
              </w:rPr>
            </w:pPr>
            <w:r>
              <w:rPr>
                <w:rFonts w:ascii="Calibri" w:hAnsi="Calibri" w:cs="Calibri"/>
                <w:color w:val="000000"/>
                <w:sz w:val="22"/>
                <w:szCs w:val="22"/>
                <w:lang w:eastAsia="en-GB"/>
              </w:rPr>
              <w:t>0.916</w:t>
            </w:r>
          </w:p>
        </w:tc>
      </w:tr>
      <w:tr w:rsidR="000E43F0" w:rsidRPr="00E31DFB" w14:paraId="6E77DDFB" w14:textId="77777777" w:rsidTr="0082211B">
        <w:trPr>
          <w:trHeight w:val="300"/>
        </w:trPr>
        <w:tc>
          <w:tcPr>
            <w:tcW w:w="4640" w:type="dxa"/>
            <w:tcBorders>
              <w:top w:val="nil"/>
              <w:left w:val="nil"/>
              <w:bottom w:val="nil"/>
              <w:right w:val="nil"/>
            </w:tcBorders>
            <w:shd w:val="clear" w:color="auto" w:fill="auto"/>
            <w:noWrap/>
            <w:vAlign w:val="bottom"/>
          </w:tcPr>
          <w:p w14:paraId="66EB1197" w14:textId="77777777" w:rsidR="000E43F0" w:rsidRPr="00E31DFB" w:rsidRDefault="000E43F0" w:rsidP="0082211B">
            <w:pPr>
              <w:rPr>
                <w:rFonts w:ascii="Calibri" w:hAnsi="Calibri" w:cs="Calibri"/>
                <w:color w:val="000000"/>
                <w:sz w:val="22"/>
                <w:szCs w:val="22"/>
                <w:lang w:eastAsia="en-GB"/>
              </w:rPr>
            </w:pPr>
            <w:r>
              <w:rPr>
                <w:rFonts w:ascii="Calibri" w:hAnsi="Calibri" w:cs="Calibri"/>
                <w:color w:val="000000"/>
                <w:sz w:val="22"/>
                <w:szCs w:val="22"/>
                <w:lang w:eastAsia="en-GB"/>
              </w:rPr>
              <w:t xml:space="preserve">   CNS</w:t>
            </w:r>
          </w:p>
        </w:tc>
        <w:tc>
          <w:tcPr>
            <w:tcW w:w="1500" w:type="dxa"/>
            <w:tcBorders>
              <w:top w:val="nil"/>
              <w:left w:val="nil"/>
              <w:bottom w:val="nil"/>
              <w:right w:val="nil"/>
            </w:tcBorders>
            <w:vAlign w:val="bottom"/>
          </w:tcPr>
          <w:p w14:paraId="630EB7BA"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17 (11.9)</w:t>
            </w:r>
          </w:p>
        </w:tc>
        <w:tc>
          <w:tcPr>
            <w:tcW w:w="1500" w:type="dxa"/>
            <w:tcBorders>
              <w:top w:val="nil"/>
              <w:left w:val="nil"/>
              <w:bottom w:val="nil"/>
              <w:right w:val="nil"/>
            </w:tcBorders>
            <w:shd w:val="clear" w:color="auto" w:fill="auto"/>
            <w:noWrap/>
            <w:vAlign w:val="bottom"/>
          </w:tcPr>
          <w:p w14:paraId="46AB4DA9"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7 (13.2)</w:t>
            </w:r>
          </w:p>
        </w:tc>
        <w:tc>
          <w:tcPr>
            <w:tcW w:w="1440" w:type="dxa"/>
            <w:tcBorders>
              <w:top w:val="nil"/>
              <w:left w:val="nil"/>
              <w:bottom w:val="nil"/>
              <w:right w:val="nil"/>
            </w:tcBorders>
            <w:shd w:val="clear" w:color="auto" w:fill="auto"/>
            <w:noWrap/>
            <w:vAlign w:val="bottom"/>
          </w:tcPr>
          <w:p w14:paraId="34CF263C"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10 (11.1)</w:t>
            </w:r>
          </w:p>
        </w:tc>
        <w:tc>
          <w:tcPr>
            <w:tcW w:w="830" w:type="dxa"/>
            <w:tcBorders>
              <w:top w:val="nil"/>
              <w:left w:val="nil"/>
              <w:bottom w:val="nil"/>
              <w:right w:val="nil"/>
            </w:tcBorders>
            <w:shd w:val="clear" w:color="auto" w:fill="auto"/>
            <w:vAlign w:val="bottom"/>
          </w:tcPr>
          <w:p w14:paraId="09FA9D79" w14:textId="77777777" w:rsidR="000E43F0" w:rsidRPr="00E31DFB" w:rsidRDefault="000E43F0" w:rsidP="0082211B">
            <w:pPr>
              <w:jc w:val="right"/>
              <w:rPr>
                <w:rFonts w:ascii="Calibri" w:hAnsi="Calibri" w:cs="Calibri"/>
                <w:color w:val="000000"/>
                <w:sz w:val="22"/>
                <w:szCs w:val="22"/>
                <w:lang w:eastAsia="en-GB"/>
              </w:rPr>
            </w:pPr>
            <w:r>
              <w:rPr>
                <w:rFonts w:ascii="Calibri" w:hAnsi="Calibri" w:cs="Calibri"/>
                <w:color w:val="000000"/>
                <w:sz w:val="22"/>
                <w:szCs w:val="22"/>
                <w:lang w:eastAsia="en-GB"/>
              </w:rPr>
              <w:t>0.708</w:t>
            </w:r>
          </w:p>
        </w:tc>
      </w:tr>
      <w:tr w:rsidR="000E43F0" w:rsidRPr="00E31DFB" w14:paraId="7B707028" w14:textId="77777777" w:rsidTr="0082211B">
        <w:trPr>
          <w:trHeight w:val="300"/>
        </w:trPr>
        <w:tc>
          <w:tcPr>
            <w:tcW w:w="4640" w:type="dxa"/>
            <w:tcBorders>
              <w:top w:val="nil"/>
              <w:left w:val="nil"/>
              <w:bottom w:val="nil"/>
              <w:right w:val="nil"/>
            </w:tcBorders>
            <w:shd w:val="clear" w:color="auto" w:fill="auto"/>
            <w:noWrap/>
            <w:vAlign w:val="bottom"/>
          </w:tcPr>
          <w:p w14:paraId="078BDAC7" w14:textId="77777777" w:rsidR="000E43F0" w:rsidRPr="00E31DFB" w:rsidRDefault="000E43F0" w:rsidP="0082211B">
            <w:pPr>
              <w:rPr>
                <w:rFonts w:ascii="Calibri" w:hAnsi="Calibri" w:cs="Calibri"/>
                <w:color w:val="000000"/>
                <w:sz w:val="22"/>
                <w:szCs w:val="22"/>
                <w:lang w:eastAsia="en-GB"/>
              </w:rPr>
            </w:pPr>
            <w:r>
              <w:rPr>
                <w:rFonts w:ascii="Calibri" w:hAnsi="Calibri" w:cs="Calibri"/>
                <w:color w:val="000000"/>
                <w:sz w:val="22"/>
                <w:szCs w:val="22"/>
                <w:lang w:eastAsia="en-GB"/>
              </w:rPr>
              <w:t xml:space="preserve">   Musculoskeletal</w:t>
            </w:r>
          </w:p>
        </w:tc>
        <w:tc>
          <w:tcPr>
            <w:tcW w:w="1500" w:type="dxa"/>
            <w:tcBorders>
              <w:top w:val="nil"/>
              <w:left w:val="nil"/>
              <w:bottom w:val="nil"/>
              <w:right w:val="nil"/>
            </w:tcBorders>
            <w:vAlign w:val="bottom"/>
          </w:tcPr>
          <w:p w14:paraId="1B54A9AF"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 xml:space="preserve">15 (10.5) </w:t>
            </w:r>
          </w:p>
        </w:tc>
        <w:tc>
          <w:tcPr>
            <w:tcW w:w="1500" w:type="dxa"/>
            <w:tcBorders>
              <w:top w:val="nil"/>
              <w:left w:val="nil"/>
              <w:bottom w:val="nil"/>
              <w:right w:val="nil"/>
            </w:tcBorders>
            <w:shd w:val="clear" w:color="auto" w:fill="auto"/>
            <w:noWrap/>
            <w:vAlign w:val="bottom"/>
          </w:tcPr>
          <w:p w14:paraId="19FE6A8E"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3 (5.7)</w:t>
            </w:r>
          </w:p>
        </w:tc>
        <w:tc>
          <w:tcPr>
            <w:tcW w:w="1440" w:type="dxa"/>
            <w:tcBorders>
              <w:top w:val="nil"/>
              <w:left w:val="nil"/>
              <w:bottom w:val="nil"/>
              <w:right w:val="nil"/>
            </w:tcBorders>
            <w:shd w:val="clear" w:color="auto" w:fill="auto"/>
            <w:noWrap/>
            <w:vAlign w:val="bottom"/>
          </w:tcPr>
          <w:p w14:paraId="504A841B" w14:textId="77777777" w:rsidR="000E43F0" w:rsidRPr="00E31DFB" w:rsidRDefault="000E43F0" w:rsidP="0082211B">
            <w:pPr>
              <w:jc w:val="center"/>
              <w:rPr>
                <w:rFonts w:ascii="Calibri" w:hAnsi="Calibri" w:cs="Calibri"/>
                <w:color w:val="000000"/>
                <w:sz w:val="22"/>
                <w:szCs w:val="22"/>
                <w:lang w:eastAsia="en-GB"/>
              </w:rPr>
            </w:pPr>
            <w:r>
              <w:rPr>
                <w:rFonts w:ascii="Calibri" w:hAnsi="Calibri" w:cs="Calibri"/>
                <w:color w:val="000000"/>
                <w:sz w:val="22"/>
                <w:szCs w:val="22"/>
                <w:lang w:eastAsia="en-GB"/>
              </w:rPr>
              <w:t>12 (13.3)</w:t>
            </w:r>
          </w:p>
        </w:tc>
        <w:tc>
          <w:tcPr>
            <w:tcW w:w="830" w:type="dxa"/>
            <w:tcBorders>
              <w:top w:val="nil"/>
              <w:left w:val="nil"/>
              <w:bottom w:val="nil"/>
              <w:right w:val="nil"/>
            </w:tcBorders>
            <w:shd w:val="clear" w:color="auto" w:fill="auto"/>
            <w:vAlign w:val="bottom"/>
          </w:tcPr>
          <w:p w14:paraId="55BAD454" w14:textId="77777777" w:rsidR="000E43F0" w:rsidRPr="00E31DFB" w:rsidRDefault="000E43F0" w:rsidP="0082211B">
            <w:pPr>
              <w:jc w:val="right"/>
              <w:rPr>
                <w:rFonts w:ascii="Calibri" w:hAnsi="Calibri" w:cs="Calibri"/>
                <w:color w:val="000000"/>
                <w:sz w:val="22"/>
                <w:szCs w:val="22"/>
                <w:lang w:eastAsia="en-GB"/>
              </w:rPr>
            </w:pPr>
            <w:r>
              <w:rPr>
                <w:rFonts w:ascii="Calibri" w:hAnsi="Calibri" w:cs="Calibri"/>
                <w:color w:val="000000"/>
                <w:sz w:val="22"/>
                <w:szCs w:val="22"/>
                <w:lang w:eastAsia="en-GB"/>
              </w:rPr>
              <w:t>0.148</w:t>
            </w:r>
          </w:p>
        </w:tc>
      </w:tr>
      <w:tr w:rsidR="0038512E" w:rsidRPr="00E31DFB" w14:paraId="3056FB39" w14:textId="77777777" w:rsidTr="00CF20ED">
        <w:trPr>
          <w:trHeight w:val="300"/>
        </w:trPr>
        <w:tc>
          <w:tcPr>
            <w:tcW w:w="4640" w:type="dxa"/>
            <w:tcBorders>
              <w:top w:val="nil"/>
              <w:left w:val="nil"/>
              <w:bottom w:val="nil"/>
              <w:right w:val="nil"/>
            </w:tcBorders>
            <w:shd w:val="clear" w:color="auto" w:fill="auto"/>
            <w:noWrap/>
            <w:vAlign w:val="bottom"/>
            <w:hideMark/>
          </w:tcPr>
          <w:p w14:paraId="238B9FFA"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Mean (SD) drinking days in past week</w:t>
            </w:r>
          </w:p>
        </w:tc>
        <w:tc>
          <w:tcPr>
            <w:tcW w:w="1500" w:type="dxa"/>
            <w:tcBorders>
              <w:top w:val="nil"/>
              <w:left w:val="nil"/>
              <w:bottom w:val="nil"/>
              <w:right w:val="nil"/>
            </w:tcBorders>
            <w:vAlign w:val="bottom"/>
          </w:tcPr>
          <w:p w14:paraId="3E84ED99"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2.66 (2.23)</w:t>
            </w:r>
          </w:p>
        </w:tc>
        <w:tc>
          <w:tcPr>
            <w:tcW w:w="1500" w:type="dxa"/>
            <w:tcBorders>
              <w:top w:val="nil"/>
              <w:left w:val="nil"/>
              <w:bottom w:val="nil"/>
              <w:right w:val="nil"/>
            </w:tcBorders>
            <w:shd w:val="clear" w:color="auto" w:fill="auto"/>
            <w:noWrap/>
            <w:vAlign w:val="bottom"/>
            <w:hideMark/>
          </w:tcPr>
          <w:p w14:paraId="0C9BCDC4"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3.55 (2.27)</w:t>
            </w:r>
          </w:p>
        </w:tc>
        <w:tc>
          <w:tcPr>
            <w:tcW w:w="1440" w:type="dxa"/>
            <w:tcBorders>
              <w:top w:val="nil"/>
              <w:left w:val="nil"/>
              <w:bottom w:val="nil"/>
              <w:right w:val="nil"/>
            </w:tcBorders>
            <w:shd w:val="clear" w:color="auto" w:fill="auto"/>
            <w:noWrap/>
            <w:vAlign w:val="bottom"/>
            <w:hideMark/>
          </w:tcPr>
          <w:p w14:paraId="5031A11C"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2.14 (2.05)</w:t>
            </w:r>
          </w:p>
        </w:tc>
        <w:tc>
          <w:tcPr>
            <w:tcW w:w="830" w:type="dxa"/>
            <w:tcBorders>
              <w:top w:val="nil"/>
              <w:left w:val="nil"/>
              <w:bottom w:val="nil"/>
              <w:right w:val="nil"/>
            </w:tcBorders>
            <w:shd w:val="clear" w:color="auto" w:fill="auto"/>
            <w:vAlign w:val="bottom"/>
            <w:hideMark/>
          </w:tcPr>
          <w:p w14:paraId="1AFE7EE6"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&lt;0.001</w:t>
            </w:r>
          </w:p>
        </w:tc>
      </w:tr>
      <w:tr w:rsidR="0038512E" w:rsidRPr="00E31DFB" w14:paraId="045806FC" w14:textId="77777777" w:rsidTr="00CF20ED">
        <w:trPr>
          <w:trHeight w:val="300"/>
        </w:trPr>
        <w:tc>
          <w:tcPr>
            <w:tcW w:w="4640" w:type="dxa"/>
            <w:tcBorders>
              <w:top w:val="nil"/>
              <w:left w:val="nil"/>
              <w:bottom w:val="nil"/>
              <w:right w:val="nil"/>
            </w:tcBorders>
            <w:shd w:val="clear" w:color="auto" w:fill="auto"/>
            <w:noWrap/>
            <w:vAlign w:val="bottom"/>
            <w:hideMark/>
          </w:tcPr>
          <w:p w14:paraId="13F07FFE"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 xml:space="preserve">Drinking 5 days per week or more </w:t>
            </w:r>
            <w:proofErr w:type="gramStart"/>
            <w:r w:rsidRPr="00E31DFB">
              <w:rPr>
                <w:rFonts w:ascii="Calibri" w:hAnsi="Calibri" w:cs="Calibri"/>
                <w:color w:val="000000"/>
                <w:sz w:val="22"/>
                <w:szCs w:val="22"/>
                <w:lang w:eastAsia="en-GB"/>
              </w:rPr>
              <w:t>n(</w:t>
            </w:r>
            <w:proofErr w:type="gramEnd"/>
            <w:r w:rsidRPr="00E31DFB">
              <w:rPr>
                <w:rFonts w:ascii="Calibri" w:hAnsi="Calibri" w:cs="Calibri"/>
                <w:color w:val="000000"/>
                <w:sz w:val="22"/>
                <w:szCs w:val="22"/>
                <w:lang w:eastAsia="en-GB"/>
              </w:rPr>
              <w:t>%)</w:t>
            </w:r>
          </w:p>
        </w:tc>
        <w:tc>
          <w:tcPr>
            <w:tcW w:w="1500" w:type="dxa"/>
            <w:tcBorders>
              <w:top w:val="nil"/>
              <w:left w:val="nil"/>
              <w:bottom w:val="nil"/>
              <w:right w:val="nil"/>
            </w:tcBorders>
            <w:vAlign w:val="bottom"/>
          </w:tcPr>
          <w:p w14:paraId="0C6AF54A"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32 (22.4)</w:t>
            </w:r>
          </w:p>
        </w:tc>
        <w:tc>
          <w:tcPr>
            <w:tcW w:w="1500" w:type="dxa"/>
            <w:tcBorders>
              <w:top w:val="nil"/>
              <w:left w:val="nil"/>
              <w:bottom w:val="nil"/>
              <w:right w:val="nil"/>
            </w:tcBorders>
            <w:shd w:val="clear" w:color="auto" w:fill="auto"/>
            <w:noWrap/>
            <w:vAlign w:val="bottom"/>
            <w:hideMark/>
          </w:tcPr>
          <w:p w14:paraId="7E50CC54"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19 (35.6)</w:t>
            </w:r>
          </w:p>
        </w:tc>
        <w:tc>
          <w:tcPr>
            <w:tcW w:w="1440" w:type="dxa"/>
            <w:tcBorders>
              <w:top w:val="nil"/>
              <w:left w:val="nil"/>
              <w:bottom w:val="nil"/>
              <w:right w:val="nil"/>
            </w:tcBorders>
            <w:shd w:val="clear" w:color="auto" w:fill="auto"/>
            <w:noWrap/>
            <w:vAlign w:val="bottom"/>
            <w:hideMark/>
          </w:tcPr>
          <w:p w14:paraId="7CBBB869"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13 (14.4)</w:t>
            </w:r>
          </w:p>
        </w:tc>
        <w:tc>
          <w:tcPr>
            <w:tcW w:w="830" w:type="dxa"/>
            <w:tcBorders>
              <w:top w:val="nil"/>
              <w:left w:val="nil"/>
              <w:bottom w:val="nil"/>
              <w:right w:val="nil"/>
            </w:tcBorders>
            <w:shd w:val="clear" w:color="auto" w:fill="auto"/>
            <w:vAlign w:val="bottom"/>
            <w:hideMark/>
          </w:tcPr>
          <w:p w14:paraId="489E84C3"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0.003</w:t>
            </w:r>
          </w:p>
        </w:tc>
      </w:tr>
      <w:tr w:rsidR="0038512E" w:rsidRPr="00E31DFB" w14:paraId="2A920FDB" w14:textId="77777777" w:rsidTr="00CF20ED">
        <w:trPr>
          <w:trHeight w:val="300"/>
        </w:trPr>
        <w:tc>
          <w:tcPr>
            <w:tcW w:w="4640" w:type="dxa"/>
            <w:tcBorders>
              <w:top w:val="nil"/>
              <w:left w:val="nil"/>
              <w:bottom w:val="nil"/>
              <w:right w:val="nil"/>
            </w:tcBorders>
            <w:shd w:val="clear" w:color="auto" w:fill="auto"/>
            <w:noWrap/>
            <w:vAlign w:val="bottom"/>
            <w:hideMark/>
          </w:tcPr>
          <w:p w14:paraId="4010925E"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Mean (SD) units per drinking day</w:t>
            </w:r>
          </w:p>
        </w:tc>
        <w:tc>
          <w:tcPr>
            <w:tcW w:w="1500" w:type="dxa"/>
            <w:tcBorders>
              <w:top w:val="nil"/>
              <w:left w:val="nil"/>
              <w:bottom w:val="nil"/>
              <w:right w:val="nil"/>
            </w:tcBorders>
            <w:vAlign w:val="bottom"/>
          </w:tcPr>
          <w:p w14:paraId="56CBE90D"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3.73 (3.97)</w:t>
            </w:r>
          </w:p>
        </w:tc>
        <w:tc>
          <w:tcPr>
            <w:tcW w:w="1500" w:type="dxa"/>
            <w:tcBorders>
              <w:top w:val="nil"/>
              <w:left w:val="nil"/>
              <w:bottom w:val="nil"/>
              <w:right w:val="nil"/>
            </w:tcBorders>
            <w:shd w:val="clear" w:color="auto" w:fill="auto"/>
            <w:noWrap/>
            <w:vAlign w:val="bottom"/>
            <w:hideMark/>
          </w:tcPr>
          <w:p w14:paraId="67B88DCF"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4.72 (4.25)</w:t>
            </w:r>
          </w:p>
        </w:tc>
        <w:tc>
          <w:tcPr>
            <w:tcW w:w="1440" w:type="dxa"/>
            <w:tcBorders>
              <w:top w:val="nil"/>
              <w:left w:val="nil"/>
              <w:bottom w:val="nil"/>
              <w:right w:val="nil"/>
            </w:tcBorders>
            <w:shd w:val="clear" w:color="auto" w:fill="auto"/>
            <w:noWrap/>
            <w:vAlign w:val="bottom"/>
            <w:hideMark/>
          </w:tcPr>
          <w:p w14:paraId="2E25223B"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3.08 (3.67)</w:t>
            </w:r>
          </w:p>
        </w:tc>
        <w:tc>
          <w:tcPr>
            <w:tcW w:w="830" w:type="dxa"/>
            <w:tcBorders>
              <w:top w:val="nil"/>
              <w:left w:val="nil"/>
              <w:bottom w:val="nil"/>
              <w:right w:val="nil"/>
            </w:tcBorders>
            <w:shd w:val="clear" w:color="auto" w:fill="auto"/>
            <w:vAlign w:val="bottom"/>
            <w:hideMark/>
          </w:tcPr>
          <w:p w14:paraId="619EF7B7"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0.027</w:t>
            </w:r>
          </w:p>
        </w:tc>
      </w:tr>
      <w:tr w:rsidR="0038512E" w:rsidRPr="00E31DFB" w14:paraId="427B6738" w14:textId="77777777" w:rsidTr="00CF20ED">
        <w:trPr>
          <w:trHeight w:val="300"/>
        </w:trPr>
        <w:tc>
          <w:tcPr>
            <w:tcW w:w="4640" w:type="dxa"/>
            <w:tcBorders>
              <w:top w:val="nil"/>
              <w:left w:val="nil"/>
              <w:bottom w:val="nil"/>
              <w:right w:val="nil"/>
            </w:tcBorders>
            <w:shd w:val="clear" w:color="auto" w:fill="auto"/>
            <w:noWrap/>
            <w:vAlign w:val="bottom"/>
            <w:hideMark/>
          </w:tcPr>
          <w:p w14:paraId="40771F5F" w14:textId="123188EC" w:rsidR="0038512E" w:rsidRPr="00E31DFB" w:rsidRDefault="0038512E" w:rsidP="00CF20ED">
            <w:pPr>
              <w:rPr>
                <w:rFonts w:ascii="Calibri" w:hAnsi="Calibri" w:cs="Calibri"/>
                <w:color w:val="000000"/>
                <w:sz w:val="22"/>
                <w:szCs w:val="22"/>
                <w:lang w:eastAsia="en-GB"/>
              </w:rPr>
            </w:pPr>
            <w:r>
              <w:rPr>
                <w:rFonts w:ascii="Calibri" w:hAnsi="Calibri" w:cs="Calibri"/>
                <w:color w:val="000000"/>
                <w:sz w:val="22"/>
                <w:szCs w:val="22"/>
                <w:lang w:eastAsia="en-GB"/>
              </w:rPr>
              <w:t>Positive screen</w:t>
            </w:r>
            <w:r w:rsidR="004A2CD3">
              <w:rPr>
                <w:rFonts w:asciiTheme="minorHAnsi" w:hAnsiTheme="minorHAnsi" w:cstheme="minorHAnsi"/>
                <w:sz w:val="22"/>
                <w:szCs w:val="22"/>
                <w:vertAlign w:val="superscript"/>
              </w:rPr>
              <w:t>2</w:t>
            </w:r>
            <w:r>
              <w:rPr>
                <w:rFonts w:ascii="Calibri" w:hAnsi="Calibri" w:cs="Calibri"/>
                <w:color w:val="000000"/>
                <w:sz w:val="22"/>
                <w:szCs w:val="22"/>
                <w:lang w:eastAsia="en-GB"/>
              </w:rPr>
              <w:t xml:space="preserve"> </w:t>
            </w:r>
            <w:proofErr w:type="gramStart"/>
            <w:r w:rsidRPr="00E31DFB">
              <w:rPr>
                <w:rFonts w:ascii="Calibri" w:hAnsi="Calibri" w:cs="Calibri"/>
                <w:color w:val="000000"/>
                <w:sz w:val="22"/>
                <w:szCs w:val="22"/>
                <w:lang w:eastAsia="en-GB"/>
              </w:rPr>
              <w:t>n(</w:t>
            </w:r>
            <w:proofErr w:type="gramEnd"/>
            <w:r w:rsidRPr="00E31DFB">
              <w:rPr>
                <w:rFonts w:ascii="Calibri" w:hAnsi="Calibri" w:cs="Calibri"/>
                <w:color w:val="000000"/>
                <w:sz w:val="22"/>
                <w:szCs w:val="22"/>
                <w:lang w:eastAsia="en-GB"/>
              </w:rPr>
              <w:t>%)</w:t>
            </w:r>
          </w:p>
        </w:tc>
        <w:tc>
          <w:tcPr>
            <w:tcW w:w="1500" w:type="dxa"/>
            <w:tcBorders>
              <w:top w:val="nil"/>
              <w:left w:val="nil"/>
              <w:bottom w:val="nil"/>
              <w:right w:val="nil"/>
            </w:tcBorders>
            <w:vAlign w:val="bottom"/>
          </w:tcPr>
          <w:p w14:paraId="34FB5F0C"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33 (23.1)</w:t>
            </w:r>
          </w:p>
        </w:tc>
        <w:tc>
          <w:tcPr>
            <w:tcW w:w="1500" w:type="dxa"/>
            <w:tcBorders>
              <w:top w:val="nil"/>
              <w:left w:val="nil"/>
              <w:bottom w:val="nil"/>
              <w:right w:val="nil"/>
            </w:tcBorders>
            <w:shd w:val="clear" w:color="auto" w:fill="auto"/>
            <w:noWrap/>
            <w:vAlign w:val="bottom"/>
            <w:hideMark/>
          </w:tcPr>
          <w:p w14:paraId="2A7A198A"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20 (37.7)</w:t>
            </w:r>
          </w:p>
        </w:tc>
        <w:tc>
          <w:tcPr>
            <w:tcW w:w="1440" w:type="dxa"/>
            <w:tcBorders>
              <w:top w:val="nil"/>
              <w:left w:val="nil"/>
              <w:bottom w:val="nil"/>
              <w:right w:val="nil"/>
            </w:tcBorders>
            <w:shd w:val="clear" w:color="auto" w:fill="auto"/>
            <w:noWrap/>
            <w:vAlign w:val="bottom"/>
            <w:hideMark/>
          </w:tcPr>
          <w:p w14:paraId="2932963B"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13 (14.4)</w:t>
            </w:r>
          </w:p>
        </w:tc>
        <w:tc>
          <w:tcPr>
            <w:tcW w:w="830" w:type="dxa"/>
            <w:tcBorders>
              <w:top w:val="nil"/>
              <w:left w:val="nil"/>
              <w:bottom w:val="nil"/>
              <w:right w:val="nil"/>
            </w:tcBorders>
            <w:shd w:val="clear" w:color="auto" w:fill="auto"/>
            <w:vAlign w:val="bottom"/>
            <w:hideMark/>
          </w:tcPr>
          <w:p w14:paraId="14BA19C5"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0.001</w:t>
            </w:r>
          </w:p>
        </w:tc>
      </w:tr>
      <w:tr w:rsidR="0038512E" w:rsidRPr="00E31DFB" w14:paraId="3439CB38" w14:textId="77777777" w:rsidTr="00CF20ED">
        <w:trPr>
          <w:trHeight w:val="300"/>
        </w:trPr>
        <w:tc>
          <w:tcPr>
            <w:tcW w:w="4640" w:type="dxa"/>
            <w:tcBorders>
              <w:top w:val="nil"/>
              <w:left w:val="nil"/>
              <w:bottom w:val="nil"/>
              <w:right w:val="nil"/>
            </w:tcBorders>
            <w:shd w:val="clear" w:color="auto" w:fill="auto"/>
            <w:noWrap/>
            <w:vAlign w:val="bottom"/>
            <w:hideMark/>
          </w:tcPr>
          <w:p w14:paraId="1333A238"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Mean (SD) total AUDIT-C score</w:t>
            </w:r>
          </w:p>
        </w:tc>
        <w:tc>
          <w:tcPr>
            <w:tcW w:w="1500" w:type="dxa"/>
            <w:tcBorders>
              <w:top w:val="nil"/>
              <w:left w:val="nil"/>
              <w:bottom w:val="nil"/>
              <w:right w:val="nil"/>
            </w:tcBorders>
            <w:vAlign w:val="bottom"/>
          </w:tcPr>
          <w:p w14:paraId="3EE2EDC6"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4.03 (2.80)</w:t>
            </w:r>
          </w:p>
        </w:tc>
        <w:tc>
          <w:tcPr>
            <w:tcW w:w="1500" w:type="dxa"/>
            <w:tcBorders>
              <w:top w:val="nil"/>
              <w:left w:val="nil"/>
              <w:bottom w:val="nil"/>
              <w:right w:val="nil"/>
            </w:tcBorders>
            <w:shd w:val="clear" w:color="auto" w:fill="auto"/>
            <w:noWrap/>
            <w:vAlign w:val="bottom"/>
            <w:hideMark/>
          </w:tcPr>
          <w:p w14:paraId="22C89DF2"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5.15 (3.07)</w:t>
            </w:r>
          </w:p>
        </w:tc>
        <w:tc>
          <w:tcPr>
            <w:tcW w:w="1440" w:type="dxa"/>
            <w:tcBorders>
              <w:top w:val="nil"/>
              <w:left w:val="nil"/>
              <w:bottom w:val="nil"/>
              <w:right w:val="nil"/>
            </w:tcBorders>
            <w:shd w:val="clear" w:color="auto" w:fill="auto"/>
            <w:noWrap/>
            <w:vAlign w:val="bottom"/>
            <w:hideMark/>
          </w:tcPr>
          <w:p w14:paraId="05601EAA"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3.38 (2.42)</w:t>
            </w:r>
          </w:p>
        </w:tc>
        <w:tc>
          <w:tcPr>
            <w:tcW w:w="830" w:type="dxa"/>
            <w:tcBorders>
              <w:top w:val="nil"/>
              <w:left w:val="nil"/>
              <w:bottom w:val="nil"/>
              <w:right w:val="nil"/>
            </w:tcBorders>
            <w:shd w:val="clear" w:color="auto" w:fill="auto"/>
            <w:vAlign w:val="bottom"/>
            <w:hideMark/>
          </w:tcPr>
          <w:p w14:paraId="538519C0"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&lt;0.001</w:t>
            </w:r>
          </w:p>
        </w:tc>
      </w:tr>
      <w:tr w:rsidR="0038512E" w:rsidRPr="00E31DFB" w14:paraId="011E09A4" w14:textId="77777777" w:rsidTr="00CF20ED">
        <w:trPr>
          <w:trHeight w:val="300"/>
        </w:trPr>
        <w:tc>
          <w:tcPr>
            <w:tcW w:w="4640" w:type="dxa"/>
            <w:tcBorders>
              <w:top w:val="nil"/>
              <w:left w:val="nil"/>
              <w:bottom w:val="nil"/>
              <w:right w:val="nil"/>
            </w:tcBorders>
            <w:shd w:val="clear" w:color="auto" w:fill="auto"/>
            <w:noWrap/>
            <w:vAlign w:val="bottom"/>
            <w:hideMark/>
          </w:tcPr>
          <w:p w14:paraId="2835EF79"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 xml:space="preserve">Mean (SD) AUDIT-C item 1 </w:t>
            </w:r>
            <w:r>
              <w:rPr>
                <w:rFonts w:ascii="Calibri" w:hAnsi="Calibri" w:cs="Calibri"/>
                <w:color w:val="000000"/>
                <w:sz w:val="22"/>
                <w:szCs w:val="22"/>
                <w:lang w:eastAsia="en-GB"/>
              </w:rPr>
              <w:t xml:space="preserve">(frequency) </w:t>
            </w:r>
            <w:r w:rsidRPr="00E31DFB">
              <w:rPr>
                <w:rFonts w:ascii="Calibri" w:hAnsi="Calibri" w:cs="Calibri"/>
                <w:color w:val="000000"/>
                <w:sz w:val="22"/>
                <w:szCs w:val="22"/>
                <w:lang w:eastAsia="en-GB"/>
              </w:rPr>
              <w:t>score</w:t>
            </w:r>
          </w:p>
        </w:tc>
        <w:tc>
          <w:tcPr>
            <w:tcW w:w="1500" w:type="dxa"/>
            <w:tcBorders>
              <w:top w:val="nil"/>
              <w:left w:val="nil"/>
              <w:bottom w:val="nil"/>
              <w:right w:val="nil"/>
            </w:tcBorders>
            <w:vAlign w:val="bottom"/>
          </w:tcPr>
          <w:p w14:paraId="3830BD6A"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2.50 (1.13)</w:t>
            </w:r>
          </w:p>
        </w:tc>
        <w:tc>
          <w:tcPr>
            <w:tcW w:w="1500" w:type="dxa"/>
            <w:tcBorders>
              <w:top w:val="nil"/>
              <w:left w:val="nil"/>
              <w:bottom w:val="nil"/>
              <w:right w:val="nil"/>
            </w:tcBorders>
            <w:shd w:val="clear" w:color="auto" w:fill="auto"/>
            <w:noWrap/>
            <w:vAlign w:val="bottom"/>
            <w:hideMark/>
          </w:tcPr>
          <w:p w14:paraId="40DF57C9"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2.92 (1.09)</w:t>
            </w:r>
          </w:p>
        </w:tc>
        <w:tc>
          <w:tcPr>
            <w:tcW w:w="1440" w:type="dxa"/>
            <w:tcBorders>
              <w:top w:val="nil"/>
              <w:left w:val="nil"/>
              <w:bottom w:val="nil"/>
              <w:right w:val="nil"/>
            </w:tcBorders>
            <w:shd w:val="clear" w:color="auto" w:fill="auto"/>
            <w:noWrap/>
            <w:vAlign w:val="bottom"/>
            <w:hideMark/>
          </w:tcPr>
          <w:p w14:paraId="53379069"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2.26 (1.09)</w:t>
            </w:r>
          </w:p>
        </w:tc>
        <w:tc>
          <w:tcPr>
            <w:tcW w:w="830" w:type="dxa"/>
            <w:tcBorders>
              <w:top w:val="nil"/>
              <w:left w:val="nil"/>
              <w:bottom w:val="nil"/>
              <w:right w:val="nil"/>
            </w:tcBorders>
            <w:shd w:val="clear" w:color="auto" w:fill="auto"/>
            <w:vAlign w:val="bottom"/>
            <w:hideMark/>
          </w:tcPr>
          <w:p w14:paraId="15ABF68C"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&lt;0.001</w:t>
            </w:r>
          </w:p>
        </w:tc>
      </w:tr>
      <w:tr w:rsidR="0038512E" w:rsidRPr="00E31DFB" w14:paraId="52BFA696" w14:textId="77777777" w:rsidTr="00CF20ED">
        <w:trPr>
          <w:trHeight w:val="300"/>
        </w:trPr>
        <w:tc>
          <w:tcPr>
            <w:tcW w:w="4640" w:type="dxa"/>
            <w:tcBorders>
              <w:top w:val="nil"/>
              <w:left w:val="nil"/>
              <w:bottom w:val="nil"/>
              <w:right w:val="nil"/>
            </w:tcBorders>
            <w:shd w:val="clear" w:color="auto" w:fill="auto"/>
            <w:noWrap/>
            <w:vAlign w:val="bottom"/>
            <w:hideMark/>
          </w:tcPr>
          <w:p w14:paraId="78649591"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 xml:space="preserve">Mean (SD) AUDIT-C item 2 </w:t>
            </w:r>
            <w:r>
              <w:rPr>
                <w:rFonts w:ascii="Calibri" w:hAnsi="Calibri" w:cs="Calibri"/>
                <w:color w:val="000000"/>
                <w:sz w:val="22"/>
                <w:szCs w:val="22"/>
                <w:lang w:eastAsia="en-GB"/>
              </w:rPr>
              <w:t xml:space="preserve">(quantity) </w:t>
            </w:r>
            <w:r w:rsidRPr="00E31DFB">
              <w:rPr>
                <w:rFonts w:ascii="Calibri" w:hAnsi="Calibri" w:cs="Calibri"/>
                <w:color w:val="000000"/>
                <w:sz w:val="22"/>
                <w:szCs w:val="22"/>
                <w:lang w:eastAsia="en-GB"/>
              </w:rPr>
              <w:t>score</w:t>
            </w:r>
            <w:r>
              <w:rPr>
                <w:rFonts w:ascii="Calibri" w:hAnsi="Calibri" w:cs="Calibri"/>
                <w:color w:val="000000"/>
                <w:sz w:val="22"/>
                <w:szCs w:val="22"/>
                <w:lang w:eastAsia="en-GB"/>
              </w:rPr>
              <w:t xml:space="preserve"> </w:t>
            </w:r>
          </w:p>
        </w:tc>
        <w:tc>
          <w:tcPr>
            <w:tcW w:w="1500" w:type="dxa"/>
            <w:tcBorders>
              <w:top w:val="nil"/>
              <w:left w:val="nil"/>
              <w:bottom w:val="nil"/>
              <w:right w:val="nil"/>
            </w:tcBorders>
            <w:vAlign w:val="bottom"/>
          </w:tcPr>
          <w:p w14:paraId="45CAD656"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0.73 (1.11)</w:t>
            </w:r>
          </w:p>
        </w:tc>
        <w:tc>
          <w:tcPr>
            <w:tcW w:w="1500" w:type="dxa"/>
            <w:tcBorders>
              <w:top w:val="nil"/>
              <w:left w:val="nil"/>
              <w:bottom w:val="nil"/>
              <w:right w:val="nil"/>
            </w:tcBorders>
            <w:shd w:val="clear" w:color="auto" w:fill="auto"/>
            <w:noWrap/>
            <w:vAlign w:val="bottom"/>
            <w:hideMark/>
          </w:tcPr>
          <w:p w14:paraId="118D6D99"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1.17 (1.31)</w:t>
            </w:r>
          </w:p>
        </w:tc>
        <w:tc>
          <w:tcPr>
            <w:tcW w:w="1440" w:type="dxa"/>
            <w:tcBorders>
              <w:top w:val="nil"/>
              <w:left w:val="nil"/>
              <w:bottom w:val="nil"/>
              <w:right w:val="nil"/>
            </w:tcBorders>
            <w:shd w:val="clear" w:color="auto" w:fill="auto"/>
            <w:noWrap/>
            <w:vAlign w:val="bottom"/>
            <w:hideMark/>
          </w:tcPr>
          <w:p w14:paraId="79B23D94"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0.48 (0.89)</w:t>
            </w:r>
          </w:p>
        </w:tc>
        <w:tc>
          <w:tcPr>
            <w:tcW w:w="830" w:type="dxa"/>
            <w:tcBorders>
              <w:top w:val="nil"/>
              <w:left w:val="nil"/>
              <w:bottom w:val="nil"/>
              <w:right w:val="nil"/>
            </w:tcBorders>
            <w:shd w:val="clear" w:color="auto" w:fill="auto"/>
            <w:vAlign w:val="bottom"/>
            <w:hideMark/>
          </w:tcPr>
          <w:p w14:paraId="45F13D0B"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&lt;0.001</w:t>
            </w:r>
          </w:p>
        </w:tc>
      </w:tr>
      <w:tr w:rsidR="0038512E" w:rsidRPr="00E31DFB" w14:paraId="4C7AC061" w14:textId="77777777" w:rsidTr="00CF20ED">
        <w:trPr>
          <w:trHeight w:val="300"/>
        </w:trPr>
        <w:tc>
          <w:tcPr>
            <w:tcW w:w="4640" w:type="dxa"/>
            <w:tcBorders>
              <w:top w:val="nil"/>
              <w:left w:val="nil"/>
              <w:bottom w:val="single" w:sz="4" w:space="0" w:color="auto"/>
              <w:right w:val="nil"/>
            </w:tcBorders>
            <w:shd w:val="clear" w:color="auto" w:fill="auto"/>
            <w:noWrap/>
            <w:vAlign w:val="bottom"/>
            <w:hideMark/>
          </w:tcPr>
          <w:p w14:paraId="1D66AF4C" w14:textId="77777777" w:rsidR="0038512E" w:rsidRPr="00E31DFB" w:rsidRDefault="0038512E" w:rsidP="00CF20ED">
            <w:pPr>
              <w:rPr>
                <w:rFonts w:ascii="Calibri" w:hAnsi="Calibri" w:cs="Calibri"/>
                <w:color w:val="000000"/>
                <w:sz w:val="22"/>
                <w:szCs w:val="22"/>
                <w:lang w:eastAsia="en-GB"/>
              </w:rPr>
            </w:pPr>
            <w:r w:rsidRPr="00E31DFB">
              <w:rPr>
                <w:rFonts w:ascii="Calibri" w:hAnsi="Calibri" w:cs="Calibri"/>
                <w:color w:val="000000"/>
                <w:sz w:val="22"/>
                <w:szCs w:val="22"/>
                <w:lang w:eastAsia="en-GB"/>
              </w:rPr>
              <w:t xml:space="preserve">Mean (SD) AUDIT-C item 3 </w:t>
            </w:r>
            <w:r>
              <w:rPr>
                <w:rFonts w:ascii="Calibri" w:hAnsi="Calibri" w:cs="Calibri"/>
                <w:color w:val="000000"/>
                <w:sz w:val="22"/>
                <w:szCs w:val="22"/>
                <w:lang w:eastAsia="en-GB"/>
              </w:rPr>
              <w:t>(</w:t>
            </w:r>
            <w:r w:rsidR="00CF20ED">
              <w:rPr>
                <w:rFonts w:ascii="Calibri" w:hAnsi="Calibri" w:cs="Calibri"/>
                <w:color w:val="000000"/>
                <w:sz w:val="22"/>
                <w:szCs w:val="22"/>
                <w:lang w:eastAsia="en-GB"/>
              </w:rPr>
              <w:t>heavy episodic)</w:t>
            </w:r>
            <w:r>
              <w:rPr>
                <w:rFonts w:ascii="Calibri" w:hAnsi="Calibri" w:cs="Calibri"/>
                <w:color w:val="000000"/>
                <w:sz w:val="22"/>
                <w:szCs w:val="22"/>
                <w:lang w:eastAsia="en-GB"/>
              </w:rPr>
              <w:t xml:space="preserve"> </w:t>
            </w:r>
            <w:r w:rsidRPr="00E31DFB">
              <w:rPr>
                <w:rFonts w:ascii="Calibri" w:hAnsi="Calibri" w:cs="Calibri"/>
                <w:color w:val="000000"/>
                <w:sz w:val="22"/>
                <w:szCs w:val="22"/>
                <w:lang w:eastAsia="en-GB"/>
              </w:rPr>
              <w:t>score</w:t>
            </w:r>
          </w:p>
        </w:tc>
        <w:tc>
          <w:tcPr>
            <w:tcW w:w="1500" w:type="dxa"/>
            <w:tcBorders>
              <w:top w:val="nil"/>
              <w:left w:val="nil"/>
              <w:bottom w:val="single" w:sz="4" w:space="0" w:color="auto"/>
              <w:right w:val="nil"/>
            </w:tcBorders>
            <w:vAlign w:val="bottom"/>
          </w:tcPr>
          <w:p w14:paraId="075FB22E"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0.80 (1.20)</w:t>
            </w:r>
          </w:p>
        </w:tc>
        <w:tc>
          <w:tcPr>
            <w:tcW w:w="1500" w:type="dxa"/>
            <w:tcBorders>
              <w:top w:val="nil"/>
              <w:left w:val="nil"/>
              <w:bottom w:val="single" w:sz="4" w:space="0" w:color="auto"/>
              <w:right w:val="nil"/>
            </w:tcBorders>
            <w:shd w:val="clear" w:color="auto" w:fill="auto"/>
            <w:noWrap/>
            <w:vAlign w:val="bottom"/>
            <w:hideMark/>
          </w:tcPr>
          <w:p w14:paraId="7D4351B2"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1.06 (1.32)</w:t>
            </w:r>
          </w:p>
        </w:tc>
        <w:tc>
          <w:tcPr>
            <w:tcW w:w="1440" w:type="dxa"/>
            <w:tcBorders>
              <w:top w:val="nil"/>
              <w:left w:val="nil"/>
              <w:bottom w:val="single" w:sz="4" w:space="0" w:color="auto"/>
              <w:right w:val="nil"/>
            </w:tcBorders>
            <w:shd w:val="clear" w:color="auto" w:fill="auto"/>
            <w:noWrap/>
            <w:vAlign w:val="bottom"/>
            <w:hideMark/>
          </w:tcPr>
          <w:p w14:paraId="1AA20257" w14:textId="77777777" w:rsidR="0038512E" w:rsidRPr="00E31DFB" w:rsidRDefault="0038512E" w:rsidP="00CF20ED">
            <w:pPr>
              <w:jc w:val="center"/>
              <w:rPr>
                <w:rFonts w:ascii="Calibri" w:hAnsi="Calibri" w:cs="Calibri"/>
                <w:color w:val="000000"/>
                <w:sz w:val="22"/>
                <w:szCs w:val="22"/>
                <w:lang w:eastAsia="en-GB"/>
              </w:rPr>
            </w:pPr>
            <w:r w:rsidRPr="00E31DFB">
              <w:rPr>
                <w:rFonts w:ascii="Calibri" w:hAnsi="Calibri" w:cs="Calibri"/>
                <w:color w:val="000000"/>
                <w:sz w:val="22"/>
                <w:szCs w:val="22"/>
                <w:lang w:eastAsia="en-GB"/>
              </w:rPr>
              <w:t>0.64 (1.08)</w:t>
            </w:r>
          </w:p>
        </w:tc>
        <w:tc>
          <w:tcPr>
            <w:tcW w:w="830" w:type="dxa"/>
            <w:tcBorders>
              <w:top w:val="nil"/>
              <w:left w:val="nil"/>
              <w:bottom w:val="single" w:sz="4" w:space="0" w:color="auto"/>
              <w:right w:val="nil"/>
            </w:tcBorders>
            <w:shd w:val="clear" w:color="auto" w:fill="auto"/>
            <w:vAlign w:val="bottom"/>
            <w:hideMark/>
          </w:tcPr>
          <w:p w14:paraId="54409401" w14:textId="77777777" w:rsidR="0038512E" w:rsidRPr="00E31DFB" w:rsidRDefault="0038512E" w:rsidP="00CF20ED">
            <w:pPr>
              <w:jc w:val="right"/>
              <w:rPr>
                <w:rFonts w:ascii="Calibri" w:hAnsi="Calibri" w:cs="Calibri"/>
                <w:color w:val="000000"/>
                <w:sz w:val="22"/>
                <w:szCs w:val="22"/>
                <w:lang w:eastAsia="en-GB"/>
              </w:rPr>
            </w:pPr>
            <w:r w:rsidRPr="00E31DFB">
              <w:rPr>
                <w:rFonts w:ascii="Calibri" w:hAnsi="Calibri" w:cs="Calibri"/>
                <w:color w:val="000000"/>
                <w:sz w:val="22"/>
                <w:szCs w:val="22"/>
                <w:lang w:eastAsia="en-GB"/>
              </w:rPr>
              <w:t>0.045</w:t>
            </w:r>
          </w:p>
        </w:tc>
      </w:tr>
    </w:tbl>
    <w:p w14:paraId="1C333729" w14:textId="115E6E93" w:rsidR="0038512E" w:rsidRDefault="0038512E" w:rsidP="00CF20ED">
      <w:pPr>
        <w:rPr>
          <w:rFonts w:asciiTheme="minorHAnsi" w:hAnsiTheme="minorHAnsi" w:cstheme="minorHAnsi"/>
          <w:sz w:val="22"/>
          <w:szCs w:val="22"/>
        </w:rPr>
      </w:pPr>
      <w:r>
        <w:rPr>
          <w:rFonts w:asciiTheme="minorHAnsi" w:hAnsiTheme="minorHAnsi" w:cstheme="minorHAnsi"/>
          <w:sz w:val="22"/>
          <w:szCs w:val="22"/>
        </w:rPr>
        <w:t xml:space="preserve">Note: </w:t>
      </w:r>
      <w:r w:rsidR="00931D7E" w:rsidRPr="00931D7E">
        <w:rPr>
          <w:rFonts w:asciiTheme="minorHAnsi" w:hAnsiTheme="minorHAnsi" w:cstheme="minorHAnsi"/>
          <w:sz w:val="22"/>
          <w:szCs w:val="22"/>
          <w:vertAlign w:val="superscript"/>
        </w:rPr>
        <w:t>1</w:t>
      </w:r>
      <w:r w:rsidR="00931D7E">
        <w:rPr>
          <w:rFonts w:asciiTheme="minorHAnsi" w:hAnsiTheme="minorHAnsi" w:cstheme="minorHAnsi"/>
          <w:sz w:val="22"/>
          <w:szCs w:val="22"/>
        </w:rPr>
        <w:t xml:space="preserve">P values are for comparisons of men and women; </w:t>
      </w:r>
      <w:r w:rsidR="00931D7E">
        <w:rPr>
          <w:rFonts w:asciiTheme="minorHAnsi" w:hAnsiTheme="minorHAnsi" w:cstheme="minorHAnsi"/>
          <w:sz w:val="22"/>
          <w:szCs w:val="22"/>
          <w:vertAlign w:val="superscript"/>
        </w:rPr>
        <w:t>2</w:t>
      </w:r>
      <w:r w:rsidRPr="00E31DFB">
        <w:rPr>
          <w:rFonts w:ascii="Calibri" w:hAnsi="Calibri" w:cs="Calibri"/>
          <w:color w:val="000000"/>
          <w:sz w:val="22"/>
          <w:szCs w:val="22"/>
          <w:lang w:eastAsia="en-GB"/>
        </w:rPr>
        <w:t xml:space="preserve">Drinking above </w:t>
      </w:r>
      <w:r>
        <w:rPr>
          <w:rFonts w:ascii="Calibri" w:hAnsi="Calibri" w:cs="Calibri"/>
          <w:color w:val="000000"/>
          <w:sz w:val="22"/>
          <w:szCs w:val="22"/>
          <w:lang w:eastAsia="en-GB"/>
        </w:rPr>
        <w:t xml:space="preserve">UK recommended limits of 14 units for men and women. </w:t>
      </w:r>
    </w:p>
    <w:p w14:paraId="73D7E546" w14:textId="77777777" w:rsidR="0038512E" w:rsidRDefault="0038512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3C83B646" w14:textId="77777777" w:rsidR="0038512E" w:rsidRDefault="0038512E" w:rsidP="00CF20ED">
      <w:r w:rsidRPr="00C0698C">
        <w:rPr>
          <w:rFonts w:asciiTheme="minorHAnsi" w:hAnsiTheme="minorHAnsi" w:cstheme="minorHAnsi"/>
          <w:b/>
          <w:sz w:val="22"/>
          <w:szCs w:val="22"/>
        </w:rPr>
        <w:lastRenderedPageBreak/>
        <w:t>T</w:t>
      </w:r>
      <w:r>
        <w:rPr>
          <w:rFonts w:asciiTheme="minorHAnsi" w:hAnsiTheme="minorHAnsi" w:cstheme="minorHAnsi"/>
          <w:b/>
          <w:sz w:val="22"/>
          <w:szCs w:val="22"/>
        </w:rPr>
        <w:t>able 2: T</w:t>
      </w:r>
      <w:r w:rsidRPr="00C0698C">
        <w:rPr>
          <w:rFonts w:asciiTheme="minorHAnsi" w:hAnsiTheme="minorHAnsi" w:cstheme="minorHAnsi"/>
          <w:b/>
          <w:sz w:val="22"/>
          <w:szCs w:val="22"/>
        </w:rPr>
        <w:t xml:space="preserve">otal AUDIT-C thresholds for </w:t>
      </w:r>
      <w:r>
        <w:rPr>
          <w:rFonts w:asciiTheme="minorHAnsi" w:hAnsiTheme="minorHAnsi" w:cstheme="minorHAnsi"/>
          <w:b/>
          <w:sz w:val="22"/>
          <w:szCs w:val="22"/>
        </w:rPr>
        <w:t>a positive screen</w:t>
      </w:r>
      <w:r w:rsidRPr="009A05A8">
        <w:rPr>
          <w:rFonts w:asciiTheme="minorHAnsi" w:hAnsiTheme="minorHAnsi" w:cstheme="minorHAnsi"/>
          <w:b/>
          <w:sz w:val="22"/>
          <w:szCs w:val="22"/>
          <w:vertAlign w:val="superscript"/>
        </w:rPr>
        <w:t>1</w:t>
      </w:r>
    </w:p>
    <w:p w14:paraId="23F48169" w14:textId="77777777" w:rsidR="006D0908" w:rsidRDefault="006D0908" w:rsidP="00CF20ED">
      <w:pPr>
        <w:rPr>
          <w:rFonts w:asciiTheme="minorHAnsi" w:hAnsiTheme="minorHAnsi" w:cstheme="minorHAnsi"/>
          <w:sz w:val="22"/>
          <w:szCs w:val="22"/>
        </w:rPr>
      </w:pPr>
    </w:p>
    <w:tbl>
      <w:tblPr>
        <w:tblW w:w="10632" w:type="dxa"/>
        <w:tblInd w:w="-797" w:type="dxa"/>
        <w:tblLayout w:type="fixed"/>
        <w:tblLook w:val="04A0" w:firstRow="1" w:lastRow="0" w:firstColumn="1" w:lastColumn="0" w:noHBand="0" w:noVBand="1"/>
      </w:tblPr>
      <w:tblGrid>
        <w:gridCol w:w="930"/>
        <w:gridCol w:w="720"/>
        <w:gridCol w:w="643"/>
        <w:gridCol w:w="642"/>
        <w:gridCol w:w="659"/>
        <w:gridCol w:w="645"/>
        <w:gridCol w:w="1715"/>
        <w:gridCol w:w="695"/>
        <w:gridCol w:w="722"/>
        <w:gridCol w:w="709"/>
        <w:gridCol w:w="851"/>
        <w:gridCol w:w="1701"/>
      </w:tblGrid>
      <w:tr w:rsidR="0071164E" w:rsidRPr="009E6490" w14:paraId="25ADF2C5" w14:textId="77777777" w:rsidTr="00AD6FE2">
        <w:trPr>
          <w:trHeight w:val="261"/>
        </w:trPr>
        <w:tc>
          <w:tcPr>
            <w:tcW w:w="930" w:type="dxa"/>
            <w:tcBorders>
              <w:top w:val="single" w:sz="4" w:space="0" w:color="auto"/>
              <w:left w:val="nil"/>
              <w:right w:val="nil"/>
            </w:tcBorders>
            <w:shd w:val="clear" w:color="auto" w:fill="auto"/>
            <w:noWrap/>
            <w:vAlign w:val="bottom"/>
          </w:tcPr>
          <w:p w14:paraId="761554C9" w14:textId="77777777" w:rsidR="0071164E" w:rsidRPr="009E6490" w:rsidRDefault="0071164E" w:rsidP="00AD6FE2">
            <w:pPr>
              <w:jc w:val="center"/>
              <w:rPr>
                <w:rFonts w:ascii="Calibri" w:hAnsi="Calibri" w:cs="Calibri"/>
                <w:b/>
                <w:bCs/>
                <w:color w:val="000000"/>
                <w:sz w:val="22"/>
                <w:szCs w:val="22"/>
                <w:lang w:eastAsia="en-GB"/>
              </w:rPr>
            </w:pPr>
          </w:p>
        </w:tc>
        <w:tc>
          <w:tcPr>
            <w:tcW w:w="720" w:type="dxa"/>
            <w:tcBorders>
              <w:top w:val="single" w:sz="4" w:space="0" w:color="auto"/>
              <w:left w:val="nil"/>
              <w:bottom w:val="single" w:sz="4" w:space="0" w:color="auto"/>
              <w:right w:val="nil"/>
            </w:tcBorders>
            <w:shd w:val="clear" w:color="auto" w:fill="auto"/>
            <w:noWrap/>
            <w:vAlign w:val="center"/>
          </w:tcPr>
          <w:p w14:paraId="2B629357" w14:textId="77777777" w:rsidR="0071164E" w:rsidRPr="009E6490" w:rsidRDefault="0071164E" w:rsidP="00AD6FE2">
            <w:pPr>
              <w:jc w:val="center"/>
              <w:rPr>
                <w:rFonts w:ascii="Calibri" w:hAnsi="Calibri" w:cs="Calibri"/>
                <w:b/>
                <w:bCs/>
                <w:color w:val="000000"/>
                <w:sz w:val="22"/>
                <w:szCs w:val="22"/>
                <w:lang w:eastAsia="en-GB"/>
              </w:rPr>
            </w:pPr>
          </w:p>
        </w:tc>
        <w:tc>
          <w:tcPr>
            <w:tcW w:w="4304" w:type="dxa"/>
            <w:gridSpan w:val="5"/>
            <w:tcBorders>
              <w:top w:val="single" w:sz="4" w:space="0" w:color="auto"/>
              <w:left w:val="nil"/>
              <w:bottom w:val="single" w:sz="4" w:space="0" w:color="auto"/>
              <w:right w:val="nil"/>
            </w:tcBorders>
            <w:shd w:val="clear" w:color="auto" w:fill="auto"/>
            <w:vAlign w:val="center"/>
          </w:tcPr>
          <w:p w14:paraId="7FBB2EDE" w14:textId="77777777" w:rsidR="0071164E" w:rsidRDefault="0071164E" w:rsidP="00AD6FE2">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Whole sample (n=143)</w:t>
            </w:r>
          </w:p>
        </w:tc>
        <w:tc>
          <w:tcPr>
            <w:tcW w:w="4678" w:type="dxa"/>
            <w:gridSpan w:val="5"/>
            <w:tcBorders>
              <w:top w:val="single" w:sz="4" w:space="0" w:color="auto"/>
              <w:left w:val="nil"/>
              <w:bottom w:val="single" w:sz="4" w:space="0" w:color="auto"/>
              <w:right w:val="nil"/>
            </w:tcBorders>
            <w:shd w:val="clear" w:color="auto" w:fill="auto"/>
            <w:vAlign w:val="center"/>
          </w:tcPr>
          <w:p w14:paraId="4B01F8AD" w14:textId="77777777" w:rsidR="0071164E" w:rsidRDefault="0071164E" w:rsidP="00AD6FE2">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L</w:t>
            </w:r>
            <w:r w:rsidRPr="009E6490">
              <w:rPr>
                <w:rFonts w:ascii="Calibri" w:hAnsi="Calibri" w:cs="Calibri"/>
                <w:b/>
                <w:bCs/>
                <w:color w:val="000000"/>
                <w:sz w:val="22"/>
                <w:szCs w:val="22"/>
                <w:lang w:eastAsia="en-GB"/>
              </w:rPr>
              <w:t>ong term conditions</w:t>
            </w:r>
            <w:r>
              <w:rPr>
                <w:rFonts w:ascii="Calibri" w:hAnsi="Calibri" w:cs="Calibri"/>
                <w:b/>
                <w:bCs/>
                <w:color w:val="000000"/>
                <w:sz w:val="22"/>
                <w:szCs w:val="22"/>
                <w:lang w:eastAsia="en-GB"/>
              </w:rPr>
              <w:t xml:space="preserve"> (n=100)</w:t>
            </w:r>
            <w:r w:rsidRPr="0071164E">
              <w:rPr>
                <w:rFonts w:ascii="Calibri" w:hAnsi="Calibri" w:cs="Calibri"/>
                <w:b/>
                <w:bCs/>
                <w:color w:val="000000"/>
                <w:sz w:val="22"/>
                <w:szCs w:val="22"/>
                <w:vertAlign w:val="superscript"/>
                <w:lang w:eastAsia="en-GB"/>
              </w:rPr>
              <w:t xml:space="preserve"> 2</w:t>
            </w:r>
          </w:p>
        </w:tc>
      </w:tr>
      <w:tr w:rsidR="0071164E" w:rsidRPr="009E6490" w14:paraId="4C04F9A3" w14:textId="77777777" w:rsidTr="00AD6FE2">
        <w:trPr>
          <w:trHeight w:val="261"/>
        </w:trPr>
        <w:tc>
          <w:tcPr>
            <w:tcW w:w="930" w:type="dxa"/>
            <w:vMerge w:val="restart"/>
            <w:tcBorders>
              <w:left w:val="nil"/>
              <w:bottom w:val="single" w:sz="4" w:space="0" w:color="auto"/>
              <w:right w:val="nil"/>
            </w:tcBorders>
            <w:shd w:val="clear" w:color="auto" w:fill="auto"/>
            <w:noWrap/>
            <w:vAlign w:val="bottom"/>
            <w:hideMark/>
          </w:tcPr>
          <w:p w14:paraId="1D4734F4" w14:textId="77777777" w:rsidR="0071164E" w:rsidRPr="009E6490" w:rsidRDefault="0071164E" w:rsidP="00AD6FE2">
            <w:pPr>
              <w:jc w:val="center"/>
              <w:rPr>
                <w:rFonts w:ascii="Calibri" w:hAnsi="Calibri" w:cs="Calibri"/>
                <w:b/>
                <w:bCs/>
                <w:color w:val="000000"/>
                <w:sz w:val="22"/>
                <w:szCs w:val="22"/>
                <w:lang w:eastAsia="en-GB"/>
              </w:rPr>
            </w:pPr>
          </w:p>
        </w:tc>
        <w:tc>
          <w:tcPr>
            <w:tcW w:w="720" w:type="dxa"/>
            <w:vMerge w:val="restart"/>
            <w:tcBorders>
              <w:top w:val="single" w:sz="4" w:space="0" w:color="auto"/>
              <w:left w:val="nil"/>
              <w:bottom w:val="single" w:sz="8" w:space="0" w:color="000000"/>
              <w:right w:val="nil"/>
            </w:tcBorders>
            <w:shd w:val="clear" w:color="auto" w:fill="auto"/>
            <w:noWrap/>
            <w:vAlign w:val="center"/>
            <w:hideMark/>
          </w:tcPr>
          <w:p w14:paraId="4FC72FC2"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Score</w:t>
            </w:r>
          </w:p>
        </w:tc>
        <w:tc>
          <w:tcPr>
            <w:tcW w:w="643" w:type="dxa"/>
            <w:tcBorders>
              <w:top w:val="single" w:sz="4" w:space="0" w:color="auto"/>
              <w:left w:val="nil"/>
              <w:bottom w:val="nil"/>
              <w:right w:val="nil"/>
            </w:tcBorders>
            <w:shd w:val="clear" w:color="auto" w:fill="auto"/>
            <w:vAlign w:val="center"/>
            <w:hideMark/>
          </w:tcPr>
          <w:p w14:paraId="27800B61"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Sen</w:t>
            </w:r>
          </w:p>
        </w:tc>
        <w:tc>
          <w:tcPr>
            <w:tcW w:w="642" w:type="dxa"/>
            <w:tcBorders>
              <w:top w:val="single" w:sz="4" w:space="0" w:color="auto"/>
              <w:left w:val="nil"/>
              <w:bottom w:val="nil"/>
              <w:right w:val="nil"/>
            </w:tcBorders>
            <w:shd w:val="clear" w:color="auto" w:fill="auto"/>
            <w:vAlign w:val="center"/>
            <w:hideMark/>
          </w:tcPr>
          <w:p w14:paraId="76416346" w14:textId="77777777" w:rsidR="0071164E" w:rsidRPr="009E6490" w:rsidRDefault="0071164E" w:rsidP="00AD6FE2">
            <w:pPr>
              <w:jc w:val="center"/>
              <w:rPr>
                <w:rFonts w:ascii="Calibri" w:hAnsi="Calibri" w:cs="Calibri"/>
                <w:b/>
                <w:bCs/>
                <w:color w:val="000000"/>
                <w:sz w:val="22"/>
                <w:szCs w:val="22"/>
                <w:lang w:eastAsia="en-GB"/>
              </w:rPr>
            </w:pPr>
            <w:proofErr w:type="spellStart"/>
            <w:r w:rsidRPr="009E6490">
              <w:rPr>
                <w:rFonts w:ascii="Calibri" w:hAnsi="Calibri" w:cs="Calibri"/>
                <w:b/>
                <w:bCs/>
                <w:color w:val="000000"/>
                <w:sz w:val="22"/>
                <w:szCs w:val="22"/>
                <w:lang w:eastAsia="en-GB"/>
              </w:rPr>
              <w:t>Spe</w:t>
            </w:r>
            <w:proofErr w:type="spellEnd"/>
          </w:p>
        </w:tc>
        <w:tc>
          <w:tcPr>
            <w:tcW w:w="659" w:type="dxa"/>
            <w:vMerge w:val="restart"/>
            <w:tcBorders>
              <w:top w:val="single" w:sz="4" w:space="0" w:color="auto"/>
              <w:left w:val="nil"/>
              <w:bottom w:val="single" w:sz="8" w:space="0" w:color="000000"/>
              <w:right w:val="nil"/>
            </w:tcBorders>
            <w:shd w:val="clear" w:color="auto" w:fill="auto"/>
            <w:vAlign w:val="center"/>
            <w:hideMark/>
          </w:tcPr>
          <w:p w14:paraId="458A68DE"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 xml:space="preserve">Sen+ </w:t>
            </w:r>
            <w:proofErr w:type="spellStart"/>
            <w:r w:rsidRPr="009E6490">
              <w:rPr>
                <w:rFonts w:ascii="Calibri" w:hAnsi="Calibri" w:cs="Calibri"/>
                <w:b/>
                <w:bCs/>
                <w:color w:val="000000"/>
                <w:sz w:val="22"/>
                <w:szCs w:val="22"/>
                <w:lang w:eastAsia="en-GB"/>
              </w:rPr>
              <w:t>spe</w:t>
            </w:r>
            <w:proofErr w:type="spellEnd"/>
          </w:p>
        </w:tc>
        <w:tc>
          <w:tcPr>
            <w:tcW w:w="645" w:type="dxa"/>
            <w:tcBorders>
              <w:top w:val="single" w:sz="4" w:space="0" w:color="auto"/>
              <w:left w:val="nil"/>
              <w:bottom w:val="nil"/>
              <w:right w:val="nil"/>
            </w:tcBorders>
            <w:shd w:val="clear" w:color="auto" w:fill="auto"/>
            <w:vAlign w:val="center"/>
            <w:hideMark/>
          </w:tcPr>
          <w:p w14:paraId="69E5F0FA"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 xml:space="preserve">Cor </w:t>
            </w:r>
          </w:p>
        </w:tc>
        <w:tc>
          <w:tcPr>
            <w:tcW w:w="1715" w:type="dxa"/>
            <w:tcBorders>
              <w:top w:val="single" w:sz="4" w:space="0" w:color="auto"/>
              <w:left w:val="nil"/>
              <w:right w:val="nil"/>
            </w:tcBorders>
          </w:tcPr>
          <w:p w14:paraId="355A88FA" w14:textId="77777777" w:rsidR="0071164E" w:rsidRPr="009E6490" w:rsidRDefault="0071164E" w:rsidP="00AD6FE2">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ROC</w:t>
            </w:r>
          </w:p>
        </w:tc>
        <w:tc>
          <w:tcPr>
            <w:tcW w:w="695" w:type="dxa"/>
            <w:tcBorders>
              <w:top w:val="single" w:sz="4" w:space="0" w:color="auto"/>
              <w:left w:val="nil"/>
              <w:bottom w:val="nil"/>
              <w:right w:val="nil"/>
            </w:tcBorders>
            <w:shd w:val="clear" w:color="auto" w:fill="auto"/>
            <w:vAlign w:val="center"/>
            <w:hideMark/>
          </w:tcPr>
          <w:p w14:paraId="6D45B6B5"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Sen</w:t>
            </w:r>
          </w:p>
        </w:tc>
        <w:tc>
          <w:tcPr>
            <w:tcW w:w="722" w:type="dxa"/>
            <w:tcBorders>
              <w:top w:val="single" w:sz="4" w:space="0" w:color="auto"/>
              <w:left w:val="nil"/>
              <w:bottom w:val="nil"/>
              <w:right w:val="nil"/>
            </w:tcBorders>
            <w:shd w:val="clear" w:color="auto" w:fill="auto"/>
            <w:vAlign w:val="center"/>
            <w:hideMark/>
          </w:tcPr>
          <w:p w14:paraId="267F406E" w14:textId="77777777" w:rsidR="0071164E" w:rsidRPr="009E6490" w:rsidRDefault="0071164E" w:rsidP="00AD6FE2">
            <w:pPr>
              <w:jc w:val="center"/>
              <w:rPr>
                <w:rFonts w:ascii="Calibri" w:hAnsi="Calibri" w:cs="Calibri"/>
                <w:b/>
                <w:bCs/>
                <w:color w:val="000000"/>
                <w:sz w:val="22"/>
                <w:szCs w:val="22"/>
                <w:lang w:eastAsia="en-GB"/>
              </w:rPr>
            </w:pPr>
            <w:proofErr w:type="spellStart"/>
            <w:r w:rsidRPr="009E6490">
              <w:rPr>
                <w:rFonts w:ascii="Calibri" w:hAnsi="Calibri" w:cs="Calibri"/>
                <w:b/>
                <w:bCs/>
                <w:color w:val="000000"/>
                <w:sz w:val="22"/>
                <w:szCs w:val="22"/>
                <w:lang w:eastAsia="en-GB"/>
              </w:rPr>
              <w:t>Spe</w:t>
            </w:r>
            <w:proofErr w:type="spellEnd"/>
          </w:p>
        </w:tc>
        <w:tc>
          <w:tcPr>
            <w:tcW w:w="709" w:type="dxa"/>
            <w:vMerge w:val="restart"/>
            <w:tcBorders>
              <w:top w:val="single" w:sz="4" w:space="0" w:color="auto"/>
              <w:left w:val="nil"/>
              <w:bottom w:val="single" w:sz="8" w:space="0" w:color="000000"/>
              <w:right w:val="nil"/>
            </w:tcBorders>
            <w:shd w:val="clear" w:color="auto" w:fill="auto"/>
            <w:vAlign w:val="center"/>
            <w:hideMark/>
          </w:tcPr>
          <w:p w14:paraId="7AD78D68"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 xml:space="preserve">Sen+ </w:t>
            </w:r>
            <w:proofErr w:type="spellStart"/>
            <w:r w:rsidRPr="009E6490">
              <w:rPr>
                <w:rFonts w:ascii="Calibri" w:hAnsi="Calibri" w:cs="Calibri"/>
                <w:b/>
                <w:bCs/>
                <w:color w:val="000000"/>
                <w:sz w:val="22"/>
                <w:szCs w:val="22"/>
                <w:lang w:eastAsia="en-GB"/>
              </w:rPr>
              <w:t>spe</w:t>
            </w:r>
            <w:proofErr w:type="spellEnd"/>
          </w:p>
        </w:tc>
        <w:tc>
          <w:tcPr>
            <w:tcW w:w="851" w:type="dxa"/>
            <w:tcBorders>
              <w:top w:val="single" w:sz="4" w:space="0" w:color="auto"/>
              <w:left w:val="nil"/>
              <w:bottom w:val="nil"/>
              <w:right w:val="nil"/>
            </w:tcBorders>
            <w:shd w:val="clear" w:color="auto" w:fill="auto"/>
            <w:vAlign w:val="center"/>
            <w:hideMark/>
          </w:tcPr>
          <w:p w14:paraId="3A58B9A1"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Cor</w:t>
            </w:r>
          </w:p>
        </w:tc>
        <w:tc>
          <w:tcPr>
            <w:tcW w:w="1701" w:type="dxa"/>
            <w:tcBorders>
              <w:top w:val="single" w:sz="4" w:space="0" w:color="auto"/>
              <w:left w:val="nil"/>
              <w:bottom w:val="nil"/>
              <w:right w:val="nil"/>
            </w:tcBorders>
          </w:tcPr>
          <w:p w14:paraId="78D63039" w14:textId="77777777" w:rsidR="0071164E" w:rsidRPr="009E6490" w:rsidRDefault="0071164E" w:rsidP="00AD6FE2">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ROC</w:t>
            </w:r>
          </w:p>
        </w:tc>
      </w:tr>
      <w:tr w:rsidR="0071164E" w:rsidRPr="009E6490" w14:paraId="65C241A3" w14:textId="77777777" w:rsidTr="00AD6FE2">
        <w:trPr>
          <w:trHeight w:val="274"/>
        </w:trPr>
        <w:tc>
          <w:tcPr>
            <w:tcW w:w="930" w:type="dxa"/>
            <w:vMerge/>
            <w:tcBorders>
              <w:top w:val="single" w:sz="8" w:space="0" w:color="000000"/>
              <w:left w:val="nil"/>
              <w:bottom w:val="single" w:sz="4" w:space="0" w:color="auto"/>
              <w:right w:val="nil"/>
            </w:tcBorders>
            <w:vAlign w:val="center"/>
            <w:hideMark/>
          </w:tcPr>
          <w:p w14:paraId="75E9B0A9" w14:textId="77777777" w:rsidR="0071164E" w:rsidRPr="009E6490" w:rsidRDefault="0071164E" w:rsidP="00AD6FE2">
            <w:pPr>
              <w:rPr>
                <w:rFonts w:ascii="Calibri" w:hAnsi="Calibri" w:cs="Calibri"/>
                <w:b/>
                <w:bCs/>
                <w:color w:val="000000"/>
                <w:sz w:val="22"/>
                <w:szCs w:val="22"/>
                <w:lang w:eastAsia="en-GB"/>
              </w:rPr>
            </w:pPr>
          </w:p>
        </w:tc>
        <w:tc>
          <w:tcPr>
            <w:tcW w:w="720" w:type="dxa"/>
            <w:vMerge/>
            <w:tcBorders>
              <w:top w:val="nil"/>
              <w:left w:val="nil"/>
              <w:bottom w:val="single" w:sz="8" w:space="0" w:color="000000"/>
              <w:right w:val="nil"/>
            </w:tcBorders>
            <w:vAlign w:val="center"/>
            <w:hideMark/>
          </w:tcPr>
          <w:p w14:paraId="212B4A6B" w14:textId="77777777" w:rsidR="0071164E" w:rsidRPr="009E6490" w:rsidRDefault="0071164E" w:rsidP="00AD6FE2">
            <w:pPr>
              <w:rPr>
                <w:rFonts w:ascii="Calibri" w:hAnsi="Calibri" w:cs="Calibri"/>
                <w:b/>
                <w:bCs/>
                <w:color w:val="000000"/>
                <w:sz w:val="22"/>
                <w:szCs w:val="22"/>
                <w:lang w:eastAsia="en-GB"/>
              </w:rPr>
            </w:pPr>
          </w:p>
        </w:tc>
        <w:tc>
          <w:tcPr>
            <w:tcW w:w="643" w:type="dxa"/>
            <w:tcBorders>
              <w:left w:val="nil"/>
              <w:bottom w:val="single" w:sz="8" w:space="0" w:color="auto"/>
              <w:right w:val="nil"/>
            </w:tcBorders>
            <w:shd w:val="clear" w:color="auto" w:fill="auto"/>
            <w:vAlign w:val="center"/>
            <w:hideMark/>
          </w:tcPr>
          <w:p w14:paraId="14D2AAA3"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 xml:space="preserve"> %</w:t>
            </w:r>
          </w:p>
        </w:tc>
        <w:tc>
          <w:tcPr>
            <w:tcW w:w="642" w:type="dxa"/>
            <w:tcBorders>
              <w:left w:val="nil"/>
              <w:bottom w:val="single" w:sz="8" w:space="0" w:color="auto"/>
              <w:right w:val="nil"/>
            </w:tcBorders>
            <w:shd w:val="clear" w:color="auto" w:fill="auto"/>
            <w:vAlign w:val="center"/>
            <w:hideMark/>
          </w:tcPr>
          <w:p w14:paraId="70E8F8CB"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w:t>
            </w:r>
          </w:p>
        </w:tc>
        <w:tc>
          <w:tcPr>
            <w:tcW w:w="659" w:type="dxa"/>
            <w:vMerge/>
            <w:tcBorders>
              <w:left w:val="nil"/>
              <w:bottom w:val="single" w:sz="8" w:space="0" w:color="000000"/>
              <w:right w:val="nil"/>
            </w:tcBorders>
            <w:vAlign w:val="center"/>
            <w:hideMark/>
          </w:tcPr>
          <w:p w14:paraId="349D6BD3" w14:textId="77777777" w:rsidR="0071164E" w:rsidRPr="009E6490" w:rsidRDefault="0071164E" w:rsidP="00AD6FE2">
            <w:pPr>
              <w:rPr>
                <w:rFonts w:ascii="Calibri" w:hAnsi="Calibri" w:cs="Calibri"/>
                <w:b/>
                <w:bCs/>
                <w:color w:val="000000"/>
                <w:sz w:val="22"/>
                <w:szCs w:val="22"/>
                <w:lang w:eastAsia="en-GB"/>
              </w:rPr>
            </w:pPr>
          </w:p>
        </w:tc>
        <w:tc>
          <w:tcPr>
            <w:tcW w:w="645" w:type="dxa"/>
            <w:tcBorders>
              <w:left w:val="nil"/>
              <w:bottom w:val="single" w:sz="8" w:space="0" w:color="auto"/>
              <w:right w:val="nil"/>
            </w:tcBorders>
            <w:shd w:val="clear" w:color="auto" w:fill="auto"/>
            <w:vAlign w:val="center"/>
            <w:hideMark/>
          </w:tcPr>
          <w:p w14:paraId="163E3CAB"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w:t>
            </w:r>
          </w:p>
        </w:tc>
        <w:tc>
          <w:tcPr>
            <w:tcW w:w="1715" w:type="dxa"/>
            <w:tcBorders>
              <w:left w:val="nil"/>
              <w:bottom w:val="single" w:sz="8" w:space="0" w:color="000000"/>
              <w:right w:val="nil"/>
            </w:tcBorders>
          </w:tcPr>
          <w:p w14:paraId="6CAA3CBE" w14:textId="77777777" w:rsidR="0071164E" w:rsidRPr="009E6490" w:rsidRDefault="0071164E" w:rsidP="00AD6FE2">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(95% CI)</w:t>
            </w:r>
          </w:p>
        </w:tc>
        <w:tc>
          <w:tcPr>
            <w:tcW w:w="695" w:type="dxa"/>
            <w:tcBorders>
              <w:top w:val="nil"/>
              <w:left w:val="nil"/>
              <w:bottom w:val="single" w:sz="8" w:space="0" w:color="auto"/>
              <w:right w:val="nil"/>
            </w:tcBorders>
            <w:shd w:val="clear" w:color="auto" w:fill="auto"/>
            <w:vAlign w:val="center"/>
            <w:hideMark/>
          </w:tcPr>
          <w:p w14:paraId="59E92FF2"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 xml:space="preserve"> %</w:t>
            </w:r>
          </w:p>
        </w:tc>
        <w:tc>
          <w:tcPr>
            <w:tcW w:w="722" w:type="dxa"/>
            <w:tcBorders>
              <w:top w:val="nil"/>
              <w:left w:val="nil"/>
              <w:bottom w:val="single" w:sz="8" w:space="0" w:color="auto"/>
              <w:right w:val="nil"/>
            </w:tcBorders>
            <w:shd w:val="clear" w:color="auto" w:fill="auto"/>
            <w:vAlign w:val="center"/>
            <w:hideMark/>
          </w:tcPr>
          <w:p w14:paraId="61E1388B"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w:t>
            </w:r>
          </w:p>
        </w:tc>
        <w:tc>
          <w:tcPr>
            <w:tcW w:w="709" w:type="dxa"/>
            <w:vMerge/>
            <w:tcBorders>
              <w:top w:val="nil"/>
              <w:left w:val="nil"/>
              <w:bottom w:val="single" w:sz="8" w:space="0" w:color="000000"/>
              <w:right w:val="nil"/>
            </w:tcBorders>
            <w:vAlign w:val="center"/>
            <w:hideMark/>
          </w:tcPr>
          <w:p w14:paraId="18432057" w14:textId="77777777" w:rsidR="0071164E" w:rsidRPr="009E6490" w:rsidRDefault="0071164E" w:rsidP="00AD6FE2">
            <w:pPr>
              <w:rPr>
                <w:rFonts w:ascii="Calibri" w:hAnsi="Calibri" w:cs="Calibri"/>
                <w:b/>
                <w:bCs/>
                <w:color w:val="000000"/>
                <w:sz w:val="22"/>
                <w:szCs w:val="22"/>
                <w:lang w:eastAsia="en-GB"/>
              </w:rPr>
            </w:pPr>
          </w:p>
        </w:tc>
        <w:tc>
          <w:tcPr>
            <w:tcW w:w="851" w:type="dxa"/>
            <w:tcBorders>
              <w:top w:val="nil"/>
              <w:left w:val="nil"/>
              <w:bottom w:val="single" w:sz="8" w:space="0" w:color="auto"/>
              <w:right w:val="nil"/>
            </w:tcBorders>
            <w:shd w:val="clear" w:color="auto" w:fill="auto"/>
            <w:vAlign w:val="center"/>
            <w:hideMark/>
          </w:tcPr>
          <w:p w14:paraId="623C5609" w14:textId="77777777" w:rsidR="0071164E" w:rsidRPr="009E6490" w:rsidRDefault="0071164E" w:rsidP="00AD6FE2">
            <w:pPr>
              <w:jc w:val="center"/>
              <w:rPr>
                <w:rFonts w:ascii="Calibri" w:hAnsi="Calibri" w:cs="Calibri"/>
                <w:b/>
                <w:bCs/>
                <w:color w:val="000000"/>
                <w:sz w:val="22"/>
                <w:szCs w:val="22"/>
                <w:lang w:eastAsia="en-GB"/>
              </w:rPr>
            </w:pPr>
            <w:r w:rsidRPr="009E6490">
              <w:rPr>
                <w:rFonts w:ascii="Calibri" w:hAnsi="Calibri" w:cs="Calibri"/>
                <w:b/>
                <w:bCs/>
                <w:color w:val="000000"/>
                <w:sz w:val="22"/>
                <w:szCs w:val="22"/>
                <w:lang w:eastAsia="en-GB"/>
              </w:rPr>
              <w:t xml:space="preserve"> %</w:t>
            </w:r>
          </w:p>
        </w:tc>
        <w:tc>
          <w:tcPr>
            <w:tcW w:w="1701" w:type="dxa"/>
            <w:tcBorders>
              <w:top w:val="nil"/>
              <w:left w:val="nil"/>
              <w:bottom w:val="single" w:sz="8" w:space="0" w:color="auto"/>
              <w:right w:val="nil"/>
            </w:tcBorders>
          </w:tcPr>
          <w:p w14:paraId="3FBD8C75" w14:textId="77777777" w:rsidR="0071164E" w:rsidRPr="009E6490" w:rsidRDefault="0071164E" w:rsidP="00AD6FE2">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(95% CI)</w:t>
            </w:r>
          </w:p>
        </w:tc>
      </w:tr>
      <w:tr w:rsidR="0071164E" w:rsidRPr="009E6490" w14:paraId="7BEB8732" w14:textId="77777777" w:rsidTr="00AD6FE2">
        <w:trPr>
          <w:trHeight w:val="261"/>
        </w:trPr>
        <w:tc>
          <w:tcPr>
            <w:tcW w:w="930" w:type="dxa"/>
            <w:tcBorders>
              <w:top w:val="single" w:sz="4" w:space="0" w:color="auto"/>
              <w:left w:val="nil"/>
              <w:bottom w:val="nil"/>
              <w:right w:val="nil"/>
            </w:tcBorders>
            <w:shd w:val="clear" w:color="auto" w:fill="auto"/>
            <w:noWrap/>
            <w:vAlign w:val="center"/>
            <w:hideMark/>
          </w:tcPr>
          <w:p w14:paraId="685D01F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All</w:t>
            </w:r>
          </w:p>
        </w:tc>
        <w:tc>
          <w:tcPr>
            <w:tcW w:w="720" w:type="dxa"/>
            <w:tcBorders>
              <w:top w:val="nil"/>
              <w:left w:val="nil"/>
              <w:bottom w:val="nil"/>
              <w:right w:val="nil"/>
            </w:tcBorders>
            <w:shd w:val="clear" w:color="auto" w:fill="auto"/>
            <w:noWrap/>
            <w:vAlign w:val="center"/>
            <w:hideMark/>
          </w:tcPr>
          <w:p w14:paraId="5320AB28"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3 </w:t>
            </w:r>
          </w:p>
        </w:tc>
        <w:tc>
          <w:tcPr>
            <w:tcW w:w="643" w:type="dxa"/>
            <w:tcBorders>
              <w:top w:val="nil"/>
              <w:left w:val="nil"/>
              <w:bottom w:val="nil"/>
              <w:right w:val="nil"/>
            </w:tcBorders>
            <w:shd w:val="clear" w:color="auto" w:fill="auto"/>
            <w:noWrap/>
            <w:vAlign w:val="center"/>
            <w:hideMark/>
          </w:tcPr>
          <w:p w14:paraId="2752FC3E"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100</w:t>
            </w:r>
          </w:p>
        </w:tc>
        <w:tc>
          <w:tcPr>
            <w:tcW w:w="642" w:type="dxa"/>
            <w:tcBorders>
              <w:top w:val="nil"/>
              <w:left w:val="nil"/>
              <w:bottom w:val="nil"/>
              <w:right w:val="nil"/>
            </w:tcBorders>
            <w:shd w:val="clear" w:color="auto" w:fill="auto"/>
            <w:noWrap/>
            <w:vAlign w:val="center"/>
            <w:hideMark/>
          </w:tcPr>
          <w:p w14:paraId="35A3A0C7"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47</w:t>
            </w:r>
          </w:p>
        </w:tc>
        <w:tc>
          <w:tcPr>
            <w:tcW w:w="659" w:type="dxa"/>
            <w:tcBorders>
              <w:top w:val="nil"/>
              <w:left w:val="nil"/>
              <w:bottom w:val="nil"/>
              <w:right w:val="nil"/>
            </w:tcBorders>
            <w:shd w:val="clear" w:color="auto" w:fill="auto"/>
            <w:noWrap/>
            <w:vAlign w:val="center"/>
            <w:hideMark/>
          </w:tcPr>
          <w:p w14:paraId="615BCC5B"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147</w:t>
            </w:r>
          </w:p>
        </w:tc>
        <w:tc>
          <w:tcPr>
            <w:tcW w:w="645" w:type="dxa"/>
            <w:tcBorders>
              <w:top w:val="nil"/>
              <w:left w:val="nil"/>
              <w:bottom w:val="nil"/>
              <w:right w:val="nil"/>
            </w:tcBorders>
            <w:shd w:val="clear" w:color="auto" w:fill="auto"/>
            <w:noWrap/>
            <w:vAlign w:val="center"/>
            <w:hideMark/>
          </w:tcPr>
          <w:p w14:paraId="19BBA5A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59</w:t>
            </w:r>
          </w:p>
        </w:tc>
        <w:tc>
          <w:tcPr>
            <w:tcW w:w="1715" w:type="dxa"/>
            <w:tcBorders>
              <w:top w:val="nil"/>
              <w:left w:val="nil"/>
              <w:bottom w:val="nil"/>
              <w:right w:val="nil"/>
            </w:tcBorders>
          </w:tcPr>
          <w:p w14:paraId="4ECE2B3E" w14:textId="77777777" w:rsidR="0071164E" w:rsidRPr="009E6490" w:rsidRDefault="0071164E" w:rsidP="00AD6FE2">
            <w:pPr>
              <w:jc w:val="center"/>
              <w:rPr>
                <w:rFonts w:ascii="Calibri" w:hAnsi="Calibri" w:cs="Calibri"/>
                <w:color w:val="000000"/>
                <w:sz w:val="22"/>
                <w:szCs w:val="22"/>
                <w:lang w:eastAsia="en-GB"/>
              </w:rPr>
            </w:pPr>
            <w:r>
              <w:rPr>
                <w:rFonts w:asciiTheme="minorHAnsi" w:hAnsiTheme="minorHAnsi" w:cstheme="minorHAnsi"/>
                <w:sz w:val="22"/>
                <w:szCs w:val="22"/>
              </w:rPr>
              <w:t>0.94 (0.89, 0.98)</w:t>
            </w:r>
          </w:p>
        </w:tc>
        <w:tc>
          <w:tcPr>
            <w:tcW w:w="695" w:type="dxa"/>
            <w:tcBorders>
              <w:top w:val="nil"/>
              <w:left w:val="nil"/>
              <w:bottom w:val="nil"/>
              <w:right w:val="nil"/>
            </w:tcBorders>
            <w:shd w:val="clear" w:color="auto" w:fill="auto"/>
            <w:vAlign w:val="center"/>
            <w:hideMark/>
          </w:tcPr>
          <w:p w14:paraId="565DB8DF"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100</w:t>
            </w:r>
          </w:p>
        </w:tc>
        <w:tc>
          <w:tcPr>
            <w:tcW w:w="722" w:type="dxa"/>
            <w:tcBorders>
              <w:top w:val="nil"/>
              <w:left w:val="nil"/>
              <w:bottom w:val="nil"/>
              <w:right w:val="nil"/>
            </w:tcBorders>
            <w:shd w:val="clear" w:color="auto" w:fill="auto"/>
            <w:vAlign w:val="center"/>
            <w:hideMark/>
          </w:tcPr>
          <w:p w14:paraId="648A2A90"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48</w:t>
            </w:r>
          </w:p>
        </w:tc>
        <w:tc>
          <w:tcPr>
            <w:tcW w:w="709" w:type="dxa"/>
            <w:tcBorders>
              <w:top w:val="nil"/>
              <w:left w:val="nil"/>
              <w:bottom w:val="nil"/>
              <w:right w:val="nil"/>
            </w:tcBorders>
            <w:shd w:val="clear" w:color="auto" w:fill="auto"/>
            <w:vAlign w:val="center"/>
            <w:hideMark/>
          </w:tcPr>
          <w:p w14:paraId="238FB134"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148</w:t>
            </w:r>
          </w:p>
        </w:tc>
        <w:tc>
          <w:tcPr>
            <w:tcW w:w="851" w:type="dxa"/>
            <w:tcBorders>
              <w:top w:val="nil"/>
              <w:left w:val="nil"/>
              <w:bottom w:val="nil"/>
              <w:right w:val="nil"/>
            </w:tcBorders>
            <w:shd w:val="clear" w:color="auto" w:fill="auto"/>
            <w:vAlign w:val="center"/>
            <w:hideMark/>
          </w:tcPr>
          <w:p w14:paraId="5A8DD807"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59</w:t>
            </w:r>
          </w:p>
        </w:tc>
        <w:tc>
          <w:tcPr>
            <w:tcW w:w="1701" w:type="dxa"/>
            <w:tcBorders>
              <w:top w:val="nil"/>
              <w:left w:val="nil"/>
              <w:bottom w:val="nil"/>
              <w:right w:val="nil"/>
            </w:tcBorders>
          </w:tcPr>
          <w:p w14:paraId="0EA570F8" w14:textId="77777777" w:rsidR="0071164E" w:rsidRPr="009E6490" w:rsidRDefault="0071164E" w:rsidP="00AD6FE2">
            <w:pPr>
              <w:jc w:val="center"/>
              <w:rPr>
                <w:rFonts w:ascii="Calibri" w:hAnsi="Calibri" w:cs="Calibri"/>
                <w:color w:val="000000"/>
                <w:sz w:val="22"/>
                <w:szCs w:val="22"/>
                <w:lang w:eastAsia="en-GB"/>
              </w:rPr>
            </w:pPr>
            <w:r>
              <w:rPr>
                <w:rFonts w:asciiTheme="minorHAnsi" w:hAnsiTheme="minorHAnsi" w:cstheme="minorHAnsi"/>
                <w:sz w:val="22"/>
                <w:szCs w:val="22"/>
              </w:rPr>
              <w:t>0.93 (0.88, 0.98)</w:t>
            </w:r>
          </w:p>
        </w:tc>
      </w:tr>
      <w:tr w:rsidR="0071164E" w:rsidRPr="009E6490" w14:paraId="5180CD65" w14:textId="77777777" w:rsidTr="00AD6FE2">
        <w:trPr>
          <w:trHeight w:val="261"/>
        </w:trPr>
        <w:tc>
          <w:tcPr>
            <w:tcW w:w="930" w:type="dxa"/>
            <w:tcBorders>
              <w:top w:val="nil"/>
              <w:left w:val="nil"/>
              <w:bottom w:val="nil"/>
              <w:right w:val="nil"/>
            </w:tcBorders>
            <w:shd w:val="clear" w:color="auto" w:fill="auto"/>
            <w:noWrap/>
            <w:vAlign w:val="bottom"/>
            <w:hideMark/>
          </w:tcPr>
          <w:p w14:paraId="15AE96B5"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65D855E0"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4  </w:t>
            </w:r>
          </w:p>
        </w:tc>
        <w:tc>
          <w:tcPr>
            <w:tcW w:w="643" w:type="dxa"/>
            <w:tcBorders>
              <w:top w:val="nil"/>
              <w:left w:val="nil"/>
              <w:bottom w:val="nil"/>
              <w:right w:val="nil"/>
            </w:tcBorders>
            <w:shd w:val="clear" w:color="auto" w:fill="auto"/>
            <w:noWrap/>
            <w:vAlign w:val="center"/>
            <w:hideMark/>
          </w:tcPr>
          <w:p w14:paraId="37634E17"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97</w:t>
            </w:r>
          </w:p>
        </w:tc>
        <w:tc>
          <w:tcPr>
            <w:tcW w:w="642" w:type="dxa"/>
            <w:tcBorders>
              <w:top w:val="nil"/>
              <w:left w:val="nil"/>
              <w:bottom w:val="nil"/>
              <w:right w:val="nil"/>
            </w:tcBorders>
            <w:shd w:val="clear" w:color="auto" w:fill="auto"/>
            <w:noWrap/>
            <w:vAlign w:val="center"/>
            <w:hideMark/>
          </w:tcPr>
          <w:p w14:paraId="77B7886B"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69</w:t>
            </w:r>
          </w:p>
        </w:tc>
        <w:tc>
          <w:tcPr>
            <w:tcW w:w="659" w:type="dxa"/>
            <w:tcBorders>
              <w:top w:val="nil"/>
              <w:left w:val="nil"/>
              <w:bottom w:val="nil"/>
              <w:right w:val="nil"/>
            </w:tcBorders>
            <w:shd w:val="clear" w:color="auto" w:fill="auto"/>
            <w:noWrap/>
            <w:vAlign w:val="center"/>
            <w:hideMark/>
          </w:tcPr>
          <w:p w14:paraId="56F9565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166</w:t>
            </w:r>
          </w:p>
        </w:tc>
        <w:tc>
          <w:tcPr>
            <w:tcW w:w="645" w:type="dxa"/>
            <w:tcBorders>
              <w:top w:val="nil"/>
              <w:left w:val="nil"/>
              <w:bottom w:val="nil"/>
              <w:right w:val="nil"/>
            </w:tcBorders>
            <w:shd w:val="clear" w:color="auto" w:fill="auto"/>
            <w:noWrap/>
            <w:vAlign w:val="center"/>
            <w:hideMark/>
          </w:tcPr>
          <w:p w14:paraId="367185E5"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76</w:t>
            </w:r>
          </w:p>
        </w:tc>
        <w:tc>
          <w:tcPr>
            <w:tcW w:w="1715" w:type="dxa"/>
            <w:tcBorders>
              <w:top w:val="nil"/>
              <w:left w:val="nil"/>
              <w:bottom w:val="nil"/>
              <w:right w:val="nil"/>
            </w:tcBorders>
          </w:tcPr>
          <w:p w14:paraId="3C2A7091"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432D445D"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100</w:t>
            </w:r>
          </w:p>
        </w:tc>
        <w:tc>
          <w:tcPr>
            <w:tcW w:w="722" w:type="dxa"/>
            <w:tcBorders>
              <w:top w:val="nil"/>
              <w:left w:val="nil"/>
              <w:bottom w:val="nil"/>
              <w:right w:val="nil"/>
            </w:tcBorders>
            <w:shd w:val="clear" w:color="auto" w:fill="auto"/>
            <w:vAlign w:val="center"/>
            <w:hideMark/>
          </w:tcPr>
          <w:p w14:paraId="3AA48DE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71</w:t>
            </w:r>
          </w:p>
        </w:tc>
        <w:tc>
          <w:tcPr>
            <w:tcW w:w="709" w:type="dxa"/>
            <w:tcBorders>
              <w:top w:val="nil"/>
              <w:left w:val="nil"/>
              <w:bottom w:val="nil"/>
              <w:right w:val="nil"/>
            </w:tcBorders>
            <w:shd w:val="clear" w:color="auto" w:fill="auto"/>
            <w:vAlign w:val="center"/>
            <w:hideMark/>
          </w:tcPr>
          <w:p w14:paraId="55E3F8BB"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171</w:t>
            </w:r>
          </w:p>
        </w:tc>
        <w:tc>
          <w:tcPr>
            <w:tcW w:w="851" w:type="dxa"/>
            <w:tcBorders>
              <w:top w:val="nil"/>
              <w:left w:val="nil"/>
              <w:bottom w:val="nil"/>
              <w:right w:val="nil"/>
            </w:tcBorders>
            <w:shd w:val="clear" w:color="auto" w:fill="auto"/>
            <w:vAlign w:val="center"/>
            <w:hideMark/>
          </w:tcPr>
          <w:p w14:paraId="25CA11C6"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77</w:t>
            </w:r>
          </w:p>
        </w:tc>
        <w:tc>
          <w:tcPr>
            <w:tcW w:w="1701" w:type="dxa"/>
            <w:tcBorders>
              <w:top w:val="nil"/>
              <w:left w:val="nil"/>
              <w:bottom w:val="nil"/>
              <w:right w:val="nil"/>
            </w:tcBorders>
          </w:tcPr>
          <w:p w14:paraId="5418ABB9"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397C2D27" w14:textId="77777777" w:rsidTr="00AD6FE2">
        <w:trPr>
          <w:trHeight w:val="261"/>
        </w:trPr>
        <w:tc>
          <w:tcPr>
            <w:tcW w:w="930" w:type="dxa"/>
            <w:tcBorders>
              <w:top w:val="nil"/>
              <w:left w:val="nil"/>
              <w:bottom w:val="nil"/>
              <w:right w:val="nil"/>
            </w:tcBorders>
            <w:shd w:val="clear" w:color="auto" w:fill="auto"/>
            <w:noWrap/>
            <w:vAlign w:val="bottom"/>
            <w:hideMark/>
          </w:tcPr>
          <w:p w14:paraId="555478D4"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24AC2E64"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5 </w:t>
            </w:r>
          </w:p>
        </w:tc>
        <w:tc>
          <w:tcPr>
            <w:tcW w:w="643" w:type="dxa"/>
            <w:tcBorders>
              <w:top w:val="nil"/>
              <w:left w:val="nil"/>
              <w:bottom w:val="nil"/>
              <w:right w:val="nil"/>
            </w:tcBorders>
            <w:shd w:val="clear" w:color="auto" w:fill="auto"/>
            <w:noWrap/>
            <w:vAlign w:val="center"/>
            <w:hideMark/>
          </w:tcPr>
          <w:p w14:paraId="7C7C6FD7"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88</w:t>
            </w:r>
          </w:p>
        </w:tc>
        <w:tc>
          <w:tcPr>
            <w:tcW w:w="642" w:type="dxa"/>
            <w:tcBorders>
              <w:top w:val="nil"/>
              <w:left w:val="nil"/>
              <w:bottom w:val="nil"/>
              <w:right w:val="nil"/>
            </w:tcBorders>
            <w:shd w:val="clear" w:color="auto" w:fill="auto"/>
            <w:noWrap/>
            <w:vAlign w:val="center"/>
            <w:hideMark/>
          </w:tcPr>
          <w:p w14:paraId="4CDB902D"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85</w:t>
            </w:r>
          </w:p>
        </w:tc>
        <w:tc>
          <w:tcPr>
            <w:tcW w:w="659" w:type="dxa"/>
            <w:tcBorders>
              <w:top w:val="nil"/>
              <w:left w:val="nil"/>
              <w:bottom w:val="nil"/>
              <w:right w:val="nil"/>
            </w:tcBorders>
            <w:shd w:val="clear" w:color="auto" w:fill="auto"/>
            <w:noWrap/>
            <w:vAlign w:val="center"/>
            <w:hideMark/>
          </w:tcPr>
          <w:p w14:paraId="1E36FEF8"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172</w:t>
            </w:r>
          </w:p>
        </w:tc>
        <w:tc>
          <w:tcPr>
            <w:tcW w:w="645" w:type="dxa"/>
            <w:tcBorders>
              <w:top w:val="nil"/>
              <w:left w:val="nil"/>
              <w:bottom w:val="nil"/>
              <w:right w:val="nil"/>
            </w:tcBorders>
            <w:shd w:val="clear" w:color="auto" w:fill="auto"/>
            <w:noWrap/>
            <w:vAlign w:val="center"/>
            <w:hideMark/>
          </w:tcPr>
          <w:p w14:paraId="3EE023CB"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85</w:t>
            </w:r>
          </w:p>
        </w:tc>
        <w:tc>
          <w:tcPr>
            <w:tcW w:w="1715" w:type="dxa"/>
            <w:tcBorders>
              <w:top w:val="nil"/>
              <w:left w:val="nil"/>
              <w:bottom w:val="nil"/>
              <w:right w:val="nil"/>
            </w:tcBorders>
          </w:tcPr>
          <w:p w14:paraId="37CA0953"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5CD4822D"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90</w:t>
            </w:r>
          </w:p>
        </w:tc>
        <w:tc>
          <w:tcPr>
            <w:tcW w:w="722" w:type="dxa"/>
            <w:tcBorders>
              <w:top w:val="nil"/>
              <w:left w:val="nil"/>
              <w:bottom w:val="nil"/>
              <w:right w:val="nil"/>
            </w:tcBorders>
            <w:shd w:val="clear" w:color="auto" w:fill="auto"/>
            <w:vAlign w:val="center"/>
            <w:hideMark/>
          </w:tcPr>
          <w:p w14:paraId="5F92EE0F"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84</w:t>
            </w:r>
          </w:p>
        </w:tc>
        <w:tc>
          <w:tcPr>
            <w:tcW w:w="709" w:type="dxa"/>
            <w:tcBorders>
              <w:top w:val="nil"/>
              <w:left w:val="nil"/>
              <w:bottom w:val="nil"/>
              <w:right w:val="nil"/>
            </w:tcBorders>
            <w:shd w:val="clear" w:color="auto" w:fill="auto"/>
            <w:vAlign w:val="center"/>
            <w:hideMark/>
          </w:tcPr>
          <w:p w14:paraId="22C39D01"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174</w:t>
            </w:r>
          </w:p>
        </w:tc>
        <w:tc>
          <w:tcPr>
            <w:tcW w:w="851" w:type="dxa"/>
            <w:tcBorders>
              <w:top w:val="nil"/>
              <w:left w:val="nil"/>
              <w:bottom w:val="nil"/>
              <w:right w:val="nil"/>
            </w:tcBorders>
            <w:shd w:val="clear" w:color="auto" w:fill="auto"/>
            <w:vAlign w:val="center"/>
            <w:hideMark/>
          </w:tcPr>
          <w:p w14:paraId="456AE3E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85</w:t>
            </w:r>
          </w:p>
        </w:tc>
        <w:tc>
          <w:tcPr>
            <w:tcW w:w="1701" w:type="dxa"/>
            <w:tcBorders>
              <w:top w:val="nil"/>
              <w:left w:val="nil"/>
              <w:bottom w:val="nil"/>
              <w:right w:val="nil"/>
            </w:tcBorders>
          </w:tcPr>
          <w:p w14:paraId="30B561F8"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07F1EA2B" w14:textId="77777777" w:rsidTr="00AD6FE2">
        <w:trPr>
          <w:trHeight w:val="261"/>
        </w:trPr>
        <w:tc>
          <w:tcPr>
            <w:tcW w:w="930" w:type="dxa"/>
            <w:tcBorders>
              <w:top w:val="nil"/>
              <w:left w:val="nil"/>
              <w:bottom w:val="nil"/>
              <w:right w:val="nil"/>
            </w:tcBorders>
            <w:shd w:val="clear" w:color="auto" w:fill="auto"/>
            <w:noWrap/>
            <w:vAlign w:val="bottom"/>
            <w:hideMark/>
          </w:tcPr>
          <w:p w14:paraId="6BDD04A3"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1907C865"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6 </w:t>
            </w:r>
          </w:p>
        </w:tc>
        <w:tc>
          <w:tcPr>
            <w:tcW w:w="643" w:type="dxa"/>
            <w:tcBorders>
              <w:top w:val="nil"/>
              <w:left w:val="nil"/>
              <w:bottom w:val="nil"/>
              <w:right w:val="nil"/>
            </w:tcBorders>
            <w:shd w:val="clear" w:color="auto" w:fill="auto"/>
            <w:noWrap/>
            <w:vAlign w:val="center"/>
            <w:hideMark/>
          </w:tcPr>
          <w:p w14:paraId="5A9F82D0"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76</w:t>
            </w:r>
          </w:p>
        </w:tc>
        <w:tc>
          <w:tcPr>
            <w:tcW w:w="642" w:type="dxa"/>
            <w:tcBorders>
              <w:top w:val="nil"/>
              <w:left w:val="nil"/>
              <w:bottom w:val="nil"/>
              <w:right w:val="nil"/>
            </w:tcBorders>
            <w:shd w:val="clear" w:color="auto" w:fill="auto"/>
            <w:noWrap/>
            <w:vAlign w:val="center"/>
            <w:hideMark/>
          </w:tcPr>
          <w:p w14:paraId="346A4147"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89</w:t>
            </w:r>
          </w:p>
        </w:tc>
        <w:tc>
          <w:tcPr>
            <w:tcW w:w="659" w:type="dxa"/>
            <w:tcBorders>
              <w:top w:val="nil"/>
              <w:left w:val="nil"/>
              <w:bottom w:val="nil"/>
              <w:right w:val="nil"/>
            </w:tcBorders>
            <w:shd w:val="clear" w:color="auto" w:fill="auto"/>
            <w:noWrap/>
            <w:vAlign w:val="center"/>
            <w:hideMark/>
          </w:tcPr>
          <w:p w14:paraId="6B5700DB"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165</w:t>
            </w:r>
          </w:p>
        </w:tc>
        <w:tc>
          <w:tcPr>
            <w:tcW w:w="645" w:type="dxa"/>
            <w:tcBorders>
              <w:top w:val="nil"/>
              <w:left w:val="nil"/>
              <w:bottom w:val="nil"/>
              <w:right w:val="nil"/>
            </w:tcBorders>
            <w:shd w:val="clear" w:color="auto" w:fill="auto"/>
            <w:noWrap/>
            <w:vAlign w:val="center"/>
            <w:hideMark/>
          </w:tcPr>
          <w:p w14:paraId="03C8B704"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86</w:t>
            </w:r>
          </w:p>
        </w:tc>
        <w:tc>
          <w:tcPr>
            <w:tcW w:w="1715" w:type="dxa"/>
            <w:tcBorders>
              <w:top w:val="nil"/>
              <w:left w:val="nil"/>
              <w:bottom w:val="nil"/>
              <w:right w:val="nil"/>
            </w:tcBorders>
          </w:tcPr>
          <w:p w14:paraId="4621C5D5"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18AF4AC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71</w:t>
            </w:r>
          </w:p>
        </w:tc>
        <w:tc>
          <w:tcPr>
            <w:tcW w:w="722" w:type="dxa"/>
            <w:tcBorders>
              <w:top w:val="nil"/>
              <w:left w:val="nil"/>
              <w:bottom w:val="nil"/>
              <w:right w:val="nil"/>
            </w:tcBorders>
            <w:shd w:val="clear" w:color="auto" w:fill="auto"/>
            <w:vAlign w:val="center"/>
            <w:hideMark/>
          </w:tcPr>
          <w:p w14:paraId="17D3A7CE"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86</w:t>
            </w:r>
          </w:p>
        </w:tc>
        <w:tc>
          <w:tcPr>
            <w:tcW w:w="709" w:type="dxa"/>
            <w:tcBorders>
              <w:top w:val="nil"/>
              <w:left w:val="nil"/>
              <w:bottom w:val="nil"/>
              <w:right w:val="nil"/>
            </w:tcBorders>
            <w:shd w:val="clear" w:color="auto" w:fill="auto"/>
            <w:vAlign w:val="center"/>
            <w:hideMark/>
          </w:tcPr>
          <w:p w14:paraId="2DD94D9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158</w:t>
            </w:r>
          </w:p>
        </w:tc>
        <w:tc>
          <w:tcPr>
            <w:tcW w:w="851" w:type="dxa"/>
            <w:tcBorders>
              <w:top w:val="nil"/>
              <w:left w:val="nil"/>
              <w:bottom w:val="nil"/>
              <w:right w:val="nil"/>
            </w:tcBorders>
            <w:shd w:val="clear" w:color="auto" w:fill="auto"/>
            <w:vAlign w:val="center"/>
            <w:hideMark/>
          </w:tcPr>
          <w:p w14:paraId="0481BBAD"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83</w:t>
            </w:r>
          </w:p>
        </w:tc>
        <w:tc>
          <w:tcPr>
            <w:tcW w:w="1701" w:type="dxa"/>
            <w:tcBorders>
              <w:top w:val="nil"/>
              <w:left w:val="nil"/>
              <w:bottom w:val="nil"/>
              <w:right w:val="nil"/>
            </w:tcBorders>
          </w:tcPr>
          <w:p w14:paraId="000982F7"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13235B7A" w14:textId="77777777" w:rsidTr="00AD6FE2">
        <w:trPr>
          <w:trHeight w:val="261"/>
        </w:trPr>
        <w:tc>
          <w:tcPr>
            <w:tcW w:w="930" w:type="dxa"/>
            <w:tcBorders>
              <w:top w:val="nil"/>
              <w:left w:val="nil"/>
              <w:bottom w:val="nil"/>
              <w:right w:val="nil"/>
            </w:tcBorders>
            <w:shd w:val="clear" w:color="auto" w:fill="auto"/>
            <w:noWrap/>
            <w:vAlign w:val="bottom"/>
            <w:hideMark/>
          </w:tcPr>
          <w:p w14:paraId="66B11C15"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338F3C6C"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7 </w:t>
            </w:r>
          </w:p>
        </w:tc>
        <w:tc>
          <w:tcPr>
            <w:tcW w:w="643" w:type="dxa"/>
            <w:tcBorders>
              <w:top w:val="nil"/>
              <w:left w:val="nil"/>
              <w:bottom w:val="nil"/>
              <w:right w:val="nil"/>
            </w:tcBorders>
            <w:shd w:val="clear" w:color="auto" w:fill="auto"/>
            <w:noWrap/>
            <w:vAlign w:val="center"/>
            <w:hideMark/>
          </w:tcPr>
          <w:p w14:paraId="190DC6FD"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67</w:t>
            </w:r>
          </w:p>
        </w:tc>
        <w:tc>
          <w:tcPr>
            <w:tcW w:w="642" w:type="dxa"/>
            <w:tcBorders>
              <w:top w:val="nil"/>
              <w:left w:val="nil"/>
              <w:bottom w:val="nil"/>
              <w:right w:val="nil"/>
            </w:tcBorders>
            <w:shd w:val="clear" w:color="auto" w:fill="auto"/>
            <w:noWrap/>
            <w:vAlign w:val="center"/>
            <w:hideMark/>
          </w:tcPr>
          <w:p w14:paraId="4097A3E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95</w:t>
            </w:r>
          </w:p>
        </w:tc>
        <w:tc>
          <w:tcPr>
            <w:tcW w:w="659" w:type="dxa"/>
            <w:tcBorders>
              <w:top w:val="nil"/>
              <w:left w:val="nil"/>
              <w:bottom w:val="nil"/>
              <w:right w:val="nil"/>
            </w:tcBorders>
            <w:shd w:val="clear" w:color="auto" w:fill="auto"/>
            <w:noWrap/>
            <w:vAlign w:val="center"/>
            <w:hideMark/>
          </w:tcPr>
          <w:p w14:paraId="14771C5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162</w:t>
            </w:r>
          </w:p>
        </w:tc>
        <w:tc>
          <w:tcPr>
            <w:tcW w:w="645" w:type="dxa"/>
            <w:tcBorders>
              <w:top w:val="nil"/>
              <w:left w:val="nil"/>
              <w:bottom w:val="nil"/>
              <w:right w:val="nil"/>
            </w:tcBorders>
            <w:shd w:val="clear" w:color="auto" w:fill="auto"/>
            <w:noWrap/>
            <w:vAlign w:val="center"/>
            <w:hideMark/>
          </w:tcPr>
          <w:p w14:paraId="388756D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89</w:t>
            </w:r>
          </w:p>
        </w:tc>
        <w:tc>
          <w:tcPr>
            <w:tcW w:w="1715" w:type="dxa"/>
            <w:tcBorders>
              <w:top w:val="nil"/>
              <w:left w:val="nil"/>
              <w:bottom w:val="nil"/>
              <w:right w:val="nil"/>
            </w:tcBorders>
          </w:tcPr>
          <w:p w14:paraId="3B1BBED7"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3275092F"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62</w:t>
            </w:r>
          </w:p>
        </w:tc>
        <w:tc>
          <w:tcPr>
            <w:tcW w:w="722" w:type="dxa"/>
            <w:tcBorders>
              <w:top w:val="nil"/>
              <w:left w:val="nil"/>
              <w:bottom w:val="nil"/>
              <w:right w:val="nil"/>
            </w:tcBorders>
            <w:shd w:val="clear" w:color="auto" w:fill="auto"/>
            <w:vAlign w:val="center"/>
            <w:hideMark/>
          </w:tcPr>
          <w:p w14:paraId="4EEE2A10"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95</w:t>
            </w:r>
          </w:p>
        </w:tc>
        <w:tc>
          <w:tcPr>
            <w:tcW w:w="709" w:type="dxa"/>
            <w:tcBorders>
              <w:top w:val="nil"/>
              <w:left w:val="nil"/>
              <w:bottom w:val="nil"/>
              <w:right w:val="nil"/>
            </w:tcBorders>
            <w:shd w:val="clear" w:color="auto" w:fill="auto"/>
            <w:vAlign w:val="center"/>
            <w:hideMark/>
          </w:tcPr>
          <w:p w14:paraId="21D0876C"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157</w:t>
            </w:r>
          </w:p>
        </w:tc>
        <w:tc>
          <w:tcPr>
            <w:tcW w:w="851" w:type="dxa"/>
            <w:tcBorders>
              <w:top w:val="nil"/>
              <w:left w:val="nil"/>
              <w:bottom w:val="nil"/>
              <w:right w:val="nil"/>
            </w:tcBorders>
            <w:shd w:val="clear" w:color="auto" w:fill="auto"/>
            <w:vAlign w:val="center"/>
            <w:hideMark/>
          </w:tcPr>
          <w:p w14:paraId="57E80B61"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88</w:t>
            </w:r>
          </w:p>
        </w:tc>
        <w:tc>
          <w:tcPr>
            <w:tcW w:w="1701" w:type="dxa"/>
            <w:tcBorders>
              <w:top w:val="nil"/>
              <w:left w:val="nil"/>
              <w:bottom w:val="nil"/>
              <w:right w:val="nil"/>
            </w:tcBorders>
          </w:tcPr>
          <w:p w14:paraId="7C097D93"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275C63A3" w14:textId="77777777" w:rsidTr="00AD6FE2">
        <w:trPr>
          <w:trHeight w:val="274"/>
        </w:trPr>
        <w:tc>
          <w:tcPr>
            <w:tcW w:w="930" w:type="dxa"/>
            <w:tcBorders>
              <w:top w:val="nil"/>
              <w:left w:val="nil"/>
              <w:bottom w:val="single" w:sz="8" w:space="0" w:color="auto"/>
              <w:right w:val="nil"/>
            </w:tcBorders>
            <w:shd w:val="clear" w:color="auto" w:fill="auto"/>
            <w:noWrap/>
            <w:vAlign w:val="bottom"/>
            <w:hideMark/>
          </w:tcPr>
          <w:p w14:paraId="4E792086"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17E1A048"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8  </w:t>
            </w:r>
          </w:p>
        </w:tc>
        <w:tc>
          <w:tcPr>
            <w:tcW w:w="643" w:type="dxa"/>
            <w:tcBorders>
              <w:top w:val="nil"/>
              <w:left w:val="nil"/>
              <w:bottom w:val="single" w:sz="8" w:space="0" w:color="auto"/>
              <w:right w:val="nil"/>
            </w:tcBorders>
            <w:shd w:val="clear" w:color="auto" w:fill="auto"/>
            <w:noWrap/>
            <w:vAlign w:val="center"/>
            <w:hideMark/>
          </w:tcPr>
          <w:p w14:paraId="45CE9757"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52</w:t>
            </w:r>
          </w:p>
        </w:tc>
        <w:tc>
          <w:tcPr>
            <w:tcW w:w="642" w:type="dxa"/>
            <w:tcBorders>
              <w:top w:val="nil"/>
              <w:left w:val="nil"/>
              <w:bottom w:val="single" w:sz="8" w:space="0" w:color="auto"/>
              <w:right w:val="nil"/>
            </w:tcBorders>
            <w:shd w:val="clear" w:color="auto" w:fill="auto"/>
            <w:noWrap/>
            <w:vAlign w:val="center"/>
            <w:hideMark/>
          </w:tcPr>
          <w:p w14:paraId="2190AC64"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97</w:t>
            </w:r>
          </w:p>
        </w:tc>
        <w:tc>
          <w:tcPr>
            <w:tcW w:w="659" w:type="dxa"/>
            <w:tcBorders>
              <w:top w:val="nil"/>
              <w:left w:val="nil"/>
              <w:bottom w:val="single" w:sz="8" w:space="0" w:color="auto"/>
              <w:right w:val="nil"/>
            </w:tcBorders>
            <w:shd w:val="clear" w:color="auto" w:fill="auto"/>
            <w:noWrap/>
            <w:vAlign w:val="center"/>
            <w:hideMark/>
          </w:tcPr>
          <w:p w14:paraId="46322C41"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149</w:t>
            </w:r>
          </w:p>
        </w:tc>
        <w:tc>
          <w:tcPr>
            <w:tcW w:w="645" w:type="dxa"/>
            <w:tcBorders>
              <w:top w:val="nil"/>
              <w:left w:val="nil"/>
              <w:bottom w:val="single" w:sz="8" w:space="0" w:color="auto"/>
              <w:right w:val="nil"/>
            </w:tcBorders>
            <w:shd w:val="clear" w:color="auto" w:fill="auto"/>
            <w:noWrap/>
            <w:vAlign w:val="center"/>
            <w:hideMark/>
          </w:tcPr>
          <w:p w14:paraId="0DD88EBC"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87</w:t>
            </w:r>
          </w:p>
        </w:tc>
        <w:tc>
          <w:tcPr>
            <w:tcW w:w="1715" w:type="dxa"/>
            <w:tcBorders>
              <w:top w:val="nil"/>
              <w:left w:val="nil"/>
              <w:bottom w:val="single" w:sz="8" w:space="0" w:color="auto"/>
              <w:right w:val="nil"/>
            </w:tcBorders>
          </w:tcPr>
          <w:p w14:paraId="47E882F6"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single" w:sz="8" w:space="0" w:color="auto"/>
              <w:right w:val="nil"/>
            </w:tcBorders>
            <w:shd w:val="clear" w:color="auto" w:fill="auto"/>
            <w:vAlign w:val="center"/>
            <w:hideMark/>
          </w:tcPr>
          <w:p w14:paraId="3DF4E7D7"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48</w:t>
            </w:r>
          </w:p>
        </w:tc>
        <w:tc>
          <w:tcPr>
            <w:tcW w:w="722" w:type="dxa"/>
            <w:tcBorders>
              <w:top w:val="nil"/>
              <w:left w:val="nil"/>
              <w:bottom w:val="single" w:sz="8" w:space="0" w:color="auto"/>
              <w:right w:val="nil"/>
            </w:tcBorders>
            <w:shd w:val="clear" w:color="auto" w:fill="auto"/>
            <w:vAlign w:val="center"/>
            <w:hideMark/>
          </w:tcPr>
          <w:p w14:paraId="776F0017"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96</w:t>
            </w:r>
          </w:p>
        </w:tc>
        <w:tc>
          <w:tcPr>
            <w:tcW w:w="709" w:type="dxa"/>
            <w:tcBorders>
              <w:top w:val="nil"/>
              <w:left w:val="nil"/>
              <w:bottom w:val="single" w:sz="8" w:space="0" w:color="auto"/>
              <w:right w:val="nil"/>
            </w:tcBorders>
            <w:shd w:val="clear" w:color="auto" w:fill="auto"/>
            <w:vAlign w:val="center"/>
            <w:hideMark/>
          </w:tcPr>
          <w:p w14:paraId="78635C27"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144</w:t>
            </w:r>
          </w:p>
        </w:tc>
        <w:tc>
          <w:tcPr>
            <w:tcW w:w="851" w:type="dxa"/>
            <w:tcBorders>
              <w:top w:val="nil"/>
              <w:left w:val="nil"/>
              <w:bottom w:val="single" w:sz="8" w:space="0" w:color="auto"/>
              <w:right w:val="nil"/>
            </w:tcBorders>
            <w:shd w:val="clear" w:color="auto" w:fill="auto"/>
            <w:vAlign w:val="center"/>
            <w:hideMark/>
          </w:tcPr>
          <w:p w14:paraId="16D3304B"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86</w:t>
            </w:r>
          </w:p>
        </w:tc>
        <w:tc>
          <w:tcPr>
            <w:tcW w:w="1701" w:type="dxa"/>
            <w:tcBorders>
              <w:top w:val="nil"/>
              <w:left w:val="nil"/>
              <w:bottom w:val="single" w:sz="8" w:space="0" w:color="auto"/>
              <w:right w:val="nil"/>
            </w:tcBorders>
          </w:tcPr>
          <w:p w14:paraId="3EF064EB"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5A1BEAAB" w14:textId="77777777" w:rsidTr="00AD6FE2">
        <w:trPr>
          <w:trHeight w:val="261"/>
        </w:trPr>
        <w:tc>
          <w:tcPr>
            <w:tcW w:w="930" w:type="dxa"/>
            <w:tcBorders>
              <w:top w:val="nil"/>
              <w:left w:val="nil"/>
              <w:bottom w:val="nil"/>
              <w:right w:val="nil"/>
            </w:tcBorders>
            <w:shd w:val="clear" w:color="auto" w:fill="auto"/>
            <w:noWrap/>
            <w:vAlign w:val="center"/>
            <w:hideMark/>
          </w:tcPr>
          <w:p w14:paraId="1E673D0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Men </w:t>
            </w:r>
          </w:p>
        </w:tc>
        <w:tc>
          <w:tcPr>
            <w:tcW w:w="720" w:type="dxa"/>
            <w:tcBorders>
              <w:top w:val="nil"/>
              <w:left w:val="nil"/>
              <w:bottom w:val="nil"/>
              <w:right w:val="nil"/>
            </w:tcBorders>
            <w:shd w:val="clear" w:color="auto" w:fill="auto"/>
            <w:noWrap/>
            <w:vAlign w:val="center"/>
            <w:hideMark/>
          </w:tcPr>
          <w:p w14:paraId="799C3291"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3 </w:t>
            </w:r>
          </w:p>
        </w:tc>
        <w:tc>
          <w:tcPr>
            <w:tcW w:w="643" w:type="dxa"/>
            <w:tcBorders>
              <w:top w:val="nil"/>
              <w:left w:val="nil"/>
              <w:bottom w:val="nil"/>
              <w:right w:val="nil"/>
            </w:tcBorders>
            <w:shd w:val="clear" w:color="auto" w:fill="auto"/>
            <w:noWrap/>
            <w:vAlign w:val="center"/>
            <w:hideMark/>
          </w:tcPr>
          <w:p w14:paraId="784CD165"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100</w:t>
            </w:r>
          </w:p>
        </w:tc>
        <w:tc>
          <w:tcPr>
            <w:tcW w:w="642" w:type="dxa"/>
            <w:tcBorders>
              <w:top w:val="nil"/>
              <w:left w:val="nil"/>
              <w:bottom w:val="nil"/>
              <w:right w:val="nil"/>
            </w:tcBorders>
            <w:shd w:val="clear" w:color="auto" w:fill="auto"/>
            <w:noWrap/>
            <w:vAlign w:val="center"/>
            <w:hideMark/>
          </w:tcPr>
          <w:p w14:paraId="3609FF1C"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39</w:t>
            </w:r>
          </w:p>
        </w:tc>
        <w:tc>
          <w:tcPr>
            <w:tcW w:w="659" w:type="dxa"/>
            <w:tcBorders>
              <w:top w:val="nil"/>
              <w:left w:val="nil"/>
              <w:bottom w:val="nil"/>
              <w:right w:val="nil"/>
            </w:tcBorders>
            <w:shd w:val="clear" w:color="auto" w:fill="auto"/>
            <w:noWrap/>
            <w:vAlign w:val="center"/>
            <w:hideMark/>
          </w:tcPr>
          <w:p w14:paraId="388CB2E8"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139</w:t>
            </w:r>
          </w:p>
        </w:tc>
        <w:tc>
          <w:tcPr>
            <w:tcW w:w="645" w:type="dxa"/>
            <w:tcBorders>
              <w:top w:val="nil"/>
              <w:left w:val="nil"/>
              <w:bottom w:val="nil"/>
              <w:right w:val="nil"/>
            </w:tcBorders>
            <w:shd w:val="clear" w:color="auto" w:fill="auto"/>
            <w:noWrap/>
            <w:vAlign w:val="center"/>
            <w:hideMark/>
          </w:tcPr>
          <w:p w14:paraId="08B8510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62</w:t>
            </w:r>
          </w:p>
        </w:tc>
        <w:tc>
          <w:tcPr>
            <w:tcW w:w="1715" w:type="dxa"/>
            <w:tcBorders>
              <w:top w:val="nil"/>
              <w:left w:val="nil"/>
              <w:bottom w:val="nil"/>
              <w:right w:val="nil"/>
            </w:tcBorders>
          </w:tcPr>
          <w:p w14:paraId="2209AF8C" w14:textId="77777777" w:rsidR="0071164E" w:rsidRPr="009E6490" w:rsidRDefault="0071164E" w:rsidP="00AD6FE2">
            <w:pPr>
              <w:jc w:val="center"/>
              <w:rPr>
                <w:rFonts w:ascii="Calibri" w:hAnsi="Calibri" w:cs="Calibri"/>
                <w:color w:val="000000"/>
                <w:sz w:val="22"/>
                <w:szCs w:val="22"/>
                <w:lang w:eastAsia="en-GB"/>
              </w:rPr>
            </w:pPr>
            <w:r>
              <w:rPr>
                <w:rFonts w:asciiTheme="minorHAnsi" w:hAnsiTheme="minorHAnsi" w:cstheme="minorHAnsi"/>
                <w:sz w:val="22"/>
                <w:szCs w:val="22"/>
              </w:rPr>
              <w:t>0.91 (0.84, 0.98)</w:t>
            </w:r>
          </w:p>
        </w:tc>
        <w:tc>
          <w:tcPr>
            <w:tcW w:w="695" w:type="dxa"/>
            <w:tcBorders>
              <w:top w:val="nil"/>
              <w:left w:val="nil"/>
              <w:bottom w:val="nil"/>
              <w:right w:val="nil"/>
            </w:tcBorders>
            <w:shd w:val="clear" w:color="auto" w:fill="auto"/>
            <w:vAlign w:val="center"/>
            <w:hideMark/>
          </w:tcPr>
          <w:p w14:paraId="68A0493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100</w:t>
            </w:r>
          </w:p>
        </w:tc>
        <w:tc>
          <w:tcPr>
            <w:tcW w:w="722" w:type="dxa"/>
            <w:tcBorders>
              <w:top w:val="nil"/>
              <w:left w:val="nil"/>
              <w:bottom w:val="nil"/>
              <w:right w:val="nil"/>
            </w:tcBorders>
            <w:shd w:val="clear" w:color="auto" w:fill="auto"/>
            <w:vAlign w:val="center"/>
            <w:hideMark/>
          </w:tcPr>
          <w:p w14:paraId="68252455"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40</w:t>
            </w:r>
          </w:p>
        </w:tc>
        <w:tc>
          <w:tcPr>
            <w:tcW w:w="709" w:type="dxa"/>
            <w:tcBorders>
              <w:top w:val="nil"/>
              <w:left w:val="nil"/>
              <w:bottom w:val="nil"/>
              <w:right w:val="nil"/>
            </w:tcBorders>
            <w:shd w:val="clear" w:color="auto" w:fill="auto"/>
            <w:vAlign w:val="center"/>
            <w:hideMark/>
          </w:tcPr>
          <w:p w14:paraId="73EFC5E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140</w:t>
            </w:r>
          </w:p>
        </w:tc>
        <w:tc>
          <w:tcPr>
            <w:tcW w:w="851" w:type="dxa"/>
            <w:tcBorders>
              <w:top w:val="nil"/>
              <w:left w:val="nil"/>
              <w:bottom w:val="nil"/>
              <w:right w:val="nil"/>
            </w:tcBorders>
            <w:shd w:val="clear" w:color="auto" w:fill="auto"/>
            <w:vAlign w:val="center"/>
            <w:hideMark/>
          </w:tcPr>
          <w:p w14:paraId="5088979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62</w:t>
            </w:r>
          </w:p>
        </w:tc>
        <w:tc>
          <w:tcPr>
            <w:tcW w:w="1701" w:type="dxa"/>
            <w:tcBorders>
              <w:top w:val="nil"/>
              <w:left w:val="nil"/>
              <w:bottom w:val="nil"/>
              <w:right w:val="nil"/>
            </w:tcBorders>
          </w:tcPr>
          <w:p w14:paraId="232B95BB" w14:textId="77777777" w:rsidR="0071164E" w:rsidRPr="009E6490" w:rsidRDefault="0071164E" w:rsidP="00AD6FE2">
            <w:pPr>
              <w:jc w:val="center"/>
              <w:rPr>
                <w:rFonts w:ascii="Calibri" w:hAnsi="Calibri" w:cs="Calibri"/>
                <w:color w:val="000000"/>
                <w:sz w:val="22"/>
                <w:szCs w:val="22"/>
                <w:lang w:eastAsia="en-GB"/>
              </w:rPr>
            </w:pPr>
            <w:r>
              <w:rPr>
                <w:rFonts w:asciiTheme="minorHAnsi" w:hAnsiTheme="minorHAnsi" w:cstheme="minorHAnsi"/>
                <w:sz w:val="22"/>
                <w:szCs w:val="22"/>
              </w:rPr>
              <w:t>0.88 (0.78, 0.98)</w:t>
            </w:r>
          </w:p>
        </w:tc>
      </w:tr>
      <w:tr w:rsidR="0071164E" w:rsidRPr="009E6490" w14:paraId="00287790" w14:textId="77777777" w:rsidTr="00AD6FE2">
        <w:trPr>
          <w:trHeight w:val="261"/>
        </w:trPr>
        <w:tc>
          <w:tcPr>
            <w:tcW w:w="930" w:type="dxa"/>
            <w:tcBorders>
              <w:top w:val="nil"/>
              <w:left w:val="nil"/>
              <w:bottom w:val="nil"/>
              <w:right w:val="nil"/>
            </w:tcBorders>
            <w:shd w:val="clear" w:color="auto" w:fill="auto"/>
            <w:noWrap/>
            <w:vAlign w:val="bottom"/>
            <w:hideMark/>
          </w:tcPr>
          <w:p w14:paraId="7C0683C0"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20F95097"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4  </w:t>
            </w:r>
          </w:p>
        </w:tc>
        <w:tc>
          <w:tcPr>
            <w:tcW w:w="643" w:type="dxa"/>
            <w:tcBorders>
              <w:top w:val="nil"/>
              <w:left w:val="nil"/>
              <w:bottom w:val="nil"/>
              <w:right w:val="nil"/>
            </w:tcBorders>
            <w:shd w:val="clear" w:color="auto" w:fill="auto"/>
            <w:noWrap/>
            <w:vAlign w:val="center"/>
            <w:hideMark/>
          </w:tcPr>
          <w:p w14:paraId="179583CE"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100</w:t>
            </w:r>
          </w:p>
        </w:tc>
        <w:tc>
          <w:tcPr>
            <w:tcW w:w="642" w:type="dxa"/>
            <w:tcBorders>
              <w:top w:val="nil"/>
              <w:left w:val="nil"/>
              <w:bottom w:val="nil"/>
              <w:right w:val="nil"/>
            </w:tcBorders>
            <w:shd w:val="clear" w:color="auto" w:fill="auto"/>
            <w:noWrap/>
            <w:vAlign w:val="center"/>
            <w:hideMark/>
          </w:tcPr>
          <w:p w14:paraId="5DEE2C3B"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55</w:t>
            </w:r>
          </w:p>
        </w:tc>
        <w:tc>
          <w:tcPr>
            <w:tcW w:w="659" w:type="dxa"/>
            <w:tcBorders>
              <w:top w:val="nil"/>
              <w:left w:val="nil"/>
              <w:bottom w:val="nil"/>
              <w:right w:val="nil"/>
            </w:tcBorders>
            <w:shd w:val="clear" w:color="auto" w:fill="auto"/>
            <w:noWrap/>
            <w:vAlign w:val="center"/>
            <w:hideMark/>
          </w:tcPr>
          <w:p w14:paraId="1523CEB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155</w:t>
            </w:r>
          </w:p>
        </w:tc>
        <w:tc>
          <w:tcPr>
            <w:tcW w:w="645" w:type="dxa"/>
            <w:tcBorders>
              <w:top w:val="nil"/>
              <w:left w:val="nil"/>
              <w:bottom w:val="nil"/>
              <w:right w:val="nil"/>
            </w:tcBorders>
            <w:shd w:val="clear" w:color="auto" w:fill="auto"/>
            <w:noWrap/>
            <w:vAlign w:val="center"/>
            <w:hideMark/>
          </w:tcPr>
          <w:p w14:paraId="19BD2E6D"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72</w:t>
            </w:r>
          </w:p>
        </w:tc>
        <w:tc>
          <w:tcPr>
            <w:tcW w:w="1715" w:type="dxa"/>
            <w:tcBorders>
              <w:top w:val="nil"/>
              <w:left w:val="nil"/>
              <w:bottom w:val="nil"/>
              <w:right w:val="nil"/>
            </w:tcBorders>
          </w:tcPr>
          <w:p w14:paraId="09AAC213"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76E40866"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100</w:t>
            </w:r>
          </w:p>
        </w:tc>
        <w:tc>
          <w:tcPr>
            <w:tcW w:w="722" w:type="dxa"/>
            <w:tcBorders>
              <w:top w:val="nil"/>
              <w:left w:val="nil"/>
              <w:bottom w:val="nil"/>
              <w:right w:val="nil"/>
            </w:tcBorders>
            <w:shd w:val="clear" w:color="auto" w:fill="auto"/>
            <w:vAlign w:val="center"/>
            <w:hideMark/>
          </w:tcPr>
          <w:p w14:paraId="2523256C"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52</w:t>
            </w:r>
          </w:p>
        </w:tc>
        <w:tc>
          <w:tcPr>
            <w:tcW w:w="709" w:type="dxa"/>
            <w:tcBorders>
              <w:top w:val="nil"/>
              <w:left w:val="nil"/>
              <w:bottom w:val="nil"/>
              <w:right w:val="nil"/>
            </w:tcBorders>
            <w:shd w:val="clear" w:color="auto" w:fill="auto"/>
            <w:vAlign w:val="center"/>
            <w:hideMark/>
          </w:tcPr>
          <w:p w14:paraId="505F5728"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152</w:t>
            </w:r>
          </w:p>
        </w:tc>
        <w:tc>
          <w:tcPr>
            <w:tcW w:w="851" w:type="dxa"/>
            <w:tcBorders>
              <w:top w:val="nil"/>
              <w:left w:val="nil"/>
              <w:bottom w:val="nil"/>
              <w:right w:val="nil"/>
            </w:tcBorders>
            <w:shd w:val="clear" w:color="auto" w:fill="auto"/>
            <w:vAlign w:val="center"/>
            <w:hideMark/>
          </w:tcPr>
          <w:p w14:paraId="749F78D6"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69</w:t>
            </w:r>
          </w:p>
        </w:tc>
        <w:tc>
          <w:tcPr>
            <w:tcW w:w="1701" w:type="dxa"/>
            <w:tcBorders>
              <w:top w:val="nil"/>
              <w:left w:val="nil"/>
              <w:bottom w:val="nil"/>
              <w:right w:val="nil"/>
            </w:tcBorders>
          </w:tcPr>
          <w:p w14:paraId="24EBABBF"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2B92F2C6" w14:textId="77777777" w:rsidTr="00AD6FE2">
        <w:trPr>
          <w:trHeight w:val="261"/>
        </w:trPr>
        <w:tc>
          <w:tcPr>
            <w:tcW w:w="930" w:type="dxa"/>
            <w:tcBorders>
              <w:top w:val="nil"/>
              <w:left w:val="nil"/>
              <w:bottom w:val="nil"/>
              <w:right w:val="nil"/>
            </w:tcBorders>
            <w:shd w:val="clear" w:color="auto" w:fill="auto"/>
            <w:noWrap/>
            <w:vAlign w:val="bottom"/>
            <w:hideMark/>
          </w:tcPr>
          <w:p w14:paraId="2B7F7321"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53708C16"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5 </w:t>
            </w:r>
          </w:p>
        </w:tc>
        <w:tc>
          <w:tcPr>
            <w:tcW w:w="643" w:type="dxa"/>
            <w:tcBorders>
              <w:top w:val="nil"/>
              <w:left w:val="nil"/>
              <w:bottom w:val="nil"/>
              <w:right w:val="nil"/>
            </w:tcBorders>
            <w:shd w:val="clear" w:color="auto" w:fill="auto"/>
            <w:noWrap/>
            <w:vAlign w:val="center"/>
            <w:hideMark/>
          </w:tcPr>
          <w:p w14:paraId="1FBAFAB7"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90</w:t>
            </w:r>
          </w:p>
        </w:tc>
        <w:tc>
          <w:tcPr>
            <w:tcW w:w="642" w:type="dxa"/>
            <w:tcBorders>
              <w:top w:val="nil"/>
              <w:left w:val="nil"/>
              <w:bottom w:val="nil"/>
              <w:right w:val="nil"/>
            </w:tcBorders>
            <w:shd w:val="clear" w:color="auto" w:fill="auto"/>
            <w:noWrap/>
            <w:vAlign w:val="center"/>
            <w:hideMark/>
          </w:tcPr>
          <w:p w14:paraId="63310656"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76</w:t>
            </w:r>
          </w:p>
        </w:tc>
        <w:tc>
          <w:tcPr>
            <w:tcW w:w="659" w:type="dxa"/>
            <w:tcBorders>
              <w:top w:val="nil"/>
              <w:left w:val="nil"/>
              <w:bottom w:val="nil"/>
              <w:right w:val="nil"/>
            </w:tcBorders>
            <w:shd w:val="clear" w:color="auto" w:fill="auto"/>
            <w:noWrap/>
            <w:vAlign w:val="center"/>
            <w:hideMark/>
          </w:tcPr>
          <w:p w14:paraId="6ACCF27F"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166</w:t>
            </w:r>
          </w:p>
        </w:tc>
        <w:tc>
          <w:tcPr>
            <w:tcW w:w="645" w:type="dxa"/>
            <w:tcBorders>
              <w:top w:val="nil"/>
              <w:left w:val="nil"/>
              <w:bottom w:val="nil"/>
              <w:right w:val="nil"/>
            </w:tcBorders>
            <w:shd w:val="clear" w:color="auto" w:fill="auto"/>
            <w:noWrap/>
            <w:vAlign w:val="center"/>
            <w:hideMark/>
          </w:tcPr>
          <w:p w14:paraId="537FE97F"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81</w:t>
            </w:r>
          </w:p>
        </w:tc>
        <w:tc>
          <w:tcPr>
            <w:tcW w:w="1715" w:type="dxa"/>
            <w:tcBorders>
              <w:top w:val="nil"/>
              <w:left w:val="nil"/>
              <w:bottom w:val="nil"/>
              <w:right w:val="nil"/>
            </w:tcBorders>
          </w:tcPr>
          <w:p w14:paraId="6D2D949C"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08AB1EF5"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93</w:t>
            </w:r>
          </w:p>
        </w:tc>
        <w:tc>
          <w:tcPr>
            <w:tcW w:w="722" w:type="dxa"/>
            <w:tcBorders>
              <w:top w:val="nil"/>
              <w:left w:val="nil"/>
              <w:bottom w:val="nil"/>
              <w:right w:val="nil"/>
            </w:tcBorders>
            <w:shd w:val="clear" w:color="auto" w:fill="auto"/>
            <w:vAlign w:val="center"/>
            <w:hideMark/>
          </w:tcPr>
          <w:p w14:paraId="27CF6144"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72</w:t>
            </w:r>
          </w:p>
        </w:tc>
        <w:tc>
          <w:tcPr>
            <w:tcW w:w="709" w:type="dxa"/>
            <w:tcBorders>
              <w:top w:val="nil"/>
              <w:left w:val="nil"/>
              <w:bottom w:val="nil"/>
              <w:right w:val="nil"/>
            </w:tcBorders>
            <w:shd w:val="clear" w:color="auto" w:fill="auto"/>
            <w:vAlign w:val="center"/>
            <w:hideMark/>
          </w:tcPr>
          <w:p w14:paraId="59D3336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165</w:t>
            </w:r>
          </w:p>
        </w:tc>
        <w:tc>
          <w:tcPr>
            <w:tcW w:w="851" w:type="dxa"/>
            <w:tcBorders>
              <w:top w:val="nil"/>
              <w:left w:val="nil"/>
              <w:bottom w:val="nil"/>
              <w:right w:val="nil"/>
            </w:tcBorders>
            <w:shd w:val="clear" w:color="auto" w:fill="auto"/>
            <w:vAlign w:val="center"/>
            <w:hideMark/>
          </w:tcPr>
          <w:p w14:paraId="166733F6"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79</w:t>
            </w:r>
          </w:p>
        </w:tc>
        <w:tc>
          <w:tcPr>
            <w:tcW w:w="1701" w:type="dxa"/>
            <w:tcBorders>
              <w:top w:val="nil"/>
              <w:left w:val="nil"/>
              <w:bottom w:val="nil"/>
              <w:right w:val="nil"/>
            </w:tcBorders>
          </w:tcPr>
          <w:p w14:paraId="1041136D"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52D2F219" w14:textId="77777777" w:rsidTr="00AD6FE2">
        <w:trPr>
          <w:trHeight w:val="261"/>
        </w:trPr>
        <w:tc>
          <w:tcPr>
            <w:tcW w:w="930" w:type="dxa"/>
            <w:tcBorders>
              <w:top w:val="nil"/>
              <w:left w:val="nil"/>
              <w:bottom w:val="nil"/>
              <w:right w:val="nil"/>
            </w:tcBorders>
            <w:shd w:val="clear" w:color="auto" w:fill="auto"/>
            <w:noWrap/>
            <w:vAlign w:val="bottom"/>
            <w:hideMark/>
          </w:tcPr>
          <w:p w14:paraId="3F7855EB"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0684F6DC"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6 </w:t>
            </w:r>
          </w:p>
        </w:tc>
        <w:tc>
          <w:tcPr>
            <w:tcW w:w="643" w:type="dxa"/>
            <w:tcBorders>
              <w:top w:val="nil"/>
              <w:left w:val="nil"/>
              <w:bottom w:val="nil"/>
              <w:right w:val="nil"/>
            </w:tcBorders>
            <w:shd w:val="clear" w:color="auto" w:fill="auto"/>
            <w:noWrap/>
            <w:vAlign w:val="center"/>
            <w:hideMark/>
          </w:tcPr>
          <w:p w14:paraId="35FF0B46"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75</w:t>
            </w:r>
          </w:p>
        </w:tc>
        <w:tc>
          <w:tcPr>
            <w:tcW w:w="642" w:type="dxa"/>
            <w:tcBorders>
              <w:top w:val="nil"/>
              <w:left w:val="nil"/>
              <w:bottom w:val="nil"/>
              <w:right w:val="nil"/>
            </w:tcBorders>
            <w:shd w:val="clear" w:color="auto" w:fill="auto"/>
            <w:noWrap/>
            <w:vAlign w:val="center"/>
            <w:hideMark/>
          </w:tcPr>
          <w:p w14:paraId="14603C7F"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82</w:t>
            </w:r>
          </w:p>
        </w:tc>
        <w:tc>
          <w:tcPr>
            <w:tcW w:w="659" w:type="dxa"/>
            <w:tcBorders>
              <w:top w:val="nil"/>
              <w:left w:val="nil"/>
              <w:bottom w:val="nil"/>
              <w:right w:val="nil"/>
            </w:tcBorders>
            <w:shd w:val="clear" w:color="auto" w:fill="auto"/>
            <w:noWrap/>
            <w:vAlign w:val="center"/>
            <w:hideMark/>
          </w:tcPr>
          <w:p w14:paraId="4AFD933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157</w:t>
            </w:r>
          </w:p>
        </w:tc>
        <w:tc>
          <w:tcPr>
            <w:tcW w:w="645" w:type="dxa"/>
            <w:tcBorders>
              <w:top w:val="nil"/>
              <w:left w:val="nil"/>
              <w:bottom w:val="nil"/>
              <w:right w:val="nil"/>
            </w:tcBorders>
            <w:shd w:val="clear" w:color="auto" w:fill="auto"/>
            <w:noWrap/>
            <w:vAlign w:val="center"/>
            <w:hideMark/>
          </w:tcPr>
          <w:p w14:paraId="7D05EFA8"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79</w:t>
            </w:r>
          </w:p>
        </w:tc>
        <w:tc>
          <w:tcPr>
            <w:tcW w:w="1715" w:type="dxa"/>
            <w:tcBorders>
              <w:top w:val="nil"/>
              <w:left w:val="nil"/>
              <w:bottom w:val="nil"/>
              <w:right w:val="nil"/>
            </w:tcBorders>
          </w:tcPr>
          <w:p w14:paraId="67C80D32"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00AF1919"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71</w:t>
            </w:r>
          </w:p>
        </w:tc>
        <w:tc>
          <w:tcPr>
            <w:tcW w:w="722" w:type="dxa"/>
            <w:tcBorders>
              <w:top w:val="nil"/>
              <w:left w:val="nil"/>
              <w:bottom w:val="nil"/>
              <w:right w:val="nil"/>
            </w:tcBorders>
            <w:shd w:val="clear" w:color="auto" w:fill="auto"/>
            <w:vAlign w:val="center"/>
            <w:hideMark/>
          </w:tcPr>
          <w:p w14:paraId="58629711"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76</w:t>
            </w:r>
          </w:p>
        </w:tc>
        <w:tc>
          <w:tcPr>
            <w:tcW w:w="709" w:type="dxa"/>
            <w:tcBorders>
              <w:top w:val="nil"/>
              <w:left w:val="nil"/>
              <w:bottom w:val="nil"/>
              <w:right w:val="nil"/>
            </w:tcBorders>
            <w:shd w:val="clear" w:color="auto" w:fill="auto"/>
            <w:vAlign w:val="center"/>
            <w:hideMark/>
          </w:tcPr>
          <w:p w14:paraId="594A4FD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147</w:t>
            </w:r>
          </w:p>
        </w:tc>
        <w:tc>
          <w:tcPr>
            <w:tcW w:w="851" w:type="dxa"/>
            <w:tcBorders>
              <w:top w:val="nil"/>
              <w:left w:val="nil"/>
              <w:bottom w:val="nil"/>
              <w:right w:val="nil"/>
            </w:tcBorders>
            <w:shd w:val="clear" w:color="auto" w:fill="auto"/>
            <w:vAlign w:val="center"/>
            <w:hideMark/>
          </w:tcPr>
          <w:p w14:paraId="12E639FC"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74</w:t>
            </w:r>
          </w:p>
        </w:tc>
        <w:tc>
          <w:tcPr>
            <w:tcW w:w="1701" w:type="dxa"/>
            <w:tcBorders>
              <w:top w:val="nil"/>
              <w:left w:val="nil"/>
              <w:bottom w:val="nil"/>
              <w:right w:val="nil"/>
            </w:tcBorders>
          </w:tcPr>
          <w:p w14:paraId="254B3F95"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40053483" w14:textId="77777777" w:rsidTr="00AD6FE2">
        <w:trPr>
          <w:trHeight w:val="261"/>
        </w:trPr>
        <w:tc>
          <w:tcPr>
            <w:tcW w:w="930" w:type="dxa"/>
            <w:tcBorders>
              <w:top w:val="nil"/>
              <w:left w:val="nil"/>
              <w:bottom w:val="nil"/>
              <w:right w:val="nil"/>
            </w:tcBorders>
            <w:shd w:val="clear" w:color="auto" w:fill="auto"/>
            <w:noWrap/>
            <w:vAlign w:val="bottom"/>
            <w:hideMark/>
          </w:tcPr>
          <w:p w14:paraId="019E810D"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38C98CA4"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7 </w:t>
            </w:r>
          </w:p>
        </w:tc>
        <w:tc>
          <w:tcPr>
            <w:tcW w:w="643" w:type="dxa"/>
            <w:tcBorders>
              <w:top w:val="nil"/>
              <w:left w:val="nil"/>
              <w:bottom w:val="nil"/>
              <w:right w:val="nil"/>
            </w:tcBorders>
            <w:shd w:val="clear" w:color="auto" w:fill="auto"/>
            <w:noWrap/>
            <w:vAlign w:val="center"/>
            <w:hideMark/>
          </w:tcPr>
          <w:p w14:paraId="27253CE8"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65</w:t>
            </w:r>
          </w:p>
        </w:tc>
        <w:tc>
          <w:tcPr>
            <w:tcW w:w="642" w:type="dxa"/>
            <w:tcBorders>
              <w:top w:val="nil"/>
              <w:left w:val="nil"/>
              <w:bottom w:val="nil"/>
              <w:right w:val="nil"/>
            </w:tcBorders>
            <w:shd w:val="clear" w:color="auto" w:fill="auto"/>
            <w:noWrap/>
            <w:vAlign w:val="center"/>
            <w:hideMark/>
          </w:tcPr>
          <w:p w14:paraId="5A9E609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94</w:t>
            </w:r>
          </w:p>
        </w:tc>
        <w:tc>
          <w:tcPr>
            <w:tcW w:w="659" w:type="dxa"/>
            <w:tcBorders>
              <w:top w:val="nil"/>
              <w:left w:val="nil"/>
              <w:bottom w:val="nil"/>
              <w:right w:val="nil"/>
            </w:tcBorders>
            <w:shd w:val="clear" w:color="auto" w:fill="auto"/>
            <w:noWrap/>
            <w:vAlign w:val="center"/>
            <w:hideMark/>
          </w:tcPr>
          <w:p w14:paraId="08ECE95D"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159</w:t>
            </w:r>
          </w:p>
        </w:tc>
        <w:tc>
          <w:tcPr>
            <w:tcW w:w="645" w:type="dxa"/>
            <w:tcBorders>
              <w:top w:val="nil"/>
              <w:left w:val="nil"/>
              <w:bottom w:val="nil"/>
              <w:right w:val="nil"/>
            </w:tcBorders>
            <w:shd w:val="clear" w:color="auto" w:fill="auto"/>
            <w:noWrap/>
            <w:vAlign w:val="center"/>
            <w:hideMark/>
          </w:tcPr>
          <w:p w14:paraId="03C13A1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83</w:t>
            </w:r>
          </w:p>
        </w:tc>
        <w:tc>
          <w:tcPr>
            <w:tcW w:w="1715" w:type="dxa"/>
            <w:tcBorders>
              <w:top w:val="nil"/>
              <w:left w:val="nil"/>
              <w:bottom w:val="nil"/>
              <w:right w:val="nil"/>
            </w:tcBorders>
          </w:tcPr>
          <w:p w14:paraId="26DEBC75"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49F09325"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57</w:t>
            </w:r>
          </w:p>
        </w:tc>
        <w:tc>
          <w:tcPr>
            <w:tcW w:w="722" w:type="dxa"/>
            <w:tcBorders>
              <w:top w:val="nil"/>
              <w:left w:val="nil"/>
              <w:bottom w:val="nil"/>
              <w:right w:val="nil"/>
            </w:tcBorders>
            <w:shd w:val="clear" w:color="auto" w:fill="auto"/>
            <w:vAlign w:val="center"/>
            <w:hideMark/>
          </w:tcPr>
          <w:p w14:paraId="2D49C696"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92</w:t>
            </w:r>
          </w:p>
        </w:tc>
        <w:tc>
          <w:tcPr>
            <w:tcW w:w="709" w:type="dxa"/>
            <w:tcBorders>
              <w:top w:val="nil"/>
              <w:left w:val="nil"/>
              <w:bottom w:val="nil"/>
              <w:right w:val="nil"/>
            </w:tcBorders>
            <w:shd w:val="clear" w:color="auto" w:fill="auto"/>
            <w:vAlign w:val="center"/>
            <w:hideMark/>
          </w:tcPr>
          <w:p w14:paraId="025441A9"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149</w:t>
            </w:r>
          </w:p>
        </w:tc>
        <w:tc>
          <w:tcPr>
            <w:tcW w:w="851" w:type="dxa"/>
            <w:tcBorders>
              <w:top w:val="nil"/>
              <w:left w:val="nil"/>
              <w:bottom w:val="nil"/>
              <w:right w:val="nil"/>
            </w:tcBorders>
            <w:shd w:val="clear" w:color="auto" w:fill="auto"/>
            <w:vAlign w:val="center"/>
            <w:hideMark/>
          </w:tcPr>
          <w:p w14:paraId="7567A9B6"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79</w:t>
            </w:r>
          </w:p>
        </w:tc>
        <w:tc>
          <w:tcPr>
            <w:tcW w:w="1701" w:type="dxa"/>
            <w:tcBorders>
              <w:top w:val="nil"/>
              <w:left w:val="nil"/>
              <w:bottom w:val="nil"/>
              <w:right w:val="nil"/>
            </w:tcBorders>
          </w:tcPr>
          <w:p w14:paraId="24E6A99A"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2301112F" w14:textId="77777777" w:rsidTr="00AD6FE2">
        <w:trPr>
          <w:trHeight w:val="274"/>
        </w:trPr>
        <w:tc>
          <w:tcPr>
            <w:tcW w:w="930" w:type="dxa"/>
            <w:tcBorders>
              <w:top w:val="nil"/>
              <w:left w:val="nil"/>
              <w:bottom w:val="single" w:sz="8" w:space="0" w:color="auto"/>
              <w:right w:val="nil"/>
            </w:tcBorders>
            <w:shd w:val="clear" w:color="auto" w:fill="auto"/>
            <w:noWrap/>
            <w:vAlign w:val="bottom"/>
            <w:hideMark/>
          </w:tcPr>
          <w:p w14:paraId="22BC6EF1"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31F8D5DD"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8  </w:t>
            </w:r>
          </w:p>
        </w:tc>
        <w:tc>
          <w:tcPr>
            <w:tcW w:w="643" w:type="dxa"/>
            <w:tcBorders>
              <w:top w:val="nil"/>
              <w:left w:val="nil"/>
              <w:bottom w:val="single" w:sz="8" w:space="0" w:color="auto"/>
              <w:right w:val="nil"/>
            </w:tcBorders>
            <w:shd w:val="clear" w:color="auto" w:fill="auto"/>
            <w:noWrap/>
            <w:vAlign w:val="center"/>
            <w:hideMark/>
          </w:tcPr>
          <w:p w14:paraId="32314F9C"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55</w:t>
            </w:r>
          </w:p>
        </w:tc>
        <w:tc>
          <w:tcPr>
            <w:tcW w:w="642" w:type="dxa"/>
            <w:tcBorders>
              <w:top w:val="nil"/>
              <w:left w:val="nil"/>
              <w:bottom w:val="single" w:sz="8" w:space="0" w:color="auto"/>
              <w:right w:val="nil"/>
            </w:tcBorders>
            <w:shd w:val="clear" w:color="auto" w:fill="auto"/>
            <w:noWrap/>
            <w:vAlign w:val="center"/>
            <w:hideMark/>
          </w:tcPr>
          <w:p w14:paraId="28C7E2B9"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97</w:t>
            </w:r>
          </w:p>
        </w:tc>
        <w:tc>
          <w:tcPr>
            <w:tcW w:w="659" w:type="dxa"/>
            <w:tcBorders>
              <w:top w:val="nil"/>
              <w:left w:val="nil"/>
              <w:bottom w:val="single" w:sz="8" w:space="0" w:color="auto"/>
              <w:right w:val="nil"/>
            </w:tcBorders>
            <w:shd w:val="clear" w:color="auto" w:fill="auto"/>
            <w:noWrap/>
            <w:vAlign w:val="center"/>
            <w:hideMark/>
          </w:tcPr>
          <w:p w14:paraId="17519EE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152</w:t>
            </w:r>
          </w:p>
        </w:tc>
        <w:tc>
          <w:tcPr>
            <w:tcW w:w="645" w:type="dxa"/>
            <w:tcBorders>
              <w:top w:val="nil"/>
              <w:left w:val="nil"/>
              <w:bottom w:val="single" w:sz="8" w:space="0" w:color="auto"/>
              <w:right w:val="nil"/>
            </w:tcBorders>
            <w:shd w:val="clear" w:color="auto" w:fill="auto"/>
            <w:noWrap/>
            <w:vAlign w:val="center"/>
            <w:hideMark/>
          </w:tcPr>
          <w:p w14:paraId="31492F7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81</w:t>
            </w:r>
          </w:p>
        </w:tc>
        <w:tc>
          <w:tcPr>
            <w:tcW w:w="1715" w:type="dxa"/>
            <w:tcBorders>
              <w:top w:val="nil"/>
              <w:left w:val="nil"/>
              <w:bottom w:val="single" w:sz="8" w:space="0" w:color="auto"/>
              <w:right w:val="nil"/>
            </w:tcBorders>
          </w:tcPr>
          <w:p w14:paraId="5FAF19F5"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single" w:sz="8" w:space="0" w:color="auto"/>
              <w:right w:val="nil"/>
            </w:tcBorders>
            <w:shd w:val="clear" w:color="auto" w:fill="auto"/>
            <w:vAlign w:val="center"/>
            <w:hideMark/>
          </w:tcPr>
          <w:p w14:paraId="5B83C68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50</w:t>
            </w:r>
          </w:p>
        </w:tc>
        <w:tc>
          <w:tcPr>
            <w:tcW w:w="722" w:type="dxa"/>
            <w:tcBorders>
              <w:top w:val="nil"/>
              <w:left w:val="nil"/>
              <w:bottom w:val="single" w:sz="8" w:space="0" w:color="auto"/>
              <w:right w:val="nil"/>
            </w:tcBorders>
            <w:shd w:val="clear" w:color="auto" w:fill="auto"/>
            <w:vAlign w:val="center"/>
            <w:hideMark/>
          </w:tcPr>
          <w:p w14:paraId="696368C1"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96</w:t>
            </w:r>
          </w:p>
        </w:tc>
        <w:tc>
          <w:tcPr>
            <w:tcW w:w="709" w:type="dxa"/>
            <w:tcBorders>
              <w:top w:val="nil"/>
              <w:left w:val="nil"/>
              <w:bottom w:val="single" w:sz="8" w:space="0" w:color="auto"/>
              <w:right w:val="nil"/>
            </w:tcBorders>
            <w:shd w:val="clear" w:color="auto" w:fill="auto"/>
            <w:vAlign w:val="center"/>
            <w:hideMark/>
          </w:tcPr>
          <w:p w14:paraId="25B693CC"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146</w:t>
            </w:r>
          </w:p>
        </w:tc>
        <w:tc>
          <w:tcPr>
            <w:tcW w:w="851" w:type="dxa"/>
            <w:tcBorders>
              <w:top w:val="nil"/>
              <w:left w:val="nil"/>
              <w:bottom w:val="single" w:sz="8" w:space="0" w:color="auto"/>
              <w:right w:val="nil"/>
            </w:tcBorders>
            <w:shd w:val="clear" w:color="auto" w:fill="auto"/>
            <w:vAlign w:val="center"/>
            <w:hideMark/>
          </w:tcPr>
          <w:p w14:paraId="6850D139"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79</w:t>
            </w:r>
          </w:p>
        </w:tc>
        <w:tc>
          <w:tcPr>
            <w:tcW w:w="1701" w:type="dxa"/>
            <w:tcBorders>
              <w:top w:val="nil"/>
              <w:left w:val="nil"/>
              <w:bottom w:val="single" w:sz="8" w:space="0" w:color="auto"/>
              <w:right w:val="nil"/>
            </w:tcBorders>
          </w:tcPr>
          <w:p w14:paraId="7F7768EC"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2545E41C" w14:textId="77777777" w:rsidTr="00AD6FE2">
        <w:trPr>
          <w:trHeight w:val="261"/>
        </w:trPr>
        <w:tc>
          <w:tcPr>
            <w:tcW w:w="930" w:type="dxa"/>
            <w:tcBorders>
              <w:top w:val="nil"/>
              <w:left w:val="nil"/>
              <w:bottom w:val="nil"/>
              <w:right w:val="nil"/>
            </w:tcBorders>
            <w:shd w:val="clear" w:color="auto" w:fill="auto"/>
            <w:noWrap/>
            <w:vAlign w:val="center"/>
            <w:hideMark/>
          </w:tcPr>
          <w:p w14:paraId="7AFCFDD4"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Women</w:t>
            </w:r>
          </w:p>
        </w:tc>
        <w:tc>
          <w:tcPr>
            <w:tcW w:w="720" w:type="dxa"/>
            <w:tcBorders>
              <w:top w:val="nil"/>
              <w:left w:val="nil"/>
              <w:bottom w:val="nil"/>
              <w:right w:val="nil"/>
            </w:tcBorders>
            <w:shd w:val="clear" w:color="auto" w:fill="auto"/>
            <w:noWrap/>
            <w:vAlign w:val="center"/>
            <w:hideMark/>
          </w:tcPr>
          <w:p w14:paraId="56A2B257"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3 </w:t>
            </w:r>
          </w:p>
        </w:tc>
        <w:tc>
          <w:tcPr>
            <w:tcW w:w="643" w:type="dxa"/>
            <w:tcBorders>
              <w:top w:val="nil"/>
              <w:left w:val="nil"/>
              <w:bottom w:val="nil"/>
              <w:right w:val="nil"/>
            </w:tcBorders>
            <w:shd w:val="clear" w:color="auto" w:fill="auto"/>
            <w:noWrap/>
            <w:vAlign w:val="center"/>
            <w:hideMark/>
          </w:tcPr>
          <w:p w14:paraId="3AA0850E"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100</w:t>
            </w:r>
          </w:p>
        </w:tc>
        <w:tc>
          <w:tcPr>
            <w:tcW w:w="642" w:type="dxa"/>
            <w:tcBorders>
              <w:top w:val="nil"/>
              <w:left w:val="nil"/>
              <w:bottom w:val="nil"/>
              <w:right w:val="nil"/>
            </w:tcBorders>
            <w:shd w:val="clear" w:color="auto" w:fill="auto"/>
            <w:noWrap/>
            <w:vAlign w:val="center"/>
            <w:hideMark/>
          </w:tcPr>
          <w:p w14:paraId="3B1D2E9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51</w:t>
            </w:r>
          </w:p>
        </w:tc>
        <w:tc>
          <w:tcPr>
            <w:tcW w:w="659" w:type="dxa"/>
            <w:tcBorders>
              <w:top w:val="nil"/>
              <w:left w:val="nil"/>
              <w:bottom w:val="nil"/>
              <w:right w:val="nil"/>
            </w:tcBorders>
            <w:shd w:val="clear" w:color="auto" w:fill="auto"/>
            <w:noWrap/>
            <w:vAlign w:val="center"/>
            <w:hideMark/>
          </w:tcPr>
          <w:p w14:paraId="699071A0"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151</w:t>
            </w:r>
          </w:p>
        </w:tc>
        <w:tc>
          <w:tcPr>
            <w:tcW w:w="645" w:type="dxa"/>
            <w:tcBorders>
              <w:top w:val="nil"/>
              <w:left w:val="nil"/>
              <w:bottom w:val="nil"/>
              <w:right w:val="nil"/>
            </w:tcBorders>
            <w:shd w:val="clear" w:color="auto" w:fill="auto"/>
            <w:noWrap/>
            <w:vAlign w:val="center"/>
            <w:hideMark/>
          </w:tcPr>
          <w:p w14:paraId="6563F81D"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58</w:t>
            </w:r>
          </w:p>
        </w:tc>
        <w:tc>
          <w:tcPr>
            <w:tcW w:w="1715" w:type="dxa"/>
            <w:tcBorders>
              <w:top w:val="nil"/>
              <w:left w:val="nil"/>
              <w:bottom w:val="nil"/>
              <w:right w:val="nil"/>
            </w:tcBorders>
          </w:tcPr>
          <w:p w14:paraId="47326D71" w14:textId="77777777" w:rsidR="0071164E" w:rsidRPr="009E6490" w:rsidRDefault="0071164E" w:rsidP="00AD6FE2">
            <w:pPr>
              <w:jc w:val="center"/>
              <w:rPr>
                <w:rFonts w:ascii="Calibri" w:hAnsi="Calibri" w:cs="Calibri"/>
                <w:color w:val="000000"/>
                <w:sz w:val="22"/>
                <w:szCs w:val="22"/>
                <w:lang w:eastAsia="en-GB"/>
              </w:rPr>
            </w:pPr>
            <w:r>
              <w:rPr>
                <w:rFonts w:asciiTheme="minorHAnsi" w:hAnsiTheme="minorHAnsi" w:cstheme="minorHAnsi"/>
                <w:sz w:val="22"/>
                <w:szCs w:val="22"/>
              </w:rPr>
              <w:t>0.94 (0.87, 1.00)</w:t>
            </w:r>
          </w:p>
        </w:tc>
        <w:tc>
          <w:tcPr>
            <w:tcW w:w="695" w:type="dxa"/>
            <w:tcBorders>
              <w:top w:val="nil"/>
              <w:left w:val="nil"/>
              <w:bottom w:val="nil"/>
              <w:right w:val="nil"/>
            </w:tcBorders>
            <w:shd w:val="clear" w:color="auto" w:fill="auto"/>
            <w:vAlign w:val="center"/>
            <w:hideMark/>
          </w:tcPr>
          <w:p w14:paraId="749D5A05"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100</w:t>
            </w:r>
          </w:p>
        </w:tc>
        <w:tc>
          <w:tcPr>
            <w:tcW w:w="722" w:type="dxa"/>
            <w:tcBorders>
              <w:top w:val="nil"/>
              <w:left w:val="nil"/>
              <w:bottom w:val="nil"/>
              <w:right w:val="nil"/>
            </w:tcBorders>
            <w:shd w:val="clear" w:color="auto" w:fill="auto"/>
            <w:vAlign w:val="center"/>
            <w:hideMark/>
          </w:tcPr>
          <w:p w14:paraId="53936714"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52</w:t>
            </w:r>
          </w:p>
        </w:tc>
        <w:tc>
          <w:tcPr>
            <w:tcW w:w="709" w:type="dxa"/>
            <w:tcBorders>
              <w:top w:val="nil"/>
              <w:left w:val="nil"/>
              <w:bottom w:val="nil"/>
              <w:right w:val="nil"/>
            </w:tcBorders>
            <w:shd w:val="clear" w:color="auto" w:fill="auto"/>
            <w:vAlign w:val="center"/>
            <w:hideMark/>
          </w:tcPr>
          <w:p w14:paraId="58E64E7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152</w:t>
            </w:r>
          </w:p>
        </w:tc>
        <w:tc>
          <w:tcPr>
            <w:tcW w:w="851" w:type="dxa"/>
            <w:tcBorders>
              <w:top w:val="nil"/>
              <w:left w:val="nil"/>
              <w:bottom w:val="nil"/>
              <w:right w:val="nil"/>
            </w:tcBorders>
            <w:shd w:val="clear" w:color="auto" w:fill="auto"/>
            <w:vAlign w:val="center"/>
            <w:hideMark/>
          </w:tcPr>
          <w:p w14:paraId="165C3FA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57</w:t>
            </w:r>
          </w:p>
        </w:tc>
        <w:tc>
          <w:tcPr>
            <w:tcW w:w="1701" w:type="dxa"/>
            <w:tcBorders>
              <w:top w:val="nil"/>
              <w:left w:val="nil"/>
              <w:bottom w:val="nil"/>
              <w:right w:val="nil"/>
            </w:tcBorders>
          </w:tcPr>
          <w:p w14:paraId="6C0209FB" w14:textId="77777777" w:rsidR="0071164E" w:rsidRPr="009E6490" w:rsidRDefault="0071164E" w:rsidP="00AD6FE2">
            <w:pPr>
              <w:jc w:val="center"/>
              <w:rPr>
                <w:rFonts w:ascii="Calibri" w:hAnsi="Calibri" w:cs="Calibri"/>
                <w:color w:val="000000"/>
                <w:sz w:val="22"/>
                <w:szCs w:val="22"/>
                <w:lang w:eastAsia="en-GB"/>
              </w:rPr>
            </w:pPr>
            <w:r>
              <w:rPr>
                <w:rFonts w:asciiTheme="minorHAnsi" w:hAnsiTheme="minorHAnsi" w:cstheme="minorHAnsi"/>
                <w:sz w:val="22"/>
                <w:szCs w:val="22"/>
              </w:rPr>
              <w:t>0.95 (0.89, 1.00)</w:t>
            </w:r>
          </w:p>
        </w:tc>
      </w:tr>
      <w:tr w:rsidR="0071164E" w:rsidRPr="009E6490" w14:paraId="3705BA1A" w14:textId="77777777" w:rsidTr="00AD6FE2">
        <w:trPr>
          <w:trHeight w:val="261"/>
        </w:trPr>
        <w:tc>
          <w:tcPr>
            <w:tcW w:w="930" w:type="dxa"/>
            <w:tcBorders>
              <w:top w:val="nil"/>
              <w:left w:val="nil"/>
              <w:bottom w:val="nil"/>
              <w:right w:val="nil"/>
            </w:tcBorders>
            <w:shd w:val="clear" w:color="auto" w:fill="auto"/>
            <w:noWrap/>
            <w:vAlign w:val="bottom"/>
            <w:hideMark/>
          </w:tcPr>
          <w:p w14:paraId="054CDED1"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710CA6D4"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4  </w:t>
            </w:r>
          </w:p>
        </w:tc>
        <w:tc>
          <w:tcPr>
            <w:tcW w:w="643" w:type="dxa"/>
            <w:tcBorders>
              <w:top w:val="nil"/>
              <w:left w:val="nil"/>
              <w:bottom w:val="nil"/>
              <w:right w:val="nil"/>
            </w:tcBorders>
            <w:shd w:val="clear" w:color="auto" w:fill="auto"/>
            <w:noWrap/>
            <w:vAlign w:val="center"/>
            <w:hideMark/>
          </w:tcPr>
          <w:p w14:paraId="0D6907FB"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92</w:t>
            </w:r>
          </w:p>
        </w:tc>
        <w:tc>
          <w:tcPr>
            <w:tcW w:w="642" w:type="dxa"/>
            <w:tcBorders>
              <w:top w:val="nil"/>
              <w:left w:val="nil"/>
              <w:bottom w:val="nil"/>
              <w:right w:val="nil"/>
            </w:tcBorders>
            <w:shd w:val="clear" w:color="auto" w:fill="auto"/>
            <w:noWrap/>
            <w:vAlign w:val="center"/>
            <w:hideMark/>
          </w:tcPr>
          <w:p w14:paraId="1163F07E"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75</w:t>
            </w:r>
          </w:p>
        </w:tc>
        <w:tc>
          <w:tcPr>
            <w:tcW w:w="659" w:type="dxa"/>
            <w:tcBorders>
              <w:top w:val="nil"/>
              <w:left w:val="nil"/>
              <w:bottom w:val="nil"/>
              <w:right w:val="nil"/>
            </w:tcBorders>
            <w:shd w:val="clear" w:color="auto" w:fill="auto"/>
            <w:noWrap/>
            <w:vAlign w:val="center"/>
            <w:hideMark/>
          </w:tcPr>
          <w:p w14:paraId="420DD01D"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168</w:t>
            </w:r>
          </w:p>
        </w:tc>
        <w:tc>
          <w:tcPr>
            <w:tcW w:w="645" w:type="dxa"/>
            <w:tcBorders>
              <w:top w:val="nil"/>
              <w:left w:val="nil"/>
              <w:bottom w:val="nil"/>
              <w:right w:val="nil"/>
            </w:tcBorders>
            <w:shd w:val="clear" w:color="auto" w:fill="auto"/>
            <w:noWrap/>
            <w:vAlign w:val="center"/>
            <w:hideMark/>
          </w:tcPr>
          <w:p w14:paraId="26F5C72C"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78</w:t>
            </w:r>
          </w:p>
        </w:tc>
        <w:tc>
          <w:tcPr>
            <w:tcW w:w="1715" w:type="dxa"/>
            <w:tcBorders>
              <w:top w:val="nil"/>
              <w:left w:val="nil"/>
              <w:bottom w:val="nil"/>
              <w:right w:val="nil"/>
            </w:tcBorders>
          </w:tcPr>
          <w:p w14:paraId="3DE6A645"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54858340"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100</w:t>
            </w:r>
          </w:p>
        </w:tc>
        <w:tc>
          <w:tcPr>
            <w:tcW w:w="722" w:type="dxa"/>
            <w:tcBorders>
              <w:top w:val="nil"/>
              <w:left w:val="nil"/>
              <w:bottom w:val="nil"/>
              <w:right w:val="nil"/>
            </w:tcBorders>
            <w:shd w:val="clear" w:color="auto" w:fill="auto"/>
            <w:vAlign w:val="center"/>
            <w:hideMark/>
          </w:tcPr>
          <w:p w14:paraId="21091474"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80</w:t>
            </w:r>
          </w:p>
        </w:tc>
        <w:tc>
          <w:tcPr>
            <w:tcW w:w="709" w:type="dxa"/>
            <w:tcBorders>
              <w:top w:val="nil"/>
              <w:left w:val="nil"/>
              <w:bottom w:val="nil"/>
              <w:right w:val="nil"/>
            </w:tcBorders>
            <w:shd w:val="clear" w:color="auto" w:fill="auto"/>
            <w:vAlign w:val="center"/>
            <w:hideMark/>
          </w:tcPr>
          <w:p w14:paraId="746276B0"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180</w:t>
            </w:r>
          </w:p>
        </w:tc>
        <w:tc>
          <w:tcPr>
            <w:tcW w:w="851" w:type="dxa"/>
            <w:tcBorders>
              <w:top w:val="nil"/>
              <w:left w:val="nil"/>
              <w:bottom w:val="nil"/>
              <w:right w:val="nil"/>
            </w:tcBorders>
            <w:shd w:val="clear" w:color="auto" w:fill="auto"/>
            <w:vAlign w:val="center"/>
            <w:hideMark/>
          </w:tcPr>
          <w:p w14:paraId="007021E5"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82</w:t>
            </w:r>
          </w:p>
        </w:tc>
        <w:tc>
          <w:tcPr>
            <w:tcW w:w="1701" w:type="dxa"/>
            <w:tcBorders>
              <w:top w:val="nil"/>
              <w:left w:val="nil"/>
              <w:bottom w:val="nil"/>
              <w:right w:val="nil"/>
            </w:tcBorders>
          </w:tcPr>
          <w:p w14:paraId="68D10DA7"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5ADD9699" w14:textId="77777777" w:rsidTr="00AD6FE2">
        <w:trPr>
          <w:trHeight w:val="261"/>
        </w:trPr>
        <w:tc>
          <w:tcPr>
            <w:tcW w:w="930" w:type="dxa"/>
            <w:tcBorders>
              <w:top w:val="nil"/>
              <w:left w:val="nil"/>
              <w:bottom w:val="nil"/>
              <w:right w:val="nil"/>
            </w:tcBorders>
            <w:shd w:val="clear" w:color="auto" w:fill="auto"/>
            <w:noWrap/>
            <w:vAlign w:val="bottom"/>
            <w:hideMark/>
          </w:tcPr>
          <w:p w14:paraId="71C1551A"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20EAC899"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5 </w:t>
            </w:r>
          </w:p>
        </w:tc>
        <w:tc>
          <w:tcPr>
            <w:tcW w:w="643" w:type="dxa"/>
            <w:tcBorders>
              <w:top w:val="nil"/>
              <w:left w:val="nil"/>
              <w:bottom w:val="nil"/>
              <w:right w:val="nil"/>
            </w:tcBorders>
            <w:shd w:val="clear" w:color="auto" w:fill="auto"/>
            <w:noWrap/>
            <w:vAlign w:val="center"/>
            <w:hideMark/>
          </w:tcPr>
          <w:p w14:paraId="6A1E5CB0"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85</w:t>
            </w:r>
          </w:p>
        </w:tc>
        <w:tc>
          <w:tcPr>
            <w:tcW w:w="642" w:type="dxa"/>
            <w:tcBorders>
              <w:top w:val="nil"/>
              <w:left w:val="nil"/>
              <w:bottom w:val="nil"/>
              <w:right w:val="nil"/>
            </w:tcBorders>
            <w:shd w:val="clear" w:color="auto" w:fill="auto"/>
            <w:noWrap/>
            <w:vAlign w:val="center"/>
            <w:hideMark/>
          </w:tcPr>
          <w:p w14:paraId="29D6B43D"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88</w:t>
            </w:r>
          </w:p>
        </w:tc>
        <w:tc>
          <w:tcPr>
            <w:tcW w:w="659" w:type="dxa"/>
            <w:tcBorders>
              <w:top w:val="nil"/>
              <w:left w:val="nil"/>
              <w:bottom w:val="nil"/>
              <w:right w:val="nil"/>
            </w:tcBorders>
            <w:shd w:val="clear" w:color="auto" w:fill="auto"/>
            <w:noWrap/>
            <w:vAlign w:val="center"/>
            <w:hideMark/>
          </w:tcPr>
          <w:p w14:paraId="2CCD5C0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173</w:t>
            </w:r>
          </w:p>
        </w:tc>
        <w:tc>
          <w:tcPr>
            <w:tcW w:w="645" w:type="dxa"/>
            <w:tcBorders>
              <w:top w:val="nil"/>
              <w:left w:val="nil"/>
              <w:bottom w:val="nil"/>
              <w:right w:val="nil"/>
            </w:tcBorders>
            <w:shd w:val="clear" w:color="auto" w:fill="auto"/>
            <w:noWrap/>
            <w:vAlign w:val="center"/>
            <w:hideMark/>
          </w:tcPr>
          <w:p w14:paraId="5D4F7604"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88</w:t>
            </w:r>
          </w:p>
        </w:tc>
        <w:tc>
          <w:tcPr>
            <w:tcW w:w="1715" w:type="dxa"/>
            <w:tcBorders>
              <w:top w:val="nil"/>
              <w:left w:val="nil"/>
              <w:bottom w:val="nil"/>
              <w:right w:val="nil"/>
            </w:tcBorders>
          </w:tcPr>
          <w:p w14:paraId="4C6F679F"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68E71560"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86</w:t>
            </w:r>
          </w:p>
        </w:tc>
        <w:tc>
          <w:tcPr>
            <w:tcW w:w="722" w:type="dxa"/>
            <w:tcBorders>
              <w:top w:val="nil"/>
              <w:left w:val="nil"/>
              <w:bottom w:val="nil"/>
              <w:right w:val="nil"/>
            </w:tcBorders>
            <w:shd w:val="clear" w:color="auto" w:fill="auto"/>
            <w:vAlign w:val="center"/>
            <w:hideMark/>
          </w:tcPr>
          <w:p w14:paraId="042C032F"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89</w:t>
            </w:r>
          </w:p>
        </w:tc>
        <w:tc>
          <w:tcPr>
            <w:tcW w:w="709" w:type="dxa"/>
            <w:tcBorders>
              <w:top w:val="nil"/>
              <w:left w:val="nil"/>
              <w:bottom w:val="nil"/>
              <w:right w:val="nil"/>
            </w:tcBorders>
            <w:shd w:val="clear" w:color="auto" w:fill="auto"/>
            <w:vAlign w:val="center"/>
            <w:hideMark/>
          </w:tcPr>
          <w:p w14:paraId="2782C67E"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175</w:t>
            </w:r>
          </w:p>
        </w:tc>
        <w:tc>
          <w:tcPr>
            <w:tcW w:w="851" w:type="dxa"/>
            <w:tcBorders>
              <w:top w:val="nil"/>
              <w:left w:val="nil"/>
              <w:bottom w:val="nil"/>
              <w:right w:val="nil"/>
            </w:tcBorders>
            <w:shd w:val="clear" w:color="auto" w:fill="auto"/>
            <w:vAlign w:val="center"/>
            <w:hideMark/>
          </w:tcPr>
          <w:p w14:paraId="5F058DE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89</w:t>
            </w:r>
          </w:p>
        </w:tc>
        <w:tc>
          <w:tcPr>
            <w:tcW w:w="1701" w:type="dxa"/>
            <w:tcBorders>
              <w:top w:val="nil"/>
              <w:left w:val="nil"/>
              <w:bottom w:val="nil"/>
              <w:right w:val="nil"/>
            </w:tcBorders>
          </w:tcPr>
          <w:p w14:paraId="73212D8E"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1285CCD7" w14:textId="77777777" w:rsidTr="00AD6FE2">
        <w:trPr>
          <w:trHeight w:val="261"/>
        </w:trPr>
        <w:tc>
          <w:tcPr>
            <w:tcW w:w="930" w:type="dxa"/>
            <w:tcBorders>
              <w:top w:val="nil"/>
              <w:left w:val="nil"/>
              <w:bottom w:val="nil"/>
              <w:right w:val="nil"/>
            </w:tcBorders>
            <w:shd w:val="clear" w:color="auto" w:fill="auto"/>
            <w:noWrap/>
            <w:vAlign w:val="bottom"/>
            <w:hideMark/>
          </w:tcPr>
          <w:p w14:paraId="01E748B9"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20DD8C38"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6 </w:t>
            </w:r>
          </w:p>
        </w:tc>
        <w:tc>
          <w:tcPr>
            <w:tcW w:w="643" w:type="dxa"/>
            <w:tcBorders>
              <w:top w:val="nil"/>
              <w:left w:val="nil"/>
              <w:bottom w:val="nil"/>
              <w:right w:val="nil"/>
            </w:tcBorders>
            <w:shd w:val="clear" w:color="auto" w:fill="auto"/>
            <w:noWrap/>
            <w:vAlign w:val="center"/>
            <w:hideMark/>
          </w:tcPr>
          <w:p w14:paraId="6E58FDDC"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77</w:t>
            </w:r>
          </w:p>
        </w:tc>
        <w:tc>
          <w:tcPr>
            <w:tcW w:w="642" w:type="dxa"/>
            <w:tcBorders>
              <w:top w:val="nil"/>
              <w:left w:val="nil"/>
              <w:bottom w:val="nil"/>
              <w:right w:val="nil"/>
            </w:tcBorders>
            <w:shd w:val="clear" w:color="auto" w:fill="auto"/>
            <w:noWrap/>
            <w:vAlign w:val="center"/>
            <w:hideMark/>
          </w:tcPr>
          <w:p w14:paraId="670FD6A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92</w:t>
            </w:r>
          </w:p>
        </w:tc>
        <w:tc>
          <w:tcPr>
            <w:tcW w:w="659" w:type="dxa"/>
            <w:tcBorders>
              <w:top w:val="nil"/>
              <w:left w:val="nil"/>
              <w:bottom w:val="nil"/>
              <w:right w:val="nil"/>
            </w:tcBorders>
            <w:shd w:val="clear" w:color="auto" w:fill="auto"/>
            <w:noWrap/>
            <w:vAlign w:val="center"/>
            <w:hideMark/>
          </w:tcPr>
          <w:p w14:paraId="65A9EC7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169</w:t>
            </w:r>
          </w:p>
        </w:tc>
        <w:tc>
          <w:tcPr>
            <w:tcW w:w="645" w:type="dxa"/>
            <w:tcBorders>
              <w:top w:val="nil"/>
              <w:left w:val="nil"/>
              <w:bottom w:val="nil"/>
              <w:right w:val="nil"/>
            </w:tcBorders>
            <w:shd w:val="clear" w:color="auto" w:fill="auto"/>
            <w:noWrap/>
            <w:vAlign w:val="center"/>
            <w:hideMark/>
          </w:tcPr>
          <w:p w14:paraId="42E1E62D"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90</w:t>
            </w:r>
          </w:p>
        </w:tc>
        <w:tc>
          <w:tcPr>
            <w:tcW w:w="1715" w:type="dxa"/>
            <w:tcBorders>
              <w:top w:val="nil"/>
              <w:left w:val="nil"/>
              <w:bottom w:val="nil"/>
              <w:right w:val="nil"/>
            </w:tcBorders>
          </w:tcPr>
          <w:p w14:paraId="6F482EBA"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3F35825E"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71</w:t>
            </w:r>
          </w:p>
        </w:tc>
        <w:tc>
          <w:tcPr>
            <w:tcW w:w="722" w:type="dxa"/>
            <w:tcBorders>
              <w:top w:val="nil"/>
              <w:left w:val="nil"/>
              <w:bottom w:val="nil"/>
              <w:right w:val="nil"/>
            </w:tcBorders>
            <w:shd w:val="clear" w:color="auto" w:fill="auto"/>
            <w:vAlign w:val="center"/>
            <w:hideMark/>
          </w:tcPr>
          <w:p w14:paraId="02D7201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91</w:t>
            </w:r>
          </w:p>
        </w:tc>
        <w:tc>
          <w:tcPr>
            <w:tcW w:w="709" w:type="dxa"/>
            <w:tcBorders>
              <w:top w:val="nil"/>
              <w:left w:val="nil"/>
              <w:bottom w:val="nil"/>
              <w:right w:val="nil"/>
            </w:tcBorders>
            <w:shd w:val="clear" w:color="auto" w:fill="auto"/>
            <w:vAlign w:val="center"/>
            <w:hideMark/>
          </w:tcPr>
          <w:p w14:paraId="11F731A8"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162</w:t>
            </w:r>
          </w:p>
        </w:tc>
        <w:tc>
          <w:tcPr>
            <w:tcW w:w="851" w:type="dxa"/>
            <w:tcBorders>
              <w:top w:val="nil"/>
              <w:left w:val="nil"/>
              <w:bottom w:val="nil"/>
              <w:right w:val="nil"/>
            </w:tcBorders>
            <w:shd w:val="clear" w:color="auto" w:fill="auto"/>
            <w:vAlign w:val="center"/>
            <w:hideMark/>
          </w:tcPr>
          <w:p w14:paraId="5338B3F4"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89</w:t>
            </w:r>
          </w:p>
        </w:tc>
        <w:tc>
          <w:tcPr>
            <w:tcW w:w="1701" w:type="dxa"/>
            <w:tcBorders>
              <w:top w:val="nil"/>
              <w:left w:val="nil"/>
              <w:bottom w:val="nil"/>
              <w:right w:val="nil"/>
            </w:tcBorders>
          </w:tcPr>
          <w:p w14:paraId="415C71C8"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0E68E712" w14:textId="77777777" w:rsidTr="00AD6FE2">
        <w:trPr>
          <w:trHeight w:val="261"/>
        </w:trPr>
        <w:tc>
          <w:tcPr>
            <w:tcW w:w="930" w:type="dxa"/>
            <w:tcBorders>
              <w:top w:val="nil"/>
              <w:left w:val="nil"/>
              <w:bottom w:val="nil"/>
              <w:right w:val="nil"/>
            </w:tcBorders>
            <w:shd w:val="clear" w:color="auto" w:fill="auto"/>
            <w:noWrap/>
            <w:vAlign w:val="bottom"/>
            <w:hideMark/>
          </w:tcPr>
          <w:p w14:paraId="32101D03" w14:textId="77777777" w:rsidR="0071164E" w:rsidRPr="009E6490" w:rsidRDefault="0071164E" w:rsidP="00AD6FE2">
            <w:pPr>
              <w:jc w:val="center"/>
              <w:rPr>
                <w:rFonts w:ascii="Calibri" w:hAnsi="Calibri" w:cs="Calibri"/>
                <w:color w:val="000000"/>
                <w:sz w:val="22"/>
                <w:szCs w:val="22"/>
                <w:lang w:eastAsia="en-GB"/>
              </w:rPr>
            </w:pPr>
          </w:p>
        </w:tc>
        <w:tc>
          <w:tcPr>
            <w:tcW w:w="720" w:type="dxa"/>
            <w:tcBorders>
              <w:top w:val="nil"/>
              <w:left w:val="nil"/>
              <w:bottom w:val="nil"/>
              <w:right w:val="nil"/>
            </w:tcBorders>
            <w:shd w:val="clear" w:color="auto" w:fill="auto"/>
            <w:noWrap/>
            <w:vAlign w:val="center"/>
            <w:hideMark/>
          </w:tcPr>
          <w:p w14:paraId="2F35CBD1"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7 </w:t>
            </w:r>
          </w:p>
        </w:tc>
        <w:tc>
          <w:tcPr>
            <w:tcW w:w="643" w:type="dxa"/>
            <w:tcBorders>
              <w:top w:val="nil"/>
              <w:left w:val="nil"/>
              <w:bottom w:val="nil"/>
              <w:right w:val="nil"/>
            </w:tcBorders>
            <w:shd w:val="clear" w:color="auto" w:fill="auto"/>
            <w:noWrap/>
            <w:vAlign w:val="center"/>
            <w:hideMark/>
          </w:tcPr>
          <w:p w14:paraId="3DD8CE98"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69</w:t>
            </w:r>
          </w:p>
        </w:tc>
        <w:tc>
          <w:tcPr>
            <w:tcW w:w="642" w:type="dxa"/>
            <w:tcBorders>
              <w:top w:val="nil"/>
              <w:left w:val="nil"/>
              <w:bottom w:val="nil"/>
              <w:right w:val="nil"/>
            </w:tcBorders>
            <w:shd w:val="clear" w:color="auto" w:fill="auto"/>
            <w:noWrap/>
            <w:vAlign w:val="center"/>
            <w:hideMark/>
          </w:tcPr>
          <w:p w14:paraId="417A6380"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96</w:t>
            </w:r>
          </w:p>
        </w:tc>
        <w:tc>
          <w:tcPr>
            <w:tcW w:w="659" w:type="dxa"/>
            <w:tcBorders>
              <w:top w:val="nil"/>
              <w:left w:val="nil"/>
              <w:bottom w:val="nil"/>
              <w:right w:val="nil"/>
            </w:tcBorders>
            <w:shd w:val="clear" w:color="auto" w:fill="auto"/>
            <w:noWrap/>
            <w:vAlign w:val="center"/>
            <w:hideMark/>
          </w:tcPr>
          <w:p w14:paraId="0F480DE1"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165</w:t>
            </w:r>
          </w:p>
        </w:tc>
        <w:tc>
          <w:tcPr>
            <w:tcW w:w="645" w:type="dxa"/>
            <w:tcBorders>
              <w:top w:val="nil"/>
              <w:left w:val="nil"/>
              <w:bottom w:val="nil"/>
              <w:right w:val="nil"/>
            </w:tcBorders>
            <w:shd w:val="clear" w:color="auto" w:fill="auto"/>
            <w:noWrap/>
            <w:vAlign w:val="center"/>
            <w:hideMark/>
          </w:tcPr>
          <w:p w14:paraId="5A492530"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92</w:t>
            </w:r>
          </w:p>
        </w:tc>
        <w:tc>
          <w:tcPr>
            <w:tcW w:w="1715" w:type="dxa"/>
            <w:tcBorders>
              <w:top w:val="nil"/>
              <w:left w:val="nil"/>
              <w:bottom w:val="nil"/>
              <w:right w:val="nil"/>
            </w:tcBorders>
          </w:tcPr>
          <w:p w14:paraId="432481F9"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nil"/>
              <w:right w:val="nil"/>
            </w:tcBorders>
            <w:shd w:val="clear" w:color="auto" w:fill="auto"/>
            <w:vAlign w:val="center"/>
            <w:hideMark/>
          </w:tcPr>
          <w:p w14:paraId="6A9AF7A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71</w:t>
            </w:r>
          </w:p>
        </w:tc>
        <w:tc>
          <w:tcPr>
            <w:tcW w:w="722" w:type="dxa"/>
            <w:tcBorders>
              <w:top w:val="nil"/>
              <w:left w:val="nil"/>
              <w:bottom w:val="nil"/>
              <w:right w:val="nil"/>
            </w:tcBorders>
            <w:shd w:val="clear" w:color="auto" w:fill="auto"/>
            <w:vAlign w:val="center"/>
            <w:hideMark/>
          </w:tcPr>
          <w:p w14:paraId="561AFB4F"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96</w:t>
            </w:r>
          </w:p>
        </w:tc>
        <w:tc>
          <w:tcPr>
            <w:tcW w:w="709" w:type="dxa"/>
            <w:tcBorders>
              <w:top w:val="nil"/>
              <w:left w:val="nil"/>
              <w:bottom w:val="nil"/>
              <w:right w:val="nil"/>
            </w:tcBorders>
            <w:shd w:val="clear" w:color="auto" w:fill="auto"/>
            <w:vAlign w:val="center"/>
            <w:hideMark/>
          </w:tcPr>
          <w:p w14:paraId="6427F065"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168</w:t>
            </w:r>
          </w:p>
        </w:tc>
        <w:tc>
          <w:tcPr>
            <w:tcW w:w="851" w:type="dxa"/>
            <w:tcBorders>
              <w:top w:val="nil"/>
              <w:left w:val="nil"/>
              <w:bottom w:val="nil"/>
              <w:right w:val="nil"/>
            </w:tcBorders>
            <w:shd w:val="clear" w:color="auto" w:fill="auto"/>
            <w:vAlign w:val="center"/>
            <w:hideMark/>
          </w:tcPr>
          <w:p w14:paraId="6B3E45B4"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93</w:t>
            </w:r>
          </w:p>
        </w:tc>
        <w:tc>
          <w:tcPr>
            <w:tcW w:w="1701" w:type="dxa"/>
            <w:tcBorders>
              <w:top w:val="nil"/>
              <w:left w:val="nil"/>
              <w:bottom w:val="nil"/>
              <w:right w:val="nil"/>
            </w:tcBorders>
          </w:tcPr>
          <w:p w14:paraId="4F0503A0" w14:textId="77777777" w:rsidR="0071164E" w:rsidRPr="009E6490" w:rsidRDefault="0071164E" w:rsidP="00AD6FE2">
            <w:pPr>
              <w:jc w:val="center"/>
              <w:rPr>
                <w:rFonts w:ascii="Calibri" w:hAnsi="Calibri" w:cs="Calibri"/>
                <w:color w:val="000000"/>
                <w:sz w:val="22"/>
                <w:szCs w:val="22"/>
                <w:lang w:eastAsia="en-GB"/>
              </w:rPr>
            </w:pPr>
          </w:p>
        </w:tc>
      </w:tr>
      <w:tr w:rsidR="0071164E" w:rsidRPr="009E6490" w14:paraId="6119F7A2" w14:textId="77777777" w:rsidTr="00AD6FE2">
        <w:trPr>
          <w:trHeight w:val="274"/>
        </w:trPr>
        <w:tc>
          <w:tcPr>
            <w:tcW w:w="930" w:type="dxa"/>
            <w:tcBorders>
              <w:top w:val="nil"/>
              <w:left w:val="nil"/>
              <w:bottom w:val="single" w:sz="8" w:space="0" w:color="auto"/>
              <w:right w:val="nil"/>
            </w:tcBorders>
            <w:shd w:val="clear" w:color="auto" w:fill="auto"/>
            <w:noWrap/>
            <w:vAlign w:val="bottom"/>
            <w:hideMark/>
          </w:tcPr>
          <w:p w14:paraId="69755E20"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56A8E17E" w14:textId="77777777" w:rsidR="0071164E" w:rsidRPr="009E6490" w:rsidRDefault="0071164E" w:rsidP="00AD6FE2">
            <w:pPr>
              <w:rPr>
                <w:rFonts w:ascii="Calibri" w:hAnsi="Calibri" w:cs="Calibri"/>
                <w:color w:val="000000"/>
                <w:sz w:val="22"/>
                <w:szCs w:val="22"/>
                <w:lang w:eastAsia="en-GB"/>
              </w:rPr>
            </w:pPr>
            <w:r w:rsidRPr="009E6490">
              <w:rPr>
                <w:rFonts w:ascii="Calibri" w:hAnsi="Calibri" w:cs="Calibri"/>
                <w:color w:val="000000"/>
                <w:sz w:val="22"/>
                <w:szCs w:val="22"/>
                <w:lang w:eastAsia="en-GB"/>
              </w:rPr>
              <w:t xml:space="preserve"> &gt;= 8  </w:t>
            </w:r>
          </w:p>
        </w:tc>
        <w:tc>
          <w:tcPr>
            <w:tcW w:w="643" w:type="dxa"/>
            <w:tcBorders>
              <w:top w:val="nil"/>
              <w:left w:val="nil"/>
              <w:bottom w:val="single" w:sz="8" w:space="0" w:color="auto"/>
              <w:right w:val="nil"/>
            </w:tcBorders>
            <w:shd w:val="clear" w:color="auto" w:fill="auto"/>
            <w:noWrap/>
            <w:vAlign w:val="center"/>
            <w:hideMark/>
          </w:tcPr>
          <w:p w14:paraId="27DF7FE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46</w:t>
            </w:r>
          </w:p>
        </w:tc>
        <w:tc>
          <w:tcPr>
            <w:tcW w:w="642" w:type="dxa"/>
            <w:tcBorders>
              <w:top w:val="nil"/>
              <w:left w:val="nil"/>
              <w:bottom w:val="single" w:sz="8" w:space="0" w:color="auto"/>
              <w:right w:val="nil"/>
            </w:tcBorders>
            <w:shd w:val="clear" w:color="auto" w:fill="auto"/>
            <w:noWrap/>
            <w:vAlign w:val="center"/>
            <w:hideMark/>
          </w:tcPr>
          <w:p w14:paraId="4439C42A"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97</w:t>
            </w:r>
          </w:p>
        </w:tc>
        <w:tc>
          <w:tcPr>
            <w:tcW w:w="659" w:type="dxa"/>
            <w:tcBorders>
              <w:top w:val="nil"/>
              <w:left w:val="nil"/>
              <w:bottom w:val="single" w:sz="8" w:space="0" w:color="auto"/>
              <w:right w:val="nil"/>
            </w:tcBorders>
            <w:shd w:val="clear" w:color="auto" w:fill="auto"/>
            <w:noWrap/>
            <w:vAlign w:val="center"/>
            <w:hideMark/>
          </w:tcPr>
          <w:p w14:paraId="77274889"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144</w:t>
            </w:r>
          </w:p>
        </w:tc>
        <w:tc>
          <w:tcPr>
            <w:tcW w:w="645" w:type="dxa"/>
            <w:tcBorders>
              <w:top w:val="nil"/>
              <w:left w:val="nil"/>
              <w:bottom w:val="single" w:sz="8" w:space="0" w:color="auto"/>
              <w:right w:val="nil"/>
            </w:tcBorders>
            <w:shd w:val="clear" w:color="auto" w:fill="auto"/>
            <w:noWrap/>
            <w:vAlign w:val="center"/>
            <w:hideMark/>
          </w:tcPr>
          <w:p w14:paraId="3916A256"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90</w:t>
            </w:r>
          </w:p>
        </w:tc>
        <w:tc>
          <w:tcPr>
            <w:tcW w:w="1715" w:type="dxa"/>
            <w:tcBorders>
              <w:top w:val="nil"/>
              <w:left w:val="nil"/>
              <w:bottom w:val="single" w:sz="8" w:space="0" w:color="auto"/>
              <w:right w:val="nil"/>
            </w:tcBorders>
          </w:tcPr>
          <w:p w14:paraId="345E8CBE" w14:textId="77777777" w:rsidR="0071164E" w:rsidRPr="009E6490" w:rsidRDefault="0071164E" w:rsidP="00AD6FE2">
            <w:pPr>
              <w:jc w:val="center"/>
              <w:rPr>
                <w:rFonts w:ascii="Calibri" w:hAnsi="Calibri" w:cs="Calibri"/>
                <w:color w:val="000000"/>
                <w:sz w:val="22"/>
                <w:szCs w:val="22"/>
                <w:lang w:eastAsia="en-GB"/>
              </w:rPr>
            </w:pPr>
          </w:p>
        </w:tc>
        <w:tc>
          <w:tcPr>
            <w:tcW w:w="695" w:type="dxa"/>
            <w:tcBorders>
              <w:top w:val="nil"/>
              <w:left w:val="nil"/>
              <w:bottom w:val="single" w:sz="8" w:space="0" w:color="auto"/>
              <w:right w:val="nil"/>
            </w:tcBorders>
            <w:shd w:val="clear" w:color="auto" w:fill="auto"/>
            <w:vAlign w:val="center"/>
            <w:hideMark/>
          </w:tcPr>
          <w:p w14:paraId="2A4A2426"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43</w:t>
            </w:r>
          </w:p>
        </w:tc>
        <w:tc>
          <w:tcPr>
            <w:tcW w:w="722" w:type="dxa"/>
            <w:tcBorders>
              <w:top w:val="nil"/>
              <w:left w:val="nil"/>
              <w:bottom w:val="single" w:sz="8" w:space="0" w:color="auto"/>
              <w:right w:val="nil"/>
            </w:tcBorders>
            <w:shd w:val="clear" w:color="auto" w:fill="auto"/>
            <w:vAlign w:val="center"/>
            <w:hideMark/>
          </w:tcPr>
          <w:p w14:paraId="79599873"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96</w:t>
            </w:r>
          </w:p>
        </w:tc>
        <w:tc>
          <w:tcPr>
            <w:tcW w:w="709" w:type="dxa"/>
            <w:tcBorders>
              <w:top w:val="nil"/>
              <w:left w:val="nil"/>
              <w:bottom w:val="single" w:sz="8" w:space="0" w:color="auto"/>
              <w:right w:val="nil"/>
            </w:tcBorders>
            <w:shd w:val="clear" w:color="auto" w:fill="auto"/>
            <w:vAlign w:val="center"/>
            <w:hideMark/>
          </w:tcPr>
          <w:p w14:paraId="7D3A5B06"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139</w:t>
            </w:r>
          </w:p>
        </w:tc>
        <w:tc>
          <w:tcPr>
            <w:tcW w:w="851" w:type="dxa"/>
            <w:tcBorders>
              <w:top w:val="nil"/>
              <w:left w:val="nil"/>
              <w:bottom w:val="single" w:sz="8" w:space="0" w:color="auto"/>
              <w:right w:val="nil"/>
            </w:tcBorders>
            <w:shd w:val="clear" w:color="auto" w:fill="auto"/>
            <w:vAlign w:val="center"/>
            <w:hideMark/>
          </w:tcPr>
          <w:p w14:paraId="42C30112" w14:textId="77777777" w:rsidR="0071164E" w:rsidRPr="009E6490" w:rsidRDefault="0071164E" w:rsidP="00AD6FE2">
            <w:pPr>
              <w:jc w:val="center"/>
              <w:rPr>
                <w:rFonts w:ascii="Calibri" w:hAnsi="Calibri" w:cs="Calibri"/>
                <w:color w:val="000000"/>
                <w:sz w:val="22"/>
                <w:szCs w:val="22"/>
                <w:lang w:eastAsia="en-GB"/>
              </w:rPr>
            </w:pPr>
            <w:r w:rsidRPr="009E6490">
              <w:rPr>
                <w:rFonts w:ascii="Calibri" w:hAnsi="Calibri" w:cs="Calibri"/>
                <w:color w:val="000000"/>
                <w:sz w:val="22"/>
                <w:szCs w:val="22"/>
                <w:lang w:eastAsia="en-GB"/>
              </w:rPr>
              <w:t>90</w:t>
            </w:r>
          </w:p>
        </w:tc>
        <w:tc>
          <w:tcPr>
            <w:tcW w:w="1701" w:type="dxa"/>
            <w:tcBorders>
              <w:top w:val="nil"/>
              <w:left w:val="nil"/>
              <w:bottom w:val="single" w:sz="8" w:space="0" w:color="auto"/>
              <w:right w:val="nil"/>
            </w:tcBorders>
          </w:tcPr>
          <w:p w14:paraId="4E0CEE2C" w14:textId="77777777" w:rsidR="0071164E" w:rsidRPr="009E6490" w:rsidRDefault="0071164E" w:rsidP="00AD6FE2">
            <w:pPr>
              <w:jc w:val="center"/>
              <w:rPr>
                <w:rFonts w:ascii="Calibri" w:hAnsi="Calibri" w:cs="Calibri"/>
                <w:color w:val="000000"/>
                <w:sz w:val="22"/>
                <w:szCs w:val="22"/>
                <w:lang w:eastAsia="en-GB"/>
              </w:rPr>
            </w:pPr>
          </w:p>
        </w:tc>
      </w:tr>
    </w:tbl>
    <w:p w14:paraId="3C3DE009" w14:textId="77777777" w:rsidR="0071164E" w:rsidRDefault="0071164E" w:rsidP="00E26243">
      <w:pPr>
        <w:rPr>
          <w:rFonts w:asciiTheme="minorHAnsi" w:hAnsiTheme="minorHAnsi" w:cstheme="minorHAnsi"/>
          <w:sz w:val="22"/>
          <w:szCs w:val="22"/>
        </w:rPr>
      </w:pPr>
    </w:p>
    <w:p w14:paraId="2CC89F79" w14:textId="221A7F40" w:rsidR="00E26243" w:rsidRPr="00EB3E64" w:rsidRDefault="00E26243" w:rsidP="0054166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Note: </w:t>
      </w:r>
      <w:r w:rsidRPr="009A05A8">
        <w:rPr>
          <w:rFonts w:asciiTheme="minorHAnsi" w:hAnsiTheme="minorHAnsi" w:cstheme="minorHAnsi"/>
          <w:sz w:val="22"/>
          <w:szCs w:val="22"/>
          <w:vertAlign w:val="superscript"/>
        </w:rPr>
        <w:t>1</w:t>
      </w:r>
      <w:r w:rsidRPr="00E31DFB">
        <w:rPr>
          <w:rFonts w:ascii="Calibri" w:hAnsi="Calibri" w:cs="Calibri"/>
          <w:color w:val="000000"/>
          <w:sz w:val="22"/>
          <w:szCs w:val="22"/>
          <w:lang w:eastAsia="en-GB"/>
        </w:rPr>
        <w:t xml:space="preserve">Drinking above </w:t>
      </w:r>
      <w:r>
        <w:rPr>
          <w:rFonts w:ascii="Calibri" w:hAnsi="Calibri" w:cs="Calibri"/>
          <w:color w:val="000000"/>
          <w:sz w:val="22"/>
          <w:szCs w:val="22"/>
          <w:lang w:eastAsia="en-GB"/>
        </w:rPr>
        <w:t>UK recommended limits of 14 units for men and women</w:t>
      </w:r>
      <w:r>
        <w:rPr>
          <w:rFonts w:asciiTheme="minorHAnsi" w:hAnsiTheme="minorHAnsi" w:cstheme="minorHAnsi"/>
          <w:sz w:val="22"/>
          <w:szCs w:val="22"/>
        </w:rPr>
        <w:t>;</w:t>
      </w:r>
      <w:r w:rsidR="0071164E">
        <w:rPr>
          <w:rFonts w:asciiTheme="minorHAnsi" w:hAnsiTheme="minorHAnsi" w:cstheme="minorHAnsi"/>
          <w:sz w:val="22"/>
          <w:szCs w:val="22"/>
        </w:rPr>
        <w:t xml:space="preserve"> </w:t>
      </w:r>
      <w:r w:rsidR="0071164E" w:rsidRPr="0071164E">
        <w:rPr>
          <w:rFonts w:ascii="Calibri" w:hAnsi="Calibri" w:cs="Calibri"/>
          <w:b/>
          <w:bCs/>
          <w:color w:val="000000"/>
          <w:sz w:val="22"/>
          <w:szCs w:val="22"/>
          <w:vertAlign w:val="superscript"/>
          <w:lang w:eastAsia="en-GB"/>
        </w:rPr>
        <w:t>2</w:t>
      </w:r>
      <w:r w:rsidR="0071164E">
        <w:rPr>
          <w:rFonts w:asciiTheme="minorHAnsi" w:hAnsiTheme="minorHAnsi" w:cstheme="minorHAnsi"/>
          <w:sz w:val="22"/>
          <w:szCs w:val="22"/>
        </w:rPr>
        <w:t xml:space="preserve">Includes 39 men and 61 women; </w:t>
      </w:r>
      <w:r w:rsidRPr="00374682">
        <w:rPr>
          <w:rFonts w:asciiTheme="minorHAnsi" w:hAnsiTheme="minorHAnsi" w:cstheme="minorHAnsi"/>
          <w:sz w:val="22"/>
          <w:szCs w:val="22"/>
        </w:rPr>
        <w:t xml:space="preserve">ROC= area under the </w:t>
      </w:r>
      <w:r w:rsidR="00541669">
        <w:rPr>
          <w:rFonts w:ascii="Segoe UI" w:eastAsiaTheme="minorHAnsi" w:hAnsi="Segoe UI" w:cs="Segoe UI"/>
          <w:color w:val="000000"/>
          <w:sz w:val="20"/>
          <w:szCs w:val="20"/>
        </w:rPr>
        <w:t>receiver-operating characteristic</w:t>
      </w:r>
      <w:r w:rsidRPr="00374682">
        <w:rPr>
          <w:rFonts w:asciiTheme="minorHAnsi" w:hAnsiTheme="minorHAnsi" w:cstheme="minorHAnsi"/>
          <w:sz w:val="22"/>
          <w:szCs w:val="22"/>
        </w:rPr>
        <w:t xml:space="preserve"> curve</w:t>
      </w:r>
      <w:r w:rsidR="00E710B4">
        <w:rPr>
          <w:rFonts w:asciiTheme="minorHAnsi" w:hAnsiTheme="minorHAnsi" w:cstheme="minorHAnsi"/>
          <w:sz w:val="22"/>
          <w:szCs w:val="22"/>
        </w:rPr>
        <w:t>.</w:t>
      </w:r>
    </w:p>
    <w:p w14:paraId="279AB582" w14:textId="77777777" w:rsidR="006D0908" w:rsidRDefault="006D0908" w:rsidP="00CF20ED">
      <w:pPr>
        <w:rPr>
          <w:rFonts w:asciiTheme="minorHAnsi" w:hAnsiTheme="minorHAnsi" w:cstheme="minorHAnsi"/>
          <w:sz w:val="22"/>
          <w:szCs w:val="22"/>
        </w:rPr>
      </w:pPr>
    </w:p>
    <w:p w14:paraId="7531F9D1" w14:textId="77777777" w:rsidR="0038512E" w:rsidRPr="00EB3E64" w:rsidRDefault="0038512E" w:rsidP="00CF20ED">
      <w:pPr>
        <w:rPr>
          <w:rFonts w:asciiTheme="minorHAnsi" w:hAnsiTheme="minorHAnsi" w:cstheme="minorHAnsi"/>
          <w:sz w:val="22"/>
          <w:szCs w:val="22"/>
        </w:rPr>
      </w:pPr>
    </w:p>
    <w:p w14:paraId="1949AC9B" w14:textId="77777777" w:rsidR="0038512E" w:rsidRDefault="0038512E" w:rsidP="00CF20ED">
      <w:pPr>
        <w:rPr>
          <w:rFonts w:asciiTheme="minorHAnsi" w:hAnsiTheme="minorHAnsi" w:cstheme="minorHAnsi"/>
          <w:sz w:val="22"/>
          <w:szCs w:val="22"/>
        </w:rPr>
      </w:pPr>
    </w:p>
    <w:p w14:paraId="3A6F7C84" w14:textId="77777777" w:rsidR="0038512E" w:rsidRDefault="0038512E" w:rsidP="00CF20ED">
      <w:pPr>
        <w:rPr>
          <w:rFonts w:asciiTheme="minorHAnsi" w:hAnsiTheme="minorHAnsi" w:cstheme="minorHAnsi"/>
          <w:sz w:val="22"/>
          <w:szCs w:val="22"/>
        </w:rPr>
      </w:pPr>
    </w:p>
    <w:p w14:paraId="6208B55C" w14:textId="77777777" w:rsidR="0038512E" w:rsidRPr="00196CF7" w:rsidRDefault="0038512E" w:rsidP="00CF20ED">
      <w:pPr>
        <w:rPr>
          <w:rFonts w:asciiTheme="minorHAnsi" w:hAnsiTheme="minorHAnsi" w:cstheme="minorHAnsi"/>
          <w:sz w:val="22"/>
          <w:szCs w:val="22"/>
        </w:rPr>
      </w:pPr>
    </w:p>
    <w:p w14:paraId="0322695C" w14:textId="77777777" w:rsidR="0038512E" w:rsidRPr="00196CF7" w:rsidRDefault="0038512E" w:rsidP="00CF20ED">
      <w:pPr>
        <w:rPr>
          <w:rFonts w:asciiTheme="minorHAnsi" w:hAnsiTheme="minorHAnsi" w:cstheme="minorHAnsi"/>
          <w:sz w:val="22"/>
          <w:szCs w:val="22"/>
        </w:rPr>
      </w:pPr>
    </w:p>
    <w:p w14:paraId="5A30A737" w14:textId="77777777" w:rsidR="0038512E" w:rsidRDefault="0038512E" w:rsidP="00CF20ED">
      <w:pPr>
        <w:rPr>
          <w:rFonts w:asciiTheme="minorHAnsi" w:hAnsiTheme="minorHAnsi" w:cstheme="minorHAnsi"/>
          <w:sz w:val="22"/>
          <w:szCs w:val="22"/>
        </w:rPr>
      </w:pPr>
    </w:p>
    <w:p w14:paraId="178BDD0D" w14:textId="77777777" w:rsidR="0038512E" w:rsidRDefault="0038512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BABEDB3" w14:textId="77777777" w:rsidR="0038512E" w:rsidRPr="00853C22" w:rsidRDefault="0038512E" w:rsidP="00CF20ED">
      <w:pPr>
        <w:spacing w:line="360" w:lineRule="auto"/>
        <w:rPr>
          <w:rFonts w:asciiTheme="minorHAnsi" w:hAnsiTheme="minorHAnsi" w:cstheme="minorHAnsi"/>
          <w:b/>
          <w:sz w:val="22"/>
          <w:szCs w:val="22"/>
        </w:rPr>
      </w:pPr>
      <w:r w:rsidRPr="00853C22">
        <w:rPr>
          <w:rFonts w:asciiTheme="minorHAnsi" w:hAnsiTheme="minorHAnsi" w:cstheme="minorHAnsi"/>
          <w:b/>
          <w:sz w:val="22"/>
          <w:szCs w:val="22"/>
        </w:rPr>
        <w:lastRenderedPageBreak/>
        <w:t xml:space="preserve">Table 3: AUDIT-C item thresholds for </w:t>
      </w:r>
      <w:r>
        <w:rPr>
          <w:rFonts w:asciiTheme="minorHAnsi" w:hAnsiTheme="minorHAnsi" w:cstheme="minorHAnsi"/>
          <w:b/>
          <w:sz w:val="22"/>
          <w:szCs w:val="22"/>
        </w:rPr>
        <w:t>a positive screen</w:t>
      </w:r>
      <w:r w:rsidRPr="009A05A8">
        <w:rPr>
          <w:rFonts w:asciiTheme="minorHAnsi" w:hAnsiTheme="minorHAnsi" w:cstheme="minorHAnsi"/>
          <w:b/>
          <w:sz w:val="22"/>
          <w:szCs w:val="22"/>
          <w:vertAlign w:val="superscript"/>
        </w:rPr>
        <w:t>1</w:t>
      </w:r>
    </w:p>
    <w:tbl>
      <w:tblPr>
        <w:tblW w:w="10773" w:type="dxa"/>
        <w:tblInd w:w="-865" w:type="dxa"/>
        <w:tblLook w:val="04A0" w:firstRow="1" w:lastRow="0" w:firstColumn="1" w:lastColumn="0" w:noHBand="0" w:noVBand="1"/>
      </w:tblPr>
      <w:tblGrid>
        <w:gridCol w:w="961"/>
        <w:gridCol w:w="641"/>
        <w:gridCol w:w="720"/>
        <w:gridCol w:w="655"/>
        <w:gridCol w:w="567"/>
        <w:gridCol w:w="709"/>
        <w:gridCol w:w="567"/>
        <w:gridCol w:w="1794"/>
        <w:gridCol w:w="566"/>
        <w:gridCol w:w="566"/>
        <w:gridCol w:w="662"/>
        <w:gridCol w:w="609"/>
        <w:gridCol w:w="1756"/>
      </w:tblGrid>
      <w:tr w:rsidR="0071164E" w:rsidRPr="00853C22" w14:paraId="3B187FE0" w14:textId="77777777" w:rsidTr="00AD6FE2">
        <w:trPr>
          <w:trHeight w:val="300"/>
        </w:trPr>
        <w:tc>
          <w:tcPr>
            <w:tcW w:w="961" w:type="dxa"/>
            <w:tcBorders>
              <w:top w:val="single" w:sz="4" w:space="0" w:color="auto"/>
              <w:left w:val="nil"/>
              <w:right w:val="nil"/>
            </w:tcBorders>
            <w:shd w:val="clear" w:color="auto" w:fill="auto"/>
            <w:noWrap/>
            <w:vAlign w:val="center"/>
          </w:tcPr>
          <w:p w14:paraId="3DCACBC9" w14:textId="77777777" w:rsidR="0071164E" w:rsidRPr="00853C22" w:rsidRDefault="0071164E" w:rsidP="00AD6FE2">
            <w:pPr>
              <w:jc w:val="center"/>
              <w:rPr>
                <w:rFonts w:asciiTheme="minorHAnsi" w:hAnsiTheme="minorHAnsi" w:cstheme="minorHAnsi"/>
                <w:b/>
                <w:bCs/>
                <w:color w:val="000000"/>
                <w:sz w:val="22"/>
                <w:szCs w:val="22"/>
                <w:lang w:eastAsia="en-GB"/>
              </w:rPr>
            </w:pPr>
          </w:p>
        </w:tc>
        <w:tc>
          <w:tcPr>
            <w:tcW w:w="641" w:type="dxa"/>
            <w:tcBorders>
              <w:top w:val="single" w:sz="4" w:space="0" w:color="auto"/>
              <w:left w:val="nil"/>
              <w:bottom w:val="single" w:sz="4" w:space="0" w:color="auto"/>
              <w:right w:val="nil"/>
            </w:tcBorders>
            <w:shd w:val="clear" w:color="auto" w:fill="auto"/>
            <w:noWrap/>
            <w:vAlign w:val="center"/>
          </w:tcPr>
          <w:p w14:paraId="27F8BD41" w14:textId="77777777" w:rsidR="0071164E" w:rsidRPr="00853C22" w:rsidRDefault="0071164E" w:rsidP="00AD6FE2">
            <w:pPr>
              <w:rPr>
                <w:rFonts w:asciiTheme="minorHAnsi" w:hAnsiTheme="minorHAnsi" w:cstheme="minorHAnsi"/>
                <w:b/>
                <w:bCs/>
                <w:color w:val="000000"/>
                <w:sz w:val="22"/>
                <w:szCs w:val="22"/>
                <w:lang w:eastAsia="en-GB"/>
              </w:rPr>
            </w:pPr>
          </w:p>
        </w:tc>
        <w:tc>
          <w:tcPr>
            <w:tcW w:w="720" w:type="dxa"/>
            <w:tcBorders>
              <w:top w:val="single" w:sz="4" w:space="0" w:color="auto"/>
              <w:left w:val="nil"/>
              <w:bottom w:val="single" w:sz="4" w:space="0" w:color="auto"/>
              <w:right w:val="nil"/>
            </w:tcBorders>
            <w:shd w:val="clear" w:color="auto" w:fill="auto"/>
            <w:noWrap/>
            <w:vAlign w:val="center"/>
          </w:tcPr>
          <w:p w14:paraId="0C813B49" w14:textId="77777777" w:rsidR="0071164E" w:rsidRPr="00853C22" w:rsidRDefault="0071164E" w:rsidP="00AD6FE2">
            <w:pPr>
              <w:jc w:val="center"/>
              <w:rPr>
                <w:rFonts w:asciiTheme="minorHAnsi" w:hAnsiTheme="minorHAnsi" w:cstheme="minorHAnsi"/>
                <w:b/>
                <w:bCs/>
                <w:color w:val="000000"/>
                <w:sz w:val="22"/>
                <w:szCs w:val="22"/>
                <w:lang w:eastAsia="en-GB"/>
              </w:rPr>
            </w:pPr>
          </w:p>
        </w:tc>
        <w:tc>
          <w:tcPr>
            <w:tcW w:w="4292" w:type="dxa"/>
            <w:gridSpan w:val="5"/>
            <w:tcBorders>
              <w:top w:val="single" w:sz="4" w:space="0" w:color="auto"/>
              <w:left w:val="nil"/>
              <w:bottom w:val="single" w:sz="4" w:space="0" w:color="auto"/>
              <w:right w:val="nil"/>
            </w:tcBorders>
            <w:shd w:val="clear" w:color="auto" w:fill="auto"/>
            <w:vAlign w:val="center"/>
          </w:tcPr>
          <w:p w14:paraId="54CC1CBC"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Whole sample (n=143)</w:t>
            </w:r>
          </w:p>
        </w:tc>
        <w:tc>
          <w:tcPr>
            <w:tcW w:w="4159" w:type="dxa"/>
            <w:gridSpan w:val="5"/>
            <w:tcBorders>
              <w:top w:val="single" w:sz="4" w:space="0" w:color="auto"/>
              <w:left w:val="nil"/>
              <w:bottom w:val="single" w:sz="4" w:space="0" w:color="auto"/>
              <w:right w:val="nil"/>
            </w:tcBorders>
            <w:shd w:val="clear" w:color="auto" w:fill="auto"/>
            <w:vAlign w:val="center"/>
          </w:tcPr>
          <w:p w14:paraId="3577417F"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Long term conditions (n=100)</w:t>
            </w:r>
            <w:r w:rsidRPr="0071164E">
              <w:rPr>
                <w:rFonts w:ascii="Calibri" w:hAnsi="Calibri" w:cs="Calibri"/>
                <w:b/>
                <w:bCs/>
                <w:color w:val="000000"/>
                <w:sz w:val="22"/>
                <w:szCs w:val="22"/>
                <w:vertAlign w:val="superscript"/>
                <w:lang w:eastAsia="en-GB"/>
              </w:rPr>
              <w:t xml:space="preserve"> 2</w:t>
            </w:r>
          </w:p>
        </w:tc>
      </w:tr>
      <w:tr w:rsidR="0071164E" w:rsidRPr="00853C22" w14:paraId="0CD58B71" w14:textId="77777777" w:rsidTr="00AD6FE2">
        <w:trPr>
          <w:trHeight w:val="300"/>
        </w:trPr>
        <w:tc>
          <w:tcPr>
            <w:tcW w:w="961" w:type="dxa"/>
            <w:vMerge w:val="restart"/>
            <w:tcBorders>
              <w:left w:val="nil"/>
              <w:bottom w:val="single" w:sz="8" w:space="0" w:color="000000"/>
              <w:right w:val="nil"/>
            </w:tcBorders>
            <w:shd w:val="clear" w:color="auto" w:fill="auto"/>
            <w:noWrap/>
            <w:vAlign w:val="center"/>
            <w:hideMark/>
          </w:tcPr>
          <w:p w14:paraId="35EE8CF1" w14:textId="77777777" w:rsidR="0071164E" w:rsidRPr="00853C22" w:rsidRDefault="0071164E" w:rsidP="00AD6FE2">
            <w:pPr>
              <w:jc w:val="center"/>
              <w:rPr>
                <w:rFonts w:asciiTheme="minorHAnsi" w:hAnsiTheme="minorHAnsi" w:cstheme="minorHAnsi"/>
                <w:b/>
                <w:bCs/>
                <w:color w:val="000000"/>
                <w:sz w:val="22"/>
                <w:szCs w:val="22"/>
                <w:lang w:eastAsia="en-GB"/>
              </w:rPr>
            </w:pPr>
          </w:p>
        </w:tc>
        <w:tc>
          <w:tcPr>
            <w:tcW w:w="641" w:type="dxa"/>
            <w:vMerge w:val="restart"/>
            <w:tcBorders>
              <w:top w:val="single" w:sz="4" w:space="0" w:color="auto"/>
              <w:left w:val="nil"/>
              <w:bottom w:val="single" w:sz="8" w:space="0" w:color="000000"/>
              <w:right w:val="nil"/>
            </w:tcBorders>
            <w:shd w:val="clear" w:color="auto" w:fill="auto"/>
            <w:noWrap/>
            <w:vAlign w:val="center"/>
            <w:hideMark/>
          </w:tcPr>
          <w:p w14:paraId="1BA1C7DA" w14:textId="77777777" w:rsidR="0071164E" w:rsidRPr="00853C22" w:rsidRDefault="0071164E" w:rsidP="00AD6FE2">
            <w:pP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Item</w:t>
            </w:r>
          </w:p>
        </w:tc>
        <w:tc>
          <w:tcPr>
            <w:tcW w:w="720" w:type="dxa"/>
            <w:vMerge w:val="restart"/>
            <w:tcBorders>
              <w:top w:val="single" w:sz="4" w:space="0" w:color="auto"/>
              <w:left w:val="nil"/>
              <w:bottom w:val="single" w:sz="8" w:space="0" w:color="000000"/>
              <w:right w:val="nil"/>
            </w:tcBorders>
            <w:shd w:val="clear" w:color="auto" w:fill="auto"/>
            <w:noWrap/>
            <w:vAlign w:val="center"/>
            <w:hideMark/>
          </w:tcPr>
          <w:p w14:paraId="287CC8EB"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Score</w:t>
            </w:r>
          </w:p>
        </w:tc>
        <w:tc>
          <w:tcPr>
            <w:tcW w:w="655" w:type="dxa"/>
            <w:tcBorders>
              <w:top w:val="single" w:sz="4" w:space="0" w:color="auto"/>
              <w:left w:val="nil"/>
              <w:bottom w:val="nil"/>
              <w:right w:val="nil"/>
            </w:tcBorders>
            <w:shd w:val="clear" w:color="auto" w:fill="auto"/>
            <w:vAlign w:val="center"/>
            <w:hideMark/>
          </w:tcPr>
          <w:p w14:paraId="5634A73A"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Sen</w:t>
            </w:r>
          </w:p>
        </w:tc>
        <w:tc>
          <w:tcPr>
            <w:tcW w:w="567" w:type="dxa"/>
            <w:tcBorders>
              <w:top w:val="single" w:sz="4" w:space="0" w:color="auto"/>
              <w:left w:val="nil"/>
              <w:bottom w:val="nil"/>
              <w:right w:val="nil"/>
            </w:tcBorders>
            <w:shd w:val="clear" w:color="auto" w:fill="auto"/>
            <w:vAlign w:val="center"/>
            <w:hideMark/>
          </w:tcPr>
          <w:p w14:paraId="3D003D54" w14:textId="77777777" w:rsidR="0071164E" w:rsidRPr="00853C22" w:rsidRDefault="0071164E" w:rsidP="00AD6FE2">
            <w:pPr>
              <w:jc w:val="center"/>
              <w:rPr>
                <w:rFonts w:asciiTheme="minorHAnsi" w:hAnsiTheme="minorHAnsi" w:cstheme="minorHAnsi"/>
                <w:b/>
                <w:bCs/>
                <w:color w:val="000000"/>
                <w:sz w:val="22"/>
                <w:szCs w:val="22"/>
                <w:lang w:eastAsia="en-GB"/>
              </w:rPr>
            </w:pPr>
            <w:proofErr w:type="spellStart"/>
            <w:r w:rsidRPr="00853C22">
              <w:rPr>
                <w:rFonts w:asciiTheme="minorHAnsi" w:hAnsiTheme="minorHAnsi" w:cstheme="minorHAnsi"/>
                <w:b/>
                <w:bCs/>
                <w:color w:val="000000"/>
                <w:sz w:val="22"/>
                <w:szCs w:val="22"/>
                <w:lang w:eastAsia="en-GB"/>
              </w:rPr>
              <w:t>Spe</w:t>
            </w:r>
            <w:proofErr w:type="spellEnd"/>
          </w:p>
        </w:tc>
        <w:tc>
          <w:tcPr>
            <w:tcW w:w="709" w:type="dxa"/>
            <w:vMerge w:val="restart"/>
            <w:tcBorders>
              <w:top w:val="single" w:sz="4" w:space="0" w:color="auto"/>
              <w:left w:val="nil"/>
              <w:bottom w:val="single" w:sz="8" w:space="0" w:color="000000"/>
              <w:right w:val="nil"/>
            </w:tcBorders>
            <w:shd w:val="clear" w:color="auto" w:fill="auto"/>
            <w:vAlign w:val="center"/>
            <w:hideMark/>
          </w:tcPr>
          <w:p w14:paraId="4D3D9083"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 xml:space="preserve">Sen+ </w:t>
            </w:r>
            <w:proofErr w:type="spellStart"/>
            <w:r w:rsidRPr="00853C22">
              <w:rPr>
                <w:rFonts w:asciiTheme="minorHAnsi" w:hAnsiTheme="minorHAnsi" w:cstheme="minorHAnsi"/>
                <w:b/>
                <w:bCs/>
                <w:color w:val="000000"/>
                <w:sz w:val="22"/>
                <w:szCs w:val="22"/>
                <w:lang w:eastAsia="en-GB"/>
              </w:rPr>
              <w:t>spe</w:t>
            </w:r>
            <w:proofErr w:type="spellEnd"/>
          </w:p>
        </w:tc>
        <w:tc>
          <w:tcPr>
            <w:tcW w:w="567" w:type="dxa"/>
            <w:tcBorders>
              <w:top w:val="single" w:sz="4" w:space="0" w:color="auto"/>
              <w:left w:val="nil"/>
              <w:bottom w:val="nil"/>
              <w:right w:val="nil"/>
            </w:tcBorders>
            <w:shd w:val="clear" w:color="auto" w:fill="auto"/>
            <w:vAlign w:val="center"/>
            <w:hideMark/>
          </w:tcPr>
          <w:p w14:paraId="4DDDD8FE"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 xml:space="preserve">Cor </w:t>
            </w:r>
          </w:p>
        </w:tc>
        <w:tc>
          <w:tcPr>
            <w:tcW w:w="1794" w:type="dxa"/>
            <w:vMerge w:val="restart"/>
            <w:tcBorders>
              <w:top w:val="single" w:sz="4" w:space="0" w:color="auto"/>
              <w:left w:val="nil"/>
              <w:bottom w:val="single" w:sz="8" w:space="0" w:color="000000"/>
              <w:right w:val="nil"/>
            </w:tcBorders>
            <w:shd w:val="clear" w:color="auto" w:fill="auto"/>
            <w:vAlign w:val="center"/>
            <w:hideMark/>
          </w:tcPr>
          <w:p w14:paraId="52DA5539"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ROC</w:t>
            </w:r>
          </w:p>
          <w:p w14:paraId="1D045A74"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(95% CI) </w:t>
            </w:r>
          </w:p>
        </w:tc>
        <w:tc>
          <w:tcPr>
            <w:tcW w:w="566" w:type="dxa"/>
            <w:tcBorders>
              <w:top w:val="single" w:sz="4" w:space="0" w:color="auto"/>
              <w:left w:val="nil"/>
              <w:bottom w:val="nil"/>
              <w:right w:val="nil"/>
            </w:tcBorders>
            <w:shd w:val="clear" w:color="auto" w:fill="auto"/>
            <w:vAlign w:val="center"/>
            <w:hideMark/>
          </w:tcPr>
          <w:p w14:paraId="4B0ED973"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Sen</w:t>
            </w:r>
          </w:p>
        </w:tc>
        <w:tc>
          <w:tcPr>
            <w:tcW w:w="566" w:type="dxa"/>
            <w:tcBorders>
              <w:top w:val="single" w:sz="4" w:space="0" w:color="auto"/>
              <w:left w:val="nil"/>
              <w:bottom w:val="nil"/>
              <w:right w:val="nil"/>
            </w:tcBorders>
            <w:shd w:val="clear" w:color="auto" w:fill="auto"/>
            <w:vAlign w:val="center"/>
            <w:hideMark/>
          </w:tcPr>
          <w:p w14:paraId="13B8EB4B" w14:textId="77777777" w:rsidR="0071164E" w:rsidRPr="00853C22" w:rsidRDefault="0071164E" w:rsidP="00AD6FE2">
            <w:pPr>
              <w:jc w:val="center"/>
              <w:rPr>
                <w:rFonts w:asciiTheme="minorHAnsi" w:hAnsiTheme="minorHAnsi" w:cstheme="minorHAnsi"/>
                <w:b/>
                <w:bCs/>
                <w:color w:val="000000"/>
                <w:sz w:val="22"/>
                <w:szCs w:val="22"/>
                <w:lang w:eastAsia="en-GB"/>
              </w:rPr>
            </w:pPr>
            <w:proofErr w:type="spellStart"/>
            <w:r w:rsidRPr="00853C22">
              <w:rPr>
                <w:rFonts w:asciiTheme="minorHAnsi" w:hAnsiTheme="minorHAnsi" w:cstheme="minorHAnsi"/>
                <w:b/>
                <w:bCs/>
                <w:color w:val="000000"/>
                <w:sz w:val="22"/>
                <w:szCs w:val="22"/>
                <w:lang w:eastAsia="en-GB"/>
              </w:rPr>
              <w:t>Spe</w:t>
            </w:r>
            <w:proofErr w:type="spellEnd"/>
          </w:p>
        </w:tc>
        <w:tc>
          <w:tcPr>
            <w:tcW w:w="662" w:type="dxa"/>
            <w:vMerge w:val="restart"/>
            <w:tcBorders>
              <w:top w:val="single" w:sz="4" w:space="0" w:color="auto"/>
              <w:left w:val="nil"/>
              <w:bottom w:val="single" w:sz="8" w:space="0" w:color="000000"/>
              <w:right w:val="nil"/>
            </w:tcBorders>
            <w:shd w:val="clear" w:color="auto" w:fill="auto"/>
            <w:vAlign w:val="center"/>
            <w:hideMark/>
          </w:tcPr>
          <w:p w14:paraId="38275FE8"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 xml:space="preserve">Sen+ </w:t>
            </w:r>
            <w:proofErr w:type="spellStart"/>
            <w:r w:rsidRPr="00853C22">
              <w:rPr>
                <w:rFonts w:asciiTheme="minorHAnsi" w:hAnsiTheme="minorHAnsi" w:cstheme="minorHAnsi"/>
                <w:b/>
                <w:bCs/>
                <w:color w:val="000000"/>
                <w:sz w:val="22"/>
                <w:szCs w:val="22"/>
                <w:lang w:eastAsia="en-GB"/>
              </w:rPr>
              <w:t>spe</w:t>
            </w:r>
            <w:proofErr w:type="spellEnd"/>
          </w:p>
        </w:tc>
        <w:tc>
          <w:tcPr>
            <w:tcW w:w="609" w:type="dxa"/>
            <w:tcBorders>
              <w:top w:val="single" w:sz="4" w:space="0" w:color="auto"/>
              <w:left w:val="nil"/>
              <w:bottom w:val="nil"/>
              <w:right w:val="nil"/>
            </w:tcBorders>
            <w:shd w:val="clear" w:color="auto" w:fill="auto"/>
            <w:vAlign w:val="center"/>
            <w:hideMark/>
          </w:tcPr>
          <w:p w14:paraId="599721F1"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Cor</w:t>
            </w:r>
          </w:p>
        </w:tc>
        <w:tc>
          <w:tcPr>
            <w:tcW w:w="1756" w:type="dxa"/>
            <w:vMerge w:val="restart"/>
            <w:tcBorders>
              <w:top w:val="single" w:sz="4" w:space="0" w:color="auto"/>
              <w:left w:val="nil"/>
              <w:right w:val="nil"/>
            </w:tcBorders>
          </w:tcPr>
          <w:p w14:paraId="15FE1284"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ROC</w:t>
            </w:r>
          </w:p>
          <w:p w14:paraId="4F18FE03"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(95% CI) </w:t>
            </w:r>
          </w:p>
        </w:tc>
      </w:tr>
      <w:tr w:rsidR="0071164E" w:rsidRPr="00853C22" w14:paraId="4F6321CF" w14:textId="77777777" w:rsidTr="00AD6FE2">
        <w:trPr>
          <w:trHeight w:val="315"/>
        </w:trPr>
        <w:tc>
          <w:tcPr>
            <w:tcW w:w="961" w:type="dxa"/>
            <w:vMerge/>
            <w:tcBorders>
              <w:top w:val="single" w:sz="8" w:space="0" w:color="000000"/>
              <w:left w:val="nil"/>
              <w:bottom w:val="single" w:sz="8" w:space="0" w:color="000000"/>
              <w:right w:val="nil"/>
            </w:tcBorders>
            <w:vAlign w:val="center"/>
            <w:hideMark/>
          </w:tcPr>
          <w:p w14:paraId="77531310" w14:textId="77777777" w:rsidR="0071164E" w:rsidRPr="00853C22" w:rsidRDefault="0071164E" w:rsidP="00AD6FE2">
            <w:pPr>
              <w:rPr>
                <w:rFonts w:asciiTheme="minorHAnsi" w:hAnsiTheme="minorHAnsi" w:cstheme="minorHAnsi"/>
                <w:b/>
                <w:bCs/>
                <w:color w:val="000000"/>
                <w:sz w:val="22"/>
                <w:szCs w:val="22"/>
                <w:lang w:eastAsia="en-GB"/>
              </w:rPr>
            </w:pPr>
          </w:p>
        </w:tc>
        <w:tc>
          <w:tcPr>
            <w:tcW w:w="641" w:type="dxa"/>
            <w:vMerge/>
            <w:tcBorders>
              <w:top w:val="nil"/>
              <w:left w:val="nil"/>
              <w:bottom w:val="single" w:sz="8" w:space="0" w:color="000000"/>
              <w:right w:val="nil"/>
            </w:tcBorders>
            <w:vAlign w:val="center"/>
            <w:hideMark/>
          </w:tcPr>
          <w:p w14:paraId="490F42AD" w14:textId="77777777" w:rsidR="0071164E" w:rsidRPr="00853C22" w:rsidRDefault="0071164E" w:rsidP="00AD6FE2">
            <w:pPr>
              <w:rPr>
                <w:rFonts w:asciiTheme="minorHAnsi" w:hAnsiTheme="minorHAnsi" w:cstheme="minorHAnsi"/>
                <w:b/>
                <w:bCs/>
                <w:color w:val="000000"/>
                <w:sz w:val="22"/>
                <w:szCs w:val="22"/>
                <w:lang w:eastAsia="en-GB"/>
              </w:rPr>
            </w:pPr>
          </w:p>
        </w:tc>
        <w:tc>
          <w:tcPr>
            <w:tcW w:w="720" w:type="dxa"/>
            <w:vMerge/>
            <w:tcBorders>
              <w:top w:val="nil"/>
              <w:left w:val="nil"/>
              <w:bottom w:val="single" w:sz="8" w:space="0" w:color="000000"/>
              <w:right w:val="nil"/>
            </w:tcBorders>
            <w:vAlign w:val="center"/>
            <w:hideMark/>
          </w:tcPr>
          <w:p w14:paraId="697DB60B" w14:textId="77777777" w:rsidR="0071164E" w:rsidRPr="00853C22" w:rsidRDefault="0071164E" w:rsidP="00AD6FE2">
            <w:pPr>
              <w:rPr>
                <w:rFonts w:asciiTheme="minorHAnsi" w:hAnsiTheme="minorHAnsi" w:cstheme="minorHAnsi"/>
                <w:b/>
                <w:bCs/>
                <w:color w:val="000000"/>
                <w:sz w:val="22"/>
                <w:szCs w:val="22"/>
                <w:lang w:eastAsia="en-GB"/>
              </w:rPr>
            </w:pPr>
          </w:p>
        </w:tc>
        <w:tc>
          <w:tcPr>
            <w:tcW w:w="655" w:type="dxa"/>
            <w:tcBorders>
              <w:top w:val="nil"/>
              <w:left w:val="nil"/>
              <w:bottom w:val="single" w:sz="8" w:space="0" w:color="auto"/>
              <w:right w:val="nil"/>
            </w:tcBorders>
            <w:shd w:val="clear" w:color="auto" w:fill="auto"/>
            <w:vAlign w:val="center"/>
            <w:hideMark/>
          </w:tcPr>
          <w:p w14:paraId="16BDC3FA"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 xml:space="preserve"> %</w:t>
            </w:r>
          </w:p>
        </w:tc>
        <w:tc>
          <w:tcPr>
            <w:tcW w:w="567" w:type="dxa"/>
            <w:tcBorders>
              <w:top w:val="nil"/>
              <w:left w:val="nil"/>
              <w:bottom w:val="single" w:sz="8" w:space="0" w:color="auto"/>
              <w:right w:val="nil"/>
            </w:tcBorders>
            <w:shd w:val="clear" w:color="auto" w:fill="auto"/>
            <w:vAlign w:val="center"/>
            <w:hideMark/>
          </w:tcPr>
          <w:p w14:paraId="09140A97"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w:t>
            </w:r>
          </w:p>
        </w:tc>
        <w:tc>
          <w:tcPr>
            <w:tcW w:w="709" w:type="dxa"/>
            <w:vMerge/>
            <w:tcBorders>
              <w:top w:val="nil"/>
              <w:left w:val="nil"/>
              <w:bottom w:val="single" w:sz="8" w:space="0" w:color="000000"/>
              <w:right w:val="nil"/>
            </w:tcBorders>
            <w:vAlign w:val="center"/>
            <w:hideMark/>
          </w:tcPr>
          <w:p w14:paraId="60E7023E" w14:textId="77777777" w:rsidR="0071164E" w:rsidRPr="00853C22" w:rsidRDefault="0071164E" w:rsidP="00AD6FE2">
            <w:pPr>
              <w:rPr>
                <w:rFonts w:asciiTheme="minorHAnsi" w:hAnsiTheme="minorHAnsi" w:cstheme="minorHAnsi"/>
                <w:b/>
                <w:bCs/>
                <w:color w:val="000000"/>
                <w:sz w:val="22"/>
                <w:szCs w:val="22"/>
                <w:lang w:eastAsia="en-GB"/>
              </w:rPr>
            </w:pPr>
          </w:p>
        </w:tc>
        <w:tc>
          <w:tcPr>
            <w:tcW w:w="567" w:type="dxa"/>
            <w:tcBorders>
              <w:top w:val="nil"/>
              <w:left w:val="nil"/>
              <w:bottom w:val="single" w:sz="8" w:space="0" w:color="auto"/>
              <w:right w:val="nil"/>
            </w:tcBorders>
            <w:shd w:val="clear" w:color="auto" w:fill="auto"/>
            <w:vAlign w:val="center"/>
            <w:hideMark/>
          </w:tcPr>
          <w:p w14:paraId="194DF7FE"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w:t>
            </w:r>
          </w:p>
        </w:tc>
        <w:tc>
          <w:tcPr>
            <w:tcW w:w="1794" w:type="dxa"/>
            <w:vMerge/>
            <w:tcBorders>
              <w:top w:val="nil"/>
              <w:left w:val="nil"/>
              <w:bottom w:val="single" w:sz="8" w:space="0" w:color="000000"/>
              <w:right w:val="nil"/>
            </w:tcBorders>
            <w:vAlign w:val="center"/>
            <w:hideMark/>
          </w:tcPr>
          <w:p w14:paraId="5F2F7B3A" w14:textId="77777777" w:rsidR="0071164E" w:rsidRPr="00853C22" w:rsidRDefault="0071164E" w:rsidP="00AD6FE2">
            <w:pPr>
              <w:rPr>
                <w:rFonts w:asciiTheme="minorHAnsi" w:hAnsiTheme="minorHAnsi" w:cstheme="minorHAnsi"/>
                <w:b/>
                <w:bCs/>
                <w:color w:val="000000"/>
                <w:sz w:val="22"/>
                <w:szCs w:val="22"/>
                <w:lang w:eastAsia="en-GB"/>
              </w:rPr>
            </w:pPr>
          </w:p>
        </w:tc>
        <w:tc>
          <w:tcPr>
            <w:tcW w:w="566" w:type="dxa"/>
            <w:tcBorders>
              <w:top w:val="nil"/>
              <w:left w:val="nil"/>
              <w:bottom w:val="single" w:sz="8" w:space="0" w:color="auto"/>
              <w:right w:val="nil"/>
            </w:tcBorders>
            <w:shd w:val="clear" w:color="auto" w:fill="auto"/>
            <w:vAlign w:val="center"/>
            <w:hideMark/>
          </w:tcPr>
          <w:p w14:paraId="3B974380"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 xml:space="preserve"> %</w:t>
            </w:r>
          </w:p>
        </w:tc>
        <w:tc>
          <w:tcPr>
            <w:tcW w:w="566" w:type="dxa"/>
            <w:tcBorders>
              <w:top w:val="nil"/>
              <w:left w:val="nil"/>
              <w:bottom w:val="single" w:sz="8" w:space="0" w:color="auto"/>
              <w:right w:val="nil"/>
            </w:tcBorders>
            <w:shd w:val="clear" w:color="auto" w:fill="auto"/>
            <w:vAlign w:val="center"/>
            <w:hideMark/>
          </w:tcPr>
          <w:p w14:paraId="350560C3"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w:t>
            </w:r>
          </w:p>
        </w:tc>
        <w:tc>
          <w:tcPr>
            <w:tcW w:w="662" w:type="dxa"/>
            <w:vMerge/>
            <w:tcBorders>
              <w:top w:val="nil"/>
              <w:left w:val="nil"/>
              <w:bottom w:val="single" w:sz="8" w:space="0" w:color="000000"/>
              <w:right w:val="nil"/>
            </w:tcBorders>
            <w:vAlign w:val="center"/>
            <w:hideMark/>
          </w:tcPr>
          <w:p w14:paraId="2A5DFBD2" w14:textId="77777777" w:rsidR="0071164E" w:rsidRPr="00853C22" w:rsidRDefault="0071164E" w:rsidP="00AD6FE2">
            <w:pPr>
              <w:rPr>
                <w:rFonts w:asciiTheme="minorHAnsi" w:hAnsiTheme="minorHAnsi" w:cstheme="minorHAnsi"/>
                <w:b/>
                <w:bCs/>
                <w:color w:val="000000"/>
                <w:sz w:val="22"/>
                <w:szCs w:val="22"/>
                <w:lang w:eastAsia="en-GB"/>
              </w:rPr>
            </w:pPr>
          </w:p>
        </w:tc>
        <w:tc>
          <w:tcPr>
            <w:tcW w:w="609" w:type="dxa"/>
            <w:tcBorders>
              <w:top w:val="nil"/>
              <w:left w:val="nil"/>
              <w:bottom w:val="single" w:sz="8" w:space="0" w:color="auto"/>
              <w:right w:val="nil"/>
            </w:tcBorders>
            <w:shd w:val="clear" w:color="auto" w:fill="auto"/>
            <w:vAlign w:val="center"/>
            <w:hideMark/>
          </w:tcPr>
          <w:p w14:paraId="72927F1A" w14:textId="77777777" w:rsidR="0071164E" w:rsidRPr="00853C22" w:rsidRDefault="0071164E" w:rsidP="00AD6FE2">
            <w:pPr>
              <w:jc w:val="center"/>
              <w:rPr>
                <w:rFonts w:asciiTheme="minorHAnsi" w:hAnsiTheme="minorHAnsi" w:cstheme="minorHAnsi"/>
                <w:b/>
                <w:bCs/>
                <w:color w:val="000000"/>
                <w:sz w:val="22"/>
                <w:szCs w:val="22"/>
                <w:lang w:eastAsia="en-GB"/>
              </w:rPr>
            </w:pPr>
            <w:r w:rsidRPr="00853C22">
              <w:rPr>
                <w:rFonts w:asciiTheme="minorHAnsi" w:hAnsiTheme="minorHAnsi" w:cstheme="minorHAnsi"/>
                <w:b/>
                <w:bCs/>
                <w:color w:val="000000"/>
                <w:sz w:val="22"/>
                <w:szCs w:val="22"/>
                <w:lang w:eastAsia="en-GB"/>
              </w:rPr>
              <w:t xml:space="preserve"> %</w:t>
            </w:r>
          </w:p>
        </w:tc>
        <w:tc>
          <w:tcPr>
            <w:tcW w:w="1756" w:type="dxa"/>
            <w:vMerge/>
            <w:tcBorders>
              <w:left w:val="nil"/>
              <w:bottom w:val="single" w:sz="8" w:space="0" w:color="auto"/>
              <w:right w:val="nil"/>
            </w:tcBorders>
          </w:tcPr>
          <w:p w14:paraId="79230426" w14:textId="77777777" w:rsidR="0071164E" w:rsidRPr="00853C22" w:rsidRDefault="0071164E" w:rsidP="00AD6FE2">
            <w:pPr>
              <w:jc w:val="center"/>
              <w:rPr>
                <w:rFonts w:asciiTheme="minorHAnsi" w:hAnsiTheme="minorHAnsi" w:cstheme="minorHAnsi"/>
                <w:b/>
                <w:bCs/>
                <w:color w:val="000000"/>
                <w:sz w:val="22"/>
                <w:szCs w:val="22"/>
                <w:lang w:eastAsia="en-GB"/>
              </w:rPr>
            </w:pPr>
          </w:p>
        </w:tc>
      </w:tr>
      <w:tr w:rsidR="0071164E" w:rsidRPr="00853C22" w14:paraId="54938E36" w14:textId="77777777" w:rsidTr="00AD6FE2">
        <w:trPr>
          <w:trHeight w:val="300"/>
        </w:trPr>
        <w:tc>
          <w:tcPr>
            <w:tcW w:w="961" w:type="dxa"/>
            <w:tcBorders>
              <w:top w:val="nil"/>
              <w:left w:val="nil"/>
              <w:bottom w:val="nil"/>
              <w:right w:val="nil"/>
            </w:tcBorders>
            <w:shd w:val="clear" w:color="auto" w:fill="auto"/>
            <w:vAlign w:val="center"/>
            <w:hideMark/>
          </w:tcPr>
          <w:p w14:paraId="2914F3B8"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All </w:t>
            </w:r>
          </w:p>
        </w:tc>
        <w:tc>
          <w:tcPr>
            <w:tcW w:w="641" w:type="dxa"/>
            <w:tcBorders>
              <w:top w:val="nil"/>
              <w:left w:val="nil"/>
              <w:bottom w:val="nil"/>
              <w:right w:val="nil"/>
            </w:tcBorders>
            <w:shd w:val="clear" w:color="auto" w:fill="auto"/>
            <w:noWrap/>
            <w:vAlign w:val="center"/>
            <w:hideMark/>
          </w:tcPr>
          <w:p w14:paraId="23D69471"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w:t>
            </w:r>
          </w:p>
        </w:tc>
        <w:tc>
          <w:tcPr>
            <w:tcW w:w="720" w:type="dxa"/>
            <w:tcBorders>
              <w:top w:val="nil"/>
              <w:left w:val="nil"/>
              <w:bottom w:val="nil"/>
              <w:right w:val="nil"/>
            </w:tcBorders>
            <w:shd w:val="clear" w:color="auto" w:fill="auto"/>
            <w:noWrap/>
            <w:vAlign w:val="center"/>
            <w:hideMark/>
          </w:tcPr>
          <w:p w14:paraId="7A09682C"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1 </w:t>
            </w:r>
          </w:p>
        </w:tc>
        <w:tc>
          <w:tcPr>
            <w:tcW w:w="655" w:type="dxa"/>
            <w:tcBorders>
              <w:top w:val="nil"/>
              <w:left w:val="nil"/>
              <w:bottom w:val="nil"/>
              <w:right w:val="nil"/>
            </w:tcBorders>
            <w:shd w:val="clear" w:color="auto" w:fill="auto"/>
            <w:noWrap/>
            <w:vAlign w:val="center"/>
            <w:hideMark/>
          </w:tcPr>
          <w:p w14:paraId="55EE57D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7" w:type="dxa"/>
            <w:tcBorders>
              <w:top w:val="nil"/>
              <w:left w:val="nil"/>
              <w:bottom w:val="nil"/>
              <w:right w:val="nil"/>
            </w:tcBorders>
            <w:shd w:val="clear" w:color="auto" w:fill="auto"/>
            <w:noWrap/>
            <w:vAlign w:val="center"/>
            <w:hideMark/>
          </w:tcPr>
          <w:p w14:paraId="33ADD17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w:t>
            </w:r>
          </w:p>
        </w:tc>
        <w:tc>
          <w:tcPr>
            <w:tcW w:w="709" w:type="dxa"/>
            <w:tcBorders>
              <w:top w:val="nil"/>
              <w:left w:val="nil"/>
              <w:bottom w:val="nil"/>
              <w:right w:val="nil"/>
            </w:tcBorders>
            <w:shd w:val="clear" w:color="auto" w:fill="auto"/>
            <w:noWrap/>
            <w:vAlign w:val="center"/>
            <w:hideMark/>
          </w:tcPr>
          <w:p w14:paraId="2E4998B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7" w:type="dxa"/>
            <w:tcBorders>
              <w:top w:val="nil"/>
              <w:left w:val="nil"/>
              <w:bottom w:val="nil"/>
              <w:right w:val="nil"/>
            </w:tcBorders>
            <w:shd w:val="clear" w:color="auto" w:fill="auto"/>
            <w:noWrap/>
            <w:vAlign w:val="center"/>
            <w:hideMark/>
          </w:tcPr>
          <w:p w14:paraId="5873D60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24</w:t>
            </w:r>
          </w:p>
        </w:tc>
        <w:tc>
          <w:tcPr>
            <w:tcW w:w="1794" w:type="dxa"/>
            <w:tcBorders>
              <w:top w:val="nil"/>
              <w:left w:val="nil"/>
              <w:bottom w:val="nil"/>
              <w:right w:val="nil"/>
            </w:tcBorders>
            <w:shd w:val="clear" w:color="auto" w:fill="auto"/>
            <w:vAlign w:val="center"/>
            <w:hideMark/>
          </w:tcPr>
          <w:p w14:paraId="6EE6C3E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sz w:val="22"/>
                <w:szCs w:val="22"/>
              </w:rPr>
              <w:t>0.85 (0.79, 0.92)</w:t>
            </w:r>
          </w:p>
        </w:tc>
        <w:tc>
          <w:tcPr>
            <w:tcW w:w="566" w:type="dxa"/>
            <w:tcBorders>
              <w:top w:val="nil"/>
              <w:left w:val="nil"/>
              <w:bottom w:val="nil"/>
              <w:right w:val="nil"/>
            </w:tcBorders>
            <w:shd w:val="clear" w:color="auto" w:fill="auto"/>
            <w:vAlign w:val="center"/>
            <w:hideMark/>
          </w:tcPr>
          <w:p w14:paraId="25F73ED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6" w:type="dxa"/>
            <w:tcBorders>
              <w:top w:val="nil"/>
              <w:left w:val="nil"/>
              <w:bottom w:val="nil"/>
              <w:right w:val="nil"/>
            </w:tcBorders>
            <w:shd w:val="clear" w:color="auto" w:fill="auto"/>
            <w:vAlign w:val="center"/>
            <w:hideMark/>
          </w:tcPr>
          <w:p w14:paraId="19321BD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w:t>
            </w:r>
          </w:p>
        </w:tc>
        <w:tc>
          <w:tcPr>
            <w:tcW w:w="662" w:type="dxa"/>
            <w:tcBorders>
              <w:top w:val="nil"/>
              <w:left w:val="nil"/>
              <w:bottom w:val="nil"/>
              <w:right w:val="nil"/>
            </w:tcBorders>
            <w:shd w:val="clear" w:color="auto" w:fill="auto"/>
            <w:vAlign w:val="center"/>
            <w:hideMark/>
          </w:tcPr>
          <w:p w14:paraId="3263C6C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609" w:type="dxa"/>
            <w:tcBorders>
              <w:top w:val="nil"/>
              <w:left w:val="nil"/>
              <w:bottom w:val="nil"/>
              <w:right w:val="nil"/>
            </w:tcBorders>
            <w:shd w:val="clear" w:color="auto" w:fill="auto"/>
            <w:vAlign w:val="center"/>
            <w:hideMark/>
          </w:tcPr>
          <w:p w14:paraId="38CC88F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21</w:t>
            </w:r>
          </w:p>
        </w:tc>
        <w:tc>
          <w:tcPr>
            <w:tcW w:w="1756" w:type="dxa"/>
            <w:tcBorders>
              <w:top w:val="nil"/>
              <w:left w:val="nil"/>
              <w:bottom w:val="nil"/>
              <w:right w:val="nil"/>
            </w:tcBorders>
          </w:tcPr>
          <w:p w14:paraId="19AE738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sz w:val="22"/>
                <w:szCs w:val="22"/>
              </w:rPr>
              <w:t>0.86 (0.77, 0.95)</w:t>
            </w:r>
          </w:p>
        </w:tc>
      </w:tr>
      <w:tr w:rsidR="0071164E" w:rsidRPr="00853C22" w14:paraId="6815A024" w14:textId="77777777" w:rsidTr="00AD6FE2">
        <w:trPr>
          <w:trHeight w:val="300"/>
        </w:trPr>
        <w:tc>
          <w:tcPr>
            <w:tcW w:w="961" w:type="dxa"/>
            <w:tcBorders>
              <w:top w:val="nil"/>
              <w:left w:val="nil"/>
              <w:bottom w:val="nil"/>
              <w:right w:val="nil"/>
            </w:tcBorders>
            <w:shd w:val="clear" w:color="auto" w:fill="auto"/>
            <w:noWrap/>
            <w:vAlign w:val="bottom"/>
            <w:hideMark/>
          </w:tcPr>
          <w:p w14:paraId="3BC38AFA"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57B77F19"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3593B999"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2  </w:t>
            </w:r>
          </w:p>
        </w:tc>
        <w:tc>
          <w:tcPr>
            <w:tcW w:w="655" w:type="dxa"/>
            <w:tcBorders>
              <w:top w:val="nil"/>
              <w:left w:val="nil"/>
              <w:bottom w:val="nil"/>
              <w:right w:val="nil"/>
            </w:tcBorders>
            <w:shd w:val="clear" w:color="auto" w:fill="auto"/>
            <w:noWrap/>
            <w:vAlign w:val="center"/>
            <w:hideMark/>
          </w:tcPr>
          <w:p w14:paraId="7F44026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97</w:t>
            </w:r>
          </w:p>
        </w:tc>
        <w:tc>
          <w:tcPr>
            <w:tcW w:w="567" w:type="dxa"/>
            <w:tcBorders>
              <w:top w:val="nil"/>
              <w:left w:val="nil"/>
              <w:bottom w:val="nil"/>
              <w:right w:val="nil"/>
            </w:tcBorders>
            <w:shd w:val="clear" w:color="auto" w:fill="auto"/>
            <w:noWrap/>
            <w:vAlign w:val="center"/>
            <w:hideMark/>
          </w:tcPr>
          <w:p w14:paraId="6F1D828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32</w:t>
            </w:r>
          </w:p>
        </w:tc>
        <w:tc>
          <w:tcPr>
            <w:tcW w:w="709" w:type="dxa"/>
            <w:tcBorders>
              <w:top w:val="nil"/>
              <w:left w:val="nil"/>
              <w:bottom w:val="nil"/>
              <w:right w:val="nil"/>
            </w:tcBorders>
            <w:shd w:val="clear" w:color="auto" w:fill="auto"/>
            <w:noWrap/>
            <w:vAlign w:val="center"/>
            <w:hideMark/>
          </w:tcPr>
          <w:p w14:paraId="5A26911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129</w:t>
            </w:r>
          </w:p>
        </w:tc>
        <w:tc>
          <w:tcPr>
            <w:tcW w:w="567" w:type="dxa"/>
            <w:tcBorders>
              <w:top w:val="nil"/>
              <w:left w:val="nil"/>
              <w:bottom w:val="nil"/>
              <w:right w:val="nil"/>
            </w:tcBorders>
            <w:shd w:val="clear" w:color="auto" w:fill="auto"/>
            <w:noWrap/>
            <w:vAlign w:val="center"/>
            <w:hideMark/>
          </w:tcPr>
          <w:p w14:paraId="149859C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47</w:t>
            </w:r>
          </w:p>
        </w:tc>
        <w:tc>
          <w:tcPr>
            <w:tcW w:w="1794" w:type="dxa"/>
            <w:tcBorders>
              <w:top w:val="nil"/>
              <w:left w:val="nil"/>
              <w:bottom w:val="nil"/>
              <w:right w:val="nil"/>
            </w:tcBorders>
            <w:shd w:val="clear" w:color="auto" w:fill="auto"/>
            <w:vAlign w:val="center"/>
            <w:hideMark/>
          </w:tcPr>
          <w:p w14:paraId="33B7D80B"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2EE7E7C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95</w:t>
            </w:r>
          </w:p>
        </w:tc>
        <w:tc>
          <w:tcPr>
            <w:tcW w:w="566" w:type="dxa"/>
            <w:tcBorders>
              <w:top w:val="nil"/>
              <w:left w:val="nil"/>
              <w:bottom w:val="nil"/>
              <w:right w:val="nil"/>
            </w:tcBorders>
            <w:shd w:val="clear" w:color="auto" w:fill="auto"/>
            <w:vAlign w:val="center"/>
            <w:hideMark/>
          </w:tcPr>
          <w:p w14:paraId="11B47A1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29</w:t>
            </w:r>
          </w:p>
        </w:tc>
        <w:tc>
          <w:tcPr>
            <w:tcW w:w="662" w:type="dxa"/>
            <w:tcBorders>
              <w:top w:val="nil"/>
              <w:left w:val="nil"/>
              <w:bottom w:val="nil"/>
              <w:right w:val="nil"/>
            </w:tcBorders>
            <w:shd w:val="clear" w:color="auto" w:fill="auto"/>
            <w:vAlign w:val="center"/>
            <w:hideMark/>
          </w:tcPr>
          <w:p w14:paraId="53BC9D4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124</w:t>
            </w:r>
          </w:p>
        </w:tc>
        <w:tc>
          <w:tcPr>
            <w:tcW w:w="609" w:type="dxa"/>
            <w:tcBorders>
              <w:top w:val="nil"/>
              <w:left w:val="nil"/>
              <w:bottom w:val="nil"/>
              <w:right w:val="nil"/>
            </w:tcBorders>
            <w:shd w:val="clear" w:color="auto" w:fill="auto"/>
            <w:vAlign w:val="center"/>
            <w:hideMark/>
          </w:tcPr>
          <w:p w14:paraId="05EB376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43</w:t>
            </w:r>
          </w:p>
        </w:tc>
        <w:tc>
          <w:tcPr>
            <w:tcW w:w="1756" w:type="dxa"/>
            <w:tcBorders>
              <w:top w:val="nil"/>
              <w:left w:val="nil"/>
              <w:bottom w:val="nil"/>
              <w:right w:val="nil"/>
            </w:tcBorders>
          </w:tcPr>
          <w:p w14:paraId="2BB8B572"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09081377" w14:textId="77777777" w:rsidTr="00AD6FE2">
        <w:trPr>
          <w:trHeight w:val="300"/>
        </w:trPr>
        <w:tc>
          <w:tcPr>
            <w:tcW w:w="961" w:type="dxa"/>
            <w:tcBorders>
              <w:top w:val="nil"/>
              <w:left w:val="nil"/>
              <w:bottom w:val="nil"/>
              <w:right w:val="nil"/>
            </w:tcBorders>
            <w:shd w:val="clear" w:color="auto" w:fill="auto"/>
            <w:noWrap/>
            <w:vAlign w:val="bottom"/>
            <w:hideMark/>
          </w:tcPr>
          <w:p w14:paraId="20AD7B18"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3A57FE6B"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5CC81946"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3 </w:t>
            </w:r>
          </w:p>
        </w:tc>
        <w:tc>
          <w:tcPr>
            <w:tcW w:w="655" w:type="dxa"/>
            <w:tcBorders>
              <w:top w:val="nil"/>
              <w:left w:val="nil"/>
              <w:bottom w:val="nil"/>
              <w:right w:val="nil"/>
            </w:tcBorders>
            <w:shd w:val="clear" w:color="auto" w:fill="auto"/>
            <w:noWrap/>
            <w:vAlign w:val="center"/>
            <w:hideMark/>
          </w:tcPr>
          <w:p w14:paraId="037E7A6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94</w:t>
            </w:r>
          </w:p>
        </w:tc>
        <w:tc>
          <w:tcPr>
            <w:tcW w:w="567" w:type="dxa"/>
            <w:tcBorders>
              <w:top w:val="nil"/>
              <w:left w:val="nil"/>
              <w:bottom w:val="nil"/>
              <w:right w:val="nil"/>
            </w:tcBorders>
            <w:shd w:val="clear" w:color="auto" w:fill="auto"/>
            <w:noWrap/>
            <w:vAlign w:val="center"/>
            <w:hideMark/>
          </w:tcPr>
          <w:p w14:paraId="262BAC4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64</w:t>
            </w:r>
          </w:p>
        </w:tc>
        <w:tc>
          <w:tcPr>
            <w:tcW w:w="709" w:type="dxa"/>
            <w:tcBorders>
              <w:top w:val="nil"/>
              <w:left w:val="nil"/>
              <w:bottom w:val="nil"/>
              <w:right w:val="nil"/>
            </w:tcBorders>
            <w:shd w:val="clear" w:color="auto" w:fill="auto"/>
            <w:noWrap/>
            <w:vAlign w:val="center"/>
            <w:hideMark/>
          </w:tcPr>
          <w:p w14:paraId="747DAD6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158</w:t>
            </w:r>
          </w:p>
        </w:tc>
        <w:tc>
          <w:tcPr>
            <w:tcW w:w="567" w:type="dxa"/>
            <w:tcBorders>
              <w:top w:val="nil"/>
              <w:left w:val="nil"/>
              <w:bottom w:val="nil"/>
              <w:right w:val="nil"/>
            </w:tcBorders>
            <w:shd w:val="clear" w:color="auto" w:fill="auto"/>
            <w:noWrap/>
            <w:vAlign w:val="center"/>
            <w:hideMark/>
          </w:tcPr>
          <w:p w14:paraId="1471774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71</w:t>
            </w:r>
          </w:p>
        </w:tc>
        <w:tc>
          <w:tcPr>
            <w:tcW w:w="1794" w:type="dxa"/>
            <w:tcBorders>
              <w:top w:val="nil"/>
              <w:left w:val="nil"/>
              <w:bottom w:val="nil"/>
              <w:right w:val="nil"/>
            </w:tcBorders>
            <w:shd w:val="clear" w:color="auto" w:fill="auto"/>
            <w:vAlign w:val="center"/>
            <w:hideMark/>
          </w:tcPr>
          <w:p w14:paraId="5FF976D8"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0051221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95</w:t>
            </w:r>
          </w:p>
        </w:tc>
        <w:tc>
          <w:tcPr>
            <w:tcW w:w="566" w:type="dxa"/>
            <w:tcBorders>
              <w:top w:val="nil"/>
              <w:left w:val="nil"/>
              <w:bottom w:val="nil"/>
              <w:right w:val="nil"/>
            </w:tcBorders>
            <w:shd w:val="clear" w:color="auto" w:fill="auto"/>
            <w:vAlign w:val="center"/>
            <w:hideMark/>
          </w:tcPr>
          <w:p w14:paraId="4394F21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66</w:t>
            </w:r>
          </w:p>
        </w:tc>
        <w:tc>
          <w:tcPr>
            <w:tcW w:w="662" w:type="dxa"/>
            <w:tcBorders>
              <w:top w:val="nil"/>
              <w:left w:val="nil"/>
              <w:bottom w:val="nil"/>
              <w:right w:val="nil"/>
            </w:tcBorders>
            <w:shd w:val="clear" w:color="auto" w:fill="auto"/>
            <w:vAlign w:val="center"/>
            <w:hideMark/>
          </w:tcPr>
          <w:p w14:paraId="441754B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161</w:t>
            </w:r>
          </w:p>
        </w:tc>
        <w:tc>
          <w:tcPr>
            <w:tcW w:w="609" w:type="dxa"/>
            <w:tcBorders>
              <w:top w:val="nil"/>
              <w:left w:val="nil"/>
              <w:bottom w:val="nil"/>
              <w:right w:val="nil"/>
            </w:tcBorders>
            <w:shd w:val="clear" w:color="auto" w:fill="auto"/>
            <w:vAlign w:val="center"/>
            <w:hideMark/>
          </w:tcPr>
          <w:p w14:paraId="4E1AA15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72</w:t>
            </w:r>
          </w:p>
        </w:tc>
        <w:tc>
          <w:tcPr>
            <w:tcW w:w="1756" w:type="dxa"/>
            <w:tcBorders>
              <w:top w:val="nil"/>
              <w:left w:val="nil"/>
              <w:bottom w:val="nil"/>
              <w:right w:val="nil"/>
            </w:tcBorders>
          </w:tcPr>
          <w:p w14:paraId="6EAD4A4B"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415F490D" w14:textId="77777777" w:rsidTr="00AD6FE2">
        <w:trPr>
          <w:trHeight w:val="315"/>
        </w:trPr>
        <w:tc>
          <w:tcPr>
            <w:tcW w:w="961" w:type="dxa"/>
            <w:tcBorders>
              <w:top w:val="nil"/>
              <w:left w:val="nil"/>
              <w:bottom w:val="nil"/>
              <w:right w:val="nil"/>
            </w:tcBorders>
            <w:shd w:val="clear" w:color="auto" w:fill="auto"/>
            <w:noWrap/>
            <w:vAlign w:val="bottom"/>
            <w:hideMark/>
          </w:tcPr>
          <w:p w14:paraId="15DF6538"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single" w:sz="8" w:space="0" w:color="auto"/>
              <w:right w:val="nil"/>
            </w:tcBorders>
            <w:shd w:val="clear" w:color="auto" w:fill="auto"/>
            <w:noWrap/>
            <w:vAlign w:val="center"/>
            <w:hideMark/>
          </w:tcPr>
          <w:p w14:paraId="363AD688"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0A44FA4C"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4  </w:t>
            </w:r>
          </w:p>
        </w:tc>
        <w:tc>
          <w:tcPr>
            <w:tcW w:w="655" w:type="dxa"/>
            <w:tcBorders>
              <w:top w:val="nil"/>
              <w:left w:val="nil"/>
              <w:bottom w:val="single" w:sz="8" w:space="0" w:color="auto"/>
              <w:right w:val="nil"/>
            </w:tcBorders>
            <w:shd w:val="clear" w:color="auto" w:fill="auto"/>
            <w:noWrap/>
            <w:vAlign w:val="center"/>
            <w:hideMark/>
          </w:tcPr>
          <w:p w14:paraId="1342F5C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70</w:t>
            </w:r>
          </w:p>
        </w:tc>
        <w:tc>
          <w:tcPr>
            <w:tcW w:w="567" w:type="dxa"/>
            <w:tcBorders>
              <w:top w:val="nil"/>
              <w:left w:val="nil"/>
              <w:bottom w:val="single" w:sz="8" w:space="0" w:color="auto"/>
              <w:right w:val="nil"/>
            </w:tcBorders>
            <w:shd w:val="clear" w:color="auto" w:fill="auto"/>
            <w:noWrap/>
            <w:vAlign w:val="center"/>
            <w:hideMark/>
          </w:tcPr>
          <w:p w14:paraId="0ADA8CD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87</w:t>
            </w:r>
          </w:p>
        </w:tc>
        <w:tc>
          <w:tcPr>
            <w:tcW w:w="709" w:type="dxa"/>
            <w:tcBorders>
              <w:top w:val="nil"/>
              <w:left w:val="nil"/>
              <w:bottom w:val="single" w:sz="8" w:space="0" w:color="auto"/>
              <w:right w:val="nil"/>
            </w:tcBorders>
            <w:shd w:val="clear" w:color="auto" w:fill="auto"/>
            <w:noWrap/>
            <w:vAlign w:val="center"/>
            <w:hideMark/>
          </w:tcPr>
          <w:p w14:paraId="7D58B4AA"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157</w:t>
            </w:r>
          </w:p>
        </w:tc>
        <w:tc>
          <w:tcPr>
            <w:tcW w:w="567" w:type="dxa"/>
            <w:tcBorders>
              <w:top w:val="nil"/>
              <w:left w:val="nil"/>
              <w:bottom w:val="single" w:sz="8" w:space="0" w:color="auto"/>
              <w:right w:val="nil"/>
            </w:tcBorders>
            <w:shd w:val="clear" w:color="auto" w:fill="auto"/>
            <w:noWrap/>
            <w:vAlign w:val="center"/>
            <w:hideMark/>
          </w:tcPr>
          <w:p w14:paraId="4F17EB4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83</w:t>
            </w:r>
          </w:p>
        </w:tc>
        <w:tc>
          <w:tcPr>
            <w:tcW w:w="1794" w:type="dxa"/>
            <w:tcBorders>
              <w:top w:val="nil"/>
              <w:left w:val="nil"/>
              <w:bottom w:val="single" w:sz="8" w:space="0" w:color="auto"/>
              <w:right w:val="nil"/>
            </w:tcBorders>
            <w:shd w:val="clear" w:color="auto" w:fill="auto"/>
            <w:vAlign w:val="center"/>
            <w:hideMark/>
          </w:tcPr>
          <w:p w14:paraId="63AAA11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566" w:type="dxa"/>
            <w:tcBorders>
              <w:top w:val="nil"/>
              <w:left w:val="nil"/>
              <w:bottom w:val="single" w:sz="8" w:space="0" w:color="auto"/>
              <w:right w:val="nil"/>
            </w:tcBorders>
            <w:shd w:val="clear" w:color="auto" w:fill="auto"/>
            <w:vAlign w:val="center"/>
            <w:hideMark/>
          </w:tcPr>
          <w:p w14:paraId="23F2F16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76</w:t>
            </w:r>
          </w:p>
        </w:tc>
        <w:tc>
          <w:tcPr>
            <w:tcW w:w="566" w:type="dxa"/>
            <w:tcBorders>
              <w:top w:val="nil"/>
              <w:left w:val="nil"/>
              <w:bottom w:val="single" w:sz="8" w:space="0" w:color="auto"/>
              <w:right w:val="nil"/>
            </w:tcBorders>
            <w:shd w:val="clear" w:color="auto" w:fill="auto"/>
            <w:vAlign w:val="center"/>
            <w:hideMark/>
          </w:tcPr>
          <w:p w14:paraId="3A24EF6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86</w:t>
            </w:r>
          </w:p>
        </w:tc>
        <w:tc>
          <w:tcPr>
            <w:tcW w:w="662" w:type="dxa"/>
            <w:tcBorders>
              <w:top w:val="nil"/>
              <w:left w:val="nil"/>
              <w:bottom w:val="single" w:sz="8" w:space="0" w:color="auto"/>
              <w:right w:val="nil"/>
            </w:tcBorders>
            <w:shd w:val="clear" w:color="auto" w:fill="auto"/>
            <w:vAlign w:val="center"/>
            <w:hideMark/>
          </w:tcPr>
          <w:p w14:paraId="36008E6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162</w:t>
            </w:r>
          </w:p>
        </w:tc>
        <w:tc>
          <w:tcPr>
            <w:tcW w:w="609" w:type="dxa"/>
            <w:tcBorders>
              <w:top w:val="nil"/>
              <w:left w:val="nil"/>
              <w:bottom w:val="single" w:sz="8" w:space="0" w:color="auto"/>
              <w:right w:val="nil"/>
            </w:tcBorders>
            <w:shd w:val="clear" w:color="auto" w:fill="auto"/>
            <w:vAlign w:val="center"/>
            <w:hideMark/>
          </w:tcPr>
          <w:p w14:paraId="4E64767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84</w:t>
            </w:r>
          </w:p>
        </w:tc>
        <w:tc>
          <w:tcPr>
            <w:tcW w:w="1756" w:type="dxa"/>
            <w:tcBorders>
              <w:top w:val="nil"/>
              <w:left w:val="nil"/>
              <w:bottom w:val="single" w:sz="8" w:space="0" w:color="auto"/>
              <w:right w:val="nil"/>
            </w:tcBorders>
          </w:tcPr>
          <w:p w14:paraId="7F2173AA"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20242E23" w14:textId="77777777" w:rsidTr="00AD6FE2">
        <w:trPr>
          <w:trHeight w:val="300"/>
        </w:trPr>
        <w:tc>
          <w:tcPr>
            <w:tcW w:w="961" w:type="dxa"/>
            <w:tcBorders>
              <w:top w:val="nil"/>
              <w:left w:val="nil"/>
              <w:bottom w:val="nil"/>
              <w:right w:val="nil"/>
            </w:tcBorders>
            <w:shd w:val="clear" w:color="auto" w:fill="auto"/>
            <w:noWrap/>
            <w:vAlign w:val="bottom"/>
            <w:hideMark/>
          </w:tcPr>
          <w:p w14:paraId="7F826125"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center"/>
            <w:hideMark/>
          </w:tcPr>
          <w:p w14:paraId="47D5B816"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w:t>
            </w:r>
          </w:p>
        </w:tc>
        <w:tc>
          <w:tcPr>
            <w:tcW w:w="720" w:type="dxa"/>
            <w:tcBorders>
              <w:top w:val="nil"/>
              <w:left w:val="nil"/>
              <w:bottom w:val="nil"/>
              <w:right w:val="nil"/>
            </w:tcBorders>
            <w:shd w:val="clear" w:color="auto" w:fill="auto"/>
            <w:noWrap/>
            <w:vAlign w:val="center"/>
            <w:hideMark/>
          </w:tcPr>
          <w:p w14:paraId="6D03F057"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1 </w:t>
            </w:r>
          </w:p>
        </w:tc>
        <w:tc>
          <w:tcPr>
            <w:tcW w:w="655" w:type="dxa"/>
            <w:tcBorders>
              <w:top w:val="nil"/>
              <w:left w:val="nil"/>
              <w:bottom w:val="nil"/>
              <w:right w:val="nil"/>
            </w:tcBorders>
            <w:shd w:val="clear" w:color="auto" w:fill="auto"/>
            <w:noWrap/>
            <w:vAlign w:val="center"/>
            <w:hideMark/>
          </w:tcPr>
          <w:p w14:paraId="4B283D5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91</w:t>
            </w:r>
          </w:p>
        </w:tc>
        <w:tc>
          <w:tcPr>
            <w:tcW w:w="567" w:type="dxa"/>
            <w:tcBorders>
              <w:top w:val="nil"/>
              <w:left w:val="nil"/>
              <w:bottom w:val="nil"/>
              <w:right w:val="nil"/>
            </w:tcBorders>
            <w:shd w:val="clear" w:color="auto" w:fill="auto"/>
            <w:noWrap/>
            <w:vAlign w:val="center"/>
            <w:hideMark/>
          </w:tcPr>
          <w:p w14:paraId="61C5A5F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75</w:t>
            </w:r>
          </w:p>
        </w:tc>
        <w:tc>
          <w:tcPr>
            <w:tcW w:w="709" w:type="dxa"/>
            <w:tcBorders>
              <w:top w:val="nil"/>
              <w:left w:val="nil"/>
              <w:bottom w:val="nil"/>
              <w:right w:val="nil"/>
            </w:tcBorders>
            <w:shd w:val="clear" w:color="auto" w:fill="auto"/>
            <w:noWrap/>
            <w:vAlign w:val="center"/>
            <w:hideMark/>
          </w:tcPr>
          <w:p w14:paraId="767BF40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165</w:t>
            </w:r>
          </w:p>
        </w:tc>
        <w:tc>
          <w:tcPr>
            <w:tcW w:w="567" w:type="dxa"/>
            <w:tcBorders>
              <w:top w:val="nil"/>
              <w:left w:val="nil"/>
              <w:bottom w:val="nil"/>
              <w:right w:val="nil"/>
            </w:tcBorders>
            <w:shd w:val="clear" w:color="auto" w:fill="auto"/>
            <w:noWrap/>
            <w:vAlign w:val="center"/>
            <w:hideMark/>
          </w:tcPr>
          <w:p w14:paraId="0C4CA1F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78</w:t>
            </w:r>
          </w:p>
        </w:tc>
        <w:tc>
          <w:tcPr>
            <w:tcW w:w="1794" w:type="dxa"/>
            <w:tcBorders>
              <w:top w:val="nil"/>
              <w:left w:val="nil"/>
              <w:bottom w:val="nil"/>
              <w:right w:val="nil"/>
            </w:tcBorders>
            <w:shd w:val="clear" w:color="auto" w:fill="auto"/>
            <w:vAlign w:val="center"/>
            <w:hideMark/>
          </w:tcPr>
          <w:p w14:paraId="72EDF48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sz w:val="22"/>
                <w:szCs w:val="22"/>
              </w:rPr>
              <w:t>0.87 (0.80, 0.94)</w:t>
            </w:r>
          </w:p>
        </w:tc>
        <w:tc>
          <w:tcPr>
            <w:tcW w:w="566" w:type="dxa"/>
            <w:tcBorders>
              <w:top w:val="nil"/>
              <w:left w:val="nil"/>
              <w:bottom w:val="nil"/>
              <w:right w:val="nil"/>
            </w:tcBorders>
            <w:shd w:val="clear" w:color="auto" w:fill="auto"/>
            <w:vAlign w:val="center"/>
            <w:hideMark/>
          </w:tcPr>
          <w:p w14:paraId="2DCA54D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90</w:t>
            </w:r>
          </w:p>
        </w:tc>
        <w:tc>
          <w:tcPr>
            <w:tcW w:w="566" w:type="dxa"/>
            <w:tcBorders>
              <w:top w:val="nil"/>
              <w:left w:val="nil"/>
              <w:bottom w:val="nil"/>
              <w:right w:val="nil"/>
            </w:tcBorders>
            <w:shd w:val="clear" w:color="auto" w:fill="auto"/>
            <w:vAlign w:val="center"/>
            <w:hideMark/>
          </w:tcPr>
          <w:p w14:paraId="4626146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73</w:t>
            </w:r>
          </w:p>
        </w:tc>
        <w:tc>
          <w:tcPr>
            <w:tcW w:w="662" w:type="dxa"/>
            <w:tcBorders>
              <w:top w:val="nil"/>
              <w:left w:val="nil"/>
              <w:bottom w:val="nil"/>
              <w:right w:val="nil"/>
            </w:tcBorders>
            <w:shd w:val="clear" w:color="auto" w:fill="auto"/>
            <w:vAlign w:val="center"/>
            <w:hideMark/>
          </w:tcPr>
          <w:p w14:paraId="3DEA5C4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164</w:t>
            </w:r>
          </w:p>
        </w:tc>
        <w:tc>
          <w:tcPr>
            <w:tcW w:w="609" w:type="dxa"/>
            <w:tcBorders>
              <w:top w:val="nil"/>
              <w:left w:val="nil"/>
              <w:bottom w:val="nil"/>
              <w:right w:val="nil"/>
            </w:tcBorders>
            <w:shd w:val="clear" w:color="auto" w:fill="auto"/>
            <w:vAlign w:val="center"/>
            <w:hideMark/>
          </w:tcPr>
          <w:p w14:paraId="62E3295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77</w:t>
            </w:r>
          </w:p>
        </w:tc>
        <w:tc>
          <w:tcPr>
            <w:tcW w:w="1756" w:type="dxa"/>
            <w:tcBorders>
              <w:top w:val="nil"/>
              <w:left w:val="nil"/>
              <w:bottom w:val="nil"/>
              <w:right w:val="nil"/>
            </w:tcBorders>
          </w:tcPr>
          <w:p w14:paraId="3FB50F9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sz w:val="22"/>
                <w:szCs w:val="22"/>
              </w:rPr>
              <w:t>0.85 (0.76, 0.94)</w:t>
            </w:r>
          </w:p>
        </w:tc>
      </w:tr>
      <w:tr w:rsidR="0071164E" w:rsidRPr="00853C22" w14:paraId="7196A23D" w14:textId="77777777" w:rsidTr="00AD6FE2">
        <w:trPr>
          <w:trHeight w:val="300"/>
        </w:trPr>
        <w:tc>
          <w:tcPr>
            <w:tcW w:w="961" w:type="dxa"/>
            <w:tcBorders>
              <w:top w:val="nil"/>
              <w:left w:val="nil"/>
              <w:bottom w:val="nil"/>
              <w:right w:val="nil"/>
            </w:tcBorders>
            <w:shd w:val="clear" w:color="auto" w:fill="auto"/>
            <w:noWrap/>
            <w:vAlign w:val="bottom"/>
            <w:hideMark/>
          </w:tcPr>
          <w:p w14:paraId="270AA81E"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5EE0519A"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5EA75E74"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2  </w:t>
            </w:r>
          </w:p>
        </w:tc>
        <w:tc>
          <w:tcPr>
            <w:tcW w:w="655" w:type="dxa"/>
            <w:tcBorders>
              <w:top w:val="nil"/>
              <w:left w:val="nil"/>
              <w:bottom w:val="nil"/>
              <w:right w:val="nil"/>
            </w:tcBorders>
            <w:shd w:val="clear" w:color="auto" w:fill="auto"/>
            <w:noWrap/>
            <w:vAlign w:val="center"/>
            <w:hideMark/>
          </w:tcPr>
          <w:p w14:paraId="55DF7C5A"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55</w:t>
            </w:r>
          </w:p>
        </w:tc>
        <w:tc>
          <w:tcPr>
            <w:tcW w:w="567" w:type="dxa"/>
            <w:tcBorders>
              <w:top w:val="nil"/>
              <w:left w:val="nil"/>
              <w:bottom w:val="nil"/>
              <w:right w:val="nil"/>
            </w:tcBorders>
            <w:shd w:val="clear" w:color="auto" w:fill="auto"/>
            <w:noWrap/>
            <w:vAlign w:val="center"/>
            <w:hideMark/>
          </w:tcPr>
          <w:p w14:paraId="79B27E5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92</w:t>
            </w:r>
          </w:p>
        </w:tc>
        <w:tc>
          <w:tcPr>
            <w:tcW w:w="709" w:type="dxa"/>
            <w:tcBorders>
              <w:top w:val="nil"/>
              <w:left w:val="nil"/>
              <w:bottom w:val="nil"/>
              <w:right w:val="nil"/>
            </w:tcBorders>
            <w:shd w:val="clear" w:color="auto" w:fill="auto"/>
            <w:noWrap/>
            <w:vAlign w:val="center"/>
            <w:hideMark/>
          </w:tcPr>
          <w:p w14:paraId="4FA5637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146</w:t>
            </w:r>
          </w:p>
        </w:tc>
        <w:tc>
          <w:tcPr>
            <w:tcW w:w="567" w:type="dxa"/>
            <w:tcBorders>
              <w:top w:val="nil"/>
              <w:left w:val="nil"/>
              <w:bottom w:val="nil"/>
              <w:right w:val="nil"/>
            </w:tcBorders>
            <w:shd w:val="clear" w:color="auto" w:fill="auto"/>
            <w:noWrap/>
            <w:vAlign w:val="center"/>
            <w:hideMark/>
          </w:tcPr>
          <w:p w14:paraId="16E584F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83</w:t>
            </w:r>
          </w:p>
        </w:tc>
        <w:tc>
          <w:tcPr>
            <w:tcW w:w="1794" w:type="dxa"/>
            <w:tcBorders>
              <w:top w:val="nil"/>
              <w:left w:val="nil"/>
              <w:bottom w:val="nil"/>
              <w:right w:val="nil"/>
            </w:tcBorders>
            <w:shd w:val="clear" w:color="auto" w:fill="auto"/>
            <w:vAlign w:val="center"/>
            <w:hideMark/>
          </w:tcPr>
          <w:p w14:paraId="7E2A4B5F"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379A675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48</w:t>
            </w:r>
          </w:p>
        </w:tc>
        <w:tc>
          <w:tcPr>
            <w:tcW w:w="566" w:type="dxa"/>
            <w:tcBorders>
              <w:top w:val="nil"/>
              <w:left w:val="nil"/>
              <w:bottom w:val="nil"/>
              <w:right w:val="nil"/>
            </w:tcBorders>
            <w:shd w:val="clear" w:color="auto" w:fill="auto"/>
            <w:vAlign w:val="center"/>
            <w:hideMark/>
          </w:tcPr>
          <w:p w14:paraId="397B106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90</w:t>
            </w:r>
          </w:p>
        </w:tc>
        <w:tc>
          <w:tcPr>
            <w:tcW w:w="662" w:type="dxa"/>
            <w:tcBorders>
              <w:top w:val="nil"/>
              <w:left w:val="nil"/>
              <w:bottom w:val="nil"/>
              <w:right w:val="nil"/>
            </w:tcBorders>
            <w:shd w:val="clear" w:color="auto" w:fill="auto"/>
            <w:vAlign w:val="center"/>
            <w:hideMark/>
          </w:tcPr>
          <w:p w14:paraId="4131282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137</w:t>
            </w:r>
          </w:p>
        </w:tc>
        <w:tc>
          <w:tcPr>
            <w:tcW w:w="609" w:type="dxa"/>
            <w:tcBorders>
              <w:top w:val="nil"/>
              <w:left w:val="nil"/>
              <w:bottom w:val="nil"/>
              <w:right w:val="nil"/>
            </w:tcBorders>
            <w:shd w:val="clear" w:color="auto" w:fill="auto"/>
            <w:vAlign w:val="center"/>
            <w:hideMark/>
          </w:tcPr>
          <w:p w14:paraId="15DED0EA"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81</w:t>
            </w:r>
          </w:p>
        </w:tc>
        <w:tc>
          <w:tcPr>
            <w:tcW w:w="1756" w:type="dxa"/>
            <w:tcBorders>
              <w:top w:val="nil"/>
              <w:left w:val="nil"/>
              <w:bottom w:val="nil"/>
              <w:right w:val="nil"/>
            </w:tcBorders>
          </w:tcPr>
          <w:p w14:paraId="20016BF0"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724E8403" w14:textId="77777777" w:rsidTr="00AD6FE2">
        <w:trPr>
          <w:trHeight w:val="300"/>
        </w:trPr>
        <w:tc>
          <w:tcPr>
            <w:tcW w:w="961" w:type="dxa"/>
            <w:tcBorders>
              <w:top w:val="nil"/>
              <w:left w:val="nil"/>
              <w:bottom w:val="nil"/>
              <w:right w:val="nil"/>
            </w:tcBorders>
            <w:shd w:val="clear" w:color="auto" w:fill="auto"/>
            <w:noWrap/>
            <w:vAlign w:val="bottom"/>
            <w:hideMark/>
          </w:tcPr>
          <w:p w14:paraId="3ADAE603"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7AB6D1A2"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52953E2B"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3 </w:t>
            </w:r>
          </w:p>
        </w:tc>
        <w:tc>
          <w:tcPr>
            <w:tcW w:w="655" w:type="dxa"/>
            <w:tcBorders>
              <w:top w:val="nil"/>
              <w:left w:val="nil"/>
              <w:bottom w:val="nil"/>
              <w:right w:val="nil"/>
            </w:tcBorders>
            <w:shd w:val="clear" w:color="auto" w:fill="auto"/>
            <w:noWrap/>
            <w:vAlign w:val="center"/>
            <w:hideMark/>
          </w:tcPr>
          <w:p w14:paraId="427EDD7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33</w:t>
            </w:r>
          </w:p>
        </w:tc>
        <w:tc>
          <w:tcPr>
            <w:tcW w:w="567" w:type="dxa"/>
            <w:tcBorders>
              <w:top w:val="nil"/>
              <w:left w:val="nil"/>
              <w:bottom w:val="nil"/>
              <w:right w:val="nil"/>
            </w:tcBorders>
            <w:shd w:val="clear" w:color="auto" w:fill="auto"/>
            <w:noWrap/>
            <w:vAlign w:val="center"/>
            <w:hideMark/>
          </w:tcPr>
          <w:p w14:paraId="180258DA"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98</w:t>
            </w:r>
          </w:p>
        </w:tc>
        <w:tc>
          <w:tcPr>
            <w:tcW w:w="709" w:type="dxa"/>
            <w:tcBorders>
              <w:top w:val="nil"/>
              <w:left w:val="nil"/>
              <w:bottom w:val="nil"/>
              <w:right w:val="nil"/>
            </w:tcBorders>
            <w:shd w:val="clear" w:color="auto" w:fill="auto"/>
            <w:noWrap/>
            <w:vAlign w:val="center"/>
            <w:hideMark/>
          </w:tcPr>
          <w:p w14:paraId="2D174F0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132</w:t>
            </w:r>
          </w:p>
        </w:tc>
        <w:tc>
          <w:tcPr>
            <w:tcW w:w="567" w:type="dxa"/>
            <w:tcBorders>
              <w:top w:val="nil"/>
              <w:left w:val="nil"/>
              <w:bottom w:val="nil"/>
              <w:right w:val="nil"/>
            </w:tcBorders>
            <w:shd w:val="clear" w:color="auto" w:fill="auto"/>
            <w:noWrap/>
            <w:vAlign w:val="center"/>
            <w:hideMark/>
          </w:tcPr>
          <w:p w14:paraId="723FA35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83</w:t>
            </w:r>
          </w:p>
        </w:tc>
        <w:tc>
          <w:tcPr>
            <w:tcW w:w="1794" w:type="dxa"/>
            <w:tcBorders>
              <w:top w:val="nil"/>
              <w:left w:val="nil"/>
              <w:bottom w:val="nil"/>
              <w:right w:val="nil"/>
            </w:tcBorders>
            <w:shd w:val="clear" w:color="auto" w:fill="auto"/>
            <w:vAlign w:val="center"/>
            <w:hideMark/>
          </w:tcPr>
          <w:p w14:paraId="0E6A6514"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22B4585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29</w:t>
            </w:r>
          </w:p>
        </w:tc>
        <w:tc>
          <w:tcPr>
            <w:tcW w:w="566" w:type="dxa"/>
            <w:tcBorders>
              <w:top w:val="nil"/>
              <w:left w:val="nil"/>
              <w:bottom w:val="nil"/>
              <w:right w:val="nil"/>
            </w:tcBorders>
            <w:shd w:val="clear" w:color="auto" w:fill="auto"/>
            <w:vAlign w:val="center"/>
            <w:hideMark/>
          </w:tcPr>
          <w:p w14:paraId="7BAE555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97</w:t>
            </w:r>
          </w:p>
        </w:tc>
        <w:tc>
          <w:tcPr>
            <w:tcW w:w="662" w:type="dxa"/>
            <w:tcBorders>
              <w:top w:val="nil"/>
              <w:left w:val="nil"/>
              <w:bottom w:val="nil"/>
              <w:right w:val="nil"/>
            </w:tcBorders>
            <w:shd w:val="clear" w:color="auto" w:fill="auto"/>
            <w:vAlign w:val="center"/>
            <w:hideMark/>
          </w:tcPr>
          <w:p w14:paraId="6A0D43A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126</w:t>
            </w:r>
          </w:p>
        </w:tc>
        <w:tc>
          <w:tcPr>
            <w:tcW w:w="609" w:type="dxa"/>
            <w:tcBorders>
              <w:top w:val="nil"/>
              <w:left w:val="nil"/>
              <w:bottom w:val="nil"/>
              <w:right w:val="nil"/>
            </w:tcBorders>
            <w:shd w:val="clear" w:color="auto" w:fill="auto"/>
            <w:vAlign w:val="center"/>
            <w:hideMark/>
          </w:tcPr>
          <w:p w14:paraId="19E9FF9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83</w:t>
            </w:r>
          </w:p>
        </w:tc>
        <w:tc>
          <w:tcPr>
            <w:tcW w:w="1756" w:type="dxa"/>
            <w:tcBorders>
              <w:top w:val="nil"/>
              <w:left w:val="nil"/>
              <w:bottom w:val="nil"/>
              <w:right w:val="nil"/>
            </w:tcBorders>
          </w:tcPr>
          <w:p w14:paraId="40FE2E99"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4221D07B" w14:textId="77777777" w:rsidTr="00AD6FE2">
        <w:trPr>
          <w:trHeight w:val="315"/>
        </w:trPr>
        <w:tc>
          <w:tcPr>
            <w:tcW w:w="961" w:type="dxa"/>
            <w:tcBorders>
              <w:top w:val="nil"/>
              <w:left w:val="nil"/>
              <w:bottom w:val="nil"/>
              <w:right w:val="nil"/>
            </w:tcBorders>
            <w:shd w:val="clear" w:color="auto" w:fill="auto"/>
            <w:noWrap/>
            <w:vAlign w:val="bottom"/>
            <w:hideMark/>
          </w:tcPr>
          <w:p w14:paraId="492B5E86"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single" w:sz="8" w:space="0" w:color="auto"/>
              <w:right w:val="nil"/>
            </w:tcBorders>
            <w:shd w:val="clear" w:color="auto" w:fill="auto"/>
            <w:noWrap/>
            <w:vAlign w:val="center"/>
            <w:hideMark/>
          </w:tcPr>
          <w:p w14:paraId="1FD62934"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75F7604B"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4  </w:t>
            </w:r>
          </w:p>
        </w:tc>
        <w:tc>
          <w:tcPr>
            <w:tcW w:w="655" w:type="dxa"/>
            <w:tcBorders>
              <w:top w:val="nil"/>
              <w:left w:val="nil"/>
              <w:bottom w:val="single" w:sz="8" w:space="0" w:color="auto"/>
              <w:right w:val="nil"/>
            </w:tcBorders>
            <w:shd w:val="clear" w:color="auto" w:fill="auto"/>
            <w:noWrap/>
            <w:vAlign w:val="center"/>
            <w:hideMark/>
          </w:tcPr>
          <w:p w14:paraId="2E36042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21</w:t>
            </w:r>
          </w:p>
        </w:tc>
        <w:tc>
          <w:tcPr>
            <w:tcW w:w="567" w:type="dxa"/>
            <w:tcBorders>
              <w:top w:val="nil"/>
              <w:left w:val="nil"/>
              <w:bottom w:val="single" w:sz="8" w:space="0" w:color="auto"/>
              <w:right w:val="nil"/>
            </w:tcBorders>
            <w:shd w:val="clear" w:color="auto" w:fill="auto"/>
            <w:noWrap/>
            <w:vAlign w:val="center"/>
            <w:hideMark/>
          </w:tcPr>
          <w:p w14:paraId="6949023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709" w:type="dxa"/>
            <w:tcBorders>
              <w:top w:val="nil"/>
              <w:left w:val="nil"/>
              <w:bottom w:val="single" w:sz="8" w:space="0" w:color="auto"/>
              <w:right w:val="nil"/>
            </w:tcBorders>
            <w:shd w:val="clear" w:color="auto" w:fill="auto"/>
            <w:noWrap/>
            <w:vAlign w:val="center"/>
            <w:hideMark/>
          </w:tcPr>
          <w:p w14:paraId="30E7A3F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121</w:t>
            </w:r>
          </w:p>
        </w:tc>
        <w:tc>
          <w:tcPr>
            <w:tcW w:w="567" w:type="dxa"/>
            <w:tcBorders>
              <w:top w:val="nil"/>
              <w:left w:val="nil"/>
              <w:bottom w:val="single" w:sz="8" w:space="0" w:color="auto"/>
              <w:right w:val="nil"/>
            </w:tcBorders>
            <w:shd w:val="clear" w:color="auto" w:fill="auto"/>
            <w:noWrap/>
            <w:vAlign w:val="center"/>
            <w:hideMark/>
          </w:tcPr>
          <w:p w14:paraId="418B2C3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82</w:t>
            </w:r>
          </w:p>
        </w:tc>
        <w:tc>
          <w:tcPr>
            <w:tcW w:w="1794" w:type="dxa"/>
            <w:tcBorders>
              <w:top w:val="nil"/>
              <w:left w:val="nil"/>
              <w:bottom w:val="single" w:sz="8" w:space="0" w:color="auto"/>
              <w:right w:val="nil"/>
            </w:tcBorders>
            <w:shd w:val="clear" w:color="auto" w:fill="auto"/>
            <w:vAlign w:val="center"/>
            <w:hideMark/>
          </w:tcPr>
          <w:p w14:paraId="132B941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566" w:type="dxa"/>
            <w:tcBorders>
              <w:top w:val="nil"/>
              <w:left w:val="nil"/>
              <w:bottom w:val="single" w:sz="8" w:space="0" w:color="auto"/>
              <w:right w:val="nil"/>
            </w:tcBorders>
            <w:shd w:val="clear" w:color="auto" w:fill="auto"/>
            <w:vAlign w:val="center"/>
            <w:hideMark/>
          </w:tcPr>
          <w:p w14:paraId="09DC2D7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19</w:t>
            </w:r>
          </w:p>
        </w:tc>
        <w:tc>
          <w:tcPr>
            <w:tcW w:w="566" w:type="dxa"/>
            <w:tcBorders>
              <w:top w:val="nil"/>
              <w:left w:val="nil"/>
              <w:bottom w:val="single" w:sz="8" w:space="0" w:color="auto"/>
              <w:right w:val="nil"/>
            </w:tcBorders>
            <w:shd w:val="clear" w:color="auto" w:fill="auto"/>
            <w:vAlign w:val="center"/>
            <w:hideMark/>
          </w:tcPr>
          <w:p w14:paraId="5EC8E72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662" w:type="dxa"/>
            <w:tcBorders>
              <w:top w:val="nil"/>
              <w:left w:val="nil"/>
              <w:bottom w:val="single" w:sz="8" w:space="0" w:color="auto"/>
              <w:right w:val="nil"/>
            </w:tcBorders>
            <w:shd w:val="clear" w:color="auto" w:fill="auto"/>
            <w:vAlign w:val="center"/>
            <w:hideMark/>
          </w:tcPr>
          <w:p w14:paraId="5C5984F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119</w:t>
            </w:r>
          </w:p>
        </w:tc>
        <w:tc>
          <w:tcPr>
            <w:tcW w:w="609" w:type="dxa"/>
            <w:tcBorders>
              <w:top w:val="nil"/>
              <w:left w:val="nil"/>
              <w:bottom w:val="single" w:sz="8" w:space="0" w:color="auto"/>
              <w:right w:val="nil"/>
            </w:tcBorders>
            <w:shd w:val="clear" w:color="auto" w:fill="auto"/>
            <w:vAlign w:val="center"/>
            <w:hideMark/>
          </w:tcPr>
          <w:p w14:paraId="714F970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83</w:t>
            </w:r>
          </w:p>
        </w:tc>
        <w:tc>
          <w:tcPr>
            <w:tcW w:w="1756" w:type="dxa"/>
            <w:tcBorders>
              <w:top w:val="nil"/>
              <w:left w:val="nil"/>
              <w:bottom w:val="single" w:sz="8" w:space="0" w:color="auto"/>
              <w:right w:val="nil"/>
            </w:tcBorders>
          </w:tcPr>
          <w:p w14:paraId="1560EAF1"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566348C6" w14:textId="77777777" w:rsidTr="00AD6FE2">
        <w:trPr>
          <w:trHeight w:val="300"/>
        </w:trPr>
        <w:tc>
          <w:tcPr>
            <w:tcW w:w="961" w:type="dxa"/>
            <w:tcBorders>
              <w:top w:val="nil"/>
              <w:left w:val="nil"/>
              <w:bottom w:val="nil"/>
              <w:right w:val="nil"/>
            </w:tcBorders>
            <w:shd w:val="clear" w:color="auto" w:fill="auto"/>
            <w:noWrap/>
            <w:vAlign w:val="bottom"/>
            <w:hideMark/>
          </w:tcPr>
          <w:p w14:paraId="2647C99D"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center"/>
            <w:hideMark/>
          </w:tcPr>
          <w:p w14:paraId="2B0E5817"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3</w:t>
            </w:r>
          </w:p>
        </w:tc>
        <w:tc>
          <w:tcPr>
            <w:tcW w:w="720" w:type="dxa"/>
            <w:tcBorders>
              <w:top w:val="nil"/>
              <w:left w:val="nil"/>
              <w:bottom w:val="nil"/>
              <w:right w:val="nil"/>
            </w:tcBorders>
            <w:shd w:val="clear" w:color="auto" w:fill="auto"/>
            <w:noWrap/>
            <w:vAlign w:val="center"/>
            <w:hideMark/>
          </w:tcPr>
          <w:p w14:paraId="60562BD7"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1 </w:t>
            </w:r>
          </w:p>
        </w:tc>
        <w:tc>
          <w:tcPr>
            <w:tcW w:w="655" w:type="dxa"/>
            <w:tcBorders>
              <w:top w:val="nil"/>
              <w:left w:val="nil"/>
              <w:bottom w:val="nil"/>
              <w:right w:val="nil"/>
            </w:tcBorders>
            <w:shd w:val="clear" w:color="auto" w:fill="auto"/>
            <w:noWrap/>
            <w:vAlign w:val="center"/>
            <w:hideMark/>
          </w:tcPr>
          <w:p w14:paraId="64DCCDD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79</w:t>
            </w:r>
          </w:p>
        </w:tc>
        <w:tc>
          <w:tcPr>
            <w:tcW w:w="567" w:type="dxa"/>
            <w:tcBorders>
              <w:top w:val="nil"/>
              <w:left w:val="nil"/>
              <w:bottom w:val="nil"/>
              <w:right w:val="nil"/>
            </w:tcBorders>
            <w:shd w:val="clear" w:color="auto" w:fill="auto"/>
            <w:noWrap/>
            <w:vAlign w:val="center"/>
            <w:hideMark/>
          </w:tcPr>
          <w:p w14:paraId="05D293A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72</w:t>
            </w:r>
          </w:p>
        </w:tc>
        <w:tc>
          <w:tcPr>
            <w:tcW w:w="709" w:type="dxa"/>
            <w:tcBorders>
              <w:top w:val="nil"/>
              <w:left w:val="nil"/>
              <w:bottom w:val="nil"/>
              <w:right w:val="nil"/>
            </w:tcBorders>
            <w:shd w:val="clear" w:color="auto" w:fill="auto"/>
            <w:noWrap/>
            <w:vAlign w:val="center"/>
            <w:hideMark/>
          </w:tcPr>
          <w:p w14:paraId="7A77CEA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151</w:t>
            </w:r>
          </w:p>
        </w:tc>
        <w:tc>
          <w:tcPr>
            <w:tcW w:w="567" w:type="dxa"/>
            <w:tcBorders>
              <w:top w:val="nil"/>
              <w:left w:val="nil"/>
              <w:bottom w:val="nil"/>
              <w:right w:val="nil"/>
            </w:tcBorders>
            <w:shd w:val="clear" w:color="auto" w:fill="auto"/>
            <w:noWrap/>
            <w:vAlign w:val="center"/>
            <w:hideMark/>
          </w:tcPr>
          <w:p w14:paraId="6140AE9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73</w:t>
            </w:r>
          </w:p>
        </w:tc>
        <w:tc>
          <w:tcPr>
            <w:tcW w:w="1794" w:type="dxa"/>
            <w:tcBorders>
              <w:top w:val="nil"/>
              <w:left w:val="nil"/>
              <w:bottom w:val="nil"/>
              <w:right w:val="nil"/>
            </w:tcBorders>
            <w:shd w:val="clear" w:color="auto" w:fill="auto"/>
            <w:vAlign w:val="center"/>
            <w:hideMark/>
          </w:tcPr>
          <w:p w14:paraId="0976DED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sz w:val="22"/>
                <w:szCs w:val="22"/>
              </w:rPr>
              <w:t>0.82 (0.73, 0.91)</w:t>
            </w:r>
          </w:p>
        </w:tc>
        <w:tc>
          <w:tcPr>
            <w:tcW w:w="566" w:type="dxa"/>
            <w:tcBorders>
              <w:top w:val="nil"/>
              <w:left w:val="nil"/>
              <w:bottom w:val="nil"/>
              <w:right w:val="nil"/>
            </w:tcBorders>
            <w:shd w:val="clear" w:color="auto" w:fill="auto"/>
            <w:vAlign w:val="center"/>
            <w:hideMark/>
          </w:tcPr>
          <w:p w14:paraId="30501EA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76</w:t>
            </w:r>
          </w:p>
        </w:tc>
        <w:tc>
          <w:tcPr>
            <w:tcW w:w="566" w:type="dxa"/>
            <w:tcBorders>
              <w:top w:val="nil"/>
              <w:left w:val="nil"/>
              <w:bottom w:val="nil"/>
              <w:right w:val="nil"/>
            </w:tcBorders>
            <w:shd w:val="clear" w:color="auto" w:fill="auto"/>
            <w:vAlign w:val="center"/>
            <w:hideMark/>
          </w:tcPr>
          <w:p w14:paraId="0CB57F4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70</w:t>
            </w:r>
          </w:p>
        </w:tc>
        <w:tc>
          <w:tcPr>
            <w:tcW w:w="662" w:type="dxa"/>
            <w:tcBorders>
              <w:top w:val="nil"/>
              <w:left w:val="nil"/>
              <w:bottom w:val="nil"/>
              <w:right w:val="nil"/>
            </w:tcBorders>
            <w:shd w:val="clear" w:color="auto" w:fill="auto"/>
            <w:vAlign w:val="center"/>
            <w:hideMark/>
          </w:tcPr>
          <w:p w14:paraId="29E0BBF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146</w:t>
            </w:r>
          </w:p>
        </w:tc>
        <w:tc>
          <w:tcPr>
            <w:tcW w:w="609" w:type="dxa"/>
            <w:tcBorders>
              <w:top w:val="nil"/>
              <w:left w:val="nil"/>
              <w:bottom w:val="nil"/>
              <w:right w:val="nil"/>
            </w:tcBorders>
            <w:shd w:val="clear" w:color="auto" w:fill="auto"/>
            <w:vAlign w:val="center"/>
            <w:hideMark/>
          </w:tcPr>
          <w:p w14:paraId="2D98695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71</w:t>
            </w:r>
          </w:p>
        </w:tc>
        <w:tc>
          <w:tcPr>
            <w:tcW w:w="1756" w:type="dxa"/>
            <w:tcBorders>
              <w:top w:val="nil"/>
              <w:left w:val="nil"/>
              <w:bottom w:val="nil"/>
              <w:right w:val="nil"/>
            </w:tcBorders>
          </w:tcPr>
          <w:p w14:paraId="4B0D402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sz w:val="22"/>
                <w:szCs w:val="22"/>
              </w:rPr>
              <w:t>0.79 (0.67, 0.90)</w:t>
            </w:r>
          </w:p>
        </w:tc>
      </w:tr>
      <w:tr w:rsidR="0071164E" w:rsidRPr="00853C22" w14:paraId="51ED7452" w14:textId="77777777" w:rsidTr="00AD6FE2">
        <w:trPr>
          <w:trHeight w:val="300"/>
        </w:trPr>
        <w:tc>
          <w:tcPr>
            <w:tcW w:w="961" w:type="dxa"/>
            <w:tcBorders>
              <w:top w:val="nil"/>
              <w:left w:val="nil"/>
              <w:bottom w:val="nil"/>
              <w:right w:val="nil"/>
            </w:tcBorders>
            <w:shd w:val="clear" w:color="auto" w:fill="auto"/>
            <w:noWrap/>
            <w:vAlign w:val="bottom"/>
            <w:hideMark/>
          </w:tcPr>
          <w:p w14:paraId="39EBB2A4"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223107D6"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4E065071"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2  </w:t>
            </w:r>
          </w:p>
        </w:tc>
        <w:tc>
          <w:tcPr>
            <w:tcW w:w="655" w:type="dxa"/>
            <w:tcBorders>
              <w:top w:val="nil"/>
              <w:left w:val="nil"/>
              <w:bottom w:val="nil"/>
              <w:right w:val="nil"/>
            </w:tcBorders>
            <w:shd w:val="clear" w:color="auto" w:fill="auto"/>
            <w:noWrap/>
            <w:vAlign w:val="center"/>
            <w:hideMark/>
          </w:tcPr>
          <w:p w14:paraId="6348E5A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64</w:t>
            </w:r>
          </w:p>
        </w:tc>
        <w:tc>
          <w:tcPr>
            <w:tcW w:w="567" w:type="dxa"/>
            <w:tcBorders>
              <w:top w:val="nil"/>
              <w:left w:val="nil"/>
              <w:bottom w:val="nil"/>
              <w:right w:val="nil"/>
            </w:tcBorders>
            <w:shd w:val="clear" w:color="auto" w:fill="auto"/>
            <w:noWrap/>
            <w:vAlign w:val="center"/>
            <w:hideMark/>
          </w:tcPr>
          <w:p w14:paraId="7E9E1E8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92</w:t>
            </w:r>
          </w:p>
        </w:tc>
        <w:tc>
          <w:tcPr>
            <w:tcW w:w="709" w:type="dxa"/>
            <w:tcBorders>
              <w:top w:val="nil"/>
              <w:left w:val="nil"/>
              <w:bottom w:val="nil"/>
              <w:right w:val="nil"/>
            </w:tcBorders>
            <w:shd w:val="clear" w:color="auto" w:fill="auto"/>
            <w:noWrap/>
            <w:vAlign w:val="center"/>
            <w:hideMark/>
          </w:tcPr>
          <w:p w14:paraId="13057D4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155</w:t>
            </w:r>
          </w:p>
        </w:tc>
        <w:tc>
          <w:tcPr>
            <w:tcW w:w="567" w:type="dxa"/>
            <w:tcBorders>
              <w:top w:val="nil"/>
              <w:left w:val="nil"/>
              <w:bottom w:val="nil"/>
              <w:right w:val="nil"/>
            </w:tcBorders>
            <w:shd w:val="clear" w:color="auto" w:fill="auto"/>
            <w:noWrap/>
            <w:vAlign w:val="center"/>
            <w:hideMark/>
          </w:tcPr>
          <w:p w14:paraId="54A4DA9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85</w:t>
            </w:r>
          </w:p>
        </w:tc>
        <w:tc>
          <w:tcPr>
            <w:tcW w:w="1794" w:type="dxa"/>
            <w:tcBorders>
              <w:top w:val="nil"/>
              <w:left w:val="nil"/>
              <w:bottom w:val="nil"/>
              <w:right w:val="nil"/>
            </w:tcBorders>
            <w:shd w:val="clear" w:color="auto" w:fill="auto"/>
            <w:vAlign w:val="center"/>
            <w:hideMark/>
          </w:tcPr>
          <w:p w14:paraId="53630170"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183B081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57</w:t>
            </w:r>
          </w:p>
        </w:tc>
        <w:tc>
          <w:tcPr>
            <w:tcW w:w="566" w:type="dxa"/>
            <w:tcBorders>
              <w:top w:val="nil"/>
              <w:left w:val="nil"/>
              <w:bottom w:val="nil"/>
              <w:right w:val="nil"/>
            </w:tcBorders>
            <w:shd w:val="clear" w:color="auto" w:fill="auto"/>
            <w:vAlign w:val="center"/>
            <w:hideMark/>
          </w:tcPr>
          <w:p w14:paraId="2BB160F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91</w:t>
            </w:r>
          </w:p>
        </w:tc>
        <w:tc>
          <w:tcPr>
            <w:tcW w:w="662" w:type="dxa"/>
            <w:tcBorders>
              <w:top w:val="nil"/>
              <w:left w:val="nil"/>
              <w:bottom w:val="nil"/>
              <w:right w:val="nil"/>
            </w:tcBorders>
            <w:shd w:val="clear" w:color="auto" w:fill="auto"/>
            <w:vAlign w:val="center"/>
            <w:hideMark/>
          </w:tcPr>
          <w:p w14:paraId="4EE2006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148</w:t>
            </w:r>
          </w:p>
        </w:tc>
        <w:tc>
          <w:tcPr>
            <w:tcW w:w="609" w:type="dxa"/>
            <w:tcBorders>
              <w:top w:val="nil"/>
              <w:left w:val="nil"/>
              <w:bottom w:val="nil"/>
              <w:right w:val="nil"/>
            </w:tcBorders>
            <w:shd w:val="clear" w:color="auto" w:fill="auto"/>
            <w:vAlign w:val="center"/>
            <w:hideMark/>
          </w:tcPr>
          <w:p w14:paraId="4F36685A"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84</w:t>
            </w:r>
          </w:p>
        </w:tc>
        <w:tc>
          <w:tcPr>
            <w:tcW w:w="1756" w:type="dxa"/>
            <w:tcBorders>
              <w:top w:val="nil"/>
              <w:left w:val="nil"/>
              <w:bottom w:val="nil"/>
              <w:right w:val="nil"/>
            </w:tcBorders>
          </w:tcPr>
          <w:p w14:paraId="754E24FA"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53D1995D" w14:textId="77777777" w:rsidTr="00AD6FE2">
        <w:trPr>
          <w:trHeight w:val="300"/>
        </w:trPr>
        <w:tc>
          <w:tcPr>
            <w:tcW w:w="961" w:type="dxa"/>
            <w:tcBorders>
              <w:top w:val="nil"/>
              <w:left w:val="nil"/>
              <w:bottom w:val="nil"/>
              <w:right w:val="nil"/>
            </w:tcBorders>
            <w:shd w:val="clear" w:color="auto" w:fill="auto"/>
            <w:noWrap/>
            <w:vAlign w:val="bottom"/>
            <w:hideMark/>
          </w:tcPr>
          <w:p w14:paraId="1D943E0A"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5B1CCDB6"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7B0CB547"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3 </w:t>
            </w:r>
          </w:p>
        </w:tc>
        <w:tc>
          <w:tcPr>
            <w:tcW w:w="655" w:type="dxa"/>
            <w:tcBorders>
              <w:top w:val="nil"/>
              <w:left w:val="nil"/>
              <w:bottom w:val="nil"/>
              <w:right w:val="nil"/>
            </w:tcBorders>
            <w:shd w:val="clear" w:color="auto" w:fill="auto"/>
            <w:noWrap/>
            <w:vAlign w:val="center"/>
            <w:hideMark/>
          </w:tcPr>
          <w:p w14:paraId="31934FC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48</w:t>
            </w:r>
          </w:p>
        </w:tc>
        <w:tc>
          <w:tcPr>
            <w:tcW w:w="567" w:type="dxa"/>
            <w:tcBorders>
              <w:top w:val="nil"/>
              <w:left w:val="nil"/>
              <w:bottom w:val="nil"/>
              <w:right w:val="nil"/>
            </w:tcBorders>
            <w:shd w:val="clear" w:color="auto" w:fill="auto"/>
            <w:noWrap/>
            <w:vAlign w:val="center"/>
            <w:hideMark/>
          </w:tcPr>
          <w:p w14:paraId="7B68E0E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95</w:t>
            </w:r>
          </w:p>
        </w:tc>
        <w:tc>
          <w:tcPr>
            <w:tcW w:w="709" w:type="dxa"/>
            <w:tcBorders>
              <w:top w:val="nil"/>
              <w:left w:val="nil"/>
              <w:bottom w:val="nil"/>
              <w:right w:val="nil"/>
            </w:tcBorders>
            <w:shd w:val="clear" w:color="auto" w:fill="auto"/>
            <w:noWrap/>
            <w:vAlign w:val="center"/>
            <w:hideMark/>
          </w:tcPr>
          <w:p w14:paraId="01890D0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143</w:t>
            </w:r>
          </w:p>
        </w:tc>
        <w:tc>
          <w:tcPr>
            <w:tcW w:w="567" w:type="dxa"/>
            <w:tcBorders>
              <w:top w:val="nil"/>
              <w:left w:val="nil"/>
              <w:bottom w:val="nil"/>
              <w:right w:val="nil"/>
            </w:tcBorders>
            <w:shd w:val="clear" w:color="auto" w:fill="auto"/>
            <w:noWrap/>
            <w:vAlign w:val="center"/>
            <w:hideMark/>
          </w:tcPr>
          <w:p w14:paraId="01C5C35A"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84</w:t>
            </w:r>
          </w:p>
        </w:tc>
        <w:tc>
          <w:tcPr>
            <w:tcW w:w="1794" w:type="dxa"/>
            <w:tcBorders>
              <w:top w:val="nil"/>
              <w:left w:val="nil"/>
              <w:bottom w:val="nil"/>
              <w:right w:val="nil"/>
            </w:tcBorders>
            <w:shd w:val="clear" w:color="auto" w:fill="auto"/>
            <w:vAlign w:val="center"/>
            <w:hideMark/>
          </w:tcPr>
          <w:p w14:paraId="1AE40633"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38CEA1D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43</w:t>
            </w:r>
          </w:p>
        </w:tc>
        <w:tc>
          <w:tcPr>
            <w:tcW w:w="566" w:type="dxa"/>
            <w:tcBorders>
              <w:top w:val="nil"/>
              <w:left w:val="nil"/>
              <w:bottom w:val="nil"/>
              <w:right w:val="nil"/>
            </w:tcBorders>
            <w:shd w:val="clear" w:color="auto" w:fill="auto"/>
            <w:vAlign w:val="center"/>
            <w:hideMark/>
          </w:tcPr>
          <w:p w14:paraId="6A236EF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94</w:t>
            </w:r>
          </w:p>
        </w:tc>
        <w:tc>
          <w:tcPr>
            <w:tcW w:w="662" w:type="dxa"/>
            <w:tcBorders>
              <w:top w:val="nil"/>
              <w:left w:val="nil"/>
              <w:bottom w:val="nil"/>
              <w:right w:val="nil"/>
            </w:tcBorders>
            <w:shd w:val="clear" w:color="auto" w:fill="auto"/>
            <w:vAlign w:val="center"/>
            <w:hideMark/>
          </w:tcPr>
          <w:p w14:paraId="6C65B2C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137</w:t>
            </w:r>
          </w:p>
        </w:tc>
        <w:tc>
          <w:tcPr>
            <w:tcW w:w="609" w:type="dxa"/>
            <w:tcBorders>
              <w:top w:val="nil"/>
              <w:left w:val="nil"/>
              <w:bottom w:val="nil"/>
              <w:right w:val="nil"/>
            </w:tcBorders>
            <w:shd w:val="clear" w:color="auto" w:fill="auto"/>
            <w:vAlign w:val="center"/>
            <w:hideMark/>
          </w:tcPr>
          <w:p w14:paraId="1488787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83</w:t>
            </w:r>
          </w:p>
        </w:tc>
        <w:tc>
          <w:tcPr>
            <w:tcW w:w="1756" w:type="dxa"/>
            <w:tcBorders>
              <w:top w:val="nil"/>
              <w:left w:val="nil"/>
              <w:bottom w:val="nil"/>
              <w:right w:val="nil"/>
            </w:tcBorders>
          </w:tcPr>
          <w:p w14:paraId="5281ACDE"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1C7E88F2" w14:textId="77777777" w:rsidTr="00AD6FE2">
        <w:trPr>
          <w:trHeight w:val="315"/>
        </w:trPr>
        <w:tc>
          <w:tcPr>
            <w:tcW w:w="961" w:type="dxa"/>
            <w:tcBorders>
              <w:top w:val="nil"/>
              <w:left w:val="nil"/>
              <w:bottom w:val="nil"/>
              <w:right w:val="nil"/>
            </w:tcBorders>
            <w:shd w:val="clear" w:color="auto" w:fill="auto"/>
            <w:noWrap/>
            <w:vAlign w:val="bottom"/>
            <w:hideMark/>
          </w:tcPr>
          <w:p w14:paraId="2AF56106"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single" w:sz="8" w:space="0" w:color="auto"/>
              <w:right w:val="nil"/>
            </w:tcBorders>
            <w:shd w:val="clear" w:color="auto" w:fill="auto"/>
            <w:noWrap/>
            <w:vAlign w:val="center"/>
            <w:hideMark/>
          </w:tcPr>
          <w:p w14:paraId="2297EDA9"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39853500"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4  </w:t>
            </w:r>
          </w:p>
        </w:tc>
        <w:tc>
          <w:tcPr>
            <w:tcW w:w="655" w:type="dxa"/>
            <w:tcBorders>
              <w:top w:val="nil"/>
              <w:left w:val="nil"/>
              <w:bottom w:val="single" w:sz="8" w:space="0" w:color="auto"/>
              <w:right w:val="nil"/>
            </w:tcBorders>
            <w:shd w:val="clear" w:color="auto" w:fill="auto"/>
            <w:noWrap/>
            <w:vAlign w:val="center"/>
            <w:hideMark/>
          </w:tcPr>
          <w:p w14:paraId="464F1B3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w:t>
            </w:r>
          </w:p>
        </w:tc>
        <w:tc>
          <w:tcPr>
            <w:tcW w:w="567" w:type="dxa"/>
            <w:tcBorders>
              <w:top w:val="nil"/>
              <w:left w:val="nil"/>
              <w:bottom w:val="single" w:sz="8" w:space="0" w:color="auto"/>
              <w:right w:val="nil"/>
            </w:tcBorders>
            <w:shd w:val="clear" w:color="auto" w:fill="auto"/>
            <w:noWrap/>
            <w:vAlign w:val="center"/>
            <w:hideMark/>
          </w:tcPr>
          <w:p w14:paraId="63D3DB2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709" w:type="dxa"/>
            <w:tcBorders>
              <w:top w:val="nil"/>
              <w:left w:val="nil"/>
              <w:bottom w:val="single" w:sz="8" w:space="0" w:color="auto"/>
              <w:right w:val="nil"/>
            </w:tcBorders>
            <w:shd w:val="clear" w:color="auto" w:fill="auto"/>
            <w:noWrap/>
            <w:vAlign w:val="center"/>
            <w:hideMark/>
          </w:tcPr>
          <w:p w14:paraId="518A6C2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115</w:t>
            </w:r>
          </w:p>
        </w:tc>
        <w:tc>
          <w:tcPr>
            <w:tcW w:w="567" w:type="dxa"/>
            <w:tcBorders>
              <w:top w:val="nil"/>
              <w:left w:val="nil"/>
              <w:bottom w:val="single" w:sz="8" w:space="0" w:color="auto"/>
              <w:right w:val="nil"/>
            </w:tcBorders>
            <w:shd w:val="clear" w:color="auto" w:fill="auto"/>
            <w:noWrap/>
            <w:vAlign w:val="center"/>
            <w:hideMark/>
          </w:tcPr>
          <w:p w14:paraId="46634AD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80</w:t>
            </w:r>
          </w:p>
        </w:tc>
        <w:tc>
          <w:tcPr>
            <w:tcW w:w="1794" w:type="dxa"/>
            <w:tcBorders>
              <w:top w:val="nil"/>
              <w:left w:val="nil"/>
              <w:bottom w:val="single" w:sz="8" w:space="0" w:color="auto"/>
              <w:right w:val="nil"/>
            </w:tcBorders>
            <w:shd w:val="clear" w:color="auto" w:fill="auto"/>
            <w:vAlign w:val="center"/>
            <w:hideMark/>
          </w:tcPr>
          <w:p w14:paraId="6A39EE1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566" w:type="dxa"/>
            <w:tcBorders>
              <w:top w:val="nil"/>
              <w:left w:val="nil"/>
              <w:bottom w:val="single" w:sz="8" w:space="0" w:color="auto"/>
              <w:right w:val="nil"/>
            </w:tcBorders>
            <w:shd w:val="clear" w:color="auto" w:fill="auto"/>
            <w:vAlign w:val="center"/>
            <w:hideMark/>
          </w:tcPr>
          <w:p w14:paraId="4B6F009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w:t>
            </w:r>
          </w:p>
        </w:tc>
        <w:tc>
          <w:tcPr>
            <w:tcW w:w="566" w:type="dxa"/>
            <w:tcBorders>
              <w:top w:val="nil"/>
              <w:left w:val="nil"/>
              <w:bottom w:val="single" w:sz="8" w:space="0" w:color="auto"/>
              <w:right w:val="nil"/>
            </w:tcBorders>
            <w:shd w:val="clear" w:color="auto" w:fill="auto"/>
            <w:vAlign w:val="center"/>
            <w:hideMark/>
          </w:tcPr>
          <w:p w14:paraId="7C76180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662" w:type="dxa"/>
            <w:tcBorders>
              <w:top w:val="nil"/>
              <w:left w:val="nil"/>
              <w:bottom w:val="single" w:sz="8" w:space="0" w:color="auto"/>
              <w:right w:val="nil"/>
            </w:tcBorders>
            <w:shd w:val="clear" w:color="auto" w:fill="auto"/>
            <w:vAlign w:val="center"/>
            <w:hideMark/>
          </w:tcPr>
          <w:p w14:paraId="59841AA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114</w:t>
            </w:r>
          </w:p>
        </w:tc>
        <w:tc>
          <w:tcPr>
            <w:tcW w:w="609" w:type="dxa"/>
            <w:tcBorders>
              <w:top w:val="nil"/>
              <w:left w:val="nil"/>
              <w:bottom w:val="single" w:sz="8" w:space="0" w:color="auto"/>
              <w:right w:val="nil"/>
            </w:tcBorders>
            <w:shd w:val="clear" w:color="auto" w:fill="auto"/>
            <w:vAlign w:val="center"/>
            <w:hideMark/>
          </w:tcPr>
          <w:p w14:paraId="3BFF8AB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82</w:t>
            </w:r>
          </w:p>
        </w:tc>
        <w:tc>
          <w:tcPr>
            <w:tcW w:w="1756" w:type="dxa"/>
            <w:tcBorders>
              <w:top w:val="nil"/>
              <w:left w:val="nil"/>
              <w:bottom w:val="single" w:sz="8" w:space="0" w:color="auto"/>
              <w:right w:val="nil"/>
            </w:tcBorders>
          </w:tcPr>
          <w:p w14:paraId="5578F5E7"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1DF5404C" w14:textId="77777777" w:rsidTr="00AD6FE2">
        <w:trPr>
          <w:trHeight w:val="300"/>
        </w:trPr>
        <w:tc>
          <w:tcPr>
            <w:tcW w:w="961" w:type="dxa"/>
            <w:tcBorders>
              <w:top w:val="single" w:sz="8" w:space="0" w:color="auto"/>
              <w:left w:val="nil"/>
              <w:bottom w:val="nil"/>
              <w:right w:val="nil"/>
            </w:tcBorders>
            <w:shd w:val="clear" w:color="auto" w:fill="auto"/>
            <w:vAlign w:val="center"/>
            <w:hideMark/>
          </w:tcPr>
          <w:p w14:paraId="3D586037"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Men</w:t>
            </w:r>
          </w:p>
        </w:tc>
        <w:tc>
          <w:tcPr>
            <w:tcW w:w="641" w:type="dxa"/>
            <w:tcBorders>
              <w:top w:val="nil"/>
              <w:left w:val="nil"/>
              <w:bottom w:val="nil"/>
              <w:right w:val="nil"/>
            </w:tcBorders>
            <w:shd w:val="clear" w:color="auto" w:fill="auto"/>
            <w:noWrap/>
            <w:vAlign w:val="center"/>
            <w:hideMark/>
          </w:tcPr>
          <w:p w14:paraId="026FEF95"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w:t>
            </w:r>
          </w:p>
        </w:tc>
        <w:tc>
          <w:tcPr>
            <w:tcW w:w="720" w:type="dxa"/>
            <w:tcBorders>
              <w:top w:val="nil"/>
              <w:left w:val="nil"/>
              <w:bottom w:val="nil"/>
              <w:right w:val="nil"/>
            </w:tcBorders>
            <w:shd w:val="clear" w:color="auto" w:fill="auto"/>
            <w:noWrap/>
            <w:vAlign w:val="center"/>
            <w:hideMark/>
          </w:tcPr>
          <w:p w14:paraId="1B46D330"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1 </w:t>
            </w:r>
          </w:p>
        </w:tc>
        <w:tc>
          <w:tcPr>
            <w:tcW w:w="655" w:type="dxa"/>
            <w:tcBorders>
              <w:top w:val="nil"/>
              <w:left w:val="nil"/>
              <w:bottom w:val="nil"/>
              <w:right w:val="nil"/>
            </w:tcBorders>
            <w:shd w:val="clear" w:color="auto" w:fill="auto"/>
            <w:noWrap/>
            <w:vAlign w:val="center"/>
            <w:hideMark/>
          </w:tcPr>
          <w:p w14:paraId="0720AACA"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7" w:type="dxa"/>
            <w:tcBorders>
              <w:top w:val="nil"/>
              <w:left w:val="nil"/>
              <w:bottom w:val="nil"/>
              <w:right w:val="nil"/>
            </w:tcBorders>
            <w:shd w:val="clear" w:color="auto" w:fill="auto"/>
            <w:noWrap/>
            <w:vAlign w:val="center"/>
            <w:hideMark/>
          </w:tcPr>
          <w:p w14:paraId="0B44C36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w:t>
            </w:r>
          </w:p>
        </w:tc>
        <w:tc>
          <w:tcPr>
            <w:tcW w:w="709" w:type="dxa"/>
            <w:tcBorders>
              <w:top w:val="nil"/>
              <w:left w:val="nil"/>
              <w:bottom w:val="nil"/>
              <w:right w:val="nil"/>
            </w:tcBorders>
            <w:shd w:val="clear" w:color="auto" w:fill="auto"/>
            <w:noWrap/>
            <w:vAlign w:val="center"/>
            <w:hideMark/>
          </w:tcPr>
          <w:p w14:paraId="68090CD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7" w:type="dxa"/>
            <w:tcBorders>
              <w:top w:val="nil"/>
              <w:left w:val="nil"/>
              <w:bottom w:val="nil"/>
              <w:right w:val="nil"/>
            </w:tcBorders>
            <w:shd w:val="clear" w:color="auto" w:fill="auto"/>
            <w:noWrap/>
            <w:vAlign w:val="center"/>
            <w:hideMark/>
          </w:tcPr>
          <w:p w14:paraId="3E3ED72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38</w:t>
            </w:r>
          </w:p>
        </w:tc>
        <w:tc>
          <w:tcPr>
            <w:tcW w:w="1794" w:type="dxa"/>
            <w:tcBorders>
              <w:top w:val="nil"/>
              <w:left w:val="nil"/>
              <w:bottom w:val="nil"/>
              <w:right w:val="nil"/>
            </w:tcBorders>
            <w:shd w:val="clear" w:color="auto" w:fill="auto"/>
            <w:vAlign w:val="center"/>
            <w:hideMark/>
          </w:tcPr>
          <w:p w14:paraId="0BD0790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0.80 (0.69, 0.91)</w:t>
            </w:r>
          </w:p>
        </w:tc>
        <w:tc>
          <w:tcPr>
            <w:tcW w:w="566" w:type="dxa"/>
            <w:tcBorders>
              <w:top w:val="nil"/>
              <w:left w:val="nil"/>
              <w:bottom w:val="nil"/>
              <w:right w:val="nil"/>
            </w:tcBorders>
            <w:shd w:val="clear" w:color="auto" w:fill="auto"/>
            <w:vAlign w:val="center"/>
            <w:hideMark/>
          </w:tcPr>
          <w:p w14:paraId="57BF485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6" w:type="dxa"/>
            <w:tcBorders>
              <w:top w:val="nil"/>
              <w:left w:val="nil"/>
              <w:bottom w:val="nil"/>
              <w:right w:val="nil"/>
            </w:tcBorders>
            <w:shd w:val="clear" w:color="auto" w:fill="auto"/>
            <w:vAlign w:val="center"/>
            <w:hideMark/>
          </w:tcPr>
          <w:p w14:paraId="60484E0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w:t>
            </w:r>
          </w:p>
        </w:tc>
        <w:tc>
          <w:tcPr>
            <w:tcW w:w="662" w:type="dxa"/>
            <w:tcBorders>
              <w:top w:val="nil"/>
              <w:left w:val="nil"/>
              <w:bottom w:val="nil"/>
              <w:right w:val="nil"/>
            </w:tcBorders>
            <w:shd w:val="clear" w:color="auto" w:fill="auto"/>
            <w:vAlign w:val="center"/>
            <w:hideMark/>
          </w:tcPr>
          <w:p w14:paraId="50E5995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609" w:type="dxa"/>
            <w:tcBorders>
              <w:top w:val="nil"/>
              <w:left w:val="nil"/>
              <w:bottom w:val="nil"/>
              <w:right w:val="nil"/>
            </w:tcBorders>
            <w:shd w:val="clear" w:color="auto" w:fill="auto"/>
            <w:vAlign w:val="center"/>
            <w:hideMark/>
          </w:tcPr>
          <w:p w14:paraId="133866B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36</w:t>
            </w:r>
          </w:p>
        </w:tc>
        <w:tc>
          <w:tcPr>
            <w:tcW w:w="1756" w:type="dxa"/>
            <w:tcBorders>
              <w:top w:val="nil"/>
              <w:left w:val="nil"/>
              <w:bottom w:val="nil"/>
              <w:right w:val="nil"/>
            </w:tcBorders>
          </w:tcPr>
          <w:p w14:paraId="75C83DB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0.79 (0.66, 0.91)</w:t>
            </w:r>
          </w:p>
        </w:tc>
      </w:tr>
      <w:tr w:rsidR="0071164E" w:rsidRPr="00853C22" w14:paraId="63CBE627" w14:textId="77777777" w:rsidTr="00AD6FE2">
        <w:trPr>
          <w:trHeight w:val="300"/>
        </w:trPr>
        <w:tc>
          <w:tcPr>
            <w:tcW w:w="961" w:type="dxa"/>
            <w:tcBorders>
              <w:top w:val="nil"/>
              <w:left w:val="nil"/>
              <w:bottom w:val="nil"/>
              <w:right w:val="nil"/>
            </w:tcBorders>
            <w:shd w:val="clear" w:color="auto" w:fill="auto"/>
            <w:noWrap/>
            <w:vAlign w:val="bottom"/>
            <w:hideMark/>
          </w:tcPr>
          <w:p w14:paraId="64B065C5"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5E3D1F51"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69E73DB7"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2  </w:t>
            </w:r>
          </w:p>
        </w:tc>
        <w:tc>
          <w:tcPr>
            <w:tcW w:w="655" w:type="dxa"/>
            <w:tcBorders>
              <w:top w:val="nil"/>
              <w:left w:val="nil"/>
              <w:bottom w:val="nil"/>
              <w:right w:val="nil"/>
            </w:tcBorders>
            <w:shd w:val="clear" w:color="auto" w:fill="auto"/>
            <w:noWrap/>
            <w:vAlign w:val="center"/>
            <w:hideMark/>
          </w:tcPr>
          <w:p w14:paraId="673786C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7" w:type="dxa"/>
            <w:tcBorders>
              <w:top w:val="nil"/>
              <w:left w:val="nil"/>
              <w:bottom w:val="nil"/>
              <w:right w:val="nil"/>
            </w:tcBorders>
            <w:shd w:val="clear" w:color="auto" w:fill="auto"/>
            <w:noWrap/>
            <w:vAlign w:val="center"/>
            <w:hideMark/>
          </w:tcPr>
          <w:p w14:paraId="583A25F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27</w:t>
            </w:r>
          </w:p>
        </w:tc>
        <w:tc>
          <w:tcPr>
            <w:tcW w:w="709" w:type="dxa"/>
            <w:tcBorders>
              <w:top w:val="nil"/>
              <w:left w:val="nil"/>
              <w:bottom w:val="nil"/>
              <w:right w:val="nil"/>
            </w:tcBorders>
            <w:shd w:val="clear" w:color="auto" w:fill="auto"/>
            <w:noWrap/>
            <w:vAlign w:val="center"/>
            <w:hideMark/>
          </w:tcPr>
          <w:p w14:paraId="49CFF60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127</w:t>
            </w:r>
          </w:p>
        </w:tc>
        <w:tc>
          <w:tcPr>
            <w:tcW w:w="567" w:type="dxa"/>
            <w:tcBorders>
              <w:top w:val="nil"/>
              <w:left w:val="nil"/>
              <w:bottom w:val="nil"/>
              <w:right w:val="nil"/>
            </w:tcBorders>
            <w:shd w:val="clear" w:color="auto" w:fill="auto"/>
            <w:noWrap/>
            <w:vAlign w:val="center"/>
            <w:hideMark/>
          </w:tcPr>
          <w:p w14:paraId="4A1E87A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55</w:t>
            </w:r>
          </w:p>
        </w:tc>
        <w:tc>
          <w:tcPr>
            <w:tcW w:w="1794" w:type="dxa"/>
            <w:tcBorders>
              <w:top w:val="nil"/>
              <w:left w:val="nil"/>
              <w:bottom w:val="nil"/>
              <w:right w:val="nil"/>
            </w:tcBorders>
            <w:shd w:val="clear" w:color="auto" w:fill="auto"/>
            <w:vAlign w:val="center"/>
            <w:hideMark/>
          </w:tcPr>
          <w:p w14:paraId="10478124"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223209A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6" w:type="dxa"/>
            <w:tcBorders>
              <w:top w:val="nil"/>
              <w:left w:val="nil"/>
              <w:bottom w:val="nil"/>
              <w:right w:val="nil"/>
            </w:tcBorders>
            <w:shd w:val="clear" w:color="auto" w:fill="auto"/>
            <w:vAlign w:val="center"/>
            <w:hideMark/>
          </w:tcPr>
          <w:p w14:paraId="74A8779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28</w:t>
            </w:r>
          </w:p>
        </w:tc>
        <w:tc>
          <w:tcPr>
            <w:tcW w:w="662" w:type="dxa"/>
            <w:tcBorders>
              <w:top w:val="nil"/>
              <w:left w:val="nil"/>
              <w:bottom w:val="nil"/>
              <w:right w:val="nil"/>
            </w:tcBorders>
            <w:shd w:val="clear" w:color="auto" w:fill="auto"/>
            <w:vAlign w:val="center"/>
            <w:hideMark/>
          </w:tcPr>
          <w:p w14:paraId="7E010A0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128</w:t>
            </w:r>
          </w:p>
        </w:tc>
        <w:tc>
          <w:tcPr>
            <w:tcW w:w="609" w:type="dxa"/>
            <w:tcBorders>
              <w:top w:val="nil"/>
              <w:left w:val="nil"/>
              <w:bottom w:val="nil"/>
              <w:right w:val="nil"/>
            </w:tcBorders>
            <w:shd w:val="clear" w:color="auto" w:fill="auto"/>
            <w:vAlign w:val="center"/>
            <w:hideMark/>
          </w:tcPr>
          <w:p w14:paraId="08EBEDC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54</w:t>
            </w:r>
          </w:p>
        </w:tc>
        <w:tc>
          <w:tcPr>
            <w:tcW w:w="1756" w:type="dxa"/>
            <w:tcBorders>
              <w:top w:val="nil"/>
              <w:left w:val="nil"/>
              <w:bottom w:val="nil"/>
              <w:right w:val="nil"/>
            </w:tcBorders>
          </w:tcPr>
          <w:p w14:paraId="5E0E4076"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776350EB" w14:textId="77777777" w:rsidTr="00AD6FE2">
        <w:trPr>
          <w:trHeight w:val="300"/>
        </w:trPr>
        <w:tc>
          <w:tcPr>
            <w:tcW w:w="961" w:type="dxa"/>
            <w:tcBorders>
              <w:top w:val="nil"/>
              <w:left w:val="nil"/>
              <w:bottom w:val="nil"/>
              <w:right w:val="nil"/>
            </w:tcBorders>
            <w:shd w:val="clear" w:color="auto" w:fill="auto"/>
            <w:noWrap/>
            <w:vAlign w:val="bottom"/>
            <w:hideMark/>
          </w:tcPr>
          <w:p w14:paraId="2049469A"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36265305"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774BAED2"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3 </w:t>
            </w:r>
          </w:p>
        </w:tc>
        <w:tc>
          <w:tcPr>
            <w:tcW w:w="655" w:type="dxa"/>
            <w:tcBorders>
              <w:top w:val="nil"/>
              <w:left w:val="nil"/>
              <w:bottom w:val="nil"/>
              <w:right w:val="nil"/>
            </w:tcBorders>
            <w:shd w:val="clear" w:color="auto" w:fill="auto"/>
            <w:noWrap/>
            <w:vAlign w:val="center"/>
            <w:hideMark/>
          </w:tcPr>
          <w:p w14:paraId="2D7E9D7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7" w:type="dxa"/>
            <w:tcBorders>
              <w:top w:val="nil"/>
              <w:left w:val="nil"/>
              <w:bottom w:val="nil"/>
              <w:right w:val="nil"/>
            </w:tcBorders>
            <w:shd w:val="clear" w:color="auto" w:fill="auto"/>
            <w:noWrap/>
            <w:vAlign w:val="center"/>
            <w:hideMark/>
          </w:tcPr>
          <w:p w14:paraId="6D6C66C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45</w:t>
            </w:r>
          </w:p>
        </w:tc>
        <w:tc>
          <w:tcPr>
            <w:tcW w:w="709" w:type="dxa"/>
            <w:tcBorders>
              <w:top w:val="nil"/>
              <w:left w:val="nil"/>
              <w:bottom w:val="nil"/>
              <w:right w:val="nil"/>
            </w:tcBorders>
            <w:shd w:val="clear" w:color="auto" w:fill="auto"/>
            <w:noWrap/>
            <w:vAlign w:val="center"/>
            <w:hideMark/>
          </w:tcPr>
          <w:p w14:paraId="72B0AE9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145</w:t>
            </w:r>
          </w:p>
        </w:tc>
        <w:tc>
          <w:tcPr>
            <w:tcW w:w="567" w:type="dxa"/>
            <w:tcBorders>
              <w:top w:val="nil"/>
              <w:left w:val="nil"/>
              <w:bottom w:val="nil"/>
              <w:right w:val="nil"/>
            </w:tcBorders>
            <w:shd w:val="clear" w:color="auto" w:fill="auto"/>
            <w:noWrap/>
            <w:vAlign w:val="center"/>
            <w:hideMark/>
          </w:tcPr>
          <w:p w14:paraId="7F27F62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66</w:t>
            </w:r>
          </w:p>
        </w:tc>
        <w:tc>
          <w:tcPr>
            <w:tcW w:w="1794" w:type="dxa"/>
            <w:tcBorders>
              <w:top w:val="nil"/>
              <w:left w:val="nil"/>
              <w:bottom w:val="nil"/>
              <w:right w:val="nil"/>
            </w:tcBorders>
            <w:shd w:val="clear" w:color="auto" w:fill="auto"/>
            <w:vAlign w:val="center"/>
            <w:hideMark/>
          </w:tcPr>
          <w:p w14:paraId="3B1C3C9F"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454E679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6" w:type="dxa"/>
            <w:tcBorders>
              <w:top w:val="nil"/>
              <w:left w:val="nil"/>
              <w:bottom w:val="nil"/>
              <w:right w:val="nil"/>
            </w:tcBorders>
            <w:shd w:val="clear" w:color="auto" w:fill="auto"/>
            <w:vAlign w:val="center"/>
            <w:hideMark/>
          </w:tcPr>
          <w:p w14:paraId="6BE9F9A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48</w:t>
            </w:r>
          </w:p>
        </w:tc>
        <w:tc>
          <w:tcPr>
            <w:tcW w:w="662" w:type="dxa"/>
            <w:tcBorders>
              <w:top w:val="nil"/>
              <w:left w:val="nil"/>
              <w:bottom w:val="nil"/>
              <w:right w:val="nil"/>
            </w:tcBorders>
            <w:shd w:val="clear" w:color="auto" w:fill="auto"/>
            <w:vAlign w:val="center"/>
            <w:hideMark/>
          </w:tcPr>
          <w:p w14:paraId="0A1B730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148</w:t>
            </w:r>
          </w:p>
        </w:tc>
        <w:tc>
          <w:tcPr>
            <w:tcW w:w="609" w:type="dxa"/>
            <w:tcBorders>
              <w:top w:val="nil"/>
              <w:left w:val="nil"/>
              <w:bottom w:val="nil"/>
              <w:right w:val="nil"/>
            </w:tcBorders>
            <w:shd w:val="clear" w:color="auto" w:fill="auto"/>
            <w:vAlign w:val="center"/>
            <w:hideMark/>
          </w:tcPr>
          <w:p w14:paraId="5A18BB0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67</w:t>
            </w:r>
          </w:p>
        </w:tc>
        <w:tc>
          <w:tcPr>
            <w:tcW w:w="1756" w:type="dxa"/>
            <w:tcBorders>
              <w:top w:val="nil"/>
              <w:left w:val="nil"/>
              <w:bottom w:val="nil"/>
              <w:right w:val="nil"/>
            </w:tcBorders>
          </w:tcPr>
          <w:p w14:paraId="01CB82BD"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4D068B5A" w14:textId="77777777" w:rsidTr="00AD6FE2">
        <w:trPr>
          <w:trHeight w:val="315"/>
        </w:trPr>
        <w:tc>
          <w:tcPr>
            <w:tcW w:w="961" w:type="dxa"/>
            <w:tcBorders>
              <w:top w:val="nil"/>
              <w:left w:val="nil"/>
              <w:bottom w:val="nil"/>
              <w:right w:val="nil"/>
            </w:tcBorders>
            <w:shd w:val="clear" w:color="auto" w:fill="auto"/>
            <w:noWrap/>
            <w:vAlign w:val="bottom"/>
            <w:hideMark/>
          </w:tcPr>
          <w:p w14:paraId="3824336C"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single" w:sz="8" w:space="0" w:color="auto"/>
              <w:right w:val="nil"/>
            </w:tcBorders>
            <w:shd w:val="clear" w:color="auto" w:fill="auto"/>
            <w:noWrap/>
            <w:vAlign w:val="center"/>
            <w:hideMark/>
          </w:tcPr>
          <w:p w14:paraId="5FD57DF0"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1C4D59E0"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4  </w:t>
            </w:r>
          </w:p>
        </w:tc>
        <w:tc>
          <w:tcPr>
            <w:tcW w:w="655" w:type="dxa"/>
            <w:tcBorders>
              <w:top w:val="nil"/>
              <w:left w:val="nil"/>
              <w:bottom w:val="single" w:sz="8" w:space="0" w:color="auto"/>
              <w:right w:val="nil"/>
            </w:tcBorders>
            <w:shd w:val="clear" w:color="auto" w:fill="auto"/>
            <w:noWrap/>
            <w:vAlign w:val="center"/>
            <w:hideMark/>
          </w:tcPr>
          <w:p w14:paraId="5E7D994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65</w:t>
            </w:r>
          </w:p>
        </w:tc>
        <w:tc>
          <w:tcPr>
            <w:tcW w:w="567" w:type="dxa"/>
            <w:tcBorders>
              <w:top w:val="nil"/>
              <w:left w:val="nil"/>
              <w:bottom w:val="single" w:sz="8" w:space="0" w:color="auto"/>
              <w:right w:val="nil"/>
            </w:tcBorders>
            <w:shd w:val="clear" w:color="auto" w:fill="auto"/>
            <w:noWrap/>
            <w:vAlign w:val="center"/>
            <w:hideMark/>
          </w:tcPr>
          <w:p w14:paraId="136D12E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79</w:t>
            </w:r>
          </w:p>
        </w:tc>
        <w:tc>
          <w:tcPr>
            <w:tcW w:w="709" w:type="dxa"/>
            <w:tcBorders>
              <w:top w:val="nil"/>
              <w:left w:val="nil"/>
              <w:bottom w:val="single" w:sz="8" w:space="0" w:color="auto"/>
              <w:right w:val="nil"/>
            </w:tcBorders>
            <w:shd w:val="clear" w:color="auto" w:fill="auto"/>
            <w:noWrap/>
            <w:vAlign w:val="center"/>
            <w:hideMark/>
          </w:tcPr>
          <w:p w14:paraId="5A7AFBE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144</w:t>
            </w:r>
          </w:p>
        </w:tc>
        <w:tc>
          <w:tcPr>
            <w:tcW w:w="567" w:type="dxa"/>
            <w:tcBorders>
              <w:top w:val="nil"/>
              <w:left w:val="nil"/>
              <w:bottom w:val="single" w:sz="8" w:space="0" w:color="auto"/>
              <w:right w:val="nil"/>
            </w:tcBorders>
            <w:shd w:val="clear" w:color="auto" w:fill="auto"/>
            <w:noWrap/>
            <w:vAlign w:val="center"/>
            <w:hideMark/>
          </w:tcPr>
          <w:p w14:paraId="3B1F0B3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74</w:t>
            </w:r>
          </w:p>
        </w:tc>
        <w:tc>
          <w:tcPr>
            <w:tcW w:w="1794" w:type="dxa"/>
            <w:tcBorders>
              <w:top w:val="nil"/>
              <w:left w:val="nil"/>
              <w:bottom w:val="single" w:sz="8" w:space="0" w:color="auto"/>
              <w:right w:val="nil"/>
            </w:tcBorders>
            <w:shd w:val="clear" w:color="auto" w:fill="auto"/>
            <w:vAlign w:val="center"/>
            <w:hideMark/>
          </w:tcPr>
          <w:p w14:paraId="30FEE4B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566" w:type="dxa"/>
            <w:tcBorders>
              <w:top w:val="nil"/>
              <w:left w:val="nil"/>
              <w:bottom w:val="single" w:sz="8" w:space="0" w:color="auto"/>
              <w:right w:val="nil"/>
            </w:tcBorders>
            <w:shd w:val="clear" w:color="auto" w:fill="auto"/>
            <w:vAlign w:val="center"/>
            <w:hideMark/>
          </w:tcPr>
          <w:p w14:paraId="3D99649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71</w:t>
            </w:r>
          </w:p>
        </w:tc>
        <w:tc>
          <w:tcPr>
            <w:tcW w:w="566" w:type="dxa"/>
            <w:tcBorders>
              <w:top w:val="nil"/>
              <w:left w:val="nil"/>
              <w:bottom w:val="single" w:sz="8" w:space="0" w:color="auto"/>
              <w:right w:val="nil"/>
            </w:tcBorders>
            <w:shd w:val="clear" w:color="auto" w:fill="auto"/>
            <w:vAlign w:val="center"/>
            <w:hideMark/>
          </w:tcPr>
          <w:p w14:paraId="40B42D4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72</w:t>
            </w:r>
          </w:p>
        </w:tc>
        <w:tc>
          <w:tcPr>
            <w:tcW w:w="662" w:type="dxa"/>
            <w:tcBorders>
              <w:top w:val="nil"/>
              <w:left w:val="nil"/>
              <w:bottom w:val="single" w:sz="8" w:space="0" w:color="auto"/>
              <w:right w:val="nil"/>
            </w:tcBorders>
            <w:shd w:val="clear" w:color="auto" w:fill="auto"/>
            <w:vAlign w:val="center"/>
            <w:hideMark/>
          </w:tcPr>
          <w:p w14:paraId="5B3AAAE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143</w:t>
            </w:r>
          </w:p>
        </w:tc>
        <w:tc>
          <w:tcPr>
            <w:tcW w:w="609" w:type="dxa"/>
            <w:tcBorders>
              <w:top w:val="nil"/>
              <w:left w:val="nil"/>
              <w:bottom w:val="single" w:sz="8" w:space="0" w:color="auto"/>
              <w:right w:val="nil"/>
            </w:tcBorders>
            <w:shd w:val="clear" w:color="auto" w:fill="auto"/>
            <w:vAlign w:val="center"/>
            <w:hideMark/>
          </w:tcPr>
          <w:p w14:paraId="74BB482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72</w:t>
            </w:r>
          </w:p>
        </w:tc>
        <w:tc>
          <w:tcPr>
            <w:tcW w:w="1756" w:type="dxa"/>
            <w:tcBorders>
              <w:top w:val="nil"/>
              <w:left w:val="nil"/>
              <w:bottom w:val="single" w:sz="8" w:space="0" w:color="auto"/>
              <w:right w:val="nil"/>
            </w:tcBorders>
          </w:tcPr>
          <w:p w14:paraId="4FCB8051"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3519F423" w14:textId="77777777" w:rsidTr="00AD6FE2">
        <w:trPr>
          <w:trHeight w:val="300"/>
        </w:trPr>
        <w:tc>
          <w:tcPr>
            <w:tcW w:w="961" w:type="dxa"/>
            <w:tcBorders>
              <w:top w:val="nil"/>
              <w:left w:val="nil"/>
              <w:bottom w:val="nil"/>
              <w:right w:val="nil"/>
            </w:tcBorders>
            <w:shd w:val="clear" w:color="auto" w:fill="auto"/>
            <w:noWrap/>
            <w:vAlign w:val="bottom"/>
            <w:hideMark/>
          </w:tcPr>
          <w:p w14:paraId="0F1CD311"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center"/>
            <w:hideMark/>
          </w:tcPr>
          <w:p w14:paraId="5FD9DEB5"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w:t>
            </w:r>
          </w:p>
        </w:tc>
        <w:tc>
          <w:tcPr>
            <w:tcW w:w="720" w:type="dxa"/>
            <w:tcBorders>
              <w:top w:val="nil"/>
              <w:left w:val="nil"/>
              <w:bottom w:val="nil"/>
              <w:right w:val="nil"/>
            </w:tcBorders>
            <w:shd w:val="clear" w:color="auto" w:fill="auto"/>
            <w:noWrap/>
            <w:vAlign w:val="center"/>
            <w:hideMark/>
          </w:tcPr>
          <w:p w14:paraId="4441B40C"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1 </w:t>
            </w:r>
          </w:p>
        </w:tc>
        <w:tc>
          <w:tcPr>
            <w:tcW w:w="655" w:type="dxa"/>
            <w:tcBorders>
              <w:top w:val="nil"/>
              <w:left w:val="nil"/>
              <w:bottom w:val="nil"/>
              <w:right w:val="nil"/>
            </w:tcBorders>
            <w:shd w:val="clear" w:color="auto" w:fill="auto"/>
            <w:noWrap/>
            <w:vAlign w:val="center"/>
            <w:hideMark/>
          </w:tcPr>
          <w:p w14:paraId="27A5189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90</w:t>
            </w:r>
          </w:p>
        </w:tc>
        <w:tc>
          <w:tcPr>
            <w:tcW w:w="567" w:type="dxa"/>
            <w:tcBorders>
              <w:top w:val="nil"/>
              <w:left w:val="nil"/>
              <w:bottom w:val="nil"/>
              <w:right w:val="nil"/>
            </w:tcBorders>
            <w:shd w:val="clear" w:color="auto" w:fill="auto"/>
            <w:noWrap/>
            <w:vAlign w:val="center"/>
            <w:hideMark/>
          </w:tcPr>
          <w:p w14:paraId="03ACFF5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64</w:t>
            </w:r>
          </w:p>
        </w:tc>
        <w:tc>
          <w:tcPr>
            <w:tcW w:w="709" w:type="dxa"/>
            <w:tcBorders>
              <w:top w:val="nil"/>
              <w:left w:val="nil"/>
              <w:bottom w:val="nil"/>
              <w:right w:val="nil"/>
            </w:tcBorders>
            <w:shd w:val="clear" w:color="auto" w:fill="auto"/>
            <w:noWrap/>
            <w:vAlign w:val="center"/>
            <w:hideMark/>
          </w:tcPr>
          <w:p w14:paraId="1ECDA0E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154</w:t>
            </w:r>
          </w:p>
        </w:tc>
        <w:tc>
          <w:tcPr>
            <w:tcW w:w="567" w:type="dxa"/>
            <w:tcBorders>
              <w:top w:val="nil"/>
              <w:left w:val="nil"/>
              <w:bottom w:val="nil"/>
              <w:right w:val="nil"/>
            </w:tcBorders>
            <w:shd w:val="clear" w:color="auto" w:fill="auto"/>
            <w:noWrap/>
            <w:vAlign w:val="center"/>
            <w:hideMark/>
          </w:tcPr>
          <w:p w14:paraId="51A36D8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74</w:t>
            </w:r>
          </w:p>
        </w:tc>
        <w:tc>
          <w:tcPr>
            <w:tcW w:w="1794" w:type="dxa"/>
            <w:tcBorders>
              <w:top w:val="nil"/>
              <w:left w:val="nil"/>
              <w:bottom w:val="nil"/>
              <w:right w:val="nil"/>
            </w:tcBorders>
            <w:shd w:val="clear" w:color="auto" w:fill="auto"/>
            <w:vAlign w:val="center"/>
            <w:hideMark/>
          </w:tcPr>
          <w:p w14:paraId="05ADAE3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0.84 (0.73, 0.95)</w:t>
            </w:r>
          </w:p>
        </w:tc>
        <w:tc>
          <w:tcPr>
            <w:tcW w:w="566" w:type="dxa"/>
            <w:tcBorders>
              <w:top w:val="nil"/>
              <w:left w:val="nil"/>
              <w:bottom w:val="nil"/>
              <w:right w:val="nil"/>
            </w:tcBorders>
            <w:shd w:val="clear" w:color="auto" w:fill="auto"/>
            <w:vAlign w:val="center"/>
            <w:hideMark/>
          </w:tcPr>
          <w:p w14:paraId="7300084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86</w:t>
            </w:r>
          </w:p>
        </w:tc>
        <w:tc>
          <w:tcPr>
            <w:tcW w:w="566" w:type="dxa"/>
            <w:tcBorders>
              <w:top w:val="nil"/>
              <w:left w:val="nil"/>
              <w:bottom w:val="nil"/>
              <w:right w:val="nil"/>
            </w:tcBorders>
            <w:shd w:val="clear" w:color="auto" w:fill="auto"/>
            <w:vAlign w:val="center"/>
            <w:hideMark/>
          </w:tcPr>
          <w:p w14:paraId="634994E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56</w:t>
            </w:r>
          </w:p>
        </w:tc>
        <w:tc>
          <w:tcPr>
            <w:tcW w:w="662" w:type="dxa"/>
            <w:tcBorders>
              <w:top w:val="nil"/>
              <w:left w:val="nil"/>
              <w:bottom w:val="nil"/>
              <w:right w:val="nil"/>
            </w:tcBorders>
            <w:shd w:val="clear" w:color="auto" w:fill="auto"/>
            <w:vAlign w:val="center"/>
            <w:hideMark/>
          </w:tcPr>
          <w:p w14:paraId="18E171E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142</w:t>
            </w:r>
          </w:p>
        </w:tc>
        <w:tc>
          <w:tcPr>
            <w:tcW w:w="609" w:type="dxa"/>
            <w:tcBorders>
              <w:top w:val="nil"/>
              <w:left w:val="nil"/>
              <w:bottom w:val="nil"/>
              <w:right w:val="nil"/>
            </w:tcBorders>
            <w:shd w:val="clear" w:color="auto" w:fill="auto"/>
            <w:vAlign w:val="center"/>
            <w:hideMark/>
          </w:tcPr>
          <w:p w14:paraId="1BDB6F8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67</w:t>
            </w:r>
          </w:p>
        </w:tc>
        <w:tc>
          <w:tcPr>
            <w:tcW w:w="1756" w:type="dxa"/>
            <w:tcBorders>
              <w:top w:val="nil"/>
              <w:left w:val="nil"/>
              <w:bottom w:val="nil"/>
              <w:right w:val="nil"/>
            </w:tcBorders>
          </w:tcPr>
          <w:p w14:paraId="4C535CB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0.79 (0.64, 0.94)</w:t>
            </w:r>
          </w:p>
        </w:tc>
      </w:tr>
      <w:tr w:rsidR="0071164E" w:rsidRPr="00853C22" w14:paraId="2F5C1B05" w14:textId="77777777" w:rsidTr="00AD6FE2">
        <w:trPr>
          <w:trHeight w:val="300"/>
        </w:trPr>
        <w:tc>
          <w:tcPr>
            <w:tcW w:w="961" w:type="dxa"/>
            <w:tcBorders>
              <w:top w:val="nil"/>
              <w:left w:val="nil"/>
              <w:bottom w:val="nil"/>
              <w:right w:val="nil"/>
            </w:tcBorders>
            <w:shd w:val="clear" w:color="auto" w:fill="auto"/>
            <w:noWrap/>
            <w:vAlign w:val="bottom"/>
            <w:hideMark/>
          </w:tcPr>
          <w:p w14:paraId="3FB7BA02"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0667A9A9"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51E45E15"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2  </w:t>
            </w:r>
          </w:p>
        </w:tc>
        <w:tc>
          <w:tcPr>
            <w:tcW w:w="655" w:type="dxa"/>
            <w:tcBorders>
              <w:top w:val="nil"/>
              <w:left w:val="nil"/>
              <w:bottom w:val="nil"/>
              <w:right w:val="nil"/>
            </w:tcBorders>
            <w:shd w:val="clear" w:color="auto" w:fill="auto"/>
            <w:noWrap/>
            <w:vAlign w:val="center"/>
            <w:hideMark/>
          </w:tcPr>
          <w:p w14:paraId="40FA337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65</w:t>
            </w:r>
          </w:p>
        </w:tc>
        <w:tc>
          <w:tcPr>
            <w:tcW w:w="567" w:type="dxa"/>
            <w:tcBorders>
              <w:top w:val="nil"/>
              <w:left w:val="nil"/>
              <w:bottom w:val="nil"/>
              <w:right w:val="nil"/>
            </w:tcBorders>
            <w:shd w:val="clear" w:color="auto" w:fill="auto"/>
            <w:noWrap/>
            <w:vAlign w:val="center"/>
            <w:hideMark/>
          </w:tcPr>
          <w:p w14:paraId="5995C61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82</w:t>
            </w:r>
          </w:p>
        </w:tc>
        <w:tc>
          <w:tcPr>
            <w:tcW w:w="709" w:type="dxa"/>
            <w:tcBorders>
              <w:top w:val="nil"/>
              <w:left w:val="nil"/>
              <w:bottom w:val="nil"/>
              <w:right w:val="nil"/>
            </w:tcBorders>
            <w:shd w:val="clear" w:color="auto" w:fill="auto"/>
            <w:noWrap/>
            <w:vAlign w:val="center"/>
            <w:hideMark/>
          </w:tcPr>
          <w:p w14:paraId="61DCE9A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147</w:t>
            </w:r>
          </w:p>
        </w:tc>
        <w:tc>
          <w:tcPr>
            <w:tcW w:w="567" w:type="dxa"/>
            <w:tcBorders>
              <w:top w:val="nil"/>
              <w:left w:val="nil"/>
              <w:bottom w:val="nil"/>
              <w:right w:val="nil"/>
            </w:tcBorders>
            <w:shd w:val="clear" w:color="auto" w:fill="auto"/>
            <w:noWrap/>
            <w:vAlign w:val="center"/>
            <w:hideMark/>
          </w:tcPr>
          <w:p w14:paraId="72FC4CD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75</w:t>
            </w:r>
          </w:p>
        </w:tc>
        <w:tc>
          <w:tcPr>
            <w:tcW w:w="1794" w:type="dxa"/>
            <w:tcBorders>
              <w:top w:val="nil"/>
              <w:left w:val="nil"/>
              <w:bottom w:val="nil"/>
              <w:right w:val="nil"/>
            </w:tcBorders>
            <w:shd w:val="clear" w:color="auto" w:fill="auto"/>
            <w:vAlign w:val="center"/>
            <w:hideMark/>
          </w:tcPr>
          <w:p w14:paraId="541D7FAB"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0AB7A4C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57</w:t>
            </w:r>
          </w:p>
        </w:tc>
        <w:tc>
          <w:tcPr>
            <w:tcW w:w="566" w:type="dxa"/>
            <w:tcBorders>
              <w:top w:val="nil"/>
              <w:left w:val="nil"/>
              <w:bottom w:val="nil"/>
              <w:right w:val="nil"/>
            </w:tcBorders>
            <w:shd w:val="clear" w:color="auto" w:fill="auto"/>
            <w:vAlign w:val="center"/>
            <w:hideMark/>
          </w:tcPr>
          <w:p w14:paraId="42384D9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80</w:t>
            </w:r>
          </w:p>
        </w:tc>
        <w:tc>
          <w:tcPr>
            <w:tcW w:w="662" w:type="dxa"/>
            <w:tcBorders>
              <w:top w:val="nil"/>
              <w:left w:val="nil"/>
              <w:bottom w:val="nil"/>
              <w:right w:val="nil"/>
            </w:tcBorders>
            <w:shd w:val="clear" w:color="auto" w:fill="auto"/>
            <w:vAlign w:val="center"/>
            <w:hideMark/>
          </w:tcPr>
          <w:p w14:paraId="05056CA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137</w:t>
            </w:r>
          </w:p>
        </w:tc>
        <w:tc>
          <w:tcPr>
            <w:tcW w:w="609" w:type="dxa"/>
            <w:tcBorders>
              <w:top w:val="nil"/>
              <w:left w:val="nil"/>
              <w:bottom w:val="nil"/>
              <w:right w:val="nil"/>
            </w:tcBorders>
            <w:shd w:val="clear" w:color="auto" w:fill="auto"/>
            <w:vAlign w:val="center"/>
            <w:hideMark/>
          </w:tcPr>
          <w:p w14:paraId="3C26117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72</w:t>
            </w:r>
          </w:p>
        </w:tc>
        <w:tc>
          <w:tcPr>
            <w:tcW w:w="1756" w:type="dxa"/>
            <w:tcBorders>
              <w:top w:val="nil"/>
              <w:left w:val="nil"/>
              <w:bottom w:val="nil"/>
              <w:right w:val="nil"/>
            </w:tcBorders>
          </w:tcPr>
          <w:p w14:paraId="1B79EBE9"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589DF116" w14:textId="77777777" w:rsidTr="00AD6FE2">
        <w:trPr>
          <w:trHeight w:val="300"/>
        </w:trPr>
        <w:tc>
          <w:tcPr>
            <w:tcW w:w="961" w:type="dxa"/>
            <w:tcBorders>
              <w:top w:val="nil"/>
              <w:left w:val="nil"/>
              <w:bottom w:val="nil"/>
              <w:right w:val="nil"/>
            </w:tcBorders>
            <w:shd w:val="clear" w:color="auto" w:fill="auto"/>
            <w:noWrap/>
            <w:vAlign w:val="bottom"/>
            <w:hideMark/>
          </w:tcPr>
          <w:p w14:paraId="7B854C54"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43CE3797"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5937661C"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3 </w:t>
            </w:r>
          </w:p>
        </w:tc>
        <w:tc>
          <w:tcPr>
            <w:tcW w:w="655" w:type="dxa"/>
            <w:tcBorders>
              <w:top w:val="nil"/>
              <w:left w:val="nil"/>
              <w:bottom w:val="nil"/>
              <w:right w:val="nil"/>
            </w:tcBorders>
            <w:shd w:val="clear" w:color="auto" w:fill="auto"/>
            <w:noWrap/>
            <w:vAlign w:val="center"/>
            <w:hideMark/>
          </w:tcPr>
          <w:p w14:paraId="3D551A3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40</w:t>
            </w:r>
          </w:p>
        </w:tc>
        <w:tc>
          <w:tcPr>
            <w:tcW w:w="567" w:type="dxa"/>
            <w:tcBorders>
              <w:top w:val="nil"/>
              <w:left w:val="nil"/>
              <w:bottom w:val="nil"/>
              <w:right w:val="nil"/>
            </w:tcBorders>
            <w:shd w:val="clear" w:color="auto" w:fill="auto"/>
            <w:noWrap/>
            <w:vAlign w:val="center"/>
            <w:hideMark/>
          </w:tcPr>
          <w:p w14:paraId="04DC566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709" w:type="dxa"/>
            <w:tcBorders>
              <w:top w:val="nil"/>
              <w:left w:val="nil"/>
              <w:bottom w:val="nil"/>
              <w:right w:val="nil"/>
            </w:tcBorders>
            <w:shd w:val="clear" w:color="auto" w:fill="auto"/>
            <w:noWrap/>
            <w:vAlign w:val="center"/>
            <w:hideMark/>
          </w:tcPr>
          <w:p w14:paraId="13EA6DE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140</w:t>
            </w:r>
          </w:p>
        </w:tc>
        <w:tc>
          <w:tcPr>
            <w:tcW w:w="567" w:type="dxa"/>
            <w:tcBorders>
              <w:top w:val="nil"/>
              <w:left w:val="nil"/>
              <w:bottom w:val="nil"/>
              <w:right w:val="nil"/>
            </w:tcBorders>
            <w:shd w:val="clear" w:color="auto" w:fill="auto"/>
            <w:noWrap/>
            <w:vAlign w:val="center"/>
            <w:hideMark/>
          </w:tcPr>
          <w:p w14:paraId="2387064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77</w:t>
            </w:r>
          </w:p>
        </w:tc>
        <w:tc>
          <w:tcPr>
            <w:tcW w:w="1794" w:type="dxa"/>
            <w:tcBorders>
              <w:top w:val="nil"/>
              <w:left w:val="nil"/>
              <w:bottom w:val="nil"/>
              <w:right w:val="nil"/>
            </w:tcBorders>
            <w:shd w:val="clear" w:color="auto" w:fill="auto"/>
            <w:vAlign w:val="center"/>
            <w:hideMark/>
          </w:tcPr>
          <w:p w14:paraId="0E084642"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6E7C068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43</w:t>
            </w:r>
          </w:p>
        </w:tc>
        <w:tc>
          <w:tcPr>
            <w:tcW w:w="566" w:type="dxa"/>
            <w:tcBorders>
              <w:top w:val="nil"/>
              <w:left w:val="nil"/>
              <w:bottom w:val="nil"/>
              <w:right w:val="nil"/>
            </w:tcBorders>
            <w:shd w:val="clear" w:color="auto" w:fill="auto"/>
            <w:vAlign w:val="center"/>
            <w:hideMark/>
          </w:tcPr>
          <w:p w14:paraId="2712430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662" w:type="dxa"/>
            <w:tcBorders>
              <w:top w:val="nil"/>
              <w:left w:val="nil"/>
              <w:bottom w:val="nil"/>
              <w:right w:val="nil"/>
            </w:tcBorders>
            <w:shd w:val="clear" w:color="auto" w:fill="auto"/>
            <w:vAlign w:val="center"/>
            <w:hideMark/>
          </w:tcPr>
          <w:p w14:paraId="02A1436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143</w:t>
            </w:r>
          </w:p>
        </w:tc>
        <w:tc>
          <w:tcPr>
            <w:tcW w:w="609" w:type="dxa"/>
            <w:tcBorders>
              <w:top w:val="nil"/>
              <w:left w:val="nil"/>
              <w:bottom w:val="nil"/>
              <w:right w:val="nil"/>
            </w:tcBorders>
            <w:shd w:val="clear" w:color="auto" w:fill="auto"/>
            <w:vAlign w:val="center"/>
            <w:hideMark/>
          </w:tcPr>
          <w:p w14:paraId="7FA459B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79</w:t>
            </w:r>
          </w:p>
        </w:tc>
        <w:tc>
          <w:tcPr>
            <w:tcW w:w="1756" w:type="dxa"/>
            <w:tcBorders>
              <w:top w:val="nil"/>
              <w:left w:val="nil"/>
              <w:bottom w:val="nil"/>
              <w:right w:val="nil"/>
            </w:tcBorders>
          </w:tcPr>
          <w:p w14:paraId="5F123591"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0CC77B57" w14:textId="77777777" w:rsidTr="00AD6FE2">
        <w:trPr>
          <w:trHeight w:val="315"/>
        </w:trPr>
        <w:tc>
          <w:tcPr>
            <w:tcW w:w="961" w:type="dxa"/>
            <w:tcBorders>
              <w:top w:val="nil"/>
              <w:left w:val="nil"/>
              <w:bottom w:val="nil"/>
              <w:right w:val="nil"/>
            </w:tcBorders>
            <w:shd w:val="clear" w:color="auto" w:fill="auto"/>
            <w:noWrap/>
            <w:vAlign w:val="bottom"/>
            <w:hideMark/>
          </w:tcPr>
          <w:p w14:paraId="3E36CB09"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single" w:sz="8" w:space="0" w:color="auto"/>
              <w:right w:val="nil"/>
            </w:tcBorders>
            <w:shd w:val="clear" w:color="auto" w:fill="auto"/>
            <w:noWrap/>
            <w:vAlign w:val="center"/>
            <w:hideMark/>
          </w:tcPr>
          <w:p w14:paraId="5717DD47"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4990D1CC"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4  </w:t>
            </w:r>
          </w:p>
        </w:tc>
        <w:tc>
          <w:tcPr>
            <w:tcW w:w="655" w:type="dxa"/>
            <w:tcBorders>
              <w:top w:val="nil"/>
              <w:left w:val="nil"/>
              <w:bottom w:val="single" w:sz="8" w:space="0" w:color="auto"/>
              <w:right w:val="nil"/>
            </w:tcBorders>
            <w:shd w:val="clear" w:color="auto" w:fill="auto"/>
            <w:noWrap/>
            <w:vAlign w:val="center"/>
            <w:hideMark/>
          </w:tcPr>
          <w:p w14:paraId="53CD534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25</w:t>
            </w:r>
          </w:p>
        </w:tc>
        <w:tc>
          <w:tcPr>
            <w:tcW w:w="567" w:type="dxa"/>
            <w:tcBorders>
              <w:top w:val="nil"/>
              <w:left w:val="nil"/>
              <w:bottom w:val="single" w:sz="8" w:space="0" w:color="auto"/>
              <w:right w:val="nil"/>
            </w:tcBorders>
            <w:shd w:val="clear" w:color="auto" w:fill="auto"/>
            <w:noWrap/>
            <w:vAlign w:val="center"/>
            <w:hideMark/>
          </w:tcPr>
          <w:p w14:paraId="06FFBDC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709" w:type="dxa"/>
            <w:tcBorders>
              <w:top w:val="nil"/>
              <w:left w:val="nil"/>
              <w:bottom w:val="single" w:sz="8" w:space="0" w:color="auto"/>
              <w:right w:val="nil"/>
            </w:tcBorders>
            <w:shd w:val="clear" w:color="auto" w:fill="auto"/>
            <w:noWrap/>
            <w:vAlign w:val="center"/>
            <w:hideMark/>
          </w:tcPr>
          <w:p w14:paraId="1C205AF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125</w:t>
            </w:r>
          </w:p>
        </w:tc>
        <w:tc>
          <w:tcPr>
            <w:tcW w:w="567" w:type="dxa"/>
            <w:tcBorders>
              <w:top w:val="nil"/>
              <w:left w:val="nil"/>
              <w:bottom w:val="single" w:sz="8" w:space="0" w:color="auto"/>
              <w:right w:val="nil"/>
            </w:tcBorders>
            <w:shd w:val="clear" w:color="auto" w:fill="auto"/>
            <w:noWrap/>
            <w:vAlign w:val="center"/>
            <w:hideMark/>
          </w:tcPr>
          <w:p w14:paraId="204F00F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72</w:t>
            </w:r>
          </w:p>
        </w:tc>
        <w:tc>
          <w:tcPr>
            <w:tcW w:w="1794" w:type="dxa"/>
            <w:tcBorders>
              <w:top w:val="nil"/>
              <w:left w:val="nil"/>
              <w:bottom w:val="single" w:sz="8" w:space="0" w:color="auto"/>
              <w:right w:val="nil"/>
            </w:tcBorders>
            <w:shd w:val="clear" w:color="auto" w:fill="auto"/>
            <w:vAlign w:val="center"/>
            <w:hideMark/>
          </w:tcPr>
          <w:p w14:paraId="11E3C20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566" w:type="dxa"/>
            <w:tcBorders>
              <w:top w:val="nil"/>
              <w:left w:val="nil"/>
              <w:bottom w:val="single" w:sz="8" w:space="0" w:color="auto"/>
              <w:right w:val="nil"/>
            </w:tcBorders>
            <w:shd w:val="clear" w:color="auto" w:fill="auto"/>
            <w:vAlign w:val="center"/>
            <w:hideMark/>
          </w:tcPr>
          <w:p w14:paraId="6997E51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29</w:t>
            </w:r>
          </w:p>
        </w:tc>
        <w:tc>
          <w:tcPr>
            <w:tcW w:w="566" w:type="dxa"/>
            <w:tcBorders>
              <w:top w:val="nil"/>
              <w:left w:val="nil"/>
              <w:bottom w:val="single" w:sz="8" w:space="0" w:color="auto"/>
              <w:right w:val="nil"/>
            </w:tcBorders>
            <w:shd w:val="clear" w:color="auto" w:fill="auto"/>
            <w:vAlign w:val="center"/>
            <w:hideMark/>
          </w:tcPr>
          <w:p w14:paraId="033C1C3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662" w:type="dxa"/>
            <w:tcBorders>
              <w:top w:val="nil"/>
              <w:left w:val="nil"/>
              <w:bottom w:val="single" w:sz="8" w:space="0" w:color="auto"/>
              <w:right w:val="nil"/>
            </w:tcBorders>
            <w:shd w:val="clear" w:color="auto" w:fill="auto"/>
            <w:vAlign w:val="center"/>
            <w:hideMark/>
          </w:tcPr>
          <w:p w14:paraId="3414202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129</w:t>
            </w:r>
          </w:p>
        </w:tc>
        <w:tc>
          <w:tcPr>
            <w:tcW w:w="609" w:type="dxa"/>
            <w:tcBorders>
              <w:top w:val="nil"/>
              <w:left w:val="nil"/>
              <w:bottom w:val="single" w:sz="8" w:space="0" w:color="auto"/>
              <w:right w:val="nil"/>
            </w:tcBorders>
            <w:shd w:val="clear" w:color="auto" w:fill="auto"/>
            <w:vAlign w:val="center"/>
            <w:hideMark/>
          </w:tcPr>
          <w:p w14:paraId="0323849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74</w:t>
            </w:r>
          </w:p>
        </w:tc>
        <w:tc>
          <w:tcPr>
            <w:tcW w:w="1756" w:type="dxa"/>
            <w:tcBorders>
              <w:top w:val="nil"/>
              <w:left w:val="nil"/>
              <w:bottom w:val="single" w:sz="8" w:space="0" w:color="auto"/>
              <w:right w:val="nil"/>
            </w:tcBorders>
          </w:tcPr>
          <w:p w14:paraId="04A36E34"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1F84A788" w14:textId="77777777" w:rsidTr="00AD6FE2">
        <w:trPr>
          <w:trHeight w:val="300"/>
        </w:trPr>
        <w:tc>
          <w:tcPr>
            <w:tcW w:w="961" w:type="dxa"/>
            <w:tcBorders>
              <w:top w:val="nil"/>
              <w:left w:val="nil"/>
              <w:bottom w:val="nil"/>
              <w:right w:val="nil"/>
            </w:tcBorders>
            <w:shd w:val="clear" w:color="auto" w:fill="auto"/>
            <w:noWrap/>
            <w:vAlign w:val="bottom"/>
            <w:hideMark/>
          </w:tcPr>
          <w:p w14:paraId="5BD376C9"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center"/>
            <w:hideMark/>
          </w:tcPr>
          <w:p w14:paraId="5A80E4D2"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3</w:t>
            </w:r>
          </w:p>
        </w:tc>
        <w:tc>
          <w:tcPr>
            <w:tcW w:w="720" w:type="dxa"/>
            <w:tcBorders>
              <w:top w:val="nil"/>
              <w:left w:val="nil"/>
              <w:bottom w:val="nil"/>
              <w:right w:val="nil"/>
            </w:tcBorders>
            <w:shd w:val="clear" w:color="auto" w:fill="auto"/>
            <w:noWrap/>
            <w:vAlign w:val="center"/>
            <w:hideMark/>
          </w:tcPr>
          <w:p w14:paraId="1DD74381"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1 </w:t>
            </w:r>
          </w:p>
        </w:tc>
        <w:tc>
          <w:tcPr>
            <w:tcW w:w="655" w:type="dxa"/>
            <w:tcBorders>
              <w:top w:val="nil"/>
              <w:left w:val="nil"/>
              <w:bottom w:val="nil"/>
              <w:right w:val="nil"/>
            </w:tcBorders>
            <w:shd w:val="clear" w:color="auto" w:fill="auto"/>
            <w:noWrap/>
            <w:vAlign w:val="center"/>
            <w:hideMark/>
          </w:tcPr>
          <w:p w14:paraId="66455EF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75</w:t>
            </w:r>
          </w:p>
        </w:tc>
        <w:tc>
          <w:tcPr>
            <w:tcW w:w="567" w:type="dxa"/>
            <w:tcBorders>
              <w:top w:val="nil"/>
              <w:left w:val="nil"/>
              <w:bottom w:val="nil"/>
              <w:right w:val="nil"/>
            </w:tcBorders>
            <w:shd w:val="clear" w:color="auto" w:fill="auto"/>
            <w:noWrap/>
            <w:vAlign w:val="center"/>
            <w:hideMark/>
          </w:tcPr>
          <w:p w14:paraId="0E58FEE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67</w:t>
            </w:r>
          </w:p>
        </w:tc>
        <w:tc>
          <w:tcPr>
            <w:tcW w:w="709" w:type="dxa"/>
            <w:tcBorders>
              <w:top w:val="nil"/>
              <w:left w:val="nil"/>
              <w:bottom w:val="nil"/>
              <w:right w:val="nil"/>
            </w:tcBorders>
            <w:shd w:val="clear" w:color="auto" w:fill="auto"/>
            <w:noWrap/>
            <w:vAlign w:val="center"/>
            <w:hideMark/>
          </w:tcPr>
          <w:p w14:paraId="073891B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142</w:t>
            </w:r>
          </w:p>
        </w:tc>
        <w:tc>
          <w:tcPr>
            <w:tcW w:w="567" w:type="dxa"/>
            <w:tcBorders>
              <w:top w:val="nil"/>
              <w:left w:val="nil"/>
              <w:bottom w:val="nil"/>
              <w:right w:val="nil"/>
            </w:tcBorders>
            <w:shd w:val="clear" w:color="auto" w:fill="auto"/>
            <w:noWrap/>
            <w:vAlign w:val="center"/>
            <w:hideMark/>
          </w:tcPr>
          <w:p w14:paraId="203B7F4A"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70</w:t>
            </w:r>
          </w:p>
        </w:tc>
        <w:tc>
          <w:tcPr>
            <w:tcW w:w="1794" w:type="dxa"/>
            <w:tcBorders>
              <w:top w:val="nil"/>
              <w:left w:val="nil"/>
              <w:bottom w:val="nil"/>
              <w:right w:val="nil"/>
            </w:tcBorders>
            <w:shd w:val="clear" w:color="auto" w:fill="auto"/>
            <w:vAlign w:val="center"/>
            <w:hideMark/>
          </w:tcPr>
          <w:p w14:paraId="258EF0E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0.80 (0.67, 0.93)</w:t>
            </w:r>
          </w:p>
        </w:tc>
        <w:tc>
          <w:tcPr>
            <w:tcW w:w="566" w:type="dxa"/>
            <w:tcBorders>
              <w:top w:val="nil"/>
              <w:left w:val="nil"/>
              <w:bottom w:val="nil"/>
              <w:right w:val="nil"/>
            </w:tcBorders>
            <w:shd w:val="clear" w:color="auto" w:fill="auto"/>
            <w:vAlign w:val="center"/>
            <w:hideMark/>
          </w:tcPr>
          <w:p w14:paraId="77BBCE0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71</w:t>
            </w:r>
          </w:p>
        </w:tc>
        <w:tc>
          <w:tcPr>
            <w:tcW w:w="566" w:type="dxa"/>
            <w:tcBorders>
              <w:top w:val="nil"/>
              <w:left w:val="nil"/>
              <w:bottom w:val="nil"/>
              <w:right w:val="nil"/>
            </w:tcBorders>
            <w:shd w:val="clear" w:color="auto" w:fill="auto"/>
            <w:vAlign w:val="center"/>
            <w:hideMark/>
          </w:tcPr>
          <w:p w14:paraId="7ADB46F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64</w:t>
            </w:r>
          </w:p>
        </w:tc>
        <w:tc>
          <w:tcPr>
            <w:tcW w:w="662" w:type="dxa"/>
            <w:tcBorders>
              <w:top w:val="nil"/>
              <w:left w:val="nil"/>
              <w:bottom w:val="nil"/>
              <w:right w:val="nil"/>
            </w:tcBorders>
            <w:shd w:val="clear" w:color="auto" w:fill="auto"/>
            <w:vAlign w:val="center"/>
            <w:hideMark/>
          </w:tcPr>
          <w:p w14:paraId="493E77E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135</w:t>
            </w:r>
          </w:p>
        </w:tc>
        <w:tc>
          <w:tcPr>
            <w:tcW w:w="609" w:type="dxa"/>
            <w:tcBorders>
              <w:top w:val="nil"/>
              <w:left w:val="nil"/>
              <w:bottom w:val="nil"/>
              <w:right w:val="nil"/>
            </w:tcBorders>
            <w:shd w:val="clear" w:color="auto" w:fill="auto"/>
            <w:vAlign w:val="center"/>
            <w:hideMark/>
          </w:tcPr>
          <w:p w14:paraId="7C8BA53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67</w:t>
            </w:r>
          </w:p>
        </w:tc>
        <w:tc>
          <w:tcPr>
            <w:tcW w:w="1756" w:type="dxa"/>
            <w:tcBorders>
              <w:top w:val="nil"/>
              <w:left w:val="nil"/>
              <w:bottom w:val="nil"/>
              <w:right w:val="nil"/>
            </w:tcBorders>
          </w:tcPr>
          <w:p w14:paraId="144E6BA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0.75 (0.59, 0.92)</w:t>
            </w:r>
          </w:p>
        </w:tc>
      </w:tr>
      <w:tr w:rsidR="0071164E" w:rsidRPr="00853C22" w14:paraId="284A1DEB" w14:textId="77777777" w:rsidTr="00AD6FE2">
        <w:trPr>
          <w:trHeight w:val="300"/>
        </w:trPr>
        <w:tc>
          <w:tcPr>
            <w:tcW w:w="961" w:type="dxa"/>
            <w:tcBorders>
              <w:top w:val="nil"/>
              <w:left w:val="nil"/>
              <w:bottom w:val="nil"/>
              <w:right w:val="nil"/>
            </w:tcBorders>
            <w:shd w:val="clear" w:color="auto" w:fill="auto"/>
            <w:noWrap/>
            <w:vAlign w:val="bottom"/>
            <w:hideMark/>
          </w:tcPr>
          <w:p w14:paraId="3F1BD948"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2A6B86EF"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7A244840"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2  </w:t>
            </w:r>
          </w:p>
        </w:tc>
        <w:tc>
          <w:tcPr>
            <w:tcW w:w="655" w:type="dxa"/>
            <w:tcBorders>
              <w:top w:val="nil"/>
              <w:left w:val="nil"/>
              <w:bottom w:val="nil"/>
              <w:right w:val="nil"/>
            </w:tcBorders>
            <w:shd w:val="clear" w:color="auto" w:fill="auto"/>
            <w:noWrap/>
            <w:vAlign w:val="center"/>
            <w:hideMark/>
          </w:tcPr>
          <w:p w14:paraId="5CF4BFC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65</w:t>
            </w:r>
          </w:p>
        </w:tc>
        <w:tc>
          <w:tcPr>
            <w:tcW w:w="567" w:type="dxa"/>
            <w:tcBorders>
              <w:top w:val="nil"/>
              <w:left w:val="nil"/>
              <w:bottom w:val="nil"/>
              <w:right w:val="nil"/>
            </w:tcBorders>
            <w:shd w:val="clear" w:color="auto" w:fill="auto"/>
            <w:noWrap/>
            <w:vAlign w:val="center"/>
            <w:hideMark/>
          </w:tcPr>
          <w:p w14:paraId="346D165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91</w:t>
            </w:r>
          </w:p>
        </w:tc>
        <w:tc>
          <w:tcPr>
            <w:tcW w:w="709" w:type="dxa"/>
            <w:tcBorders>
              <w:top w:val="nil"/>
              <w:left w:val="nil"/>
              <w:bottom w:val="nil"/>
              <w:right w:val="nil"/>
            </w:tcBorders>
            <w:shd w:val="clear" w:color="auto" w:fill="auto"/>
            <w:noWrap/>
            <w:vAlign w:val="center"/>
            <w:hideMark/>
          </w:tcPr>
          <w:p w14:paraId="58000A6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156</w:t>
            </w:r>
          </w:p>
        </w:tc>
        <w:tc>
          <w:tcPr>
            <w:tcW w:w="567" w:type="dxa"/>
            <w:tcBorders>
              <w:top w:val="nil"/>
              <w:left w:val="nil"/>
              <w:bottom w:val="nil"/>
              <w:right w:val="nil"/>
            </w:tcBorders>
            <w:shd w:val="clear" w:color="auto" w:fill="auto"/>
            <w:noWrap/>
            <w:vAlign w:val="center"/>
            <w:hideMark/>
          </w:tcPr>
          <w:p w14:paraId="149B439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81</w:t>
            </w:r>
          </w:p>
        </w:tc>
        <w:tc>
          <w:tcPr>
            <w:tcW w:w="1794" w:type="dxa"/>
            <w:tcBorders>
              <w:top w:val="nil"/>
              <w:left w:val="nil"/>
              <w:bottom w:val="nil"/>
              <w:right w:val="nil"/>
            </w:tcBorders>
            <w:shd w:val="clear" w:color="auto" w:fill="auto"/>
            <w:vAlign w:val="center"/>
            <w:hideMark/>
          </w:tcPr>
          <w:p w14:paraId="237BF615"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659C466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57</w:t>
            </w:r>
          </w:p>
        </w:tc>
        <w:tc>
          <w:tcPr>
            <w:tcW w:w="566" w:type="dxa"/>
            <w:tcBorders>
              <w:top w:val="nil"/>
              <w:left w:val="nil"/>
              <w:bottom w:val="nil"/>
              <w:right w:val="nil"/>
            </w:tcBorders>
            <w:shd w:val="clear" w:color="auto" w:fill="auto"/>
            <w:vAlign w:val="center"/>
            <w:hideMark/>
          </w:tcPr>
          <w:p w14:paraId="37453E1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88</w:t>
            </w:r>
          </w:p>
        </w:tc>
        <w:tc>
          <w:tcPr>
            <w:tcW w:w="662" w:type="dxa"/>
            <w:tcBorders>
              <w:top w:val="nil"/>
              <w:left w:val="nil"/>
              <w:bottom w:val="nil"/>
              <w:right w:val="nil"/>
            </w:tcBorders>
            <w:shd w:val="clear" w:color="auto" w:fill="auto"/>
            <w:vAlign w:val="center"/>
            <w:hideMark/>
          </w:tcPr>
          <w:p w14:paraId="766C21C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145</w:t>
            </w:r>
          </w:p>
        </w:tc>
        <w:tc>
          <w:tcPr>
            <w:tcW w:w="609" w:type="dxa"/>
            <w:tcBorders>
              <w:top w:val="nil"/>
              <w:left w:val="nil"/>
              <w:bottom w:val="nil"/>
              <w:right w:val="nil"/>
            </w:tcBorders>
            <w:shd w:val="clear" w:color="auto" w:fill="auto"/>
            <w:vAlign w:val="center"/>
            <w:hideMark/>
          </w:tcPr>
          <w:p w14:paraId="2D58507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77</w:t>
            </w:r>
          </w:p>
        </w:tc>
        <w:tc>
          <w:tcPr>
            <w:tcW w:w="1756" w:type="dxa"/>
            <w:tcBorders>
              <w:top w:val="nil"/>
              <w:left w:val="nil"/>
              <w:bottom w:val="nil"/>
              <w:right w:val="nil"/>
            </w:tcBorders>
          </w:tcPr>
          <w:p w14:paraId="3014C804"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6036FC1B" w14:textId="77777777" w:rsidTr="00AD6FE2">
        <w:trPr>
          <w:trHeight w:val="300"/>
        </w:trPr>
        <w:tc>
          <w:tcPr>
            <w:tcW w:w="961" w:type="dxa"/>
            <w:tcBorders>
              <w:top w:val="nil"/>
              <w:left w:val="nil"/>
              <w:bottom w:val="nil"/>
              <w:right w:val="nil"/>
            </w:tcBorders>
            <w:shd w:val="clear" w:color="auto" w:fill="auto"/>
            <w:noWrap/>
            <w:vAlign w:val="bottom"/>
            <w:hideMark/>
          </w:tcPr>
          <w:p w14:paraId="3E6A7964"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15BFD3F0"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7B325329"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3 </w:t>
            </w:r>
          </w:p>
        </w:tc>
        <w:tc>
          <w:tcPr>
            <w:tcW w:w="655" w:type="dxa"/>
            <w:tcBorders>
              <w:top w:val="nil"/>
              <w:left w:val="nil"/>
              <w:bottom w:val="nil"/>
              <w:right w:val="nil"/>
            </w:tcBorders>
            <w:shd w:val="clear" w:color="auto" w:fill="auto"/>
            <w:noWrap/>
            <w:vAlign w:val="center"/>
            <w:hideMark/>
          </w:tcPr>
          <w:p w14:paraId="54AD35D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50</w:t>
            </w:r>
          </w:p>
        </w:tc>
        <w:tc>
          <w:tcPr>
            <w:tcW w:w="567" w:type="dxa"/>
            <w:tcBorders>
              <w:top w:val="nil"/>
              <w:left w:val="nil"/>
              <w:bottom w:val="nil"/>
              <w:right w:val="nil"/>
            </w:tcBorders>
            <w:shd w:val="clear" w:color="auto" w:fill="auto"/>
            <w:noWrap/>
            <w:vAlign w:val="center"/>
            <w:hideMark/>
          </w:tcPr>
          <w:p w14:paraId="13F7735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97</w:t>
            </w:r>
          </w:p>
        </w:tc>
        <w:tc>
          <w:tcPr>
            <w:tcW w:w="709" w:type="dxa"/>
            <w:tcBorders>
              <w:top w:val="nil"/>
              <w:left w:val="nil"/>
              <w:bottom w:val="nil"/>
              <w:right w:val="nil"/>
            </w:tcBorders>
            <w:shd w:val="clear" w:color="auto" w:fill="auto"/>
            <w:noWrap/>
            <w:vAlign w:val="center"/>
            <w:hideMark/>
          </w:tcPr>
          <w:p w14:paraId="170FA7B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147</w:t>
            </w:r>
          </w:p>
        </w:tc>
        <w:tc>
          <w:tcPr>
            <w:tcW w:w="567" w:type="dxa"/>
            <w:tcBorders>
              <w:top w:val="nil"/>
              <w:left w:val="nil"/>
              <w:bottom w:val="nil"/>
              <w:right w:val="nil"/>
            </w:tcBorders>
            <w:shd w:val="clear" w:color="auto" w:fill="auto"/>
            <w:noWrap/>
            <w:vAlign w:val="center"/>
            <w:hideMark/>
          </w:tcPr>
          <w:p w14:paraId="4EA207A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79</w:t>
            </w:r>
          </w:p>
        </w:tc>
        <w:tc>
          <w:tcPr>
            <w:tcW w:w="1794" w:type="dxa"/>
            <w:tcBorders>
              <w:top w:val="nil"/>
              <w:left w:val="nil"/>
              <w:bottom w:val="nil"/>
              <w:right w:val="nil"/>
            </w:tcBorders>
            <w:shd w:val="clear" w:color="auto" w:fill="auto"/>
            <w:vAlign w:val="center"/>
            <w:hideMark/>
          </w:tcPr>
          <w:p w14:paraId="390C41EC"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2649D3A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43</w:t>
            </w:r>
          </w:p>
        </w:tc>
        <w:tc>
          <w:tcPr>
            <w:tcW w:w="566" w:type="dxa"/>
            <w:tcBorders>
              <w:top w:val="nil"/>
              <w:left w:val="nil"/>
              <w:bottom w:val="nil"/>
              <w:right w:val="nil"/>
            </w:tcBorders>
            <w:shd w:val="clear" w:color="auto" w:fill="auto"/>
            <w:vAlign w:val="center"/>
            <w:hideMark/>
          </w:tcPr>
          <w:p w14:paraId="794A5E9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96</w:t>
            </w:r>
          </w:p>
        </w:tc>
        <w:tc>
          <w:tcPr>
            <w:tcW w:w="662" w:type="dxa"/>
            <w:tcBorders>
              <w:top w:val="nil"/>
              <w:left w:val="nil"/>
              <w:bottom w:val="nil"/>
              <w:right w:val="nil"/>
            </w:tcBorders>
            <w:shd w:val="clear" w:color="auto" w:fill="auto"/>
            <w:vAlign w:val="center"/>
            <w:hideMark/>
          </w:tcPr>
          <w:p w14:paraId="351D049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139</w:t>
            </w:r>
          </w:p>
        </w:tc>
        <w:tc>
          <w:tcPr>
            <w:tcW w:w="609" w:type="dxa"/>
            <w:tcBorders>
              <w:top w:val="nil"/>
              <w:left w:val="nil"/>
              <w:bottom w:val="nil"/>
              <w:right w:val="nil"/>
            </w:tcBorders>
            <w:shd w:val="clear" w:color="auto" w:fill="auto"/>
            <w:vAlign w:val="center"/>
            <w:hideMark/>
          </w:tcPr>
          <w:p w14:paraId="3546781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77</w:t>
            </w:r>
          </w:p>
        </w:tc>
        <w:tc>
          <w:tcPr>
            <w:tcW w:w="1756" w:type="dxa"/>
            <w:tcBorders>
              <w:top w:val="nil"/>
              <w:left w:val="nil"/>
              <w:bottom w:val="nil"/>
              <w:right w:val="nil"/>
            </w:tcBorders>
          </w:tcPr>
          <w:p w14:paraId="6B7AC726"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0DDE7BA6" w14:textId="77777777" w:rsidTr="00AD6FE2">
        <w:trPr>
          <w:trHeight w:val="315"/>
        </w:trPr>
        <w:tc>
          <w:tcPr>
            <w:tcW w:w="961" w:type="dxa"/>
            <w:tcBorders>
              <w:top w:val="nil"/>
              <w:left w:val="nil"/>
              <w:bottom w:val="nil"/>
              <w:right w:val="nil"/>
            </w:tcBorders>
            <w:shd w:val="clear" w:color="auto" w:fill="auto"/>
            <w:noWrap/>
            <w:vAlign w:val="bottom"/>
            <w:hideMark/>
          </w:tcPr>
          <w:p w14:paraId="38728907"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single" w:sz="8" w:space="0" w:color="auto"/>
              <w:right w:val="nil"/>
            </w:tcBorders>
            <w:shd w:val="clear" w:color="auto" w:fill="auto"/>
            <w:noWrap/>
            <w:vAlign w:val="center"/>
            <w:hideMark/>
          </w:tcPr>
          <w:p w14:paraId="1CFF96A1"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1442641A"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4  </w:t>
            </w:r>
          </w:p>
        </w:tc>
        <w:tc>
          <w:tcPr>
            <w:tcW w:w="655" w:type="dxa"/>
            <w:tcBorders>
              <w:top w:val="nil"/>
              <w:left w:val="nil"/>
              <w:bottom w:val="single" w:sz="8" w:space="0" w:color="auto"/>
              <w:right w:val="nil"/>
            </w:tcBorders>
            <w:shd w:val="clear" w:color="auto" w:fill="auto"/>
            <w:noWrap/>
            <w:vAlign w:val="center"/>
            <w:hideMark/>
          </w:tcPr>
          <w:p w14:paraId="5206E31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w:t>
            </w:r>
          </w:p>
        </w:tc>
        <w:tc>
          <w:tcPr>
            <w:tcW w:w="567" w:type="dxa"/>
            <w:tcBorders>
              <w:top w:val="nil"/>
              <w:left w:val="nil"/>
              <w:bottom w:val="single" w:sz="8" w:space="0" w:color="auto"/>
              <w:right w:val="nil"/>
            </w:tcBorders>
            <w:shd w:val="clear" w:color="auto" w:fill="auto"/>
            <w:noWrap/>
            <w:vAlign w:val="center"/>
            <w:hideMark/>
          </w:tcPr>
          <w:p w14:paraId="6D435C5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709" w:type="dxa"/>
            <w:tcBorders>
              <w:top w:val="nil"/>
              <w:left w:val="nil"/>
              <w:bottom w:val="single" w:sz="8" w:space="0" w:color="auto"/>
              <w:right w:val="nil"/>
            </w:tcBorders>
            <w:shd w:val="clear" w:color="auto" w:fill="auto"/>
            <w:noWrap/>
            <w:vAlign w:val="center"/>
            <w:hideMark/>
          </w:tcPr>
          <w:p w14:paraId="4C3A9E7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115</w:t>
            </w:r>
          </w:p>
        </w:tc>
        <w:tc>
          <w:tcPr>
            <w:tcW w:w="567" w:type="dxa"/>
            <w:tcBorders>
              <w:top w:val="nil"/>
              <w:left w:val="nil"/>
              <w:bottom w:val="single" w:sz="8" w:space="0" w:color="auto"/>
              <w:right w:val="nil"/>
            </w:tcBorders>
            <w:shd w:val="clear" w:color="auto" w:fill="auto"/>
            <w:noWrap/>
            <w:vAlign w:val="center"/>
            <w:hideMark/>
          </w:tcPr>
          <w:p w14:paraId="7FDF31C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68</w:t>
            </w:r>
          </w:p>
        </w:tc>
        <w:tc>
          <w:tcPr>
            <w:tcW w:w="1794" w:type="dxa"/>
            <w:tcBorders>
              <w:top w:val="nil"/>
              <w:left w:val="nil"/>
              <w:bottom w:val="single" w:sz="8" w:space="0" w:color="auto"/>
              <w:right w:val="nil"/>
            </w:tcBorders>
            <w:shd w:val="clear" w:color="auto" w:fill="auto"/>
            <w:vAlign w:val="center"/>
            <w:hideMark/>
          </w:tcPr>
          <w:p w14:paraId="308639C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566" w:type="dxa"/>
            <w:tcBorders>
              <w:top w:val="nil"/>
              <w:left w:val="nil"/>
              <w:bottom w:val="single" w:sz="8" w:space="0" w:color="auto"/>
              <w:right w:val="nil"/>
            </w:tcBorders>
            <w:shd w:val="clear" w:color="auto" w:fill="auto"/>
            <w:vAlign w:val="center"/>
            <w:hideMark/>
          </w:tcPr>
          <w:p w14:paraId="286332A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w:t>
            </w:r>
          </w:p>
        </w:tc>
        <w:tc>
          <w:tcPr>
            <w:tcW w:w="566" w:type="dxa"/>
            <w:tcBorders>
              <w:top w:val="nil"/>
              <w:left w:val="nil"/>
              <w:bottom w:val="single" w:sz="8" w:space="0" w:color="auto"/>
              <w:right w:val="nil"/>
            </w:tcBorders>
            <w:shd w:val="clear" w:color="auto" w:fill="auto"/>
            <w:vAlign w:val="center"/>
            <w:hideMark/>
          </w:tcPr>
          <w:p w14:paraId="009BF73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662" w:type="dxa"/>
            <w:tcBorders>
              <w:top w:val="nil"/>
              <w:left w:val="nil"/>
              <w:bottom w:val="single" w:sz="8" w:space="0" w:color="auto"/>
              <w:right w:val="nil"/>
            </w:tcBorders>
            <w:shd w:val="clear" w:color="auto" w:fill="auto"/>
            <w:vAlign w:val="center"/>
            <w:hideMark/>
          </w:tcPr>
          <w:p w14:paraId="7A67765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114</w:t>
            </w:r>
          </w:p>
        </w:tc>
        <w:tc>
          <w:tcPr>
            <w:tcW w:w="609" w:type="dxa"/>
            <w:tcBorders>
              <w:top w:val="nil"/>
              <w:left w:val="nil"/>
              <w:bottom w:val="single" w:sz="8" w:space="0" w:color="auto"/>
              <w:right w:val="nil"/>
            </w:tcBorders>
            <w:shd w:val="clear" w:color="auto" w:fill="auto"/>
            <w:vAlign w:val="center"/>
            <w:hideMark/>
          </w:tcPr>
          <w:p w14:paraId="6E34738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69</w:t>
            </w:r>
          </w:p>
        </w:tc>
        <w:tc>
          <w:tcPr>
            <w:tcW w:w="1756" w:type="dxa"/>
            <w:tcBorders>
              <w:top w:val="nil"/>
              <w:left w:val="nil"/>
              <w:bottom w:val="single" w:sz="8" w:space="0" w:color="auto"/>
              <w:right w:val="nil"/>
            </w:tcBorders>
          </w:tcPr>
          <w:p w14:paraId="6D41BC37"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1F92F486" w14:textId="77777777" w:rsidTr="00AD6FE2">
        <w:trPr>
          <w:trHeight w:val="300"/>
        </w:trPr>
        <w:tc>
          <w:tcPr>
            <w:tcW w:w="961" w:type="dxa"/>
            <w:tcBorders>
              <w:top w:val="single" w:sz="8" w:space="0" w:color="auto"/>
              <w:left w:val="nil"/>
              <w:bottom w:val="nil"/>
              <w:right w:val="nil"/>
            </w:tcBorders>
            <w:shd w:val="clear" w:color="auto" w:fill="auto"/>
            <w:vAlign w:val="center"/>
            <w:hideMark/>
          </w:tcPr>
          <w:p w14:paraId="2B3A57E9"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Women </w:t>
            </w:r>
          </w:p>
        </w:tc>
        <w:tc>
          <w:tcPr>
            <w:tcW w:w="641" w:type="dxa"/>
            <w:tcBorders>
              <w:top w:val="nil"/>
              <w:left w:val="nil"/>
              <w:bottom w:val="nil"/>
              <w:right w:val="nil"/>
            </w:tcBorders>
            <w:shd w:val="clear" w:color="auto" w:fill="auto"/>
            <w:noWrap/>
            <w:vAlign w:val="center"/>
            <w:hideMark/>
          </w:tcPr>
          <w:p w14:paraId="784B5FDB"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w:t>
            </w:r>
          </w:p>
        </w:tc>
        <w:tc>
          <w:tcPr>
            <w:tcW w:w="720" w:type="dxa"/>
            <w:tcBorders>
              <w:top w:val="nil"/>
              <w:left w:val="nil"/>
              <w:bottom w:val="nil"/>
              <w:right w:val="nil"/>
            </w:tcBorders>
            <w:shd w:val="clear" w:color="auto" w:fill="auto"/>
            <w:noWrap/>
            <w:vAlign w:val="center"/>
            <w:hideMark/>
          </w:tcPr>
          <w:p w14:paraId="7EA94912"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1 </w:t>
            </w:r>
          </w:p>
        </w:tc>
        <w:tc>
          <w:tcPr>
            <w:tcW w:w="655" w:type="dxa"/>
            <w:tcBorders>
              <w:top w:val="nil"/>
              <w:left w:val="nil"/>
              <w:bottom w:val="nil"/>
              <w:right w:val="nil"/>
            </w:tcBorders>
            <w:shd w:val="clear" w:color="auto" w:fill="auto"/>
            <w:noWrap/>
            <w:vAlign w:val="center"/>
            <w:hideMark/>
          </w:tcPr>
          <w:p w14:paraId="3F6522C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7" w:type="dxa"/>
            <w:tcBorders>
              <w:top w:val="nil"/>
              <w:left w:val="nil"/>
              <w:bottom w:val="nil"/>
              <w:right w:val="nil"/>
            </w:tcBorders>
            <w:shd w:val="clear" w:color="auto" w:fill="auto"/>
            <w:noWrap/>
            <w:vAlign w:val="center"/>
            <w:hideMark/>
          </w:tcPr>
          <w:p w14:paraId="25F369F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w:t>
            </w:r>
          </w:p>
        </w:tc>
        <w:tc>
          <w:tcPr>
            <w:tcW w:w="709" w:type="dxa"/>
            <w:tcBorders>
              <w:top w:val="nil"/>
              <w:left w:val="nil"/>
              <w:bottom w:val="nil"/>
              <w:right w:val="nil"/>
            </w:tcBorders>
            <w:shd w:val="clear" w:color="auto" w:fill="auto"/>
            <w:noWrap/>
            <w:vAlign w:val="center"/>
            <w:hideMark/>
          </w:tcPr>
          <w:p w14:paraId="0635A58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7" w:type="dxa"/>
            <w:tcBorders>
              <w:top w:val="nil"/>
              <w:left w:val="nil"/>
              <w:bottom w:val="nil"/>
              <w:right w:val="nil"/>
            </w:tcBorders>
            <w:shd w:val="clear" w:color="auto" w:fill="auto"/>
            <w:noWrap/>
            <w:vAlign w:val="center"/>
            <w:hideMark/>
          </w:tcPr>
          <w:p w14:paraId="531C736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w:t>
            </w:r>
          </w:p>
        </w:tc>
        <w:tc>
          <w:tcPr>
            <w:tcW w:w="1794" w:type="dxa"/>
            <w:tcBorders>
              <w:top w:val="nil"/>
              <w:left w:val="nil"/>
              <w:bottom w:val="nil"/>
              <w:right w:val="nil"/>
            </w:tcBorders>
            <w:shd w:val="clear" w:color="auto" w:fill="auto"/>
            <w:vAlign w:val="center"/>
            <w:hideMark/>
          </w:tcPr>
          <w:p w14:paraId="058503B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0.85 (0.72, 0.98)</w:t>
            </w:r>
          </w:p>
        </w:tc>
        <w:tc>
          <w:tcPr>
            <w:tcW w:w="566" w:type="dxa"/>
            <w:tcBorders>
              <w:top w:val="nil"/>
              <w:left w:val="nil"/>
              <w:bottom w:val="nil"/>
              <w:right w:val="nil"/>
            </w:tcBorders>
            <w:shd w:val="clear" w:color="auto" w:fill="auto"/>
            <w:vAlign w:val="center"/>
            <w:hideMark/>
          </w:tcPr>
          <w:p w14:paraId="5AEBC17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6" w:type="dxa"/>
            <w:tcBorders>
              <w:top w:val="nil"/>
              <w:left w:val="nil"/>
              <w:bottom w:val="nil"/>
              <w:right w:val="nil"/>
            </w:tcBorders>
            <w:shd w:val="clear" w:color="auto" w:fill="auto"/>
            <w:vAlign w:val="center"/>
            <w:hideMark/>
          </w:tcPr>
          <w:p w14:paraId="2169F17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w:t>
            </w:r>
          </w:p>
        </w:tc>
        <w:tc>
          <w:tcPr>
            <w:tcW w:w="662" w:type="dxa"/>
            <w:tcBorders>
              <w:top w:val="nil"/>
              <w:left w:val="nil"/>
              <w:bottom w:val="nil"/>
              <w:right w:val="nil"/>
            </w:tcBorders>
            <w:shd w:val="clear" w:color="auto" w:fill="auto"/>
            <w:vAlign w:val="center"/>
            <w:hideMark/>
          </w:tcPr>
          <w:p w14:paraId="7860FFA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609" w:type="dxa"/>
            <w:tcBorders>
              <w:top w:val="nil"/>
              <w:left w:val="nil"/>
              <w:bottom w:val="nil"/>
              <w:right w:val="nil"/>
            </w:tcBorders>
            <w:shd w:val="clear" w:color="auto" w:fill="auto"/>
            <w:vAlign w:val="center"/>
            <w:hideMark/>
          </w:tcPr>
          <w:p w14:paraId="3C3D787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11</w:t>
            </w:r>
          </w:p>
        </w:tc>
        <w:tc>
          <w:tcPr>
            <w:tcW w:w="1756" w:type="dxa"/>
            <w:tcBorders>
              <w:top w:val="nil"/>
              <w:left w:val="nil"/>
              <w:bottom w:val="nil"/>
              <w:right w:val="nil"/>
            </w:tcBorders>
          </w:tcPr>
          <w:p w14:paraId="1D429D2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0.85 (0.62, 1.00)</w:t>
            </w:r>
          </w:p>
        </w:tc>
      </w:tr>
      <w:tr w:rsidR="0071164E" w:rsidRPr="00853C22" w14:paraId="0BE3A3CC" w14:textId="77777777" w:rsidTr="00AD6FE2">
        <w:trPr>
          <w:trHeight w:val="300"/>
        </w:trPr>
        <w:tc>
          <w:tcPr>
            <w:tcW w:w="961" w:type="dxa"/>
            <w:tcBorders>
              <w:top w:val="nil"/>
              <w:left w:val="nil"/>
              <w:bottom w:val="nil"/>
              <w:right w:val="nil"/>
            </w:tcBorders>
            <w:shd w:val="clear" w:color="auto" w:fill="auto"/>
            <w:noWrap/>
            <w:vAlign w:val="bottom"/>
            <w:hideMark/>
          </w:tcPr>
          <w:p w14:paraId="63BB83FB"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2BC32314"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78258982"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2  </w:t>
            </w:r>
          </w:p>
        </w:tc>
        <w:tc>
          <w:tcPr>
            <w:tcW w:w="655" w:type="dxa"/>
            <w:tcBorders>
              <w:top w:val="nil"/>
              <w:left w:val="nil"/>
              <w:bottom w:val="nil"/>
              <w:right w:val="nil"/>
            </w:tcBorders>
            <w:shd w:val="clear" w:color="auto" w:fill="auto"/>
            <w:noWrap/>
            <w:vAlign w:val="center"/>
            <w:hideMark/>
          </w:tcPr>
          <w:p w14:paraId="531938D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92</w:t>
            </w:r>
          </w:p>
        </w:tc>
        <w:tc>
          <w:tcPr>
            <w:tcW w:w="567" w:type="dxa"/>
            <w:tcBorders>
              <w:top w:val="nil"/>
              <w:left w:val="nil"/>
              <w:bottom w:val="nil"/>
              <w:right w:val="nil"/>
            </w:tcBorders>
            <w:shd w:val="clear" w:color="auto" w:fill="auto"/>
            <w:noWrap/>
            <w:vAlign w:val="center"/>
            <w:hideMark/>
          </w:tcPr>
          <w:p w14:paraId="09A73AD9"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34</w:t>
            </w:r>
          </w:p>
        </w:tc>
        <w:tc>
          <w:tcPr>
            <w:tcW w:w="709" w:type="dxa"/>
            <w:tcBorders>
              <w:top w:val="nil"/>
              <w:left w:val="nil"/>
              <w:bottom w:val="nil"/>
              <w:right w:val="nil"/>
            </w:tcBorders>
            <w:shd w:val="clear" w:color="auto" w:fill="auto"/>
            <w:noWrap/>
            <w:vAlign w:val="center"/>
            <w:hideMark/>
          </w:tcPr>
          <w:p w14:paraId="6F89520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126</w:t>
            </w:r>
          </w:p>
        </w:tc>
        <w:tc>
          <w:tcPr>
            <w:tcW w:w="567" w:type="dxa"/>
            <w:tcBorders>
              <w:top w:val="nil"/>
              <w:left w:val="nil"/>
              <w:bottom w:val="nil"/>
              <w:right w:val="nil"/>
            </w:tcBorders>
            <w:shd w:val="clear" w:color="auto" w:fill="auto"/>
            <w:noWrap/>
            <w:vAlign w:val="center"/>
            <w:hideMark/>
          </w:tcPr>
          <w:p w14:paraId="021C9D0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42</w:t>
            </w:r>
          </w:p>
        </w:tc>
        <w:tc>
          <w:tcPr>
            <w:tcW w:w="1794" w:type="dxa"/>
            <w:tcBorders>
              <w:top w:val="nil"/>
              <w:left w:val="nil"/>
              <w:bottom w:val="nil"/>
              <w:right w:val="nil"/>
            </w:tcBorders>
            <w:shd w:val="clear" w:color="auto" w:fill="auto"/>
            <w:vAlign w:val="center"/>
            <w:hideMark/>
          </w:tcPr>
          <w:p w14:paraId="1EC1D2B7"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0CBD8BE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86</w:t>
            </w:r>
          </w:p>
        </w:tc>
        <w:tc>
          <w:tcPr>
            <w:tcW w:w="566" w:type="dxa"/>
            <w:tcBorders>
              <w:top w:val="nil"/>
              <w:left w:val="nil"/>
              <w:bottom w:val="nil"/>
              <w:right w:val="nil"/>
            </w:tcBorders>
            <w:shd w:val="clear" w:color="auto" w:fill="auto"/>
            <w:vAlign w:val="center"/>
            <w:hideMark/>
          </w:tcPr>
          <w:p w14:paraId="5EACEA1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30</w:t>
            </w:r>
          </w:p>
        </w:tc>
        <w:tc>
          <w:tcPr>
            <w:tcW w:w="662" w:type="dxa"/>
            <w:tcBorders>
              <w:top w:val="nil"/>
              <w:left w:val="nil"/>
              <w:bottom w:val="nil"/>
              <w:right w:val="nil"/>
            </w:tcBorders>
            <w:shd w:val="clear" w:color="auto" w:fill="auto"/>
            <w:vAlign w:val="center"/>
            <w:hideMark/>
          </w:tcPr>
          <w:p w14:paraId="2A9D780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115</w:t>
            </w:r>
          </w:p>
        </w:tc>
        <w:tc>
          <w:tcPr>
            <w:tcW w:w="609" w:type="dxa"/>
            <w:tcBorders>
              <w:top w:val="nil"/>
              <w:left w:val="nil"/>
              <w:bottom w:val="nil"/>
              <w:right w:val="nil"/>
            </w:tcBorders>
            <w:shd w:val="clear" w:color="auto" w:fill="auto"/>
            <w:vAlign w:val="center"/>
            <w:hideMark/>
          </w:tcPr>
          <w:p w14:paraId="76119DA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36</w:t>
            </w:r>
          </w:p>
        </w:tc>
        <w:tc>
          <w:tcPr>
            <w:tcW w:w="1756" w:type="dxa"/>
            <w:tcBorders>
              <w:top w:val="nil"/>
              <w:left w:val="nil"/>
              <w:bottom w:val="nil"/>
              <w:right w:val="nil"/>
            </w:tcBorders>
          </w:tcPr>
          <w:p w14:paraId="1CDAAB20"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4472CF71" w14:textId="77777777" w:rsidTr="00AD6FE2">
        <w:trPr>
          <w:trHeight w:val="300"/>
        </w:trPr>
        <w:tc>
          <w:tcPr>
            <w:tcW w:w="961" w:type="dxa"/>
            <w:tcBorders>
              <w:top w:val="nil"/>
              <w:left w:val="nil"/>
              <w:bottom w:val="nil"/>
              <w:right w:val="nil"/>
            </w:tcBorders>
            <w:shd w:val="clear" w:color="auto" w:fill="auto"/>
            <w:noWrap/>
            <w:vAlign w:val="bottom"/>
            <w:hideMark/>
          </w:tcPr>
          <w:p w14:paraId="370F934A"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6B9250FA"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67397184"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3 </w:t>
            </w:r>
          </w:p>
        </w:tc>
        <w:tc>
          <w:tcPr>
            <w:tcW w:w="655" w:type="dxa"/>
            <w:tcBorders>
              <w:top w:val="nil"/>
              <w:left w:val="nil"/>
              <w:bottom w:val="nil"/>
              <w:right w:val="nil"/>
            </w:tcBorders>
            <w:shd w:val="clear" w:color="auto" w:fill="auto"/>
            <w:noWrap/>
            <w:vAlign w:val="center"/>
            <w:hideMark/>
          </w:tcPr>
          <w:p w14:paraId="21C4C7F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85</w:t>
            </w:r>
          </w:p>
        </w:tc>
        <w:tc>
          <w:tcPr>
            <w:tcW w:w="567" w:type="dxa"/>
            <w:tcBorders>
              <w:top w:val="nil"/>
              <w:left w:val="nil"/>
              <w:bottom w:val="nil"/>
              <w:right w:val="nil"/>
            </w:tcBorders>
            <w:shd w:val="clear" w:color="auto" w:fill="auto"/>
            <w:noWrap/>
            <w:vAlign w:val="center"/>
            <w:hideMark/>
          </w:tcPr>
          <w:p w14:paraId="153847F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71</w:t>
            </w:r>
          </w:p>
        </w:tc>
        <w:tc>
          <w:tcPr>
            <w:tcW w:w="709" w:type="dxa"/>
            <w:tcBorders>
              <w:top w:val="nil"/>
              <w:left w:val="nil"/>
              <w:bottom w:val="nil"/>
              <w:right w:val="nil"/>
            </w:tcBorders>
            <w:shd w:val="clear" w:color="auto" w:fill="auto"/>
            <w:noWrap/>
            <w:vAlign w:val="center"/>
            <w:hideMark/>
          </w:tcPr>
          <w:p w14:paraId="2B2DA48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156</w:t>
            </w:r>
          </w:p>
        </w:tc>
        <w:tc>
          <w:tcPr>
            <w:tcW w:w="567" w:type="dxa"/>
            <w:tcBorders>
              <w:top w:val="nil"/>
              <w:left w:val="nil"/>
              <w:bottom w:val="nil"/>
              <w:right w:val="nil"/>
            </w:tcBorders>
            <w:shd w:val="clear" w:color="auto" w:fill="auto"/>
            <w:noWrap/>
            <w:vAlign w:val="center"/>
            <w:hideMark/>
          </w:tcPr>
          <w:p w14:paraId="110D81B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73</w:t>
            </w:r>
          </w:p>
        </w:tc>
        <w:tc>
          <w:tcPr>
            <w:tcW w:w="1794" w:type="dxa"/>
            <w:tcBorders>
              <w:top w:val="nil"/>
              <w:left w:val="nil"/>
              <w:bottom w:val="nil"/>
              <w:right w:val="nil"/>
            </w:tcBorders>
            <w:shd w:val="clear" w:color="auto" w:fill="auto"/>
            <w:vAlign w:val="center"/>
            <w:hideMark/>
          </w:tcPr>
          <w:p w14:paraId="4E355B69"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7000AB8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86</w:t>
            </w:r>
          </w:p>
        </w:tc>
        <w:tc>
          <w:tcPr>
            <w:tcW w:w="566" w:type="dxa"/>
            <w:tcBorders>
              <w:top w:val="nil"/>
              <w:left w:val="nil"/>
              <w:bottom w:val="nil"/>
              <w:right w:val="nil"/>
            </w:tcBorders>
            <w:shd w:val="clear" w:color="auto" w:fill="auto"/>
            <w:vAlign w:val="center"/>
            <w:hideMark/>
          </w:tcPr>
          <w:p w14:paraId="64C03DF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74</w:t>
            </w:r>
          </w:p>
        </w:tc>
        <w:tc>
          <w:tcPr>
            <w:tcW w:w="662" w:type="dxa"/>
            <w:tcBorders>
              <w:top w:val="nil"/>
              <w:left w:val="nil"/>
              <w:bottom w:val="nil"/>
              <w:right w:val="nil"/>
            </w:tcBorders>
            <w:shd w:val="clear" w:color="auto" w:fill="auto"/>
            <w:vAlign w:val="center"/>
            <w:hideMark/>
          </w:tcPr>
          <w:p w14:paraId="3E161F4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160</w:t>
            </w:r>
          </w:p>
        </w:tc>
        <w:tc>
          <w:tcPr>
            <w:tcW w:w="609" w:type="dxa"/>
            <w:tcBorders>
              <w:top w:val="nil"/>
              <w:left w:val="nil"/>
              <w:bottom w:val="nil"/>
              <w:right w:val="nil"/>
            </w:tcBorders>
            <w:shd w:val="clear" w:color="auto" w:fill="auto"/>
            <w:vAlign w:val="center"/>
            <w:hideMark/>
          </w:tcPr>
          <w:p w14:paraId="71BB760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75</w:t>
            </w:r>
          </w:p>
        </w:tc>
        <w:tc>
          <w:tcPr>
            <w:tcW w:w="1756" w:type="dxa"/>
            <w:tcBorders>
              <w:top w:val="nil"/>
              <w:left w:val="nil"/>
              <w:bottom w:val="nil"/>
              <w:right w:val="nil"/>
            </w:tcBorders>
          </w:tcPr>
          <w:p w14:paraId="3FABFF6D"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4100D12F" w14:textId="77777777" w:rsidTr="00AD6FE2">
        <w:trPr>
          <w:trHeight w:val="315"/>
        </w:trPr>
        <w:tc>
          <w:tcPr>
            <w:tcW w:w="961" w:type="dxa"/>
            <w:tcBorders>
              <w:top w:val="nil"/>
              <w:left w:val="nil"/>
              <w:bottom w:val="nil"/>
              <w:right w:val="nil"/>
            </w:tcBorders>
            <w:shd w:val="clear" w:color="auto" w:fill="auto"/>
            <w:noWrap/>
            <w:vAlign w:val="bottom"/>
            <w:hideMark/>
          </w:tcPr>
          <w:p w14:paraId="038CE989"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single" w:sz="8" w:space="0" w:color="auto"/>
              <w:right w:val="nil"/>
            </w:tcBorders>
            <w:shd w:val="clear" w:color="auto" w:fill="auto"/>
            <w:noWrap/>
            <w:vAlign w:val="center"/>
            <w:hideMark/>
          </w:tcPr>
          <w:p w14:paraId="4FE7EB2F"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0F364FAE"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4  </w:t>
            </w:r>
          </w:p>
        </w:tc>
        <w:tc>
          <w:tcPr>
            <w:tcW w:w="655" w:type="dxa"/>
            <w:tcBorders>
              <w:top w:val="nil"/>
              <w:left w:val="nil"/>
              <w:bottom w:val="single" w:sz="8" w:space="0" w:color="auto"/>
              <w:right w:val="nil"/>
            </w:tcBorders>
            <w:shd w:val="clear" w:color="auto" w:fill="auto"/>
            <w:noWrap/>
            <w:vAlign w:val="center"/>
            <w:hideMark/>
          </w:tcPr>
          <w:p w14:paraId="319B856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77</w:t>
            </w:r>
          </w:p>
        </w:tc>
        <w:tc>
          <w:tcPr>
            <w:tcW w:w="567" w:type="dxa"/>
            <w:tcBorders>
              <w:top w:val="nil"/>
              <w:left w:val="nil"/>
              <w:bottom w:val="single" w:sz="8" w:space="0" w:color="auto"/>
              <w:right w:val="nil"/>
            </w:tcBorders>
            <w:shd w:val="clear" w:color="auto" w:fill="auto"/>
            <w:noWrap/>
            <w:vAlign w:val="center"/>
            <w:hideMark/>
          </w:tcPr>
          <w:p w14:paraId="3658926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91</w:t>
            </w:r>
          </w:p>
        </w:tc>
        <w:tc>
          <w:tcPr>
            <w:tcW w:w="709" w:type="dxa"/>
            <w:tcBorders>
              <w:top w:val="nil"/>
              <w:left w:val="nil"/>
              <w:bottom w:val="single" w:sz="8" w:space="0" w:color="auto"/>
              <w:right w:val="nil"/>
            </w:tcBorders>
            <w:shd w:val="clear" w:color="auto" w:fill="auto"/>
            <w:noWrap/>
            <w:vAlign w:val="center"/>
            <w:hideMark/>
          </w:tcPr>
          <w:p w14:paraId="7EF68F0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168</w:t>
            </w:r>
          </w:p>
        </w:tc>
        <w:tc>
          <w:tcPr>
            <w:tcW w:w="567" w:type="dxa"/>
            <w:tcBorders>
              <w:top w:val="nil"/>
              <w:left w:val="nil"/>
              <w:bottom w:val="single" w:sz="8" w:space="0" w:color="auto"/>
              <w:right w:val="nil"/>
            </w:tcBorders>
            <w:shd w:val="clear" w:color="auto" w:fill="auto"/>
            <w:noWrap/>
            <w:vAlign w:val="center"/>
            <w:hideMark/>
          </w:tcPr>
          <w:p w14:paraId="53D8FBA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89</w:t>
            </w:r>
          </w:p>
        </w:tc>
        <w:tc>
          <w:tcPr>
            <w:tcW w:w="1794" w:type="dxa"/>
            <w:tcBorders>
              <w:top w:val="nil"/>
              <w:left w:val="nil"/>
              <w:bottom w:val="single" w:sz="8" w:space="0" w:color="auto"/>
              <w:right w:val="nil"/>
            </w:tcBorders>
            <w:shd w:val="clear" w:color="auto" w:fill="auto"/>
            <w:vAlign w:val="center"/>
            <w:hideMark/>
          </w:tcPr>
          <w:p w14:paraId="463BB4F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566" w:type="dxa"/>
            <w:tcBorders>
              <w:top w:val="nil"/>
              <w:left w:val="nil"/>
              <w:bottom w:val="single" w:sz="8" w:space="0" w:color="auto"/>
              <w:right w:val="nil"/>
            </w:tcBorders>
            <w:shd w:val="clear" w:color="auto" w:fill="auto"/>
            <w:vAlign w:val="center"/>
            <w:hideMark/>
          </w:tcPr>
          <w:p w14:paraId="7B99A25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86</w:t>
            </w:r>
          </w:p>
        </w:tc>
        <w:tc>
          <w:tcPr>
            <w:tcW w:w="566" w:type="dxa"/>
            <w:tcBorders>
              <w:top w:val="nil"/>
              <w:left w:val="nil"/>
              <w:bottom w:val="single" w:sz="8" w:space="0" w:color="auto"/>
              <w:right w:val="nil"/>
            </w:tcBorders>
            <w:shd w:val="clear" w:color="auto" w:fill="auto"/>
            <w:vAlign w:val="center"/>
            <w:hideMark/>
          </w:tcPr>
          <w:p w14:paraId="4FF6028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93</w:t>
            </w:r>
          </w:p>
        </w:tc>
        <w:tc>
          <w:tcPr>
            <w:tcW w:w="662" w:type="dxa"/>
            <w:tcBorders>
              <w:top w:val="nil"/>
              <w:left w:val="nil"/>
              <w:bottom w:val="single" w:sz="8" w:space="0" w:color="auto"/>
              <w:right w:val="nil"/>
            </w:tcBorders>
            <w:shd w:val="clear" w:color="auto" w:fill="auto"/>
            <w:vAlign w:val="center"/>
            <w:hideMark/>
          </w:tcPr>
          <w:p w14:paraId="2BCBD8E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178</w:t>
            </w:r>
          </w:p>
        </w:tc>
        <w:tc>
          <w:tcPr>
            <w:tcW w:w="609" w:type="dxa"/>
            <w:tcBorders>
              <w:top w:val="nil"/>
              <w:left w:val="nil"/>
              <w:bottom w:val="single" w:sz="8" w:space="0" w:color="auto"/>
              <w:right w:val="nil"/>
            </w:tcBorders>
            <w:shd w:val="clear" w:color="auto" w:fill="auto"/>
            <w:vAlign w:val="center"/>
            <w:hideMark/>
          </w:tcPr>
          <w:p w14:paraId="464DB47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92</w:t>
            </w:r>
          </w:p>
        </w:tc>
        <w:tc>
          <w:tcPr>
            <w:tcW w:w="1756" w:type="dxa"/>
            <w:tcBorders>
              <w:top w:val="nil"/>
              <w:left w:val="nil"/>
              <w:bottom w:val="single" w:sz="8" w:space="0" w:color="auto"/>
              <w:right w:val="nil"/>
            </w:tcBorders>
          </w:tcPr>
          <w:p w14:paraId="2E1043AB"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10B1B9F2" w14:textId="77777777" w:rsidTr="00AD6FE2">
        <w:trPr>
          <w:trHeight w:val="300"/>
        </w:trPr>
        <w:tc>
          <w:tcPr>
            <w:tcW w:w="961" w:type="dxa"/>
            <w:tcBorders>
              <w:top w:val="nil"/>
              <w:left w:val="nil"/>
              <w:bottom w:val="nil"/>
              <w:right w:val="nil"/>
            </w:tcBorders>
            <w:shd w:val="clear" w:color="auto" w:fill="auto"/>
            <w:noWrap/>
            <w:vAlign w:val="bottom"/>
            <w:hideMark/>
          </w:tcPr>
          <w:p w14:paraId="5765DEA6"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center"/>
            <w:hideMark/>
          </w:tcPr>
          <w:p w14:paraId="7A1B79B1"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w:t>
            </w:r>
          </w:p>
        </w:tc>
        <w:tc>
          <w:tcPr>
            <w:tcW w:w="720" w:type="dxa"/>
            <w:tcBorders>
              <w:top w:val="nil"/>
              <w:left w:val="nil"/>
              <w:bottom w:val="nil"/>
              <w:right w:val="nil"/>
            </w:tcBorders>
            <w:shd w:val="clear" w:color="auto" w:fill="auto"/>
            <w:noWrap/>
            <w:vAlign w:val="center"/>
            <w:hideMark/>
          </w:tcPr>
          <w:p w14:paraId="0B187104"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1 </w:t>
            </w:r>
          </w:p>
        </w:tc>
        <w:tc>
          <w:tcPr>
            <w:tcW w:w="655" w:type="dxa"/>
            <w:tcBorders>
              <w:top w:val="nil"/>
              <w:left w:val="nil"/>
              <w:bottom w:val="nil"/>
              <w:right w:val="nil"/>
            </w:tcBorders>
            <w:shd w:val="clear" w:color="auto" w:fill="auto"/>
            <w:noWrap/>
            <w:vAlign w:val="center"/>
            <w:hideMark/>
          </w:tcPr>
          <w:p w14:paraId="43B467B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92</w:t>
            </w:r>
          </w:p>
        </w:tc>
        <w:tc>
          <w:tcPr>
            <w:tcW w:w="567" w:type="dxa"/>
            <w:tcBorders>
              <w:top w:val="nil"/>
              <w:left w:val="nil"/>
              <w:bottom w:val="nil"/>
              <w:right w:val="nil"/>
            </w:tcBorders>
            <w:shd w:val="clear" w:color="auto" w:fill="auto"/>
            <w:noWrap/>
            <w:vAlign w:val="center"/>
            <w:hideMark/>
          </w:tcPr>
          <w:p w14:paraId="7AFBB95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79</w:t>
            </w:r>
          </w:p>
        </w:tc>
        <w:tc>
          <w:tcPr>
            <w:tcW w:w="709" w:type="dxa"/>
            <w:tcBorders>
              <w:top w:val="nil"/>
              <w:left w:val="nil"/>
              <w:bottom w:val="nil"/>
              <w:right w:val="nil"/>
            </w:tcBorders>
            <w:shd w:val="clear" w:color="auto" w:fill="auto"/>
            <w:noWrap/>
            <w:vAlign w:val="center"/>
            <w:hideMark/>
          </w:tcPr>
          <w:p w14:paraId="2601FAA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172</w:t>
            </w:r>
          </w:p>
        </w:tc>
        <w:tc>
          <w:tcPr>
            <w:tcW w:w="567" w:type="dxa"/>
            <w:tcBorders>
              <w:top w:val="nil"/>
              <w:left w:val="nil"/>
              <w:bottom w:val="nil"/>
              <w:right w:val="nil"/>
            </w:tcBorders>
            <w:shd w:val="clear" w:color="auto" w:fill="auto"/>
            <w:noWrap/>
            <w:vAlign w:val="center"/>
            <w:hideMark/>
          </w:tcPr>
          <w:p w14:paraId="34F892A2"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81</w:t>
            </w:r>
          </w:p>
        </w:tc>
        <w:tc>
          <w:tcPr>
            <w:tcW w:w="1794" w:type="dxa"/>
            <w:tcBorders>
              <w:top w:val="nil"/>
              <w:left w:val="nil"/>
              <w:bottom w:val="nil"/>
              <w:right w:val="nil"/>
            </w:tcBorders>
            <w:shd w:val="clear" w:color="auto" w:fill="auto"/>
            <w:vAlign w:val="center"/>
            <w:hideMark/>
          </w:tcPr>
          <w:p w14:paraId="3F1E27C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0.88 (0.79, 0.97)</w:t>
            </w:r>
          </w:p>
        </w:tc>
        <w:tc>
          <w:tcPr>
            <w:tcW w:w="566" w:type="dxa"/>
            <w:tcBorders>
              <w:top w:val="nil"/>
              <w:left w:val="nil"/>
              <w:bottom w:val="nil"/>
              <w:right w:val="nil"/>
            </w:tcBorders>
            <w:shd w:val="clear" w:color="auto" w:fill="auto"/>
            <w:vAlign w:val="center"/>
            <w:hideMark/>
          </w:tcPr>
          <w:p w14:paraId="02E87F0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566" w:type="dxa"/>
            <w:tcBorders>
              <w:top w:val="nil"/>
              <w:left w:val="nil"/>
              <w:bottom w:val="nil"/>
              <w:right w:val="nil"/>
            </w:tcBorders>
            <w:shd w:val="clear" w:color="auto" w:fill="auto"/>
            <w:vAlign w:val="center"/>
            <w:hideMark/>
          </w:tcPr>
          <w:p w14:paraId="2C5D9D1D" w14:textId="6A675D41" w:rsidR="0071164E" w:rsidRPr="00853C22" w:rsidRDefault="00D722D2" w:rsidP="00AD6FE2">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81</w:t>
            </w:r>
          </w:p>
        </w:tc>
        <w:tc>
          <w:tcPr>
            <w:tcW w:w="662" w:type="dxa"/>
            <w:tcBorders>
              <w:top w:val="nil"/>
              <w:left w:val="nil"/>
              <w:bottom w:val="nil"/>
              <w:right w:val="nil"/>
            </w:tcBorders>
            <w:shd w:val="clear" w:color="auto" w:fill="auto"/>
            <w:vAlign w:val="center"/>
            <w:hideMark/>
          </w:tcPr>
          <w:p w14:paraId="1E612127" w14:textId="1294C05C"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w:t>
            </w:r>
            <w:r w:rsidR="00D722D2">
              <w:rPr>
                <w:rFonts w:asciiTheme="minorHAnsi" w:hAnsiTheme="minorHAnsi" w:cstheme="minorHAnsi"/>
                <w:color w:val="000000"/>
                <w:sz w:val="22"/>
                <w:szCs w:val="22"/>
                <w:lang w:eastAsia="en-GB"/>
              </w:rPr>
              <w:t>81</w:t>
            </w:r>
          </w:p>
        </w:tc>
        <w:tc>
          <w:tcPr>
            <w:tcW w:w="609" w:type="dxa"/>
            <w:tcBorders>
              <w:top w:val="nil"/>
              <w:left w:val="nil"/>
              <w:bottom w:val="nil"/>
              <w:right w:val="nil"/>
            </w:tcBorders>
            <w:shd w:val="clear" w:color="auto" w:fill="auto"/>
            <w:vAlign w:val="center"/>
            <w:hideMark/>
          </w:tcPr>
          <w:p w14:paraId="0F41A7D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84</w:t>
            </w:r>
          </w:p>
        </w:tc>
        <w:tc>
          <w:tcPr>
            <w:tcW w:w="1756" w:type="dxa"/>
            <w:tcBorders>
              <w:top w:val="nil"/>
              <w:left w:val="nil"/>
              <w:bottom w:val="nil"/>
              <w:right w:val="nil"/>
            </w:tcBorders>
          </w:tcPr>
          <w:p w14:paraId="64CFBDD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0.90 (0.83, 0.97)</w:t>
            </w:r>
          </w:p>
        </w:tc>
      </w:tr>
      <w:tr w:rsidR="0071164E" w:rsidRPr="00853C22" w14:paraId="5E12AB82" w14:textId="77777777" w:rsidTr="00AD6FE2">
        <w:trPr>
          <w:trHeight w:val="300"/>
        </w:trPr>
        <w:tc>
          <w:tcPr>
            <w:tcW w:w="961" w:type="dxa"/>
            <w:tcBorders>
              <w:top w:val="nil"/>
              <w:left w:val="nil"/>
              <w:bottom w:val="nil"/>
              <w:right w:val="nil"/>
            </w:tcBorders>
            <w:shd w:val="clear" w:color="auto" w:fill="auto"/>
            <w:noWrap/>
            <w:vAlign w:val="bottom"/>
            <w:hideMark/>
          </w:tcPr>
          <w:p w14:paraId="0D37232D"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174D39E9"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08B35AD7"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2  </w:t>
            </w:r>
          </w:p>
        </w:tc>
        <w:tc>
          <w:tcPr>
            <w:tcW w:w="655" w:type="dxa"/>
            <w:tcBorders>
              <w:top w:val="nil"/>
              <w:left w:val="nil"/>
              <w:bottom w:val="nil"/>
              <w:right w:val="nil"/>
            </w:tcBorders>
            <w:shd w:val="clear" w:color="auto" w:fill="auto"/>
            <w:noWrap/>
            <w:vAlign w:val="center"/>
            <w:hideMark/>
          </w:tcPr>
          <w:p w14:paraId="63B0B09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38</w:t>
            </w:r>
          </w:p>
        </w:tc>
        <w:tc>
          <w:tcPr>
            <w:tcW w:w="567" w:type="dxa"/>
            <w:tcBorders>
              <w:top w:val="nil"/>
              <w:left w:val="nil"/>
              <w:bottom w:val="nil"/>
              <w:right w:val="nil"/>
            </w:tcBorders>
            <w:shd w:val="clear" w:color="auto" w:fill="auto"/>
            <w:noWrap/>
            <w:vAlign w:val="center"/>
            <w:hideMark/>
          </w:tcPr>
          <w:p w14:paraId="0C744DF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96</w:t>
            </w:r>
          </w:p>
        </w:tc>
        <w:tc>
          <w:tcPr>
            <w:tcW w:w="709" w:type="dxa"/>
            <w:tcBorders>
              <w:top w:val="nil"/>
              <w:left w:val="nil"/>
              <w:bottom w:val="nil"/>
              <w:right w:val="nil"/>
            </w:tcBorders>
            <w:shd w:val="clear" w:color="auto" w:fill="auto"/>
            <w:noWrap/>
            <w:vAlign w:val="center"/>
            <w:hideMark/>
          </w:tcPr>
          <w:p w14:paraId="64DF581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135</w:t>
            </w:r>
          </w:p>
        </w:tc>
        <w:tc>
          <w:tcPr>
            <w:tcW w:w="567" w:type="dxa"/>
            <w:tcBorders>
              <w:top w:val="nil"/>
              <w:left w:val="nil"/>
              <w:bottom w:val="nil"/>
              <w:right w:val="nil"/>
            </w:tcBorders>
            <w:shd w:val="clear" w:color="auto" w:fill="auto"/>
            <w:noWrap/>
            <w:vAlign w:val="center"/>
            <w:hideMark/>
          </w:tcPr>
          <w:p w14:paraId="67434B0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88</w:t>
            </w:r>
          </w:p>
        </w:tc>
        <w:tc>
          <w:tcPr>
            <w:tcW w:w="1794" w:type="dxa"/>
            <w:tcBorders>
              <w:top w:val="nil"/>
              <w:left w:val="nil"/>
              <w:bottom w:val="nil"/>
              <w:right w:val="nil"/>
            </w:tcBorders>
            <w:shd w:val="clear" w:color="auto" w:fill="auto"/>
            <w:vAlign w:val="center"/>
            <w:hideMark/>
          </w:tcPr>
          <w:p w14:paraId="1BA19812"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2153A62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29</w:t>
            </w:r>
          </w:p>
        </w:tc>
        <w:tc>
          <w:tcPr>
            <w:tcW w:w="566" w:type="dxa"/>
            <w:tcBorders>
              <w:top w:val="nil"/>
              <w:left w:val="nil"/>
              <w:bottom w:val="nil"/>
              <w:right w:val="nil"/>
            </w:tcBorders>
            <w:shd w:val="clear" w:color="auto" w:fill="auto"/>
            <w:vAlign w:val="center"/>
            <w:hideMark/>
          </w:tcPr>
          <w:p w14:paraId="211B2308" w14:textId="22B69A1C" w:rsidR="0071164E" w:rsidRPr="00853C22" w:rsidRDefault="00D722D2" w:rsidP="00AD6FE2">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95</w:t>
            </w:r>
          </w:p>
        </w:tc>
        <w:tc>
          <w:tcPr>
            <w:tcW w:w="662" w:type="dxa"/>
            <w:tcBorders>
              <w:top w:val="nil"/>
              <w:left w:val="nil"/>
              <w:bottom w:val="nil"/>
              <w:right w:val="nil"/>
            </w:tcBorders>
            <w:shd w:val="clear" w:color="auto" w:fill="auto"/>
            <w:vAlign w:val="center"/>
            <w:hideMark/>
          </w:tcPr>
          <w:p w14:paraId="291BA819" w14:textId="652D733B" w:rsidR="0071164E" w:rsidRPr="00853C22" w:rsidRDefault="00D722D2" w:rsidP="00AD6FE2">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124</w:t>
            </w:r>
          </w:p>
        </w:tc>
        <w:tc>
          <w:tcPr>
            <w:tcW w:w="609" w:type="dxa"/>
            <w:tcBorders>
              <w:top w:val="nil"/>
              <w:left w:val="nil"/>
              <w:bottom w:val="nil"/>
              <w:right w:val="nil"/>
            </w:tcBorders>
            <w:shd w:val="clear" w:color="auto" w:fill="auto"/>
            <w:vAlign w:val="center"/>
            <w:hideMark/>
          </w:tcPr>
          <w:p w14:paraId="250C97C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87</w:t>
            </w:r>
          </w:p>
        </w:tc>
        <w:tc>
          <w:tcPr>
            <w:tcW w:w="1756" w:type="dxa"/>
            <w:tcBorders>
              <w:top w:val="nil"/>
              <w:left w:val="nil"/>
              <w:bottom w:val="nil"/>
              <w:right w:val="nil"/>
            </w:tcBorders>
          </w:tcPr>
          <w:p w14:paraId="6F279F2E"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720653C1" w14:textId="77777777" w:rsidTr="00AD6FE2">
        <w:trPr>
          <w:trHeight w:val="300"/>
        </w:trPr>
        <w:tc>
          <w:tcPr>
            <w:tcW w:w="961" w:type="dxa"/>
            <w:tcBorders>
              <w:top w:val="nil"/>
              <w:left w:val="nil"/>
              <w:bottom w:val="nil"/>
              <w:right w:val="nil"/>
            </w:tcBorders>
            <w:shd w:val="clear" w:color="auto" w:fill="auto"/>
            <w:noWrap/>
            <w:vAlign w:val="bottom"/>
            <w:hideMark/>
          </w:tcPr>
          <w:p w14:paraId="0D4A878D"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7F3EE038"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2A2CC6CC"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3 </w:t>
            </w:r>
          </w:p>
        </w:tc>
        <w:tc>
          <w:tcPr>
            <w:tcW w:w="655" w:type="dxa"/>
            <w:tcBorders>
              <w:top w:val="nil"/>
              <w:left w:val="nil"/>
              <w:bottom w:val="nil"/>
              <w:right w:val="nil"/>
            </w:tcBorders>
            <w:shd w:val="clear" w:color="auto" w:fill="auto"/>
            <w:noWrap/>
            <w:vAlign w:val="center"/>
            <w:hideMark/>
          </w:tcPr>
          <w:p w14:paraId="12D33CB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23</w:t>
            </w:r>
          </w:p>
        </w:tc>
        <w:tc>
          <w:tcPr>
            <w:tcW w:w="567" w:type="dxa"/>
            <w:tcBorders>
              <w:top w:val="nil"/>
              <w:left w:val="nil"/>
              <w:bottom w:val="nil"/>
              <w:right w:val="nil"/>
            </w:tcBorders>
            <w:shd w:val="clear" w:color="auto" w:fill="auto"/>
            <w:noWrap/>
            <w:vAlign w:val="center"/>
            <w:hideMark/>
          </w:tcPr>
          <w:p w14:paraId="4CCD836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97</w:t>
            </w:r>
          </w:p>
        </w:tc>
        <w:tc>
          <w:tcPr>
            <w:tcW w:w="709" w:type="dxa"/>
            <w:tcBorders>
              <w:top w:val="nil"/>
              <w:left w:val="nil"/>
              <w:bottom w:val="nil"/>
              <w:right w:val="nil"/>
            </w:tcBorders>
            <w:shd w:val="clear" w:color="auto" w:fill="auto"/>
            <w:noWrap/>
            <w:vAlign w:val="center"/>
            <w:hideMark/>
          </w:tcPr>
          <w:p w14:paraId="0336425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120</w:t>
            </w:r>
          </w:p>
        </w:tc>
        <w:tc>
          <w:tcPr>
            <w:tcW w:w="567" w:type="dxa"/>
            <w:tcBorders>
              <w:top w:val="nil"/>
              <w:left w:val="nil"/>
              <w:bottom w:val="nil"/>
              <w:right w:val="nil"/>
            </w:tcBorders>
            <w:shd w:val="clear" w:color="auto" w:fill="auto"/>
            <w:noWrap/>
            <w:vAlign w:val="center"/>
            <w:hideMark/>
          </w:tcPr>
          <w:p w14:paraId="539AA64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87</w:t>
            </w:r>
          </w:p>
        </w:tc>
        <w:tc>
          <w:tcPr>
            <w:tcW w:w="1794" w:type="dxa"/>
            <w:tcBorders>
              <w:top w:val="nil"/>
              <w:left w:val="nil"/>
              <w:bottom w:val="nil"/>
              <w:right w:val="nil"/>
            </w:tcBorders>
            <w:shd w:val="clear" w:color="auto" w:fill="auto"/>
            <w:vAlign w:val="center"/>
            <w:hideMark/>
          </w:tcPr>
          <w:p w14:paraId="6EE9692D"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0B74D87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w:t>
            </w:r>
          </w:p>
        </w:tc>
        <w:tc>
          <w:tcPr>
            <w:tcW w:w="566" w:type="dxa"/>
            <w:tcBorders>
              <w:top w:val="nil"/>
              <w:left w:val="nil"/>
              <w:bottom w:val="nil"/>
              <w:right w:val="nil"/>
            </w:tcBorders>
            <w:shd w:val="clear" w:color="auto" w:fill="auto"/>
            <w:vAlign w:val="center"/>
            <w:hideMark/>
          </w:tcPr>
          <w:p w14:paraId="1CA0FD1D" w14:textId="34B44CB7" w:rsidR="0071164E" w:rsidRPr="00853C22" w:rsidRDefault="00D722D2" w:rsidP="00AD6FE2">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96</w:t>
            </w:r>
          </w:p>
        </w:tc>
        <w:tc>
          <w:tcPr>
            <w:tcW w:w="662" w:type="dxa"/>
            <w:tcBorders>
              <w:top w:val="nil"/>
              <w:left w:val="nil"/>
              <w:bottom w:val="nil"/>
              <w:right w:val="nil"/>
            </w:tcBorders>
            <w:shd w:val="clear" w:color="auto" w:fill="auto"/>
            <w:vAlign w:val="center"/>
            <w:hideMark/>
          </w:tcPr>
          <w:p w14:paraId="671AF7A2" w14:textId="0E4A7C7A" w:rsidR="0071164E" w:rsidRPr="00853C22" w:rsidRDefault="00D722D2" w:rsidP="00AD6FE2">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96</w:t>
            </w:r>
          </w:p>
        </w:tc>
        <w:tc>
          <w:tcPr>
            <w:tcW w:w="609" w:type="dxa"/>
            <w:tcBorders>
              <w:top w:val="nil"/>
              <w:left w:val="nil"/>
              <w:bottom w:val="nil"/>
              <w:right w:val="nil"/>
            </w:tcBorders>
            <w:shd w:val="clear" w:color="auto" w:fill="auto"/>
            <w:vAlign w:val="center"/>
            <w:hideMark/>
          </w:tcPr>
          <w:p w14:paraId="109AE13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85</w:t>
            </w:r>
          </w:p>
        </w:tc>
        <w:tc>
          <w:tcPr>
            <w:tcW w:w="1756" w:type="dxa"/>
            <w:tcBorders>
              <w:top w:val="nil"/>
              <w:left w:val="nil"/>
              <w:bottom w:val="nil"/>
              <w:right w:val="nil"/>
            </w:tcBorders>
          </w:tcPr>
          <w:p w14:paraId="20BF9D68"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0A071E9E" w14:textId="77777777" w:rsidTr="00AD6FE2">
        <w:trPr>
          <w:trHeight w:val="315"/>
        </w:trPr>
        <w:tc>
          <w:tcPr>
            <w:tcW w:w="961" w:type="dxa"/>
            <w:tcBorders>
              <w:top w:val="nil"/>
              <w:left w:val="nil"/>
              <w:bottom w:val="nil"/>
              <w:right w:val="nil"/>
            </w:tcBorders>
            <w:shd w:val="clear" w:color="auto" w:fill="auto"/>
            <w:noWrap/>
            <w:vAlign w:val="bottom"/>
            <w:hideMark/>
          </w:tcPr>
          <w:p w14:paraId="77C7FD0F"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single" w:sz="8" w:space="0" w:color="auto"/>
              <w:right w:val="nil"/>
            </w:tcBorders>
            <w:shd w:val="clear" w:color="auto" w:fill="auto"/>
            <w:noWrap/>
            <w:vAlign w:val="center"/>
            <w:hideMark/>
          </w:tcPr>
          <w:p w14:paraId="4E4422A8"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26F26AC3"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4  </w:t>
            </w:r>
          </w:p>
        </w:tc>
        <w:tc>
          <w:tcPr>
            <w:tcW w:w="655" w:type="dxa"/>
            <w:tcBorders>
              <w:top w:val="nil"/>
              <w:left w:val="nil"/>
              <w:bottom w:val="single" w:sz="8" w:space="0" w:color="auto"/>
              <w:right w:val="nil"/>
            </w:tcBorders>
            <w:shd w:val="clear" w:color="auto" w:fill="auto"/>
            <w:noWrap/>
            <w:vAlign w:val="center"/>
            <w:hideMark/>
          </w:tcPr>
          <w:p w14:paraId="3CF68B9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w:t>
            </w:r>
          </w:p>
        </w:tc>
        <w:tc>
          <w:tcPr>
            <w:tcW w:w="567" w:type="dxa"/>
            <w:tcBorders>
              <w:top w:val="nil"/>
              <w:left w:val="nil"/>
              <w:bottom w:val="single" w:sz="8" w:space="0" w:color="auto"/>
              <w:right w:val="nil"/>
            </w:tcBorders>
            <w:shd w:val="clear" w:color="auto" w:fill="auto"/>
            <w:noWrap/>
            <w:vAlign w:val="center"/>
            <w:hideMark/>
          </w:tcPr>
          <w:p w14:paraId="5956D88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709" w:type="dxa"/>
            <w:tcBorders>
              <w:top w:val="nil"/>
              <w:left w:val="nil"/>
              <w:bottom w:val="single" w:sz="8" w:space="0" w:color="auto"/>
              <w:right w:val="nil"/>
            </w:tcBorders>
            <w:shd w:val="clear" w:color="auto" w:fill="auto"/>
            <w:noWrap/>
            <w:vAlign w:val="center"/>
            <w:hideMark/>
          </w:tcPr>
          <w:p w14:paraId="73BDB2B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115</w:t>
            </w:r>
          </w:p>
        </w:tc>
        <w:tc>
          <w:tcPr>
            <w:tcW w:w="567" w:type="dxa"/>
            <w:tcBorders>
              <w:top w:val="nil"/>
              <w:left w:val="nil"/>
              <w:bottom w:val="single" w:sz="8" w:space="0" w:color="auto"/>
              <w:right w:val="nil"/>
            </w:tcBorders>
            <w:shd w:val="clear" w:color="auto" w:fill="auto"/>
            <w:noWrap/>
            <w:vAlign w:val="center"/>
            <w:hideMark/>
          </w:tcPr>
          <w:p w14:paraId="4F7E2A7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88</w:t>
            </w:r>
          </w:p>
        </w:tc>
        <w:tc>
          <w:tcPr>
            <w:tcW w:w="1794" w:type="dxa"/>
            <w:tcBorders>
              <w:top w:val="nil"/>
              <w:left w:val="nil"/>
              <w:bottom w:val="single" w:sz="8" w:space="0" w:color="auto"/>
              <w:right w:val="nil"/>
            </w:tcBorders>
            <w:shd w:val="clear" w:color="auto" w:fill="auto"/>
            <w:vAlign w:val="center"/>
            <w:hideMark/>
          </w:tcPr>
          <w:p w14:paraId="362FE72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566" w:type="dxa"/>
            <w:tcBorders>
              <w:top w:val="nil"/>
              <w:left w:val="nil"/>
              <w:bottom w:val="single" w:sz="8" w:space="0" w:color="auto"/>
              <w:right w:val="nil"/>
            </w:tcBorders>
            <w:shd w:val="clear" w:color="auto" w:fill="auto"/>
            <w:vAlign w:val="center"/>
            <w:hideMark/>
          </w:tcPr>
          <w:p w14:paraId="66C4A24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w:t>
            </w:r>
          </w:p>
        </w:tc>
        <w:tc>
          <w:tcPr>
            <w:tcW w:w="566" w:type="dxa"/>
            <w:tcBorders>
              <w:top w:val="nil"/>
              <w:left w:val="nil"/>
              <w:bottom w:val="single" w:sz="8" w:space="0" w:color="auto"/>
              <w:right w:val="nil"/>
            </w:tcBorders>
            <w:shd w:val="clear" w:color="auto" w:fill="auto"/>
            <w:vAlign w:val="center"/>
            <w:hideMark/>
          </w:tcPr>
          <w:p w14:paraId="2092847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w:t>
            </w:r>
          </w:p>
        </w:tc>
        <w:tc>
          <w:tcPr>
            <w:tcW w:w="662" w:type="dxa"/>
            <w:tcBorders>
              <w:top w:val="nil"/>
              <w:left w:val="nil"/>
              <w:bottom w:val="single" w:sz="8" w:space="0" w:color="auto"/>
              <w:right w:val="nil"/>
            </w:tcBorders>
            <w:shd w:val="clear" w:color="auto" w:fill="auto"/>
            <w:vAlign w:val="center"/>
            <w:hideMark/>
          </w:tcPr>
          <w:p w14:paraId="2FEFA63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w:t>
            </w:r>
          </w:p>
        </w:tc>
        <w:tc>
          <w:tcPr>
            <w:tcW w:w="609" w:type="dxa"/>
            <w:tcBorders>
              <w:top w:val="nil"/>
              <w:left w:val="nil"/>
              <w:bottom w:val="single" w:sz="8" w:space="0" w:color="auto"/>
              <w:right w:val="nil"/>
            </w:tcBorders>
            <w:shd w:val="clear" w:color="auto" w:fill="auto"/>
            <w:vAlign w:val="center"/>
            <w:hideMark/>
          </w:tcPr>
          <w:p w14:paraId="17C74FB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w:t>
            </w:r>
          </w:p>
        </w:tc>
        <w:tc>
          <w:tcPr>
            <w:tcW w:w="1756" w:type="dxa"/>
            <w:tcBorders>
              <w:top w:val="nil"/>
              <w:left w:val="nil"/>
              <w:bottom w:val="single" w:sz="8" w:space="0" w:color="auto"/>
              <w:right w:val="nil"/>
            </w:tcBorders>
          </w:tcPr>
          <w:p w14:paraId="5448DB05"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62A7462F" w14:textId="77777777" w:rsidTr="00AD6FE2">
        <w:trPr>
          <w:trHeight w:val="300"/>
        </w:trPr>
        <w:tc>
          <w:tcPr>
            <w:tcW w:w="961" w:type="dxa"/>
            <w:tcBorders>
              <w:top w:val="nil"/>
              <w:left w:val="nil"/>
              <w:bottom w:val="nil"/>
              <w:right w:val="nil"/>
            </w:tcBorders>
            <w:shd w:val="clear" w:color="auto" w:fill="auto"/>
            <w:noWrap/>
            <w:vAlign w:val="bottom"/>
            <w:hideMark/>
          </w:tcPr>
          <w:p w14:paraId="4E2E5808"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center"/>
            <w:hideMark/>
          </w:tcPr>
          <w:p w14:paraId="62F4136E"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3</w:t>
            </w:r>
          </w:p>
        </w:tc>
        <w:tc>
          <w:tcPr>
            <w:tcW w:w="720" w:type="dxa"/>
            <w:tcBorders>
              <w:top w:val="nil"/>
              <w:left w:val="nil"/>
              <w:bottom w:val="nil"/>
              <w:right w:val="nil"/>
            </w:tcBorders>
            <w:shd w:val="clear" w:color="auto" w:fill="auto"/>
            <w:noWrap/>
            <w:vAlign w:val="center"/>
            <w:hideMark/>
          </w:tcPr>
          <w:p w14:paraId="489A4BB6"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1 </w:t>
            </w:r>
          </w:p>
        </w:tc>
        <w:tc>
          <w:tcPr>
            <w:tcW w:w="655" w:type="dxa"/>
            <w:tcBorders>
              <w:top w:val="nil"/>
              <w:left w:val="nil"/>
              <w:bottom w:val="nil"/>
              <w:right w:val="nil"/>
            </w:tcBorders>
            <w:shd w:val="clear" w:color="auto" w:fill="auto"/>
            <w:noWrap/>
            <w:vAlign w:val="center"/>
            <w:hideMark/>
          </w:tcPr>
          <w:p w14:paraId="62575C6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85</w:t>
            </w:r>
          </w:p>
        </w:tc>
        <w:tc>
          <w:tcPr>
            <w:tcW w:w="567" w:type="dxa"/>
            <w:tcBorders>
              <w:top w:val="nil"/>
              <w:left w:val="nil"/>
              <w:bottom w:val="nil"/>
              <w:right w:val="nil"/>
            </w:tcBorders>
            <w:shd w:val="clear" w:color="auto" w:fill="auto"/>
            <w:noWrap/>
            <w:vAlign w:val="center"/>
            <w:hideMark/>
          </w:tcPr>
          <w:p w14:paraId="4C80F31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74</w:t>
            </w:r>
          </w:p>
        </w:tc>
        <w:tc>
          <w:tcPr>
            <w:tcW w:w="709" w:type="dxa"/>
            <w:tcBorders>
              <w:top w:val="nil"/>
              <w:left w:val="nil"/>
              <w:bottom w:val="nil"/>
              <w:right w:val="nil"/>
            </w:tcBorders>
            <w:shd w:val="clear" w:color="auto" w:fill="auto"/>
            <w:noWrap/>
            <w:vAlign w:val="center"/>
            <w:hideMark/>
          </w:tcPr>
          <w:p w14:paraId="09F9EBF5"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159</w:t>
            </w:r>
          </w:p>
        </w:tc>
        <w:tc>
          <w:tcPr>
            <w:tcW w:w="567" w:type="dxa"/>
            <w:tcBorders>
              <w:top w:val="nil"/>
              <w:left w:val="nil"/>
              <w:bottom w:val="nil"/>
              <w:right w:val="nil"/>
            </w:tcBorders>
            <w:shd w:val="clear" w:color="auto" w:fill="auto"/>
            <w:noWrap/>
            <w:vAlign w:val="center"/>
            <w:hideMark/>
          </w:tcPr>
          <w:p w14:paraId="53DDD77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76</w:t>
            </w:r>
          </w:p>
        </w:tc>
        <w:tc>
          <w:tcPr>
            <w:tcW w:w="1794" w:type="dxa"/>
            <w:tcBorders>
              <w:top w:val="nil"/>
              <w:left w:val="nil"/>
              <w:bottom w:val="nil"/>
              <w:right w:val="nil"/>
            </w:tcBorders>
            <w:shd w:val="clear" w:color="auto" w:fill="auto"/>
            <w:vAlign w:val="center"/>
            <w:hideMark/>
          </w:tcPr>
          <w:p w14:paraId="00A0CD2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0.84 (0.72, 0.97)</w:t>
            </w:r>
          </w:p>
        </w:tc>
        <w:tc>
          <w:tcPr>
            <w:tcW w:w="566" w:type="dxa"/>
            <w:tcBorders>
              <w:top w:val="nil"/>
              <w:left w:val="nil"/>
              <w:bottom w:val="nil"/>
              <w:right w:val="nil"/>
            </w:tcBorders>
            <w:shd w:val="clear" w:color="auto" w:fill="auto"/>
            <w:vAlign w:val="center"/>
            <w:hideMark/>
          </w:tcPr>
          <w:p w14:paraId="33EBE701"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86</w:t>
            </w:r>
          </w:p>
        </w:tc>
        <w:tc>
          <w:tcPr>
            <w:tcW w:w="566" w:type="dxa"/>
            <w:tcBorders>
              <w:top w:val="nil"/>
              <w:left w:val="nil"/>
              <w:bottom w:val="nil"/>
              <w:right w:val="nil"/>
            </w:tcBorders>
            <w:shd w:val="clear" w:color="auto" w:fill="auto"/>
            <w:vAlign w:val="center"/>
            <w:hideMark/>
          </w:tcPr>
          <w:p w14:paraId="7C09D8E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72</w:t>
            </w:r>
          </w:p>
        </w:tc>
        <w:tc>
          <w:tcPr>
            <w:tcW w:w="662" w:type="dxa"/>
            <w:tcBorders>
              <w:top w:val="nil"/>
              <w:left w:val="nil"/>
              <w:bottom w:val="nil"/>
              <w:right w:val="nil"/>
            </w:tcBorders>
            <w:shd w:val="clear" w:color="auto" w:fill="auto"/>
            <w:vAlign w:val="center"/>
            <w:hideMark/>
          </w:tcPr>
          <w:p w14:paraId="20D3A69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158</w:t>
            </w:r>
          </w:p>
        </w:tc>
        <w:tc>
          <w:tcPr>
            <w:tcW w:w="609" w:type="dxa"/>
            <w:tcBorders>
              <w:top w:val="nil"/>
              <w:left w:val="nil"/>
              <w:bottom w:val="nil"/>
              <w:right w:val="nil"/>
            </w:tcBorders>
            <w:shd w:val="clear" w:color="auto" w:fill="auto"/>
            <w:vAlign w:val="center"/>
            <w:hideMark/>
          </w:tcPr>
          <w:p w14:paraId="72ABEB9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74</w:t>
            </w:r>
          </w:p>
        </w:tc>
        <w:tc>
          <w:tcPr>
            <w:tcW w:w="1756" w:type="dxa"/>
            <w:tcBorders>
              <w:top w:val="nil"/>
              <w:left w:val="nil"/>
              <w:bottom w:val="nil"/>
              <w:right w:val="nil"/>
            </w:tcBorders>
          </w:tcPr>
          <w:p w14:paraId="4878F04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0.84 (0.67, 1.00)</w:t>
            </w:r>
          </w:p>
        </w:tc>
      </w:tr>
      <w:tr w:rsidR="0071164E" w:rsidRPr="00853C22" w14:paraId="16670D4D" w14:textId="77777777" w:rsidTr="00AD6FE2">
        <w:trPr>
          <w:trHeight w:val="300"/>
        </w:trPr>
        <w:tc>
          <w:tcPr>
            <w:tcW w:w="961" w:type="dxa"/>
            <w:tcBorders>
              <w:top w:val="nil"/>
              <w:left w:val="nil"/>
              <w:bottom w:val="nil"/>
              <w:right w:val="nil"/>
            </w:tcBorders>
            <w:shd w:val="clear" w:color="auto" w:fill="auto"/>
            <w:noWrap/>
            <w:vAlign w:val="bottom"/>
            <w:hideMark/>
          </w:tcPr>
          <w:p w14:paraId="463C6A37"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16C3A476"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6A890C98"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2  </w:t>
            </w:r>
          </w:p>
        </w:tc>
        <w:tc>
          <w:tcPr>
            <w:tcW w:w="655" w:type="dxa"/>
            <w:tcBorders>
              <w:top w:val="nil"/>
              <w:left w:val="nil"/>
              <w:bottom w:val="nil"/>
              <w:right w:val="nil"/>
            </w:tcBorders>
            <w:shd w:val="clear" w:color="auto" w:fill="auto"/>
            <w:noWrap/>
            <w:vAlign w:val="center"/>
            <w:hideMark/>
          </w:tcPr>
          <w:p w14:paraId="26B5193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62</w:t>
            </w:r>
          </w:p>
        </w:tc>
        <w:tc>
          <w:tcPr>
            <w:tcW w:w="567" w:type="dxa"/>
            <w:tcBorders>
              <w:top w:val="nil"/>
              <w:left w:val="nil"/>
              <w:bottom w:val="nil"/>
              <w:right w:val="nil"/>
            </w:tcBorders>
            <w:shd w:val="clear" w:color="auto" w:fill="auto"/>
            <w:noWrap/>
            <w:vAlign w:val="center"/>
            <w:hideMark/>
          </w:tcPr>
          <w:p w14:paraId="0C95C97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92</w:t>
            </w:r>
          </w:p>
        </w:tc>
        <w:tc>
          <w:tcPr>
            <w:tcW w:w="709" w:type="dxa"/>
            <w:tcBorders>
              <w:top w:val="nil"/>
              <w:left w:val="nil"/>
              <w:bottom w:val="nil"/>
              <w:right w:val="nil"/>
            </w:tcBorders>
            <w:shd w:val="clear" w:color="auto" w:fill="auto"/>
            <w:noWrap/>
            <w:vAlign w:val="center"/>
            <w:hideMark/>
          </w:tcPr>
          <w:p w14:paraId="695FD78A"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154</w:t>
            </w:r>
          </w:p>
        </w:tc>
        <w:tc>
          <w:tcPr>
            <w:tcW w:w="567" w:type="dxa"/>
            <w:tcBorders>
              <w:top w:val="nil"/>
              <w:left w:val="nil"/>
              <w:bottom w:val="nil"/>
              <w:right w:val="nil"/>
            </w:tcBorders>
            <w:shd w:val="clear" w:color="auto" w:fill="auto"/>
            <w:noWrap/>
            <w:vAlign w:val="center"/>
            <w:hideMark/>
          </w:tcPr>
          <w:p w14:paraId="1CDCB12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88</w:t>
            </w:r>
          </w:p>
        </w:tc>
        <w:tc>
          <w:tcPr>
            <w:tcW w:w="1794" w:type="dxa"/>
            <w:tcBorders>
              <w:top w:val="nil"/>
              <w:left w:val="nil"/>
              <w:bottom w:val="nil"/>
              <w:right w:val="nil"/>
            </w:tcBorders>
            <w:shd w:val="clear" w:color="auto" w:fill="auto"/>
            <w:vAlign w:val="center"/>
            <w:hideMark/>
          </w:tcPr>
          <w:p w14:paraId="598443AF"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422584B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57</w:t>
            </w:r>
          </w:p>
        </w:tc>
        <w:tc>
          <w:tcPr>
            <w:tcW w:w="566" w:type="dxa"/>
            <w:tcBorders>
              <w:top w:val="nil"/>
              <w:left w:val="nil"/>
              <w:bottom w:val="nil"/>
              <w:right w:val="nil"/>
            </w:tcBorders>
            <w:shd w:val="clear" w:color="auto" w:fill="auto"/>
            <w:vAlign w:val="center"/>
            <w:hideMark/>
          </w:tcPr>
          <w:p w14:paraId="346128CA"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93</w:t>
            </w:r>
          </w:p>
        </w:tc>
        <w:tc>
          <w:tcPr>
            <w:tcW w:w="662" w:type="dxa"/>
            <w:tcBorders>
              <w:top w:val="nil"/>
              <w:left w:val="nil"/>
              <w:bottom w:val="nil"/>
              <w:right w:val="nil"/>
            </w:tcBorders>
            <w:shd w:val="clear" w:color="auto" w:fill="auto"/>
            <w:vAlign w:val="center"/>
            <w:hideMark/>
          </w:tcPr>
          <w:p w14:paraId="0E668BBA"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150</w:t>
            </w:r>
          </w:p>
        </w:tc>
        <w:tc>
          <w:tcPr>
            <w:tcW w:w="609" w:type="dxa"/>
            <w:tcBorders>
              <w:top w:val="nil"/>
              <w:left w:val="nil"/>
              <w:bottom w:val="nil"/>
              <w:right w:val="nil"/>
            </w:tcBorders>
            <w:shd w:val="clear" w:color="auto" w:fill="auto"/>
            <w:vAlign w:val="center"/>
            <w:hideMark/>
          </w:tcPr>
          <w:p w14:paraId="0F0B16D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89</w:t>
            </w:r>
          </w:p>
        </w:tc>
        <w:tc>
          <w:tcPr>
            <w:tcW w:w="1756" w:type="dxa"/>
            <w:tcBorders>
              <w:top w:val="nil"/>
              <w:left w:val="nil"/>
              <w:bottom w:val="nil"/>
              <w:right w:val="nil"/>
            </w:tcBorders>
          </w:tcPr>
          <w:p w14:paraId="37781FC1"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4CDC42A1" w14:textId="77777777" w:rsidTr="00AD6FE2">
        <w:trPr>
          <w:trHeight w:val="300"/>
        </w:trPr>
        <w:tc>
          <w:tcPr>
            <w:tcW w:w="961" w:type="dxa"/>
            <w:tcBorders>
              <w:top w:val="nil"/>
              <w:left w:val="nil"/>
              <w:bottom w:val="nil"/>
              <w:right w:val="nil"/>
            </w:tcBorders>
            <w:shd w:val="clear" w:color="auto" w:fill="auto"/>
            <w:noWrap/>
            <w:vAlign w:val="bottom"/>
            <w:hideMark/>
          </w:tcPr>
          <w:p w14:paraId="0A7602D1"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641" w:type="dxa"/>
            <w:tcBorders>
              <w:top w:val="nil"/>
              <w:left w:val="nil"/>
              <w:bottom w:val="nil"/>
              <w:right w:val="nil"/>
            </w:tcBorders>
            <w:shd w:val="clear" w:color="auto" w:fill="auto"/>
            <w:noWrap/>
            <w:vAlign w:val="bottom"/>
            <w:hideMark/>
          </w:tcPr>
          <w:p w14:paraId="6C56B61C" w14:textId="77777777" w:rsidR="0071164E" w:rsidRPr="00853C22" w:rsidRDefault="0071164E" w:rsidP="00AD6FE2">
            <w:pPr>
              <w:rPr>
                <w:rFonts w:asciiTheme="minorHAnsi" w:hAnsiTheme="minorHAnsi" w:cstheme="minorHAnsi"/>
                <w:sz w:val="22"/>
                <w:szCs w:val="22"/>
                <w:lang w:eastAsia="en-GB"/>
              </w:rPr>
            </w:pPr>
          </w:p>
        </w:tc>
        <w:tc>
          <w:tcPr>
            <w:tcW w:w="720" w:type="dxa"/>
            <w:tcBorders>
              <w:top w:val="nil"/>
              <w:left w:val="nil"/>
              <w:bottom w:val="nil"/>
              <w:right w:val="nil"/>
            </w:tcBorders>
            <w:shd w:val="clear" w:color="auto" w:fill="auto"/>
            <w:noWrap/>
            <w:vAlign w:val="center"/>
            <w:hideMark/>
          </w:tcPr>
          <w:p w14:paraId="55953420"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3 </w:t>
            </w:r>
          </w:p>
        </w:tc>
        <w:tc>
          <w:tcPr>
            <w:tcW w:w="655" w:type="dxa"/>
            <w:tcBorders>
              <w:top w:val="nil"/>
              <w:left w:val="nil"/>
              <w:bottom w:val="nil"/>
              <w:right w:val="nil"/>
            </w:tcBorders>
            <w:shd w:val="clear" w:color="auto" w:fill="auto"/>
            <w:noWrap/>
            <w:vAlign w:val="center"/>
            <w:hideMark/>
          </w:tcPr>
          <w:p w14:paraId="57FD957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46</w:t>
            </w:r>
          </w:p>
        </w:tc>
        <w:tc>
          <w:tcPr>
            <w:tcW w:w="567" w:type="dxa"/>
            <w:tcBorders>
              <w:top w:val="nil"/>
              <w:left w:val="nil"/>
              <w:bottom w:val="nil"/>
              <w:right w:val="nil"/>
            </w:tcBorders>
            <w:shd w:val="clear" w:color="auto" w:fill="auto"/>
            <w:noWrap/>
            <w:vAlign w:val="center"/>
            <w:hideMark/>
          </w:tcPr>
          <w:p w14:paraId="365B573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94</w:t>
            </w:r>
          </w:p>
        </w:tc>
        <w:tc>
          <w:tcPr>
            <w:tcW w:w="709" w:type="dxa"/>
            <w:tcBorders>
              <w:top w:val="nil"/>
              <w:left w:val="nil"/>
              <w:bottom w:val="nil"/>
              <w:right w:val="nil"/>
            </w:tcBorders>
            <w:shd w:val="clear" w:color="auto" w:fill="auto"/>
            <w:noWrap/>
            <w:vAlign w:val="center"/>
            <w:hideMark/>
          </w:tcPr>
          <w:p w14:paraId="692D84D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140</w:t>
            </w:r>
          </w:p>
        </w:tc>
        <w:tc>
          <w:tcPr>
            <w:tcW w:w="567" w:type="dxa"/>
            <w:tcBorders>
              <w:top w:val="nil"/>
              <w:left w:val="nil"/>
              <w:bottom w:val="nil"/>
              <w:right w:val="nil"/>
            </w:tcBorders>
            <w:shd w:val="clear" w:color="auto" w:fill="auto"/>
            <w:noWrap/>
            <w:vAlign w:val="center"/>
            <w:hideMark/>
          </w:tcPr>
          <w:p w14:paraId="124D035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87</w:t>
            </w:r>
          </w:p>
        </w:tc>
        <w:tc>
          <w:tcPr>
            <w:tcW w:w="1794" w:type="dxa"/>
            <w:tcBorders>
              <w:top w:val="nil"/>
              <w:left w:val="nil"/>
              <w:bottom w:val="nil"/>
              <w:right w:val="nil"/>
            </w:tcBorders>
            <w:shd w:val="clear" w:color="auto" w:fill="auto"/>
            <w:vAlign w:val="center"/>
            <w:hideMark/>
          </w:tcPr>
          <w:p w14:paraId="2F8704E4" w14:textId="77777777" w:rsidR="0071164E" w:rsidRPr="00853C22" w:rsidRDefault="0071164E" w:rsidP="00AD6FE2">
            <w:pPr>
              <w:jc w:val="center"/>
              <w:rPr>
                <w:rFonts w:asciiTheme="minorHAnsi" w:hAnsiTheme="minorHAnsi" w:cstheme="minorHAnsi"/>
                <w:color w:val="000000"/>
                <w:sz w:val="22"/>
                <w:szCs w:val="22"/>
                <w:lang w:eastAsia="en-GB"/>
              </w:rPr>
            </w:pPr>
          </w:p>
        </w:tc>
        <w:tc>
          <w:tcPr>
            <w:tcW w:w="566" w:type="dxa"/>
            <w:tcBorders>
              <w:top w:val="nil"/>
              <w:left w:val="nil"/>
              <w:bottom w:val="nil"/>
              <w:right w:val="nil"/>
            </w:tcBorders>
            <w:shd w:val="clear" w:color="auto" w:fill="auto"/>
            <w:vAlign w:val="center"/>
            <w:hideMark/>
          </w:tcPr>
          <w:p w14:paraId="69D36D33"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43</w:t>
            </w:r>
          </w:p>
        </w:tc>
        <w:tc>
          <w:tcPr>
            <w:tcW w:w="566" w:type="dxa"/>
            <w:tcBorders>
              <w:top w:val="nil"/>
              <w:left w:val="nil"/>
              <w:bottom w:val="nil"/>
              <w:right w:val="nil"/>
            </w:tcBorders>
            <w:shd w:val="clear" w:color="auto" w:fill="auto"/>
            <w:vAlign w:val="center"/>
            <w:hideMark/>
          </w:tcPr>
          <w:p w14:paraId="6F113D94"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93</w:t>
            </w:r>
          </w:p>
        </w:tc>
        <w:tc>
          <w:tcPr>
            <w:tcW w:w="662" w:type="dxa"/>
            <w:tcBorders>
              <w:top w:val="nil"/>
              <w:left w:val="nil"/>
              <w:bottom w:val="nil"/>
              <w:right w:val="nil"/>
            </w:tcBorders>
            <w:shd w:val="clear" w:color="auto" w:fill="auto"/>
            <w:vAlign w:val="center"/>
            <w:hideMark/>
          </w:tcPr>
          <w:p w14:paraId="037440DE"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135</w:t>
            </w:r>
          </w:p>
        </w:tc>
        <w:tc>
          <w:tcPr>
            <w:tcW w:w="609" w:type="dxa"/>
            <w:tcBorders>
              <w:top w:val="nil"/>
              <w:left w:val="nil"/>
              <w:bottom w:val="nil"/>
              <w:right w:val="nil"/>
            </w:tcBorders>
            <w:shd w:val="clear" w:color="auto" w:fill="auto"/>
            <w:vAlign w:val="center"/>
            <w:hideMark/>
          </w:tcPr>
          <w:p w14:paraId="1DE93FEB"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87</w:t>
            </w:r>
          </w:p>
        </w:tc>
        <w:tc>
          <w:tcPr>
            <w:tcW w:w="1756" w:type="dxa"/>
            <w:tcBorders>
              <w:top w:val="nil"/>
              <w:left w:val="nil"/>
              <w:bottom w:val="nil"/>
              <w:right w:val="nil"/>
            </w:tcBorders>
          </w:tcPr>
          <w:p w14:paraId="1845E7DA" w14:textId="77777777" w:rsidR="0071164E" w:rsidRPr="00853C22" w:rsidRDefault="0071164E" w:rsidP="00AD6FE2">
            <w:pPr>
              <w:jc w:val="center"/>
              <w:rPr>
                <w:rFonts w:asciiTheme="minorHAnsi" w:hAnsiTheme="minorHAnsi" w:cstheme="minorHAnsi"/>
                <w:color w:val="000000"/>
                <w:sz w:val="22"/>
                <w:szCs w:val="22"/>
                <w:lang w:eastAsia="en-GB"/>
              </w:rPr>
            </w:pPr>
          </w:p>
        </w:tc>
      </w:tr>
      <w:tr w:rsidR="0071164E" w:rsidRPr="00853C22" w14:paraId="451B8EAE" w14:textId="77777777" w:rsidTr="00AD6FE2">
        <w:trPr>
          <w:trHeight w:val="315"/>
        </w:trPr>
        <w:tc>
          <w:tcPr>
            <w:tcW w:w="961" w:type="dxa"/>
            <w:tcBorders>
              <w:top w:val="nil"/>
              <w:left w:val="nil"/>
              <w:bottom w:val="single" w:sz="8" w:space="0" w:color="auto"/>
              <w:right w:val="nil"/>
            </w:tcBorders>
            <w:shd w:val="clear" w:color="auto" w:fill="auto"/>
            <w:noWrap/>
            <w:vAlign w:val="center"/>
            <w:hideMark/>
          </w:tcPr>
          <w:p w14:paraId="38F4E950"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641" w:type="dxa"/>
            <w:tcBorders>
              <w:top w:val="nil"/>
              <w:left w:val="nil"/>
              <w:bottom w:val="single" w:sz="8" w:space="0" w:color="auto"/>
              <w:right w:val="nil"/>
            </w:tcBorders>
            <w:shd w:val="clear" w:color="auto" w:fill="auto"/>
            <w:noWrap/>
            <w:vAlign w:val="center"/>
            <w:hideMark/>
          </w:tcPr>
          <w:p w14:paraId="26A77F33"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720" w:type="dxa"/>
            <w:tcBorders>
              <w:top w:val="nil"/>
              <w:left w:val="nil"/>
              <w:bottom w:val="single" w:sz="8" w:space="0" w:color="auto"/>
              <w:right w:val="nil"/>
            </w:tcBorders>
            <w:shd w:val="clear" w:color="auto" w:fill="auto"/>
            <w:noWrap/>
            <w:vAlign w:val="center"/>
            <w:hideMark/>
          </w:tcPr>
          <w:p w14:paraId="02C798E7" w14:textId="77777777" w:rsidR="0071164E" w:rsidRPr="00853C22" w:rsidRDefault="0071164E" w:rsidP="00AD6FE2">
            <w:pP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xml:space="preserve"> &gt;= 4  </w:t>
            </w:r>
          </w:p>
        </w:tc>
        <w:tc>
          <w:tcPr>
            <w:tcW w:w="655" w:type="dxa"/>
            <w:tcBorders>
              <w:top w:val="nil"/>
              <w:left w:val="nil"/>
              <w:bottom w:val="single" w:sz="8" w:space="0" w:color="auto"/>
              <w:right w:val="nil"/>
            </w:tcBorders>
            <w:shd w:val="clear" w:color="auto" w:fill="auto"/>
            <w:noWrap/>
            <w:vAlign w:val="center"/>
            <w:hideMark/>
          </w:tcPr>
          <w:p w14:paraId="3E41936F"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15</w:t>
            </w:r>
          </w:p>
        </w:tc>
        <w:tc>
          <w:tcPr>
            <w:tcW w:w="567" w:type="dxa"/>
            <w:tcBorders>
              <w:top w:val="nil"/>
              <w:left w:val="nil"/>
              <w:bottom w:val="single" w:sz="8" w:space="0" w:color="auto"/>
              <w:right w:val="nil"/>
            </w:tcBorders>
            <w:shd w:val="clear" w:color="auto" w:fill="auto"/>
            <w:noWrap/>
            <w:vAlign w:val="center"/>
            <w:hideMark/>
          </w:tcPr>
          <w:p w14:paraId="74C1E808"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709" w:type="dxa"/>
            <w:tcBorders>
              <w:top w:val="nil"/>
              <w:left w:val="nil"/>
              <w:bottom w:val="single" w:sz="8" w:space="0" w:color="auto"/>
              <w:right w:val="nil"/>
            </w:tcBorders>
            <w:shd w:val="clear" w:color="auto" w:fill="auto"/>
            <w:noWrap/>
            <w:vAlign w:val="center"/>
            <w:hideMark/>
          </w:tcPr>
          <w:p w14:paraId="4DEF828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115</w:t>
            </w:r>
          </w:p>
        </w:tc>
        <w:tc>
          <w:tcPr>
            <w:tcW w:w="567" w:type="dxa"/>
            <w:tcBorders>
              <w:top w:val="nil"/>
              <w:left w:val="nil"/>
              <w:bottom w:val="single" w:sz="8" w:space="0" w:color="auto"/>
              <w:right w:val="nil"/>
            </w:tcBorders>
            <w:shd w:val="clear" w:color="auto" w:fill="auto"/>
            <w:noWrap/>
            <w:vAlign w:val="center"/>
            <w:hideMark/>
          </w:tcPr>
          <w:p w14:paraId="786F463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88</w:t>
            </w:r>
          </w:p>
        </w:tc>
        <w:tc>
          <w:tcPr>
            <w:tcW w:w="1794" w:type="dxa"/>
            <w:tcBorders>
              <w:top w:val="nil"/>
              <w:left w:val="nil"/>
              <w:bottom w:val="single" w:sz="8" w:space="0" w:color="auto"/>
              <w:right w:val="nil"/>
            </w:tcBorders>
            <w:shd w:val="clear" w:color="auto" w:fill="auto"/>
            <w:vAlign w:val="center"/>
            <w:hideMark/>
          </w:tcPr>
          <w:p w14:paraId="5FE494C6"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 </w:t>
            </w:r>
          </w:p>
        </w:tc>
        <w:tc>
          <w:tcPr>
            <w:tcW w:w="566" w:type="dxa"/>
            <w:tcBorders>
              <w:top w:val="nil"/>
              <w:left w:val="nil"/>
              <w:bottom w:val="single" w:sz="8" w:space="0" w:color="auto"/>
              <w:right w:val="nil"/>
            </w:tcBorders>
            <w:shd w:val="clear" w:color="auto" w:fill="auto"/>
            <w:vAlign w:val="center"/>
            <w:hideMark/>
          </w:tcPr>
          <w:p w14:paraId="5F2C5B27"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14</w:t>
            </w:r>
          </w:p>
        </w:tc>
        <w:tc>
          <w:tcPr>
            <w:tcW w:w="566" w:type="dxa"/>
            <w:tcBorders>
              <w:top w:val="nil"/>
              <w:left w:val="nil"/>
              <w:bottom w:val="single" w:sz="8" w:space="0" w:color="auto"/>
              <w:right w:val="nil"/>
            </w:tcBorders>
            <w:shd w:val="clear" w:color="auto" w:fill="auto"/>
            <w:vAlign w:val="center"/>
            <w:hideMark/>
          </w:tcPr>
          <w:p w14:paraId="43B1BE3C"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100</w:t>
            </w:r>
          </w:p>
        </w:tc>
        <w:tc>
          <w:tcPr>
            <w:tcW w:w="662" w:type="dxa"/>
            <w:tcBorders>
              <w:top w:val="nil"/>
              <w:left w:val="nil"/>
              <w:bottom w:val="single" w:sz="8" w:space="0" w:color="auto"/>
              <w:right w:val="nil"/>
            </w:tcBorders>
            <w:shd w:val="clear" w:color="auto" w:fill="auto"/>
            <w:vAlign w:val="center"/>
            <w:hideMark/>
          </w:tcPr>
          <w:p w14:paraId="14DBE030"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114</w:t>
            </w:r>
          </w:p>
        </w:tc>
        <w:tc>
          <w:tcPr>
            <w:tcW w:w="609" w:type="dxa"/>
            <w:tcBorders>
              <w:top w:val="nil"/>
              <w:left w:val="nil"/>
              <w:bottom w:val="single" w:sz="8" w:space="0" w:color="auto"/>
              <w:right w:val="nil"/>
            </w:tcBorders>
            <w:shd w:val="clear" w:color="auto" w:fill="auto"/>
            <w:vAlign w:val="center"/>
            <w:hideMark/>
          </w:tcPr>
          <w:p w14:paraId="5234437D" w14:textId="77777777" w:rsidR="0071164E" w:rsidRPr="00853C22" w:rsidRDefault="0071164E" w:rsidP="00AD6FE2">
            <w:pPr>
              <w:jc w:val="center"/>
              <w:rPr>
                <w:rFonts w:asciiTheme="minorHAnsi" w:hAnsiTheme="minorHAnsi" w:cstheme="minorHAnsi"/>
                <w:color w:val="000000"/>
                <w:sz w:val="22"/>
                <w:szCs w:val="22"/>
                <w:lang w:eastAsia="en-GB"/>
              </w:rPr>
            </w:pPr>
            <w:r w:rsidRPr="00853C22">
              <w:rPr>
                <w:rFonts w:asciiTheme="minorHAnsi" w:hAnsiTheme="minorHAnsi" w:cstheme="minorHAnsi"/>
                <w:color w:val="000000"/>
                <w:sz w:val="22"/>
                <w:szCs w:val="22"/>
                <w:lang w:eastAsia="en-GB"/>
              </w:rPr>
              <w:t>90</w:t>
            </w:r>
          </w:p>
        </w:tc>
        <w:tc>
          <w:tcPr>
            <w:tcW w:w="1756" w:type="dxa"/>
            <w:tcBorders>
              <w:top w:val="nil"/>
              <w:left w:val="nil"/>
              <w:bottom w:val="single" w:sz="8" w:space="0" w:color="auto"/>
              <w:right w:val="nil"/>
            </w:tcBorders>
          </w:tcPr>
          <w:p w14:paraId="3A0DF923" w14:textId="77777777" w:rsidR="0071164E" w:rsidRPr="00853C22" w:rsidRDefault="0071164E" w:rsidP="00AD6FE2">
            <w:pPr>
              <w:jc w:val="center"/>
              <w:rPr>
                <w:rFonts w:asciiTheme="minorHAnsi" w:hAnsiTheme="minorHAnsi" w:cstheme="minorHAnsi"/>
                <w:color w:val="000000"/>
                <w:sz w:val="22"/>
                <w:szCs w:val="22"/>
                <w:lang w:eastAsia="en-GB"/>
              </w:rPr>
            </w:pPr>
          </w:p>
        </w:tc>
      </w:tr>
    </w:tbl>
    <w:p w14:paraId="4D3D7051" w14:textId="77777777" w:rsidR="0071164E" w:rsidRDefault="0071164E" w:rsidP="00E26243">
      <w:pPr>
        <w:rPr>
          <w:rFonts w:asciiTheme="minorHAnsi" w:hAnsiTheme="minorHAnsi" w:cstheme="minorHAnsi"/>
          <w:sz w:val="22"/>
          <w:szCs w:val="22"/>
        </w:rPr>
      </w:pPr>
    </w:p>
    <w:p w14:paraId="490ABBBA" w14:textId="557B41CC" w:rsidR="00E26243" w:rsidRPr="00541669" w:rsidRDefault="00E26243" w:rsidP="00541669">
      <w:pPr>
        <w:autoSpaceDE w:val="0"/>
        <w:autoSpaceDN w:val="0"/>
        <w:adjustRightInd w:val="0"/>
        <w:rPr>
          <w:rFonts w:ascii="Segoe UI" w:eastAsiaTheme="minorHAnsi" w:hAnsi="Segoe UI" w:cs="Segoe UI"/>
          <w:sz w:val="21"/>
          <w:szCs w:val="21"/>
        </w:rPr>
      </w:pPr>
      <w:r>
        <w:rPr>
          <w:rFonts w:asciiTheme="minorHAnsi" w:hAnsiTheme="minorHAnsi" w:cstheme="minorHAnsi"/>
          <w:sz w:val="22"/>
          <w:szCs w:val="22"/>
        </w:rPr>
        <w:t xml:space="preserve">Note: </w:t>
      </w:r>
      <w:r w:rsidRPr="009A05A8">
        <w:rPr>
          <w:rFonts w:asciiTheme="minorHAnsi" w:hAnsiTheme="minorHAnsi" w:cstheme="minorHAnsi"/>
          <w:sz w:val="22"/>
          <w:szCs w:val="22"/>
          <w:vertAlign w:val="superscript"/>
        </w:rPr>
        <w:t>1</w:t>
      </w:r>
      <w:r w:rsidRPr="00E31DFB">
        <w:rPr>
          <w:rFonts w:ascii="Calibri" w:hAnsi="Calibri" w:cs="Calibri"/>
          <w:color w:val="000000"/>
          <w:sz w:val="22"/>
          <w:szCs w:val="22"/>
          <w:lang w:eastAsia="en-GB"/>
        </w:rPr>
        <w:t xml:space="preserve">Drinking above </w:t>
      </w:r>
      <w:r>
        <w:rPr>
          <w:rFonts w:ascii="Calibri" w:hAnsi="Calibri" w:cs="Calibri"/>
          <w:color w:val="000000"/>
          <w:sz w:val="22"/>
          <w:szCs w:val="22"/>
          <w:lang w:eastAsia="en-GB"/>
        </w:rPr>
        <w:t>UK recommended limits of 14 units for men and women</w:t>
      </w:r>
      <w:r w:rsidRPr="00853C22">
        <w:rPr>
          <w:rFonts w:asciiTheme="minorHAnsi" w:hAnsiTheme="minorHAnsi" w:cstheme="minorHAnsi"/>
          <w:sz w:val="22"/>
          <w:szCs w:val="22"/>
        </w:rPr>
        <w:t xml:space="preserve">; </w:t>
      </w:r>
      <w:r w:rsidR="0071164E" w:rsidRPr="0071164E">
        <w:rPr>
          <w:rFonts w:ascii="Calibri" w:hAnsi="Calibri" w:cs="Calibri"/>
          <w:b/>
          <w:bCs/>
          <w:color w:val="000000"/>
          <w:sz w:val="22"/>
          <w:szCs w:val="22"/>
          <w:vertAlign w:val="superscript"/>
          <w:lang w:eastAsia="en-GB"/>
        </w:rPr>
        <w:t>2</w:t>
      </w:r>
      <w:r w:rsidR="0071164E">
        <w:rPr>
          <w:rFonts w:asciiTheme="minorHAnsi" w:hAnsiTheme="minorHAnsi" w:cstheme="minorHAnsi"/>
          <w:sz w:val="22"/>
          <w:szCs w:val="22"/>
        </w:rPr>
        <w:t xml:space="preserve">Includes 39 men and 61 women; </w:t>
      </w:r>
      <w:r w:rsidRPr="00853C22">
        <w:rPr>
          <w:rFonts w:asciiTheme="minorHAnsi" w:hAnsiTheme="minorHAnsi" w:cstheme="minorHAnsi"/>
          <w:sz w:val="22"/>
          <w:szCs w:val="22"/>
        </w:rPr>
        <w:t>ROC= area under the</w:t>
      </w:r>
      <w:r w:rsidR="00541669">
        <w:rPr>
          <w:rFonts w:asciiTheme="minorHAnsi" w:hAnsiTheme="minorHAnsi" w:cstheme="minorHAnsi"/>
          <w:sz w:val="22"/>
          <w:szCs w:val="22"/>
        </w:rPr>
        <w:t xml:space="preserve"> </w:t>
      </w:r>
      <w:r w:rsidR="00541669">
        <w:rPr>
          <w:rFonts w:ascii="Segoe UI" w:eastAsiaTheme="minorHAnsi" w:hAnsi="Segoe UI" w:cs="Segoe UI"/>
          <w:color w:val="000000"/>
          <w:sz w:val="20"/>
          <w:szCs w:val="20"/>
        </w:rPr>
        <w:t>receiver-operating characteristic</w:t>
      </w:r>
      <w:r w:rsidRPr="00853C22">
        <w:rPr>
          <w:rFonts w:asciiTheme="minorHAnsi" w:hAnsiTheme="minorHAnsi" w:cstheme="minorHAnsi"/>
          <w:sz w:val="22"/>
          <w:szCs w:val="22"/>
        </w:rPr>
        <w:t xml:space="preserve"> curve.</w:t>
      </w:r>
    </w:p>
    <w:p w14:paraId="3BD0A26A" w14:textId="77777777" w:rsidR="006D0908" w:rsidRDefault="006D0908" w:rsidP="00CF20ED">
      <w:pPr>
        <w:rPr>
          <w:rFonts w:asciiTheme="minorHAnsi" w:hAnsiTheme="minorHAnsi" w:cstheme="minorHAnsi"/>
          <w:sz w:val="22"/>
          <w:szCs w:val="22"/>
        </w:rPr>
      </w:pPr>
    </w:p>
    <w:p w14:paraId="4DF3A029" w14:textId="369A1FE2" w:rsidR="00334C8D" w:rsidRDefault="00334C8D">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51C5F745" w14:textId="22625A61" w:rsidR="006D0908" w:rsidRDefault="00334C8D" w:rsidP="00CF20ED">
      <w:pPr>
        <w:rPr>
          <w:rFonts w:asciiTheme="minorHAnsi" w:hAnsiTheme="minorHAnsi" w:cstheme="minorHAnsi"/>
          <w:sz w:val="22"/>
          <w:szCs w:val="22"/>
        </w:rPr>
      </w:pPr>
      <w:r>
        <w:rPr>
          <w:noProof/>
        </w:rPr>
        <w:lastRenderedPageBreak/>
        <w:drawing>
          <wp:inline distT="0" distB="0" distL="0" distR="0" wp14:anchorId="34C3EB5F" wp14:editId="400F349E">
            <wp:extent cx="5731510" cy="41662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166235"/>
                    </a:xfrm>
                    <a:prstGeom prst="rect">
                      <a:avLst/>
                    </a:prstGeom>
                    <a:noFill/>
                    <a:ln>
                      <a:noFill/>
                    </a:ln>
                  </pic:spPr>
                </pic:pic>
              </a:graphicData>
            </a:graphic>
          </wp:inline>
        </w:drawing>
      </w:r>
    </w:p>
    <w:p w14:paraId="323211EE" w14:textId="45E6B75E" w:rsidR="00334C8D" w:rsidRDefault="00334C8D" w:rsidP="00CF20ED">
      <w:pPr>
        <w:rPr>
          <w:rFonts w:asciiTheme="minorHAnsi" w:hAnsiTheme="minorHAnsi" w:cstheme="minorHAnsi"/>
          <w:sz w:val="22"/>
          <w:szCs w:val="22"/>
        </w:rPr>
      </w:pPr>
    </w:p>
    <w:p w14:paraId="3F157E2B" w14:textId="0B53DB9B" w:rsidR="00334C8D" w:rsidRDefault="00334C8D" w:rsidP="00CF20ED">
      <w:pPr>
        <w:rPr>
          <w:rFonts w:asciiTheme="minorHAnsi" w:hAnsiTheme="minorHAnsi" w:cstheme="minorHAnsi"/>
          <w:sz w:val="22"/>
          <w:szCs w:val="22"/>
        </w:rPr>
      </w:pPr>
      <w:r>
        <w:rPr>
          <w:noProof/>
        </w:rPr>
        <w:drawing>
          <wp:inline distT="0" distB="0" distL="0" distR="0" wp14:anchorId="75D3D0B5" wp14:editId="16CABD22">
            <wp:extent cx="5731510" cy="41681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168140"/>
                    </a:xfrm>
                    <a:prstGeom prst="rect">
                      <a:avLst/>
                    </a:prstGeom>
                    <a:noFill/>
                    <a:ln>
                      <a:noFill/>
                    </a:ln>
                  </pic:spPr>
                </pic:pic>
              </a:graphicData>
            </a:graphic>
          </wp:inline>
        </w:drawing>
      </w:r>
      <w:bookmarkStart w:id="0" w:name="_GoBack"/>
      <w:bookmarkEnd w:id="0"/>
    </w:p>
    <w:sectPr w:rsidR="00334C8D">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0B4FF" w14:textId="77777777" w:rsidR="00954B51" w:rsidRDefault="00954B51" w:rsidP="00776618">
      <w:r>
        <w:separator/>
      </w:r>
    </w:p>
  </w:endnote>
  <w:endnote w:type="continuationSeparator" w:id="0">
    <w:p w14:paraId="477E2C59" w14:textId="77777777" w:rsidR="00954B51" w:rsidRDefault="00954B51" w:rsidP="0077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386929"/>
      <w:docPartObj>
        <w:docPartGallery w:val="Page Numbers (Bottom of Page)"/>
        <w:docPartUnique/>
      </w:docPartObj>
    </w:sdtPr>
    <w:sdtEndPr>
      <w:rPr>
        <w:noProof/>
      </w:rPr>
    </w:sdtEndPr>
    <w:sdtContent>
      <w:p w14:paraId="29D63E8F" w14:textId="77777777" w:rsidR="003602D0" w:rsidRDefault="003602D0">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1B2ACE8A" w14:textId="77777777" w:rsidR="003602D0" w:rsidRDefault="00360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71B49" w14:textId="77777777" w:rsidR="00954B51" w:rsidRDefault="00954B51" w:rsidP="00776618">
      <w:r>
        <w:separator/>
      </w:r>
    </w:p>
  </w:footnote>
  <w:footnote w:type="continuationSeparator" w:id="0">
    <w:p w14:paraId="535DDAF9" w14:textId="77777777" w:rsidR="00954B51" w:rsidRDefault="00954B51" w:rsidP="00776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3705C" w14:textId="77777777" w:rsidR="003602D0" w:rsidRDefault="003602D0">
    <w:pPr>
      <w:pStyle w:val="Header"/>
      <w:jc w:val="center"/>
    </w:pPr>
  </w:p>
  <w:p w14:paraId="118A7CED" w14:textId="77777777" w:rsidR="003602D0" w:rsidRDefault="003602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05F79"/>
    <w:multiLevelType w:val="hybridMultilevel"/>
    <w:tmpl w:val="92A42FC0"/>
    <w:lvl w:ilvl="0" w:tplc="7F30D9F2">
      <w:numFmt w:val="bullet"/>
      <w:lvlText w:val="-"/>
      <w:lvlJc w:val="left"/>
      <w:pPr>
        <w:ind w:left="2520" w:hanging="360"/>
      </w:pPr>
      <w:rPr>
        <w:rFonts w:ascii="Calibri" w:eastAsia="Times New Roman"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18B507C1"/>
    <w:multiLevelType w:val="hybridMultilevel"/>
    <w:tmpl w:val="F2D46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384C00"/>
    <w:multiLevelType w:val="hybridMultilevel"/>
    <w:tmpl w:val="51CA1094"/>
    <w:lvl w:ilvl="0" w:tplc="B2DAECF0">
      <w:numFmt w:val="bullet"/>
      <w:lvlText w:val="-"/>
      <w:lvlJc w:val="left"/>
      <w:pPr>
        <w:ind w:left="3960" w:hanging="360"/>
      </w:pPr>
      <w:rPr>
        <w:rFonts w:ascii="Calibri" w:eastAsia="Times New Roman" w:hAnsi="Calibri" w:cs="Calibr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8512E"/>
    <w:rsid w:val="00002562"/>
    <w:rsid w:val="00015B5F"/>
    <w:rsid w:val="00024532"/>
    <w:rsid w:val="000B1F26"/>
    <w:rsid w:val="000B6959"/>
    <w:rsid w:val="000B6E7C"/>
    <w:rsid w:val="000C1B8A"/>
    <w:rsid w:val="000E43F0"/>
    <w:rsid w:val="00102455"/>
    <w:rsid w:val="0010315F"/>
    <w:rsid w:val="00117DFE"/>
    <w:rsid w:val="001248FE"/>
    <w:rsid w:val="00147414"/>
    <w:rsid w:val="00163EBC"/>
    <w:rsid w:val="00166D0B"/>
    <w:rsid w:val="0018285E"/>
    <w:rsid w:val="001A0CC3"/>
    <w:rsid w:val="001D4F1B"/>
    <w:rsid w:val="00206CCB"/>
    <w:rsid w:val="002176D1"/>
    <w:rsid w:val="00242C63"/>
    <w:rsid w:val="002575A1"/>
    <w:rsid w:val="0026419A"/>
    <w:rsid w:val="00271AEA"/>
    <w:rsid w:val="00287D5E"/>
    <w:rsid w:val="002A09F6"/>
    <w:rsid w:val="002D6ADF"/>
    <w:rsid w:val="00325913"/>
    <w:rsid w:val="00334C8D"/>
    <w:rsid w:val="00356DA6"/>
    <w:rsid w:val="003602D0"/>
    <w:rsid w:val="0038512E"/>
    <w:rsid w:val="003A23AA"/>
    <w:rsid w:val="003A37DA"/>
    <w:rsid w:val="003A40F1"/>
    <w:rsid w:val="003E0BD3"/>
    <w:rsid w:val="003E7CCF"/>
    <w:rsid w:val="003E7FAD"/>
    <w:rsid w:val="00447991"/>
    <w:rsid w:val="004662D7"/>
    <w:rsid w:val="004741EF"/>
    <w:rsid w:val="0049154F"/>
    <w:rsid w:val="004918BB"/>
    <w:rsid w:val="004969B1"/>
    <w:rsid w:val="004A2CD3"/>
    <w:rsid w:val="004B63B1"/>
    <w:rsid w:val="004C7A7F"/>
    <w:rsid w:val="004D11C1"/>
    <w:rsid w:val="004D7C29"/>
    <w:rsid w:val="004F23FF"/>
    <w:rsid w:val="004F3848"/>
    <w:rsid w:val="00504257"/>
    <w:rsid w:val="0052459A"/>
    <w:rsid w:val="00541669"/>
    <w:rsid w:val="00547C5C"/>
    <w:rsid w:val="0055005E"/>
    <w:rsid w:val="005628B3"/>
    <w:rsid w:val="00566905"/>
    <w:rsid w:val="0057123D"/>
    <w:rsid w:val="00590C28"/>
    <w:rsid w:val="0059381F"/>
    <w:rsid w:val="005B62AB"/>
    <w:rsid w:val="005E37A5"/>
    <w:rsid w:val="00603EBF"/>
    <w:rsid w:val="00642F68"/>
    <w:rsid w:val="00674E49"/>
    <w:rsid w:val="00675FA0"/>
    <w:rsid w:val="006A6EE0"/>
    <w:rsid w:val="006D0908"/>
    <w:rsid w:val="006D677A"/>
    <w:rsid w:val="0071164E"/>
    <w:rsid w:val="00714905"/>
    <w:rsid w:val="007169DA"/>
    <w:rsid w:val="007200F0"/>
    <w:rsid w:val="00723EB3"/>
    <w:rsid w:val="007350AA"/>
    <w:rsid w:val="00742BCC"/>
    <w:rsid w:val="007520D9"/>
    <w:rsid w:val="00764F93"/>
    <w:rsid w:val="00776618"/>
    <w:rsid w:val="007A621A"/>
    <w:rsid w:val="007A6B76"/>
    <w:rsid w:val="007C7900"/>
    <w:rsid w:val="007D2197"/>
    <w:rsid w:val="007D3A4B"/>
    <w:rsid w:val="007E2C11"/>
    <w:rsid w:val="007E4F14"/>
    <w:rsid w:val="0082211B"/>
    <w:rsid w:val="00837C60"/>
    <w:rsid w:val="0085027A"/>
    <w:rsid w:val="00871C24"/>
    <w:rsid w:val="008A2EBD"/>
    <w:rsid w:val="008A3B99"/>
    <w:rsid w:val="008A5323"/>
    <w:rsid w:val="008B1432"/>
    <w:rsid w:val="008D5C16"/>
    <w:rsid w:val="008E667E"/>
    <w:rsid w:val="00915BA2"/>
    <w:rsid w:val="00931D7E"/>
    <w:rsid w:val="00954B51"/>
    <w:rsid w:val="00987F0E"/>
    <w:rsid w:val="009A51A7"/>
    <w:rsid w:val="009B74C5"/>
    <w:rsid w:val="009C6BB4"/>
    <w:rsid w:val="009D0646"/>
    <w:rsid w:val="009E3A82"/>
    <w:rsid w:val="009F1517"/>
    <w:rsid w:val="00A10D11"/>
    <w:rsid w:val="00A516AA"/>
    <w:rsid w:val="00A902B4"/>
    <w:rsid w:val="00AA0F1E"/>
    <w:rsid w:val="00AA5229"/>
    <w:rsid w:val="00AC40F4"/>
    <w:rsid w:val="00AD2D2D"/>
    <w:rsid w:val="00AD6FE2"/>
    <w:rsid w:val="00AE1254"/>
    <w:rsid w:val="00AE3097"/>
    <w:rsid w:val="00B30AEA"/>
    <w:rsid w:val="00B478A9"/>
    <w:rsid w:val="00B662FE"/>
    <w:rsid w:val="00B87EA8"/>
    <w:rsid w:val="00BE07B5"/>
    <w:rsid w:val="00BE6B3E"/>
    <w:rsid w:val="00C07461"/>
    <w:rsid w:val="00C171EA"/>
    <w:rsid w:val="00C46C40"/>
    <w:rsid w:val="00CA6C98"/>
    <w:rsid w:val="00CC0494"/>
    <w:rsid w:val="00CD3A7C"/>
    <w:rsid w:val="00CE1D06"/>
    <w:rsid w:val="00CF20ED"/>
    <w:rsid w:val="00CF2E01"/>
    <w:rsid w:val="00D070C1"/>
    <w:rsid w:val="00D15CBB"/>
    <w:rsid w:val="00D30F26"/>
    <w:rsid w:val="00D35944"/>
    <w:rsid w:val="00D37E19"/>
    <w:rsid w:val="00D552B4"/>
    <w:rsid w:val="00D722D2"/>
    <w:rsid w:val="00D9464C"/>
    <w:rsid w:val="00DC690A"/>
    <w:rsid w:val="00DD7955"/>
    <w:rsid w:val="00E26243"/>
    <w:rsid w:val="00E710B4"/>
    <w:rsid w:val="00E717E8"/>
    <w:rsid w:val="00E806AD"/>
    <w:rsid w:val="00E8098A"/>
    <w:rsid w:val="00EA5EF8"/>
    <w:rsid w:val="00EB6258"/>
    <w:rsid w:val="00EC261B"/>
    <w:rsid w:val="00FB24ED"/>
    <w:rsid w:val="00FC6509"/>
    <w:rsid w:val="00FD0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6C284"/>
  <w15:chartTrackingRefBased/>
  <w15:docId w15:val="{E92F0F13-61CD-472F-8193-31B83F942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12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12E"/>
    <w:pPr>
      <w:ind w:left="720"/>
      <w:contextualSpacing/>
    </w:pPr>
  </w:style>
  <w:style w:type="paragraph" w:styleId="Header">
    <w:name w:val="header"/>
    <w:basedOn w:val="Normal"/>
    <w:link w:val="HeaderChar"/>
    <w:uiPriority w:val="99"/>
    <w:unhideWhenUsed/>
    <w:rsid w:val="0038512E"/>
    <w:pPr>
      <w:tabs>
        <w:tab w:val="center" w:pos="4513"/>
        <w:tab w:val="right" w:pos="9026"/>
      </w:tabs>
    </w:pPr>
  </w:style>
  <w:style w:type="character" w:customStyle="1" w:styleId="HeaderChar">
    <w:name w:val="Header Char"/>
    <w:basedOn w:val="DefaultParagraphFont"/>
    <w:link w:val="Header"/>
    <w:uiPriority w:val="99"/>
    <w:rsid w:val="0038512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8512E"/>
    <w:pPr>
      <w:tabs>
        <w:tab w:val="center" w:pos="4513"/>
        <w:tab w:val="right" w:pos="9026"/>
      </w:tabs>
    </w:pPr>
  </w:style>
  <w:style w:type="character" w:customStyle="1" w:styleId="FooterChar">
    <w:name w:val="Footer Char"/>
    <w:basedOn w:val="DefaultParagraphFont"/>
    <w:link w:val="Footer"/>
    <w:uiPriority w:val="99"/>
    <w:rsid w:val="0038512E"/>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38512E"/>
    <w:pPr>
      <w:jc w:val="center"/>
    </w:pPr>
    <w:rPr>
      <w:noProof/>
      <w:lang w:val="en-US"/>
    </w:rPr>
  </w:style>
  <w:style w:type="character" w:customStyle="1" w:styleId="EndNoteBibliographyTitleChar">
    <w:name w:val="EndNote Bibliography Title Char"/>
    <w:basedOn w:val="DefaultParagraphFont"/>
    <w:link w:val="EndNoteBibliographyTitle"/>
    <w:rsid w:val="0038512E"/>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38512E"/>
    <w:rPr>
      <w:noProof/>
      <w:lang w:val="en-US"/>
    </w:rPr>
  </w:style>
  <w:style w:type="character" w:customStyle="1" w:styleId="EndNoteBibliographyChar">
    <w:name w:val="EndNote Bibliography Char"/>
    <w:basedOn w:val="DefaultParagraphFont"/>
    <w:link w:val="EndNoteBibliography"/>
    <w:rsid w:val="0038512E"/>
    <w:rPr>
      <w:rFonts w:ascii="Times New Roman" w:eastAsia="Times New Roman" w:hAnsi="Times New Roman" w:cs="Times New Roman"/>
      <w:noProof/>
      <w:sz w:val="24"/>
      <w:szCs w:val="24"/>
      <w:lang w:val="en-US"/>
    </w:rPr>
  </w:style>
  <w:style w:type="character" w:styleId="CommentReference">
    <w:name w:val="annotation reference"/>
    <w:basedOn w:val="DefaultParagraphFont"/>
    <w:uiPriority w:val="99"/>
    <w:semiHidden/>
    <w:unhideWhenUsed/>
    <w:rsid w:val="0038512E"/>
    <w:rPr>
      <w:sz w:val="16"/>
      <w:szCs w:val="16"/>
    </w:rPr>
  </w:style>
  <w:style w:type="paragraph" w:styleId="CommentText">
    <w:name w:val="annotation text"/>
    <w:basedOn w:val="Normal"/>
    <w:link w:val="CommentTextChar"/>
    <w:uiPriority w:val="99"/>
    <w:semiHidden/>
    <w:unhideWhenUsed/>
    <w:rsid w:val="0038512E"/>
    <w:rPr>
      <w:sz w:val="20"/>
      <w:szCs w:val="20"/>
    </w:rPr>
  </w:style>
  <w:style w:type="character" w:customStyle="1" w:styleId="CommentTextChar">
    <w:name w:val="Comment Text Char"/>
    <w:basedOn w:val="DefaultParagraphFont"/>
    <w:link w:val="CommentText"/>
    <w:uiPriority w:val="99"/>
    <w:semiHidden/>
    <w:rsid w:val="0038512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8512E"/>
    <w:rPr>
      <w:b/>
      <w:bCs/>
    </w:rPr>
  </w:style>
  <w:style w:type="character" w:customStyle="1" w:styleId="CommentSubjectChar">
    <w:name w:val="Comment Subject Char"/>
    <w:basedOn w:val="CommentTextChar"/>
    <w:link w:val="CommentSubject"/>
    <w:uiPriority w:val="99"/>
    <w:semiHidden/>
    <w:rsid w:val="0038512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851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12E"/>
    <w:rPr>
      <w:rFonts w:ascii="Segoe UI" w:eastAsia="Times New Roman" w:hAnsi="Segoe UI" w:cs="Segoe UI"/>
      <w:sz w:val="18"/>
      <w:szCs w:val="18"/>
    </w:rPr>
  </w:style>
  <w:style w:type="paragraph" w:customStyle="1" w:styleId="p">
    <w:name w:val="p"/>
    <w:basedOn w:val="Normal"/>
    <w:rsid w:val="0038512E"/>
    <w:pPr>
      <w:spacing w:before="100" w:beforeAutospacing="1" w:after="100" w:afterAutospacing="1"/>
    </w:pPr>
    <w:rPr>
      <w:lang w:eastAsia="en-GB"/>
    </w:rPr>
  </w:style>
  <w:style w:type="character" w:styleId="Hyperlink">
    <w:name w:val="Hyperlink"/>
    <w:basedOn w:val="DefaultParagraphFont"/>
    <w:uiPriority w:val="99"/>
    <w:unhideWhenUsed/>
    <w:rsid w:val="0038512E"/>
    <w:rPr>
      <w:color w:val="0000FF"/>
      <w:u w:val="single"/>
    </w:rPr>
  </w:style>
  <w:style w:type="paragraph" w:styleId="NormalWeb">
    <w:name w:val="Normal (Web)"/>
    <w:basedOn w:val="Normal"/>
    <w:uiPriority w:val="99"/>
    <w:semiHidden/>
    <w:unhideWhenUsed/>
    <w:rsid w:val="0038512E"/>
    <w:pPr>
      <w:spacing w:before="100" w:beforeAutospacing="1" w:after="100" w:afterAutospacing="1"/>
    </w:pPr>
    <w:rPr>
      <w:lang w:eastAsia="en-GB"/>
    </w:rPr>
  </w:style>
  <w:style w:type="character" w:customStyle="1" w:styleId="fieldlabel">
    <w:name w:val="fieldlabel"/>
    <w:basedOn w:val="DefaultParagraphFont"/>
    <w:rsid w:val="0038512E"/>
  </w:style>
  <w:style w:type="character" w:styleId="Emphasis">
    <w:name w:val="Emphasis"/>
    <w:basedOn w:val="DefaultParagraphFont"/>
    <w:uiPriority w:val="20"/>
    <w:qFormat/>
    <w:rsid w:val="0038512E"/>
    <w:rPr>
      <w:b/>
      <w:bCs/>
      <w:i w:val="0"/>
      <w:iCs w:val="0"/>
    </w:rPr>
  </w:style>
  <w:style w:type="character" w:customStyle="1" w:styleId="st1">
    <w:name w:val="st1"/>
    <w:basedOn w:val="DefaultParagraphFont"/>
    <w:rsid w:val="0038512E"/>
  </w:style>
  <w:style w:type="paragraph" w:customStyle="1" w:styleId="Customheading1">
    <w:name w:val="Custom heading1"/>
    <w:basedOn w:val="Normal"/>
    <w:link w:val="Customheading1Char"/>
    <w:qFormat/>
    <w:rsid w:val="003E0BD3"/>
    <w:pPr>
      <w:keepNext/>
      <w:keepLines/>
      <w:spacing w:before="240" w:line="259" w:lineRule="auto"/>
      <w:outlineLvl w:val="0"/>
    </w:pPr>
    <w:rPr>
      <w:rFonts w:asciiTheme="majorHAnsi" w:eastAsiaTheme="majorEastAsia" w:hAnsiTheme="majorHAnsi" w:cstheme="majorBidi"/>
      <w:b/>
      <w:color w:val="000000" w:themeColor="text1"/>
      <w:szCs w:val="32"/>
      <w:lang w:eastAsia="en-GB"/>
    </w:rPr>
  </w:style>
  <w:style w:type="character" w:customStyle="1" w:styleId="Customheading1Char">
    <w:name w:val="Custom heading1 Char"/>
    <w:basedOn w:val="DefaultParagraphFont"/>
    <w:link w:val="Customheading1"/>
    <w:rsid w:val="003E0BD3"/>
    <w:rPr>
      <w:rFonts w:asciiTheme="majorHAnsi" w:eastAsiaTheme="majorEastAsia" w:hAnsiTheme="majorHAnsi" w:cstheme="majorBidi"/>
      <w:b/>
      <w:color w:val="000000" w:themeColor="text1"/>
      <w:sz w:val="24"/>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32D98-E948-4D06-B48E-ED2F51143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21</Pages>
  <Words>5283</Words>
  <Characters>30116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35329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D.</dc:creator>
  <cp:keywords/>
  <dc:description/>
  <cp:lastModifiedBy>Duncan Stewart</cp:lastModifiedBy>
  <cp:revision>9</cp:revision>
  <dcterms:created xsi:type="dcterms:W3CDTF">2020-08-09T20:33:00Z</dcterms:created>
  <dcterms:modified xsi:type="dcterms:W3CDTF">2020-08-12T14:00:00Z</dcterms:modified>
</cp:coreProperties>
</file>