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D08ED" w14:textId="452609F1" w:rsidR="00BC7D23" w:rsidRPr="003C01E5" w:rsidRDefault="00342754" w:rsidP="003C01E5">
      <w:pPr>
        <w:pStyle w:val="Heading1"/>
        <w:spacing w:before="0" w:after="0" w:line="480" w:lineRule="auto"/>
        <w:rPr>
          <w:sz w:val="28"/>
          <w:szCs w:val="28"/>
        </w:rPr>
      </w:pPr>
      <w:r w:rsidRPr="003C01E5">
        <w:rPr>
          <w:sz w:val="28"/>
          <w:szCs w:val="28"/>
        </w:rPr>
        <w:t xml:space="preserve">Revisiting global welfare regimes: </w:t>
      </w:r>
      <w:r w:rsidR="00BC7D23" w:rsidRPr="003C01E5">
        <w:rPr>
          <w:sz w:val="28"/>
          <w:szCs w:val="28"/>
        </w:rPr>
        <w:t xml:space="preserve">Gender, (in)formal employment </w:t>
      </w:r>
      <w:r w:rsidR="000524B8" w:rsidRPr="003C01E5">
        <w:rPr>
          <w:sz w:val="28"/>
          <w:szCs w:val="28"/>
        </w:rPr>
        <w:t xml:space="preserve">and care </w:t>
      </w:r>
    </w:p>
    <w:p w14:paraId="036ADB9E" w14:textId="77777777" w:rsidR="0081765B" w:rsidRPr="003C01E5" w:rsidRDefault="0081765B" w:rsidP="003C01E5">
      <w:pPr>
        <w:spacing w:line="480" w:lineRule="auto"/>
        <w:rPr>
          <w:rFonts w:ascii="Garamond" w:hAnsi="Garamond"/>
          <w:sz w:val="22"/>
          <w:szCs w:val="22"/>
        </w:rPr>
      </w:pPr>
    </w:p>
    <w:p w14:paraId="6995C1B5" w14:textId="7A2D1422" w:rsidR="0081765B" w:rsidRPr="003C01E5" w:rsidRDefault="0081765B" w:rsidP="003C01E5">
      <w:pPr>
        <w:spacing w:line="480" w:lineRule="auto"/>
        <w:rPr>
          <w:rFonts w:ascii="Garamond" w:hAnsi="Garamond"/>
          <w:sz w:val="22"/>
          <w:szCs w:val="22"/>
        </w:rPr>
      </w:pPr>
      <w:proofErr w:type="spellStart"/>
      <w:r w:rsidRPr="003C01E5">
        <w:rPr>
          <w:rFonts w:ascii="Garamond" w:hAnsi="Garamond"/>
          <w:sz w:val="22"/>
          <w:szCs w:val="22"/>
        </w:rPr>
        <w:t>Antonios</w:t>
      </w:r>
      <w:proofErr w:type="spellEnd"/>
      <w:r w:rsidRPr="003C01E5">
        <w:rPr>
          <w:rFonts w:ascii="Garamond" w:hAnsi="Garamond"/>
          <w:sz w:val="22"/>
          <w:szCs w:val="22"/>
        </w:rPr>
        <w:t xml:space="preserve"> Roumpakis</w:t>
      </w:r>
    </w:p>
    <w:p w14:paraId="31352FEB" w14:textId="5476BED7" w:rsidR="0081765B" w:rsidRPr="003C01E5" w:rsidRDefault="0081765B" w:rsidP="003C01E5">
      <w:pPr>
        <w:spacing w:line="480" w:lineRule="auto"/>
        <w:rPr>
          <w:rFonts w:ascii="Garamond" w:hAnsi="Garamond"/>
          <w:i/>
          <w:iCs/>
          <w:sz w:val="22"/>
          <w:szCs w:val="22"/>
        </w:rPr>
      </w:pPr>
      <w:r w:rsidRPr="003C01E5">
        <w:rPr>
          <w:rFonts w:ascii="Garamond" w:hAnsi="Garamond"/>
          <w:i/>
          <w:iCs/>
          <w:sz w:val="22"/>
          <w:szCs w:val="22"/>
        </w:rPr>
        <w:t>Department of Social Policy and Social Work, University of York.</w:t>
      </w:r>
    </w:p>
    <w:p w14:paraId="607C2B2D" w14:textId="79F1E9F0" w:rsidR="0081765B" w:rsidRPr="003C01E5" w:rsidRDefault="0081765B" w:rsidP="003C01E5">
      <w:pPr>
        <w:spacing w:line="480" w:lineRule="auto"/>
        <w:rPr>
          <w:rFonts w:ascii="Garamond" w:hAnsi="Garamond"/>
          <w:i/>
          <w:iCs/>
          <w:sz w:val="22"/>
          <w:szCs w:val="22"/>
        </w:rPr>
      </w:pPr>
      <w:r w:rsidRPr="003C01E5">
        <w:rPr>
          <w:rFonts w:ascii="Garamond" w:hAnsi="Garamond"/>
          <w:i/>
          <w:iCs/>
          <w:sz w:val="22"/>
          <w:szCs w:val="22"/>
        </w:rPr>
        <w:t xml:space="preserve">Email: </w:t>
      </w:r>
      <w:hyperlink r:id="rId8" w:history="1">
        <w:r w:rsidRPr="003C01E5">
          <w:rPr>
            <w:rStyle w:val="Hyperlink"/>
            <w:rFonts w:ascii="Garamond" w:hAnsi="Garamond"/>
            <w:i/>
            <w:iCs/>
            <w:sz w:val="22"/>
            <w:szCs w:val="22"/>
          </w:rPr>
          <w:t>antonios.roumpakis@york.ac.uk</w:t>
        </w:r>
      </w:hyperlink>
    </w:p>
    <w:p w14:paraId="5FE7511A" w14:textId="77777777" w:rsidR="0081765B" w:rsidRPr="003C01E5" w:rsidRDefault="0081765B" w:rsidP="003C01E5">
      <w:pPr>
        <w:spacing w:line="480" w:lineRule="auto"/>
        <w:rPr>
          <w:rFonts w:ascii="Garamond" w:hAnsi="Garamond"/>
          <w:sz w:val="22"/>
          <w:szCs w:val="22"/>
        </w:rPr>
      </w:pPr>
    </w:p>
    <w:p w14:paraId="35FF0109" w14:textId="77777777" w:rsidR="00BC7D23" w:rsidRPr="003C01E5" w:rsidRDefault="00BC7D23" w:rsidP="003C01E5">
      <w:pPr>
        <w:pStyle w:val="Heading2"/>
        <w:spacing w:before="0" w:line="480" w:lineRule="auto"/>
      </w:pPr>
      <w:r w:rsidRPr="003C01E5">
        <w:t>Abstract</w:t>
      </w:r>
    </w:p>
    <w:p w14:paraId="18CCEA2E" w14:textId="22A6C481" w:rsidR="00EA2651" w:rsidRPr="003C01E5" w:rsidRDefault="005979F0" w:rsidP="003C01E5">
      <w:pPr>
        <w:spacing w:line="480" w:lineRule="auto"/>
        <w:rPr>
          <w:rFonts w:ascii="Garamond" w:hAnsi="Garamond"/>
          <w:sz w:val="22"/>
          <w:szCs w:val="22"/>
        </w:rPr>
      </w:pPr>
      <w:r w:rsidRPr="003C01E5">
        <w:rPr>
          <w:rFonts w:ascii="Garamond" w:eastAsia="Garamond" w:hAnsi="Garamond"/>
          <w:color w:val="000000"/>
          <w:sz w:val="22"/>
          <w:szCs w:val="22"/>
        </w:rPr>
        <w:t>G</w:t>
      </w:r>
      <w:r w:rsidR="0081127F" w:rsidRPr="003C01E5">
        <w:rPr>
          <w:rFonts w:ascii="Garamond" w:eastAsia="Garamond" w:hAnsi="Garamond"/>
          <w:color w:val="000000"/>
          <w:sz w:val="22"/>
          <w:szCs w:val="22"/>
        </w:rPr>
        <w:t>ender critique</w:t>
      </w:r>
      <w:r w:rsidRPr="003C01E5">
        <w:rPr>
          <w:rFonts w:ascii="Garamond" w:eastAsia="Garamond" w:hAnsi="Garamond"/>
          <w:color w:val="000000"/>
          <w:sz w:val="22"/>
          <w:szCs w:val="22"/>
        </w:rPr>
        <w:t>s</w:t>
      </w:r>
      <w:r w:rsidR="00BC7D23" w:rsidRPr="003C01E5">
        <w:rPr>
          <w:rFonts w:ascii="Garamond" w:eastAsia="Garamond" w:hAnsi="Garamond"/>
          <w:color w:val="000000"/>
          <w:sz w:val="22"/>
          <w:szCs w:val="22"/>
        </w:rPr>
        <w:t xml:space="preserve"> on comparative welfare state </w:t>
      </w:r>
      <w:r w:rsidR="003444AC" w:rsidRPr="003C01E5">
        <w:rPr>
          <w:rFonts w:ascii="Garamond" w:eastAsia="Garamond" w:hAnsi="Garamond"/>
          <w:color w:val="000000"/>
          <w:sz w:val="22"/>
          <w:szCs w:val="22"/>
        </w:rPr>
        <w:t xml:space="preserve">research </w:t>
      </w:r>
      <w:r w:rsidRPr="003C01E5">
        <w:rPr>
          <w:rFonts w:ascii="Garamond" w:eastAsia="Garamond" w:hAnsi="Garamond"/>
          <w:color w:val="000000"/>
          <w:sz w:val="22"/>
          <w:szCs w:val="22"/>
        </w:rPr>
        <w:t>have so far</w:t>
      </w:r>
      <w:r w:rsidR="00BC7D23" w:rsidRPr="003C01E5">
        <w:rPr>
          <w:rFonts w:ascii="Garamond" w:eastAsia="Garamond" w:hAnsi="Garamond"/>
          <w:color w:val="000000"/>
          <w:sz w:val="22"/>
          <w:szCs w:val="22"/>
        </w:rPr>
        <w:t xml:space="preserve"> predominantly </w:t>
      </w:r>
      <w:r w:rsidRPr="003C01E5">
        <w:rPr>
          <w:rFonts w:ascii="Garamond" w:eastAsia="Garamond" w:hAnsi="Garamond"/>
          <w:color w:val="000000"/>
          <w:sz w:val="22"/>
          <w:szCs w:val="22"/>
        </w:rPr>
        <w:t xml:space="preserve">focused </w:t>
      </w:r>
      <w:r w:rsidR="00BC7D23" w:rsidRPr="003C01E5">
        <w:rPr>
          <w:rFonts w:ascii="Garamond" w:eastAsia="Garamond" w:hAnsi="Garamond"/>
          <w:color w:val="000000"/>
          <w:sz w:val="22"/>
          <w:szCs w:val="22"/>
        </w:rPr>
        <w:t xml:space="preserve">on OECD countries but less so in </w:t>
      </w:r>
      <w:r w:rsidRPr="003C01E5">
        <w:rPr>
          <w:rFonts w:ascii="Garamond" w:eastAsia="Garamond" w:hAnsi="Garamond"/>
          <w:color w:val="000000"/>
          <w:sz w:val="22"/>
          <w:szCs w:val="22"/>
          <w:lang w:eastAsia="en-US"/>
        </w:rPr>
        <w:t xml:space="preserve">countries </w:t>
      </w:r>
      <w:r w:rsidR="0038178A" w:rsidRPr="003C01E5">
        <w:rPr>
          <w:rFonts w:ascii="Garamond" w:eastAsia="Garamond" w:hAnsi="Garamond"/>
          <w:color w:val="000000"/>
          <w:sz w:val="22"/>
          <w:szCs w:val="22"/>
          <w:lang w:eastAsia="en-US"/>
        </w:rPr>
        <w:t xml:space="preserve">across </w:t>
      </w:r>
      <w:r w:rsidR="00BC7D23" w:rsidRPr="003C01E5">
        <w:rPr>
          <w:rFonts w:ascii="Garamond" w:eastAsia="Garamond" w:hAnsi="Garamond"/>
          <w:color w:val="000000"/>
          <w:sz w:val="22"/>
          <w:szCs w:val="22"/>
        </w:rPr>
        <w:t>Africa, Asia</w:t>
      </w:r>
      <w:r w:rsidRPr="003C01E5">
        <w:rPr>
          <w:rFonts w:ascii="Garamond" w:eastAsia="Garamond" w:hAnsi="Garamond"/>
          <w:color w:val="000000"/>
          <w:sz w:val="22"/>
          <w:szCs w:val="22"/>
        </w:rPr>
        <w:t xml:space="preserve">, </w:t>
      </w:r>
      <w:r w:rsidR="00BC7D23" w:rsidRPr="003C01E5">
        <w:rPr>
          <w:rFonts w:ascii="Garamond" w:eastAsia="Garamond" w:hAnsi="Garamond"/>
          <w:color w:val="000000"/>
          <w:sz w:val="22"/>
          <w:szCs w:val="22"/>
        </w:rPr>
        <w:t xml:space="preserve">and Latin America.  Existing </w:t>
      </w:r>
      <w:r w:rsidR="0079796B" w:rsidRPr="003C01E5">
        <w:rPr>
          <w:rFonts w:ascii="Garamond" w:eastAsia="Garamond" w:hAnsi="Garamond"/>
          <w:color w:val="000000"/>
          <w:sz w:val="22"/>
          <w:szCs w:val="22"/>
        </w:rPr>
        <w:t xml:space="preserve">comparative </w:t>
      </w:r>
      <w:r w:rsidR="00BC7D23" w:rsidRPr="003C01E5">
        <w:rPr>
          <w:rFonts w:ascii="Garamond" w:eastAsia="Garamond" w:hAnsi="Garamond"/>
          <w:color w:val="000000"/>
          <w:sz w:val="22"/>
          <w:szCs w:val="22"/>
        </w:rPr>
        <w:t>social policy research in these regions often cite the importance of informal networks</w:t>
      </w:r>
      <w:r w:rsidR="00E30FF3" w:rsidRPr="003C01E5">
        <w:rPr>
          <w:rFonts w:ascii="Garamond" w:eastAsia="Garamond" w:hAnsi="Garamond"/>
          <w:color w:val="000000"/>
          <w:sz w:val="22"/>
          <w:szCs w:val="22"/>
        </w:rPr>
        <w:t xml:space="preserve"> and family</w:t>
      </w:r>
      <w:r w:rsidR="00BC7D23" w:rsidRPr="003C01E5">
        <w:rPr>
          <w:rFonts w:ascii="Garamond" w:eastAsia="Garamond" w:hAnsi="Garamond"/>
          <w:color w:val="000000"/>
          <w:sz w:val="22"/>
          <w:szCs w:val="22"/>
        </w:rPr>
        <w:t xml:space="preserve"> for social protection </w:t>
      </w:r>
      <w:r w:rsidR="002143F2" w:rsidRPr="003C01E5">
        <w:rPr>
          <w:rFonts w:ascii="Garamond" w:eastAsia="Garamond" w:hAnsi="Garamond"/>
          <w:color w:val="000000"/>
          <w:sz w:val="22"/>
          <w:szCs w:val="22"/>
        </w:rPr>
        <w:t xml:space="preserve">but </w:t>
      </w:r>
      <w:r w:rsidR="00E30FF3" w:rsidRPr="003C01E5">
        <w:rPr>
          <w:rFonts w:ascii="Garamond" w:eastAsia="Garamond" w:hAnsi="Garamond"/>
          <w:color w:val="000000"/>
          <w:sz w:val="22"/>
          <w:szCs w:val="22"/>
        </w:rPr>
        <w:t xml:space="preserve">less attention is paid </w:t>
      </w:r>
      <w:r w:rsidR="002143F2" w:rsidRPr="003C01E5">
        <w:rPr>
          <w:rFonts w:ascii="Garamond" w:eastAsia="Garamond" w:hAnsi="Garamond"/>
          <w:color w:val="000000"/>
          <w:sz w:val="22"/>
          <w:szCs w:val="22"/>
        </w:rPr>
        <w:t>int</w:t>
      </w:r>
      <w:r w:rsidR="00E30FF3" w:rsidRPr="003C01E5">
        <w:rPr>
          <w:rFonts w:ascii="Garamond" w:eastAsia="Garamond" w:hAnsi="Garamond"/>
          <w:color w:val="000000"/>
          <w:sz w:val="22"/>
          <w:szCs w:val="22"/>
        </w:rPr>
        <w:t>o</w:t>
      </w:r>
      <w:r w:rsidR="002143F2" w:rsidRPr="003C01E5">
        <w:rPr>
          <w:rFonts w:ascii="Garamond" w:eastAsia="Garamond" w:hAnsi="Garamond"/>
          <w:color w:val="000000"/>
          <w:sz w:val="22"/>
          <w:szCs w:val="22"/>
        </w:rPr>
        <w:t xml:space="preserve"> gender </w:t>
      </w:r>
      <w:r w:rsidR="00E30FF3" w:rsidRPr="003C01E5">
        <w:rPr>
          <w:rFonts w:ascii="Garamond" w:eastAsia="Garamond" w:hAnsi="Garamond"/>
          <w:color w:val="000000"/>
          <w:sz w:val="22"/>
          <w:szCs w:val="22"/>
        </w:rPr>
        <w:t xml:space="preserve">relations and their importance </w:t>
      </w:r>
      <w:r w:rsidR="002143F2" w:rsidRPr="003C01E5">
        <w:rPr>
          <w:rFonts w:ascii="Garamond" w:eastAsia="Garamond" w:hAnsi="Garamond"/>
          <w:color w:val="000000"/>
          <w:sz w:val="22"/>
          <w:szCs w:val="22"/>
        </w:rPr>
        <w:t xml:space="preserve">for the social reproduction </w:t>
      </w:r>
      <w:r w:rsidR="0079796B" w:rsidRPr="003C01E5">
        <w:rPr>
          <w:rFonts w:ascii="Garamond" w:eastAsia="Garamond" w:hAnsi="Garamond"/>
          <w:color w:val="000000"/>
          <w:sz w:val="22"/>
          <w:szCs w:val="22"/>
        </w:rPr>
        <w:t>of</w:t>
      </w:r>
      <w:r w:rsidR="00DE2FD4" w:rsidRPr="003C01E5">
        <w:rPr>
          <w:rFonts w:ascii="Garamond" w:eastAsia="Garamond" w:hAnsi="Garamond"/>
          <w:color w:val="000000"/>
          <w:sz w:val="22"/>
          <w:szCs w:val="22"/>
        </w:rPr>
        <w:t xml:space="preserve"> </w:t>
      </w:r>
      <w:r w:rsidR="00E30FF3" w:rsidRPr="003C01E5">
        <w:rPr>
          <w:rFonts w:ascii="Garamond" w:eastAsia="Garamond" w:hAnsi="Garamond"/>
          <w:color w:val="000000"/>
          <w:sz w:val="22"/>
          <w:szCs w:val="22"/>
        </w:rPr>
        <w:t xml:space="preserve">these </w:t>
      </w:r>
      <w:r w:rsidR="00DE2FD4" w:rsidRPr="003C01E5">
        <w:rPr>
          <w:rFonts w:ascii="Garamond" w:eastAsia="Garamond" w:hAnsi="Garamond"/>
          <w:color w:val="000000"/>
          <w:sz w:val="22"/>
          <w:szCs w:val="22"/>
        </w:rPr>
        <w:t>welfare</w:t>
      </w:r>
      <w:r w:rsidR="002143F2" w:rsidRPr="003C01E5">
        <w:rPr>
          <w:rFonts w:ascii="Garamond" w:eastAsia="Garamond" w:hAnsi="Garamond"/>
          <w:color w:val="000000"/>
          <w:sz w:val="22"/>
          <w:szCs w:val="22"/>
        </w:rPr>
        <w:t xml:space="preserve"> regimes</w:t>
      </w:r>
      <w:r w:rsidR="00BC7D23" w:rsidRPr="003C01E5">
        <w:rPr>
          <w:rFonts w:ascii="Garamond" w:eastAsia="Garamond" w:hAnsi="Garamond"/>
          <w:color w:val="000000"/>
          <w:sz w:val="22"/>
          <w:szCs w:val="22"/>
        </w:rPr>
        <w:t xml:space="preserve">. </w:t>
      </w:r>
      <w:r w:rsidR="00F13D7D" w:rsidRPr="003C01E5">
        <w:rPr>
          <w:rFonts w:ascii="Garamond" w:eastAsia="Garamond" w:hAnsi="Garamond"/>
          <w:color w:val="000000"/>
          <w:sz w:val="22"/>
          <w:szCs w:val="22"/>
        </w:rPr>
        <w:t xml:space="preserve">The </w:t>
      </w:r>
      <w:r w:rsidR="00262843" w:rsidRPr="003C01E5">
        <w:rPr>
          <w:rFonts w:ascii="Garamond" w:eastAsia="Garamond" w:hAnsi="Garamond"/>
          <w:color w:val="000000"/>
          <w:sz w:val="22"/>
          <w:szCs w:val="22"/>
        </w:rPr>
        <w:t>article</w:t>
      </w:r>
      <w:r w:rsidR="00DE2FD4" w:rsidRPr="003C01E5">
        <w:rPr>
          <w:rFonts w:ascii="Garamond" w:eastAsia="Garamond" w:hAnsi="Garamond"/>
          <w:color w:val="000000"/>
          <w:sz w:val="22"/>
          <w:szCs w:val="22"/>
        </w:rPr>
        <w:t xml:space="preserve"> comparatively analyses gender differences</w:t>
      </w:r>
      <w:r w:rsidR="0012579E" w:rsidRPr="003C01E5">
        <w:rPr>
          <w:rFonts w:ascii="Garamond" w:eastAsia="Garamond" w:hAnsi="Garamond"/>
          <w:color w:val="000000"/>
          <w:sz w:val="22"/>
          <w:szCs w:val="22"/>
        </w:rPr>
        <w:t xml:space="preserve"> in the sphere of production, captured by </w:t>
      </w:r>
      <w:r w:rsidR="004C0D8A" w:rsidRPr="003C01E5">
        <w:rPr>
          <w:rFonts w:ascii="Garamond" w:eastAsia="Garamond" w:hAnsi="Garamond"/>
          <w:color w:val="000000"/>
          <w:sz w:val="22"/>
          <w:szCs w:val="22"/>
        </w:rPr>
        <w:t xml:space="preserve">the gender gap in </w:t>
      </w:r>
      <w:r w:rsidR="0012579E" w:rsidRPr="003C01E5">
        <w:rPr>
          <w:rFonts w:ascii="Garamond" w:eastAsia="Garamond" w:hAnsi="Garamond"/>
          <w:color w:val="000000"/>
          <w:sz w:val="22"/>
          <w:szCs w:val="22"/>
        </w:rPr>
        <w:t>formal and informal employment</w:t>
      </w:r>
      <w:r w:rsidR="0079796B" w:rsidRPr="003C01E5">
        <w:rPr>
          <w:rFonts w:ascii="Garamond" w:eastAsia="Garamond" w:hAnsi="Garamond"/>
          <w:color w:val="000000"/>
          <w:sz w:val="22"/>
          <w:szCs w:val="22"/>
        </w:rPr>
        <w:t>,</w:t>
      </w:r>
      <w:r w:rsidR="00F13D7D" w:rsidRPr="003C01E5">
        <w:rPr>
          <w:rFonts w:ascii="Garamond" w:eastAsia="Garamond" w:hAnsi="Garamond"/>
          <w:color w:val="000000"/>
          <w:sz w:val="22"/>
          <w:szCs w:val="22"/>
        </w:rPr>
        <w:t xml:space="preserve"> </w:t>
      </w:r>
      <w:r w:rsidR="0079796B" w:rsidRPr="003C01E5">
        <w:rPr>
          <w:rFonts w:ascii="Garamond" w:eastAsia="Garamond" w:hAnsi="Garamond"/>
          <w:color w:val="000000"/>
          <w:sz w:val="22"/>
          <w:szCs w:val="22"/>
        </w:rPr>
        <w:t>and</w:t>
      </w:r>
      <w:r w:rsidR="0012579E" w:rsidRPr="003C01E5">
        <w:rPr>
          <w:rFonts w:ascii="Garamond" w:eastAsia="Garamond" w:hAnsi="Garamond"/>
          <w:color w:val="000000"/>
          <w:sz w:val="22"/>
          <w:szCs w:val="22"/>
        </w:rPr>
        <w:t xml:space="preserve"> social reproduction, </w:t>
      </w:r>
      <w:r w:rsidR="00275C06" w:rsidRPr="003C01E5">
        <w:rPr>
          <w:rFonts w:ascii="Garamond" w:eastAsia="Garamond" w:hAnsi="Garamond"/>
          <w:color w:val="000000"/>
          <w:sz w:val="22"/>
          <w:szCs w:val="22"/>
        </w:rPr>
        <w:t>captured by</w:t>
      </w:r>
      <w:r w:rsidR="00F13D7D" w:rsidRPr="003C01E5">
        <w:rPr>
          <w:rFonts w:ascii="Garamond" w:eastAsia="Garamond" w:hAnsi="Garamond"/>
          <w:color w:val="000000"/>
          <w:sz w:val="22"/>
          <w:szCs w:val="22"/>
        </w:rPr>
        <w:t xml:space="preserve"> </w:t>
      </w:r>
      <w:r w:rsidR="0012579E" w:rsidRPr="003C01E5">
        <w:rPr>
          <w:rFonts w:ascii="Garamond" w:eastAsia="Garamond" w:hAnsi="Garamond"/>
          <w:color w:val="000000"/>
          <w:sz w:val="22"/>
          <w:szCs w:val="22"/>
        </w:rPr>
        <w:t>time</w:t>
      </w:r>
      <w:r w:rsidR="003444AC" w:rsidRPr="003C01E5">
        <w:rPr>
          <w:rFonts w:ascii="Garamond" w:eastAsia="Garamond" w:hAnsi="Garamond"/>
          <w:color w:val="000000"/>
          <w:sz w:val="22"/>
          <w:szCs w:val="22"/>
        </w:rPr>
        <w:t xml:space="preserve"> </w:t>
      </w:r>
      <w:r w:rsidR="0012579E" w:rsidRPr="003C01E5">
        <w:rPr>
          <w:rFonts w:ascii="Garamond" w:eastAsia="Garamond" w:hAnsi="Garamond"/>
          <w:color w:val="000000"/>
          <w:sz w:val="22"/>
          <w:szCs w:val="22"/>
        </w:rPr>
        <w:t xml:space="preserve">spent on </w:t>
      </w:r>
      <w:r w:rsidR="003444AC" w:rsidRPr="003C01E5">
        <w:rPr>
          <w:rFonts w:ascii="Garamond" w:eastAsia="Garamond" w:hAnsi="Garamond"/>
          <w:color w:val="000000"/>
          <w:sz w:val="22"/>
          <w:szCs w:val="22"/>
        </w:rPr>
        <w:t xml:space="preserve">unpaid domestic work. The article identifies regional patterns and explores implications for women’s ability to access welfare and the labour market. </w:t>
      </w:r>
      <w:r w:rsidR="005D6FF2" w:rsidRPr="003C01E5">
        <w:rPr>
          <w:rFonts w:ascii="Garamond" w:eastAsia="Garamond" w:hAnsi="Garamond"/>
          <w:sz w:val="22"/>
          <w:szCs w:val="22"/>
        </w:rPr>
        <w:t xml:space="preserve">Additionally, </w:t>
      </w:r>
      <w:r w:rsidR="0079796B" w:rsidRPr="003C01E5">
        <w:rPr>
          <w:rFonts w:ascii="Garamond" w:eastAsia="Garamond" w:hAnsi="Garamond"/>
          <w:sz w:val="22"/>
          <w:szCs w:val="22"/>
        </w:rPr>
        <w:t>it</w:t>
      </w:r>
      <w:r w:rsidR="005D6FF2" w:rsidRPr="003C01E5">
        <w:rPr>
          <w:rFonts w:ascii="Garamond" w:eastAsia="Garamond" w:hAnsi="Garamond"/>
          <w:sz w:val="22"/>
          <w:szCs w:val="22"/>
        </w:rPr>
        <w:t xml:space="preserve"> shows that </w:t>
      </w:r>
      <w:r w:rsidR="00262843" w:rsidRPr="003C01E5">
        <w:rPr>
          <w:rFonts w:ascii="Garamond" w:hAnsi="Garamond"/>
          <w:sz w:val="22"/>
          <w:szCs w:val="22"/>
        </w:rPr>
        <w:t>informal</w:t>
      </w:r>
      <w:r w:rsidR="0012579E" w:rsidRPr="003C01E5">
        <w:rPr>
          <w:rFonts w:ascii="Garamond" w:hAnsi="Garamond"/>
          <w:sz w:val="22"/>
          <w:szCs w:val="22"/>
        </w:rPr>
        <w:t xml:space="preserve"> activities </w:t>
      </w:r>
      <w:r w:rsidR="0012579E" w:rsidRPr="003C01E5">
        <w:rPr>
          <w:rFonts w:ascii="Garamond" w:eastAsia="Garamond" w:hAnsi="Garamond"/>
          <w:sz w:val="22"/>
          <w:szCs w:val="22"/>
        </w:rPr>
        <w:t>(</w:t>
      </w:r>
      <w:r w:rsidR="005D6FF2" w:rsidRPr="003C01E5">
        <w:rPr>
          <w:rFonts w:ascii="Garamond" w:eastAsia="Garamond" w:hAnsi="Garamond"/>
          <w:sz w:val="22"/>
          <w:szCs w:val="22"/>
        </w:rPr>
        <w:t>employment</w:t>
      </w:r>
      <w:r w:rsidR="0012579E" w:rsidRPr="003C01E5">
        <w:rPr>
          <w:rFonts w:ascii="Garamond" w:eastAsia="Garamond" w:hAnsi="Garamond"/>
          <w:sz w:val="22"/>
          <w:szCs w:val="22"/>
        </w:rPr>
        <w:t>,</w:t>
      </w:r>
      <w:r w:rsidR="005D6FF2" w:rsidRPr="003C01E5">
        <w:rPr>
          <w:rFonts w:ascii="Garamond" w:eastAsia="Garamond" w:hAnsi="Garamond"/>
          <w:sz w:val="22"/>
          <w:szCs w:val="22"/>
        </w:rPr>
        <w:t xml:space="preserve"> domestic work) </w:t>
      </w:r>
      <w:r w:rsidR="00CB6E91" w:rsidRPr="003C01E5">
        <w:rPr>
          <w:rFonts w:ascii="Garamond" w:hAnsi="Garamond"/>
          <w:sz w:val="22"/>
          <w:szCs w:val="22"/>
        </w:rPr>
        <w:t xml:space="preserve">are </w:t>
      </w:r>
      <w:r w:rsidR="005D6FF2" w:rsidRPr="003C01E5">
        <w:rPr>
          <w:rFonts w:ascii="Garamond" w:hAnsi="Garamond"/>
          <w:sz w:val="22"/>
          <w:szCs w:val="22"/>
        </w:rPr>
        <w:t>extensive among many</w:t>
      </w:r>
      <w:r w:rsidR="0012579E" w:rsidRPr="003C01E5">
        <w:rPr>
          <w:rFonts w:ascii="Garamond" w:hAnsi="Garamond"/>
          <w:sz w:val="22"/>
          <w:szCs w:val="22"/>
        </w:rPr>
        <w:t xml:space="preserve"> </w:t>
      </w:r>
      <w:r w:rsidR="0036429B" w:rsidRPr="003C01E5">
        <w:rPr>
          <w:rFonts w:ascii="Garamond" w:eastAsia="Garamond" w:hAnsi="Garamond"/>
          <w:color w:val="000000"/>
          <w:sz w:val="22"/>
          <w:szCs w:val="22"/>
        </w:rPr>
        <w:t>African, Asian, Latin American</w:t>
      </w:r>
      <w:r w:rsidR="0036429B" w:rsidRPr="003C01E5" w:rsidDel="0036429B">
        <w:rPr>
          <w:rFonts w:ascii="Garamond" w:hAnsi="Garamond"/>
          <w:sz w:val="22"/>
          <w:szCs w:val="22"/>
        </w:rPr>
        <w:t xml:space="preserve"> </w:t>
      </w:r>
      <w:r w:rsidR="0079796B" w:rsidRPr="003C01E5">
        <w:rPr>
          <w:rFonts w:ascii="Garamond" w:hAnsi="Garamond"/>
          <w:sz w:val="22"/>
          <w:szCs w:val="22"/>
        </w:rPr>
        <w:t xml:space="preserve">but also specific OECD </w:t>
      </w:r>
      <w:r w:rsidR="00EA2651" w:rsidRPr="003C01E5">
        <w:rPr>
          <w:rFonts w:ascii="Garamond" w:hAnsi="Garamond"/>
          <w:sz w:val="22"/>
          <w:szCs w:val="22"/>
        </w:rPr>
        <w:t>welfare</w:t>
      </w:r>
      <w:r w:rsidR="0012579E" w:rsidRPr="003C01E5">
        <w:rPr>
          <w:rFonts w:ascii="Garamond" w:hAnsi="Garamond"/>
          <w:sz w:val="22"/>
          <w:szCs w:val="22"/>
        </w:rPr>
        <w:t xml:space="preserve"> regime</w:t>
      </w:r>
      <w:r w:rsidR="0079796B" w:rsidRPr="003C01E5">
        <w:rPr>
          <w:rFonts w:ascii="Garamond" w:hAnsi="Garamond"/>
          <w:sz w:val="22"/>
          <w:szCs w:val="22"/>
        </w:rPr>
        <w:t>s</w:t>
      </w:r>
      <w:r w:rsidR="0012579E" w:rsidRPr="003C01E5">
        <w:rPr>
          <w:rFonts w:ascii="Garamond" w:hAnsi="Garamond"/>
          <w:sz w:val="22"/>
          <w:szCs w:val="22"/>
        </w:rPr>
        <w:t xml:space="preserve">. The article </w:t>
      </w:r>
      <w:r w:rsidR="00EA2651" w:rsidRPr="003C01E5">
        <w:rPr>
          <w:rFonts w:ascii="Garamond" w:hAnsi="Garamond"/>
          <w:sz w:val="22"/>
          <w:szCs w:val="22"/>
        </w:rPr>
        <w:t xml:space="preserve">contributes </w:t>
      </w:r>
      <w:r w:rsidR="0079796B" w:rsidRPr="003C01E5">
        <w:rPr>
          <w:rFonts w:ascii="Garamond" w:hAnsi="Garamond"/>
          <w:sz w:val="22"/>
          <w:szCs w:val="22"/>
        </w:rPr>
        <w:t>first</w:t>
      </w:r>
      <w:r w:rsidR="00EA2651" w:rsidRPr="003C01E5">
        <w:rPr>
          <w:rFonts w:ascii="Garamond" w:hAnsi="Garamond"/>
          <w:sz w:val="22"/>
          <w:szCs w:val="22"/>
        </w:rPr>
        <w:t xml:space="preserve"> by incorporating gender in the analysis of global welfare regime and second by highlighting </w:t>
      </w:r>
      <w:r w:rsidR="005F00B7" w:rsidRPr="003C01E5">
        <w:rPr>
          <w:rFonts w:ascii="Garamond" w:hAnsi="Garamond"/>
          <w:sz w:val="22"/>
          <w:szCs w:val="22"/>
        </w:rPr>
        <w:t>the importance of informal relationships for the analysis of welfare regimes</w:t>
      </w:r>
      <w:r w:rsidR="0081765B" w:rsidRPr="003C01E5">
        <w:rPr>
          <w:rFonts w:ascii="Garamond" w:hAnsi="Garamond"/>
          <w:sz w:val="22"/>
          <w:szCs w:val="22"/>
        </w:rPr>
        <w:t>.</w:t>
      </w:r>
    </w:p>
    <w:p w14:paraId="7421E3EF" w14:textId="77777777" w:rsidR="00BC7D23" w:rsidRPr="003C01E5" w:rsidRDefault="00BC7D23" w:rsidP="003C01E5">
      <w:pPr>
        <w:spacing w:line="480" w:lineRule="auto"/>
        <w:rPr>
          <w:rFonts w:ascii="Calibri" w:hAnsi="Calibri"/>
          <w:color w:val="000000"/>
        </w:rPr>
      </w:pPr>
    </w:p>
    <w:p w14:paraId="53323F69" w14:textId="560477B7" w:rsidR="00BC7D23" w:rsidRPr="003C01E5" w:rsidRDefault="00BC7D23" w:rsidP="003C01E5">
      <w:pPr>
        <w:spacing w:line="480" w:lineRule="auto"/>
        <w:rPr>
          <w:rFonts w:ascii="Calibri" w:eastAsia="Calibri" w:hAnsi="Calibri"/>
          <w:color w:val="000000"/>
          <w:lang w:eastAsia="en-US"/>
        </w:rPr>
      </w:pPr>
      <w:r w:rsidRPr="003C01E5">
        <w:rPr>
          <w:rStyle w:val="Heading2Char"/>
          <w:lang w:val="en-GB"/>
        </w:rPr>
        <w:t>Keywords</w:t>
      </w:r>
      <w:r w:rsidRPr="003C01E5">
        <w:rPr>
          <w:rFonts w:ascii="Calibri" w:eastAsia="Calibri" w:hAnsi="Calibri"/>
          <w:color w:val="000000"/>
          <w:lang w:eastAsia="en-US"/>
        </w:rPr>
        <w:t xml:space="preserve">: </w:t>
      </w:r>
      <w:r w:rsidRPr="003C01E5">
        <w:rPr>
          <w:rFonts w:ascii="Garamond" w:eastAsia="Garamond" w:hAnsi="Garamond"/>
          <w:i/>
          <w:color w:val="000000"/>
          <w:lang w:eastAsia="en-US"/>
        </w:rPr>
        <w:t xml:space="preserve">Gender, </w:t>
      </w:r>
      <w:r w:rsidR="00342754" w:rsidRPr="003C01E5">
        <w:rPr>
          <w:rFonts w:ascii="Garamond" w:eastAsia="Garamond" w:hAnsi="Garamond"/>
          <w:i/>
          <w:color w:val="000000"/>
          <w:lang w:eastAsia="en-US"/>
        </w:rPr>
        <w:t xml:space="preserve">global </w:t>
      </w:r>
      <w:r w:rsidRPr="003C01E5">
        <w:rPr>
          <w:rFonts w:ascii="Garamond" w:eastAsia="Garamond" w:hAnsi="Garamond"/>
          <w:i/>
          <w:color w:val="000000"/>
          <w:lang w:eastAsia="en-US"/>
        </w:rPr>
        <w:t>welfare</w:t>
      </w:r>
      <w:r w:rsidR="00342754" w:rsidRPr="003C01E5">
        <w:rPr>
          <w:rFonts w:ascii="Garamond" w:eastAsia="Garamond" w:hAnsi="Garamond"/>
          <w:i/>
          <w:color w:val="000000"/>
          <w:lang w:eastAsia="en-US"/>
        </w:rPr>
        <w:t xml:space="preserve"> regimes</w:t>
      </w:r>
      <w:r w:rsidRPr="003C01E5">
        <w:rPr>
          <w:rFonts w:ascii="Garamond" w:eastAsia="Garamond" w:hAnsi="Garamond"/>
          <w:i/>
          <w:color w:val="000000"/>
          <w:lang w:eastAsia="en-US"/>
        </w:rPr>
        <w:t>, informal, care, employment</w:t>
      </w:r>
    </w:p>
    <w:p w14:paraId="74EB146A" w14:textId="77777777" w:rsidR="00BC7D23" w:rsidRPr="003C01E5" w:rsidRDefault="00BC7D23" w:rsidP="003C01E5">
      <w:pPr>
        <w:spacing w:line="480" w:lineRule="auto"/>
      </w:pPr>
    </w:p>
    <w:p w14:paraId="55FDD646" w14:textId="5E21E0A3" w:rsidR="000E1DEA" w:rsidRPr="003C01E5" w:rsidRDefault="0095006D" w:rsidP="003C01E5">
      <w:pPr>
        <w:pStyle w:val="Heading2"/>
        <w:spacing w:before="0" w:line="480" w:lineRule="auto"/>
        <w:rPr>
          <w:lang w:eastAsia="en-US"/>
        </w:rPr>
      </w:pPr>
      <w:r w:rsidRPr="003C01E5">
        <w:rPr>
          <w:lang w:eastAsia="en-US"/>
        </w:rPr>
        <w:lastRenderedPageBreak/>
        <w:t>I</w:t>
      </w:r>
      <w:r w:rsidR="0060696B" w:rsidRPr="003C01E5">
        <w:rPr>
          <w:lang w:eastAsia="en-US"/>
        </w:rPr>
        <w:t>ntroduction</w:t>
      </w:r>
    </w:p>
    <w:p w14:paraId="0B1FFA77" w14:textId="77777777" w:rsidR="0095006D" w:rsidRPr="003C01E5" w:rsidRDefault="0095006D" w:rsidP="003C01E5">
      <w:pPr>
        <w:spacing w:line="480" w:lineRule="auto"/>
        <w:rPr>
          <w:lang w:eastAsia="en-US"/>
        </w:rPr>
      </w:pPr>
    </w:p>
    <w:p w14:paraId="695FED65" w14:textId="55ACA191" w:rsidR="006E5FFF" w:rsidRPr="003C01E5" w:rsidRDefault="00BC7D23" w:rsidP="003C01E5">
      <w:pPr>
        <w:spacing w:line="480" w:lineRule="auto"/>
        <w:rPr>
          <w:rFonts w:ascii="Garamond" w:hAnsi="Garamond"/>
          <w:sz w:val="22"/>
          <w:szCs w:val="22"/>
        </w:rPr>
      </w:pPr>
      <w:r w:rsidRPr="003C01E5">
        <w:rPr>
          <w:rFonts w:ascii="Garamond" w:hAnsi="Garamond"/>
          <w:sz w:val="22"/>
          <w:szCs w:val="22"/>
          <w:lang w:eastAsia="en-US"/>
        </w:rPr>
        <w:t xml:space="preserve">The work of Gough </w:t>
      </w:r>
      <w:r w:rsidR="00747ACB" w:rsidRPr="003C01E5">
        <w:rPr>
          <w:rFonts w:ascii="Garamond" w:hAnsi="Garamond"/>
          <w:sz w:val="22"/>
          <w:szCs w:val="22"/>
          <w:lang w:eastAsia="en-US"/>
        </w:rPr>
        <w:t>et</w:t>
      </w:r>
      <w:r w:rsidR="00886194" w:rsidRPr="003C01E5">
        <w:rPr>
          <w:rFonts w:ascii="Garamond" w:hAnsi="Garamond"/>
          <w:sz w:val="22"/>
          <w:szCs w:val="22"/>
          <w:lang w:eastAsia="en-US"/>
        </w:rPr>
        <w:t>.</w:t>
      </w:r>
      <w:r w:rsidR="00747ACB" w:rsidRPr="003C01E5">
        <w:rPr>
          <w:rFonts w:ascii="Garamond" w:hAnsi="Garamond"/>
          <w:sz w:val="22"/>
          <w:szCs w:val="22"/>
          <w:lang w:eastAsia="en-US"/>
        </w:rPr>
        <w:t xml:space="preserve"> </w:t>
      </w:r>
      <w:r w:rsidR="005E4FC6" w:rsidRPr="003C01E5">
        <w:rPr>
          <w:rFonts w:ascii="Garamond" w:hAnsi="Garamond"/>
          <w:sz w:val="22"/>
          <w:szCs w:val="22"/>
          <w:lang w:eastAsia="en-US"/>
        </w:rPr>
        <w:t>al.</w:t>
      </w:r>
      <w:r w:rsidR="00747ACB" w:rsidRPr="003C01E5">
        <w:rPr>
          <w:rFonts w:ascii="Garamond" w:hAnsi="Garamond"/>
          <w:sz w:val="22"/>
          <w:szCs w:val="22"/>
          <w:lang w:eastAsia="en-US"/>
        </w:rPr>
        <w:t xml:space="preserve"> (2004) </w:t>
      </w:r>
      <w:r w:rsidRPr="003C01E5">
        <w:rPr>
          <w:rFonts w:ascii="Garamond" w:hAnsi="Garamond"/>
          <w:sz w:val="22"/>
          <w:szCs w:val="22"/>
          <w:lang w:eastAsia="en-US"/>
        </w:rPr>
        <w:t xml:space="preserve">developed new analytical categories that captured the </w:t>
      </w:r>
      <w:r w:rsidRPr="003C01E5">
        <w:rPr>
          <w:rFonts w:ascii="Garamond" w:hAnsi="Garamond" w:cstheme="minorHAnsi"/>
          <w:sz w:val="22"/>
          <w:szCs w:val="22"/>
        </w:rPr>
        <w:t xml:space="preserve">coexistence of formal and informal arrangements for guarding against insecurity </w:t>
      </w:r>
      <w:r w:rsidRPr="003C01E5">
        <w:rPr>
          <w:rFonts w:ascii="Garamond" w:hAnsi="Garamond"/>
          <w:sz w:val="22"/>
          <w:szCs w:val="22"/>
        </w:rPr>
        <w:t xml:space="preserve">namely; </w:t>
      </w:r>
      <w:r w:rsidRPr="003C01E5">
        <w:rPr>
          <w:rFonts w:ascii="Garamond" w:hAnsi="Garamond"/>
          <w:i/>
          <w:sz w:val="22"/>
          <w:szCs w:val="22"/>
        </w:rPr>
        <w:t>welfare state regimes</w:t>
      </w:r>
      <w:r w:rsidRPr="003C01E5">
        <w:rPr>
          <w:rFonts w:ascii="Garamond" w:hAnsi="Garamond"/>
          <w:sz w:val="22"/>
          <w:szCs w:val="22"/>
        </w:rPr>
        <w:t xml:space="preserve"> which are identified by high public welfare spending and high scores in the Human Development Index (HDI), </w:t>
      </w:r>
      <w:r w:rsidRPr="003C01E5">
        <w:rPr>
          <w:rFonts w:ascii="Garamond" w:hAnsi="Garamond"/>
          <w:i/>
          <w:sz w:val="22"/>
          <w:szCs w:val="22"/>
        </w:rPr>
        <w:t>informal security regimes</w:t>
      </w:r>
      <w:r w:rsidRPr="003C01E5">
        <w:rPr>
          <w:rFonts w:ascii="Garamond" w:hAnsi="Garamond"/>
          <w:sz w:val="22"/>
          <w:szCs w:val="22"/>
        </w:rPr>
        <w:t xml:space="preserve"> which are identified by relatively high HDI score but with modest, if not low, public spending and finally </w:t>
      </w:r>
      <w:r w:rsidRPr="003C01E5">
        <w:rPr>
          <w:rFonts w:ascii="Garamond" w:hAnsi="Garamond"/>
          <w:i/>
          <w:sz w:val="22"/>
          <w:szCs w:val="22"/>
        </w:rPr>
        <w:t>insecurity welfare regimes</w:t>
      </w:r>
      <w:r w:rsidRPr="003C01E5">
        <w:rPr>
          <w:rFonts w:ascii="Garamond" w:hAnsi="Garamond"/>
          <w:sz w:val="22"/>
          <w:szCs w:val="22"/>
        </w:rPr>
        <w:t xml:space="preserve"> which rely heavily on international aid and achieve modest to low HDI scores.</w:t>
      </w:r>
      <w:r w:rsidR="00A13FDA" w:rsidRPr="003C01E5">
        <w:rPr>
          <w:rFonts w:ascii="Garamond" w:hAnsi="Garamond"/>
          <w:sz w:val="22"/>
          <w:szCs w:val="22"/>
        </w:rPr>
        <w:t xml:space="preserve"> </w:t>
      </w:r>
      <w:r w:rsidR="0095006D" w:rsidRPr="003C01E5">
        <w:rPr>
          <w:rFonts w:ascii="Garamond" w:hAnsi="Garamond"/>
          <w:sz w:val="22"/>
          <w:szCs w:val="22"/>
        </w:rPr>
        <w:t xml:space="preserve">In identifying ‘informal’ security regimes, Wood (2004) highlighted the importance of stable </w:t>
      </w:r>
      <w:r w:rsidR="002B1D85" w:rsidRPr="003C01E5">
        <w:rPr>
          <w:rFonts w:ascii="Garamond" w:hAnsi="Garamond"/>
          <w:sz w:val="22"/>
          <w:szCs w:val="22"/>
        </w:rPr>
        <w:t xml:space="preserve">and informal </w:t>
      </w:r>
      <w:r w:rsidR="0095006D" w:rsidRPr="003C01E5">
        <w:rPr>
          <w:rFonts w:ascii="Garamond" w:hAnsi="Garamond"/>
          <w:sz w:val="22"/>
          <w:szCs w:val="22"/>
        </w:rPr>
        <w:t xml:space="preserve">family and community relationships </w:t>
      </w:r>
      <w:r w:rsidR="00E576E5" w:rsidRPr="003C01E5">
        <w:rPr>
          <w:rFonts w:ascii="Garamond" w:hAnsi="Garamond"/>
          <w:sz w:val="22"/>
          <w:szCs w:val="22"/>
        </w:rPr>
        <w:t xml:space="preserve">both </w:t>
      </w:r>
      <w:r w:rsidR="0095006D" w:rsidRPr="003C01E5">
        <w:rPr>
          <w:rFonts w:ascii="Garamond" w:hAnsi="Garamond"/>
          <w:sz w:val="22"/>
          <w:szCs w:val="22"/>
        </w:rPr>
        <w:t>as a form of a social capital and for offering welfare provision.</w:t>
      </w:r>
      <w:r w:rsidR="00253772" w:rsidRPr="003C01E5">
        <w:rPr>
          <w:rFonts w:ascii="Garamond" w:hAnsi="Garamond"/>
          <w:sz w:val="22"/>
          <w:szCs w:val="22"/>
        </w:rPr>
        <w:t xml:space="preserve"> </w:t>
      </w:r>
      <w:r w:rsidR="006E5FFF" w:rsidRPr="003C01E5">
        <w:rPr>
          <w:rFonts w:ascii="Garamond" w:hAnsi="Garamond"/>
          <w:sz w:val="22"/>
          <w:szCs w:val="22"/>
        </w:rPr>
        <w:t>Given the importance attached to family and community relationships, there has been l</w:t>
      </w:r>
      <w:r w:rsidR="001A3CC2" w:rsidRPr="003C01E5">
        <w:rPr>
          <w:rFonts w:ascii="Garamond" w:hAnsi="Garamond"/>
          <w:sz w:val="22"/>
          <w:szCs w:val="22"/>
        </w:rPr>
        <w:t xml:space="preserve">imited </w:t>
      </w:r>
      <w:r w:rsidR="006E5FFF" w:rsidRPr="003C01E5">
        <w:rPr>
          <w:rFonts w:ascii="Garamond" w:hAnsi="Garamond"/>
          <w:sz w:val="22"/>
          <w:szCs w:val="22"/>
        </w:rPr>
        <w:t xml:space="preserve">research on </w:t>
      </w:r>
      <w:r w:rsidR="005F00B7" w:rsidRPr="003C01E5">
        <w:rPr>
          <w:rFonts w:ascii="Garamond" w:hAnsi="Garamond"/>
          <w:sz w:val="22"/>
          <w:szCs w:val="22"/>
        </w:rPr>
        <w:t>exploring comparatively</w:t>
      </w:r>
      <w:r w:rsidR="006E5FFF" w:rsidRPr="003C01E5">
        <w:rPr>
          <w:rFonts w:ascii="Garamond" w:hAnsi="Garamond"/>
          <w:sz w:val="22"/>
          <w:szCs w:val="22"/>
        </w:rPr>
        <w:t xml:space="preserve"> and internationally </w:t>
      </w:r>
      <w:r w:rsidR="001A3CC2" w:rsidRPr="003C01E5">
        <w:rPr>
          <w:rFonts w:ascii="Garamond" w:hAnsi="Garamond"/>
          <w:sz w:val="22"/>
          <w:szCs w:val="22"/>
        </w:rPr>
        <w:t>the gender implications of these</w:t>
      </w:r>
      <w:r w:rsidR="00D53000" w:rsidRPr="003C01E5">
        <w:rPr>
          <w:rFonts w:ascii="Garamond" w:hAnsi="Garamond"/>
          <w:sz w:val="22"/>
          <w:szCs w:val="22"/>
        </w:rPr>
        <w:t>,</w:t>
      </w:r>
      <w:r w:rsidR="001A3CC2" w:rsidRPr="003C01E5">
        <w:rPr>
          <w:rFonts w:ascii="Garamond" w:hAnsi="Garamond"/>
          <w:sz w:val="22"/>
          <w:szCs w:val="22"/>
        </w:rPr>
        <w:t xml:space="preserve"> informal but crucial for welfare provision</w:t>
      </w:r>
      <w:r w:rsidR="00D53000" w:rsidRPr="003C01E5">
        <w:rPr>
          <w:rFonts w:ascii="Garamond" w:hAnsi="Garamond"/>
          <w:sz w:val="22"/>
          <w:szCs w:val="22"/>
        </w:rPr>
        <w:t>,</w:t>
      </w:r>
      <w:r w:rsidR="001A3CC2" w:rsidRPr="003C01E5">
        <w:rPr>
          <w:rFonts w:ascii="Garamond" w:hAnsi="Garamond"/>
          <w:sz w:val="22"/>
          <w:szCs w:val="22"/>
        </w:rPr>
        <w:t xml:space="preserve"> arrangements </w:t>
      </w:r>
      <w:r w:rsidR="006E5FFF" w:rsidRPr="003C01E5">
        <w:rPr>
          <w:rFonts w:ascii="Garamond" w:hAnsi="Garamond"/>
          <w:sz w:val="22"/>
          <w:szCs w:val="22"/>
        </w:rPr>
        <w:t>(</w:t>
      </w:r>
      <w:r w:rsidR="00C33B32" w:rsidRPr="003C01E5">
        <w:rPr>
          <w:rFonts w:ascii="Garamond" w:hAnsi="Garamond"/>
          <w:sz w:val="22"/>
          <w:szCs w:val="22"/>
        </w:rPr>
        <w:t xml:space="preserve">for exceptions see </w:t>
      </w:r>
      <w:proofErr w:type="spellStart"/>
      <w:r w:rsidR="00C33B32" w:rsidRPr="003C01E5">
        <w:rPr>
          <w:rFonts w:ascii="Garamond" w:hAnsi="Garamond"/>
          <w:sz w:val="22"/>
          <w:szCs w:val="22"/>
        </w:rPr>
        <w:t>Fran</w:t>
      </w:r>
      <w:r w:rsidR="0092571F" w:rsidRPr="003C01E5">
        <w:rPr>
          <w:rFonts w:ascii="Garamond" w:hAnsi="Garamond"/>
          <w:sz w:val="22"/>
          <w:szCs w:val="22"/>
        </w:rPr>
        <w:t>zoni</w:t>
      </w:r>
      <w:proofErr w:type="spellEnd"/>
      <w:r w:rsidR="00C33B32" w:rsidRPr="003C01E5">
        <w:rPr>
          <w:rFonts w:ascii="Garamond" w:hAnsi="Garamond"/>
          <w:sz w:val="22"/>
          <w:szCs w:val="22"/>
        </w:rPr>
        <w:t xml:space="preserve">, 2008; </w:t>
      </w:r>
      <w:proofErr w:type="spellStart"/>
      <w:r w:rsidR="001A3CC2" w:rsidRPr="003C01E5">
        <w:rPr>
          <w:rFonts w:ascii="Garamond" w:hAnsi="Garamond"/>
          <w:sz w:val="22"/>
          <w:szCs w:val="22"/>
        </w:rPr>
        <w:t>Mínguez</w:t>
      </w:r>
      <w:proofErr w:type="spellEnd"/>
      <w:r w:rsidR="001A3CC2" w:rsidRPr="003C01E5">
        <w:rPr>
          <w:rFonts w:ascii="Garamond" w:hAnsi="Garamond"/>
          <w:sz w:val="22"/>
          <w:szCs w:val="22"/>
        </w:rPr>
        <w:t xml:space="preserve">, 2012; </w:t>
      </w:r>
      <w:proofErr w:type="spellStart"/>
      <w:r w:rsidR="006E5FFF" w:rsidRPr="003C01E5">
        <w:rPr>
          <w:rFonts w:ascii="Garamond" w:hAnsi="Garamond"/>
          <w:sz w:val="22"/>
          <w:szCs w:val="22"/>
        </w:rPr>
        <w:t>Razavi</w:t>
      </w:r>
      <w:proofErr w:type="spellEnd"/>
      <w:r w:rsidR="006E5FFF" w:rsidRPr="003C01E5">
        <w:rPr>
          <w:rFonts w:ascii="Garamond" w:hAnsi="Garamond"/>
          <w:sz w:val="22"/>
          <w:szCs w:val="22"/>
        </w:rPr>
        <w:t xml:space="preserve"> and </w:t>
      </w:r>
      <w:proofErr w:type="spellStart"/>
      <w:r w:rsidR="006E5FFF" w:rsidRPr="003C01E5">
        <w:rPr>
          <w:rFonts w:ascii="Garamond" w:hAnsi="Garamond"/>
          <w:sz w:val="22"/>
          <w:szCs w:val="22"/>
        </w:rPr>
        <w:t>Staab</w:t>
      </w:r>
      <w:proofErr w:type="spellEnd"/>
      <w:r w:rsidR="006E5FFF" w:rsidRPr="003C01E5">
        <w:rPr>
          <w:rFonts w:ascii="Garamond" w:hAnsi="Garamond"/>
          <w:sz w:val="22"/>
          <w:szCs w:val="22"/>
        </w:rPr>
        <w:t xml:space="preserve">, 2012). </w:t>
      </w:r>
    </w:p>
    <w:p w14:paraId="7A8E3C0A" w14:textId="3DA253A1" w:rsidR="001A3CC2" w:rsidRPr="003C01E5" w:rsidRDefault="001A3CC2" w:rsidP="003C01E5">
      <w:pPr>
        <w:spacing w:line="480" w:lineRule="auto"/>
        <w:rPr>
          <w:rFonts w:ascii="Garamond" w:hAnsi="Garamond"/>
          <w:sz w:val="22"/>
          <w:szCs w:val="22"/>
        </w:rPr>
      </w:pPr>
    </w:p>
    <w:p w14:paraId="592B7DE2" w14:textId="1917BA4B" w:rsidR="001215F0" w:rsidRPr="003C01E5" w:rsidRDefault="006E5FFF" w:rsidP="003C01E5">
      <w:pPr>
        <w:spacing w:line="480" w:lineRule="auto"/>
        <w:rPr>
          <w:rFonts w:ascii="Garamond" w:hAnsi="Garamond"/>
          <w:sz w:val="22"/>
          <w:szCs w:val="22"/>
        </w:rPr>
      </w:pPr>
      <w:r w:rsidRPr="003C01E5">
        <w:rPr>
          <w:rFonts w:ascii="Garamond" w:hAnsi="Garamond"/>
          <w:sz w:val="22"/>
          <w:szCs w:val="22"/>
        </w:rPr>
        <w:t xml:space="preserve">This article aims to revisit </w:t>
      </w:r>
      <w:r w:rsidR="00D53000" w:rsidRPr="003C01E5">
        <w:rPr>
          <w:rFonts w:ascii="Garamond" w:hAnsi="Garamond"/>
          <w:sz w:val="22"/>
          <w:szCs w:val="22"/>
        </w:rPr>
        <w:t>the work of Gough et al (2004)</w:t>
      </w:r>
      <w:r w:rsidRPr="003C01E5">
        <w:rPr>
          <w:rFonts w:ascii="Garamond" w:hAnsi="Garamond"/>
          <w:sz w:val="22"/>
          <w:szCs w:val="22"/>
        </w:rPr>
        <w:t xml:space="preserve"> for two purposes. One is to reinvigorate the insights of this research and demonstrate how their argument and in particular their analytical focus on informal relationships should not be limited to Global South</w:t>
      </w:r>
      <w:r w:rsidR="004C0D8A" w:rsidRPr="003C01E5">
        <w:rPr>
          <w:rStyle w:val="FootnoteReference"/>
          <w:rFonts w:ascii="Garamond" w:hAnsi="Garamond"/>
          <w:sz w:val="22"/>
          <w:szCs w:val="22"/>
        </w:rPr>
        <w:footnoteReference w:id="1"/>
      </w:r>
      <w:r w:rsidRPr="003C01E5">
        <w:rPr>
          <w:rFonts w:ascii="Garamond" w:hAnsi="Garamond"/>
          <w:sz w:val="22"/>
          <w:szCs w:val="22"/>
        </w:rPr>
        <w:t xml:space="preserve"> welfare regimes alone.</w:t>
      </w:r>
      <w:r w:rsidR="0092571F" w:rsidRPr="003C01E5">
        <w:rPr>
          <w:rFonts w:ascii="Garamond" w:hAnsi="Garamond"/>
          <w:sz w:val="22"/>
          <w:szCs w:val="22"/>
        </w:rPr>
        <w:t xml:space="preserve"> </w:t>
      </w:r>
      <w:r w:rsidR="00C33B32" w:rsidRPr="003C01E5">
        <w:rPr>
          <w:rFonts w:ascii="Garamond" w:hAnsi="Garamond"/>
          <w:sz w:val="22"/>
          <w:szCs w:val="22"/>
        </w:rPr>
        <w:t>T</w:t>
      </w:r>
      <w:r w:rsidRPr="003C01E5">
        <w:rPr>
          <w:rFonts w:ascii="Garamond" w:hAnsi="Garamond"/>
          <w:sz w:val="22"/>
          <w:szCs w:val="22"/>
        </w:rPr>
        <w:t xml:space="preserve">he article demonstrates how </w:t>
      </w:r>
      <w:r w:rsidRPr="003C01E5">
        <w:rPr>
          <w:rFonts w:ascii="Garamond" w:hAnsi="Garamond"/>
          <w:i/>
          <w:iCs/>
          <w:sz w:val="22"/>
          <w:szCs w:val="22"/>
        </w:rPr>
        <w:t xml:space="preserve">informality </w:t>
      </w:r>
      <w:r w:rsidRPr="003C01E5">
        <w:rPr>
          <w:rFonts w:ascii="Garamond" w:hAnsi="Garamond"/>
          <w:sz w:val="22"/>
          <w:szCs w:val="22"/>
        </w:rPr>
        <w:t xml:space="preserve">and informal aspects of everyday life, whether they are in the sphere of production (labour market) or social reproduction (e.g. care) remain crucial and relevant also for welfare state regimes. </w:t>
      </w:r>
    </w:p>
    <w:p w14:paraId="4AD5D9D4" w14:textId="77777777" w:rsidR="001215F0" w:rsidRPr="003C01E5" w:rsidRDefault="001215F0" w:rsidP="003C01E5">
      <w:pPr>
        <w:spacing w:line="480" w:lineRule="auto"/>
        <w:rPr>
          <w:rFonts w:ascii="Garamond" w:hAnsi="Garamond"/>
          <w:sz w:val="22"/>
          <w:szCs w:val="22"/>
        </w:rPr>
      </w:pPr>
    </w:p>
    <w:p w14:paraId="6FF7BA54" w14:textId="7C0346E0" w:rsidR="001215F0" w:rsidRPr="003C01E5" w:rsidRDefault="006E5FFF" w:rsidP="003C01E5">
      <w:pPr>
        <w:spacing w:line="480" w:lineRule="auto"/>
        <w:rPr>
          <w:rFonts w:ascii="Garamond" w:hAnsi="Garamond"/>
          <w:sz w:val="22"/>
          <w:szCs w:val="22"/>
        </w:rPr>
      </w:pPr>
      <w:r w:rsidRPr="003C01E5">
        <w:rPr>
          <w:rFonts w:ascii="Garamond" w:hAnsi="Garamond"/>
          <w:sz w:val="22"/>
          <w:szCs w:val="22"/>
        </w:rPr>
        <w:t xml:space="preserve">Second, the article highlights that at the heart of informal practices there is a gendered division of paid (whether in formal or informal labour market) and unpaid work (care, domestic chores). </w:t>
      </w:r>
      <w:r w:rsidR="001215F0" w:rsidRPr="003C01E5">
        <w:rPr>
          <w:rFonts w:ascii="Garamond" w:eastAsia="Garamond" w:hAnsi="Garamond"/>
          <w:color w:val="000000"/>
          <w:sz w:val="22"/>
          <w:szCs w:val="22"/>
        </w:rPr>
        <w:t xml:space="preserve">Gender critiques on comparative welfare state research have so far predominantly focused on </w:t>
      </w:r>
      <w:r w:rsidR="00E22843" w:rsidRPr="003C01E5">
        <w:rPr>
          <w:rFonts w:ascii="Garamond" w:eastAsia="Garamond" w:hAnsi="Garamond"/>
          <w:color w:val="000000"/>
          <w:sz w:val="22"/>
          <w:szCs w:val="22"/>
        </w:rPr>
        <w:t>Organ</w:t>
      </w:r>
      <w:r w:rsidR="001116FC">
        <w:rPr>
          <w:rFonts w:ascii="Garamond" w:eastAsia="Garamond" w:hAnsi="Garamond"/>
          <w:color w:val="000000"/>
          <w:sz w:val="22"/>
          <w:szCs w:val="22"/>
        </w:rPr>
        <w:t>i</w:t>
      </w:r>
      <w:r w:rsidR="00E22843">
        <w:rPr>
          <w:rFonts w:ascii="Garamond" w:eastAsia="Garamond" w:hAnsi="Garamond"/>
          <w:color w:val="000000"/>
          <w:sz w:val="22"/>
          <w:szCs w:val="22"/>
        </w:rPr>
        <w:t>s</w:t>
      </w:r>
      <w:r w:rsidR="00E22843" w:rsidRPr="003C01E5">
        <w:rPr>
          <w:rFonts w:ascii="Garamond" w:eastAsia="Garamond" w:hAnsi="Garamond"/>
          <w:color w:val="000000"/>
          <w:sz w:val="22"/>
          <w:szCs w:val="22"/>
        </w:rPr>
        <w:t xml:space="preserve">ation </w:t>
      </w:r>
      <w:r w:rsidR="00275C06" w:rsidRPr="003C01E5">
        <w:rPr>
          <w:rFonts w:ascii="Garamond" w:eastAsia="Garamond" w:hAnsi="Garamond"/>
          <w:color w:val="000000"/>
          <w:sz w:val="22"/>
          <w:szCs w:val="22"/>
        </w:rPr>
        <w:t>for Economic Cooperation and Development (</w:t>
      </w:r>
      <w:r w:rsidR="001215F0" w:rsidRPr="003C01E5">
        <w:rPr>
          <w:rFonts w:ascii="Garamond" w:eastAsia="Garamond" w:hAnsi="Garamond"/>
          <w:color w:val="000000"/>
          <w:sz w:val="22"/>
          <w:szCs w:val="22"/>
        </w:rPr>
        <w:t>OECD</w:t>
      </w:r>
      <w:r w:rsidR="00275C06" w:rsidRPr="003C01E5">
        <w:rPr>
          <w:rFonts w:ascii="Garamond" w:eastAsia="Garamond" w:hAnsi="Garamond"/>
          <w:color w:val="000000"/>
          <w:sz w:val="22"/>
          <w:szCs w:val="22"/>
        </w:rPr>
        <w:t>)</w:t>
      </w:r>
      <w:r w:rsidR="001215F0" w:rsidRPr="003C01E5">
        <w:rPr>
          <w:rFonts w:ascii="Garamond" w:eastAsia="Garamond" w:hAnsi="Garamond"/>
          <w:color w:val="000000"/>
          <w:sz w:val="22"/>
          <w:szCs w:val="22"/>
        </w:rPr>
        <w:t xml:space="preserve"> countries, thus it is important to consider</w:t>
      </w:r>
      <w:r w:rsidR="001215F0" w:rsidRPr="003C01E5">
        <w:rPr>
          <w:rFonts w:ascii="Garamond" w:hAnsi="Garamond"/>
          <w:sz w:val="22"/>
          <w:szCs w:val="22"/>
        </w:rPr>
        <w:t xml:space="preserve"> the implications of these gendered divisions </w:t>
      </w:r>
      <w:r w:rsidR="006D4878" w:rsidRPr="003C01E5">
        <w:rPr>
          <w:rFonts w:ascii="Garamond" w:hAnsi="Garamond"/>
          <w:sz w:val="22"/>
          <w:szCs w:val="22"/>
        </w:rPr>
        <w:t xml:space="preserve">in </w:t>
      </w:r>
      <w:r w:rsidR="001215F0" w:rsidRPr="003C01E5">
        <w:rPr>
          <w:rFonts w:ascii="Garamond" w:eastAsia="Garamond" w:hAnsi="Garamond"/>
          <w:color w:val="000000"/>
          <w:sz w:val="22"/>
          <w:szCs w:val="22"/>
          <w:lang w:eastAsia="en-US"/>
        </w:rPr>
        <w:t xml:space="preserve">countries across </w:t>
      </w:r>
      <w:r w:rsidR="001215F0" w:rsidRPr="003C01E5">
        <w:rPr>
          <w:rFonts w:ascii="Garamond" w:eastAsia="Garamond" w:hAnsi="Garamond"/>
          <w:color w:val="000000"/>
          <w:sz w:val="22"/>
          <w:szCs w:val="22"/>
        </w:rPr>
        <w:t>Africa, Asia and Latin Americ</w:t>
      </w:r>
      <w:r w:rsidR="001215F0" w:rsidRPr="003C01E5">
        <w:rPr>
          <w:rFonts w:ascii="Garamond" w:hAnsi="Garamond"/>
          <w:sz w:val="22"/>
          <w:szCs w:val="22"/>
        </w:rPr>
        <w:t xml:space="preserve">a. </w:t>
      </w:r>
    </w:p>
    <w:p w14:paraId="0DB41AA3" w14:textId="77777777" w:rsidR="001215F0" w:rsidRPr="003C01E5" w:rsidRDefault="001215F0" w:rsidP="003C01E5">
      <w:pPr>
        <w:spacing w:line="480" w:lineRule="auto"/>
        <w:rPr>
          <w:rFonts w:ascii="Garamond" w:hAnsi="Garamond"/>
          <w:sz w:val="22"/>
          <w:szCs w:val="22"/>
        </w:rPr>
      </w:pPr>
    </w:p>
    <w:p w14:paraId="516E84E7" w14:textId="0D541113" w:rsidR="001215F0" w:rsidRPr="003C01E5" w:rsidRDefault="001215F0" w:rsidP="003C01E5">
      <w:pPr>
        <w:spacing w:line="480" w:lineRule="auto"/>
        <w:rPr>
          <w:rFonts w:ascii="Garamond" w:hAnsi="Garamond"/>
          <w:sz w:val="22"/>
          <w:szCs w:val="22"/>
        </w:rPr>
      </w:pPr>
      <w:r w:rsidRPr="003C01E5">
        <w:rPr>
          <w:rFonts w:ascii="Garamond" w:hAnsi="Garamond"/>
          <w:sz w:val="22"/>
          <w:szCs w:val="22"/>
        </w:rPr>
        <w:t>The article compares available data and opts to include both Global North</w:t>
      </w:r>
      <w:r w:rsidR="0036429B" w:rsidRPr="003C01E5">
        <w:rPr>
          <w:rStyle w:val="FootnoteReference"/>
          <w:rFonts w:ascii="Garamond" w:hAnsi="Garamond"/>
          <w:sz w:val="22"/>
          <w:szCs w:val="22"/>
        </w:rPr>
        <w:footnoteReference w:id="2"/>
      </w:r>
      <w:r w:rsidRPr="003C01E5">
        <w:rPr>
          <w:rFonts w:ascii="Garamond" w:hAnsi="Garamond"/>
          <w:sz w:val="22"/>
          <w:szCs w:val="22"/>
        </w:rPr>
        <w:t xml:space="preserve"> and South welfare regimes. In doing so, the article argues that the gendered divisions in informal paid and unpaid work are not unique to Global South welfare regimes and simultaneously that informality is an embedded characteristic of all welfare regimes.  Although, the article is not unique or the first to suggest the fruitfulness of comparing Global North and South welfare regimes (see review article, also</w:t>
      </w:r>
      <w:r w:rsidR="009821A5" w:rsidRPr="003C01E5">
        <w:rPr>
          <w:rFonts w:ascii="Garamond" w:hAnsi="Garamond"/>
          <w:sz w:val="22"/>
          <w:szCs w:val="22"/>
        </w:rPr>
        <w:t xml:space="preserve"> Rudra, 2007;</w:t>
      </w:r>
      <w:r w:rsidRPr="003C01E5">
        <w:rPr>
          <w:rFonts w:ascii="Garamond" w:hAnsi="Garamond"/>
          <w:sz w:val="22"/>
          <w:szCs w:val="22"/>
        </w:rPr>
        <w:t xml:space="preserve"> </w:t>
      </w:r>
      <w:proofErr w:type="spellStart"/>
      <w:r w:rsidRPr="003C01E5">
        <w:rPr>
          <w:rFonts w:ascii="Garamond" w:hAnsi="Garamond"/>
          <w:sz w:val="22"/>
          <w:szCs w:val="22"/>
        </w:rPr>
        <w:t>Böger</w:t>
      </w:r>
      <w:proofErr w:type="spellEnd"/>
      <w:r w:rsidRPr="003C01E5">
        <w:rPr>
          <w:rFonts w:ascii="Garamond" w:hAnsi="Garamond"/>
          <w:sz w:val="22"/>
          <w:szCs w:val="22"/>
        </w:rPr>
        <w:t xml:space="preserve"> and </w:t>
      </w:r>
      <w:proofErr w:type="spellStart"/>
      <w:r w:rsidRPr="003C01E5">
        <w:rPr>
          <w:rFonts w:ascii="Garamond" w:hAnsi="Garamond"/>
          <w:sz w:val="22"/>
          <w:szCs w:val="22"/>
        </w:rPr>
        <w:t>Öktem</w:t>
      </w:r>
      <w:proofErr w:type="spellEnd"/>
      <w:r w:rsidRPr="003C01E5">
        <w:rPr>
          <w:rFonts w:ascii="Garamond" w:hAnsi="Garamond"/>
          <w:sz w:val="22"/>
          <w:szCs w:val="22"/>
        </w:rPr>
        <w:t xml:space="preserve">, 2019; </w:t>
      </w:r>
      <w:proofErr w:type="spellStart"/>
      <w:r w:rsidRPr="003C01E5">
        <w:rPr>
          <w:rFonts w:ascii="Garamond" w:hAnsi="Garamond"/>
          <w:sz w:val="22"/>
          <w:szCs w:val="22"/>
        </w:rPr>
        <w:t>Yörük</w:t>
      </w:r>
      <w:proofErr w:type="spellEnd"/>
      <w:r w:rsidRPr="003C01E5">
        <w:rPr>
          <w:rFonts w:ascii="Garamond" w:hAnsi="Garamond"/>
          <w:sz w:val="22"/>
          <w:szCs w:val="22"/>
        </w:rPr>
        <w:t xml:space="preserve"> et al 2019), it does so for the purposes of illustrating the importance of</w:t>
      </w:r>
      <w:r w:rsidR="001116FC">
        <w:rPr>
          <w:rFonts w:ascii="Garamond" w:hAnsi="Garamond"/>
          <w:sz w:val="22"/>
          <w:szCs w:val="22"/>
        </w:rPr>
        <w:t xml:space="preserve"> gender and</w:t>
      </w:r>
      <w:r w:rsidRPr="003C01E5">
        <w:rPr>
          <w:rFonts w:ascii="Garamond" w:hAnsi="Garamond"/>
          <w:sz w:val="22"/>
          <w:szCs w:val="22"/>
        </w:rPr>
        <w:t xml:space="preserve"> informal relationships </w:t>
      </w:r>
      <w:r w:rsidR="00344886" w:rsidRPr="003C01E5">
        <w:rPr>
          <w:rFonts w:ascii="Garamond" w:hAnsi="Garamond"/>
          <w:sz w:val="22"/>
          <w:szCs w:val="22"/>
        </w:rPr>
        <w:t>for the analysis of welfare regimes globally</w:t>
      </w:r>
      <w:r w:rsidRPr="003C01E5">
        <w:rPr>
          <w:rFonts w:ascii="Garamond" w:hAnsi="Garamond"/>
          <w:sz w:val="22"/>
          <w:szCs w:val="22"/>
        </w:rPr>
        <w:t>.</w:t>
      </w:r>
      <w:r w:rsidR="00344886" w:rsidRPr="003C01E5">
        <w:rPr>
          <w:rFonts w:ascii="Garamond" w:hAnsi="Garamond"/>
          <w:sz w:val="22"/>
          <w:szCs w:val="22"/>
        </w:rPr>
        <w:t xml:space="preserve"> </w:t>
      </w:r>
      <w:r w:rsidRPr="003C01E5">
        <w:rPr>
          <w:rFonts w:ascii="Garamond" w:hAnsi="Garamond"/>
          <w:sz w:val="22"/>
          <w:szCs w:val="22"/>
        </w:rPr>
        <w:t xml:space="preserve"> </w:t>
      </w:r>
      <w:r w:rsidR="00344886" w:rsidRPr="003C01E5">
        <w:rPr>
          <w:rFonts w:ascii="Garamond" w:hAnsi="Garamond"/>
          <w:sz w:val="22"/>
          <w:szCs w:val="22"/>
        </w:rPr>
        <w:t xml:space="preserve">In this context, the article aims to, contribute towards the call for closer collaboration between social policy and development studies (Midgley, 2019; Surender, 2019). </w:t>
      </w:r>
    </w:p>
    <w:p w14:paraId="68D646A2" w14:textId="17ED79C5" w:rsidR="007219C9" w:rsidRPr="003C01E5" w:rsidRDefault="007219C9" w:rsidP="003C01E5">
      <w:pPr>
        <w:spacing w:line="480" w:lineRule="auto"/>
        <w:rPr>
          <w:rFonts w:ascii="Garamond" w:hAnsi="Garamond"/>
          <w:sz w:val="22"/>
          <w:szCs w:val="22"/>
        </w:rPr>
      </w:pPr>
    </w:p>
    <w:p w14:paraId="0EE2AB0C" w14:textId="1623EA1B" w:rsidR="00B55A51" w:rsidRPr="003C01E5" w:rsidRDefault="00B55A51" w:rsidP="003C01E5">
      <w:pPr>
        <w:spacing w:line="480" w:lineRule="auto"/>
        <w:rPr>
          <w:rFonts w:ascii="Garamond" w:hAnsi="Garamond"/>
          <w:sz w:val="22"/>
          <w:szCs w:val="22"/>
        </w:rPr>
      </w:pPr>
      <w:r w:rsidRPr="003C01E5">
        <w:rPr>
          <w:rFonts w:ascii="Garamond" w:hAnsi="Garamond"/>
          <w:sz w:val="22"/>
          <w:szCs w:val="22"/>
        </w:rPr>
        <w:t xml:space="preserve">Equally important is to explain what this article is not aiming to do. The article does not attempt to account the </w:t>
      </w:r>
      <w:r w:rsidR="005F00B7" w:rsidRPr="003C01E5">
        <w:rPr>
          <w:rFonts w:ascii="Garamond" w:hAnsi="Garamond"/>
          <w:sz w:val="22"/>
          <w:szCs w:val="22"/>
        </w:rPr>
        <w:t>causes, dynamics</w:t>
      </w:r>
      <w:r w:rsidR="00C33B32" w:rsidRPr="003C01E5">
        <w:rPr>
          <w:rFonts w:ascii="Garamond" w:hAnsi="Garamond"/>
          <w:sz w:val="22"/>
          <w:szCs w:val="22"/>
        </w:rPr>
        <w:t xml:space="preserve"> and politics</w:t>
      </w:r>
      <w:r w:rsidRPr="003C01E5">
        <w:rPr>
          <w:rFonts w:ascii="Garamond" w:hAnsi="Garamond"/>
          <w:sz w:val="22"/>
          <w:szCs w:val="22"/>
        </w:rPr>
        <w:t xml:space="preserve"> of welfare regime development in </w:t>
      </w:r>
      <w:r w:rsidR="00342754" w:rsidRPr="003C01E5">
        <w:rPr>
          <w:rFonts w:ascii="Garamond" w:hAnsi="Garamond"/>
          <w:sz w:val="22"/>
          <w:szCs w:val="22"/>
        </w:rPr>
        <w:t xml:space="preserve">Global South </w:t>
      </w:r>
      <w:r w:rsidR="00294F30" w:rsidRPr="003C01E5">
        <w:rPr>
          <w:rFonts w:ascii="Garamond" w:hAnsi="Garamond"/>
          <w:sz w:val="22"/>
          <w:szCs w:val="22"/>
        </w:rPr>
        <w:t>(</w:t>
      </w:r>
      <w:r w:rsidR="00280129" w:rsidRPr="003C01E5">
        <w:rPr>
          <w:rFonts w:ascii="Garamond" w:hAnsi="Garamond"/>
          <w:sz w:val="22"/>
          <w:szCs w:val="22"/>
        </w:rPr>
        <w:t xml:space="preserve">see </w:t>
      </w:r>
      <w:proofErr w:type="spellStart"/>
      <w:r w:rsidR="00280129" w:rsidRPr="003C01E5">
        <w:rPr>
          <w:rFonts w:ascii="Garamond" w:hAnsi="Garamond"/>
          <w:sz w:val="22"/>
          <w:szCs w:val="22"/>
        </w:rPr>
        <w:t>Tillin</w:t>
      </w:r>
      <w:proofErr w:type="spellEnd"/>
      <w:r w:rsidR="00280129" w:rsidRPr="003C01E5">
        <w:rPr>
          <w:rFonts w:ascii="Garamond" w:hAnsi="Garamond"/>
          <w:sz w:val="22"/>
          <w:szCs w:val="22"/>
        </w:rPr>
        <w:t xml:space="preserve"> and Duckett, 2017</w:t>
      </w:r>
      <w:r w:rsidR="00294F30" w:rsidRPr="003C01E5">
        <w:rPr>
          <w:rFonts w:ascii="Garamond" w:hAnsi="Garamond"/>
          <w:sz w:val="22"/>
          <w:szCs w:val="22"/>
        </w:rPr>
        <w:t>)</w:t>
      </w:r>
      <w:r w:rsidR="007219C9" w:rsidRPr="003C01E5">
        <w:rPr>
          <w:rFonts w:ascii="Garamond" w:hAnsi="Garamond"/>
          <w:sz w:val="22"/>
          <w:szCs w:val="22"/>
        </w:rPr>
        <w:t xml:space="preserve"> </w:t>
      </w:r>
      <w:r w:rsidR="00344886" w:rsidRPr="003C01E5">
        <w:rPr>
          <w:rFonts w:ascii="Garamond" w:hAnsi="Garamond"/>
          <w:sz w:val="22"/>
          <w:szCs w:val="22"/>
        </w:rPr>
        <w:t>and neither does it aim to propose a new classification</w:t>
      </w:r>
      <w:r w:rsidR="00F00F47" w:rsidRPr="003C01E5">
        <w:rPr>
          <w:rFonts w:ascii="Garamond" w:hAnsi="Garamond"/>
          <w:sz w:val="22"/>
          <w:szCs w:val="22"/>
        </w:rPr>
        <w:t xml:space="preserve">. </w:t>
      </w:r>
      <w:r w:rsidRPr="003C01E5">
        <w:rPr>
          <w:rFonts w:ascii="Garamond" w:hAnsi="Garamond"/>
          <w:sz w:val="22"/>
          <w:szCs w:val="22"/>
        </w:rPr>
        <w:t xml:space="preserve">Instead the article aims to capture </w:t>
      </w:r>
      <w:r w:rsidRPr="003C01E5">
        <w:rPr>
          <w:rFonts w:ascii="Garamond" w:hAnsi="Garamond"/>
          <w:sz w:val="22"/>
          <w:szCs w:val="22"/>
        </w:rPr>
        <w:lastRenderedPageBreak/>
        <w:t xml:space="preserve">key trends and identify patterns of informality permeating selected cases (largely compromised by the availability of comparable data). In the next section, the article </w:t>
      </w:r>
      <w:r w:rsidR="00B07E13" w:rsidRPr="003C01E5">
        <w:rPr>
          <w:rFonts w:ascii="Garamond" w:hAnsi="Garamond"/>
          <w:sz w:val="22"/>
          <w:szCs w:val="22"/>
        </w:rPr>
        <w:t>briefly</w:t>
      </w:r>
      <w:r w:rsidRPr="003C01E5">
        <w:rPr>
          <w:rFonts w:ascii="Garamond" w:hAnsi="Garamond"/>
          <w:sz w:val="22"/>
          <w:szCs w:val="22"/>
        </w:rPr>
        <w:t xml:space="preserve"> reflects </w:t>
      </w:r>
      <w:r w:rsidR="00B07E13" w:rsidRPr="003C01E5">
        <w:rPr>
          <w:rFonts w:ascii="Garamond" w:hAnsi="Garamond"/>
          <w:sz w:val="22"/>
          <w:szCs w:val="22"/>
        </w:rPr>
        <w:t xml:space="preserve">how </w:t>
      </w:r>
      <w:r w:rsidRPr="003C01E5">
        <w:rPr>
          <w:rFonts w:ascii="Garamond" w:hAnsi="Garamond"/>
          <w:sz w:val="22"/>
          <w:szCs w:val="22"/>
        </w:rPr>
        <w:t>informality</w:t>
      </w:r>
      <w:r w:rsidR="00B07E13" w:rsidRPr="003C01E5">
        <w:rPr>
          <w:rFonts w:ascii="Garamond" w:hAnsi="Garamond"/>
          <w:sz w:val="22"/>
          <w:szCs w:val="22"/>
        </w:rPr>
        <w:t xml:space="preserve"> can be </w:t>
      </w:r>
      <w:r w:rsidR="003C01E5" w:rsidRPr="003C01E5">
        <w:rPr>
          <w:rFonts w:ascii="Garamond" w:hAnsi="Garamond"/>
          <w:sz w:val="22"/>
          <w:szCs w:val="22"/>
        </w:rPr>
        <w:t>reconceptualised</w:t>
      </w:r>
      <w:r w:rsidRPr="003C01E5">
        <w:rPr>
          <w:rFonts w:ascii="Garamond" w:hAnsi="Garamond"/>
          <w:sz w:val="22"/>
          <w:szCs w:val="22"/>
        </w:rPr>
        <w:t xml:space="preserve"> </w:t>
      </w:r>
      <w:r w:rsidR="0015444D" w:rsidRPr="003C01E5">
        <w:rPr>
          <w:rFonts w:ascii="Garamond" w:hAnsi="Garamond"/>
          <w:sz w:val="22"/>
          <w:szCs w:val="22"/>
        </w:rPr>
        <w:t xml:space="preserve">both </w:t>
      </w:r>
      <w:r w:rsidRPr="003C01E5">
        <w:rPr>
          <w:rFonts w:ascii="Garamond" w:hAnsi="Garamond"/>
          <w:sz w:val="22"/>
          <w:szCs w:val="22"/>
        </w:rPr>
        <w:t>in the sphere of production and social production across Global South and North</w:t>
      </w:r>
      <w:r w:rsidR="00886194" w:rsidRPr="003C01E5">
        <w:rPr>
          <w:rFonts w:ascii="Garamond" w:hAnsi="Garamond"/>
          <w:sz w:val="22"/>
          <w:szCs w:val="22"/>
        </w:rPr>
        <w:t xml:space="preserve"> </w:t>
      </w:r>
      <w:r w:rsidRPr="003C01E5">
        <w:rPr>
          <w:rFonts w:ascii="Garamond" w:hAnsi="Garamond"/>
          <w:sz w:val="22"/>
          <w:szCs w:val="22"/>
        </w:rPr>
        <w:t>welfare regimes.</w:t>
      </w:r>
    </w:p>
    <w:p w14:paraId="69D559E1" w14:textId="77777777" w:rsidR="00B55A51" w:rsidRPr="003C01E5" w:rsidRDefault="00B55A51" w:rsidP="003C01E5">
      <w:pPr>
        <w:spacing w:line="480" w:lineRule="auto"/>
        <w:rPr>
          <w:rFonts w:ascii="Garamond" w:hAnsi="Garamond"/>
          <w:sz w:val="22"/>
          <w:szCs w:val="22"/>
        </w:rPr>
      </w:pPr>
    </w:p>
    <w:p w14:paraId="6DC7C3B4" w14:textId="77777777" w:rsidR="00EC0051" w:rsidRPr="003C01E5" w:rsidRDefault="00EC0051" w:rsidP="003C01E5">
      <w:pPr>
        <w:spacing w:line="480" w:lineRule="auto"/>
        <w:rPr>
          <w:rFonts w:ascii="Garamond" w:hAnsi="Garamond"/>
          <w:sz w:val="22"/>
          <w:szCs w:val="22"/>
        </w:rPr>
      </w:pPr>
    </w:p>
    <w:p w14:paraId="3EF35E97" w14:textId="637CE380" w:rsidR="0060696B" w:rsidRPr="003C01E5" w:rsidRDefault="00280129" w:rsidP="003C01E5">
      <w:pPr>
        <w:pStyle w:val="Heading2"/>
        <w:spacing w:before="0" w:line="480" w:lineRule="auto"/>
        <w:rPr>
          <w:lang w:eastAsia="en-US"/>
        </w:rPr>
      </w:pPr>
      <w:r w:rsidRPr="003C01E5">
        <w:rPr>
          <w:lang w:eastAsia="en-US"/>
        </w:rPr>
        <w:t>Informality</w:t>
      </w:r>
      <w:r w:rsidR="00B3133E" w:rsidRPr="003C01E5">
        <w:rPr>
          <w:lang w:eastAsia="en-US"/>
        </w:rPr>
        <w:t>, gender</w:t>
      </w:r>
      <w:r w:rsidRPr="003C01E5">
        <w:rPr>
          <w:lang w:eastAsia="en-US"/>
        </w:rPr>
        <w:t xml:space="preserve"> and global welfare regimes</w:t>
      </w:r>
      <w:r w:rsidR="00B3133E" w:rsidRPr="003C01E5">
        <w:rPr>
          <w:lang w:eastAsia="en-US"/>
        </w:rPr>
        <w:t>: An analytical synthesis</w:t>
      </w:r>
      <w:r w:rsidRPr="003C01E5">
        <w:rPr>
          <w:lang w:eastAsia="en-US"/>
        </w:rPr>
        <w:t xml:space="preserve"> </w:t>
      </w:r>
    </w:p>
    <w:p w14:paraId="79EA1EC9" w14:textId="77777777" w:rsidR="00E1058A" w:rsidRPr="003C01E5" w:rsidRDefault="00E1058A" w:rsidP="003C01E5">
      <w:pPr>
        <w:spacing w:line="480" w:lineRule="auto"/>
        <w:rPr>
          <w:rFonts w:ascii="Garamond" w:hAnsi="Garamond"/>
          <w:sz w:val="22"/>
          <w:szCs w:val="22"/>
        </w:rPr>
      </w:pPr>
    </w:p>
    <w:p w14:paraId="6ED44F5B" w14:textId="7AD8BF1C" w:rsidR="009A0A05" w:rsidRPr="003C01E5" w:rsidRDefault="0095006D" w:rsidP="003C01E5">
      <w:pPr>
        <w:spacing w:line="480" w:lineRule="auto"/>
        <w:rPr>
          <w:rFonts w:ascii="Garamond" w:hAnsi="Garamond"/>
          <w:sz w:val="22"/>
          <w:szCs w:val="22"/>
        </w:rPr>
      </w:pPr>
      <w:r w:rsidRPr="003C01E5">
        <w:rPr>
          <w:rFonts w:ascii="Garamond" w:hAnsi="Garamond"/>
          <w:sz w:val="22"/>
          <w:szCs w:val="22"/>
        </w:rPr>
        <w:t xml:space="preserve">Wood (2004, p.50) defined informal security regime as comprising of ‘a set of conditions where people cannot reasonably expect to meet their security needs via accessing services from the state or via participation in open labour markets’.  Informality is thus largely realized as not being able to formally participate in the labour market (upon which social insurance records can be built) and </w:t>
      </w:r>
      <w:r w:rsidR="008964EC" w:rsidRPr="003C01E5">
        <w:rPr>
          <w:rFonts w:ascii="Garamond" w:hAnsi="Garamond"/>
          <w:sz w:val="22"/>
          <w:szCs w:val="22"/>
        </w:rPr>
        <w:t xml:space="preserve">therefore </w:t>
      </w:r>
      <w:r w:rsidRPr="003C01E5">
        <w:rPr>
          <w:rFonts w:ascii="Garamond" w:hAnsi="Garamond"/>
          <w:sz w:val="22"/>
          <w:szCs w:val="22"/>
        </w:rPr>
        <w:t>not being able to access public welfare services</w:t>
      </w:r>
      <w:r w:rsidR="001053BE" w:rsidRPr="003C01E5">
        <w:rPr>
          <w:rFonts w:ascii="Garamond" w:hAnsi="Garamond"/>
          <w:sz w:val="22"/>
          <w:szCs w:val="22"/>
        </w:rPr>
        <w:t>, social benefits and protection</w:t>
      </w:r>
      <w:r w:rsidRPr="003C01E5">
        <w:rPr>
          <w:rFonts w:ascii="Garamond" w:hAnsi="Garamond"/>
          <w:sz w:val="22"/>
          <w:szCs w:val="22"/>
        </w:rPr>
        <w:t xml:space="preserve">. The latter could refer to the absence of these public services but also at times it could rely on negation of access to the existing public services resorting, among others, to relationships of clientelism. </w:t>
      </w:r>
      <w:r w:rsidR="00EE6DCE" w:rsidRPr="003C01E5">
        <w:rPr>
          <w:rFonts w:ascii="Garamond" w:hAnsi="Garamond"/>
          <w:sz w:val="22"/>
          <w:szCs w:val="22"/>
        </w:rPr>
        <w:t xml:space="preserve">Welfare provision thus is far more likely to be </w:t>
      </w:r>
      <w:r w:rsidR="00E22843" w:rsidRPr="003C01E5">
        <w:rPr>
          <w:rFonts w:ascii="Garamond" w:hAnsi="Garamond"/>
          <w:sz w:val="22"/>
          <w:szCs w:val="22"/>
        </w:rPr>
        <w:t>organi</w:t>
      </w:r>
      <w:r w:rsidR="00E22843">
        <w:rPr>
          <w:rFonts w:ascii="Garamond" w:hAnsi="Garamond"/>
          <w:sz w:val="22"/>
          <w:szCs w:val="22"/>
        </w:rPr>
        <w:t>s</w:t>
      </w:r>
      <w:r w:rsidR="00E22843" w:rsidRPr="003C01E5">
        <w:rPr>
          <w:rFonts w:ascii="Garamond" w:hAnsi="Garamond"/>
          <w:sz w:val="22"/>
          <w:szCs w:val="22"/>
        </w:rPr>
        <w:t xml:space="preserve">ed </w:t>
      </w:r>
      <w:r w:rsidR="00EE6DCE" w:rsidRPr="003C01E5">
        <w:rPr>
          <w:rFonts w:ascii="Garamond" w:hAnsi="Garamond"/>
          <w:sz w:val="22"/>
          <w:szCs w:val="22"/>
        </w:rPr>
        <w:t>and provided either at the family or community level</w:t>
      </w:r>
      <w:r w:rsidR="009A0A05" w:rsidRPr="003C01E5">
        <w:rPr>
          <w:rFonts w:ascii="Garamond" w:hAnsi="Garamond"/>
          <w:sz w:val="22"/>
          <w:szCs w:val="22"/>
        </w:rPr>
        <w:t>.</w:t>
      </w:r>
      <w:r w:rsidR="00344886" w:rsidRPr="003C01E5">
        <w:rPr>
          <w:rFonts w:ascii="Garamond" w:hAnsi="Garamond"/>
          <w:sz w:val="22"/>
          <w:szCs w:val="22"/>
        </w:rPr>
        <w:t xml:space="preserve"> As recent comparative social policy scholarship identifies this is not unique to African, Asian or Latin American welfare regimes but also could extend </w:t>
      </w:r>
      <w:r w:rsidR="00FA5B55" w:rsidRPr="003C01E5">
        <w:rPr>
          <w:rFonts w:ascii="Garamond" w:hAnsi="Garamond"/>
          <w:sz w:val="22"/>
          <w:szCs w:val="22"/>
        </w:rPr>
        <w:t>to East Asia and South Europe</w:t>
      </w:r>
      <w:r w:rsidR="00344886" w:rsidRPr="003C01E5">
        <w:rPr>
          <w:rFonts w:ascii="Garamond" w:hAnsi="Garamond"/>
          <w:sz w:val="22"/>
          <w:szCs w:val="22"/>
        </w:rPr>
        <w:t xml:space="preserve"> </w:t>
      </w:r>
      <w:r w:rsidR="009A0A05" w:rsidRPr="003C01E5">
        <w:rPr>
          <w:rFonts w:ascii="Garamond" w:eastAsia="Garamond" w:hAnsi="Garamond"/>
          <w:sz w:val="22"/>
          <w:szCs w:val="22"/>
        </w:rPr>
        <w:t>(</w:t>
      </w:r>
      <w:proofErr w:type="spellStart"/>
      <w:r w:rsidR="009A0A05" w:rsidRPr="003C01E5">
        <w:rPr>
          <w:rFonts w:ascii="Garamond" w:eastAsia="Garamond" w:hAnsi="Garamond"/>
          <w:sz w:val="22"/>
          <w:szCs w:val="22"/>
        </w:rPr>
        <w:t>Ferrera</w:t>
      </w:r>
      <w:proofErr w:type="spellEnd"/>
      <w:r w:rsidR="009A0A05" w:rsidRPr="003C01E5">
        <w:rPr>
          <w:rFonts w:ascii="Garamond" w:eastAsia="Garamond" w:hAnsi="Garamond"/>
          <w:sz w:val="22"/>
          <w:szCs w:val="22"/>
        </w:rPr>
        <w:t>, 2016; Papadopoulos and Roumpakis, 2017)</w:t>
      </w:r>
      <w:r w:rsidR="00344886" w:rsidRPr="003C01E5">
        <w:rPr>
          <w:rFonts w:ascii="Garamond" w:hAnsi="Garamond"/>
          <w:sz w:val="22"/>
          <w:szCs w:val="22"/>
        </w:rPr>
        <w:t xml:space="preserve">. </w:t>
      </w:r>
      <w:r w:rsidR="00943BAD" w:rsidRPr="003C01E5">
        <w:rPr>
          <w:rFonts w:ascii="Garamond" w:eastAsia="Garamond" w:hAnsi="Garamond"/>
          <w:sz w:val="22"/>
          <w:szCs w:val="22"/>
        </w:rPr>
        <w:t>Thus,</w:t>
      </w:r>
      <w:r w:rsidR="009A0A05" w:rsidRPr="003C01E5">
        <w:rPr>
          <w:rFonts w:ascii="Garamond" w:hAnsi="Garamond"/>
          <w:sz w:val="22"/>
          <w:szCs w:val="22"/>
        </w:rPr>
        <w:t xml:space="preserve"> many of the distinguished features that differentiate welfare </w:t>
      </w:r>
      <w:r w:rsidR="00943BAD" w:rsidRPr="003C01E5">
        <w:rPr>
          <w:rFonts w:ascii="Garamond" w:hAnsi="Garamond"/>
          <w:sz w:val="22"/>
          <w:szCs w:val="22"/>
        </w:rPr>
        <w:t xml:space="preserve">regimes </w:t>
      </w:r>
      <w:r w:rsidR="009A0A05" w:rsidRPr="003C01E5">
        <w:rPr>
          <w:rFonts w:ascii="Garamond" w:hAnsi="Garamond"/>
          <w:sz w:val="22"/>
          <w:szCs w:val="22"/>
        </w:rPr>
        <w:t xml:space="preserve">from the North and South need to be proven empirically. </w:t>
      </w:r>
    </w:p>
    <w:p w14:paraId="024ADBDF" w14:textId="77777777" w:rsidR="0079796B" w:rsidRPr="003C01E5" w:rsidRDefault="0079796B" w:rsidP="003C01E5">
      <w:pPr>
        <w:spacing w:line="480" w:lineRule="auto"/>
        <w:rPr>
          <w:rFonts w:ascii="Garamond" w:hAnsi="Garamond"/>
          <w:sz w:val="22"/>
          <w:szCs w:val="22"/>
        </w:rPr>
      </w:pPr>
    </w:p>
    <w:p w14:paraId="3E1A3DC6" w14:textId="6EF2D404" w:rsidR="001053BE" w:rsidRPr="003C01E5" w:rsidRDefault="001053BE" w:rsidP="003C01E5">
      <w:pPr>
        <w:spacing w:line="480" w:lineRule="auto"/>
        <w:rPr>
          <w:rFonts w:ascii="Garamond" w:hAnsi="Garamond"/>
          <w:sz w:val="22"/>
          <w:szCs w:val="22"/>
        </w:rPr>
      </w:pPr>
      <w:r w:rsidRPr="003C01E5">
        <w:rPr>
          <w:rFonts w:ascii="Garamond" w:hAnsi="Garamond"/>
          <w:sz w:val="22"/>
          <w:szCs w:val="22"/>
        </w:rPr>
        <w:lastRenderedPageBreak/>
        <w:t xml:space="preserve">In his global welfare regime classification, Gough (2004) </w:t>
      </w:r>
      <w:r w:rsidR="00E22843" w:rsidRPr="003C01E5">
        <w:rPr>
          <w:rFonts w:ascii="Garamond" w:hAnsi="Garamond"/>
          <w:sz w:val="22"/>
          <w:szCs w:val="22"/>
        </w:rPr>
        <w:t>operationali</w:t>
      </w:r>
      <w:r w:rsidR="00E22843">
        <w:rPr>
          <w:rFonts w:ascii="Garamond" w:hAnsi="Garamond"/>
          <w:sz w:val="22"/>
          <w:szCs w:val="22"/>
        </w:rPr>
        <w:t>s</w:t>
      </w:r>
      <w:r w:rsidR="00E22843" w:rsidRPr="003C01E5">
        <w:rPr>
          <w:rFonts w:ascii="Garamond" w:hAnsi="Garamond"/>
          <w:sz w:val="22"/>
          <w:szCs w:val="22"/>
        </w:rPr>
        <w:t xml:space="preserve">ed </w:t>
      </w:r>
      <w:r w:rsidRPr="003C01E5">
        <w:rPr>
          <w:rFonts w:ascii="Garamond" w:hAnsi="Garamond"/>
          <w:sz w:val="22"/>
          <w:szCs w:val="22"/>
        </w:rPr>
        <w:t xml:space="preserve">‘informal’ largely by exploring variables that capture (the low penetration of) formal public protection and (limited) access to formal labour market. Interestingly, there were not any variables that captured informal activities per se. The most notable attempt to capture the dynamic development of informality was published in the joint work of Abu </w:t>
      </w:r>
      <w:proofErr w:type="spellStart"/>
      <w:r w:rsidRPr="003C01E5">
        <w:rPr>
          <w:rFonts w:ascii="Garamond" w:hAnsi="Garamond"/>
          <w:sz w:val="22"/>
          <w:szCs w:val="22"/>
        </w:rPr>
        <w:t>Sharkh</w:t>
      </w:r>
      <w:proofErr w:type="spellEnd"/>
      <w:r w:rsidRPr="003C01E5">
        <w:rPr>
          <w:rFonts w:ascii="Garamond" w:hAnsi="Garamond"/>
          <w:sz w:val="22"/>
          <w:szCs w:val="22"/>
        </w:rPr>
        <w:t xml:space="preserve"> and Gough (2010). In their work they </w:t>
      </w:r>
      <w:r w:rsidR="00E22843" w:rsidRPr="003C01E5">
        <w:rPr>
          <w:rFonts w:ascii="Garamond" w:hAnsi="Garamond"/>
          <w:sz w:val="22"/>
          <w:szCs w:val="22"/>
        </w:rPr>
        <w:t>utili</w:t>
      </w:r>
      <w:r w:rsidR="00E22843">
        <w:rPr>
          <w:rFonts w:ascii="Garamond" w:hAnsi="Garamond"/>
          <w:sz w:val="22"/>
          <w:szCs w:val="22"/>
        </w:rPr>
        <w:t>s</w:t>
      </w:r>
      <w:r w:rsidR="00E22843" w:rsidRPr="003C01E5">
        <w:rPr>
          <w:rFonts w:ascii="Garamond" w:hAnsi="Garamond"/>
          <w:sz w:val="22"/>
          <w:szCs w:val="22"/>
        </w:rPr>
        <w:t xml:space="preserve">ed </w:t>
      </w:r>
      <w:r w:rsidRPr="003C01E5">
        <w:rPr>
          <w:rFonts w:ascii="Garamond" w:hAnsi="Garamond"/>
          <w:sz w:val="22"/>
          <w:szCs w:val="22"/>
        </w:rPr>
        <w:t>a cluster analysis technique to establish groupings but also change across time by comparing two points in time (i.e. 1990, 2000). Their results identify that regimes remain largely path dependent with the exception of ‘informal security’ cluste</w:t>
      </w:r>
      <w:r w:rsidR="00D757C1" w:rsidRPr="003C01E5">
        <w:rPr>
          <w:rFonts w:ascii="Garamond" w:hAnsi="Garamond"/>
          <w:sz w:val="22"/>
          <w:szCs w:val="22"/>
        </w:rPr>
        <w:t xml:space="preserve">r. </w:t>
      </w:r>
      <w:r w:rsidR="0060415E" w:rsidRPr="003C01E5">
        <w:rPr>
          <w:rFonts w:ascii="Garamond" w:hAnsi="Garamond"/>
          <w:sz w:val="22"/>
          <w:szCs w:val="22"/>
        </w:rPr>
        <w:t xml:space="preserve">The latter grouping displays significant diversity with the authors opting to distinguish between ‘successful’ and ‘failing’ informal welfare regimes. The successful regime comprises of countries achieving positive welfare outcomes combined with low public social spending and international aid (including remittances) with its membership however remaining diverse both geographically but also in terms of their scores. The failing clustering is split into further two sub-groups. The first is distinguished, among others, by high morbidity with membership comprising South and East Africa and the second is distinguished by lower levels of literacy and female educational rates with membership largely comprising the Indian sub-continent. </w:t>
      </w:r>
      <w:r w:rsidR="00D757C1" w:rsidRPr="003C01E5">
        <w:rPr>
          <w:rFonts w:ascii="Garamond" w:hAnsi="Garamond"/>
          <w:sz w:val="22"/>
          <w:szCs w:val="22"/>
        </w:rPr>
        <w:t>T</w:t>
      </w:r>
      <w:r w:rsidRPr="003C01E5">
        <w:rPr>
          <w:rFonts w:ascii="Garamond" w:hAnsi="Garamond"/>
          <w:sz w:val="22"/>
          <w:szCs w:val="22"/>
        </w:rPr>
        <w:t xml:space="preserve">he variables that Abu </w:t>
      </w:r>
      <w:proofErr w:type="spellStart"/>
      <w:r w:rsidRPr="003C01E5">
        <w:rPr>
          <w:rFonts w:ascii="Garamond" w:hAnsi="Garamond"/>
          <w:sz w:val="22"/>
          <w:szCs w:val="22"/>
        </w:rPr>
        <w:t>Sharkh</w:t>
      </w:r>
      <w:proofErr w:type="spellEnd"/>
      <w:r w:rsidRPr="003C01E5">
        <w:rPr>
          <w:rFonts w:ascii="Garamond" w:hAnsi="Garamond"/>
          <w:sz w:val="22"/>
          <w:szCs w:val="22"/>
        </w:rPr>
        <w:t xml:space="preserve"> and Gough opt</w:t>
      </w:r>
      <w:r w:rsidR="00342754" w:rsidRPr="003C01E5">
        <w:rPr>
          <w:rFonts w:ascii="Garamond" w:hAnsi="Garamond"/>
          <w:sz w:val="22"/>
          <w:szCs w:val="22"/>
        </w:rPr>
        <w:t>ed</w:t>
      </w:r>
      <w:r w:rsidRPr="003C01E5">
        <w:rPr>
          <w:rFonts w:ascii="Garamond" w:hAnsi="Garamond"/>
          <w:sz w:val="22"/>
          <w:szCs w:val="22"/>
        </w:rPr>
        <w:t xml:space="preserve"> to </w:t>
      </w:r>
      <w:r w:rsidR="00E22843" w:rsidRPr="003C01E5">
        <w:rPr>
          <w:rFonts w:ascii="Garamond" w:hAnsi="Garamond"/>
          <w:sz w:val="22"/>
          <w:szCs w:val="22"/>
        </w:rPr>
        <w:t>operationali</w:t>
      </w:r>
      <w:r w:rsidR="00E22843">
        <w:rPr>
          <w:rFonts w:ascii="Garamond" w:hAnsi="Garamond"/>
          <w:sz w:val="22"/>
          <w:szCs w:val="22"/>
        </w:rPr>
        <w:t>s</w:t>
      </w:r>
      <w:r w:rsidR="00E22843" w:rsidRPr="003C01E5">
        <w:rPr>
          <w:rFonts w:ascii="Garamond" w:hAnsi="Garamond"/>
          <w:sz w:val="22"/>
          <w:szCs w:val="22"/>
        </w:rPr>
        <w:t xml:space="preserve">e </w:t>
      </w:r>
      <w:r w:rsidRPr="003C01E5">
        <w:rPr>
          <w:rFonts w:ascii="Garamond" w:hAnsi="Garamond"/>
          <w:sz w:val="22"/>
          <w:szCs w:val="22"/>
        </w:rPr>
        <w:t xml:space="preserve">represented a welcomed expansion </w:t>
      </w:r>
      <w:r w:rsidR="00342754" w:rsidRPr="003C01E5">
        <w:rPr>
          <w:rFonts w:ascii="Garamond" w:hAnsi="Garamond"/>
          <w:sz w:val="22"/>
          <w:szCs w:val="22"/>
        </w:rPr>
        <w:t>and yet</w:t>
      </w:r>
      <w:r w:rsidRPr="003C01E5">
        <w:rPr>
          <w:rFonts w:ascii="Garamond" w:hAnsi="Garamond"/>
          <w:sz w:val="22"/>
          <w:szCs w:val="22"/>
        </w:rPr>
        <w:t xml:space="preserve"> did not include key aspects of production (e.g. employment) and social reproduction (e.g. care). </w:t>
      </w:r>
    </w:p>
    <w:p w14:paraId="6FE89DF7" w14:textId="0E1B5EB4" w:rsidR="00AC2F9B" w:rsidRPr="003C01E5" w:rsidRDefault="00AC2F9B" w:rsidP="003C01E5">
      <w:pPr>
        <w:spacing w:line="480" w:lineRule="auto"/>
        <w:rPr>
          <w:rFonts w:ascii="Garamond" w:hAnsi="Garamond"/>
          <w:sz w:val="22"/>
          <w:szCs w:val="22"/>
        </w:rPr>
      </w:pPr>
    </w:p>
    <w:p w14:paraId="215AAC9D" w14:textId="48EE9B18" w:rsidR="00AC2F9B" w:rsidRPr="003C01E5" w:rsidRDefault="00AC2F9B" w:rsidP="003C01E5">
      <w:pPr>
        <w:spacing w:line="480" w:lineRule="auto"/>
        <w:rPr>
          <w:rFonts w:ascii="Garamond" w:hAnsi="Garamond"/>
          <w:sz w:val="22"/>
          <w:szCs w:val="22"/>
        </w:rPr>
      </w:pPr>
      <w:proofErr w:type="spellStart"/>
      <w:r w:rsidRPr="003C01E5">
        <w:rPr>
          <w:rFonts w:ascii="Garamond" w:hAnsi="Garamond" w:cstheme="minorHAnsi"/>
          <w:sz w:val="22"/>
          <w:szCs w:val="22"/>
        </w:rPr>
        <w:t>Franzoni</w:t>
      </w:r>
      <w:proofErr w:type="spellEnd"/>
      <w:r w:rsidRPr="003C01E5">
        <w:rPr>
          <w:rFonts w:ascii="Garamond" w:hAnsi="Garamond" w:cstheme="minorHAnsi"/>
          <w:sz w:val="22"/>
          <w:szCs w:val="22"/>
        </w:rPr>
        <w:t xml:space="preserve"> (2008) offered one of the first attempts to integrate gender into the global welfare regime debate as she incorporated variables that are similar to Gough but also extended her research to include indicators of decommodification, stratification and </w:t>
      </w:r>
      <w:proofErr w:type="spellStart"/>
      <w:r w:rsidRPr="003C01E5">
        <w:rPr>
          <w:rFonts w:ascii="Garamond" w:hAnsi="Garamond" w:cstheme="minorHAnsi"/>
          <w:sz w:val="22"/>
          <w:szCs w:val="22"/>
        </w:rPr>
        <w:t>defamilisation</w:t>
      </w:r>
      <w:proofErr w:type="spellEnd"/>
      <w:r w:rsidRPr="003C01E5">
        <w:rPr>
          <w:rFonts w:ascii="Garamond" w:hAnsi="Garamond" w:cstheme="minorHAnsi"/>
          <w:sz w:val="22"/>
          <w:szCs w:val="22"/>
        </w:rPr>
        <w:t>. The cluster analysis identified three groupings; two in which the state assumes more responsibility (</w:t>
      </w:r>
      <w:r w:rsidRPr="003C01E5">
        <w:rPr>
          <w:rFonts w:ascii="Garamond" w:hAnsi="Garamond" w:cstheme="minorHAnsi"/>
          <w:i/>
          <w:iCs/>
          <w:sz w:val="22"/>
          <w:szCs w:val="22"/>
        </w:rPr>
        <w:t>state-targeted</w:t>
      </w:r>
      <w:r w:rsidRPr="003C01E5">
        <w:rPr>
          <w:rFonts w:ascii="Garamond" w:hAnsi="Garamond" w:cstheme="minorHAnsi"/>
          <w:sz w:val="22"/>
          <w:szCs w:val="22"/>
        </w:rPr>
        <w:t xml:space="preserve"> and </w:t>
      </w:r>
      <w:r w:rsidRPr="003C01E5">
        <w:rPr>
          <w:rFonts w:ascii="Garamond" w:hAnsi="Garamond" w:cstheme="minorHAnsi"/>
          <w:i/>
          <w:iCs/>
          <w:sz w:val="22"/>
          <w:szCs w:val="22"/>
        </w:rPr>
        <w:t>state-stratified</w:t>
      </w:r>
      <w:r w:rsidRPr="003C01E5">
        <w:rPr>
          <w:rFonts w:ascii="Garamond" w:hAnsi="Garamond" w:cstheme="minorHAnsi"/>
          <w:sz w:val="22"/>
          <w:szCs w:val="22"/>
        </w:rPr>
        <w:t xml:space="preserve"> regimes) and </w:t>
      </w:r>
      <w:r w:rsidRPr="003C01E5">
        <w:rPr>
          <w:rFonts w:ascii="Garamond" w:hAnsi="Garamond" w:cstheme="minorHAnsi"/>
          <w:sz w:val="22"/>
          <w:szCs w:val="22"/>
        </w:rPr>
        <w:lastRenderedPageBreak/>
        <w:t>an ‘</w:t>
      </w:r>
      <w:r w:rsidRPr="003C01E5">
        <w:rPr>
          <w:rFonts w:ascii="Garamond" w:hAnsi="Garamond" w:cstheme="minorHAnsi"/>
          <w:i/>
          <w:iCs/>
          <w:sz w:val="22"/>
          <w:szCs w:val="22"/>
        </w:rPr>
        <w:t>informal-</w:t>
      </w:r>
      <w:proofErr w:type="spellStart"/>
      <w:r w:rsidRPr="003C01E5">
        <w:rPr>
          <w:rFonts w:ascii="Garamond" w:hAnsi="Garamond" w:cstheme="minorHAnsi"/>
          <w:i/>
          <w:iCs/>
          <w:sz w:val="22"/>
          <w:szCs w:val="22"/>
        </w:rPr>
        <w:t>familialist</w:t>
      </w:r>
      <w:proofErr w:type="spellEnd"/>
      <w:r w:rsidRPr="003C01E5">
        <w:rPr>
          <w:rFonts w:ascii="Garamond" w:hAnsi="Garamond" w:cstheme="minorHAnsi"/>
          <w:sz w:val="22"/>
          <w:szCs w:val="22"/>
        </w:rPr>
        <w:t>’ regime that resembles Gough and Wood’s ‘informal security welfare regime’. The ‘</w:t>
      </w:r>
      <w:r w:rsidRPr="003C01E5">
        <w:rPr>
          <w:rFonts w:ascii="Garamond" w:hAnsi="Garamond" w:cstheme="minorHAnsi"/>
          <w:i/>
          <w:iCs/>
          <w:sz w:val="22"/>
          <w:szCs w:val="22"/>
        </w:rPr>
        <w:t>informal-</w:t>
      </w:r>
      <w:proofErr w:type="spellStart"/>
      <w:r w:rsidRPr="003C01E5">
        <w:rPr>
          <w:rFonts w:ascii="Garamond" w:hAnsi="Garamond" w:cstheme="minorHAnsi"/>
          <w:i/>
          <w:iCs/>
          <w:sz w:val="22"/>
          <w:szCs w:val="22"/>
        </w:rPr>
        <w:t>familialist</w:t>
      </w:r>
      <w:proofErr w:type="spellEnd"/>
      <w:r w:rsidRPr="003C01E5">
        <w:rPr>
          <w:rFonts w:ascii="Garamond" w:hAnsi="Garamond" w:cstheme="minorHAnsi"/>
          <w:sz w:val="22"/>
          <w:szCs w:val="22"/>
        </w:rPr>
        <w:t>’ regime, which is</w:t>
      </w:r>
      <w:r w:rsidR="00C33B32" w:rsidRPr="003C01E5">
        <w:rPr>
          <w:rFonts w:ascii="Garamond" w:hAnsi="Garamond" w:cstheme="minorHAnsi"/>
          <w:sz w:val="22"/>
          <w:szCs w:val="22"/>
        </w:rPr>
        <w:t xml:space="preserve"> also</w:t>
      </w:r>
      <w:r w:rsidRPr="003C01E5">
        <w:rPr>
          <w:rFonts w:ascii="Garamond" w:hAnsi="Garamond" w:cstheme="minorHAnsi"/>
          <w:sz w:val="22"/>
          <w:szCs w:val="22"/>
        </w:rPr>
        <w:t xml:space="preserve"> the most populous cluster</w:t>
      </w:r>
      <w:r w:rsidRPr="003C01E5">
        <w:rPr>
          <w:rStyle w:val="FootnoteReference"/>
          <w:rFonts w:ascii="Garamond" w:hAnsi="Garamond" w:cstheme="minorHAnsi"/>
          <w:sz w:val="22"/>
          <w:szCs w:val="22"/>
        </w:rPr>
        <w:footnoteReference w:id="3"/>
      </w:r>
      <w:r w:rsidRPr="003C01E5">
        <w:rPr>
          <w:rFonts w:ascii="Garamond" w:hAnsi="Garamond" w:cstheme="minorHAnsi"/>
          <w:sz w:val="22"/>
          <w:szCs w:val="22"/>
        </w:rPr>
        <w:t xml:space="preserve">, is characterised by few opportunities for women to access formal labour market, with the majority of them being heavily represented in informal employment combined with high levels of unpaid domestic work. </w:t>
      </w:r>
    </w:p>
    <w:p w14:paraId="10AB0ACF" w14:textId="77777777" w:rsidR="00280129" w:rsidRPr="003C01E5" w:rsidRDefault="00280129" w:rsidP="003C01E5">
      <w:pPr>
        <w:spacing w:line="480" w:lineRule="auto"/>
        <w:rPr>
          <w:rFonts w:ascii="Garamond" w:hAnsi="Garamond"/>
          <w:sz w:val="22"/>
          <w:szCs w:val="22"/>
        </w:rPr>
      </w:pPr>
    </w:p>
    <w:p w14:paraId="6506A589" w14:textId="6A0F2E26" w:rsidR="00C06DED" w:rsidRPr="003C01E5" w:rsidRDefault="0092571F" w:rsidP="003C01E5">
      <w:pPr>
        <w:spacing w:line="480" w:lineRule="auto"/>
        <w:rPr>
          <w:rFonts w:ascii="Garamond" w:hAnsi="Garamond"/>
          <w:sz w:val="22"/>
          <w:szCs w:val="22"/>
        </w:rPr>
      </w:pPr>
      <w:r w:rsidRPr="003C01E5">
        <w:rPr>
          <w:rFonts w:ascii="Garamond" w:hAnsi="Garamond"/>
          <w:sz w:val="22"/>
          <w:szCs w:val="22"/>
        </w:rPr>
        <w:t xml:space="preserve">In her work, </w:t>
      </w:r>
      <w:proofErr w:type="spellStart"/>
      <w:r w:rsidRPr="003C01E5">
        <w:rPr>
          <w:rFonts w:ascii="Garamond" w:hAnsi="Garamond"/>
          <w:sz w:val="22"/>
          <w:szCs w:val="22"/>
        </w:rPr>
        <w:t>Mínguez</w:t>
      </w:r>
      <w:proofErr w:type="spellEnd"/>
      <w:r w:rsidR="00C06DED" w:rsidRPr="003C01E5">
        <w:rPr>
          <w:rFonts w:ascii="Garamond" w:hAnsi="Garamond"/>
          <w:sz w:val="22"/>
          <w:szCs w:val="22"/>
        </w:rPr>
        <w:t xml:space="preserve"> </w:t>
      </w:r>
      <w:r w:rsidRPr="003C01E5">
        <w:rPr>
          <w:rFonts w:ascii="Garamond" w:hAnsi="Garamond"/>
          <w:sz w:val="22"/>
          <w:szCs w:val="22"/>
        </w:rPr>
        <w:t>(2012) explored care arrangements and distribution of unpaid work in 16 countries (including both Global North and South cases) and identified that despite significant growth of women’s participation in the formal labour market, unpaid care work remains heavily gendered.</w:t>
      </w:r>
      <w:r w:rsidR="00C06DED" w:rsidRPr="003C01E5">
        <w:rPr>
          <w:rFonts w:ascii="Garamond" w:hAnsi="Garamond"/>
          <w:sz w:val="22"/>
          <w:szCs w:val="22"/>
        </w:rPr>
        <w:t xml:space="preserve"> </w:t>
      </w:r>
      <w:proofErr w:type="spellStart"/>
      <w:r w:rsidR="00C06DED" w:rsidRPr="003C01E5">
        <w:rPr>
          <w:rFonts w:ascii="Garamond" w:hAnsi="Garamond"/>
          <w:sz w:val="22"/>
          <w:szCs w:val="22"/>
        </w:rPr>
        <w:t>Mínguez</w:t>
      </w:r>
      <w:proofErr w:type="spellEnd"/>
      <w:r w:rsidR="00C06DED" w:rsidRPr="003C01E5">
        <w:rPr>
          <w:rFonts w:ascii="Garamond" w:hAnsi="Garamond"/>
          <w:sz w:val="22"/>
          <w:szCs w:val="22"/>
        </w:rPr>
        <w:t xml:space="preserve"> highlighted the importance of externalising care responsibilities away from family and women as a policy priority for challenging economic inequalities and cultural mandates. </w:t>
      </w:r>
      <w:r w:rsidR="00FA569F" w:rsidRPr="003C01E5">
        <w:rPr>
          <w:rFonts w:ascii="Garamond" w:hAnsi="Garamond"/>
          <w:sz w:val="22"/>
          <w:szCs w:val="22"/>
        </w:rPr>
        <w:t xml:space="preserve">Similar to </w:t>
      </w:r>
      <w:proofErr w:type="spellStart"/>
      <w:r w:rsidR="00FA569F" w:rsidRPr="003C01E5">
        <w:rPr>
          <w:rFonts w:ascii="Garamond" w:hAnsi="Garamond"/>
          <w:sz w:val="22"/>
          <w:szCs w:val="22"/>
        </w:rPr>
        <w:t>Franzoni</w:t>
      </w:r>
      <w:proofErr w:type="spellEnd"/>
      <w:r w:rsidR="00FA569F" w:rsidRPr="003C01E5">
        <w:rPr>
          <w:rFonts w:ascii="Garamond" w:hAnsi="Garamond"/>
          <w:sz w:val="22"/>
          <w:szCs w:val="22"/>
        </w:rPr>
        <w:t xml:space="preserve"> (2008), she utilised data around the turn of the century.</w:t>
      </w:r>
      <w:r w:rsidR="00FA569F" w:rsidRPr="003C01E5">
        <w:rPr>
          <w:rFonts w:ascii="Garamond" w:hAnsi="Garamond" w:cstheme="minorHAnsi"/>
          <w:sz w:val="22"/>
          <w:szCs w:val="22"/>
        </w:rPr>
        <w:t xml:space="preserve"> Th</w:t>
      </w:r>
      <w:r w:rsidR="005F00B7" w:rsidRPr="003C01E5">
        <w:rPr>
          <w:rFonts w:ascii="Garamond" w:hAnsi="Garamond" w:cstheme="minorHAnsi"/>
          <w:sz w:val="22"/>
          <w:szCs w:val="22"/>
        </w:rPr>
        <w:t>is</w:t>
      </w:r>
      <w:r w:rsidR="00FA569F" w:rsidRPr="003C01E5">
        <w:rPr>
          <w:rFonts w:ascii="Garamond" w:hAnsi="Garamond" w:cstheme="minorHAnsi"/>
          <w:sz w:val="22"/>
          <w:szCs w:val="22"/>
        </w:rPr>
        <w:t xml:space="preserve"> article opts to revisit some of these findings by using more up-to-date data on selected indicators that also extend the focus on gender divisions by analysing more cases.</w:t>
      </w:r>
    </w:p>
    <w:p w14:paraId="41EC22BD" w14:textId="77777777" w:rsidR="00C06DED" w:rsidRPr="003C01E5" w:rsidRDefault="00C06DED" w:rsidP="003C01E5">
      <w:pPr>
        <w:spacing w:line="480" w:lineRule="auto"/>
        <w:rPr>
          <w:rFonts w:ascii="Garamond" w:hAnsi="Garamond"/>
          <w:sz w:val="22"/>
          <w:szCs w:val="22"/>
        </w:rPr>
      </w:pPr>
    </w:p>
    <w:p w14:paraId="7985DB02" w14:textId="5CC6855E" w:rsidR="00DB0708" w:rsidRPr="003C01E5" w:rsidRDefault="00956B8A" w:rsidP="003C01E5">
      <w:pPr>
        <w:spacing w:line="480" w:lineRule="auto"/>
        <w:rPr>
          <w:rFonts w:ascii="Garamond" w:hAnsi="Garamond" w:cstheme="minorHAnsi"/>
          <w:sz w:val="22"/>
          <w:szCs w:val="22"/>
        </w:rPr>
      </w:pPr>
      <w:r w:rsidRPr="003C01E5">
        <w:rPr>
          <w:rFonts w:ascii="Garamond" w:hAnsi="Garamond"/>
          <w:sz w:val="22"/>
          <w:szCs w:val="22"/>
        </w:rPr>
        <w:t xml:space="preserve">Taking into consideration that the majority of </w:t>
      </w:r>
      <w:r w:rsidR="00E410D6" w:rsidRPr="003C01E5">
        <w:rPr>
          <w:rFonts w:ascii="Garamond" w:hAnsi="Garamond"/>
          <w:sz w:val="22"/>
          <w:szCs w:val="22"/>
        </w:rPr>
        <w:t xml:space="preserve">Global South welfare regimes </w:t>
      </w:r>
      <w:r w:rsidR="0040015E" w:rsidRPr="003C01E5">
        <w:rPr>
          <w:rFonts w:ascii="Garamond" w:hAnsi="Garamond"/>
          <w:sz w:val="22"/>
          <w:szCs w:val="22"/>
        </w:rPr>
        <w:t>are</w:t>
      </w:r>
      <w:r w:rsidRPr="003C01E5">
        <w:rPr>
          <w:rFonts w:ascii="Garamond" w:hAnsi="Garamond"/>
          <w:sz w:val="22"/>
          <w:szCs w:val="22"/>
        </w:rPr>
        <w:t xml:space="preserve"> not likely to have developed an extensive network of public (free or </w:t>
      </w:r>
      <w:r w:rsidR="00E22843" w:rsidRPr="003C01E5">
        <w:rPr>
          <w:rFonts w:ascii="Garamond" w:hAnsi="Garamond"/>
          <w:sz w:val="22"/>
          <w:szCs w:val="22"/>
        </w:rPr>
        <w:t>subsidi</w:t>
      </w:r>
      <w:r w:rsidR="00E22843">
        <w:rPr>
          <w:rFonts w:ascii="Garamond" w:hAnsi="Garamond"/>
          <w:sz w:val="22"/>
          <w:szCs w:val="22"/>
        </w:rPr>
        <w:t>s</w:t>
      </w:r>
      <w:r w:rsidR="00E22843" w:rsidRPr="003C01E5">
        <w:rPr>
          <w:rFonts w:ascii="Garamond" w:hAnsi="Garamond"/>
          <w:sz w:val="22"/>
          <w:szCs w:val="22"/>
        </w:rPr>
        <w:t>ed</w:t>
      </w:r>
      <w:r w:rsidRPr="003C01E5">
        <w:rPr>
          <w:rFonts w:ascii="Garamond" w:hAnsi="Garamond"/>
          <w:sz w:val="22"/>
          <w:szCs w:val="22"/>
        </w:rPr>
        <w:t>) care provisions</w:t>
      </w:r>
      <w:r w:rsidR="001A372E" w:rsidRPr="003C01E5">
        <w:rPr>
          <w:rFonts w:ascii="Garamond" w:hAnsi="Garamond"/>
          <w:sz w:val="22"/>
          <w:szCs w:val="22"/>
        </w:rPr>
        <w:t xml:space="preserve"> since the turn of the century</w:t>
      </w:r>
      <w:r w:rsidRPr="003C01E5">
        <w:rPr>
          <w:rFonts w:ascii="Garamond" w:hAnsi="Garamond"/>
          <w:sz w:val="22"/>
          <w:szCs w:val="22"/>
        </w:rPr>
        <w:t xml:space="preserve">, it becomes </w:t>
      </w:r>
      <w:r w:rsidR="0040015E" w:rsidRPr="003C01E5">
        <w:rPr>
          <w:rFonts w:ascii="Garamond" w:hAnsi="Garamond"/>
          <w:sz w:val="22"/>
          <w:szCs w:val="22"/>
        </w:rPr>
        <w:t>important to</w:t>
      </w:r>
      <w:r w:rsidRPr="003C01E5">
        <w:rPr>
          <w:rFonts w:ascii="Garamond" w:hAnsi="Garamond"/>
          <w:sz w:val="22"/>
          <w:szCs w:val="22"/>
        </w:rPr>
        <w:t xml:space="preserve"> explore care arrangements and the importance of domestic </w:t>
      </w:r>
      <w:r w:rsidR="00F13D7D" w:rsidRPr="003C01E5">
        <w:rPr>
          <w:rFonts w:ascii="Garamond" w:hAnsi="Garamond"/>
          <w:sz w:val="22"/>
          <w:szCs w:val="22"/>
        </w:rPr>
        <w:t xml:space="preserve">(unpaid) </w:t>
      </w:r>
      <w:r w:rsidRPr="003C01E5">
        <w:rPr>
          <w:rFonts w:ascii="Garamond" w:hAnsi="Garamond"/>
          <w:sz w:val="22"/>
          <w:szCs w:val="22"/>
        </w:rPr>
        <w:t xml:space="preserve">work that is not </w:t>
      </w:r>
      <w:r w:rsidR="00E22843" w:rsidRPr="003C01E5">
        <w:rPr>
          <w:rFonts w:ascii="Garamond" w:hAnsi="Garamond"/>
          <w:sz w:val="22"/>
          <w:szCs w:val="22"/>
        </w:rPr>
        <w:t>recogni</w:t>
      </w:r>
      <w:r w:rsidR="00E22843">
        <w:rPr>
          <w:rFonts w:ascii="Garamond" w:hAnsi="Garamond"/>
          <w:sz w:val="22"/>
          <w:szCs w:val="22"/>
        </w:rPr>
        <w:t>s</w:t>
      </w:r>
      <w:r w:rsidR="00E22843" w:rsidRPr="003C01E5">
        <w:rPr>
          <w:rFonts w:ascii="Garamond" w:hAnsi="Garamond"/>
          <w:sz w:val="22"/>
          <w:szCs w:val="22"/>
        </w:rPr>
        <w:t xml:space="preserve">ed </w:t>
      </w:r>
      <w:r w:rsidR="004A2099" w:rsidRPr="003C01E5">
        <w:rPr>
          <w:rFonts w:ascii="Garamond" w:hAnsi="Garamond"/>
          <w:sz w:val="22"/>
          <w:szCs w:val="22"/>
        </w:rPr>
        <w:t>(</w:t>
      </w:r>
      <w:proofErr w:type="spellStart"/>
      <w:r w:rsidR="004A2099" w:rsidRPr="003C01E5">
        <w:rPr>
          <w:rFonts w:ascii="Garamond" w:hAnsi="Garamond"/>
          <w:sz w:val="22"/>
          <w:szCs w:val="22"/>
        </w:rPr>
        <w:t>Budlender</w:t>
      </w:r>
      <w:proofErr w:type="spellEnd"/>
      <w:r w:rsidR="004A2099" w:rsidRPr="003C01E5">
        <w:rPr>
          <w:rFonts w:ascii="Garamond" w:hAnsi="Garamond"/>
          <w:sz w:val="22"/>
          <w:szCs w:val="22"/>
        </w:rPr>
        <w:t>, 2007)</w:t>
      </w:r>
      <w:r w:rsidR="001A372E" w:rsidRPr="003C01E5">
        <w:rPr>
          <w:rFonts w:ascii="Garamond" w:hAnsi="Garamond"/>
          <w:sz w:val="22"/>
          <w:szCs w:val="22"/>
        </w:rPr>
        <w:t>.</w:t>
      </w:r>
      <w:r w:rsidR="0040015E" w:rsidRPr="003C01E5">
        <w:rPr>
          <w:rFonts w:ascii="Garamond" w:hAnsi="Garamond"/>
          <w:sz w:val="22"/>
          <w:szCs w:val="22"/>
        </w:rPr>
        <w:t xml:space="preserve"> </w:t>
      </w:r>
      <w:r w:rsidR="0015481B" w:rsidRPr="003C01E5">
        <w:rPr>
          <w:rFonts w:ascii="Garamond" w:hAnsi="Garamond"/>
          <w:sz w:val="22"/>
          <w:szCs w:val="22"/>
        </w:rPr>
        <w:t xml:space="preserve"> </w:t>
      </w:r>
      <w:r w:rsidR="0040015E" w:rsidRPr="003C01E5">
        <w:rPr>
          <w:rFonts w:ascii="Garamond" w:hAnsi="Garamond"/>
          <w:sz w:val="22"/>
          <w:szCs w:val="22"/>
        </w:rPr>
        <w:t>As Kabeer (2015, p.203) points out women are in the ‘intersection between production and (social) reproduction’</w:t>
      </w:r>
      <w:r w:rsidR="00193C19" w:rsidRPr="003C01E5">
        <w:rPr>
          <w:rFonts w:ascii="Garamond" w:hAnsi="Garamond"/>
          <w:sz w:val="22"/>
          <w:szCs w:val="22"/>
        </w:rPr>
        <w:t xml:space="preserve"> – this is not unique to development studies and definitely not strange to comparative social policy literature. </w:t>
      </w:r>
      <w:r w:rsidR="000B60B7" w:rsidRPr="003C01E5">
        <w:rPr>
          <w:rFonts w:ascii="Garamond" w:hAnsi="Garamond"/>
          <w:sz w:val="22"/>
          <w:szCs w:val="22"/>
        </w:rPr>
        <w:t>From the one ha</w:t>
      </w:r>
      <w:r w:rsidR="00700907" w:rsidRPr="003C01E5">
        <w:rPr>
          <w:rFonts w:ascii="Garamond" w:hAnsi="Garamond"/>
          <w:sz w:val="22"/>
          <w:szCs w:val="22"/>
        </w:rPr>
        <w:t>n</w:t>
      </w:r>
      <w:r w:rsidR="000B60B7" w:rsidRPr="003C01E5">
        <w:rPr>
          <w:rFonts w:ascii="Garamond" w:hAnsi="Garamond"/>
          <w:sz w:val="22"/>
          <w:szCs w:val="22"/>
        </w:rPr>
        <w:t>d</w:t>
      </w:r>
      <w:r w:rsidR="00C33B32" w:rsidRPr="003C01E5">
        <w:rPr>
          <w:rFonts w:ascii="Garamond" w:hAnsi="Garamond"/>
          <w:sz w:val="22"/>
          <w:szCs w:val="22"/>
        </w:rPr>
        <w:t>,</w:t>
      </w:r>
      <w:r w:rsidR="000B60B7" w:rsidRPr="003C01E5">
        <w:rPr>
          <w:rFonts w:ascii="Garamond" w:hAnsi="Garamond"/>
          <w:sz w:val="22"/>
          <w:szCs w:val="22"/>
        </w:rPr>
        <w:t xml:space="preserve"> development studies </w:t>
      </w:r>
      <w:r w:rsidR="000B60B7" w:rsidRPr="003C01E5">
        <w:rPr>
          <w:rFonts w:ascii="Garamond" w:hAnsi="Garamond"/>
          <w:sz w:val="22"/>
          <w:szCs w:val="22"/>
        </w:rPr>
        <w:lastRenderedPageBreak/>
        <w:t xml:space="preserve">identify the importance of informal activities, explore the appropriateness of interventions such </w:t>
      </w:r>
      <w:r w:rsidR="00E40369" w:rsidRPr="003C01E5">
        <w:rPr>
          <w:rFonts w:ascii="Garamond" w:hAnsi="Garamond"/>
          <w:sz w:val="22"/>
          <w:szCs w:val="22"/>
        </w:rPr>
        <w:t xml:space="preserve">as </w:t>
      </w:r>
      <w:r w:rsidR="000B60B7" w:rsidRPr="003C01E5">
        <w:rPr>
          <w:rFonts w:ascii="Garamond" w:hAnsi="Garamond"/>
          <w:sz w:val="22"/>
          <w:szCs w:val="22"/>
        </w:rPr>
        <w:t xml:space="preserve">conditional cash transfers and micro-credit </w:t>
      </w:r>
      <w:r w:rsidR="00E40369" w:rsidRPr="003C01E5">
        <w:rPr>
          <w:rFonts w:ascii="Garamond" w:hAnsi="Garamond"/>
          <w:sz w:val="22"/>
          <w:szCs w:val="22"/>
        </w:rPr>
        <w:t xml:space="preserve">and how far </w:t>
      </w:r>
      <w:r w:rsidR="007C4EA8" w:rsidRPr="003C01E5">
        <w:rPr>
          <w:rFonts w:ascii="Garamond" w:hAnsi="Garamond"/>
          <w:sz w:val="22"/>
          <w:szCs w:val="22"/>
        </w:rPr>
        <w:t>they empower women (</w:t>
      </w:r>
      <w:r w:rsidR="00425A64" w:rsidRPr="003C01E5">
        <w:rPr>
          <w:rFonts w:ascii="Garamond" w:hAnsi="Garamond"/>
          <w:sz w:val="22"/>
          <w:szCs w:val="22"/>
        </w:rPr>
        <w:t xml:space="preserve">for a recent overview see </w:t>
      </w:r>
      <w:r w:rsidR="007C4EA8" w:rsidRPr="003C01E5">
        <w:rPr>
          <w:rFonts w:ascii="Garamond" w:hAnsi="Garamond"/>
          <w:sz w:val="22"/>
          <w:szCs w:val="22"/>
        </w:rPr>
        <w:t xml:space="preserve">Patel, 2019) </w:t>
      </w:r>
      <w:r w:rsidR="000B60B7" w:rsidRPr="003C01E5">
        <w:rPr>
          <w:rFonts w:ascii="Garamond" w:hAnsi="Garamond"/>
          <w:sz w:val="22"/>
          <w:szCs w:val="22"/>
        </w:rPr>
        <w:t xml:space="preserve">while at the same time comparative social policy has produced a high-volume of research focusing on </w:t>
      </w:r>
      <w:r w:rsidR="0040015E" w:rsidRPr="003C01E5">
        <w:rPr>
          <w:rFonts w:ascii="Garamond" w:hAnsi="Garamond"/>
          <w:sz w:val="22"/>
          <w:szCs w:val="22"/>
          <w:lang w:eastAsia="en-US"/>
        </w:rPr>
        <w:t xml:space="preserve">how far </w:t>
      </w:r>
      <w:r w:rsidR="00E40369" w:rsidRPr="003C01E5">
        <w:rPr>
          <w:rFonts w:ascii="Garamond" w:hAnsi="Garamond"/>
          <w:sz w:val="22"/>
          <w:szCs w:val="22"/>
          <w:lang w:eastAsia="en-US"/>
        </w:rPr>
        <w:t xml:space="preserve">statutory provisions shift away </w:t>
      </w:r>
      <w:r w:rsidR="008964EC" w:rsidRPr="003C01E5">
        <w:rPr>
          <w:rFonts w:ascii="Garamond" w:hAnsi="Garamond"/>
          <w:sz w:val="22"/>
          <w:szCs w:val="22"/>
          <w:lang w:eastAsia="en-US"/>
        </w:rPr>
        <w:t xml:space="preserve">care responsibilities </w:t>
      </w:r>
      <w:r w:rsidR="00E40369" w:rsidRPr="003C01E5">
        <w:rPr>
          <w:rFonts w:ascii="Garamond" w:hAnsi="Garamond"/>
          <w:sz w:val="22"/>
          <w:szCs w:val="22"/>
          <w:lang w:eastAsia="en-US"/>
        </w:rPr>
        <w:t xml:space="preserve">from family and women </w:t>
      </w:r>
      <w:r w:rsidR="0040015E" w:rsidRPr="003C01E5">
        <w:rPr>
          <w:rFonts w:ascii="Garamond" w:hAnsi="Garamond"/>
          <w:sz w:val="22"/>
          <w:szCs w:val="22"/>
          <w:lang w:eastAsia="en-US"/>
        </w:rPr>
        <w:t xml:space="preserve">(see debates on </w:t>
      </w:r>
      <w:r w:rsidR="00F870E2" w:rsidRPr="003C01E5">
        <w:rPr>
          <w:rFonts w:ascii="Garamond" w:hAnsi="Garamond"/>
          <w:sz w:val="22"/>
          <w:szCs w:val="22"/>
          <w:lang w:eastAsia="en-US"/>
        </w:rPr>
        <w:t>Chau et. al. 2017</w:t>
      </w:r>
      <w:r w:rsidR="0040015E" w:rsidRPr="003C01E5">
        <w:rPr>
          <w:rFonts w:ascii="Garamond" w:hAnsi="Garamond"/>
          <w:sz w:val="22"/>
          <w:szCs w:val="22"/>
          <w:lang w:eastAsia="en-US"/>
        </w:rPr>
        <w:t>)</w:t>
      </w:r>
      <w:r w:rsidR="000B60B7" w:rsidRPr="003C01E5">
        <w:rPr>
          <w:rFonts w:ascii="Garamond" w:hAnsi="Garamond"/>
          <w:sz w:val="22"/>
          <w:szCs w:val="22"/>
          <w:lang w:eastAsia="en-US"/>
        </w:rPr>
        <w:t xml:space="preserve">. </w:t>
      </w:r>
      <w:r w:rsidR="00AD64AC" w:rsidRPr="003C01E5">
        <w:rPr>
          <w:rFonts w:ascii="Garamond" w:hAnsi="Garamond"/>
          <w:sz w:val="22"/>
          <w:szCs w:val="22"/>
          <w:lang w:eastAsia="en-US"/>
        </w:rPr>
        <w:t>The two literatures in this way focus on how far development</w:t>
      </w:r>
      <w:r w:rsidR="00E933F7" w:rsidRPr="003C01E5">
        <w:rPr>
          <w:rFonts w:ascii="Garamond" w:hAnsi="Garamond"/>
          <w:sz w:val="22"/>
          <w:szCs w:val="22"/>
          <w:lang w:eastAsia="en-US"/>
        </w:rPr>
        <w:t>al</w:t>
      </w:r>
      <w:r w:rsidR="00AD64AC" w:rsidRPr="003C01E5">
        <w:rPr>
          <w:rFonts w:ascii="Garamond" w:hAnsi="Garamond"/>
          <w:sz w:val="22"/>
          <w:szCs w:val="22"/>
          <w:lang w:eastAsia="en-US"/>
        </w:rPr>
        <w:t xml:space="preserve"> or state interventions </w:t>
      </w:r>
      <w:r w:rsidR="00E933F7" w:rsidRPr="003C01E5">
        <w:rPr>
          <w:rFonts w:ascii="Garamond" w:hAnsi="Garamond"/>
          <w:sz w:val="22"/>
          <w:szCs w:val="22"/>
          <w:lang w:eastAsia="en-US"/>
        </w:rPr>
        <w:t>empower women</w:t>
      </w:r>
      <w:r w:rsidR="004C1E9B" w:rsidRPr="003C01E5">
        <w:rPr>
          <w:rFonts w:ascii="Garamond" w:hAnsi="Garamond"/>
          <w:sz w:val="22"/>
          <w:szCs w:val="22"/>
          <w:lang w:eastAsia="en-US"/>
        </w:rPr>
        <w:t>, one retaining largely a statist approach and the other highlighting the role of non-statutory provisions, often funded by global organisations and remittances</w:t>
      </w:r>
      <w:r w:rsidR="00E609D8" w:rsidRPr="003C01E5">
        <w:rPr>
          <w:rFonts w:ascii="Garamond" w:hAnsi="Garamond"/>
          <w:sz w:val="22"/>
          <w:szCs w:val="22"/>
          <w:lang w:eastAsia="en-US"/>
        </w:rPr>
        <w:t>.</w:t>
      </w:r>
      <w:r w:rsidR="00DD0E11" w:rsidRPr="003C01E5">
        <w:rPr>
          <w:rFonts w:ascii="Garamond" w:hAnsi="Garamond"/>
          <w:sz w:val="22"/>
          <w:szCs w:val="22"/>
          <w:lang w:eastAsia="en-US"/>
        </w:rPr>
        <w:t xml:space="preserve"> </w:t>
      </w:r>
      <w:r w:rsidR="00B47E69" w:rsidRPr="003C01E5">
        <w:rPr>
          <w:rFonts w:ascii="Garamond" w:hAnsi="Garamond"/>
          <w:sz w:val="22"/>
          <w:szCs w:val="22"/>
          <w:lang w:eastAsia="en-US"/>
        </w:rPr>
        <w:t xml:space="preserve">It would be of interest therefore to explore how care arrangements within the family are organised across both Global South and North regimes. Is it more likely for women in </w:t>
      </w:r>
      <w:r w:rsidR="00C33B32" w:rsidRPr="003C01E5">
        <w:rPr>
          <w:rFonts w:ascii="Garamond" w:hAnsi="Garamond"/>
          <w:sz w:val="22"/>
          <w:szCs w:val="22"/>
          <w:lang w:eastAsia="en-US"/>
        </w:rPr>
        <w:t>welfare state regimes</w:t>
      </w:r>
      <w:r w:rsidR="00B47E69" w:rsidRPr="003C01E5">
        <w:rPr>
          <w:rFonts w:ascii="Garamond" w:hAnsi="Garamond"/>
          <w:sz w:val="22"/>
          <w:szCs w:val="22"/>
          <w:lang w:eastAsia="en-US"/>
        </w:rPr>
        <w:t xml:space="preserve"> to have relinquished care responsibilities? </w:t>
      </w:r>
    </w:p>
    <w:p w14:paraId="0BD856D5" w14:textId="77777777" w:rsidR="00DB0708" w:rsidRPr="003C01E5" w:rsidRDefault="00DB0708" w:rsidP="003C01E5">
      <w:pPr>
        <w:spacing w:line="480" w:lineRule="auto"/>
        <w:rPr>
          <w:rFonts w:ascii="Garamond" w:hAnsi="Garamond"/>
          <w:sz w:val="22"/>
          <w:szCs w:val="22"/>
          <w:lang w:eastAsia="en-US"/>
        </w:rPr>
      </w:pPr>
    </w:p>
    <w:p w14:paraId="03D01C4D" w14:textId="155C5DEB" w:rsidR="00274630" w:rsidRPr="003C01E5" w:rsidRDefault="004C1E9B" w:rsidP="003C01E5">
      <w:pPr>
        <w:spacing w:line="480" w:lineRule="auto"/>
        <w:rPr>
          <w:rFonts w:ascii="Garamond" w:hAnsi="Garamond"/>
          <w:sz w:val="22"/>
          <w:szCs w:val="22"/>
          <w:lang w:eastAsia="en-US"/>
        </w:rPr>
      </w:pPr>
      <w:r w:rsidRPr="003C01E5">
        <w:rPr>
          <w:rFonts w:ascii="Garamond" w:hAnsi="Garamond"/>
          <w:sz w:val="22"/>
          <w:szCs w:val="22"/>
          <w:lang w:eastAsia="en-US"/>
        </w:rPr>
        <w:t xml:space="preserve">The other commonality </w:t>
      </w:r>
      <w:r w:rsidR="005A3312" w:rsidRPr="003C01E5">
        <w:rPr>
          <w:rFonts w:ascii="Garamond" w:hAnsi="Garamond"/>
          <w:sz w:val="22"/>
          <w:szCs w:val="22"/>
          <w:lang w:eastAsia="en-US"/>
        </w:rPr>
        <w:t xml:space="preserve">among social policy and development studies </w:t>
      </w:r>
      <w:r w:rsidRPr="003C01E5">
        <w:rPr>
          <w:rFonts w:ascii="Garamond" w:hAnsi="Garamond"/>
          <w:sz w:val="22"/>
          <w:szCs w:val="22"/>
          <w:lang w:eastAsia="en-US"/>
        </w:rPr>
        <w:t xml:space="preserve">is that both literatures </w:t>
      </w:r>
      <w:r w:rsidR="00274630" w:rsidRPr="003C01E5">
        <w:rPr>
          <w:rFonts w:ascii="Garamond" w:hAnsi="Garamond"/>
          <w:sz w:val="22"/>
          <w:szCs w:val="22"/>
          <w:lang w:eastAsia="en-US"/>
        </w:rPr>
        <w:t>have identified the importance of achieving social progress through investments in education, human capital development and promotion of female employment.</w:t>
      </w:r>
      <w:r w:rsidR="005A3312" w:rsidRPr="003C01E5">
        <w:rPr>
          <w:rFonts w:ascii="Garamond" w:hAnsi="Garamond"/>
          <w:sz w:val="22"/>
          <w:szCs w:val="22"/>
          <w:lang w:eastAsia="en-US"/>
        </w:rPr>
        <w:t xml:space="preserve"> </w:t>
      </w:r>
      <w:r w:rsidR="00E609D8" w:rsidRPr="003C01E5">
        <w:rPr>
          <w:rFonts w:ascii="Garamond" w:hAnsi="Garamond"/>
          <w:sz w:val="22"/>
          <w:szCs w:val="22"/>
          <w:lang w:eastAsia="en-US"/>
        </w:rPr>
        <w:t>Often women are realised as the ‘untapped resources’ upon which economic growth can be achieved by encouraging women to enter the labour market</w:t>
      </w:r>
      <w:r w:rsidR="005A3312" w:rsidRPr="003C01E5">
        <w:rPr>
          <w:rFonts w:ascii="Garamond" w:hAnsi="Garamond"/>
          <w:sz w:val="22"/>
          <w:szCs w:val="22"/>
          <w:lang w:eastAsia="en-US"/>
        </w:rPr>
        <w:t xml:space="preserve"> (Moser 2012) </w:t>
      </w:r>
      <w:r w:rsidR="00DA7A5F" w:rsidRPr="003C01E5">
        <w:rPr>
          <w:rFonts w:ascii="Garamond" w:hAnsi="Garamond"/>
          <w:sz w:val="22"/>
          <w:szCs w:val="22"/>
          <w:lang w:eastAsia="en-US"/>
        </w:rPr>
        <w:t xml:space="preserve">but </w:t>
      </w:r>
      <w:r w:rsidR="005A3312" w:rsidRPr="003C01E5">
        <w:rPr>
          <w:rFonts w:ascii="Garamond" w:hAnsi="Garamond"/>
          <w:sz w:val="22"/>
          <w:szCs w:val="22"/>
          <w:lang w:eastAsia="en-US"/>
        </w:rPr>
        <w:t>at the same time these arguments ignore the gendered nature of caring responsibilities (</w:t>
      </w:r>
      <w:proofErr w:type="spellStart"/>
      <w:r w:rsidR="005A3312" w:rsidRPr="003C01E5">
        <w:rPr>
          <w:rFonts w:ascii="Garamond" w:hAnsi="Garamond"/>
          <w:sz w:val="22"/>
          <w:szCs w:val="22"/>
          <w:lang w:eastAsia="en-US"/>
        </w:rPr>
        <w:t>Midtbøen</w:t>
      </w:r>
      <w:proofErr w:type="spellEnd"/>
      <w:r w:rsidR="005A3312" w:rsidRPr="003C01E5">
        <w:rPr>
          <w:rFonts w:ascii="Garamond" w:hAnsi="Garamond"/>
          <w:sz w:val="22"/>
          <w:szCs w:val="22"/>
          <w:lang w:eastAsia="en-US"/>
        </w:rPr>
        <w:t xml:space="preserve"> and Teigen, 2014) resulting often in a </w:t>
      </w:r>
      <w:r w:rsidR="00DA7A5F" w:rsidRPr="003C01E5">
        <w:rPr>
          <w:rFonts w:ascii="Garamond" w:hAnsi="Garamond"/>
          <w:sz w:val="22"/>
          <w:szCs w:val="22"/>
          <w:lang w:eastAsia="en-US"/>
        </w:rPr>
        <w:t>‘</w:t>
      </w:r>
      <w:r w:rsidR="005A3312" w:rsidRPr="003C01E5">
        <w:rPr>
          <w:rFonts w:ascii="Garamond" w:hAnsi="Garamond"/>
          <w:sz w:val="22"/>
          <w:szCs w:val="22"/>
          <w:lang w:eastAsia="en-US"/>
        </w:rPr>
        <w:t>double burden</w:t>
      </w:r>
      <w:r w:rsidR="00DA7A5F" w:rsidRPr="003C01E5">
        <w:rPr>
          <w:rFonts w:ascii="Garamond" w:hAnsi="Garamond"/>
          <w:sz w:val="22"/>
          <w:szCs w:val="22"/>
          <w:lang w:eastAsia="en-US"/>
        </w:rPr>
        <w:t>’ for women</w:t>
      </w:r>
      <w:r w:rsidR="004A50FE" w:rsidRPr="003C01E5">
        <w:rPr>
          <w:rFonts w:ascii="Garamond" w:eastAsia="Garamond" w:hAnsi="Garamond"/>
          <w:sz w:val="22"/>
          <w:szCs w:val="22"/>
        </w:rPr>
        <w:t xml:space="preserve"> (see also </w:t>
      </w:r>
      <w:proofErr w:type="spellStart"/>
      <w:r w:rsidR="004A50FE" w:rsidRPr="003C01E5">
        <w:rPr>
          <w:rFonts w:ascii="Garamond" w:eastAsia="Garamond" w:hAnsi="Garamond"/>
          <w:sz w:val="22"/>
          <w:szCs w:val="22"/>
        </w:rPr>
        <w:t>Beneria</w:t>
      </w:r>
      <w:proofErr w:type="spellEnd"/>
      <w:r w:rsidR="004A50FE" w:rsidRPr="003C01E5">
        <w:rPr>
          <w:rFonts w:ascii="Garamond" w:eastAsia="Garamond" w:hAnsi="Garamond"/>
          <w:sz w:val="22"/>
          <w:szCs w:val="22"/>
        </w:rPr>
        <w:t xml:space="preserve"> et al 2015).</w:t>
      </w:r>
      <w:r w:rsidR="00DA7A5F" w:rsidRPr="003C01E5">
        <w:rPr>
          <w:rFonts w:ascii="Garamond" w:hAnsi="Garamond"/>
          <w:sz w:val="22"/>
          <w:szCs w:val="22"/>
          <w:lang w:eastAsia="en-US"/>
        </w:rPr>
        <w:t xml:space="preserve"> </w:t>
      </w:r>
      <w:r w:rsidR="00DD0E11" w:rsidRPr="003C01E5">
        <w:rPr>
          <w:rFonts w:ascii="Garamond" w:hAnsi="Garamond"/>
          <w:sz w:val="22"/>
          <w:szCs w:val="22"/>
          <w:lang w:eastAsia="en-US"/>
        </w:rPr>
        <w:t>Additionally,</w:t>
      </w:r>
      <w:r w:rsidR="005A3312" w:rsidRPr="003C01E5">
        <w:rPr>
          <w:rFonts w:ascii="Garamond" w:hAnsi="Garamond"/>
          <w:sz w:val="22"/>
          <w:szCs w:val="22"/>
          <w:lang w:eastAsia="en-US"/>
        </w:rPr>
        <w:t xml:space="preserve"> </w:t>
      </w:r>
      <w:r w:rsidR="00DA7A5F" w:rsidRPr="003C01E5">
        <w:rPr>
          <w:rFonts w:ascii="Garamond" w:hAnsi="Garamond"/>
          <w:sz w:val="22"/>
          <w:szCs w:val="22"/>
          <w:lang w:eastAsia="en-US"/>
        </w:rPr>
        <w:t>i</w:t>
      </w:r>
      <w:r w:rsidR="005A3312" w:rsidRPr="003C01E5">
        <w:rPr>
          <w:rFonts w:ascii="Garamond" w:hAnsi="Garamond"/>
          <w:sz w:val="22"/>
          <w:szCs w:val="22"/>
          <w:lang w:eastAsia="en-US"/>
        </w:rPr>
        <w:t>n welfare state regimes, women are still facing significant pay gender gaps and obstacles for achieving both career progression and forming families while i</w:t>
      </w:r>
      <w:r w:rsidR="00274630" w:rsidRPr="003C01E5">
        <w:rPr>
          <w:rFonts w:ascii="Garamond" w:hAnsi="Garamond"/>
          <w:sz w:val="22"/>
          <w:szCs w:val="22"/>
          <w:lang w:eastAsia="en-US"/>
        </w:rPr>
        <w:t xml:space="preserve">n the case </w:t>
      </w:r>
      <w:r w:rsidR="00DA7A5F" w:rsidRPr="003C01E5">
        <w:rPr>
          <w:rFonts w:ascii="Garamond" w:hAnsi="Garamond"/>
          <w:sz w:val="22"/>
          <w:szCs w:val="22"/>
          <w:lang w:eastAsia="en-US"/>
        </w:rPr>
        <w:t>of informal</w:t>
      </w:r>
      <w:r w:rsidR="00274630" w:rsidRPr="003C01E5">
        <w:rPr>
          <w:rFonts w:ascii="Garamond" w:hAnsi="Garamond"/>
          <w:sz w:val="22"/>
          <w:szCs w:val="22"/>
          <w:lang w:eastAsia="en-US"/>
        </w:rPr>
        <w:t xml:space="preserve"> welfare regimes this might not be possible due the constraints that apply </w:t>
      </w:r>
      <w:r w:rsidR="00B47E69" w:rsidRPr="003C01E5">
        <w:rPr>
          <w:rFonts w:ascii="Garamond" w:hAnsi="Garamond"/>
          <w:sz w:val="22"/>
          <w:szCs w:val="22"/>
          <w:lang w:eastAsia="en-US"/>
        </w:rPr>
        <w:t xml:space="preserve">as a result of limited </w:t>
      </w:r>
      <w:r w:rsidR="00274630" w:rsidRPr="003C01E5">
        <w:rPr>
          <w:rFonts w:ascii="Garamond" w:hAnsi="Garamond"/>
          <w:sz w:val="22"/>
          <w:szCs w:val="22"/>
          <w:lang w:eastAsia="en-US"/>
        </w:rPr>
        <w:t>formal employment</w:t>
      </w:r>
      <w:r w:rsidR="00B47E69" w:rsidRPr="003C01E5">
        <w:rPr>
          <w:rFonts w:ascii="Garamond" w:hAnsi="Garamond"/>
          <w:sz w:val="22"/>
          <w:szCs w:val="22"/>
          <w:lang w:eastAsia="en-US"/>
        </w:rPr>
        <w:t xml:space="preserve"> </w:t>
      </w:r>
      <w:r w:rsidR="005F00B7" w:rsidRPr="003C01E5">
        <w:rPr>
          <w:rFonts w:ascii="Garamond" w:hAnsi="Garamond"/>
          <w:sz w:val="22"/>
          <w:szCs w:val="22"/>
          <w:lang w:eastAsia="en-US"/>
        </w:rPr>
        <w:t>opportunities</w:t>
      </w:r>
      <w:r w:rsidR="00274630" w:rsidRPr="003C01E5">
        <w:rPr>
          <w:rFonts w:ascii="Garamond" w:hAnsi="Garamond"/>
          <w:sz w:val="22"/>
          <w:szCs w:val="22"/>
          <w:lang w:eastAsia="en-US"/>
        </w:rPr>
        <w:t xml:space="preserve">. </w:t>
      </w:r>
      <w:r w:rsidR="0015444D" w:rsidRPr="003C01E5">
        <w:rPr>
          <w:rFonts w:ascii="Garamond" w:hAnsi="Garamond"/>
          <w:sz w:val="22"/>
          <w:szCs w:val="22"/>
        </w:rPr>
        <w:t xml:space="preserve">It is well established that labour markets play a key role in reproducing gender-based segmentation both in the sphere of production but also social reproduction (see Hassim </w:t>
      </w:r>
      <w:r w:rsidR="0015444D" w:rsidRPr="003C01E5">
        <w:rPr>
          <w:rFonts w:ascii="Garamond" w:hAnsi="Garamond"/>
          <w:sz w:val="22"/>
          <w:szCs w:val="22"/>
        </w:rPr>
        <w:lastRenderedPageBreak/>
        <w:t xml:space="preserve">and </w:t>
      </w:r>
      <w:proofErr w:type="spellStart"/>
      <w:r w:rsidR="0015444D" w:rsidRPr="003C01E5">
        <w:rPr>
          <w:rFonts w:ascii="Garamond" w:hAnsi="Garamond"/>
          <w:sz w:val="22"/>
          <w:szCs w:val="22"/>
        </w:rPr>
        <w:t>Razavi</w:t>
      </w:r>
      <w:proofErr w:type="spellEnd"/>
      <w:r w:rsidR="0015444D" w:rsidRPr="003C01E5">
        <w:rPr>
          <w:rFonts w:ascii="Garamond" w:hAnsi="Garamond"/>
          <w:sz w:val="22"/>
          <w:szCs w:val="22"/>
        </w:rPr>
        <w:t xml:space="preserve">, 2006) with many countries even in the OECD displaying significant gender inequalities in accessing labour market and social protection (Rubery and </w:t>
      </w:r>
      <w:proofErr w:type="spellStart"/>
      <w:r w:rsidR="0015444D" w:rsidRPr="003C01E5">
        <w:rPr>
          <w:rFonts w:ascii="Garamond" w:hAnsi="Garamond"/>
          <w:sz w:val="22"/>
          <w:szCs w:val="22"/>
        </w:rPr>
        <w:t>Karamessini</w:t>
      </w:r>
      <w:proofErr w:type="spellEnd"/>
      <w:r w:rsidR="0015444D" w:rsidRPr="003C01E5">
        <w:rPr>
          <w:rFonts w:ascii="Garamond" w:hAnsi="Garamond"/>
          <w:sz w:val="22"/>
          <w:szCs w:val="22"/>
        </w:rPr>
        <w:t xml:space="preserve">, 2013). </w:t>
      </w:r>
      <w:r w:rsidR="00274630" w:rsidRPr="003C01E5">
        <w:rPr>
          <w:rFonts w:ascii="Garamond" w:hAnsi="Garamond"/>
          <w:sz w:val="22"/>
          <w:szCs w:val="22"/>
          <w:lang w:eastAsia="en-US"/>
        </w:rPr>
        <w:t>As women continue to face institutional barriers in paid work (Kabeer, 2015) it is worth exploring whether women are more likely to be overrepresented in informal employment and also how do they fare against men in formal labour markets</w:t>
      </w:r>
      <w:r w:rsidR="00DA7A5F" w:rsidRPr="003C01E5">
        <w:rPr>
          <w:rFonts w:ascii="Garamond" w:hAnsi="Garamond"/>
          <w:sz w:val="22"/>
          <w:szCs w:val="22"/>
          <w:lang w:eastAsia="en-US"/>
        </w:rPr>
        <w:t xml:space="preserve"> in both Global South and Global North welfare regimes.</w:t>
      </w:r>
      <w:r w:rsidR="00B47E69" w:rsidRPr="003C01E5">
        <w:rPr>
          <w:rFonts w:ascii="Garamond" w:hAnsi="Garamond"/>
          <w:sz w:val="22"/>
          <w:szCs w:val="22"/>
          <w:lang w:eastAsia="en-US"/>
        </w:rPr>
        <w:t xml:space="preserve"> </w:t>
      </w:r>
    </w:p>
    <w:p w14:paraId="02019CF2" w14:textId="12EE9887" w:rsidR="00DA7A5F" w:rsidRPr="003C01E5" w:rsidRDefault="00DA7A5F" w:rsidP="003C01E5">
      <w:pPr>
        <w:spacing w:line="480" w:lineRule="auto"/>
        <w:rPr>
          <w:rFonts w:ascii="Garamond" w:hAnsi="Garamond"/>
          <w:sz w:val="22"/>
          <w:szCs w:val="22"/>
          <w:lang w:eastAsia="en-US"/>
        </w:rPr>
      </w:pPr>
    </w:p>
    <w:p w14:paraId="49D75DA0" w14:textId="3A33BEF8" w:rsidR="00965180" w:rsidRPr="003C01E5" w:rsidRDefault="00AA6D6A" w:rsidP="003C01E5">
      <w:pPr>
        <w:spacing w:line="480" w:lineRule="auto"/>
        <w:rPr>
          <w:rFonts w:ascii="Garamond" w:hAnsi="Garamond"/>
          <w:sz w:val="22"/>
          <w:szCs w:val="22"/>
          <w:lang w:eastAsia="en-US"/>
        </w:rPr>
      </w:pPr>
      <w:r w:rsidRPr="003C01E5">
        <w:rPr>
          <w:rFonts w:ascii="Garamond" w:hAnsi="Garamond"/>
          <w:sz w:val="22"/>
          <w:szCs w:val="22"/>
        </w:rPr>
        <w:t xml:space="preserve">The United Nations (UN) vision for global development identified a </w:t>
      </w:r>
      <w:r w:rsidR="00B92158" w:rsidRPr="003C01E5">
        <w:rPr>
          <w:rFonts w:ascii="Garamond" w:hAnsi="Garamond"/>
          <w:sz w:val="22"/>
          <w:szCs w:val="22"/>
        </w:rPr>
        <w:t xml:space="preserve">part of its </w:t>
      </w:r>
      <w:r w:rsidRPr="003C01E5">
        <w:rPr>
          <w:rFonts w:ascii="Garamond" w:hAnsi="Garamond"/>
          <w:sz w:val="22"/>
          <w:szCs w:val="22"/>
        </w:rPr>
        <w:t xml:space="preserve"> of Sustainable Development </w:t>
      </w:r>
      <w:r w:rsidR="00B92158" w:rsidRPr="003C01E5">
        <w:rPr>
          <w:rFonts w:ascii="Garamond" w:hAnsi="Garamond"/>
          <w:sz w:val="22"/>
          <w:szCs w:val="22"/>
        </w:rPr>
        <w:t>Goals (</w:t>
      </w:r>
      <w:r w:rsidRPr="003C01E5">
        <w:rPr>
          <w:rFonts w:ascii="Garamond" w:hAnsi="Garamond"/>
          <w:sz w:val="22"/>
          <w:szCs w:val="22"/>
        </w:rPr>
        <w:t>SDGs) the</w:t>
      </w:r>
      <w:r w:rsidRPr="003C01E5">
        <w:rPr>
          <w:rFonts w:ascii="Garamond" w:hAnsi="Garamond"/>
          <w:sz w:val="22"/>
          <w:szCs w:val="22"/>
          <w:lang w:eastAsia="en-US"/>
        </w:rPr>
        <w:t xml:space="preserve"> need to ‘recognize and value unpaid care and domestic work through the provision of public services, infrastructure and social protection policies and the promotion of shared responsibility within the household and the family as nationally appropriate</w:t>
      </w:r>
      <w:r w:rsidRPr="003C01E5">
        <w:rPr>
          <w:rFonts w:ascii="Garamond" w:hAnsi="Garamond"/>
          <w:i/>
          <w:iCs/>
          <w:sz w:val="22"/>
          <w:szCs w:val="22"/>
          <w:lang w:eastAsia="en-US"/>
        </w:rPr>
        <w:t>’</w:t>
      </w:r>
      <w:r w:rsidRPr="003C01E5">
        <w:rPr>
          <w:rFonts w:ascii="Garamond" w:hAnsi="Garamond"/>
          <w:sz w:val="22"/>
          <w:szCs w:val="22"/>
          <w:lang w:eastAsia="en-US"/>
        </w:rPr>
        <w:t xml:space="preserve"> </w:t>
      </w:r>
      <w:r w:rsidR="00B92158" w:rsidRPr="003C01E5">
        <w:rPr>
          <w:rFonts w:ascii="Garamond" w:hAnsi="Garamond"/>
          <w:sz w:val="22"/>
          <w:szCs w:val="22"/>
          <w:lang w:eastAsia="en-US"/>
        </w:rPr>
        <w:t xml:space="preserve">(Target 5.4) </w:t>
      </w:r>
      <w:r w:rsidRPr="003C01E5">
        <w:rPr>
          <w:rFonts w:ascii="Garamond" w:hAnsi="Garamond"/>
          <w:sz w:val="22"/>
          <w:szCs w:val="22"/>
          <w:lang w:eastAsia="en-US"/>
        </w:rPr>
        <w:t xml:space="preserve">while at the same time Target 8 </w:t>
      </w:r>
      <w:r w:rsidR="00B92158" w:rsidRPr="003C01E5">
        <w:rPr>
          <w:rFonts w:ascii="Garamond" w:hAnsi="Garamond"/>
          <w:sz w:val="22"/>
          <w:szCs w:val="22"/>
          <w:lang w:eastAsia="en-US"/>
        </w:rPr>
        <w:t xml:space="preserve">aims to promote </w:t>
      </w:r>
      <w:r w:rsidRPr="003C01E5">
        <w:rPr>
          <w:rFonts w:ascii="Garamond" w:hAnsi="Garamond"/>
          <w:sz w:val="22"/>
          <w:szCs w:val="22"/>
          <w:lang w:eastAsia="en-US"/>
        </w:rPr>
        <w:t xml:space="preserve">‘sustainable economic growth, full and productive employment and decent work for all’.  </w:t>
      </w:r>
      <w:r w:rsidR="00B92158" w:rsidRPr="003C01E5">
        <w:rPr>
          <w:rFonts w:ascii="Garamond" w:hAnsi="Garamond"/>
          <w:sz w:val="22"/>
          <w:szCs w:val="22"/>
          <w:lang w:eastAsia="en-US"/>
        </w:rPr>
        <w:t xml:space="preserve">However, it is not really clear how far the two aims can be reconciled (Rai et. al., 2019) without </w:t>
      </w:r>
      <w:r w:rsidRPr="003C01E5">
        <w:rPr>
          <w:rFonts w:ascii="Garamond" w:hAnsi="Garamond"/>
          <w:sz w:val="22"/>
          <w:szCs w:val="22"/>
          <w:lang w:eastAsia="en-US"/>
        </w:rPr>
        <w:t>explor</w:t>
      </w:r>
      <w:r w:rsidR="00B92158" w:rsidRPr="003C01E5">
        <w:rPr>
          <w:rFonts w:ascii="Garamond" w:hAnsi="Garamond"/>
          <w:sz w:val="22"/>
          <w:szCs w:val="22"/>
          <w:lang w:eastAsia="en-US"/>
        </w:rPr>
        <w:t>ing</w:t>
      </w:r>
      <w:r w:rsidRPr="003C01E5">
        <w:rPr>
          <w:rFonts w:ascii="Garamond" w:hAnsi="Garamond"/>
          <w:sz w:val="22"/>
          <w:szCs w:val="22"/>
          <w:lang w:eastAsia="en-US"/>
        </w:rPr>
        <w:t xml:space="preserve"> </w:t>
      </w:r>
      <w:r w:rsidR="00B92158" w:rsidRPr="003C01E5">
        <w:rPr>
          <w:rFonts w:ascii="Garamond" w:hAnsi="Garamond"/>
          <w:sz w:val="22"/>
          <w:szCs w:val="22"/>
          <w:lang w:eastAsia="en-US"/>
        </w:rPr>
        <w:t xml:space="preserve">two set of relations: one in the sphere of production and one in the sphere of social reproduction. </w:t>
      </w:r>
    </w:p>
    <w:p w14:paraId="4E5D221B" w14:textId="77777777" w:rsidR="00965180" w:rsidRPr="003C01E5" w:rsidRDefault="00965180" w:rsidP="003C01E5">
      <w:pPr>
        <w:spacing w:line="480" w:lineRule="auto"/>
        <w:rPr>
          <w:rFonts w:ascii="Garamond" w:hAnsi="Garamond"/>
          <w:sz w:val="22"/>
          <w:szCs w:val="22"/>
          <w:lang w:eastAsia="en-US"/>
        </w:rPr>
      </w:pPr>
    </w:p>
    <w:p w14:paraId="25B8DFAD" w14:textId="484FDB49" w:rsidR="00965180" w:rsidRPr="003C01E5" w:rsidRDefault="00B92158" w:rsidP="003C01E5">
      <w:pPr>
        <w:spacing w:line="480" w:lineRule="auto"/>
        <w:rPr>
          <w:rFonts w:ascii="Garamond" w:hAnsi="Garamond"/>
          <w:sz w:val="22"/>
          <w:szCs w:val="22"/>
          <w:lang w:eastAsia="en-US"/>
        </w:rPr>
      </w:pPr>
      <w:r w:rsidRPr="003C01E5">
        <w:rPr>
          <w:rFonts w:ascii="Garamond" w:hAnsi="Garamond"/>
          <w:sz w:val="22"/>
          <w:szCs w:val="22"/>
          <w:lang w:eastAsia="en-US"/>
        </w:rPr>
        <w:t xml:space="preserve">Next the article presents the variables and data available for operationalising the gender gap in both the sphere of production </w:t>
      </w:r>
      <w:r w:rsidR="00965180" w:rsidRPr="003C01E5">
        <w:rPr>
          <w:rFonts w:ascii="Garamond" w:hAnsi="Garamond"/>
          <w:sz w:val="22"/>
          <w:szCs w:val="22"/>
          <w:lang w:eastAsia="en-US"/>
        </w:rPr>
        <w:t xml:space="preserve">(gender gap in formal and informal employment) </w:t>
      </w:r>
      <w:r w:rsidRPr="003C01E5">
        <w:rPr>
          <w:rFonts w:ascii="Garamond" w:hAnsi="Garamond"/>
          <w:sz w:val="22"/>
          <w:szCs w:val="22"/>
          <w:lang w:eastAsia="en-US"/>
        </w:rPr>
        <w:t>and social reproduction</w:t>
      </w:r>
      <w:r w:rsidR="00965180" w:rsidRPr="003C01E5">
        <w:rPr>
          <w:rFonts w:ascii="Garamond" w:hAnsi="Garamond"/>
          <w:sz w:val="22"/>
          <w:szCs w:val="22"/>
          <w:lang w:eastAsia="en-US"/>
        </w:rPr>
        <w:t xml:space="preserve"> (gender gap in time spent for unpaid domestic work). </w:t>
      </w:r>
    </w:p>
    <w:p w14:paraId="1E7BDE83" w14:textId="4069A785" w:rsidR="00B92158" w:rsidRPr="003C01E5" w:rsidRDefault="00B92158" w:rsidP="003C01E5">
      <w:pPr>
        <w:spacing w:line="480" w:lineRule="auto"/>
        <w:rPr>
          <w:rFonts w:ascii="Garamond" w:hAnsi="Garamond"/>
          <w:sz w:val="22"/>
          <w:szCs w:val="22"/>
          <w:lang w:eastAsia="en-US"/>
        </w:rPr>
      </w:pPr>
    </w:p>
    <w:p w14:paraId="7FD24DED" w14:textId="03D5576B" w:rsidR="007C4EA8" w:rsidRPr="003C01E5" w:rsidRDefault="007C4EA8" w:rsidP="003C01E5">
      <w:pPr>
        <w:pStyle w:val="Heading2"/>
        <w:spacing w:before="0" w:line="480" w:lineRule="auto"/>
      </w:pPr>
      <w:r w:rsidRPr="003C01E5">
        <w:t xml:space="preserve">Operationalising </w:t>
      </w:r>
      <w:r w:rsidR="00B86849" w:rsidRPr="003C01E5">
        <w:t>the gender gap</w:t>
      </w:r>
    </w:p>
    <w:p w14:paraId="52F832E0" w14:textId="16C4A507" w:rsidR="00B155F6" w:rsidRPr="003C01E5" w:rsidRDefault="00B155F6" w:rsidP="003C01E5">
      <w:pPr>
        <w:spacing w:line="480" w:lineRule="auto"/>
        <w:rPr>
          <w:rFonts w:ascii="Calibri" w:hAnsi="Calibri"/>
          <w:sz w:val="22"/>
          <w:szCs w:val="22"/>
        </w:rPr>
      </w:pPr>
    </w:p>
    <w:p w14:paraId="2D497D34" w14:textId="6BBDB5FD" w:rsidR="00482059" w:rsidRPr="003C01E5" w:rsidRDefault="00F00F47" w:rsidP="003C01E5">
      <w:pPr>
        <w:spacing w:line="480" w:lineRule="auto"/>
        <w:rPr>
          <w:rFonts w:ascii="Garamond" w:hAnsi="Garamond"/>
          <w:sz w:val="22"/>
          <w:szCs w:val="22"/>
        </w:rPr>
      </w:pPr>
      <w:r w:rsidRPr="003C01E5">
        <w:rPr>
          <w:rFonts w:ascii="Garamond" w:hAnsi="Garamond"/>
          <w:sz w:val="22"/>
          <w:szCs w:val="22"/>
        </w:rPr>
        <w:lastRenderedPageBreak/>
        <w:t>The first part of the analysis explores comparatively trends in formal and informal employment for both men and women across</w:t>
      </w:r>
      <w:r w:rsidR="00AE250E" w:rsidRPr="003C01E5">
        <w:rPr>
          <w:rFonts w:ascii="Garamond" w:hAnsi="Garamond"/>
          <w:sz w:val="22"/>
          <w:szCs w:val="22"/>
        </w:rPr>
        <w:t xml:space="preserve"> 5</w:t>
      </w:r>
      <w:r w:rsidR="00A816FB" w:rsidRPr="003C01E5">
        <w:rPr>
          <w:rFonts w:ascii="Garamond" w:hAnsi="Garamond"/>
          <w:sz w:val="22"/>
          <w:szCs w:val="22"/>
        </w:rPr>
        <w:t>8</w:t>
      </w:r>
      <w:r w:rsidRPr="003C01E5">
        <w:rPr>
          <w:rFonts w:ascii="Garamond" w:hAnsi="Garamond"/>
          <w:sz w:val="22"/>
          <w:szCs w:val="22"/>
        </w:rPr>
        <w:t xml:space="preserve"> countries using</w:t>
      </w:r>
      <w:r w:rsidR="00AE250E" w:rsidRPr="003C01E5">
        <w:rPr>
          <w:rFonts w:ascii="Garamond" w:hAnsi="Garamond"/>
          <w:sz w:val="22"/>
          <w:szCs w:val="22"/>
        </w:rPr>
        <w:t xml:space="preserve"> available data from the</w:t>
      </w:r>
      <w:r w:rsidR="00A9274A" w:rsidRPr="003C01E5">
        <w:rPr>
          <w:rFonts w:ascii="Garamond" w:hAnsi="Garamond"/>
          <w:sz w:val="22"/>
          <w:szCs w:val="22"/>
        </w:rPr>
        <w:t xml:space="preserve"> International Labour Organisation (</w:t>
      </w:r>
      <w:r w:rsidR="00AA6D6A" w:rsidRPr="003C01E5">
        <w:rPr>
          <w:rFonts w:ascii="Garamond" w:hAnsi="Garamond"/>
          <w:sz w:val="22"/>
          <w:szCs w:val="22"/>
        </w:rPr>
        <w:t>ILO</w:t>
      </w:r>
      <w:r w:rsidR="00E97AA9" w:rsidRPr="003C01E5">
        <w:rPr>
          <w:rFonts w:ascii="Garamond" w:hAnsi="Garamond"/>
          <w:sz w:val="22"/>
          <w:szCs w:val="22"/>
        </w:rPr>
        <w:t>, 2018</w:t>
      </w:r>
      <w:r w:rsidR="00A9274A" w:rsidRPr="003C01E5">
        <w:rPr>
          <w:rFonts w:ascii="Garamond" w:hAnsi="Garamond"/>
          <w:sz w:val="22"/>
          <w:szCs w:val="22"/>
        </w:rPr>
        <w:t>)</w:t>
      </w:r>
      <w:r w:rsidRPr="003C01E5">
        <w:rPr>
          <w:rFonts w:ascii="Garamond" w:hAnsi="Garamond"/>
          <w:sz w:val="22"/>
          <w:szCs w:val="22"/>
        </w:rPr>
        <w:t>.</w:t>
      </w:r>
      <w:r w:rsidR="005A4154" w:rsidRPr="003C01E5">
        <w:rPr>
          <w:rFonts w:ascii="Garamond" w:hAnsi="Garamond"/>
          <w:sz w:val="22"/>
          <w:szCs w:val="22"/>
        </w:rPr>
        <w:t xml:space="preserve"> </w:t>
      </w:r>
      <w:r w:rsidR="009A11E5" w:rsidRPr="003C01E5">
        <w:rPr>
          <w:rFonts w:ascii="Garamond" w:hAnsi="Garamond"/>
          <w:i/>
          <w:iCs/>
          <w:sz w:val="22"/>
          <w:szCs w:val="22"/>
        </w:rPr>
        <w:t>Informal employment</w:t>
      </w:r>
      <w:r w:rsidR="009A11E5" w:rsidRPr="003C01E5">
        <w:rPr>
          <w:rFonts w:ascii="Garamond" w:hAnsi="Garamond"/>
          <w:sz w:val="22"/>
          <w:szCs w:val="22"/>
        </w:rPr>
        <w:t xml:space="preserve"> data capture own-account workers, contributing family workers, and largely employees who are not subject to national labour legislation or covered by social protection. </w:t>
      </w:r>
      <w:r w:rsidR="00E410D6" w:rsidRPr="003C01E5">
        <w:rPr>
          <w:rFonts w:ascii="Garamond" w:hAnsi="Garamond"/>
          <w:i/>
          <w:iCs/>
          <w:sz w:val="22"/>
          <w:szCs w:val="22"/>
        </w:rPr>
        <w:t>Formal employment</w:t>
      </w:r>
      <w:r w:rsidR="00E410D6" w:rsidRPr="003C01E5">
        <w:rPr>
          <w:rFonts w:ascii="Garamond" w:hAnsi="Garamond"/>
          <w:sz w:val="22"/>
          <w:szCs w:val="22"/>
        </w:rPr>
        <w:t xml:space="preserve"> data expresses the labour force as a percent of the working-age population. </w:t>
      </w:r>
      <w:r w:rsidR="009A11E5" w:rsidRPr="003C01E5">
        <w:rPr>
          <w:rFonts w:ascii="Garamond" w:hAnsi="Garamond"/>
          <w:sz w:val="22"/>
          <w:szCs w:val="22"/>
        </w:rPr>
        <w:t>It is important to note that data should be treated with caution</w:t>
      </w:r>
      <w:r w:rsidR="00482059" w:rsidRPr="003C01E5">
        <w:rPr>
          <w:rStyle w:val="FootnoteReference"/>
          <w:rFonts w:ascii="Garamond" w:hAnsi="Garamond"/>
          <w:sz w:val="22"/>
          <w:szCs w:val="22"/>
        </w:rPr>
        <w:footnoteReference w:id="4"/>
      </w:r>
      <w:r w:rsidR="009A11E5" w:rsidRPr="003C01E5">
        <w:rPr>
          <w:rFonts w:ascii="Garamond" w:hAnsi="Garamond"/>
          <w:sz w:val="22"/>
          <w:szCs w:val="22"/>
        </w:rPr>
        <w:t xml:space="preserve"> </w:t>
      </w:r>
      <w:r w:rsidR="00482059" w:rsidRPr="003C01E5">
        <w:rPr>
          <w:rFonts w:ascii="Garamond" w:hAnsi="Garamond"/>
          <w:sz w:val="22"/>
          <w:szCs w:val="22"/>
        </w:rPr>
        <w:t xml:space="preserve">and are </w:t>
      </w:r>
      <w:r w:rsidR="00654300">
        <w:rPr>
          <w:rFonts w:ascii="Garamond" w:hAnsi="Garamond"/>
          <w:sz w:val="22"/>
          <w:szCs w:val="22"/>
        </w:rPr>
        <w:t xml:space="preserve">only </w:t>
      </w:r>
      <w:r w:rsidR="00482059" w:rsidRPr="003C01E5">
        <w:rPr>
          <w:rFonts w:ascii="Garamond" w:hAnsi="Garamond"/>
          <w:sz w:val="22"/>
          <w:szCs w:val="22"/>
        </w:rPr>
        <w:t>used</w:t>
      </w:r>
      <w:r w:rsidR="00654300">
        <w:rPr>
          <w:rFonts w:ascii="Garamond" w:hAnsi="Garamond"/>
          <w:sz w:val="22"/>
          <w:szCs w:val="22"/>
        </w:rPr>
        <w:t xml:space="preserve"> in this article</w:t>
      </w:r>
      <w:r w:rsidR="00482059" w:rsidRPr="003C01E5">
        <w:rPr>
          <w:rFonts w:ascii="Garamond" w:hAnsi="Garamond"/>
          <w:sz w:val="22"/>
          <w:szCs w:val="22"/>
        </w:rPr>
        <w:t xml:space="preserve"> heuristically. </w:t>
      </w:r>
    </w:p>
    <w:p w14:paraId="12DD490D" w14:textId="77777777" w:rsidR="00482059" w:rsidRPr="003C01E5" w:rsidRDefault="00482059" w:rsidP="003C01E5">
      <w:pPr>
        <w:spacing w:line="480" w:lineRule="auto"/>
        <w:rPr>
          <w:rFonts w:ascii="Garamond" w:hAnsi="Garamond"/>
          <w:sz w:val="22"/>
          <w:szCs w:val="22"/>
        </w:rPr>
      </w:pPr>
    </w:p>
    <w:p w14:paraId="4C7B7E4C" w14:textId="48C838C6" w:rsidR="0035040C" w:rsidRPr="003C01E5" w:rsidRDefault="00050574" w:rsidP="003C01E5">
      <w:pPr>
        <w:spacing w:line="480" w:lineRule="auto"/>
        <w:rPr>
          <w:rFonts w:ascii="Garamond" w:hAnsi="Garamond"/>
          <w:sz w:val="22"/>
          <w:szCs w:val="22"/>
        </w:rPr>
      </w:pPr>
      <w:r w:rsidRPr="003C01E5">
        <w:rPr>
          <w:rFonts w:ascii="Garamond" w:hAnsi="Garamond"/>
          <w:sz w:val="22"/>
          <w:szCs w:val="22"/>
        </w:rPr>
        <w:t>T</w:t>
      </w:r>
      <w:r w:rsidR="00F00F47" w:rsidRPr="003C01E5">
        <w:rPr>
          <w:rFonts w:ascii="Garamond" w:hAnsi="Garamond"/>
          <w:sz w:val="22"/>
          <w:szCs w:val="22"/>
        </w:rPr>
        <w:t>he s</w:t>
      </w:r>
      <w:r w:rsidRPr="003C01E5">
        <w:rPr>
          <w:rFonts w:ascii="Garamond" w:hAnsi="Garamond"/>
          <w:sz w:val="22"/>
          <w:szCs w:val="22"/>
        </w:rPr>
        <w:t>e</w:t>
      </w:r>
      <w:r w:rsidR="00F00F47" w:rsidRPr="003C01E5">
        <w:rPr>
          <w:rFonts w:ascii="Garamond" w:hAnsi="Garamond"/>
          <w:sz w:val="22"/>
          <w:szCs w:val="22"/>
        </w:rPr>
        <w:t xml:space="preserve">cond </w:t>
      </w:r>
      <w:r w:rsidRPr="003C01E5">
        <w:rPr>
          <w:rFonts w:ascii="Garamond" w:hAnsi="Garamond"/>
          <w:sz w:val="22"/>
          <w:szCs w:val="22"/>
        </w:rPr>
        <w:t xml:space="preserve">part </w:t>
      </w:r>
      <w:r w:rsidR="00F00F47" w:rsidRPr="003C01E5">
        <w:rPr>
          <w:rFonts w:ascii="Garamond" w:hAnsi="Garamond"/>
          <w:sz w:val="22"/>
          <w:szCs w:val="22"/>
        </w:rPr>
        <w:t xml:space="preserve">of the </w:t>
      </w:r>
      <w:r w:rsidR="005F00B7" w:rsidRPr="003C01E5">
        <w:rPr>
          <w:rFonts w:ascii="Garamond" w:hAnsi="Garamond"/>
          <w:sz w:val="22"/>
          <w:szCs w:val="22"/>
        </w:rPr>
        <w:t>analysis</w:t>
      </w:r>
      <w:r w:rsidR="005F00B7" w:rsidRPr="003C01E5">
        <w:rPr>
          <w:rFonts w:ascii="Garamond" w:hAnsi="Garamond"/>
        </w:rPr>
        <w:t xml:space="preserve"> </w:t>
      </w:r>
      <w:r w:rsidR="005F00B7" w:rsidRPr="003C01E5">
        <w:rPr>
          <w:rFonts w:ascii="Garamond" w:hAnsi="Garamond"/>
          <w:sz w:val="22"/>
          <w:szCs w:val="22"/>
        </w:rPr>
        <w:t>comparatively</w:t>
      </w:r>
      <w:r w:rsidR="0035040C" w:rsidRPr="003C01E5">
        <w:rPr>
          <w:rFonts w:ascii="Garamond" w:hAnsi="Garamond"/>
          <w:sz w:val="22"/>
          <w:szCs w:val="22"/>
        </w:rPr>
        <w:t xml:space="preserve"> explores </w:t>
      </w:r>
      <w:r w:rsidR="006273FE" w:rsidRPr="003C01E5">
        <w:rPr>
          <w:rFonts w:ascii="Garamond" w:hAnsi="Garamond"/>
          <w:sz w:val="22"/>
          <w:szCs w:val="22"/>
        </w:rPr>
        <w:t>the gender gap</w:t>
      </w:r>
      <w:r w:rsidR="00F00F47" w:rsidRPr="003C01E5">
        <w:rPr>
          <w:rFonts w:ascii="Garamond" w:hAnsi="Garamond"/>
          <w:sz w:val="22"/>
          <w:szCs w:val="22"/>
        </w:rPr>
        <w:t xml:space="preserve"> </w:t>
      </w:r>
      <w:r w:rsidR="0035040C" w:rsidRPr="003C01E5">
        <w:rPr>
          <w:rFonts w:ascii="Garamond" w:hAnsi="Garamond"/>
          <w:sz w:val="22"/>
          <w:szCs w:val="22"/>
        </w:rPr>
        <w:t>in</w:t>
      </w:r>
      <w:r w:rsidR="00F00F47" w:rsidRPr="003C01E5">
        <w:rPr>
          <w:rFonts w:ascii="Garamond" w:hAnsi="Garamond"/>
          <w:sz w:val="22"/>
          <w:szCs w:val="22"/>
        </w:rPr>
        <w:t xml:space="preserve"> the proportion of time spent on unpaid domestic chores and care work</w:t>
      </w:r>
      <w:r w:rsidR="000F2E76" w:rsidRPr="003C01E5">
        <w:rPr>
          <w:rFonts w:ascii="Garamond" w:hAnsi="Garamond"/>
          <w:sz w:val="22"/>
          <w:szCs w:val="22"/>
        </w:rPr>
        <w:t xml:space="preserve"> (</w:t>
      </w:r>
      <w:r w:rsidR="00A17B0E" w:rsidRPr="003C01E5">
        <w:rPr>
          <w:rFonts w:ascii="Garamond" w:hAnsi="Garamond"/>
          <w:sz w:val="22"/>
          <w:szCs w:val="22"/>
        </w:rPr>
        <w:t>United Nations</w:t>
      </w:r>
      <w:r w:rsidR="000F2E76" w:rsidRPr="003C01E5">
        <w:rPr>
          <w:rFonts w:ascii="Garamond" w:hAnsi="Garamond"/>
          <w:sz w:val="22"/>
          <w:szCs w:val="22"/>
        </w:rPr>
        <w:t>,</w:t>
      </w:r>
      <w:r w:rsidR="00D0332C" w:rsidRPr="003C01E5">
        <w:rPr>
          <w:rFonts w:ascii="Garamond" w:hAnsi="Garamond"/>
          <w:sz w:val="22"/>
          <w:szCs w:val="22"/>
        </w:rPr>
        <w:t xml:space="preserve"> </w:t>
      </w:r>
      <w:r w:rsidR="000F2E76" w:rsidRPr="003C01E5">
        <w:rPr>
          <w:rFonts w:ascii="Garamond" w:hAnsi="Garamond"/>
          <w:sz w:val="22"/>
          <w:szCs w:val="22"/>
        </w:rPr>
        <w:t>2020).</w:t>
      </w:r>
      <w:r w:rsidR="006273FE" w:rsidRPr="003C01E5">
        <w:rPr>
          <w:rFonts w:ascii="Garamond" w:hAnsi="Garamond"/>
          <w:sz w:val="22"/>
          <w:szCs w:val="22"/>
        </w:rPr>
        <w:t xml:space="preserve"> The available data capture the</w:t>
      </w:r>
      <w:r w:rsidR="006273FE" w:rsidRPr="003C01E5">
        <w:rPr>
          <w:rFonts w:ascii="Garamond" w:hAnsi="Garamond"/>
          <w:sz w:val="22"/>
          <w:szCs w:val="22"/>
          <w:lang w:eastAsia="en-US"/>
        </w:rPr>
        <w:t xml:space="preserve"> average time spent on paid and unpaid work in a 24-hour</w:t>
      </w:r>
      <w:r w:rsidR="006273FE" w:rsidRPr="003C01E5">
        <w:rPr>
          <w:rFonts w:ascii="Garamond" w:hAnsi="Garamond"/>
          <w:sz w:val="22"/>
          <w:szCs w:val="22"/>
        </w:rPr>
        <w:t xml:space="preserve"> period</w:t>
      </w:r>
      <w:r w:rsidR="006273FE" w:rsidRPr="003C01E5">
        <w:rPr>
          <w:rStyle w:val="FootnoteReference"/>
          <w:rFonts w:ascii="Garamond" w:hAnsi="Garamond"/>
          <w:sz w:val="22"/>
          <w:szCs w:val="22"/>
        </w:rPr>
        <w:footnoteReference w:id="5"/>
      </w:r>
      <w:r w:rsidR="006273FE" w:rsidRPr="003C01E5">
        <w:rPr>
          <w:rFonts w:ascii="Garamond" w:hAnsi="Garamond"/>
          <w:sz w:val="22"/>
          <w:szCs w:val="22"/>
        </w:rPr>
        <w:t xml:space="preserve"> as a percentage.</w:t>
      </w:r>
      <w:r w:rsidR="00482059" w:rsidRPr="003C01E5">
        <w:rPr>
          <w:rFonts w:ascii="Garamond" w:hAnsi="Garamond"/>
          <w:sz w:val="22"/>
          <w:szCs w:val="22"/>
        </w:rPr>
        <w:t xml:space="preserve"> </w:t>
      </w:r>
      <w:r w:rsidR="0035040C" w:rsidRPr="003C01E5">
        <w:rPr>
          <w:rFonts w:ascii="Garamond" w:hAnsi="Garamond"/>
          <w:sz w:val="22"/>
          <w:szCs w:val="22"/>
        </w:rPr>
        <w:t xml:space="preserve">Unless otherwise stated, the data presented </w:t>
      </w:r>
      <w:r w:rsidR="00482059" w:rsidRPr="003C01E5">
        <w:rPr>
          <w:rFonts w:ascii="Garamond" w:hAnsi="Garamond"/>
          <w:sz w:val="22"/>
          <w:szCs w:val="22"/>
        </w:rPr>
        <w:t>in all tables</w:t>
      </w:r>
      <w:r w:rsidR="0035040C" w:rsidRPr="003C01E5">
        <w:rPr>
          <w:rFonts w:ascii="Garamond" w:hAnsi="Garamond"/>
          <w:sz w:val="22"/>
          <w:szCs w:val="22"/>
        </w:rPr>
        <w:t xml:space="preserve"> refer to 2012, capture both urban and rural </w:t>
      </w:r>
      <w:r w:rsidR="004A2099" w:rsidRPr="003C01E5">
        <w:rPr>
          <w:rFonts w:ascii="Garamond" w:hAnsi="Garamond"/>
          <w:sz w:val="22"/>
          <w:szCs w:val="22"/>
        </w:rPr>
        <w:t>areas, including</w:t>
      </w:r>
      <w:r w:rsidR="0035040C" w:rsidRPr="003C01E5">
        <w:rPr>
          <w:rFonts w:ascii="Garamond" w:hAnsi="Garamond"/>
          <w:sz w:val="22"/>
          <w:szCs w:val="22"/>
        </w:rPr>
        <w:t xml:space="preserve"> those aged 15 and over. In case data were not available for 2012, the closest time-point was selected. </w:t>
      </w:r>
    </w:p>
    <w:p w14:paraId="3E4E6867" w14:textId="35490E54" w:rsidR="00050574" w:rsidRPr="003C01E5" w:rsidRDefault="00050574" w:rsidP="003C01E5">
      <w:pPr>
        <w:spacing w:line="480" w:lineRule="auto"/>
        <w:rPr>
          <w:rFonts w:ascii="Garamond" w:hAnsi="Garamond"/>
          <w:sz w:val="22"/>
          <w:szCs w:val="22"/>
        </w:rPr>
      </w:pPr>
    </w:p>
    <w:p w14:paraId="1406C687" w14:textId="77777777" w:rsidR="005A4154" w:rsidRPr="003C01E5" w:rsidRDefault="005A4154" w:rsidP="003C01E5">
      <w:pPr>
        <w:pStyle w:val="Heading2"/>
        <w:spacing w:before="0" w:line="480" w:lineRule="auto"/>
      </w:pPr>
    </w:p>
    <w:p w14:paraId="2C7122E5" w14:textId="2B2D0083" w:rsidR="00BF32FD" w:rsidRPr="003C01E5" w:rsidRDefault="00980F9C" w:rsidP="003C01E5">
      <w:pPr>
        <w:pStyle w:val="Heading2"/>
        <w:spacing w:before="0" w:line="480" w:lineRule="auto"/>
      </w:pPr>
      <w:r w:rsidRPr="003C01E5">
        <w:t>Gender gap in</w:t>
      </w:r>
      <w:r w:rsidR="00AC4876" w:rsidRPr="003C01E5">
        <w:t xml:space="preserve"> formal</w:t>
      </w:r>
      <w:r w:rsidR="00A816FB" w:rsidRPr="003C01E5">
        <w:t xml:space="preserve"> </w:t>
      </w:r>
      <w:r w:rsidR="00C72FF5" w:rsidRPr="003C01E5">
        <w:t xml:space="preserve">and informal </w:t>
      </w:r>
      <w:r w:rsidR="00AC4876" w:rsidRPr="003C01E5">
        <w:t xml:space="preserve">employment </w:t>
      </w:r>
    </w:p>
    <w:p w14:paraId="40A0A232" w14:textId="6D7B33E0" w:rsidR="00BF32FD" w:rsidRPr="003C01E5" w:rsidRDefault="00BF32FD" w:rsidP="003C01E5">
      <w:pPr>
        <w:spacing w:line="480" w:lineRule="auto"/>
        <w:rPr>
          <w:rFonts w:ascii="Calibri" w:hAnsi="Calibri"/>
          <w:sz w:val="22"/>
          <w:szCs w:val="22"/>
        </w:rPr>
      </w:pPr>
    </w:p>
    <w:p w14:paraId="2C7B7AA3" w14:textId="598081C4" w:rsidR="00730CAF" w:rsidRDefault="002D484A"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 xml:space="preserve">The first part of the analysis compares </w:t>
      </w:r>
      <w:r w:rsidR="005A4154" w:rsidRPr="003C01E5">
        <w:rPr>
          <w:rFonts w:ascii="Garamond" w:eastAsia="Garamond" w:hAnsi="Garamond"/>
          <w:sz w:val="22"/>
          <w:szCs w:val="22"/>
        </w:rPr>
        <w:t>5</w:t>
      </w:r>
      <w:r w:rsidR="00A816FB" w:rsidRPr="003C01E5">
        <w:rPr>
          <w:rFonts w:ascii="Garamond" w:eastAsia="Garamond" w:hAnsi="Garamond"/>
          <w:sz w:val="22"/>
          <w:szCs w:val="22"/>
        </w:rPr>
        <w:t>8</w:t>
      </w:r>
      <w:r w:rsidR="0060415E" w:rsidRPr="003C01E5">
        <w:rPr>
          <w:rFonts w:ascii="Garamond" w:eastAsia="Garamond" w:hAnsi="Garamond"/>
          <w:sz w:val="22"/>
          <w:szCs w:val="22"/>
        </w:rPr>
        <w:t xml:space="preserve"> </w:t>
      </w:r>
      <w:r w:rsidRPr="003C01E5">
        <w:rPr>
          <w:rFonts w:ascii="Garamond" w:eastAsia="Garamond" w:hAnsi="Garamond"/>
          <w:sz w:val="22"/>
          <w:szCs w:val="22"/>
        </w:rPr>
        <w:t xml:space="preserve">countries and maps </w:t>
      </w:r>
      <w:r w:rsidR="00B2065C" w:rsidRPr="003C01E5">
        <w:rPr>
          <w:rFonts w:ascii="Garamond" w:eastAsia="Garamond" w:hAnsi="Garamond"/>
          <w:sz w:val="22"/>
          <w:szCs w:val="22"/>
        </w:rPr>
        <w:t xml:space="preserve">the </w:t>
      </w:r>
      <w:r w:rsidRPr="003C01E5">
        <w:rPr>
          <w:rFonts w:ascii="Garamond" w:eastAsia="Garamond" w:hAnsi="Garamond"/>
          <w:sz w:val="22"/>
          <w:szCs w:val="22"/>
        </w:rPr>
        <w:t>gender gap</w:t>
      </w:r>
      <w:r w:rsidR="00B2065C" w:rsidRPr="003C01E5">
        <w:rPr>
          <w:rFonts w:ascii="Garamond" w:eastAsia="Garamond" w:hAnsi="Garamond"/>
          <w:sz w:val="22"/>
          <w:szCs w:val="22"/>
        </w:rPr>
        <w:t>s</w:t>
      </w:r>
      <w:r w:rsidRPr="003C01E5">
        <w:rPr>
          <w:rFonts w:ascii="Garamond" w:eastAsia="Garamond" w:hAnsi="Garamond"/>
          <w:sz w:val="22"/>
          <w:szCs w:val="22"/>
        </w:rPr>
        <w:t xml:space="preserve"> both in formal and informal employment. </w:t>
      </w:r>
      <w:r w:rsidR="00074B0B" w:rsidRPr="003C01E5">
        <w:rPr>
          <w:rFonts w:ascii="Garamond" w:eastAsia="Garamond" w:hAnsi="Garamond"/>
          <w:sz w:val="22"/>
          <w:szCs w:val="22"/>
        </w:rPr>
        <w:t xml:space="preserve">Graph 1 </w:t>
      </w:r>
      <w:r w:rsidR="00244DAB" w:rsidRPr="003C01E5">
        <w:rPr>
          <w:rFonts w:ascii="Garamond" w:eastAsia="Garamond" w:hAnsi="Garamond"/>
          <w:sz w:val="22"/>
          <w:szCs w:val="22"/>
        </w:rPr>
        <w:t>and Graph 2</w:t>
      </w:r>
      <w:r w:rsidR="00074B0B" w:rsidRPr="003C01E5">
        <w:rPr>
          <w:rFonts w:ascii="Garamond" w:eastAsia="Garamond" w:hAnsi="Garamond"/>
          <w:sz w:val="22"/>
          <w:szCs w:val="22"/>
        </w:rPr>
        <w:t xml:space="preserve"> </w:t>
      </w:r>
      <w:r w:rsidR="00244DAB" w:rsidRPr="003C01E5">
        <w:rPr>
          <w:rFonts w:ascii="Garamond" w:eastAsia="Garamond" w:hAnsi="Garamond"/>
          <w:sz w:val="22"/>
          <w:szCs w:val="22"/>
        </w:rPr>
        <w:t>display the gender gap for formal and informal employment rates respectively. The diamond marker i</w:t>
      </w:r>
      <w:r w:rsidR="001A1CD6" w:rsidRPr="003C01E5">
        <w:rPr>
          <w:rFonts w:ascii="Garamond" w:eastAsia="Garamond" w:hAnsi="Garamond"/>
          <w:sz w:val="22"/>
          <w:szCs w:val="22"/>
        </w:rPr>
        <w:t xml:space="preserve">n Graph 1 and 2 </w:t>
      </w:r>
      <w:r w:rsidR="00244DAB" w:rsidRPr="003C01E5">
        <w:rPr>
          <w:rFonts w:ascii="Garamond" w:eastAsia="Garamond" w:hAnsi="Garamond"/>
          <w:sz w:val="22"/>
          <w:szCs w:val="22"/>
        </w:rPr>
        <w:t xml:space="preserve">depicts women’s employment rates while the </w:t>
      </w:r>
      <w:r w:rsidR="00244DAB" w:rsidRPr="003C01E5">
        <w:rPr>
          <w:rFonts w:ascii="Garamond" w:eastAsia="Garamond" w:hAnsi="Garamond"/>
          <w:sz w:val="22"/>
          <w:szCs w:val="22"/>
        </w:rPr>
        <w:lastRenderedPageBreak/>
        <w:t>column indicates men’s employment rates. The graphs are ordered, from left-to-right, based on the gender gap</w:t>
      </w:r>
      <w:r w:rsidR="00074B0B" w:rsidRPr="003C01E5">
        <w:rPr>
          <w:rFonts w:ascii="Garamond" w:eastAsia="Garamond" w:hAnsi="Garamond"/>
          <w:sz w:val="22"/>
          <w:szCs w:val="22"/>
        </w:rPr>
        <w:t xml:space="preserve"> </w:t>
      </w:r>
      <w:r w:rsidR="00244DAB" w:rsidRPr="003C01E5">
        <w:rPr>
          <w:rFonts w:ascii="Garamond" w:eastAsia="Garamond" w:hAnsi="Garamond"/>
          <w:sz w:val="22"/>
          <w:szCs w:val="22"/>
        </w:rPr>
        <w:t xml:space="preserve">in respective employment rates, i.e. </w:t>
      </w:r>
      <w:r w:rsidR="00074B0B" w:rsidRPr="003C01E5">
        <w:rPr>
          <w:rFonts w:ascii="Garamond" w:eastAsia="Garamond" w:hAnsi="Garamond"/>
          <w:sz w:val="22"/>
          <w:szCs w:val="22"/>
        </w:rPr>
        <w:t xml:space="preserve">the difference of female minus male rates. </w:t>
      </w:r>
      <w:r w:rsidR="00244DAB" w:rsidRPr="003C01E5">
        <w:rPr>
          <w:rFonts w:ascii="Garamond" w:eastAsia="Garamond" w:hAnsi="Garamond"/>
          <w:sz w:val="22"/>
          <w:szCs w:val="22"/>
        </w:rPr>
        <w:t xml:space="preserve">For </w:t>
      </w:r>
      <w:r w:rsidR="001A1CD6" w:rsidRPr="003C01E5">
        <w:rPr>
          <w:rFonts w:ascii="Garamond" w:eastAsia="Garamond" w:hAnsi="Garamond"/>
          <w:sz w:val="22"/>
          <w:szCs w:val="22"/>
        </w:rPr>
        <w:t>example,</w:t>
      </w:r>
      <w:r w:rsidR="00244DAB" w:rsidRPr="003C01E5">
        <w:rPr>
          <w:rFonts w:ascii="Garamond" w:eastAsia="Garamond" w:hAnsi="Garamond"/>
          <w:sz w:val="22"/>
          <w:szCs w:val="22"/>
        </w:rPr>
        <w:t xml:space="preserve"> in the case of Graph 1, Pakistan and India display the highest gender gaps in formal employment while the Nordic countries display the lowest </w:t>
      </w:r>
      <w:r w:rsidR="00894709" w:rsidRPr="003C01E5">
        <w:rPr>
          <w:rFonts w:ascii="Garamond" w:eastAsia="Garamond" w:hAnsi="Garamond"/>
          <w:sz w:val="22"/>
          <w:szCs w:val="22"/>
        </w:rPr>
        <w:t>g</w:t>
      </w:r>
      <w:r w:rsidR="00244DAB" w:rsidRPr="003C01E5">
        <w:rPr>
          <w:rFonts w:ascii="Garamond" w:eastAsia="Garamond" w:hAnsi="Garamond"/>
          <w:sz w:val="22"/>
          <w:szCs w:val="22"/>
        </w:rPr>
        <w:t xml:space="preserve">ender gaps. </w:t>
      </w:r>
      <w:r w:rsidR="00E410D6" w:rsidRPr="003C01E5">
        <w:rPr>
          <w:rFonts w:ascii="Garamond" w:eastAsia="Garamond" w:hAnsi="Garamond"/>
          <w:sz w:val="22"/>
          <w:szCs w:val="22"/>
        </w:rPr>
        <w:t xml:space="preserve">Turkey and Mexico stand out as two countries which displayed significant gender gaps in formal employment. </w:t>
      </w:r>
      <w:r w:rsidR="00894709" w:rsidRPr="003C01E5">
        <w:rPr>
          <w:rFonts w:ascii="Garamond" w:eastAsia="Garamond" w:hAnsi="Garamond"/>
          <w:sz w:val="22"/>
          <w:szCs w:val="22"/>
        </w:rPr>
        <w:t xml:space="preserve">Similarly, countries in </w:t>
      </w:r>
      <w:r w:rsidR="00E22843" w:rsidRPr="003C01E5">
        <w:rPr>
          <w:rFonts w:ascii="Garamond" w:eastAsia="Garamond" w:hAnsi="Garamond"/>
          <w:sz w:val="22"/>
          <w:szCs w:val="22"/>
        </w:rPr>
        <w:t>North</w:t>
      </w:r>
      <w:r w:rsidR="00894709" w:rsidRPr="003C01E5">
        <w:rPr>
          <w:rFonts w:ascii="Garamond" w:eastAsia="Garamond" w:hAnsi="Garamond"/>
          <w:sz w:val="22"/>
          <w:szCs w:val="22"/>
        </w:rPr>
        <w:t xml:space="preserve"> Africa (Egypt, Tunisia) and </w:t>
      </w:r>
      <w:r w:rsidR="00E22843" w:rsidRPr="003C01E5">
        <w:rPr>
          <w:rFonts w:ascii="Garamond" w:eastAsia="Garamond" w:hAnsi="Garamond"/>
          <w:sz w:val="22"/>
          <w:szCs w:val="22"/>
        </w:rPr>
        <w:t>Central</w:t>
      </w:r>
      <w:r w:rsidR="00894709" w:rsidRPr="003C01E5">
        <w:rPr>
          <w:rFonts w:ascii="Garamond" w:eastAsia="Garamond" w:hAnsi="Garamond"/>
          <w:sz w:val="22"/>
          <w:szCs w:val="22"/>
        </w:rPr>
        <w:t xml:space="preserve"> America (Honduras, El Salvador, Guatemala) display </w:t>
      </w:r>
      <w:r w:rsidR="00E410D6" w:rsidRPr="003C01E5">
        <w:rPr>
          <w:rFonts w:ascii="Garamond" w:eastAsia="Garamond" w:hAnsi="Garamond"/>
          <w:sz w:val="22"/>
          <w:szCs w:val="22"/>
        </w:rPr>
        <w:t>low formal employment rates for women</w:t>
      </w:r>
      <w:r w:rsidR="00894709" w:rsidRPr="003C01E5">
        <w:rPr>
          <w:rFonts w:ascii="Garamond" w:eastAsia="Garamond" w:hAnsi="Garamond"/>
          <w:sz w:val="22"/>
          <w:szCs w:val="22"/>
        </w:rPr>
        <w:t>.</w:t>
      </w:r>
      <w:r w:rsidR="00BC4368" w:rsidRPr="003C01E5">
        <w:rPr>
          <w:rFonts w:ascii="Garamond" w:eastAsia="Garamond" w:hAnsi="Garamond"/>
          <w:sz w:val="22"/>
          <w:szCs w:val="22"/>
        </w:rPr>
        <w:t xml:space="preserve"> </w:t>
      </w:r>
    </w:p>
    <w:p w14:paraId="576B4B92"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0B628F51" w14:textId="0576DC4E" w:rsidR="001A1CD6" w:rsidRDefault="007717FD"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 xml:space="preserve">At the other end, the gender gap in formal employment rates is narrower in </w:t>
      </w:r>
      <w:r w:rsidR="00275C06" w:rsidRPr="003C01E5">
        <w:rPr>
          <w:rFonts w:ascii="Garamond" w:eastAsia="Garamond" w:hAnsi="Garamond"/>
          <w:sz w:val="22"/>
          <w:szCs w:val="22"/>
        </w:rPr>
        <w:t>OECD</w:t>
      </w:r>
      <w:r w:rsidRPr="003C01E5">
        <w:rPr>
          <w:rFonts w:ascii="Garamond" w:eastAsia="Garamond" w:hAnsi="Garamond"/>
          <w:sz w:val="22"/>
          <w:szCs w:val="22"/>
        </w:rPr>
        <w:t xml:space="preserve"> countries with Japan, the Republic of Korea [hereafter Korea], Italy and Greece however displaying among the highest percentages of gender inequality in formal employment rates</w:t>
      </w:r>
      <w:r w:rsidR="000E4854" w:rsidRPr="003C01E5">
        <w:rPr>
          <w:rFonts w:ascii="Garamond" w:eastAsia="Garamond" w:hAnsi="Garamond"/>
          <w:sz w:val="22"/>
          <w:szCs w:val="22"/>
        </w:rPr>
        <w:t xml:space="preserve">. Countries with high gender gap in formal employment rates signal that women are less likely to benefit from labour protection </w:t>
      </w:r>
      <w:r w:rsidR="00E30FF3" w:rsidRPr="003C01E5">
        <w:rPr>
          <w:rFonts w:ascii="Garamond" w:eastAsia="Garamond" w:hAnsi="Garamond"/>
          <w:sz w:val="22"/>
          <w:szCs w:val="22"/>
        </w:rPr>
        <w:t>laws, ability to build</w:t>
      </w:r>
      <w:r w:rsidR="000E4854" w:rsidRPr="003C01E5">
        <w:rPr>
          <w:rFonts w:ascii="Garamond" w:eastAsia="Garamond" w:hAnsi="Garamond"/>
          <w:sz w:val="22"/>
          <w:szCs w:val="22"/>
        </w:rPr>
        <w:t xml:space="preserve"> individual social insurance or security rights</w:t>
      </w:r>
      <w:r w:rsidR="00E30FF3" w:rsidRPr="003C01E5">
        <w:rPr>
          <w:rFonts w:ascii="Garamond" w:eastAsia="Garamond" w:hAnsi="Garamond"/>
          <w:sz w:val="22"/>
          <w:szCs w:val="22"/>
        </w:rPr>
        <w:t>. Women in these countries are</w:t>
      </w:r>
      <w:r w:rsidR="000E4854" w:rsidRPr="003C01E5">
        <w:rPr>
          <w:rFonts w:ascii="Garamond" w:eastAsia="Garamond" w:hAnsi="Garamond"/>
          <w:sz w:val="22"/>
          <w:szCs w:val="22"/>
        </w:rPr>
        <w:t xml:space="preserve"> thus more likely to rely on marriage or family for accessing welfare provision. </w:t>
      </w:r>
    </w:p>
    <w:p w14:paraId="4A3EF5FB"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70357D67" w14:textId="543DF579" w:rsidR="004460A5" w:rsidRDefault="008A670E"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w:t>
      </w:r>
      <w:r w:rsidR="004460A5" w:rsidRPr="003C01E5">
        <w:rPr>
          <w:rFonts w:ascii="Garamond" w:eastAsia="Garamond" w:hAnsi="Garamond"/>
          <w:sz w:val="22"/>
          <w:szCs w:val="22"/>
        </w:rPr>
        <w:t>Graph 1. Gender gap in informal employment across selected 58 countries, 201</w:t>
      </w:r>
      <w:r w:rsidR="005339D5" w:rsidRPr="003C01E5">
        <w:rPr>
          <w:rFonts w:ascii="Garamond" w:eastAsia="Garamond" w:hAnsi="Garamond"/>
          <w:sz w:val="22"/>
          <w:szCs w:val="22"/>
        </w:rPr>
        <w:t>2</w:t>
      </w:r>
      <w:r w:rsidR="004460A5" w:rsidRPr="003C01E5">
        <w:rPr>
          <w:rFonts w:ascii="Garamond" w:eastAsia="Garamond" w:hAnsi="Garamond"/>
          <w:sz w:val="22"/>
          <w:szCs w:val="22"/>
        </w:rPr>
        <w:t>.</w:t>
      </w:r>
      <w:r w:rsidRPr="003C01E5">
        <w:rPr>
          <w:rFonts w:ascii="Garamond" w:eastAsia="Garamond" w:hAnsi="Garamond"/>
          <w:sz w:val="22"/>
          <w:szCs w:val="22"/>
        </w:rPr>
        <w:t>]</w:t>
      </w:r>
    </w:p>
    <w:p w14:paraId="6C6F8522"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1506AB89" w14:textId="27A1C872" w:rsidR="00F218F0" w:rsidRDefault="00894709"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Graph 1</w:t>
      </w:r>
      <w:r w:rsidR="000C0760" w:rsidRPr="003C01E5">
        <w:rPr>
          <w:rFonts w:ascii="Garamond" w:eastAsia="Garamond" w:hAnsi="Garamond"/>
          <w:sz w:val="22"/>
          <w:szCs w:val="22"/>
        </w:rPr>
        <w:t xml:space="preserve"> displays</w:t>
      </w:r>
      <w:r w:rsidR="00716D24" w:rsidRPr="003C01E5">
        <w:rPr>
          <w:rFonts w:ascii="Garamond" w:eastAsia="Garamond" w:hAnsi="Garamond"/>
          <w:sz w:val="22"/>
          <w:szCs w:val="22"/>
        </w:rPr>
        <w:t xml:space="preserve"> narrow</w:t>
      </w:r>
      <w:r w:rsidR="000C0760" w:rsidRPr="003C01E5">
        <w:rPr>
          <w:rFonts w:ascii="Garamond" w:eastAsia="Garamond" w:hAnsi="Garamond"/>
          <w:sz w:val="22"/>
          <w:szCs w:val="22"/>
        </w:rPr>
        <w:t xml:space="preserve"> </w:t>
      </w:r>
      <w:r w:rsidR="00244DAB" w:rsidRPr="003C01E5">
        <w:rPr>
          <w:rFonts w:ascii="Garamond" w:eastAsia="Garamond" w:hAnsi="Garamond"/>
          <w:sz w:val="22"/>
          <w:szCs w:val="22"/>
        </w:rPr>
        <w:t>gender gap</w:t>
      </w:r>
      <w:r w:rsidR="00EF3913" w:rsidRPr="003C01E5">
        <w:rPr>
          <w:rFonts w:ascii="Garamond" w:eastAsia="Garamond" w:hAnsi="Garamond"/>
          <w:sz w:val="22"/>
          <w:szCs w:val="22"/>
        </w:rPr>
        <w:t>s</w:t>
      </w:r>
      <w:r w:rsidR="00244DAB" w:rsidRPr="003C01E5">
        <w:rPr>
          <w:rFonts w:ascii="Garamond" w:eastAsia="Garamond" w:hAnsi="Garamond"/>
          <w:sz w:val="22"/>
          <w:szCs w:val="22"/>
        </w:rPr>
        <w:t xml:space="preserve"> i</w:t>
      </w:r>
      <w:r w:rsidR="00716D24" w:rsidRPr="003C01E5">
        <w:rPr>
          <w:rFonts w:ascii="Garamond" w:eastAsia="Garamond" w:hAnsi="Garamond"/>
          <w:sz w:val="22"/>
          <w:szCs w:val="22"/>
        </w:rPr>
        <w:t>n</w:t>
      </w:r>
      <w:r w:rsidR="00244DAB" w:rsidRPr="003C01E5">
        <w:rPr>
          <w:rFonts w:ascii="Garamond" w:eastAsia="Garamond" w:hAnsi="Garamond"/>
          <w:sz w:val="22"/>
          <w:szCs w:val="22"/>
        </w:rPr>
        <w:t xml:space="preserve"> </w:t>
      </w:r>
      <w:r w:rsidR="00716D24" w:rsidRPr="003C01E5">
        <w:rPr>
          <w:rFonts w:ascii="Garamond" w:eastAsia="Garamond" w:hAnsi="Garamond"/>
          <w:sz w:val="22"/>
          <w:szCs w:val="22"/>
        </w:rPr>
        <w:t xml:space="preserve">many </w:t>
      </w:r>
      <w:r w:rsidR="001A1CD6" w:rsidRPr="003C01E5">
        <w:rPr>
          <w:rFonts w:ascii="Garamond" w:eastAsia="Garamond" w:hAnsi="Garamond"/>
          <w:sz w:val="22"/>
          <w:szCs w:val="22"/>
        </w:rPr>
        <w:t xml:space="preserve">Global South </w:t>
      </w:r>
      <w:proofErr w:type="gramStart"/>
      <w:r w:rsidR="002F6D55" w:rsidRPr="003C01E5">
        <w:rPr>
          <w:rFonts w:ascii="Garamond" w:eastAsia="Garamond" w:hAnsi="Garamond"/>
          <w:sz w:val="22"/>
          <w:szCs w:val="22"/>
        </w:rPr>
        <w:t>countries</w:t>
      </w:r>
      <w:proofErr w:type="gramEnd"/>
      <w:r w:rsidR="00716D24" w:rsidRPr="003C01E5">
        <w:rPr>
          <w:rFonts w:ascii="Garamond" w:eastAsia="Garamond" w:hAnsi="Garamond"/>
          <w:sz w:val="22"/>
          <w:szCs w:val="22"/>
        </w:rPr>
        <w:t xml:space="preserve"> </w:t>
      </w:r>
      <w:r w:rsidR="000C0760" w:rsidRPr="003C01E5">
        <w:rPr>
          <w:rFonts w:ascii="Garamond" w:eastAsia="Garamond" w:hAnsi="Garamond"/>
          <w:sz w:val="22"/>
          <w:szCs w:val="22"/>
        </w:rPr>
        <w:t xml:space="preserve">but </w:t>
      </w:r>
      <w:r w:rsidR="00654300">
        <w:rPr>
          <w:rFonts w:ascii="Garamond" w:eastAsia="Garamond" w:hAnsi="Garamond"/>
          <w:sz w:val="22"/>
          <w:szCs w:val="22"/>
        </w:rPr>
        <w:t>these</w:t>
      </w:r>
      <w:r w:rsidR="00200633" w:rsidRPr="003C01E5">
        <w:rPr>
          <w:rFonts w:ascii="Garamond" w:eastAsia="Garamond" w:hAnsi="Garamond"/>
          <w:sz w:val="22"/>
          <w:szCs w:val="22"/>
        </w:rPr>
        <w:t xml:space="preserve"> </w:t>
      </w:r>
      <w:r w:rsidR="001A1CD6" w:rsidRPr="003C01E5">
        <w:rPr>
          <w:rFonts w:ascii="Garamond" w:eastAsia="Garamond" w:hAnsi="Garamond"/>
          <w:sz w:val="22"/>
          <w:szCs w:val="22"/>
        </w:rPr>
        <w:t>rates</w:t>
      </w:r>
      <w:r w:rsidR="00200633" w:rsidRPr="003C01E5">
        <w:rPr>
          <w:rFonts w:ascii="Garamond" w:eastAsia="Garamond" w:hAnsi="Garamond"/>
          <w:sz w:val="22"/>
          <w:szCs w:val="22"/>
        </w:rPr>
        <w:t xml:space="preserve"> might be overestimated by sampling measures</w:t>
      </w:r>
      <w:r w:rsidR="001A1CD6" w:rsidRPr="003C01E5">
        <w:rPr>
          <w:rFonts w:ascii="Garamond" w:eastAsia="Garamond" w:hAnsi="Garamond"/>
          <w:sz w:val="22"/>
          <w:szCs w:val="22"/>
        </w:rPr>
        <w:t xml:space="preserve">. </w:t>
      </w:r>
      <w:r w:rsidR="00045EBE" w:rsidRPr="003C01E5">
        <w:rPr>
          <w:rFonts w:ascii="Garamond" w:eastAsia="Garamond" w:hAnsi="Garamond"/>
          <w:sz w:val="22"/>
          <w:szCs w:val="22"/>
        </w:rPr>
        <w:t xml:space="preserve">Upon closer inspection of ILO </w:t>
      </w:r>
      <w:r w:rsidR="002F6D55" w:rsidRPr="003C01E5">
        <w:rPr>
          <w:rFonts w:ascii="Garamond" w:eastAsia="Garamond" w:hAnsi="Garamond"/>
          <w:sz w:val="22"/>
          <w:szCs w:val="22"/>
        </w:rPr>
        <w:t xml:space="preserve">data </w:t>
      </w:r>
      <w:r w:rsidR="00045EBE" w:rsidRPr="003C01E5">
        <w:rPr>
          <w:rFonts w:ascii="Garamond" w:eastAsia="Garamond" w:hAnsi="Garamond"/>
          <w:sz w:val="22"/>
          <w:szCs w:val="22"/>
        </w:rPr>
        <w:t xml:space="preserve">in Ghana, Tanzania, Lao People’s Democratic Republic [hereafter Lao] and Cameroon the percentage of </w:t>
      </w:r>
      <w:r w:rsidR="009A0A05" w:rsidRPr="003C01E5">
        <w:rPr>
          <w:rFonts w:ascii="Garamond" w:eastAsia="Garamond" w:hAnsi="Garamond"/>
          <w:sz w:val="22"/>
          <w:szCs w:val="22"/>
        </w:rPr>
        <w:t>population</w:t>
      </w:r>
      <w:r w:rsidR="00045EBE" w:rsidRPr="003C01E5">
        <w:rPr>
          <w:rFonts w:ascii="Garamond" w:eastAsia="Garamond" w:hAnsi="Garamond"/>
          <w:sz w:val="22"/>
          <w:szCs w:val="22"/>
        </w:rPr>
        <w:t xml:space="preserve"> covered by at least one social protection benefit is higher in Ghana (16.9</w:t>
      </w:r>
      <w:r w:rsidR="0081765B" w:rsidRPr="003C01E5">
        <w:rPr>
          <w:rFonts w:ascii="Garamond" w:eastAsia="Garamond" w:hAnsi="Garamond"/>
          <w:sz w:val="22"/>
          <w:szCs w:val="22"/>
        </w:rPr>
        <w:t xml:space="preserve"> per cent</w:t>
      </w:r>
      <w:r w:rsidR="00045EBE" w:rsidRPr="003C01E5">
        <w:rPr>
          <w:rFonts w:ascii="Garamond" w:eastAsia="Garamond" w:hAnsi="Garamond"/>
          <w:sz w:val="22"/>
          <w:szCs w:val="22"/>
        </w:rPr>
        <w:t>) and lowest in Lao (3</w:t>
      </w:r>
      <w:r w:rsidR="0081765B" w:rsidRPr="003C01E5">
        <w:rPr>
          <w:rFonts w:ascii="Garamond" w:eastAsia="Garamond" w:hAnsi="Garamond"/>
          <w:sz w:val="22"/>
          <w:szCs w:val="22"/>
        </w:rPr>
        <w:t xml:space="preserve"> per cent</w:t>
      </w:r>
      <w:r w:rsidR="00045EBE" w:rsidRPr="003C01E5">
        <w:rPr>
          <w:rFonts w:ascii="Garamond" w:eastAsia="Garamond" w:hAnsi="Garamond"/>
          <w:sz w:val="22"/>
          <w:szCs w:val="22"/>
        </w:rPr>
        <w:t xml:space="preserve">). </w:t>
      </w:r>
      <w:r w:rsidR="007717FD" w:rsidRPr="003C01E5">
        <w:rPr>
          <w:rFonts w:ascii="Garamond" w:eastAsia="Garamond" w:hAnsi="Garamond"/>
          <w:sz w:val="22"/>
          <w:szCs w:val="22"/>
        </w:rPr>
        <w:t xml:space="preserve"> This </w:t>
      </w:r>
      <w:r w:rsidR="007717FD" w:rsidRPr="003C01E5">
        <w:rPr>
          <w:rFonts w:ascii="Garamond" w:eastAsia="Garamond" w:hAnsi="Garamond"/>
          <w:sz w:val="22"/>
          <w:szCs w:val="22"/>
        </w:rPr>
        <w:lastRenderedPageBreak/>
        <w:t xml:space="preserve">effectively means that their formal employment rates reflect persons who engaged in economic activity for only one or few hours (see </w:t>
      </w:r>
      <w:r w:rsidR="000E4854" w:rsidRPr="003C01E5">
        <w:rPr>
          <w:rFonts w:ascii="Garamond" w:eastAsia="Garamond" w:hAnsi="Garamond"/>
          <w:sz w:val="22"/>
          <w:szCs w:val="22"/>
        </w:rPr>
        <w:t>ft4</w:t>
      </w:r>
      <w:r w:rsidR="007717FD" w:rsidRPr="003C01E5">
        <w:rPr>
          <w:rFonts w:ascii="Garamond" w:eastAsia="Garamond" w:hAnsi="Garamond"/>
          <w:sz w:val="22"/>
          <w:szCs w:val="22"/>
        </w:rPr>
        <w:t xml:space="preserve">). </w:t>
      </w:r>
    </w:p>
    <w:p w14:paraId="0D535939"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0319E2DB" w14:textId="66796975" w:rsidR="009A11E5" w:rsidRDefault="00F218F0"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 xml:space="preserve">Finally, </w:t>
      </w:r>
      <w:r w:rsidR="00A816FB" w:rsidRPr="003C01E5">
        <w:rPr>
          <w:rFonts w:ascii="Garamond" w:eastAsia="Garamond" w:hAnsi="Garamond"/>
          <w:sz w:val="22"/>
          <w:szCs w:val="22"/>
        </w:rPr>
        <w:t xml:space="preserve">Rwanda is the only country were more women </w:t>
      </w:r>
      <w:r w:rsidR="0032368F" w:rsidRPr="003C01E5">
        <w:rPr>
          <w:rFonts w:ascii="Garamond" w:eastAsia="Garamond" w:hAnsi="Garamond"/>
          <w:sz w:val="22"/>
          <w:szCs w:val="22"/>
        </w:rPr>
        <w:t xml:space="preserve">are formally employed </w:t>
      </w:r>
      <w:r w:rsidR="00A816FB" w:rsidRPr="003C01E5">
        <w:rPr>
          <w:rFonts w:ascii="Garamond" w:eastAsia="Garamond" w:hAnsi="Garamond"/>
          <w:sz w:val="22"/>
          <w:szCs w:val="22"/>
        </w:rPr>
        <w:t>th</w:t>
      </w:r>
      <w:r w:rsidR="0032368F" w:rsidRPr="003C01E5">
        <w:rPr>
          <w:rFonts w:ascii="Garamond" w:eastAsia="Garamond" w:hAnsi="Garamond"/>
          <w:sz w:val="22"/>
          <w:szCs w:val="22"/>
        </w:rPr>
        <w:t>a</w:t>
      </w:r>
      <w:r w:rsidR="00A816FB" w:rsidRPr="003C01E5">
        <w:rPr>
          <w:rFonts w:ascii="Garamond" w:eastAsia="Garamond" w:hAnsi="Garamond"/>
          <w:sz w:val="22"/>
          <w:szCs w:val="22"/>
        </w:rPr>
        <w:t>n men.</w:t>
      </w:r>
      <w:r w:rsidR="0032368F" w:rsidRPr="003C01E5">
        <w:rPr>
          <w:rFonts w:ascii="Garamond" w:eastAsia="Garamond" w:hAnsi="Garamond"/>
          <w:sz w:val="22"/>
          <w:szCs w:val="22"/>
        </w:rPr>
        <w:t xml:space="preserve"> It is quite revealing that women’s formal employment rates are lower than men in all cases</w:t>
      </w:r>
      <w:r w:rsidRPr="003C01E5">
        <w:rPr>
          <w:rFonts w:ascii="Garamond" w:eastAsia="Garamond" w:hAnsi="Garamond"/>
          <w:sz w:val="22"/>
          <w:szCs w:val="22"/>
        </w:rPr>
        <w:t xml:space="preserve"> explored in Graph 1 </w:t>
      </w:r>
      <w:r w:rsidR="0032368F" w:rsidRPr="003C01E5">
        <w:rPr>
          <w:rFonts w:ascii="Garamond" w:eastAsia="Garamond" w:hAnsi="Garamond"/>
          <w:sz w:val="22"/>
          <w:szCs w:val="22"/>
        </w:rPr>
        <w:t>but a country that faced serious ethnic tensions and is situated in a conflict-ridden region</w:t>
      </w:r>
      <w:r w:rsidR="002F6D55" w:rsidRPr="003C01E5">
        <w:rPr>
          <w:rStyle w:val="FootnoteReference"/>
          <w:rFonts w:ascii="Garamond" w:eastAsia="Garamond" w:hAnsi="Garamond"/>
          <w:sz w:val="22"/>
          <w:szCs w:val="22"/>
        </w:rPr>
        <w:footnoteReference w:id="6"/>
      </w:r>
      <w:r w:rsidR="0032368F" w:rsidRPr="003C01E5">
        <w:rPr>
          <w:rFonts w:ascii="Garamond" w:eastAsia="Garamond" w:hAnsi="Garamond"/>
          <w:sz w:val="22"/>
          <w:szCs w:val="22"/>
        </w:rPr>
        <w:t>.</w:t>
      </w:r>
      <w:r w:rsidR="00A816FB" w:rsidRPr="003C01E5">
        <w:rPr>
          <w:rFonts w:ascii="Garamond" w:eastAsia="Garamond" w:hAnsi="Garamond"/>
          <w:sz w:val="22"/>
          <w:szCs w:val="22"/>
        </w:rPr>
        <w:t xml:space="preserve"> </w:t>
      </w:r>
      <w:r w:rsidRPr="003C01E5">
        <w:rPr>
          <w:rFonts w:ascii="Garamond" w:eastAsia="Garamond" w:hAnsi="Garamond"/>
          <w:sz w:val="22"/>
          <w:szCs w:val="22"/>
        </w:rPr>
        <w:t>The next section will present and analyse data on informal employment offering thus a more detailed reflection on whether gender gaps are similar in formal and informal employment.</w:t>
      </w:r>
      <w:r w:rsidR="009A11E5" w:rsidRPr="003C01E5">
        <w:rPr>
          <w:rFonts w:ascii="Garamond" w:eastAsia="Garamond" w:hAnsi="Garamond"/>
          <w:sz w:val="22"/>
          <w:szCs w:val="22"/>
        </w:rPr>
        <w:t xml:space="preserve"> </w:t>
      </w:r>
    </w:p>
    <w:p w14:paraId="51929A86"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4AFA3771" w14:textId="3917D706" w:rsidR="00A816FB" w:rsidRDefault="008A670E"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w:t>
      </w:r>
      <w:r w:rsidR="004460A5" w:rsidRPr="003C01E5">
        <w:rPr>
          <w:rFonts w:ascii="Garamond" w:eastAsia="Garamond" w:hAnsi="Garamond"/>
          <w:sz w:val="22"/>
          <w:szCs w:val="22"/>
        </w:rPr>
        <w:t>Graph 2. Gender gap in informal employment across selected 58 countries, 201</w:t>
      </w:r>
      <w:r w:rsidR="005339D5" w:rsidRPr="003C01E5">
        <w:rPr>
          <w:rFonts w:ascii="Garamond" w:eastAsia="Garamond" w:hAnsi="Garamond"/>
          <w:sz w:val="22"/>
          <w:szCs w:val="22"/>
        </w:rPr>
        <w:t>2</w:t>
      </w:r>
      <w:r w:rsidRPr="003C01E5">
        <w:rPr>
          <w:rFonts w:ascii="Garamond" w:eastAsia="Garamond" w:hAnsi="Garamond"/>
          <w:sz w:val="22"/>
          <w:szCs w:val="22"/>
        </w:rPr>
        <w:t>]</w:t>
      </w:r>
    </w:p>
    <w:p w14:paraId="003EF714"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2EFC3B32" w14:textId="31FF1ECF" w:rsidR="00BC4368" w:rsidRDefault="00D93D62"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Graph 2 displays the gender gap in informal employment</w:t>
      </w:r>
      <w:r w:rsidR="00C72FF5" w:rsidRPr="003C01E5">
        <w:rPr>
          <w:rFonts w:ascii="Garamond" w:eastAsia="Garamond" w:hAnsi="Garamond"/>
          <w:sz w:val="22"/>
          <w:szCs w:val="22"/>
        </w:rPr>
        <w:t xml:space="preserve"> – the values presented above the diamond marker refer to women’s informal employment rates while the values men’s informal employment rates</w:t>
      </w:r>
      <w:r w:rsidR="00E30FF3" w:rsidRPr="003C01E5">
        <w:rPr>
          <w:rFonts w:ascii="Garamond" w:eastAsia="Garamond" w:hAnsi="Garamond"/>
          <w:sz w:val="22"/>
          <w:szCs w:val="22"/>
        </w:rPr>
        <w:t xml:space="preserve"> are presented in italics</w:t>
      </w:r>
      <w:r w:rsidRPr="003C01E5">
        <w:rPr>
          <w:rFonts w:ascii="Garamond" w:eastAsia="Garamond" w:hAnsi="Garamond"/>
          <w:sz w:val="22"/>
          <w:szCs w:val="22"/>
        </w:rPr>
        <w:t xml:space="preserve">. Once more there is a great divergence in the </w:t>
      </w:r>
      <w:r w:rsidR="002F6D55" w:rsidRPr="003C01E5">
        <w:rPr>
          <w:rFonts w:ascii="Garamond" w:eastAsia="Garamond" w:hAnsi="Garamond"/>
          <w:sz w:val="22"/>
          <w:szCs w:val="22"/>
        </w:rPr>
        <w:t xml:space="preserve">gender gap </w:t>
      </w:r>
      <w:r w:rsidRPr="003C01E5">
        <w:rPr>
          <w:rFonts w:ascii="Garamond" w:eastAsia="Garamond" w:hAnsi="Garamond"/>
          <w:sz w:val="22"/>
          <w:szCs w:val="22"/>
        </w:rPr>
        <w:t xml:space="preserve">rates. Turkey and Korea stand out as the countries were women are significantly overrepresented in informal employment. Close next are countries in the Indian sub-continent (Pakistan, Bangladesh) but also </w:t>
      </w:r>
      <w:r w:rsidR="00B76430" w:rsidRPr="003C01E5">
        <w:rPr>
          <w:rFonts w:ascii="Garamond" w:eastAsia="Garamond" w:hAnsi="Garamond"/>
          <w:sz w:val="22"/>
          <w:szCs w:val="22"/>
        </w:rPr>
        <w:t xml:space="preserve">many Latin American countries such as Mexico, Chile, Costa Rica, Guatemala, El Salvador and Paraguay. Overall these countries exhibited also high gender gap rates in formal employment rates which effectively means that they prescribe the most challenging conditions for women to enter formal employment while at the same time </w:t>
      </w:r>
      <w:r w:rsidR="00A9274A" w:rsidRPr="003C01E5">
        <w:rPr>
          <w:rFonts w:ascii="Garamond" w:eastAsia="Garamond" w:hAnsi="Garamond"/>
          <w:sz w:val="22"/>
          <w:szCs w:val="22"/>
        </w:rPr>
        <w:t>women</w:t>
      </w:r>
      <w:r w:rsidR="00B76430" w:rsidRPr="003C01E5">
        <w:rPr>
          <w:rFonts w:ascii="Garamond" w:eastAsia="Garamond" w:hAnsi="Garamond"/>
          <w:sz w:val="22"/>
          <w:szCs w:val="22"/>
        </w:rPr>
        <w:t xml:space="preserve"> are heavily overrepresented in informal employment. In contrast with Latin and </w:t>
      </w:r>
      <w:r w:rsidR="00E22843" w:rsidRPr="003C01E5">
        <w:rPr>
          <w:rFonts w:ascii="Garamond" w:eastAsia="Garamond" w:hAnsi="Garamond"/>
          <w:sz w:val="22"/>
          <w:szCs w:val="22"/>
        </w:rPr>
        <w:t>Central</w:t>
      </w:r>
      <w:r w:rsidR="00B76430" w:rsidRPr="003C01E5">
        <w:rPr>
          <w:rFonts w:ascii="Garamond" w:eastAsia="Garamond" w:hAnsi="Garamond"/>
          <w:sz w:val="22"/>
          <w:szCs w:val="22"/>
        </w:rPr>
        <w:t xml:space="preserve"> </w:t>
      </w:r>
      <w:r w:rsidR="00B76430" w:rsidRPr="003C01E5">
        <w:rPr>
          <w:rFonts w:ascii="Garamond" w:eastAsia="Garamond" w:hAnsi="Garamond"/>
          <w:sz w:val="22"/>
          <w:szCs w:val="22"/>
        </w:rPr>
        <w:lastRenderedPageBreak/>
        <w:t xml:space="preserve">American countries aforementioned, Colombia and in particular Uruguay display much better prospects for women entering formal employment and </w:t>
      </w:r>
      <w:r w:rsidR="002F6D55" w:rsidRPr="003C01E5">
        <w:rPr>
          <w:rFonts w:ascii="Garamond" w:eastAsia="Garamond" w:hAnsi="Garamond"/>
          <w:sz w:val="22"/>
          <w:szCs w:val="22"/>
        </w:rPr>
        <w:t xml:space="preserve">not relying on </w:t>
      </w:r>
      <w:r w:rsidR="00B76430" w:rsidRPr="003C01E5">
        <w:rPr>
          <w:rFonts w:ascii="Garamond" w:eastAsia="Garamond" w:hAnsi="Garamond"/>
          <w:sz w:val="22"/>
          <w:szCs w:val="22"/>
        </w:rPr>
        <w:t>informal employment.</w:t>
      </w:r>
      <w:r w:rsidR="00BC0807" w:rsidRPr="003C01E5">
        <w:rPr>
          <w:rFonts w:ascii="Garamond" w:eastAsia="Garamond" w:hAnsi="Garamond"/>
          <w:sz w:val="22"/>
          <w:szCs w:val="22"/>
        </w:rPr>
        <w:t xml:space="preserve"> </w:t>
      </w:r>
    </w:p>
    <w:p w14:paraId="0A995911" w14:textId="77777777" w:rsidR="003C01E5" w:rsidRPr="003C01E5" w:rsidRDefault="003C01E5" w:rsidP="003C01E5">
      <w:pPr>
        <w:pStyle w:val="NormalWeb"/>
        <w:spacing w:before="0" w:beforeAutospacing="0" w:after="0" w:afterAutospacing="0" w:line="480" w:lineRule="auto"/>
        <w:rPr>
          <w:rFonts w:ascii="Garamond" w:eastAsia="Garamond" w:hAnsi="Garamond"/>
          <w:sz w:val="22"/>
          <w:szCs w:val="22"/>
        </w:rPr>
      </w:pPr>
    </w:p>
    <w:p w14:paraId="4F04E601" w14:textId="73EA3A29" w:rsidR="006459AE" w:rsidRDefault="00BC4368"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There are also many countries where men outnumber women in informal employment. Th</w:t>
      </w:r>
      <w:r w:rsidR="00340DC9" w:rsidRPr="003C01E5">
        <w:rPr>
          <w:rFonts w:ascii="Garamond" w:eastAsia="Garamond" w:hAnsi="Garamond"/>
          <w:sz w:val="22"/>
          <w:szCs w:val="22"/>
        </w:rPr>
        <w:t>ese countries</w:t>
      </w:r>
      <w:r w:rsidRPr="003C01E5">
        <w:rPr>
          <w:rFonts w:ascii="Garamond" w:eastAsia="Garamond" w:hAnsi="Garamond"/>
          <w:sz w:val="22"/>
          <w:szCs w:val="22"/>
        </w:rPr>
        <w:t xml:space="preserve"> can be split into at least two groupings – </w:t>
      </w:r>
      <w:r w:rsidR="00654300">
        <w:rPr>
          <w:rFonts w:ascii="Garamond" w:eastAsia="Garamond" w:hAnsi="Garamond"/>
          <w:sz w:val="22"/>
          <w:szCs w:val="22"/>
        </w:rPr>
        <w:t>one comprised by</w:t>
      </w:r>
      <w:r w:rsidRPr="003C01E5">
        <w:rPr>
          <w:rFonts w:ascii="Garamond" w:eastAsia="Garamond" w:hAnsi="Garamond"/>
          <w:sz w:val="22"/>
          <w:szCs w:val="22"/>
        </w:rPr>
        <w:t xml:space="preserve"> countries in north Africa (Egypt, Tunisia) and central America (Honduras, Panama) </w:t>
      </w:r>
      <w:r w:rsidR="00730CAF" w:rsidRPr="003C01E5">
        <w:rPr>
          <w:rFonts w:ascii="Garamond" w:eastAsia="Garamond" w:hAnsi="Garamond"/>
          <w:sz w:val="22"/>
          <w:szCs w:val="22"/>
        </w:rPr>
        <w:t>where men significantly outnumber women and another one, predominantly comprised by OECD countries (w</w:t>
      </w:r>
      <w:r w:rsidR="00BC0807" w:rsidRPr="003C01E5">
        <w:rPr>
          <w:rFonts w:ascii="Garamond" w:eastAsia="Garamond" w:hAnsi="Garamond"/>
          <w:sz w:val="22"/>
          <w:szCs w:val="22"/>
        </w:rPr>
        <w:t>ith the exception of women in Korea, and less so in Austria and France</w:t>
      </w:r>
      <w:r w:rsidR="00730CAF" w:rsidRPr="003C01E5">
        <w:rPr>
          <w:rFonts w:ascii="Garamond" w:eastAsia="Garamond" w:hAnsi="Garamond"/>
          <w:sz w:val="22"/>
          <w:szCs w:val="22"/>
        </w:rPr>
        <w:t>)</w:t>
      </w:r>
      <w:r w:rsidR="00E30FF3" w:rsidRPr="003C01E5">
        <w:rPr>
          <w:rFonts w:ascii="Garamond" w:eastAsia="Garamond" w:hAnsi="Garamond"/>
          <w:sz w:val="22"/>
          <w:szCs w:val="22"/>
        </w:rPr>
        <w:t xml:space="preserve"> where differences are small</w:t>
      </w:r>
      <w:r w:rsidR="00726FB5" w:rsidRPr="003C01E5">
        <w:rPr>
          <w:rFonts w:ascii="Garamond" w:eastAsia="Garamond" w:hAnsi="Garamond"/>
          <w:sz w:val="22"/>
          <w:szCs w:val="22"/>
        </w:rPr>
        <w:t>. The Nordic countries along with Switzerland, United Kingdom and United States of America</w:t>
      </w:r>
      <w:r w:rsidR="00D971D2" w:rsidRPr="003C01E5">
        <w:rPr>
          <w:rFonts w:ascii="Garamond" w:eastAsia="Garamond" w:hAnsi="Garamond"/>
          <w:sz w:val="22"/>
          <w:szCs w:val="22"/>
        </w:rPr>
        <w:t xml:space="preserve"> [hereafter USA]</w:t>
      </w:r>
      <w:r w:rsidR="00726FB5" w:rsidRPr="003C01E5">
        <w:rPr>
          <w:rFonts w:ascii="Garamond" w:eastAsia="Garamond" w:hAnsi="Garamond"/>
          <w:sz w:val="22"/>
          <w:szCs w:val="22"/>
        </w:rPr>
        <w:t xml:space="preserve"> </w:t>
      </w:r>
      <w:r w:rsidR="00B76430" w:rsidRPr="003C01E5">
        <w:rPr>
          <w:rFonts w:ascii="Garamond" w:eastAsia="Garamond" w:hAnsi="Garamond"/>
          <w:sz w:val="22"/>
          <w:szCs w:val="22"/>
        </w:rPr>
        <w:t xml:space="preserve">display </w:t>
      </w:r>
      <w:r w:rsidR="00726FB5" w:rsidRPr="003C01E5">
        <w:rPr>
          <w:rFonts w:ascii="Garamond" w:eastAsia="Garamond" w:hAnsi="Garamond"/>
          <w:sz w:val="22"/>
          <w:szCs w:val="22"/>
        </w:rPr>
        <w:t>better prospects</w:t>
      </w:r>
      <w:r w:rsidR="00B76430" w:rsidRPr="003C01E5">
        <w:rPr>
          <w:rFonts w:ascii="Garamond" w:eastAsia="Garamond" w:hAnsi="Garamond"/>
          <w:sz w:val="22"/>
          <w:szCs w:val="22"/>
        </w:rPr>
        <w:t xml:space="preserve"> for women</w:t>
      </w:r>
      <w:r w:rsidR="00726FB5" w:rsidRPr="003C01E5">
        <w:rPr>
          <w:rFonts w:ascii="Garamond" w:eastAsia="Garamond" w:hAnsi="Garamond"/>
          <w:sz w:val="22"/>
          <w:szCs w:val="22"/>
        </w:rPr>
        <w:t xml:space="preserve"> in entering </w:t>
      </w:r>
      <w:r w:rsidR="00B76430" w:rsidRPr="003C01E5">
        <w:rPr>
          <w:rFonts w:ascii="Garamond" w:eastAsia="Garamond" w:hAnsi="Garamond"/>
          <w:sz w:val="22"/>
          <w:szCs w:val="22"/>
        </w:rPr>
        <w:t xml:space="preserve">formal employment and </w:t>
      </w:r>
      <w:r w:rsidR="002F6D55" w:rsidRPr="003C01E5">
        <w:rPr>
          <w:rFonts w:ascii="Garamond" w:eastAsia="Garamond" w:hAnsi="Garamond"/>
          <w:sz w:val="22"/>
          <w:szCs w:val="22"/>
        </w:rPr>
        <w:t xml:space="preserve">simultaneously </w:t>
      </w:r>
      <w:r w:rsidR="00B76430" w:rsidRPr="003C01E5">
        <w:rPr>
          <w:rFonts w:ascii="Garamond" w:eastAsia="Garamond" w:hAnsi="Garamond"/>
          <w:sz w:val="22"/>
          <w:szCs w:val="22"/>
        </w:rPr>
        <w:t xml:space="preserve">less likely to </w:t>
      </w:r>
      <w:r w:rsidR="002F6D55" w:rsidRPr="003C01E5">
        <w:rPr>
          <w:rFonts w:ascii="Garamond" w:eastAsia="Garamond" w:hAnsi="Garamond"/>
          <w:sz w:val="22"/>
          <w:szCs w:val="22"/>
        </w:rPr>
        <w:t>rely on</w:t>
      </w:r>
      <w:r w:rsidR="00B76430" w:rsidRPr="003C01E5">
        <w:rPr>
          <w:rFonts w:ascii="Garamond" w:eastAsia="Garamond" w:hAnsi="Garamond"/>
          <w:sz w:val="22"/>
          <w:szCs w:val="22"/>
        </w:rPr>
        <w:t xml:space="preserve"> informal</w:t>
      </w:r>
      <w:r w:rsidR="002F6D55" w:rsidRPr="003C01E5">
        <w:rPr>
          <w:rFonts w:ascii="Garamond" w:eastAsia="Garamond" w:hAnsi="Garamond"/>
          <w:sz w:val="22"/>
          <w:szCs w:val="22"/>
        </w:rPr>
        <w:t xml:space="preserve"> emplo</w:t>
      </w:r>
      <w:r w:rsidR="00B76430" w:rsidRPr="003C01E5">
        <w:rPr>
          <w:rFonts w:ascii="Garamond" w:eastAsia="Garamond" w:hAnsi="Garamond"/>
          <w:sz w:val="22"/>
          <w:szCs w:val="22"/>
        </w:rPr>
        <w:t>y</w:t>
      </w:r>
      <w:r w:rsidR="002F6D55" w:rsidRPr="003C01E5">
        <w:rPr>
          <w:rFonts w:ascii="Garamond" w:eastAsia="Garamond" w:hAnsi="Garamond"/>
          <w:sz w:val="22"/>
          <w:szCs w:val="22"/>
        </w:rPr>
        <w:t>ment</w:t>
      </w:r>
      <w:r w:rsidR="00B76430" w:rsidRPr="003C01E5">
        <w:rPr>
          <w:rFonts w:ascii="Garamond" w:eastAsia="Garamond" w:hAnsi="Garamond"/>
          <w:sz w:val="22"/>
          <w:szCs w:val="22"/>
        </w:rPr>
        <w:t xml:space="preserve">. </w:t>
      </w:r>
      <w:r w:rsidR="00726FB5" w:rsidRPr="003C01E5">
        <w:rPr>
          <w:rFonts w:ascii="Garamond" w:eastAsia="Garamond" w:hAnsi="Garamond"/>
          <w:sz w:val="22"/>
          <w:szCs w:val="22"/>
        </w:rPr>
        <w:t xml:space="preserve"> </w:t>
      </w:r>
      <w:r w:rsidR="00B76430" w:rsidRPr="003C01E5">
        <w:rPr>
          <w:rFonts w:ascii="Garamond" w:eastAsia="Garamond" w:hAnsi="Garamond"/>
          <w:sz w:val="22"/>
          <w:szCs w:val="22"/>
        </w:rPr>
        <w:t xml:space="preserve">The Global South countries that displayed limited gender gap in formal employment such as Cameroon, Ghana Tanzania, Lao display among the highest gender gaps in informal employment. The findings here suggest that narrow gender gap in accessing formal employment does not really portray a convincing argument that women are in parity of achieving </w:t>
      </w:r>
      <w:r w:rsidR="002F6D55" w:rsidRPr="003C01E5">
        <w:rPr>
          <w:rFonts w:ascii="Garamond" w:eastAsia="Garamond" w:hAnsi="Garamond"/>
          <w:sz w:val="22"/>
          <w:szCs w:val="22"/>
        </w:rPr>
        <w:t>‘</w:t>
      </w:r>
      <w:r w:rsidR="00B76430" w:rsidRPr="003C01E5">
        <w:rPr>
          <w:rFonts w:ascii="Garamond" w:eastAsia="Garamond" w:hAnsi="Garamond"/>
          <w:sz w:val="22"/>
          <w:szCs w:val="22"/>
        </w:rPr>
        <w:t xml:space="preserve">decent work’. </w:t>
      </w:r>
    </w:p>
    <w:p w14:paraId="3B0A401B" w14:textId="77777777" w:rsidR="00826EB8" w:rsidRPr="003C01E5" w:rsidRDefault="00826EB8" w:rsidP="003C01E5">
      <w:pPr>
        <w:pStyle w:val="NormalWeb"/>
        <w:spacing w:before="0" w:beforeAutospacing="0" w:after="0" w:afterAutospacing="0" w:line="480" w:lineRule="auto"/>
        <w:rPr>
          <w:rFonts w:ascii="Garamond" w:eastAsia="Garamond" w:hAnsi="Garamond"/>
          <w:sz w:val="22"/>
          <w:szCs w:val="22"/>
        </w:rPr>
      </w:pPr>
    </w:p>
    <w:p w14:paraId="03861083" w14:textId="2D482932" w:rsidR="00B92158" w:rsidRPr="003C01E5" w:rsidRDefault="00730CAF" w:rsidP="003C01E5">
      <w:pPr>
        <w:spacing w:line="480" w:lineRule="auto"/>
        <w:rPr>
          <w:rFonts w:ascii="Garamond" w:eastAsia="Garamond" w:hAnsi="Garamond"/>
          <w:sz w:val="22"/>
          <w:szCs w:val="22"/>
        </w:rPr>
      </w:pPr>
      <w:r w:rsidRPr="003C01E5">
        <w:rPr>
          <w:rFonts w:ascii="Garamond" w:eastAsia="Garamond" w:hAnsi="Garamond"/>
          <w:sz w:val="22"/>
          <w:szCs w:val="22"/>
        </w:rPr>
        <w:t>Next,</w:t>
      </w:r>
      <w:r w:rsidR="009A175D" w:rsidRPr="003C01E5">
        <w:rPr>
          <w:rFonts w:ascii="Garamond" w:eastAsia="Garamond" w:hAnsi="Garamond"/>
          <w:sz w:val="22"/>
          <w:szCs w:val="22"/>
        </w:rPr>
        <w:t xml:space="preserve"> </w:t>
      </w:r>
      <w:r w:rsidR="00D03355" w:rsidRPr="003C01E5">
        <w:rPr>
          <w:rFonts w:ascii="Garamond" w:eastAsia="Garamond" w:hAnsi="Garamond"/>
          <w:sz w:val="22"/>
          <w:szCs w:val="22"/>
        </w:rPr>
        <w:t xml:space="preserve">the article presents available data on </w:t>
      </w:r>
      <w:r w:rsidR="00785983" w:rsidRPr="003C01E5">
        <w:rPr>
          <w:rFonts w:ascii="Garamond" w:eastAsia="Garamond" w:hAnsi="Garamond"/>
          <w:sz w:val="22"/>
          <w:szCs w:val="22"/>
        </w:rPr>
        <w:t xml:space="preserve">the other key aspect of informality, that of unpaid domestic work and explore how these differences are also evident when we couple </w:t>
      </w:r>
      <w:r w:rsidR="009A175D" w:rsidRPr="003C01E5">
        <w:rPr>
          <w:rFonts w:ascii="Garamond" w:eastAsia="Garamond" w:hAnsi="Garamond"/>
          <w:sz w:val="22"/>
          <w:szCs w:val="22"/>
        </w:rPr>
        <w:t>paid and unpaid work.</w:t>
      </w:r>
    </w:p>
    <w:p w14:paraId="44849C34" w14:textId="77777777" w:rsidR="00812E25" w:rsidRPr="003C01E5" w:rsidRDefault="00812E25" w:rsidP="003C01E5">
      <w:pPr>
        <w:pStyle w:val="Heading2"/>
        <w:spacing w:before="0" w:line="480" w:lineRule="auto"/>
      </w:pPr>
    </w:p>
    <w:p w14:paraId="2591E967" w14:textId="57C8B2BD" w:rsidR="00980F9C" w:rsidRPr="003C01E5" w:rsidRDefault="00980F9C" w:rsidP="003C01E5">
      <w:pPr>
        <w:pStyle w:val="Heading2"/>
        <w:spacing w:before="0" w:line="480" w:lineRule="auto"/>
      </w:pPr>
      <w:r w:rsidRPr="003C01E5">
        <w:t xml:space="preserve">Gender gap in unpaid work </w:t>
      </w:r>
    </w:p>
    <w:p w14:paraId="1BB7CBAC" w14:textId="77777777" w:rsidR="00812E25" w:rsidRPr="003C01E5" w:rsidRDefault="00812E25" w:rsidP="003C01E5">
      <w:pPr>
        <w:pStyle w:val="Heading2"/>
        <w:spacing w:before="0" w:line="480" w:lineRule="auto"/>
      </w:pPr>
    </w:p>
    <w:p w14:paraId="555D19AA" w14:textId="40820643" w:rsidR="00340DC9" w:rsidRPr="003C01E5" w:rsidRDefault="00B50C92" w:rsidP="003C01E5">
      <w:pPr>
        <w:spacing w:line="480" w:lineRule="auto"/>
        <w:rPr>
          <w:rFonts w:ascii="Garamond" w:eastAsia="Garamond" w:hAnsi="Garamond"/>
          <w:sz w:val="22"/>
          <w:szCs w:val="22"/>
        </w:rPr>
      </w:pPr>
      <w:r w:rsidRPr="003C01E5">
        <w:rPr>
          <w:rFonts w:ascii="Garamond" w:eastAsia="Garamond" w:hAnsi="Garamond"/>
          <w:sz w:val="22"/>
          <w:szCs w:val="22"/>
        </w:rPr>
        <w:t xml:space="preserve">Graph 3 presents the proportion of time spent on unpaid domestic chores and care work by gender and location. The diamond marker </w:t>
      </w:r>
      <w:r w:rsidR="00054804" w:rsidRPr="003C01E5">
        <w:rPr>
          <w:rFonts w:ascii="Garamond" w:eastAsia="Garamond" w:hAnsi="Garamond"/>
          <w:sz w:val="22"/>
          <w:szCs w:val="22"/>
        </w:rPr>
        <w:t>displays</w:t>
      </w:r>
      <w:r w:rsidRPr="003C01E5">
        <w:rPr>
          <w:rFonts w:ascii="Garamond" w:eastAsia="Garamond" w:hAnsi="Garamond"/>
          <w:sz w:val="22"/>
          <w:szCs w:val="22"/>
        </w:rPr>
        <w:t xml:space="preserve"> the time spent by men, the gradient bar displays the proportion of </w:t>
      </w:r>
      <w:r w:rsidRPr="003C01E5">
        <w:rPr>
          <w:rFonts w:ascii="Garamond" w:eastAsia="Garamond" w:hAnsi="Garamond"/>
          <w:sz w:val="22"/>
          <w:szCs w:val="22"/>
        </w:rPr>
        <w:lastRenderedPageBreak/>
        <w:t>time spent by women and the full colour bar represents the total</w:t>
      </w:r>
      <w:r w:rsidR="001D471F" w:rsidRPr="003C01E5">
        <w:rPr>
          <w:rFonts w:ascii="Garamond" w:eastAsia="Garamond" w:hAnsi="Garamond"/>
          <w:sz w:val="22"/>
          <w:szCs w:val="22"/>
        </w:rPr>
        <w:t xml:space="preserve"> (aggregate)</w:t>
      </w:r>
      <w:r w:rsidRPr="003C01E5">
        <w:rPr>
          <w:rFonts w:ascii="Garamond" w:eastAsia="Garamond" w:hAnsi="Garamond"/>
          <w:sz w:val="22"/>
          <w:szCs w:val="22"/>
        </w:rPr>
        <w:t>.</w:t>
      </w:r>
      <w:r w:rsidR="001D471F" w:rsidRPr="003C01E5">
        <w:rPr>
          <w:rFonts w:ascii="Garamond" w:eastAsia="Garamond" w:hAnsi="Garamond"/>
          <w:sz w:val="22"/>
          <w:szCs w:val="22"/>
        </w:rPr>
        <w:t xml:space="preserve"> </w:t>
      </w:r>
      <w:r w:rsidR="00F71F8C" w:rsidRPr="003C01E5">
        <w:rPr>
          <w:rFonts w:ascii="Garamond" w:eastAsia="Garamond" w:hAnsi="Garamond"/>
          <w:sz w:val="22"/>
          <w:szCs w:val="22"/>
        </w:rPr>
        <w:t>In reflection of the findings of Graph 1 and 2 there are some interesting patterns emerging. From the one hand, t</w:t>
      </w:r>
      <w:r w:rsidR="001D471F" w:rsidRPr="003C01E5">
        <w:rPr>
          <w:rFonts w:ascii="Garamond" w:eastAsia="Garamond" w:hAnsi="Garamond"/>
          <w:sz w:val="22"/>
          <w:szCs w:val="22"/>
        </w:rPr>
        <w:t xml:space="preserve">he countries with the highest proportion of time spent on unpaid domestic work are the countries in which women were overrepresented in informal employment and underrepresented in </w:t>
      </w:r>
      <w:r w:rsidR="00F71F8C" w:rsidRPr="003C01E5">
        <w:rPr>
          <w:rFonts w:ascii="Garamond" w:eastAsia="Garamond" w:hAnsi="Garamond"/>
          <w:sz w:val="22"/>
          <w:szCs w:val="22"/>
        </w:rPr>
        <w:t xml:space="preserve">formal employment such as </w:t>
      </w:r>
      <w:r w:rsidR="0017113E" w:rsidRPr="003C01E5">
        <w:rPr>
          <w:rFonts w:ascii="Garamond" w:eastAsia="Garamond" w:hAnsi="Garamond"/>
          <w:sz w:val="22"/>
          <w:szCs w:val="22"/>
        </w:rPr>
        <w:t xml:space="preserve">Albania, </w:t>
      </w:r>
      <w:r w:rsidR="00F71F8C" w:rsidRPr="003C01E5">
        <w:rPr>
          <w:rFonts w:ascii="Garamond" w:eastAsia="Garamond" w:hAnsi="Garamond"/>
          <w:sz w:val="22"/>
          <w:szCs w:val="22"/>
        </w:rPr>
        <w:t xml:space="preserve">Turkey, Pakistan, </w:t>
      </w:r>
      <w:r w:rsidR="0017113E" w:rsidRPr="003C01E5">
        <w:rPr>
          <w:rFonts w:ascii="Garamond" w:eastAsia="Garamond" w:hAnsi="Garamond"/>
          <w:sz w:val="22"/>
          <w:szCs w:val="22"/>
        </w:rPr>
        <w:t xml:space="preserve">Mali, </w:t>
      </w:r>
      <w:r w:rsidR="00F71F8C" w:rsidRPr="003C01E5">
        <w:rPr>
          <w:rFonts w:ascii="Garamond" w:eastAsia="Garamond" w:hAnsi="Garamond"/>
          <w:sz w:val="22"/>
          <w:szCs w:val="22"/>
        </w:rPr>
        <w:t xml:space="preserve">Mexico, El Salvador, Guatemala, and Korea. </w:t>
      </w:r>
      <w:r w:rsidR="007717FD" w:rsidRPr="003C01E5">
        <w:rPr>
          <w:rFonts w:ascii="Garamond" w:eastAsia="Garamond" w:hAnsi="Garamond"/>
          <w:sz w:val="22"/>
          <w:szCs w:val="22"/>
        </w:rPr>
        <w:t>These are the countries were women are more likely to face substantive barriers</w:t>
      </w:r>
      <w:r w:rsidR="00650A30" w:rsidRPr="003C01E5">
        <w:rPr>
          <w:rFonts w:ascii="Garamond" w:eastAsia="Garamond" w:hAnsi="Garamond"/>
          <w:sz w:val="22"/>
          <w:szCs w:val="22"/>
        </w:rPr>
        <w:t xml:space="preserve"> both</w:t>
      </w:r>
      <w:r w:rsidR="007717FD" w:rsidRPr="003C01E5">
        <w:rPr>
          <w:rFonts w:ascii="Garamond" w:eastAsia="Garamond" w:hAnsi="Garamond"/>
          <w:sz w:val="22"/>
          <w:szCs w:val="22"/>
        </w:rPr>
        <w:t xml:space="preserve"> in accessing formal employment and welfare provision while at the same time the social reproduction of their national welfare regimes relies heavily on </w:t>
      </w:r>
      <w:r w:rsidR="00650A30" w:rsidRPr="003C01E5">
        <w:rPr>
          <w:rFonts w:ascii="Garamond" w:eastAsia="Garamond" w:hAnsi="Garamond"/>
          <w:sz w:val="22"/>
          <w:szCs w:val="22"/>
        </w:rPr>
        <w:t>their unpaid domestic work.</w:t>
      </w:r>
      <w:r w:rsidR="007717FD" w:rsidRPr="003C01E5">
        <w:rPr>
          <w:rFonts w:ascii="Garamond" w:eastAsia="Garamond" w:hAnsi="Garamond"/>
          <w:sz w:val="22"/>
          <w:szCs w:val="22"/>
        </w:rPr>
        <w:t xml:space="preserve"> </w:t>
      </w:r>
      <w:r w:rsidR="00650A30" w:rsidRPr="003C01E5">
        <w:rPr>
          <w:rFonts w:ascii="Garamond" w:eastAsia="Garamond" w:hAnsi="Garamond"/>
          <w:sz w:val="22"/>
          <w:szCs w:val="22"/>
        </w:rPr>
        <w:t>I</w:t>
      </w:r>
      <w:r w:rsidR="00275C06" w:rsidRPr="003C01E5">
        <w:rPr>
          <w:rFonts w:ascii="Garamond" w:eastAsia="Garamond" w:hAnsi="Garamond"/>
          <w:sz w:val="22"/>
          <w:szCs w:val="22"/>
        </w:rPr>
        <w:t xml:space="preserve">n these </w:t>
      </w:r>
      <w:r w:rsidR="0017113E" w:rsidRPr="003C01E5">
        <w:rPr>
          <w:rFonts w:ascii="Garamond" w:eastAsia="Garamond" w:hAnsi="Garamond"/>
          <w:sz w:val="22"/>
          <w:szCs w:val="22"/>
        </w:rPr>
        <w:t>countries, women</w:t>
      </w:r>
      <w:r w:rsidR="00650A30" w:rsidRPr="003C01E5">
        <w:rPr>
          <w:rFonts w:ascii="Garamond" w:eastAsia="Garamond" w:hAnsi="Garamond"/>
          <w:sz w:val="22"/>
          <w:szCs w:val="22"/>
        </w:rPr>
        <w:t xml:space="preserve"> are likely to rely on their husband for accessing statutory welfare provisions reproducing thus inequalities emanating from patriarchal structures and related cultural mandates.</w:t>
      </w:r>
      <w:r w:rsidR="00D03355" w:rsidRPr="003C01E5">
        <w:rPr>
          <w:rFonts w:ascii="Garamond" w:eastAsia="Garamond" w:hAnsi="Garamond"/>
          <w:sz w:val="22"/>
          <w:szCs w:val="22"/>
        </w:rPr>
        <w:t xml:space="preserve"> </w:t>
      </w:r>
    </w:p>
    <w:p w14:paraId="2E79BD3D" w14:textId="77777777" w:rsidR="007717FD" w:rsidRPr="003C01E5" w:rsidRDefault="007717FD" w:rsidP="003C01E5">
      <w:pPr>
        <w:spacing w:line="480" w:lineRule="auto"/>
        <w:rPr>
          <w:rFonts w:ascii="Garamond" w:eastAsia="Garamond" w:hAnsi="Garamond"/>
          <w:sz w:val="22"/>
          <w:szCs w:val="22"/>
        </w:rPr>
      </w:pPr>
    </w:p>
    <w:p w14:paraId="005229E2" w14:textId="7BC63CB7" w:rsidR="00F23A2F" w:rsidRPr="003C01E5" w:rsidRDefault="00F71F8C" w:rsidP="003C01E5">
      <w:pPr>
        <w:spacing w:line="480" w:lineRule="auto"/>
        <w:rPr>
          <w:rFonts w:ascii="Garamond" w:eastAsia="Garamond" w:hAnsi="Garamond"/>
          <w:sz w:val="22"/>
          <w:szCs w:val="22"/>
        </w:rPr>
      </w:pPr>
      <w:r w:rsidRPr="003C01E5">
        <w:rPr>
          <w:rFonts w:ascii="Garamond" w:eastAsia="Garamond" w:hAnsi="Garamond"/>
          <w:sz w:val="22"/>
          <w:szCs w:val="22"/>
        </w:rPr>
        <w:t>At the</w:t>
      </w:r>
      <w:r w:rsidR="006F3325" w:rsidRPr="003C01E5">
        <w:rPr>
          <w:rFonts w:ascii="Garamond" w:eastAsia="Garamond" w:hAnsi="Garamond"/>
          <w:sz w:val="22"/>
          <w:szCs w:val="22"/>
        </w:rPr>
        <w:t xml:space="preserve"> other</w:t>
      </w:r>
      <w:r w:rsidRPr="003C01E5">
        <w:rPr>
          <w:rFonts w:ascii="Garamond" w:eastAsia="Garamond" w:hAnsi="Garamond"/>
          <w:sz w:val="22"/>
          <w:szCs w:val="22"/>
        </w:rPr>
        <w:t xml:space="preserve"> end of the spectrum the countries that display the lowest proportion of time spent in unpaid domestic work are also the ones which displayed the lowest gender gap in formal employment and where women were underrepresented in informal employment. These countries are nonothers than the Nordic countries along with Switzerland, United Kingdom, USA and Netherlands.</w:t>
      </w:r>
      <w:r w:rsidR="00650A30" w:rsidRPr="003C01E5">
        <w:rPr>
          <w:rFonts w:ascii="Garamond" w:eastAsia="Garamond" w:hAnsi="Garamond"/>
          <w:sz w:val="22"/>
          <w:szCs w:val="22"/>
        </w:rPr>
        <w:t xml:space="preserve"> </w:t>
      </w:r>
      <w:r w:rsidR="00340DC9" w:rsidRPr="003C01E5">
        <w:rPr>
          <w:rFonts w:ascii="Garamond" w:eastAsia="Garamond" w:hAnsi="Garamond"/>
          <w:sz w:val="22"/>
          <w:szCs w:val="22"/>
        </w:rPr>
        <w:t xml:space="preserve">Still, men’s proportion of time spent in unpaid work is lower in all cases depicted in Graph 3. </w:t>
      </w:r>
      <w:r w:rsidR="00F23A2F" w:rsidRPr="003C01E5">
        <w:rPr>
          <w:rFonts w:ascii="Garamond" w:eastAsia="Garamond" w:hAnsi="Garamond"/>
          <w:sz w:val="22"/>
          <w:szCs w:val="22"/>
        </w:rPr>
        <w:t>Among the OECD countries, Japan, Italy and Korea top the table in gender inequality in unpaid time spent for domestic and care work. In Japan women contribute 12.6 per cent</w:t>
      </w:r>
      <w:r w:rsidR="00F23A2F" w:rsidRPr="003C01E5" w:rsidDel="0081765B">
        <w:rPr>
          <w:rFonts w:ascii="Garamond" w:eastAsia="Garamond" w:hAnsi="Garamond"/>
          <w:sz w:val="22"/>
          <w:szCs w:val="22"/>
        </w:rPr>
        <w:t xml:space="preserve"> </w:t>
      </w:r>
      <w:r w:rsidR="00F23A2F" w:rsidRPr="003C01E5">
        <w:rPr>
          <w:rFonts w:ascii="Garamond" w:eastAsia="Garamond" w:hAnsi="Garamond"/>
          <w:sz w:val="22"/>
          <w:szCs w:val="22"/>
        </w:rPr>
        <w:t>of their time on unpaid domestic work with men contributing 5.2 per cent</w:t>
      </w:r>
      <w:r w:rsidR="00F23A2F" w:rsidRPr="003C01E5" w:rsidDel="0081765B">
        <w:rPr>
          <w:rFonts w:ascii="Garamond" w:eastAsia="Garamond" w:hAnsi="Garamond"/>
          <w:sz w:val="22"/>
          <w:szCs w:val="22"/>
        </w:rPr>
        <w:t xml:space="preserve"> </w:t>
      </w:r>
      <w:r w:rsidR="00F23A2F" w:rsidRPr="003C01E5">
        <w:rPr>
          <w:rFonts w:ascii="Garamond" w:eastAsia="Garamond" w:hAnsi="Garamond"/>
          <w:sz w:val="22"/>
          <w:szCs w:val="22"/>
        </w:rPr>
        <w:t>while in Italy women contribute 13.4 per cent</w:t>
      </w:r>
      <w:r w:rsidR="00F23A2F" w:rsidRPr="003C01E5" w:rsidDel="0081765B">
        <w:rPr>
          <w:rFonts w:ascii="Garamond" w:eastAsia="Garamond" w:hAnsi="Garamond"/>
          <w:sz w:val="22"/>
          <w:szCs w:val="22"/>
        </w:rPr>
        <w:t xml:space="preserve"> </w:t>
      </w:r>
      <w:r w:rsidR="00F23A2F" w:rsidRPr="003C01E5">
        <w:rPr>
          <w:rFonts w:ascii="Garamond" w:eastAsia="Garamond" w:hAnsi="Garamond"/>
          <w:sz w:val="22"/>
          <w:szCs w:val="22"/>
        </w:rPr>
        <w:t xml:space="preserve">of their time per day and men only 2.7 per cent Korea on the other hand displays large proportion of time spent in unpaid work with men offering the highest proportion of unpaid work among the OECD countries. Greece, Spain along with other major </w:t>
      </w:r>
      <w:r w:rsidR="00F23A2F" w:rsidRPr="003C01E5">
        <w:rPr>
          <w:rFonts w:ascii="Garamond" w:eastAsia="Garamond" w:hAnsi="Garamond"/>
          <w:sz w:val="22"/>
          <w:szCs w:val="22"/>
        </w:rPr>
        <w:lastRenderedPageBreak/>
        <w:t xml:space="preserve">developing economies such as Argentina, Russia, China and South Africa display also high levels of gender inequality on unpaid time spent on domestic chores and care work. </w:t>
      </w:r>
    </w:p>
    <w:p w14:paraId="6515B508" w14:textId="77777777" w:rsidR="00F23A2F" w:rsidRPr="003C01E5" w:rsidRDefault="00F23A2F" w:rsidP="003C01E5">
      <w:pPr>
        <w:spacing w:line="480" w:lineRule="auto"/>
        <w:rPr>
          <w:rFonts w:ascii="Garamond" w:eastAsia="Garamond" w:hAnsi="Garamond"/>
          <w:sz w:val="22"/>
          <w:szCs w:val="22"/>
        </w:rPr>
      </w:pPr>
    </w:p>
    <w:p w14:paraId="10CB2410" w14:textId="0725A7AA" w:rsidR="008A670E" w:rsidRPr="003C01E5" w:rsidRDefault="008A670E" w:rsidP="003C01E5">
      <w:pPr>
        <w:spacing w:line="480" w:lineRule="auto"/>
        <w:rPr>
          <w:rFonts w:ascii="Garamond" w:eastAsia="Garamond" w:hAnsi="Garamond"/>
          <w:sz w:val="22"/>
          <w:szCs w:val="22"/>
        </w:rPr>
      </w:pPr>
      <w:r w:rsidRPr="003C01E5">
        <w:rPr>
          <w:rFonts w:ascii="Garamond" w:eastAsia="Garamond" w:hAnsi="Garamond"/>
          <w:sz w:val="22"/>
          <w:szCs w:val="22"/>
        </w:rPr>
        <w:t>[Graph 3. Unpaid time spent in domestic chores and care by gender and in total across 54 countries, 201</w:t>
      </w:r>
      <w:r w:rsidR="00A32AF9" w:rsidRPr="003C01E5">
        <w:rPr>
          <w:rFonts w:ascii="Garamond" w:eastAsia="Garamond" w:hAnsi="Garamond"/>
          <w:sz w:val="22"/>
          <w:szCs w:val="22"/>
        </w:rPr>
        <w:t>0</w:t>
      </w:r>
      <w:r w:rsidRPr="003C01E5">
        <w:rPr>
          <w:rFonts w:ascii="Garamond" w:eastAsia="Garamond" w:hAnsi="Garamond"/>
          <w:sz w:val="22"/>
          <w:szCs w:val="22"/>
        </w:rPr>
        <w:t>.]</w:t>
      </w:r>
    </w:p>
    <w:p w14:paraId="3348F6F3" w14:textId="77777777" w:rsidR="008A670E" w:rsidRPr="003C01E5" w:rsidRDefault="008A670E" w:rsidP="003C01E5">
      <w:pPr>
        <w:spacing w:line="480" w:lineRule="auto"/>
        <w:rPr>
          <w:rFonts w:ascii="Garamond" w:eastAsia="Garamond" w:hAnsi="Garamond"/>
          <w:sz w:val="22"/>
          <w:szCs w:val="22"/>
        </w:rPr>
      </w:pPr>
    </w:p>
    <w:p w14:paraId="339D28A6" w14:textId="77777777" w:rsidR="008C31A4" w:rsidRPr="003C01E5" w:rsidRDefault="00F23A2F" w:rsidP="003C01E5">
      <w:pPr>
        <w:spacing w:line="480" w:lineRule="auto"/>
        <w:rPr>
          <w:rFonts w:ascii="Garamond" w:eastAsia="Garamond" w:hAnsi="Garamond"/>
          <w:sz w:val="22"/>
          <w:szCs w:val="22"/>
        </w:rPr>
      </w:pPr>
      <w:r w:rsidRPr="003C01E5">
        <w:rPr>
          <w:rFonts w:ascii="Garamond" w:eastAsia="Garamond" w:hAnsi="Garamond"/>
          <w:sz w:val="22"/>
          <w:szCs w:val="22"/>
        </w:rPr>
        <w:t xml:space="preserve">African countries are located in the middle of the graph at large indicating moderate gender gaps with the exception of Mali, Egypt and Tunisia where gender inequalities are pronounced. </w:t>
      </w:r>
      <w:r w:rsidR="00D03355" w:rsidRPr="003C01E5">
        <w:rPr>
          <w:rFonts w:ascii="Garamond" w:eastAsia="Garamond" w:hAnsi="Garamond"/>
          <w:sz w:val="22"/>
          <w:szCs w:val="22"/>
        </w:rPr>
        <w:t>Interestingly</w:t>
      </w:r>
      <w:r w:rsidRPr="003C01E5">
        <w:rPr>
          <w:rFonts w:ascii="Garamond" w:eastAsia="Garamond" w:hAnsi="Garamond"/>
          <w:sz w:val="22"/>
          <w:szCs w:val="22"/>
        </w:rPr>
        <w:t xml:space="preserve">, Ghana and Cameroon display lower gender inequalities than many OECD countries in the gender distribution of domestic work. Mexico displays the most gender unequal distribution of time spent in unpaid work with women spending 20.7 per cent of their day on unpaid domestic work while for men this percentage is a minimal 3 per cent. Additionally, the gender gaps are large in Armenia, Albania, El Salvador, Peru, Tunisia, Turkey and Italy with men however displaying a much higher proportion of time spent in unpaid domestic and care work than Mexico. </w:t>
      </w:r>
    </w:p>
    <w:p w14:paraId="7363F8BC" w14:textId="77777777" w:rsidR="008C31A4" w:rsidRPr="003C01E5" w:rsidRDefault="008C31A4" w:rsidP="003C01E5">
      <w:pPr>
        <w:spacing w:line="480" w:lineRule="auto"/>
        <w:rPr>
          <w:rFonts w:ascii="Garamond" w:eastAsia="Garamond" w:hAnsi="Garamond"/>
          <w:sz w:val="22"/>
          <w:szCs w:val="22"/>
        </w:rPr>
      </w:pPr>
    </w:p>
    <w:p w14:paraId="1D54812B" w14:textId="211BA083" w:rsidR="008C31A4" w:rsidRPr="003C01E5" w:rsidRDefault="008C31A4" w:rsidP="003C01E5">
      <w:pPr>
        <w:spacing w:line="480" w:lineRule="auto"/>
        <w:rPr>
          <w:rFonts w:ascii="Garamond" w:eastAsia="Garamond" w:hAnsi="Garamond"/>
          <w:sz w:val="22"/>
          <w:szCs w:val="22"/>
        </w:rPr>
      </w:pPr>
      <w:r w:rsidRPr="003C01E5">
        <w:rPr>
          <w:rFonts w:ascii="Garamond" w:eastAsia="Garamond" w:hAnsi="Garamond"/>
          <w:sz w:val="22"/>
          <w:szCs w:val="22"/>
        </w:rPr>
        <w:t xml:space="preserve">The findings suggest that women with their unpaid domestic work and care are an integral part for the social reproduction of welfare regimes. Next we reflect on the implications of the evidence presented for gender </w:t>
      </w:r>
      <w:r w:rsidR="00DE4BEF" w:rsidRPr="003C01E5">
        <w:rPr>
          <w:rFonts w:ascii="Garamond" w:eastAsia="Garamond" w:hAnsi="Garamond"/>
          <w:sz w:val="22"/>
          <w:szCs w:val="22"/>
        </w:rPr>
        <w:t>analysis.</w:t>
      </w:r>
    </w:p>
    <w:p w14:paraId="5FF3A0BF" w14:textId="4DEC082A" w:rsidR="00D03355" w:rsidRPr="003C01E5" w:rsidRDefault="00D03355" w:rsidP="003C01E5">
      <w:pPr>
        <w:spacing w:line="480" w:lineRule="auto"/>
        <w:rPr>
          <w:rFonts w:ascii="Garamond" w:eastAsia="Garamond" w:hAnsi="Garamond"/>
          <w:sz w:val="22"/>
          <w:szCs w:val="22"/>
        </w:rPr>
      </w:pPr>
    </w:p>
    <w:p w14:paraId="34B035CE" w14:textId="77777777" w:rsidR="00D03355" w:rsidRPr="003C01E5" w:rsidRDefault="00D03355" w:rsidP="003C01E5">
      <w:pPr>
        <w:spacing w:line="480" w:lineRule="auto"/>
        <w:rPr>
          <w:rFonts w:ascii="Garamond" w:eastAsia="Garamond" w:hAnsi="Garamond"/>
          <w:sz w:val="22"/>
          <w:szCs w:val="22"/>
        </w:rPr>
      </w:pPr>
    </w:p>
    <w:p w14:paraId="7CE4DF20" w14:textId="77777777" w:rsidR="008C31A4" w:rsidRPr="003C01E5" w:rsidRDefault="008C31A4" w:rsidP="003C01E5">
      <w:pPr>
        <w:pStyle w:val="Heading3"/>
        <w:spacing w:before="0" w:line="480" w:lineRule="auto"/>
      </w:pPr>
      <w:r w:rsidRPr="003C01E5">
        <w:t>Implications for gender analysis</w:t>
      </w:r>
    </w:p>
    <w:p w14:paraId="7FB0BA73" w14:textId="77777777" w:rsidR="008C31A4" w:rsidRPr="003C01E5" w:rsidRDefault="008C31A4" w:rsidP="003C01E5">
      <w:pPr>
        <w:spacing w:line="480" w:lineRule="auto"/>
        <w:rPr>
          <w:rFonts w:ascii="Garamond" w:eastAsia="Garamond" w:hAnsi="Garamond"/>
          <w:sz w:val="22"/>
          <w:szCs w:val="22"/>
        </w:rPr>
      </w:pPr>
    </w:p>
    <w:p w14:paraId="28EB0DAF" w14:textId="20EF26FD" w:rsidR="00DE4BEF" w:rsidRPr="003C01E5" w:rsidRDefault="00DE4BEF" w:rsidP="003C01E5">
      <w:pPr>
        <w:spacing w:line="480" w:lineRule="auto"/>
        <w:rPr>
          <w:rFonts w:ascii="Garamond" w:eastAsia="Garamond" w:hAnsi="Garamond"/>
          <w:sz w:val="22"/>
          <w:szCs w:val="22"/>
        </w:rPr>
      </w:pPr>
      <w:r w:rsidRPr="003C01E5">
        <w:rPr>
          <w:rFonts w:ascii="Garamond" w:eastAsia="Garamond" w:hAnsi="Garamond"/>
          <w:sz w:val="22"/>
          <w:szCs w:val="22"/>
        </w:rPr>
        <w:lastRenderedPageBreak/>
        <w:t>Overall, the analysis identified that across both Global North and South regimes informality (either in employment and domestic work) is not shared equally between men and women. For example, there is no country in which women enjoy higher formal employment rates or contribute with less unpaid time in domestic work than men. The implications of these findings are significant for women, as they are likely to continue to rely on family, including patriarchal structures and their husband, for accessing welfare while at the same time they are disproportionally contributing with their unpaid time towards the social reproduction of respective welfare regimes. The fact that women in some countries display lower rates of informal employment does not offer any consolation as is not accompanied with higher share of formal employment to men.</w:t>
      </w:r>
    </w:p>
    <w:p w14:paraId="5C78BFAD" w14:textId="77777777" w:rsidR="00DE4BEF" w:rsidRPr="003C01E5" w:rsidRDefault="00DE4BEF" w:rsidP="003C01E5">
      <w:pPr>
        <w:spacing w:line="480" w:lineRule="auto"/>
        <w:rPr>
          <w:rFonts w:ascii="Garamond" w:eastAsia="Garamond" w:hAnsi="Garamond"/>
          <w:sz w:val="22"/>
          <w:szCs w:val="22"/>
        </w:rPr>
      </w:pPr>
    </w:p>
    <w:p w14:paraId="1F5E262B" w14:textId="234DC68A" w:rsidR="00DE4BEF" w:rsidRPr="003C01E5" w:rsidRDefault="00DE4BEF" w:rsidP="003C01E5">
      <w:pPr>
        <w:spacing w:line="480" w:lineRule="auto"/>
        <w:rPr>
          <w:rFonts w:ascii="Garamond" w:hAnsi="Garamond"/>
          <w:sz w:val="22"/>
          <w:szCs w:val="22"/>
          <w:lang w:eastAsia="en-US"/>
        </w:rPr>
      </w:pPr>
      <w:r w:rsidRPr="003C01E5">
        <w:rPr>
          <w:rFonts w:ascii="Garamond" w:eastAsia="Garamond" w:hAnsi="Garamond"/>
          <w:sz w:val="22"/>
          <w:szCs w:val="22"/>
        </w:rPr>
        <w:t xml:space="preserve">Reflecting on how these findings relate to global welfare regimes, the only clear grouping, also evident in Gough and Abu </w:t>
      </w:r>
      <w:proofErr w:type="spellStart"/>
      <w:r w:rsidRPr="003C01E5">
        <w:rPr>
          <w:rFonts w:ascii="Garamond" w:eastAsia="Garamond" w:hAnsi="Garamond"/>
          <w:sz w:val="22"/>
          <w:szCs w:val="22"/>
        </w:rPr>
        <w:t>Sharkh</w:t>
      </w:r>
      <w:proofErr w:type="spellEnd"/>
      <w:r w:rsidRPr="003C01E5">
        <w:rPr>
          <w:rFonts w:ascii="Garamond" w:eastAsia="Garamond" w:hAnsi="Garamond"/>
          <w:sz w:val="22"/>
          <w:szCs w:val="22"/>
        </w:rPr>
        <w:t xml:space="preserve"> is the poor performance of the Indian sub-continent</w:t>
      </w:r>
      <w:r w:rsidRPr="003C01E5">
        <w:rPr>
          <w:rStyle w:val="FootnoteReference"/>
          <w:rFonts w:ascii="Garamond" w:eastAsia="Garamond" w:hAnsi="Garamond"/>
          <w:sz w:val="22"/>
          <w:szCs w:val="22"/>
        </w:rPr>
        <w:footnoteReference w:id="7"/>
      </w:r>
      <w:r w:rsidRPr="003C01E5">
        <w:rPr>
          <w:rFonts w:ascii="Garamond" w:eastAsia="Garamond" w:hAnsi="Garamond"/>
          <w:sz w:val="22"/>
          <w:szCs w:val="22"/>
        </w:rPr>
        <w:t xml:space="preserve">. Additionally, the gender gaps among Latin American countries do not resemble the classification of </w:t>
      </w:r>
      <w:proofErr w:type="spellStart"/>
      <w:r w:rsidRPr="003C01E5">
        <w:rPr>
          <w:rFonts w:ascii="Garamond" w:eastAsia="Garamond" w:hAnsi="Garamond"/>
          <w:sz w:val="22"/>
          <w:szCs w:val="22"/>
        </w:rPr>
        <w:t>Franzoni</w:t>
      </w:r>
      <w:proofErr w:type="spellEnd"/>
      <w:r w:rsidRPr="003C01E5">
        <w:rPr>
          <w:rFonts w:ascii="Garamond" w:eastAsia="Garamond" w:hAnsi="Garamond"/>
          <w:sz w:val="22"/>
          <w:szCs w:val="22"/>
        </w:rPr>
        <w:t xml:space="preserve"> (2008) – this could be down to the use of more recent data, a higher number of cases and finally that similarities in formal and informal employment patterns are exposed due to the removal of more variables. Overall the attempts to bring gender into global welfare regime exposed the need to consider how gender and informality intersect. This was evident both in the examination of the gender gap in informal employment and even more so in the provision of care (</w:t>
      </w:r>
      <w:proofErr w:type="spellStart"/>
      <w:r w:rsidRPr="003C01E5">
        <w:rPr>
          <w:rFonts w:ascii="Garamond" w:eastAsia="Garamond" w:hAnsi="Garamond"/>
          <w:sz w:val="22"/>
          <w:szCs w:val="22"/>
        </w:rPr>
        <w:t>Mínguez</w:t>
      </w:r>
      <w:proofErr w:type="spellEnd"/>
      <w:r w:rsidRPr="003C01E5">
        <w:rPr>
          <w:rFonts w:ascii="Garamond" w:eastAsia="Garamond" w:hAnsi="Garamond"/>
          <w:sz w:val="22"/>
          <w:szCs w:val="22"/>
        </w:rPr>
        <w:t xml:space="preserve">, 2012). So </w:t>
      </w:r>
      <w:proofErr w:type="gramStart"/>
      <w:r w:rsidRPr="003C01E5">
        <w:rPr>
          <w:rFonts w:ascii="Garamond" w:eastAsia="Garamond" w:hAnsi="Garamond"/>
          <w:sz w:val="22"/>
          <w:szCs w:val="22"/>
        </w:rPr>
        <w:t>far</w:t>
      </w:r>
      <w:proofErr w:type="gramEnd"/>
      <w:r w:rsidRPr="003C01E5">
        <w:rPr>
          <w:rFonts w:ascii="Garamond" w:eastAsia="Garamond" w:hAnsi="Garamond"/>
          <w:sz w:val="22"/>
          <w:szCs w:val="22"/>
        </w:rPr>
        <w:t xml:space="preserve"> the majority of social policy research in developing contexts has focused on educational outcomes and formal </w:t>
      </w:r>
      <w:r w:rsidR="00F801FD" w:rsidRPr="003C01E5">
        <w:rPr>
          <w:rFonts w:ascii="Garamond" w:eastAsia="Garamond" w:hAnsi="Garamond"/>
          <w:sz w:val="22"/>
          <w:szCs w:val="22"/>
        </w:rPr>
        <w:t>employment</w:t>
      </w:r>
      <w:r w:rsidRPr="003C01E5">
        <w:rPr>
          <w:rFonts w:ascii="Garamond" w:eastAsia="Garamond" w:hAnsi="Garamond"/>
          <w:sz w:val="22"/>
          <w:szCs w:val="22"/>
        </w:rPr>
        <w:t xml:space="preserve">. Reflecting back to the </w:t>
      </w:r>
      <w:r w:rsidRPr="003C01E5">
        <w:rPr>
          <w:rFonts w:ascii="Garamond" w:hAnsi="Garamond"/>
          <w:sz w:val="22"/>
          <w:szCs w:val="22"/>
        </w:rPr>
        <w:t xml:space="preserve">SDGs, there seems to be still a lot of work for recognising the value of unpaid care and involving </w:t>
      </w:r>
      <w:r w:rsidRPr="003C01E5">
        <w:rPr>
          <w:rFonts w:ascii="Garamond" w:hAnsi="Garamond"/>
          <w:sz w:val="22"/>
          <w:szCs w:val="22"/>
        </w:rPr>
        <w:lastRenderedPageBreak/>
        <w:t xml:space="preserve">men into more </w:t>
      </w:r>
      <w:r w:rsidRPr="003C01E5">
        <w:rPr>
          <w:rFonts w:ascii="Garamond" w:hAnsi="Garamond"/>
          <w:sz w:val="22"/>
          <w:szCs w:val="22"/>
          <w:lang w:eastAsia="en-US"/>
        </w:rPr>
        <w:t>shared responsibility. Similarly, women are less likely to enjoy access formal employment and therefore labour protection and access to welfare while in some countries the levels of informal employment seriously question the achievement of ‘decent work’ for women.</w:t>
      </w:r>
    </w:p>
    <w:p w14:paraId="46ECC733" w14:textId="77777777" w:rsidR="00DE4BEF" w:rsidRPr="003C01E5" w:rsidRDefault="00DE4BEF" w:rsidP="003C01E5">
      <w:pPr>
        <w:spacing w:line="480" w:lineRule="auto"/>
        <w:rPr>
          <w:rFonts w:ascii="Garamond" w:hAnsi="Garamond"/>
          <w:sz w:val="22"/>
          <w:szCs w:val="22"/>
          <w:lang w:eastAsia="en-US"/>
        </w:rPr>
      </w:pPr>
    </w:p>
    <w:p w14:paraId="7D9EB833" w14:textId="49E82D70" w:rsidR="00D03355" w:rsidRPr="003C01E5" w:rsidRDefault="00442E0F" w:rsidP="003C01E5">
      <w:pPr>
        <w:spacing w:line="480" w:lineRule="auto"/>
        <w:rPr>
          <w:rFonts w:ascii="Garamond" w:eastAsia="Garamond" w:hAnsi="Garamond"/>
          <w:sz w:val="22"/>
          <w:szCs w:val="22"/>
        </w:rPr>
      </w:pPr>
      <w:r w:rsidRPr="003C01E5">
        <w:rPr>
          <w:rFonts w:ascii="Garamond" w:eastAsia="Garamond" w:hAnsi="Garamond"/>
          <w:sz w:val="22"/>
          <w:szCs w:val="22"/>
        </w:rPr>
        <w:t xml:space="preserve">At the same time, findings on total time spent on domestic work verifies this and exposes also how women are disproportionately contributing with their unpaid work towards the social reproduction of these welfare regimes. </w:t>
      </w:r>
      <w:r w:rsidR="00DE4BEF" w:rsidRPr="003C01E5">
        <w:rPr>
          <w:rFonts w:ascii="Garamond" w:hAnsi="Garamond"/>
          <w:sz w:val="22"/>
          <w:szCs w:val="22"/>
          <w:lang w:eastAsia="en-US"/>
        </w:rPr>
        <w:t>The findings therefore suggest that a</w:t>
      </w:r>
      <w:r w:rsidR="00DE4BEF" w:rsidRPr="003C01E5">
        <w:rPr>
          <w:rFonts w:ascii="Garamond" w:eastAsia="Garamond" w:hAnsi="Garamond"/>
          <w:sz w:val="22"/>
          <w:szCs w:val="22"/>
        </w:rPr>
        <w:t>dditional policy priorities should aim to tackle gender stereotypes, a challenge that continues to undermine women’s ability to choose how to use their time even among OECD countries. These inequalities are reproduced both in the sphere of production and social reproduction</w:t>
      </w:r>
      <w:r w:rsidRPr="003C01E5">
        <w:rPr>
          <w:rFonts w:ascii="Garamond" w:eastAsia="Garamond" w:hAnsi="Garamond"/>
          <w:sz w:val="22"/>
          <w:szCs w:val="22"/>
        </w:rPr>
        <w:t xml:space="preserve"> and therefore policy initiatives should equally focus on enhancing women’s entry to the formal labour </w:t>
      </w:r>
      <w:proofErr w:type="gramStart"/>
      <w:r w:rsidRPr="003C01E5">
        <w:rPr>
          <w:rFonts w:ascii="Garamond" w:eastAsia="Garamond" w:hAnsi="Garamond"/>
          <w:sz w:val="22"/>
          <w:szCs w:val="22"/>
        </w:rPr>
        <w:t>market</w:t>
      </w:r>
      <w:proofErr w:type="gramEnd"/>
      <w:r w:rsidRPr="003C01E5">
        <w:rPr>
          <w:rFonts w:ascii="Garamond" w:eastAsia="Garamond" w:hAnsi="Garamond"/>
          <w:sz w:val="22"/>
          <w:szCs w:val="22"/>
        </w:rPr>
        <w:t xml:space="preserve"> but also additional recognition is needed for the unpaid care they provide.</w:t>
      </w:r>
    </w:p>
    <w:p w14:paraId="27D22005" w14:textId="65D0ED88" w:rsidR="00F814B4" w:rsidRPr="003C01E5" w:rsidRDefault="00F814B4" w:rsidP="003C01E5">
      <w:pPr>
        <w:spacing w:line="480" w:lineRule="auto"/>
        <w:rPr>
          <w:rFonts w:ascii="Garamond" w:eastAsia="Garamond" w:hAnsi="Garamond"/>
          <w:sz w:val="22"/>
          <w:szCs w:val="22"/>
        </w:rPr>
      </w:pPr>
    </w:p>
    <w:p w14:paraId="143908F5" w14:textId="209AD404" w:rsidR="00B94CCC" w:rsidRDefault="008C31A4" w:rsidP="003C01E5">
      <w:pPr>
        <w:pStyle w:val="Heading3"/>
        <w:spacing w:before="0" w:line="480" w:lineRule="auto"/>
        <w:rPr>
          <w:rFonts w:eastAsia="Garamond"/>
        </w:rPr>
      </w:pPr>
      <w:r w:rsidRPr="003C01E5">
        <w:rPr>
          <w:rFonts w:eastAsia="Garamond"/>
        </w:rPr>
        <w:t>D</w:t>
      </w:r>
      <w:r w:rsidR="00B94CCC" w:rsidRPr="003C01E5">
        <w:rPr>
          <w:rFonts w:eastAsia="Garamond"/>
        </w:rPr>
        <w:t>egrees of informality</w:t>
      </w:r>
    </w:p>
    <w:p w14:paraId="6B1BB0CA" w14:textId="77777777" w:rsidR="003C01E5" w:rsidRPr="003C01E5" w:rsidRDefault="003C01E5" w:rsidP="00F801FD">
      <w:pPr>
        <w:rPr>
          <w:rFonts w:eastAsia="Garamond"/>
        </w:rPr>
      </w:pPr>
    </w:p>
    <w:p w14:paraId="1271FF72" w14:textId="30636B58" w:rsidR="0015481B" w:rsidRPr="003C01E5" w:rsidRDefault="00F23A2F"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lang w:eastAsia="en-GB"/>
        </w:rPr>
        <w:t xml:space="preserve">As evidenced by Graph 3, </w:t>
      </w:r>
      <w:r w:rsidRPr="003C01E5">
        <w:rPr>
          <w:rFonts w:ascii="Garamond" w:eastAsia="Garamond" w:hAnsi="Garamond"/>
          <w:sz w:val="22"/>
          <w:szCs w:val="22"/>
        </w:rPr>
        <w:t>Japan, Italy, Korea Greece and Spain display the highest proportion of time spent on unpaid domestic chores and care work among the OECD, overcoming countries like China, Russia and South Africa which display lower percentages in the total proportion of time spent on domestic chores and care work among the Global South economies. It could be suggested that t</w:t>
      </w:r>
      <w:r w:rsidR="006F3325" w:rsidRPr="003C01E5">
        <w:rPr>
          <w:rFonts w:ascii="Garamond" w:eastAsia="Garamond" w:hAnsi="Garamond"/>
          <w:sz w:val="22"/>
          <w:szCs w:val="22"/>
        </w:rPr>
        <w:t xml:space="preserve">he countries with highest aggregate proportion of time spent on unpaid domestic chores and care work </w:t>
      </w:r>
      <w:r w:rsidRPr="003C01E5">
        <w:rPr>
          <w:rFonts w:ascii="Garamond" w:eastAsia="Garamond" w:hAnsi="Garamond"/>
          <w:sz w:val="22"/>
          <w:szCs w:val="22"/>
        </w:rPr>
        <w:t>could reflect</w:t>
      </w:r>
      <w:r w:rsidR="006F3325" w:rsidRPr="003C01E5">
        <w:rPr>
          <w:rFonts w:ascii="Garamond" w:eastAsia="Garamond" w:hAnsi="Garamond"/>
          <w:sz w:val="22"/>
          <w:szCs w:val="22"/>
        </w:rPr>
        <w:t xml:space="preserve"> the low penetration of child and elderly statutory care services</w:t>
      </w:r>
      <w:r w:rsidR="00544E85" w:rsidRPr="003C01E5">
        <w:rPr>
          <w:rFonts w:ascii="Garamond" w:eastAsia="Garamond" w:hAnsi="Garamond"/>
          <w:sz w:val="22"/>
          <w:szCs w:val="22"/>
        </w:rPr>
        <w:t xml:space="preserve"> and thus capture what comparative social policy would conceptualise as ‘</w:t>
      </w:r>
      <w:proofErr w:type="spellStart"/>
      <w:r w:rsidR="00544E85" w:rsidRPr="003C01E5">
        <w:rPr>
          <w:rFonts w:ascii="Garamond" w:eastAsia="Garamond" w:hAnsi="Garamond"/>
          <w:sz w:val="22"/>
          <w:szCs w:val="22"/>
        </w:rPr>
        <w:t>familisation</w:t>
      </w:r>
      <w:proofErr w:type="spellEnd"/>
      <w:r w:rsidR="00544E85" w:rsidRPr="003C01E5">
        <w:rPr>
          <w:rFonts w:ascii="Garamond" w:eastAsia="Garamond" w:hAnsi="Garamond"/>
          <w:sz w:val="22"/>
          <w:szCs w:val="22"/>
        </w:rPr>
        <w:t>’</w:t>
      </w:r>
      <w:r w:rsidR="0015481B" w:rsidRPr="003C01E5">
        <w:rPr>
          <w:rFonts w:ascii="Garamond" w:eastAsia="Garamond" w:hAnsi="Garamond"/>
          <w:sz w:val="22"/>
          <w:szCs w:val="22"/>
        </w:rPr>
        <w:t xml:space="preserve"> of social risks</w:t>
      </w:r>
      <w:r w:rsidR="006F3325" w:rsidRPr="003C01E5">
        <w:rPr>
          <w:rFonts w:ascii="Garamond" w:eastAsia="Garamond" w:hAnsi="Garamond"/>
          <w:sz w:val="22"/>
          <w:szCs w:val="22"/>
        </w:rPr>
        <w:t>.</w:t>
      </w:r>
      <w:r w:rsidR="0015481B" w:rsidRPr="003C01E5">
        <w:rPr>
          <w:rFonts w:ascii="Garamond" w:eastAsia="Garamond" w:hAnsi="Garamond"/>
          <w:sz w:val="22"/>
          <w:szCs w:val="22"/>
        </w:rPr>
        <w:t xml:space="preserve"> As recent scholarship indicates, the unpaid time spent on domestic work could also include householding practices of families </w:t>
      </w:r>
      <w:r w:rsidR="0015481B" w:rsidRPr="003C01E5">
        <w:rPr>
          <w:rFonts w:ascii="Garamond" w:eastAsia="Garamond" w:hAnsi="Garamond"/>
          <w:sz w:val="22"/>
          <w:szCs w:val="22"/>
        </w:rPr>
        <w:lastRenderedPageBreak/>
        <w:t>such as the production of resources and goods for own consumption or reciprocal exchanges (Papadopoulos and Roumpakis, 2019).</w:t>
      </w:r>
      <w:r w:rsidR="00275C06" w:rsidRPr="003C01E5">
        <w:rPr>
          <w:rFonts w:ascii="Garamond" w:eastAsia="Garamond" w:hAnsi="Garamond"/>
          <w:sz w:val="22"/>
          <w:szCs w:val="22"/>
        </w:rPr>
        <w:t xml:space="preserve"> Similarly, low unpaid time spent on domestic work could signal the substantive penetration of formal arrangements, whether offered by state or market.</w:t>
      </w:r>
    </w:p>
    <w:p w14:paraId="134A16D1" w14:textId="77777777" w:rsidR="00826EB8" w:rsidRDefault="00826EB8" w:rsidP="003C01E5">
      <w:pPr>
        <w:pStyle w:val="NormalWeb"/>
        <w:spacing w:before="0" w:beforeAutospacing="0" w:after="0" w:afterAutospacing="0" w:line="480" w:lineRule="auto"/>
        <w:rPr>
          <w:rFonts w:ascii="Garamond" w:eastAsia="Garamond" w:hAnsi="Garamond"/>
          <w:sz w:val="22"/>
          <w:szCs w:val="22"/>
        </w:rPr>
      </w:pPr>
    </w:p>
    <w:p w14:paraId="33407D79" w14:textId="35A6BE35" w:rsidR="00CB6E91" w:rsidRDefault="00340DC9" w:rsidP="003C01E5">
      <w:pPr>
        <w:pStyle w:val="NormalWeb"/>
        <w:spacing w:before="0" w:beforeAutospacing="0" w:after="0" w:afterAutospacing="0" w:line="480" w:lineRule="auto"/>
        <w:rPr>
          <w:rFonts w:ascii="Garamond" w:eastAsia="Garamond" w:hAnsi="Garamond"/>
          <w:sz w:val="22"/>
          <w:szCs w:val="22"/>
        </w:rPr>
      </w:pPr>
      <w:r w:rsidRPr="003C01E5">
        <w:rPr>
          <w:rFonts w:ascii="Garamond" w:eastAsia="Garamond" w:hAnsi="Garamond"/>
          <w:sz w:val="22"/>
          <w:szCs w:val="22"/>
        </w:rPr>
        <w:t>Graph 4</w:t>
      </w:r>
      <w:r w:rsidR="00F23A2F" w:rsidRPr="003C01E5">
        <w:rPr>
          <w:rFonts w:ascii="Garamond" w:eastAsia="Garamond" w:hAnsi="Garamond"/>
          <w:sz w:val="22"/>
          <w:szCs w:val="22"/>
        </w:rPr>
        <w:t xml:space="preserve"> attempts to capture the degrees of informality by exploring the relationship between total time spent in domestic unpaid work with the total informal employment rates. The </w:t>
      </w:r>
      <w:r w:rsidR="009F567E" w:rsidRPr="003C01E5">
        <w:rPr>
          <w:rFonts w:ascii="Garamond" w:eastAsia="Garamond" w:hAnsi="Garamond"/>
          <w:sz w:val="22"/>
          <w:szCs w:val="22"/>
        </w:rPr>
        <w:t xml:space="preserve">scatterplot shows that there is a positive correlation (.655**) between the two variables, however </w:t>
      </w:r>
      <w:r w:rsidR="00442E0F" w:rsidRPr="003C01E5">
        <w:rPr>
          <w:rFonts w:ascii="Garamond" w:eastAsia="Garamond" w:hAnsi="Garamond"/>
          <w:sz w:val="22"/>
          <w:szCs w:val="22"/>
        </w:rPr>
        <w:t>any inference should</w:t>
      </w:r>
      <w:r w:rsidR="009F567E" w:rsidRPr="003C01E5">
        <w:rPr>
          <w:rFonts w:ascii="Garamond" w:eastAsia="Garamond" w:hAnsi="Garamond"/>
          <w:sz w:val="22"/>
          <w:szCs w:val="22"/>
        </w:rPr>
        <w:t xml:space="preserve"> be treated with caution as data points are not available for</w:t>
      </w:r>
      <w:r w:rsidR="00442E0F" w:rsidRPr="003C01E5">
        <w:rPr>
          <w:rFonts w:ascii="Garamond" w:eastAsia="Garamond" w:hAnsi="Garamond"/>
          <w:sz w:val="22"/>
          <w:szCs w:val="22"/>
        </w:rPr>
        <w:t xml:space="preserve"> the</w:t>
      </w:r>
      <w:r w:rsidR="009F567E" w:rsidRPr="003C01E5">
        <w:rPr>
          <w:rFonts w:ascii="Garamond" w:eastAsia="Garamond" w:hAnsi="Garamond"/>
          <w:sz w:val="22"/>
          <w:szCs w:val="22"/>
        </w:rPr>
        <w:t xml:space="preserve"> same years. </w:t>
      </w:r>
      <w:r w:rsidR="00442E0F" w:rsidRPr="003C01E5">
        <w:rPr>
          <w:rFonts w:ascii="Garamond" w:eastAsia="Garamond" w:hAnsi="Garamond"/>
          <w:sz w:val="22"/>
          <w:szCs w:val="22"/>
        </w:rPr>
        <w:t xml:space="preserve">The levels that informality penetrates employment patterns is staggering among many African (e.g. Mali, Cameroon, Tanzania, Ghana), Southeast Asian (e.g. Lao, Indonesia), Indian sub-continent (e.g. India, Pakistan, Bangladesh) and Latin American (e.g. Honduras, Guatemala, Paraguay, El Salvador, Peru, Colombia) countries. Additionally, large economies such as China, Argentina, Brazil, Chile, Russia, Turkey and South Africa display significant volumes of informal employment rates. Among the OECD countries, Greece, Korea, Spain, Italy, Japan and USA display the highest proportion of informal employment signalling the importance of informality for their economies. </w:t>
      </w:r>
    </w:p>
    <w:p w14:paraId="3A3F97E6" w14:textId="77777777" w:rsidR="00F801FD" w:rsidRPr="003C01E5" w:rsidRDefault="00F801FD" w:rsidP="003C01E5">
      <w:pPr>
        <w:pStyle w:val="NormalWeb"/>
        <w:spacing w:before="0" w:beforeAutospacing="0" w:after="0" w:afterAutospacing="0" w:line="480" w:lineRule="auto"/>
        <w:rPr>
          <w:rFonts w:ascii="Garamond" w:eastAsia="Garamond" w:hAnsi="Garamond"/>
          <w:sz w:val="22"/>
          <w:szCs w:val="22"/>
        </w:rPr>
      </w:pPr>
    </w:p>
    <w:p w14:paraId="28104085" w14:textId="6CA4C255" w:rsidR="00CB6E91" w:rsidRPr="003C01E5" w:rsidRDefault="00CB6E91" w:rsidP="003C01E5">
      <w:pPr>
        <w:spacing w:line="480" w:lineRule="auto"/>
        <w:rPr>
          <w:rFonts w:ascii="Garamond" w:eastAsia="Garamond" w:hAnsi="Garamond"/>
          <w:sz w:val="22"/>
          <w:szCs w:val="22"/>
        </w:rPr>
      </w:pPr>
      <w:r w:rsidRPr="003C01E5">
        <w:rPr>
          <w:rFonts w:ascii="Garamond" w:eastAsia="Garamond" w:hAnsi="Garamond"/>
          <w:sz w:val="22"/>
          <w:szCs w:val="22"/>
        </w:rPr>
        <w:t>Graph 4. [Total informal employment and total unpaid time spent in domestic chores and care across 54 countries, 2010.]</w:t>
      </w:r>
    </w:p>
    <w:p w14:paraId="07C02F84" w14:textId="77777777" w:rsidR="00CB6E91" w:rsidRPr="003C01E5" w:rsidRDefault="00CB6E91" w:rsidP="003C01E5">
      <w:pPr>
        <w:spacing w:line="480" w:lineRule="auto"/>
        <w:rPr>
          <w:rFonts w:ascii="Garamond" w:eastAsia="Garamond" w:hAnsi="Garamond"/>
          <w:sz w:val="22"/>
          <w:szCs w:val="22"/>
        </w:rPr>
      </w:pPr>
    </w:p>
    <w:p w14:paraId="65C4B635" w14:textId="57951504" w:rsidR="00FA15C0" w:rsidRPr="003C01E5" w:rsidRDefault="009F567E" w:rsidP="003C01E5">
      <w:pPr>
        <w:spacing w:line="480" w:lineRule="auto"/>
        <w:rPr>
          <w:rFonts w:ascii="Garamond" w:eastAsia="Garamond" w:hAnsi="Garamond"/>
          <w:sz w:val="22"/>
          <w:szCs w:val="22"/>
        </w:rPr>
      </w:pPr>
      <w:r w:rsidRPr="003C01E5">
        <w:rPr>
          <w:rFonts w:ascii="Garamond" w:eastAsia="Garamond" w:hAnsi="Garamond"/>
          <w:sz w:val="22"/>
          <w:szCs w:val="22"/>
        </w:rPr>
        <w:t>At the bottom left corner of the scatterplot we identify th</w:t>
      </w:r>
      <w:r w:rsidR="00442E0F" w:rsidRPr="003C01E5">
        <w:rPr>
          <w:rFonts w:ascii="Garamond" w:eastAsia="Garamond" w:hAnsi="Garamond"/>
          <w:sz w:val="22"/>
          <w:szCs w:val="22"/>
        </w:rPr>
        <w:t>e</w:t>
      </w:r>
      <w:r w:rsidRPr="003C01E5">
        <w:rPr>
          <w:rFonts w:ascii="Garamond" w:eastAsia="Garamond" w:hAnsi="Garamond"/>
          <w:sz w:val="22"/>
          <w:szCs w:val="22"/>
        </w:rPr>
        <w:t xml:space="preserve"> majority of the OECD countries. A second bloc of countries is also form</w:t>
      </w:r>
      <w:r w:rsidR="00442E0F" w:rsidRPr="003C01E5">
        <w:rPr>
          <w:rFonts w:ascii="Garamond" w:eastAsia="Garamond" w:hAnsi="Garamond"/>
          <w:sz w:val="22"/>
          <w:szCs w:val="22"/>
        </w:rPr>
        <w:t>ed</w:t>
      </w:r>
      <w:r w:rsidRPr="003C01E5">
        <w:rPr>
          <w:rFonts w:ascii="Garamond" w:eastAsia="Garamond" w:hAnsi="Garamond"/>
          <w:sz w:val="22"/>
          <w:szCs w:val="22"/>
        </w:rPr>
        <w:t xml:space="preserve"> including Japan, Italy, Spain, Korea</w:t>
      </w:r>
      <w:r w:rsidR="00442E0F" w:rsidRPr="003C01E5">
        <w:rPr>
          <w:rFonts w:ascii="Garamond" w:eastAsia="Garamond" w:hAnsi="Garamond"/>
          <w:sz w:val="22"/>
          <w:szCs w:val="22"/>
        </w:rPr>
        <w:t>, Greece</w:t>
      </w:r>
      <w:r w:rsidRPr="003C01E5">
        <w:rPr>
          <w:rFonts w:ascii="Garamond" w:eastAsia="Garamond" w:hAnsi="Garamond"/>
          <w:sz w:val="22"/>
          <w:szCs w:val="22"/>
        </w:rPr>
        <w:t xml:space="preserve"> but also </w:t>
      </w:r>
      <w:r w:rsidR="00AD3568">
        <w:rPr>
          <w:rFonts w:ascii="Garamond" w:eastAsia="Garamond" w:hAnsi="Garamond"/>
          <w:sz w:val="22"/>
          <w:szCs w:val="22"/>
        </w:rPr>
        <w:t xml:space="preserve">emerging economies such as </w:t>
      </w:r>
      <w:r w:rsidRPr="003C01E5">
        <w:rPr>
          <w:rFonts w:ascii="Garamond" w:eastAsia="Garamond" w:hAnsi="Garamond"/>
          <w:sz w:val="22"/>
          <w:szCs w:val="22"/>
        </w:rPr>
        <w:t xml:space="preserve">Brazil, Russia, China and South Africa. A third and more loose grouping emerges at the top right </w:t>
      </w:r>
      <w:r w:rsidRPr="003C01E5">
        <w:rPr>
          <w:rFonts w:ascii="Garamond" w:eastAsia="Garamond" w:hAnsi="Garamond"/>
          <w:sz w:val="22"/>
          <w:szCs w:val="22"/>
        </w:rPr>
        <w:lastRenderedPageBreak/>
        <w:t xml:space="preserve">corner with Mali and Pakistan displaying the highest volumes of informal activity. Turkey stands as an outlier, but data included here refer to different years. </w:t>
      </w:r>
    </w:p>
    <w:p w14:paraId="75D5B544" w14:textId="77777777" w:rsidR="00FA15C0" w:rsidRPr="003C01E5" w:rsidRDefault="00FA15C0" w:rsidP="003C01E5">
      <w:pPr>
        <w:spacing w:line="480" w:lineRule="auto"/>
        <w:rPr>
          <w:rFonts w:ascii="Garamond" w:eastAsia="Garamond" w:hAnsi="Garamond"/>
          <w:sz w:val="22"/>
          <w:szCs w:val="22"/>
        </w:rPr>
      </w:pPr>
    </w:p>
    <w:p w14:paraId="7869BBDC" w14:textId="12408100" w:rsidR="001B175B" w:rsidRPr="003C01E5" w:rsidRDefault="00442E0F" w:rsidP="003C01E5">
      <w:pPr>
        <w:spacing w:line="480" w:lineRule="auto"/>
        <w:rPr>
          <w:rFonts w:ascii="Garamond" w:eastAsia="Garamond" w:hAnsi="Garamond"/>
          <w:sz w:val="22"/>
          <w:szCs w:val="22"/>
        </w:rPr>
      </w:pPr>
      <w:r w:rsidRPr="003C01E5">
        <w:rPr>
          <w:rFonts w:ascii="Garamond" w:eastAsia="Garamond" w:hAnsi="Garamond"/>
          <w:sz w:val="22"/>
          <w:szCs w:val="22"/>
        </w:rPr>
        <w:t xml:space="preserve">Although data should be treated cautiously, </w:t>
      </w:r>
      <w:r w:rsidR="00A57572" w:rsidRPr="003C01E5">
        <w:rPr>
          <w:rFonts w:ascii="Garamond" w:eastAsia="Garamond" w:hAnsi="Garamond"/>
          <w:sz w:val="22"/>
          <w:szCs w:val="22"/>
        </w:rPr>
        <w:t xml:space="preserve">the second and </w:t>
      </w:r>
      <w:r w:rsidR="001B175B" w:rsidRPr="003C01E5">
        <w:rPr>
          <w:rFonts w:ascii="Garamond" w:eastAsia="Garamond" w:hAnsi="Garamond"/>
          <w:sz w:val="22"/>
          <w:szCs w:val="22"/>
        </w:rPr>
        <w:t xml:space="preserve">part of the </w:t>
      </w:r>
      <w:r w:rsidR="00A57572" w:rsidRPr="003C01E5">
        <w:rPr>
          <w:rFonts w:ascii="Garamond" w:eastAsia="Garamond" w:hAnsi="Garamond"/>
          <w:sz w:val="22"/>
          <w:szCs w:val="22"/>
        </w:rPr>
        <w:t xml:space="preserve">third grouping resemble to a large extent the </w:t>
      </w:r>
      <w:r w:rsidR="001B175B" w:rsidRPr="003C01E5">
        <w:rPr>
          <w:rFonts w:ascii="Garamond" w:eastAsia="Garamond" w:hAnsi="Garamond"/>
          <w:sz w:val="22"/>
          <w:szCs w:val="22"/>
        </w:rPr>
        <w:t xml:space="preserve">membership of the </w:t>
      </w:r>
      <w:r w:rsidR="00A57572" w:rsidRPr="003C01E5">
        <w:rPr>
          <w:rFonts w:ascii="Garamond" w:eastAsia="Garamond" w:hAnsi="Garamond"/>
          <w:sz w:val="22"/>
          <w:szCs w:val="22"/>
        </w:rPr>
        <w:t>informal welfare regime</w:t>
      </w:r>
      <w:r w:rsidR="001B175B" w:rsidRPr="003C01E5">
        <w:rPr>
          <w:rFonts w:ascii="Garamond" w:eastAsia="Garamond" w:hAnsi="Garamond"/>
          <w:sz w:val="22"/>
          <w:szCs w:val="22"/>
        </w:rPr>
        <w:t xml:space="preserve"> (Gough, 2004) with Pakistan, Guatemala, Honduras, Tanzania, Ghana, Cameroon and Lao as extreme cases of informality (see also</w:t>
      </w:r>
      <w:r w:rsidR="00AD3568">
        <w:rPr>
          <w:rFonts w:ascii="Garamond" w:eastAsia="Garamond" w:hAnsi="Garamond"/>
          <w:sz w:val="22"/>
          <w:szCs w:val="22"/>
        </w:rPr>
        <w:t xml:space="preserve">, </w:t>
      </w:r>
      <w:r w:rsidR="00AD3568" w:rsidRPr="00AD3568">
        <w:rPr>
          <w:rFonts w:ascii="Garamond" w:eastAsia="Garamond" w:hAnsi="Garamond" w:cs="Arial"/>
          <w:color w:val="000000" w:themeColor="text1"/>
          <w:sz w:val="22"/>
          <w:szCs w:val="22"/>
          <w:shd w:val="clear" w:color="auto" w:fill="FFFFFF"/>
        </w:rPr>
        <w:t xml:space="preserve">Martínez </w:t>
      </w:r>
      <w:proofErr w:type="spellStart"/>
      <w:r w:rsidR="00AD3568" w:rsidRPr="00AD3568">
        <w:rPr>
          <w:rFonts w:ascii="Garamond" w:eastAsia="Garamond" w:hAnsi="Garamond" w:cs="Arial"/>
          <w:color w:val="000000" w:themeColor="text1"/>
          <w:sz w:val="22"/>
          <w:szCs w:val="22"/>
          <w:shd w:val="clear" w:color="auto" w:fill="FFFFFF"/>
        </w:rPr>
        <w:t>Franzoni</w:t>
      </w:r>
      <w:proofErr w:type="spellEnd"/>
      <w:r w:rsidR="00AD3568" w:rsidRPr="00AD3568">
        <w:rPr>
          <w:rFonts w:ascii="Garamond" w:eastAsia="Garamond" w:hAnsi="Garamond" w:cs="Arial"/>
          <w:color w:val="000000" w:themeColor="text1"/>
          <w:sz w:val="22"/>
          <w:szCs w:val="22"/>
          <w:shd w:val="clear" w:color="auto" w:fill="FFFFFF"/>
        </w:rPr>
        <w:t xml:space="preserve"> and Sanchez-</w:t>
      </w:r>
      <w:proofErr w:type="spellStart"/>
      <w:r w:rsidR="00AD3568" w:rsidRPr="00AD3568">
        <w:rPr>
          <w:rFonts w:ascii="Garamond" w:eastAsia="Garamond" w:hAnsi="Garamond" w:cs="Arial"/>
          <w:color w:val="000000" w:themeColor="text1"/>
          <w:sz w:val="22"/>
          <w:szCs w:val="22"/>
          <w:shd w:val="clear" w:color="auto" w:fill="FFFFFF"/>
        </w:rPr>
        <w:t>Ancochea</w:t>
      </w:r>
      <w:proofErr w:type="spellEnd"/>
      <w:r w:rsidR="00AD3568">
        <w:rPr>
          <w:rFonts w:ascii="Garamond" w:eastAsia="Garamond" w:hAnsi="Garamond" w:cs="Arial"/>
          <w:color w:val="000000" w:themeColor="text1"/>
          <w:sz w:val="22"/>
          <w:szCs w:val="22"/>
          <w:shd w:val="clear" w:color="auto" w:fill="FFFFFF"/>
        </w:rPr>
        <w:t xml:space="preserve">, </w:t>
      </w:r>
      <w:r w:rsidR="00AD3568" w:rsidRPr="00AD3568">
        <w:rPr>
          <w:rFonts w:ascii="Garamond" w:eastAsia="Garamond" w:hAnsi="Garamond" w:cs="Arial"/>
          <w:color w:val="000000" w:themeColor="text1"/>
          <w:sz w:val="22"/>
          <w:szCs w:val="22"/>
          <w:shd w:val="clear" w:color="auto" w:fill="FFFFFF"/>
        </w:rPr>
        <w:t>2018</w:t>
      </w:r>
      <w:r w:rsidR="00AD3568">
        <w:rPr>
          <w:rFonts w:ascii="Garamond" w:eastAsia="Garamond" w:hAnsi="Garamond" w:cs="Arial"/>
          <w:color w:val="000000" w:themeColor="text1"/>
          <w:sz w:val="22"/>
          <w:szCs w:val="22"/>
          <w:shd w:val="clear" w:color="auto" w:fill="FFFFFF"/>
        </w:rPr>
        <w:t>;</w:t>
      </w:r>
      <w:r w:rsidR="001B175B" w:rsidRPr="003C01E5">
        <w:rPr>
          <w:rFonts w:ascii="Garamond" w:eastAsia="Garamond" w:hAnsi="Garamond"/>
          <w:sz w:val="22"/>
          <w:szCs w:val="22"/>
        </w:rPr>
        <w:t xml:space="preserve"> Amoah, 2020). The stark difference between the second grouping and Gough’s (2004) classification, is that once we focus on informal relationships, including both evidence from the sphere of production and social reproduction, </w:t>
      </w:r>
      <w:r w:rsidR="00CB6E91" w:rsidRPr="003C01E5">
        <w:rPr>
          <w:rFonts w:ascii="Garamond" w:eastAsia="Garamond" w:hAnsi="Garamond"/>
          <w:sz w:val="22"/>
          <w:szCs w:val="22"/>
        </w:rPr>
        <w:t>we can identify the important role that informal relationships play</w:t>
      </w:r>
      <w:r w:rsidR="001B175B" w:rsidRPr="003C01E5">
        <w:rPr>
          <w:rFonts w:ascii="Garamond" w:eastAsia="Garamond" w:hAnsi="Garamond"/>
          <w:b/>
          <w:sz w:val="22"/>
          <w:szCs w:val="22"/>
        </w:rPr>
        <w:t xml:space="preserve"> </w:t>
      </w:r>
      <w:r w:rsidR="001B175B" w:rsidRPr="003C01E5">
        <w:rPr>
          <w:rFonts w:ascii="Garamond" w:eastAsia="Garamond" w:hAnsi="Garamond"/>
          <w:sz w:val="22"/>
          <w:szCs w:val="22"/>
        </w:rPr>
        <w:t>in the regions of Southern Europe</w:t>
      </w:r>
      <w:r w:rsidR="00CB6E91" w:rsidRPr="003C01E5">
        <w:rPr>
          <w:rFonts w:ascii="Garamond" w:eastAsia="Garamond" w:hAnsi="Garamond"/>
          <w:sz w:val="22"/>
          <w:szCs w:val="22"/>
        </w:rPr>
        <w:t xml:space="preserve">, </w:t>
      </w:r>
      <w:r w:rsidR="001B175B" w:rsidRPr="003C01E5">
        <w:rPr>
          <w:rFonts w:ascii="Garamond" w:eastAsia="Garamond" w:hAnsi="Garamond"/>
          <w:sz w:val="22"/>
          <w:szCs w:val="22"/>
        </w:rPr>
        <w:t>East Asia (see Papadopoulos and Roumpakis, 2017)</w:t>
      </w:r>
      <w:r w:rsidR="00CB6E91" w:rsidRPr="003C01E5">
        <w:rPr>
          <w:rFonts w:ascii="Garamond" w:eastAsia="Garamond" w:hAnsi="Garamond"/>
          <w:sz w:val="22"/>
          <w:szCs w:val="22"/>
        </w:rPr>
        <w:t xml:space="preserve"> and among emerging economies</w:t>
      </w:r>
      <w:r w:rsidR="00AD3568">
        <w:rPr>
          <w:rFonts w:ascii="Garamond" w:eastAsia="Garamond" w:hAnsi="Garamond"/>
          <w:sz w:val="22"/>
          <w:szCs w:val="22"/>
        </w:rPr>
        <w:t xml:space="preserve"> including Argentina and Chile</w:t>
      </w:r>
      <w:r w:rsidR="00CB6E91" w:rsidRPr="003C01E5">
        <w:rPr>
          <w:rFonts w:ascii="Garamond" w:eastAsia="Garamond" w:hAnsi="Garamond"/>
          <w:sz w:val="22"/>
          <w:szCs w:val="22"/>
        </w:rPr>
        <w:t>.</w:t>
      </w:r>
      <w:r w:rsidR="00CB6E91" w:rsidRPr="003C01E5">
        <w:rPr>
          <w:rFonts w:ascii="Garamond" w:eastAsia="Garamond" w:hAnsi="Garamond" w:cs="Arial"/>
          <w:color w:val="000000" w:themeColor="text1"/>
          <w:sz w:val="22"/>
          <w:szCs w:val="22"/>
          <w:shd w:val="clear" w:color="auto" w:fill="FFFFFF"/>
        </w:rPr>
        <w:t xml:space="preserve"> As </w:t>
      </w:r>
      <w:r w:rsidR="009821A5" w:rsidRPr="003C01E5">
        <w:rPr>
          <w:rFonts w:ascii="Garamond" w:eastAsia="Garamond" w:hAnsi="Garamond" w:cs="Arial"/>
          <w:color w:val="000000" w:themeColor="text1"/>
          <w:sz w:val="22"/>
          <w:szCs w:val="22"/>
          <w:shd w:val="clear" w:color="auto" w:fill="FFFFFF"/>
        </w:rPr>
        <w:t>Papadopoulos and Roumpakis</w:t>
      </w:r>
      <w:r w:rsidR="00CB6E91" w:rsidRPr="003C01E5">
        <w:rPr>
          <w:rFonts w:ascii="Garamond" w:eastAsia="Garamond" w:hAnsi="Garamond" w:cs="Arial"/>
          <w:color w:val="000000" w:themeColor="text1"/>
          <w:sz w:val="22"/>
          <w:szCs w:val="22"/>
          <w:shd w:val="clear" w:color="auto" w:fill="FFFFFF"/>
        </w:rPr>
        <w:t xml:space="preserve"> (20</w:t>
      </w:r>
      <w:r w:rsidR="009821A5" w:rsidRPr="003C01E5">
        <w:rPr>
          <w:rFonts w:ascii="Garamond" w:eastAsia="Garamond" w:hAnsi="Garamond" w:cs="Arial"/>
          <w:color w:val="000000" w:themeColor="text1"/>
          <w:sz w:val="22"/>
          <w:szCs w:val="22"/>
          <w:shd w:val="clear" w:color="auto" w:fill="FFFFFF"/>
        </w:rPr>
        <w:t>1</w:t>
      </w:r>
      <w:r w:rsidR="00CB6E91" w:rsidRPr="003C01E5">
        <w:rPr>
          <w:rFonts w:ascii="Garamond" w:eastAsia="Garamond" w:hAnsi="Garamond" w:cs="Arial"/>
          <w:color w:val="000000" w:themeColor="text1"/>
          <w:sz w:val="22"/>
          <w:szCs w:val="22"/>
          <w:shd w:val="clear" w:color="auto" w:fill="FFFFFF"/>
        </w:rPr>
        <w:t>7) argue a</w:t>
      </w:r>
      <w:r w:rsidR="00CB6E91" w:rsidRPr="003C01E5">
        <w:rPr>
          <w:rFonts w:ascii="Garamond" w:eastAsia="Garamond" w:hAnsi="Garamond" w:cs="Arial"/>
          <w:color w:val="1C1D1E"/>
          <w:sz w:val="22"/>
          <w:szCs w:val="22"/>
          <w:shd w:val="clear" w:color="auto" w:fill="FFFFFF"/>
        </w:rPr>
        <w:t>ssigning family</w:t>
      </w:r>
      <w:r w:rsidR="00CD4AD8" w:rsidRPr="003C01E5">
        <w:rPr>
          <w:rFonts w:ascii="Garamond" w:eastAsia="Garamond" w:hAnsi="Garamond" w:cs="Arial"/>
          <w:color w:val="1C1D1E"/>
          <w:sz w:val="22"/>
          <w:szCs w:val="22"/>
          <w:shd w:val="clear" w:color="auto" w:fill="FFFFFF"/>
        </w:rPr>
        <w:t xml:space="preserve">, and in particular </w:t>
      </w:r>
      <w:r w:rsidR="00A57280" w:rsidRPr="003C01E5">
        <w:rPr>
          <w:rFonts w:ascii="Garamond" w:eastAsia="Garamond" w:hAnsi="Garamond" w:cs="Arial"/>
          <w:color w:val="1C1D1E"/>
          <w:sz w:val="22"/>
          <w:szCs w:val="22"/>
          <w:shd w:val="clear" w:color="auto" w:fill="FFFFFF"/>
        </w:rPr>
        <w:t>women, more</w:t>
      </w:r>
      <w:r w:rsidR="00CB6E91" w:rsidRPr="003C01E5">
        <w:rPr>
          <w:rFonts w:ascii="Garamond" w:eastAsia="Garamond" w:hAnsi="Garamond" w:cs="Arial"/>
          <w:color w:val="1C1D1E"/>
          <w:sz w:val="22"/>
          <w:szCs w:val="22"/>
          <w:shd w:val="clear" w:color="auto" w:fill="FFFFFF"/>
        </w:rPr>
        <w:t xml:space="preserve"> responsibility is not symptomatic but part of a political economy strategy for sustaining international competitiveness.</w:t>
      </w:r>
      <w:r w:rsidR="00CD4AD8" w:rsidRPr="003C01E5">
        <w:rPr>
          <w:rFonts w:ascii="Garamond" w:eastAsia="Garamond" w:hAnsi="Garamond" w:cs="Arial"/>
          <w:color w:val="1C1D1E"/>
          <w:sz w:val="22"/>
          <w:szCs w:val="22"/>
          <w:shd w:val="clear" w:color="auto" w:fill="FFFFFF"/>
        </w:rPr>
        <w:t xml:space="preserve"> </w:t>
      </w:r>
    </w:p>
    <w:p w14:paraId="52EB13B0" w14:textId="0B58CD47" w:rsidR="001B175B" w:rsidRPr="003C01E5" w:rsidRDefault="001B175B" w:rsidP="003C01E5">
      <w:pPr>
        <w:spacing w:line="480" w:lineRule="auto"/>
        <w:rPr>
          <w:rFonts w:ascii="Garamond" w:eastAsia="Garamond" w:hAnsi="Garamond"/>
          <w:sz w:val="22"/>
          <w:szCs w:val="22"/>
        </w:rPr>
      </w:pPr>
    </w:p>
    <w:p w14:paraId="45C47624" w14:textId="1D1F8353" w:rsidR="00D03355" w:rsidRPr="003C01E5" w:rsidRDefault="00D03355" w:rsidP="003C01E5">
      <w:pPr>
        <w:pStyle w:val="Heading2"/>
        <w:spacing w:before="0" w:line="480" w:lineRule="auto"/>
        <w:rPr>
          <w:rFonts w:eastAsia="Garamond"/>
        </w:rPr>
      </w:pPr>
      <w:r w:rsidRPr="003C01E5">
        <w:rPr>
          <w:rFonts w:eastAsia="Garamond"/>
        </w:rPr>
        <w:t>Conclusion</w:t>
      </w:r>
    </w:p>
    <w:p w14:paraId="02D62FE0" w14:textId="77777777" w:rsidR="00D03355" w:rsidRPr="003C01E5" w:rsidRDefault="00D03355" w:rsidP="003C01E5">
      <w:pPr>
        <w:spacing w:line="480" w:lineRule="auto"/>
        <w:rPr>
          <w:rFonts w:ascii="Garamond" w:eastAsia="Garamond" w:hAnsi="Garamond"/>
          <w:sz w:val="22"/>
          <w:szCs w:val="22"/>
        </w:rPr>
      </w:pPr>
    </w:p>
    <w:p w14:paraId="09990302" w14:textId="7E8E78F3" w:rsidR="00CB6E91" w:rsidRPr="003C01E5" w:rsidRDefault="000A3A78" w:rsidP="003C01E5">
      <w:pPr>
        <w:spacing w:line="480" w:lineRule="auto"/>
        <w:rPr>
          <w:rFonts w:ascii="Garamond" w:hAnsi="Garamond"/>
          <w:sz w:val="22"/>
          <w:szCs w:val="22"/>
        </w:rPr>
      </w:pPr>
      <w:r w:rsidRPr="003C01E5">
        <w:rPr>
          <w:rFonts w:ascii="Garamond" w:hAnsi="Garamond"/>
          <w:sz w:val="22"/>
          <w:szCs w:val="22"/>
        </w:rPr>
        <w:t xml:space="preserve">The argument put forward in this article suggests </w:t>
      </w:r>
      <w:r w:rsidR="00A57280" w:rsidRPr="003C01E5">
        <w:rPr>
          <w:rFonts w:ascii="Garamond" w:hAnsi="Garamond"/>
          <w:sz w:val="22"/>
          <w:szCs w:val="22"/>
        </w:rPr>
        <w:t>that informality</w:t>
      </w:r>
      <w:r w:rsidRPr="003C01E5">
        <w:rPr>
          <w:rFonts w:ascii="Garamond" w:hAnsi="Garamond"/>
          <w:sz w:val="22"/>
          <w:szCs w:val="22"/>
        </w:rPr>
        <w:t xml:space="preserve"> retains a set of rich and fundamental properties for everyday life which are inherently important not only for welfare provision but also to the social reproduction of welfare capitalism such as care and domestic work. </w:t>
      </w:r>
      <w:r w:rsidR="00CB6E91" w:rsidRPr="003C01E5">
        <w:rPr>
          <w:rFonts w:ascii="Garamond" w:hAnsi="Garamond"/>
          <w:sz w:val="22"/>
          <w:szCs w:val="22"/>
        </w:rPr>
        <w:t>The article showed that informal activities (employment, domestic work) are extensive among many African, Asian, Latin American</w:t>
      </w:r>
      <w:r w:rsidR="00CB6E91" w:rsidRPr="003C01E5" w:rsidDel="0036429B">
        <w:rPr>
          <w:rFonts w:ascii="Garamond" w:hAnsi="Garamond"/>
          <w:sz w:val="22"/>
          <w:szCs w:val="22"/>
        </w:rPr>
        <w:t xml:space="preserve"> </w:t>
      </w:r>
      <w:r w:rsidR="00CB6E91" w:rsidRPr="003C01E5">
        <w:rPr>
          <w:rFonts w:ascii="Garamond" w:hAnsi="Garamond"/>
          <w:sz w:val="22"/>
          <w:szCs w:val="22"/>
        </w:rPr>
        <w:t xml:space="preserve">but also specific OECD welfare regimes. </w:t>
      </w:r>
      <w:r w:rsidR="009821A5" w:rsidRPr="003C01E5">
        <w:rPr>
          <w:rFonts w:ascii="Garamond" w:eastAsia="Garamond" w:hAnsi="Garamond"/>
          <w:sz w:val="22"/>
          <w:szCs w:val="22"/>
        </w:rPr>
        <w:t xml:space="preserve">The findings suggest that women with their unpaid domestic work and care are an integral part for the social reproduction of welfare regimes. These </w:t>
      </w:r>
      <w:r w:rsidR="009821A5" w:rsidRPr="003C01E5">
        <w:rPr>
          <w:rFonts w:ascii="Garamond" w:eastAsia="Garamond" w:hAnsi="Garamond"/>
          <w:sz w:val="22"/>
          <w:szCs w:val="22"/>
        </w:rPr>
        <w:lastRenderedPageBreak/>
        <w:t xml:space="preserve">inequalities are reproduced both in the sphere of production and social reproduction and therefore policy initiatives should equally focus on enhancing women’s entry to the formal labour </w:t>
      </w:r>
      <w:proofErr w:type="gramStart"/>
      <w:r w:rsidR="009821A5" w:rsidRPr="003C01E5">
        <w:rPr>
          <w:rFonts w:ascii="Garamond" w:eastAsia="Garamond" w:hAnsi="Garamond"/>
          <w:sz w:val="22"/>
          <w:szCs w:val="22"/>
        </w:rPr>
        <w:t>market</w:t>
      </w:r>
      <w:proofErr w:type="gramEnd"/>
      <w:r w:rsidR="009821A5" w:rsidRPr="003C01E5">
        <w:rPr>
          <w:rFonts w:ascii="Garamond" w:eastAsia="Garamond" w:hAnsi="Garamond"/>
          <w:sz w:val="22"/>
          <w:szCs w:val="22"/>
        </w:rPr>
        <w:t xml:space="preserve"> but also additional recognition is needed for the unpaid care they provide.</w:t>
      </w:r>
    </w:p>
    <w:p w14:paraId="382FD4CB" w14:textId="77777777" w:rsidR="00C33B32" w:rsidRPr="003C01E5" w:rsidRDefault="00C33B32" w:rsidP="003C01E5">
      <w:pPr>
        <w:spacing w:line="480" w:lineRule="auto"/>
        <w:rPr>
          <w:rFonts w:ascii="Garamond" w:hAnsi="Garamond"/>
          <w:sz w:val="22"/>
          <w:szCs w:val="22"/>
        </w:rPr>
      </w:pPr>
    </w:p>
    <w:p w14:paraId="6AE53F1A" w14:textId="77777777" w:rsidR="00BC7D23" w:rsidRPr="003C01E5" w:rsidRDefault="00BC7D23" w:rsidP="003C01E5">
      <w:pPr>
        <w:spacing w:line="480" w:lineRule="auto"/>
        <w:rPr>
          <w:rFonts w:ascii="Calibri" w:hAnsi="Calibri"/>
          <w:sz w:val="22"/>
          <w:szCs w:val="22"/>
        </w:rPr>
      </w:pPr>
    </w:p>
    <w:p w14:paraId="77B2CB6B" w14:textId="022540D0" w:rsidR="00BC7D23" w:rsidRPr="003C01E5" w:rsidRDefault="00DB2C9D" w:rsidP="003C01E5">
      <w:pPr>
        <w:pStyle w:val="Heading2"/>
        <w:spacing w:before="0" w:line="480" w:lineRule="auto"/>
      </w:pPr>
      <w:r w:rsidRPr="003C01E5">
        <w:t>References</w:t>
      </w:r>
    </w:p>
    <w:p w14:paraId="6A3411B3" w14:textId="6A97EB53" w:rsidR="00DB2C9D" w:rsidRPr="003C01E5" w:rsidRDefault="00DB2C9D" w:rsidP="003C01E5">
      <w:pPr>
        <w:spacing w:line="480" w:lineRule="auto"/>
        <w:rPr>
          <w:rFonts w:ascii="Calibri" w:hAnsi="Calibri"/>
          <w:sz w:val="22"/>
          <w:szCs w:val="22"/>
        </w:rPr>
      </w:pPr>
    </w:p>
    <w:p w14:paraId="2EE3532A" w14:textId="3AD641B2" w:rsidR="005360C5" w:rsidRPr="003C01E5" w:rsidRDefault="005360C5"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Abu </w:t>
      </w:r>
      <w:proofErr w:type="spellStart"/>
      <w:r w:rsidRPr="003C01E5">
        <w:rPr>
          <w:rFonts w:ascii="Garamond" w:eastAsia="Garamond" w:hAnsi="Garamond"/>
          <w:sz w:val="22"/>
          <w:szCs w:val="22"/>
        </w:rPr>
        <w:t>Sharkh</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M and Gough</w:t>
      </w:r>
      <w:r w:rsidR="00234EAA" w:rsidRPr="003C01E5">
        <w:rPr>
          <w:rFonts w:ascii="Garamond" w:eastAsia="Garamond" w:hAnsi="Garamond"/>
          <w:sz w:val="22"/>
          <w:szCs w:val="22"/>
        </w:rPr>
        <w:t>,</w:t>
      </w:r>
      <w:r w:rsidRPr="003C01E5">
        <w:rPr>
          <w:rFonts w:ascii="Garamond" w:eastAsia="Garamond" w:hAnsi="Garamond"/>
          <w:sz w:val="22"/>
          <w:szCs w:val="22"/>
        </w:rPr>
        <w:t xml:space="preserve"> I. (2010) </w:t>
      </w:r>
      <w:r w:rsidR="005E4FC6" w:rsidRPr="003C01E5">
        <w:rPr>
          <w:rFonts w:ascii="Garamond" w:eastAsia="Garamond" w:hAnsi="Garamond"/>
          <w:sz w:val="22"/>
          <w:szCs w:val="22"/>
        </w:rPr>
        <w:t>‘</w:t>
      </w:r>
      <w:r w:rsidRPr="003C01E5">
        <w:rPr>
          <w:rFonts w:ascii="Garamond" w:eastAsia="Garamond" w:hAnsi="Garamond"/>
          <w:sz w:val="22"/>
          <w:szCs w:val="22"/>
        </w:rPr>
        <w:t xml:space="preserve">Global Welfare </w:t>
      </w:r>
      <w:proofErr w:type="spellStart"/>
      <w:proofErr w:type="gramStart"/>
      <w:r w:rsidRPr="003C01E5">
        <w:rPr>
          <w:rFonts w:ascii="Garamond" w:eastAsia="Garamond" w:hAnsi="Garamond"/>
          <w:sz w:val="22"/>
          <w:szCs w:val="22"/>
        </w:rPr>
        <w:t>Regimes:A</w:t>
      </w:r>
      <w:proofErr w:type="spellEnd"/>
      <w:proofErr w:type="gramEnd"/>
      <w:r w:rsidRPr="003C01E5">
        <w:rPr>
          <w:rFonts w:ascii="Garamond" w:eastAsia="Garamond" w:hAnsi="Garamond"/>
          <w:sz w:val="22"/>
          <w:szCs w:val="22"/>
        </w:rPr>
        <w:t xml:space="preserve"> Cluster Analysis</w:t>
      </w:r>
      <w:r w:rsidR="005E4FC6" w:rsidRPr="003C01E5">
        <w:rPr>
          <w:rFonts w:ascii="Garamond" w:eastAsia="Garamond" w:hAnsi="Garamond"/>
          <w:sz w:val="22"/>
          <w:szCs w:val="22"/>
        </w:rPr>
        <w:t>’</w:t>
      </w:r>
      <w:r w:rsidRPr="003C01E5">
        <w:rPr>
          <w:rFonts w:ascii="Garamond" w:eastAsia="Garamond" w:hAnsi="Garamond"/>
          <w:sz w:val="22"/>
          <w:szCs w:val="22"/>
        </w:rPr>
        <w:t xml:space="preserve">. </w:t>
      </w:r>
      <w:r w:rsidRPr="003C01E5">
        <w:rPr>
          <w:rFonts w:ascii="Garamond" w:eastAsia="Garamond" w:hAnsi="Garamond"/>
          <w:i/>
          <w:sz w:val="22"/>
          <w:szCs w:val="22"/>
        </w:rPr>
        <w:t>Global Social Policy</w:t>
      </w:r>
      <w:r w:rsidRPr="003C01E5">
        <w:rPr>
          <w:rFonts w:ascii="Garamond" w:eastAsia="Garamond" w:hAnsi="Garamond"/>
          <w:sz w:val="22"/>
          <w:szCs w:val="22"/>
        </w:rPr>
        <w:t xml:space="preserve"> 10</w:t>
      </w:r>
      <w:r w:rsidR="00FA1C35" w:rsidRPr="003C01E5">
        <w:rPr>
          <w:rFonts w:ascii="Garamond" w:eastAsia="Garamond" w:hAnsi="Garamond"/>
          <w:sz w:val="22"/>
          <w:szCs w:val="22"/>
        </w:rPr>
        <w:t>,</w:t>
      </w:r>
      <w:r w:rsidRPr="003C01E5">
        <w:rPr>
          <w:rFonts w:ascii="Garamond" w:eastAsia="Garamond" w:hAnsi="Garamond"/>
          <w:sz w:val="22"/>
          <w:szCs w:val="22"/>
        </w:rPr>
        <w:t xml:space="preserve"> 27-58.</w:t>
      </w:r>
    </w:p>
    <w:p w14:paraId="57129325" w14:textId="77777777" w:rsidR="001B175B" w:rsidRPr="003C01E5" w:rsidRDefault="001B175B"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Amoah, P. (2020). Examining Attitudes towards Welfare in an </w:t>
      </w:r>
      <w:proofErr w:type="gramStart"/>
      <w:r w:rsidRPr="003C01E5">
        <w:rPr>
          <w:rFonts w:ascii="Garamond" w:eastAsia="Garamond" w:hAnsi="Garamond"/>
          <w:sz w:val="22"/>
          <w:szCs w:val="22"/>
        </w:rPr>
        <w:t>In</w:t>
      </w:r>
      <w:proofErr w:type="gramEnd"/>
      <w:r w:rsidRPr="003C01E5">
        <w:rPr>
          <w:rFonts w:ascii="Garamond" w:eastAsia="Garamond" w:hAnsi="Garamond"/>
          <w:sz w:val="22"/>
          <w:szCs w:val="22"/>
        </w:rPr>
        <w:t>/Security Regime: Evidence from Ghana. </w:t>
      </w:r>
      <w:r w:rsidRPr="003C01E5">
        <w:rPr>
          <w:rFonts w:ascii="Garamond" w:eastAsia="Garamond" w:hAnsi="Garamond"/>
          <w:i/>
          <w:iCs/>
          <w:sz w:val="22"/>
          <w:szCs w:val="22"/>
        </w:rPr>
        <w:t>Social Policy and Society,</w:t>
      </w:r>
      <w:r w:rsidRPr="003C01E5">
        <w:rPr>
          <w:rFonts w:ascii="Garamond" w:eastAsia="Garamond" w:hAnsi="Garamond"/>
          <w:sz w:val="22"/>
          <w:szCs w:val="22"/>
        </w:rPr>
        <w:t> 1-16. </w:t>
      </w:r>
    </w:p>
    <w:p w14:paraId="61C32BCB" w14:textId="2C195A97" w:rsidR="005360C5" w:rsidRPr="003C01E5" w:rsidRDefault="005360C5"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Bakker</w:t>
      </w:r>
      <w:r w:rsidR="00234EAA" w:rsidRPr="003C01E5">
        <w:rPr>
          <w:rFonts w:ascii="Garamond" w:eastAsia="Garamond" w:hAnsi="Garamond"/>
          <w:sz w:val="22"/>
          <w:szCs w:val="22"/>
        </w:rPr>
        <w:t>,</w:t>
      </w:r>
      <w:r w:rsidRPr="003C01E5">
        <w:rPr>
          <w:rFonts w:ascii="Garamond" w:eastAsia="Garamond" w:hAnsi="Garamond"/>
          <w:sz w:val="22"/>
          <w:szCs w:val="22"/>
        </w:rPr>
        <w:t xml:space="preserve"> I</w:t>
      </w:r>
      <w:r w:rsidR="00234EAA" w:rsidRPr="003C01E5">
        <w:rPr>
          <w:rFonts w:ascii="Garamond" w:eastAsia="Garamond" w:hAnsi="Garamond"/>
          <w:sz w:val="22"/>
          <w:szCs w:val="22"/>
        </w:rPr>
        <w:t>.</w:t>
      </w:r>
      <w:r w:rsidRPr="003C01E5">
        <w:rPr>
          <w:rFonts w:ascii="Garamond" w:eastAsia="Garamond" w:hAnsi="Garamond"/>
          <w:sz w:val="22"/>
          <w:szCs w:val="22"/>
        </w:rPr>
        <w:t xml:space="preserve"> and </w:t>
      </w:r>
      <w:proofErr w:type="spellStart"/>
      <w:r w:rsidRPr="003C01E5">
        <w:rPr>
          <w:rFonts w:ascii="Garamond" w:eastAsia="Garamond" w:hAnsi="Garamond"/>
          <w:sz w:val="22"/>
          <w:szCs w:val="22"/>
        </w:rPr>
        <w:t>Silvey</w:t>
      </w:r>
      <w:proofErr w:type="spellEnd"/>
      <w:r w:rsidRPr="003C01E5">
        <w:rPr>
          <w:rFonts w:ascii="Garamond" w:eastAsia="Garamond" w:hAnsi="Garamond"/>
          <w:sz w:val="22"/>
          <w:szCs w:val="22"/>
        </w:rPr>
        <w:t xml:space="preserve"> R. (2008) </w:t>
      </w:r>
      <w:r w:rsidRPr="003C01E5">
        <w:rPr>
          <w:rFonts w:ascii="Garamond" w:eastAsia="Garamond" w:hAnsi="Garamond"/>
          <w:i/>
          <w:iCs/>
          <w:sz w:val="22"/>
          <w:szCs w:val="22"/>
        </w:rPr>
        <w:t>Beyond States and Markets: The Challenges of Social Reproduction</w:t>
      </w:r>
      <w:r w:rsidR="005E4FC6" w:rsidRPr="003C01E5">
        <w:rPr>
          <w:rFonts w:ascii="Garamond" w:eastAsia="Garamond" w:hAnsi="Garamond"/>
          <w:sz w:val="22"/>
          <w:szCs w:val="22"/>
        </w:rPr>
        <w:t>,</w:t>
      </w:r>
      <w:r w:rsidRPr="003C01E5">
        <w:rPr>
          <w:rFonts w:ascii="Garamond" w:eastAsia="Garamond" w:hAnsi="Garamond"/>
          <w:sz w:val="22"/>
          <w:szCs w:val="22"/>
        </w:rPr>
        <w:t xml:space="preserve"> Abingdon: Routledge.</w:t>
      </w:r>
    </w:p>
    <w:p w14:paraId="6A617D19" w14:textId="34B33011" w:rsidR="00166688" w:rsidRPr="003C01E5" w:rsidRDefault="000E535A"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Benería</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L, </w:t>
      </w:r>
      <w:proofErr w:type="spellStart"/>
      <w:r w:rsidRPr="003C01E5">
        <w:rPr>
          <w:rFonts w:ascii="Garamond" w:eastAsia="Garamond" w:hAnsi="Garamond"/>
          <w:sz w:val="22"/>
          <w:szCs w:val="22"/>
        </w:rPr>
        <w:t>Berik</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G</w:t>
      </w:r>
      <w:r w:rsidR="00234EAA" w:rsidRPr="003C01E5">
        <w:rPr>
          <w:rFonts w:ascii="Garamond" w:eastAsia="Garamond" w:hAnsi="Garamond"/>
          <w:sz w:val="22"/>
          <w:szCs w:val="22"/>
        </w:rPr>
        <w:t>.</w:t>
      </w:r>
      <w:r w:rsidRPr="003C01E5">
        <w:rPr>
          <w:rFonts w:ascii="Garamond" w:eastAsia="Garamond" w:hAnsi="Garamond"/>
          <w:sz w:val="22"/>
          <w:szCs w:val="22"/>
        </w:rPr>
        <w:t xml:space="preserve"> and </w:t>
      </w:r>
      <w:proofErr w:type="spellStart"/>
      <w:r w:rsidRPr="003C01E5">
        <w:rPr>
          <w:rFonts w:ascii="Garamond" w:eastAsia="Garamond" w:hAnsi="Garamond"/>
          <w:sz w:val="22"/>
          <w:szCs w:val="22"/>
        </w:rPr>
        <w:t>Floro</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M</w:t>
      </w:r>
      <w:r w:rsidR="00F801FD">
        <w:rPr>
          <w:rFonts w:ascii="Garamond" w:eastAsia="Garamond" w:hAnsi="Garamond"/>
          <w:sz w:val="22"/>
          <w:szCs w:val="22"/>
        </w:rPr>
        <w:t xml:space="preserve">. </w:t>
      </w:r>
      <w:r w:rsidRPr="003C01E5">
        <w:rPr>
          <w:rFonts w:ascii="Garamond" w:eastAsia="Garamond" w:hAnsi="Garamond"/>
          <w:sz w:val="22"/>
          <w:szCs w:val="22"/>
        </w:rPr>
        <w:t xml:space="preserve">S. (2015) </w:t>
      </w:r>
      <w:r w:rsidRPr="003C01E5">
        <w:rPr>
          <w:rFonts w:ascii="Garamond" w:eastAsia="Garamond" w:hAnsi="Garamond"/>
          <w:i/>
          <w:iCs/>
          <w:sz w:val="22"/>
          <w:szCs w:val="22"/>
        </w:rPr>
        <w:t xml:space="preserve">Gender, Development and Globalization: Economics as if All People Mattered, </w:t>
      </w:r>
      <w:r w:rsidRPr="003C01E5">
        <w:rPr>
          <w:rFonts w:ascii="Garamond" w:eastAsia="Garamond" w:hAnsi="Garamond"/>
          <w:sz w:val="22"/>
          <w:szCs w:val="22"/>
        </w:rPr>
        <w:t>New York: Routledge.</w:t>
      </w:r>
    </w:p>
    <w:p w14:paraId="1E82EA56" w14:textId="5947CA06" w:rsidR="00166688" w:rsidRPr="003C01E5" w:rsidRDefault="00166688"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hAnsi="Garamond" w:cstheme="minorHAnsi"/>
          <w:sz w:val="22"/>
          <w:szCs w:val="22"/>
        </w:rPr>
        <w:t>Böger</w:t>
      </w:r>
      <w:proofErr w:type="spellEnd"/>
      <w:r w:rsidRPr="003C01E5">
        <w:rPr>
          <w:rFonts w:ascii="Garamond" w:hAnsi="Garamond" w:cstheme="minorHAnsi"/>
          <w:sz w:val="22"/>
          <w:szCs w:val="22"/>
        </w:rPr>
        <w:t xml:space="preserve">, T. </w:t>
      </w:r>
      <w:proofErr w:type="gramStart"/>
      <w:r w:rsidRPr="003C01E5">
        <w:rPr>
          <w:rFonts w:ascii="Garamond" w:hAnsi="Garamond" w:cstheme="minorHAnsi"/>
          <w:sz w:val="22"/>
          <w:szCs w:val="22"/>
        </w:rPr>
        <w:t>and  </w:t>
      </w:r>
      <w:proofErr w:type="spellStart"/>
      <w:r w:rsidRPr="003C01E5">
        <w:rPr>
          <w:rFonts w:ascii="Garamond" w:hAnsi="Garamond" w:cstheme="minorHAnsi"/>
          <w:sz w:val="22"/>
          <w:szCs w:val="22"/>
        </w:rPr>
        <w:t>Öktem</w:t>
      </w:r>
      <w:proofErr w:type="spellEnd"/>
      <w:proofErr w:type="gramEnd"/>
      <w:r w:rsidRPr="003C01E5">
        <w:rPr>
          <w:rFonts w:ascii="Garamond" w:hAnsi="Garamond" w:cstheme="minorHAnsi"/>
          <w:sz w:val="22"/>
          <w:szCs w:val="22"/>
        </w:rPr>
        <w:t>, K</w:t>
      </w:r>
      <w:r w:rsidR="00F801FD">
        <w:rPr>
          <w:rFonts w:ascii="Garamond" w:hAnsi="Garamond" w:cstheme="minorHAnsi"/>
          <w:sz w:val="22"/>
          <w:szCs w:val="22"/>
        </w:rPr>
        <w:t xml:space="preserve">. </w:t>
      </w:r>
      <w:r w:rsidRPr="003C01E5">
        <w:rPr>
          <w:rFonts w:ascii="Garamond" w:hAnsi="Garamond" w:cstheme="minorHAnsi"/>
          <w:sz w:val="22"/>
          <w:szCs w:val="22"/>
        </w:rPr>
        <w:t>G.  (2019) ‘Levels or worlds of welfare? Assessing social rights and social stratification in Northern and Southern countries’, </w:t>
      </w:r>
      <w:r w:rsidRPr="003C01E5">
        <w:rPr>
          <w:rFonts w:ascii="Garamond" w:hAnsi="Garamond" w:cstheme="minorHAnsi"/>
          <w:i/>
          <w:iCs/>
          <w:sz w:val="22"/>
          <w:szCs w:val="22"/>
        </w:rPr>
        <w:t>Social Policy &amp; Administration</w:t>
      </w:r>
      <w:r w:rsidRPr="003C01E5">
        <w:rPr>
          <w:rFonts w:ascii="Garamond" w:hAnsi="Garamond" w:cstheme="minorHAnsi"/>
          <w:sz w:val="22"/>
          <w:szCs w:val="22"/>
        </w:rPr>
        <w:t>, 53, 63-77.</w:t>
      </w:r>
    </w:p>
    <w:p w14:paraId="2C227F65" w14:textId="473FA2E0" w:rsidR="00F13D7D" w:rsidRPr="003C01E5" w:rsidRDefault="00F13D7D"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Budlender</w:t>
      </w:r>
      <w:proofErr w:type="spellEnd"/>
      <w:r w:rsidRPr="003C01E5">
        <w:rPr>
          <w:rFonts w:ascii="Garamond" w:eastAsia="Garamond" w:hAnsi="Garamond"/>
          <w:sz w:val="22"/>
          <w:szCs w:val="22"/>
        </w:rPr>
        <w:t xml:space="preserve">, D. (2007) </w:t>
      </w:r>
      <w:r w:rsidRPr="003C01E5">
        <w:rPr>
          <w:rFonts w:ascii="Garamond" w:eastAsia="Garamond" w:hAnsi="Garamond"/>
          <w:i/>
          <w:iCs/>
          <w:sz w:val="22"/>
          <w:szCs w:val="22"/>
        </w:rPr>
        <w:t>A critical review of selected time use surveys</w:t>
      </w:r>
      <w:r w:rsidRPr="003C01E5">
        <w:rPr>
          <w:rFonts w:ascii="Garamond" w:eastAsia="Garamond" w:hAnsi="Garamond"/>
          <w:sz w:val="22"/>
          <w:szCs w:val="22"/>
        </w:rPr>
        <w:t xml:space="preserve">, United Nations Research </w:t>
      </w:r>
      <w:r w:rsidR="0043652E" w:rsidRPr="003C01E5">
        <w:rPr>
          <w:rFonts w:ascii="Garamond" w:eastAsia="Garamond" w:hAnsi="Garamond"/>
          <w:sz w:val="22"/>
          <w:szCs w:val="22"/>
        </w:rPr>
        <w:t>Institute</w:t>
      </w:r>
      <w:r w:rsidRPr="003C01E5">
        <w:rPr>
          <w:rFonts w:ascii="Garamond" w:eastAsia="Garamond" w:hAnsi="Garamond"/>
          <w:sz w:val="22"/>
          <w:szCs w:val="22"/>
        </w:rPr>
        <w:t xml:space="preserve"> for Social Development.</w:t>
      </w:r>
    </w:p>
    <w:p w14:paraId="0A1E0E52" w14:textId="585FFA1E" w:rsidR="00F870E2" w:rsidRPr="003C01E5" w:rsidRDefault="00F870E2"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Chau</w:t>
      </w:r>
      <w:r w:rsidR="00234EAA" w:rsidRPr="003C01E5">
        <w:rPr>
          <w:rFonts w:ascii="Garamond" w:eastAsia="Garamond" w:hAnsi="Garamond"/>
          <w:sz w:val="22"/>
          <w:szCs w:val="22"/>
        </w:rPr>
        <w:t>,</w:t>
      </w:r>
      <w:r w:rsidR="00885551" w:rsidRPr="003C01E5">
        <w:rPr>
          <w:rFonts w:ascii="Garamond" w:eastAsia="Garamond" w:hAnsi="Garamond"/>
          <w:sz w:val="22"/>
          <w:szCs w:val="22"/>
        </w:rPr>
        <w:t xml:space="preserve"> R.</w:t>
      </w:r>
      <w:r w:rsidRPr="003C01E5">
        <w:rPr>
          <w:rFonts w:ascii="Garamond" w:eastAsia="Garamond" w:hAnsi="Garamond"/>
          <w:sz w:val="22"/>
          <w:szCs w:val="22"/>
        </w:rPr>
        <w:t>, Yu,</w:t>
      </w:r>
      <w:r w:rsidR="00885551" w:rsidRPr="003C01E5">
        <w:rPr>
          <w:rFonts w:ascii="Garamond" w:eastAsia="Garamond" w:hAnsi="Garamond"/>
          <w:sz w:val="22"/>
          <w:szCs w:val="22"/>
        </w:rPr>
        <w:t xml:space="preserve"> S.,</w:t>
      </w:r>
      <w:r w:rsidRPr="003C01E5">
        <w:rPr>
          <w:rFonts w:ascii="Garamond" w:eastAsia="Garamond" w:hAnsi="Garamond"/>
          <w:sz w:val="22"/>
          <w:szCs w:val="22"/>
        </w:rPr>
        <w:t xml:space="preserve"> </w:t>
      </w:r>
      <w:r w:rsidR="00885551" w:rsidRPr="003C01E5">
        <w:rPr>
          <w:rFonts w:ascii="Garamond" w:eastAsia="Garamond" w:hAnsi="Garamond"/>
          <w:sz w:val="22"/>
          <w:szCs w:val="22"/>
        </w:rPr>
        <w:t>F</w:t>
      </w:r>
      <w:r w:rsidRPr="003C01E5">
        <w:rPr>
          <w:rFonts w:ascii="Garamond" w:eastAsia="Garamond" w:hAnsi="Garamond"/>
          <w:sz w:val="22"/>
          <w:szCs w:val="22"/>
        </w:rPr>
        <w:t>oster</w:t>
      </w:r>
      <w:r w:rsidR="00885551" w:rsidRPr="003C01E5">
        <w:rPr>
          <w:rFonts w:ascii="Garamond" w:eastAsia="Garamond" w:hAnsi="Garamond"/>
          <w:sz w:val="22"/>
          <w:szCs w:val="22"/>
        </w:rPr>
        <w:t xml:space="preserve">, L. </w:t>
      </w:r>
      <w:r w:rsidRPr="003C01E5">
        <w:rPr>
          <w:rFonts w:ascii="Garamond" w:eastAsia="Garamond" w:hAnsi="Garamond"/>
          <w:sz w:val="22"/>
          <w:szCs w:val="22"/>
        </w:rPr>
        <w:t xml:space="preserve"> </w:t>
      </w:r>
      <w:r w:rsidR="00885551" w:rsidRPr="003C01E5">
        <w:rPr>
          <w:rFonts w:ascii="Garamond" w:eastAsia="Garamond" w:hAnsi="Garamond"/>
          <w:sz w:val="22"/>
          <w:szCs w:val="22"/>
        </w:rPr>
        <w:t xml:space="preserve">and </w:t>
      </w:r>
      <w:r w:rsidRPr="003C01E5">
        <w:rPr>
          <w:rFonts w:ascii="Garamond" w:eastAsia="Garamond" w:hAnsi="Garamond"/>
          <w:sz w:val="22"/>
          <w:szCs w:val="22"/>
        </w:rPr>
        <w:t>Lau</w:t>
      </w:r>
      <w:r w:rsidR="00885551" w:rsidRPr="003C01E5">
        <w:rPr>
          <w:rFonts w:ascii="Garamond" w:eastAsia="Garamond" w:hAnsi="Garamond"/>
          <w:sz w:val="22"/>
          <w:szCs w:val="22"/>
        </w:rPr>
        <w:t>, M.</w:t>
      </w:r>
      <w:r w:rsidRPr="003C01E5">
        <w:rPr>
          <w:rFonts w:ascii="Garamond" w:eastAsia="Garamond" w:hAnsi="Garamond"/>
          <w:sz w:val="22"/>
          <w:szCs w:val="22"/>
        </w:rPr>
        <w:t> (2017) </w:t>
      </w:r>
      <w:r w:rsidR="005E4FC6" w:rsidRPr="003C01E5">
        <w:rPr>
          <w:rFonts w:ascii="Garamond" w:eastAsia="Garamond" w:hAnsi="Garamond"/>
          <w:sz w:val="22"/>
          <w:szCs w:val="22"/>
        </w:rPr>
        <w:t>‘</w:t>
      </w:r>
      <w:proofErr w:type="spellStart"/>
      <w:r w:rsidRPr="003C01E5">
        <w:rPr>
          <w:rFonts w:ascii="Garamond" w:eastAsia="Garamond" w:hAnsi="Garamond"/>
          <w:sz w:val="22"/>
          <w:szCs w:val="22"/>
        </w:rPr>
        <w:t>Defamilisation</w:t>
      </w:r>
      <w:proofErr w:type="spellEnd"/>
      <w:r w:rsidRPr="003C01E5">
        <w:rPr>
          <w:rFonts w:ascii="Garamond" w:eastAsia="Garamond" w:hAnsi="Garamond"/>
          <w:sz w:val="22"/>
          <w:szCs w:val="22"/>
        </w:rPr>
        <w:t xml:space="preserve"> measures and women's labour force participation – a comparative study of twelve countries</w:t>
      </w:r>
      <w:r w:rsidR="005E4FC6" w:rsidRPr="003C01E5">
        <w:rPr>
          <w:rFonts w:ascii="Garamond" w:eastAsia="Garamond" w:hAnsi="Garamond"/>
          <w:sz w:val="22"/>
          <w:szCs w:val="22"/>
        </w:rPr>
        <w:t>’</w:t>
      </w:r>
      <w:r w:rsidRPr="003C01E5">
        <w:rPr>
          <w:rFonts w:ascii="Garamond" w:eastAsia="Garamond" w:hAnsi="Garamond"/>
          <w:sz w:val="22"/>
          <w:szCs w:val="22"/>
        </w:rPr>
        <w:t>, </w:t>
      </w:r>
      <w:r w:rsidRPr="003C01E5">
        <w:rPr>
          <w:rFonts w:ascii="Garamond" w:eastAsia="Garamond" w:hAnsi="Garamond"/>
          <w:i/>
          <w:iCs/>
          <w:sz w:val="22"/>
          <w:szCs w:val="22"/>
        </w:rPr>
        <w:t>Journal of International and Comparative Social Policy</w:t>
      </w:r>
      <w:r w:rsidRPr="003C01E5">
        <w:rPr>
          <w:rFonts w:ascii="Garamond" w:eastAsia="Garamond" w:hAnsi="Garamond"/>
          <w:sz w:val="22"/>
          <w:szCs w:val="22"/>
        </w:rPr>
        <w:t>, 33</w:t>
      </w:r>
      <w:r w:rsidR="00FA1C35" w:rsidRPr="003C01E5">
        <w:rPr>
          <w:rFonts w:ascii="Garamond" w:eastAsia="Garamond" w:hAnsi="Garamond"/>
          <w:sz w:val="22"/>
          <w:szCs w:val="22"/>
        </w:rPr>
        <w:t>, 1</w:t>
      </w:r>
      <w:r w:rsidRPr="003C01E5">
        <w:rPr>
          <w:rFonts w:ascii="Garamond" w:eastAsia="Garamond" w:hAnsi="Garamond"/>
          <w:sz w:val="22"/>
          <w:szCs w:val="22"/>
        </w:rPr>
        <w:t>, 73-86</w:t>
      </w:r>
      <w:r w:rsidR="009821A5" w:rsidRPr="003C01E5">
        <w:rPr>
          <w:rFonts w:ascii="Garamond" w:eastAsia="Garamond" w:hAnsi="Garamond"/>
          <w:sz w:val="22"/>
          <w:szCs w:val="22"/>
        </w:rPr>
        <w:t>.</w:t>
      </w:r>
    </w:p>
    <w:p w14:paraId="7AD50DFC" w14:textId="750B3560" w:rsidR="00861693" w:rsidRPr="003C01E5" w:rsidRDefault="00861693"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lastRenderedPageBreak/>
        <w:t>Ferrera</w:t>
      </w:r>
      <w:proofErr w:type="spellEnd"/>
      <w:r w:rsidRPr="003C01E5">
        <w:rPr>
          <w:rFonts w:ascii="Garamond" w:eastAsia="Garamond" w:hAnsi="Garamond"/>
          <w:sz w:val="22"/>
          <w:szCs w:val="22"/>
        </w:rPr>
        <w:t>, M. (2016</w:t>
      </w:r>
      <w:proofErr w:type="gramStart"/>
      <w:r w:rsidR="00FA1C35" w:rsidRPr="003C01E5">
        <w:rPr>
          <w:rFonts w:ascii="Garamond" w:eastAsia="Garamond" w:hAnsi="Garamond"/>
          <w:sz w:val="22"/>
          <w:szCs w:val="22"/>
        </w:rPr>
        <w:t>)</w:t>
      </w:r>
      <w:r w:rsidRPr="003C01E5">
        <w:rPr>
          <w:rFonts w:ascii="Garamond" w:eastAsia="Garamond" w:hAnsi="Garamond"/>
          <w:sz w:val="22"/>
          <w:szCs w:val="22"/>
        </w:rPr>
        <w:t>  ‘</w:t>
      </w:r>
      <w:proofErr w:type="gramEnd"/>
      <w:r w:rsidRPr="003C01E5">
        <w:rPr>
          <w:rFonts w:ascii="Garamond" w:eastAsia="Garamond" w:hAnsi="Garamond"/>
          <w:sz w:val="22"/>
          <w:szCs w:val="22"/>
        </w:rPr>
        <w:t>Resemblances that matter: Lessons from the comparison between Southern Europe and East Asia’, </w:t>
      </w:r>
      <w:r w:rsidRPr="003C01E5">
        <w:rPr>
          <w:rFonts w:ascii="Garamond" w:eastAsia="Garamond" w:hAnsi="Garamond"/>
          <w:i/>
          <w:iCs/>
          <w:sz w:val="22"/>
          <w:szCs w:val="22"/>
        </w:rPr>
        <w:t>Journal of European Social Policy</w:t>
      </w:r>
      <w:r w:rsidRPr="003C01E5">
        <w:rPr>
          <w:rFonts w:ascii="Garamond" w:eastAsia="Garamond" w:hAnsi="Garamond"/>
          <w:sz w:val="22"/>
          <w:szCs w:val="22"/>
        </w:rPr>
        <w:t>,  26, 4</w:t>
      </w:r>
      <w:r w:rsidR="00FA1C35" w:rsidRPr="003C01E5">
        <w:rPr>
          <w:rFonts w:ascii="Garamond" w:eastAsia="Garamond" w:hAnsi="Garamond"/>
          <w:sz w:val="22"/>
          <w:szCs w:val="22"/>
        </w:rPr>
        <w:t>,</w:t>
      </w:r>
      <w:r w:rsidRPr="003C01E5">
        <w:rPr>
          <w:rFonts w:ascii="Garamond" w:eastAsia="Garamond" w:hAnsi="Garamond"/>
          <w:sz w:val="22"/>
          <w:szCs w:val="22"/>
        </w:rPr>
        <w:t> 374</w:t>
      </w:r>
      <w:r w:rsidR="009821A5" w:rsidRPr="003C01E5">
        <w:rPr>
          <w:rFonts w:ascii="Garamond" w:eastAsia="Garamond" w:hAnsi="Garamond"/>
          <w:sz w:val="22"/>
          <w:szCs w:val="22"/>
        </w:rPr>
        <w:t>-</w:t>
      </w:r>
      <w:r w:rsidRPr="003C01E5">
        <w:rPr>
          <w:rFonts w:ascii="Garamond" w:eastAsia="Garamond" w:hAnsi="Garamond"/>
          <w:sz w:val="22"/>
          <w:szCs w:val="22"/>
        </w:rPr>
        <w:t>83.</w:t>
      </w:r>
    </w:p>
    <w:p w14:paraId="1D1E090F" w14:textId="09B391F5" w:rsidR="005E4FC6" w:rsidRPr="003C01E5" w:rsidRDefault="00861693"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 </w:t>
      </w:r>
      <w:proofErr w:type="spellStart"/>
      <w:r w:rsidR="005E4FC6" w:rsidRPr="003C01E5">
        <w:rPr>
          <w:rFonts w:ascii="Garamond" w:eastAsia="Garamond" w:hAnsi="Garamond"/>
          <w:sz w:val="22"/>
          <w:szCs w:val="22"/>
        </w:rPr>
        <w:t>Franzoni</w:t>
      </w:r>
      <w:proofErr w:type="spellEnd"/>
      <w:r w:rsidR="00234EAA" w:rsidRPr="003C01E5">
        <w:rPr>
          <w:rFonts w:ascii="Garamond" w:eastAsia="Garamond" w:hAnsi="Garamond"/>
          <w:sz w:val="22"/>
          <w:szCs w:val="22"/>
        </w:rPr>
        <w:t>,</w:t>
      </w:r>
      <w:r w:rsidR="005E4FC6" w:rsidRPr="003C01E5">
        <w:rPr>
          <w:rFonts w:ascii="Garamond" w:eastAsia="Garamond" w:hAnsi="Garamond"/>
          <w:sz w:val="22"/>
          <w:szCs w:val="22"/>
        </w:rPr>
        <w:t xml:space="preserve"> J. M. (2008) ‘Welfare regimes in Latin America: Capturing constellations of markets, families, and policies’,</w:t>
      </w:r>
      <w:r w:rsidR="005E4FC6" w:rsidRPr="003C01E5">
        <w:rPr>
          <w:rFonts w:ascii="Garamond" w:eastAsia="Garamond" w:hAnsi="Garamond"/>
          <w:i/>
          <w:iCs/>
          <w:sz w:val="22"/>
          <w:szCs w:val="22"/>
        </w:rPr>
        <w:t xml:space="preserve"> Latin American Politics and Society</w:t>
      </w:r>
      <w:r w:rsidR="005E4FC6" w:rsidRPr="003C01E5">
        <w:rPr>
          <w:rFonts w:ascii="Garamond" w:eastAsia="Garamond" w:hAnsi="Garamond"/>
          <w:sz w:val="22"/>
          <w:szCs w:val="22"/>
        </w:rPr>
        <w:t>, 50</w:t>
      </w:r>
      <w:r w:rsidR="00FA1C35" w:rsidRPr="003C01E5">
        <w:rPr>
          <w:rFonts w:ascii="Garamond" w:eastAsia="Garamond" w:hAnsi="Garamond"/>
          <w:sz w:val="22"/>
          <w:szCs w:val="22"/>
        </w:rPr>
        <w:t xml:space="preserve">, </w:t>
      </w:r>
      <w:proofErr w:type="gramStart"/>
      <w:r w:rsidR="005E4FC6" w:rsidRPr="003C01E5">
        <w:rPr>
          <w:rFonts w:ascii="Garamond" w:eastAsia="Garamond" w:hAnsi="Garamond"/>
          <w:sz w:val="22"/>
          <w:szCs w:val="22"/>
        </w:rPr>
        <w:t>2 ,</w:t>
      </w:r>
      <w:proofErr w:type="gramEnd"/>
      <w:r w:rsidR="005E4FC6" w:rsidRPr="003C01E5">
        <w:rPr>
          <w:rFonts w:ascii="Garamond" w:eastAsia="Garamond" w:hAnsi="Garamond"/>
          <w:sz w:val="22"/>
          <w:szCs w:val="22"/>
        </w:rPr>
        <w:t xml:space="preserve"> 67-100.</w:t>
      </w:r>
    </w:p>
    <w:p w14:paraId="00936B0B" w14:textId="4FFF4EED" w:rsidR="005360C5" w:rsidRPr="003C01E5" w:rsidRDefault="005360C5"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Gough</w:t>
      </w:r>
      <w:r w:rsidR="00234EAA" w:rsidRPr="003C01E5">
        <w:rPr>
          <w:rFonts w:ascii="Garamond" w:eastAsia="Garamond" w:hAnsi="Garamond"/>
          <w:sz w:val="22"/>
          <w:szCs w:val="22"/>
        </w:rPr>
        <w:t>,</w:t>
      </w:r>
      <w:r w:rsidRPr="003C01E5">
        <w:rPr>
          <w:rFonts w:ascii="Garamond" w:eastAsia="Garamond" w:hAnsi="Garamond"/>
          <w:sz w:val="22"/>
          <w:szCs w:val="22"/>
        </w:rPr>
        <w:t xml:space="preserve"> I. (2004) Welfare regimes in development contexts: a global and regional analysis. In: Gough</w:t>
      </w:r>
      <w:r w:rsidR="00234EAA" w:rsidRPr="003C01E5">
        <w:rPr>
          <w:rFonts w:ascii="Garamond" w:eastAsia="Garamond" w:hAnsi="Garamond"/>
          <w:sz w:val="22"/>
          <w:szCs w:val="22"/>
        </w:rPr>
        <w:t xml:space="preserve">, </w:t>
      </w:r>
      <w:r w:rsidRPr="003C01E5">
        <w:rPr>
          <w:rFonts w:ascii="Garamond" w:eastAsia="Garamond" w:hAnsi="Garamond"/>
          <w:sz w:val="22"/>
          <w:szCs w:val="22"/>
        </w:rPr>
        <w:t>I</w:t>
      </w:r>
      <w:r w:rsidR="00234EAA" w:rsidRPr="003C01E5">
        <w:rPr>
          <w:rFonts w:ascii="Garamond" w:eastAsia="Garamond" w:hAnsi="Garamond"/>
          <w:sz w:val="22"/>
          <w:szCs w:val="22"/>
        </w:rPr>
        <w:t>.</w:t>
      </w:r>
      <w:r w:rsidRPr="003C01E5">
        <w:rPr>
          <w:rFonts w:ascii="Garamond" w:eastAsia="Garamond" w:hAnsi="Garamond"/>
          <w:sz w:val="22"/>
          <w:szCs w:val="22"/>
        </w:rPr>
        <w:t>, Wood</w:t>
      </w:r>
      <w:r w:rsidR="00234EAA" w:rsidRPr="003C01E5">
        <w:rPr>
          <w:rFonts w:ascii="Garamond" w:eastAsia="Garamond" w:hAnsi="Garamond"/>
          <w:sz w:val="22"/>
          <w:szCs w:val="22"/>
        </w:rPr>
        <w:t>,</w:t>
      </w:r>
      <w:r w:rsidRPr="003C01E5">
        <w:rPr>
          <w:rFonts w:ascii="Garamond" w:eastAsia="Garamond" w:hAnsi="Garamond"/>
          <w:sz w:val="22"/>
          <w:szCs w:val="22"/>
        </w:rPr>
        <w:t xml:space="preserve"> </w:t>
      </w:r>
      <w:proofErr w:type="gramStart"/>
      <w:r w:rsidRPr="003C01E5">
        <w:rPr>
          <w:rFonts w:ascii="Garamond" w:eastAsia="Garamond" w:hAnsi="Garamond"/>
          <w:sz w:val="22"/>
          <w:szCs w:val="22"/>
        </w:rPr>
        <w:t>G</w:t>
      </w:r>
      <w:r w:rsidR="00234EAA" w:rsidRPr="003C01E5">
        <w:rPr>
          <w:rFonts w:ascii="Garamond" w:eastAsia="Garamond" w:hAnsi="Garamond"/>
          <w:sz w:val="22"/>
          <w:szCs w:val="22"/>
        </w:rPr>
        <w:t>.,</w:t>
      </w:r>
      <w:r w:rsidRPr="003C01E5">
        <w:rPr>
          <w:rFonts w:ascii="Garamond" w:eastAsia="Garamond" w:hAnsi="Garamond"/>
          <w:sz w:val="22"/>
          <w:szCs w:val="22"/>
        </w:rPr>
        <w:t>,</w:t>
      </w:r>
      <w:proofErr w:type="gramEnd"/>
      <w:r w:rsidRPr="003C01E5">
        <w:rPr>
          <w:rFonts w:ascii="Garamond" w:eastAsia="Garamond" w:hAnsi="Garamond"/>
          <w:sz w:val="22"/>
          <w:szCs w:val="22"/>
        </w:rPr>
        <w:t xml:space="preserve"> Barrientos A</w:t>
      </w:r>
      <w:r w:rsidR="00234EAA" w:rsidRPr="003C01E5">
        <w:rPr>
          <w:rFonts w:ascii="Garamond" w:eastAsia="Garamond" w:hAnsi="Garamond"/>
          <w:sz w:val="22"/>
          <w:szCs w:val="22"/>
        </w:rPr>
        <w:t>.</w:t>
      </w:r>
      <w:r w:rsidRPr="003C01E5">
        <w:rPr>
          <w:rFonts w:ascii="Garamond" w:eastAsia="Garamond" w:hAnsi="Garamond"/>
          <w:sz w:val="22"/>
          <w:szCs w:val="22"/>
        </w:rPr>
        <w:t xml:space="preserve">, et al. (eds) </w:t>
      </w:r>
      <w:r w:rsidRPr="003C01E5">
        <w:rPr>
          <w:rFonts w:ascii="Garamond" w:eastAsia="Garamond" w:hAnsi="Garamond"/>
          <w:i/>
          <w:sz w:val="22"/>
          <w:szCs w:val="22"/>
        </w:rPr>
        <w:t>Insecurity and Welfare Regimes in Asia, Africa and Latin America: Social Policy in Development Contexts.</w:t>
      </w:r>
      <w:r w:rsidRPr="003C01E5">
        <w:rPr>
          <w:rFonts w:ascii="Garamond" w:eastAsia="Garamond" w:hAnsi="Garamond"/>
          <w:sz w:val="22"/>
          <w:szCs w:val="22"/>
        </w:rPr>
        <w:t xml:space="preserve"> Cambridge: Cambridge University Press, </w:t>
      </w:r>
      <w:r w:rsidR="009821A5" w:rsidRPr="003C01E5">
        <w:rPr>
          <w:rFonts w:ascii="Garamond" w:eastAsia="Garamond" w:hAnsi="Garamond"/>
          <w:sz w:val="22"/>
          <w:szCs w:val="22"/>
        </w:rPr>
        <w:t xml:space="preserve">pp. </w:t>
      </w:r>
      <w:r w:rsidRPr="003C01E5">
        <w:rPr>
          <w:rFonts w:ascii="Garamond" w:eastAsia="Garamond" w:hAnsi="Garamond"/>
          <w:sz w:val="22"/>
          <w:szCs w:val="22"/>
        </w:rPr>
        <w:t>15-48.</w:t>
      </w:r>
    </w:p>
    <w:p w14:paraId="327E3939" w14:textId="7D31410A" w:rsidR="005360C5" w:rsidRPr="003C01E5" w:rsidRDefault="005360C5"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Gough</w:t>
      </w:r>
      <w:r w:rsidR="00234EAA" w:rsidRPr="003C01E5">
        <w:rPr>
          <w:rFonts w:ascii="Garamond" w:eastAsia="Garamond" w:hAnsi="Garamond"/>
          <w:sz w:val="22"/>
          <w:szCs w:val="22"/>
        </w:rPr>
        <w:t>,</w:t>
      </w:r>
      <w:r w:rsidRPr="003C01E5">
        <w:rPr>
          <w:rFonts w:ascii="Garamond" w:eastAsia="Garamond" w:hAnsi="Garamond"/>
          <w:sz w:val="22"/>
          <w:szCs w:val="22"/>
        </w:rPr>
        <w:t xml:space="preserve"> I</w:t>
      </w:r>
      <w:r w:rsidR="00234EAA" w:rsidRPr="003C01E5">
        <w:rPr>
          <w:rFonts w:ascii="Garamond" w:eastAsia="Garamond" w:hAnsi="Garamond"/>
          <w:sz w:val="22"/>
          <w:szCs w:val="22"/>
        </w:rPr>
        <w:t>.</w:t>
      </w:r>
      <w:r w:rsidRPr="003C01E5">
        <w:rPr>
          <w:rFonts w:ascii="Garamond" w:eastAsia="Garamond" w:hAnsi="Garamond"/>
          <w:sz w:val="22"/>
          <w:szCs w:val="22"/>
        </w:rPr>
        <w:t>, Wood</w:t>
      </w:r>
      <w:r w:rsidR="00234EAA" w:rsidRPr="003C01E5">
        <w:rPr>
          <w:rFonts w:ascii="Garamond" w:eastAsia="Garamond" w:hAnsi="Garamond"/>
          <w:sz w:val="22"/>
          <w:szCs w:val="22"/>
        </w:rPr>
        <w:t>,</w:t>
      </w:r>
      <w:r w:rsidRPr="003C01E5">
        <w:rPr>
          <w:rFonts w:ascii="Garamond" w:eastAsia="Garamond" w:hAnsi="Garamond"/>
          <w:sz w:val="22"/>
          <w:szCs w:val="22"/>
        </w:rPr>
        <w:t xml:space="preserve"> G</w:t>
      </w:r>
      <w:r w:rsidR="00234EAA" w:rsidRPr="003C01E5">
        <w:rPr>
          <w:rFonts w:ascii="Garamond" w:eastAsia="Garamond" w:hAnsi="Garamond"/>
          <w:sz w:val="22"/>
          <w:szCs w:val="22"/>
        </w:rPr>
        <w:t>.</w:t>
      </w:r>
      <w:r w:rsidRPr="003C01E5">
        <w:rPr>
          <w:rFonts w:ascii="Garamond" w:eastAsia="Garamond" w:hAnsi="Garamond"/>
          <w:sz w:val="22"/>
          <w:szCs w:val="22"/>
        </w:rPr>
        <w:t>, Barrientos</w:t>
      </w:r>
      <w:r w:rsidR="00234EAA" w:rsidRPr="003C01E5">
        <w:rPr>
          <w:rFonts w:ascii="Garamond" w:eastAsia="Garamond" w:hAnsi="Garamond"/>
          <w:sz w:val="22"/>
          <w:szCs w:val="22"/>
        </w:rPr>
        <w:t>,</w:t>
      </w:r>
      <w:r w:rsidRPr="003C01E5">
        <w:rPr>
          <w:rFonts w:ascii="Garamond" w:eastAsia="Garamond" w:hAnsi="Garamond"/>
          <w:sz w:val="22"/>
          <w:szCs w:val="22"/>
        </w:rPr>
        <w:t xml:space="preserve"> A</w:t>
      </w:r>
      <w:r w:rsidR="00234EAA" w:rsidRPr="003C01E5">
        <w:rPr>
          <w:rFonts w:ascii="Garamond" w:eastAsia="Garamond" w:hAnsi="Garamond"/>
          <w:sz w:val="22"/>
          <w:szCs w:val="22"/>
        </w:rPr>
        <w:t>.</w:t>
      </w:r>
      <w:r w:rsidRPr="003C01E5">
        <w:rPr>
          <w:rFonts w:ascii="Garamond" w:eastAsia="Garamond" w:hAnsi="Garamond"/>
          <w:sz w:val="22"/>
          <w:szCs w:val="22"/>
        </w:rPr>
        <w:t xml:space="preserve">, et al. (2004) </w:t>
      </w:r>
      <w:r w:rsidRPr="003C01E5">
        <w:rPr>
          <w:rFonts w:ascii="Garamond" w:eastAsia="Garamond" w:hAnsi="Garamond"/>
          <w:i/>
          <w:iCs/>
          <w:sz w:val="22"/>
          <w:szCs w:val="22"/>
        </w:rPr>
        <w:t>Insecurity and Welfare Regimes in Asia, Africa, and Latin America Social Policy in Development Contexts</w:t>
      </w:r>
      <w:r w:rsidRPr="003C01E5">
        <w:rPr>
          <w:rFonts w:ascii="Garamond" w:eastAsia="Garamond" w:hAnsi="Garamond"/>
          <w:sz w:val="22"/>
          <w:szCs w:val="22"/>
        </w:rPr>
        <w:t>. Cambridge: Cambridge University Press.</w:t>
      </w:r>
    </w:p>
    <w:p w14:paraId="2F660A57" w14:textId="060C426A" w:rsidR="005360C5" w:rsidRPr="003C01E5" w:rsidRDefault="005360C5"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Hassim</w:t>
      </w:r>
      <w:r w:rsidR="00234EAA" w:rsidRPr="003C01E5">
        <w:rPr>
          <w:rFonts w:ascii="Garamond" w:eastAsia="Garamond" w:hAnsi="Garamond"/>
          <w:sz w:val="22"/>
          <w:szCs w:val="22"/>
        </w:rPr>
        <w:t>,</w:t>
      </w:r>
      <w:r w:rsidRPr="003C01E5">
        <w:rPr>
          <w:rFonts w:ascii="Garamond" w:eastAsia="Garamond" w:hAnsi="Garamond"/>
          <w:sz w:val="22"/>
          <w:szCs w:val="22"/>
        </w:rPr>
        <w:t xml:space="preserve"> S</w:t>
      </w:r>
      <w:r w:rsidR="00234EAA" w:rsidRPr="003C01E5">
        <w:rPr>
          <w:rFonts w:ascii="Garamond" w:eastAsia="Garamond" w:hAnsi="Garamond"/>
          <w:sz w:val="22"/>
          <w:szCs w:val="22"/>
        </w:rPr>
        <w:t>.</w:t>
      </w:r>
      <w:r w:rsidRPr="003C01E5">
        <w:rPr>
          <w:rFonts w:ascii="Garamond" w:eastAsia="Garamond" w:hAnsi="Garamond"/>
          <w:sz w:val="22"/>
          <w:szCs w:val="22"/>
        </w:rPr>
        <w:t xml:space="preserve"> and </w:t>
      </w:r>
      <w:proofErr w:type="spellStart"/>
      <w:r w:rsidRPr="003C01E5">
        <w:rPr>
          <w:rFonts w:ascii="Garamond" w:eastAsia="Garamond" w:hAnsi="Garamond"/>
          <w:sz w:val="22"/>
          <w:szCs w:val="22"/>
        </w:rPr>
        <w:t>Razavi</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S. (2006) </w:t>
      </w:r>
      <w:r w:rsidR="005E4FC6" w:rsidRPr="003C01E5">
        <w:rPr>
          <w:rFonts w:ascii="Garamond" w:eastAsia="Garamond" w:hAnsi="Garamond"/>
          <w:sz w:val="22"/>
          <w:szCs w:val="22"/>
        </w:rPr>
        <w:t>‘</w:t>
      </w:r>
      <w:r w:rsidRPr="003C01E5">
        <w:rPr>
          <w:rFonts w:ascii="Garamond" w:eastAsia="Garamond" w:hAnsi="Garamond"/>
          <w:sz w:val="22"/>
          <w:szCs w:val="22"/>
        </w:rPr>
        <w:t>Gender and Social Policy in a Global Context: Uncovering the Gendered Structure of ‘the Social’</w:t>
      </w:r>
      <w:r w:rsidR="005E4FC6" w:rsidRPr="003C01E5">
        <w:rPr>
          <w:rFonts w:ascii="Garamond" w:eastAsia="Garamond" w:hAnsi="Garamond"/>
          <w:sz w:val="22"/>
          <w:szCs w:val="22"/>
        </w:rPr>
        <w:t>’,</w:t>
      </w:r>
      <w:r w:rsidRPr="003C01E5">
        <w:rPr>
          <w:rFonts w:ascii="Garamond" w:eastAsia="Garamond" w:hAnsi="Garamond"/>
          <w:sz w:val="22"/>
          <w:szCs w:val="22"/>
        </w:rPr>
        <w:t xml:space="preserve"> </w:t>
      </w:r>
      <w:r w:rsidR="005E4FC6" w:rsidRPr="003C01E5">
        <w:rPr>
          <w:rFonts w:ascii="Garamond" w:eastAsia="Garamond" w:hAnsi="Garamond"/>
          <w:sz w:val="22"/>
          <w:szCs w:val="22"/>
        </w:rPr>
        <w:t>i</w:t>
      </w:r>
      <w:r w:rsidRPr="003C01E5">
        <w:rPr>
          <w:rFonts w:ascii="Garamond" w:eastAsia="Garamond" w:hAnsi="Garamond"/>
          <w:sz w:val="22"/>
          <w:szCs w:val="22"/>
        </w:rPr>
        <w:t>n</w:t>
      </w:r>
      <w:r w:rsidR="00FA1C35" w:rsidRPr="003C01E5">
        <w:rPr>
          <w:rFonts w:ascii="Garamond" w:eastAsia="Garamond" w:hAnsi="Garamond"/>
          <w:sz w:val="22"/>
          <w:szCs w:val="22"/>
        </w:rPr>
        <w:t xml:space="preserve"> S. </w:t>
      </w:r>
      <w:proofErr w:type="spellStart"/>
      <w:proofErr w:type="gramStart"/>
      <w:r w:rsidRPr="003C01E5">
        <w:rPr>
          <w:rFonts w:ascii="Garamond" w:eastAsia="Garamond" w:hAnsi="Garamond"/>
          <w:sz w:val="22"/>
          <w:szCs w:val="22"/>
        </w:rPr>
        <w:t>Razavi</w:t>
      </w:r>
      <w:proofErr w:type="spellEnd"/>
      <w:r w:rsidRPr="003C01E5">
        <w:rPr>
          <w:rFonts w:ascii="Garamond" w:eastAsia="Garamond" w:hAnsi="Garamond"/>
          <w:sz w:val="22"/>
          <w:szCs w:val="22"/>
        </w:rPr>
        <w:t xml:space="preserve">  (</w:t>
      </w:r>
      <w:proofErr w:type="gramEnd"/>
      <w:r w:rsidRPr="003C01E5">
        <w:rPr>
          <w:rFonts w:ascii="Garamond" w:eastAsia="Garamond" w:hAnsi="Garamond"/>
          <w:sz w:val="22"/>
          <w:szCs w:val="22"/>
        </w:rPr>
        <w:t>ed</w:t>
      </w:r>
      <w:r w:rsidR="00FA1C35" w:rsidRPr="003C01E5">
        <w:rPr>
          <w:rFonts w:ascii="Garamond" w:eastAsia="Garamond" w:hAnsi="Garamond"/>
          <w:sz w:val="22"/>
          <w:szCs w:val="22"/>
        </w:rPr>
        <w:t>.</w:t>
      </w:r>
      <w:r w:rsidRPr="003C01E5">
        <w:rPr>
          <w:rFonts w:ascii="Garamond" w:eastAsia="Garamond" w:hAnsi="Garamond"/>
          <w:sz w:val="22"/>
          <w:szCs w:val="22"/>
        </w:rPr>
        <w:t xml:space="preserve">) </w:t>
      </w:r>
      <w:r w:rsidRPr="003C01E5">
        <w:rPr>
          <w:rFonts w:ascii="Garamond" w:eastAsia="Garamond" w:hAnsi="Garamond"/>
          <w:i/>
          <w:sz w:val="22"/>
          <w:szCs w:val="22"/>
        </w:rPr>
        <w:t>Gender and Social Policy in a Global Context: Uncovering the Gendered Structure of 'The Social'</w:t>
      </w:r>
      <w:r w:rsidR="00FA1C35" w:rsidRPr="003C01E5">
        <w:rPr>
          <w:rFonts w:ascii="Garamond" w:eastAsia="Garamond" w:hAnsi="Garamond"/>
          <w:iCs/>
          <w:sz w:val="22"/>
          <w:szCs w:val="22"/>
        </w:rPr>
        <w:t>, pp.</w:t>
      </w:r>
      <w:r w:rsidRPr="003C01E5">
        <w:rPr>
          <w:rFonts w:ascii="Garamond" w:eastAsia="Garamond" w:hAnsi="Garamond"/>
          <w:sz w:val="22"/>
          <w:szCs w:val="22"/>
        </w:rPr>
        <w:t xml:space="preserve"> 1-67.</w:t>
      </w:r>
    </w:p>
    <w:p w14:paraId="3662B182" w14:textId="0F63B1DF" w:rsidR="00EE78DC" w:rsidRPr="003C01E5" w:rsidRDefault="00EE78DC"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ILO (2008) </w:t>
      </w:r>
      <w:r w:rsidRPr="003C01E5">
        <w:rPr>
          <w:rFonts w:ascii="Garamond" w:eastAsia="Garamond" w:hAnsi="Garamond"/>
          <w:i/>
          <w:iCs/>
          <w:sz w:val="22"/>
          <w:szCs w:val="22"/>
        </w:rPr>
        <w:t xml:space="preserve">Beyond Unemployment: Measurement of Other Forms of Labour </w:t>
      </w:r>
      <w:proofErr w:type="gramStart"/>
      <w:r w:rsidRPr="003C01E5">
        <w:rPr>
          <w:rFonts w:ascii="Garamond" w:eastAsia="Garamond" w:hAnsi="Garamond"/>
          <w:i/>
          <w:iCs/>
          <w:sz w:val="22"/>
          <w:szCs w:val="22"/>
        </w:rPr>
        <w:t>Underutilization</w:t>
      </w:r>
      <w:r w:rsidRPr="003C01E5">
        <w:rPr>
          <w:rFonts w:ascii="Garamond" w:eastAsia="Garamond" w:hAnsi="Garamond"/>
          <w:sz w:val="22"/>
          <w:szCs w:val="22"/>
        </w:rPr>
        <w:t>,  18</w:t>
      </w:r>
      <w:proofErr w:type="gramEnd"/>
      <w:r w:rsidRPr="003C01E5">
        <w:rPr>
          <w:rFonts w:ascii="Garamond" w:eastAsia="Garamond" w:hAnsi="Garamond"/>
          <w:sz w:val="22"/>
          <w:szCs w:val="22"/>
        </w:rPr>
        <w:t>th International Conference of Labour Statisticians Geneva, 24 November – 5 December 2008.</w:t>
      </w:r>
    </w:p>
    <w:p w14:paraId="0D512AF1" w14:textId="59CA4327" w:rsidR="00E97AA9" w:rsidRPr="003C01E5" w:rsidRDefault="00E97AA9"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ILO (2018) </w:t>
      </w:r>
      <w:r w:rsidRPr="003C01E5">
        <w:rPr>
          <w:rFonts w:ascii="Garamond" w:eastAsia="Garamond" w:hAnsi="Garamond"/>
          <w:i/>
          <w:iCs/>
          <w:sz w:val="22"/>
          <w:szCs w:val="22"/>
        </w:rPr>
        <w:t>Women and men in the informal economy: a statistical picture (third edition)</w:t>
      </w:r>
      <w:r w:rsidRPr="003C01E5">
        <w:rPr>
          <w:rFonts w:ascii="Garamond" w:eastAsia="Garamond" w:hAnsi="Garamond"/>
          <w:sz w:val="22"/>
          <w:szCs w:val="22"/>
        </w:rPr>
        <w:t>, International Labour Office, Geneva.</w:t>
      </w:r>
    </w:p>
    <w:p w14:paraId="71338773" w14:textId="4A0B93F8" w:rsidR="00C411CE" w:rsidRPr="003C01E5" w:rsidRDefault="00C411CE"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Kabeer, N. (2015) </w:t>
      </w:r>
      <w:r w:rsidR="005E4FC6" w:rsidRPr="003C01E5">
        <w:rPr>
          <w:rFonts w:ascii="Garamond" w:eastAsia="Garamond" w:hAnsi="Garamond"/>
          <w:sz w:val="22"/>
          <w:szCs w:val="22"/>
        </w:rPr>
        <w:t>‘</w:t>
      </w:r>
      <w:r w:rsidRPr="003C01E5">
        <w:rPr>
          <w:rFonts w:ascii="Garamond" w:eastAsia="Garamond" w:hAnsi="Garamond"/>
          <w:sz w:val="22"/>
          <w:szCs w:val="22"/>
        </w:rPr>
        <w:t xml:space="preserve">Gender, poverty, and inequality: a </w:t>
      </w:r>
      <w:proofErr w:type="spellStart"/>
      <w:r w:rsidRPr="003C01E5">
        <w:rPr>
          <w:rFonts w:ascii="Garamond" w:eastAsia="Garamond" w:hAnsi="Garamond"/>
          <w:sz w:val="22"/>
          <w:szCs w:val="22"/>
        </w:rPr>
        <w:t>broaf</w:t>
      </w:r>
      <w:proofErr w:type="spellEnd"/>
      <w:r w:rsidRPr="003C01E5">
        <w:rPr>
          <w:rFonts w:ascii="Garamond" w:eastAsia="Garamond" w:hAnsi="Garamond"/>
          <w:sz w:val="22"/>
          <w:szCs w:val="22"/>
        </w:rPr>
        <w:t xml:space="preserve"> history of feminist contributions in the field of international development</w:t>
      </w:r>
      <w:r w:rsidR="005E4FC6" w:rsidRPr="003C01E5">
        <w:rPr>
          <w:rFonts w:ascii="Garamond" w:eastAsia="Garamond" w:hAnsi="Garamond"/>
          <w:sz w:val="22"/>
          <w:szCs w:val="22"/>
        </w:rPr>
        <w:t>’</w:t>
      </w:r>
      <w:r w:rsidRPr="003C01E5">
        <w:rPr>
          <w:rFonts w:ascii="Garamond" w:eastAsia="Garamond" w:hAnsi="Garamond"/>
          <w:sz w:val="22"/>
          <w:szCs w:val="22"/>
        </w:rPr>
        <w:t xml:space="preserve">, </w:t>
      </w:r>
      <w:r w:rsidRPr="003C01E5">
        <w:rPr>
          <w:rFonts w:ascii="Garamond" w:eastAsia="Garamond" w:hAnsi="Garamond"/>
          <w:i/>
          <w:iCs/>
          <w:sz w:val="22"/>
          <w:szCs w:val="22"/>
        </w:rPr>
        <w:t>Gender &amp; Development</w:t>
      </w:r>
      <w:r w:rsidRPr="003C01E5">
        <w:rPr>
          <w:rFonts w:ascii="Garamond" w:eastAsia="Garamond" w:hAnsi="Garamond"/>
          <w:sz w:val="22"/>
          <w:szCs w:val="22"/>
        </w:rPr>
        <w:t>,</w:t>
      </w:r>
      <w:r w:rsidR="005E4FC6" w:rsidRPr="003C01E5">
        <w:rPr>
          <w:rFonts w:ascii="Garamond" w:eastAsia="Garamond" w:hAnsi="Garamond"/>
          <w:sz w:val="22"/>
          <w:szCs w:val="22"/>
        </w:rPr>
        <w:t xml:space="preserve"> </w:t>
      </w:r>
      <w:r w:rsidRPr="003C01E5">
        <w:rPr>
          <w:rFonts w:ascii="Garamond" w:eastAsia="Garamond" w:hAnsi="Garamond"/>
          <w:sz w:val="22"/>
          <w:szCs w:val="22"/>
        </w:rPr>
        <w:t>23</w:t>
      </w:r>
      <w:r w:rsidR="00FA1C35" w:rsidRPr="003C01E5">
        <w:rPr>
          <w:rFonts w:ascii="Garamond" w:eastAsia="Garamond" w:hAnsi="Garamond"/>
          <w:sz w:val="22"/>
          <w:szCs w:val="22"/>
        </w:rPr>
        <w:t xml:space="preserve">, </w:t>
      </w:r>
      <w:r w:rsidRPr="003C01E5">
        <w:rPr>
          <w:rFonts w:ascii="Garamond" w:eastAsia="Garamond" w:hAnsi="Garamond"/>
          <w:sz w:val="22"/>
          <w:szCs w:val="22"/>
        </w:rPr>
        <w:t>2</w:t>
      </w:r>
      <w:r w:rsidR="00885551" w:rsidRPr="003C01E5">
        <w:rPr>
          <w:rFonts w:ascii="Garamond" w:eastAsia="Garamond" w:hAnsi="Garamond"/>
          <w:sz w:val="22"/>
          <w:szCs w:val="22"/>
        </w:rPr>
        <w:t>, 189-205.</w:t>
      </w:r>
    </w:p>
    <w:p w14:paraId="528CF8E7" w14:textId="77777777" w:rsidR="00AD3568" w:rsidRDefault="005360C5" w:rsidP="00AD3568">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Karamessini</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M</w:t>
      </w:r>
      <w:r w:rsidR="00234EAA" w:rsidRPr="003C01E5">
        <w:rPr>
          <w:rFonts w:ascii="Garamond" w:eastAsia="Garamond" w:hAnsi="Garamond"/>
          <w:sz w:val="22"/>
          <w:szCs w:val="22"/>
        </w:rPr>
        <w:t>.</w:t>
      </w:r>
      <w:r w:rsidRPr="003C01E5">
        <w:rPr>
          <w:rFonts w:ascii="Garamond" w:eastAsia="Garamond" w:hAnsi="Garamond"/>
          <w:sz w:val="22"/>
          <w:szCs w:val="22"/>
        </w:rPr>
        <w:t xml:space="preserve"> and Rubery</w:t>
      </w:r>
      <w:r w:rsidR="00234EAA" w:rsidRPr="003C01E5">
        <w:rPr>
          <w:rFonts w:ascii="Garamond" w:eastAsia="Garamond" w:hAnsi="Garamond"/>
          <w:sz w:val="22"/>
          <w:szCs w:val="22"/>
        </w:rPr>
        <w:t>,</w:t>
      </w:r>
      <w:r w:rsidRPr="003C01E5">
        <w:rPr>
          <w:rFonts w:ascii="Garamond" w:eastAsia="Garamond" w:hAnsi="Garamond"/>
          <w:sz w:val="22"/>
          <w:szCs w:val="22"/>
        </w:rPr>
        <w:t xml:space="preserve"> J. (2013) </w:t>
      </w:r>
      <w:r w:rsidRPr="003C01E5">
        <w:rPr>
          <w:rFonts w:ascii="Garamond" w:eastAsia="Garamond" w:hAnsi="Garamond"/>
          <w:i/>
          <w:sz w:val="22"/>
          <w:szCs w:val="22"/>
        </w:rPr>
        <w:t>Women and austerity: the economic crisis and the future for gender equality</w:t>
      </w:r>
      <w:r w:rsidR="009821A5" w:rsidRPr="003C01E5">
        <w:rPr>
          <w:rFonts w:ascii="Garamond" w:eastAsia="Garamond" w:hAnsi="Garamond"/>
          <w:sz w:val="22"/>
          <w:szCs w:val="22"/>
        </w:rPr>
        <w:t xml:space="preserve">, Abingdon and New York: </w:t>
      </w:r>
      <w:r w:rsidRPr="003C01E5">
        <w:rPr>
          <w:rFonts w:ascii="Garamond" w:eastAsia="Garamond" w:hAnsi="Garamond"/>
          <w:sz w:val="22"/>
          <w:szCs w:val="22"/>
        </w:rPr>
        <w:t>Routledge.</w:t>
      </w:r>
    </w:p>
    <w:p w14:paraId="65606997" w14:textId="77777777" w:rsidR="00AD3568" w:rsidRDefault="00AD3568" w:rsidP="00AD3568">
      <w:pPr>
        <w:pStyle w:val="EndNoteBibliography"/>
        <w:tabs>
          <w:tab w:val="left" w:pos="2268"/>
        </w:tabs>
        <w:spacing w:line="480" w:lineRule="auto"/>
        <w:ind w:left="426" w:hanging="284"/>
        <w:rPr>
          <w:rFonts w:ascii="Garamond" w:hAnsi="Garamond" w:cstheme="minorHAnsi"/>
          <w:sz w:val="22"/>
          <w:szCs w:val="22"/>
        </w:rPr>
      </w:pPr>
      <w:proofErr w:type="spellStart"/>
      <w:r w:rsidRPr="00AD3568">
        <w:rPr>
          <w:rFonts w:ascii="Garamond" w:eastAsia="Times New Roman" w:hAnsi="Garamond" w:cstheme="minorHAnsi"/>
          <w:sz w:val="22"/>
          <w:szCs w:val="22"/>
        </w:rPr>
        <w:t>Kühner</w:t>
      </w:r>
      <w:proofErr w:type="spellEnd"/>
      <w:r>
        <w:rPr>
          <w:rFonts w:ascii="Garamond" w:eastAsia="Times New Roman" w:hAnsi="Garamond" w:cstheme="minorHAnsi"/>
          <w:sz w:val="22"/>
          <w:szCs w:val="22"/>
        </w:rPr>
        <w:t>, S. and</w:t>
      </w:r>
      <w:r w:rsidRPr="00AD3568">
        <w:rPr>
          <w:rFonts w:ascii="Garamond" w:eastAsia="Times New Roman" w:hAnsi="Garamond" w:cstheme="minorHAnsi"/>
          <w:sz w:val="22"/>
          <w:szCs w:val="22"/>
        </w:rPr>
        <w:t xml:space="preserve"> </w:t>
      </w:r>
      <w:proofErr w:type="spellStart"/>
      <w:r w:rsidRPr="00AD3568">
        <w:rPr>
          <w:rFonts w:ascii="Garamond" w:eastAsia="Times New Roman" w:hAnsi="Garamond" w:cstheme="minorHAnsi"/>
          <w:sz w:val="22"/>
          <w:szCs w:val="22"/>
        </w:rPr>
        <w:t>Nakray</w:t>
      </w:r>
      <w:proofErr w:type="spellEnd"/>
      <w:r>
        <w:rPr>
          <w:rFonts w:ascii="Garamond" w:eastAsia="Times New Roman" w:hAnsi="Garamond" w:cstheme="minorHAnsi"/>
          <w:sz w:val="22"/>
          <w:szCs w:val="22"/>
        </w:rPr>
        <w:t>, K.</w:t>
      </w:r>
      <w:r w:rsidRPr="00AD3568">
        <w:rPr>
          <w:rFonts w:ascii="Garamond" w:hAnsi="Garamond" w:cstheme="minorHAnsi"/>
          <w:sz w:val="22"/>
          <w:szCs w:val="22"/>
        </w:rPr>
        <w:t> (2017) </w:t>
      </w:r>
      <w:r>
        <w:rPr>
          <w:rFonts w:ascii="Garamond" w:hAnsi="Garamond" w:cstheme="minorHAnsi"/>
          <w:sz w:val="22"/>
          <w:szCs w:val="22"/>
        </w:rPr>
        <w:t>‘</w:t>
      </w:r>
      <w:r w:rsidRPr="00AD3568">
        <w:rPr>
          <w:rFonts w:ascii="Garamond" w:hAnsi="Garamond" w:cstheme="minorHAnsi"/>
          <w:sz w:val="22"/>
          <w:szCs w:val="22"/>
        </w:rPr>
        <w:t xml:space="preserve">India’s emerging social policy paradigm: productive, protective or </w:t>
      </w:r>
      <w:proofErr w:type="gramStart"/>
      <w:r w:rsidRPr="00AD3568">
        <w:rPr>
          <w:rFonts w:ascii="Garamond" w:hAnsi="Garamond" w:cstheme="minorHAnsi"/>
          <w:sz w:val="22"/>
          <w:szCs w:val="22"/>
        </w:rPr>
        <w:t>what?</w:t>
      </w:r>
      <w:r>
        <w:rPr>
          <w:rFonts w:ascii="Garamond" w:hAnsi="Garamond" w:cstheme="minorHAnsi"/>
          <w:sz w:val="22"/>
          <w:szCs w:val="22"/>
        </w:rPr>
        <w:t>,</w:t>
      </w:r>
      <w:proofErr w:type="gramEnd"/>
      <w:r w:rsidRPr="00AD3568">
        <w:rPr>
          <w:rFonts w:ascii="Garamond" w:hAnsi="Garamond" w:cstheme="minorHAnsi"/>
          <w:sz w:val="22"/>
          <w:szCs w:val="22"/>
        </w:rPr>
        <w:t> </w:t>
      </w:r>
      <w:r w:rsidRPr="00AD3568">
        <w:rPr>
          <w:rFonts w:ascii="Garamond" w:hAnsi="Garamond" w:cstheme="minorHAnsi"/>
          <w:i/>
          <w:iCs/>
          <w:sz w:val="22"/>
          <w:szCs w:val="22"/>
        </w:rPr>
        <w:t>Journal of Asian Public Policy</w:t>
      </w:r>
      <w:r w:rsidRPr="00AD3568">
        <w:rPr>
          <w:rFonts w:ascii="Garamond" w:hAnsi="Garamond" w:cstheme="minorHAnsi"/>
          <w:sz w:val="22"/>
          <w:szCs w:val="22"/>
        </w:rPr>
        <w:t>, 10</w:t>
      </w:r>
      <w:r>
        <w:rPr>
          <w:rFonts w:ascii="Garamond" w:hAnsi="Garamond" w:cstheme="minorHAnsi"/>
          <w:sz w:val="22"/>
          <w:szCs w:val="22"/>
        </w:rPr>
        <w:t>, 1</w:t>
      </w:r>
      <w:r w:rsidRPr="00AD3568">
        <w:rPr>
          <w:rFonts w:ascii="Garamond" w:hAnsi="Garamond" w:cstheme="minorHAnsi"/>
          <w:sz w:val="22"/>
          <w:szCs w:val="22"/>
        </w:rPr>
        <w:t>, 40-56</w:t>
      </w:r>
      <w:r>
        <w:rPr>
          <w:rFonts w:ascii="Garamond" w:hAnsi="Garamond" w:cstheme="minorHAnsi"/>
          <w:sz w:val="22"/>
          <w:szCs w:val="22"/>
        </w:rPr>
        <w:t>.</w:t>
      </w:r>
    </w:p>
    <w:p w14:paraId="40F9E934" w14:textId="3665404C" w:rsidR="00A57280" w:rsidRPr="00AD3568" w:rsidRDefault="00A57280" w:rsidP="00AD3568">
      <w:pPr>
        <w:pStyle w:val="EndNoteBibliography"/>
        <w:tabs>
          <w:tab w:val="left" w:pos="2268"/>
        </w:tabs>
        <w:spacing w:line="480" w:lineRule="auto"/>
        <w:ind w:left="426" w:hanging="284"/>
        <w:rPr>
          <w:rFonts w:ascii="Garamond" w:eastAsia="Garamond" w:hAnsi="Garamond"/>
          <w:sz w:val="22"/>
          <w:szCs w:val="22"/>
        </w:rPr>
      </w:pPr>
      <w:r w:rsidRPr="002A78AA">
        <w:rPr>
          <w:rFonts w:ascii="Garamond" w:hAnsi="Garamond" w:cstheme="minorHAnsi"/>
          <w:sz w:val="22"/>
          <w:szCs w:val="22"/>
        </w:rPr>
        <w:lastRenderedPageBreak/>
        <w:t xml:space="preserve">Martínez </w:t>
      </w:r>
      <w:proofErr w:type="spellStart"/>
      <w:r w:rsidRPr="002A78AA">
        <w:rPr>
          <w:rFonts w:ascii="Garamond" w:hAnsi="Garamond" w:cstheme="minorHAnsi"/>
          <w:sz w:val="22"/>
          <w:szCs w:val="22"/>
        </w:rPr>
        <w:t>Franzoni</w:t>
      </w:r>
      <w:proofErr w:type="spellEnd"/>
      <w:r w:rsidRPr="002A78AA">
        <w:rPr>
          <w:rFonts w:ascii="Garamond" w:hAnsi="Garamond" w:cstheme="minorHAnsi"/>
          <w:sz w:val="22"/>
          <w:szCs w:val="22"/>
        </w:rPr>
        <w:t>, J</w:t>
      </w:r>
      <w:r>
        <w:rPr>
          <w:rFonts w:ascii="Garamond" w:hAnsi="Garamond" w:cstheme="minorHAnsi"/>
          <w:sz w:val="22"/>
          <w:szCs w:val="22"/>
        </w:rPr>
        <w:t xml:space="preserve"> and</w:t>
      </w:r>
      <w:r w:rsidRPr="002A78AA">
        <w:rPr>
          <w:rFonts w:ascii="Garamond" w:hAnsi="Garamond" w:cstheme="minorHAnsi"/>
          <w:sz w:val="22"/>
          <w:szCs w:val="22"/>
        </w:rPr>
        <w:t xml:space="preserve"> Sánchez</w:t>
      </w:r>
      <w:r w:rsidRPr="002A78AA">
        <w:rPr>
          <w:rFonts w:ascii="Cambria Math" w:hAnsi="Cambria Math" w:cs="Cambria Math"/>
          <w:sz w:val="22"/>
          <w:szCs w:val="22"/>
        </w:rPr>
        <w:t>‐</w:t>
      </w:r>
      <w:proofErr w:type="spellStart"/>
      <w:r w:rsidRPr="002A78AA">
        <w:rPr>
          <w:rFonts w:ascii="Garamond" w:hAnsi="Garamond" w:cstheme="minorHAnsi"/>
          <w:sz w:val="22"/>
          <w:szCs w:val="22"/>
        </w:rPr>
        <w:t>Ancochea</w:t>
      </w:r>
      <w:proofErr w:type="spellEnd"/>
      <w:r w:rsidRPr="002A78AA">
        <w:rPr>
          <w:rFonts w:ascii="Garamond" w:hAnsi="Garamond" w:cstheme="minorHAnsi"/>
          <w:sz w:val="22"/>
          <w:szCs w:val="22"/>
        </w:rPr>
        <w:t xml:space="preserve">, D. (2018) </w:t>
      </w:r>
      <w:r>
        <w:rPr>
          <w:rFonts w:ascii="Garamond" w:hAnsi="Garamond" w:cstheme="minorHAnsi"/>
          <w:sz w:val="22"/>
          <w:szCs w:val="22"/>
        </w:rPr>
        <w:t>‘</w:t>
      </w:r>
      <w:r w:rsidRPr="002A78AA">
        <w:rPr>
          <w:rFonts w:ascii="Garamond" w:hAnsi="Garamond" w:cstheme="minorHAnsi"/>
          <w:sz w:val="22"/>
          <w:szCs w:val="22"/>
        </w:rPr>
        <w:t>Undoing segmentation? Latin American health care policy during the economic boom</w:t>
      </w:r>
      <w:proofErr w:type="gramStart"/>
      <w:r>
        <w:rPr>
          <w:rFonts w:ascii="Garamond" w:hAnsi="Garamond" w:cstheme="minorHAnsi"/>
          <w:sz w:val="22"/>
          <w:szCs w:val="22"/>
        </w:rPr>
        <w:t>’</w:t>
      </w:r>
      <w:r w:rsidRPr="002A78AA">
        <w:rPr>
          <w:rFonts w:ascii="Garamond" w:hAnsi="Garamond" w:cstheme="minorHAnsi"/>
          <w:sz w:val="22"/>
          <w:szCs w:val="22"/>
        </w:rPr>
        <w:t xml:space="preserve">,  </w:t>
      </w:r>
      <w:r w:rsidRPr="002A78AA">
        <w:rPr>
          <w:rFonts w:ascii="Garamond" w:hAnsi="Garamond" w:cstheme="minorHAnsi"/>
          <w:i/>
          <w:iCs/>
          <w:sz w:val="22"/>
          <w:szCs w:val="22"/>
        </w:rPr>
        <w:t>Social</w:t>
      </w:r>
      <w:proofErr w:type="gramEnd"/>
      <w:r w:rsidRPr="002A78AA">
        <w:rPr>
          <w:rFonts w:ascii="Garamond" w:hAnsi="Garamond" w:cstheme="minorHAnsi"/>
          <w:i/>
          <w:iCs/>
          <w:sz w:val="22"/>
          <w:szCs w:val="22"/>
        </w:rPr>
        <w:t xml:space="preserve"> Policy &amp; Administration</w:t>
      </w:r>
      <w:r w:rsidRPr="002A78AA">
        <w:rPr>
          <w:rFonts w:ascii="Garamond" w:hAnsi="Garamond" w:cstheme="minorHAnsi"/>
          <w:sz w:val="22"/>
          <w:szCs w:val="22"/>
        </w:rPr>
        <w:t>, 52: 1181– 1200.</w:t>
      </w:r>
    </w:p>
    <w:p w14:paraId="3AAE3522" w14:textId="10A84F7C" w:rsidR="00C411CE" w:rsidRPr="003C01E5" w:rsidRDefault="00C411CE"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Midgley, J. (2019) ‘Social policy and development: an overview</w:t>
      </w:r>
      <w:proofErr w:type="gramStart"/>
      <w:r w:rsidRPr="003C01E5">
        <w:rPr>
          <w:rFonts w:ascii="Garamond" w:eastAsia="Garamond" w:hAnsi="Garamond"/>
          <w:sz w:val="22"/>
          <w:szCs w:val="22"/>
        </w:rPr>
        <w:t xml:space="preserve">’, </w:t>
      </w:r>
      <w:r w:rsidR="009821A5" w:rsidRPr="003C01E5">
        <w:rPr>
          <w:rFonts w:ascii="Garamond" w:eastAsia="Garamond" w:hAnsi="Garamond"/>
          <w:sz w:val="22"/>
          <w:szCs w:val="22"/>
        </w:rPr>
        <w:t xml:space="preserve"> in</w:t>
      </w:r>
      <w:proofErr w:type="gramEnd"/>
      <w:r w:rsidR="009821A5" w:rsidRPr="003C01E5">
        <w:rPr>
          <w:rFonts w:ascii="Garamond" w:eastAsia="Garamond" w:hAnsi="Garamond"/>
          <w:sz w:val="22"/>
          <w:szCs w:val="22"/>
        </w:rPr>
        <w:t xml:space="preserve"> J. Midgley, R. Surrender and L. </w:t>
      </w:r>
      <w:proofErr w:type="spellStart"/>
      <w:r w:rsidR="009821A5" w:rsidRPr="003C01E5">
        <w:rPr>
          <w:rFonts w:ascii="Garamond" w:eastAsia="Garamond" w:hAnsi="Garamond"/>
          <w:sz w:val="22"/>
          <w:szCs w:val="22"/>
        </w:rPr>
        <w:t>Alfers</w:t>
      </w:r>
      <w:proofErr w:type="spellEnd"/>
      <w:r w:rsidR="009821A5" w:rsidRPr="003C01E5">
        <w:rPr>
          <w:rFonts w:ascii="Garamond" w:eastAsia="Garamond" w:hAnsi="Garamond"/>
          <w:sz w:val="22"/>
          <w:szCs w:val="22"/>
        </w:rPr>
        <w:t xml:space="preserve"> (eds.), </w:t>
      </w:r>
      <w:r w:rsidR="009821A5" w:rsidRPr="003C01E5">
        <w:rPr>
          <w:rFonts w:ascii="Garamond" w:eastAsia="Garamond" w:hAnsi="Garamond"/>
          <w:i/>
          <w:iCs/>
          <w:sz w:val="22"/>
          <w:szCs w:val="22"/>
        </w:rPr>
        <w:t>Handbook of Social Policy and Development</w:t>
      </w:r>
      <w:r w:rsidR="009821A5" w:rsidRPr="003C01E5">
        <w:rPr>
          <w:rFonts w:ascii="Garamond" w:eastAsia="Garamond" w:hAnsi="Garamond"/>
          <w:sz w:val="22"/>
          <w:szCs w:val="22"/>
        </w:rPr>
        <w:t>, Cheltenham: Edward Elgar</w:t>
      </w:r>
      <w:r w:rsidRPr="003C01E5">
        <w:rPr>
          <w:rFonts w:ascii="Garamond" w:eastAsia="Garamond" w:hAnsi="Garamond"/>
          <w:sz w:val="22"/>
          <w:szCs w:val="22"/>
        </w:rPr>
        <w:t xml:space="preserve">, </w:t>
      </w:r>
      <w:r w:rsidR="00FA1C35" w:rsidRPr="003C01E5">
        <w:rPr>
          <w:rFonts w:ascii="Garamond" w:eastAsia="Garamond" w:hAnsi="Garamond"/>
          <w:sz w:val="22"/>
          <w:szCs w:val="22"/>
        </w:rPr>
        <w:t xml:space="preserve">pp. </w:t>
      </w:r>
      <w:r w:rsidRPr="003C01E5">
        <w:rPr>
          <w:rFonts w:ascii="Garamond" w:eastAsia="Garamond" w:hAnsi="Garamond"/>
          <w:sz w:val="22"/>
          <w:szCs w:val="22"/>
        </w:rPr>
        <w:t>14-34.</w:t>
      </w:r>
    </w:p>
    <w:p w14:paraId="53FF0ED9" w14:textId="79C65FB7" w:rsidR="009A5BDE" w:rsidRPr="003C01E5" w:rsidRDefault="009A5BDE"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Midtbøen</w:t>
      </w:r>
      <w:proofErr w:type="spellEnd"/>
      <w:r w:rsidRPr="003C01E5">
        <w:rPr>
          <w:rFonts w:ascii="Garamond" w:eastAsia="Garamond" w:hAnsi="Garamond"/>
          <w:sz w:val="22"/>
          <w:szCs w:val="22"/>
        </w:rPr>
        <w:t xml:space="preserve">, </w:t>
      </w:r>
      <w:proofErr w:type="spellStart"/>
      <w:r w:rsidRPr="003C01E5">
        <w:rPr>
          <w:rFonts w:ascii="Garamond" w:eastAsia="Garamond" w:hAnsi="Garamond"/>
          <w:sz w:val="22"/>
          <w:szCs w:val="22"/>
        </w:rPr>
        <w:t>A.</w:t>
      </w:r>
      <w:r w:rsidR="00234EAA" w:rsidRPr="003C01E5">
        <w:rPr>
          <w:rFonts w:ascii="Garamond" w:eastAsia="Garamond" w:hAnsi="Garamond"/>
          <w:sz w:val="22"/>
          <w:szCs w:val="22"/>
        </w:rPr>
        <w:t>and</w:t>
      </w:r>
      <w:proofErr w:type="spellEnd"/>
      <w:r w:rsidRPr="003C01E5">
        <w:rPr>
          <w:rFonts w:ascii="Garamond" w:eastAsia="Garamond" w:hAnsi="Garamond"/>
          <w:sz w:val="22"/>
          <w:szCs w:val="22"/>
        </w:rPr>
        <w:t xml:space="preserve"> Teigen, M. (2014) ‘Social Investment in Gender Equality? Changing Perspectives on Work and Welfare in Norway’,</w:t>
      </w:r>
      <w:r w:rsidR="00F801FD">
        <w:rPr>
          <w:rFonts w:ascii="Garamond" w:eastAsia="Garamond" w:hAnsi="Garamond"/>
          <w:sz w:val="22"/>
          <w:szCs w:val="22"/>
        </w:rPr>
        <w:t xml:space="preserve"> </w:t>
      </w:r>
      <w:r w:rsidRPr="003C01E5">
        <w:rPr>
          <w:rFonts w:ascii="Garamond" w:eastAsia="Garamond" w:hAnsi="Garamond"/>
          <w:i/>
          <w:iCs/>
          <w:sz w:val="22"/>
          <w:szCs w:val="22"/>
        </w:rPr>
        <w:t>NORA - Nordic Journal of Feminist and Gender Research</w:t>
      </w:r>
      <w:r w:rsidRPr="003C01E5">
        <w:rPr>
          <w:rFonts w:ascii="Garamond" w:eastAsia="Garamond" w:hAnsi="Garamond"/>
          <w:sz w:val="22"/>
          <w:szCs w:val="22"/>
        </w:rPr>
        <w:t>, 22</w:t>
      </w:r>
      <w:r w:rsidR="00FA1C35" w:rsidRPr="003C01E5">
        <w:rPr>
          <w:rFonts w:ascii="Garamond" w:eastAsia="Garamond" w:hAnsi="Garamond"/>
          <w:sz w:val="22"/>
          <w:szCs w:val="22"/>
        </w:rPr>
        <w:t>, 4</w:t>
      </w:r>
      <w:r w:rsidRPr="003C01E5">
        <w:rPr>
          <w:rFonts w:ascii="Garamond" w:eastAsia="Garamond" w:hAnsi="Garamond"/>
          <w:sz w:val="22"/>
          <w:szCs w:val="22"/>
        </w:rPr>
        <w:t>, 267-82</w:t>
      </w:r>
    </w:p>
    <w:p w14:paraId="4795ED7F" w14:textId="3961693D" w:rsidR="009A5BDE" w:rsidRPr="003C01E5" w:rsidRDefault="005360C5"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Mínguez</w:t>
      </w:r>
      <w:proofErr w:type="spellEnd"/>
      <w:r w:rsidR="00234EAA" w:rsidRPr="003C01E5">
        <w:rPr>
          <w:rFonts w:ascii="Garamond" w:eastAsia="Garamond" w:hAnsi="Garamond"/>
          <w:sz w:val="22"/>
          <w:szCs w:val="22"/>
        </w:rPr>
        <w:t>,</w:t>
      </w:r>
      <w:r w:rsidRPr="003C01E5">
        <w:rPr>
          <w:rFonts w:ascii="Garamond" w:eastAsia="Garamond" w:hAnsi="Garamond"/>
          <w:sz w:val="22"/>
          <w:szCs w:val="22"/>
        </w:rPr>
        <w:t xml:space="preserve"> A</w:t>
      </w:r>
      <w:r w:rsidR="00F801FD">
        <w:rPr>
          <w:rFonts w:ascii="Garamond" w:eastAsia="Garamond" w:hAnsi="Garamond"/>
          <w:sz w:val="22"/>
          <w:szCs w:val="22"/>
        </w:rPr>
        <w:t xml:space="preserve">. </w:t>
      </w:r>
      <w:r w:rsidRPr="003C01E5">
        <w:rPr>
          <w:rFonts w:ascii="Garamond" w:eastAsia="Garamond" w:hAnsi="Garamond"/>
          <w:sz w:val="22"/>
          <w:szCs w:val="22"/>
        </w:rPr>
        <w:t xml:space="preserve">M. (2012) </w:t>
      </w:r>
      <w:r w:rsidR="005E4FC6" w:rsidRPr="003C01E5">
        <w:rPr>
          <w:rFonts w:ascii="Garamond" w:eastAsia="Garamond" w:hAnsi="Garamond"/>
          <w:sz w:val="22"/>
          <w:szCs w:val="22"/>
        </w:rPr>
        <w:t>‘</w:t>
      </w:r>
      <w:r w:rsidRPr="003C01E5">
        <w:rPr>
          <w:rFonts w:ascii="Garamond" w:eastAsia="Garamond" w:hAnsi="Garamond"/>
          <w:sz w:val="22"/>
          <w:szCs w:val="22"/>
        </w:rPr>
        <w:t>Gender, family and care provision in developing countries: Towards gender equality</w:t>
      </w:r>
      <w:r w:rsidR="005E4FC6" w:rsidRPr="003C01E5">
        <w:rPr>
          <w:rFonts w:ascii="Garamond" w:eastAsia="Garamond" w:hAnsi="Garamond"/>
          <w:sz w:val="22"/>
          <w:szCs w:val="22"/>
        </w:rPr>
        <w:t>’,</w:t>
      </w:r>
      <w:r w:rsidRPr="003C01E5">
        <w:rPr>
          <w:rFonts w:ascii="Garamond" w:eastAsia="Garamond" w:hAnsi="Garamond"/>
          <w:sz w:val="22"/>
          <w:szCs w:val="22"/>
        </w:rPr>
        <w:t xml:space="preserve"> </w:t>
      </w:r>
      <w:r w:rsidRPr="003C01E5">
        <w:rPr>
          <w:rFonts w:ascii="Garamond" w:eastAsia="Garamond" w:hAnsi="Garamond"/>
          <w:i/>
          <w:sz w:val="22"/>
          <w:szCs w:val="22"/>
        </w:rPr>
        <w:t>Progress in Development Studies</w:t>
      </w:r>
      <w:r w:rsidRPr="003C01E5">
        <w:rPr>
          <w:rFonts w:ascii="Garamond" w:eastAsia="Garamond" w:hAnsi="Garamond"/>
          <w:sz w:val="22"/>
          <w:szCs w:val="22"/>
        </w:rPr>
        <w:t xml:space="preserve"> 12</w:t>
      </w:r>
      <w:r w:rsidR="00FA1C35" w:rsidRPr="003C01E5">
        <w:rPr>
          <w:rFonts w:ascii="Garamond" w:eastAsia="Garamond" w:hAnsi="Garamond"/>
          <w:sz w:val="22"/>
          <w:szCs w:val="22"/>
        </w:rPr>
        <w:t>,</w:t>
      </w:r>
      <w:r w:rsidRPr="003C01E5">
        <w:rPr>
          <w:rFonts w:ascii="Garamond" w:eastAsia="Garamond" w:hAnsi="Garamond"/>
          <w:sz w:val="22"/>
          <w:szCs w:val="22"/>
        </w:rPr>
        <w:t xml:space="preserve"> 275-300.</w:t>
      </w:r>
    </w:p>
    <w:p w14:paraId="678EBD68" w14:textId="6251A921" w:rsidR="009A5BDE" w:rsidRPr="003C01E5" w:rsidRDefault="009A5BDE" w:rsidP="003C01E5">
      <w:pPr>
        <w:pStyle w:val="EndNoteBibliography"/>
        <w:tabs>
          <w:tab w:val="left" w:pos="2268"/>
        </w:tabs>
        <w:spacing w:line="480" w:lineRule="auto"/>
        <w:ind w:left="426" w:hanging="284"/>
        <w:rPr>
          <w:rFonts w:ascii="Garamond" w:eastAsia="Garamond" w:hAnsi="Garamond" w:cs="Arial"/>
          <w:color w:val="1C1D1E"/>
          <w:sz w:val="22"/>
          <w:szCs w:val="22"/>
          <w:lang w:eastAsia="en-GB"/>
        </w:rPr>
      </w:pPr>
      <w:r w:rsidRPr="003C01E5">
        <w:rPr>
          <w:rFonts w:ascii="Garamond" w:eastAsia="Garamond" w:hAnsi="Garamond" w:cs="Arial"/>
          <w:color w:val="1C1D1E"/>
          <w:sz w:val="22"/>
          <w:szCs w:val="22"/>
          <w:lang w:eastAsia="en-GB"/>
        </w:rPr>
        <w:t xml:space="preserve">Moser, C. (2012) </w:t>
      </w:r>
      <w:r w:rsidRPr="003C01E5">
        <w:rPr>
          <w:rFonts w:ascii="Garamond" w:eastAsia="Garamond" w:hAnsi="Garamond" w:cs="Arial"/>
          <w:i/>
          <w:iCs/>
          <w:color w:val="1C1D1E"/>
          <w:sz w:val="22"/>
          <w:szCs w:val="22"/>
          <w:lang w:eastAsia="en-GB"/>
        </w:rPr>
        <w:t>Gender planning and development: Theory, practice and training</w:t>
      </w:r>
      <w:r w:rsidRPr="003C01E5">
        <w:rPr>
          <w:rFonts w:ascii="Garamond" w:eastAsia="Garamond" w:hAnsi="Garamond" w:cs="Arial"/>
          <w:color w:val="1C1D1E"/>
          <w:sz w:val="22"/>
          <w:szCs w:val="22"/>
          <w:lang w:eastAsia="en-GB"/>
        </w:rPr>
        <w:t>, New York: Routledge.</w:t>
      </w:r>
    </w:p>
    <w:p w14:paraId="4FA24570" w14:textId="0785A27C" w:rsidR="00EE78DC" w:rsidRPr="003C01E5" w:rsidRDefault="00EE78DC"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Papadopoulos, T. </w:t>
      </w:r>
      <w:r w:rsidR="00234EAA" w:rsidRPr="003C01E5">
        <w:rPr>
          <w:rFonts w:ascii="Garamond" w:eastAsia="Garamond" w:hAnsi="Garamond"/>
          <w:sz w:val="22"/>
          <w:szCs w:val="22"/>
        </w:rPr>
        <w:t xml:space="preserve">and </w:t>
      </w:r>
      <w:r w:rsidRPr="003C01E5">
        <w:rPr>
          <w:rFonts w:ascii="Garamond" w:eastAsia="Garamond" w:hAnsi="Garamond"/>
          <w:sz w:val="22"/>
          <w:szCs w:val="22"/>
        </w:rPr>
        <w:t xml:space="preserve">Roumpakis, A. (2019) ‘Family as a Socio-economic Actor in the Political Economy of Welfare’, in </w:t>
      </w:r>
      <w:r w:rsidR="00FA1C35" w:rsidRPr="003C01E5">
        <w:rPr>
          <w:rFonts w:ascii="Garamond" w:eastAsia="Garamond" w:hAnsi="Garamond"/>
          <w:sz w:val="22"/>
          <w:szCs w:val="22"/>
        </w:rPr>
        <w:t xml:space="preserve">E. </w:t>
      </w:r>
      <w:proofErr w:type="spellStart"/>
      <w:r w:rsidRPr="003C01E5">
        <w:rPr>
          <w:rFonts w:ascii="Garamond" w:eastAsia="Garamond" w:hAnsi="Garamond"/>
          <w:sz w:val="22"/>
          <w:szCs w:val="22"/>
        </w:rPr>
        <w:t>Heins</w:t>
      </w:r>
      <w:proofErr w:type="spellEnd"/>
      <w:r w:rsidR="00FA1C35" w:rsidRPr="003C01E5">
        <w:rPr>
          <w:rFonts w:ascii="Garamond" w:eastAsia="Garamond" w:hAnsi="Garamond"/>
          <w:sz w:val="22"/>
          <w:szCs w:val="22"/>
        </w:rPr>
        <w:t xml:space="preserve">, J. </w:t>
      </w:r>
      <w:r w:rsidRPr="003C01E5">
        <w:rPr>
          <w:rFonts w:ascii="Garamond" w:eastAsia="Garamond" w:hAnsi="Garamond"/>
          <w:sz w:val="22"/>
          <w:szCs w:val="22"/>
        </w:rPr>
        <w:t>Rees and </w:t>
      </w:r>
      <w:r w:rsidR="00FA1C35" w:rsidRPr="003C01E5">
        <w:rPr>
          <w:rFonts w:ascii="Garamond" w:eastAsia="Garamond" w:hAnsi="Garamond"/>
          <w:sz w:val="22"/>
          <w:szCs w:val="22"/>
        </w:rPr>
        <w:t xml:space="preserve">C. </w:t>
      </w:r>
      <w:r w:rsidRPr="003C01E5">
        <w:rPr>
          <w:rFonts w:ascii="Garamond" w:eastAsia="Garamond" w:hAnsi="Garamond"/>
          <w:sz w:val="22"/>
          <w:szCs w:val="22"/>
        </w:rPr>
        <w:t>Needham (eds.)</w:t>
      </w:r>
      <w:r w:rsidR="00FA1C35" w:rsidRPr="003C01E5">
        <w:rPr>
          <w:rFonts w:ascii="Garamond" w:eastAsia="Garamond" w:hAnsi="Garamond"/>
          <w:sz w:val="22"/>
          <w:szCs w:val="22"/>
        </w:rPr>
        <w:t>,</w:t>
      </w:r>
      <w:r w:rsidRPr="003C01E5">
        <w:rPr>
          <w:rFonts w:ascii="Garamond" w:eastAsia="Garamond" w:hAnsi="Garamond"/>
          <w:i/>
          <w:iCs/>
          <w:sz w:val="22"/>
          <w:szCs w:val="22"/>
        </w:rPr>
        <w:t> Social Policy Review No 31</w:t>
      </w:r>
      <w:r w:rsidRPr="003C01E5">
        <w:rPr>
          <w:rFonts w:ascii="Garamond" w:eastAsia="Garamond" w:hAnsi="Garamond"/>
          <w:sz w:val="22"/>
          <w:szCs w:val="22"/>
        </w:rPr>
        <w:t>, Bristol: Policy Press, pp</w:t>
      </w:r>
      <w:r w:rsidR="00FA1C35" w:rsidRPr="003C01E5">
        <w:rPr>
          <w:rFonts w:ascii="Garamond" w:eastAsia="Garamond" w:hAnsi="Garamond"/>
          <w:sz w:val="22"/>
          <w:szCs w:val="22"/>
        </w:rPr>
        <w:t>.</w:t>
      </w:r>
      <w:r w:rsidRPr="003C01E5">
        <w:rPr>
          <w:rFonts w:ascii="Garamond" w:eastAsia="Garamond" w:hAnsi="Garamond"/>
          <w:sz w:val="22"/>
          <w:szCs w:val="22"/>
        </w:rPr>
        <w:t xml:space="preserve"> 243-66.</w:t>
      </w:r>
    </w:p>
    <w:p w14:paraId="51E126D2" w14:textId="4A52E98A" w:rsidR="00EE78DC" w:rsidRPr="003C01E5" w:rsidRDefault="00EE78DC"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 Papadopoulos, T. </w:t>
      </w:r>
      <w:r w:rsidR="00234EAA" w:rsidRPr="003C01E5">
        <w:rPr>
          <w:rFonts w:ascii="Garamond" w:eastAsia="Garamond" w:hAnsi="Garamond"/>
          <w:sz w:val="22"/>
          <w:szCs w:val="22"/>
        </w:rPr>
        <w:t>and</w:t>
      </w:r>
      <w:r w:rsidRPr="003C01E5">
        <w:rPr>
          <w:rFonts w:ascii="Garamond" w:eastAsia="Garamond" w:hAnsi="Garamond"/>
          <w:sz w:val="22"/>
          <w:szCs w:val="22"/>
        </w:rPr>
        <w:t xml:space="preserve"> Roumpakis, A. (2017) ‘Family as a socio-economic actor in the political economies of East and South-East Asian welfare capitalisms’, </w:t>
      </w:r>
      <w:r w:rsidRPr="003C01E5">
        <w:rPr>
          <w:rFonts w:ascii="Garamond" w:eastAsia="Garamond" w:hAnsi="Garamond"/>
          <w:i/>
          <w:iCs/>
          <w:sz w:val="22"/>
          <w:szCs w:val="22"/>
        </w:rPr>
        <w:t>Social Policy &amp; Administration</w:t>
      </w:r>
      <w:r w:rsidRPr="003C01E5">
        <w:rPr>
          <w:rFonts w:ascii="Garamond" w:eastAsia="Garamond" w:hAnsi="Garamond"/>
          <w:sz w:val="22"/>
          <w:szCs w:val="22"/>
        </w:rPr>
        <w:t>,</w:t>
      </w:r>
      <w:r w:rsidRPr="003C01E5">
        <w:rPr>
          <w:rFonts w:ascii="Garamond" w:eastAsia="Garamond" w:hAnsi="Garamond"/>
          <w:i/>
          <w:iCs/>
          <w:sz w:val="22"/>
          <w:szCs w:val="22"/>
        </w:rPr>
        <w:t xml:space="preserve"> </w:t>
      </w:r>
      <w:r w:rsidRPr="003C01E5">
        <w:rPr>
          <w:rFonts w:ascii="Garamond" w:eastAsia="Garamond" w:hAnsi="Garamond"/>
          <w:sz w:val="22"/>
          <w:szCs w:val="22"/>
        </w:rPr>
        <w:t>51</w:t>
      </w:r>
      <w:r w:rsidR="00FA1C35" w:rsidRPr="003C01E5">
        <w:rPr>
          <w:rFonts w:ascii="Garamond" w:eastAsia="Garamond" w:hAnsi="Garamond"/>
          <w:sz w:val="22"/>
          <w:szCs w:val="22"/>
        </w:rPr>
        <w:t>,</w:t>
      </w:r>
      <w:r w:rsidRPr="003C01E5">
        <w:rPr>
          <w:rFonts w:ascii="Garamond" w:eastAsia="Garamond" w:hAnsi="Garamond"/>
          <w:sz w:val="22"/>
          <w:szCs w:val="22"/>
        </w:rPr>
        <w:t> 857–75. </w:t>
      </w:r>
    </w:p>
    <w:p w14:paraId="500DFA55" w14:textId="04236376" w:rsidR="00C411CE" w:rsidRPr="003C01E5" w:rsidRDefault="00EE78DC"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 </w:t>
      </w:r>
      <w:r w:rsidR="00886194" w:rsidRPr="003C01E5">
        <w:rPr>
          <w:rFonts w:ascii="Garamond" w:eastAsia="Garamond" w:hAnsi="Garamond"/>
          <w:sz w:val="22"/>
          <w:szCs w:val="22"/>
        </w:rPr>
        <w:t>Patel</w:t>
      </w:r>
      <w:r w:rsidR="00234EAA" w:rsidRPr="003C01E5">
        <w:rPr>
          <w:rFonts w:ascii="Garamond" w:eastAsia="Garamond" w:hAnsi="Garamond"/>
          <w:sz w:val="22"/>
          <w:szCs w:val="22"/>
        </w:rPr>
        <w:t>,</w:t>
      </w:r>
      <w:r w:rsidR="00886194" w:rsidRPr="003C01E5">
        <w:rPr>
          <w:rFonts w:ascii="Garamond" w:eastAsia="Garamond" w:hAnsi="Garamond"/>
          <w:sz w:val="22"/>
          <w:szCs w:val="22"/>
        </w:rPr>
        <w:t xml:space="preserve"> L. (2019) </w:t>
      </w:r>
      <w:r w:rsidR="00C411CE" w:rsidRPr="003C01E5">
        <w:rPr>
          <w:rFonts w:ascii="Garamond" w:eastAsia="Garamond" w:hAnsi="Garamond"/>
          <w:sz w:val="22"/>
          <w:szCs w:val="22"/>
        </w:rPr>
        <w:t>‘</w:t>
      </w:r>
      <w:r w:rsidR="00886194" w:rsidRPr="003C01E5">
        <w:rPr>
          <w:rFonts w:ascii="Garamond" w:eastAsia="Garamond" w:hAnsi="Garamond"/>
          <w:sz w:val="22"/>
          <w:szCs w:val="22"/>
        </w:rPr>
        <w:t>Gender: towards gender equality and poverty reduction</w:t>
      </w:r>
      <w:r w:rsidR="00C411CE" w:rsidRPr="003C01E5">
        <w:rPr>
          <w:rFonts w:ascii="Garamond" w:eastAsia="Garamond" w:hAnsi="Garamond"/>
          <w:sz w:val="22"/>
          <w:szCs w:val="22"/>
        </w:rPr>
        <w:t xml:space="preserve">’, </w:t>
      </w:r>
      <w:r w:rsidR="009821A5" w:rsidRPr="003C01E5">
        <w:rPr>
          <w:rFonts w:ascii="Garamond" w:eastAsia="Garamond" w:hAnsi="Garamond"/>
          <w:sz w:val="22"/>
          <w:szCs w:val="22"/>
        </w:rPr>
        <w:t xml:space="preserve">in J. Midgley, R. Surrender and L. </w:t>
      </w:r>
      <w:proofErr w:type="spellStart"/>
      <w:r w:rsidR="009821A5" w:rsidRPr="003C01E5">
        <w:rPr>
          <w:rFonts w:ascii="Garamond" w:eastAsia="Garamond" w:hAnsi="Garamond"/>
          <w:sz w:val="22"/>
          <w:szCs w:val="22"/>
        </w:rPr>
        <w:t>Alfers</w:t>
      </w:r>
      <w:proofErr w:type="spellEnd"/>
      <w:r w:rsidR="009821A5" w:rsidRPr="003C01E5">
        <w:rPr>
          <w:rFonts w:ascii="Garamond" w:eastAsia="Garamond" w:hAnsi="Garamond"/>
          <w:sz w:val="22"/>
          <w:szCs w:val="22"/>
        </w:rPr>
        <w:t xml:space="preserve"> (eds.), </w:t>
      </w:r>
      <w:r w:rsidR="009821A5" w:rsidRPr="003C01E5">
        <w:rPr>
          <w:rFonts w:ascii="Garamond" w:eastAsia="Garamond" w:hAnsi="Garamond"/>
          <w:i/>
          <w:iCs/>
          <w:sz w:val="22"/>
          <w:szCs w:val="22"/>
        </w:rPr>
        <w:t>Handbook of Social Policy and Development</w:t>
      </w:r>
      <w:r w:rsidR="009821A5" w:rsidRPr="003C01E5">
        <w:rPr>
          <w:rFonts w:ascii="Garamond" w:eastAsia="Garamond" w:hAnsi="Garamond"/>
          <w:sz w:val="22"/>
          <w:szCs w:val="22"/>
        </w:rPr>
        <w:t>, Cheltenham: Edward Elgar</w:t>
      </w:r>
      <w:r w:rsidR="00C411CE" w:rsidRPr="003C01E5">
        <w:rPr>
          <w:rFonts w:ascii="Garamond" w:eastAsia="Garamond" w:hAnsi="Garamond"/>
          <w:sz w:val="22"/>
          <w:szCs w:val="22"/>
        </w:rPr>
        <w:t xml:space="preserve">, </w:t>
      </w:r>
      <w:r w:rsidR="00FA1C35" w:rsidRPr="003C01E5">
        <w:rPr>
          <w:rFonts w:ascii="Garamond" w:eastAsia="Garamond" w:hAnsi="Garamond"/>
          <w:sz w:val="22"/>
          <w:szCs w:val="22"/>
        </w:rPr>
        <w:t>pp.</w:t>
      </w:r>
      <w:r w:rsidR="00C411CE" w:rsidRPr="003C01E5">
        <w:rPr>
          <w:rFonts w:ascii="Garamond" w:eastAsia="Garamond" w:hAnsi="Garamond"/>
          <w:sz w:val="22"/>
          <w:szCs w:val="22"/>
        </w:rPr>
        <w:t>71-88.</w:t>
      </w:r>
    </w:p>
    <w:p w14:paraId="31F6DE2D" w14:textId="57ECE51D" w:rsidR="005E4FC6" w:rsidRPr="003C01E5" w:rsidRDefault="005E4FC6" w:rsidP="003C01E5">
      <w:pPr>
        <w:tabs>
          <w:tab w:val="left" w:pos="2268"/>
        </w:tabs>
        <w:spacing w:line="480" w:lineRule="auto"/>
        <w:ind w:left="426" w:hanging="284"/>
        <w:rPr>
          <w:rFonts w:ascii="Garamond" w:eastAsia="Garamond" w:hAnsi="Garamond"/>
          <w:color w:val="323232"/>
          <w:sz w:val="22"/>
          <w:szCs w:val="22"/>
        </w:rPr>
      </w:pPr>
      <w:r w:rsidRPr="003C01E5">
        <w:rPr>
          <w:rFonts w:ascii="Garamond" w:eastAsia="Garamond" w:hAnsi="Garamond"/>
          <w:color w:val="323232"/>
          <w:sz w:val="22"/>
          <w:szCs w:val="22"/>
        </w:rPr>
        <w:t xml:space="preserve">Rai, S., Brown, B., and </w:t>
      </w:r>
      <w:proofErr w:type="spellStart"/>
      <w:r w:rsidRPr="003C01E5">
        <w:rPr>
          <w:rFonts w:ascii="Garamond" w:eastAsia="Garamond" w:hAnsi="Garamond"/>
          <w:color w:val="323232"/>
          <w:sz w:val="22"/>
          <w:szCs w:val="22"/>
        </w:rPr>
        <w:t>Ruwanpura</w:t>
      </w:r>
      <w:proofErr w:type="spellEnd"/>
      <w:r w:rsidRPr="003C01E5">
        <w:rPr>
          <w:rFonts w:ascii="Garamond" w:eastAsia="Garamond" w:hAnsi="Garamond"/>
          <w:color w:val="323232"/>
          <w:sz w:val="22"/>
          <w:szCs w:val="22"/>
        </w:rPr>
        <w:t xml:space="preserve">, K. (2019) SDG 8: Decent work and economic growth–A gendered analysis, </w:t>
      </w:r>
      <w:r w:rsidRPr="003C01E5">
        <w:rPr>
          <w:rFonts w:ascii="Garamond" w:eastAsia="Garamond" w:hAnsi="Garamond"/>
          <w:i/>
          <w:iCs/>
          <w:color w:val="323232"/>
          <w:sz w:val="22"/>
          <w:szCs w:val="22"/>
        </w:rPr>
        <w:t>World Development</w:t>
      </w:r>
      <w:r w:rsidRPr="003C01E5">
        <w:rPr>
          <w:rFonts w:ascii="Garamond" w:eastAsia="Garamond" w:hAnsi="Garamond"/>
          <w:color w:val="323232"/>
          <w:sz w:val="22"/>
          <w:szCs w:val="22"/>
        </w:rPr>
        <w:t>, 113, 368-80</w:t>
      </w:r>
      <w:r w:rsidR="009821A5" w:rsidRPr="003C01E5">
        <w:rPr>
          <w:rFonts w:ascii="Garamond" w:eastAsia="Garamond" w:hAnsi="Garamond"/>
          <w:color w:val="323232"/>
          <w:sz w:val="22"/>
          <w:szCs w:val="22"/>
        </w:rPr>
        <w:t>.</w:t>
      </w:r>
    </w:p>
    <w:p w14:paraId="71C5C9C5" w14:textId="47DCD48F" w:rsidR="001F0C39" w:rsidRPr="003C01E5" w:rsidRDefault="001F0C39"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Razavi</w:t>
      </w:r>
      <w:proofErr w:type="spellEnd"/>
      <w:r w:rsidRPr="003C01E5">
        <w:rPr>
          <w:rFonts w:ascii="Garamond" w:eastAsia="Garamond" w:hAnsi="Garamond"/>
          <w:sz w:val="22"/>
          <w:szCs w:val="22"/>
        </w:rPr>
        <w:t xml:space="preserve">, S., </w:t>
      </w:r>
      <w:proofErr w:type="gramStart"/>
      <w:r w:rsidRPr="003C01E5">
        <w:rPr>
          <w:rFonts w:ascii="Garamond" w:eastAsia="Garamond" w:hAnsi="Garamond"/>
          <w:sz w:val="22"/>
          <w:szCs w:val="22"/>
        </w:rPr>
        <w:t xml:space="preserve">and  </w:t>
      </w:r>
      <w:proofErr w:type="spellStart"/>
      <w:r w:rsidRPr="003C01E5">
        <w:rPr>
          <w:rFonts w:ascii="Garamond" w:eastAsia="Garamond" w:hAnsi="Garamond"/>
          <w:sz w:val="22"/>
          <w:szCs w:val="22"/>
        </w:rPr>
        <w:t>Staa</w:t>
      </w:r>
      <w:r w:rsidR="00234EAA" w:rsidRPr="003C01E5">
        <w:rPr>
          <w:rFonts w:ascii="Garamond" w:eastAsia="Garamond" w:hAnsi="Garamond"/>
          <w:sz w:val="22"/>
          <w:szCs w:val="22"/>
        </w:rPr>
        <w:t>b</w:t>
      </w:r>
      <w:proofErr w:type="spellEnd"/>
      <w:proofErr w:type="gramEnd"/>
      <w:r w:rsidR="00234EAA" w:rsidRPr="003C01E5">
        <w:rPr>
          <w:rFonts w:ascii="Garamond" w:eastAsia="Garamond" w:hAnsi="Garamond"/>
          <w:sz w:val="22"/>
          <w:szCs w:val="22"/>
        </w:rPr>
        <w:t>,</w:t>
      </w:r>
      <w:r w:rsidRPr="003C01E5">
        <w:rPr>
          <w:rFonts w:ascii="Garamond" w:eastAsia="Garamond" w:hAnsi="Garamond"/>
          <w:sz w:val="22"/>
          <w:szCs w:val="22"/>
        </w:rPr>
        <w:t xml:space="preserve"> S. (2012) </w:t>
      </w:r>
      <w:r w:rsidRPr="003C01E5">
        <w:rPr>
          <w:rFonts w:ascii="Garamond" w:eastAsia="Garamond" w:hAnsi="Garamond"/>
          <w:i/>
          <w:iCs/>
          <w:sz w:val="22"/>
          <w:szCs w:val="22"/>
        </w:rPr>
        <w:t>Global Variations in the Political and Social Economy of Care: Worlds Apart</w:t>
      </w:r>
      <w:r w:rsidRPr="003C01E5">
        <w:rPr>
          <w:rFonts w:ascii="Garamond" w:eastAsia="Garamond" w:hAnsi="Garamond"/>
          <w:sz w:val="22"/>
          <w:szCs w:val="22"/>
        </w:rPr>
        <w:t>. London: Routledge/UNRISD Research in Gender and Development.</w:t>
      </w:r>
    </w:p>
    <w:p w14:paraId="5A9A3D88" w14:textId="361E5B48" w:rsidR="00234EAA" w:rsidRPr="003C01E5" w:rsidRDefault="00234EAA"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lastRenderedPageBreak/>
        <w:t xml:space="preserve">Rudra, N. (2007) ‘Welfare state in developing </w:t>
      </w:r>
      <w:proofErr w:type="spellStart"/>
      <w:proofErr w:type="gramStart"/>
      <w:r w:rsidRPr="003C01E5">
        <w:rPr>
          <w:rFonts w:ascii="Garamond" w:eastAsia="Garamond" w:hAnsi="Garamond"/>
          <w:sz w:val="22"/>
          <w:szCs w:val="22"/>
        </w:rPr>
        <w:t>countries:Unique</w:t>
      </w:r>
      <w:proofErr w:type="spellEnd"/>
      <w:proofErr w:type="gramEnd"/>
      <w:r w:rsidRPr="003C01E5">
        <w:rPr>
          <w:rFonts w:ascii="Garamond" w:eastAsia="Garamond" w:hAnsi="Garamond"/>
          <w:sz w:val="22"/>
          <w:szCs w:val="22"/>
        </w:rPr>
        <w:t xml:space="preserve"> or universal?’, </w:t>
      </w:r>
      <w:r w:rsidRPr="003C01E5">
        <w:rPr>
          <w:rFonts w:ascii="Garamond" w:eastAsia="Garamond" w:hAnsi="Garamond"/>
          <w:i/>
          <w:iCs/>
          <w:sz w:val="22"/>
          <w:szCs w:val="22"/>
        </w:rPr>
        <w:t>Journal of Politics</w:t>
      </w:r>
      <w:r w:rsidRPr="003C01E5">
        <w:rPr>
          <w:rFonts w:ascii="Garamond" w:eastAsia="Garamond" w:hAnsi="Garamond"/>
          <w:sz w:val="22"/>
          <w:szCs w:val="22"/>
        </w:rPr>
        <w:t>, 69</w:t>
      </w:r>
      <w:r w:rsidR="00FA1C35" w:rsidRPr="003C01E5">
        <w:rPr>
          <w:rFonts w:ascii="Garamond" w:eastAsia="Garamond" w:hAnsi="Garamond"/>
          <w:sz w:val="22"/>
          <w:szCs w:val="22"/>
        </w:rPr>
        <w:t xml:space="preserve">, </w:t>
      </w:r>
      <w:r w:rsidRPr="003C01E5">
        <w:rPr>
          <w:rFonts w:ascii="Garamond" w:eastAsia="Garamond" w:hAnsi="Garamond"/>
          <w:sz w:val="22"/>
          <w:szCs w:val="22"/>
        </w:rPr>
        <w:t>20, 378-96.</w:t>
      </w:r>
    </w:p>
    <w:p w14:paraId="75912ABB" w14:textId="5CAB57C5" w:rsidR="005E4FC6" w:rsidRPr="003C01E5" w:rsidRDefault="005E4FC6"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Surender, R. (2019) ‘The social policy nexus and development: convergence, </w:t>
      </w:r>
      <w:proofErr w:type="spellStart"/>
      <w:r w:rsidRPr="003C01E5">
        <w:rPr>
          <w:rFonts w:ascii="Garamond" w:eastAsia="Garamond" w:hAnsi="Garamond"/>
          <w:sz w:val="22"/>
          <w:szCs w:val="22"/>
        </w:rPr>
        <w:t>divergene</w:t>
      </w:r>
      <w:proofErr w:type="spellEnd"/>
      <w:r w:rsidRPr="003C01E5">
        <w:rPr>
          <w:rFonts w:ascii="Garamond" w:eastAsia="Garamond" w:hAnsi="Garamond"/>
          <w:sz w:val="22"/>
          <w:szCs w:val="22"/>
        </w:rPr>
        <w:t xml:space="preserve"> and dynamic change</w:t>
      </w:r>
      <w:proofErr w:type="gramStart"/>
      <w:r w:rsidRPr="003C01E5">
        <w:rPr>
          <w:rFonts w:ascii="Garamond" w:eastAsia="Garamond" w:hAnsi="Garamond"/>
          <w:sz w:val="22"/>
          <w:szCs w:val="22"/>
        </w:rPr>
        <w:t xml:space="preserve">’, </w:t>
      </w:r>
      <w:r w:rsidR="00FA1C35" w:rsidRPr="003C01E5">
        <w:rPr>
          <w:rFonts w:ascii="Garamond" w:eastAsia="Garamond" w:hAnsi="Garamond"/>
          <w:sz w:val="22"/>
          <w:szCs w:val="22"/>
        </w:rPr>
        <w:t xml:space="preserve"> in</w:t>
      </w:r>
      <w:proofErr w:type="gramEnd"/>
      <w:r w:rsidR="00FA1C35" w:rsidRPr="003C01E5">
        <w:rPr>
          <w:rFonts w:ascii="Garamond" w:eastAsia="Garamond" w:hAnsi="Garamond"/>
          <w:sz w:val="22"/>
          <w:szCs w:val="22"/>
        </w:rPr>
        <w:t xml:space="preserve"> J. Midgley, R. Surrender</w:t>
      </w:r>
      <w:r w:rsidR="009821A5" w:rsidRPr="003C01E5">
        <w:rPr>
          <w:rFonts w:ascii="Garamond" w:eastAsia="Garamond" w:hAnsi="Garamond"/>
          <w:sz w:val="22"/>
          <w:szCs w:val="22"/>
        </w:rPr>
        <w:t xml:space="preserve"> and </w:t>
      </w:r>
      <w:r w:rsidR="00FA1C35" w:rsidRPr="003C01E5">
        <w:rPr>
          <w:rFonts w:ascii="Garamond" w:eastAsia="Garamond" w:hAnsi="Garamond"/>
          <w:sz w:val="22"/>
          <w:szCs w:val="22"/>
        </w:rPr>
        <w:t xml:space="preserve">L. </w:t>
      </w:r>
      <w:proofErr w:type="spellStart"/>
      <w:r w:rsidR="00FA1C35" w:rsidRPr="003C01E5">
        <w:rPr>
          <w:rFonts w:ascii="Garamond" w:eastAsia="Garamond" w:hAnsi="Garamond"/>
          <w:sz w:val="22"/>
          <w:szCs w:val="22"/>
        </w:rPr>
        <w:t>Alfers</w:t>
      </w:r>
      <w:proofErr w:type="spellEnd"/>
      <w:r w:rsidR="00FA1C35" w:rsidRPr="003C01E5">
        <w:rPr>
          <w:rFonts w:ascii="Garamond" w:eastAsia="Garamond" w:hAnsi="Garamond"/>
          <w:sz w:val="22"/>
          <w:szCs w:val="22"/>
        </w:rPr>
        <w:t xml:space="preserve"> (eds.)</w:t>
      </w:r>
      <w:r w:rsidRPr="003C01E5">
        <w:rPr>
          <w:rFonts w:ascii="Garamond" w:eastAsia="Garamond" w:hAnsi="Garamond"/>
          <w:sz w:val="22"/>
          <w:szCs w:val="22"/>
        </w:rPr>
        <w:t xml:space="preserve">, </w:t>
      </w:r>
      <w:r w:rsidRPr="003C01E5">
        <w:rPr>
          <w:rFonts w:ascii="Garamond" w:eastAsia="Garamond" w:hAnsi="Garamond"/>
          <w:i/>
          <w:iCs/>
          <w:sz w:val="22"/>
          <w:szCs w:val="22"/>
        </w:rPr>
        <w:t>Handbook of Social Policy and Development</w:t>
      </w:r>
      <w:r w:rsidRPr="003C01E5">
        <w:rPr>
          <w:rFonts w:ascii="Garamond" w:eastAsia="Garamond" w:hAnsi="Garamond"/>
          <w:sz w:val="22"/>
          <w:szCs w:val="22"/>
        </w:rPr>
        <w:t xml:space="preserve">, Cheltenham: Edward Elgar, </w:t>
      </w:r>
      <w:r w:rsidR="00FA1C35" w:rsidRPr="003C01E5">
        <w:rPr>
          <w:rFonts w:ascii="Garamond" w:eastAsia="Garamond" w:hAnsi="Garamond"/>
          <w:sz w:val="22"/>
          <w:szCs w:val="22"/>
        </w:rPr>
        <w:t xml:space="preserve">pp. </w:t>
      </w:r>
      <w:r w:rsidRPr="003C01E5">
        <w:rPr>
          <w:rFonts w:ascii="Garamond" w:eastAsia="Garamond" w:hAnsi="Garamond"/>
          <w:sz w:val="22"/>
          <w:szCs w:val="22"/>
        </w:rPr>
        <w:t>14-34.</w:t>
      </w:r>
    </w:p>
    <w:p w14:paraId="4793A5A6" w14:textId="7AC97D95" w:rsidR="00294F30" w:rsidRPr="003C01E5" w:rsidRDefault="00294F30"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eastAsia="Garamond" w:hAnsi="Garamond"/>
          <w:sz w:val="22"/>
          <w:szCs w:val="22"/>
        </w:rPr>
        <w:t>Tillin</w:t>
      </w:r>
      <w:proofErr w:type="spellEnd"/>
      <w:r w:rsidRPr="003C01E5">
        <w:rPr>
          <w:rFonts w:ascii="Garamond" w:eastAsia="Garamond" w:hAnsi="Garamond"/>
          <w:sz w:val="22"/>
          <w:szCs w:val="22"/>
        </w:rPr>
        <w:t xml:space="preserve"> L., and Duckett J. (2017) ‘The Politics of Social Policy: Welfare Expansion in Brazil, </w:t>
      </w:r>
      <w:proofErr w:type="spellStart"/>
      <w:proofErr w:type="gramStart"/>
      <w:r w:rsidRPr="003C01E5">
        <w:rPr>
          <w:rFonts w:ascii="Garamond" w:eastAsia="Garamond" w:hAnsi="Garamond"/>
          <w:sz w:val="22"/>
          <w:szCs w:val="22"/>
        </w:rPr>
        <w:t>China,India</w:t>
      </w:r>
      <w:proofErr w:type="spellEnd"/>
      <w:proofErr w:type="gramEnd"/>
      <w:r w:rsidRPr="003C01E5">
        <w:rPr>
          <w:rFonts w:ascii="Garamond" w:eastAsia="Garamond" w:hAnsi="Garamond"/>
          <w:sz w:val="22"/>
          <w:szCs w:val="22"/>
        </w:rPr>
        <w:t xml:space="preserve"> and South Africa in Comparative Perspective’, </w:t>
      </w:r>
      <w:r w:rsidRPr="003C01E5">
        <w:rPr>
          <w:rFonts w:ascii="Garamond" w:eastAsia="Garamond" w:hAnsi="Garamond"/>
          <w:i/>
          <w:iCs/>
          <w:sz w:val="22"/>
          <w:szCs w:val="22"/>
        </w:rPr>
        <w:t>Commonwealth &amp; Comparative Politics</w:t>
      </w:r>
      <w:r w:rsidRPr="003C01E5">
        <w:rPr>
          <w:rFonts w:ascii="Garamond" w:eastAsia="Garamond" w:hAnsi="Garamond"/>
          <w:sz w:val="22"/>
          <w:szCs w:val="22"/>
        </w:rPr>
        <w:t>, 55</w:t>
      </w:r>
      <w:r w:rsidR="00FA1C35" w:rsidRPr="003C01E5">
        <w:rPr>
          <w:rFonts w:ascii="Garamond" w:eastAsia="Garamond" w:hAnsi="Garamond"/>
          <w:sz w:val="22"/>
          <w:szCs w:val="22"/>
        </w:rPr>
        <w:t>, 3</w:t>
      </w:r>
      <w:r w:rsidRPr="003C01E5">
        <w:rPr>
          <w:rFonts w:ascii="Garamond" w:eastAsia="Garamond" w:hAnsi="Garamond"/>
          <w:sz w:val="22"/>
          <w:szCs w:val="22"/>
        </w:rPr>
        <w:t>, 253–77.</w:t>
      </w:r>
    </w:p>
    <w:p w14:paraId="115257B2" w14:textId="4AF76639" w:rsidR="000F2E76" w:rsidRPr="003C01E5" w:rsidRDefault="000F2E76"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United Nations (2020) SDG Global Indicators Database,  </w:t>
      </w:r>
      <w:hyperlink r:id="rId9" w:history="1">
        <w:r w:rsidR="0043652E" w:rsidRPr="0043652E">
          <w:rPr>
            <w:rStyle w:val="Hyperlink"/>
            <w:rFonts w:ascii="Garamond" w:eastAsia="Garamond" w:hAnsi="Garamond"/>
            <w:sz w:val="22"/>
            <w:szCs w:val="22"/>
          </w:rPr>
          <w:t>https://unstats.un.org/sdgs/indicators/database/?indicator=5.4.1</w:t>
        </w:r>
      </w:hyperlink>
      <w:r w:rsidR="0043652E">
        <w:rPr>
          <w:rFonts w:ascii="Garamond" w:eastAsia="Garamond" w:hAnsi="Garamond"/>
          <w:sz w:val="22"/>
          <w:szCs w:val="22"/>
        </w:rPr>
        <w:t xml:space="preserve"> [accessed on </w:t>
      </w:r>
      <w:r w:rsidRPr="003C01E5">
        <w:rPr>
          <w:rFonts w:ascii="Garamond" w:eastAsia="Garamond" w:hAnsi="Garamond"/>
          <w:sz w:val="22"/>
          <w:szCs w:val="22"/>
        </w:rPr>
        <w:t>10.01.2020].</w:t>
      </w:r>
    </w:p>
    <w:p w14:paraId="0D9FDDD2" w14:textId="10601822" w:rsidR="005360C5" w:rsidRPr="003C01E5" w:rsidRDefault="000F2E76" w:rsidP="003C01E5">
      <w:pPr>
        <w:pStyle w:val="EndNoteBibliography"/>
        <w:tabs>
          <w:tab w:val="left" w:pos="2268"/>
        </w:tabs>
        <w:spacing w:line="480" w:lineRule="auto"/>
        <w:ind w:left="426" w:hanging="284"/>
        <w:rPr>
          <w:rFonts w:ascii="Garamond" w:eastAsia="Garamond" w:hAnsi="Garamond"/>
          <w:sz w:val="22"/>
          <w:szCs w:val="22"/>
        </w:rPr>
      </w:pPr>
      <w:r w:rsidRPr="003C01E5">
        <w:rPr>
          <w:rFonts w:ascii="Garamond" w:eastAsia="Garamond" w:hAnsi="Garamond"/>
          <w:sz w:val="22"/>
          <w:szCs w:val="22"/>
        </w:rPr>
        <w:t xml:space="preserve"> </w:t>
      </w:r>
      <w:r w:rsidR="005360C5" w:rsidRPr="003C01E5">
        <w:rPr>
          <w:rFonts w:ascii="Garamond" w:eastAsia="Garamond" w:hAnsi="Garamond"/>
          <w:sz w:val="22"/>
          <w:szCs w:val="22"/>
        </w:rPr>
        <w:t>Wood</w:t>
      </w:r>
      <w:r w:rsidR="00234EAA" w:rsidRPr="003C01E5">
        <w:rPr>
          <w:rFonts w:ascii="Garamond" w:eastAsia="Garamond" w:hAnsi="Garamond"/>
          <w:sz w:val="22"/>
          <w:szCs w:val="22"/>
        </w:rPr>
        <w:t>,</w:t>
      </w:r>
      <w:r w:rsidR="005360C5" w:rsidRPr="003C01E5">
        <w:rPr>
          <w:rFonts w:ascii="Garamond" w:eastAsia="Garamond" w:hAnsi="Garamond"/>
          <w:sz w:val="22"/>
          <w:szCs w:val="22"/>
        </w:rPr>
        <w:t xml:space="preserve"> G. (2004) </w:t>
      </w:r>
      <w:r w:rsidR="005E4FC6" w:rsidRPr="003C01E5">
        <w:rPr>
          <w:rFonts w:ascii="Garamond" w:eastAsia="Garamond" w:hAnsi="Garamond"/>
          <w:sz w:val="22"/>
          <w:szCs w:val="22"/>
        </w:rPr>
        <w:t>‘</w:t>
      </w:r>
      <w:r w:rsidR="005360C5" w:rsidRPr="003C01E5">
        <w:rPr>
          <w:rFonts w:ascii="Garamond" w:eastAsia="Garamond" w:hAnsi="Garamond"/>
          <w:sz w:val="22"/>
          <w:szCs w:val="22"/>
        </w:rPr>
        <w:t>Informal Security Regimes: the strength of relationships</w:t>
      </w:r>
      <w:r w:rsidR="005E4FC6" w:rsidRPr="003C01E5">
        <w:rPr>
          <w:rFonts w:ascii="Garamond" w:eastAsia="Garamond" w:hAnsi="Garamond"/>
          <w:sz w:val="22"/>
          <w:szCs w:val="22"/>
        </w:rPr>
        <w:t>’, i</w:t>
      </w:r>
      <w:r w:rsidR="005360C5" w:rsidRPr="003C01E5">
        <w:rPr>
          <w:rFonts w:ascii="Garamond" w:eastAsia="Garamond" w:hAnsi="Garamond"/>
          <w:sz w:val="22"/>
          <w:szCs w:val="22"/>
        </w:rPr>
        <w:t>n</w:t>
      </w:r>
      <w:r w:rsidR="00FA1C35" w:rsidRPr="003C01E5">
        <w:rPr>
          <w:rFonts w:ascii="Garamond" w:eastAsia="Garamond" w:hAnsi="Garamond"/>
          <w:sz w:val="22"/>
          <w:szCs w:val="22"/>
        </w:rPr>
        <w:t xml:space="preserve"> I.</w:t>
      </w:r>
      <w:r w:rsidR="005360C5" w:rsidRPr="003C01E5">
        <w:rPr>
          <w:rFonts w:ascii="Garamond" w:eastAsia="Garamond" w:hAnsi="Garamond"/>
          <w:sz w:val="22"/>
          <w:szCs w:val="22"/>
        </w:rPr>
        <w:t xml:space="preserve"> Gough, </w:t>
      </w:r>
      <w:r w:rsidR="00FA1C35" w:rsidRPr="003C01E5">
        <w:rPr>
          <w:rFonts w:ascii="Garamond" w:eastAsia="Garamond" w:hAnsi="Garamond"/>
          <w:sz w:val="22"/>
          <w:szCs w:val="22"/>
        </w:rPr>
        <w:t xml:space="preserve">G. </w:t>
      </w:r>
      <w:r w:rsidR="005360C5" w:rsidRPr="003C01E5">
        <w:rPr>
          <w:rFonts w:ascii="Garamond" w:eastAsia="Garamond" w:hAnsi="Garamond"/>
          <w:sz w:val="22"/>
          <w:szCs w:val="22"/>
        </w:rPr>
        <w:t xml:space="preserve">Wood, </w:t>
      </w:r>
      <w:r w:rsidR="00FA1C35" w:rsidRPr="003C01E5">
        <w:rPr>
          <w:rFonts w:ascii="Garamond" w:eastAsia="Garamond" w:hAnsi="Garamond"/>
          <w:sz w:val="22"/>
          <w:szCs w:val="22"/>
        </w:rPr>
        <w:t xml:space="preserve">A. </w:t>
      </w:r>
      <w:r w:rsidR="005360C5" w:rsidRPr="003C01E5">
        <w:rPr>
          <w:rFonts w:ascii="Garamond" w:eastAsia="Garamond" w:hAnsi="Garamond"/>
          <w:sz w:val="22"/>
          <w:szCs w:val="22"/>
        </w:rPr>
        <w:t>Barrientos, et al. (eds</w:t>
      </w:r>
      <w:r w:rsidR="005E4FC6" w:rsidRPr="003C01E5">
        <w:rPr>
          <w:rFonts w:ascii="Garamond" w:eastAsia="Garamond" w:hAnsi="Garamond"/>
          <w:sz w:val="22"/>
          <w:szCs w:val="22"/>
        </w:rPr>
        <w:t>.</w:t>
      </w:r>
      <w:r w:rsidR="005360C5" w:rsidRPr="003C01E5">
        <w:rPr>
          <w:rFonts w:ascii="Garamond" w:eastAsia="Garamond" w:hAnsi="Garamond"/>
          <w:sz w:val="22"/>
          <w:szCs w:val="22"/>
        </w:rPr>
        <w:t>)</w:t>
      </w:r>
      <w:r w:rsidR="00FA1C35" w:rsidRPr="003C01E5">
        <w:rPr>
          <w:rFonts w:ascii="Garamond" w:eastAsia="Garamond" w:hAnsi="Garamond"/>
          <w:sz w:val="22"/>
          <w:szCs w:val="22"/>
        </w:rPr>
        <w:t>,</w:t>
      </w:r>
      <w:r w:rsidR="005360C5" w:rsidRPr="003C01E5">
        <w:rPr>
          <w:rFonts w:ascii="Garamond" w:eastAsia="Garamond" w:hAnsi="Garamond"/>
          <w:sz w:val="22"/>
          <w:szCs w:val="22"/>
        </w:rPr>
        <w:t xml:space="preserve"> </w:t>
      </w:r>
      <w:r w:rsidR="005360C5" w:rsidRPr="003C01E5">
        <w:rPr>
          <w:rFonts w:ascii="Garamond" w:eastAsia="Garamond" w:hAnsi="Garamond"/>
          <w:i/>
          <w:sz w:val="22"/>
          <w:szCs w:val="22"/>
        </w:rPr>
        <w:t>Insecurity and Welfare Regimes in Asia, Africa and Latin America.</w:t>
      </w:r>
      <w:r w:rsidR="005360C5" w:rsidRPr="003C01E5">
        <w:rPr>
          <w:rFonts w:ascii="Garamond" w:eastAsia="Garamond" w:hAnsi="Garamond"/>
          <w:sz w:val="22"/>
          <w:szCs w:val="22"/>
        </w:rPr>
        <w:t xml:space="preserve"> Cambridge: Cambridge University Press, </w:t>
      </w:r>
      <w:r w:rsidR="00FA1C35" w:rsidRPr="003C01E5">
        <w:rPr>
          <w:rFonts w:ascii="Garamond" w:eastAsia="Garamond" w:hAnsi="Garamond"/>
          <w:sz w:val="22"/>
          <w:szCs w:val="22"/>
        </w:rPr>
        <w:t xml:space="preserve">pp. </w:t>
      </w:r>
      <w:r w:rsidR="005360C5" w:rsidRPr="003C01E5">
        <w:rPr>
          <w:rFonts w:ascii="Garamond" w:eastAsia="Garamond" w:hAnsi="Garamond"/>
          <w:sz w:val="22"/>
          <w:szCs w:val="22"/>
        </w:rPr>
        <w:t>49-87.</w:t>
      </w:r>
    </w:p>
    <w:p w14:paraId="2EC0112D" w14:textId="45A0B984" w:rsidR="00166688" w:rsidRPr="003C01E5" w:rsidRDefault="00166688" w:rsidP="003C01E5">
      <w:pPr>
        <w:pStyle w:val="EndNoteBibliography"/>
        <w:tabs>
          <w:tab w:val="left" w:pos="2268"/>
        </w:tabs>
        <w:spacing w:line="480" w:lineRule="auto"/>
        <w:ind w:left="426" w:hanging="284"/>
        <w:rPr>
          <w:rFonts w:ascii="Garamond" w:eastAsia="Garamond" w:hAnsi="Garamond"/>
          <w:sz w:val="22"/>
          <w:szCs w:val="22"/>
        </w:rPr>
      </w:pPr>
      <w:proofErr w:type="spellStart"/>
      <w:r w:rsidRPr="003C01E5">
        <w:rPr>
          <w:rFonts w:ascii="Garamond" w:hAnsi="Garamond" w:cstheme="minorHAnsi"/>
          <w:sz w:val="22"/>
          <w:szCs w:val="22"/>
        </w:rPr>
        <w:t>Yörük</w:t>
      </w:r>
      <w:proofErr w:type="spellEnd"/>
      <w:r w:rsidRPr="003C01E5">
        <w:rPr>
          <w:rFonts w:ascii="Garamond" w:hAnsi="Garamond" w:cstheme="minorHAnsi"/>
          <w:sz w:val="22"/>
          <w:szCs w:val="22"/>
        </w:rPr>
        <w:t xml:space="preserve"> E, </w:t>
      </w:r>
      <w:proofErr w:type="spellStart"/>
      <w:r w:rsidRPr="003C01E5">
        <w:rPr>
          <w:rFonts w:ascii="Garamond" w:hAnsi="Garamond" w:cstheme="minorHAnsi"/>
          <w:sz w:val="22"/>
          <w:szCs w:val="22"/>
        </w:rPr>
        <w:t>Öker</w:t>
      </w:r>
      <w:proofErr w:type="spellEnd"/>
      <w:r w:rsidRPr="003C01E5">
        <w:rPr>
          <w:rFonts w:ascii="Garamond" w:hAnsi="Garamond" w:cstheme="minorHAnsi"/>
          <w:sz w:val="22"/>
          <w:szCs w:val="22"/>
        </w:rPr>
        <w:t xml:space="preserve"> İ, </w:t>
      </w:r>
      <w:proofErr w:type="spellStart"/>
      <w:r w:rsidRPr="003C01E5">
        <w:rPr>
          <w:rFonts w:ascii="Garamond" w:hAnsi="Garamond" w:cstheme="minorHAnsi"/>
          <w:sz w:val="22"/>
          <w:szCs w:val="22"/>
        </w:rPr>
        <w:t>Yıldırım</w:t>
      </w:r>
      <w:proofErr w:type="spellEnd"/>
      <w:r w:rsidRPr="003C01E5">
        <w:rPr>
          <w:rFonts w:ascii="Garamond" w:hAnsi="Garamond" w:cstheme="minorHAnsi"/>
          <w:sz w:val="22"/>
          <w:szCs w:val="22"/>
        </w:rPr>
        <w:t xml:space="preserve"> K, et al. (2019) ‘The Variable Selection Problem in the Three Worlds of Welfare Literature’, </w:t>
      </w:r>
      <w:r w:rsidRPr="003C01E5">
        <w:rPr>
          <w:rFonts w:ascii="Garamond" w:hAnsi="Garamond" w:cstheme="minorHAnsi"/>
          <w:i/>
          <w:iCs/>
          <w:sz w:val="22"/>
          <w:szCs w:val="22"/>
        </w:rPr>
        <w:t>Social Indicators Research</w:t>
      </w:r>
      <w:r w:rsidRPr="003C01E5">
        <w:rPr>
          <w:rFonts w:ascii="Garamond" w:hAnsi="Garamond" w:cstheme="minorHAnsi"/>
          <w:sz w:val="22"/>
          <w:szCs w:val="22"/>
        </w:rPr>
        <w:t>, 144, 625-46.</w:t>
      </w:r>
    </w:p>
    <w:p w14:paraId="2132B532" w14:textId="77777777" w:rsidR="00BC7D23" w:rsidRPr="003C01E5" w:rsidRDefault="00BC7D23" w:rsidP="003C01E5">
      <w:pPr>
        <w:spacing w:line="480" w:lineRule="auto"/>
        <w:rPr>
          <w:rFonts w:ascii="Garamond" w:eastAsia="Garamond" w:hAnsi="Garamond"/>
          <w:sz w:val="22"/>
          <w:szCs w:val="22"/>
        </w:rPr>
      </w:pPr>
    </w:p>
    <w:p w14:paraId="315DF33E" w14:textId="77777777" w:rsidR="00BC7D23" w:rsidRPr="003C01E5" w:rsidRDefault="00BC7D23" w:rsidP="003C01E5">
      <w:pPr>
        <w:spacing w:line="480" w:lineRule="auto"/>
        <w:rPr>
          <w:rFonts w:ascii="Garamond" w:eastAsia="Garamond" w:hAnsi="Garamond"/>
          <w:sz w:val="22"/>
          <w:szCs w:val="22"/>
        </w:rPr>
      </w:pPr>
    </w:p>
    <w:p w14:paraId="1E5D0285" w14:textId="53B17DEF" w:rsidR="00422E63" w:rsidRPr="003C01E5" w:rsidRDefault="00422E63" w:rsidP="003C01E5">
      <w:pPr>
        <w:spacing w:line="480" w:lineRule="auto"/>
      </w:pPr>
    </w:p>
    <w:p w14:paraId="5B3916E2" w14:textId="77777777" w:rsidR="00422E63" w:rsidRPr="003C01E5" w:rsidRDefault="00422E63" w:rsidP="003C01E5">
      <w:pPr>
        <w:spacing w:line="480" w:lineRule="auto"/>
      </w:pPr>
    </w:p>
    <w:p w14:paraId="781E5DC2" w14:textId="3FFFE6B2" w:rsidR="00C751BE" w:rsidRPr="003C01E5" w:rsidRDefault="00C751BE" w:rsidP="003C01E5">
      <w:pPr>
        <w:spacing w:line="480" w:lineRule="auto"/>
      </w:pPr>
    </w:p>
    <w:p w14:paraId="57420105" w14:textId="1A2E0C2A" w:rsidR="00C751BE" w:rsidRPr="003C01E5" w:rsidRDefault="00C751BE" w:rsidP="003C01E5">
      <w:pPr>
        <w:spacing w:line="480" w:lineRule="auto"/>
        <w:rPr>
          <w:rFonts w:ascii="Garamond" w:eastAsia="Garamond" w:hAnsi="Garamond"/>
          <w:sz w:val="22"/>
          <w:szCs w:val="22"/>
        </w:rPr>
      </w:pPr>
    </w:p>
    <w:p w14:paraId="73955795" w14:textId="434DF567" w:rsidR="00C751BE" w:rsidRPr="003C01E5" w:rsidRDefault="00C751BE" w:rsidP="003C01E5">
      <w:pPr>
        <w:spacing w:line="480" w:lineRule="auto"/>
      </w:pPr>
      <w:r w:rsidRPr="003C01E5">
        <w:br w:type="page"/>
      </w:r>
    </w:p>
    <w:sectPr w:rsidR="00C751BE" w:rsidRPr="003C01E5" w:rsidSect="002D38FD">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D253C" w14:textId="77777777" w:rsidR="008D7507" w:rsidRDefault="008D7507" w:rsidP="005B4259">
      <w:r>
        <w:separator/>
      </w:r>
    </w:p>
  </w:endnote>
  <w:endnote w:type="continuationSeparator" w:id="0">
    <w:p w14:paraId="19752490" w14:textId="77777777" w:rsidR="008D7507" w:rsidRDefault="008D7507" w:rsidP="005B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80"/>
    <w:family w:val="roman"/>
    <w:pitch w:val="variable"/>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1389043"/>
      <w:docPartObj>
        <w:docPartGallery w:val="Page Numbers (Bottom of Page)"/>
        <w:docPartUnique/>
      </w:docPartObj>
    </w:sdtPr>
    <w:sdtEndPr>
      <w:rPr>
        <w:rStyle w:val="PageNumber"/>
      </w:rPr>
    </w:sdtEndPr>
    <w:sdtContent>
      <w:p w14:paraId="249C9010" w14:textId="774CB697" w:rsidR="00FA569F" w:rsidRDefault="00FA569F" w:rsidP="00FA56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8C4E16" w14:textId="77777777" w:rsidR="00FA569F" w:rsidRDefault="00FA569F" w:rsidP="00A32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9774940"/>
      <w:docPartObj>
        <w:docPartGallery w:val="Page Numbers (Bottom of Page)"/>
        <w:docPartUnique/>
      </w:docPartObj>
    </w:sdtPr>
    <w:sdtEndPr>
      <w:rPr>
        <w:rStyle w:val="PageNumber"/>
      </w:rPr>
    </w:sdtEndPr>
    <w:sdtContent>
      <w:p w14:paraId="7A2E5359" w14:textId="794AAC4B" w:rsidR="00FA569F" w:rsidRDefault="00FA569F" w:rsidP="00FA56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71D8">
          <w:rPr>
            <w:rStyle w:val="PageNumber"/>
            <w:noProof/>
          </w:rPr>
          <w:t>1</w:t>
        </w:r>
        <w:r>
          <w:rPr>
            <w:rStyle w:val="PageNumber"/>
          </w:rPr>
          <w:fldChar w:fldCharType="end"/>
        </w:r>
      </w:p>
    </w:sdtContent>
  </w:sdt>
  <w:p w14:paraId="0EC01690" w14:textId="77777777" w:rsidR="00FA569F" w:rsidRDefault="00FA569F" w:rsidP="00A32A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439E9" w14:textId="77777777" w:rsidR="008D7507" w:rsidRDefault="008D7507" w:rsidP="005B4259">
      <w:r>
        <w:separator/>
      </w:r>
    </w:p>
  </w:footnote>
  <w:footnote w:type="continuationSeparator" w:id="0">
    <w:p w14:paraId="37736C63" w14:textId="77777777" w:rsidR="008D7507" w:rsidRDefault="008D7507" w:rsidP="005B4259">
      <w:r>
        <w:continuationSeparator/>
      </w:r>
    </w:p>
  </w:footnote>
  <w:footnote w:id="1">
    <w:p w14:paraId="645C14B0" w14:textId="75B17AAB" w:rsidR="004C0D8A" w:rsidRPr="008330B6" w:rsidRDefault="004C0D8A">
      <w:pPr>
        <w:pStyle w:val="FootnoteText"/>
        <w:rPr>
          <w:rFonts w:ascii="Garamond" w:eastAsia="Garamond" w:hAnsi="Garamond"/>
          <w:sz w:val="18"/>
          <w:szCs w:val="18"/>
        </w:rPr>
      </w:pPr>
      <w:r w:rsidRPr="008330B6">
        <w:rPr>
          <w:rStyle w:val="FootnoteReference"/>
          <w:rFonts w:ascii="Garamond" w:eastAsia="Garamond" w:hAnsi="Garamond"/>
          <w:sz w:val="18"/>
          <w:szCs w:val="18"/>
        </w:rPr>
        <w:footnoteRef/>
      </w:r>
      <w:r w:rsidRPr="008330B6">
        <w:rPr>
          <w:rFonts w:ascii="Garamond" w:eastAsia="Garamond" w:hAnsi="Garamond"/>
          <w:sz w:val="18"/>
          <w:szCs w:val="18"/>
        </w:rPr>
        <w:t xml:space="preserve"> The term ‘Global South’</w:t>
      </w:r>
      <w:r>
        <w:rPr>
          <w:rFonts w:ascii="Garamond" w:eastAsia="Garamond" w:hAnsi="Garamond"/>
          <w:sz w:val="18"/>
          <w:szCs w:val="18"/>
        </w:rPr>
        <w:t xml:space="preserve"> in this article is used in reference to countries listed as ‘informal’ and </w:t>
      </w:r>
      <w:r w:rsidR="005F00B7">
        <w:rPr>
          <w:rFonts w:ascii="Garamond" w:eastAsia="Garamond" w:hAnsi="Garamond"/>
          <w:sz w:val="18"/>
          <w:szCs w:val="18"/>
        </w:rPr>
        <w:t>‘</w:t>
      </w:r>
      <w:r>
        <w:rPr>
          <w:rFonts w:ascii="Garamond" w:eastAsia="Garamond" w:hAnsi="Garamond"/>
          <w:sz w:val="18"/>
          <w:szCs w:val="18"/>
        </w:rPr>
        <w:t>insecure’ welfare regimes in Gough et al (2004).</w:t>
      </w:r>
    </w:p>
  </w:footnote>
  <w:footnote w:id="2">
    <w:p w14:paraId="7FC2CF4A" w14:textId="31DDBD64" w:rsidR="0036429B" w:rsidRPr="008330B6" w:rsidRDefault="0036429B">
      <w:pPr>
        <w:pStyle w:val="FootnoteText"/>
        <w:rPr>
          <w:rFonts w:ascii="Garamond" w:eastAsia="Garamond" w:hAnsi="Garamond"/>
          <w:sz w:val="18"/>
          <w:szCs w:val="18"/>
        </w:rPr>
      </w:pPr>
      <w:r w:rsidRPr="008330B6">
        <w:rPr>
          <w:rStyle w:val="FootnoteReference"/>
          <w:rFonts w:ascii="Garamond" w:eastAsia="Garamond" w:hAnsi="Garamond"/>
          <w:sz w:val="18"/>
          <w:szCs w:val="18"/>
        </w:rPr>
        <w:footnoteRef/>
      </w:r>
      <w:r w:rsidRPr="008330B6">
        <w:rPr>
          <w:rFonts w:ascii="Garamond" w:eastAsia="Garamond" w:hAnsi="Garamond"/>
          <w:sz w:val="18"/>
          <w:szCs w:val="18"/>
        </w:rPr>
        <w:t xml:space="preserve"> </w:t>
      </w:r>
      <w:r w:rsidR="004C0D8A" w:rsidRPr="002556BE">
        <w:rPr>
          <w:rFonts w:ascii="Garamond" w:eastAsia="Garamond" w:hAnsi="Garamond"/>
          <w:sz w:val="18"/>
          <w:szCs w:val="18"/>
        </w:rPr>
        <w:t>The term ‘Global South’</w:t>
      </w:r>
      <w:r w:rsidR="004C0D8A">
        <w:rPr>
          <w:rFonts w:ascii="Garamond" w:eastAsia="Garamond" w:hAnsi="Garamond"/>
          <w:sz w:val="18"/>
          <w:szCs w:val="18"/>
        </w:rPr>
        <w:t xml:space="preserve"> in this article is used in reference to countries listed as ‘welfare state regimes’ in Gough et al (2004).</w:t>
      </w:r>
    </w:p>
  </w:footnote>
  <w:footnote w:id="3">
    <w:p w14:paraId="01DAF558" w14:textId="77777777" w:rsidR="00FA569F" w:rsidRDefault="00FA569F" w:rsidP="00AC2F9B">
      <w:pPr>
        <w:pStyle w:val="FootnoteText"/>
      </w:pPr>
      <w:r w:rsidRPr="008330B6">
        <w:rPr>
          <w:rStyle w:val="FootnoteReference"/>
          <w:rFonts w:ascii="Garamond" w:eastAsia="Garamond" w:hAnsi="Garamond"/>
          <w:sz w:val="18"/>
          <w:szCs w:val="18"/>
        </w:rPr>
        <w:footnoteRef/>
      </w:r>
      <w:r w:rsidRPr="008330B6">
        <w:rPr>
          <w:rFonts w:ascii="Garamond" w:eastAsia="Garamond" w:hAnsi="Garamond"/>
          <w:sz w:val="18"/>
          <w:szCs w:val="18"/>
        </w:rPr>
        <w:t xml:space="preserve"> Comprising of two sub-clusters: </w:t>
      </w:r>
      <w:r w:rsidRPr="008330B6">
        <w:rPr>
          <w:rFonts w:ascii="Garamond" w:eastAsia="Garamond" w:hAnsi="Garamond" w:cstheme="minorHAnsi"/>
          <w:sz w:val="18"/>
          <w:szCs w:val="18"/>
        </w:rPr>
        <w:t>Colombia, Dominican Republic, Ecuador, El Salvador, Guatemala, Peru, Venezuela and Bolivia, Honduras Nicaragua, Paraguay.</w:t>
      </w:r>
    </w:p>
  </w:footnote>
  <w:footnote w:id="4">
    <w:p w14:paraId="2D15EA03" w14:textId="005A6E4A" w:rsidR="00482059" w:rsidRPr="008330B6" w:rsidRDefault="00482059" w:rsidP="008330B6">
      <w:pPr>
        <w:jc w:val="both"/>
        <w:rPr>
          <w:rFonts w:ascii="Garamond" w:eastAsia="Garamond" w:hAnsi="Garamond"/>
        </w:rPr>
      </w:pPr>
      <w:r w:rsidRPr="008330B6">
        <w:rPr>
          <w:rStyle w:val="FootnoteReference"/>
          <w:rFonts w:ascii="Garamond" w:eastAsia="Garamond" w:hAnsi="Garamond"/>
          <w:sz w:val="18"/>
          <w:szCs w:val="18"/>
        </w:rPr>
        <w:footnoteRef/>
      </w:r>
      <w:r w:rsidRPr="008330B6">
        <w:rPr>
          <w:rFonts w:ascii="Garamond" w:eastAsia="Garamond" w:hAnsi="Garamond"/>
          <w:sz w:val="18"/>
          <w:szCs w:val="18"/>
        </w:rPr>
        <w:t xml:space="preserve"> Time surveys classify persons who engaged in economic activity for only one hour a week as employed. Although this may lead to a substantive overestimation of formal employment rates especially in countries with large agricultural sectors (see ILO,2008), the focus on the gender gap, instead of comparing aggregate country data, can still offer useful insights. Additionally, cross-checks with social security registrations, where available, have been applied to control formal employment rates.</w:t>
      </w:r>
    </w:p>
  </w:footnote>
  <w:footnote w:id="5">
    <w:p w14:paraId="162CEB7C" w14:textId="138CE3AF" w:rsidR="00FA569F" w:rsidRPr="00A32AF9" w:rsidRDefault="00FA569F">
      <w:pPr>
        <w:pStyle w:val="FootnoteText"/>
        <w:rPr>
          <w:rFonts w:ascii="Garamond" w:eastAsia="Garamond" w:hAnsi="Garamond"/>
          <w:sz w:val="18"/>
          <w:szCs w:val="18"/>
        </w:rPr>
      </w:pPr>
      <w:r w:rsidRPr="004A2099">
        <w:rPr>
          <w:rStyle w:val="FootnoteReference"/>
          <w:rFonts w:ascii="Garamond" w:eastAsia="Garamond" w:hAnsi="Garamond"/>
          <w:sz w:val="18"/>
          <w:szCs w:val="18"/>
        </w:rPr>
        <w:footnoteRef/>
      </w:r>
      <w:r w:rsidRPr="004A2099">
        <w:rPr>
          <w:rFonts w:ascii="Garamond" w:eastAsia="Garamond" w:hAnsi="Garamond"/>
          <w:sz w:val="18"/>
          <w:szCs w:val="18"/>
        </w:rPr>
        <w:t xml:space="preserve"> </w:t>
      </w:r>
      <w:r w:rsidRPr="004A2099">
        <w:rPr>
          <w:rFonts w:ascii="Garamond" w:eastAsia="Garamond" w:hAnsi="Garamond" w:cstheme="minorHAnsi"/>
          <w:sz w:val="18"/>
          <w:szCs w:val="18"/>
        </w:rPr>
        <w:t xml:space="preserve">The 24-hour period is </w:t>
      </w:r>
      <w:r w:rsidRPr="00482059">
        <w:rPr>
          <w:rFonts w:ascii="Garamond" w:eastAsia="Garamond" w:hAnsi="Garamond" w:cstheme="minorHAnsi"/>
          <w:sz w:val="18"/>
          <w:szCs w:val="18"/>
        </w:rPr>
        <w:t>calculated over a sample of 7 days.</w:t>
      </w:r>
    </w:p>
  </w:footnote>
  <w:footnote w:id="6">
    <w:p w14:paraId="1F44BC43" w14:textId="0DFE3ABC" w:rsidR="00FA569F" w:rsidRPr="002F6D55" w:rsidRDefault="00FA569F">
      <w:pPr>
        <w:pStyle w:val="FootnoteText"/>
      </w:pPr>
      <w:r w:rsidRPr="00A32AF9">
        <w:rPr>
          <w:rStyle w:val="FootnoteReference"/>
          <w:rFonts w:ascii="Garamond" w:eastAsia="Garamond" w:hAnsi="Garamond"/>
          <w:sz w:val="18"/>
          <w:szCs w:val="18"/>
        </w:rPr>
        <w:footnoteRef/>
      </w:r>
      <w:r w:rsidRPr="00A32AF9">
        <w:rPr>
          <w:rFonts w:ascii="Garamond" w:eastAsia="Garamond" w:hAnsi="Garamond"/>
          <w:sz w:val="18"/>
          <w:szCs w:val="18"/>
        </w:rPr>
        <w:t xml:space="preserve"> Available ILO</w:t>
      </w:r>
      <w:r>
        <w:rPr>
          <w:rFonts w:ascii="Garamond" w:eastAsia="Garamond" w:hAnsi="Garamond"/>
          <w:sz w:val="18"/>
          <w:szCs w:val="18"/>
        </w:rPr>
        <w:t xml:space="preserve"> </w:t>
      </w:r>
      <w:r w:rsidRPr="002F6D55">
        <w:rPr>
          <w:rFonts w:ascii="Garamond" w:eastAsia="Garamond" w:hAnsi="Garamond"/>
          <w:sz w:val="18"/>
          <w:szCs w:val="18"/>
        </w:rPr>
        <w:t>data</w:t>
      </w:r>
      <w:r>
        <w:rPr>
          <w:rFonts w:ascii="Garamond" w:eastAsia="Garamond" w:hAnsi="Garamond"/>
          <w:sz w:val="18"/>
          <w:szCs w:val="18"/>
        </w:rPr>
        <w:t xml:space="preserve"> (country profile) on</w:t>
      </w:r>
      <w:r w:rsidRPr="002F6D55">
        <w:rPr>
          <w:rFonts w:ascii="Garamond" w:eastAsia="Garamond" w:hAnsi="Garamond"/>
          <w:sz w:val="18"/>
          <w:szCs w:val="18"/>
        </w:rPr>
        <w:t xml:space="preserve"> Rwanda </w:t>
      </w:r>
      <w:r>
        <w:rPr>
          <w:rFonts w:ascii="Garamond" w:eastAsia="Garamond" w:hAnsi="Garamond"/>
          <w:sz w:val="18"/>
          <w:szCs w:val="18"/>
        </w:rPr>
        <w:t>for</w:t>
      </w:r>
      <w:r w:rsidRPr="002F6D55">
        <w:rPr>
          <w:rFonts w:ascii="Garamond" w:eastAsia="Garamond" w:hAnsi="Garamond"/>
          <w:sz w:val="18"/>
          <w:szCs w:val="18"/>
        </w:rPr>
        <w:t xml:space="preserve"> 2012 show already a reversed trend.</w:t>
      </w:r>
    </w:p>
  </w:footnote>
  <w:footnote w:id="7">
    <w:p w14:paraId="75785CC8" w14:textId="223AB6C6" w:rsidR="00DE4BEF" w:rsidRPr="00AD3568" w:rsidRDefault="00DE4BEF" w:rsidP="00DE4BEF">
      <w:pPr>
        <w:jc w:val="both"/>
        <w:rPr>
          <w:rFonts w:ascii="Garamond" w:eastAsia="Garamond" w:hAnsi="Garamond" w:cs="Arial"/>
          <w:color w:val="1C1D1E"/>
          <w:sz w:val="18"/>
          <w:szCs w:val="18"/>
        </w:rPr>
      </w:pPr>
      <w:r w:rsidRPr="00A32AF9">
        <w:rPr>
          <w:rStyle w:val="FootnoteReference"/>
          <w:rFonts w:ascii="Garamond" w:eastAsia="Garamond" w:hAnsi="Garamond"/>
          <w:sz w:val="18"/>
          <w:szCs w:val="18"/>
        </w:rPr>
        <w:footnoteRef/>
      </w:r>
      <w:r w:rsidRPr="00A32AF9">
        <w:rPr>
          <w:rFonts w:ascii="Garamond" w:eastAsia="Garamond" w:hAnsi="Garamond"/>
          <w:sz w:val="18"/>
          <w:szCs w:val="18"/>
        </w:rPr>
        <w:t xml:space="preserve"> </w:t>
      </w:r>
      <w:r w:rsidRPr="00593CB0">
        <w:rPr>
          <w:rFonts w:ascii="Garamond" w:eastAsia="Garamond" w:hAnsi="Garamond"/>
          <w:sz w:val="18"/>
          <w:szCs w:val="18"/>
        </w:rPr>
        <w:t>There are limited data from time-surveys for the Indian sub-continent countries. It is well reported though that women significantly outnumber men on time spent in domestic work (</w:t>
      </w:r>
      <w:proofErr w:type="spellStart"/>
      <w:r w:rsidR="00AD3568" w:rsidRPr="00AD3568">
        <w:rPr>
          <w:rFonts w:ascii="Garamond" w:eastAsia="Garamond" w:hAnsi="Garamond" w:cs="Arial"/>
          <w:color w:val="1C1D1E"/>
          <w:sz w:val="18"/>
          <w:szCs w:val="18"/>
        </w:rPr>
        <w:t>Kühner</w:t>
      </w:r>
      <w:proofErr w:type="spellEnd"/>
      <w:r w:rsidR="00AD3568" w:rsidRPr="00AD3568">
        <w:rPr>
          <w:rFonts w:ascii="Garamond" w:eastAsia="Garamond" w:hAnsi="Garamond" w:cs="Arial"/>
          <w:color w:val="1C1D1E"/>
          <w:sz w:val="18"/>
          <w:szCs w:val="18"/>
        </w:rPr>
        <w:t xml:space="preserve"> </w:t>
      </w:r>
      <w:r w:rsidR="0043652E">
        <w:rPr>
          <w:rFonts w:ascii="Garamond" w:eastAsia="Garamond" w:hAnsi="Garamond" w:cs="Arial"/>
          <w:color w:val="1C1D1E"/>
          <w:sz w:val="18"/>
          <w:szCs w:val="18"/>
        </w:rPr>
        <w:t>and</w:t>
      </w:r>
      <w:r w:rsidR="00AD3568" w:rsidRPr="00AD3568">
        <w:rPr>
          <w:rFonts w:ascii="Garamond" w:eastAsia="Garamond" w:hAnsi="Garamond" w:cs="Arial"/>
          <w:color w:val="1C1D1E"/>
          <w:sz w:val="18"/>
          <w:szCs w:val="18"/>
        </w:rPr>
        <w:t xml:space="preserve"> </w:t>
      </w:r>
      <w:proofErr w:type="spellStart"/>
      <w:proofErr w:type="gramStart"/>
      <w:r w:rsidR="00AD3568" w:rsidRPr="00AD3568">
        <w:rPr>
          <w:rFonts w:ascii="Garamond" w:eastAsia="Garamond" w:hAnsi="Garamond" w:cs="Arial"/>
          <w:color w:val="1C1D1E"/>
          <w:sz w:val="18"/>
          <w:szCs w:val="18"/>
        </w:rPr>
        <w:t>Nakray</w:t>
      </w:r>
      <w:proofErr w:type="spellEnd"/>
      <w:r w:rsidR="00AD3568">
        <w:rPr>
          <w:rFonts w:ascii="Garamond" w:eastAsia="Garamond" w:hAnsi="Garamond" w:cs="Arial"/>
          <w:color w:val="1C1D1E"/>
          <w:sz w:val="18"/>
          <w:szCs w:val="18"/>
        </w:rPr>
        <w:t xml:space="preserve">, </w:t>
      </w:r>
      <w:r w:rsidR="00AD3568" w:rsidRPr="00AD3568">
        <w:rPr>
          <w:rFonts w:ascii="Garamond" w:eastAsia="Garamond" w:hAnsi="Garamond" w:cs="Arial"/>
          <w:color w:val="1C1D1E"/>
          <w:sz w:val="18"/>
          <w:szCs w:val="18"/>
        </w:rPr>
        <w:t> 2017</w:t>
      </w:r>
      <w:proofErr w:type="gramEnd"/>
      <w:r w:rsidR="00AD3568" w:rsidRPr="00AD3568">
        <w:rPr>
          <w:rFonts w:ascii="Garamond" w:eastAsia="Garamond" w:hAnsi="Garamond" w:cs="Arial"/>
          <w:color w:val="1C1D1E"/>
          <w:sz w:val="18"/>
          <w:szCs w:val="18"/>
        </w:rPr>
        <w:t>)</w:t>
      </w:r>
      <w:r w:rsidR="00AD3568">
        <w:rPr>
          <w:rFonts w:ascii="Garamond" w:eastAsia="Garamond" w:hAnsi="Garamond" w:cs="Arial"/>
          <w:color w:val="1C1D1E"/>
          <w:sz w:val="18"/>
          <w:szCs w:val="18"/>
        </w:rPr>
        <w:t>.</w:t>
      </w:r>
      <w:r w:rsidR="00AD3568" w:rsidRPr="00AD3568">
        <w:rPr>
          <w:rFonts w:ascii="Garamond" w:eastAsia="Garamond" w:hAnsi="Garamond" w:cs="Arial"/>
          <w:color w:val="1C1D1E"/>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E0233"/>
    <w:multiLevelType w:val="hybridMultilevel"/>
    <w:tmpl w:val="9B14CC04"/>
    <w:lvl w:ilvl="0" w:tplc="15D87C3C">
      <w:numFmt w:val="bullet"/>
      <w:lvlText w:val="-"/>
      <w:lvlJc w:val="left"/>
      <w:pPr>
        <w:ind w:left="720" w:hanging="360"/>
      </w:pPr>
      <w:rPr>
        <w:rFonts w:ascii="Garamond" w:eastAsia="Garamond" w:hAnsi="Garamond" w:cs="Calibri" w:hint="eastAsi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6468E"/>
    <w:multiLevelType w:val="hybridMultilevel"/>
    <w:tmpl w:val="3980391A"/>
    <w:lvl w:ilvl="0" w:tplc="BD086FA2">
      <w:numFmt w:val="bullet"/>
      <w:lvlText w:val=""/>
      <w:lvlJc w:val="left"/>
      <w:pPr>
        <w:ind w:left="420" w:hanging="360"/>
      </w:pPr>
      <w:rPr>
        <w:rFonts w:ascii="Wingdings" w:eastAsiaTheme="majorEastAsia" w:hAnsi="Wingdings" w:cstheme="majorBidi"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46740266"/>
    <w:multiLevelType w:val="hybridMultilevel"/>
    <w:tmpl w:val="8FE847B6"/>
    <w:lvl w:ilvl="0" w:tplc="5BB48CA8">
      <w:numFmt w:val="bullet"/>
      <w:lvlText w:val=""/>
      <w:lvlJc w:val="left"/>
      <w:pPr>
        <w:ind w:left="720" w:hanging="360"/>
      </w:pPr>
      <w:rPr>
        <w:rFonts w:ascii="Wingdings" w:eastAsia="Garamond"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D4864"/>
    <w:multiLevelType w:val="hybridMultilevel"/>
    <w:tmpl w:val="192C165E"/>
    <w:lvl w:ilvl="0" w:tplc="C90C591C">
      <w:numFmt w:val="bullet"/>
      <w:lvlText w:val="-"/>
      <w:lvlJc w:val="left"/>
      <w:pPr>
        <w:ind w:left="720" w:hanging="360"/>
      </w:pPr>
      <w:rPr>
        <w:rFonts w:ascii="Garamond" w:eastAsia="Garamond" w:hAnsi="Garamond"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81BFC"/>
    <w:multiLevelType w:val="hybridMultilevel"/>
    <w:tmpl w:val="A6C2FB52"/>
    <w:lvl w:ilvl="0" w:tplc="D34812A6">
      <w:numFmt w:val="bullet"/>
      <w:lvlText w:val="-"/>
      <w:lvlJc w:val="left"/>
      <w:pPr>
        <w:ind w:left="1140" w:hanging="360"/>
      </w:pPr>
      <w:rPr>
        <w:rFonts w:ascii="Calibri Light" w:eastAsiaTheme="majorEastAsia" w:hAnsi="Calibri Light" w:cs="Calibri Light"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69CE63DF"/>
    <w:multiLevelType w:val="hybridMultilevel"/>
    <w:tmpl w:val="D1A09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F5011"/>
    <w:multiLevelType w:val="hybridMultilevel"/>
    <w:tmpl w:val="1C622044"/>
    <w:lvl w:ilvl="0" w:tplc="AC8ADD58">
      <w:numFmt w:val="bullet"/>
      <w:lvlText w:val=""/>
      <w:lvlJc w:val="left"/>
      <w:pPr>
        <w:ind w:left="780" w:hanging="360"/>
      </w:pPr>
      <w:rPr>
        <w:rFonts w:ascii="Wingdings" w:eastAsiaTheme="majorEastAsia" w:hAnsi="Wingdings" w:cstheme="majorBidi"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59"/>
    <w:rsid w:val="0000139A"/>
    <w:rsid w:val="0000437D"/>
    <w:rsid w:val="00010D11"/>
    <w:rsid w:val="00030956"/>
    <w:rsid w:val="00045EBE"/>
    <w:rsid w:val="00050574"/>
    <w:rsid w:val="000524B8"/>
    <w:rsid w:val="00052510"/>
    <w:rsid w:val="00054804"/>
    <w:rsid w:val="00074B0B"/>
    <w:rsid w:val="000932A6"/>
    <w:rsid w:val="000A3A78"/>
    <w:rsid w:val="000A7C76"/>
    <w:rsid w:val="000B3F66"/>
    <w:rsid w:val="000B48CC"/>
    <w:rsid w:val="000B60B7"/>
    <w:rsid w:val="000C0760"/>
    <w:rsid w:val="000C3383"/>
    <w:rsid w:val="000D3CD7"/>
    <w:rsid w:val="000D3E3E"/>
    <w:rsid w:val="000E1DEA"/>
    <w:rsid w:val="000E421A"/>
    <w:rsid w:val="000E4854"/>
    <w:rsid w:val="000E535A"/>
    <w:rsid w:val="000F2E76"/>
    <w:rsid w:val="000F2FB9"/>
    <w:rsid w:val="000F5216"/>
    <w:rsid w:val="000F67C1"/>
    <w:rsid w:val="000F6A3E"/>
    <w:rsid w:val="001053BE"/>
    <w:rsid w:val="001116FC"/>
    <w:rsid w:val="0011378D"/>
    <w:rsid w:val="001215F0"/>
    <w:rsid w:val="00121EA5"/>
    <w:rsid w:val="0012441E"/>
    <w:rsid w:val="0012579E"/>
    <w:rsid w:val="001301C8"/>
    <w:rsid w:val="0013181C"/>
    <w:rsid w:val="001431B6"/>
    <w:rsid w:val="0015381C"/>
    <w:rsid w:val="0015444D"/>
    <w:rsid w:val="0015481B"/>
    <w:rsid w:val="00156777"/>
    <w:rsid w:val="00161BA1"/>
    <w:rsid w:val="00163184"/>
    <w:rsid w:val="001641F6"/>
    <w:rsid w:val="00166688"/>
    <w:rsid w:val="0017113E"/>
    <w:rsid w:val="001855A1"/>
    <w:rsid w:val="00193C19"/>
    <w:rsid w:val="001A1CD6"/>
    <w:rsid w:val="001A372E"/>
    <w:rsid w:val="001A3CC2"/>
    <w:rsid w:val="001B175B"/>
    <w:rsid w:val="001C0E5F"/>
    <w:rsid w:val="001C7BA8"/>
    <w:rsid w:val="001D212B"/>
    <w:rsid w:val="001D471F"/>
    <w:rsid w:val="001E674E"/>
    <w:rsid w:val="001F0C39"/>
    <w:rsid w:val="001F39B4"/>
    <w:rsid w:val="001F6DDF"/>
    <w:rsid w:val="00200633"/>
    <w:rsid w:val="002053C3"/>
    <w:rsid w:val="002143F2"/>
    <w:rsid w:val="00217F54"/>
    <w:rsid w:val="00226E98"/>
    <w:rsid w:val="00234EAA"/>
    <w:rsid w:val="0024375C"/>
    <w:rsid w:val="00244DAB"/>
    <w:rsid w:val="00253772"/>
    <w:rsid w:val="00260C51"/>
    <w:rsid w:val="00262843"/>
    <w:rsid w:val="00274630"/>
    <w:rsid w:val="00275C06"/>
    <w:rsid w:val="00280129"/>
    <w:rsid w:val="002809CF"/>
    <w:rsid w:val="002817D9"/>
    <w:rsid w:val="00284FD4"/>
    <w:rsid w:val="00287679"/>
    <w:rsid w:val="00293609"/>
    <w:rsid w:val="00294F30"/>
    <w:rsid w:val="002A3DF6"/>
    <w:rsid w:val="002B1026"/>
    <w:rsid w:val="002B1D85"/>
    <w:rsid w:val="002B7E2A"/>
    <w:rsid w:val="002C78A9"/>
    <w:rsid w:val="002D1205"/>
    <w:rsid w:val="002D38FD"/>
    <w:rsid w:val="002D3A39"/>
    <w:rsid w:val="002D3F94"/>
    <w:rsid w:val="002D484A"/>
    <w:rsid w:val="002D4CC4"/>
    <w:rsid w:val="002D72E7"/>
    <w:rsid w:val="002F2ACF"/>
    <w:rsid w:val="002F6D55"/>
    <w:rsid w:val="00303957"/>
    <w:rsid w:val="00305DC3"/>
    <w:rsid w:val="0031235C"/>
    <w:rsid w:val="00313295"/>
    <w:rsid w:val="00316348"/>
    <w:rsid w:val="0032368F"/>
    <w:rsid w:val="00323828"/>
    <w:rsid w:val="00323865"/>
    <w:rsid w:val="0033222C"/>
    <w:rsid w:val="00336BD5"/>
    <w:rsid w:val="00340DC9"/>
    <w:rsid w:val="00342754"/>
    <w:rsid w:val="003444AC"/>
    <w:rsid w:val="00344886"/>
    <w:rsid w:val="0035040C"/>
    <w:rsid w:val="0036429B"/>
    <w:rsid w:val="00370D30"/>
    <w:rsid w:val="003738E7"/>
    <w:rsid w:val="0038178A"/>
    <w:rsid w:val="00391189"/>
    <w:rsid w:val="003B6513"/>
    <w:rsid w:val="003C01E5"/>
    <w:rsid w:val="003C663F"/>
    <w:rsid w:val="003C68B5"/>
    <w:rsid w:val="003D3451"/>
    <w:rsid w:val="003D477F"/>
    <w:rsid w:val="003E5675"/>
    <w:rsid w:val="003E76D1"/>
    <w:rsid w:val="003F1C82"/>
    <w:rsid w:val="003F7AC0"/>
    <w:rsid w:val="0040015E"/>
    <w:rsid w:val="004048F6"/>
    <w:rsid w:val="00405DA2"/>
    <w:rsid w:val="00405DBF"/>
    <w:rsid w:val="0040641F"/>
    <w:rsid w:val="00410526"/>
    <w:rsid w:val="00416751"/>
    <w:rsid w:val="00422E63"/>
    <w:rsid w:val="00425A64"/>
    <w:rsid w:val="00427D00"/>
    <w:rsid w:val="0043652E"/>
    <w:rsid w:val="00442E0F"/>
    <w:rsid w:val="004460A5"/>
    <w:rsid w:val="0045475B"/>
    <w:rsid w:val="00463A24"/>
    <w:rsid w:val="00482059"/>
    <w:rsid w:val="0048346F"/>
    <w:rsid w:val="00494BFC"/>
    <w:rsid w:val="0049741B"/>
    <w:rsid w:val="004A0ED4"/>
    <w:rsid w:val="004A2099"/>
    <w:rsid w:val="004A49AA"/>
    <w:rsid w:val="004A50FE"/>
    <w:rsid w:val="004B25B4"/>
    <w:rsid w:val="004C0D8A"/>
    <w:rsid w:val="004C1E9B"/>
    <w:rsid w:val="004E2399"/>
    <w:rsid w:val="004E2E2C"/>
    <w:rsid w:val="004E390A"/>
    <w:rsid w:val="004E50C0"/>
    <w:rsid w:val="004F312B"/>
    <w:rsid w:val="004F5F28"/>
    <w:rsid w:val="00504C8F"/>
    <w:rsid w:val="005339D5"/>
    <w:rsid w:val="00534B6D"/>
    <w:rsid w:val="005360C5"/>
    <w:rsid w:val="005360F0"/>
    <w:rsid w:val="00540F39"/>
    <w:rsid w:val="00544E85"/>
    <w:rsid w:val="0055070C"/>
    <w:rsid w:val="00552A5D"/>
    <w:rsid w:val="00557D54"/>
    <w:rsid w:val="005667E2"/>
    <w:rsid w:val="0057427A"/>
    <w:rsid w:val="00585D78"/>
    <w:rsid w:val="00587A0A"/>
    <w:rsid w:val="00593CB0"/>
    <w:rsid w:val="005979F0"/>
    <w:rsid w:val="005A3312"/>
    <w:rsid w:val="005A4154"/>
    <w:rsid w:val="005A7CF1"/>
    <w:rsid w:val="005B0640"/>
    <w:rsid w:val="005B4259"/>
    <w:rsid w:val="005B5A8C"/>
    <w:rsid w:val="005B72D3"/>
    <w:rsid w:val="005B75E7"/>
    <w:rsid w:val="005C3BE9"/>
    <w:rsid w:val="005D2965"/>
    <w:rsid w:val="005D4F6F"/>
    <w:rsid w:val="005D5902"/>
    <w:rsid w:val="005D6FF2"/>
    <w:rsid w:val="005E4FC6"/>
    <w:rsid w:val="005E7A2D"/>
    <w:rsid w:val="005F00B7"/>
    <w:rsid w:val="005F192B"/>
    <w:rsid w:val="005F6B01"/>
    <w:rsid w:val="006017C5"/>
    <w:rsid w:val="006025EE"/>
    <w:rsid w:val="0060415E"/>
    <w:rsid w:val="0060696B"/>
    <w:rsid w:val="00620EF7"/>
    <w:rsid w:val="0062141C"/>
    <w:rsid w:val="006271D8"/>
    <w:rsid w:val="006273FE"/>
    <w:rsid w:val="006375F2"/>
    <w:rsid w:val="00637BC6"/>
    <w:rsid w:val="00640B56"/>
    <w:rsid w:val="006459AE"/>
    <w:rsid w:val="006507ED"/>
    <w:rsid w:val="00650A30"/>
    <w:rsid w:val="00653959"/>
    <w:rsid w:val="00654300"/>
    <w:rsid w:val="00656EE7"/>
    <w:rsid w:val="00662EAA"/>
    <w:rsid w:val="006725F5"/>
    <w:rsid w:val="00673346"/>
    <w:rsid w:val="0067745E"/>
    <w:rsid w:val="0069345A"/>
    <w:rsid w:val="00695C3B"/>
    <w:rsid w:val="006A1C2E"/>
    <w:rsid w:val="006A69DD"/>
    <w:rsid w:val="006B13A1"/>
    <w:rsid w:val="006B675E"/>
    <w:rsid w:val="006C45D1"/>
    <w:rsid w:val="006D4878"/>
    <w:rsid w:val="006E5FFF"/>
    <w:rsid w:val="006F04DC"/>
    <w:rsid w:val="006F3325"/>
    <w:rsid w:val="00700826"/>
    <w:rsid w:val="00700907"/>
    <w:rsid w:val="00714174"/>
    <w:rsid w:val="00716D24"/>
    <w:rsid w:val="007218B0"/>
    <w:rsid w:val="007219C9"/>
    <w:rsid w:val="00722D20"/>
    <w:rsid w:val="00726FB5"/>
    <w:rsid w:val="00730CAF"/>
    <w:rsid w:val="00731F3A"/>
    <w:rsid w:val="007440EE"/>
    <w:rsid w:val="0074710D"/>
    <w:rsid w:val="00747ACB"/>
    <w:rsid w:val="00747C7B"/>
    <w:rsid w:val="0075168F"/>
    <w:rsid w:val="007570DA"/>
    <w:rsid w:val="00760A97"/>
    <w:rsid w:val="007717FD"/>
    <w:rsid w:val="00773A09"/>
    <w:rsid w:val="00780FF1"/>
    <w:rsid w:val="007839C3"/>
    <w:rsid w:val="00784269"/>
    <w:rsid w:val="00785983"/>
    <w:rsid w:val="00786E22"/>
    <w:rsid w:val="00795D6F"/>
    <w:rsid w:val="0079701A"/>
    <w:rsid w:val="0079796B"/>
    <w:rsid w:val="007A626E"/>
    <w:rsid w:val="007B0464"/>
    <w:rsid w:val="007B3572"/>
    <w:rsid w:val="007C4EA8"/>
    <w:rsid w:val="007C7EAA"/>
    <w:rsid w:val="007E2A5A"/>
    <w:rsid w:val="007F0E69"/>
    <w:rsid w:val="00800D81"/>
    <w:rsid w:val="00803F73"/>
    <w:rsid w:val="0081127F"/>
    <w:rsid w:val="00812E25"/>
    <w:rsid w:val="00813499"/>
    <w:rsid w:val="00815639"/>
    <w:rsid w:val="0081682D"/>
    <w:rsid w:val="00816A9B"/>
    <w:rsid w:val="0081765B"/>
    <w:rsid w:val="008217AF"/>
    <w:rsid w:val="00822F4D"/>
    <w:rsid w:val="00826EB8"/>
    <w:rsid w:val="008330B6"/>
    <w:rsid w:val="008378EA"/>
    <w:rsid w:val="0085034E"/>
    <w:rsid w:val="008535B9"/>
    <w:rsid w:val="00861693"/>
    <w:rsid w:val="00872F96"/>
    <w:rsid w:val="008779C3"/>
    <w:rsid w:val="00881E93"/>
    <w:rsid w:val="00883993"/>
    <w:rsid w:val="00885551"/>
    <w:rsid w:val="00886194"/>
    <w:rsid w:val="00893298"/>
    <w:rsid w:val="00894709"/>
    <w:rsid w:val="008954E4"/>
    <w:rsid w:val="008964EC"/>
    <w:rsid w:val="008A670E"/>
    <w:rsid w:val="008C0F1E"/>
    <w:rsid w:val="008C1AC5"/>
    <w:rsid w:val="008C31A4"/>
    <w:rsid w:val="008C4754"/>
    <w:rsid w:val="008C56EC"/>
    <w:rsid w:val="008D4B1E"/>
    <w:rsid w:val="008D5DA5"/>
    <w:rsid w:val="008D7507"/>
    <w:rsid w:val="009009D6"/>
    <w:rsid w:val="00900C02"/>
    <w:rsid w:val="009033AD"/>
    <w:rsid w:val="009053BE"/>
    <w:rsid w:val="00905CE5"/>
    <w:rsid w:val="00915816"/>
    <w:rsid w:val="009236AA"/>
    <w:rsid w:val="0092571F"/>
    <w:rsid w:val="009307B7"/>
    <w:rsid w:val="00931095"/>
    <w:rsid w:val="00932DFA"/>
    <w:rsid w:val="00933705"/>
    <w:rsid w:val="00934287"/>
    <w:rsid w:val="009350AE"/>
    <w:rsid w:val="00935423"/>
    <w:rsid w:val="00943BAD"/>
    <w:rsid w:val="0095006D"/>
    <w:rsid w:val="00952F6E"/>
    <w:rsid w:val="00956B8A"/>
    <w:rsid w:val="00960B2F"/>
    <w:rsid w:val="009650DB"/>
    <w:rsid w:val="00965180"/>
    <w:rsid w:val="00980F9C"/>
    <w:rsid w:val="009821A5"/>
    <w:rsid w:val="00986742"/>
    <w:rsid w:val="00991876"/>
    <w:rsid w:val="009941FE"/>
    <w:rsid w:val="009A0A05"/>
    <w:rsid w:val="009A11E5"/>
    <w:rsid w:val="009A175D"/>
    <w:rsid w:val="009A1869"/>
    <w:rsid w:val="009A2435"/>
    <w:rsid w:val="009A5BDE"/>
    <w:rsid w:val="009B630C"/>
    <w:rsid w:val="009C0DBF"/>
    <w:rsid w:val="009C42BF"/>
    <w:rsid w:val="009E0C14"/>
    <w:rsid w:val="009F2467"/>
    <w:rsid w:val="009F567E"/>
    <w:rsid w:val="009F730B"/>
    <w:rsid w:val="00A008E9"/>
    <w:rsid w:val="00A043B4"/>
    <w:rsid w:val="00A054D3"/>
    <w:rsid w:val="00A10463"/>
    <w:rsid w:val="00A12C5C"/>
    <w:rsid w:val="00A13FDA"/>
    <w:rsid w:val="00A17B0E"/>
    <w:rsid w:val="00A268BA"/>
    <w:rsid w:val="00A27561"/>
    <w:rsid w:val="00A31EBE"/>
    <w:rsid w:val="00A32AF9"/>
    <w:rsid w:val="00A360A2"/>
    <w:rsid w:val="00A4349E"/>
    <w:rsid w:val="00A46930"/>
    <w:rsid w:val="00A5164C"/>
    <w:rsid w:val="00A57280"/>
    <w:rsid w:val="00A57572"/>
    <w:rsid w:val="00A816FB"/>
    <w:rsid w:val="00A8551C"/>
    <w:rsid w:val="00A9274A"/>
    <w:rsid w:val="00AA2AF2"/>
    <w:rsid w:val="00AA36ED"/>
    <w:rsid w:val="00AA588A"/>
    <w:rsid w:val="00AA6D6A"/>
    <w:rsid w:val="00AC2F9B"/>
    <w:rsid w:val="00AC4876"/>
    <w:rsid w:val="00AD2798"/>
    <w:rsid w:val="00AD3568"/>
    <w:rsid w:val="00AD64AC"/>
    <w:rsid w:val="00AE076E"/>
    <w:rsid w:val="00AE08E3"/>
    <w:rsid w:val="00AE250E"/>
    <w:rsid w:val="00B07E13"/>
    <w:rsid w:val="00B101FC"/>
    <w:rsid w:val="00B155F6"/>
    <w:rsid w:val="00B15B88"/>
    <w:rsid w:val="00B2065C"/>
    <w:rsid w:val="00B305DA"/>
    <w:rsid w:val="00B3133E"/>
    <w:rsid w:val="00B34575"/>
    <w:rsid w:val="00B45B8E"/>
    <w:rsid w:val="00B47E69"/>
    <w:rsid w:val="00B50C92"/>
    <w:rsid w:val="00B55A51"/>
    <w:rsid w:val="00B76430"/>
    <w:rsid w:val="00B86849"/>
    <w:rsid w:val="00B91A5D"/>
    <w:rsid w:val="00B92158"/>
    <w:rsid w:val="00B94CCC"/>
    <w:rsid w:val="00BA330F"/>
    <w:rsid w:val="00BA542C"/>
    <w:rsid w:val="00BB1AFA"/>
    <w:rsid w:val="00BC0807"/>
    <w:rsid w:val="00BC1283"/>
    <w:rsid w:val="00BC4368"/>
    <w:rsid w:val="00BC7D23"/>
    <w:rsid w:val="00BD111F"/>
    <w:rsid w:val="00BD4EF6"/>
    <w:rsid w:val="00BD637F"/>
    <w:rsid w:val="00BE786D"/>
    <w:rsid w:val="00BF142F"/>
    <w:rsid w:val="00BF32FD"/>
    <w:rsid w:val="00BF3AC5"/>
    <w:rsid w:val="00C0347A"/>
    <w:rsid w:val="00C06DED"/>
    <w:rsid w:val="00C11128"/>
    <w:rsid w:val="00C23640"/>
    <w:rsid w:val="00C32992"/>
    <w:rsid w:val="00C33B32"/>
    <w:rsid w:val="00C33CFD"/>
    <w:rsid w:val="00C34B3E"/>
    <w:rsid w:val="00C411CE"/>
    <w:rsid w:val="00C44499"/>
    <w:rsid w:val="00C4485A"/>
    <w:rsid w:val="00C5532C"/>
    <w:rsid w:val="00C64BB0"/>
    <w:rsid w:val="00C72FF5"/>
    <w:rsid w:val="00C751BE"/>
    <w:rsid w:val="00C836FB"/>
    <w:rsid w:val="00C85A79"/>
    <w:rsid w:val="00C85D0A"/>
    <w:rsid w:val="00C87F83"/>
    <w:rsid w:val="00C91167"/>
    <w:rsid w:val="00CA0AF1"/>
    <w:rsid w:val="00CA2B9A"/>
    <w:rsid w:val="00CB021A"/>
    <w:rsid w:val="00CB67D1"/>
    <w:rsid w:val="00CB6E91"/>
    <w:rsid w:val="00CC1C96"/>
    <w:rsid w:val="00CD467F"/>
    <w:rsid w:val="00CD4AD8"/>
    <w:rsid w:val="00D01D93"/>
    <w:rsid w:val="00D0332C"/>
    <w:rsid w:val="00D03355"/>
    <w:rsid w:val="00D053AB"/>
    <w:rsid w:val="00D30356"/>
    <w:rsid w:val="00D4232D"/>
    <w:rsid w:val="00D43B8F"/>
    <w:rsid w:val="00D53000"/>
    <w:rsid w:val="00D619EF"/>
    <w:rsid w:val="00D61C25"/>
    <w:rsid w:val="00D629E7"/>
    <w:rsid w:val="00D753F2"/>
    <w:rsid w:val="00D757C1"/>
    <w:rsid w:val="00D82F4D"/>
    <w:rsid w:val="00D859F4"/>
    <w:rsid w:val="00D92F00"/>
    <w:rsid w:val="00D93D62"/>
    <w:rsid w:val="00D96208"/>
    <w:rsid w:val="00D964DB"/>
    <w:rsid w:val="00D971D2"/>
    <w:rsid w:val="00DA2C7D"/>
    <w:rsid w:val="00DA7A5F"/>
    <w:rsid w:val="00DB0708"/>
    <w:rsid w:val="00DB2C9D"/>
    <w:rsid w:val="00DD0E11"/>
    <w:rsid w:val="00DE2FD4"/>
    <w:rsid w:val="00DE4BEF"/>
    <w:rsid w:val="00DF69DD"/>
    <w:rsid w:val="00DF6E8E"/>
    <w:rsid w:val="00E055CF"/>
    <w:rsid w:val="00E1058A"/>
    <w:rsid w:val="00E1331E"/>
    <w:rsid w:val="00E22843"/>
    <w:rsid w:val="00E30FF3"/>
    <w:rsid w:val="00E35CDF"/>
    <w:rsid w:val="00E35EAE"/>
    <w:rsid w:val="00E40369"/>
    <w:rsid w:val="00E410D6"/>
    <w:rsid w:val="00E41B99"/>
    <w:rsid w:val="00E420D4"/>
    <w:rsid w:val="00E46F82"/>
    <w:rsid w:val="00E52625"/>
    <w:rsid w:val="00E56A91"/>
    <w:rsid w:val="00E576E5"/>
    <w:rsid w:val="00E609D8"/>
    <w:rsid w:val="00E64B6E"/>
    <w:rsid w:val="00E660ED"/>
    <w:rsid w:val="00E66167"/>
    <w:rsid w:val="00E7101B"/>
    <w:rsid w:val="00E851E3"/>
    <w:rsid w:val="00E933F7"/>
    <w:rsid w:val="00E93C88"/>
    <w:rsid w:val="00E952AE"/>
    <w:rsid w:val="00E97AA9"/>
    <w:rsid w:val="00EA2651"/>
    <w:rsid w:val="00EA3E84"/>
    <w:rsid w:val="00EB3EF5"/>
    <w:rsid w:val="00EC0051"/>
    <w:rsid w:val="00EC3B80"/>
    <w:rsid w:val="00EC49C1"/>
    <w:rsid w:val="00EC5F99"/>
    <w:rsid w:val="00EC6C93"/>
    <w:rsid w:val="00ED309D"/>
    <w:rsid w:val="00EE65C8"/>
    <w:rsid w:val="00EE6DCE"/>
    <w:rsid w:val="00EE78DC"/>
    <w:rsid w:val="00EF05DF"/>
    <w:rsid w:val="00EF3913"/>
    <w:rsid w:val="00EF572E"/>
    <w:rsid w:val="00F00F47"/>
    <w:rsid w:val="00F020E7"/>
    <w:rsid w:val="00F042A9"/>
    <w:rsid w:val="00F13A4E"/>
    <w:rsid w:val="00F13D7D"/>
    <w:rsid w:val="00F16DFD"/>
    <w:rsid w:val="00F17087"/>
    <w:rsid w:val="00F218F0"/>
    <w:rsid w:val="00F23A2F"/>
    <w:rsid w:val="00F23A66"/>
    <w:rsid w:val="00F30D7D"/>
    <w:rsid w:val="00F31B5F"/>
    <w:rsid w:val="00F5753B"/>
    <w:rsid w:val="00F66EFF"/>
    <w:rsid w:val="00F71F8C"/>
    <w:rsid w:val="00F75BA9"/>
    <w:rsid w:val="00F801FD"/>
    <w:rsid w:val="00F814B4"/>
    <w:rsid w:val="00F844D2"/>
    <w:rsid w:val="00F86981"/>
    <w:rsid w:val="00F870E2"/>
    <w:rsid w:val="00F93891"/>
    <w:rsid w:val="00FA15C0"/>
    <w:rsid w:val="00FA1C35"/>
    <w:rsid w:val="00FA569F"/>
    <w:rsid w:val="00FA5B55"/>
    <w:rsid w:val="00FB4ACC"/>
    <w:rsid w:val="00FC3A05"/>
    <w:rsid w:val="00FD67E0"/>
    <w:rsid w:val="00FE6DBD"/>
    <w:rsid w:val="00FE7E3C"/>
    <w:rsid w:val="00FF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FC97"/>
  <w14:defaultImageDpi w14:val="32767"/>
  <w15:chartTrackingRefBased/>
  <w15:docId w15:val="{2CCBAF0B-5D8C-6C47-AF6F-99347FC1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A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B42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B42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9C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779C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94C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59"/>
    <w:rPr>
      <w:rFonts w:ascii="Calibri Light" w:eastAsia="Times New Roman" w:hAnsi="Calibri Light" w:cs="Times New Roman"/>
      <w:b/>
      <w:bCs/>
      <w:kern w:val="32"/>
      <w:sz w:val="32"/>
      <w:szCs w:val="32"/>
      <w:lang w:val="en-US" w:eastAsia="ar-SA"/>
    </w:rPr>
  </w:style>
  <w:style w:type="character" w:customStyle="1" w:styleId="Heading2Char">
    <w:name w:val="Heading 2 Char"/>
    <w:basedOn w:val="DefaultParagraphFont"/>
    <w:link w:val="Heading2"/>
    <w:uiPriority w:val="9"/>
    <w:rsid w:val="005B4259"/>
    <w:rPr>
      <w:rFonts w:asciiTheme="majorHAnsi" w:eastAsiaTheme="majorEastAsia" w:hAnsiTheme="majorHAnsi" w:cstheme="majorBidi"/>
      <w:color w:val="2F5496" w:themeColor="accent1" w:themeShade="BF"/>
      <w:sz w:val="26"/>
      <w:szCs w:val="26"/>
      <w:lang w:val="en-US" w:eastAsia="ar-SA"/>
    </w:rPr>
  </w:style>
  <w:style w:type="paragraph" w:styleId="FootnoteText">
    <w:name w:val="footnote text"/>
    <w:basedOn w:val="Normal"/>
    <w:link w:val="FootnoteTextChar"/>
    <w:uiPriority w:val="99"/>
    <w:unhideWhenUsed/>
    <w:rsid w:val="005B4259"/>
    <w:rPr>
      <w:sz w:val="20"/>
      <w:szCs w:val="20"/>
    </w:rPr>
  </w:style>
  <w:style w:type="character" w:customStyle="1" w:styleId="FootnoteTextChar">
    <w:name w:val="Footnote Text Char"/>
    <w:basedOn w:val="DefaultParagraphFont"/>
    <w:link w:val="FootnoteText"/>
    <w:uiPriority w:val="99"/>
    <w:semiHidden/>
    <w:rsid w:val="005B4259"/>
    <w:rPr>
      <w:rFonts w:ascii="Times New Roman" w:eastAsia="Times New Roman" w:hAnsi="Times New Roman" w:cs="Calibri"/>
      <w:sz w:val="20"/>
      <w:szCs w:val="20"/>
      <w:lang w:val="en-US" w:eastAsia="ar-SA"/>
    </w:rPr>
  </w:style>
  <w:style w:type="character" w:styleId="FootnoteReference">
    <w:name w:val="footnote reference"/>
    <w:basedOn w:val="DefaultParagraphFont"/>
    <w:uiPriority w:val="99"/>
    <w:semiHidden/>
    <w:unhideWhenUsed/>
    <w:rsid w:val="005B4259"/>
    <w:rPr>
      <w:vertAlign w:val="superscript"/>
    </w:rPr>
  </w:style>
  <w:style w:type="character" w:styleId="Hyperlink">
    <w:name w:val="Hyperlink"/>
    <w:basedOn w:val="DefaultParagraphFont"/>
    <w:uiPriority w:val="99"/>
    <w:unhideWhenUsed/>
    <w:rsid w:val="00BC7D23"/>
    <w:rPr>
      <w:color w:val="0563C1" w:themeColor="hyperlink"/>
      <w:u w:val="single"/>
    </w:rPr>
  </w:style>
  <w:style w:type="table" w:styleId="TableGrid">
    <w:name w:val="Table Grid"/>
    <w:basedOn w:val="TableNormal"/>
    <w:uiPriority w:val="39"/>
    <w:rsid w:val="00C7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FD4"/>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E35CDF"/>
    <w:rPr>
      <w:sz w:val="18"/>
      <w:szCs w:val="18"/>
    </w:rPr>
  </w:style>
  <w:style w:type="character" w:customStyle="1" w:styleId="BalloonTextChar">
    <w:name w:val="Balloon Text Char"/>
    <w:basedOn w:val="DefaultParagraphFont"/>
    <w:link w:val="BalloonText"/>
    <w:uiPriority w:val="99"/>
    <w:semiHidden/>
    <w:rsid w:val="00E35CDF"/>
    <w:rPr>
      <w:rFonts w:ascii="Times New Roman" w:eastAsia="Times New Roman" w:hAnsi="Times New Roman" w:cs="Times New Roman"/>
      <w:sz w:val="18"/>
      <w:szCs w:val="18"/>
      <w:lang w:val="en-US" w:eastAsia="ar-SA"/>
    </w:rPr>
  </w:style>
  <w:style w:type="character" w:styleId="CommentReference">
    <w:name w:val="annotation reference"/>
    <w:basedOn w:val="DefaultParagraphFont"/>
    <w:uiPriority w:val="99"/>
    <w:semiHidden/>
    <w:unhideWhenUsed/>
    <w:rsid w:val="00156777"/>
    <w:rPr>
      <w:sz w:val="16"/>
      <w:szCs w:val="16"/>
    </w:rPr>
  </w:style>
  <w:style w:type="paragraph" w:styleId="CommentText">
    <w:name w:val="annotation text"/>
    <w:basedOn w:val="Normal"/>
    <w:link w:val="CommentTextChar"/>
    <w:uiPriority w:val="99"/>
    <w:unhideWhenUsed/>
    <w:rsid w:val="00156777"/>
    <w:rPr>
      <w:sz w:val="20"/>
      <w:szCs w:val="20"/>
    </w:rPr>
  </w:style>
  <w:style w:type="character" w:customStyle="1" w:styleId="CommentTextChar">
    <w:name w:val="Comment Text Char"/>
    <w:basedOn w:val="DefaultParagraphFont"/>
    <w:link w:val="CommentText"/>
    <w:uiPriority w:val="99"/>
    <w:rsid w:val="00156777"/>
    <w:rPr>
      <w:rFonts w:ascii="Times New Roman" w:eastAsia="Times New Roman" w:hAnsi="Times New Roman"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156777"/>
    <w:rPr>
      <w:b/>
      <w:bCs/>
    </w:rPr>
  </w:style>
  <w:style w:type="character" w:customStyle="1" w:styleId="CommentSubjectChar">
    <w:name w:val="Comment Subject Char"/>
    <w:basedOn w:val="CommentTextChar"/>
    <w:link w:val="CommentSubject"/>
    <w:uiPriority w:val="99"/>
    <w:semiHidden/>
    <w:rsid w:val="00156777"/>
    <w:rPr>
      <w:rFonts w:ascii="Times New Roman" w:eastAsia="Times New Roman" w:hAnsi="Times New Roman" w:cs="Calibri"/>
      <w:b/>
      <w:bCs/>
      <w:sz w:val="20"/>
      <w:szCs w:val="20"/>
      <w:lang w:val="en-US" w:eastAsia="ar-SA"/>
    </w:rPr>
  </w:style>
  <w:style w:type="character" w:styleId="IntenseEmphasis">
    <w:name w:val="Intense Emphasis"/>
    <w:basedOn w:val="DefaultParagraphFont"/>
    <w:uiPriority w:val="21"/>
    <w:qFormat/>
    <w:rsid w:val="004F312B"/>
    <w:rPr>
      <w:i/>
      <w:iCs/>
      <w:color w:val="4472C4" w:themeColor="accent1"/>
    </w:rPr>
  </w:style>
  <w:style w:type="character" w:styleId="IntenseReference">
    <w:name w:val="Intense Reference"/>
    <w:basedOn w:val="DefaultParagraphFont"/>
    <w:uiPriority w:val="32"/>
    <w:qFormat/>
    <w:rsid w:val="00AA36ED"/>
    <w:rPr>
      <w:b/>
      <w:bCs/>
      <w:smallCaps/>
      <w:color w:val="4472C4" w:themeColor="accent1"/>
      <w:spacing w:val="5"/>
    </w:rPr>
  </w:style>
  <w:style w:type="paragraph" w:styleId="ListParagraph">
    <w:name w:val="List Paragraph"/>
    <w:basedOn w:val="Normal"/>
    <w:uiPriority w:val="34"/>
    <w:qFormat/>
    <w:rsid w:val="001301C8"/>
    <w:pPr>
      <w:ind w:left="720"/>
      <w:contextualSpacing/>
    </w:pPr>
  </w:style>
  <w:style w:type="paragraph" w:customStyle="1" w:styleId="EndNoteBibliography">
    <w:name w:val="EndNote Bibliography"/>
    <w:basedOn w:val="Normal"/>
    <w:link w:val="EndNoteBibliographyChar"/>
    <w:rsid w:val="005360C5"/>
    <w:rPr>
      <w:rFonts w:ascii="Calibri" w:eastAsiaTheme="minorHAnsi" w:hAnsi="Calibri" w:cstheme="minorBidi"/>
      <w:lang w:eastAsia="en-US"/>
    </w:rPr>
  </w:style>
  <w:style w:type="character" w:customStyle="1" w:styleId="EndNoteBibliographyChar">
    <w:name w:val="EndNote Bibliography Char"/>
    <w:basedOn w:val="DefaultParagraphFont"/>
    <w:link w:val="EndNoteBibliography"/>
    <w:rsid w:val="005360C5"/>
    <w:rPr>
      <w:rFonts w:ascii="Calibri" w:hAnsi="Calibri"/>
      <w:lang w:val="en-US"/>
    </w:rPr>
  </w:style>
  <w:style w:type="character" w:customStyle="1" w:styleId="UnresolvedMention1">
    <w:name w:val="Unresolved Mention1"/>
    <w:basedOn w:val="DefaultParagraphFont"/>
    <w:uiPriority w:val="99"/>
    <w:rsid w:val="00253772"/>
    <w:rPr>
      <w:color w:val="605E5C"/>
      <w:shd w:val="clear" w:color="auto" w:fill="E1DFDD"/>
    </w:rPr>
  </w:style>
  <w:style w:type="character" w:customStyle="1" w:styleId="apple-converted-space">
    <w:name w:val="apple-converted-space"/>
    <w:basedOn w:val="DefaultParagraphFont"/>
    <w:rsid w:val="00A17B0E"/>
  </w:style>
  <w:style w:type="character" w:styleId="Strong">
    <w:name w:val="Strong"/>
    <w:basedOn w:val="DefaultParagraphFont"/>
    <w:uiPriority w:val="22"/>
    <w:qFormat/>
    <w:rsid w:val="00B92158"/>
    <w:rPr>
      <w:b/>
      <w:bCs/>
    </w:rPr>
  </w:style>
  <w:style w:type="character" w:customStyle="1" w:styleId="Heading3Char">
    <w:name w:val="Heading 3 Char"/>
    <w:basedOn w:val="DefaultParagraphFont"/>
    <w:link w:val="Heading3"/>
    <w:uiPriority w:val="9"/>
    <w:rsid w:val="008779C3"/>
    <w:rPr>
      <w:rFonts w:asciiTheme="majorHAnsi" w:eastAsiaTheme="majorEastAsia" w:hAnsiTheme="majorHAnsi" w:cstheme="majorBidi"/>
      <w:color w:val="1F3763" w:themeColor="accent1" w:themeShade="7F"/>
      <w:lang w:val="en-US" w:eastAsia="ar-SA"/>
    </w:rPr>
  </w:style>
  <w:style w:type="character" w:customStyle="1" w:styleId="Heading4Char">
    <w:name w:val="Heading 4 Char"/>
    <w:basedOn w:val="DefaultParagraphFont"/>
    <w:link w:val="Heading4"/>
    <w:uiPriority w:val="9"/>
    <w:rsid w:val="008779C3"/>
    <w:rPr>
      <w:rFonts w:asciiTheme="majorHAnsi" w:eastAsiaTheme="majorEastAsia" w:hAnsiTheme="majorHAnsi" w:cstheme="majorBidi"/>
      <w:i/>
      <w:iCs/>
      <w:color w:val="2F5496" w:themeColor="accent1" w:themeShade="BF"/>
      <w:lang w:val="en-US" w:eastAsia="ar-SA"/>
    </w:rPr>
  </w:style>
  <w:style w:type="paragraph" w:styleId="Header">
    <w:name w:val="header"/>
    <w:basedOn w:val="Normal"/>
    <w:link w:val="HeaderChar"/>
    <w:uiPriority w:val="99"/>
    <w:unhideWhenUsed/>
    <w:rsid w:val="00760A97"/>
    <w:pPr>
      <w:tabs>
        <w:tab w:val="center" w:pos="4680"/>
        <w:tab w:val="right" w:pos="9360"/>
      </w:tabs>
    </w:pPr>
  </w:style>
  <w:style w:type="character" w:customStyle="1" w:styleId="HeaderChar">
    <w:name w:val="Header Char"/>
    <w:basedOn w:val="DefaultParagraphFont"/>
    <w:link w:val="Header"/>
    <w:uiPriority w:val="99"/>
    <w:rsid w:val="00760A97"/>
    <w:rPr>
      <w:rFonts w:ascii="Times New Roman" w:eastAsia="Times New Roman" w:hAnsi="Times New Roman" w:cs="Calibri"/>
      <w:lang w:val="en-US" w:eastAsia="ar-SA"/>
    </w:rPr>
  </w:style>
  <w:style w:type="paragraph" w:styleId="Footer">
    <w:name w:val="footer"/>
    <w:basedOn w:val="Normal"/>
    <w:link w:val="FooterChar"/>
    <w:uiPriority w:val="99"/>
    <w:unhideWhenUsed/>
    <w:rsid w:val="00760A97"/>
    <w:pPr>
      <w:tabs>
        <w:tab w:val="center" w:pos="4680"/>
        <w:tab w:val="right" w:pos="9360"/>
      </w:tabs>
    </w:pPr>
  </w:style>
  <w:style w:type="character" w:customStyle="1" w:styleId="FooterChar">
    <w:name w:val="Footer Char"/>
    <w:basedOn w:val="DefaultParagraphFont"/>
    <w:link w:val="Footer"/>
    <w:uiPriority w:val="99"/>
    <w:rsid w:val="00760A97"/>
    <w:rPr>
      <w:rFonts w:ascii="Times New Roman" w:eastAsia="Times New Roman" w:hAnsi="Times New Roman" w:cs="Calibri"/>
      <w:lang w:val="en-US" w:eastAsia="ar-SA"/>
    </w:rPr>
  </w:style>
  <w:style w:type="character" w:customStyle="1" w:styleId="author">
    <w:name w:val="author"/>
    <w:basedOn w:val="DefaultParagraphFont"/>
    <w:rsid w:val="00D43B8F"/>
  </w:style>
  <w:style w:type="character" w:customStyle="1" w:styleId="pubyear">
    <w:name w:val="pubyear"/>
    <w:basedOn w:val="DefaultParagraphFont"/>
    <w:rsid w:val="00D43B8F"/>
  </w:style>
  <w:style w:type="character" w:customStyle="1" w:styleId="chaptertitle">
    <w:name w:val="chaptertitle"/>
    <w:basedOn w:val="DefaultParagraphFont"/>
    <w:rsid w:val="00D43B8F"/>
  </w:style>
  <w:style w:type="character" w:customStyle="1" w:styleId="editor">
    <w:name w:val="editor"/>
    <w:basedOn w:val="DefaultParagraphFont"/>
    <w:rsid w:val="00D43B8F"/>
  </w:style>
  <w:style w:type="character" w:customStyle="1" w:styleId="booktitle">
    <w:name w:val="booktitle"/>
    <w:basedOn w:val="DefaultParagraphFont"/>
    <w:rsid w:val="00D43B8F"/>
  </w:style>
  <w:style w:type="character" w:customStyle="1" w:styleId="publisherlocation">
    <w:name w:val="publisherlocation"/>
    <w:basedOn w:val="DefaultParagraphFont"/>
    <w:rsid w:val="00D43B8F"/>
  </w:style>
  <w:style w:type="character" w:customStyle="1" w:styleId="pagefirst">
    <w:name w:val="pagefirst"/>
    <w:basedOn w:val="DefaultParagraphFont"/>
    <w:rsid w:val="00D43B8F"/>
  </w:style>
  <w:style w:type="character" w:customStyle="1" w:styleId="pagelast">
    <w:name w:val="pagelast"/>
    <w:basedOn w:val="DefaultParagraphFont"/>
    <w:rsid w:val="00D43B8F"/>
  </w:style>
  <w:style w:type="character" w:styleId="FollowedHyperlink">
    <w:name w:val="FollowedHyperlink"/>
    <w:basedOn w:val="DefaultParagraphFont"/>
    <w:uiPriority w:val="99"/>
    <w:semiHidden/>
    <w:unhideWhenUsed/>
    <w:rsid w:val="00EE78DC"/>
    <w:rPr>
      <w:color w:val="954F72" w:themeColor="followedHyperlink"/>
      <w:u w:val="single"/>
    </w:rPr>
  </w:style>
  <w:style w:type="character" w:styleId="PageNumber">
    <w:name w:val="page number"/>
    <w:basedOn w:val="DefaultParagraphFont"/>
    <w:uiPriority w:val="99"/>
    <w:semiHidden/>
    <w:unhideWhenUsed/>
    <w:rsid w:val="00A32AF9"/>
  </w:style>
  <w:style w:type="character" w:customStyle="1" w:styleId="Heading5Char">
    <w:name w:val="Heading 5 Char"/>
    <w:basedOn w:val="DefaultParagraphFont"/>
    <w:link w:val="Heading5"/>
    <w:uiPriority w:val="9"/>
    <w:rsid w:val="00B94CCC"/>
    <w:rPr>
      <w:rFonts w:asciiTheme="majorHAnsi" w:eastAsiaTheme="majorEastAsia" w:hAnsiTheme="majorHAnsi" w:cstheme="majorBidi"/>
      <w:color w:val="2F5496" w:themeColor="accent1" w:themeShade="BF"/>
      <w:lang w:eastAsia="en-GB"/>
    </w:rPr>
  </w:style>
  <w:style w:type="character" w:styleId="UnresolvedMention">
    <w:name w:val="Unresolved Mention"/>
    <w:basedOn w:val="DefaultParagraphFont"/>
    <w:uiPriority w:val="99"/>
    <w:semiHidden/>
    <w:unhideWhenUsed/>
    <w:rsid w:val="00436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99810">
      <w:bodyDiv w:val="1"/>
      <w:marLeft w:val="0"/>
      <w:marRight w:val="0"/>
      <w:marTop w:val="0"/>
      <w:marBottom w:val="0"/>
      <w:divBdr>
        <w:top w:val="none" w:sz="0" w:space="0" w:color="auto"/>
        <w:left w:val="none" w:sz="0" w:space="0" w:color="auto"/>
        <w:bottom w:val="none" w:sz="0" w:space="0" w:color="auto"/>
        <w:right w:val="none" w:sz="0" w:space="0" w:color="auto"/>
      </w:divBdr>
    </w:div>
    <w:div w:id="75711279">
      <w:bodyDiv w:val="1"/>
      <w:marLeft w:val="0"/>
      <w:marRight w:val="0"/>
      <w:marTop w:val="0"/>
      <w:marBottom w:val="0"/>
      <w:divBdr>
        <w:top w:val="none" w:sz="0" w:space="0" w:color="auto"/>
        <w:left w:val="none" w:sz="0" w:space="0" w:color="auto"/>
        <w:bottom w:val="none" w:sz="0" w:space="0" w:color="auto"/>
        <w:right w:val="none" w:sz="0" w:space="0" w:color="auto"/>
      </w:divBdr>
    </w:div>
    <w:div w:id="112019342">
      <w:bodyDiv w:val="1"/>
      <w:marLeft w:val="0"/>
      <w:marRight w:val="0"/>
      <w:marTop w:val="0"/>
      <w:marBottom w:val="0"/>
      <w:divBdr>
        <w:top w:val="none" w:sz="0" w:space="0" w:color="auto"/>
        <w:left w:val="none" w:sz="0" w:space="0" w:color="auto"/>
        <w:bottom w:val="none" w:sz="0" w:space="0" w:color="auto"/>
        <w:right w:val="none" w:sz="0" w:space="0" w:color="auto"/>
      </w:divBdr>
      <w:divsChild>
        <w:div w:id="1719427012">
          <w:marLeft w:val="0"/>
          <w:marRight w:val="0"/>
          <w:marTop w:val="0"/>
          <w:marBottom w:val="0"/>
          <w:divBdr>
            <w:top w:val="none" w:sz="0" w:space="0" w:color="auto"/>
            <w:left w:val="none" w:sz="0" w:space="0" w:color="auto"/>
            <w:bottom w:val="none" w:sz="0" w:space="0" w:color="auto"/>
            <w:right w:val="none" w:sz="0" w:space="0" w:color="auto"/>
          </w:divBdr>
          <w:divsChild>
            <w:div w:id="1954751226">
              <w:marLeft w:val="0"/>
              <w:marRight w:val="0"/>
              <w:marTop w:val="0"/>
              <w:marBottom w:val="0"/>
              <w:divBdr>
                <w:top w:val="none" w:sz="0" w:space="0" w:color="auto"/>
                <w:left w:val="none" w:sz="0" w:space="0" w:color="auto"/>
                <w:bottom w:val="none" w:sz="0" w:space="0" w:color="auto"/>
                <w:right w:val="none" w:sz="0" w:space="0" w:color="auto"/>
              </w:divBdr>
              <w:divsChild>
                <w:div w:id="11221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6302">
      <w:bodyDiv w:val="1"/>
      <w:marLeft w:val="0"/>
      <w:marRight w:val="0"/>
      <w:marTop w:val="0"/>
      <w:marBottom w:val="0"/>
      <w:divBdr>
        <w:top w:val="none" w:sz="0" w:space="0" w:color="auto"/>
        <w:left w:val="none" w:sz="0" w:space="0" w:color="auto"/>
        <w:bottom w:val="none" w:sz="0" w:space="0" w:color="auto"/>
        <w:right w:val="none" w:sz="0" w:space="0" w:color="auto"/>
      </w:divBdr>
      <w:divsChild>
        <w:div w:id="1589194879">
          <w:marLeft w:val="0"/>
          <w:marRight w:val="0"/>
          <w:marTop w:val="0"/>
          <w:marBottom w:val="0"/>
          <w:divBdr>
            <w:top w:val="none" w:sz="0" w:space="0" w:color="auto"/>
            <w:left w:val="none" w:sz="0" w:space="0" w:color="auto"/>
            <w:bottom w:val="none" w:sz="0" w:space="0" w:color="auto"/>
            <w:right w:val="none" w:sz="0" w:space="0" w:color="auto"/>
          </w:divBdr>
          <w:divsChild>
            <w:div w:id="727261115">
              <w:marLeft w:val="0"/>
              <w:marRight w:val="0"/>
              <w:marTop w:val="0"/>
              <w:marBottom w:val="0"/>
              <w:divBdr>
                <w:top w:val="none" w:sz="0" w:space="0" w:color="auto"/>
                <w:left w:val="none" w:sz="0" w:space="0" w:color="auto"/>
                <w:bottom w:val="none" w:sz="0" w:space="0" w:color="auto"/>
                <w:right w:val="none" w:sz="0" w:space="0" w:color="auto"/>
              </w:divBdr>
              <w:divsChild>
                <w:div w:id="6554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3112">
      <w:bodyDiv w:val="1"/>
      <w:marLeft w:val="0"/>
      <w:marRight w:val="0"/>
      <w:marTop w:val="0"/>
      <w:marBottom w:val="0"/>
      <w:divBdr>
        <w:top w:val="none" w:sz="0" w:space="0" w:color="auto"/>
        <w:left w:val="none" w:sz="0" w:space="0" w:color="auto"/>
        <w:bottom w:val="none" w:sz="0" w:space="0" w:color="auto"/>
        <w:right w:val="none" w:sz="0" w:space="0" w:color="auto"/>
      </w:divBdr>
      <w:divsChild>
        <w:div w:id="1116294086">
          <w:marLeft w:val="0"/>
          <w:marRight w:val="0"/>
          <w:marTop w:val="0"/>
          <w:marBottom w:val="0"/>
          <w:divBdr>
            <w:top w:val="none" w:sz="0" w:space="0" w:color="auto"/>
            <w:left w:val="none" w:sz="0" w:space="0" w:color="auto"/>
            <w:bottom w:val="none" w:sz="0" w:space="0" w:color="auto"/>
            <w:right w:val="none" w:sz="0" w:space="0" w:color="auto"/>
          </w:divBdr>
          <w:divsChild>
            <w:div w:id="1837722875">
              <w:marLeft w:val="0"/>
              <w:marRight w:val="0"/>
              <w:marTop w:val="0"/>
              <w:marBottom w:val="0"/>
              <w:divBdr>
                <w:top w:val="none" w:sz="0" w:space="0" w:color="auto"/>
                <w:left w:val="none" w:sz="0" w:space="0" w:color="auto"/>
                <w:bottom w:val="none" w:sz="0" w:space="0" w:color="auto"/>
                <w:right w:val="none" w:sz="0" w:space="0" w:color="auto"/>
              </w:divBdr>
              <w:divsChild>
                <w:div w:id="1588535151">
                  <w:marLeft w:val="0"/>
                  <w:marRight w:val="0"/>
                  <w:marTop w:val="0"/>
                  <w:marBottom w:val="0"/>
                  <w:divBdr>
                    <w:top w:val="none" w:sz="0" w:space="0" w:color="auto"/>
                    <w:left w:val="none" w:sz="0" w:space="0" w:color="auto"/>
                    <w:bottom w:val="none" w:sz="0" w:space="0" w:color="auto"/>
                    <w:right w:val="none" w:sz="0" w:space="0" w:color="auto"/>
                  </w:divBdr>
                </w:div>
              </w:divsChild>
            </w:div>
            <w:div w:id="1043556731">
              <w:marLeft w:val="0"/>
              <w:marRight w:val="0"/>
              <w:marTop w:val="0"/>
              <w:marBottom w:val="0"/>
              <w:divBdr>
                <w:top w:val="none" w:sz="0" w:space="0" w:color="auto"/>
                <w:left w:val="none" w:sz="0" w:space="0" w:color="auto"/>
                <w:bottom w:val="none" w:sz="0" w:space="0" w:color="auto"/>
                <w:right w:val="none" w:sz="0" w:space="0" w:color="auto"/>
              </w:divBdr>
              <w:divsChild>
                <w:div w:id="18705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5863">
          <w:marLeft w:val="0"/>
          <w:marRight w:val="0"/>
          <w:marTop w:val="0"/>
          <w:marBottom w:val="0"/>
          <w:divBdr>
            <w:top w:val="none" w:sz="0" w:space="0" w:color="auto"/>
            <w:left w:val="none" w:sz="0" w:space="0" w:color="auto"/>
            <w:bottom w:val="none" w:sz="0" w:space="0" w:color="auto"/>
            <w:right w:val="none" w:sz="0" w:space="0" w:color="auto"/>
          </w:divBdr>
          <w:divsChild>
            <w:div w:id="754279787">
              <w:marLeft w:val="0"/>
              <w:marRight w:val="0"/>
              <w:marTop w:val="0"/>
              <w:marBottom w:val="0"/>
              <w:divBdr>
                <w:top w:val="none" w:sz="0" w:space="0" w:color="auto"/>
                <w:left w:val="none" w:sz="0" w:space="0" w:color="auto"/>
                <w:bottom w:val="none" w:sz="0" w:space="0" w:color="auto"/>
                <w:right w:val="none" w:sz="0" w:space="0" w:color="auto"/>
              </w:divBdr>
              <w:divsChild>
                <w:div w:id="20419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2947">
      <w:bodyDiv w:val="1"/>
      <w:marLeft w:val="0"/>
      <w:marRight w:val="0"/>
      <w:marTop w:val="0"/>
      <w:marBottom w:val="0"/>
      <w:divBdr>
        <w:top w:val="none" w:sz="0" w:space="0" w:color="auto"/>
        <w:left w:val="none" w:sz="0" w:space="0" w:color="auto"/>
        <w:bottom w:val="none" w:sz="0" w:space="0" w:color="auto"/>
        <w:right w:val="none" w:sz="0" w:space="0" w:color="auto"/>
      </w:divBdr>
    </w:div>
    <w:div w:id="223953827">
      <w:bodyDiv w:val="1"/>
      <w:marLeft w:val="0"/>
      <w:marRight w:val="0"/>
      <w:marTop w:val="0"/>
      <w:marBottom w:val="0"/>
      <w:divBdr>
        <w:top w:val="none" w:sz="0" w:space="0" w:color="auto"/>
        <w:left w:val="none" w:sz="0" w:space="0" w:color="auto"/>
        <w:bottom w:val="none" w:sz="0" w:space="0" w:color="auto"/>
        <w:right w:val="none" w:sz="0" w:space="0" w:color="auto"/>
      </w:divBdr>
      <w:divsChild>
        <w:div w:id="1006438357">
          <w:marLeft w:val="0"/>
          <w:marRight w:val="0"/>
          <w:marTop w:val="0"/>
          <w:marBottom w:val="0"/>
          <w:divBdr>
            <w:top w:val="none" w:sz="0" w:space="0" w:color="auto"/>
            <w:left w:val="none" w:sz="0" w:space="0" w:color="auto"/>
            <w:bottom w:val="none" w:sz="0" w:space="0" w:color="auto"/>
            <w:right w:val="none" w:sz="0" w:space="0" w:color="auto"/>
          </w:divBdr>
          <w:divsChild>
            <w:div w:id="1618218890">
              <w:marLeft w:val="0"/>
              <w:marRight w:val="0"/>
              <w:marTop w:val="0"/>
              <w:marBottom w:val="0"/>
              <w:divBdr>
                <w:top w:val="none" w:sz="0" w:space="0" w:color="auto"/>
                <w:left w:val="none" w:sz="0" w:space="0" w:color="auto"/>
                <w:bottom w:val="none" w:sz="0" w:space="0" w:color="auto"/>
                <w:right w:val="none" w:sz="0" w:space="0" w:color="auto"/>
              </w:divBdr>
              <w:divsChild>
                <w:div w:id="991375556">
                  <w:marLeft w:val="0"/>
                  <w:marRight w:val="0"/>
                  <w:marTop w:val="0"/>
                  <w:marBottom w:val="0"/>
                  <w:divBdr>
                    <w:top w:val="none" w:sz="0" w:space="0" w:color="auto"/>
                    <w:left w:val="none" w:sz="0" w:space="0" w:color="auto"/>
                    <w:bottom w:val="none" w:sz="0" w:space="0" w:color="auto"/>
                    <w:right w:val="none" w:sz="0" w:space="0" w:color="auto"/>
                  </w:divBdr>
                  <w:divsChild>
                    <w:div w:id="15082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18838">
      <w:bodyDiv w:val="1"/>
      <w:marLeft w:val="0"/>
      <w:marRight w:val="0"/>
      <w:marTop w:val="0"/>
      <w:marBottom w:val="0"/>
      <w:divBdr>
        <w:top w:val="none" w:sz="0" w:space="0" w:color="auto"/>
        <w:left w:val="none" w:sz="0" w:space="0" w:color="auto"/>
        <w:bottom w:val="none" w:sz="0" w:space="0" w:color="auto"/>
        <w:right w:val="none" w:sz="0" w:space="0" w:color="auto"/>
      </w:divBdr>
    </w:div>
    <w:div w:id="250816621">
      <w:bodyDiv w:val="1"/>
      <w:marLeft w:val="0"/>
      <w:marRight w:val="0"/>
      <w:marTop w:val="0"/>
      <w:marBottom w:val="0"/>
      <w:divBdr>
        <w:top w:val="none" w:sz="0" w:space="0" w:color="auto"/>
        <w:left w:val="none" w:sz="0" w:space="0" w:color="auto"/>
        <w:bottom w:val="none" w:sz="0" w:space="0" w:color="auto"/>
        <w:right w:val="none" w:sz="0" w:space="0" w:color="auto"/>
      </w:divBdr>
    </w:div>
    <w:div w:id="263996131">
      <w:bodyDiv w:val="1"/>
      <w:marLeft w:val="0"/>
      <w:marRight w:val="0"/>
      <w:marTop w:val="0"/>
      <w:marBottom w:val="0"/>
      <w:divBdr>
        <w:top w:val="none" w:sz="0" w:space="0" w:color="auto"/>
        <w:left w:val="none" w:sz="0" w:space="0" w:color="auto"/>
        <w:bottom w:val="none" w:sz="0" w:space="0" w:color="auto"/>
        <w:right w:val="none" w:sz="0" w:space="0" w:color="auto"/>
      </w:divBdr>
    </w:div>
    <w:div w:id="318729896">
      <w:bodyDiv w:val="1"/>
      <w:marLeft w:val="0"/>
      <w:marRight w:val="0"/>
      <w:marTop w:val="0"/>
      <w:marBottom w:val="0"/>
      <w:divBdr>
        <w:top w:val="none" w:sz="0" w:space="0" w:color="auto"/>
        <w:left w:val="none" w:sz="0" w:space="0" w:color="auto"/>
        <w:bottom w:val="none" w:sz="0" w:space="0" w:color="auto"/>
        <w:right w:val="none" w:sz="0" w:space="0" w:color="auto"/>
      </w:divBdr>
    </w:div>
    <w:div w:id="329330173">
      <w:bodyDiv w:val="1"/>
      <w:marLeft w:val="0"/>
      <w:marRight w:val="0"/>
      <w:marTop w:val="0"/>
      <w:marBottom w:val="0"/>
      <w:divBdr>
        <w:top w:val="none" w:sz="0" w:space="0" w:color="auto"/>
        <w:left w:val="none" w:sz="0" w:space="0" w:color="auto"/>
        <w:bottom w:val="none" w:sz="0" w:space="0" w:color="auto"/>
        <w:right w:val="none" w:sz="0" w:space="0" w:color="auto"/>
      </w:divBdr>
      <w:divsChild>
        <w:div w:id="769544969">
          <w:marLeft w:val="0"/>
          <w:marRight w:val="0"/>
          <w:marTop w:val="0"/>
          <w:marBottom w:val="0"/>
          <w:divBdr>
            <w:top w:val="none" w:sz="0" w:space="0" w:color="auto"/>
            <w:left w:val="none" w:sz="0" w:space="0" w:color="auto"/>
            <w:bottom w:val="none" w:sz="0" w:space="0" w:color="auto"/>
            <w:right w:val="none" w:sz="0" w:space="0" w:color="auto"/>
          </w:divBdr>
          <w:divsChild>
            <w:div w:id="1394040656">
              <w:marLeft w:val="0"/>
              <w:marRight w:val="0"/>
              <w:marTop w:val="0"/>
              <w:marBottom w:val="0"/>
              <w:divBdr>
                <w:top w:val="none" w:sz="0" w:space="0" w:color="auto"/>
                <w:left w:val="none" w:sz="0" w:space="0" w:color="auto"/>
                <w:bottom w:val="none" w:sz="0" w:space="0" w:color="auto"/>
                <w:right w:val="none" w:sz="0" w:space="0" w:color="auto"/>
              </w:divBdr>
              <w:divsChild>
                <w:div w:id="2436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2321">
      <w:bodyDiv w:val="1"/>
      <w:marLeft w:val="0"/>
      <w:marRight w:val="0"/>
      <w:marTop w:val="0"/>
      <w:marBottom w:val="0"/>
      <w:divBdr>
        <w:top w:val="none" w:sz="0" w:space="0" w:color="auto"/>
        <w:left w:val="none" w:sz="0" w:space="0" w:color="auto"/>
        <w:bottom w:val="none" w:sz="0" w:space="0" w:color="auto"/>
        <w:right w:val="none" w:sz="0" w:space="0" w:color="auto"/>
      </w:divBdr>
    </w:div>
    <w:div w:id="379940071">
      <w:bodyDiv w:val="1"/>
      <w:marLeft w:val="0"/>
      <w:marRight w:val="0"/>
      <w:marTop w:val="0"/>
      <w:marBottom w:val="0"/>
      <w:divBdr>
        <w:top w:val="none" w:sz="0" w:space="0" w:color="auto"/>
        <w:left w:val="none" w:sz="0" w:space="0" w:color="auto"/>
        <w:bottom w:val="none" w:sz="0" w:space="0" w:color="auto"/>
        <w:right w:val="none" w:sz="0" w:space="0" w:color="auto"/>
      </w:divBdr>
    </w:div>
    <w:div w:id="384717171">
      <w:bodyDiv w:val="1"/>
      <w:marLeft w:val="0"/>
      <w:marRight w:val="0"/>
      <w:marTop w:val="0"/>
      <w:marBottom w:val="0"/>
      <w:divBdr>
        <w:top w:val="none" w:sz="0" w:space="0" w:color="auto"/>
        <w:left w:val="none" w:sz="0" w:space="0" w:color="auto"/>
        <w:bottom w:val="none" w:sz="0" w:space="0" w:color="auto"/>
        <w:right w:val="none" w:sz="0" w:space="0" w:color="auto"/>
      </w:divBdr>
      <w:divsChild>
        <w:div w:id="1345009795">
          <w:marLeft w:val="0"/>
          <w:marRight w:val="0"/>
          <w:marTop w:val="0"/>
          <w:marBottom w:val="0"/>
          <w:divBdr>
            <w:top w:val="none" w:sz="0" w:space="0" w:color="auto"/>
            <w:left w:val="none" w:sz="0" w:space="0" w:color="auto"/>
            <w:bottom w:val="none" w:sz="0" w:space="0" w:color="auto"/>
            <w:right w:val="none" w:sz="0" w:space="0" w:color="auto"/>
          </w:divBdr>
        </w:div>
        <w:div w:id="279606047">
          <w:marLeft w:val="0"/>
          <w:marRight w:val="0"/>
          <w:marTop w:val="0"/>
          <w:marBottom w:val="0"/>
          <w:divBdr>
            <w:top w:val="none" w:sz="0" w:space="0" w:color="auto"/>
            <w:left w:val="none" w:sz="0" w:space="0" w:color="auto"/>
            <w:bottom w:val="none" w:sz="0" w:space="0" w:color="auto"/>
            <w:right w:val="none" w:sz="0" w:space="0" w:color="auto"/>
          </w:divBdr>
        </w:div>
      </w:divsChild>
    </w:div>
    <w:div w:id="529421080">
      <w:bodyDiv w:val="1"/>
      <w:marLeft w:val="0"/>
      <w:marRight w:val="0"/>
      <w:marTop w:val="0"/>
      <w:marBottom w:val="0"/>
      <w:divBdr>
        <w:top w:val="none" w:sz="0" w:space="0" w:color="auto"/>
        <w:left w:val="none" w:sz="0" w:space="0" w:color="auto"/>
        <w:bottom w:val="none" w:sz="0" w:space="0" w:color="auto"/>
        <w:right w:val="none" w:sz="0" w:space="0" w:color="auto"/>
      </w:divBdr>
    </w:div>
    <w:div w:id="534849530">
      <w:bodyDiv w:val="1"/>
      <w:marLeft w:val="0"/>
      <w:marRight w:val="0"/>
      <w:marTop w:val="0"/>
      <w:marBottom w:val="0"/>
      <w:divBdr>
        <w:top w:val="none" w:sz="0" w:space="0" w:color="auto"/>
        <w:left w:val="none" w:sz="0" w:space="0" w:color="auto"/>
        <w:bottom w:val="none" w:sz="0" w:space="0" w:color="auto"/>
        <w:right w:val="none" w:sz="0" w:space="0" w:color="auto"/>
      </w:divBdr>
    </w:div>
    <w:div w:id="632322890">
      <w:bodyDiv w:val="1"/>
      <w:marLeft w:val="0"/>
      <w:marRight w:val="0"/>
      <w:marTop w:val="0"/>
      <w:marBottom w:val="0"/>
      <w:divBdr>
        <w:top w:val="none" w:sz="0" w:space="0" w:color="auto"/>
        <w:left w:val="none" w:sz="0" w:space="0" w:color="auto"/>
        <w:bottom w:val="none" w:sz="0" w:space="0" w:color="auto"/>
        <w:right w:val="none" w:sz="0" w:space="0" w:color="auto"/>
      </w:divBdr>
    </w:div>
    <w:div w:id="635141064">
      <w:bodyDiv w:val="1"/>
      <w:marLeft w:val="0"/>
      <w:marRight w:val="0"/>
      <w:marTop w:val="0"/>
      <w:marBottom w:val="0"/>
      <w:divBdr>
        <w:top w:val="none" w:sz="0" w:space="0" w:color="auto"/>
        <w:left w:val="none" w:sz="0" w:space="0" w:color="auto"/>
        <w:bottom w:val="none" w:sz="0" w:space="0" w:color="auto"/>
        <w:right w:val="none" w:sz="0" w:space="0" w:color="auto"/>
      </w:divBdr>
    </w:div>
    <w:div w:id="713965975">
      <w:bodyDiv w:val="1"/>
      <w:marLeft w:val="0"/>
      <w:marRight w:val="0"/>
      <w:marTop w:val="0"/>
      <w:marBottom w:val="0"/>
      <w:divBdr>
        <w:top w:val="none" w:sz="0" w:space="0" w:color="auto"/>
        <w:left w:val="none" w:sz="0" w:space="0" w:color="auto"/>
        <w:bottom w:val="none" w:sz="0" w:space="0" w:color="auto"/>
        <w:right w:val="none" w:sz="0" w:space="0" w:color="auto"/>
      </w:divBdr>
      <w:divsChild>
        <w:div w:id="668288203">
          <w:marLeft w:val="0"/>
          <w:marRight w:val="0"/>
          <w:marTop w:val="0"/>
          <w:marBottom w:val="0"/>
          <w:divBdr>
            <w:top w:val="none" w:sz="0" w:space="0" w:color="auto"/>
            <w:left w:val="none" w:sz="0" w:space="0" w:color="auto"/>
            <w:bottom w:val="none" w:sz="0" w:space="0" w:color="auto"/>
            <w:right w:val="none" w:sz="0" w:space="0" w:color="auto"/>
          </w:divBdr>
          <w:divsChild>
            <w:div w:id="1232077124">
              <w:marLeft w:val="0"/>
              <w:marRight w:val="0"/>
              <w:marTop w:val="0"/>
              <w:marBottom w:val="0"/>
              <w:divBdr>
                <w:top w:val="none" w:sz="0" w:space="0" w:color="auto"/>
                <w:left w:val="none" w:sz="0" w:space="0" w:color="auto"/>
                <w:bottom w:val="none" w:sz="0" w:space="0" w:color="auto"/>
                <w:right w:val="none" w:sz="0" w:space="0" w:color="auto"/>
              </w:divBdr>
              <w:divsChild>
                <w:div w:id="504252756">
                  <w:marLeft w:val="0"/>
                  <w:marRight w:val="0"/>
                  <w:marTop w:val="0"/>
                  <w:marBottom w:val="0"/>
                  <w:divBdr>
                    <w:top w:val="none" w:sz="0" w:space="0" w:color="auto"/>
                    <w:left w:val="none" w:sz="0" w:space="0" w:color="auto"/>
                    <w:bottom w:val="none" w:sz="0" w:space="0" w:color="auto"/>
                    <w:right w:val="none" w:sz="0" w:space="0" w:color="auto"/>
                  </w:divBdr>
                  <w:divsChild>
                    <w:div w:id="19853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22405">
      <w:bodyDiv w:val="1"/>
      <w:marLeft w:val="0"/>
      <w:marRight w:val="0"/>
      <w:marTop w:val="0"/>
      <w:marBottom w:val="0"/>
      <w:divBdr>
        <w:top w:val="none" w:sz="0" w:space="0" w:color="auto"/>
        <w:left w:val="none" w:sz="0" w:space="0" w:color="auto"/>
        <w:bottom w:val="none" w:sz="0" w:space="0" w:color="auto"/>
        <w:right w:val="none" w:sz="0" w:space="0" w:color="auto"/>
      </w:divBdr>
    </w:div>
    <w:div w:id="749425764">
      <w:bodyDiv w:val="1"/>
      <w:marLeft w:val="0"/>
      <w:marRight w:val="0"/>
      <w:marTop w:val="0"/>
      <w:marBottom w:val="0"/>
      <w:divBdr>
        <w:top w:val="none" w:sz="0" w:space="0" w:color="auto"/>
        <w:left w:val="none" w:sz="0" w:space="0" w:color="auto"/>
        <w:bottom w:val="none" w:sz="0" w:space="0" w:color="auto"/>
        <w:right w:val="none" w:sz="0" w:space="0" w:color="auto"/>
      </w:divBdr>
      <w:divsChild>
        <w:div w:id="1383360430">
          <w:marLeft w:val="0"/>
          <w:marRight w:val="0"/>
          <w:marTop w:val="0"/>
          <w:marBottom w:val="0"/>
          <w:divBdr>
            <w:top w:val="none" w:sz="0" w:space="0" w:color="auto"/>
            <w:left w:val="none" w:sz="0" w:space="0" w:color="auto"/>
            <w:bottom w:val="none" w:sz="0" w:space="0" w:color="auto"/>
            <w:right w:val="none" w:sz="0" w:space="0" w:color="auto"/>
          </w:divBdr>
          <w:divsChild>
            <w:div w:id="1976445020">
              <w:marLeft w:val="0"/>
              <w:marRight w:val="0"/>
              <w:marTop w:val="0"/>
              <w:marBottom w:val="0"/>
              <w:divBdr>
                <w:top w:val="none" w:sz="0" w:space="0" w:color="auto"/>
                <w:left w:val="none" w:sz="0" w:space="0" w:color="auto"/>
                <w:bottom w:val="none" w:sz="0" w:space="0" w:color="auto"/>
                <w:right w:val="none" w:sz="0" w:space="0" w:color="auto"/>
              </w:divBdr>
              <w:divsChild>
                <w:div w:id="1472017782">
                  <w:marLeft w:val="0"/>
                  <w:marRight w:val="0"/>
                  <w:marTop w:val="0"/>
                  <w:marBottom w:val="0"/>
                  <w:divBdr>
                    <w:top w:val="none" w:sz="0" w:space="0" w:color="auto"/>
                    <w:left w:val="none" w:sz="0" w:space="0" w:color="auto"/>
                    <w:bottom w:val="none" w:sz="0" w:space="0" w:color="auto"/>
                    <w:right w:val="none" w:sz="0" w:space="0" w:color="auto"/>
                  </w:divBdr>
                  <w:divsChild>
                    <w:div w:id="12345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52776">
      <w:bodyDiv w:val="1"/>
      <w:marLeft w:val="0"/>
      <w:marRight w:val="0"/>
      <w:marTop w:val="0"/>
      <w:marBottom w:val="0"/>
      <w:divBdr>
        <w:top w:val="none" w:sz="0" w:space="0" w:color="auto"/>
        <w:left w:val="none" w:sz="0" w:space="0" w:color="auto"/>
        <w:bottom w:val="none" w:sz="0" w:space="0" w:color="auto"/>
        <w:right w:val="none" w:sz="0" w:space="0" w:color="auto"/>
      </w:divBdr>
    </w:div>
    <w:div w:id="935139391">
      <w:bodyDiv w:val="1"/>
      <w:marLeft w:val="0"/>
      <w:marRight w:val="0"/>
      <w:marTop w:val="0"/>
      <w:marBottom w:val="0"/>
      <w:divBdr>
        <w:top w:val="none" w:sz="0" w:space="0" w:color="auto"/>
        <w:left w:val="none" w:sz="0" w:space="0" w:color="auto"/>
        <w:bottom w:val="none" w:sz="0" w:space="0" w:color="auto"/>
        <w:right w:val="none" w:sz="0" w:space="0" w:color="auto"/>
      </w:divBdr>
      <w:divsChild>
        <w:div w:id="1980498348">
          <w:marLeft w:val="0"/>
          <w:marRight w:val="0"/>
          <w:marTop w:val="0"/>
          <w:marBottom w:val="0"/>
          <w:divBdr>
            <w:top w:val="none" w:sz="0" w:space="0" w:color="auto"/>
            <w:left w:val="none" w:sz="0" w:space="0" w:color="auto"/>
            <w:bottom w:val="none" w:sz="0" w:space="0" w:color="auto"/>
            <w:right w:val="none" w:sz="0" w:space="0" w:color="auto"/>
          </w:divBdr>
          <w:divsChild>
            <w:div w:id="525754828">
              <w:marLeft w:val="0"/>
              <w:marRight w:val="0"/>
              <w:marTop w:val="0"/>
              <w:marBottom w:val="0"/>
              <w:divBdr>
                <w:top w:val="none" w:sz="0" w:space="0" w:color="auto"/>
                <w:left w:val="none" w:sz="0" w:space="0" w:color="auto"/>
                <w:bottom w:val="none" w:sz="0" w:space="0" w:color="auto"/>
                <w:right w:val="none" w:sz="0" w:space="0" w:color="auto"/>
              </w:divBdr>
              <w:divsChild>
                <w:div w:id="20828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4907">
      <w:bodyDiv w:val="1"/>
      <w:marLeft w:val="0"/>
      <w:marRight w:val="0"/>
      <w:marTop w:val="0"/>
      <w:marBottom w:val="0"/>
      <w:divBdr>
        <w:top w:val="none" w:sz="0" w:space="0" w:color="auto"/>
        <w:left w:val="none" w:sz="0" w:space="0" w:color="auto"/>
        <w:bottom w:val="none" w:sz="0" w:space="0" w:color="auto"/>
        <w:right w:val="none" w:sz="0" w:space="0" w:color="auto"/>
      </w:divBdr>
    </w:div>
    <w:div w:id="991565656">
      <w:bodyDiv w:val="1"/>
      <w:marLeft w:val="0"/>
      <w:marRight w:val="0"/>
      <w:marTop w:val="0"/>
      <w:marBottom w:val="0"/>
      <w:divBdr>
        <w:top w:val="none" w:sz="0" w:space="0" w:color="auto"/>
        <w:left w:val="none" w:sz="0" w:space="0" w:color="auto"/>
        <w:bottom w:val="none" w:sz="0" w:space="0" w:color="auto"/>
        <w:right w:val="none" w:sz="0" w:space="0" w:color="auto"/>
      </w:divBdr>
      <w:divsChild>
        <w:div w:id="1421415213">
          <w:marLeft w:val="0"/>
          <w:marRight w:val="0"/>
          <w:marTop w:val="0"/>
          <w:marBottom w:val="0"/>
          <w:divBdr>
            <w:top w:val="none" w:sz="0" w:space="0" w:color="auto"/>
            <w:left w:val="none" w:sz="0" w:space="0" w:color="auto"/>
            <w:bottom w:val="none" w:sz="0" w:space="0" w:color="auto"/>
            <w:right w:val="none" w:sz="0" w:space="0" w:color="auto"/>
          </w:divBdr>
          <w:divsChild>
            <w:div w:id="1534461711">
              <w:marLeft w:val="0"/>
              <w:marRight w:val="0"/>
              <w:marTop w:val="0"/>
              <w:marBottom w:val="0"/>
              <w:divBdr>
                <w:top w:val="none" w:sz="0" w:space="0" w:color="auto"/>
                <w:left w:val="none" w:sz="0" w:space="0" w:color="auto"/>
                <w:bottom w:val="none" w:sz="0" w:space="0" w:color="auto"/>
                <w:right w:val="none" w:sz="0" w:space="0" w:color="auto"/>
              </w:divBdr>
              <w:divsChild>
                <w:div w:id="18506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8900">
      <w:bodyDiv w:val="1"/>
      <w:marLeft w:val="0"/>
      <w:marRight w:val="0"/>
      <w:marTop w:val="0"/>
      <w:marBottom w:val="0"/>
      <w:divBdr>
        <w:top w:val="none" w:sz="0" w:space="0" w:color="auto"/>
        <w:left w:val="none" w:sz="0" w:space="0" w:color="auto"/>
        <w:bottom w:val="none" w:sz="0" w:space="0" w:color="auto"/>
        <w:right w:val="none" w:sz="0" w:space="0" w:color="auto"/>
      </w:divBdr>
    </w:div>
    <w:div w:id="1111434824">
      <w:bodyDiv w:val="1"/>
      <w:marLeft w:val="0"/>
      <w:marRight w:val="0"/>
      <w:marTop w:val="0"/>
      <w:marBottom w:val="0"/>
      <w:divBdr>
        <w:top w:val="none" w:sz="0" w:space="0" w:color="auto"/>
        <w:left w:val="none" w:sz="0" w:space="0" w:color="auto"/>
        <w:bottom w:val="none" w:sz="0" w:space="0" w:color="auto"/>
        <w:right w:val="none" w:sz="0" w:space="0" w:color="auto"/>
      </w:divBdr>
    </w:div>
    <w:div w:id="1131364247">
      <w:bodyDiv w:val="1"/>
      <w:marLeft w:val="0"/>
      <w:marRight w:val="0"/>
      <w:marTop w:val="0"/>
      <w:marBottom w:val="0"/>
      <w:divBdr>
        <w:top w:val="none" w:sz="0" w:space="0" w:color="auto"/>
        <w:left w:val="none" w:sz="0" w:space="0" w:color="auto"/>
        <w:bottom w:val="none" w:sz="0" w:space="0" w:color="auto"/>
        <w:right w:val="none" w:sz="0" w:space="0" w:color="auto"/>
      </w:divBdr>
      <w:divsChild>
        <w:div w:id="1552575667">
          <w:marLeft w:val="0"/>
          <w:marRight w:val="0"/>
          <w:marTop w:val="0"/>
          <w:marBottom w:val="0"/>
          <w:divBdr>
            <w:top w:val="none" w:sz="0" w:space="0" w:color="auto"/>
            <w:left w:val="none" w:sz="0" w:space="0" w:color="auto"/>
            <w:bottom w:val="none" w:sz="0" w:space="0" w:color="auto"/>
            <w:right w:val="none" w:sz="0" w:space="0" w:color="auto"/>
          </w:divBdr>
          <w:divsChild>
            <w:div w:id="1512142408">
              <w:marLeft w:val="0"/>
              <w:marRight w:val="0"/>
              <w:marTop w:val="0"/>
              <w:marBottom w:val="0"/>
              <w:divBdr>
                <w:top w:val="none" w:sz="0" w:space="0" w:color="auto"/>
                <w:left w:val="none" w:sz="0" w:space="0" w:color="auto"/>
                <w:bottom w:val="none" w:sz="0" w:space="0" w:color="auto"/>
                <w:right w:val="none" w:sz="0" w:space="0" w:color="auto"/>
              </w:divBdr>
              <w:divsChild>
                <w:div w:id="7689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0808">
      <w:bodyDiv w:val="1"/>
      <w:marLeft w:val="0"/>
      <w:marRight w:val="0"/>
      <w:marTop w:val="0"/>
      <w:marBottom w:val="0"/>
      <w:divBdr>
        <w:top w:val="none" w:sz="0" w:space="0" w:color="auto"/>
        <w:left w:val="none" w:sz="0" w:space="0" w:color="auto"/>
        <w:bottom w:val="none" w:sz="0" w:space="0" w:color="auto"/>
        <w:right w:val="none" w:sz="0" w:space="0" w:color="auto"/>
      </w:divBdr>
    </w:div>
    <w:div w:id="1135564029">
      <w:bodyDiv w:val="1"/>
      <w:marLeft w:val="0"/>
      <w:marRight w:val="0"/>
      <w:marTop w:val="0"/>
      <w:marBottom w:val="0"/>
      <w:divBdr>
        <w:top w:val="none" w:sz="0" w:space="0" w:color="auto"/>
        <w:left w:val="none" w:sz="0" w:space="0" w:color="auto"/>
        <w:bottom w:val="none" w:sz="0" w:space="0" w:color="auto"/>
        <w:right w:val="none" w:sz="0" w:space="0" w:color="auto"/>
      </w:divBdr>
    </w:div>
    <w:div w:id="1182816002">
      <w:bodyDiv w:val="1"/>
      <w:marLeft w:val="0"/>
      <w:marRight w:val="0"/>
      <w:marTop w:val="0"/>
      <w:marBottom w:val="0"/>
      <w:divBdr>
        <w:top w:val="none" w:sz="0" w:space="0" w:color="auto"/>
        <w:left w:val="none" w:sz="0" w:space="0" w:color="auto"/>
        <w:bottom w:val="none" w:sz="0" w:space="0" w:color="auto"/>
        <w:right w:val="none" w:sz="0" w:space="0" w:color="auto"/>
      </w:divBdr>
    </w:div>
    <w:div w:id="1241256809">
      <w:bodyDiv w:val="1"/>
      <w:marLeft w:val="0"/>
      <w:marRight w:val="0"/>
      <w:marTop w:val="0"/>
      <w:marBottom w:val="0"/>
      <w:divBdr>
        <w:top w:val="none" w:sz="0" w:space="0" w:color="auto"/>
        <w:left w:val="none" w:sz="0" w:space="0" w:color="auto"/>
        <w:bottom w:val="none" w:sz="0" w:space="0" w:color="auto"/>
        <w:right w:val="none" w:sz="0" w:space="0" w:color="auto"/>
      </w:divBdr>
      <w:divsChild>
        <w:div w:id="897939506">
          <w:marLeft w:val="0"/>
          <w:marRight w:val="0"/>
          <w:marTop w:val="0"/>
          <w:marBottom w:val="0"/>
          <w:divBdr>
            <w:top w:val="none" w:sz="0" w:space="0" w:color="auto"/>
            <w:left w:val="none" w:sz="0" w:space="0" w:color="auto"/>
            <w:bottom w:val="none" w:sz="0" w:space="0" w:color="auto"/>
            <w:right w:val="none" w:sz="0" w:space="0" w:color="auto"/>
          </w:divBdr>
          <w:divsChild>
            <w:div w:id="49814444">
              <w:marLeft w:val="0"/>
              <w:marRight w:val="0"/>
              <w:marTop w:val="0"/>
              <w:marBottom w:val="0"/>
              <w:divBdr>
                <w:top w:val="none" w:sz="0" w:space="0" w:color="auto"/>
                <w:left w:val="none" w:sz="0" w:space="0" w:color="auto"/>
                <w:bottom w:val="none" w:sz="0" w:space="0" w:color="auto"/>
                <w:right w:val="none" w:sz="0" w:space="0" w:color="auto"/>
              </w:divBdr>
              <w:divsChild>
                <w:div w:id="17647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37626">
      <w:bodyDiv w:val="1"/>
      <w:marLeft w:val="0"/>
      <w:marRight w:val="0"/>
      <w:marTop w:val="0"/>
      <w:marBottom w:val="0"/>
      <w:divBdr>
        <w:top w:val="none" w:sz="0" w:space="0" w:color="auto"/>
        <w:left w:val="none" w:sz="0" w:space="0" w:color="auto"/>
        <w:bottom w:val="none" w:sz="0" w:space="0" w:color="auto"/>
        <w:right w:val="none" w:sz="0" w:space="0" w:color="auto"/>
      </w:divBdr>
    </w:div>
    <w:div w:id="1332640225">
      <w:bodyDiv w:val="1"/>
      <w:marLeft w:val="0"/>
      <w:marRight w:val="0"/>
      <w:marTop w:val="0"/>
      <w:marBottom w:val="0"/>
      <w:divBdr>
        <w:top w:val="none" w:sz="0" w:space="0" w:color="auto"/>
        <w:left w:val="none" w:sz="0" w:space="0" w:color="auto"/>
        <w:bottom w:val="none" w:sz="0" w:space="0" w:color="auto"/>
        <w:right w:val="none" w:sz="0" w:space="0" w:color="auto"/>
      </w:divBdr>
    </w:div>
    <w:div w:id="1340690617">
      <w:bodyDiv w:val="1"/>
      <w:marLeft w:val="0"/>
      <w:marRight w:val="0"/>
      <w:marTop w:val="0"/>
      <w:marBottom w:val="0"/>
      <w:divBdr>
        <w:top w:val="none" w:sz="0" w:space="0" w:color="auto"/>
        <w:left w:val="none" w:sz="0" w:space="0" w:color="auto"/>
        <w:bottom w:val="none" w:sz="0" w:space="0" w:color="auto"/>
        <w:right w:val="none" w:sz="0" w:space="0" w:color="auto"/>
      </w:divBdr>
    </w:div>
    <w:div w:id="1357387761">
      <w:bodyDiv w:val="1"/>
      <w:marLeft w:val="0"/>
      <w:marRight w:val="0"/>
      <w:marTop w:val="0"/>
      <w:marBottom w:val="0"/>
      <w:divBdr>
        <w:top w:val="none" w:sz="0" w:space="0" w:color="auto"/>
        <w:left w:val="none" w:sz="0" w:space="0" w:color="auto"/>
        <w:bottom w:val="none" w:sz="0" w:space="0" w:color="auto"/>
        <w:right w:val="none" w:sz="0" w:space="0" w:color="auto"/>
      </w:divBdr>
    </w:div>
    <w:div w:id="1360163976">
      <w:bodyDiv w:val="1"/>
      <w:marLeft w:val="0"/>
      <w:marRight w:val="0"/>
      <w:marTop w:val="0"/>
      <w:marBottom w:val="0"/>
      <w:divBdr>
        <w:top w:val="none" w:sz="0" w:space="0" w:color="auto"/>
        <w:left w:val="none" w:sz="0" w:space="0" w:color="auto"/>
        <w:bottom w:val="none" w:sz="0" w:space="0" w:color="auto"/>
        <w:right w:val="none" w:sz="0" w:space="0" w:color="auto"/>
      </w:divBdr>
    </w:div>
    <w:div w:id="1366366100">
      <w:bodyDiv w:val="1"/>
      <w:marLeft w:val="0"/>
      <w:marRight w:val="0"/>
      <w:marTop w:val="0"/>
      <w:marBottom w:val="0"/>
      <w:divBdr>
        <w:top w:val="none" w:sz="0" w:space="0" w:color="auto"/>
        <w:left w:val="none" w:sz="0" w:space="0" w:color="auto"/>
        <w:bottom w:val="none" w:sz="0" w:space="0" w:color="auto"/>
        <w:right w:val="none" w:sz="0" w:space="0" w:color="auto"/>
      </w:divBdr>
    </w:div>
    <w:div w:id="1392464079">
      <w:bodyDiv w:val="1"/>
      <w:marLeft w:val="0"/>
      <w:marRight w:val="0"/>
      <w:marTop w:val="0"/>
      <w:marBottom w:val="0"/>
      <w:divBdr>
        <w:top w:val="none" w:sz="0" w:space="0" w:color="auto"/>
        <w:left w:val="none" w:sz="0" w:space="0" w:color="auto"/>
        <w:bottom w:val="none" w:sz="0" w:space="0" w:color="auto"/>
        <w:right w:val="none" w:sz="0" w:space="0" w:color="auto"/>
      </w:divBdr>
    </w:div>
    <w:div w:id="1423985350">
      <w:bodyDiv w:val="1"/>
      <w:marLeft w:val="0"/>
      <w:marRight w:val="0"/>
      <w:marTop w:val="0"/>
      <w:marBottom w:val="0"/>
      <w:divBdr>
        <w:top w:val="none" w:sz="0" w:space="0" w:color="auto"/>
        <w:left w:val="none" w:sz="0" w:space="0" w:color="auto"/>
        <w:bottom w:val="none" w:sz="0" w:space="0" w:color="auto"/>
        <w:right w:val="none" w:sz="0" w:space="0" w:color="auto"/>
      </w:divBdr>
    </w:div>
    <w:div w:id="1427530372">
      <w:bodyDiv w:val="1"/>
      <w:marLeft w:val="0"/>
      <w:marRight w:val="0"/>
      <w:marTop w:val="0"/>
      <w:marBottom w:val="0"/>
      <w:divBdr>
        <w:top w:val="none" w:sz="0" w:space="0" w:color="auto"/>
        <w:left w:val="none" w:sz="0" w:space="0" w:color="auto"/>
        <w:bottom w:val="none" w:sz="0" w:space="0" w:color="auto"/>
        <w:right w:val="none" w:sz="0" w:space="0" w:color="auto"/>
      </w:divBdr>
      <w:divsChild>
        <w:div w:id="344479652">
          <w:marLeft w:val="0"/>
          <w:marRight w:val="0"/>
          <w:marTop w:val="0"/>
          <w:marBottom w:val="0"/>
          <w:divBdr>
            <w:top w:val="none" w:sz="0" w:space="0" w:color="auto"/>
            <w:left w:val="none" w:sz="0" w:space="0" w:color="auto"/>
            <w:bottom w:val="none" w:sz="0" w:space="0" w:color="auto"/>
            <w:right w:val="none" w:sz="0" w:space="0" w:color="auto"/>
          </w:divBdr>
          <w:divsChild>
            <w:div w:id="227813823">
              <w:marLeft w:val="0"/>
              <w:marRight w:val="0"/>
              <w:marTop w:val="0"/>
              <w:marBottom w:val="0"/>
              <w:divBdr>
                <w:top w:val="none" w:sz="0" w:space="0" w:color="auto"/>
                <w:left w:val="none" w:sz="0" w:space="0" w:color="auto"/>
                <w:bottom w:val="none" w:sz="0" w:space="0" w:color="auto"/>
                <w:right w:val="none" w:sz="0" w:space="0" w:color="auto"/>
              </w:divBdr>
              <w:divsChild>
                <w:div w:id="5033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0324">
      <w:bodyDiv w:val="1"/>
      <w:marLeft w:val="0"/>
      <w:marRight w:val="0"/>
      <w:marTop w:val="0"/>
      <w:marBottom w:val="0"/>
      <w:divBdr>
        <w:top w:val="none" w:sz="0" w:space="0" w:color="auto"/>
        <w:left w:val="none" w:sz="0" w:space="0" w:color="auto"/>
        <w:bottom w:val="none" w:sz="0" w:space="0" w:color="auto"/>
        <w:right w:val="none" w:sz="0" w:space="0" w:color="auto"/>
      </w:divBdr>
    </w:div>
    <w:div w:id="1433865004">
      <w:bodyDiv w:val="1"/>
      <w:marLeft w:val="0"/>
      <w:marRight w:val="0"/>
      <w:marTop w:val="0"/>
      <w:marBottom w:val="0"/>
      <w:divBdr>
        <w:top w:val="none" w:sz="0" w:space="0" w:color="auto"/>
        <w:left w:val="none" w:sz="0" w:space="0" w:color="auto"/>
        <w:bottom w:val="none" w:sz="0" w:space="0" w:color="auto"/>
        <w:right w:val="none" w:sz="0" w:space="0" w:color="auto"/>
      </w:divBdr>
      <w:divsChild>
        <w:div w:id="2130391749">
          <w:marLeft w:val="0"/>
          <w:marRight w:val="0"/>
          <w:marTop w:val="0"/>
          <w:marBottom w:val="0"/>
          <w:divBdr>
            <w:top w:val="none" w:sz="0" w:space="0" w:color="auto"/>
            <w:left w:val="none" w:sz="0" w:space="0" w:color="auto"/>
            <w:bottom w:val="none" w:sz="0" w:space="0" w:color="auto"/>
            <w:right w:val="none" w:sz="0" w:space="0" w:color="auto"/>
          </w:divBdr>
          <w:divsChild>
            <w:div w:id="1020854385">
              <w:marLeft w:val="0"/>
              <w:marRight w:val="0"/>
              <w:marTop w:val="0"/>
              <w:marBottom w:val="0"/>
              <w:divBdr>
                <w:top w:val="none" w:sz="0" w:space="0" w:color="auto"/>
                <w:left w:val="none" w:sz="0" w:space="0" w:color="auto"/>
                <w:bottom w:val="none" w:sz="0" w:space="0" w:color="auto"/>
                <w:right w:val="none" w:sz="0" w:space="0" w:color="auto"/>
              </w:divBdr>
              <w:divsChild>
                <w:div w:id="19922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8389">
      <w:bodyDiv w:val="1"/>
      <w:marLeft w:val="0"/>
      <w:marRight w:val="0"/>
      <w:marTop w:val="0"/>
      <w:marBottom w:val="0"/>
      <w:divBdr>
        <w:top w:val="none" w:sz="0" w:space="0" w:color="auto"/>
        <w:left w:val="none" w:sz="0" w:space="0" w:color="auto"/>
        <w:bottom w:val="none" w:sz="0" w:space="0" w:color="auto"/>
        <w:right w:val="none" w:sz="0" w:space="0" w:color="auto"/>
      </w:divBdr>
    </w:div>
    <w:div w:id="1462578106">
      <w:bodyDiv w:val="1"/>
      <w:marLeft w:val="0"/>
      <w:marRight w:val="0"/>
      <w:marTop w:val="0"/>
      <w:marBottom w:val="0"/>
      <w:divBdr>
        <w:top w:val="none" w:sz="0" w:space="0" w:color="auto"/>
        <w:left w:val="none" w:sz="0" w:space="0" w:color="auto"/>
        <w:bottom w:val="none" w:sz="0" w:space="0" w:color="auto"/>
        <w:right w:val="none" w:sz="0" w:space="0" w:color="auto"/>
      </w:divBdr>
      <w:divsChild>
        <w:div w:id="2080593258">
          <w:marLeft w:val="0"/>
          <w:marRight w:val="0"/>
          <w:marTop w:val="0"/>
          <w:marBottom w:val="0"/>
          <w:divBdr>
            <w:top w:val="none" w:sz="0" w:space="0" w:color="auto"/>
            <w:left w:val="none" w:sz="0" w:space="0" w:color="auto"/>
            <w:bottom w:val="none" w:sz="0" w:space="0" w:color="auto"/>
            <w:right w:val="none" w:sz="0" w:space="0" w:color="auto"/>
          </w:divBdr>
          <w:divsChild>
            <w:div w:id="525749443">
              <w:marLeft w:val="0"/>
              <w:marRight w:val="0"/>
              <w:marTop w:val="0"/>
              <w:marBottom w:val="0"/>
              <w:divBdr>
                <w:top w:val="none" w:sz="0" w:space="0" w:color="auto"/>
                <w:left w:val="none" w:sz="0" w:space="0" w:color="auto"/>
                <w:bottom w:val="none" w:sz="0" w:space="0" w:color="auto"/>
                <w:right w:val="none" w:sz="0" w:space="0" w:color="auto"/>
              </w:divBdr>
              <w:divsChild>
                <w:div w:id="890926966">
                  <w:marLeft w:val="0"/>
                  <w:marRight w:val="0"/>
                  <w:marTop w:val="0"/>
                  <w:marBottom w:val="0"/>
                  <w:divBdr>
                    <w:top w:val="none" w:sz="0" w:space="0" w:color="auto"/>
                    <w:left w:val="none" w:sz="0" w:space="0" w:color="auto"/>
                    <w:bottom w:val="none" w:sz="0" w:space="0" w:color="auto"/>
                    <w:right w:val="none" w:sz="0" w:space="0" w:color="auto"/>
                  </w:divBdr>
                  <w:divsChild>
                    <w:div w:id="5077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8474">
      <w:bodyDiv w:val="1"/>
      <w:marLeft w:val="0"/>
      <w:marRight w:val="0"/>
      <w:marTop w:val="0"/>
      <w:marBottom w:val="0"/>
      <w:divBdr>
        <w:top w:val="none" w:sz="0" w:space="0" w:color="auto"/>
        <w:left w:val="none" w:sz="0" w:space="0" w:color="auto"/>
        <w:bottom w:val="none" w:sz="0" w:space="0" w:color="auto"/>
        <w:right w:val="none" w:sz="0" w:space="0" w:color="auto"/>
      </w:divBdr>
    </w:div>
    <w:div w:id="1519393400">
      <w:bodyDiv w:val="1"/>
      <w:marLeft w:val="0"/>
      <w:marRight w:val="0"/>
      <w:marTop w:val="0"/>
      <w:marBottom w:val="0"/>
      <w:divBdr>
        <w:top w:val="none" w:sz="0" w:space="0" w:color="auto"/>
        <w:left w:val="none" w:sz="0" w:space="0" w:color="auto"/>
        <w:bottom w:val="none" w:sz="0" w:space="0" w:color="auto"/>
        <w:right w:val="none" w:sz="0" w:space="0" w:color="auto"/>
      </w:divBdr>
      <w:divsChild>
        <w:div w:id="1440178277">
          <w:marLeft w:val="0"/>
          <w:marRight w:val="0"/>
          <w:marTop w:val="0"/>
          <w:marBottom w:val="0"/>
          <w:divBdr>
            <w:top w:val="none" w:sz="0" w:space="0" w:color="auto"/>
            <w:left w:val="none" w:sz="0" w:space="0" w:color="auto"/>
            <w:bottom w:val="none" w:sz="0" w:space="0" w:color="auto"/>
            <w:right w:val="none" w:sz="0" w:space="0" w:color="auto"/>
          </w:divBdr>
          <w:divsChild>
            <w:div w:id="685716743">
              <w:marLeft w:val="0"/>
              <w:marRight w:val="0"/>
              <w:marTop w:val="0"/>
              <w:marBottom w:val="0"/>
              <w:divBdr>
                <w:top w:val="none" w:sz="0" w:space="0" w:color="auto"/>
                <w:left w:val="none" w:sz="0" w:space="0" w:color="auto"/>
                <w:bottom w:val="none" w:sz="0" w:space="0" w:color="auto"/>
                <w:right w:val="none" w:sz="0" w:space="0" w:color="auto"/>
              </w:divBdr>
              <w:divsChild>
                <w:div w:id="1986934436">
                  <w:marLeft w:val="0"/>
                  <w:marRight w:val="0"/>
                  <w:marTop w:val="0"/>
                  <w:marBottom w:val="0"/>
                  <w:divBdr>
                    <w:top w:val="none" w:sz="0" w:space="0" w:color="auto"/>
                    <w:left w:val="none" w:sz="0" w:space="0" w:color="auto"/>
                    <w:bottom w:val="none" w:sz="0" w:space="0" w:color="auto"/>
                    <w:right w:val="none" w:sz="0" w:space="0" w:color="auto"/>
                  </w:divBdr>
                  <w:divsChild>
                    <w:div w:id="1162433575">
                      <w:marLeft w:val="0"/>
                      <w:marRight w:val="0"/>
                      <w:marTop w:val="0"/>
                      <w:marBottom w:val="0"/>
                      <w:divBdr>
                        <w:top w:val="none" w:sz="0" w:space="0" w:color="auto"/>
                        <w:left w:val="none" w:sz="0" w:space="0" w:color="auto"/>
                        <w:bottom w:val="none" w:sz="0" w:space="0" w:color="auto"/>
                        <w:right w:val="none" w:sz="0" w:space="0" w:color="auto"/>
                      </w:divBdr>
                    </w:div>
                  </w:divsChild>
                </w:div>
                <w:div w:id="1790080309">
                  <w:marLeft w:val="0"/>
                  <w:marRight w:val="0"/>
                  <w:marTop w:val="0"/>
                  <w:marBottom w:val="0"/>
                  <w:divBdr>
                    <w:top w:val="none" w:sz="0" w:space="0" w:color="auto"/>
                    <w:left w:val="none" w:sz="0" w:space="0" w:color="auto"/>
                    <w:bottom w:val="none" w:sz="0" w:space="0" w:color="auto"/>
                    <w:right w:val="none" w:sz="0" w:space="0" w:color="auto"/>
                  </w:divBdr>
                  <w:divsChild>
                    <w:div w:id="14054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8854">
          <w:marLeft w:val="0"/>
          <w:marRight w:val="0"/>
          <w:marTop w:val="0"/>
          <w:marBottom w:val="0"/>
          <w:divBdr>
            <w:top w:val="none" w:sz="0" w:space="0" w:color="auto"/>
            <w:left w:val="none" w:sz="0" w:space="0" w:color="auto"/>
            <w:bottom w:val="none" w:sz="0" w:space="0" w:color="auto"/>
            <w:right w:val="none" w:sz="0" w:space="0" w:color="auto"/>
          </w:divBdr>
          <w:divsChild>
            <w:div w:id="391320154">
              <w:marLeft w:val="0"/>
              <w:marRight w:val="0"/>
              <w:marTop w:val="0"/>
              <w:marBottom w:val="0"/>
              <w:divBdr>
                <w:top w:val="none" w:sz="0" w:space="0" w:color="auto"/>
                <w:left w:val="none" w:sz="0" w:space="0" w:color="auto"/>
                <w:bottom w:val="none" w:sz="0" w:space="0" w:color="auto"/>
                <w:right w:val="none" w:sz="0" w:space="0" w:color="auto"/>
              </w:divBdr>
              <w:divsChild>
                <w:div w:id="1330520774">
                  <w:marLeft w:val="0"/>
                  <w:marRight w:val="0"/>
                  <w:marTop w:val="0"/>
                  <w:marBottom w:val="0"/>
                  <w:divBdr>
                    <w:top w:val="none" w:sz="0" w:space="0" w:color="auto"/>
                    <w:left w:val="none" w:sz="0" w:space="0" w:color="auto"/>
                    <w:bottom w:val="none" w:sz="0" w:space="0" w:color="auto"/>
                    <w:right w:val="none" w:sz="0" w:space="0" w:color="auto"/>
                  </w:divBdr>
                  <w:divsChild>
                    <w:div w:id="66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27168">
      <w:bodyDiv w:val="1"/>
      <w:marLeft w:val="0"/>
      <w:marRight w:val="0"/>
      <w:marTop w:val="0"/>
      <w:marBottom w:val="0"/>
      <w:divBdr>
        <w:top w:val="none" w:sz="0" w:space="0" w:color="auto"/>
        <w:left w:val="none" w:sz="0" w:space="0" w:color="auto"/>
        <w:bottom w:val="none" w:sz="0" w:space="0" w:color="auto"/>
        <w:right w:val="none" w:sz="0" w:space="0" w:color="auto"/>
      </w:divBdr>
    </w:div>
    <w:div w:id="1537623236">
      <w:bodyDiv w:val="1"/>
      <w:marLeft w:val="0"/>
      <w:marRight w:val="0"/>
      <w:marTop w:val="0"/>
      <w:marBottom w:val="0"/>
      <w:divBdr>
        <w:top w:val="none" w:sz="0" w:space="0" w:color="auto"/>
        <w:left w:val="none" w:sz="0" w:space="0" w:color="auto"/>
        <w:bottom w:val="none" w:sz="0" w:space="0" w:color="auto"/>
        <w:right w:val="none" w:sz="0" w:space="0" w:color="auto"/>
      </w:divBdr>
      <w:divsChild>
        <w:div w:id="1845196370">
          <w:marLeft w:val="0"/>
          <w:marRight w:val="0"/>
          <w:marTop w:val="0"/>
          <w:marBottom w:val="0"/>
          <w:divBdr>
            <w:top w:val="none" w:sz="0" w:space="0" w:color="auto"/>
            <w:left w:val="none" w:sz="0" w:space="0" w:color="auto"/>
            <w:bottom w:val="none" w:sz="0" w:space="0" w:color="auto"/>
            <w:right w:val="none" w:sz="0" w:space="0" w:color="auto"/>
          </w:divBdr>
          <w:divsChild>
            <w:div w:id="1729108173">
              <w:marLeft w:val="0"/>
              <w:marRight w:val="0"/>
              <w:marTop w:val="0"/>
              <w:marBottom w:val="0"/>
              <w:divBdr>
                <w:top w:val="none" w:sz="0" w:space="0" w:color="auto"/>
                <w:left w:val="none" w:sz="0" w:space="0" w:color="auto"/>
                <w:bottom w:val="none" w:sz="0" w:space="0" w:color="auto"/>
                <w:right w:val="none" w:sz="0" w:space="0" w:color="auto"/>
              </w:divBdr>
              <w:divsChild>
                <w:div w:id="14509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6567">
      <w:bodyDiv w:val="1"/>
      <w:marLeft w:val="0"/>
      <w:marRight w:val="0"/>
      <w:marTop w:val="0"/>
      <w:marBottom w:val="0"/>
      <w:divBdr>
        <w:top w:val="none" w:sz="0" w:space="0" w:color="auto"/>
        <w:left w:val="none" w:sz="0" w:space="0" w:color="auto"/>
        <w:bottom w:val="none" w:sz="0" w:space="0" w:color="auto"/>
        <w:right w:val="none" w:sz="0" w:space="0" w:color="auto"/>
      </w:divBdr>
    </w:div>
    <w:div w:id="1557739337">
      <w:bodyDiv w:val="1"/>
      <w:marLeft w:val="0"/>
      <w:marRight w:val="0"/>
      <w:marTop w:val="0"/>
      <w:marBottom w:val="0"/>
      <w:divBdr>
        <w:top w:val="none" w:sz="0" w:space="0" w:color="auto"/>
        <w:left w:val="none" w:sz="0" w:space="0" w:color="auto"/>
        <w:bottom w:val="none" w:sz="0" w:space="0" w:color="auto"/>
        <w:right w:val="none" w:sz="0" w:space="0" w:color="auto"/>
      </w:divBdr>
    </w:div>
    <w:div w:id="1560045257">
      <w:bodyDiv w:val="1"/>
      <w:marLeft w:val="0"/>
      <w:marRight w:val="0"/>
      <w:marTop w:val="0"/>
      <w:marBottom w:val="0"/>
      <w:divBdr>
        <w:top w:val="none" w:sz="0" w:space="0" w:color="auto"/>
        <w:left w:val="none" w:sz="0" w:space="0" w:color="auto"/>
        <w:bottom w:val="none" w:sz="0" w:space="0" w:color="auto"/>
        <w:right w:val="none" w:sz="0" w:space="0" w:color="auto"/>
      </w:divBdr>
      <w:divsChild>
        <w:div w:id="975185955">
          <w:marLeft w:val="0"/>
          <w:marRight w:val="0"/>
          <w:marTop w:val="0"/>
          <w:marBottom w:val="0"/>
          <w:divBdr>
            <w:top w:val="none" w:sz="0" w:space="0" w:color="auto"/>
            <w:left w:val="none" w:sz="0" w:space="0" w:color="auto"/>
            <w:bottom w:val="none" w:sz="0" w:space="0" w:color="auto"/>
            <w:right w:val="none" w:sz="0" w:space="0" w:color="auto"/>
          </w:divBdr>
          <w:divsChild>
            <w:div w:id="115953621">
              <w:marLeft w:val="0"/>
              <w:marRight w:val="0"/>
              <w:marTop w:val="0"/>
              <w:marBottom w:val="0"/>
              <w:divBdr>
                <w:top w:val="none" w:sz="0" w:space="0" w:color="auto"/>
                <w:left w:val="none" w:sz="0" w:space="0" w:color="auto"/>
                <w:bottom w:val="none" w:sz="0" w:space="0" w:color="auto"/>
                <w:right w:val="none" w:sz="0" w:space="0" w:color="auto"/>
              </w:divBdr>
              <w:divsChild>
                <w:div w:id="102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9259">
      <w:bodyDiv w:val="1"/>
      <w:marLeft w:val="0"/>
      <w:marRight w:val="0"/>
      <w:marTop w:val="0"/>
      <w:marBottom w:val="0"/>
      <w:divBdr>
        <w:top w:val="none" w:sz="0" w:space="0" w:color="auto"/>
        <w:left w:val="none" w:sz="0" w:space="0" w:color="auto"/>
        <w:bottom w:val="none" w:sz="0" w:space="0" w:color="auto"/>
        <w:right w:val="none" w:sz="0" w:space="0" w:color="auto"/>
      </w:divBdr>
    </w:div>
    <w:div w:id="1630934858">
      <w:bodyDiv w:val="1"/>
      <w:marLeft w:val="0"/>
      <w:marRight w:val="0"/>
      <w:marTop w:val="0"/>
      <w:marBottom w:val="0"/>
      <w:divBdr>
        <w:top w:val="none" w:sz="0" w:space="0" w:color="auto"/>
        <w:left w:val="none" w:sz="0" w:space="0" w:color="auto"/>
        <w:bottom w:val="none" w:sz="0" w:space="0" w:color="auto"/>
        <w:right w:val="none" w:sz="0" w:space="0" w:color="auto"/>
      </w:divBdr>
      <w:divsChild>
        <w:div w:id="1317951697">
          <w:marLeft w:val="0"/>
          <w:marRight w:val="0"/>
          <w:marTop w:val="0"/>
          <w:marBottom w:val="0"/>
          <w:divBdr>
            <w:top w:val="none" w:sz="0" w:space="0" w:color="auto"/>
            <w:left w:val="none" w:sz="0" w:space="0" w:color="auto"/>
            <w:bottom w:val="none" w:sz="0" w:space="0" w:color="auto"/>
            <w:right w:val="none" w:sz="0" w:space="0" w:color="auto"/>
          </w:divBdr>
          <w:divsChild>
            <w:div w:id="409695626">
              <w:marLeft w:val="0"/>
              <w:marRight w:val="0"/>
              <w:marTop w:val="0"/>
              <w:marBottom w:val="0"/>
              <w:divBdr>
                <w:top w:val="none" w:sz="0" w:space="0" w:color="auto"/>
                <w:left w:val="none" w:sz="0" w:space="0" w:color="auto"/>
                <w:bottom w:val="none" w:sz="0" w:space="0" w:color="auto"/>
                <w:right w:val="none" w:sz="0" w:space="0" w:color="auto"/>
              </w:divBdr>
              <w:divsChild>
                <w:div w:id="9417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2571">
      <w:bodyDiv w:val="1"/>
      <w:marLeft w:val="0"/>
      <w:marRight w:val="0"/>
      <w:marTop w:val="0"/>
      <w:marBottom w:val="0"/>
      <w:divBdr>
        <w:top w:val="none" w:sz="0" w:space="0" w:color="auto"/>
        <w:left w:val="none" w:sz="0" w:space="0" w:color="auto"/>
        <w:bottom w:val="none" w:sz="0" w:space="0" w:color="auto"/>
        <w:right w:val="none" w:sz="0" w:space="0" w:color="auto"/>
      </w:divBdr>
    </w:div>
    <w:div w:id="1674449899">
      <w:bodyDiv w:val="1"/>
      <w:marLeft w:val="0"/>
      <w:marRight w:val="0"/>
      <w:marTop w:val="0"/>
      <w:marBottom w:val="0"/>
      <w:divBdr>
        <w:top w:val="none" w:sz="0" w:space="0" w:color="auto"/>
        <w:left w:val="none" w:sz="0" w:space="0" w:color="auto"/>
        <w:bottom w:val="none" w:sz="0" w:space="0" w:color="auto"/>
        <w:right w:val="none" w:sz="0" w:space="0" w:color="auto"/>
      </w:divBdr>
      <w:divsChild>
        <w:div w:id="606084878">
          <w:marLeft w:val="0"/>
          <w:marRight w:val="0"/>
          <w:marTop w:val="0"/>
          <w:marBottom w:val="0"/>
          <w:divBdr>
            <w:top w:val="none" w:sz="0" w:space="0" w:color="auto"/>
            <w:left w:val="none" w:sz="0" w:space="0" w:color="auto"/>
            <w:bottom w:val="none" w:sz="0" w:space="0" w:color="auto"/>
            <w:right w:val="none" w:sz="0" w:space="0" w:color="auto"/>
          </w:divBdr>
          <w:divsChild>
            <w:div w:id="2011370568">
              <w:marLeft w:val="0"/>
              <w:marRight w:val="0"/>
              <w:marTop w:val="0"/>
              <w:marBottom w:val="0"/>
              <w:divBdr>
                <w:top w:val="none" w:sz="0" w:space="0" w:color="auto"/>
                <w:left w:val="none" w:sz="0" w:space="0" w:color="auto"/>
                <w:bottom w:val="none" w:sz="0" w:space="0" w:color="auto"/>
                <w:right w:val="none" w:sz="0" w:space="0" w:color="auto"/>
              </w:divBdr>
              <w:divsChild>
                <w:div w:id="4941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1212">
      <w:bodyDiv w:val="1"/>
      <w:marLeft w:val="0"/>
      <w:marRight w:val="0"/>
      <w:marTop w:val="0"/>
      <w:marBottom w:val="0"/>
      <w:divBdr>
        <w:top w:val="none" w:sz="0" w:space="0" w:color="auto"/>
        <w:left w:val="none" w:sz="0" w:space="0" w:color="auto"/>
        <w:bottom w:val="none" w:sz="0" w:space="0" w:color="auto"/>
        <w:right w:val="none" w:sz="0" w:space="0" w:color="auto"/>
      </w:divBdr>
    </w:div>
    <w:div w:id="1742749471">
      <w:bodyDiv w:val="1"/>
      <w:marLeft w:val="0"/>
      <w:marRight w:val="0"/>
      <w:marTop w:val="0"/>
      <w:marBottom w:val="0"/>
      <w:divBdr>
        <w:top w:val="none" w:sz="0" w:space="0" w:color="auto"/>
        <w:left w:val="none" w:sz="0" w:space="0" w:color="auto"/>
        <w:bottom w:val="none" w:sz="0" w:space="0" w:color="auto"/>
        <w:right w:val="none" w:sz="0" w:space="0" w:color="auto"/>
      </w:divBdr>
    </w:div>
    <w:div w:id="1769351478">
      <w:bodyDiv w:val="1"/>
      <w:marLeft w:val="0"/>
      <w:marRight w:val="0"/>
      <w:marTop w:val="0"/>
      <w:marBottom w:val="0"/>
      <w:divBdr>
        <w:top w:val="none" w:sz="0" w:space="0" w:color="auto"/>
        <w:left w:val="none" w:sz="0" w:space="0" w:color="auto"/>
        <w:bottom w:val="none" w:sz="0" w:space="0" w:color="auto"/>
        <w:right w:val="none" w:sz="0" w:space="0" w:color="auto"/>
      </w:divBdr>
      <w:divsChild>
        <w:div w:id="183443935">
          <w:marLeft w:val="0"/>
          <w:marRight w:val="0"/>
          <w:marTop w:val="0"/>
          <w:marBottom w:val="0"/>
          <w:divBdr>
            <w:top w:val="none" w:sz="0" w:space="0" w:color="auto"/>
            <w:left w:val="none" w:sz="0" w:space="0" w:color="auto"/>
            <w:bottom w:val="none" w:sz="0" w:space="0" w:color="auto"/>
            <w:right w:val="none" w:sz="0" w:space="0" w:color="auto"/>
          </w:divBdr>
          <w:divsChild>
            <w:div w:id="471362104">
              <w:marLeft w:val="0"/>
              <w:marRight w:val="0"/>
              <w:marTop w:val="0"/>
              <w:marBottom w:val="0"/>
              <w:divBdr>
                <w:top w:val="none" w:sz="0" w:space="0" w:color="auto"/>
                <w:left w:val="none" w:sz="0" w:space="0" w:color="auto"/>
                <w:bottom w:val="none" w:sz="0" w:space="0" w:color="auto"/>
                <w:right w:val="none" w:sz="0" w:space="0" w:color="auto"/>
              </w:divBdr>
              <w:divsChild>
                <w:div w:id="10305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2177">
      <w:bodyDiv w:val="1"/>
      <w:marLeft w:val="0"/>
      <w:marRight w:val="0"/>
      <w:marTop w:val="0"/>
      <w:marBottom w:val="0"/>
      <w:divBdr>
        <w:top w:val="none" w:sz="0" w:space="0" w:color="auto"/>
        <w:left w:val="none" w:sz="0" w:space="0" w:color="auto"/>
        <w:bottom w:val="none" w:sz="0" w:space="0" w:color="auto"/>
        <w:right w:val="none" w:sz="0" w:space="0" w:color="auto"/>
      </w:divBdr>
      <w:divsChild>
        <w:div w:id="1810391887">
          <w:marLeft w:val="0"/>
          <w:marRight w:val="0"/>
          <w:marTop w:val="0"/>
          <w:marBottom w:val="0"/>
          <w:divBdr>
            <w:top w:val="none" w:sz="0" w:space="0" w:color="auto"/>
            <w:left w:val="none" w:sz="0" w:space="0" w:color="auto"/>
            <w:bottom w:val="none" w:sz="0" w:space="0" w:color="auto"/>
            <w:right w:val="none" w:sz="0" w:space="0" w:color="auto"/>
          </w:divBdr>
          <w:divsChild>
            <w:div w:id="301930764">
              <w:marLeft w:val="0"/>
              <w:marRight w:val="0"/>
              <w:marTop w:val="0"/>
              <w:marBottom w:val="0"/>
              <w:divBdr>
                <w:top w:val="none" w:sz="0" w:space="0" w:color="auto"/>
                <w:left w:val="none" w:sz="0" w:space="0" w:color="auto"/>
                <w:bottom w:val="none" w:sz="0" w:space="0" w:color="auto"/>
                <w:right w:val="none" w:sz="0" w:space="0" w:color="auto"/>
              </w:divBdr>
              <w:divsChild>
                <w:div w:id="5722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6587">
      <w:bodyDiv w:val="1"/>
      <w:marLeft w:val="0"/>
      <w:marRight w:val="0"/>
      <w:marTop w:val="0"/>
      <w:marBottom w:val="0"/>
      <w:divBdr>
        <w:top w:val="none" w:sz="0" w:space="0" w:color="auto"/>
        <w:left w:val="none" w:sz="0" w:space="0" w:color="auto"/>
        <w:bottom w:val="none" w:sz="0" w:space="0" w:color="auto"/>
        <w:right w:val="none" w:sz="0" w:space="0" w:color="auto"/>
      </w:divBdr>
    </w:div>
    <w:div w:id="1848523833">
      <w:bodyDiv w:val="1"/>
      <w:marLeft w:val="0"/>
      <w:marRight w:val="0"/>
      <w:marTop w:val="0"/>
      <w:marBottom w:val="0"/>
      <w:divBdr>
        <w:top w:val="none" w:sz="0" w:space="0" w:color="auto"/>
        <w:left w:val="none" w:sz="0" w:space="0" w:color="auto"/>
        <w:bottom w:val="none" w:sz="0" w:space="0" w:color="auto"/>
        <w:right w:val="none" w:sz="0" w:space="0" w:color="auto"/>
      </w:divBdr>
    </w:div>
    <w:div w:id="1865098347">
      <w:bodyDiv w:val="1"/>
      <w:marLeft w:val="0"/>
      <w:marRight w:val="0"/>
      <w:marTop w:val="0"/>
      <w:marBottom w:val="0"/>
      <w:divBdr>
        <w:top w:val="none" w:sz="0" w:space="0" w:color="auto"/>
        <w:left w:val="none" w:sz="0" w:space="0" w:color="auto"/>
        <w:bottom w:val="none" w:sz="0" w:space="0" w:color="auto"/>
        <w:right w:val="none" w:sz="0" w:space="0" w:color="auto"/>
      </w:divBdr>
    </w:div>
    <w:div w:id="1871986026">
      <w:bodyDiv w:val="1"/>
      <w:marLeft w:val="0"/>
      <w:marRight w:val="0"/>
      <w:marTop w:val="0"/>
      <w:marBottom w:val="0"/>
      <w:divBdr>
        <w:top w:val="none" w:sz="0" w:space="0" w:color="auto"/>
        <w:left w:val="none" w:sz="0" w:space="0" w:color="auto"/>
        <w:bottom w:val="none" w:sz="0" w:space="0" w:color="auto"/>
        <w:right w:val="none" w:sz="0" w:space="0" w:color="auto"/>
      </w:divBdr>
      <w:divsChild>
        <w:div w:id="874654139">
          <w:marLeft w:val="0"/>
          <w:marRight w:val="0"/>
          <w:marTop w:val="0"/>
          <w:marBottom w:val="0"/>
          <w:divBdr>
            <w:top w:val="none" w:sz="0" w:space="0" w:color="auto"/>
            <w:left w:val="none" w:sz="0" w:space="0" w:color="auto"/>
            <w:bottom w:val="none" w:sz="0" w:space="0" w:color="auto"/>
            <w:right w:val="none" w:sz="0" w:space="0" w:color="auto"/>
          </w:divBdr>
          <w:divsChild>
            <w:div w:id="1195074595">
              <w:marLeft w:val="0"/>
              <w:marRight w:val="0"/>
              <w:marTop w:val="0"/>
              <w:marBottom w:val="0"/>
              <w:divBdr>
                <w:top w:val="none" w:sz="0" w:space="0" w:color="auto"/>
                <w:left w:val="none" w:sz="0" w:space="0" w:color="auto"/>
                <w:bottom w:val="none" w:sz="0" w:space="0" w:color="auto"/>
                <w:right w:val="none" w:sz="0" w:space="0" w:color="auto"/>
              </w:divBdr>
              <w:divsChild>
                <w:div w:id="19507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5501">
      <w:bodyDiv w:val="1"/>
      <w:marLeft w:val="0"/>
      <w:marRight w:val="0"/>
      <w:marTop w:val="0"/>
      <w:marBottom w:val="0"/>
      <w:divBdr>
        <w:top w:val="none" w:sz="0" w:space="0" w:color="auto"/>
        <w:left w:val="none" w:sz="0" w:space="0" w:color="auto"/>
        <w:bottom w:val="none" w:sz="0" w:space="0" w:color="auto"/>
        <w:right w:val="none" w:sz="0" w:space="0" w:color="auto"/>
      </w:divBdr>
    </w:div>
    <w:div w:id="1956204870">
      <w:bodyDiv w:val="1"/>
      <w:marLeft w:val="0"/>
      <w:marRight w:val="0"/>
      <w:marTop w:val="0"/>
      <w:marBottom w:val="0"/>
      <w:divBdr>
        <w:top w:val="none" w:sz="0" w:space="0" w:color="auto"/>
        <w:left w:val="none" w:sz="0" w:space="0" w:color="auto"/>
        <w:bottom w:val="none" w:sz="0" w:space="0" w:color="auto"/>
        <w:right w:val="none" w:sz="0" w:space="0" w:color="auto"/>
      </w:divBdr>
      <w:divsChild>
        <w:div w:id="512765424">
          <w:marLeft w:val="0"/>
          <w:marRight w:val="0"/>
          <w:marTop w:val="0"/>
          <w:marBottom w:val="0"/>
          <w:divBdr>
            <w:top w:val="none" w:sz="0" w:space="0" w:color="auto"/>
            <w:left w:val="none" w:sz="0" w:space="0" w:color="auto"/>
            <w:bottom w:val="none" w:sz="0" w:space="0" w:color="auto"/>
            <w:right w:val="none" w:sz="0" w:space="0" w:color="auto"/>
          </w:divBdr>
          <w:divsChild>
            <w:div w:id="234439936">
              <w:marLeft w:val="0"/>
              <w:marRight w:val="0"/>
              <w:marTop w:val="0"/>
              <w:marBottom w:val="0"/>
              <w:divBdr>
                <w:top w:val="none" w:sz="0" w:space="0" w:color="auto"/>
                <w:left w:val="none" w:sz="0" w:space="0" w:color="auto"/>
                <w:bottom w:val="none" w:sz="0" w:space="0" w:color="auto"/>
                <w:right w:val="none" w:sz="0" w:space="0" w:color="auto"/>
              </w:divBdr>
              <w:divsChild>
                <w:div w:id="4203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9012">
      <w:bodyDiv w:val="1"/>
      <w:marLeft w:val="0"/>
      <w:marRight w:val="0"/>
      <w:marTop w:val="0"/>
      <w:marBottom w:val="0"/>
      <w:divBdr>
        <w:top w:val="none" w:sz="0" w:space="0" w:color="auto"/>
        <w:left w:val="none" w:sz="0" w:space="0" w:color="auto"/>
        <w:bottom w:val="none" w:sz="0" w:space="0" w:color="auto"/>
        <w:right w:val="none" w:sz="0" w:space="0" w:color="auto"/>
      </w:divBdr>
    </w:div>
    <w:div w:id="2024435716">
      <w:bodyDiv w:val="1"/>
      <w:marLeft w:val="0"/>
      <w:marRight w:val="0"/>
      <w:marTop w:val="0"/>
      <w:marBottom w:val="0"/>
      <w:divBdr>
        <w:top w:val="none" w:sz="0" w:space="0" w:color="auto"/>
        <w:left w:val="none" w:sz="0" w:space="0" w:color="auto"/>
        <w:bottom w:val="none" w:sz="0" w:space="0" w:color="auto"/>
        <w:right w:val="none" w:sz="0" w:space="0" w:color="auto"/>
      </w:divBdr>
    </w:div>
    <w:div w:id="2049333615">
      <w:bodyDiv w:val="1"/>
      <w:marLeft w:val="0"/>
      <w:marRight w:val="0"/>
      <w:marTop w:val="0"/>
      <w:marBottom w:val="0"/>
      <w:divBdr>
        <w:top w:val="none" w:sz="0" w:space="0" w:color="auto"/>
        <w:left w:val="none" w:sz="0" w:space="0" w:color="auto"/>
        <w:bottom w:val="none" w:sz="0" w:space="0" w:color="auto"/>
        <w:right w:val="none" w:sz="0" w:space="0" w:color="auto"/>
      </w:divBdr>
      <w:divsChild>
        <w:div w:id="834877971">
          <w:marLeft w:val="0"/>
          <w:marRight w:val="0"/>
          <w:marTop w:val="0"/>
          <w:marBottom w:val="0"/>
          <w:divBdr>
            <w:top w:val="none" w:sz="0" w:space="0" w:color="auto"/>
            <w:left w:val="none" w:sz="0" w:space="0" w:color="auto"/>
            <w:bottom w:val="none" w:sz="0" w:space="0" w:color="auto"/>
            <w:right w:val="none" w:sz="0" w:space="0" w:color="auto"/>
          </w:divBdr>
          <w:divsChild>
            <w:div w:id="62919456">
              <w:marLeft w:val="0"/>
              <w:marRight w:val="0"/>
              <w:marTop w:val="0"/>
              <w:marBottom w:val="0"/>
              <w:divBdr>
                <w:top w:val="none" w:sz="0" w:space="0" w:color="auto"/>
                <w:left w:val="none" w:sz="0" w:space="0" w:color="auto"/>
                <w:bottom w:val="none" w:sz="0" w:space="0" w:color="auto"/>
                <w:right w:val="none" w:sz="0" w:space="0" w:color="auto"/>
              </w:divBdr>
              <w:divsChild>
                <w:div w:id="2042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3924">
      <w:bodyDiv w:val="1"/>
      <w:marLeft w:val="0"/>
      <w:marRight w:val="0"/>
      <w:marTop w:val="0"/>
      <w:marBottom w:val="0"/>
      <w:divBdr>
        <w:top w:val="none" w:sz="0" w:space="0" w:color="auto"/>
        <w:left w:val="none" w:sz="0" w:space="0" w:color="auto"/>
        <w:bottom w:val="none" w:sz="0" w:space="0" w:color="auto"/>
        <w:right w:val="none" w:sz="0" w:space="0" w:color="auto"/>
      </w:divBdr>
    </w:div>
    <w:div w:id="2080904131">
      <w:bodyDiv w:val="1"/>
      <w:marLeft w:val="0"/>
      <w:marRight w:val="0"/>
      <w:marTop w:val="0"/>
      <w:marBottom w:val="0"/>
      <w:divBdr>
        <w:top w:val="none" w:sz="0" w:space="0" w:color="auto"/>
        <w:left w:val="none" w:sz="0" w:space="0" w:color="auto"/>
        <w:bottom w:val="none" w:sz="0" w:space="0" w:color="auto"/>
        <w:right w:val="none" w:sz="0" w:space="0" w:color="auto"/>
      </w:divBdr>
      <w:divsChild>
        <w:div w:id="2056198899">
          <w:marLeft w:val="0"/>
          <w:marRight w:val="0"/>
          <w:marTop w:val="0"/>
          <w:marBottom w:val="0"/>
          <w:divBdr>
            <w:top w:val="none" w:sz="0" w:space="0" w:color="auto"/>
            <w:left w:val="none" w:sz="0" w:space="0" w:color="auto"/>
            <w:bottom w:val="none" w:sz="0" w:space="0" w:color="auto"/>
            <w:right w:val="none" w:sz="0" w:space="0" w:color="auto"/>
          </w:divBdr>
          <w:divsChild>
            <w:div w:id="1928268667">
              <w:marLeft w:val="0"/>
              <w:marRight w:val="0"/>
              <w:marTop w:val="0"/>
              <w:marBottom w:val="0"/>
              <w:divBdr>
                <w:top w:val="none" w:sz="0" w:space="0" w:color="auto"/>
                <w:left w:val="none" w:sz="0" w:space="0" w:color="auto"/>
                <w:bottom w:val="none" w:sz="0" w:space="0" w:color="auto"/>
                <w:right w:val="none" w:sz="0" w:space="0" w:color="auto"/>
              </w:divBdr>
              <w:divsChild>
                <w:div w:id="7300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s.roumpakis@yor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stats.un.org/sdgs/indicators/database/?indicator=5.4.1%5bacces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CA6F0-0E54-4C87-AD21-C4567346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5482</Words>
  <Characters>31250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2019-04-12T15:24:00Z</cp:lastPrinted>
  <dcterms:created xsi:type="dcterms:W3CDTF">2020-05-24T16:57:00Z</dcterms:created>
  <dcterms:modified xsi:type="dcterms:W3CDTF">2020-05-24T16:57:00Z</dcterms:modified>
</cp:coreProperties>
</file>